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6.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C09" w:rsidRPr="00475B5A" w:rsidRDefault="00A60C09" w:rsidP="00953D39">
      <w:pPr>
        <w:jc w:val="center"/>
        <w:rPr>
          <w:b/>
          <w:sz w:val="40"/>
          <w:szCs w:val="40"/>
        </w:rPr>
      </w:pPr>
      <w:r w:rsidRPr="00475B5A">
        <w:rPr>
          <w:b/>
          <w:sz w:val="40"/>
          <w:szCs w:val="40"/>
        </w:rPr>
        <w:t>COMMON METRICS</w:t>
      </w:r>
    </w:p>
    <w:p w:rsidR="00A60C09" w:rsidRPr="00475B5A" w:rsidRDefault="00A60C09" w:rsidP="00953D39">
      <w:pPr>
        <w:jc w:val="center"/>
        <w:rPr>
          <w:b/>
          <w:sz w:val="40"/>
          <w:szCs w:val="40"/>
        </w:rPr>
      </w:pPr>
    </w:p>
    <w:p w:rsidR="00A60C09" w:rsidRDefault="00A60C09" w:rsidP="00953D39">
      <w:pPr>
        <w:jc w:val="center"/>
        <w:rPr>
          <w:b/>
        </w:rPr>
      </w:pPr>
    </w:p>
    <w:p w:rsidR="00A60C09" w:rsidRDefault="00A60C09" w:rsidP="00953D39">
      <w:pPr>
        <w:jc w:val="center"/>
        <w:rPr>
          <w:b/>
        </w:rPr>
      </w:pPr>
    </w:p>
    <w:p w:rsidR="00A60C09" w:rsidRPr="00475B5A" w:rsidRDefault="00A60C09" w:rsidP="00953D39">
      <w:pPr>
        <w:jc w:val="center"/>
        <w:rPr>
          <w:b/>
          <w:sz w:val="32"/>
          <w:szCs w:val="32"/>
        </w:rPr>
      </w:pPr>
      <w:r>
        <w:rPr>
          <w:b/>
          <w:sz w:val="32"/>
          <w:szCs w:val="32"/>
        </w:rPr>
        <w:t>Commission Staff Report</w:t>
      </w: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p>
    <w:p w:rsidR="00A60C09" w:rsidRDefault="00C53ADF" w:rsidP="00953D39">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80.5pt">
            <v:imagedata r:id="rId10" o:title=""/>
          </v:shape>
        </w:pict>
      </w: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p>
    <w:p w:rsidR="00A60C09" w:rsidRPr="00475B5A" w:rsidRDefault="00A60C09" w:rsidP="00953D39">
      <w:pPr>
        <w:jc w:val="center"/>
        <w:rPr>
          <w:b/>
          <w:sz w:val="32"/>
          <w:szCs w:val="32"/>
        </w:rPr>
      </w:pPr>
      <w:r w:rsidRPr="00475B5A">
        <w:rPr>
          <w:b/>
          <w:sz w:val="32"/>
          <w:szCs w:val="32"/>
        </w:rPr>
        <w:t>Federal Energy Regulatory Commission</w:t>
      </w:r>
    </w:p>
    <w:p w:rsidR="00A60C09" w:rsidRPr="00475B5A" w:rsidRDefault="000B5FA3" w:rsidP="00953D39">
      <w:pPr>
        <w:jc w:val="center"/>
        <w:rPr>
          <w:b/>
          <w:sz w:val="32"/>
          <w:szCs w:val="32"/>
        </w:rPr>
      </w:pPr>
      <w:r>
        <w:rPr>
          <w:b/>
          <w:sz w:val="32"/>
          <w:szCs w:val="32"/>
        </w:rPr>
        <w:t>August 2</w:t>
      </w:r>
      <w:r w:rsidR="00E46452">
        <w:rPr>
          <w:b/>
          <w:sz w:val="32"/>
          <w:szCs w:val="32"/>
        </w:rPr>
        <w:t>6</w:t>
      </w:r>
      <w:r>
        <w:rPr>
          <w:b/>
          <w:sz w:val="32"/>
          <w:szCs w:val="32"/>
        </w:rPr>
        <w:t>, 2014</w:t>
      </w:r>
    </w:p>
    <w:p w:rsidR="00A60C09" w:rsidRDefault="00A60C09" w:rsidP="00953D39">
      <w:pPr>
        <w:jc w:val="center"/>
        <w:rPr>
          <w:b/>
        </w:rPr>
      </w:pPr>
    </w:p>
    <w:p w:rsidR="00A60C09" w:rsidRDefault="00A60C09" w:rsidP="00953D39">
      <w:pPr>
        <w:jc w:val="center"/>
        <w:rPr>
          <w:b/>
        </w:rPr>
      </w:pPr>
    </w:p>
    <w:p w:rsidR="00A60C09" w:rsidRDefault="00A60C09" w:rsidP="00953D39">
      <w:pPr>
        <w:jc w:val="center"/>
        <w:rPr>
          <w:b/>
        </w:rPr>
      </w:pPr>
      <w:r>
        <w:rPr>
          <w:b/>
        </w:rPr>
        <w:t>This report does not necessarily reflect the views of the Commission, its Chairman, or individual Commissioners, and it is not binding on the Commission</w:t>
      </w:r>
    </w:p>
    <w:p w:rsidR="00A60C09" w:rsidRDefault="00A60C09" w:rsidP="00953D39">
      <w:pPr>
        <w:jc w:val="center"/>
        <w:rPr>
          <w:b/>
        </w:rPr>
      </w:pPr>
    </w:p>
    <w:p w:rsidR="00A60C09" w:rsidRDefault="00A60C09" w:rsidP="00953D39">
      <w:pPr>
        <w:jc w:val="center"/>
        <w:rPr>
          <w:b/>
        </w:rPr>
      </w:pPr>
      <w:r>
        <w:rPr>
          <w:b/>
        </w:rPr>
        <w:br w:type="page"/>
      </w:r>
      <w:r>
        <w:rPr>
          <w:b/>
        </w:rPr>
        <w:lastRenderedPageBreak/>
        <w:t>Table of Contents</w:t>
      </w:r>
    </w:p>
    <w:p w:rsidR="00A60C09" w:rsidRDefault="00A60C09" w:rsidP="00953D39">
      <w:pPr>
        <w:jc w:val="center"/>
        <w:rPr>
          <w:b/>
        </w:rPr>
      </w:pPr>
    </w:p>
    <w:p w:rsidR="00343000" w:rsidRDefault="00A60C09" w:rsidP="00B73C4D">
      <w:pPr>
        <w:tabs>
          <w:tab w:val="right" w:pos="9270"/>
        </w:tabs>
        <w:rPr>
          <w:b/>
        </w:rPr>
      </w:pPr>
      <w:r>
        <w:rPr>
          <w:b/>
          <w:u w:val="single"/>
        </w:rPr>
        <w:t xml:space="preserve">Section </w:t>
      </w:r>
      <w:r>
        <w:rPr>
          <w:b/>
        </w:rPr>
        <w:tab/>
      </w:r>
      <w:r w:rsidR="00343000">
        <w:rPr>
          <w:b/>
          <w:u w:val="single"/>
        </w:rPr>
        <w:t>Page</w:t>
      </w:r>
    </w:p>
    <w:bookmarkStart w:id="0" w:name="_Start_TOC"/>
    <w:bookmarkEnd w:id="0"/>
    <w:p w:rsidR="00906150" w:rsidRDefault="00B73C4D">
      <w:pPr>
        <w:pStyle w:val="TOC1"/>
        <w:tabs>
          <w:tab w:val="left" w:pos="520"/>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\o "1-4" \h \z \u </w:instrText>
      </w:r>
      <w:r>
        <w:rPr>
          <w:b/>
        </w:rPr>
        <w:fldChar w:fldCharType="separate"/>
      </w:r>
      <w:hyperlink w:anchor="_Toc390256207" w:history="1">
        <w:r w:rsidR="00906150" w:rsidRPr="000A17FC">
          <w:rPr>
            <w:rStyle w:val="Hyperlink"/>
            <w:noProof/>
          </w:rPr>
          <w:t>I.</w:t>
        </w:r>
        <w:r w:rsidR="00906150">
          <w:rPr>
            <w:rFonts w:asciiTheme="minorHAnsi" w:eastAsiaTheme="minorEastAsia" w:hAnsiTheme="minorHAnsi" w:cstheme="minorBidi"/>
            <w:noProof/>
            <w:sz w:val="22"/>
            <w:szCs w:val="22"/>
          </w:rPr>
          <w:tab/>
        </w:r>
        <w:r w:rsidR="00906150" w:rsidRPr="000A17FC">
          <w:rPr>
            <w:rStyle w:val="Hyperlink"/>
            <w:noProof/>
          </w:rPr>
          <w:t>Metrics Initiative Overview</w:t>
        </w:r>
        <w:r w:rsidR="00906150">
          <w:rPr>
            <w:noProof/>
            <w:webHidden/>
          </w:rPr>
          <w:tab/>
        </w:r>
        <w:r w:rsidR="00906150">
          <w:rPr>
            <w:noProof/>
            <w:webHidden/>
          </w:rPr>
          <w:fldChar w:fldCharType="begin"/>
        </w:r>
        <w:r w:rsidR="00906150">
          <w:rPr>
            <w:noProof/>
            <w:webHidden/>
          </w:rPr>
          <w:instrText xml:space="preserve"> PAGEREF _Toc390256207 \h </w:instrText>
        </w:r>
        <w:r w:rsidR="00906150">
          <w:rPr>
            <w:noProof/>
            <w:webHidden/>
          </w:rPr>
        </w:r>
        <w:r w:rsidR="00906150">
          <w:rPr>
            <w:noProof/>
            <w:webHidden/>
          </w:rPr>
          <w:fldChar w:fldCharType="separate"/>
        </w:r>
        <w:r w:rsidR="00716A58">
          <w:rPr>
            <w:noProof/>
            <w:webHidden/>
          </w:rPr>
          <w:t>- 4 -</w:t>
        </w:r>
        <w:r w:rsidR="00906150">
          <w:rPr>
            <w:noProof/>
            <w:webHidden/>
          </w:rPr>
          <w:fldChar w:fldCharType="end"/>
        </w:r>
      </w:hyperlink>
    </w:p>
    <w:p w:rsidR="00906150" w:rsidRDefault="00C53ADF">
      <w:pPr>
        <w:pStyle w:val="TOC1"/>
        <w:tabs>
          <w:tab w:val="left" w:pos="520"/>
          <w:tab w:val="right" w:leader="dot" w:pos="9350"/>
        </w:tabs>
        <w:rPr>
          <w:rFonts w:asciiTheme="minorHAnsi" w:eastAsiaTheme="minorEastAsia" w:hAnsiTheme="minorHAnsi" w:cstheme="minorBidi"/>
          <w:noProof/>
          <w:sz w:val="22"/>
          <w:szCs w:val="22"/>
        </w:rPr>
      </w:pPr>
      <w:hyperlink w:anchor="_Toc390256208" w:history="1">
        <w:r w:rsidR="00906150" w:rsidRPr="000A17FC">
          <w:rPr>
            <w:rStyle w:val="Hyperlink"/>
            <w:noProof/>
          </w:rPr>
          <w:t>II.</w:t>
        </w:r>
        <w:r w:rsidR="00906150">
          <w:rPr>
            <w:rFonts w:asciiTheme="minorHAnsi" w:eastAsiaTheme="minorEastAsia" w:hAnsiTheme="minorHAnsi" w:cstheme="minorBidi"/>
            <w:noProof/>
            <w:sz w:val="22"/>
            <w:szCs w:val="22"/>
          </w:rPr>
          <w:tab/>
        </w:r>
        <w:r w:rsidR="00906150" w:rsidRPr="000A17FC">
          <w:rPr>
            <w:rStyle w:val="Hyperlink"/>
            <w:noProof/>
          </w:rPr>
          <w:t>Common Metrics Report Summary</w:t>
        </w:r>
        <w:r w:rsidR="00906150">
          <w:rPr>
            <w:noProof/>
            <w:webHidden/>
          </w:rPr>
          <w:tab/>
        </w:r>
        <w:r w:rsidR="00906150">
          <w:rPr>
            <w:noProof/>
            <w:webHidden/>
          </w:rPr>
          <w:fldChar w:fldCharType="begin"/>
        </w:r>
        <w:r w:rsidR="00906150">
          <w:rPr>
            <w:noProof/>
            <w:webHidden/>
          </w:rPr>
          <w:instrText xml:space="preserve"> PAGEREF _Toc390256208 \h </w:instrText>
        </w:r>
        <w:r w:rsidR="00906150">
          <w:rPr>
            <w:noProof/>
            <w:webHidden/>
          </w:rPr>
        </w:r>
        <w:r w:rsidR="00906150">
          <w:rPr>
            <w:noProof/>
            <w:webHidden/>
          </w:rPr>
          <w:fldChar w:fldCharType="separate"/>
        </w:r>
        <w:r w:rsidR="00716A58">
          <w:rPr>
            <w:noProof/>
            <w:webHidden/>
          </w:rPr>
          <w:t>- 5 -</w:t>
        </w:r>
        <w:r w:rsidR="00906150">
          <w:rPr>
            <w:noProof/>
            <w:webHidden/>
          </w:rPr>
          <w:fldChar w:fldCharType="end"/>
        </w:r>
      </w:hyperlink>
    </w:p>
    <w:p w:rsidR="00906150" w:rsidRDefault="00C53ADF">
      <w:pPr>
        <w:pStyle w:val="TOC1"/>
        <w:tabs>
          <w:tab w:val="left" w:pos="780"/>
          <w:tab w:val="right" w:leader="dot" w:pos="9350"/>
        </w:tabs>
        <w:rPr>
          <w:rFonts w:asciiTheme="minorHAnsi" w:eastAsiaTheme="minorEastAsia" w:hAnsiTheme="minorHAnsi" w:cstheme="minorBidi"/>
          <w:noProof/>
          <w:sz w:val="22"/>
          <w:szCs w:val="22"/>
        </w:rPr>
      </w:pPr>
      <w:hyperlink w:anchor="_Toc390256209" w:history="1">
        <w:r w:rsidR="00906150" w:rsidRPr="000A17FC">
          <w:rPr>
            <w:rStyle w:val="Hyperlink"/>
            <w:noProof/>
          </w:rPr>
          <w:t>III.</w:t>
        </w:r>
        <w:r w:rsidR="00906150">
          <w:rPr>
            <w:rFonts w:asciiTheme="minorHAnsi" w:eastAsiaTheme="minorEastAsia" w:hAnsiTheme="minorHAnsi" w:cstheme="minorBidi"/>
            <w:noProof/>
            <w:sz w:val="22"/>
            <w:szCs w:val="22"/>
          </w:rPr>
          <w:tab/>
        </w:r>
        <w:r w:rsidR="00906150" w:rsidRPr="000A17FC">
          <w:rPr>
            <w:rStyle w:val="Hyperlink"/>
            <w:noProof/>
          </w:rPr>
          <w:t>Background</w:t>
        </w:r>
        <w:r w:rsidR="00906150">
          <w:rPr>
            <w:noProof/>
            <w:webHidden/>
          </w:rPr>
          <w:tab/>
        </w:r>
        <w:r w:rsidR="00906150">
          <w:rPr>
            <w:noProof/>
            <w:webHidden/>
          </w:rPr>
          <w:fldChar w:fldCharType="begin"/>
        </w:r>
        <w:r w:rsidR="00906150">
          <w:rPr>
            <w:noProof/>
            <w:webHidden/>
          </w:rPr>
          <w:instrText xml:space="preserve"> PAGEREF _Toc390256209 \h </w:instrText>
        </w:r>
        <w:r w:rsidR="00906150">
          <w:rPr>
            <w:noProof/>
            <w:webHidden/>
          </w:rPr>
        </w:r>
        <w:r w:rsidR="00906150">
          <w:rPr>
            <w:noProof/>
            <w:webHidden/>
          </w:rPr>
          <w:fldChar w:fldCharType="separate"/>
        </w:r>
        <w:r w:rsidR="00716A58">
          <w:rPr>
            <w:noProof/>
            <w:webHidden/>
          </w:rPr>
          <w:t>- 6 -</w:t>
        </w:r>
        <w:r w:rsidR="00906150">
          <w:rPr>
            <w:noProof/>
            <w:webHidden/>
          </w:rPr>
          <w:fldChar w:fldCharType="end"/>
        </w:r>
      </w:hyperlink>
    </w:p>
    <w:p w:rsidR="00906150" w:rsidRDefault="00C53ADF">
      <w:pPr>
        <w:pStyle w:val="TOC1"/>
        <w:tabs>
          <w:tab w:val="left" w:pos="780"/>
          <w:tab w:val="right" w:leader="dot" w:pos="9350"/>
        </w:tabs>
        <w:rPr>
          <w:rFonts w:asciiTheme="minorHAnsi" w:eastAsiaTheme="minorEastAsia" w:hAnsiTheme="minorHAnsi" w:cstheme="minorBidi"/>
          <w:noProof/>
          <w:sz w:val="22"/>
          <w:szCs w:val="22"/>
        </w:rPr>
      </w:pPr>
      <w:hyperlink w:anchor="_Toc390256210" w:history="1">
        <w:r w:rsidR="00906150" w:rsidRPr="000A17FC">
          <w:rPr>
            <w:rStyle w:val="Hyperlink"/>
            <w:noProof/>
          </w:rPr>
          <w:t>IV.</w:t>
        </w:r>
        <w:r w:rsidR="00906150">
          <w:rPr>
            <w:rFonts w:asciiTheme="minorHAnsi" w:eastAsiaTheme="minorEastAsia" w:hAnsiTheme="minorHAnsi" w:cstheme="minorBidi"/>
            <w:noProof/>
            <w:sz w:val="22"/>
            <w:szCs w:val="22"/>
          </w:rPr>
          <w:tab/>
        </w:r>
        <w:r w:rsidR="00906150" w:rsidRPr="000A17FC">
          <w:rPr>
            <w:rStyle w:val="Hyperlink"/>
            <w:noProof/>
          </w:rPr>
          <w:t>Common Metrics</w:t>
        </w:r>
        <w:r w:rsidR="00906150">
          <w:rPr>
            <w:noProof/>
            <w:webHidden/>
          </w:rPr>
          <w:tab/>
        </w:r>
        <w:r w:rsidR="00906150">
          <w:rPr>
            <w:noProof/>
            <w:webHidden/>
          </w:rPr>
          <w:fldChar w:fldCharType="begin"/>
        </w:r>
        <w:r w:rsidR="00906150">
          <w:rPr>
            <w:noProof/>
            <w:webHidden/>
          </w:rPr>
          <w:instrText xml:space="preserve"> PAGEREF _Toc390256210 \h </w:instrText>
        </w:r>
        <w:r w:rsidR="00906150">
          <w:rPr>
            <w:noProof/>
            <w:webHidden/>
          </w:rPr>
        </w:r>
        <w:r w:rsidR="00906150">
          <w:rPr>
            <w:noProof/>
            <w:webHidden/>
          </w:rPr>
          <w:fldChar w:fldCharType="separate"/>
        </w:r>
        <w:r w:rsidR="00716A58">
          <w:rPr>
            <w:noProof/>
            <w:webHidden/>
          </w:rPr>
          <w:t>- 8 -</w:t>
        </w:r>
        <w:r w:rsidR="00906150">
          <w:rPr>
            <w:noProof/>
            <w:webHidden/>
          </w:rPr>
          <w:fldChar w:fldCharType="end"/>
        </w:r>
      </w:hyperlink>
    </w:p>
    <w:p w:rsidR="00906150" w:rsidRDefault="00C53ADF">
      <w:pPr>
        <w:pStyle w:val="TOC2"/>
        <w:tabs>
          <w:tab w:val="left" w:pos="780"/>
          <w:tab w:val="right" w:leader="dot" w:pos="9350"/>
        </w:tabs>
        <w:rPr>
          <w:rFonts w:asciiTheme="minorHAnsi" w:eastAsiaTheme="minorEastAsia" w:hAnsiTheme="minorHAnsi" w:cstheme="minorBidi"/>
          <w:noProof/>
          <w:sz w:val="22"/>
          <w:szCs w:val="22"/>
        </w:rPr>
      </w:pPr>
      <w:hyperlink w:anchor="_Toc390256211"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Reliability Metrics</w:t>
        </w:r>
        <w:r w:rsidR="00906150">
          <w:rPr>
            <w:noProof/>
            <w:webHidden/>
          </w:rPr>
          <w:tab/>
        </w:r>
        <w:r w:rsidR="00906150">
          <w:rPr>
            <w:noProof/>
            <w:webHidden/>
          </w:rPr>
          <w:fldChar w:fldCharType="begin"/>
        </w:r>
        <w:r w:rsidR="00906150">
          <w:rPr>
            <w:noProof/>
            <w:webHidden/>
          </w:rPr>
          <w:instrText xml:space="preserve"> PAGEREF _Toc390256211 \h </w:instrText>
        </w:r>
        <w:r w:rsidR="00906150">
          <w:rPr>
            <w:noProof/>
            <w:webHidden/>
          </w:rPr>
        </w:r>
        <w:r w:rsidR="00906150">
          <w:rPr>
            <w:noProof/>
            <w:webHidden/>
          </w:rPr>
          <w:fldChar w:fldCharType="separate"/>
        </w:r>
        <w:r w:rsidR="00716A58">
          <w:rPr>
            <w:noProof/>
            <w:webHidden/>
          </w:rPr>
          <w:t>- 8 -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12" w:history="1">
        <w:r w:rsidR="00906150" w:rsidRPr="000A17FC">
          <w:rPr>
            <w:rStyle w:val="Hyperlink"/>
            <w:noProof/>
          </w:rPr>
          <w:t>1.</w:t>
        </w:r>
        <w:r w:rsidR="00906150">
          <w:rPr>
            <w:rFonts w:asciiTheme="minorHAnsi" w:eastAsiaTheme="minorEastAsia" w:hAnsiTheme="minorHAnsi" w:cstheme="minorBidi"/>
            <w:noProof/>
            <w:sz w:val="22"/>
            <w:szCs w:val="22"/>
          </w:rPr>
          <w:tab/>
        </w:r>
        <w:r w:rsidR="00906150" w:rsidRPr="000A17FC">
          <w:rPr>
            <w:rStyle w:val="Hyperlink"/>
            <w:noProof/>
          </w:rPr>
          <w:t>NERC Reliability Standards Compliance</w:t>
        </w:r>
        <w:r w:rsidR="00906150">
          <w:rPr>
            <w:noProof/>
            <w:webHidden/>
          </w:rPr>
          <w:tab/>
        </w:r>
        <w:r w:rsidR="00906150">
          <w:rPr>
            <w:noProof/>
            <w:webHidden/>
          </w:rPr>
          <w:fldChar w:fldCharType="begin"/>
        </w:r>
        <w:r w:rsidR="00906150">
          <w:rPr>
            <w:noProof/>
            <w:webHidden/>
          </w:rPr>
          <w:instrText xml:space="preserve"> PAGEREF _Toc390256212 \h </w:instrText>
        </w:r>
        <w:r w:rsidR="00906150">
          <w:rPr>
            <w:noProof/>
            <w:webHidden/>
          </w:rPr>
        </w:r>
        <w:r w:rsidR="00906150">
          <w:rPr>
            <w:noProof/>
            <w:webHidden/>
          </w:rPr>
          <w:fldChar w:fldCharType="separate"/>
        </w:r>
        <w:r w:rsidR="00716A58">
          <w:rPr>
            <w:noProof/>
            <w:webHidden/>
          </w:rPr>
          <w:t>- 8 -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13"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_Toc390256213 \h </w:instrText>
        </w:r>
        <w:r w:rsidR="00906150">
          <w:rPr>
            <w:noProof/>
            <w:webHidden/>
          </w:rPr>
        </w:r>
        <w:r w:rsidR="00906150">
          <w:rPr>
            <w:noProof/>
            <w:webHidden/>
          </w:rPr>
          <w:fldChar w:fldCharType="separate"/>
        </w:r>
        <w:r w:rsidR="00716A58">
          <w:rPr>
            <w:noProof/>
            <w:webHidden/>
          </w:rPr>
          <w:t>- 8 -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14"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_Toc390256214 \h </w:instrText>
        </w:r>
        <w:r w:rsidR="00906150">
          <w:rPr>
            <w:noProof/>
            <w:webHidden/>
          </w:rPr>
        </w:r>
        <w:r w:rsidR="00906150">
          <w:rPr>
            <w:noProof/>
            <w:webHidden/>
          </w:rPr>
          <w:fldChar w:fldCharType="separate"/>
        </w:r>
        <w:r w:rsidR="00716A58">
          <w:rPr>
            <w:noProof/>
            <w:webHidden/>
          </w:rPr>
          <w:t>- 9 -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15" w:history="1">
        <w:r w:rsidR="00906150" w:rsidRPr="000A17FC">
          <w:rPr>
            <w:rStyle w:val="Hyperlink"/>
            <w:noProof/>
          </w:rPr>
          <w:t>2.</w:t>
        </w:r>
        <w:r w:rsidR="00906150">
          <w:rPr>
            <w:rFonts w:asciiTheme="minorHAnsi" w:eastAsiaTheme="minorEastAsia" w:hAnsiTheme="minorHAnsi" w:cstheme="minorBidi"/>
            <w:noProof/>
            <w:sz w:val="22"/>
            <w:szCs w:val="22"/>
          </w:rPr>
          <w:tab/>
        </w:r>
        <w:r w:rsidR="00906150" w:rsidRPr="000A17FC">
          <w:rPr>
            <w:rStyle w:val="Hyperlink"/>
            <w:noProof/>
          </w:rPr>
          <w:t>Dispatch Reliability</w:t>
        </w:r>
        <w:r w:rsidR="00906150">
          <w:rPr>
            <w:noProof/>
            <w:webHidden/>
          </w:rPr>
          <w:tab/>
        </w:r>
        <w:r w:rsidR="00906150">
          <w:rPr>
            <w:noProof/>
            <w:webHidden/>
          </w:rPr>
          <w:fldChar w:fldCharType="begin"/>
        </w:r>
        <w:r w:rsidR="00906150">
          <w:rPr>
            <w:noProof/>
            <w:webHidden/>
          </w:rPr>
          <w:instrText xml:space="preserve"> PAGEREF _Toc390256215 \h </w:instrText>
        </w:r>
        <w:r w:rsidR="00906150">
          <w:rPr>
            <w:noProof/>
            <w:webHidden/>
          </w:rPr>
        </w:r>
        <w:r w:rsidR="00906150">
          <w:rPr>
            <w:noProof/>
            <w:webHidden/>
          </w:rPr>
          <w:fldChar w:fldCharType="separate"/>
        </w:r>
        <w:r w:rsidR="00716A58">
          <w:rPr>
            <w:noProof/>
            <w:webHidden/>
          </w:rPr>
          <w:t>- 11 -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16"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_Toc390256216 \h </w:instrText>
        </w:r>
        <w:r w:rsidR="00906150">
          <w:rPr>
            <w:noProof/>
            <w:webHidden/>
          </w:rPr>
        </w:r>
        <w:r w:rsidR="00906150">
          <w:rPr>
            <w:noProof/>
            <w:webHidden/>
          </w:rPr>
          <w:fldChar w:fldCharType="separate"/>
        </w:r>
        <w:r w:rsidR="00716A58">
          <w:rPr>
            <w:noProof/>
            <w:webHidden/>
          </w:rPr>
          <w:t>- 11 -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17"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_Toc390256217 \h </w:instrText>
        </w:r>
        <w:r w:rsidR="00906150">
          <w:rPr>
            <w:noProof/>
            <w:webHidden/>
          </w:rPr>
        </w:r>
        <w:r w:rsidR="00906150">
          <w:rPr>
            <w:noProof/>
            <w:webHidden/>
          </w:rPr>
          <w:fldChar w:fldCharType="separate"/>
        </w:r>
        <w:r w:rsidR="00716A58">
          <w:rPr>
            <w:noProof/>
            <w:webHidden/>
          </w:rPr>
          <w:t>- 11 -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18" w:history="1">
        <w:r w:rsidR="00906150" w:rsidRPr="000A17FC">
          <w:rPr>
            <w:rStyle w:val="Hyperlink"/>
            <w:noProof/>
          </w:rPr>
          <w:t>3.</w:t>
        </w:r>
        <w:r w:rsidR="00906150">
          <w:rPr>
            <w:rFonts w:asciiTheme="minorHAnsi" w:eastAsiaTheme="minorEastAsia" w:hAnsiTheme="minorHAnsi" w:cstheme="minorBidi"/>
            <w:noProof/>
            <w:sz w:val="22"/>
            <w:szCs w:val="22"/>
          </w:rPr>
          <w:tab/>
        </w:r>
        <w:r w:rsidR="00906150" w:rsidRPr="000A17FC">
          <w:rPr>
            <w:rStyle w:val="Hyperlink"/>
            <w:noProof/>
          </w:rPr>
          <w:t>Load Forecast Accuracy</w:t>
        </w:r>
        <w:r w:rsidR="00906150">
          <w:rPr>
            <w:noProof/>
            <w:webHidden/>
          </w:rPr>
          <w:tab/>
        </w:r>
        <w:r w:rsidR="00906150">
          <w:rPr>
            <w:noProof/>
            <w:webHidden/>
          </w:rPr>
          <w:fldChar w:fldCharType="begin"/>
        </w:r>
        <w:r w:rsidR="00906150">
          <w:rPr>
            <w:noProof/>
            <w:webHidden/>
          </w:rPr>
          <w:instrText xml:space="preserve"> PAGEREF _Toc390256218 \h </w:instrText>
        </w:r>
        <w:r w:rsidR="00906150">
          <w:rPr>
            <w:noProof/>
            <w:webHidden/>
          </w:rPr>
        </w:r>
        <w:r w:rsidR="00906150">
          <w:rPr>
            <w:noProof/>
            <w:webHidden/>
          </w:rPr>
          <w:fldChar w:fldCharType="separate"/>
        </w:r>
        <w:r w:rsidR="00716A58">
          <w:rPr>
            <w:noProof/>
            <w:webHidden/>
          </w:rPr>
          <w:t>- 16 -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19"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_Toc390256219 \h </w:instrText>
        </w:r>
        <w:r w:rsidR="00906150">
          <w:rPr>
            <w:noProof/>
            <w:webHidden/>
          </w:rPr>
        </w:r>
        <w:r w:rsidR="00906150">
          <w:rPr>
            <w:noProof/>
            <w:webHidden/>
          </w:rPr>
          <w:fldChar w:fldCharType="separate"/>
        </w:r>
        <w:r w:rsidR="00716A58">
          <w:rPr>
            <w:noProof/>
            <w:webHidden/>
          </w:rPr>
          <w:t>- 16 -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0"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_Toc390256220 \h </w:instrText>
        </w:r>
        <w:r w:rsidR="00906150">
          <w:rPr>
            <w:noProof/>
            <w:webHidden/>
          </w:rPr>
        </w:r>
        <w:r w:rsidR="00906150">
          <w:rPr>
            <w:noProof/>
            <w:webHidden/>
          </w:rPr>
          <w:fldChar w:fldCharType="separate"/>
        </w:r>
        <w:r w:rsidR="00716A58">
          <w:rPr>
            <w:noProof/>
            <w:webHidden/>
          </w:rPr>
          <w:t>- 16 -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21" w:history="1">
        <w:r w:rsidR="00906150" w:rsidRPr="000A17FC">
          <w:rPr>
            <w:rStyle w:val="Hyperlink"/>
            <w:noProof/>
          </w:rPr>
          <w:t>4.</w:t>
        </w:r>
        <w:r w:rsidR="00906150">
          <w:rPr>
            <w:rFonts w:asciiTheme="minorHAnsi" w:eastAsiaTheme="minorEastAsia" w:hAnsiTheme="minorHAnsi" w:cstheme="minorBidi"/>
            <w:noProof/>
            <w:sz w:val="22"/>
            <w:szCs w:val="22"/>
          </w:rPr>
          <w:tab/>
        </w:r>
        <w:r w:rsidR="00906150" w:rsidRPr="000A17FC">
          <w:rPr>
            <w:rStyle w:val="Hyperlink"/>
            <w:noProof/>
          </w:rPr>
          <w:t>Wind Forecasting Accuracy</w:t>
        </w:r>
        <w:r w:rsidR="00906150">
          <w:rPr>
            <w:noProof/>
            <w:webHidden/>
          </w:rPr>
          <w:tab/>
        </w:r>
        <w:r w:rsidR="00906150">
          <w:rPr>
            <w:noProof/>
            <w:webHidden/>
          </w:rPr>
          <w:fldChar w:fldCharType="begin"/>
        </w:r>
        <w:r w:rsidR="00906150">
          <w:rPr>
            <w:noProof/>
            <w:webHidden/>
          </w:rPr>
          <w:instrText xml:space="preserve"> PAGEREF _Toc390256221 \h </w:instrText>
        </w:r>
        <w:r w:rsidR="00906150">
          <w:rPr>
            <w:noProof/>
            <w:webHidden/>
          </w:rPr>
        </w:r>
        <w:r w:rsidR="00906150">
          <w:rPr>
            <w:noProof/>
            <w:webHidden/>
          </w:rPr>
          <w:fldChar w:fldCharType="separate"/>
        </w:r>
        <w:r w:rsidR="00716A58">
          <w:rPr>
            <w:noProof/>
            <w:webHidden/>
          </w:rPr>
          <w:t>- 18 -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2"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_Toc390256222 \h </w:instrText>
        </w:r>
        <w:r w:rsidR="00906150">
          <w:rPr>
            <w:noProof/>
            <w:webHidden/>
          </w:rPr>
        </w:r>
        <w:r w:rsidR="00906150">
          <w:rPr>
            <w:noProof/>
            <w:webHidden/>
          </w:rPr>
          <w:fldChar w:fldCharType="separate"/>
        </w:r>
        <w:r w:rsidR="00716A58">
          <w:rPr>
            <w:noProof/>
            <w:webHidden/>
          </w:rPr>
          <w:t>- 18 -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3"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_Toc390256223 \h </w:instrText>
        </w:r>
        <w:r w:rsidR="00906150">
          <w:rPr>
            <w:noProof/>
            <w:webHidden/>
          </w:rPr>
        </w:r>
        <w:r w:rsidR="00906150">
          <w:rPr>
            <w:noProof/>
            <w:webHidden/>
          </w:rPr>
          <w:fldChar w:fldCharType="separate"/>
        </w:r>
        <w:r w:rsidR="00716A58">
          <w:rPr>
            <w:noProof/>
            <w:webHidden/>
          </w:rPr>
          <w:t>- 18 -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24" w:history="1">
        <w:r w:rsidR="00906150" w:rsidRPr="000A17FC">
          <w:rPr>
            <w:rStyle w:val="Hyperlink"/>
            <w:noProof/>
          </w:rPr>
          <w:t>5.</w:t>
        </w:r>
        <w:r w:rsidR="00906150">
          <w:rPr>
            <w:rFonts w:asciiTheme="minorHAnsi" w:eastAsiaTheme="minorEastAsia" w:hAnsiTheme="minorHAnsi" w:cstheme="minorBidi"/>
            <w:noProof/>
            <w:sz w:val="22"/>
            <w:szCs w:val="22"/>
          </w:rPr>
          <w:tab/>
        </w:r>
        <w:r w:rsidR="00906150" w:rsidRPr="000A17FC">
          <w:rPr>
            <w:rStyle w:val="Hyperlink"/>
            <w:noProof/>
          </w:rPr>
          <w:t>Unscheduled Flows Metric</w:t>
        </w:r>
        <w:r w:rsidR="00906150">
          <w:rPr>
            <w:noProof/>
            <w:webHidden/>
          </w:rPr>
          <w:tab/>
        </w:r>
        <w:r w:rsidR="00906150">
          <w:rPr>
            <w:noProof/>
            <w:webHidden/>
          </w:rPr>
          <w:fldChar w:fldCharType="begin"/>
        </w:r>
        <w:r w:rsidR="00906150">
          <w:rPr>
            <w:noProof/>
            <w:webHidden/>
          </w:rPr>
          <w:instrText xml:space="preserve"> PAGEREF _Toc390256224 \h </w:instrText>
        </w:r>
        <w:r w:rsidR="00906150">
          <w:rPr>
            <w:noProof/>
            <w:webHidden/>
          </w:rPr>
        </w:r>
        <w:r w:rsidR="00906150">
          <w:rPr>
            <w:noProof/>
            <w:webHidden/>
          </w:rPr>
          <w:fldChar w:fldCharType="separate"/>
        </w:r>
        <w:r w:rsidR="00716A58">
          <w:rPr>
            <w:noProof/>
            <w:webHidden/>
          </w:rPr>
          <w:t>- 19 -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5"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_Toc390256225 \h </w:instrText>
        </w:r>
        <w:r w:rsidR="00906150">
          <w:rPr>
            <w:noProof/>
            <w:webHidden/>
          </w:rPr>
        </w:r>
        <w:r w:rsidR="00906150">
          <w:rPr>
            <w:noProof/>
            <w:webHidden/>
          </w:rPr>
          <w:fldChar w:fldCharType="separate"/>
        </w:r>
        <w:r w:rsidR="00716A58">
          <w:rPr>
            <w:noProof/>
            <w:webHidden/>
          </w:rPr>
          <w:t>- 19 -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6"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_Toc390256226 \h </w:instrText>
        </w:r>
        <w:r w:rsidR="00906150">
          <w:rPr>
            <w:noProof/>
            <w:webHidden/>
          </w:rPr>
        </w:r>
        <w:r w:rsidR="00906150">
          <w:rPr>
            <w:noProof/>
            <w:webHidden/>
          </w:rPr>
          <w:fldChar w:fldCharType="separate"/>
        </w:r>
        <w:r w:rsidR="00716A58">
          <w:rPr>
            <w:noProof/>
            <w:webHidden/>
          </w:rPr>
          <w:t>- 20 -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27" w:history="1">
        <w:r w:rsidR="00906150" w:rsidRPr="000A17FC">
          <w:rPr>
            <w:rStyle w:val="Hyperlink"/>
            <w:noProof/>
          </w:rPr>
          <w:t>6.</w:t>
        </w:r>
        <w:r w:rsidR="00906150">
          <w:rPr>
            <w:rFonts w:asciiTheme="minorHAnsi" w:eastAsiaTheme="minorEastAsia" w:hAnsiTheme="minorHAnsi" w:cstheme="minorBidi"/>
            <w:noProof/>
            <w:sz w:val="22"/>
            <w:szCs w:val="22"/>
          </w:rPr>
          <w:tab/>
        </w:r>
        <w:r w:rsidR="00906150" w:rsidRPr="000A17FC">
          <w:rPr>
            <w:rStyle w:val="Hyperlink"/>
            <w:noProof/>
          </w:rPr>
          <w:t>Transmission Outage Coordination</w:t>
        </w:r>
        <w:r w:rsidR="00906150">
          <w:rPr>
            <w:noProof/>
            <w:webHidden/>
          </w:rPr>
          <w:tab/>
        </w:r>
        <w:r w:rsidR="00906150">
          <w:rPr>
            <w:noProof/>
            <w:webHidden/>
          </w:rPr>
          <w:fldChar w:fldCharType="begin"/>
        </w:r>
        <w:r w:rsidR="00906150">
          <w:rPr>
            <w:noProof/>
            <w:webHidden/>
          </w:rPr>
          <w:instrText xml:space="preserve"> PAGEREF _Toc390256227 \h </w:instrText>
        </w:r>
        <w:r w:rsidR="00906150">
          <w:rPr>
            <w:noProof/>
            <w:webHidden/>
          </w:rPr>
        </w:r>
        <w:r w:rsidR="00906150">
          <w:rPr>
            <w:noProof/>
            <w:webHidden/>
          </w:rPr>
          <w:fldChar w:fldCharType="separate"/>
        </w:r>
        <w:r w:rsidR="00716A58">
          <w:rPr>
            <w:noProof/>
            <w:webHidden/>
          </w:rPr>
          <w:t>- 22 -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8"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_Toc390256228 \h </w:instrText>
        </w:r>
        <w:r w:rsidR="00906150">
          <w:rPr>
            <w:noProof/>
            <w:webHidden/>
          </w:rPr>
        </w:r>
        <w:r w:rsidR="00906150">
          <w:rPr>
            <w:noProof/>
            <w:webHidden/>
          </w:rPr>
          <w:fldChar w:fldCharType="separate"/>
        </w:r>
        <w:r w:rsidR="00716A58">
          <w:rPr>
            <w:noProof/>
            <w:webHidden/>
          </w:rPr>
          <w:t>- 22 -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29"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_Toc390256229 \h </w:instrText>
        </w:r>
        <w:r w:rsidR="00906150">
          <w:rPr>
            <w:noProof/>
            <w:webHidden/>
          </w:rPr>
        </w:r>
        <w:r w:rsidR="00906150">
          <w:rPr>
            <w:noProof/>
            <w:webHidden/>
          </w:rPr>
          <w:fldChar w:fldCharType="separate"/>
        </w:r>
        <w:r w:rsidR="00716A58">
          <w:rPr>
            <w:noProof/>
            <w:webHidden/>
          </w:rPr>
          <w:t>- 22 -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30" w:history="1">
        <w:r w:rsidR="00906150" w:rsidRPr="000A17FC">
          <w:rPr>
            <w:rStyle w:val="Hyperlink"/>
            <w:noProof/>
          </w:rPr>
          <w:t>7.</w:t>
        </w:r>
        <w:r w:rsidR="00906150">
          <w:rPr>
            <w:rFonts w:asciiTheme="minorHAnsi" w:eastAsiaTheme="minorEastAsia" w:hAnsiTheme="minorHAnsi" w:cstheme="minorBidi"/>
            <w:noProof/>
            <w:sz w:val="22"/>
            <w:szCs w:val="22"/>
          </w:rPr>
          <w:tab/>
        </w:r>
        <w:r w:rsidR="00906150" w:rsidRPr="000A17FC">
          <w:rPr>
            <w:rStyle w:val="Hyperlink"/>
            <w:noProof/>
          </w:rPr>
          <w:t>Long-Term Reliability Planning – Transmission</w:t>
        </w:r>
        <w:r w:rsidR="00906150">
          <w:rPr>
            <w:noProof/>
            <w:webHidden/>
          </w:rPr>
          <w:tab/>
        </w:r>
        <w:r w:rsidR="00906150">
          <w:rPr>
            <w:noProof/>
            <w:webHidden/>
          </w:rPr>
          <w:fldChar w:fldCharType="begin"/>
        </w:r>
        <w:r w:rsidR="00906150">
          <w:rPr>
            <w:noProof/>
            <w:webHidden/>
          </w:rPr>
          <w:instrText xml:space="preserve"> PAGEREF _Toc390256230 \h </w:instrText>
        </w:r>
        <w:r w:rsidR="00906150">
          <w:rPr>
            <w:noProof/>
            <w:webHidden/>
          </w:rPr>
        </w:r>
        <w:r w:rsidR="00906150">
          <w:rPr>
            <w:noProof/>
            <w:webHidden/>
          </w:rPr>
          <w:fldChar w:fldCharType="separate"/>
        </w:r>
        <w:r w:rsidR="00716A58">
          <w:rPr>
            <w:noProof/>
            <w:webHidden/>
          </w:rPr>
          <w:t>- 25 -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1"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_Toc390256231 \h </w:instrText>
        </w:r>
        <w:r w:rsidR="00906150">
          <w:rPr>
            <w:noProof/>
            <w:webHidden/>
          </w:rPr>
        </w:r>
        <w:r w:rsidR="00906150">
          <w:rPr>
            <w:noProof/>
            <w:webHidden/>
          </w:rPr>
          <w:fldChar w:fldCharType="separate"/>
        </w:r>
        <w:r w:rsidR="00716A58">
          <w:rPr>
            <w:noProof/>
            <w:webHidden/>
          </w:rPr>
          <w:t>- 25 -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2"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_Toc390256232 \h </w:instrText>
        </w:r>
        <w:r w:rsidR="00906150">
          <w:rPr>
            <w:noProof/>
            <w:webHidden/>
          </w:rPr>
        </w:r>
        <w:r w:rsidR="00906150">
          <w:rPr>
            <w:noProof/>
            <w:webHidden/>
          </w:rPr>
          <w:fldChar w:fldCharType="separate"/>
        </w:r>
        <w:r w:rsidR="00716A58">
          <w:rPr>
            <w:noProof/>
            <w:webHidden/>
          </w:rPr>
          <w:t>- 25 -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33" w:history="1">
        <w:r w:rsidR="00906150" w:rsidRPr="000A17FC">
          <w:rPr>
            <w:rStyle w:val="Hyperlink"/>
            <w:noProof/>
          </w:rPr>
          <w:t>8.</w:t>
        </w:r>
        <w:r w:rsidR="00906150">
          <w:rPr>
            <w:rFonts w:asciiTheme="minorHAnsi" w:eastAsiaTheme="minorEastAsia" w:hAnsiTheme="minorHAnsi" w:cstheme="minorBidi"/>
            <w:noProof/>
            <w:sz w:val="22"/>
            <w:szCs w:val="22"/>
          </w:rPr>
          <w:tab/>
        </w:r>
        <w:r w:rsidR="00906150" w:rsidRPr="000A17FC">
          <w:rPr>
            <w:rStyle w:val="Hyperlink"/>
            <w:noProof/>
          </w:rPr>
          <w:t>Long-Term Reliability Planning – Resources</w:t>
        </w:r>
        <w:r w:rsidR="00906150">
          <w:rPr>
            <w:noProof/>
            <w:webHidden/>
          </w:rPr>
          <w:tab/>
        </w:r>
        <w:r w:rsidR="00906150">
          <w:rPr>
            <w:noProof/>
            <w:webHidden/>
          </w:rPr>
          <w:fldChar w:fldCharType="begin"/>
        </w:r>
        <w:r w:rsidR="00906150">
          <w:rPr>
            <w:noProof/>
            <w:webHidden/>
          </w:rPr>
          <w:instrText xml:space="preserve"> PAGEREF _Toc390256233 \h </w:instrText>
        </w:r>
        <w:r w:rsidR="00906150">
          <w:rPr>
            <w:noProof/>
            <w:webHidden/>
          </w:rPr>
        </w:r>
        <w:r w:rsidR="00906150">
          <w:rPr>
            <w:noProof/>
            <w:webHidden/>
          </w:rPr>
          <w:fldChar w:fldCharType="separate"/>
        </w:r>
        <w:r w:rsidR="00716A58">
          <w:rPr>
            <w:noProof/>
            <w:webHidden/>
          </w:rPr>
          <w:t>- 28 -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4"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_Toc390256234 \h </w:instrText>
        </w:r>
        <w:r w:rsidR="00906150">
          <w:rPr>
            <w:noProof/>
            <w:webHidden/>
          </w:rPr>
        </w:r>
        <w:r w:rsidR="00906150">
          <w:rPr>
            <w:noProof/>
            <w:webHidden/>
          </w:rPr>
          <w:fldChar w:fldCharType="separate"/>
        </w:r>
        <w:r w:rsidR="00716A58">
          <w:rPr>
            <w:noProof/>
            <w:webHidden/>
          </w:rPr>
          <w:t>- 28 -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5"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_Toc390256235 \h </w:instrText>
        </w:r>
        <w:r w:rsidR="00906150">
          <w:rPr>
            <w:noProof/>
            <w:webHidden/>
          </w:rPr>
        </w:r>
        <w:r w:rsidR="00906150">
          <w:rPr>
            <w:noProof/>
            <w:webHidden/>
          </w:rPr>
          <w:fldChar w:fldCharType="separate"/>
        </w:r>
        <w:r w:rsidR="00716A58">
          <w:rPr>
            <w:noProof/>
            <w:webHidden/>
          </w:rPr>
          <w:t>- 29 -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36" w:history="1">
        <w:r w:rsidR="00906150" w:rsidRPr="000A17FC">
          <w:rPr>
            <w:rStyle w:val="Hyperlink"/>
            <w:noProof/>
          </w:rPr>
          <w:t>9.</w:t>
        </w:r>
        <w:r w:rsidR="00906150">
          <w:rPr>
            <w:rFonts w:asciiTheme="minorHAnsi" w:eastAsiaTheme="minorEastAsia" w:hAnsiTheme="minorHAnsi" w:cstheme="minorBidi"/>
            <w:noProof/>
            <w:sz w:val="22"/>
            <w:szCs w:val="22"/>
          </w:rPr>
          <w:tab/>
        </w:r>
        <w:r w:rsidR="00906150" w:rsidRPr="000A17FC">
          <w:rPr>
            <w:rStyle w:val="Hyperlink"/>
            <w:noProof/>
          </w:rPr>
          <w:t>Interconnection and Transmission Process Metrics</w:t>
        </w:r>
        <w:r w:rsidR="00906150">
          <w:rPr>
            <w:noProof/>
            <w:webHidden/>
          </w:rPr>
          <w:tab/>
        </w:r>
        <w:r w:rsidR="00906150">
          <w:rPr>
            <w:noProof/>
            <w:webHidden/>
          </w:rPr>
          <w:fldChar w:fldCharType="begin"/>
        </w:r>
        <w:r w:rsidR="00906150">
          <w:rPr>
            <w:noProof/>
            <w:webHidden/>
          </w:rPr>
          <w:instrText xml:space="preserve"> PAGEREF _Toc390256236 \h </w:instrText>
        </w:r>
        <w:r w:rsidR="00906150">
          <w:rPr>
            <w:noProof/>
            <w:webHidden/>
          </w:rPr>
        </w:r>
        <w:r w:rsidR="00906150">
          <w:rPr>
            <w:noProof/>
            <w:webHidden/>
          </w:rPr>
          <w:fldChar w:fldCharType="separate"/>
        </w:r>
        <w:r w:rsidR="00716A58">
          <w:rPr>
            <w:noProof/>
            <w:webHidden/>
          </w:rPr>
          <w:t>- 32 -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7"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_Toc390256237 \h </w:instrText>
        </w:r>
        <w:r w:rsidR="00906150">
          <w:rPr>
            <w:noProof/>
            <w:webHidden/>
          </w:rPr>
        </w:r>
        <w:r w:rsidR="00906150">
          <w:rPr>
            <w:noProof/>
            <w:webHidden/>
          </w:rPr>
          <w:fldChar w:fldCharType="separate"/>
        </w:r>
        <w:r w:rsidR="00716A58">
          <w:rPr>
            <w:noProof/>
            <w:webHidden/>
          </w:rPr>
          <w:t>- 32 -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38"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_Toc390256238 \h </w:instrText>
        </w:r>
        <w:r w:rsidR="00906150">
          <w:rPr>
            <w:noProof/>
            <w:webHidden/>
          </w:rPr>
        </w:r>
        <w:r w:rsidR="00906150">
          <w:rPr>
            <w:noProof/>
            <w:webHidden/>
          </w:rPr>
          <w:fldChar w:fldCharType="separate"/>
        </w:r>
        <w:r w:rsidR="00716A58">
          <w:rPr>
            <w:noProof/>
            <w:webHidden/>
          </w:rPr>
          <w:t>- 33 -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39" w:history="1">
        <w:r w:rsidR="00906150" w:rsidRPr="000A17FC">
          <w:rPr>
            <w:rStyle w:val="Hyperlink"/>
            <w:noProof/>
          </w:rPr>
          <w:t>10.</w:t>
        </w:r>
        <w:r w:rsidR="00906150">
          <w:rPr>
            <w:rFonts w:asciiTheme="minorHAnsi" w:eastAsiaTheme="minorEastAsia" w:hAnsiTheme="minorHAnsi" w:cstheme="minorBidi"/>
            <w:noProof/>
            <w:sz w:val="22"/>
            <w:szCs w:val="22"/>
          </w:rPr>
          <w:tab/>
        </w:r>
        <w:r w:rsidR="00906150" w:rsidRPr="000A17FC">
          <w:rPr>
            <w:rStyle w:val="Hyperlink"/>
            <w:noProof/>
          </w:rPr>
          <w:t>Special Protection Systems</w:t>
        </w:r>
        <w:r w:rsidR="00906150">
          <w:rPr>
            <w:noProof/>
            <w:webHidden/>
          </w:rPr>
          <w:tab/>
        </w:r>
        <w:r w:rsidR="00906150">
          <w:rPr>
            <w:noProof/>
            <w:webHidden/>
          </w:rPr>
          <w:fldChar w:fldCharType="begin"/>
        </w:r>
        <w:r w:rsidR="00906150">
          <w:rPr>
            <w:noProof/>
            <w:webHidden/>
          </w:rPr>
          <w:instrText xml:space="preserve"> PAGEREF _Toc390256239 \h </w:instrText>
        </w:r>
        <w:r w:rsidR="00906150">
          <w:rPr>
            <w:noProof/>
            <w:webHidden/>
          </w:rPr>
        </w:r>
        <w:r w:rsidR="00906150">
          <w:rPr>
            <w:noProof/>
            <w:webHidden/>
          </w:rPr>
          <w:fldChar w:fldCharType="separate"/>
        </w:r>
        <w:r w:rsidR="00716A58">
          <w:rPr>
            <w:noProof/>
            <w:webHidden/>
          </w:rPr>
          <w:t>- 37 -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0"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_Toc390256240 \h </w:instrText>
        </w:r>
        <w:r w:rsidR="00906150">
          <w:rPr>
            <w:noProof/>
            <w:webHidden/>
          </w:rPr>
        </w:r>
        <w:r w:rsidR="00906150">
          <w:rPr>
            <w:noProof/>
            <w:webHidden/>
          </w:rPr>
          <w:fldChar w:fldCharType="separate"/>
        </w:r>
        <w:r w:rsidR="00716A58">
          <w:rPr>
            <w:noProof/>
            <w:webHidden/>
          </w:rPr>
          <w:t>- 37 -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1"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_Toc390256241 \h </w:instrText>
        </w:r>
        <w:r w:rsidR="00906150">
          <w:rPr>
            <w:noProof/>
            <w:webHidden/>
          </w:rPr>
        </w:r>
        <w:r w:rsidR="00906150">
          <w:rPr>
            <w:noProof/>
            <w:webHidden/>
          </w:rPr>
          <w:fldChar w:fldCharType="separate"/>
        </w:r>
        <w:r w:rsidR="00716A58">
          <w:rPr>
            <w:noProof/>
            <w:webHidden/>
          </w:rPr>
          <w:t>- 37 -</w:t>
        </w:r>
        <w:r w:rsidR="00906150">
          <w:rPr>
            <w:noProof/>
            <w:webHidden/>
          </w:rPr>
          <w:fldChar w:fldCharType="end"/>
        </w:r>
      </w:hyperlink>
    </w:p>
    <w:p w:rsidR="00906150" w:rsidRDefault="00C53ADF">
      <w:pPr>
        <w:pStyle w:val="TOC2"/>
        <w:tabs>
          <w:tab w:val="left" w:pos="780"/>
          <w:tab w:val="right" w:leader="dot" w:pos="9350"/>
        </w:tabs>
        <w:rPr>
          <w:rFonts w:asciiTheme="minorHAnsi" w:eastAsiaTheme="minorEastAsia" w:hAnsiTheme="minorHAnsi" w:cstheme="minorBidi"/>
          <w:noProof/>
          <w:sz w:val="22"/>
          <w:szCs w:val="22"/>
        </w:rPr>
      </w:pPr>
      <w:hyperlink w:anchor="_Toc390256242"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Systems Operations Performance Metrics</w:t>
        </w:r>
        <w:r w:rsidR="00906150">
          <w:rPr>
            <w:noProof/>
            <w:webHidden/>
          </w:rPr>
          <w:tab/>
        </w:r>
        <w:r w:rsidR="00906150">
          <w:rPr>
            <w:noProof/>
            <w:webHidden/>
          </w:rPr>
          <w:fldChar w:fldCharType="begin"/>
        </w:r>
        <w:r w:rsidR="00906150">
          <w:rPr>
            <w:noProof/>
            <w:webHidden/>
          </w:rPr>
          <w:instrText xml:space="preserve"> PAGEREF _Toc390256242 \h </w:instrText>
        </w:r>
        <w:r w:rsidR="00906150">
          <w:rPr>
            <w:noProof/>
            <w:webHidden/>
          </w:rPr>
        </w:r>
        <w:r w:rsidR="00906150">
          <w:rPr>
            <w:noProof/>
            <w:webHidden/>
          </w:rPr>
          <w:fldChar w:fldCharType="separate"/>
        </w:r>
        <w:r w:rsidR="00716A58">
          <w:rPr>
            <w:noProof/>
            <w:webHidden/>
          </w:rPr>
          <w:t>- 39 -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43" w:history="1">
        <w:r w:rsidR="00906150" w:rsidRPr="000A17FC">
          <w:rPr>
            <w:rStyle w:val="Hyperlink"/>
            <w:noProof/>
          </w:rPr>
          <w:t>1.</w:t>
        </w:r>
        <w:r w:rsidR="00906150">
          <w:rPr>
            <w:rFonts w:asciiTheme="minorHAnsi" w:eastAsiaTheme="minorEastAsia" w:hAnsiTheme="minorHAnsi" w:cstheme="minorBidi"/>
            <w:noProof/>
            <w:sz w:val="22"/>
            <w:szCs w:val="22"/>
          </w:rPr>
          <w:tab/>
        </w:r>
        <w:r w:rsidR="00906150" w:rsidRPr="000A17FC">
          <w:rPr>
            <w:rStyle w:val="Hyperlink"/>
            <w:noProof/>
          </w:rPr>
          <w:t>System Lambda</w:t>
        </w:r>
        <w:r w:rsidR="00906150">
          <w:rPr>
            <w:noProof/>
            <w:webHidden/>
          </w:rPr>
          <w:tab/>
        </w:r>
        <w:r w:rsidR="00906150">
          <w:rPr>
            <w:noProof/>
            <w:webHidden/>
          </w:rPr>
          <w:fldChar w:fldCharType="begin"/>
        </w:r>
        <w:r w:rsidR="00906150">
          <w:rPr>
            <w:noProof/>
            <w:webHidden/>
          </w:rPr>
          <w:instrText xml:space="preserve"> PAGEREF _Toc390256243 \h </w:instrText>
        </w:r>
        <w:r w:rsidR="00906150">
          <w:rPr>
            <w:noProof/>
            <w:webHidden/>
          </w:rPr>
        </w:r>
        <w:r w:rsidR="00906150">
          <w:rPr>
            <w:noProof/>
            <w:webHidden/>
          </w:rPr>
          <w:fldChar w:fldCharType="separate"/>
        </w:r>
        <w:r w:rsidR="00716A58">
          <w:rPr>
            <w:noProof/>
            <w:webHidden/>
          </w:rPr>
          <w:t>- 39 -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4"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_Toc390256244 \h </w:instrText>
        </w:r>
        <w:r w:rsidR="00906150">
          <w:rPr>
            <w:noProof/>
            <w:webHidden/>
          </w:rPr>
        </w:r>
        <w:r w:rsidR="00906150">
          <w:rPr>
            <w:noProof/>
            <w:webHidden/>
          </w:rPr>
          <w:fldChar w:fldCharType="separate"/>
        </w:r>
        <w:r w:rsidR="00716A58">
          <w:rPr>
            <w:noProof/>
            <w:webHidden/>
          </w:rPr>
          <w:t>- 39 -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5"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_Toc390256245 \h </w:instrText>
        </w:r>
        <w:r w:rsidR="00906150">
          <w:rPr>
            <w:noProof/>
            <w:webHidden/>
          </w:rPr>
        </w:r>
        <w:r w:rsidR="00906150">
          <w:rPr>
            <w:noProof/>
            <w:webHidden/>
          </w:rPr>
          <w:fldChar w:fldCharType="separate"/>
        </w:r>
        <w:r w:rsidR="00716A58">
          <w:rPr>
            <w:noProof/>
            <w:webHidden/>
          </w:rPr>
          <w:t>- 39 -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46" w:history="1">
        <w:r w:rsidR="00906150" w:rsidRPr="000A17FC">
          <w:rPr>
            <w:rStyle w:val="Hyperlink"/>
            <w:noProof/>
          </w:rPr>
          <w:t>2.</w:t>
        </w:r>
        <w:r w:rsidR="00906150">
          <w:rPr>
            <w:rFonts w:asciiTheme="minorHAnsi" w:eastAsiaTheme="minorEastAsia" w:hAnsiTheme="minorHAnsi" w:cstheme="minorBidi"/>
            <w:noProof/>
            <w:sz w:val="22"/>
            <w:szCs w:val="22"/>
          </w:rPr>
          <w:tab/>
        </w:r>
        <w:r w:rsidR="00906150" w:rsidRPr="000A17FC">
          <w:rPr>
            <w:rStyle w:val="Hyperlink"/>
            <w:noProof/>
          </w:rPr>
          <w:t>Resource Availability</w:t>
        </w:r>
        <w:r w:rsidR="00906150">
          <w:rPr>
            <w:noProof/>
            <w:webHidden/>
          </w:rPr>
          <w:tab/>
        </w:r>
        <w:r w:rsidR="00906150">
          <w:rPr>
            <w:noProof/>
            <w:webHidden/>
          </w:rPr>
          <w:fldChar w:fldCharType="begin"/>
        </w:r>
        <w:r w:rsidR="00906150">
          <w:rPr>
            <w:noProof/>
            <w:webHidden/>
          </w:rPr>
          <w:instrText xml:space="preserve"> PAGEREF _Toc390256246 \h </w:instrText>
        </w:r>
        <w:r w:rsidR="00906150">
          <w:rPr>
            <w:noProof/>
            <w:webHidden/>
          </w:rPr>
        </w:r>
        <w:r w:rsidR="00906150">
          <w:rPr>
            <w:noProof/>
            <w:webHidden/>
          </w:rPr>
          <w:fldChar w:fldCharType="separate"/>
        </w:r>
        <w:r w:rsidR="00716A58">
          <w:rPr>
            <w:noProof/>
            <w:webHidden/>
          </w:rPr>
          <w:t>- 41 -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7"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_Toc390256247 \h </w:instrText>
        </w:r>
        <w:r w:rsidR="00906150">
          <w:rPr>
            <w:noProof/>
            <w:webHidden/>
          </w:rPr>
        </w:r>
        <w:r w:rsidR="00906150">
          <w:rPr>
            <w:noProof/>
            <w:webHidden/>
          </w:rPr>
          <w:fldChar w:fldCharType="separate"/>
        </w:r>
        <w:r w:rsidR="00716A58">
          <w:rPr>
            <w:noProof/>
            <w:webHidden/>
          </w:rPr>
          <w:t>- 41 -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48"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_Toc390256248 \h </w:instrText>
        </w:r>
        <w:r w:rsidR="00906150">
          <w:rPr>
            <w:noProof/>
            <w:webHidden/>
          </w:rPr>
        </w:r>
        <w:r w:rsidR="00906150">
          <w:rPr>
            <w:noProof/>
            <w:webHidden/>
          </w:rPr>
          <w:fldChar w:fldCharType="separate"/>
        </w:r>
        <w:r w:rsidR="00716A58">
          <w:rPr>
            <w:noProof/>
            <w:webHidden/>
          </w:rPr>
          <w:t>- 41 -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49" w:history="1">
        <w:r w:rsidR="00906150" w:rsidRPr="000A17FC">
          <w:rPr>
            <w:rStyle w:val="Hyperlink"/>
            <w:noProof/>
          </w:rPr>
          <w:t>3.</w:t>
        </w:r>
        <w:r w:rsidR="00906150">
          <w:rPr>
            <w:rFonts w:asciiTheme="minorHAnsi" w:eastAsiaTheme="minorEastAsia" w:hAnsiTheme="minorHAnsi" w:cstheme="minorBidi"/>
            <w:noProof/>
            <w:sz w:val="22"/>
            <w:szCs w:val="22"/>
          </w:rPr>
          <w:tab/>
        </w:r>
        <w:r w:rsidR="00906150" w:rsidRPr="000A17FC">
          <w:rPr>
            <w:rStyle w:val="Hyperlink"/>
            <w:noProof/>
          </w:rPr>
          <w:t>Fuel Diversity</w:t>
        </w:r>
        <w:r w:rsidR="00906150">
          <w:rPr>
            <w:noProof/>
            <w:webHidden/>
          </w:rPr>
          <w:tab/>
        </w:r>
        <w:r w:rsidR="00906150">
          <w:rPr>
            <w:noProof/>
            <w:webHidden/>
          </w:rPr>
          <w:fldChar w:fldCharType="begin"/>
        </w:r>
        <w:r w:rsidR="00906150">
          <w:rPr>
            <w:noProof/>
            <w:webHidden/>
          </w:rPr>
          <w:instrText xml:space="preserve"> PAGEREF _Toc390256249 \h </w:instrText>
        </w:r>
        <w:r w:rsidR="00906150">
          <w:rPr>
            <w:noProof/>
            <w:webHidden/>
          </w:rPr>
        </w:r>
        <w:r w:rsidR="00906150">
          <w:rPr>
            <w:noProof/>
            <w:webHidden/>
          </w:rPr>
          <w:fldChar w:fldCharType="separate"/>
        </w:r>
        <w:r w:rsidR="00716A58">
          <w:rPr>
            <w:noProof/>
            <w:webHidden/>
          </w:rPr>
          <w:t>- 43 -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50"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Definition</w:t>
        </w:r>
        <w:r w:rsidR="00906150">
          <w:rPr>
            <w:noProof/>
            <w:webHidden/>
          </w:rPr>
          <w:tab/>
        </w:r>
        <w:r w:rsidR="00906150">
          <w:rPr>
            <w:noProof/>
            <w:webHidden/>
          </w:rPr>
          <w:fldChar w:fldCharType="begin"/>
        </w:r>
        <w:r w:rsidR="00906150">
          <w:rPr>
            <w:noProof/>
            <w:webHidden/>
          </w:rPr>
          <w:instrText xml:space="preserve"> PAGEREF _Toc390256250 \h </w:instrText>
        </w:r>
        <w:r w:rsidR="00906150">
          <w:rPr>
            <w:noProof/>
            <w:webHidden/>
          </w:rPr>
        </w:r>
        <w:r w:rsidR="00906150">
          <w:rPr>
            <w:noProof/>
            <w:webHidden/>
          </w:rPr>
          <w:fldChar w:fldCharType="separate"/>
        </w:r>
        <w:r w:rsidR="00716A58">
          <w:rPr>
            <w:noProof/>
            <w:webHidden/>
          </w:rPr>
          <w:t>- 43 -</w:t>
        </w:r>
        <w:r w:rsidR="00906150">
          <w:rPr>
            <w:noProof/>
            <w:webHidden/>
          </w:rPr>
          <w:fldChar w:fldCharType="end"/>
        </w:r>
      </w:hyperlink>
    </w:p>
    <w:p w:rsidR="00906150" w:rsidRDefault="00C53ADF">
      <w:pPr>
        <w:pStyle w:val="TOC4"/>
        <w:tabs>
          <w:tab w:val="left" w:pos="1300"/>
          <w:tab w:val="right" w:leader="dot" w:pos="9350"/>
        </w:tabs>
        <w:rPr>
          <w:rFonts w:asciiTheme="minorHAnsi" w:eastAsiaTheme="minorEastAsia" w:hAnsiTheme="minorHAnsi" w:cstheme="minorBidi"/>
          <w:noProof/>
          <w:sz w:val="22"/>
          <w:szCs w:val="22"/>
        </w:rPr>
      </w:pPr>
      <w:hyperlink w:anchor="_Toc390256251"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Data Review and Metrics Assessment</w:t>
        </w:r>
        <w:r w:rsidR="00906150">
          <w:rPr>
            <w:noProof/>
            <w:webHidden/>
          </w:rPr>
          <w:tab/>
        </w:r>
        <w:r w:rsidR="00906150">
          <w:rPr>
            <w:noProof/>
            <w:webHidden/>
          </w:rPr>
          <w:fldChar w:fldCharType="begin"/>
        </w:r>
        <w:r w:rsidR="00906150">
          <w:rPr>
            <w:noProof/>
            <w:webHidden/>
          </w:rPr>
          <w:instrText xml:space="preserve"> PAGEREF _Toc390256251 \h </w:instrText>
        </w:r>
        <w:r w:rsidR="00906150">
          <w:rPr>
            <w:noProof/>
            <w:webHidden/>
          </w:rPr>
        </w:r>
        <w:r w:rsidR="00906150">
          <w:rPr>
            <w:noProof/>
            <w:webHidden/>
          </w:rPr>
          <w:fldChar w:fldCharType="separate"/>
        </w:r>
        <w:r w:rsidR="00716A58">
          <w:rPr>
            <w:noProof/>
            <w:webHidden/>
          </w:rPr>
          <w:t>- 43 -</w:t>
        </w:r>
        <w:r w:rsidR="00906150">
          <w:rPr>
            <w:noProof/>
            <w:webHidden/>
          </w:rPr>
          <w:fldChar w:fldCharType="end"/>
        </w:r>
      </w:hyperlink>
    </w:p>
    <w:p w:rsidR="00906150" w:rsidRDefault="00C53ADF">
      <w:pPr>
        <w:pStyle w:val="TOC1"/>
        <w:tabs>
          <w:tab w:val="left" w:pos="520"/>
          <w:tab w:val="right" w:leader="dot" w:pos="9350"/>
        </w:tabs>
        <w:rPr>
          <w:rFonts w:asciiTheme="minorHAnsi" w:eastAsiaTheme="minorEastAsia" w:hAnsiTheme="minorHAnsi" w:cstheme="minorBidi"/>
          <w:noProof/>
          <w:sz w:val="22"/>
          <w:szCs w:val="22"/>
        </w:rPr>
      </w:pPr>
      <w:hyperlink w:anchor="_Toc390256252" w:history="1">
        <w:r w:rsidR="00906150" w:rsidRPr="000A17FC">
          <w:rPr>
            <w:rStyle w:val="Hyperlink"/>
            <w:noProof/>
          </w:rPr>
          <w:t>V.</w:t>
        </w:r>
        <w:r w:rsidR="00906150">
          <w:rPr>
            <w:rFonts w:asciiTheme="minorHAnsi" w:eastAsiaTheme="minorEastAsia" w:hAnsiTheme="minorHAnsi" w:cstheme="minorBidi"/>
            <w:noProof/>
            <w:sz w:val="22"/>
            <w:szCs w:val="22"/>
          </w:rPr>
          <w:tab/>
        </w:r>
        <w:r w:rsidR="00906150" w:rsidRPr="000A17FC">
          <w:rPr>
            <w:rStyle w:val="Hyperlink"/>
            <w:noProof/>
          </w:rPr>
          <w:t>Other Metrics</w:t>
        </w:r>
        <w:r w:rsidR="00906150">
          <w:rPr>
            <w:noProof/>
            <w:webHidden/>
          </w:rPr>
          <w:tab/>
        </w:r>
        <w:r w:rsidR="00906150">
          <w:rPr>
            <w:noProof/>
            <w:webHidden/>
          </w:rPr>
          <w:fldChar w:fldCharType="begin"/>
        </w:r>
        <w:r w:rsidR="00906150">
          <w:rPr>
            <w:noProof/>
            <w:webHidden/>
          </w:rPr>
          <w:instrText xml:space="preserve"> PAGEREF _Toc390256252 \h </w:instrText>
        </w:r>
        <w:r w:rsidR="00906150">
          <w:rPr>
            <w:noProof/>
            <w:webHidden/>
          </w:rPr>
        </w:r>
        <w:r w:rsidR="00906150">
          <w:rPr>
            <w:noProof/>
            <w:webHidden/>
          </w:rPr>
          <w:fldChar w:fldCharType="separate"/>
        </w:r>
        <w:r w:rsidR="00716A58">
          <w:rPr>
            <w:noProof/>
            <w:webHidden/>
          </w:rPr>
          <w:t>- 46 -</w:t>
        </w:r>
        <w:r w:rsidR="00906150">
          <w:rPr>
            <w:noProof/>
            <w:webHidden/>
          </w:rPr>
          <w:fldChar w:fldCharType="end"/>
        </w:r>
      </w:hyperlink>
    </w:p>
    <w:p w:rsidR="00906150" w:rsidRDefault="00C53ADF">
      <w:pPr>
        <w:pStyle w:val="TOC2"/>
        <w:tabs>
          <w:tab w:val="left" w:pos="780"/>
          <w:tab w:val="right" w:leader="dot" w:pos="9350"/>
        </w:tabs>
        <w:rPr>
          <w:rFonts w:asciiTheme="minorHAnsi" w:eastAsiaTheme="minorEastAsia" w:hAnsiTheme="minorHAnsi" w:cstheme="minorBidi"/>
          <w:noProof/>
          <w:sz w:val="22"/>
          <w:szCs w:val="22"/>
        </w:rPr>
      </w:pPr>
      <w:hyperlink w:anchor="_Toc390256253" w:history="1">
        <w:r w:rsidR="00906150" w:rsidRPr="000A17FC">
          <w:rPr>
            <w:rStyle w:val="Hyperlink"/>
            <w:noProof/>
          </w:rPr>
          <w:t>A.</w:t>
        </w:r>
        <w:r w:rsidR="00906150">
          <w:rPr>
            <w:rFonts w:asciiTheme="minorHAnsi" w:eastAsiaTheme="minorEastAsia" w:hAnsiTheme="minorHAnsi" w:cstheme="minorBidi"/>
            <w:noProof/>
            <w:sz w:val="22"/>
            <w:szCs w:val="22"/>
          </w:rPr>
          <w:tab/>
        </w:r>
        <w:r w:rsidR="00906150" w:rsidRPr="000A17FC">
          <w:rPr>
            <w:rStyle w:val="Hyperlink"/>
            <w:noProof/>
          </w:rPr>
          <w:t>Other Metrics Specific to ISO and RTO Performance</w:t>
        </w:r>
        <w:r w:rsidR="00906150">
          <w:rPr>
            <w:noProof/>
            <w:webHidden/>
          </w:rPr>
          <w:tab/>
        </w:r>
        <w:r w:rsidR="00906150">
          <w:rPr>
            <w:noProof/>
            <w:webHidden/>
          </w:rPr>
          <w:fldChar w:fldCharType="begin"/>
        </w:r>
        <w:r w:rsidR="00906150">
          <w:rPr>
            <w:noProof/>
            <w:webHidden/>
          </w:rPr>
          <w:instrText xml:space="preserve"> PAGEREF _Toc390256253 \h </w:instrText>
        </w:r>
        <w:r w:rsidR="00906150">
          <w:rPr>
            <w:noProof/>
            <w:webHidden/>
          </w:rPr>
        </w:r>
        <w:r w:rsidR="00906150">
          <w:rPr>
            <w:noProof/>
            <w:webHidden/>
          </w:rPr>
          <w:fldChar w:fldCharType="separate"/>
        </w:r>
        <w:r w:rsidR="00716A58">
          <w:rPr>
            <w:noProof/>
            <w:webHidden/>
          </w:rPr>
          <w:t>- 46 -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4" w:history="1">
        <w:r w:rsidR="00906150" w:rsidRPr="000A17FC">
          <w:rPr>
            <w:rStyle w:val="Hyperlink"/>
            <w:noProof/>
          </w:rPr>
          <w:t>1.</w:t>
        </w:r>
        <w:r w:rsidR="00906150">
          <w:rPr>
            <w:rFonts w:asciiTheme="minorHAnsi" w:eastAsiaTheme="minorEastAsia" w:hAnsiTheme="minorHAnsi" w:cstheme="minorBidi"/>
            <w:noProof/>
            <w:sz w:val="22"/>
            <w:szCs w:val="22"/>
          </w:rPr>
          <w:tab/>
        </w:r>
        <w:r w:rsidR="00906150" w:rsidRPr="000A17FC">
          <w:rPr>
            <w:rStyle w:val="Hyperlink"/>
            <w:noProof/>
          </w:rPr>
          <w:t>Load Forecasting Accuracy Metrics</w:t>
        </w:r>
        <w:r w:rsidR="00906150">
          <w:rPr>
            <w:noProof/>
            <w:webHidden/>
          </w:rPr>
          <w:tab/>
        </w:r>
        <w:r w:rsidR="00906150">
          <w:rPr>
            <w:noProof/>
            <w:webHidden/>
          </w:rPr>
          <w:fldChar w:fldCharType="begin"/>
        </w:r>
        <w:r w:rsidR="00906150">
          <w:rPr>
            <w:noProof/>
            <w:webHidden/>
          </w:rPr>
          <w:instrText xml:space="preserve"> PAGEREF _Toc390256254 \h </w:instrText>
        </w:r>
        <w:r w:rsidR="00906150">
          <w:rPr>
            <w:noProof/>
            <w:webHidden/>
          </w:rPr>
        </w:r>
        <w:r w:rsidR="00906150">
          <w:rPr>
            <w:noProof/>
            <w:webHidden/>
          </w:rPr>
          <w:fldChar w:fldCharType="separate"/>
        </w:r>
        <w:r w:rsidR="00716A58">
          <w:rPr>
            <w:noProof/>
            <w:webHidden/>
          </w:rPr>
          <w:t>- 46 -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5" w:history="1">
        <w:r w:rsidR="00906150" w:rsidRPr="000A17FC">
          <w:rPr>
            <w:rStyle w:val="Hyperlink"/>
            <w:noProof/>
          </w:rPr>
          <w:t>2.</w:t>
        </w:r>
        <w:r w:rsidR="00906150">
          <w:rPr>
            <w:rFonts w:asciiTheme="minorHAnsi" w:eastAsiaTheme="minorEastAsia" w:hAnsiTheme="minorHAnsi" w:cstheme="minorBidi"/>
            <w:noProof/>
            <w:sz w:val="22"/>
            <w:szCs w:val="22"/>
          </w:rPr>
          <w:tab/>
        </w:r>
        <w:r w:rsidR="00906150" w:rsidRPr="000A17FC">
          <w:rPr>
            <w:rStyle w:val="Hyperlink"/>
            <w:noProof/>
          </w:rPr>
          <w:t>Transmission Outage Metrics</w:t>
        </w:r>
        <w:r w:rsidR="00906150">
          <w:rPr>
            <w:noProof/>
            <w:webHidden/>
          </w:rPr>
          <w:tab/>
        </w:r>
        <w:r w:rsidR="00906150">
          <w:rPr>
            <w:noProof/>
            <w:webHidden/>
          </w:rPr>
          <w:fldChar w:fldCharType="begin"/>
        </w:r>
        <w:r w:rsidR="00906150">
          <w:rPr>
            <w:noProof/>
            <w:webHidden/>
          </w:rPr>
          <w:instrText xml:space="preserve"> PAGEREF _Toc390256255 \h </w:instrText>
        </w:r>
        <w:r w:rsidR="00906150">
          <w:rPr>
            <w:noProof/>
            <w:webHidden/>
          </w:rPr>
        </w:r>
        <w:r w:rsidR="00906150">
          <w:rPr>
            <w:noProof/>
            <w:webHidden/>
          </w:rPr>
          <w:fldChar w:fldCharType="separate"/>
        </w:r>
        <w:r w:rsidR="00716A58">
          <w:rPr>
            <w:noProof/>
            <w:webHidden/>
          </w:rPr>
          <w:t>- 48 -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6" w:history="1">
        <w:r w:rsidR="00906150" w:rsidRPr="000A17FC">
          <w:rPr>
            <w:rStyle w:val="Hyperlink"/>
            <w:noProof/>
          </w:rPr>
          <w:t>3.</w:t>
        </w:r>
        <w:r w:rsidR="00906150">
          <w:rPr>
            <w:rFonts w:asciiTheme="minorHAnsi" w:eastAsiaTheme="minorEastAsia" w:hAnsiTheme="minorHAnsi" w:cstheme="minorBidi"/>
            <w:noProof/>
            <w:sz w:val="22"/>
            <w:szCs w:val="22"/>
          </w:rPr>
          <w:tab/>
        </w:r>
        <w:r w:rsidR="00906150" w:rsidRPr="000A17FC">
          <w:rPr>
            <w:rStyle w:val="Hyperlink"/>
            <w:noProof/>
          </w:rPr>
          <w:t>Long-Term Reliability Planning – Resources</w:t>
        </w:r>
        <w:r w:rsidR="00906150">
          <w:rPr>
            <w:noProof/>
            <w:webHidden/>
          </w:rPr>
          <w:tab/>
        </w:r>
        <w:r w:rsidR="00906150">
          <w:rPr>
            <w:noProof/>
            <w:webHidden/>
          </w:rPr>
          <w:fldChar w:fldCharType="begin"/>
        </w:r>
        <w:r w:rsidR="00906150">
          <w:rPr>
            <w:noProof/>
            <w:webHidden/>
          </w:rPr>
          <w:instrText xml:space="preserve"> PAGEREF _Toc390256256 \h </w:instrText>
        </w:r>
        <w:r w:rsidR="00906150">
          <w:rPr>
            <w:noProof/>
            <w:webHidden/>
          </w:rPr>
        </w:r>
        <w:r w:rsidR="00906150">
          <w:rPr>
            <w:noProof/>
            <w:webHidden/>
          </w:rPr>
          <w:fldChar w:fldCharType="separate"/>
        </w:r>
        <w:r w:rsidR="00716A58">
          <w:rPr>
            <w:noProof/>
            <w:webHidden/>
          </w:rPr>
          <w:t>- 50 -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7" w:history="1">
        <w:r w:rsidR="00906150" w:rsidRPr="000A17FC">
          <w:rPr>
            <w:rStyle w:val="Hyperlink"/>
            <w:noProof/>
          </w:rPr>
          <w:t>4.</w:t>
        </w:r>
        <w:r w:rsidR="00906150">
          <w:rPr>
            <w:rFonts w:asciiTheme="minorHAnsi" w:eastAsiaTheme="minorEastAsia" w:hAnsiTheme="minorHAnsi" w:cstheme="minorBidi"/>
            <w:noProof/>
            <w:sz w:val="22"/>
            <w:szCs w:val="22"/>
          </w:rPr>
          <w:tab/>
        </w:r>
        <w:r w:rsidR="00906150" w:rsidRPr="000A17FC">
          <w:rPr>
            <w:rStyle w:val="Hyperlink"/>
            <w:noProof/>
          </w:rPr>
          <w:t>Price-Cost Mark-Up</w:t>
        </w:r>
        <w:r w:rsidR="00906150">
          <w:rPr>
            <w:noProof/>
            <w:webHidden/>
          </w:rPr>
          <w:tab/>
        </w:r>
        <w:r w:rsidR="00906150">
          <w:rPr>
            <w:noProof/>
            <w:webHidden/>
          </w:rPr>
          <w:fldChar w:fldCharType="begin"/>
        </w:r>
        <w:r w:rsidR="00906150">
          <w:rPr>
            <w:noProof/>
            <w:webHidden/>
          </w:rPr>
          <w:instrText xml:space="preserve"> PAGEREF _Toc390256257 \h </w:instrText>
        </w:r>
        <w:r w:rsidR="00906150">
          <w:rPr>
            <w:noProof/>
            <w:webHidden/>
          </w:rPr>
        </w:r>
        <w:r w:rsidR="00906150">
          <w:rPr>
            <w:noProof/>
            <w:webHidden/>
          </w:rPr>
          <w:fldChar w:fldCharType="separate"/>
        </w:r>
        <w:r w:rsidR="00716A58">
          <w:rPr>
            <w:noProof/>
            <w:webHidden/>
          </w:rPr>
          <w:t>- 54 -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8" w:history="1">
        <w:r w:rsidR="00906150" w:rsidRPr="000A17FC">
          <w:rPr>
            <w:rStyle w:val="Hyperlink"/>
            <w:noProof/>
          </w:rPr>
          <w:t>5.</w:t>
        </w:r>
        <w:r w:rsidR="00906150">
          <w:rPr>
            <w:rFonts w:asciiTheme="minorHAnsi" w:eastAsiaTheme="minorEastAsia" w:hAnsiTheme="minorHAnsi" w:cstheme="minorBidi"/>
            <w:noProof/>
            <w:sz w:val="22"/>
            <w:szCs w:val="22"/>
          </w:rPr>
          <w:tab/>
        </w:r>
        <w:r w:rsidR="00906150" w:rsidRPr="000A17FC">
          <w:rPr>
            <w:rStyle w:val="Hyperlink"/>
            <w:noProof/>
          </w:rPr>
          <w:t>Generator Net Revenue</w:t>
        </w:r>
        <w:r w:rsidR="00906150">
          <w:rPr>
            <w:noProof/>
            <w:webHidden/>
          </w:rPr>
          <w:tab/>
        </w:r>
        <w:r w:rsidR="00906150">
          <w:rPr>
            <w:noProof/>
            <w:webHidden/>
          </w:rPr>
          <w:fldChar w:fldCharType="begin"/>
        </w:r>
        <w:r w:rsidR="00906150">
          <w:rPr>
            <w:noProof/>
            <w:webHidden/>
          </w:rPr>
          <w:instrText xml:space="preserve"> PAGEREF _Toc390256258 \h </w:instrText>
        </w:r>
        <w:r w:rsidR="00906150">
          <w:rPr>
            <w:noProof/>
            <w:webHidden/>
          </w:rPr>
        </w:r>
        <w:r w:rsidR="00906150">
          <w:rPr>
            <w:noProof/>
            <w:webHidden/>
          </w:rPr>
          <w:fldChar w:fldCharType="separate"/>
        </w:r>
        <w:r w:rsidR="00716A58">
          <w:rPr>
            <w:noProof/>
            <w:webHidden/>
          </w:rPr>
          <w:t>- 56 -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59" w:history="1">
        <w:r w:rsidR="00906150" w:rsidRPr="000A17FC">
          <w:rPr>
            <w:rStyle w:val="Hyperlink"/>
            <w:noProof/>
          </w:rPr>
          <w:t>6.</w:t>
        </w:r>
        <w:r w:rsidR="00906150">
          <w:rPr>
            <w:rFonts w:asciiTheme="minorHAnsi" w:eastAsiaTheme="minorEastAsia" w:hAnsiTheme="minorHAnsi" w:cstheme="minorBidi"/>
            <w:noProof/>
            <w:sz w:val="22"/>
            <w:szCs w:val="22"/>
          </w:rPr>
          <w:tab/>
        </w:r>
        <w:r w:rsidR="00906150" w:rsidRPr="000A17FC">
          <w:rPr>
            <w:rStyle w:val="Hyperlink"/>
            <w:noProof/>
          </w:rPr>
          <w:t>Percentage of Megawatt Hours Mitigated</w:t>
        </w:r>
        <w:r w:rsidR="00906150">
          <w:rPr>
            <w:noProof/>
            <w:webHidden/>
          </w:rPr>
          <w:tab/>
        </w:r>
        <w:r w:rsidR="00906150">
          <w:rPr>
            <w:noProof/>
            <w:webHidden/>
          </w:rPr>
          <w:fldChar w:fldCharType="begin"/>
        </w:r>
        <w:r w:rsidR="00906150">
          <w:rPr>
            <w:noProof/>
            <w:webHidden/>
          </w:rPr>
          <w:instrText xml:space="preserve"> PAGEREF _Toc390256259 \h </w:instrText>
        </w:r>
        <w:r w:rsidR="00906150">
          <w:rPr>
            <w:noProof/>
            <w:webHidden/>
          </w:rPr>
        </w:r>
        <w:r w:rsidR="00906150">
          <w:rPr>
            <w:noProof/>
            <w:webHidden/>
          </w:rPr>
          <w:fldChar w:fldCharType="separate"/>
        </w:r>
        <w:r w:rsidR="00716A58">
          <w:rPr>
            <w:noProof/>
            <w:webHidden/>
          </w:rPr>
          <w:t>- 57 -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60" w:history="1">
        <w:r w:rsidR="00906150" w:rsidRPr="000A17FC">
          <w:rPr>
            <w:rStyle w:val="Hyperlink"/>
            <w:noProof/>
          </w:rPr>
          <w:t>7.</w:t>
        </w:r>
        <w:r w:rsidR="00906150">
          <w:rPr>
            <w:rFonts w:asciiTheme="minorHAnsi" w:eastAsiaTheme="minorEastAsia" w:hAnsiTheme="minorHAnsi" w:cstheme="minorBidi"/>
            <w:noProof/>
            <w:sz w:val="22"/>
            <w:szCs w:val="22"/>
          </w:rPr>
          <w:tab/>
        </w:r>
        <w:r w:rsidR="00906150" w:rsidRPr="000A17FC">
          <w:rPr>
            <w:rStyle w:val="Hyperlink"/>
            <w:noProof/>
          </w:rPr>
          <w:t>Market Pricing Metrics</w:t>
        </w:r>
        <w:r w:rsidR="00906150">
          <w:rPr>
            <w:noProof/>
            <w:webHidden/>
          </w:rPr>
          <w:tab/>
        </w:r>
        <w:r w:rsidR="00906150">
          <w:rPr>
            <w:noProof/>
            <w:webHidden/>
          </w:rPr>
          <w:fldChar w:fldCharType="begin"/>
        </w:r>
        <w:r w:rsidR="00906150">
          <w:rPr>
            <w:noProof/>
            <w:webHidden/>
          </w:rPr>
          <w:instrText xml:space="preserve"> PAGEREF _Toc390256260 \h </w:instrText>
        </w:r>
        <w:r w:rsidR="00906150">
          <w:rPr>
            <w:noProof/>
            <w:webHidden/>
          </w:rPr>
        </w:r>
        <w:r w:rsidR="00906150">
          <w:rPr>
            <w:noProof/>
            <w:webHidden/>
          </w:rPr>
          <w:fldChar w:fldCharType="separate"/>
        </w:r>
        <w:r w:rsidR="00716A58">
          <w:rPr>
            <w:noProof/>
            <w:webHidden/>
          </w:rPr>
          <w:t>- 58 -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61" w:history="1">
        <w:r w:rsidR="00906150" w:rsidRPr="000A17FC">
          <w:rPr>
            <w:rStyle w:val="Hyperlink"/>
            <w:noProof/>
          </w:rPr>
          <w:t>8.</w:t>
        </w:r>
        <w:r w:rsidR="00906150">
          <w:rPr>
            <w:rFonts w:asciiTheme="minorHAnsi" w:eastAsiaTheme="minorEastAsia" w:hAnsiTheme="minorHAnsi" w:cstheme="minorBidi"/>
            <w:noProof/>
            <w:sz w:val="22"/>
            <w:szCs w:val="22"/>
          </w:rPr>
          <w:tab/>
        </w:r>
        <w:r w:rsidR="00906150" w:rsidRPr="000A17FC">
          <w:rPr>
            <w:rStyle w:val="Hyperlink"/>
            <w:noProof/>
          </w:rPr>
          <w:t>Energy Market Price Convergence</w:t>
        </w:r>
        <w:r w:rsidR="00906150">
          <w:rPr>
            <w:noProof/>
            <w:webHidden/>
          </w:rPr>
          <w:tab/>
        </w:r>
        <w:r w:rsidR="00906150">
          <w:rPr>
            <w:noProof/>
            <w:webHidden/>
          </w:rPr>
          <w:fldChar w:fldCharType="begin"/>
        </w:r>
        <w:r w:rsidR="00906150">
          <w:rPr>
            <w:noProof/>
            <w:webHidden/>
          </w:rPr>
          <w:instrText xml:space="preserve"> PAGEREF _Toc390256261 \h </w:instrText>
        </w:r>
        <w:r w:rsidR="00906150">
          <w:rPr>
            <w:noProof/>
            <w:webHidden/>
          </w:rPr>
        </w:r>
        <w:r w:rsidR="00906150">
          <w:rPr>
            <w:noProof/>
            <w:webHidden/>
          </w:rPr>
          <w:fldChar w:fldCharType="separate"/>
        </w:r>
        <w:r w:rsidR="00716A58">
          <w:rPr>
            <w:noProof/>
            <w:webHidden/>
          </w:rPr>
          <w:t>- 61 -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62" w:history="1">
        <w:r w:rsidR="00906150" w:rsidRPr="000A17FC">
          <w:rPr>
            <w:rStyle w:val="Hyperlink"/>
            <w:noProof/>
          </w:rPr>
          <w:t>9.</w:t>
        </w:r>
        <w:r w:rsidR="00906150">
          <w:rPr>
            <w:rFonts w:asciiTheme="minorHAnsi" w:eastAsiaTheme="minorEastAsia" w:hAnsiTheme="minorHAnsi" w:cstheme="minorBidi"/>
            <w:noProof/>
            <w:sz w:val="22"/>
            <w:szCs w:val="22"/>
          </w:rPr>
          <w:tab/>
        </w:r>
        <w:r w:rsidR="00906150" w:rsidRPr="000A17FC">
          <w:rPr>
            <w:rStyle w:val="Hyperlink"/>
            <w:noProof/>
          </w:rPr>
          <w:t>Congestion Management Metrics</w:t>
        </w:r>
        <w:r w:rsidR="00906150">
          <w:rPr>
            <w:noProof/>
            <w:webHidden/>
          </w:rPr>
          <w:tab/>
        </w:r>
        <w:r w:rsidR="00906150">
          <w:rPr>
            <w:noProof/>
            <w:webHidden/>
          </w:rPr>
          <w:fldChar w:fldCharType="begin"/>
        </w:r>
        <w:r w:rsidR="00906150">
          <w:rPr>
            <w:noProof/>
            <w:webHidden/>
          </w:rPr>
          <w:instrText xml:space="preserve"> PAGEREF _Toc390256262 \h </w:instrText>
        </w:r>
        <w:r w:rsidR="00906150">
          <w:rPr>
            <w:noProof/>
            <w:webHidden/>
          </w:rPr>
        </w:r>
        <w:r w:rsidR="00906150">
          <w:rPr>
            <w:noProof/>
            <w:webHidden/>
          </w:rPr>
          <w:fldChar w:fldCharType="separate"/>
        </w:r>
        <w:r w:rsidR="00716A58">
          <w:rPr>
            <w:noProof/>
            <w:webHidden/>
          </w:rPr>
          <w:t>- 61 -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63" w:history="1">
        <w:r w:rsidR="00906150" w:rsidRPr="000A17FC">
          <w:rPr>
            <w:rStyle w:val="Hyperlink"/>
            <w:noProof/>
          </w:rPr>
          <w:t>10.</w:t>
        </w:r>
        <w:r w:rsidR="00906150">
          <w:rPr>
            <w:rFonts w:asciiTheme="minorHAnsi" w:eastAsiaTheme="minorEastAsia" w:hAnsiTheme="minorHAnsi" w:cstheme="minorBidi"/>
            <w:noProof/>
            <w:sz w:val="22"/>
            <w:szCs w:val="22"/>
          </w:rPr>
          <w:tab/>
        </w:r>
        <w:r w:rsidR="00906150" w:rsidRPr="000A17FC">
          <w:rPr>
            <w:rStyle w:val="Hyperlink"/>
            <w:noProof/>
          </w:rPr>
          <w:t>Resource Availability Metric</w:t>
        </w:r>
        <w:r w:rsidR="00906150">
          <w:rPr>
            <w:noProof/>
            <w:webHidden/>
          </w:rPr>
          <w:tab/>
        </w:r>
        <w:r w:rsidR="00906150">
          <w:rPr>
            <w:noProof/>
            <w:webHidden/>
          </w:rPr>
          <w:fldChar w:fldCharType="begin"/>
        </w:r>
        <w:r w:rsidR="00906150">
          <w:rPr>
            <w:noProof/>
            <w:webHidden/>
          </w:rPr>
          <w:instrText xml:space="preserve"> PAGEREF _Toc390256263 \h </w:instrText>
        </w:r>
        <w:r w:rsidR="00906150">
          <w:rPr>
            <w:noProof/>
            <w:webHidden/>
          </w:rPr>
        </w:r>
        <w:r w:rsidR="00906150">
          <w:rPr>
            <w:noProof/>
            <w:webHidden/>
          </w:rPr>
          <w:fldChar w:fldCharType="separate"/>
        </w:r>
        <w:r w:rsidR="00716A58">
          <w:rPr>
            <w:noProof/>
            <w:webHidden/>
          </w:rPr>
          <w:t>- 63 -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64" w:history="1">
        <w:r w:rsidR="00906150" w:rsidRPr="000A17FC">
          <w:rPr>
            <w:rStyle w:val="Hyperlink"/>
            <w:noProof/>
          </w:rPr>
          <w:t>11.</w:t>
        </w:r>
        <w:r w:rsidR="00906150">
          <w:rPr>
            <w:rFonts w:asciiTheme="minorHAnsi" w:eastAsiaTheme="minorEastAsia" w:hAnsiTheme="minorHAnsi" w:cstheme="minorBidi"/>
            <w:noProof/>
            <w:sz w:val="22"/>
            <w:szCs w:val="22"/>
          </w:rPr>
          <w:tab/>
        </w:r>
        <w:r w:rsidR="00906150" w:rsidRPr="000A17FC">
          <w:rPr>
            <w:rStyle w:val="Hyperlink"/>
            <w:noProof/>
          </w:rPr>
          <w:t>Renewables Metrics</w:t>
        </w:r>
        <w:r w:rsidR="00906150">
          <w:rPr>
            <w:noProof/>
            <w:webHidden/>
          </w:rPr>
          <w:tab/>
        </w:r>
        <w:r w:rsidR="00906150">
          <w:rPr>
            <w:noProof/>
            <w:webHidden/>
          </w:rPr>
          <w:fldChar w:fldCharType="begin"/>
        </w:r>
        <w:r w:rsidR="00906150">
          <w:rPr>
            <w:noProof/>
            <w:webHidden/>
          </w:rPr>
          <w:instrText xml:space="preserve"> PAGEREF _Toc390256264 \h </w:instrText>
        </w:r>
        <w:r w:rsidR="00906150">
          <w:rPr>
            <w:noProof/>
            <w:webHidden/>
          </w:rPr>
        </w:r>
        <w:r w:rsidR="00906150">
          <w:rPr>
            <w:noProof/>
            <w:webHidden/>
          </w:rPr>
          <w:fldChar w:fldCharType="separate"/>
        </w:r>
        <w:r w:rsidR="00716A58">
          <w:rPr>
            <w:noProof/>
            <w:webHidden/>
          </w:rPr>
          <w:t>- 64 -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65" w:history="1">
        <w:r w:rsidR="00906150" w:rsidRPr="000A17FC">
          <w:rPr>
            <w:rStyle w:val="Hyperlink"/>
            <w:noProof/>
          </w:rPr>
          <w:t>12.</w:t>
        </w:r>
        <w:r w:rsidR="00906150">
          <w:rPr>
            <w:rFonts w:asciiTheme="minorHAnsi" w:eastAsiaTheme="minorEastAsia" w:hAnsiTheme="minorHAnsi" w:cstheme="minorBidi"/>
            <w:noProof/>
            <w:sz w:val="22"/>
            <w:szCs w:val="22"/>
          </w:rPr>
          <w:tab/>
        </w:r>
        <w:r w:rsidR="00906150" w:rsidRPr="000A17FC">
          <w:rPr>
            <w:rStyle w:val="Hyperlink"/>
            <w:noProof/>
          </w:rPr>
          <w:t>Administrative Costs Metrics</w:t>
        </w:r>
        <w:r w:rsidR="00906150">
          <w:rPr>
            <w:noProof/>
            <w:webHidden/>
          </w:rPr>
          <w:tab/>
        </w:r>
        <w:r w:rsidR="00906150">
          <w:rPr>
            <w:noProof/>
            <w:webHidden/>
          </w:rPr>
          <w:fldChar w:fldCharType="begin"/>
        </w:r>
        <w:r w:rsidR="00906150">
          <w:rPr>
            <w:noProof/>
            <w:webHidden/>
          </w:rPr>
          <w:instrText xml:space="preserve"> PAGEREF _Toc390256265 \h </w:instrText>
        </w:r>
        <w:r w:rsidR="00906150">
          <w:rPr>
            <w:noProof/>
            <w:webHidden/>
          </w:rPr>
        </w:r>
        <w:r w:rsidR="00906150">
          <w:rPr>
            <w:noProof/>
            <w:webHidden/>
          </w:rPr>
          <w:fldChar w:fldCharType="separate"/>
        </w:r>
        <w:r w:rsidR="00716A58">
          <w:rPr>
            <w:noProof/>
            <w:webHidden/>
          </w:rPr>
          <w:t>- 66 -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66" w:history="1">
        <w:r w:rsidR="00906150" w:rsidRPr="000A17FC">
          <w:rPr>
            <w:rStyle w:val="Hyperlink"/>
            <w:noProof/>
          </w:rPr>
          <w:t>13.</w:t>
        </w:r>
        <w:r w:rsidR="00906150">
          <w:rPr>
            <w:rFonts w:asciiTheme="minorHAnsi" w:eastAsiaTheme="minorEastAsia" w:hAnsiTheme="minorHAnsi" w:cstheme="minorBidi"/>
            <w:noProof/>
            <w:sz w:val="22"/>
            <w:szCs w:val="22"/>
          </w:rPr>
          <w:tab/>
        </w:r>
        <w:r w:rsidR="00906150" w:rsidRPr="000A17FC">
          <w:rPr>
            <w:rStyle w:val="Hyperlink"/>
            <w:noProof/>
          </w:rPr>
          <w:t>Customer Satisfaction Metric</w:t>
        </w:r>
        <w:r w:rsidR="00906150">
          <w:rPr>
            <w:noProof/>
            <w:webHidden/>
          </w:rPr>
          <w:tab/>
        </w:r>
        <w:r w:rsidR="00906150">
          <w:rPr>
            <w:noProof/>
            <w:webHidden/>
          </w:rPr>
          <w:fldChar w:fldCharType="begin"/>
        </w:r>
        <w:r w:rsidR="00906150">
          <w:rPr>
            <w:noProof/>
            <w:webHidden/>
          </w:rPr>
          <w:instrText xml:space="preserve"> PAGEREF _Toc390256266 \h </w:instrText>
        </w:r>
        <w:r w:rsidR="00906150">
          <w:rPr>
            <w:noProof/>
            <w:webHidden/>
          </w:rPr>
        </w:r>
        <w:r w:rsidR="00906150">
          <w:rPr>
            <w:noProof/>
            <w:webHidden/>
          </w:rPr>
          <w:fldChar w:fldCharType="separate"/>
        </w:r>
        <w:r w:rsidR="00716A58">
          <w:rPr>
            <w:noProof/>
            <w:webHidden/>
          </w:rPr>
          <w:t>- 69 -</w:t>
        </w:r>
        <w:r w:rsidR="00906150">
          <w:rPr>
            <w:noProof/>
            <w:webHidden/>
          </w:rPr>
          <w:fldChar w:fldCharType="end"/>
        </w:r>
      </w:hyperlink>
    </w:p>
    <w:p w:rsidR="00906150" w:rsidRDefault="00C53ADF">
      <w:pPr>
        <w:pStyle w:val="TOC3"/>
        <w:tabs>
          <w:tab w:val="left" w:pos="1300"/>
          <w:tab w:val="right" w:leader="dot" w:pos="9350"/>
        </w:tabs>
        <w:rPr>
          <w:rFonts w:asciiTheme="minorHAnsi" w:eastAsiaTheme="minorEastAsia" w:hAnsiTheme="minorHAnsi" w:cstheme="minorBidi"/>
          <w:noProof/>
          <w:sz w:val="22"/>
          <w:szCs w:val="22"/>
        </w:rPr>
      </w:pPr>
      <w:hyperlink w:anchor="_Toc390256267" w:history="1">
        <w:r w:rsidR="00906150" w:rsidRPr="000A17FC">
          <w:rPr>
            <w:rStyle w:val="Hyperlink"/>
            <w:noProof/>
          </w:rPr>
          <w:t>14.</w:t>
        </w:r>
        <w:r w:rsidR="00906150">
          <w:rPr>
            <w:rFonts w:asciiTheme="minorHAnsi" w:eastAsiaTheme="minorEastAsia" w:hAnsiTheme="minorHAnsi" w:cstheme="minorBidi"/>
            <w:noProof/>
            <w:sz w:val="22"/>
            <w:szCs w:val="22"/>
          </w:rPr>
          <w:tab/>
        </w:r>
        <w:r w:rsidR="00906150" w:rsidRPr="000A17FC">
          <w:rPr>
            <w:rStyle w:val="Hyperlink"/>
            <w:noProof/>
          </w:rPr>
          <w:t>Billing Controls Metric</w:t>
        </w:r>
        <w:r w:rsidR="00906150">
          <w:rPr>
            <w:noProof/>
            <w:webHidden/>
          </w:rPr>
          <w:tab/>
        </w:r>
        <w:r w:rsidR="00906150">
          <w:rPr>
            <w:noProof/>
            <w:webHidden/>
          </w:rPr>
          <w:fldChar w:fldCharType="begin"/>
        </w:r>
        <w:r w:rsidR="00906150">
          <w:rPr>
            <w:noProof/>
            <w:webHidden/>
          </w:rPr>
          <w:instrText xml:space="preserve"> PAGEREF _Toc390256267 \h </w:instrText>
        </w:r>
        <w:r w:rsidR="00906150">
          <w:rPr>
            <w:noProof/>
            <w:webHidden/>
          </w:rPr>
        </w:r>
        <w:r w:rsidR="00906150">
          <w:rPr>
            <w:noProof/>
            <w:webHidden/>
          </w:rPr>
          <w:fldChar w:fldCharType="separate"/>
        </w:r>
        <w:r w:rsidR="00716A58">
          <w:rPr>
            <w:noProof/>
            <w:webHidden/>
          </w:rPr>
          <w:t>- 70 -</w:t>
        </w:r>
        <w:r w:rsidR="00906150">
          <w:rPr>
            <w:noProof/>
            <w:webHidden/>
          </w:rPr>
          <w:fldChar w:fldCharType="end"/>
        </w:r>
      </w:hyperlink>
    </w:p>
    <w:p w:rsidR="00906150" w:rsidRDefault="00C53ADF">
      <w:pPr>
        <w:pStyle w:val="TOC2"/>
        <w:tabs>
          <w:tab w:val="left" w:pos="780"/>
          <w:tab w:val="right" w:leader="dot" w:pos="9350"/>
        </w:tabs>
        <w:rPr>
          <w:rFonts w:asciiTheme="minorHAnsi" w:eastAsiaTheme="minorEastAsia" w:hAnsiTheme="minorHAnsi" w:cstheme="minorBidi"/>
          <w:noProof/>
          <w:sz w:val="22"/>
          <w:szCs w:val="22"/>
        </w:rPr>
      </w:pPr>
      <w:hyperlink w:anchor="_Toc390256268" w:history="1">
        <w:r w:rsidR="00906150" w:rsidRPr="000A17FC">
          <w:rPr>
            <w:rStyle w:val="Hyperlink"/>
            <w:noProof/>
          </w:rPr>
          <w:t>B.</w:t>
        </w:r>
        <w:r w:rsidR="00906150">
          <w:rPr>
            <w:rFonts w:asciiTheme="minorHAnsi" w:eastAsiaTheme="minorEastAsia" w:hAnsiTheme="minorHAnsi" w:cstheme="minorBidi"/>
            <w:noProof/>
            <w:sz w:val="22"/>
            <w:szCs w:val="22"/>
          </w:rPr>
          <w:tab/>
        </w:r>
        <w:r w:rsidR="00906150" w:rsidRPr="000A17FC">
          <w:rPr>
            <w:rStyle w:val="Hyperlink"/>
            <w:noProof/>
          </w:rPr>
          <w:t>Other Metrics Specific To Regions Outside ISO and RTO Markets</w:t>
        </w:r>
        <w:r w:rsidR="00906150">
          <w:rPr>
            <w:noProof/>
            <w:webHidden/>
          </w:rPr>
          <w:tab/>
        </w:r>
        <w:r w:rsidR="00906150">
          <w:rPr>
            <w:noProof/>
            <w:webHidden/>
          </w:rPr>
          <w:fldChar w:fldCharType="begin"/>
        </w:r>
        <w:r w:rsidR="00906150">
          <w:rPr>
            <w:noProof/>
            <w:webHidden/>
          </w:rPr>
          <w:instrText xml:space="preserve"> PAGEREF _Toc390256268 \h </w:instrText>
        </w:r>
        <w:r w:rsidR="00906150">
          <w:rPr>
            <w:noProof/>
            <w:webHidden/>
          </w:rPr>
        </w:r>
        <w:r w:rsidR="00906150">
          <w:rPr>
            <w:noProof/>
            <w:webHidden/>
          </w:rPr>
          <w:fldChar w:fldCharType="separate"/>
        </w:r>
        <w:r w:rsidR="00716A58">
          <w:rPr>
            <w:noProof/>
            <w:webHidden/>
          </w:rPr>
          <w:t>- 71 -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69" w:history="1">
        <w:r w:rsidR="00906150" w:rsidRPr="000A17FC">
          <w:rPr>
            <w:rStyle w:val="Hyperlink"/>
            <w:noProof/>
          </w:rPr>
          <w:t>1.</w:t>
        </w:r>
        <w:r w:rsidR="00906150">
          <w:rPr>
            <w:rFonts w:asciiTheme="minorHAnsi" w:eastAsiaTheme="minorEastAsia" w:hAnsiTheme="minorHAnsi" w:cstheme="minorBidi"/>
            <w:noProof/>
            <w:sz w:val="22"/>
            <w:szCs w:val="22"/>
          </w:rPr>
          <w:tab/>
        </w:r>
        <w:r w:rsidR="00906150" w:rsidRPr="000A17FC">
          <w:rPr>
            <w:rStyle w:val="Hyperlink"/>
            <w:noProof/>
          </w:rPr>
          <w:t>Outages With Less Than Two Days’ Notice</w:t>
        </w:r>
        <w:r w:rsidR="00906150">
          <w:rPr>
            <w:noProof/>
            <w:webHidden/>
          </w:rPr>
          <w:tab/>
        </w:r>
        <w:r w:rsidR="00906150">
          <w:rPr>
            <w:noProof/>
            <w:webHidden/>
          </w:rPr>
          <w:fldChar w:fldCharType="begin"/>
        </w:r>
        <w:r w:rsidR="00906150">
          <w:rPr>
            <w:noProof/>
            <w:webHidden/>
          </w:rPr>
          <w:instrText xml:space="preserve"> PAGEREF _Toc390256269 \h </w:instrText>
        </w:r>
        <w:r w:rsidR="00906150">
          <w:rPr>
            <w:noProof/>
            <w:webHidden/>
          </w:rPr>
        </w:r>
        <w:r w:rsidR="00906150">
          <w:rPr>
            <w:noProof/>
            <w:webHidden/>
          </w:rPr>
          <w:fldChar w:fldCharType="separate"/>
        </w:r>
        <w:r w:rsidR="00716A58">
          <w:rPr>
            <w:noProof/>
            <w:webHidden/>
          </w:rPr>
          <w:t>- 71 -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0" w:history="1">
        <w:r w:rsidR="00906150" w:rsidRPr="000A17FC">
          <w:rPr>
            <w:rStyle w:val="Hyperlink"/>
            <w:noProof/>
          </w:rPr>
          <w:t>2.</w:t>
        </w:r>
        <w:r w:rsidR="00906150">
          <w:rPr>
            <w:rFonts w:asciiTheme="minorHAnsi" w:eastAsiaTheme="minorEastAsia" w:hAnsiTheme="minorHAnsi" w:cstheme="minorBidi"/>
            <w:noProof/>
            <w:sz w:val="22"/>
            <w:szCs w:val="22"/>
          </w:rPr>
          <w:tab/>
        </w:r>
        <w:r w:rsidR="00906150" w:rsidRPr="000A17FC">
          <w:rPr>
            <w:rStyle w:val="Hyperlink"/>
            <w:noProof/>
          </w:rPr>
          <w:t>Dollar Amount of Facilities Approved To Be Constructed For Reliability Purposes and Stakeholder Process For Transmission Planning</w:t>
        </w:r>
        <w:r w:rsidR="00906150">
          <w:rPr>
            <w:noProof/>
            <w:webHidden/>
          </w:rPr>
          <w:tab/>
        </w:r>
        <w:r w:rsidR="00906150">
          <w:rPr>
            <w:noProof/>
            <w:webHidden/>
          </w:rPr>
          <w:fldChar w:fldCharType="begin"/>
        </w:r>
        <w:r w:rsidR="00906150">
          <w:rPr>
            <w:noProof/>
            <w:webHidden/>
          </w:rPr>
          <w:instrText xml:space="preserve"> PAGEREF _Toc390256270 \h </w:instrText>
        </w:r>
        <w:r w:rsidR="00906150">
          <w:rPr>
            <w:noProof/>
            <w:webHidden/>
          </w:rPr>
        </w:r>
        <w:r w:rsidR="00906150">
          <w:rPr>
            <w:noProof/>
            <w:webHidden/>
          </w:rPr>
          <w:fldChar w:fldCharType="separate"/>
        </w:r>
        <w:r w:rsidR="00716A58">
          <w:rPr>
            <w:noProof/>
            <w:webHidden/>
          </w:rPr>
          <w:t>- 72 -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1" w:history="1">
        <w:r w:rsidR="00906150" w:rsidRPr="000A17FC">
          <w:rPr>
            <w:rStyle w:val="Hyperlink"/>
            <w:noProof/>
          </w:rPr>
          <w:t>3.</w:t>
        </w:r>
        <w:r w:rsidR="00906150">
          <w:rPr>
            <w:rFonts w:asciiTheme="minorHAnsi" w:eastAsiaTheme="minorEastAsia" w:hAnsiTheme="minorHAnsi" w:cstheme="minorBidi"/>
            <w:noProof/>
            <w:sz w:val="22"/>
            <w:szCs w:val="22"/>
          </w:rPr>
          <w:tab/>
        </w:r>
        <w:r w:rsidR="00906150" w:rsidRPr="000A17FC">
          <w:rPr>
            <w:rStyle w:val="Hyperlink"/>
            <w:noProof/>
          </w:rPr>
          <w:t>Transmission Access/Transmission Service Requests Denials</w:t>
        </w:r>
        <w:r w:rsidR="00906150">
          <w:rPr>
            <w:noProof/>
            <w:webHidden/>
          </w:rPr>
          <w:tab/>
        </w:r>
        <w:r w:rsidR="00906150">
          <w:rPr>
            <w:noProof/>
            <w:webHidden/>
          </w:rPr>
          <w:fldChar w:fldCharType="begin"/>
        </w:r>
        <w:r w:rsidR="00906150">
          <w:rPr>
            <w:noProof/>
            <w:webHidden/>
          </w:rPr>
          <w:instrText xml:space="preserve"> PAGEREF _Toc390256271 \h </w:instrText>
        </w:r>
        <w:r w:rsidR="00906150">
          <w:rPr>
            <w:noProof/>
            <w:webHidden/>
          </w:rPr>
        </w:r>
        <w:r w:rsidR="00906150">
          <w:rPr>
            <w:noProof/>
            <w:webHidden/>
          </w:rPr>
          <w:fldChar w:fldCharType="separate"/>
        </w:r>
        <w:r w:rsidR="00716A58">
          <w:rPr>
            <w:noProof/>
            <w:webHidden/>
          </w:rPr>
          <w:t>- 74 -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2" w:history="1">
        <w:r w:rsidR="00906150" w:rsidRPr="000A17FC">
          <w:rPr>
            <w:rStyle w:val="Hyperlink"/>
            <w:noProof/>
          </w:rPr>
          <w:t>4.</w:t>
        </w:r>
        <w:r w:rsidR="00906150">
          <w:rPr>
            <w:rFonts w:asciiTheme="minorHAnsi" w:eastAsiaTheme="minorEastAsia" w:hAnsiTheme="minorHAnsi" w:cstheme="minorBidi"/>
            <w:noProof/>
            <w:sz w:val="22"/>
            <w:szCs w:val="22"/>
          </w:rPr>
          <w:tab/>
        </w:r>
        <w:r w:rsidR="00906150" w:rsidRPr="000A17FC">
          <w:rPr>
            <w:rStyle w:val="Hyperlink"/>
            <w:noProof/>
          </w:rPr>
          <w:t>Demand Response and Renewables Integration Discussions</w:t>
        </w:r>
        <w:r w:rsidR="00906150">
          <w:rPr>
            <w:noProof/>
            <w:webHidden/>
          </w:rPr>
          <w:tab/>
        </w:r>
        <w:r w:rsidR="00906150">
          <w:rPr>
            <w:noProof/>
            <w:webHidden/>
          </w:rPr>
          <w:fldChar w:fldCharType="begin"/>
        </w:r>
        <w:r w:rsidR="00906150">
          <w:rPr>
            <w:noProof/>
            <w:webHidden/>
          </w:rPr>
          <w:instrText xml:space="preserve"> PAGEREF _Toc390256272 \h </w:instrText>
        </w:r>
        <w:r w:rsidR="00906150">
          <w:rPr>
            <w:noProof/>
            <w:webHidden/>
          </w:rPr>
        </w:r>
        <w:r w:rsidR="00906150">
          <w:rPr>
            <w:noProof/>
            <w:webHidden/>
          </w:rPr>
          <w:fldChar w:fldCharType="separate"/>
        </w:r>
        <w:r w:rsidR="00716A58">
          <w:rPr>
            <w:noProof/>
            <w:webHidden/>
          </w:rPr>
          <w:t>- 75 -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3" w:history="1">
        <w:r w:rsidR="00906150" w:rsidRPr="000A17FC">
          <w:rPr>
            <w:rStyle w:val="Hyperlink"/>
            <w:noProof/>
          </w:rPr>
          <w:t>5.</w:t>
        </w:r>
        <w:r w:rsidR="00906150">
          <w:rPr>
            <w:rFonts w:asciiTheme="minorHAnsi" w:eastAsiaTheme="minorEastAsia" w:hAnsiTheme="minorHAnsi" w:cstheme="minorBidi"/>
            <w:noProof/>
            <w:sz w:val="22"/>
            <w:szCs w:val="22"/>
          </w:rPr>
          <w:tab/>
        </w:r>
        <w:r w:rsidR="00906150" w:rsidRPr="000A17FC">
          <w:rPr>
            <w:rStyle w:val="Hyperlink"/>
            <w:noProof/>
          </w:rPr>
          <w:t>Congestion Management</w:t>
        </w:r>
        <w:r w:rsidR="00906150">
          <w:rPr>
            <w:noProof/>
            <w:webHidden/>
          </w:rPr>
          <w:tab/>
        </w:r>
        <w:r w:rsidR="00906150">
          <w:rPr>
            <w:noProof/>
            <w:webHidden/>
          </w:rPr>
          <w:fldChar w:fldCharType="begin"/>
        </w:r>
        <w:r w:rsidR="00906150">
          <w:rPr>
            <w:noProof/>
            <w:webHidden/>
          </w:rPr>
          <w:instrText xml:space="preserve"> PAGEREF _Toc390256273 \h </w:instrText>
        </w:r>
        <w:r w:rsidR="00906150">
          <w:rPr>
            <w:noProof/>
            <w:webHidden/>
          </w:rPr>
        </w:r>
        <w:r w:rsidR="00906150">
          <w:rPr>
            <w:noProof/>
            <w:webHidden/>
          </w:rPr>
          <w:fldChar w:fldCharType="separate"/>
        </w:r>
        <w:r w:rsidR="00716A58">
          <w:rPr>
            <w:noProof/>
            <w:webHidden/>
          </w:rPr>
          <w:t>- 76 -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4" w:history="1">
        <w:r w:rsidR="00906150" w:rsidRPr="000A17FC">
          <w:rPr>
            <w:rStyle w:val="Hyperlink"/>
            <w:noProof/>
          </w:rPr>
          <w:t>6.</w:t>
        </w:r>
        <w:r w:rsidR="00906150">
          <w:rPr>
            <w:rFonts w:asciiTheme="minorHAnsi" w:eastAsiaTheme="minorEastAsia" w:hAnsiTheme="minorHAnsi" w:cstheme="minorBidi"/>
            <w:noProof/>
            <w:sz w:val="22"/>
            <w:szCs w:val="22"/>
          </w:rPr>
          <w:tab/>
        </w:r>
        <w:r w:rsidR="00906150" w:rsidRPr="000A17FC">
          <w:rPr>
            <w:rStyle w:val="Hyperlink"/>
            <w:noProof/>
          </w:rPr>
          <w:t>Transmission System Availability</w:t>
        </w:r>
        <w:r w:rsidR="00906150">
          <w:rPr>
            <w:noProof/>
            <w:webHidden/>
          </w:rPr>
          <w:tab/>
        </w:r>
        <w:r w:rsidR="00906150">
          <w:rPr>
            <w:noProof/>
            <w:webHidden/>
          </w:rPr>
          <w:fldChar w:fldCharType="begin"/>
        </w:r>
        <w:r w:rsidR="00906150">
          <w:rPr>
            <w:noProof/>
            <w:webHidden/>
          </w:rPr>
          <w:instrText xml:space="preserve"> PAGEREF _Toc390256274 \h </w:instrText>
        </w:r>
        <w:r w:rsidR="00906150">
          <w:rPr>
            <w:noProof/>
            <w:webHidden/>
          </w:rPr>
        </w:r>
        <w:r w:rsidR="00906150">
          <w:rPr>
            <w:noProof/>
            <w:webHidden/>
          </w:rPr>
          <w:fldChar w:fldCharType="separate"/>
        </w:r>
        <w:r w:rsidR="00716A58">
          <w:rPr>
            <w:noProof/>
            <w:webHidden/>
          </w:rPr>
          <w:t>- 77 -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5" w:history="1">
        <w:r w:rsidR="00906150" w:rsidRPr="000A17FC">
          <w:rPr>
            <w:rStyle w:val="Hyperlink"/>
            <w:noProof/>
          </w:rPr>
          <w:t>7.</w:t>
        </w:r>
        <w:r w:rsidR="00906150">
          <w:rPr>
            <w:rFonts w:asciiTheme="minorHAnsi" w:eastAsiaTheme="minorEastAsia" w:hAnsiTheme="minorHAnsi" w:cstheme="minorBidi"/>
            <w:noProof/>
            <w:sz w:val="22"/>
            <w:szCs w:val="22"/>
          </w:rPr>
          <w:tab/>
        </w:r>
        <w:r w:rsidR="00906150" w:rsidRPr="000A17FC">
          <w:rPr>
            <w:rStyle w:val="Hyperlink"/>
            <w:noProof/>
          </w:rPr>
          <w:t>Clean Energy</w:t>
        </w:r>
        <w:r w:rsidR="00906150">
          <w:rPr>
            <w:noProof/>
            <w:webHidden/>
          </w:rPr>
          <w:tab/>
        </w:r>
        <w:r w:rsidR="00906150">
          <w:rPr>
            <w:noProof/>
            <w:webHidden/>
          </w:rPr>
          <w:fldChar w:fldCharType="begin"/>
        </w:r>
        <w:r w:rsidR="00906150">
          <w:rPr>
            <w:noProof/>
            <w:webHidden/>
          </w:rPr>
          <w:instrText xml:space="preserve"> PAGEREF _Toc390256275 \h </w:instrText>
        </w:r>
        <w:r w:rsidR="00906150">
          <w:rPr>
            <w:noProof/>
            <w:webHidden/>
          </w:rPr>
        </w:r>
        <w:r w:rsidR="00906150">
          <w:rPr>
            <w:noProof/>
            <w:webHidden/>
          </w:rPr>
          <w:fldChar w:fldCharType="separate"/>
        </w:r>
        <w:r w:rsidR="00716A58">
          <w:rPr>
            <w:noProof/>
            <w:webHidden/>
          </w:rPr>
          <w:t>- 77 -</w:t>
        </w:r>
        <w:r w:rsidR="00906150">
          <w:rPr>
            <w:noProof/>
            <w:webHidden/>
          </w:rPr>
          <w:fldChar w:fldCharType="end"/>
        </w:r>
      </w:hyperlink>
    </w:p>
    <w:p w:rsidR="00906150" w:rsidRDefault="00C53ADF">
      <w:pPr>
        <w:pStyle w:val="TOC3"/>
        <w:tabs>
          <w:tab w:val="left" w:pos="1040"/>
          <w:tab w:val="right" w:leader="dot" w:pos="9350"/>
        </w:tabs>
        <w:rPr>
          <w:rFonts w:asciiTheme="minorHAnsi" w:eastAsiaTheme="minorEastAsia" w:hAnsiTheme="minorHAnsi" w:cstheme="minorBidi"/>
          <w:noProof/>
          <w:sz w:val="22"/>
          <w:szCs w:val="22"/>
        </w:rPr>
      </w:pPr>
      <w:hyperlink w:anchor="_Toc390256276" w:history="1">
        <w:r w:rsidR="00906150" w:rsidRPr="000A17FC">
          <w:rPr>
            <w:rStyle w:val="Hyperlink"/>
            <w:noProof/>
          </w:rPr>
          <w:t>8.</w:t>
        </w:r>
        <w:r w:rsidR="00906150">
          <w:rPr>
            <w:rFonts w:asciiTheme="minorHAnsi" w:eastAsiaTheme="minorEastAsia" w:hAnsiTheme="minorHAnsi" w:cstheme="minorBidi"/>
            <w:noProof/>
            <w:sz w:val="22"/>
            <w:szCs w:val="22"/>
          </w:rPr>
          <w:tab/>
        </w:r>
        <w:r w:rsidR="00906150" w:rsidRPr="000A17FC">
          <w:rPr>
            <w:rStyle w:val="Hyperlink"/>
            <w:noProof/>
          </w:rPr>
          <w:t>Price Metric</w:t>
        </w:r>
        <w:r w:rsidR="00906150">
          <w:rPr>
            <w:noProof/>
            <w:webHidden/>
          </w:rPr>
          <w:tab/>
        </w:r>
        <w:r w:rsidR="00906150">
          <w:rPr>
            <w:noProof/>
            <w:webHidden/>
          </w:rPr>
          <w:fldChar w:fldCharType="begin"/>
        </w:r>
        <w:r w:rsidR="00906150">
          <w:rPr>
            <w:noProof/>
            <w:webHidden/>
          </w:rPr>
          <w:instrText xml:space="preserve"> PAGEREF _Toc390256276 \h </w:instrText>
        </w:r>
        <w:r w:rsidR="00906150">
          <w:rPr>
            <w:noProof/>
            <w:webHidden/>
          </w:rPr>
        </w:r>
        <w:r w:rsidR="00906150">
          <w:rPr>
            <w:noProof/>
            <w:webHidden/>
          </w:rPr>
          <w:fldChar w:fldCharType="separate"/>
        </w:r>
        <w:r w:rsidR="00716A58">
          <w:rPr>
            <w:noProof/>
            <w:webHidden/>
          </w:rPr>
          <w:t>- 80 -</w:t>
        </w:r>
        <w:r w:rsidR="00906150">
          <w:rPr>
            <w:noProof/>
            <w:webHidden/>
          </w:rPr>
          <w:fldChar w:fldCharType="end"/>
        </w:r>
      </w:hyperlink>
    </w:p>
    <w:p w:rsidR="00A60C09" w:rsidRPr="009E1D29" w:rsidRDefault="00B73C4D" w:rsidP="00B73C4D">
      <w:pPr>
        <w:tabs>
          <w:tab w:val="right" w:pos="9648"/>
        </w:tabs>
      </w:pPr>
      <w:r>
        <w:rPr>
          <w:b/>
        </w:rPr>
        <w:fldChar w:fldCharType="end"/>
      </w:r>
    </w:p>
    <w:p w:rsidR="00A60C09" w:rsidRDefault="00A60C09" w:rsidP="00953D39">
      <w:r>
        <w:t xml:space="preserve">Appendix </w:t>
      </w:r>
      <w:r w:rsidR="005359FB">
        <w:t>A</w:t>
      </w:r>
      <w:r>
        <w:t>: Common Metrics</w:t>
      </w:r>
    </w:p>
    <w:p w:rsidR="00A60C09" w:rsidRPr="00F37633" w:rsidRDefault="00A60C09" w:rsidP="00953D39">
      <w:r>
        <w:t xml:space="preserve">Appendix </w:t>
      </w:r>
      <w:r w:rsidR="005359FB">
        <w:t>B</w:t>
      </w:r>
      <w:r>
        <w:t>: List of Participants</w:t>
      </w:r>
    </w:p>
    <w:p w:rsidR="00A60C09" w:rsidRDefault="00A60C09" w:rsidP="00953D39">
      <w:pPr>
        <w:jc w:val="center"/>
        <w:rPr>
          <w:b/>
        </w:rPr>
      </w:pPr>
      <w:r>
        <w:rPr>
          <w:b/>
        </w:rPr>
        <w:br w:type="page"/>
      </w:r>
      <w:r>
        <w:rPr>
          <w:b/>
        </w:rPr>
        <w:lastRenderedPageBreak/>
        <w:t>Federal Energy Regulatory Commission Staff Report</w:t>
      </w:r>
    </w:p>
    <w:p w:rsidR="00A60C09" w:rsidRPr="00B11D4C" w:rsidRDefault="00A60C09" w:rsidP="00953D39">
      <w:pPr>
        <w:jc w:val="center"/>
        <w:rPr>
          <w:b/>
          <w:u w:val="single"/>
        </w:rPr>
      </w:pPr>
      <w:r w:rsidRPr="00B11D4C">
        <w:rPr>
          <w:b/>
          <w:u w:val="single"/>
        </w:rPr>
        <w:t>Common Metrics</w:t>
      </w:r>
    </w:p>
    <w:p w:rsidR="00A60C09" w:rsidRDefault="00A60C09" w:rsidP="00953D39">
      <w:pPr>
        <w:jc w:val="center"/>
        <w:rPr>
          <w:b/>
        </w:rPr>
      </w:pPr>
    </w:p>
    <w:p w:rsidR="00D96B0A" w:rsidRPr="00F11512" w:rsidRDefault="00D96B0A" w:rsidP="00F11512">
      <w:pPr>
        <w:pStyle w:val="Heading1"/>
      </w:pPr>
      <w:bookmarkStart w:id="1" w:name="_Toc390256207"/>
      <w:r>
        <w:t>Metrics Initiative Overview</w:t>
      </w:r>
      <w:bookmarkEnd w:id="1"/>
    </w:p>
    <w:p w:rsidR="00E620F2" w:rsidRDefault="00A60C09" w:rsidP="002117D1">
      <w:pPr>
        <w:spacing w:after="240"/>
      </w:pPr>
      <w:r>
        <w:tab/>
      </w:r>
      <w:r w:rsidR="004D4ABC">
        <w:t>T</w:t>
      </w:r>
      <w:r w:rsidR="007C2942">
        <w:t xml:space="preserve">he primary purpose of </w:t>
      </w:r>
      <w:r w:rsidR="007E7008">
        <w:t>the Common Metrics Report</w:t>
      </w:r>
      <w:r w:rsidR="007C2942">
        <w:t xml:space="preserve"> </w:t>
      </w:r>
      <w:r w:rsidR="008F29F6">
        <w:t xml:space="preserve">is </w:t>
      </w:r>
      <w:r w:rsidR="007C2942">
        <w:t xml:space="preserve">to </w:t>
      </w:r>
      <w:r w:rsidR="00902E4F">
        <w:t xml:space="preserve">provide a platform </w:t>
      </w:r>
      <w:r w:rsidR="007E7008">
        <w:t>for</w:t>
      </w:r>
      <w:r w:rsidR="00D601E1">
        <w:t xml:space="preserve"> </w:t>
      </w:r>
      <w:r w:rsidR="00757D0F">
        <w:t>review</w:t>
      </w:r>
      <w:r w:rsidR="00902E4F">
        <w:t xml:space="preserve"> </w:t>
      </w:r>
      <w:r w:rsidR="007E7008">
        <w:t xml:space="preserve">of Independent System Operator (ISO), Regional Transmission Organization (RTO) and utility </w:t>
      </w:r>
      <w:r w:rsidR="00902E4F">
        <w:t xml:space="preserve">performance.  </w:t>
      </w:r>
      <w:r w:rsidR="004D4ABC">
        <w:t>Th</w:t>
      </w:r>
      <w:r w:rsidR="008F29F6">
        <w:t xml:space="preserve">e Common Metrics Report </w:t>
      </w:r>
      <w:r w:rsidR="00C813BC">
        <w:t xml:space="preserve">provides </w:t>
      </w:r>
      <w:r w:rsidR="00D601E1">
        <w:t>two</w:t>
      </w:r>
      <w:r w:rsidR="00C813BC">
        <w:t xml:space="preserve"> components </w:t>
      </w:r>
      <w:r w:rsidR="00D601E1">
        <w:t xml:space="preserve">for </w:t>
      </w:r>
      <w:r w:rsidR="00926FFC">
        <w:t xml:space="preserve">a </w:t>
      </w:r>
      <w:r w:rsidR="00757D0F">
        <w:t>performance review</w:t>
      </w:r>
      <w:r w:rsidR="007E7008">
        <w:t>, as follows</w:t>
      </w:r>
      <w:r w:rsidR="004D4ABC">
        <w:t xml:space="preserve">:  (1) an </w:t>
      </w:r>
      <w:r w:rsidR="00EC1D97">
        <w:t xml:space="preserve">analysis of the metrics data to confirm that the data provided </w:t>
      </w:r>
      <w:r w:rsidR="008F29F6">
        <w:t>by ISOs, RTOs and utilities in regions outside ISO and RTO markets are</w:t>
      </w:r>
      <w:r w:rsidR="00EC1D97">
        <w:t xml:space="preserve"> consistent with the definition</w:t>
      </w:r>
      <w:r w:rsidR="007E7008">
        <w:t>s</w:t>
      </w:r>
      <w:r w:rsidR="00EC1D97">
        <w:t xml:space="preserve"> of the common metric</w:t>
      </w:r>
      <w:r w:rsidR="007E7008">
        <w:t>s</w:t>
      </w:r>
      <w:r w:rsidR="004D4ABC">
        <w:t>; and (2) a</w:t>
      </w:r>
      <w:r w:rsidR="00926FFC">
        <w:t>n evaluation and</w:t>
      </w:r>
      <w:r w:rsidR="004D4ABC">
        <w:t xml:space="preserve"> confirmation that the common </w:t>
      </w:r>
      <w:r w:rsidR="007C2942">
        <w:t>metrics are measuring the same activities and have the same meaning across the industry.</w:t>
      </w:r>
    </w:p>
    <w:p w:rsidR="00926FFC" w:rsidRDefault="00E620F2" w:rsidP="002117D1">
      <w:pPr>
        <w:spacing w:after="240"/>
      </w:pPr>
      <w:r>
        <w:tab/>
      </w:r>
      <w:r w:rsidR="00926FFC">
        <w:t xml:space="preserve">This report represents the culmination of </w:t>
      </w:r>
      <w:r w:rsidR="00E75421">
        <w:t>five</w:t>
      </w:r>
      <w:r w:rsidR="00926FFC">
        <w:t xml:space="preserve"> years of effort by ISOs, RTOs and utilities in regions outside ISO and RTO markets </w:t>
      </w:r>
      <w:r w:rsidR="008F29F6">
        <w:t xml:space="preserve">to develop performance metrics </w:t>
      </w:r>
      <w:r w:rsidR="00926FFC">
        <w:t xml:space="preserve">in </w:t>
      </w:r>
      <w:r w:rsidR="00E75421">
        <w:t xml:space="preserve">a Commission Staff-led </w:t>
      </w:r>
      <w:r w:rsidR="00484BB2">
        <w:t>Metrics I</w:t>
      </w:r>
      <w:r w:rsidR="00E75421">
        <w:t>nitiative</w:t>
      </w:r>
      <w:r w:rsidR="008F29F6">
        <w:t>.</w:t>
      </w:r>
      <w:r w:rsidR="00926FFC">
        <w:t xml:space="preserve">  These entities are to be commended for their contributions to the Metrics Initiative.  Their contributions, </w:t>
      </w:r>
      <w:r w:rsidR="00484BB2">
        <w:t xml:space="preserve">ranging </w:t>
      </w:r>
      <w:r w:rsidR="00926FFC">
        <w:t xml:space="preserve">from submitting comprehensive performance assessments, to providing technical expertise in developing the common metrics and discussing issues of concern to stakeholders in informal </w:t>
      </w:r>
      <w:r w:rsidR="008F29F6">
        <w:t>discussions</w:t>
      </w:r>
      <w:r w:rsidR="00926FFC">
        <w:t xml:space="preserve">, have played a significant role in </w:t>
      </w:r>
      <w:r w:rsidR="00EF26B6">
        <w:t>the evolution of these measures into</w:t>
      </w:r>
      <w:r w:rsidR="00926FFC">
        <w:t xml:space="preserve"> best practices in the industry, to the benefit of consumers and other stakeholders</w:t>
      </w:r>
      <w:r w:rsidR="001C141C">
        <w:t>.</w:t>
      </w:r>
    </w:p>
    <w:p w:rsidR="007D64F4" w:rsidRDefault="00773121" w:rsidP="00496261">
      <w:pPr>
        <w:spacing w:after="240"/>
        <w:ind w:firstLine="720"/>
      </w:pPr>
      <w:r>
        <w:t>T</w:t>
      </w:r>
      <w:r w:rsidR="00E620F2">
        <w:t xml:space="preserve">he analysis framework </w:t>
      </w:r>
      <w:r>
        <w:t xml:space="preserve">discussed in this report </w:t>
      </w:r>
      <w:r w:rsidR="00E620F2">
        <w:t>consists of 3</w:t>
      </w:r>
      <w:r>
        <w:t>1</w:t>
      </w:r>
      <w:r w:rsidR="00E620F2">
        <w:t xml:space="preserve"> common metrics that measure performance </w:t>
      </w:r>
      <w:r w:rsidR="003049DD">
        <w:t>for the six ISOs and RTOs and five utilities in regions outside ISO and RTO markets</w:t>
      </w:r>
      <w:r w:rsidR="00E620F2">
        <w:t xml:space="preserve"> for the 2006-2010 period.  While this information</w:t>
      </w:r>
      <w:r>
        <w:t xml:space="preserve"> is appropriate as a starting point for </w:t>
      </w:r>
      <w:r w:rsidR="00757D0F">
        <w:t>reviewing</w:t>
      </w:r>
      <w:r w:rsidR="00E620F2">
        <w:t xml:space="preserve"> pe</w:t>
      </w:r>
      <w:r w:rsidR="00EA5E4F">
        <w:t>rformance, further</w:t>
      </w:r>
      <w:r w:rsidR="00331EAA">
        <w:t xml:space="preserve"> </w:t>
      </w:r>
      <w:r w:rsidR="00EA5E4F">
        <w:t xml:space="preserve">analysis </w:t>
      </w:r>
      <w:r w:rsidR="00E620F2">
        <w:t>is needed</w:t>
      </w:r>
      <w:r w:rsidR="00757D0F">
        <w:t>.</w:t>
      </w:r>
      <w:r w:rsidR="00EA5E4F">
        <w:t xml:space="preserve">  </w:t>
      </w:r>
      <w:r w:rsidR="00C25E20">
        <w:t xml:space="preserve">For example, </w:t>
      </w:r>
      <w:r w:rsidR="00B529A6">
        <w:t>additional</w:t>
      </w:r>
      <w:r w:rsidR="00EA5E4F">
        <w:t xml:space="preserve"> data </w:t>
      </w:r>
      <w:r w:rsidR="00C25E20">
        <w:t>will</w:t>
      </w:r>
      <w:r w:rsidR="00EA5E4F">
        <w:t xml:space="preserve"> need to be collected to ensure that the performance </w:t>
      </w:r>
      <w:r w:rsidR="00757D0F">
        <w:t>review</w:t>
      </w:r>
      <w:r w:rsidR="00CB7DF8">
        <w:t xml:space="preserve"> reflect</w:t>
      </w:r>
      <w:r w:rsidR="00757D0F">
        <w:t>s</w:t>
      </w:r>
      <w:r w:rsidR="00CB7DF8">
        <w:t xml:space="preserve"> the most recent information available</w:t>
      </w:r>
      <w:r w:rsidR="009A50FA">
        <w:t xml:space="preserve"> and </w:t>
      </w:r>
      <w:r w:rsidR="00B529A6">
        <w:t>to provide</w:t>
      </w:r>
      <w:r w:rsidR="001113AF">
        <w:t xml:space="preserve"> additional data points to ensure that performance </w:t>
      </w:r>
      <w:r w:rsidR="00757D0F">
        <w:t>is not biased</w:t>
      </w:r>
      <w:r w:rsidR="009A50FA">
        <w:t xml:space="preserve"> by one-time events</w:t>
      </w:r>
      <w:r w:rsidR="00CB7DF8">
        <w:t xml:space="preserve">.  </w:t>
      </w:r>
      <w:r w:rsidR="003049DD">
        <w:t xml:space="preserve">Ideally, additional utilities in regions outside ISO and RTO markets would provide data, thereby providing a more comprehensive basis for performance </w:t>
      </w:r>
      <w:r w:rsidR="00757D0F">
        <w:t>reviews</w:t>
      </w:r>
      <w:r w:rsidR="003049DD">
        <w:t>.</w:t>
      </w:r>
    </w:p>
    <w:p w:rsidR="008D28CF" w:rsidRDefault="007D64F4" w:rsidP="002117D1">
      <w:pPr>
        <w:spacing w:after="240"/>
      </w:pPr>
      <w:r>
        <w:tab/>
      </w:r>
      <w:r w:rsidR="00D601E1">
        <w:t>In order to undertake further data collection</w:t>
      </w:r>
      <w:r w:rsidR="008D28CF">
        <w:t>,</w:t>
      </w:r>
      <w:r w:rsidR="00D601E1">
        <w:t xml:space="preserve"> approval from the Office of Management and Budget (OMB) is required.  Therefore, the next steps will be as follows:</w:t>
      </w:r>
    </w:p>
    <w:p w:rsidR="008D28CF" w:rsidRDefault="00926FFC" w:rsidP="00496261">
      <w:pPr>
        <w:pStyle w:val="ListParagraph"/>
        <w:numPr>
          <w:ilvl w:val="0"/>
          <w:numId w:val="46"/>
        </w:numPr>
        <w:spacing w:after="240"/>
      </w:pPr>
      <w:r>
        <w:t>The Commission will r</w:t>
      </w:r>
      <w:r w:rsidR="00331EAA">
        <w:t xml:space="preserve">equest approval for further data collection </w:t>
      </w:r>
      <w:r w:rsidR="008F29F6">
        <w:t xml:space="preserve">on performance metrics </w:t>
      </w:r>
      <w:r w:rsidR="00D601E1">
        <w:t>for the 2008-2012</w:t>
      </w:r>
      <w:r w:rsidR="005603A4">
        <w:t xml:space="preserve"> </w:t>
      </w:r>
      <w:r w:rsidR="00AF7CEA">
        <w:t xml:space="preserve">and 2010-2014 </w:t>
      </w:r>
      <w:r w:rsidR="00D601E1">
        <w:t>period</w:t>
      </w:r>
      <w:r w:rsidR="00AF7CEA">
        <w:t>s</w:t>
      </w:r>
      <w:r w:rsidR="00D601E1">
        <w:t xml:space="preserve"> </w:t>
      </w:r>
      <w:r w:rsidR="00FB4D91">
        <w:t xml:space="preserve">from </w:t>
      </w:r>
      <w:r w:rsidR="00331EAA">
        <w:t>OMB.</w:t>
      </w:r>
    </w:p>
    <w:p w:rsidR="000F5BC4" w:rsidRDefault="00331EAA" w:rsidP="00496261">
      <w:pPr>
        <w:pStyle w:val="ListParagraph"/>
        <w:numPr>
          <w:ilvl w:val="0"/>
          <w:numId w:val="46"/>
        </w:numPr>
        <w:spacing w:after="240"/>
      </w:pPr>
      <w:r>
        <w:t xml:space="preserve">Upon approval by OMB for additional data collection, </w:t>
      </w:r>
      <w:r w:rsidR="00926FFC">
        <w:t xml:space="preserve">the Commission will </w:t>
      </w:r>
      <w:r w:rsidR="00D601E1">
        <w:t xml:space="preserve">issue a notice </w:t>
      </w:r>
      <w:r>
        <w:t>request</w:t>
      </w:r>
      <w:r w:rsidR="00D601E1">
        <w:t>ing</w:t>
      </w:r>
      <w:r>
        <w:t xml:space="preserve"> </w:t>
      </w:r>
      <w:r w:rsidR="00D601E1">
        <w:t xml:space="preserve">that </w:t>
      </w:r>
      <w:r>
        <w:t>the ISOs, RTOs and participating utilities provide information on a schedule to be specified in</w:t>
      </w:r>
      <w:r w:rsidR="00D601E1">
        <w:t xml:space="preserve"> the </w:t>
      </w:r>
      <w:r>
        <w:t>notice</w:t>
      </w:r>
      <w:r w:rsidR="00D601E1">
        <w:t>.</w:t>
      </w:r>
      <w:r>
        <w:t xml:space="preserve"> </w:t>
      </w:r>
    </w:p>
    <w:p w:rsidR="00D96B0A" w:rsidRDefault="00926FFC" w:rsidP="00496261">
      <w:pPr>
        <w:spacing w:after="240"/>
        <w:ind w:firstLine="720"/>
      </w:pPr>
      <w:r>
        <w:t xml:space="preserve">As discussed more fully in the Common Metrics </w:t>
      </w:r>
      <w:r w:rsidR="00F11512">
        <w:t>Report Summary</w:t>
      </w:r>
      <w:r>
        <w:t xml:space="preserve">, data collection </w:t>
      </w:r>
      <w:r>
        <w:lastRenderedPageBreak/>
        <w:t>will be requested on 30 of the 31 metrics discussed in this report.  The transmission loading relief (TLR) and unscheduled flow metric will not be included in the data collection request.</w:t>
      </w:r>
      <w:r w:rsidR="00712357">
        <w:t xml:space="preserve">  </w:t>
      </w:r>
      <w:r w:rsidR="004C48A5">
        <w:t>After the ISOs, RTO</w:t>
      </w:r>
      <w:r w:rsidR="00F24E6D">
        <w:t>s</w:t>
      </w:r>
      <w:r w:rsidR="004C48A5">
        <w:t xml:space="preserve"> and utilities provide their</w:t>
      </w:r>
      <w:r w:rsidR="00712357">
        <w:t xml:space="preserve"> performance assessments for the 2008-2012 </w:t>
      </w:r>
      <w:r w:rsidR="00C70B27">
        <w:t xml:space="preserve">and 2010-2014 </w:t>
      </w:r>
      <w:r w:rsidR="00712357">
        <w:t>period</w:t>
      </w:r>
      <w:r w:rsidR="00C70B27">
        <w:t>s</w:t>
      </w:r>
      <w:r w:rsidR="00712357">
        <w:t>, the Commission will issue report</w:t>
      </w:r>
      <w:r w:rsidR="00C70B27">
        <w:t>s</w:t>
      </w:r>
      <w:r w:rsidR="00712357">
        <w:t xml:space="preserve"> </w:t>
      </w:r>
      <w:r w:rsidR="00757D0F">
        <w:t>reviewing</w:t>
      </w:r>
      <w:r w:rsidR="00712357">
        <w:t xml:space="preserve"> performance</w:t>
      </w:r>
      <w:r w:rsidR="00757D0F">
        <w:t>.</w:t>
      </w:r>
      <w:r w:rsidR="00712357">
        <w:t xml:space="preserve"> </w:t>
      </w:r>
    </w:p>
    <w:p w:rsidR="00D96B0A" w:rsidRPr="00D96B0A" w:rsidRDefault="00F11512" w:rsidP="00F11512">
      <w:pPr>
        <w:pStyle w:val="Heading1"/>
      </w:pPr>
      <w:bookmarkStart w:id="2" w:name="_Toc390256208"/>
      <w:r>
        <w:t>Common Metrics Report Summary</w:t>
      </w:r>
      <w:bookmarkEnd w:id="2"/>
    </w:p>
    <w:p w:rsidR="00A60C09" w:rsidRDefault="00A60C09" w:rsidP="00496261">
      <w:pPr>
        <w:spacing w:after="240"/>
        <w:ind w:firstLine="720"/>
      </w:pPr>
      <w:r>
        <w:t>This report assesses which of the</w:t>
      </w:r>
      <w:r w:rsidR="00060A11">
        <w:t xml:space="preserve"> 31 metrics identified as candidates to be common </w:t>
      </w:r>
      <w:r>
        <w:t>metrics would be suitable as common metrics for evaluating the performance of ISOs, RTOs and utilities in regions outside ISO and RTO markets and provides the first comprehensive review of performance metrics data.</w:t>
      </w:r>
    </w:p>
    <w:p w:rsidR="00586BBF" w:rsidRDefault="00586BBF" w:rsidP="00496261">
      <w:pPr>
        <w:spacing w:after="240"/>
        <w:ind w:firstLine="720"/>
      </w:pPr>
      <w:r>
        <w:t>ISOs, RTOs and utilities</w:t>
      </w:r>
      <w:r w:rsidR="001C141C">
        <w:rPr>
          <w:rStyle w:val="FootnoteReference"/>
        </w:rPr>
        <w:footnoteReference w:id="2"/>
      </w:r>
      <w:r>
        <w:t xml:space="preserve"> submitted extensive performance metrics data, thereby providing the basis for a comprehensive performance review over the 2006–2010 review </w:t>
      </w:r>
      <w:proofErr w:type="gramStart"/>
      <w:r>
        <w:t>period</w:t>
      </w:r>
      <w:proofErr w:type="gramEnd"/>
      <w:r>
        <w:t>.  A five</w:t>
      </w:r>
      <w:r w:rsidR="00F24E6D">
        <w:t>-</w:t>
      </w:r>
      <w:r>
        <w:t>year review period was chosen to ensure that performance evaluations would be based on long-term trends and not on short-term aberrations.</w:t>
      </w:r>
    </w:p>
    <w:p w:rsidR="00A60C09" w:rsidRDefault="00A60C09" w:rsidP="007E5590">
      <w:pPr>
        <w:spacing w:after="240"/>
        <w:ind w:firstLine="720"/>
      </w:pPr>
      <w:r>
        <w:t>Significant features of the report are as follows:</w:t>
      </w:r>
    </w:p>
    <w:p w:rsidR="00A60C09" w:rsidRDefault="00E54C25" w:rsidP="002117D1">
      <w:pPr>
        <w:widowControl/>
        <w:numPr>
          <w:ilvl w:val="0"/>
          <w:numId w:val="13"/>
        </w:numPr>
        <w:autoSpaceDE/>
        <w:autoSpaceDN/>
        <w:adjustRightInd/>
        <w:spacing w:after="240"/>
      </w:pPr>
      <w:r>
        <w:t xml:space="preserve">Commission </w:t>
      </w:r>
      <w:r w:rsidR="00A60C09">
        <w:t xml:space="preserve">Staff identified 31 metrics as candidates to be common metrics.  After reviewing the ISO, RTO and utility reports, all but one of these metrics </w:t>
      </w:r>
      <w:proofErr w:type="gramStart"/>
      <w:r w:rsidR="00A60C09">
        <w:t>w</w:t>
      </w:r>
      <w:r w:rsidR="00343000">
        <w:t>ere</w:t>
      </w:r>
      <w:proofErr w:type="gramEnd"/>
      <w:r w:rsidR="00A60C09">
        <w:t xml:space="preserve"> determined to meet the criteria for common metrics.</w:t>
      </w:r>
      <w:r w:rsidR="00A60C09">
        <w:rPr>
          <w:rStyle w:val="FootnoteReference"/>
        </w:rPr>
        <w:footnoteReference w:id="3"/>
      </w:r>
      <w:r w:rsidR="00A60C09">
        <w:t xml:space="preserve">  </w:t>
      </w:r>
    </w:p>
    <w:p w:rsidR="00A60C09" w:rsidRDefault="00A60C09" w:rsidP="002117D1">
      <w:pPr>
        <w:widowControl/>
        <w:numPr>
          <w:ilvl w:val="1"/>
          <w:numId w:val="13"/>
        </w:numPr>
        <w:autoSpaceDE/>
        <w:autoSpaceDN/>
        <w:adjustRightInd/>
        <w:spacing w:after="240"/>
      </w:pPr>
      <w:r>
        <w:t xml:space="preserve">The one metric that </w:t>
      </w:r>
      <w:r w:rsidR="00343000">
        <w:t>is</w:t>
      </w:r>
      <w:r>
        <w:t xml:space="preserve"> not</w:t>
      </w:r>
      <w:r w:rsidR="00343000">
        <w:t xml:space="preserve"> a</w:t>
      </w:r>
      <w:r>
        <w:t xml:space="preserve"> suitable common metric is </w:t>
      </w:r>
      <w:r w:rsidR="005603A4">
        <w:t xml:space="preserve">the metric for </w:t>
      </w:r>
      <w:r>
        <w:t>TLRs and unscheduled flow events.  As discussed below, TLRs or unscheduled flow events are not used universally in the industry and the data m</w:t>
      </w:r>
      <w:r w:rsidR="00343000">
        <w:t>ight</w:t>
      </w:r>
      <w:r>
        <w:t xml:space="preserve"> not be a reliable indicator of their role in managing reliability.  As a possible alternative, a</w:t>
      </w:r>
      <w:r w:rsidRPr="00343000">
        <w:rPr>
          <w:szCs w:val="26"/>
        </w:rPr>
        <w:t xml:space="preserve"> more suitable common metric m</w:t>
      </w:r>
      <w:r w:rsidR="00343000" w:rsidRPr="00953D39">
        <w:rPr>
          <w:szCs w:val="26"/>
        </w:rPr>
        <w:t>ight</w:t>
      </w:r>
      <w:r w:rsidRPr="00953D39">
        <w:rPr>
          <w:szCs w:val="26"/>
        </w:rPr>
        <w:t xml:space="preserve"> be a measure of the megawatts managed by all manual actions as a percentage of total megawatts subject to congestion management.  Such a measure would encompass the full range of manual procedures used by ISOs, RTOs and utilities and it would not count TLRs that are not implemented</w:t>
      </w:r>
      <w:r w:rsidR="000E3901">
        <w:rPr>
          <w:szCs w:val="26"/>
        </w:rPr>
        <w:t>.</w:t>
      </w:r>
    </w:p>
    <w:p w:rsidR="00A60C09" w:rsidRDefault="00A60C09" w:rsidP="002117D1">
      <w:pPr>
        <w:widowControl/>
        <w:numPr>
          <w:ilvl w:val="0"/>
          <w:numId w:val="13"/>
        </w:numPr>
        <w:autoSpaceDE/>
        <w:autoSpaceDN/>
        <w:adjustRightInd/>
        <w:spacing w:after="240"/>
      </w:pPr>
      <w:r>
        <w:t xml:space="preserve">The </w:t>
      </w:r>
      <w:r w:rsidR="000E7805">
        <w:t xml:space="preserve">other </w:t>
      </w:r>
      <w:r>
        <w:t>common metrics have a common definition across ISOs, RTOs and utilities that apply to the same activities.</w:t>
      </w:r>
    </w:p>
    <w:p w:rsidR="00A60C09" w:rsidRDefault="00A60C09" w:rsidP="002117D1">
      <w:pPr>
        <w:widowControl/>
        <w:numPr>
          <w:ilvl w:val="1"/>
          <w:numId w:val="13"/>
        </w:numPr>
        <w:autoSpaceDE/>
        <w:autoSpaceDN/>
        <w:adjustRightInd/>
        <w:spacing w:after="240"/>
      </w:pPr>
      <w:r>
        <w:lastRenderedPageBreak/>
        <w:t>For example, a number of the reliability metrics are based on North American Electric Reliability Corporation (NERC) reliability standards that apply to all transmission providers.  Accordingly, these metrics are suitable as common metrics since they are based on common definitions that are well understood by all transmission providers and have been reported on by these entities for a number of years.</w:t>
      </w:r>
    </w:p>
    <w:p w:rsidR="00A60C09" w:rsidRDefault="00A60C09" w:rsidP="002117D1">
      <w:pPr>
        <w:widowControl/>
        <w:numPr>
          <w:ilvl w:val="1"/>
          <w:numId w:val="13"/>
        </w:numPr>
        <w:autoSpaceDE/>
        <w:autoSpaceDN/>
        <w:adjustRightInd/>
        <w:spacing w:after="240"/>
      </w:pPr>
      <w:r>
        <w:t>As another example, inasmuch as ISOs, RTOs and utilities all perform interconnection and transmission services, the transmission planning metrics apply to activities that are common to ISOs, RTOs and utilities in regions outside ISO and RTO markets.</w:t>
      </w:r>
    </w:p>
    <w:p w:rsidR="00A60C09" w:rsidRPr="0013167F" w:rsidRDefault="00A60C09" w:rsidP="002117D1">
      <w:pPr>
        <w:pStyle w:val="Heading1"/>
      </w:pPr>
      <w:bookmarkStart w:id="3" w:name="_Toc390256209"/>
      <w:r>
        <w:t>Background</w:t>
      </w:r>
      <w:bookmarkStart w:id="4" w:name="_bmk1"/>
      <w:bookmarkEnd w:id="3"/>
    </w:p>
    <w:bookmarkEnd w:id="4"/>
    <w:p w:rsidR="00A60C09" w:rsidRDefault="00A60C09" w:rsidP="002117D1">
      <w:pPr>
        <w:spacing w:after="240"/>
      </w:pPr>
      <w:r>
        <w:tab/>
        <w:t xml:space="preserve">The common metrics discussed in this report represent the culmination of an effort spanning over </w:t>
      </w:r>
      <w:r w:rsidR="008F29F6">
        <w:t>five</w:t>
      </w:r>
      <w:r>
        <w:t xml:space="preserve"> years to develop metrics that measure the performance of ISOs, RTOs and utilities in regions outside ISO</w:t>
      </w:r>
      <w:r w:rsidR="00676634">
        <w:t xml:space="preserve"> </w:t>
      </w:r>
      <w:r w:rsidR="000509C3">
        <w:t>and</w:t>
      </w:r>
      <w:r w:rsidR="00676634">
        <w:t xml:space="preserve"> </w:t>
      </w:r>
      <w:r>
        <w:t xml:space="preserve">RTO markets with respect to reliability, operations and market performance.  </w:t>
      </w:r>
      <w:r>
        <w:rPr>
          <w:szCs w:val="26"/>
        </w:rPr>
        <w:t>The common metrics and the metrics information provided in this report were developed in a voluntary and collaborative process led by Commission Staff.  Participants in the process included ISOs, RTOs, utilities, state regulators, consumer advocates and various industry stakeholders, such as developers of renewable resources.</w:t>
      </w:r>
      <w:r>
        <w:rPr>
          <w:rStyle w:val="FootnoteReference"/>
        </w:rPr>
        <w:footnoteReference w:id="4"/>
      </w:r>
    </w:p>
    <w:p w:rsidR="00A60C09" w:rsidRDefault="00A60C09" w:rsidP="002117D1">
      <w:pPr>
        <w:spacing w:after="240"/>
        <w:rPr>
          <w:szCs w:val="26"/>
        </w:rPr>
      </w:pPr>
      <w:r>
        <w:tab/>
        <w:t xml:space="preserve">As detailed in FERC’s FY 2009–2014 Strategic Plan, the objectives of the Metrics Initiative are as follows: (1) develop appropriate operational and financial metrics for ISOs/RTOs; (2) explore and develop appropriate operational and financial metrics for utilities </w:t>
      </w:r>
      <w:r w:rsidR="000509C3">
        <w:t>outside</w:t>
      </w:r>
      <w:r w:rsidR="00676634">
        <w:t xml:space="preserve"> </w:t>
      </w:r>
      <w:r>
        <w:t>ISO</w:t>
      </w:r>
      <w:r w:rsidR="000509C3">
        <w:t xml:space="preserve"> and </w:t>
      </w:r>
      <w:r>
        <w:t>RTO regions; (3) establish appropriate common metrics between ISOs</w:t>
      </w:r>
      <w:r w:rsidR="000509C3">
        <w:t xml:space="preserve"> and</w:t>
      </w:r>
      <w:r w:rsidR="00676634">
        <w:t xml:space="preserve"> </w:t>
      </w:r>
      <w:r>
        <w:t xml:space="preserve">RTOs and </w:t>
      </w:r>
      <w:r w:rsidR="000509C3">
        <w:t xml:space="preserve">utilities outside </w:t>
      </w:r>
      <w:r>
        <w:t>ISO</w:t>
      </w:r>
      <w:r w:rsidR="000509C3">
        <w:t xml:space="preserve"> and </w:t>
      </w:r>
      <w:r>
        <w:t>RTO regions; (4) monitor implementation and performance; and (5) evaluate performance and seek changes as necessary.  The first objective was completed with the submission of a Report to Congress on performance metrics for ISOs and RTOs.</w:t>
      </w:r>
      <w:r>
        <w:rPr>
          <w:rStyle w:val="FootnoteReference"/>
        </w:rPr>
        <w:footnoteReference w:id="5"/>
      </w:r>
      <w:r>
        <w:t xml:space="preserve">  The second objective was completed with the issuance of a Commission Staff Report on performance metrics in regions outside ISOs and RTOs.</w:t>
      </w:r>
      <w:r>
        <w:rPr>
          <w:rStyle w:val="FootnoteReference"/>
        </w:rPr>
        <w:footnoteReference w:id="6"/>
      </w:r>
      <w:r>
        <w:t xml:space="preserve">  </w:t>
      </w:r>
      <w:r>
        <w:lastRenderedPageBreak/>
        <w:t>This report satisfies the requirements of the third</w:t>
      </w:r>
      <w:r w:rsidR="00825314">
        <w:t xml:space="preserve"> and </w:t>
      </w:r>
      <w:r>
        <w:t>fourth</w:t>
      </w:r>
      <w:r w:rsidR="00825314">
        <w:t xml:space="preserve"> objectives</w:t>
      </w:r>
      <w:r>
        <w:t xml:space="preserve"> and </w:t>
      </w:r>
      <w:r w:rsidR="00825314">
        <w:t xml:space="preserve">takes the first step in meeting the requirements of the </w:t>
      </w:r>
      <w:r>
        <w:t xml:space="preserve">fifth objective.  </w:t>
      </w:r>
    </w:p>
    <w:p w:rsidR="00A60C09" w:rsidRDefault="00A60C09" w:rsidP="002117D1">
      <w:pPr>
        <w:spacing w:after="240"/>
        <w:ind w:firstLine="720"/>
        <w:rPr>
          <w:szCs w:val="26"/>
        </w:rPr>
      </w:pPr>
      <w:r>
        <w:rPr>
          <w:szCs w:val="26"/>
        </w:rPr>
        <w:t xml:space="preserve">The ISOs and RTOs </w:t>
      </w:r>
      <w:r w:rsidR="000E7805">
        <w:rPr>
          <w:szCs w:val="26"/>
        </w:rPr>
        <w:t xml:space="preserve">have </w:t>
      </w:r>
      <w:r>
        <w:rPr>
          <w:szCs w:val="26"/>
        </w:rPr>
        <w:t>submitted two metrics reports.  The first report</w:t>
      </w:r>
      <w:r w:rsidR="001579DE">
        <w:rPr>
          <w:szCs w:val="26"/>
        </w:rPr>
        <w:t>,</w:t>
      </w:r>
      <w:r>
        <w:rPr>
          <w:szCs w:val="26"/>
        </w:rPr>
        <w:t xml:space="preserve"> submitted on December 6, 2010</w:t>
      </w:r>
      <w:r w:rsidR="001579DE">
        <w:rPr>
          <w:szCs w:val="26"/>
        </w:rPr>
        <w:t>,</w:t>
      </w:r>
      <w:r>
        <w:rPr>
          <w:szCs w:val="26"/>
        </w:rPr>
        <w:t xml:space="preserve"> provided information on performance metrics for the 2005–2009 period.  The second report</w:t>
      </w:r>
      <w:r w:rsidR="001579DE">
        <w:rPr>
          <w:szCs w:val="26"/>
        </w:rPr>
        <w:t>,</w:t>
      </w:r>
      <w:r>
        <w:rPr>
          <w:szCs w:val="26"/>
        </w:rPr>
        <w:t xml:space="preserve"> submitted on August 31, 2011</w:t>
      </w:r>
      <w:r w:rsidR="001579DE">
        <w:rPr>
          <w:szCs w:val="26"/>
        </w:rPr>
        <w:t>,</w:t>
      </w:r>
      <w:r>
        <w:rPr>
          <w:szCs w:val="26"/>
        </w:rPr>
        <w:t xml:space="preserve"> provided information on performance metrics for the 2006–2010 period.  The ISOs and RTOs that submitted reports are as follows:</w:t>
      </w:r>
      <w:r w:rsidR="001C141C">
        <w:rPr>
          <w:rStyle w:val="FootnoteReference"/>
        </w:rPr>
        <w:footnoteReference w:id="7"/>
      </w:r>
    </w:p>
    <w:p w:rsidR="00A60C09" w:rsidRPr="00441920" w:rsidRDefault="00A60C09" w:rsidP="00441920">
      <w:pPr>
        <w:pStyle w:val="ListParagraph"/>
        <w:numPr>
          <w:ilvl w:val="0"/>
          <w:numId w:val="48"/>
        </w:numPr>
        <w:rPr>
          <w:szCs w:val="26"/>
        </w:rPr>
      </w:pPr>
      <w:r w:rsidRPr="00441920">
        <w:rPr>
          <w:szCs w:val="26"/>
        </w:rPr>
        <w:t>ISO New England Inc. (ISO-NE)</w:t>
      </w:r>
    </w:p>
    <w:p w:rsidR="00A60C09" w:rsidRPr="00441920" w:rsidRDefault="00A60C09" w:rsidP="00441920">
      <w:pPr>
        <w:pStyle w:val="ListParagraph"/>
        <w:numPr>
          <w:ilvl w:val="0"/>
          <w:numId w:val="48"/>
        </w:numPr>
        <w:rPr>
          <w:szCs w:val="26"/>
        </w:rPr>
      </w:pPr>
      <w:r w:rsidRPr="00441920">
        <w:rPr>
          <w:szCs w:val="26"/>
        </w:rPr>
        <w:t>New York Independent System Operator, Inc. (NYISO)</w:t>
      </w:r>
    </w:p>
    <w:p w:rsidR="00A60C09" w:rsidRPr="00441920" w:rsidRDefault="00A60C09" w:rsidP="00441920">
      <w:pPr>
        <w:pStyle w:val="ListParagraph"/>
        <w:numPr>
          <w:ilvl w:val="0"/>
          <w:numId w:val="48"/>
        </w:numPr>
        <w:rPr>
          <w:szCs w:val="26"/>
        </w:rPr>
      </w:pPr>
      <w:r w:rsidRPr="00441920">
        <w:rPr>
          <w:szCs w:val="26"/>
        </w:rPr>
        <w:t>PJM Interconnection, L</w:t>
      </w:r>
      <w:r w:rsidR="001579DE" w:rsidRPr="00441920">
        <w:rPr>
          <w:szCs w:val="26"/>
        </w:rPr>
        <w:t>.</w:t>
      </w:r>
      <w:r w:rsidRPr="00441920">
        <w:rPr>
          <w:szCs w:val="26"/>
        </w:rPr>
        <w:t>L</w:t>
      </w:r>
      <w:r w:rsidR="001579DE" w:rsidRPr="00441920">
        <w:rPr>
          <w:szCs w:val="26"/>
        </w:rPr>
        <w:t>.</w:t>
      </w:r>
      <w:r w:rsidRPr="00441920">
        <w:rPr>
          <w:szCs w:val="26"/>
        </w:rPr>
        <w:t>C</w:t>
      </w:r>
      <w:r w:rsidR="001579DE" w:rsidRPr="00441920">
        <w:rPr>
          <w:szCs w:val="26"/>
        </w:rPr>
        <w:t>.</w:t>
      </w:r>
      <w:r w:rsidRPr="00441920">
        <w:rPr>
          <w:szCs w:val="26"/>
        </w:rPr>
        <w:t xml:space="preserve"> (PJM)</w:t>
      </w:r>
    </w:p>
    <w:p w:rsidR="00A60C09" w:rsidRPr="00441920" w:rsidRDefault="00A60C09" w:rsidP="00441920">
      <w:pPr>
        <w:pStyle w:val="ListParagraph"/>
        <w:numPr>
          <w:ilvl w:val="0"/>
          <w:numId w:val="48"/>
        </w:numPr>
        <w:rPr>
          <w:szCs w:val="26"/>
        </w:rPr>
      </w:pPr>
      <w:r w:rsidRPr="00441920">
        <w:rPr>
          <w:szCs w:val="26"/>
        </w:rPr>
        <w:t>Midcontinent Independent System Operator, Inc. (MISO)</w:t>
      </w:r>
    </w:p>
    <w:p w:rsidR="00A60C09" w:rsidRPr="00441920" w:rsidRDefault="00A60C09" w:rsidP="00441920">
      <w:pPr>
        <w:pStyle w:val="ListParagraph"/>
        <w:numPr>
          <w:ilvl w:val="0"/>
          <w:numId w:val="48"/>
        </w:numPr>
        <w:rPr>
          <w:szCs w:val="26"/>
        </w:rPr>
      </w:pPr>
      <w:r w:rsidRPr="00441920">
        <w:rPr>
          <w:szCs w:val="26"/>
        </w:rPr>
        <w:t>Southwest Power Pool, Inc. (SPP)</w:t>
      </w:r>
    </w:p>
    <w:p w:rsidR="00A60C09" w:rsidRPr="00441920" w:rsidRDefault="00A60C09" w:rsidP="00441920">
      <w:pPr>
        <w:pStyle w:val="ListParagraph"/>
        <w:numPr>
          <w:ilvl w:val="0"/>
          <w:numId w:val="48"/>
        </w:numPr>
        <w:spacing w:after="240"/>
        <w:rPr>
          <w:szCs w:val="26"/>
        </w:rPr>
      </w:pPr>
      <w:r w:rsidRPr="00441920">
        <w:rPr>
          <w:szCs w:val="26"/>
        </w:rPr>
        <w:t>California Independent System Operator Corporation (CAISO)</w:t>
      </w:r>
    </w:p>
    <w:p w:rsidR="00A60C09" w:rsidRDefault="00A60C09" w:rsidP="002117D1">
      <w:pPr>
        <w:spacing w:after="240"/>
        <w:ind w:firstLine="720"/>
        <w:rPr>
          <w:szCs w:val="26"/>
        </w:rPr>
      </w:pPr>
      <w:r>
        <w:rPr>
          <w:szCs w:val="26"/>
        </w:rPr>
        <w:t xml:space="preserve">Utilities in regions outside ISO and RTO markets provided information on performance metrics for the 2006 – 2010 </w:t>
      </w:r>
      <w:proofErr w:type="gramStart"/>
      <w:r>
        <w:rPr>
          <w:szCs w:val="26"/>
        </w:rPr>
        <w:t>period</w:t>
      </w:r>
      <w:proofErr w:type="gramEnd"/>
      <w:r>
        <w:rPr>
          <w:szCs w:val="26"/>
        </w:rPr>
        <w:t xml:space="preserve"> in reports submitted in the first quarter of 2013.  The utilities that submitted reports are as follows:</w:t>
      </w:r>
    </w:p>
    <w:p w:rsidR="00A60C09" w:rsidRPr="00441920" w:rsidRDefault="00A60C09" w:rsidP="00441920">
      <w:pPr>
        <w:pStyle w:val="ListParagraph"/>
        <w:numPr>
          <w:ilvl w:val="0"/>
          <w:numId w:val="47"/>
        </w:numPr>
        <w:rPr>
          <w:szCs w:val="26"/>
        </w:rPr>
      </w:pPr>
      <w:r w:rsidRPr="00441920">
        <w:rPr>
          <w:szCs w:val="26"/>
        </w:rPr>
        <w:t>Duke Energy Corporation</w:t>
      </w:r>
      <w:r>
        <w:rPr>
          <w:rStyle w:val="FootnoteReference"/>
        </w:rPr>
        <w:footnoteReference w:id="8"/>
      </w:r>
      <w:r w:rsidRPr="00441920">
        <w:rPr>
          <w:szCs w:val="26"/>
        </w:rPr>
        <w:t xml:space="preserve"> (Duke)</w:t>
      </w:r>
    </w:p>
    <w:p w:rsidR="00A60C09" w:rsidRPr="00441920" w:rsidRDefault="00A60C09" w:rsidP="00441920">
      <w:pPr>
        <w:pStyle w:val="ListParagraph"/>
        <w:numPr>
          <w:ilvl w:val="0"/>
          <w:numId w:val="47"/>
        </w:numPr>
        <w:rPr>
          <w:szCs w:val="26"/>
        </w:rPr>
      </w:pPr>
      <w:r w:rsidRPr="00441920">
        <w:rPr>
          <w:szCs w:val="26"/>
        </w:rPr>
        <w:t>Southern Company (Southern)</w:t>
      </w:r>
    </w:p>
    <w:p w:rsidR="00A60C09" w:rsidRPr="00441920" w:rsidRDefault="00A60C09" w:rsidP="00441920">
      <w:pPr>
        <w:pStyle w:val="ListParagraph"/>
        <w:numPr>
          <w:ilvl w:val="0"/>
          <w:numId w:val="47"/>
        </w:numPr>
        <w:rPr>
          <w:szCs w:val="26"/>
        </w:rPr>
      </w:pPr>
      <w:r w:rsidRPr="00441920">
        <w:rPr>
          <w:szCs w:val="26"/>
        </w:rPr>
        <w:t xml:space="preserve">Louisville Gas </w:t>
      </w:r>
      <w:r w:rsidR="001579DE" w:rsidRPr="00441920">
        <w:rPr>
          <w:szCs w:val="26"/>
        </w:rPr>
        <w:t>and</w:t>
      </w:r>
      <w:r w:rsidRPr="00441920">
        <w:rPr>
          <w:szCs w:val="26"/>
        </w:rPr>
        <w:t xml:space="preserve"> Electric Company and</w:t>
      </w:r>
      <w:r w:rsidR="00586BBF" w:rsidRPr="00441920">
        <w:rPr>
          <w:szCs w:val="26"/>
        </w:rPr>
        <w:t xml:space="preserve"> </w:t>
      </w:r>
      <w:r w:rsidRPr="00441920">
        <w:rPr>
          <w:szCs w:val="26"/>
        </w:rPr>
        <w:t>Kentucky Utilities Company</w:t>
      </w:r>
      <w:r w:rsidR="00441920" w:rsidRPr="00441920">
        <w:rPr>
          <w:szCs w:val="26"/>
        </w:rPr>
        <w:t xml:space="preserve"> </w:t>
      </w:r>
      <w:r w:rsidRPr="00441920">
        <w:rPr>
          <w:szCs w:val="26"/>
        </w:rPr>
        <w:t>(LG&amp;E/KU)</w:t>
      </w:r>
    </w:p>
    <w:p w:rsidR="00A60C09" w:rsidRPr="00441920" w:rsidRDefault="00A60C09" w:rsidP="00441920">
      <w:pPr>
        <w:pStyle w:val="ListParagraph"/>
        <w:numPr>
          <w:ilvl w:val="0"/>
          <w:numId w:val="47"/>
        </w:numPr>
        <w:rPr>
          <w:szCs w:val="26"/>
        </w:rPr>
      </w:pPr>
      <w:r w:rsidRPr="00441920">
        <w:rPr>
          <w:szCs w:val="26"/>
        </w:rPr>
        <w:t>PacifiCorp</w:t>
      </w:r>
      <w:r>
        <w:rPr>
          <w:rStyle w:val="FootnoteReference"/>
        </w:rPr>
        <w:footnoteReference w:id="9"/>
      </w:r>
    </w:p>
    <w:p w:rsidR="00A60C09" w:rsidRDefault="00A60C09" w:rsidP="00441920">
      <w:pPr>
        <w:pStyle w:val="ListParagraph"/>
        <w:numPr>
          <w:ilvl w:val="0"/>
          <w:numId w:val="47"/>
        </w:numPr>
        <w:spacing w:after="240"/>
      </w:pPr>
      <w:r w:rsidRPr="00441920">
        <w:rPr>
          <w:szCs w:val="26"/>
        </w:rPr>
        <w:t>Arizona Public Service Company (APS)</w:t>
      </w:r>
    </w:p>
    <w:p w:rsidR="00A60C09" w:rsidRPr="00F02DE5" w:rsidRDefault="00A60C09" w:rsidP="002117D1">
      <w:pPr>
        <w:pStyle w:val="Heading1"/>
      </w:pPr>
      <w:bookmarkStart w:id="5" w:name="_Toc390256210"/>
      <w:r>
        <w:lastRenderedPageBreak/>
        <w:t>Common Metrics</w:t>
      </w:r>
      <w:bookmarkStart w:id="6" w:name="_bmk2"/>
      <w:bookmarkEnd w:id="5"/>
    </w:p>
    <w:bookmarkEnd w:id="6"/>
    <w:p w:rsidR="00A60C09" w:rsidRDefault="00A60C09" w:rsidP="002117D1">
      <w:pPr>
        <w:spacing w:after="240"/>
      </w:pPr>
      <w:r>
        <w:tab/>
        <w:t>The process for developing common metrics started with the development of metrics for regions outside ISO and RTO markets.  During this stage, Commission Staff, with the collaboration of utility participants and industry stakeholders, refined the list of 57 ISO and RTO metrics to a list of metrics that were also applicable to regions outside ISO and RTO markets.  This list of common metrics, applicable to ISOs, RTOs and utilities outside of ISO and RTO markets, are the metrics proposed to be common metrics and to be discussed in this report.</w:t>
      </w:r>
    </w:p>
    <w:p w:rsidR="00A60C09" w:rsidRDefault="00A60C09" w:rsidP="002117D1">
      <w:pPr>
        <w:spacing w:after="240"/>
      </w:pPr>
      <w:r>
        <w:tab/>
        <w:t xml:space="preserve">To determine if these common metrics are, in fact, appropriate as common metrics, this report first confirms that the definition of each common metric is the same for ISOs, RTOs and utilities in regions outside these markets, and then evaluates the metrics data for each metric to determine if it is measuring the same activities and has the same meaning across all entities.  To the extent that a metric is determined not to be suitable as a common metric, recommendations are made to revise the metric so that it can be a common metric.  Finally, the metrics data in this report provide the first comprehensive review of performance based on the metrics data submitted by ISOs, RTOs and utilities outside these markets for the 2006–2010 </w:t>
      </w:r>
      <w:proofErr w:type="gramStart"/>
      <w:r>
        <w:t>period</w:t>
      </w:r>
      <w:proofErr w:type="gramEnd"/>
      <w:r>
        <w:t>.</w:t>
      </w:r>
    </w:p>
    <w:p w:rsidR="00A60C09" w:rsidRDefault="00A60C09" w:rsidP="002117D1">
      <w:pPr>
        <w:spacing w:after="240"/>
        <w:ind w:firstLine="720"/>
        <w:rPr>
          <w:szCs w:val="26"/>
        </w:rPr>
      </w:pPr>
      <w:r>
        <w:rPr>
          <w:szCs w:val="26"/>
        </w:rPr>
        <w:t xml:space="preserve">The common metrics measure reliability and systems operations performance.  The reliability metrics, evaluated first, were chosen to measure the reliability of day-to-day operations using metrics such as compliance with national and regional reliability standards, real-time balance of supply and demand, </w:t>
      </w:r>
      <w:r w:rsidR="007F3248">
        <w:rPr>
          <w:szCs w:val="26"/>
        </w:rPr>
        <w:t xml:space="preserve">and </w:t>
      </w:r>
      <w:r>
        <w:rPr>
          <w:szCs w:val="26"/>
        </w:rPr>
        <w:t xml:space="preserve">forecasting and </w:t>
      </w:r>
      <w:r w:rsidR="007F3248">
        <w:rPr>
          <w:szCs w:val="26"/>
        </w:rPr>
        <w:t>s</w:t>
      </w:r>
      <w:r>
        <w:rPr>
          <w:szCs w:val="26"/>
        </w:rPr>
        <w:t xml:space="preserve">pecial </w:t>
      </w:r>
      <w:r w:rsidR="007F3248">
        <w:rPr>
          <w:szCs w:val="26"/>
        </w:rPr>
        <w:t>p</w:t>
      </w:r>
      <w:r>
        <w:rPr>
          <w:szCs w:val="26"/>
        </w:rPr>
        <w:t xml:space="preserve">rotection </w:t>
      </w:r>
      <w:r w:rsidR="007F3248">
        <w:rPr>
          <w:szCs w:val="26"/>
        </w:rPr>
        <w:t>s</w:t>
      </w:r>
      <w:r>
        <w:rPr>
          <w:szCs w:val="26"/>
        </w:rPr>
        <w:t>chemes</w:t>
      </w:r>
      <w:r w:rsidR="007F3248">
        <w:rPr>
          <w:szCs w:val="26"/>
        </w:rPr>
        <w:t xml:space="preserve">.  </w:t>
      </w:r>
      <w:r w:rsidR="00FB0B57" w:rsidRPr="001E6DDE">
        <w:rPr>
          <w:szCs w:val="26"/>
        </w:rPr>
        <w:t>Reliability</w:t>
      </w:r>
      <w:r w:rsidR="00FB0B57" w:rsidRPr="00DD39C3">
        <w:t xml:space="preserve"> </w:t>
      </w:r>
      <w:r w:rsidR="007F3248">
        <w:rPr>
          <w:szCs w:val="26"/>
        </w:rPr>
        <w:t>metrics were also chosen</w:t>
      </w:r>
      <w:r>
        <w:rPr>
          <w:szCs w:val="26"/>
        </w:rPr>
        <w:t xml:space="preserve"> to measure long-term reliability using metrics such as long-term transmission</w:t>
      </w:r>
      <w:r w:rsidR="005603A4">
        <w:rPr>
          <w:szCs w:val="26"/>
        </w:rPr>
        <w:t xml:space="preserve"> planning</w:t>
      </w:r>
      <w:r>
        <w:rPr>
          <w:szCs w:val="26"/>
        </w:rPr>
        <w:t xml:space="preserve"> and resource planning.  The systems operations metrics were chosen to measure resource availability performance, resource costs and diversity.</w:t>
      </w:r>
      <w:r>
        <w:rPr>
          <w:szCs w:val="26"/>
        </w:rPr>
        <w:tab/>
        <w:t xml:space="preserve"> </w:t>
      </w:r>
    </w:p>
    <w:p w:rsidR="00A60C09" w:rsidRPr="0010242D" w:rsidRDefault="00A60C09" w:rsidP="002117D1">
      <w:pPr>
        <w:pStyle w:val="Heading2"/>
      </w:pPr>
      <w:bookmarkStart w:id="7" w:name="_Toc390256211"/>
      <w:r>
        <w:t>R</w:t>
      </w:r>
      <w:r w:rsidRPr="0010242D">
        <w:t>eliability Metrics</w:t>
      </w:r>
      <w:bookmarkEnd w:id="7"/>
      <w:r w:rsidRPr="0010242D">
        <w:tab/>
      </w:r>
      <w:bookmarkStart w:id="8" w:name="_bmk3"/>
    </w:p>
    <w:p w:rsidR="00A60C09" w:rsidRDefault="00A07F4C" w:rsidP="002117D1">
      <w:pPr>
        <w:pStyle w:val="Heading3"/>
      </w:pPr>
      <w:bookmarkStart w:id="9" w:name="_Toc390256212"/>
      <w:bookmarkEnd w:id="8"/>
      <w:r>
        <w:t xml:space="preserve">NERC </w:t>
      </w:r>
      <w:r w:rsidR="00A60C09">
        <w:t>Reliability Standards Compliance</w:t>
      </w:r>
      <w:bookmarkStart w:id="10" w:name="_bmk4"/>
      <w:bookmarkEnd w:id="9"/>
    </w:p>
    <w:p w:rsidR="00A60C09" w:rsidRPr="00953D39" w:rsidRDefault="00A60C09" w:rsidP="002117D1">
      <w:pPr>
        <w:pStyle w:val="Heading4"/>
        <w:rPr>
          <w:szCs w:val="26"/>
        </w:rPr>
      </w:pPr>
      <w:bookmarkStart w:id="11" w:name="_Toc390256213"/>
      <w:bookmarkEnd w:id="10"/>
      <w:r w:rsidRPr="00953D39">
        <w:t>Definition</w:t>
      </w:r>
      <w:bookmarkStart w:id="12" w:name="_bmk5"/>
      <w:bookmarkEnd w:id="11"/>
    </w:p>
    <w:bookmarkEnd w:id="12"/>
    <w:p w:rsidR="00A60C09" w:rsidRDefault="00A60C09" w:rsidP="002117D1">
      <w:pPr>
        <w:spacing w:after="240"/>
        <w:ind w:firstLine="720"/>
        <w:rPr>
          <w:szCs w:val="26"/>
        </w:rPr>
      </w:pPr>
      <w:r>
        <w:rPr>
          <w:szCs w:val="26"/>
        </w:rPr>
        <w:t>This metric measures the number of violations of NERC reliability standards,</w:t>
      </w:r>
      <w:r>
        <w:rPr>
          <w:rStyle w:val="FootnoteReference"/>
        </w:rPr>
        <w:footnoteReference w:id="10"/>
      </w:r>
      <w:r>
        <w:rPr>
          <w:szCs w:val="26"/>
        </w:rPr>
        <w:t xml:space="preserve"> provides information on how these violations were reported (self-reported or reported in audits), and indicates the severity of the violations.  The metric also details compliance with operating reserve standards and unserved energy (or load shedding) caused by </w:t>
      </w:r>
      <w:r>
        <w:rPr>
          <w:szCs w:val="26"/>
        </w:rPr>
        <w:lastRenderedPageBreak/>
        <w:t xml:space="preserve">violations.  </w:t>
      </w:r>
    </w:p>
    <w:p w:rsidR="00A60C09" w:rsidRPr="00A466FF" w:rsidRDefault="00A60C09" w:rsidP="002117D1">
      <w:pPr>
        <w:pStyle w:val="Heading4"/>
      </w:pPr>
      <w:bookmarkStart w:id="13" w:name="_Toc390256214"/>
      <w:r>
        <w:t>Data Review and Metrics Assessment</w:t>
      </w:r>
      <w:bookmarkStart w:id="14" w:name="_bmk6"/>
      <w:bookmarkEnd w:id="13"/>
    </w:p>
    <w:bookmarkEnd w:id="14"/>
    <w:p w:rsidR="00A60C09" w:rsidRDefault="00A60C09" w:rsidP="002117D1">
      <w:pPr>
        <w:spacing w:after="240"/>
        <w:ind w:firstLine="720"/>
      </w:pPr>
      <w:r>
        <w:rPr>
          <w:szCs w:val="26"/>
        </w:rPr>
        <w:t>The reliability standards metrics</w:t>
      </w:r>
      <w:r>
        <w:rPr>
          <w:rStyle w:val="FootnoteReference"/>
        </w:rPr>
        <w:footnoteReference w:id="11"/>
      </w:r>
      <w:r>
        <w:rPr>
          <w:szCs w:val="26"/>
        </w:rPr>
        <w:t xml:space="preserve"> measure both the significance of the violations and the effectiveness of self-reporting procedures in identifying violations in a timely manner.  </w:t>
      </w:r>
      <w:r>
        <w:t xml:space="preserve">Of the </w:t>
      </w:r>
      <w:r w:rsidR="007F3248">
        <w:t>twenty-nine</w:t>
      </w:r>
      <w:r>
        <w:t xml:space="preserve"> violations shown on the table below, </w:t>
      </w:r>
      <w:r w:rsidR="007F3248">
        <w:t>seventeen</w:t>
      </w:r>
      <w:r>
        <w:t xml:space="preserve"> (more than half) were self-reported.  </w:t>
      </w:r>
      <w:r w:rsidR="007F3248">
        <w:t xml:space="preserve">Per NERC’s Violation Security Level Matrix, </w:t>
      </w:r>
      <w:r w:rsidR="00971179">
        <w:t>three</w:t>
      </w:r>
      <w:r>
        <w:t xml:space="preserve"> incidents </w:t>
      </w:r>
      <w:r w:rsidR="00971179">
        <w:t xml:space="preserve">were </w:t>
      </w:r>
      <w:r>
        <w:t>rated severe</w:t>
      </w:r>
      <w:r w:rsidRPr="00CF3478">
        <w:t>,</w:t>
      </w:r>
      <w:r>
        <w:t xml:space="preserve"> one </w:t>
      </w:r>
      <w:r w:rsidR="00971179">
        <w:t xml:space="preserve">was </w:t>
      </w:r>
      <w:r>
        <w:t xml:space="preserve">rated high and </w:t>
      </w:r>
      <w:r w:rsidR="00971179">
        <w:t>three were</w:t>
      </w:r>
      <w:r>
        <w:t xml:space="preserve"> rated medium.  All ISOs, RTOs and utilities were in compliance with operating reserve standards.  </w:t>
      </w:r>
      <w:r w:rsidRPr="001E6DDE">
        <w:t xml:space="preserve">No ISO, RTO or utility </w:t>
      </w:r>
      <w:r w:rsidR="007F3248" w:rsidRPr="001E6DDE">
        <w:t xml:space="preserve">outside these markets </w:t>
      </w:r>
      <w:r w:rsidRPr="001E6DDE">
        <w:t>reported unserved energy resulting from violations</w:t>
      </w:r>
      <w:r w:rsidRPr="007E5590">
        <w:rPr>
          <w:i/>
        </w:rPr>
        <w:t>.</w:t>
      </w: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ind w:firstLine="720"/>
      </w:pPr>
    </w:p>
    <w:p w:rsidR="00DA3C00" w:rsidRDefault="00DA3C00" w:rsidP="002117D1">
      <w:pPr>
        <w:spacing w:after="240"/>
        <w:jc w:val="center"/>
        <w:rPr>
          <w:b/>
          <w:u w:val="single"/>
        </w:rPr>
      </w:pPr>
    </w:p>
    <w:p w:rsidR="00A60C09" w:rsidRDefault="00A60C09" w:rsidP="002117D1">
      <w:pPr>
        <w:spacing w:after="240"/>
        <w:jc w:val="center"/>
      </w:pPr>
      <w:r>
        <w:rPr>
          <w:b/>
          <w:u w:val="single"/>
        </w:rPr>
        <w:t>2006 – 2010 Reliability Standards Violations</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343"/>
        <w:gridCol w:w="1343"/>
        <w:gridCol w:w="1343"/>
        <w:gridCol w:w="3437"/>
      </w:tblGrid>
      <w:tr w:rsidR="00A60C09" w:rsidTr="00DA3C00">
        <w:trPr>
          <w:trHeight w:val="1592"/>
        </w:trPr>
        <w:tc>
          <w:tcPr>
            <w:tcW w:w="1372" w:type="dxa"/>
            <w:shd w:val="clear" w:color="auto" w:fill="auto"/>
          </w:tcPr>
          <w:p w:rsidR="00A60C09" w:rsidRPr="0084265C" w:rsidRDefault="00A60C09" w:rsidP="002117D1">
            <w:pPr>
              <w:spacing w:after="240"/>
              <w:jc w:val="center"/>
              <w:rPr>
                <w:b/>
              </w:rPr>
            </w:pPr>
            <w:r w:rsidRPr="0084265C">
              <w:rPr>
                <w:b/>
              </w:rPr>
              <w:t>Entity</w:t>
            </w:r>
          </w:p>
          <w:p w:rsidR="00A60C09" w:rsidRPr="0084265C" w:rsidRDefault="00A60C09" w:rsidP="002117D1">
            <w:pPr>
              <w:spacing w:after="240"/>
              <w:rPr>
                <w:b/>
              </w:rPr>
            </w:pPr>
          </w:p>
        </w:tc>
        <w:tc>
          <w:tcPr>
            <w:tcW w:w="1343" w:type="dxa"/>
            <w:shd w:val="clear" w:color="auto" w:fill="auto"/>
          </w:tcPr>
          <w:p w:rsidR="00A60C09" w:rsidRPr="0084265C" w:rsidRDefault="00A60C09" w:rsidP="002117D1">
            <w:pPr>
              <w:spacing w:after="240"/>
              <w:rPr>
                <w:b/>
              </w:rPr>
            </w:pPr>
            <w:r w:rsidRPr="0084265C">
              <w:rPr>
                <w:b/>
              </w:rPr>
              <w:t>Violations Made Public By NERC or FERC</w:t>
            </w:r>
          </w:p>
        </w:tc>
        <w:tc>
          <w:tcPr>
            <w:tcW w:w="1343" w:type="dxa"/>
            <w:shd w:val="clear" w:color="auto" w:fill="auto"/>
          </w:tcPr>
          <w:p w:rsidR="00A60C09" w:rsidRPr="0084265C" w:rsidRDefault="00A60C09" w:rsidP="00A07F4C">
            <w:pPr>
              <w:spacing w:after="240"/>
              <w:rPr>
                <w:b/>
              </w:rPr>
            </w:pPr>
            <w:r w:rsidRPr="0084265C">
              <w:rPr>
                <w:b/>
              </w:rPr>
              <w:t xml:space="preserve">Violations Made Public By </w:t>
            </w:r>
            <w:r w:rsidR="00A07F4C">
              <w:rPr>
                <w:b/>
              </w:rPr>
              <w:t>NERC</w:t>
            </w:r>
            <w:r w:rsidRPr="0084265C">
              <w:rPr>
                <w:b/>
              </w:rPr>
              <w:t xml:space="preserve"> Audits</w:t>
            </w:r>
          </w:p>
        </w:tc>
        <w:tc>
          <w:tcPr>
            <w:tcW w:w="1343" w:type="dxa"/>
            <w:shd w:val="clear" w:color="auto" w:fill="auto"/>
          </w:tcPr>
          <w:p w:rsidR="00A60C09" w:rsidRPr="0084265C" w:rsidRDefault="00A60C09" w:rsidP="002117D1">
            <w:pPr>
              <w:spacing w:after="240"/>
              <w:jc w:val="center"/>
              <w:rPr>
                <w:b/>
              </w:rPr>
            </w:pPr>
            <w:r w:rsidRPr="0084265C">
              <w:rPr>
                <w:b/>
              </w:rPr>
              <w:t>Violations Self Reported</w:t>
            </w:r>
          </w:p>
        </w:tc>
        <w:tc>
          <w:tcPr>
            <w:tcW w:w="3437" w:type="dxa"/>
            <w:shd w:val="clear" w:color="auto" w:fill="auto"/>
          </w:tcPr>
          <w:p w:rsidR="00A60C09" w:rsidRPr="0084265C" w:rsidRDefault="00A60C09" w:rsidP="002117D1">
            <w:pPr>
              <w:spacing w:after="240"/>
              <w:jc w:val="center"/>
              <w:rPr>
                <w:b/>
              </w:rPr>
            </w:pPr>
            <w:r w:rsidRPr="0084265C">
              <w:rPr>
                <w:b/>
              </w:rPr>
              <w:t>Severity Level of Public and Reported Violations</w:t>
            </w:r>
          </w:p>
        </w:tc>
      </w:tr>
      <w:tr w:rsidR="00A60C09" w:rsidTr="00953D39">
        <w:tc>
          <w:tcPr>
            <w:tcW w:w="1372" w:type="dxa"/>
            <w:shd w:val="clear" w:color="auto" w:fill="auto"/>
          </w:tcPr>
          <w:p w:rsidR="00A60C09" w:rsidRDefault="00A60C09" w:rsidP="00626BB1">
            <w:pPr>
              <w:spacing w:after="240"/>
              <w:jc w:val="center"/>
            </w:pPr>
            <w:r>
              <w:t>CAISO</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1</w:t>
            </w:r>
          </w:p>
        </w:tc>
        <w:tc>
          <w:tcPr>
            <w:tcW w:w="3437" w:type="dxa"/>
            <w:shd w:val="clear" w:color="auto" w:fill="auto"/>
          </w:tcPr>
          <w:p w:rsidR="00A60C09" w:rsidRDefault="00A60C09" w:rsidP="00626BB1">
            <w:pPr>
              <w:spacing w:after="240"/>
            </w:pPr>
            <w:r>
              <w:t>Severity information not provided</w:t>
            </w:r>
          </w:p>
        </w:tc>
      </w:tr>
      <w:tr w:rsidR="00A60C09" w:rsidTr="00953D39">
        <w:tc>
          <w:tcPr>
            <w:tcW w:w="1372" w:type="dxa"/>
            <w:shd w:val="clear" w:color="auto" w:fill="auto"/>
          </w:tcPr>
          <w:p w:rsidR="00A60C09" w:rsidRDefault="00A60C09" w:rsidP="00626BB1">
            <w:pPr>
              <w:spacing w:after="240"/>
              <w:jc w:val="center"/>
            </w:pPr>
            <w:r>
              <w:t>ISO-NE</w:t>
            </w:r>
          </w:p>
        </w:tc>
        <w:tc>
          <w:tcPr>
            <w:tcW w:w="1343" w:type="dxa"/>
            <w:shd w:val="clear" w:color="auto" w:fill="auto"/>
          </w:tcPr>
          <w:p w:rsidR="00A60C09" w:rsidRDefault="00A60C09" w:rsidP="00626BB1">
            <w:pPr>
              <w:spacing w:after="240"/>
              <w:jc w:val="center"/>
            </w:pPr>
            <w:r>
              <w:t>1</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3437" w:type="dxa"/>
            <w:shd w:val="clear" w:color="auto" w:fill="auto"/>
          </w:tcPr>
          <w:p w:rsidR="00A60C09" w:rsidRDefault="00A60C09" w:rsidP="00626BB1">
            <w:pPr>
              <w:spacing w:after="240"/>
            </w:pPr>
            <w:r>
              <w:t>Severity information not provided</w:t>
            </w:r>
          </w:p>
        </w:tc>
      </w:tr>
      <w:tr w:rsidR="00A60C09" w:rsidTr="00953D39">
        <w:tc>
          <w:tcPr>
            <w:tcW w:w="1372" w:type="dxa"/>
            <w:shd w:val="clear" w:color="auto" w:fill="auto"/>
          </w:tcPr>
          <w:p w:rsidR="00A60C09" w:rsidRDefault="00A60C09" w:rsidP="00626BB1">
            <w:pPr>
              <w:spacing w:after="240"/>
              <w:jc w:val="center"/>
            </w:pPr>
            <w:r>
              <w:t>MISO</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1</w:t>
            </w:r>
          </w:p>
        </w:tc>
        <w:tc>
          <w:tcPr>
            <w:tcW w:w="3437" w:type="dxa"/>
            <w:shd w:val="clear" w:color="auto" w:fill="auto"/>
          </w:tcPr>
          <w:p w:rsidR="00A60C09" w:rsidRDefault="00A60C09" w:rsidP="00626BB1">
            <w:pPr>
              <w:spacing w:after="240"/>
            </w:pPr>
            <w:r>
              <w:t>Severity information not provided</w:t>
            </w:r>
          </w:p>
        </w:tc>
      </w:tr>
      <w:tr w:rsidR="00A60C09" w:rsidTr="00953D39">
        <w:tc>
          <w:tcPr>
            <w:tcW w:w="1372" w:type="dxa"/>
            <w:shd w:val="clear" w:color="auto" w:fill="auto"/>
          </w:tcPr>
          <w:p w:rsidR="00A60C09" w:rsidRDefault="00A60C09" w:rsidP="00626BB1">
            <w:pPr>
              <w:spacing w:after="240"/>
              <w:jc w:val="center"/>
            </w:pPr>
            <w:r>
              <w:t>NYISO</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3437" w:type="dxa"/>
            <w:shd w:val="clear" w:color="auto" w:fill="auto"/>
          </w:tcPr>
          <w:p w:rsidR="00A60C09" w:rsidRDefault="00A60C09" w:rsidP="00626BB1">
            <w:pPr>
              <w:spacing w:after="240"/>
            </w:pPr>
          </w:p>
        </w:tc>
      </w:tr>
      <w:tr w:rsidR="00A60C09" w:rsidTr="00953D39">
        <w:tc>
          <w:tcPr>
            <w:tcW w:w="1372" w:type="dxa"/>
            <w:shd w:val="clear" w:color="auto" w:fill="auto"/>
          </w:tcPr>
          <w:p w:rsidR="00A60C09" w:rsidRDefault="00A60C09" w:rsidP="00626BB1">
            <w:pPr>
              <w:spacing w:after="240"/>
              <w:jc w:val="center"/>
            </w:pPr>
            <w:r>
              <w:t>PJM</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3437" w:type="dxa"/>
            <w:shd w:val="clear" w:color="auto" w:fill="auto"/>
          </w:tcPr>
          <w:p w:rsidR="00A60C09" w:rsidRDefault="00A60C09" w:rsidP="00626BB1">
            <w:pPr>
              <w:spacing w:after="240"/>
            </w:pPr>
          </w:p>
        </w:tc>
      </w:tr>
      <w:tr w:rsidR="00A60C09" w:rsidTr="00953D39">
        <w:tc>
          <w:tcPr>
            <w:tcW w:w="1372" w:type="dxa"/>
            <w:shd w:val="clear" w:color="auto" w:fill="auto"/>
          </w:tcPr>
          <w:p w:rsidR="00A60C09" w:rsidRDefault="00A60C09" w:rsidP="00626BB1">
            <w:pPr>
              <w:spacing w:after="240"/>
              <w:jc w:val="center"/>
            </w:pPr>
            <w:r>
              <w:t>SPP</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3437" w:type="dxa"/>
            <w:shd w:val="clear" w:color="auto" w:fill="auto"/>
          </w:tcPr>
          <w:p w:rsidR="00A60C09" w:rsidRDefault="00A60C09" w:rsidP="00626BB1">
            <w:pPr>
              <w:spacing w:after="240"/>
            </w:pPr>
          </w:p>
        </w:tc>
      </w:tr>
      <w:tr w:rsidR="00443F5B" w:rsidTr="00C4252F">
        <w:tc>
          <w:tcPr>
            <w:tcW w:w="1372" w:type="dxa"/>
            <w:shd w:val="clear" w:color="auto" w:fill="auto"/>
          </w:tcPr>
          <w:p w:rsidR="00443F5B" w:rsidRDefault="00443F5B" w:rsidP="00C4252F">
            <w:pPr>
              <w:spacing w:after="240"/>
              <w:jc w:val="center"/>
            </w:pPr>
            <w:r>
              <w:t>APS</w:t>
            </w:r>
          </w:p>
        </w:tc>
        <w:tc>
          <w:tcPr>
            <w:tcW w:w="1343" w:type="dxa"/>
            <w:shd w:val="clear" w:color="auto" w:fill="auto"/>
          </w:tcPr>
          <w:p w:rsidR="00443F5B" w:rsidRDefault="00443F5B" w:rsidP="00C4252F">
            <w:pPr>
              <w:spacing w:after="240"/>
              <w:jc w:val="center"/>
            </w:pPr>
            <w:r>
              <w:t>5</w:t>
            </w:r>
          </w:p>
        </w:tc>
        <w:tc>
          <w:tcPr>
            <w:tcW w:w="1343" w:type="dxa"/>
            <w:shd w:val="clear" w:color="auto" w:fill="auto"/>
          </w:tcPr>
          <w:p w:rsidR="00443F5B" w:rsidRDefault="00443F5B" w:rsidP="00C4252F">
            <w:pPr>
              <w:spacing w:after="240"/>
              <w:jc w:val="center"/>
            </w:pPr>
            <w:r>
              <w:t>4</w:t>
            </w:r>
          </w:p>
        </w:tc>
        <w:tc>
          <w:tcPr>
            <w:tcW w:w="1343" w:type="dxa"/>
            <w:shd w:val="clear" w:color="auto" w:fill="auto"/>
          </w:tcPr>
          <w:p w:rsidR="00443F5B" w:rsidRDefault="00443F5B" w:rsidP="00C4252F">
            <w:pPr>
              <w:spacing w:after="240"/>
              <w:jc w:val="center"/>
            </w:pPr>
            <w:r>
              <w:t>1</w:t>
            </w:r>
          </w:p>
        </w:tc>
        <w:tc>
          <w:tcPr>
            <w:tcW w:w="3437" w:type="dxa"/>
            <w:shd w:val="clear" w:color="auto" w:fill="auto"/>
          </w:tcPr>
          <w:p w:rsidR="00443F5B" w:rsidRDefault="00443F5B" w:rsidP="00C4252F">
            <w:pPr>
              <w:spacing w:after="240"/>
            </w:pPr>
            <w:r>
              <w:t>1  severe</w:t>
            </w:r>
          </w:p>
        </w:tc>
      </w:tr>
      <w:tr w:rsidR="00A60C09" w:rsidTr="00953D39">
        <w:tc>
          <w:tcPr>
            <w:tcW w:w="1372" w:type="dxa"/>
            <w:shd w:val="clear" w:color="auto" w:fill="auto"/>
          </w:tcPr>
          <w:p w:rsidR="00A60C09" w:rsidRDefault="00A60C09" w:rsidP="00626BB1">
            <w:pPr>
              <w:spacing w:after="240"/>
              <w:jc w:val="center"/>
            </w:pPr>
            <w:r>
              <w:t>Duke</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3437" w:type="dxa"/>
            <w:shd w:val="clear" w:color="auto" w:fill="auto"/>
          </w:tcPr>
          <w:p w:rsidR="00A60C09" w:rsidRDefault="00A60C09" w:rsidP="00626BB1">
            <w:pPr>
              <w:spacing w:after="240"/>
            </w:pPr>
          </w:p>
        </w:tc>
      </w:tr>
      <w:tr w:rsidR="00A60C09" w:rsidTr="00953D39">
        <w:tc>
          <w:tcPr>
            <w:tcW w:w="1372" w:type="dxa"/>
            <w:shd w:val="clear" w:color="auto" w:fill="auto"/>
          </w:tcPr>
          <w:p w:rsidR="00A60C09" w:rsidRDefault="00A60C09" w:rsidP="00626BB1">
            <w:pPr>
              <w:spacing w:after="240"/>
              <w:jc w:val="center"/>
            </w:pPr>
            <w:r>
              <w:t>LG&amp;E/KU</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1</w:t>
            </w:r>
          </w:p>
        </w:tc>
        <w:tc>
          <w:tcPr>
            <w:tcW w:w="3437" w:type="dxa"/>
            <w:shd w:val="clear" w:color="auto" w:fill="auto"/>
          </w:tcPr>
          <w:p w:rsidR="00A60C09" w:rsidRDefault="00A60C09" w:rsidP="00180083">
            <w:pPr>
              <w:spacing w:after="240"/>
            </w:pPr>
            <w:r>
              <w:t>1 m</w:t>
            </w:r>
            <w:r w:rsidR="00180083">
              <w:t>edium</w:t>
            </w:r>
          </w:p>
        </w:tc>
      </w:tr>
      <w:tr w:rsidR="00A60C09" w:rsidTr="00936C4C">
        <w:trPr>
          <w:trHeight w:val="634"/>
        </w:trPr>
        <w:tc>
          <w:tcPr>
            <w:tcW w:w="1372" w:type="dxa"/>
            <w:shd w:val="clear" w:color="auto" w:fill="auto"/>
          </w:tcPr>
          <w:p w:rsidR="00A60C09" w:rsidRDefault="007F3248" w:rsidP="00626BB1">
            <w:pPr>
              <w:spacing w:after="240"/>
              <w:jc w:val="center"/>
            </w:pPr>
            <w:r>
              <w:t>PacifiCorp</w:t>
            </w:r>
          </w:p>
        </w:tc>
        <w:tc>
          <w:tcPr>
            <w:tcW w:w="1343" w:type="dxa"/>
            <w:shd w:val="clear" w:color="auto" w:fill="auto"/>
          </w:tcPr>
          <w:p w:rsidR="00A60C09" w:rsidRDefault="00A60C09" w:rsidP="00626BB1">
            <w:pPr>
              <w:spacing w:after="240"/>
              <w:jc w:val="center"/>
            </w:pPr>
            <w:r>
              <w:t>0</w:t>
            </w:r>
          </w:p>
        </w:tc>
        <w:tc>
          <w:tcPr>
            <w:tcW w:w="1343" w:type="dxa"/>
            <w:shd w:val="clear" w:color="auto" w:fill="auto"/>
          </w:tcPr>
          <w:p w:rsidR="00A60C09" w:rsidRDefault="00A60C09" w:rsidP="00626BB1">
            <w:pPr>
              <w:spacing w:after="240"/>
              <w:jc w:val="center"/>
            </w:pPr>
            <w:r>
              <w:t>2</w:t>
            </w:r>
          </w:p>
        </w:tc>
        <w:tc>
          <w:tcPr>
            <w:tcW w:w="1343" w:type="dxa"/>
            <w:shd w:val="clear" w:color="auto" w:fill="auto"/>
          </w:tcPr>
          <w:p w:rsidR="00A60C09" w:rsidRDefault="00A60C09" w:rsidP="00626BB1">
            <w:pPr>
              <w:spacing w:after="240"/>
              <w:jc w:val="center"/>
            </w:pPr>
            <w:r>
              <w:t>13</w:t>
            </w:r>
          </w:p>
        </w:tc>
        <w:tc>
          <w:tcPr>
            <w:tcW w:w="3437" w:type="dxa"/>
            <w:shd w:val="clear" w:color="auto" w:fill="auto"/>
          </w:tcPr>
          <w:p w:rsidR="00936C4C" w:rsidRDefault="00936C4C" w:rsidP="00180083">
            <w:pPr>
              <w:spacing w:after="240"/>
            </w:pPr>
            <w:r>
              <w:t>2</w:t>
            </w:r>
            <w:r w:rsidR="00A60C09">
              <w:t xml:space="preserve"> severe; 1 high; 2 m</w:t>
            </w:r>
            <w:r w:rsidR="00180083">
              <w:t>edium</w:t>
            </w:r>
          </w:p>
        </w:tc>
      </w:tr>
      <w:tr w:rsidR="00443F5B" w:rsidTr="00C4252F">
        <w:tc>
          <w:tcPr>
            <w:tcW w:w="1372" w:type="dxa"/>
            <w:shd w:val="clear" w:color="auto" w:fill="auto"/>
          </w:tcPr>
          <w:p w:rsidR="00443F5B" w:rsidRDefault="00443F5B" w:rsidP="00C4252F">
            <w:pPr>
              <w:spacing w:after="240"/>
              <w:jc w:val="center"/>
            </w:pPr>
            <w:r>
              <w:t>Southern</w:t>
            </w:r>
          </w:p>
        </w:tc>
        <w:tc>
          <w:tcPr>
            <w:tcW w:w="1343" w:type="dxa"/>
            <w:shd w:val="clear" w:color="auto" w:fill="auto"/>
          </w:tcPr>
          <w:p w:rsidR="00443F5B" w:rsidRDefault="00443F5B" w:rsidP="00C4252F">
            <w:pPr>
              <w:spacing w:after="240"/>
              <w:jc w:val="center"/>
            </w:pPr>
            <w:r>
              <w:t>0</w:t>
            </w:r>
          </w:p>
        </w:tc>
        <w:tc>
          <w:tcPr>
            <w:tcW w:w="1343" w:type="dxa"/>
            <w:shd w:val="clear" w:color="auto" w:fill="auto"/>
          </w:tcPr>
          <w:p w:rsidR="00443F5B" w:rsidRDefault="00443F5B" w:rsidP="00C4252F">
            <w:pPr>
              <w:spacing w:after="240"/>
              <w:jc w:val="center"/>
            </w:pPr>
            <w:r>
              <w:t>0</w:t>
            </w:r>
          </w:p>
        </w:tc>
        <w:tc>
          <w:tcPr>
            <w:tcW w:w="1343" w:type="dxa"/>
            <w:shd w:val="clear" w:color="auto" w:fill="auto"/>
          </w:tcPr>
          <w:p w:rsidR="00443F5B" w:rsidRDefault="00443F5B" w:rsidP="00C4252F">
            <w:pPr>
              <w:spacing w:after="240"/>
              <w:jc w:val="center"/>
            </w:pPr>
            <w:r>
              <w:t>0</w:t>
            </w:r>
          </w:p>
        </w:tc>
        <w:tc>
          <w:tcPr>
            <w:tcW w:w="3437" w:type="dxa"/>
            <w:shd w:val="clear" w:color="auto" w:fill="auto"/>
          </w:tcPr>
          <w:p w:rsidR="00443F5B" w:rsidRDefault="00443F5B" w:rsidP="00C4252F">
            <w:pPr>
              <w:spacing w:after="240"/>
            </w:pPr>
          </w:p>
        </w:tc>
      </w:tr>
    </w:tbl>
    <w:p w:rsidR="00A60C09" w:rsidRDefault="00A60C09" w:rsidP="00626BB1">
      <w:pPr>
        <w:spacing w:after="240"/>
        <w:rPr>
          <w:b/>
          <w:u w:val="single"/>
        </w:rPr>
      </w:pPr>
      <w:r>
        <w:rPr>
          <w:b/>
          <w:u w:val="single"/>
        </w:rPr>
        <w:t>Note</w:t>
      </w:r>
    </w:p>
    <w:p w:rsidR="00A60C09" w:rsidRDefault="00A60C09" w:rsidP="00626BB1">
      <w:pPr>
        <w:spacing w:after="240"/>
      </w:pPr>
      <w:r>
        <w:t xml:space="preserve">Information represents data provided by ISOs, RTOs and utilities.  FERC </w:t>
      </w:r>
      <w:r w:rsidR="009A12EA">
        <w:t>made public</w:t>
      </w:r>
      <w:r>
        <w:t xml:space="preserve"> two additional violations in SPP in 2007 after these reports were submitted.</w:t>
      </w:r>
    </w:p>
    <w:p w:rsidR="00A60C09" w:rsidRDefault="00A60C09" w:rsidP="00626BB1">
      <w:pPr>
        <w:spacing w:after="240"/>
      </w:pPr>
      <w:r>
        <w:tab/>
      </w:r>
      <w:r w:rsidR="00971179">
        <w:t>T</w:t>
      </w:r>
      <w:r>
        <w:t xml:space="preserve">he </w:t>
      </w:r>
      <w:r w:rsidR="00971179">
        <w:t xml:space="preserve">reliability standards violations and operating reserve standards </w:t>
      </w:r>
      <w:r>
        <w:t>data submitted and discussion of the data by the ISOs, RTOs and utilities indicate that these metrics measur</w:t>
      </w:r>
      <w:r w:rsidR="007F3248">
        <w:t>e</w:t>
      </w:r>
      <w:r>
        <w:t xml:space="preserve"> the same activities and have the same meaning for ISOs, RTOs and utilities in regions outside ISO and RTO markets, and therefore are suitable as common metrics.</w:t>
      </w:r>
      <w:r w:rsidR="00971179">
        <w:t xml:space="preserve">  Such an outcome is expected for these metrics that are based on reliability standards </w:t>
      </w:r>
      <w:r w:rsidR="00971179">
        <w:lastRenderedPageBreak/>
        <w:t>developed for the entire electric industry by NERC</w:t>
      </w:r>
      <w:r w:rsidR="004B6159">
        <w:t>.</w:t>
      </w:r>
      <w:r>
        <w:t xml:space="preserve">  The data submitted and discussion of the data by the ISOs, RTOs and utilities for the unserved energy metric indicate that it is measuring the same activity and has the same meaning for ISOs, RTOs and utilities in regions outside ISO and RTO markets, and therefore is suitable as a common metric.  </w:t>
      </w:r>
    </w:p>
    <w:p w:rsidR="00A60C09" w:rsidRDefault="00A60C09" w:rsidP="002117D1">
      <w:pPr>
        <w:pStyle w:val="Heading3"/>
      </w:pPr>
      <w:bookmarkStart w:id="15" w:name="_Toc390256215"/>
      <w:r>
        <w:t>Dispatch Reliability</w:t>
      </w:r>
      <w:bookmarkStart w:id="16" w:name="_bmk7"/>
      <w:bookmarkEnd w:id="15"/>
    </w:p>
    <w:p w:rsidR="00A60C09" w:rsidRPr="00953D39" w:rsidRDefault="00A60C09" w:rsidP="002117D1">
      <w:pPr>
        <w:pStyle w:val="Heading4"/>
        <w:rPr>
          <w:szCs w:val="26"/>
        </w:rPr>
      </w:pPr>
      <w:bookmarkStart w:id="17" w:name="_Toc390256216"/>
      <w:bookmarkEnd w:id="16"/>
      <w:r w:rsidRPr="00953D39">
        <w:t>Definition</w:t>
      </w:r>
      <w:bookmarkStart w:id="18" w:name="_bmk8"/>
      <w:bookmarkEnd w:id="17"/>
    </w:p>
    <w:bookmarkEnd w:id="18"/>
    <w:p w:rsidR="00A60C09" w:rsidRDefault="00A60C09" w:rsidP="002117D1">
      <w:pPr>
        <w:spacing w:after="240"/>
        <w:ind w:firstLine="720"/>
        <w:rPr>
          <w:szCs w:val="26"/>
        </w:rPr>
      </w:pPr>
      <w:r>
        <w:rPr>
          <w:szCs w:val="26"/>
        </w:rPr>
        <w:t>Dispatch reliability is measured by three metrics as follows: (1) Balancing Authority Area Control Error Limit or Control Performance Standard 1 and Control Performance Standard 2.</w:t>
      </w:r>
      <w:r>
        <w:rPr>
          <w:rStyle w:val="FootnoteReference"/>
        </w:rPr>
        <w:footnoteReference w:id="12"/>
      </w:r>
      <w:r>
        <w:rPr>
          <w:szCs w:val="26"/>
        </w:rPr>
        <w:t xml:space="preserve">  These metrics measure the performance of dispatch operations in maintaining steady-state frequency within defined limits by balancing power demand and supply in real time; (2) the number of transmission load relief events (TLRs) of severity level 3 and higher called by the ISO, RTO or incumbent transmission provider or, for Western Electricity Coordinating Council (WECC) entities, unscheduled flow procedures equivalent to the TLR at a severity level 3 and higher, as measures of how often ISO, RTOs or transmission providers must resort to manual actions to redirect physical flows</w:t>
      </w:r>
      <w:r w:rsidR="009A12EA">
        <w:rPr>
          <w:szCs w:val="26"/>
        </w:rPr>
        <w:t>;</w:t>
      </w:r>
      <w:r>
        <w:rPr>
          <w:szCs w:val="26"/>
        </w:rPr>
        <w:t xml:space="preserve"> and (3) Energy Management System Availability for performing real-time monitoring and security analysis functions, reported as a percentage of minutes of operational availability each year.</w:t>
      </w:r>
    </w:p>
    <w:p w:rsidR="00A60C09" w:rsidRPr="00A466FF" w:rsidRDefault="00A60C09" w:rsidP="002117D1">
      <w:pPr>
        <w:pStyle w:val="Heading4"/>
      </w:pPr>
      <w:bookmarkStart w:id="19" w:name="_Toc390256217"/>
      <w:r>
        <w:t>Data Review and Metrics Assessment</w:t>
      </w:r>
      <w:bookmarkStart w:id="20" w:name="_bmk9"/>
      <w:bookmarkEnd w:id="19"/>
    </w:p>
    <w:bookmarkEnd w:id="20"/>
    <w:p w:rsidR="00A60C09" w:rsidRDefault="001E6DDE" w:rsidP="002117D1">
      <w:pPr>
        <w:spacing w:after="240"/>
        <w:ind w:firstLine="720"/>
      </w:pPr>
      <w:r>
        <w:rPr>
          <w:szCs w:val="26"/>
        </w:rPr>
        <w:t>As shown on the Control Performance Standards charts below, a</w:t>
      </w:r>
      <w:r w:rsidR="00A60C09">
        <w:rPr>
          <w:szCs w:val="26"/>
        </w:rPr>
        <w:t xml:space="preserve">ll </w:t>
      </w:r>
      <w:r w:rsidR="00B628B9">
        <w:rPr>
          <w:szCs w:val="26"/>
        </w:rPr>
        <w:t xml:space="preserve">reporting </w:t>
      </w:r>
      <w:r w:rsidR="00A60C09">
        <w:rPr>
          <w:szCs w:val="26"/>
        </w:rPr>
        <w:t xml:space="preserve">ISOs, RTOs and utilities were in compliance with NERC reliability standards for managing supply and demand in real-time.  </w:t>
      </w:r>
      <w:r w:rsidR="00A60C09">
        <w:t>Similar to the reliability standards metrics, the Control Performance Standard metrics are based on reliability standards developed for the entire electric industry by NERC.  Therefore, the data submitted and discussion of the data by the ISOs, RTOs and utilities indicates that the Control Performance Standard metrics measure the same activities and have the same meaning across all entities, and therefore are suitable to be common metrics.</w:t>
      </w:r>
    </w:p>
    <w:p w:rsidR="00A60C09" w:rsidRDefault="00A72E14" w:rsidP="002117D1">
      <w:pPr>
        <w:spacing w:after="240"/>
        <w:ind w:firstLine="720"/>
      </w:pPr>
      <w:r w:rsidRPr="00A72E14">
        <w:rPr>
          <w:noProof/>
        </w:rPr>
        <w:lastRenderedPageBreak/>
        <w:drawing>
          <wp:inline distT="0" distB="0" distL="0" distR="0" wp14:anchorId="52472BE6" wp14:editId="0F6C0095">
            <wp:extent cx="5943600" cy="8301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01611"/>
                    </a:xfrm>
                    <a:prstGeom prst="rect">
                      <a:avLst/>
                    </a:prstGeom>
                    <a:noFill/>
                    <a:ln>
                      <a:noFill/>
                    </a:ln>
                  </pic:spPr>
                </pic:pic>
              </a:graphicData>
            </a:graphic>
          </wp:inline>
        </w:drawing>
      </w:r>
    </w:p>
    <w:p w:rsidR="00A60C09" w:rsidRDefault="00155000" w:rsidP="002117D1">
      <w:pPr>
        <w:spacing w:after="240"/>
        <w:ind w:firstLine="720"/>
      </w:pPr>
      <w:r w:rsidRPr="00155000">
        <w:rPr>
          <w:noProof/>
        </w:rPr>
        <w:lastRenderedPageBreak/>
        <w:drawing>
          <wp:inline distT="0" distB="0" distL="0" distR="0" wp14:anchorId="3D5F086E" wp14:editId="01D33590">
            <wp:extent cx="5191125" cy="7658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7658100"/>
                    </a:xfrm>
                    <a:prstGeom prst="rect">
                      <a:avLst/>
                    </a:prstGeom>
                    <a:noFill/>
                    <a:ln>
                      <a:noFill/>
                    </a:ln>
                  </pic:spPr>
                </pic:pic>
              </a:graphicData>
            </a:graphic>
          </wp:inline>
        </w:drawing>
      </w:r>
    </w:p>
    <w:p w:rsidR="00A60C09" w:rsidRDefault="00A60C09" w:rsidP="002117D1">
      <w:pPr>
        <w:spacing w:after="240"/>
        <w:ind w:firstLine="720"/>
        <w:rPr>
          <w:szCs w:val="26"/>
        </w:rPr>
      </w:pPr>
    </w:p>
    <w:p w:rsidR="00A60C09" w:rsidRDefault="00A60C09" w:rsidP="002117D1">
      <w:pPr>
        <w:spacing w:after="240"/>
        <w:ind w:firstLine="720"/>
        <w:rPr>
          <w:szCs w:val="26"/>
        </w:rPr>
      </w:pPr>
      <w:r>
        <w:rPr>
          <w:szCs w:val="26"/>
        </w:rPr>
        <w:lastRenderedPageBreak/>
        <w:t xml:space="preserve">The data on the second metric, TLRs and unscheduled flow events, show a wide range of results </w:t>
      </w:r>
      <w:r w:rsidR="000E7805">
        <w:rPr>
          <w:szCs w:val="26"/>
        </w:rPr>
        <w:t xml:space="preserve">as reflected </w:t>
      </w:r>
      <w:r>
        <w:rPr>
          <w:szCs w:val="26"/>
        </w:rPr>
        <w:t xml:space="preserve">in the table below, from a few events per year on certain utility systems to thousands of events per year on some of the ISO and RTO transmission systems.  The meaning of this information should be interpreted with caution, particularly in interpreting the extent to which this data measures performance.  For example, SPP’s operating protocols require that it issue TLRs in parallel with congestion management so that increases in TLRs reflect increased use of market </w:t>
      </w:r>
      <w:proofErr w:type="spellStart"/>
      <w:r>
        <w:rPr>
          <w:szCs w:val="26"/>
        </w:rPr>
        <w:t>redispatch</w:t>
      </w:r>
      <w:proofErr w:type="spellEnd"/>
      <w:r>
        <w:rPr>
          <w:szCs w:val="26"/>
        </w:rPr>
        <w:t>.</w:t>
      </w:r>
      <w:r>
        <w:rPr>
          <w:rStyle w:val="FootnoteReference"/>
        </w:rPr>
        <w:footnoteReference w:id="13"/>
      </w:r>
      <w:r>
        <w:rPr>
          <w:szCs w:val="26"/>
        </w:rPr>
        <w:t xml:space="preserve">  Accordingly, increases in TLRs in SPP are not necessarily an indication of increased use of manual </w:t>
      </w:r>
      <w:proofErr w:type="spellStart"/>
      <w:r>
        <w:rPr>
          <w:szCs w:val="26"/>
        </w:rPr>
        <w:t>redispatch</w:t>
      </w:r>
      <w:proofErr w:type="spellEnd"/>
      <w:r>
        <w:rPr>
          <w:szCs w:val="26"/>
        </w:rPr>
        <w:t xml:space="preserve">.  </w:t>
      </w:r>
    </w:p>
    <w:p w:rsidR="00A60C09" w:rsidRPr="00887D11" w:rsidRDefault="007E5590" w:rsidP="007E5590">
      <w:pPr>
        <w:spacing w:after="240"/>
        <w:rPr>
          <w:b/>
          <w:szCs w:val="26"/>
          <w:u w:val="single"/>
        </w:rPr>
      </w:pPr>
      <w:r>
        <w:rPr>
          <w:b/>
          <w:szCs w:val="26"/>
        </w:rPr>
        <w:t xml:space="preserve">          </w:t>
      </w:r>
      <w:r w:rsidR="00A60C09">
        <w:rPr>
          <w:b/>
          <w:szCs w:val="26"/>
          <w:u w:val="single"/>
        </w:rPr>
        <w:t>TLR or Unscheduled Flow Events: Severity Level 3 or Higher</w:t>
      </w:r>
    </w:p>
    <w:tbl>
      <w:tblPr>
        <w:tblW w:w="8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346"/>
        <w:gridCol w:w="1163"/>
        <w:gridCol w:w="1170"/>
        <w:gridCol w:w="1080"/>
        <w:gridCol w:w="1170"/>
      </w:tblGrid>
      <w:tr w:rsidR="00A60C09" w:rsidRPr="00887D11" w:rsidTr="00953D39">
        <w:trPr>
          <w:trHeight w:val="256"/>
        </w:trPr>
        <w:tc>
          <w:tcPr>
            <w:tcW w:w="2366" w:type="dxa"/>
            <w:shd w:val="clear" w:color="auto" w:fill="auto"/>
            <w:noWrap/>
            <w:vAlign w:val="bottom"/>
            <w:hideMark/>
          </w:tcPr>
          <w:p w:rsidR="00A60C09" w:rsidRPr="005C3471" w:rsidRDefault="00A60C09" w:rsidP="002117D1">
            <w:pPr>
              <w:spacing w:after="240"/>
              <w:jc w:val="center"/>
              <w:rPr>
                <w:b/>
                <w:sz w:val="24"/>
                <w:szCs w:val="20"/>
                <w:u w:val="single"/>
              </w:rPr>
            </w:pPr>
            <w:r>
              <w:rPr>
                <w:b/>
                <w:sz w:val="24"/>
                <w:szCs w:val="20"/>
                <w:u w:val="single"/>
              </w:rPr>
              <w:t>Entity</w:t>
            </w:r>
          </w:p>
        </w:tc>
        <w:tc>
          <w:tcPr>
            <w:tcW w:w="1346" w:type="dxa"/>
            <w:shd w:val="clear" w:color="auto" w:fill="auto"/>
            <w:noWrap/>
            <w:vAlign w:val="bottom"/>
            <w:hideMark/>
          </w:tcPr>
          <w:p w:rsidR="00A60C09" w:rsidRPr="00887D11" w:rsidRDefault="00A60C09" w:rsidP="002117D1">
            <w:pPr>
              <w:spacing w:after="240"/>
              <w:jc w:val="center"/>
              <w:rPr>
                <w:b/>
                <w:bCs/>
                <w:sz w:val="24"/>
                <w:szCs w:val="20"/>
                <w:u w:val="single"/>
              </w:rPr>
            </w:pPr>
            <w:r w:rsidRPr="00887D11">
              <w:rPr>
                <w:b/>
                <w:bCs/>
                <w:sz w:val="24"/>
                <w:szCs w:val="20"/>
                <w:u w:val="single"/>
              </w:rPr>
              <w:t>2006</w:t>
            </w:r>
          </w:p>
        </w:tc>
        <w:tc>
          <w:tcPr>
            <w:tcW w:w="1163" w:type="dxa"/>
            <w:shd w:val="clear" w:color="auto" w:fill="auto"/>
            <w:noWrap/>
            <w:vAlign w:val="bottom"/>
            <w:hideMark/>
          </w:tcPr>
          <w:p w:rsidR="00A60C09" w:rsidRPr="00887D11" w:rsidRDefault="00A60C09" w:rsidP="002117D1">
            <w:pPr>
              <w:spacing w:after="240"/>
              <w:jc w:val="center"/>
              <w:rPr>
                <w:b/>
                <w:bCs/>
                <w:sz w:val="24"/>
                <w:szCs w:val="20"/>
                <w:u w:val="single"/>
              </w:rPr>
            </w:pPr>
            <w:r w:rsidRPr="00887D11">
              <w:rPr>
                <w:b/>
                <w:bCs/>
                <w:sz w:val="24"/>
                <w:szCs w:val="20"/>
                <w:u w:val="single"/>
              </w:rPr>
              <w:t>2007</w:t>
            </w:r>
          </w:p>
        </w:tc>
        <w:tc>
          <w:tcPr>
            <w:tcW w:w="1170" w:type="dxa"/>
            <w:shd w:val="clear" w:color="auto" w:fill="auto"/>
            <w:noWrap/>
            <w:vAlign w:val="bottom"/>
            <w:hideMark/>
          </w:tcPr>
          <w:p w:rsidR="00A60C09" w:rsidRPr="00887D11" w:rsidRDefault="00A60C09" w:rsidP="002117D1">
            <w:pPr>
              <w:spacing w:after="240"/>
              <w:jc w:val="center"/>
              <w:rPr>
                <w:b/>
                <w:bCs/>
                <w:sz w:val="24"/>
                <w:szCs w:val="20"/>
                <w:u w:val="single"/>
              </w:rPr>
            </w:pPr>
            <w:r w:rsidRPr="00887D11">
              <w:rPr>
                <w:b/>
                <w:bCs/>
                <w:sz w:val="24"/>
                <w:szCs w:val="20"/>
                <w:u w:val="single"/>
              </w:rPr>
              <w:t>2008</w:t>
            </w:r>
          </w:p>
        </w:tc>
        <w:tc>
          <w:tcPr>
            <w:tcW w:w="1080" w:type="dxa"/>
            <w:shd w:val="clear" w:color="auto" w:fill="auto"/>
            <w:noWrap/>
            <w:vAlign w:val="bottom"/>
            <w:hideMark/>
          </w:tcPr>
          <w:p w:rsidR="00A60C09" w:rsidRPr="00887D11" w:rsidRDefault="00A60C09" w:rsidP="002117D1">
            <w:pPr>
              <w:spacing w:after="240"/>
              <w:jc w:val="center"/>
              <w:rPr>
                <w:b/>
                <w:bCs/>
                <w:sz w:val="24"/>
                <w:szCs w:val="20"/>
                <w:u w:val="single"/>
              </w:rPr>
            </w:pPr>
            <w:r w:rsidRPr="00887D11">
              <w:rPr>
                <w:b/>
                <w:bCs/>
                <w:sz w:val="24"/>
                <w:szCs w:val="20"/>
                <w:u w:val="single"/>
              </w:rPr>
              <w:t>2009</w:t>
            </w:r>
          </w:p>
        </w:tc>
        <w:tc>
          <w:tcPr>
            <w:tcW w:w="1170" w:type="dxa"/>
            <w:shd w:val="clear" w:color="auto" w:fill="auto"/>
            <w:noWrap/>
            <w:vAlign w:val="bottom"/>
            <w:hideMark/>
          </w:tcPr>
          <w:p w:rsidR="00A60C09" w:rsidRPr="00887D11" w:rsidRDefault="00A60C09" w:rsidP="002117D1">
            <w:pPr>
              <w:spacing w:after="240"/>
              <w:jc w:val="center"/>
              <w:rPr>
                <w:b/>
                <w:bCs/>
                <w:sz w:val="24"/>
                <w:szCs w:val="20"/>
                <w:u w:val="single"/>
              </w:rPr>
            </w:pPr>
            <w:r w:rsidRPr="00887D11">
              <w:rPr>
                <w:b/>
                <w:bCs/>
                <w:sz w:val="24"/>
                <w:szCs w:val="20"/>
                <w:u w:val="single"/>
              </w:rPr>
              <w:t>2010</w:t>
            </w:r>
          </w:p>
        </w:tc>
      </w:tr>
      <w:tr w:rsidR="00443F5B" w:rsidRPr="00887D11" w:rsidTr="00C4252F">
        <w:trPr>
          <w:trHeight w:val="256"/>
        </w:trPr>
        <w:tc>
          <w:tcPr>
            <w:tcW w:w="2366" w:type="dxa"/>
            <w:shd w:val="clear" w:color="auto" w:fill="auto"/>
            <w:noWrap/>
            <w:vAlign w:val="bottom"/>
            <w:hideMark/>
          </w:tcPr>
          <w:p w:rsidR="00443F5B" w:rsidRPr="00887D11" w:rsidRDefault="00443F5B" w:rsidP="00F67725">
            <w:pPr>
              <w:spacing w:after="240"/>
              <w:jc w:val="center"/>
              <w:rPr>
                <w:sz w:val="24"/>
                <w:szCs w:val="20"/>
              </w:rPr>
            </w:pPr>
            <w:r w:rsidRPr="00887D11">
              <w:rPr>
                <w:sz w:val="24"/>
                <w:szCs w:val="20"/>
              </w:rPr>
              <w:t>CAISO</w:t>
            </w:r>
          </w:p>
        </w:tc>
        <w:tc>
          <w:tcPr>
            <w:tcW w:w="1346"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c>
          <w:tcPr>
            <w:tcW w:w="1163"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0</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200</w:t>
            </w:r>
          </w:p>
        </w:tc>
        <w:tc>
          <w:tcPr>
            <w:tcW w:w="108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30</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50</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ISO-NE</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r>
      <w:tr w:rsidR="00443F5B" w:rsidRPr="00887D11" w:rsidTr="00C4252F">
        <w:trPr>
          <w:trHeight w:val="256"/>
        </w:trPr>
        <w:tc>
          <w:tcPr>
            <w:tcW w:w="2366" w:type="dxa"/>
            <w:shd w:val="clear" w:color="auto" w:fill="auto"/>
            <w:noWrap/>
            <w:vAlign w:val="bottom"/>
            <w:hideMark/>
          </w:tcPr>
          <w:p w:rsidR="00443F5B" w:rsidRPr="00887D11" w:rsidRDefault="00443F5B" w:rsidP="00F67725">
            <w:pPr>
              <w:spacing w:after="240"/>
              <w:jc w:val="center"/>
              <w:rPr>
                <w:sz w:val="24"/>
                <w:szCs w:val="20"/>
              </w:rPr>
            </w:pPr>
            <w:r w:rsidRPr="00887D11">
              <w:rPr>
                <w:sz w:val="24"/>
                <w:szCs w:val="20"/>
              </w:rPr>
              <w:t>MISO</w:t>
            </w:r>
          </w:p>
        </w:tc>
        <w:tc>
          <w:tcPr>
            <w:tcW w:w="1346"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750</w:t>
            </w:r>
          </w:p>
        </w:tc>
        <w:tc>
          <w:tcPr>
            <w:tcW w:w="1163"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750</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550</w:t>
            </w:r>
          </w:p>
        </w:tc>
        <w:tc>
          <w:tcPr>
            <w:tcW w:w="108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300</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200</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NYISO</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0</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0</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200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150</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PJM</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200</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100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250</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200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150</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SPP</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500</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1700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1700</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1900</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2450</w:t>
            </w:r>
          </w:p>
        </w:tc>
      </w:tr>
      <w:tr w:rsidR="00443F5B" w:rsidRPr="00887D11" w:rsidTr="00C4252F">
        <w:trPr>
          <w:trHeight w:val="256"/>
        </w:trPr>
        <w:tc>
          <w:tcPr>
            <w:tcW w:w="2366" w:type="dxa"/>
            <w:shd w:val="clear" w:color="auto" w:fill="auto"/>
            <w:noWrap/>
            <w:vAlign w:val="bottom"/>
            <w:hideMark/>
          </w:tcPr>
          <w:p w:rsidR="00443F5B" w:rsidRPr="00887D11" w:rsidRDefault="00443F5B" w:rsidP="00F67725">
            <w:pPr>
              <w:spacing w:after="240"/>
              <w:jc w:val="center"/>
              <w:rPr>
                <w:sz w:val="24"/>
                <w:szCs w:val="20"/>
              </w:rPr>
            </w:pPr>
            <w:r w:rsidRPr="00887D11">
              <w:rPr>
                <w:sz w:val="24"/>
                <w:szCs w:val="20"/>
              </w:rPr>
              <w:t>APS</w:t>
            </w:r>
          </w:p>
        </w:tc>
        <w:tc>
          <w:tcPr>
            <w:tcW w:w="1346"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16</w:t>
            </w:r>
          </w:p>
        </w:tc>
        <w:tc>
          <w:tcPr>
            <w:tcW w:w="1163"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15</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10</w:t>
            </w:r>
          </w:p>
        </w:tc>
        <w:tc>
          <w:tcPr>
            <w:tcW w:w="108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8</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9</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Duke</w:t>
            </w:r>
          </w:p>
        </w:tc>
        <w:tc>
          <w:tcPr>
            <w:tcW w:w="1346" w:type="dxa"/>
            <w:shd w:val="clear" w:color="auto" w:fill="auto"/>
            <w:noWrap/>
            <w:vAlign w:val="bottom"/>
            <w:hideMark/>
          </w:tcPr>
          <w:p w:rsidR="00A60C09" w:rsidRPr="006E6B61" w:rsidRDefault="00A60C09" w:rsidP="002117D1">
            <w:pPr>
              <w:spacing w:after="240"/>
              <w:jc w:val="center"/>
              <w:rPr>
                <w:b/>
                <w:i/>
                <w:sz w:val="24"/>
                <w:szCs w:val="20"/>
              </w:rPr>
            </w:pPr>
            <w:r w:rsidRPr="006E6B61">
              <w:rPr>
                <w:b/>
                <w:i/>
                <w:sz w:val="24"/>
                <w:szCs w:val="20"/>
              </w:rPr>
              <w:t>0.5</w:t>
            </w:r>
          </w:p>
        </w:tc>
        <w:tc>
          <w:tcPr>
            <w:tcW w:w="1163" w:type="dxa"/>
            <w:shd w:val="clear" w:color="auto" w:fill="auto"/>
            <w:noWrap/>
            <w:vAlign w:val="bottom"/>
            <w:hideMark/>
          </w:tcPr>
          <w:p w:rsidR="00A60C09" w:rsidRPr="006E6B61" w:rsidRDefault="00A60C09" w:rsidP="002117D1">
            <w:pPr>
              <w:spacing w:after="240"/>
              <w:jc w:val="center"/>
              <w:rPr>
                <w:b/>
                <w:i/>
                <w:sz w:val="24"/>
                <w:szCs w:val="20"/>
              </w:rPr>
            </w:pPr>
            <w:r w:rsidRPr="006E6B61">
              <w:rPr>
                <w:b/>
                <w:i/>
                <w:sz w:val="24"/>
                <w:szCs w:val="20"/>
              </w:rPr>
              <w:t>19.8</w:t>
            </w:r>
          </w:p>
        </w:tc>
        <w:tc>
          <w:tcPr>
            <w:tcW w:w="1170" w:type="dxa"/>
            <w:shd w:val="clear" w:color="auto" w:fill="auto"/>
            <w:noWrap/>
            <w:vAlign w:val="bottom"/>
            <w:hideMark/>
          </w:tcPr>
          <w:p w:rsidR="00A60C09" w:rsidRPr="006E6B61" w:rsidRDefault="00A60C09" w:rsidP="002117D1">
            <w:pPr>
              <w:spacing w:after="240"/>
              <w:jc w:val="center"/>
              <w:rPr>
                <w:b/>
                <w:i/>
                <w:sz w:val="24"/>
                <w:szCs w:val="20"/>
              </w:rPr>
            </w:pPr>
            <w:r w:rsidRPr="006E6B61">
              <w:rPr>
                <w:b/>
                <w:i/>
                <w:sz w:val="24"/>
                <w:szCs w:val="20"/>
              </w:rPr>
              <w:t>0</w:t>
            </w:r>
          </w:p>
        </w:tc>
        <w:tc>
          <w:tcPr>
            <w:tcW w:w="1080" w:type="dxa"/>
            <w:shd w:val="clear" w:color="auto" w:fill="auto"/>
            <w:noWrap/>
            <w:vAlign w:val="bottom"/>
            <w:hideMark/>
          </w:tcPr>
          <w:p w:rsidR="00A60C09" w:rsidRPr="006E6B61" w:rsidRDefault="00A60C09" w:rsidP="002117D1">
            <w:pPr>
              <w:spacing w:after="240"/>
              <w:jc w:val="center"/>
              <w:rPr>
                <w:b/>
                <w:i/>
                <w:sz w:val="24"/>
                <w:szCs w:val="20"/>
              </w:rPr>
            </w:pPr>
            <w:r w:rsidRPr="006E6B61">
              <w:rPr>
                <w:b/>
                <w:i/>
                <w:sz w:val="24"/>
                <w:szCs w:val="20"/>
              </w:rPr>
              <w:t>1.3</w:t>
            </w:r>
          </w:p>
        </w:tc>
        <w:tc>
          <w:tcPr>
            <w:tcW w:w="1170" w:type="dxa"/>
            <w:shd w:val="clear" w:color="auto" w:fill="auto"/>
            <w:noWrap/>
            <w:vAlign w:val="bottom"/>
            <w:hideMark/>
          </w:tcPr>
          <w:p w:rsidR="00A60C09" w:rsidRPr="006E6B61" w:rsidRDefault="00A60C09" w:rsidP="002117D1">
            <w:pPr>
              <w:spacing w:after="240"/>
              <w:jc w:val="center"/>
              <w:rPr>
                <w:b/>
                <w:i/>
                <w:sz w:val="24"/>
                <w:szCs w:val="20"/>
              </w:rPr>
            </w:pPr>
            <w:r w:rsidRPr="006E6B61">
              <w:rPr>
                <w:b/>
                <w:i/>
                <w:sz w:val="24"/>
                <w:szCs w:val="20"/>
              </w:rPr>
              <w:t>2.6</w:t>
            </w:r>
          </w:p>
        </w:tc>
      </w:tr>
      <w:tr w:rsidR="00A60C09" w:rsidRPr="00887D11" w:rsidTr="00953D39">
        <w:trPr>
          <w:trHeight w:val="256"/>
        </w:trPr>
        <w:tc>
          <w:tcPr>
            <w:tcW w:w="2366" w:type="dxa"/>
            <w:shd w:val="clear" w:color="auto" w:fill="auto"/>
            <w:noWrap/>
            <w:vAlign w:val="bottom"/>
            <w:hideMark/>
          </w:tcPr>
          <w:p w:rsidR="00A60C09" w:rsidRPr="00887D11" w:rsidRDefault="00A60C09" w:rsidP="00F67725">
            <w:pPr>
              <w:spacing w:after="240"/>
              <w:jc w:val="center"/>
              <w:rPr>
                <w:sz w:val="24"/>
                <w:szCs w:val="20"/>
              </w:rPr>
            </w:pPr>
            <w:r w:rsidRPr="00887D11">
              <w:rPr>
                <w:sz w:val="24"/>
                <w:szCs w:val="20"/>
              </w:rPr>
              <w:t>LG&amp;E/KU</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No Data</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42</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18</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16</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40</w:t>
            </w:r>
          </w:p>
        </w:tc>
      </w:tr>
      <w:tr w:rsidR="00A60C09" w:rsidRPr="00887D11" w:rsidTr="00953D39">
        <w:trPr>
          <w:trHeight w:val="256"/>
        </w:trPr>
        <w:tc>
          <w:tcPr>
            <w:tcW w:w="2366" w:type="dxa"/>
            <w:shd w:val="clear" w:color="auto" w:fill="auto"/>
            <w:noWrap/>
            <w:vAlign w:val="bottom"/>
            <w:hideMark/>
          </w:tcPr>
          <w:p w:rsidR="00A60C09" w:rsidRPr="00887D11" w:rsidRDefault="007F3248" w:rsidP="00F67725">
            <w:pPr>
              <w:spacing w:after="240"/>
              <w:jc w:val="center"/>
              <w:rPr>
                <w:sz w:val="24"/>
                <w:szCs w:val="20"/>
              </w:rPr>
            </w:pPr>
            <w:r>
              <w:rPr>
                <w:sz w:val="24"/>
                <w:szCs w:val="20"/>
              </w:rPr>
              <w:t>PacifiCorp</w:t>
            </w:r>
          </w:p>
        </w:tc>
        <w:tc>
          <w:tcPr>
            <w:tcW w:w="1346"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8</w:t>
            </w:r>
          </w:p>
        </w:tc>
        <w:tc>
          <w:tcPr>
            <w:tcW w:w="1163"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122</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281</w:t>
            </w:r>
          </w:p>
        </w:tc>
        <w:tc>
          <w:tcPr>
            <w:tcW w:w="108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25</w:t>
            </w:r>
          </w:p>
        </w:tc>
        <w:tc>
          <w:tcPr>
            <w:tcW w:w="1170" w:type="dxa"/>
            <w:shd w:val="clear" w:color="auto" w:fill="auto"/>
            <w:noWrap/>
            <w:vAlign w:val="bottom"/>
            <w:hideMark/>
          </w:tcPr>
          <w:p w:rsidR="00A60C09" w:rsidRPr="00887D11" w:rsidRDefault="00A60C09" w:rsidP="002117D1">
            <w:pPr>
              <w:spacing w:after="240"/>
              <w:jc w:val="center"/>
              <w:rPr>
                <w:sz w:val="24"/>
                <w:szCs w:val="20"/>
              </w:rPr>
            </w:pPr>
            <w:r w:rsidRPr="00887D11">
              <w:rPr>
                <w:sz w:val="24"/>
                <w:szCs w:val="20"/>
              </w:rPr>
              <w:t>54</w:t>
            </w:r>
          </w:p>
        </w:tc>
      </w:tr>
      <w:tr w:rsidR="00443F5B" w:rsidRPr="00887D11" w:rsidTr="00C4252F">
        <w:trPr>
          <w:trHeight w:val="256"/>
        </w:trPr>
        <w:tc>
          <w:tcPr>
            <w:tcW w:w="2366" w:type="dxa"/>
            <w:shd w:val="clear" w:color="auto" w:fill="auto"/>
            <w:noWrap/>
            <w:vAlign w:val="bottom"/>
            <w:hideMark/>
          </w:tcPr>
          <w:p w:rsidR="00443F5B" w:rsidRPr="00887D11" w:rsidRDefault="00443F5B" w:rsidP="00F67725">
            <w:pPr>
              <w:spacing w:after="240"/>
              <w:jc w:val="center"/>
              <w:rPr>
                <w:sz w:val="24"/>
                <w:szCs w:val="20"/>
              </w:rPr>
            </w:pPr>
            <w:r w:rsidRPr="00887D11">
              <w:rPr>
                <w:sz w:val="24"/>
                <w:szCs w:val="20"/>
              </w:rPr>
              <w:t>Southern</w:t>
            </w:r>
          </w:p>
        </w:tc>
        <w:tc>
          <w:tcPr>
            <w:tcW w:w="1346"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c>
          <w:tcPr>
            <w:tcW w:w="1163"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c>
          <w:tcPr>
            <w:tcW w:w="108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c>
          <w:tcPr>
            <w:tcW w:w="1170" w:type="dxa"/>
            <w:shd w:val="clear" w:color="auto" w:fill="auto"/>
            <w:noWrap/>
            <w:vAlign w:val="bottom"/>
            <w:hideMark/>
          </w:tcPr>
          <w:p w:rsidR="00443F5B" w:rsidRPr="00887D11" w:rsidRDefault="00443F5B" w:rsidP="00C4252F">
            <w:pPr>
              <w:spacing w:after="240"/>
              <w:jc w:val="center"/>
              <w:rPr>
                <w:sz w:val="24"/>
                <w:szCs w:val="20"/>
              </w:rPr>
            </w:pPr>
            <w:r w:rsidRPr="00887D11">
              <w:rPr>
                <w:sz w:val="24"/>
                <w:szCs w:val="20"/>
              </w:rPr>
              <w:t>No Data</w:t>
            </w:r>
          </w:p>
        </w:tc>
      </w:tr>
    </w:tbl>
    <w:p w:rsidR="00180083" w:rsidRDefault="00A60C09" w:rsidP="00180083">
      <w:pPr>
        <w:spacing w:after="240"/>
        <w:rPr>
          <w:b/>
          <w:u w:val="single"/>
        </w:rPr>
      </w:pPr>
      <w:r w:rsidRPr="009105A0">
        <w:rPr>
          <w:b/>
          <w:u w:val="single"/>
        </w:rPr>
        <w:t>Notes</w:t>
      </w:r>
    </w:p>
    <w:p w:rsidR="00A60C09" w:rsidRDefault="007545EE" w:rsidP="00F64A93">
      <w:pPr>
        <w:widowControl/>
        <w:spacing w:after="240"/>
      </w:pPr>
      <w:r>
        <w:rPr>
          <w:b/>
          <w:i/>
        </w:rPr>
        <w:t>B</w:t>
      </w:r>
      <w:r w:rsidR="006D2801">
        <w:rPr>
          <w:b/>
          <w:i/>
        </w:rPr>
        <w:t xml:space="preserve">old </w:t>
      </w:r>
      <w:r w:rsidR="006D2801" w:rsidRPr="002117D1">
        <w:rPr>
          <w:b/>
          <w:i/>
        </w:rPr>
        <w:t>i</w:t>
      </w:r>
      <w:r w:rsidR="00A60C09" w:rsidRPr="006D2801">
        <w:rPr>
          <w:b/>
          <w:i/>
        </w:rPr>
        <w:t>talics</w:t>
      </w:r>
      <w:r w:rsidR="00A60C09">
        <w:t xml:space="preserve"> indicate TLR hours</w:t>
      </w:r>
      <w:r w:rsidR="001F20E6">
        <w:t>, as opposed to events, reported by Duke</w:t>
      </w:r>
      <w:r w:rsidR="00A60C09">
        <w:t>.</w:t>
      </w:r>
      <w:r w:rsidR="00F64A93">
        <w:t xml:space="preserve">   </w:t>
      </w:r>
      <w:r w:rsidR="00A60C09">
        <w:t>ISO-NE and Southern did not report TLRs.</w:t>
      </w:r>
      <w:r w:rsidR="00F64A93">
        <w:t xml:space="preserve">  </w:t>
      </w:r>
      <w:r w:rsidR="00A60C09">
        <w:t xml:space="preserve">LG&amp;E/KU data includes </w:t>
      </w:r>
      <w:r w:rsidR="000E7805">
        <w:t xml:space="preserve">events for all severity levels.  LG&amp;E/KU indicate that </w:t>
      </w:r>
      <w:r w:rsidR="00A60C09">
        <w:t>75 percent</w:t>
      </w:r>
      <w:r w:rsidR="001F20E6">
        <w:t xml:space="preserve"> </w:t>
      </w:r>
      <w:r w:rsidR="00A60C09">
        <w:t xml:space="preserve">of </w:t>
      </w:r>
      <w:r w:rsidR="004B2824">
        <w:t xml:space="preserve">all </w:t>
      </w:r>
      <w:r w:rsidR="00A60C09">
        <w:t xml:space="preserve">events were </w:t>
      </w:r>
      <w:r w:rsidR="00F24E6D">
        <w:t>severity l</w:t>
      </w:r>
      <w:r w:rsidR="00A60C09">
        <w:t>evel 3 and higher</w:t>
      </w:r>
      <w:r w:rsidR="000E7805">
        <w:t>.  LG&amp;E/KU did</w:t>
      </w:r>
      <w:r w:rsidR="004B2824">
        <w:t xml:space="preserve"> not report</w:t>
      </w:r>
      <w:r w:rsidR="00D11026">
        <w:t xml:space="preserve"> information on se</w:t>
      </w:r>
      <w:r w:rsidR="000E7805">
        <w:t xml:space="preserve">verity </w:t>
      </w:r>
      <w:r w:rsidR="00D11026">
        <w:t>l</w:t>
      </w:r>
      <w:r w:rsidR="000E7805">
        <w:t>evel 3 and higher</w:t>
      </w:r>
      <w:r w:rsidR="004B2824">
        <w:t xml:space="preserve"> by year</w:t>
      </w:r>
      <w:r w:rsidR="00A60C09">
        <w:t>.</w:t>
      </w:r>
    </w:p>
    <w:p w:rsidR="00000106" w:rsidRDefault="00000106" w:rsidP="005D60E4"/>
    <w:p w:rsidR="001F20E6" w:rsidRDefault="00A60C09" w:rsidP="002117D1">
      <w:pPr>
        <w:spacing w:after="240"/>
        <w:ind w:firstLine="720"/>
        <w:rPr>
          <w:szCs w:val="26"/>
        </w:rPr>
      </w:pPr>
      <w:r>
        <w:rPr>
          <w:szCs w:val="26"/>
        </w:rPr>
        <w:t>The data submitted on TLR and unscheduled flow</w:t>
      </w:r>
      <w:r w:rsidR="00155000">
        <w:rPr>
          <w:szCs w:val="26"/>
        </w:rPr>
        <w:t xml:space="preserve"> event</w:t>
      </w:r>
      <w:r>
        <w:rPr>
          <w:szCs w:val="26"/>
        </w:rPr>
        <w:t xml:space="preserve">s indicate that this metric </w:t>
      </w:r>
      <w:r w:rsidR="001F20E6">
        <w:rPr>
          <w:szCs w:val="26"/>
        </w:rPr>
        <w:t>is</w:t>
      </w:r>
      <w:r>
        <w:rPr>
          <w:szCs w:val="26"/>
        </w:rPr>
        <w:t xml:space="preserve"> not suitable as a common metric because TLRs or unscheduled flow events are not used universally in the industry and the data </w:t>
      </w:r>
      <w:r w:rsidR="001F20E6">
        <w:rPr>
          <w:szCs w:val="26"/>
        </w:rPr>
        <w:t>are</w:t>
      </w:r>
      <w:r>
        <w:rPr>
          <w:szCs w:val="26"/>
        </w:rPr>
        <w:t xml:space="preserve"> not reliable indicator</w:t>
      </w:r>
      <w:r w:rsidR="001F20E6">
        <w:rPr>
          <w:szCs w:val="26"/>
        </w:rPr>
        <w:t>s</w:t>
      </w:r>
      <w:r>
        <w:rPr>
          <w:szCs w:val="26"/>
        </w:rPr>
        <w:t xml:space="preserve"> of their role in managing reliability, as noted in the SPP discussion above.  </w:t>
      </w:r>
    </w:p>
    <w:p w:rsidR="00A60C09" w:rsidRPr="00543A91" w:rsidRDefault="00A60C09" w:rsidP="002117D1">
      <w:pPr>
        <w:spacing w:after="240"/>
        <w:ind w:firstLine="720"/>
      </w:pPr>
      <w:r>
        <w:rPr>
          <w:szCs w:val="26"/>
        </w:rPr>
        <w:t>A more suitable common metric m</w:t>
      </w:r>
      <w:r w:rsidR="001F20E6">
        <w:rPr>
          <w:szCs w:val="26"/>
        </w:rPr>
        <w:t>ight</w:t>
      </w:r>
      <w:r>
        <w:rPr>
          <w:szCs w:val="26"/>
        </w:rPr>
        <w:t xml:space="preserve"> be a measure of the megawatts managed by all manual actions as a percentage of total megawatts subject to congestion management.  Such a measure would encompass the full range of manual procedures used by ISOs, RTOs and utilities and it would not count TLRs that are not implemented.  While we are not recommending that this metric be revised</w:t>
      </w:r>
      <w:r w:rsidR="00155000">
        <w:rPr>
          <w:szCs w:val="26"/>
        </w:rPr>
        <w:t xml:space="preserve"> in this report</w:t>
      </w:r>
      <w:r>
        <w:rPr>
          <w:szCs w:val="26"/>
        </w:rPr>
        <w:t>, we encourage ISOs, RTOs, participating utilities and stakeholders to consider refinements to the metric or alternative metrics.</w:t>
      </w:r>
      <w:r w:rsidR="006D3E3F">
        <w:rPr>
          <w:szCs w:val="26"/>
        </w:rPr>
        <w:t xml:space="preserve">  </w:t>
      </w:r>
    </w:p>
    <w:p w:rsidR="00CC3493" w:rsidRDefault="00A60C09" w:rsidP="002117D1">
      <w:pPr>
        <w:spacing w:after="240"/>
        <w:ind w:firstLine="720"/>
        <w:rPr>
          <w:szCs w:val="26"/>
        </w:rPr>
      </w:pPr>
      <w:r>
        <w:rPr>
          <w:szCs w:val="26"/>
        </w:rPr>
        <w:t>With respect to the Energy Management System availability metric, ISOs, RTOs and utilities</w:t>
      </w:r>
      <w:r w:rsidR="00CC3493">
        <w:rPr>
          <w:szCs w:val="26"/>
        </w:rPr>
        <w:t xml:space="preserve"> in regions outside these markets provided the following information for the 2006</w:t>
      </w:r>
      <w:r w:rsidR="00623D32" w:rsidRPr="00623D32">
        <w:t>–</w:t>
      </w:r>
      <w:r w:rsidR="00CC3493">
        <w:rPr>
          <w:szCs w:val="26"/>
        </w:rPr>
        <w:t xml:space="preserve">2010 </w:t>
      </w:r>
      <w:proofErr w:type="gramStart"/>
      <w:r w:rsidR="00CC3493">
        <w:rPr>
          <w:szCs w:val="26"/>
        </w:rPr>
        <w:t>period</w:t>
      </w:r>
      <w:proofErr w:type="gramEnd"/>
      <w:r w:rsidR="00CC3493">
        <w:rPr>
          <w:szCs w:val="26"/>
        </w:rPr>
        <w:t>:</w:t>
      </w:r>
    </w:p>
    <w:p w:rsidR="00CC3493" w:rsidRDefault="00CC3493" w:rsidP="002117D1">
      <w:pPr>
        <w:pStyle w:val="ListParagraph"/>
        <w:numPr>
          <w:ilvl w:val="0"/>
          <w:numId w:val="45"/>
        </w:numPr>
        <w:spacing w:after="240"/>
        <w:rPr>
          <w:szCs w:val="26"/>
        </w:rPr>
      </w:pPr>
      <w:r>
        <w:rPr>
          <w:szCs w:val="26"/>
        </w:rPr>
        <w:t>NYISO reported availability of greater than 99</w:t>
      </w:r>
      <w:r w:rsidR="00214041">
        <w:rPr>
          <w:szCs w:val="26"/>
        </w:rPr>
        <w:t xml:space="preserve"> percent</w:t>
      </w:r>
      <w:r w:rsidR="00542687">
        <w:rPr>
          <w:szCs w:val="26"/>
        </w:rPr>
        <w:t>,</w:t>
      </w:r>
      <w:r>
        <w:rPr>
          <w:szCs w:val="26"/>
        </w:rPr>
        <w:t xml:space="preserve"> which is equivalent to Energy Management System unavailability of less than 87 hours and 36 minutes in a year.</w:t>
      </w:r>
    </w:p>
    <w:p w:rsidR="005F256E" w:rsidRDefault="008C22B5" w:rsidP="002117D1">
      <w:pPr>
        <w:pStyle w:val="ListParagraph"/>
        <w:numPr>
          <w:ilvl w:val="0"/>
          <w:numId w:val="45"/>
        </w:numPr>
        <w:spacing w:after="240"/>
        <w:rPr>
          <w:szCs w:val="26"/>
        </w:rPr>
      </w:pPr>
      <w:r>
        <w:rPr>
          <w:szCs w:val="26"/>
        </w:rPr>
        <w:t>PJM</w:t>
      </w:r>
      <w:r w:rsidR="00B4594F">
        <w:rPr>
          <w:szCs w:val="26"/>
        </w:rPr>
        <w:t xml:space="preserve"> reported availability </w:t>
      </w:r>
      <w:r>
        <w:rPr>
          <w:szCs w:val="26"/>
        </w:rPr>
        <w:t>equal to</w:t>
      </w:r>
      <w:r w:rsidR="00B4594F">
        <w:rPr>
          <w:szCs w:val="26"/>
        </w:rPr>
        <w:t xml:space="preserve"> 99.5 percent, which is equivalent to Energy Management System unavailability of 43 hours and 48 minutes</w:t>
      </w:r>
      <w:r>
        <w:rPr>
          <w:szCs w:val="26"/>
        </w:rPr>
        <w:t xml:space="preserve"> in a year</w:t>
      </w:r>
      <w:r w:rsidR="00B4594F">
        <w:rPr>
          <w:szCs w:val="26"/>
        </w:rPr>
        <w:t>.</w:t>
      </w:r>
      <w:r>
        <w:rPr>
          <w:szCs w:val="26"/>
        </w:rPr>
        <w:t xml:space="preserve">  </w:t>
      </w:r>
    </w:p>
    <w:p w:rsidR="00B4594F" w:rsidRDefault="008C22B5" w:rsidP="002117D1">
      <w:pPr>
        <w:pStyle w:val="ListParagraph"/>
        <w:numPr>
          <w:ilvl w:val="0"/>
          <w:numId w:val="45"/>
        </w:numPr>
        <w:spacing w:after="240"/>
        <w:rPr>
          <w:szCs w:val="26"/>
        </w:rPr>
      </w:pPr>
      <w:r>
        <w:rPr>
          <w:szCs w:val="26"/>
        </w:rPr>
        <w:t>SPP reported availability since 2007 of greater than 99.5 percent.</w:t>
      </w:r>
    </w:p>
    <w:p w:rsidR="00CC3493" w:rsidRDefault="00CC3493" w:rsidP="002117D1">
      <w:pPr>
        <w:pStyle w:val="ListParagraph"/>
        <w:numPr>
          <w:ilvl w:val="0"/>
          <w:numId w:val="45"/>
        </w:numPr>
        <w:spacing w:after="240"/>
        <w:rPr>
          <w:szCs w:val="26"/>
        </w:rPr>
      </w:pPr>
      <w:r>
        <w:rPr>
          <w:szCs w:val="26"/>
        </w:rPr>
        <w:t>PacifiCorp reported availability between 99.8</w:t>
      </w:r>
      <w:r w:rsidR="00B87EB7">
        <w:rPr>
          <w:szCs w:val="26"/>
        </w:rPr>
        <w:t>69</w:t>
      </w:r>
      <w:r w:rsidR="00214041">
        <w:rPr>
          <w:szCs w:val="26"/>
        </w:rPr>
        <w:t xml:space="preserve"> percent</w:t>
      </w:r>
      <w:r w:rsidR="00883755">
        <w:rPr>
          <w:szCs w:val="26"/>
        </w:rPr>
        <w:t>, which is</w:t>
      </w:r>
      <w:r>
        <w:rPr>
          <w:szCs w:val="26"/>
        </w:rPr>
        <w:t xml:space="preserve"> equivalent to 11 hours and 2</w:t>
      </w:r>
      <w:r w:rsidR="00FD6E40">
        <w:rPr>
          <w:szCs w:val="26"/>
        </w:rPr>
        <w:t>9</w:t>
      </w:r>
      <w:r>
        <w:rPr>
          <w:szCs w:val="26"/>
        </w:rPr>
        <w:t xml:space="preserve"> minutes of unavailability in a year</w:t>
      </w:r>
      <w:r w:rsidR="00883755">
        <w:rPr>
          <w:szCs w:val="26"/>
        </w:rPr>
        <w:t>,</w:t>
      </w:r>
      <w:r>
        <w:rPr>
          <w:szCs w:val="26"/>
        </w:rPr>
        <w:t xml:space="preserve"> and 99.9</w:t>
      </w:r>
      <w:r w:rsidR="00214041">
        <w:rPr>
          <w:szCs w:val="26"/>
        </w:rPr>
        <w:t xml:space="preserve"> percent</w:t>
      </w:r>
      <w:r w:rsidR="00883755">
        <w:rPr>
          <w:szCs w:val="26"/>
        </w:rPr>
        <w:t>,</w:t>
      </w:r>
      <w:r>
        <w:rPr>
          <w:szCs w:val="26"/>
        </w:rPr>
        <w:t xml:space="preserve"> </w:t>
      </w:r>
      <w:r w:rsidR="00883755">
        <w:rPr>
          <w:szCs w:val="26"/>
        </w:rPr>
        <w:t xml:space="preserve">which is </w:t>
      </w:r>
      <w:r>
        <w:rPr>
          <w:szCs w:val="26"/>
        </w:rPr>
        <w:t>equivalent to 8 hours and 46 minutes of unavailability in a year.</w:t>
      </w:r>
    </w:p>
    <w:p w:rsidR="00AD35B4" w:rsidRDefault="00AD35B4" w:rsidP="002117D1">
      <w:pPr>
        <w:pStyle w:val="ListParagraph"/>
        <w:numPr>
          <w:ilvl w:val="0"/>
          <w:numId w:val="45"/>
        </w:numPr>
        <w:spacing w:after="240"/>
        <w:rPr>
          <w:szCs w:val="26"/>
        </w:rPr>
      </w:pPr>
      <w:r>
        <w:rPr>
          <w:szCs w:val="26"/>
        </w:rPr>
        <w:t>ISO-NE, MISO, LG&amp;E/KU and Southern reported availability of greater than 99.9</w:t>
      </w:r>
      <w:r w:rsidR="00214041">
        <w:rPr>
          <w:szCs w:val="26"/>
        </w:rPr>
        <w:t xml:space="preserve"> percent</w:t>
      </w:r>
      <w:r w:rsidR="00883755">
        <w:rPr>
          <w:szCs w:val="26"/>
        </w:rPr>
        <w:t>,</w:t>
      </w:r>
      <w:r>
        <w:rPr>
          <w:szCs w:val="26"/>
        </w:rPr>
        <w:t xml:space="preserve"> which is equivalent to unavailability of less than </w:t>
      </w:r>
      <w:r w:rsidR="00214041">
        <w:rPr>
          <w:szCs w:val="26"/>
        </w:rPr>
        <w:t>8 hours and 46 minutes</w:t>
      </w:r>
      <w:r w:rsidR="006913CC">
        <w:rPr>
          <w:szCs w:val="26"/>
        </w:rPr>
        <w:t xml:space="preserve"> in a year</w:t>
      </w:r>
      <w:r w:rsidR="00214041">
        <w:rPr>
          <w:szCs w:val="26"/>
        </w:rPr>
        <w:t>.</w:t>
      </w:r>
      <w:r>
        <w:rPr>
          <w:szCs w:val="26"/>
        </w:rPr>
        <w:t xml:space="preserve"> </w:t>
      </w:r>
    </w:p>
    <w:p w:rsidR="00B65782" w:rsidRDefault="00CC3493" w:rsidP="002117D1">
      <w:pPr>
        <w:pStyle w:val="ListParagraph"/>
        <w:numPr>
          <w:ilvl w:val="0"/>
          <w:numId w:val="45"/>
        </w:numPr>
        <w:spacing w:after="240"/>
        <w:rPr>
          <w:szCs w:val="26"/>
        </w:rPr>
      </w:pPr>
      <w:r>
        <w:rPr>
          <w:szCs w:val="26"/>
        </w:rPr>
        <w:t xml:space="preserve">APS reported availability </w:t>
      </w:r>
      <w:r w:rsidR="00B65782">
        <w:rPr>
          <w:szCs w:val="26"/>
        </w:rPr>
        <w:t>or greater than or equal to</w:t>
      </w:r>
      <w:r>
        <w:rPr>
          <w:szCs w:val="26"/>
        </w:rPr>
        <w:t xml:space="preserve"> 99.94</w:t>
      </w:r>
      <w:r w:rsidR="00214041">
        <w:rPr>
          <w:szCs w:val="26"/>
        </w:rPr>
        <w:t xml:space="preserve"> percent</w:t>
      </w:r>
      <w:r w:rsidR="00B6474F">
        <w:rPr>
          <w:szCs w:val="26"/>
        </w:rPr>
        <w:t>, which is</w:t>
      </w:r>
      <w:r>
        <w:rPr>
          <w:szCs w:val="26"/>
        </w:rPr>
        <w:t xml:space="preserve"> equivalent to </w:t>
      </w:r>
      <w:r w:rsidR="00AD35B4">
        <w:rPr>
          <w:szCs w:val="26"/>
        </w:rPr>
        <w:t xml:space="preserve">unavailability of </w:t>
      </w:r>
      <w:r>
        <w:rPr>
          <w:szCs w:val="26"/>
        </w:rPr>
        <w:t>5 hours and 15 minute</w:t>
      </w:r>
      <w:r w:rsidR="00B65782">
        <w:rPr>
          <w:szCs w:val="26"/>
        </w:rPr>
        <w:t>s</w:t>
      </w:r>
      <w:r w:rsidR="00AD35B4">
        <w:rPr>
          <w:szCs w:val="26"/>
        </w:rPr>
        <w:t xml:space="preserve"> </w:t>
      </w:r>
      <w:r w:rsidR="00214041">
        <w:rPr>
          <w:szCs w:val="26"/>
        </w:rPr>
        <w:t xml:space="preserve">or less </w:t>
      </w:r>
      <w:r w:rsidR="00AD35B4">
        <w:rPr>
          <w:szCs w:val="26"/>
        </w:rPr>
        <w:t>in a year</w:t>
      </w:r>
      <w:r w:rsidR="00B65782">
        <w:rPr>
          <w:szCs w:val="26"/>
        </w:rPr>
        <w:t>.</w:t>
      </w:r>
    </w:p>
    <w:p w:rsidR="00AD35B4" w:rsidRDefault="00AD35B4" w:rsidP="002117D1">
      <w:pPr>
        <w:pStyle w:val="ListParagraph"/>
        <w:numPr>
          <w:ilvl w:val="0"/>
          <w:numId w:val="45"/>
        </w:numPr>
        <w:spacing w:after="240"/>
        <w:rPr>
          <w:szCs w:val="26"/>
        </w:rPr>
      </w:pPr>
      <w:r>
        <w:rPr>
          <w:szCs w:val="26"/>
        </w:rPr>
        <w:t>Duke reported availability between 99.986</w:t>
      </w:r>
      <w:r w:rsidR="00214041">
        <w:rPr>
          <w:szCs w:val="26"/>
        </w:rPr>
        <w:t xml:space="preserve"> percent</w:t>
      </w:r>
      <w:r w:rsidR="00B6474F">
        <w:rPr>
          <w:szCs w:val="26"/>
        </w:rPr>
        <w:t>, which is</w:t>
      </w:r>
      <w:r>
        <w:rPr>
          <w:szCs w:val="26"/>
        </w:rPr>
        <w:t xml:space="preserve"> equivalent to 1 hour and 14 minutes of unavailability in a year</w:t>
      </w:r>
      <w:r w:rsidR="00B6474F">
        <w:rPr>
          <w:szCs w:val="26"/>
        </w:rPr>
        <w:t>,</w:t>
      </w:r>
      <w:r>
        <w:rPr>
          <w:szCs w:val="26"/>
        </w:rPr>
        <w:t xml:space="preserve"> and 100</w:t>
      </w:r>
      <w:r w:rsidR="00214041">
        <w:rPr>
          <w:szCs w:val="26"/>
        </w:rPr>
        <w:t xml:space="preserve"> percent</w:t>
      </w:r>
      <w:r>
        <w:rPr>
          <w:szCs w:val="26"/>
        </w:rPr>
        <w:t xml:space="preserve"> for Progress Energy Carolinas and Progress Energy Florida.  Duke did not report information for Duke </w:t>
      </w:r>
      <w:r w:rsidR="00B81545">
        <w:rPr>
          <w:szCs w:val="26"/>
        </w:rPr>
        <w:t xml:space="preserve">Energy </w:t>
      </w:r>
      <w:r>
        <w:rPr>
          <w:szCs w:val="26"/>
        </w:rPr>
        <w:t>Carolinas.</w:t>
      </w:r>
    </w:p>
    <w:p w:rsidR="00CC3493" w:rsidRPr="00CC3493" w:rsidRDefault="00214041" w:rsidP="002117D1">
      <w:pPr>
        <w:pStyle w:val="ListParagraph"/>
        <w:numPr>
          <w:ilvl w:val="0"/>
          <w:numId w:val="45"/>
        </w:numPr>
        <w:spacing w:after="240"/>
        <w:rPr>
          <w:szCs w:val="26"/>
        </w:rPr>
      </w:pPr>
      <w:r>
        <w:rPr>
          <w:szCs w:val="26"/>
        </w:rPr>
        <w:t>CAISO’s report did not provide numerical data.  Based on the graphical depiction in its report, availability ranges between 99.9 percent (equivalent to 8 hours and 46 minutes</w:t>
      </w:r>
      <w:r w:rsidR="006913CC">
        <w:rPr>
          <w:szCs w:val="26"/>
        </w:rPr>
        <w:t xml:space="preserve"> in a year</w:t>
      </w:r>
      <w:r>
        <w:rPr>
          <w:szCs w:val="26"/>
        </w:rPr>
        <w:t xml:space="preserve">) and 100 percent. </w:t>
      </w:r>
      <w:r w:rsidR="00AD35B4">
        <w:rPr>
          <w:szCs w:val="26"/>
        </w:rPr>
        <w:t xml:space="preserve"> </w:t>
      </w:r>
      <w:r w:rsidR="00CC3493">
        <w:rPr>
          <w:szCs w:val="26"/>
        </w:rPr>
        <w:t xml:space="preserve">    </w:t>
      </w:r>
    </w:p>
    <w:p w:rsidR="00A60C09" w:rsidRDefault="00A60C09" w:rsidP="002117D1">
      <w:pPr>
        <w:spacing w:after="240"/>
        <w:ind w:firstLine="720"/>
        <w:rPr>
          <w:szCs w:val="26"/>
        </w:rPr>
      </w:pPr>
      <w:r>
        <w:rPr>
          <w:szCs w:val="26"/>
        </w:rPr>
        <w:t xml:space="preserve">The data submitted and the discussion of the data by the ISOs, RTOs and utilities </w:t>
      </w:r>
      <w:r>
        <w:rPr>
          <w:szCs w:val="26"/>
        </w:rPr>
        <w:lastRenderedPageBreak/>
        <w:t>indicate that the Energy Management System Availability metric measur</w:t>
      </w:r>
      <w:r w:rsidR="001F20E6">
        <w:rPr>
          <w:szCs w:val="26"/>
        </w:rPr>
        <w:t>es</w:t>
      </w:r>
      <w:r>
        <w:rPr>
          <w:szCs w:val="26"/>
        </w:rPr>
        <w:t xml:space="preserve"> the same activities and has the same meaning across all entities, and therefore is </w:t>
      </w:r>
      <w:r w:rsidR="001F20E6">
        <w:rPr>
          <w:szCs w:val="26"/>
        </w:rPr>
        <w:t xml:space="preserve">a </w:t>
      </w:r>
      <w:r>
        <w:rPr>
          <w:szCs w:val="26"/>
        </w:rPr>
        <w:t xml:space="preserve">suitable common metric.  </w:t>
      </w:r>
    </w:p>
    <w:p w:rsidR="00A60C09" w:rsidRDefault="00A60C09" w:rsidP="002117D1">
      <w:pPr>
        <w:pStyle w:val="Heading3"/>
      </w:pPr>
      <w:bookmarkStart w:id="21" w:name="_Toc390256218"/>
      <w:r>
        <w:t>Load Forecast Accuracy</w:t>
      </w:r>
      <w:bookmarkStart w:id="22" w:name="_bmk10"/>
      <w:bookmarkEnd w:id="21"/>
    </w:p>
    <w:p w:rsidR="00A60C09" w:rsidRPr="00953D39" w:rsidRDefault="00A60C09" w:rsidP="002117D1">
      <w:pPr>
        <w:pStyle w:val="Heading4"/>
      </w:pPr>
      <w:bookmarkStart w:id="23" w:name="_Toc390256219"/>
      <w:bookmarkEnd w:id="22"/>
      <w:r w:rsidRPr="00953D39">
        <w:t>Definition</w:t>
      </w:r>
      <w:bookmarkStart w:id="24" w:name="_bmk11"/>
      <w:bookmarkEnd w:id="23"/>
    </w:p>
    <w:bookmarkEnd w:id="24"/>
    <w:p w:rsidR="00A60C09" w:rsidRDefault="007A73F4" w:rsidP="002117D1">
      <w:pPr>
        <w:spacing w:after="240"/>
        <w:ind w:firstLine="720"/>
      </w:pPr>
      <w:r>
        <w:t>The percentage variance of a</w:t>
      </w:r>
      <w:r w:rsidR="00A60C09">
        <w:t xml:space="preserve">ctual peak load </w:t>
      </w:r>
      <w:r>
        <w:t>compared to</w:t>
      </w:r>
      <w:r w:rsidR="00A60C09">
        <w:t xml:space="preserve"> day-ahead forecasted peak load measures the effectiveness of the load forecasting function.  Since load forecasting provides the basis for resource commitment, this metric impacts the incurrence of resource costs.  </w:t>
      </w:r>
      <w:r w:rsidR="00871357">
        <w:t>T</w:t>
      </w:r>
      <w:r w:rsidR="00A60C09">
        <w:t>he more accurate a</w:t>
      </w:r>
      <w:r w:rsidR="004C5BF5">
        <w:t>n ISO, RTO or</w:t>
      </w:r>
      <w:r w:rsidR="00A60C09">
        <w:t xml:space="preserve"> utility is in forecasting load, the greater the likelihood that it can commit sufficient resources in a cost</w:t>
      </w:r>
      <w:r w:rsidR="00D65D7D">
        <w:t>-</w:t>
      </w:r>
      <w:r w:rsidR="00A60C09">
        <w:t xml:space="preserve">effective manner that avoids over-commitment of resources, inefficient commitment of short lead-time resources or under-utilization of available resources.  </w:t>
      </w:r>
    </w:p>
    <w:p w:rsidR="00A60C09" w:rsidRPr="00953D39" w:rsidRDefault="00A60C09" w:rsidP="002117D1">
      <w:pPr>
        <w:pStyle w:val="Heading4"/>
        <w:rPr>
          <w:szCs w:val="26"/>
        </w:rPr>
      </w:pPr>
      <w:bookmarkStart w:id="25" w:name="_Toc390256220"/>
      <w:r w:rsidRPr="00953D39">
        <w:t>Data Review and Metrics Assessment</w:t>
      </w:r>
      <w:bookmarkStart w:id="26" w:name="_bmk12"/>
      <w:bookmarkEnd w:id="25"/>
    </w:p>
    <w:bookmarkEnd w:id="26"/>
    <w:p w:rsidR="00A60C09" w:rsidRDefault="00A60C09" w:rsidP="002117D1">
      <w:pPr>
        <w:pStyle w:val="Default"/>
        <w:spacing w:after="240"/>
        <w:ind w:firstLine="720"/>
        <w:rPr>
          <w:sz w:val="26"/>
          <w:szCs w:val="26"/>
        </w:rPr>
      </w:pPr>
      <w:r w:rsidRPr="00A377DF">
        <w:rPr>
          <w:sz w:val="26"/>
          <w:szCs w:val="26"/>
        </w:rPr>
        <w:t xml:space="preserve">Day-ahead load forecasting by </w:t>
      </w:r>
      <w:r>
        <w:rPr>
          <w:sz w:val="26"/>
          <w:szCs w:val="26"/>
        </w:rPr>
        <w:t>ISOs, RTOs and utilities</w:t>
      </w:r>
      <w:r w:rsidRPr="00A377DF">
        <w:rPr>
          <w:sz w:val="26"/>
          <w:szCs w:val="26"/>
        </w:rPr>
        <w:t xml:space="preserve"> is typically highly accurate, as shown by the forecast accuracy</w:t>
      </w:r>
      <w:r>
        <w:rPr>
          <w:sz w:val="26"/>
          <w:szCs w:val="26"/>
        </w:rPr>
        <w:t xml:space="preserve"> </w:t>
      </w:r>
      <w:r w:rsidRPr="00A377DF">
        <w:rPr>
          <w:sz w:val="26"/>
          <w:szCs w:val="26"/>
        </w:rPr>
        <w:t xml:space="preserve">data on the </w:t>
      </w:r>
      <w:r w:rsidR="00D65D7D">
        <w:rPr>
          <w:sz w:val="26"/>
          <w:szCs w:val="26"/>
        </w:rPr>
        <w:t>following</w:t>
      </w:r>
      <w:r w:rsidRPr="00A377DF">
        <w:rPr>
          <w:sz w:val="26"/>
          <w:szCs w:val="26"/>
        </w:rPr>
        <w:t xml:space="preserve"> charts.</w:t>
      </w:r>
      <w:r w:rsidR="000E7805">
        <w:rPr>
          <w:sz w:val="26"/>
          <w:szCs w:val="26"/>
        </w:rPr>
        <w:t xml:space="preserve"> </w:t>
      </w:r>
      <w:r>
        <w:t xml:space="preserve"> </w:t>
      </w:r>
      <w:r w:rsidR="004C5BF5" w:rsidRPr="00496261">
        <w:rPr>
          <w:sz w:val="26"/>
          <w:szCs w:val="26"/>
        </w:rPr>
        <w:t xml:space="preserve">While </w:t>
      </w:r>
      <w:r w:rsidRPr="00E94512">
        <w:rPr>
          <w:sz w:val="26"/>
          <w:szCs w:val="26"/>
        </w:rPr>
        <w:t xml:space="preserve">a day-ahead forecast </w:t>
      </w:r>
      <w:r w:rsidR="00D65D7D">
        <w:rPr>
          <w:sz w:val="26"/>
          <w:szCs w:val="26"/>
        </w:rPr>
        <w:t>metric</w:t>
      </w:r>
      <w:r w:rsidR="004C5BF5">
        <w:rPr>
          <w:sz w:val="26"/>
          <w:szCs w:val="26"/>
        </w:rPr>
        <w:t xml:space="preserve"> is designed to ensure that it does not measure the ability to forecast long-term weather variability that is beyond the control of ISOs, RTOs and utilities, n</w:t>
      </w:r>
      <w:r>
        <w:rPr>
          <w:sz w:val="26"/>
          <w:szCs w:val="26"/>
        </w:rPr>
        <w:t>onetheless</w:t>
      </w:r>
      <w:r w:rsidRPr="00A377DF">
        <w:rPr>
          <w:sz w:val="26"/>
          <w:szCs w:val="26"/>
        </w:rPr>
        <w:t xml:space="preserve">, weather still played a role in forecast results.  For example, Progress </w:t>
      </w:r>
      <w:r w:rsidR="00CE3CC4">
        <w:rPr>
          <w:sz w:val="26"/>
          <w:szCs w:val="26"/>
        </w:rPr>
        <w:t xml:space="preserve">Energy </w:t>
      </w:r>
      <w:r w:rsidRPr="00A377DF">
        <w:rPr>
          <w:sz w:val="26"/>
          <w:szCs w:val="26"/>
        </w:rPr>
        <w:t xml:space="preserve">Florida notes that significant weather shifts from AM to PM hours influenced its forecast results.  Progress </w:t>
      </w:r>
      <w:r w:rsidR="00CE3CC4">
        <w:rPr>
          <w:sz w:val="26"/>
          <w:szCs w:val="26"/>
        </w:rPr>
        <w:t xml:space="preserve">Energy </w:t>
      </w:r>
      <w:r w:rsidRPr="00A377DF">
        <w:rPr>
          <w:sz w:val="26"/>
          <w:szCs w:val="26"/>
        </w:rPr>
        <w:t>Florida also explains that it forecasts higher to account for potential load volatility.</w:t>
      </w:r>
      <w:r>
        <w:rPr>
          <w:rStyle w:val="FootnoteReference"/>
        </w:rPr>
        <w:footnoteReference w:id="14"/>
      </w:r>
    </w:p>
    <w:p w:rsidR="00A60C09" w:rsidRDefault="00A60C09" w:rsidP="002117D1">
      <w:pPr>
        <w:spacing w:after="240"/>
        <w:ind w:firstLine="720"/>
      </w:pPr>
      <w:r>
        <w:t xml:space="preserve">The data submitted indicates that all ISOs and RTOs and three of the five utilities outside ISO and RTO markets use the same metric to measure load forecast accuracy.  For these entities, the load forecast accuracy metric is measuring the same activity and has the same meaning.  On this basis, we </w:t>
      </w:r>
      <w:r w:rsidR="00D65D7D">
        <w:t xml:space="preserve">therefore </w:t>
      </w:r>
      <w:r>
        <w:t xml:space="preserve">conclude that the proposed load forecasting metric </w:t>
      </w:r>
      <w:r w:rsidR="00D65D7D">
        <w:t>is</w:t>
      </w:r>
      <w:r w:rsidR="00157315">
        <w:t xml:space="preserve"> a</w:t>
      </w:r>
      <w:r>
        <w:t xml:space="preserve"> suitable common metric.  </w:t>
      </w:r>
    </w:p>
    <w:p w:rsidR="00A60C09" w:rsidRDefault="005B28C0" w:rsidP="002117D1">
      <w:pPr>
        <w:spacing w:after="240"/>
        <w:ind w:firstLine="720"/>
      </w:pPr>
      <w:r w:rsidRPr="005B28C0">
        <w:rPr>
          <w:noProof/>
        </w:rPr>
        <w:lastRenderedPageBreak/>
        <w:drawing>
          <wp:inline distT="0" distB="0" distL="0" distR="0" wp14:anchorId="1441B83A" wp14:editId="384540D1">
            <wp:extent cx="5497195" cy="798512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195" cy="7985125"/>
                    </a:xfrm>
                    <a:prstGeom prst="rect">
                      <a:avLst/>
                    </a:prstGeom>
                    <a:noFill/>
                    <a:ln>
                      <a:noFill/>
                    </a:ln>
                  </pic:spPr>
                </pic:pic>
              </a:graphicData>
            </a:graphic>
          </wp:inline>
        </w:drawing>
      </w:r>
    </w:p>
    <w:p w:rsidR="00A60C09" w:rsidRDefault="00A60C09" w:rsidP="002117D1">
      <w:pPr>
        <w:pStyle w:val="Heading3"/>
      </w:pPr>
      <w:bookmarkStart w:id="27" w:name="_Toc390256221"/>
      <w:r>
        <w:lastRenderedPageBreak/>
        <w:t>Wind Forecasting Accuracy</w:t>
      </w:r>
      <w:bookmarkStart w:id="28" w:name="_bmk13"/>
      <w:bookmarkEnd w:id="27"/>
    </w:p>
    <w:p w:rsidR="00A60C09" w:rsidRPr="00953D39" w:rsidRDefault="00A60C09" w:rsidP="002117D1">
      <w:pPr>
        <w:pStyle w:val="Heading4"/>
      </w:pPr>
      <w:bookmarkStart w:id="29" w:name="_Toc390256222"/>
      <w:bookmarkEnd w:id="28"/>
      <w:r w:rsidRPr="00953D39">
        <w:t>Definition</w:t>
      </w:r>
      <w:bookmarkStart w:id="30" w:name="_bmk14"/>
      <w:bookmarkEnd w:id="29"/>
    </w:p>
    <w:bookmarkEnd w:id="30"/>
    <w:p w:rsidR="00A60C09" w:rsidRDefault="00A60C09" w:rsidP="002117D1">
      <w:pPr>
        <w:spacing w:after="240"/>
        <w:ind w:firstLine="720"/>
      </w:pPr>
      <w:r>
        <w:t>This metric measures the percentage accuracy of actual wind availability compared to day-ahead forecasted wind availability.  Improving the accuracy of the wind forecast facilitates the timely commitment and dispatch of sufficient supplemental</w:t>
      </w:r>
      <w:r w:rsidR="009D5E6B">
        <w:t>, non-wind</w:t>
      </w:r>
      <w:r>
        <w:t xml:space="preserve"> resources.</w:t>
      </w:r>
    </w:p>
    <w:p w:rsidR="00A60C09" w:rsidRPr="00987068" w:rsidRDefault="00A60C09" w:rsidP="002117D1">
      <w:pPr>
        <w:pStyle w:val="Heading4"/>
      </w:pPr>
      <w:bookmarkStart w:id="31" w:name="_Toc390256223"/>
      <w:r>
        <w:t>Data Review and Metrics Assessment</w:t>
      </w:r>
      <w:bookmarkStart w:id="32" w:name="_bmk15"/>
      <w:bookmarkEnd w:id="31"/>
    </w:p>
    <w:bookmarkEnd w:id="32"/>
    <w:p w:rsidR="00A60C09" w:rsidRDefault="00A60C09" w:rsidP="002117D1">
      <w:pPr>
        <w:spacing w:after="240"/>
        <w:ind w:firstLine="720"/>
        <w:rPr>
          <w:szCs w:val="26"/>
        </w:rPr>
      </w:pPr>
      <w:r>
        <w:rPr>
          <w:szCs w:val="26"/>
        </w:rPr>
        <w:t xml:space="preserve">During the 2006–2010 </w:t>
      </w:r>
      <w:proofErr w:type="gramStart"/>
      <w:r>
        <w:rPr>
          <w:szCs w:val="26"/>
        </w:rPr>
        <w:t>period</w:t>
      </w:r>
      <w:proofErr w:type="gramEnd"/>
      <w:r>
        <w:rPr>
          <w:szCs w:val="26"/>
        </w:rPr>
        <w:t xml:space="preserve">, forecasting wind availability was a new activity for ISOs, RTOs and utilities, as shown by the lack of data for the early years of the analysis period </w:t>
      </w:r>
      <w:r w:rsidR="009D5E6B">
        <w:rPr>
          <w:szCs w:val="26"/>
        </w:rPr>
        <w:t>i</w:t>
      </w:r>
      <w:r>
        <w:rPr>
          <w:szCs w:val="26"/>
        </w:rPr>
        <w:t xml:space="preserve">n the charts </w:t>
      </w:r>
      <w:r w:rsidR="009D5E6B">
        <w:rPr>
          <w:szCs w:val="26"/>
        </w:rPr>
        <w:t xml:space="preserve">below </w:t>
      </w:r>
      <w:r>
        <w:rPr>
          <w:szCs w:val="26"/>
        </w:rPr>
        <w:t xml:space="preserve">and </w:t>
      </w:r>
      <w:r w:rsidR="009D5E6B">
        <w:rPr>
          <w:szCs w:val="26"/>
        </w:rPr>
        <w:t xml:space="preserve">in </w:t>
      </w:r>
      <w:r>
        <w:rPr>
          <w:szCs w:val="26"/>
        </w:rPr>
        <w:t>the discussion of improvements in forecasting techniques in the reports.</w:t>
      </w:r>
      <w:r>
        <w:rPr>
          <w:rStyle w:val="FootnoteReference"/>
        </w:rPr>
        <w:footnoteReference w:id="15"/>
      </w:r>
      <w:r>
        <w:rPr>
          <w:szCs w:val="26"/>
        </w:rPr>
        <w:t xml:space="preserve">  Several transmission providers did not forecast wind availability because they had no or few wind resources interconnected to their transmission systems during the analysis period.</w:t>
      </w:r>
    </w:p>
    <w:p w:rsidR="00A60C09" w:rsidRDefault="00A60C09" w:rsidP="002117D1">
      <w:pPr>
        <w:spacing w:after="240"/>
        <w:ind w:firstLine="720"/>
      </w:pPr>
      <w:r>
        <w:t>The entities forecasting wind availability used the common definition detailed above</w:t>
      </w:r>
      <w:r w:rsidR="00763E4D">
        <w:t>, comparing actual wind availability to day-ahead forecasted wind availability</w:t>
      </w:r>
      <w:r>
        <w:t xml:space="preserve">.  The data submitted and discussion of the data by the ISOs, RTOs and utilities indicates that the wind forecast accuracy metric is measuring the same activity and has the same meaning across the entities forecasting wind availability, and therefore is </w:t>
      </w:r>
      <w:r w:rsidR="00763E4D">
        <w:t xml:space="preserve">a </w:t>
      </w:r>
      <w:r>
        <w:t xml:space="preserve">suitable common metric.  </w:t>
      </w:r>
    </w:p>
    <w:p w:rsidR="00A60C09" w:rsidRDefault="00E44FA2" w:rsidP="002117D1">
      <w:pPr>
        <w:spacing w:after="240"/>
        <w:ind w:firstLine="720"/>
      </w:pPr>
      <w:r w:rsidRPr="00E44FA2">
        <w:rPr>
          <w:noProof/>
        </w:rPr>
        <w:lastRenderedPageBreak/>
        <w:drawing>
          <wp:inline distT="0" distB="0" distL="0" distR="0" wp14:anchorId="53D47129" wp14:editId="18060691">
            <wp:extent cx="5497195" cy="61988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7195" cy="6198870"/>
                    </a:xfrm>
                    <a:prstGeom prst="rect">
                      <a:avLst/>
                    </a:prstGeom>
                    <a:noFill/>
                    <a:ln>
                      <a:noFill/>
                    </a:ln>
                  </pic:spPr>
                </pic:pic>
              </a:graphicData>
            </a:graphic>
          </wp:inline>
        </w:drawing>
      </w:r>
    </w:p>
    <w:p w:rsidR="00A60C09" w:rsidRDefault="00A60C09" w:rsidP="002117D1">
      <w:pPr>
        <w:pStyle w:val="Heading3"/>
      </w:pPr>
      <w:bookmarkStart w:id="33" w:name="_Toc390256224"/>
      <w:r>
        <w:t>Unscheduled Flows Metric</w:t>
      </w:r>
      <w:bookmarkStart w:id="34" w:name="_bmk16"/>
      <w:bookmarkEnd w:id="33"/>
    </w:p>
    <w:p w:rsidR="00A60C09" w:rsidRPr="005F5032" w:rsidRDefault="00A60C09" w:rsidP="002117D1">
      <w:pPr>
        <w:pStyle w:val="Heading4"/>
      </w:pPr>
      <w:bookmarkStart w:id="35" w:name="_Toc390256225"/>
      <w:bookmarkEnd w:id="34"/>
      <w:r>
        <w:t>Definition</w:t>
      </w:r>
      <w:bookmarkStart w:id="36" w:name="_bmk17"/>
      <w:bookmarkEnd w:id="35"/>
    </w:p>
    <w:bookmarkEnd w:id="36"/>
    <w:p w:rsidR="00A60C09" w:rsidRDefault="00A60C09" w:rsidP="002117D1">
      <w:pPr>
        <w:spacing w:after="240"/>
        <w:ind w:firstLine="720"/>
      </w:pPr>
      <w:r>
        <w:t xml:space="preserve">Unscheduled flows are defined as the difference between </w:t>
      </w:r>
      <w:r w:rsidR="00F92385">
        <w:t xml:space="preserve">scheduled flows and actual flows on a particular interconnection between two Balancing Authorities and </w:t>
      </w:r>
      <w:r w:rsidR="008A66DB">
        <w:t xml:space="preserve">the </w:t>
      </w:r>
      <w:r w:rsidR="00F92385">
        <w:t>difference between scheduled and actual flows on a contract path, either between Balancing Authorities or within Balancing Authorities.</w:t>
      </w:r>
      <w:r>
        <w:t xml:space="preserve">  The two components of unscheduled flows are inadvertent energy, defined </w:t>
      </w:r>
      <w:r w:rsidR="008260E9">
        <w:t>as</w:t>
      </w:r>
      <w:r>
        <w:t xml:space="preserve"> the difference between actual and </w:t>
      </w:r>
      <w:r>
        <w:lastRenderedPageBreak/>
        <w:t>scheduled interchange for all interties</w:t>
      </w:r>
      <w:r w:rsidR="00BA5227">
        <w:t>,</w:t>
      </w:r>
      <w:r>
        <w:t xml:space="preserve"> and parallel flow (or loop flow), </w:t>
      </w:r>
      <w:proofErr w:type="gramStart"/>
      <w:r>
        <w:t>defined</w:t>
      </w:r>
      <w:proofErr w:type="gramEnd"/>
      <w:r>
        <w:t xml:space="preserve"> </w:t>
      </w:r>
      <w:r w:rsidR="008260E9">
        <w:t>as</w:t>
      </w:r>
      <w:r>
        <w:t xml:space="preserve"> the </w:t>
      </w:r>
      <w:r w:rsidR="00F92385">
        <w:t xml:space="preserve">difference between scheduled and </w:t>
      </w:r>
      <w:r>
        <w:t>actual flow</w:t>
      </w:r>
      <w:r w:rsidR="00F92385">
        <w:t>s</w:t>
      </w:r>
      <w:r>
        <w:t xml:space="preserve"> on a contract path.  Parallel flows are a function of the interconnection’s operating configuration, line resistance, and physics.  This metric measure</w:t>
      </w:r>
      <w:r w:rsidR="00987FF1">
        <w:t>s</w:t>
      </w:r>
      <w:r>
        <w:t xml:space="preserve"> the difference between net actual interchange (actual measured power flow in real time) and the net scheduled interchange in megawatt hours</w:t>
      </w:r>
      <w:r w:rsidR="008260E9">
        <w:t>,</w:t>
      </w:r>
      <w:r>
        <w:t xml:space="preserve"> as reported in FERC Form No. 714, “Annual Electric Balancing Authority Area and Planning Area Report.”  When unscheduled flows exceed system operating limits, curtailments </w:t>
      </w:r>
      <w:r w:rsidR="008260E9">
        <w:t>could</w:t>
      </w:r>
      <w:r>
        <w:t xml:space="preserve"> occur and efficient scheduling of the grid could be hindered.  Accordingly, unscheduled flows provide information relevant to operational planning that is part of a comprehensive reliability assessment</w:t>
      </w:r>
      <w:r w:rsidR="008260E9">
        <w:t xml:space="preserve"> for an ISO, RTO or utility</w:t>
      </w:r>
      <w:r>
        <w:t>.</w:t>
      </w:r>
    </w:p>
    <w:p w:rsidR="00A60C09" w:rsidRPr="00953D39" w:rsidRDefault="00A60C09" w:rsidP="002117D1">
      <w:pPr>
        <w:pStyle w:val="Heading4"/>
      </w:pPr>
      <w:bookmarkStart w:id="37" w:name="_Toc390256226"/>
      <w:r w:rsidRPr="00953D39">
        <w:t>Data Review and Metrics Assessment</w:t>
      </w:r>
      <w:bookmarkStart w:id="38" w:name="_bmk18"/>
      <w:bookmarkEnd w:id="37"/>
    </w:p>
    <w:bookmarkEnd w:id="38"/>
    <w:p w:rsidR="00A60C09" w:rsidRDefault="00A60C09" w:rsidP="002117D1">
      <w:pPr>
        <w:spacing w:after="240"/>
        <w:rPr>
          <w:b/>
        </w:rPr>
      </w:pPr>
      <w:r>
        <w:tab/>
        <w:t>Unscheduled flows and their percentage of total flows vary significantly among the reporting entities</w:t>
      </w:r>
      <w:r w:rsidR="00A7176B">
        <w:t>,</w:t>
      </w:r>
      <w:r>
        <w:t xml:space="preserve"> as shown on the charts</w:t>
      </w:r>
      <w:r w:rsidR="00A7176B">
        <w:t xml:space="preserve"> below</w:t>
      </w:r>
      <w:r>
        <w:t>.  The fact that certain of the reporting entities, such as NYISO, are in regions with more significant parallel flows</w:t>
      </w:r>
      <w:r>
        <w:rPr>
          <w:rStyle w:val="FootnoteReference"/>
        </w:rPr>
        <w:footnoteReference w:id="16"/>
      </w:r>
      <w:r>
        <w:t xml:space="preserve"> than other regions would be </w:t>
      </w:r>
      <w:r w:rsidR="00F25D46">
        <w:t>an explanation</w:t>
      </w:r>
      <w:r>
        <w:t xml:space="preserve"> </w:t>
      </w:r>
      <w:r w:rsidR="009A12EA">
        <w:t>for</w:t>
      </w:r>
      <w:r>
        <w:t xml:space="preserve"> this variation.  </w:t>
      </w:r>
      <w:r w:rsidRPr="009E3424">
        <w:t>It should be noted that ISO-NE did not report unscheduled flows and explained that its system does not experience parallel flows because of its radial interconnection with the Eastern Interconnection.</w:t>
      </w:r>
      <w:r w:rsidRPr="009E3424">
        <w:rPr>
          <w:rStyle w:val="FootnoteReference"/>
        </w:rPr>
        <w:footnoteReference w:id="17"/>
      </w:r>
    </w:p>
    <w:p w:rsidR="00A60C09" w:rsidRDefault="00A60C09" w:rsidP="002117D1">
      <w:pPr>
        <w:spacing w:after="240"/>
        <w:ind w:firstLine="720"/>
      </w:pPr>
      <w:r>
        <w:t xml:space="preserve">Unscheduled flows are based on a </w:t>
      </w:r>
      <w:r w:rsidR="00A7176B">
        <w:t xml:space="preserve">FERC </w:t>
      </w:r>
      <w:r>
        <w:t xml:space="preserve">Form </w:t>
      </w:r>
      <w:r w:rsidR="00A7176B">
        <w:t xml:space="preserve">No. </w:t>
      </w:r>
      <w:r>
        <w:t>714 definition applicable to the entire electric industry and</w:t>
      </w:r>
      <w:r w:rsidR="006A5342">
        <w:t>,</w:t>
      </w:r>
      <w:r>
        <w:t xml:space="preserve"> therefore</w:t>
      </w:r>
      <w:r w:rsidR="006A5342">
        <w:t>,</w:t>
      </w:r>
      <w:r>
        <w:t xml:space="preserve"> </w:t>
      </w:r>
      <w:proofErr w:type="gramStart"/>
      <w:r>
        <w:t>this metric</w:t>
      </w:r>
      <w:r w:rsidR="006A5342">
        <w:t xml:space="preserve"> </w:t>
      </w:r>
      <w:r>
        <w:t>measur</w:t>
      </w:r>
      <w:r w:rsidR="00A7176B">
        <w:t>es</w:t>
      </w:r>
      <w:proofErr w:type="gramEnd"/>
      <w:r>
        <w:t xml:space="preserve"> the same activities and has the same meaning across all entities; accordingly, it is </w:t>
      </w:r>
      <w:r w:rsidR="00A7176B">
        <w:t xml:space="preserve">a </w:t>
      </w:r>
      <w:r>
        <w:t xml:space="preserve">suitable common metric.  </w:t>
      </w:r>
    </w:p>
    <w:p w:rsidR="00A60C09" w:rsidRDefault="00A72E14" w:rsidP="002117D1">
      <w:pPr>
        <w:spacing w:after="240"/>
        <w:ind w:firstLine="720"/>
      </w:pPr>
      <w:r w:rsidRPr="00A72E14">
        <w:rPr>
          <w:noProof/>
        </w:rPr>
        <w:lastRenderedPageBreak/>
        <w:drawing>
          <wp:inline distT="0" distB="0" distL="0" distR="0" wp14:anchorId="3A36A5E5" wp14:editId="5D870507">
            <wp:extent cx="5943600" cy="76381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38158"/>
                    </a:xfrm>
                    <a:prstGeom prst="rect">
                      <a:avLst/>
                    </a:prstGeom>
                    <a:noFill/>
                    <a:ln>
                      <a:noFill/>
                    </a:ln>
                  </pic:spPr>
                </pic:pic>
              </a:graphicData>
            </a:graphic>
          </wp:inline>
        </w:drawing>
      </w:r>
    </w:p>
    <w:p w:rsidR="00A631C0" w:rsidRDefault="00A631C0" w:rsidP="00A631C0">
      <w:pPr>
        <w:spacing w:after="240"/>
        <w:ind w:firstLine="720"/>
        <w:rPr>
          <w:noProof/>
        </w:rPr>
      </w:pPr>
    </w:p>
    <w:p w:rsidR="00A60C09" w:rsidRDefault="00A60C09" w:rsidP="00A631C0">
      <w:pPr>
        <w:pStyle w:val="Heading3"/>
      </w:pPr>
      <w:bookmarkStart w:id="39" w:name="_Toc390256227"/>
      <w:r>
        <w:rPr>
          <w:noProof/>
        </w:rPr>
        <w:lastRenderedPageBreak/>
        <w:t>Transmission</w:t>
      </w:r>
      <w:r>
        <w:t xml:space="preserve"> Outage Coordination</w:t>
      </w:r>
      <w:bookmarkStart w:id="40" w:name="_bmk19"/>
      <w:bookmarkEnd w:id="39"/>
    </w:p>
    <w:p w:rsidR="00A60C09" w:rsidRPr="005F5032" w:rsidRDefault="00A60C09" w:rsidP="002117D1">
      <w:pPr>
        <w:pStyle w:val="Heading4"/>
      </w:pPr>
      <w:bookmarkStart w:id="41" w:name="_Toc390256228"/>
      <w:bookmarkEnd w:id="40"/>
      <w:r>
        <w:t>Definition</w:t>
      </w:r>
      <w:bookmarkStart w:id="42" w:name="_bmk20"/>
      <w:bookmarkEnd w:id="41"/>
    </w:p>
    <w:bookmarkEnd w:id="42"/>
    <w:p w:rsidR="00A60C09" w:rsidRDefault="00E54C25" w:rsidP="002117D1">
      <w:pPr>
        <w:spacing w:after="240"/>
        <w:ind w:firstLine="720"/>
      </w:pPr>
      <w:r>
        <w:t xml:space="preserve">Commission </w:t>
      </w:r>
      <w:r w:rsidR="00FA6312">
        <w:t>Staff has defined the c</w:t>
      </w:r>
      <w:r w:rsidR="00A60C09">
        <w:t xml:space="preserve">ommon metrics for effective transmission outage coordination as follows:  (1) early notification of planned outages </w:t>
      </w:r>
      <w:r w:rsidR="005F256E">
        <w:t xml:space="preserve">of five days or longer </w:t>
      </w:r>
      <w:r w:rsidR="00A60C09">
        <w:t xml:space="preserve">on major transmission lines (200 kV and above) – i.e., notification at least one month prior to the outage commencement date; and (2) cancellations of outages due to conflicting planned outages as well as forced outages that could cause reliability issues and additional congestion costs.  </w:t>
      </w:r>
      <w:r w:rsidR="00FA6312">
        <w:t xml:space="preserve">All metrics are measured as a percentage of all outages.  </w:t>
      </w:r>
      <w:r w:rsidR="00A60C09">
        <w:t>Effective transmission outage coordination will result in early notification of outages, and therefore will be indicated in the metrics as a low percentage of short notice outages.  Effective transmission outage coordination ensures that outages do not threaten system reliability and that additional</w:t>
      </w:r>
      <w:r w:rsidR="00FA6312">
        <w:t>,</w:t>
      </w:r>
      <w:r w:rsidR="00A60C09">
        <w:t xml:space="preserve"> and potentially more expensive, resources do not need to be committed.</w:t>
      </w:r>
    </w:p>
    <w:p w:rsidR="00A60C09" w:rsidRPr="00953D39" w:rsidRDefault="00A60C09" w:rsidP="002117D1">
      <w:pPr>
        <w:pStyle w:val="Heading4"/>
      </w:pPr>
      <w:bookmarkStart w:id="43" w:name="_Toc390256229"/>
      <w:r w:rsidRPr="00953D39">
        <w:t>Data Review and Metrics Assessment</w:t>
      </w:r>
      <w:bookmarkStart w:id="44" w:name="_bmk21"/>
      <w:bookmarkEnd w:id="43"/>
    </w:p>
    <w:bookmarkEnd w:id="44"/>
    <w:p w:rsidR="00A60C09" w:rsidRDefault="00A60C09" w:rsidP="002117D1">
      <w:pPr>
        <w:spacing w:after="240"/>
        <w:ind w:firstLine="720"/>
        <w:rPr>
          <w:b/>
          <w:szCs w:val="26"/>
        </w:rPr>
      </w:pPr>
      <w:r>
        <w:rPr>
          <w:szCs w:val="26"/>
        </w:rPr>
        <w:t xml:space="preserve">The charts </w:t>
      </w:r>
      <w:r w:rsidR="00FA6312">
        <w:rPr>
          <w:szCs w:val="26"/>
        </w:rPr>
        <w:t xml:space="preserve">below </w:t>
      </w:r>
      <w:r>
        <w:rPr>
          <w:szCs w:val="26"/>
        </w:rPr>
        <w:t xml:space="preserve">show a range of results for the metric measuring </w:t>
      </w:r>
      <w:r>
        <w:t xml:space="preserve">early notification of planned outages on major transmission lines.  </w:t>
      </w:r>
      <w:r>
        <w:rPr>
          <w:szCs w:val="26"/>
        </w:rPr>
        <w:t>These results require interpretation.  Whereas the one</w:t>
      </w:r>
      <w:r w:rsidR="00FA6312">
        <w:rPr>
          <w:szCs w:val="26"/>
        </w:rPr>
        <w:t>-</w:t>
      </w:r>
      <w:r>
        <w:rPr>
          <w:szCs w:val="26"/>
        </w:rPr>
        <w:t xml:space="preserve">month notification requirement </w:t>
      </w:r>
      <w:r w:rsidR="00FA6312">
        <w:rPr>
          <w:szCs w:val="26"/>
        </w:rPr>
        <w:t xml:space="preserve">before planned outages </w:t>
      </w:r>
      <w:r>
        <w:rPr>
          <w:szCs w:val="26"/>
        </w:rPr>
        <w:t xml:space="preserve">is a metric that has been </w:t>
      </w:r>
      <w:r w:rsidR="005F256E">
        <w:rPr>
          <w:szCs w:val="26"/>
        </w:rPr>
        <w:t>used</w:t>
      </w:r>
      <w:r>
        <w:rPr>
          <w:szCs w:val="26"/>
        </w:rPr>
        <w:t xml:space="preserve"> by some ISOs and RTOs</w:t>
      </w:r>
      <w:r w:rsidR="005F256E">
        <w:rPr>
          <w:szCs w:val="26"/>
        </w:rPr>
        <w:t>, such as PJM,</w:t>
      </w:r>
      <w:r w:rsidR="005F256E">
        <w:rPr>
          <w:rStyle w:val="FootnoteReference"/>
        </w:rPr>
        <w:footnoteReference w:id="18"/>
      </w:r>
      <w:r w:rsidR="00B44D1B">
        <w:rPr>
          <w:szCs w:val="26"/>
        </w:rPr>
        <w:t xml:space="preserve"> for certain outage durations</w:t>
      </w:r>
      <w:proofErr w:type="gramStart"/>
      <w:r>
        <w:rPr>
          <w:szCs w:val="26"/>
        </w:rPr>
        <w:t>,  other</w:t>
      </w:r>
      <w:proofErr w:type="gramEnd"/>
      <w:r>
        <w:rPr>
          <w:szCs w:val="26"/>
        </w:rPr>
        <w:t xml:space="preserve"> ISOs, RTOs and utilities do not have a one</w:t>
      </w:r>
      <w:r w:rsidR="00FA6312">
        <w:rPr>
          <w:szCs w:val="26"/>
        </w:rPr>
        <w:t>-</w:t>
      </w:r>
      <w:r>
        <w:rPr>
          <w:szCs w:val="26"/>
        </w:rPr>
        <w:t>month notification standard.  For example, LG&amp;E/KU coordinate their outage notifications with the T</w:t>
      </w:r>
      <w:r w:rsidR="00155000">
        <w:rPr>
          <w:szCs w:val="26"/>
        </w:rPr>
        <w:t xml:space="preserve">ennessee </w:t>
      </w:r>
      <w:r>
        <w:rPr>
          <w:szCs w:val="26"/>
        </w:rPr>
        <w:t>V</w:t>
      </w:r>
      <w:r w:rsidR="00155000">
        <w:rPr>
          <w:szCs w:val="26"/>
        </w:rPr>
        <w:t xml:space="preserve">alley </w:t>
      </w:r>
      <w:r>
        <w:rPr>
          <w:szCs w:val="26"/>
        </w:rPr>
        <w:t>A</w:t>
      </w:r>
      <w:r w:rsidR="00155000">
        <w:rPr>
          <w:szCs w:val="26"/>
        </w:rPr>
        <w:t>uthority</w:t>
      </w:r>
      <w:r>
        <w:rPr>
          <w:szCs w:val="26"/>
        </w:rPr>
        <w:t xml:space="preserve"> system</w:t>
      </w:r>
      <w:r w:rsidR="00FA6312">
        <w:rPr>
          <w:szCs w:val="26"/>
        </w:rPr>
        <w:t>, which</w:t>
      </w:r>
      <w:r>
        <w:rPr>
          <w:szCs w:val="26"/>
        </w:rPr>
        <w:t xml:space="preserve"> u</w:t>
      </w:r>
      <w:r w:rsidR="005F256E">
        <w:rPr>
          <w:szCs w:val="26"/>
        </w:rPr>
        <w:t>ses</w:t>
      </w:r>
      <w:r>
        <w:rPr>
          <w:szCs w:val="26"/>
        </w:rPr>
        <w:t xml:space="preserve"> a seven</w:t>
      </w:r>
      <w:r w:rsidR="00FA6312">
        <w:rPr>
          <w:szCs w:val="26"/>
        </w:rPr>
        <w:t>-</w:t>
      </w:r>
      <w:r>
        <w:rPr>
          <w:szCs w:val="26"/>
        </w:rPr>
        <w:t>day notice requirement.</w:t>
      </w:r>
      <w:r>
        <w:rPr>
          <w:rStyle w:val="FootnoteReference"/>
        </w:rPr>
        <w:footnoteReference w:id="19"/>
      </w:r>
      <w:r>
        <w:rPr>
          <w:szCs w:val="26"/>
        </w:rPr>
        <w:t xml:space="preserve"> The chart for the second metric</w:t>
      </w:r>
      <w:r w:rsidR="00FA6312">
        <w:rPr>
          <w:szCs w:val="26"/>
        </w:rPr>
        <w:t>,</w:t>
      </w:r>
      <w:r>
        <w:rPr>
          <w:szCs w:val="26"/>
        </w:rPr>
        <w:t xml:space="preserve"> cancellations of planned </w:t>
      </w:r>
      <w:proofErr w:type="gramStart"/>
      <w:r>
        <w:rPr>
          <w:szCs w:val="26"/>
        </w:rPr>
        <w:t>outages</w:t>
      </w:r>
      <w:r w:rsidR="00FA6312">
        <w:rPr>
          <w:szCs w:val="26"/>
        </w:rPr>
        <w:t>,</w:t>
      </w:r>
      <w:proofErr w:type="gramEnd"/>
      <w:r>
        <w:rPr>
          <w:szCs w:val="26"/>
        </w:rPr>
        <w:t xml:space="preserve"> </w:t>
      </w:r>
      <w:r w:rsidR="00FA6312">
        <w:rPr>
          <w:szCs w:val="26"/>
        </w:rPr>
        <w:t xml:space="preserve">shows low levels </w:t>
      </w:r>
      <w:r>
        <w:rPr>
          <w:szCs w:val="26"/>
        </w:rPr>
        <w:t>for all entities, with the exception of LG&amp;E/KU.</w:t>
      </w:r>
    </w:p>
    <w:p w:rsidR="00A60C09" w:rsidRDefault="00A60C09" w:rsidP="002117D1">
      <w:pPr>
        <w:spacing w:after="240"/>
        <w:ind w:firstLine="720"/>
      </w:pPr>
      <w:r>
        <w:t>The data submitted and discussion of the data by the ISOs, RTOs and utilities indicate that the transmission coordination metrics measur</w:t>
      </w:r>
      <w:r w:rsidR="00FA6312">
        <w:t>e</w:t>
      </w:r>
      <w:r>
        <w:t xml:space="preserve"> the same activities and have the same meaning across all entities, and therefore are suitable common metrics.    </w:t>
      </w:r>
    </w:p>
    <w:p w:rsidR="00B37123" w:rsidRDefault="00B37123">
      <w:pPr>
        <w:widowControl/>
        <w:autoSpaceDE/>
        <w:autoSpaceDN/>
        <w:adjustRightInd/>
      </w:pPr>
      <w:r>
        <w:br w:type="page"/>
      </w:r>
    </w:p>
    <w:p w:rsidR="00A60C09" w:rsidRDefault="00A72E14" w:rsidP="002117D1">
      <w:pPr>
        <w:spacing w:after="240"/>
        <w:ind w:firstLine="720"/>
      </w:pPr>
      <w:r w:rsidRPr="00A72E14">
        <w:rPr>
          <w:noProof/>
        </w:rPr>
        <w:lastRenderedPageBreak/>
        <w:drawing>
          <wp:inline distT="0" distB="0" distL="0" distR="0" wp14:anchorId="6D287FAC" wp14:editId="45B6D8D4">
            <wp:extent cx="5495925" cy="701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7010400"/>
                    </a:xfrm>
                    <a:prstGeom prst="rect">
                      <a:avLst/>
                    </a:prstGeom>
                    <a:noFill/>
                    <a:ln>
                      <a:noFill/>
                    </a:ln>
                  </pic:spPr>
                </pic:pic>
              </a:graphicData>
            </a:graphic>
          </wp:inline>
        </w:drawing>
      </w:r>
    </w:p>
    <w:p w:rsidR="00874AD4" w:rsidRDefault="00874AD4">
      <w:pPr>
        <w:widowControl/>
        <w:autoSpaceDE/>
        <w:autoSpaceDN/>
        <w:adjustRightInd/>
      </w:pPr>
      <w:r>
        <w:br w:type="page"/>
      </w:r>
    </w:p>
    <w:p w:rsidR="00A60C09" w:rsidRDefault="00155000" w:rsidP="002117D1">
      <w:pPr>
        <w:spacing w:after="240"/>
        <w:ind w:firstLine="720"/>
      </w:pPr>
      <w:r w:rsidRPr="00155000">
        <w:rPr>
          <w:noProof/>
        </w:rPr>
        <w:lastRenderedPageBreak/>
        <w:drawing>
          <wp:inline distT="0" distB="0" distL="0" distR="0" wp14:anchorId="12A913B6" wp14:editId="7B65E6A9">
            <wp:extent cx="5943600" cy="68244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824477"/>
                    </a:xfrm>
                    <a:prstGeom prst="rect">
                      <a:avLst/>
                    </a:prstGeom>
                    <a:noFill/>
                    <a:ln>
                      <a:noFill/>
                    </a:ln>
                  </pic:spPr>
                </pic:pic>
              </a:graphicData>
            </a:graphic>
          </wp:inline>
        </w:drawing>
      </w:r>
    </w:p>
    <w:p w:rsidR="00A60C09" w:rsidRDefault="00A60C09" w:rsidP="002117D1">
      <w:pPr>
        <w:spacing w:after="240"/>
        <w:ind w:firstLine="720"/>
      </w:pPr>
    </w:p>
    <w:p w:rsidR="00A60C09" w:rsidRDefault="00A60C09" w:rsidP="002117D1">
      <w:pPr>
        <w:spacing w:after="240"/>
        <w:ind w:firstLine="720"/>
      </w:pPr>
    </w:p>
    <w:p w:rsidR="00A60C09" w:rsidRDefault="00A60C09" w:rsidP="002117D1">
      <w:pPr>
        <w:spacing w:after="240"/>
        <w:ind w:firstLine="720"/>
      </w:pPr>
    </w:p>
    <w:p w:rsidR="00A60C09" w:rsidRDefault="00A60C09" w:rsidP="002117D1">
      <w:pPr>
        <w:spacing w:after="240"/>
        <w:ind w:firstLine="720"/>
      </w:pPr>
    </w:p>
    <w:p w:rsidR="00A60C09" w:rsidRDefault="00A60C09" w:rsidP="002117D1">
      <w:pPr>
        <w:pStyle w:val="Heading3"/>
      </w:pPr>
      <w:bookmarkStart w:id="45" w:name="_Toc390256230"/>
      <w:r>
        <w:t>Long-Term Reliability Planning – Transmission</w:t>
      </w:r>
      <w:bookmarkStart w:id="46" w:name="_bmk22"/>
      <w:bookmarkEnd w:id="45"/>
    </w:p>
    <w:p w:rsidR="00A60C09" w:rsidRDefault="00A60C09" w:rsidP="002117D1">
      <w:pPr>
        <w:pStyle w:val="Heading4"/>
      </w:pPr>
      <w:bookmarkStart w:id="47" w:name="_Toc390256231"/>
      <w:bookmarkEnd w:id="46"/>
      <w:r w:rsidRPr="00953D39">
        <w:t>Definition</w:t>
      </w:r>
      <w:bookmarkStart w:id="48" w:name="_bmk23"/>
      <w:bookmarkEnd w:id="47"/>
    </w:p>
    <w:bookmarkEnd w:id="48"/>
    <w:p w:rsidR="00A60C09" w:rsidRDefault="00A60C09" w:rsidP="002117D1">
      <w:pPr>
        <w:spacing w:after="240"/>
        <w:ind w:firstLine="720"/>
      </w:pPr>
      <w:r>
        <w:t xml:space="preserve">This metric tracks the effectiveness of a transmission provider’s planning process in facilitating development of the transmission system.  Measures of transmission planning performance are as follows:  (1) the number of transmission facilities approved to be constructed for reliability purposes; (2) the percentage of approved construction projects completed and on schedule; and (3) measures of the performance of the planning study process in completing </w:t>
      </w:r>
      <w:r w:rsidR="00651A96">
        <w:t>reliability and economic</w:t>
      </w:r>
      <w:r>
        <w:t xml:space="preserve"> studies.  This information measures the ability of each ISO’s, RTO’s or utility’s expansion planning process to identify reliability and economic needs in advance.  </w:t>
      </w:r>
    </w:p>
    <w:p w:rsidR="00A60C09" w:rsidRDefault="00A60C09" w:rsidP="002117D1">
      <w:pPr>
        <w:spacing w:after="240"/>
      </w:pPr>
      <w:r>
        <w:tab/>
        <w:t xml:space="preserve">With respect to the first metric, </w:t>
      </w:r>
      <w:r w:rsidR="00153A0D">
        <w:t xml:space="preserve">the number of transmission facilities approved to be constructed for reliability purposes, </w:t>
      </w:r>
      <w:r w:rsidR="00E54C25">
        <w:t xml:space="preserve">Commission </w:t>
      </w:r>
      <w:r w:rsidR="00153A0D">
        <w:t>Staff did</w:t>
      </w:r>
      <w:r>
        <w:t xml:space="preserve"> not consider </w:t>
      </w:r>
      <w:r w:rsidR="00153A0D">
        <w:t xml:space="preserve">it </w:t>
      </w:r>
      <w:r>
        <w:t xml:space="preserve">appropriate to measure ISO and RTO performance based on construction spending and construction project </w:t>
      </w:r>
      <w:r w:rsidR="00153A0D">
        <w:t xml:space="preserve">completion </w:t>
      </w:r>
      <w:r>
        <w:t xml:space="preserve">information since </w:t>
      </w:r>
      <w:r w:rsidR="00153A0D">
        <w:t>ISOs and RTOs</w:t>
      </w:r>
      <w:r>
        <w:t xml:space="preserve"> do not construct transmission facilities.  </w:t>
      </w:r>
      <w:r>
        <w:rPr>
          <w:szCs w:val="26"/>
        </w:rPr>
        <w:t>Instead, a project approval measure was considered an appropriate common metric since all entities approve transmission projects – ISOs</w:t>
      </w:r>
      <w:r w:rsidR="00153A0D">
        <w:rPr>
          <w:szCs w:val="26"/>
        </w:rPr>
        <w:t xml:space="preserve"> and </w:t>
      </w:r>
      <w:r>
        <w:rPr>
          <w:szCs w:val="26"/>
        </w:rPr>
        <w:t>RTOs in their reliability planning processes and utilities in their own transmission planning</w:t>
      </w:r>
      <w:r w:rsidR="00153A0D">
        <w:rPr>
          <w:szCs w:val="26"/>
        </w:rPr>
        <w:t>,</w:t>
      </w:r>
      <w:r>
        <w:rPr>
          <w:szCs w:val="26"/>
        </w:rPr>
        <w:t xml:space="preserve"> </w:t>
      </w:r>
      <w:r w:rsidR="00153A0D">
        <w:rPr>
          <w:szCs w:val="26"/>
        </w:rPr>
        <w:t>which</w:t>
      </w:r>
      <w:r>
        <w:rPr>
          <w:szCs w:val="26"/>
        </w:rPr>
        <w:t xml:space="preserve"> is undertaken </w:t>
      </w:r>
      <w:r w:rsidR="00153A0D">
        <w:rPr>
          <w:szCs w:val="26"/>
        </w:rPr>
        <w:t xml:space="preserve">typically </w:t>
      </w:r>
      <w:r>
        <w:rPr>
          <w:szCs w:val="26"/>
        </w:rPr>
        <w:t>as part of regional power pool planning processes.</w:t>
      </w:r>
    </w:p>
    <w:p w:rsidR="00A60C09" w:rsidRPr="00953D39" w:rsidRDefault="00A60C09" w:rsidP="002117D1">
      <w:pPr>
        <w:pStyle w:val="Heading4"/>
      </w:pPr>
      <w:bookmarkStart w:id="49" w:name="_Toc390256232"/>
      <w:r w:rsidRPr="00953D39">
        <w:t>Data Review and Metrics Assessment</w:t>
      </w:r>
      <w:bookmarkStart w:id="50" w:name="_bmk24"/>
      <w:bookmarkEnd w:id="49"/>
    </w:p>
    <w:bookmarkEnd w:id="50"/>
    <w:p w:rsidR="00080F67" w:rsidRDefault="00A60C09" w:rsidP="002117D1">
      <w:pPr>
        <w:pStyle w:val="Default"/>
        <w:spacing w:after="240"/>
        <w:rPr>
          <w:sz w:val="26"/>
          <w:szCs w:val="26"/>
        </w:rPr>
      </w:pPr>
      <w:r>
        <w:rPr>
          <w:sz w:val="26"/>
          <w:szCs w:val="26"/>
        </w:rPr>
        <w:tab/>
        <w:t>Data submitted on transmission project approvals is shown on the chart</w:t>
      </w:r>
      <w:r w:rsidR="00153A0D">
        <w:rPr>
          <w:sz w:val="26"/>
          <w:szCs w:val="26"/>
        </w:rPr>
        <w:t xml:space="preserve"> below</w:t>
      </w:r>
      <w:r>
        <w:rPr>
          <w:sz w:val="26"/>
          <w:szCs w:val="26"/>
        </w:rPr>
        <w:t>.</w:t>
      </w:r>
    </w:p>
    <w:p w:rsidR="00080F67" w:rsidRDefault="00080F67">
      <w:pPr>
        <w:widowControl/>
        <w:autoSpaceDE/>
        <w:autoSpaceDN/>
        <w:adjustRightInd/>
        <w:rPr>
          <w:color w:val="000000"/>
          <w:szCs w:val="26"/>
        </w:rPr>
      </w:pPr>
      <w:r>
        <w:rPr>
          <w:szCs w:val="26"/>
        </w:rPr>
        <w:br w:type="page"/>
      </w:r>
    </w:p>
    <w:p w:rsidR="00A60C09" w:rsidRPr="001B6E00" w:rsidRDefault="00A60C09" w:rsidP="007E5590">
      <w:pPr>
        <w:pStyle w:val="Default"/>
        <w:spacing w:after="240"/>
        <w:ind w:left="720"/>
        <w:rPr>
          <w:b/>
          <w:sz w:val="26"/>
          <w:szCs w:val="26"/>
          <w:u w:val="single"/>
        </w:rPr>
      </w:pPr>
      <w:r>
        <w:rPr>
          <w:b/>
          <w:sz w:val="26"/>
          <w:szCs w:val="26"/>
          <w:u w:val="single"/>
        </w:rPr>
        <w:lastRenderedPageBreak/>
        <w:t>Transmission Projects Approved For Construction</w:t>
      </w:r>
    </w:p>
    <w:tbl>
      <w:tblPr>
        <w:tblW w:w="7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960"/>
        <w:gridCol w:w="960"/>
        <w:gridCol w:w="960"/>
        <w:gridCol w:w="960"/>
        <w:gridCol w:w="960"/>
      </w:tblGrid>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b/>
                <w:szCs w:val="26"/>
                <w:u w:val="single"/>
              </w:rPr>
            </w:pPr>
            <w:r w:rsidRPr="001B6E00">
              <w:rPr>
                <w:b/>
                <w:szCs w:val="26"/>
              </w:rPr>
              <w:t xml:space="preserve">    </w:t>
            </w:r>
            <w:r w:rsidRPr="001B6E00">
              <w:rPr>
                <w:b/>
                <w:szCs w:val="26"/>
                <w:u w:val="single"/>
              </w:rPr>
              <w:t>Entity</w:t>
            </w:r>
          </w:p>
        </w:tc>
        <w:tc>
          <w:tcPr>
            <w:tcW w:w="960" w:type="dxa"/>
            <w:shd w:val="clear" w:color="auto" w:fill="auto"/>
            <w:noWrap/>
            <w:vAlign w:val="bottom"/>
            <w:hideMark/>
          </w:tcPr>
          <w:p w:rsidR="00A60C09" w:rsidRPr="001B6E00" w:rsidRDefault="00A60C09" w:rsidP="002117D1">
            <w:pPr>
              <w:spacing w:after="240"/>
              <w:jc w:val="center"/>
              <w:rPr>
                <w:b/>
                <w:bCs/>
                <w:szCs w:val="26"/>
                <w:u w:val="single"/>
              </w:rPr>
            </w:pPr>
            <w:r w:rsidRPr="001B6E00">
              <w:rPr>
                <w:b/>
                <w:bCs/>
                <w:szCs w:val="26"/>
                <w:u w:val="single"/>
              </w:rPr>
              <w:t>2006</w:t>
            </w:r>
          </w:p>
        </w:tc>
        <w:tc>
          <w:tcPr>
            <w:tcW w:w="960" w:type="dxa"/>
            <w:shd w:val="clear" w:color="auto" w:fill="auto"/>
            <w:noWrap/>
            <w:vAlign w:val="bottom"/>
            <w:hideMark/>
          </w:tcPr>
          <w:p w:rsidR="00A60C09" w:rsidRPr="001B6E00" w:rsidRDefault="00A60C09" w:rsidP="002117D1">
            <w:pPr>
              <w:spacing w:after="240"/>
              <w:jc w:val="center"/>
              <w:rPr>
                <w:b/>
                <w:bCs/>
                <w:szCs w:val="26"/>
                <w:u w:val="single"/>
              </w:rPr>
            </w:pPr>
            <w:r w:rsidRPr="001B6E00">
              <w:rPr>
                <w:b/>
                <w:bCs/>
                <w:szCs w:val="26"/>
                <w:u w:val="single"/>
              </w:rPr>
              <w:t>2007</w:t>
            </w:r>
          </w:p>
        </w:tc>
        <w:tc>
          <w:tcPr>
            <w:tcW w:w="960" w:type="dxa"/>
            <w:shd w:val="clear" w:color="auto" w:fill="auto"/>
            <w:noWrap/>
            <w:vAlign w:val="bottom"/>
            <w:hideMark/>
          </w:tcPr>
          <w:p w:rsidR="00A60C09" w:rsidRPr="001B6E00" w:rsidRDefault="00A60C09" w:rsidP="002117D1">
            <w:pPr>
              <w:spacing w:after="240"/>
              <w:jc w:val="center"/>
              <w:rPr>
                <w:b/>
                <w:bCs/>
                <w:szCs w:val="26"/>
                <w:u w:val="single"/>
              </w:rPr>
            </w:pPr>
            <w:r w:rsidRPr="001B6E00">
              <w:rPr>
                <w:b/>
                <w:bCs/>
                <w:szCs w:val="26"/>
                <w:u w:val="single"/>
              </w:rPr>
              <w:t>2008</w:t>
            </w:r>
          </w:p>
        </w:tc>
        <w:tc>
          <w:tcPr>
            <w:tcW w:w="960" w:type="dxa"/>
            <w:shd w:val="clear" w:color="auto" w:fill="auto"/>
            <w:noWrap/>
            <w:vAlign w:val="bottom"/>
            <w:hideMark/>
          </w:tcPr>
          <w:p w:rsidR="00A60C09" w:rsidRPr="001B6E00" w:rsidRDefault="00A60C09" w:rsidP="002117D1">
            <w:pPr>
              <w:spacing w:after="240"/>
              <w:jc w:val="center"/>
              <w:rPr>
                <w:b/>
                <w:bCs/>
                <w:szCs w:val="26"/>
                <w:u w:val="single"/>
              </w:rPr>
            </w:pPr>
            <w:r w:rsidRPr="001B6E00">
              <w:rPr>
                <w:b/>
                <w:bCs/>
                <w:szCs w:val="26"/>
                <w:u w:val="single"/>
              </w:rPr>
              <w:t>2009</w:t>
            </w:r>
          </w:p>
        </w:tc>
        <w:tc>
          <w:tcPr>
            <w:tcW w:w="960" w:type="dxa"/>
            <w:shd w:val="clear" w:color="auto" w:fill="auto"/>
            <w:noWrap/>
            <w:vAlign w:val="bottom"/>
            <w:hideMark/>
          </w:tcPr>
          <w:p w:rsidR="00A60C09" w:rsidRPr="001B6E00" w:rsidRDefault="00A60C09" w:rsidP="002117D1">
            <w:pPr>
              <w:spacing w:after="240"/>
              <w:jc w:val="center"/>
              <w:rPr>
                <w:b/>
                <w:bCs/>
                <w:szCs w:val="26"/>
                <w:u w:val="single"/>
              </w:rPr>
            </w:pPr>
            <w:r w:rsidRPr="001B6E00">
              <w:rPr>
                <w:b/>
                <w:bCs/>
                <w:szCs w:val="26"/>
                <w:u w:val="single"/>
              </w:rPr>
              <w:t>2010</w:t>
            </w:r>
          </w:p>
        </w:tc>
      </w:tr>
      <w:tr w:rsidR="00443F5B" w:rsidRPr="001B6E00" w:rsidTr="00C4252F">
        <w:trPr>
          <w:trHeight w:val="255"/>
        </w:trPr>
        <w:tc>
          <w:tcPr>
            <w:tcW w:w="2780" w:type="dxa"/>
            <w:shd w:val="clear" w:color="auto" w:fill="auto"/>
            <w:noWrap/>
            <w:vAlign w:val="bottom"/>
            <w:hideMark/>
          </w:tcPr>
          <w:p w:rsidR="00443F5B" w:rsidRPr="001B6E00" w:rsidRDefault="00443F5B" w:rsidP="00C4252F">
            <w:pPr>
              <w:spacing w:after="240"/>
              <w:rPr>
                <w:szCs w:val="26"/>
              </w:rPr>
            </w:pPr>
            <w:r w:rsidRPr="001B6E00">
              <w:rPr>
                <w:szCs w:val="26"/>
              </w:rPr>
              <w:t xml:space="preserve">    CAISO</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48</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45</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50</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49</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48</w:t>
            </w:r>
          </w:p>
        </w:tc>
      </w:tr>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ISO-NE</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149</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147</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245</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200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185</w:t>
            </w:r>
          </w:p>
        </w:tc>
      </w:tr>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NYISO</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35</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47</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40</w:t>
            </w:r>
          </w:p>
        </w:tc>
      </w:tr>
      <w:tr w:rsidR="00443F5B" w:rsidRPr="001B6E00" w:rsidTr="00C4252F">
        <w:trPr>
          <w:trHeight w:val="255"/>
        </w:trPr>
        <w:tc>
          <w:tcPr>
            <w:tcW w:w="2780" w:type="dxa"/>
            <w:shd w:val="clear" w:color="auto" w:fill="auto"/>
            <w:noWrap/>
            <w:vAlign w:val="bottom"/>
            <w:hideMark/>
          </w:tcPr>
          <w:p w:rsidR="00443F5B" w:rsidRPr="001B6E00" w:rsidRDefault="00443F5B" w:rsidP="00C4252F">
            <w:pPr>
              <w:spacing w:after="240"/>
              <w:rPr>
                <w:szCs w:val="26"/>
              </w:rPr>
            </w:pPr>
            <w:r w:rsidRPr="001B6E00">
              <w:rPr>
                <w:szCs w:val="26"/>
              </w:rPr>
              <w:t xml:space="preserve">    MISO</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450</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100</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540</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355</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235</w:t>
            </w:r>
          </w:p>
        </w:tc>
      </w:tr>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PJM</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250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280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355</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420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455</w:t>
            </w:r>
          </w:p>
        </w:tc>
      </w:tr>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SPP</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140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210</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185</w:t>
            </w:r>
          </w:p>
        </w:tc>
        <w:tc>
          <w:tcPr>
            <w:tcW w:w="960" w:type="dxa"/>
            <w:shd w:val="clear" w:color="auto" w:fill="auto"/>
            <w:noWrap/>
            <w:vAlign w:val="bottom"/>
            <w:hideMark/>
          </w:tcPr>
          <w:p w:rsidR="00A60C09" w:rsidRPr="001B6E00" w:rsidRDefault="00A60C09" w:rsidP="007E5590">
            <w:pPr>
              <w:spacing w:after="240"/>
              <w:jc w:val="center"/>
              <w:rPr>
                <w:szCs w:val="26"/>
              </w:rPr>
            </w:pPr>
            <w:r w:rsidRPr="001B6E00">
              <w:rPr>
                <w:szCs w:val="26"/>
              </w:rPr>
              <w:t>No Data</w:t>
            </w:r>
          </w:p>
        </w:tc>
      </w:tr>
      <w:tr w:rsidR="00443F5B" w:rsidRPr="001B6E00" w:rsidTr="00C4252F">
        <w:trPr>
          <w:trHeight w:val="255"/>
        </w:trPr>
        <w:tc>
          <w:tcPr>
            <w:tcW w:w="2780" w:type="dxa"/>
            <w:shd w:val="clear" w:color="auto" w:fill="auto"/>
            <w:noWrap/>
            <w:vAlign w:val="bottom"/>
            <w:hideMark/>
          </w:tcPr>
          <w:p w:rsidR="00443F5B" w:rsidRPr="001B6E00" w:rsidRDefault="00443F5B" w:rsidP="00C4252F">
            <w:pPr>
              <w:spacing w:after="240"/>
              <w:rPr>
                <w:szCs w:val="26"/>
              </w:rPr>
            </w:pPr>
            <w:r w:rsidRPr="001B6E00">
              <w:rPr>
                <w:szCs w:val="26"/>
              </w:rPr>
              <w:t xml:space="preserve">    APS</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0</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2</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2</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w:t>
            </w:r>
          </w:p>
        </w:tc>
      </w:tr>
      <w:tr w:rsidR="00A60C09" w:rsidRPr="001B6E00" w:rsidTr="007E5590">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Duke </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157</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176</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217</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222</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192</w:t>
            </w:r>
          </w:p>
        </w:tc>
      </w:tr>
      <w:tr w:rsidR="00443F5B" w:rsidRPr="001B6E00" w:rsidTr="00C4252F">
        <w:trPr>
          <w:trHeight w:val="255"/>
        </w:trPr>
        <w:tc>
          <w:tcPr>
            <w:tcW w:w="2780" w:type="dxa"/>
            <w:shd w:val="clear" w:color="auto" w:fill="auto"/>
            <w:noWrap/>
            <w:vAlign w:val="bottom"/>
            <w:hideMark/>
          </w:tcPr>
          <w:p w:rsidR="00443F5B" w:rsidRPr="001B6E00" w:rsidRDefault="00443F5B" w:rsidP="00C4252F">
            <w:pPr>
              <w:spacing w:after="240"/>
              <w:rPr>
                <w:szCs w:val="26"/>
              </w:rPr>
            </w:pPr>
            <w:r w:rsidRPr="001B6E00">
              <w:rPr>
                <w:szCs w:val="26"/>
              </w:rPr>
              <w:t xml:space="preserve">    LG&amp;E/KU</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9</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14</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9</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21</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18</w:t>
            </w:r>
          </w:p>
        </w:tc>
      </w:tr>
      <w:tr w:rsidR="00443F5B" w:rsidRPr="001B6E00" w:rsidTr="00C4252F">
        <w:trPr>
          <w:trHeight w:val="255"/>
        </w:trPr>
        <w:tc>
          <w:tcPr>
            <w:tcW w:w="2780" w:type="dxa"/>
            <w:shd w:val="clear" w:color="auto" w:fill="auto"/>
            <w:noWrap/>
            <w:vAlign w:val="bottom"/>
            <w:hideMark/>
          </w:tcPr>
          <w:p w:rsidR="00443F5B" w:rsidRPr="001B6E00" w:rsidRDefault="00443F5B" w:rsidP="00C4252F">
            <w:pPr>
              <w:spacing w:after="240"/>
              <w:rPr>
                <w:szCs w:val="26"/>
              </w:rPr>
            </w:pPr>
            <w:r w:rsidRPr="001B6E00">
              <w:rPr>
                <w:szCs w:val="26"/>
              </w:rPr>
              <w:t xml:space="preserve">    </w:t>
            </w:r>
            <w:r>
              <w:rPr>
                <w:szCs w:val="26"/>
              </w:rPr>
              <w:t>PacifiCorp</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9</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14</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35</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26</w:t>
            </w:r>
          </w:p>
        </w:tc>
        <w:tc>
          <w:tcPr>
            <w:tcW w:w="960" w:type="dxa"/>
            <w:shd w:val="clear" w:color="auto" w:fill="auto"/>
            <w:noWrap/>
            <w:vAlign w:val="bottom"/>
            <w:hideMark/>
          </w:tcPr>
          <w:p w:rsidR="00443F5B" w:rsidRPr="001B6E00" w:rsidRDefault="00443F5B" w:rsidP="00C4252F">
            <w:pPr>
              <w:spacing w:after="240"/>
              <w:jc w:val="center"/>
              <w:rPr>
                <w:szCs w:val="26"/>
              </w:rPr>
            </w:pPr>
            <w:r w:rsidRPr="001B6E00">
              <w:rPr>
                <w:szCs w:val="26"/>
              </w:rPr>
              <w:t>14</w:t>
            </w:r>
          </w:p>
        </w:tc>
      </w:tr>
      <w:tr w:rsidR="00A60C09" w:rsidRPr="001B6E00" w:rsidTr="00953D39">
        <w:trPr>
          <w:trHeight w:val="255"/>
        </w:trPr>
        <w:tc>
          <w:tcPr>
            <w:tcW w:w="2780" w:type="dxa"/>
            <w:shd w:val="clear" w:color="auto" w:fill="auto"/>
            <w:noWrap/>
            <w:vAlign w:val="bottom"/>
            <w:hideMark/>
          </w:tcPr>
          <w:p w:rsidR="00A60C09" w:rsidRPr="001B6E00" w:rsidRDefault="00A60C09" w:rsidP="002117D1">
            <w:pPr>
              <w:spacing w:after="240"/>
              <w:rPr>
                <w:szCs w:val="26"/>
              </w:rPr>
            </w:pPr>
            <w:r w:rsidRPr="001B6E00">
              <w:rPr>
                <w:szCs w:val="26"/>
              </w:rPr>
              <w:t xml:space="preserve">    Southern </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16</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28</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35</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25</w:t>
            </w:r>
          </w:p>
        </w:tc>
        <w:tc>
          <w:tcPr>
            <w:tcW w:w="960" w:type="dxa"/>
            <w:shd w:val="clear" w:color="auto" w:fill="auto"/>
            <w:noWrap/>
            <w:vAlign w:val="bottom"/>
            <w:hideMark/>
          </w:tcPr>
          <w:p w:rsidR="00A60C09" w:rsidRPr="001B6E00" w:rsidRDefault="00A60C09" w:rsidP="007E5590">
            <w:pPr>
              <w:spacing w:after="240"/>
              <w:jc w:val="center"/>
              <w:rPr>
                <w:b/>
                <w:bCs/>
                <w:i/>
                <w:iCs/>
                <w:szCs w:val="26"/>
              </w:rPr>
            </w:pPr>
            <w:r w:rsidRPr="001B6E00">
              <w:rPr>
                <w:b/>
                <w:bCs/>
                <w:i/>
                <w:iCs/>
                <w:szCs w:val="26"/>
              </w:rPr>
              <w:t>39</w:t>
            </w:r>
          </w:p>
        </w:tc>
      </w:tr>
    </w:tbl>
    <w:p w:rsidR="00A60C09" w:rsidRPr="00BD0FB8" w:rsidRDefault="00A60C09" w:rsidP="002117D1">
      <w:pPr>
        <w:pStyle w:val="Default"/>
        <w:spacing w:after="240"/>
        <w:rPr>
          <w:b/>
          <w:sz w:val="26"/>
          <w:szCs w:val="26"/>
          <w:u w:val="single"/>
        </w:rPr>
      </w:pPr>
      <w:r w:rsidRPr="00BD0FB8">
        <w:rPr>
          <w:b/>
          <w:sz w:val="26"/>
          <w:szCs w:val="26"/>
          <w:u w:val="single"/>
        </w:rPr>
        <w:t>Note</w:t>
      </w:r>
    </w:p>
    <w:p w:rsidR="00A60C09" w:rsidRDefault="003703B5" w:rsidP="002117D1">
      <w:pPr>
        <w:pStyle w:val="Default"/>
        <w:spacing w:after="240"/>
        <w:rPr>
          <w:sz w:val="28"/>
        </w:rPr>
      </w:pPr>
      <w:r>
        <w:rPr>
          <w:b/>
          <w:i/>
          <w:sz w:val="26"/>
          <w:szCs w:val="26"/>
        </w:rPr>
        <w:t xml:space="preserve">Bold </w:t>
      </w:r>
      <w:r w:rsidRPr="002117D1">
        <w:rPr>
          <w:b/>
          <w:i/>
          <w:sz w:val="26"/>
          <w:szCs w:val="26"/>
        </w:rPr>
        <w:t>i</w:t>
      </w:r>
      <w:r w:rsidR="00A60C09" w:rsidRPr="003703B5">
        <w:rPr>
          <w:b/>
          <w:i/>
          <w:sz w:val="26"/>
          <w:szCs w:val="26"/>
        </w:rPr>
        <w:t>talics</w:t>
      </w:r>
      <w:r w:rsidR="00A60C09">
        <w:rPr>
          <w:sz w:val="26"/>
          <w:szCs w:val="26"/>
        </w:rPr>
        <w:t xml:space="preserve"> indicate</w:t>
      </w:r>
      <w:r w:rsidR="00A60C09" w:rsidRPr="001B6E00">
        <w:rPr>
          <w:sz w:val="26"/>
          <w:szCs w:val="26"/>
        </w:rPr>
        <w:t xml:space="preserve"> projects completed</w:t>
      </w:r>
      <w:r w:rsidR="00A60C09" w:rsidRPr="001B6E00">
        <w:rPr>
          <w:sz w:val="28"/>
        </w:rPr>
        <w:t>.</w:t>
      </w:r>
    </w:p>
    <w:p w:rsidR="005447C4" w:rsidRDefault="005447C4" w:rsidP="007E5590">
      <w:pPr>
        <w:pStyle w:val="Default"/>
        <w:spacing w:after="240"/>
        <w:ind w:left="720"/>
      </w:pPr>
    </w:p>
    <w:p w:rsidR="00B37123" w:rsidRPr="002117D1" w:rsidRDefault="00B37123" w:rsidP="002117D1">
      <w:pPr>
        <w:pStyle w:val="Default"/>
        <w:spacing w:after="240"/>
      </w:pPr>
    </w:p>
    <w:p w:rsidR="00A60C09" w:rsidRDefault="00A60C09" w:rsidP="00B21A74">
      <w:pPr>
        <w:pStyle w:val="Default"/>
        <w:spacing w:after="240"/>
        <w:ind w:firstLine="720"/>
        <w:rPr>
          <w:sz w:val="26"/>
          <w:szCs w:val="26"/>
        </w:rPr>
      </w:pPr>
      <w:r>
        <w:rPr>
          <w:sz w:val="26"/>
          <w:szCs w:val="26"/>
        </w:rPr>
        <w:t xml:space="preserve">The data submitted and discussion of the project approval metric by the ISOs, RTOs and utilities indicates that </w:t>
      </w:r>
      <w:r w:rsidR="0084458E">
        <w:rPr>
          <w:sz w:val="26"/>
          <w:szCs w:val="26"/>
        </w:rPr>
        <w:t>this metric</w:t>
      </w:r>
      <w:r>
        <w:rPr>
          <w:sz w:val="26"/>
          <w:szCs w:val="26"/>
        </w:rPr>
        <w:t xml:space="preserve"> measur</w:t>
      </w:r>
      <w:r w:rsidR="0084458E">
        <w:rPr>
          <w:sz w:val="26"/>
          <w:szCs w:val="26"/>
        </w:rPr>
        <w:t>es</w:t>
      </w:r>
      <w:r>
        <w:rPr>
          <w:sz w:val="26"/>
          <w:szCs w:val="26"/>
        </w:rPr>
        <w:t xml:space="preserve"> the same activity and has the same meaning across all types of entities, and therefore is </w:t>
      </w:r>
      <w:r w:rsidR="0084458E">
        <w:rPr>
          <w:sz w:val="26"/>
          <w:szCs w:val="26"/>
        </w:rPr>
        <w:t xml:space="preserve">a </w:t>
      </w:r>
      <w:r>
        <w:rPr>
          <w:sz w:val="26"/>
          <w:szCs w:val="26"/>
        </w:rPr>
        <w:t xml:space="preserve">suitable common metric.  While Duke and Southern submitted data on the number of projects completed, the other utilities outside ISO and RTO markets reported the number of projects approved, thereby indicating that this metric can be a common metric for all ISOs, RTOs and utilities outside ISO and RTO markets.    </w:t>
      </w:r>
    </w:p>
    <w:p w:rsidR="00A60C09" w:rsidRDefault="00A60C09" w:rsidP="002117D1">
      <w:pPr>
        <w:pStyle w:val="Default"/>
        <w:spacing w:after="240"/>
        <w:rPr>
          <w:sz w:val="26"/>
          <w:szCs w:val="26"/>
        </w:rPr>
      </w:pPr>
      <w:r>
        <w:rPr>
          <w:b/>
        </w:rPr>
        <w:tab/>
      </w:r>
      <w:r w:rsidR="00E54C25" w:rsidRPr="00496261">
        <w:rPr>
          <w:sz w:val="26"/>
          <w:szCs w:val="26"/>
        </w:rPr>
        <w:t xml:space="preserve">Commission </w:t>
      </w:r>
      <w:r w:rsidR="0084458E">
        <w:rPr>
          <w:sz w:val="26"/>
          <w:szCs w:val="26"/>
        </w:rPr>
        <w:t>Staff intends t</w:t>
      </w:r>
      <w:r>
        <w:rPr>
          <w:sz w:val="26"/>
          <w:szCs w:val="26"/>
        </w:rPr>
        <w:t xml:space="preserve">he second metric, the percentage of approved projects completed, to track progress in completing projects.  The metric on the chart </w:t>
      </w:r>
      <w:r w:rsidR="0084458E">
        <w:rPr>
          <w:sz w:val="26"/>
          <w:szCs w:val="26"/>
        </w:rPr>
        <w:t xml:space="preserve">below </w:t>
      </w:r>
      <w:r>
        <w:rPr>
          <w:sz w:val="26"/>
          <w:szCs w:val="26"/>
        </w:rPr>
        <w:t>shows the percentage of projects</w:t>
      </w:r>
      <w:r w:rsidR="0042444D">
        <w:rPr>
          <w:sz w:val="26"/>
          <w:szCs w:val="26"/>
        </w:rPr>
        <w:t xml:space="preserve"> approved in each year that were</w:t>
      </w:r>
      <w:r>
        <w:rPr>
          <w:sz w:val="26"/>
          <w:szCs w:val="26"/>
        </w:rPr>
        <w:t xml:space="preserve"> completed as of </w:t>
      </w:r>
      <w:r>
        <w:rPr>
          <w:sz w:val="26"/>
          <w:szCs w:val="26"/>
        </w:rPr>
        <w:lastRenderedPageBreak/>
        <w:t xml:space="preserve">December 31, 2010.  </w:t>
      </w:r>
      <w:r w:rsidR="0042444D">
        <w:rPr>
          <w:sz w:val="26"/>
          <w:szCs w:val="26"/>
        </w:rPr>
        <w:t xml:space="preserve">Only the ISOs and RTOs provided this information.  </w:t>
      </w:r>
      <w:r>
        <w:rPr>
          <w:sz w:val="26"/>
          <w:szCs w:val="26"/>
        </w:rPr>
        <w:t xml:space="preserve">Utilities outside ISO and RTO markets did not use this measure, and instead tracked their performance based on the percentage of projects that were on schedule each year.  On this measure, Duke, Southern and APS reported 100 percent of transmission projects on schedule, </w:t>
      </w:r>
      <w:r w:rsidR="007F3248">
        <w:rPr>
          <w:sz w:val="26"/>
          <w:szCs w:val="26"/>
        </w:rPr>
        <w:t>PacifiCorp</w:t>
      </w:r>
      <w:r>
        <w:rPr>
          <w:sz w:val="26"/>
          <w:szCs w:val="26"/>
        </w:rPr>
        <w:t xml:space="preserve"> reported 90 percent on schedule for most years, and LG&amp;E/KU reported</w:t>
      </w:r>
      <w:r w:rsidR="0084458E">
        <w:rPr>
          <w:sz w:val="26"/>
          <w:szCs w:val="26"/>
        </w:rPr>
        <w:t>, respectively,</w:t>
      </w:r>
      <w:r>
        <w:rPr>
          <w:sz w:val="26"/>
          <w:szCs w:val="26"/>
        </w:rPr>
        <w:t xml:space="preserve"> between 50 percent and 80 percent of transmission projects on schedule.</w:t>
      </w:r>
    </w:p>
    <w:p w:rsidR="00A60C09" w:rsidRDefault="00155000" w:rsidP="002117D1">
      <w:pPr>
        <w:pStyle w:val="Default"/>
        <w:spacing w:after="240"/>
      </w:pPr>
      <w:r w:rsidRPr="00155000">
        <w:rPr>
          <w:noProof/>
        </w:rPr>
        <w:drawing>
          <wp:inline distT="0" distB="0" distL="0" distR="0" wp14:anchorId="2183DAB3" wp14:editId="5A69BAE6">
            <wp:extent cx="5495925" cy="58769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5876925"/>
                    </a:xfrm>
                    <a:prstGeom prst="rect">
                      <a:avLst/>
                    </a:prstGeom>
                    <a:noFill/>
                    <a:ln>
                      <a:noFill/>
                    </a:ln>
                  </pic:spPr>
                </pic:pic>
              </a:graphicData>
            </a:graphic>
          </wp:inline>
        </w:drawing>
      </w:r>
    </w:p>
    <w:p w:rsidR="00A60C09" w:rsidRDefault="00A60C09" w:rsidP="002117D1">
      <w:pPr>
        <w:pStyle w:val="Default"/>
        <w:spacing w:after="240"/>
        <w:rPr>
          <w:sz w:val="26"/>
          <w:szCs w:val="26"/>
        </w:rPr>
      </w:pPr>
      <w:r>
        <w:rPr>
          <w:sz w:val="26"/>
          <w:szCs w:val="26"/>
        </w:rPr>
        <w:tab/>
      </w:r>
      <w:r w:rsidR="002D086D">
        <w:rPr>
          <w:sz w:val="26"/>
          <w:szCs w:val="26"/>
        </w:rPr>
        <w:t>Inasmuch as utilities outside ISO and RTO markets are tracking information on project completion, it is expected that they could provide the same information provided by the ISOs and RTOs and</w:t>
      </w:r>
      <w:r w:rsidR="00155000">
        <w:rPr>
          <w:sz w:val="26"/>
          <w:szCs w:val="26"/>
        </w:rPr>
        <w:t>,</w:t>
      </w:r>
      <w:r w:rsidR="002D086D">
        <w:rPr>
          <w:sz w:val="26"/>
          <w:szCs w:val="26"/>
        </w:rPr>
        <w:t xml:space="preserve"> therefore</w:t>
      </w:r>
      <w:r w:rsidR="00155000">
        <w:rPr>
          <w:sz w:val="26"/>
          <w:szCs w:val="26"/>
        </w:rPr>
        <w:t>,</w:t>
      </w:r>
      <w:r w:rsidR="002D086D">
        <w:rPr>
          <w:sz w:val="26"/>
          <w:szCs w:val="26"/>
        </w:rPr>
        <w:t xml:space="preserve"> this metric would be</w:t>
      </w:r>
      <w:r w:rsidR="0084458E">
        <w:rPr>
          <w:sz w:val="26"/>
          <w:szCs w:val="26"/>
        </w:rPr>
        <w:t xml:space="preserve"> </w:t>
      </w:r>
      <w:r>
        <w:rPr>
          <w:sz w:val="26"/>
          <w:szCs w:val="26"/>
        </w:rPr>
        <w:t xml:space="preserve">suitable </w:t>
      </w:r>
      <w:r w:rsidR="003A3E33">
        <w:rPr>
          <w:sz w:val="26"/>
          <w:szCs w:val="26"/>
        </w:rPr>
        <w:t xml:space="preserve">as a </w:t>
      </w:r>
      <w:r>
        <w:rPr>
          <w:sz w:val="26"/>
          <w:szCs w:val="26"/>
        </w:rPr>
        <w:t>common metric.</w:t>
      </w:r>
    </w:p>
    <w:p w:rsidR="00A60C09" w:rsidRDefault="00A60C09" w:rsidP="002117D1">
      <w:pPr>
        <w:pStyle w:val="Default"/>
        <w:spacing w:after="240"/>
        <w:ind w:firstLine="720"/>
        <w:rPr>
          <w:sz w:val="26"/>
          <w:szCs w:val="26"/>
        </w:rPr>
      </w:pPr>
      <w:r>
        <w:rPr>
          <w:sz w:val="26"/>
          <w:szCs w:val="26"/>
        </w:rPr>
        <w:lastRenderedPageBreak/>
        <w:t xml:space="preserve">With respect to measures of the planning study process, all reporting entities conduct annual reliability studies as part of their regional expansion planning processes.  Such assessments typically encompass sensitivity analyses based on stakeholder requests.  Southern indicated that it performed 191 reliability studies in addition to </w:t>
      </w:r>
      <w:r w:rsidR="0084458E">
        <w:rPr>
          <w:sz w:val="26"/>
          <w:szCs w:val="26"/>
        </w:rPr>
        <w:t>its</w:t>
      </w:r>
      <w:r>
        <w:rPr>
          <w:sz w:val="26"/>
          <w:szCs w:val="26"/>
        </w:rPr>
        <w:t xml:space="preserve"> annual reliability analysis, and that it evaluated 30 sensitivity analyses.</w:t>
      </w:r>
      <w:r>
        <w:rPr>
          <w:rStyle w:val="FootnoteReference"/>
        </w:rPr>
        <w:footnoteReference w:id="20"/>
      </w:r>
      <w:r>
        <w:rPr>
          <w:sz w:val="26"/>
          <w:szCs w:val="26"/>
        </w:rPr>
        <w:t xml:space="preserve">  </w:t>
      </w:r>
      <w:r w:rsidR="007F3248">
        <w:rPr>
          <w:sz w:val="26"/>
          <w:szCs w:val="26"/>
        </w:rPr>
        <w:t>PacifiCorp</w:t>
      </w:r>
      <w:r>
        <w:rPr>
          <w:sz w:val="26"/>
          <w:szCs w:val="26"/>
        </w:rPr>
        <w:t xml:space="preserve"> and LG&amp;E/KU did not receive any requests for </w:t>
      </w:r>
      <w:r w:rsidR="002D086D">
        <w:rPr>
          <w:sz w:val="26"/>
          <w:szCs w:val="26"/>
        </w:rPr>
        <w:t xml:space="preserve">additional reliability </w:t>
      </w:r>
      <w:r>
        <w:rPr>
          <w:sz w:val="26"/>
          <w:szCs w:val="26"/>
        </w:rPr>
        <w:t>studies.</w:t>
      </w:r>
      <w:r w:rsidR="002D086D">
        <w:rPr>
          <w:sz w:val="26"/>
          <w:szCs w:val="26"/>
        </w:rPr>
        <w:t xml:space="preserve">  </w:t>
      </w:r>
    </w:p>
    <w:p w:rsidR="00A60C09" w:rsidRDefault="00A60C09" w:rsidP="002117D1">
      <w:pPr>
        <w:pStyle w:val="Default"/>
        <w:spacing w:after="240"/>
        <w:ind w:firstLine="720"/>
        <w:rPr>
          <w:sz w:val="26"/>
          <w:szCs w:val="26"/>
        </w:rPr>
      </w:pPr>
      <w:r>
        <w:rPr>
          <w:sz w:val="26"/>
          <w:szCs w:val="26"/>
        </w:rPr>
        <w:t>As for economic studies, ISOs, RTOs and utilities provided the following specific study information:</w:t>
      </w:r>
    </w:p>
    <w:p w:rsidR="00A60C09" w:rsidRPr="00F64452" w:rsidRDefault="00A60C09" w:rsidP="002117D1">
      <w:pPr>
        <w:pStyle w:val="Default"/>
        <w:numPr>
          <w:ilvl w:val="0"/>
          <w:numId w:val="22"/>
        </w:numPr>
        <w:spacing w:after="240"/>
        <w:rPr>
          <w:sz w:val="26"/>
          <w:szCs w:val="26"/>
        </w:rPr>
      </w:pPr>
      <w:r w:rsidRPr="00F64452">
        <w:rPr>
          <w:sz w:val="26"/>
          <w:szCs w:val="26"/>
        </w:rPr>
        <w:t xml:space="preserve">ISO-NE </w:t>
      </w:r>
      <w:r>
        <w:rPr>
          <w:sz w:val="26"/>
          <w:szCs w:val="26"/>
        </w:rPr>
        <w:t>completed five economic studies over the 2006</w:t>
      </w:r>
      <w:r w:rsidR="00B05F73">
        <w:t>–</w:t>
      </w:r>
      <w:r>
        <w:rPr>
          <w:sz w:val="26"/>
          <w:szCs w:val="26"/>
        </w:rPr>
        <w:t xml:space="preserve">2010 </w:t>
      </w:r>
      <w:proofErr w:type="gramStart"/>
      <w:r>
        <w:rPr>
          <w:sz w:val="26"/>
          <w:szCs w:val="26"/>
        </w:rPr>
        <w:t>period</w:t>
      </w:r>
      <w:proofErr w:type="gramEnd"/>
      <w:r>
        <w:rPr>
          <w:sz w:val="26"/>
          <w:szCs w:val="26"/>
        </w:rPr>
        <w:t>.</w:t>
      </w:r>
    </w:p>
    <w:p w:rsidR="00A60C09" w:rsidRDefault="00A60C09" w:rsidP="002117D1">
      <w:pPr>
        <w:pStyle w:val="Default"/>
        <w:numPr>
          <w:ilvl w:val="0"/>
          <w:numId w:val="22"/>
        </w:numPr>
        <w:spacing w:after="240"/>
        <w:rPr>
          <w:sz w:val="26"/>
          <w:szCs w:val="26"/>
        </w:rPr>
      </w:pPr>
      <w:r>
        <w:rPr>
          <w:sz w:val="26"/>
          <w:szCs w:val="26"/>
        </w:rPr>
        <w:t>MISO completed four economic studies in 2009 and 2010.</w:t>
      </w:r>
    </w:p>
    <w:p w:rsidR="00A60C09" w:rsidRDefault="00A60C09" w:rsidP="002117D1">
      <w:pPr>
        <w:pStyle w:val="Default"/>
        <w:numPr>
          <w:ilvl w:val="0"/>
          <w:numId w:val="22"/>
        </w:numPr>
        <w:spacing w:after="240"/>
        <w:rPr>
          <w:sz w:val="26"/>
          <w:szCs w:val="26"/>
        </w:rPr>
      </w:pPr>
      <w:r>
        <w:rPr>
          <w:sz w:val="26"/>
          <w:szCs w:val="26"/>
        </w:rPr>
        <w:t>NYISO initiated a biennial economic planning process in 2009.</w:t>
      </w:r>
    </w:p>
    <w:p w:rsidR="005F256E" w:rsidRDefault="00A60C09" w:rsidP="002117D1">
      <w:pPr>
        <w:pStyle w:val="Default"/>
        <w:numPr>
          <w:ilvl w:val="0"/>
          <w:numId w:val="22"/>
        </w:numPr>
        <w:spacing w:after="240"/>
        <w:rPr>
          <w:sz w:val="26"/>
          <w:szCs w:val="26"/>
        </w:rPr>
      </w:pPr>
      <w:r>
        <w:rPr>
          <w:sz w:val="26"/>
          <w:szCs w:val="26"/>
        </w:rPr>
        <w:t>Duke</w:t>
      </w:r>
      <w:r w:rsidR="00193A27">
        <w:rPr>
          <w:sz w:val="26"/>
          <w:szCs w:val="26"/>
        </w:rPr>
        <w:t xml:space="preserve"> Energy Carolinas and Progress Energy Carolinas</w:t>
      </w:r>
      <w:r>
        <w:rPr>
          <w:sz w:val="26"/>
          <w:szCs w:val="26"/>
        </w:rPr>
        <w:t xml:space="preserve"> evaluated 10 economic assessment sensitivities over the 2006–2010 </w:t>
      </w:r>
      <w:proofErr w:type="gramStart"/>
      <w:r>
        <w:rPr>
          <w:sz w:val="26"/>
          <w:szCs w:val="26"/>
        </w:rPr>
        <w:t>period</w:t>
      </w:r>
      <w:proofErr w:type="gramEnd"/>
      <w:r>
        <w:rPr>
          <w:sz w:val="26"/>
          <w:szCs w:val="26"/>
        </w:rPr>
        <w:t>.</w:t>
      </w:r>
      <w:r w:rsidR="00193A27">
        <w:rPr>
          <w:sz w:val="26"/>
          <w:szCs w:val="26"/>
        </w:rPr>
        <w:t xml:space="preserve">  </w:t>
      </w:r>
    </w:p>
    <w:p w:rsidR="00A60C09" w:rsidRDefault="00193A27" w:rsidP="002117D1">
      <w:pPr>
        <w:pStyle w:val="Default"/>
        <w:numPr>
          <w:ilvl w:val="0"/>
          <w:numId w:val="22"/>
        </w:numPr>
        <w:spacing w:after="240"/>
        <w:rPr>
          <w:sz w:val="26"/>
          <w:szCs w:val="26"/>
        </w:rPr>
      </w:pPr>
      <w:r>
        <w:rPr>
          <w:sz w:val="26"/>
          <w:szCs w:val="26"/>
        </w:rPr>
        <w:t>Progress Energy Florida received no requests.</w:t>
      </w:r>
    </w:p>
    <w:p w:rsidR="00A60C09" w:rsidRDefault="00A60C09" w:rsidP="002117D1">
      <w:pPr>
        <w:pStyle w:val="Default"/>
        <w:numPr>
          <w:ilvl w:val="0"/>
          <w:numId w:val="22"/>
        </w:numPr>
        <w:spacing w:after="240"/>
        <w:rPr>
          <w:sz w:val="26"/>
          <w:szCs w:val="26"/>
        </w:rPr>
      </w:pPr>
      <w:r>
        <w:rPr>
          <w:sz w:val="26"/>
          <w:szCs w:val="26"/>
        </w:rPr>
        <w:t>LG&amp;E/KU completed five economic studies annually as part of its expansion planning process.</w:t>
      </w:r>
    </w:p>
    <w:p w:rsidR="008B4F52" w:rsidRDefault="00A60C09" w:rsidP="002117D1">
      <w:pPr>
        <w:pStyle w:val="Default"/>
        <w:numPr>
          <w:ilvl w:val="0"/>
          <w:numId w:val="22"/>
        </w:numPr>
        <w:spacing w:after="240"/>
        <w:rPr>
          <w:sz w:val="26"/>
          <w:szCs w:val="26"/>
        </w:rPr>
      </w:pPr>
      <w:r>
        <w:rPr>
          <w:sz w:val="26"/>
          <w:szCs w:val="26"/>
        </w:rPr>
        <w:t xml:space="preserve">APS completed three economic studies </w:t>
      </w:r>
      <w:r w:rsidR="008B4F52">
        <w:rPr>
          <w:sz w:val="26"/>
          <w:szCs w:val="26"/>
        </w:rPr>
        <w:t>over the 2006</w:t>
      </w:r>
      <w:r w:rsidR="002C0B50">
        <w:t>–</w:t>
      </w:r>
      <w:r w:rsidR="008B4F52">
        <w:rPr>
          <w:sz w:val="26"/>
          <w:szCs w:val="26"/>
        </w:rPr>
        <w:t xml:space="preserve">2010 </w:t>
      </w:r>
      <w:proofErr w:type="gramStart"/>
      <w:r w:rsidR="008B4F52">
        <w:rPr>
          <w:sz w:val="26"/>
          <w:szCs w:val="26"/>
        </w:rPr>
        <w:t>period</w:t>
      </w:r>
      <w:proofErr w:type="gramEnd"/>
      <w:r w:rsidR="008B4F52">
        <w:rPr>
          <w:sz w:val="26"/>
          <w:szCs w:val="26"/>
        </w:rPr>
        <w:t>.</w:t>
      </w:r>
    </w:p>
    <w:p w:rsidR="00A60C09" w:rsidRPr="007D1795" w:rsidRDefault="007F3248" w:rsidP="002117D1">
      <w:pPr>
        <w:pStyle w:val="Default"/>
        <w:numPr>
          <w:ilvl w:val="0"/>
          <w:numId w:val="22"/>
        </w:numPr>
        <w:spacing w:after="240"/>
        <w:rPr>
          <w:sz w:val="26"/>
          <w:szCs w:val="26"/>
        </w:rPr>
      </w:pPr>
      <w:r>
        <w:rPr>
          <w:sz w:val="26"/>
          <w:szCs w:val="26"/>
        </w:rPr>
        <w:t>PacifiCorp</w:t>
      </w:r>
      <w:r w:rsidR="00A60C09">
        <w:rPr>
          <w:sz w:val="26"/>
          <w:szCs w:val="26"/>
        </w:rPr>
        <w:t xml:space="preserve"> completed one economic study over the 2006</w:t>
      </w:r>
      <w:r w:rsidR="00B05F73">
        <w:t>–</w:t>
      </w:r>
      <w:r w:rsidR="00A60C09">
        <w:rPr>
          <w:sz w:val="26"/>
          <w:szCs w:val="26"/>
        </w:rPr>
        <w:t xml:space="preserve">2010 </w:t>
      </w:r>
      <w:proofErr w:type="gramStart"/>
      <w:r w:rsidR="00A60C09">
        <w:rPr>
          <w:sz w:val="26"/>
          <w:szCs w:val="26"/>
        </w:rPr>
        <w:t>period</w:t>
      </w:r>
      <w:proofErr w:type="gramEnd"/>
      <w:r w:rsidR="00A60C09">
        <w:rPr>
          <w:sz w:val="26"/>
          <w:szCs w:val="26"/>
        </w:rPr>
        <w:t>.</w:t>
      </w:r>
    </w:p>
    <w:p w:rsidR="00A60C09" w:rsidRDefault="00A60C09" w:rsidP="002117D1">
      <w:pPr>
        <w:spacing w:after="240"/>
        <w:ind w:firstLine="720"/>
      </w:pPr>
      <w:r>
        <w:t>The data submitted and discussion of the data by the ISOs, RTOs and utilities indicates that the planning study metrics measur</w:t>
      </w:r>
      <w:r w:rsidR="0084458E">
        <w:t>e</w:t>
      </w:r>
      <w:r>
        <w:t xml:space="preserve"> the same activities and have the same meaning across all entities, and therefore are suitable common metrics.  </w:t>
      </w:r>
    </w:p>
    <w:p w:rsidR="00A60C09" w:rsidRDefault="00A60C09" w:rsidP="002117D1">
      <w:pPr>
        <w:pStyle w:val="Heading3"/>
      </w:pPr>
      <w:bookmarkStart w:id="51" w:name="_Toc390256233"/>
      <w:r>
        <w:t>Long-Term Reliability Planning –</w:t>
      </w:r>
      <w:r w:rsidR="00155000">
        <w:t xml:space="preserve"> </w:t>
      </w:r>
      <w:r>
        <w:t>Resources</w:t>
      </w:r>
      <w:bookmarkStart w:id="52" w:name="_bmk25"/>
      <w:bookmarkEnd w:id="51"/>
    </w:p>
    <w:p w:rsidR="00A60C09" w:rsidRDefault="00A60C09" w:rsidP="002117D1">
      <w:pPr>
        <w:pStyle w:val="Heading4"/>
      </w:pPr>
      <w:bookmarkStart w:id="53" w:name="_Toc390256234"/>
      <w:bookmarkEnd w:id="52"/>
      <w:r w:rsidRPr="00953D39">
        <w:t>Definition</w:t>
      </w:r>
      <w:bookmarkStart w:id="54" w:name="_bmk26"/>
      <w:bookmarkEnd w:id="53"/>
    </w:p>
    <w:bookmarkEnd w:id="54"/>
    <w:p w:rsidR="00A60C09" w:rsidRDefault="00A60C09" w:rsidP="002117D1">
      <w:pPr>
        <w:spacing w:after="240"/>
        <w:ind w:firstLine="720"/>
      </w:pPr>
      <w:r>
        <w:t>Two metrics are employed to measure the effectiveness of long-term reliability planning for resources</w:t>
      </w:r>
      <w:r w:rsidRPr="00BC27D6">
        <w:t>.</w:t>
      </w:r>
      <w:r>
        <w:t xml:space="preserve">  The first metric, processing time for generation interconnection requests, measures the effectiveness of processes in achieving timely interconnection of new resources.  </w:t>
      </w:r>
      <w:r w:rsidRPr="00846336">
        <w:t>The second metric</w:t>
      </w:r>
      <w:r>
        <w:t xml:space="preserve"> compares the actual reserve margin to the </w:t>
      </w:r>
      <w:r w:rsidRPr="00846336">
        <w:t>planned reserve margin</w:t>
      </w:r>
      <w:r>
        <w:t xml:space="preserve"> to measure the extent to which ISO, RTO and utility generation resource </w:t>
      </w:r>
      <w:r>
        <w:lastRenderedPageBreak/>
        <w:t>planning processes are ensuring long-term resource adequacy and reliability.</w:t>
      </w:r>
    </w:p>
    <w:p w:rsidR="00A60C09" w:rsidRPr="00953D39" w:rsidRDefault="00A60C09" w:rsidP="002117D1">
      <w:pPr>
        <w:pStyle w:val="Heading4"/>
      </w:pPr>
      <w:bookmarkStart w:id="55" w:name="_Toc390256235"/>
      <w:r w:rsidRPr="00953D39">
        <w:t>Data Review and Metrics Assessment</w:t>
      </w:r>
      <w:bookmarkStart w:id="56" w:name="_bmk27"/>
      <w:bookmarkEnd w:id="55"/>
    </w:p>
    <w:bookmarkEnd w:id="56"/>
    <w:p w:rsidR="00A60C09" w:rsidRDefault="00A60C09" w:rsidP="002117D1">
      <w:pPr>
        <w:spacing w:after="240"/>
        <w:ind w:firstLine="720"/>
      </w:pPr>
      <w:r w:rsidRPr="00FC6C58">
        <w:rPr>
          <w:szCs w:val="26"/>
        </w:rPr>
        <w:t>The results of the first metric, the time required to process generator interconnection</w:t>
      </w:r>
      <w:r w:rsidR="0084458E">
        <w:rPr>
          <w:szCs w:val="26"/>
        </w:rPr>
        <w:t xml:space="preserve"> request</w:t>
      </w:r>
      <w:r w:rsidRPr="00FC6C58">
        <w:rPr>
          <w:szCs w:val="26"/>
        </w:rPr>
        <w:t xml:space="preserve">s, </w:t>
      </w:r>
      <w:r>
        <w:rPr>
          <w:szCs w:val="26"/>
        </w:rPr>
        <w:t xml:space="preserve">show that </w:t>
      </w:r>
      <w:r>
        <w:t xml:space="preserve">ISO-NE and MISO </w:t>
      </w:r>
      <w:r w:rsidRPr="00C76256">
        <w:rPr>
          <w:szCs w:val="26"/>
        </w:rPr>
        <w:t>experienced significant increases – a four-fold increase for ISO-NE and a doubling for MISO – in the time required to process generator interconnection</w:t>
      </w:r>
      <w:r w:rsidR="0084458E">
        <w:rPr>
          <w:szCs w:val="26"/>
        </w:rPr>
        <w:t xml:space="preserve"> request</w:t>
      </w:r>
      <w:r w:rsidRPr="00C76256">
        <w:rPr>
          <w:szCs w:val="26"/>
        </w:rPr>
        <w:t>s.</w:t>
      </w:r>
      <w:r>
        <w:rPr>
          <w:szCs w:val="26"/>
        </w:rPr>
        <w:t xml:space="preserve">  </w:t>
      </w:r>
      <w:r>
        <w:t>ISO-NE and MISO cited several factors as explanations for the processing time increases</w:t>
      </w:r>
      <w:r w:rsidR="00C95104">
        <w:t>, including</w:t>
      </w:r>
      <w:r>
        <w:t>:</w:t>
      </w:r>
    </w:p>
    <w:p w:rsidR="00A60C09" w:rsidRDefault="00A60C09" w:rsidP="002117D1">
      <w:pPr>
        <w:widowControl/>
        <w:numPr>
          <w:ilvl w:val="0"/>
          <w:numId w:val="24"/>
        </w:numPr>
        <w:autoSpaceDE/>
        <w:autoSpaceDN/>
        <w:adjustRightInd/>
        <w:spacing w:after="240"/>
      </w:pPr>
      <w:r>
        <w:t>wind manufacturers have been slow to provide accurate models needed for study completion;</w:t>
      </w:r>
    </w:p>
    <w:p w:rsidR="00A60C09" w:rsidRDefault="00A60C09" w:rsidP="002117D1">
      <w:pPr>
        <w:widowControl/>
        <w:numPr>
          <w:ilvl w:val="0"/>
          <w:numId w:val="24"/>
        </w:numPr>
        <w:autoSpaceDE/>
        <w:autoSpaceDN/>
        <w:adjustRightInd/>
        <w:spacing w:after="240"/>
      </w:pPr>
      <w:r>
        <w:t>dependence of later-queued projects on earlier-queued projects;</w:t>
      </w:r>
    </w:p>
    <w:p w:rsidR="00A60C09" w:rsidRDefault="00A60C09" w:rsidP="002117D1">
      <w:pPr>
        <w:widowControl/>
        <w:numPr>
          <w:ilvl w:val="0"/>
          <w:numId w:val="24"/>
        </w:numPr>
        <w:autoSpaceDE/>
        <w:autoSpaceDN/>
        <w:adjustRightInd/>
        <w:spacing w:after="240"/>
      </w:pPr>
      <w:r>
        <w:t>tariff requirements allowing customers to waive or combine phases of the interconnection process;</w:t>
      </w:r>
    </w:p>
    <w:p w:rsidR="00A60C09" w:rsidRDefault="00A60C09" w:rsidP="002117D1">
      <w:pPr>
        <w:widowControl/>
        <w:numPr>
          <w:ilvl w:val="0"/>
          <w:numId w:val="24"/>
        </w:numPr>
        <w:autoSpaceDE/>
        <w:autoSpaceDN/>
        <w:adjustRightInd/>
        <w:spacing w:after="240"/>
      </w:pPr>
      <w:r>
        <w:t>requests to not proceed by resource developers; and</w:t>
      </w:r>
    </w:p>
    <w:p w:rsidR="00A60C09" w:rsidRDefault="00A60C09" w:rsidP="002117D1">
      <w:pPr>
        <w:widowControl/>
        <w:numPr>
          <w:ilvl w:val="0"/>
          <w:numId w:val="24"/>
        </w:numPr>
        <w:autoSpaceDE/>
        <w:autoSpaceDN/>
        <w:adjustRightInd/>
        <w:spacing w:after="240"/>
      </w:pPr>
      <w:proofErr w:type="gramStart"/>
      <w:r>
        <w:t>increasing</w:t>
      </w:r>
      <w:proofErr w:type="gramEnd"/>
      <w:r>
        <w:t xml:space="preserve"> complexity and congestion impact of interconnection requests.</w:t>
      </w:r>
      <w:r w:rsidR="0084458E">
        <w:rPr>
          <w:rStyle w:val="FootnoteReference"/>
        </w:rPr>
        <w:footnoteReference w:id="21"/>
      </w:r>
    </w:p>
    <w:p w:rsidR="00A60C09" w:rsidRPr="00FC6C58" w:rsidRDefault="00A60C09" w:rsidP="002117D1">
      <w:pPr>
        <w:pStyle w:val="Default"/>
        <w:spacing w:after="240"/>
        <w:ind w:firstLine="720"/>
        <w:rPr>
          <w:sz w:val="26"/>
          <w:szCs w:val="26"/>
        </w:rPr>
      </w:pPr>
      <w:r>
        <w:rPr>
          <w:sz w:val="26"/>
          <w:szCs w:val="26"/>
        </w:rPr>
        <w:t>Th</w:t>
      </w:r>
      <w:r w:rsidR="0084458E">
        <w:rPr>
          <w:sz w:val="26"/>
          <w:szCs w:val="26"/>
        </w:rPr>
        <w:t>e processing time for generator interconnection requests metric</w:t>
      </w:r>
      <w:r>
        <w:rPr>
          <w:sz w:val="26"/>
          <w:szCs w:val="26"/>
        </w:rPr>
        <w:t xml:space="preserve"> </w:t>
      </w:r>
      <w:r w:rsidRPr="00FC6C58">
        <w:rPr>
          <w:sz w:val="26"/>
          <w:szCs w:val="26"/>
        </w:rPr>
        <w:t>should be evaluated primarily in terms of the trends for each respondent.  Each ISO, RTO or utility interconnect</w:t>
      </w:r>
      <w:r w:rsidR="0084458E">
        <w:rPr>
          <w:sz w:val="26"/>
          <w:szCs w:val="26"/>
        </w:rPr>
        <w:t>s</w:t>
      </w:r>
      <w:r w:rsidRPr="00FC6C58">
        <w:rPr>
          <w:sz w:val="26"/>
          <w:szCs w:val="26"/>
        </w:rPr>
        <w:t xml:space="preserve"> generators under widely different operating conditions.  Some entities, such as </w:t>
      </w:r>
      <w:r>
        <w:rPr>
          <w:sz w:val="26"/>
          <w:szCs w:val="26"/>
        </w:rPr>
        <w:t xml:space="preserve">ISO-NE and </w:t>
      </w:r>
      <w:r w:rsidRPr="00FC6C58">
        <w:rPr>
          <w:sz w:val="26"/>
          <w:szCs w:val="26"/>
        </w:rPr>
        <w:t xml:space="preserve">MISO, </w:t>
      </w:r>
      <w:r>
        <w:rPr>
          <w:sz w:val="26"/>
          <w:szCs w:val="26"/>
        </w:rPr>
        <w:t>were</w:t>
      </w:r>
      <w:r w:rsidRPr="00FC6C58">
        <w:rPr>
          <w:sz w:val="26"/>
          <w:szCs w:val="26"/>
        </w:rPr>
        <w:t xml:space="preserve"> required to process hundreds of new requests each year</w:t>
      </w:r>
      <w:r w:rsidR="00097513">
        <w:rPr>
          <w:sz w:val="26"/>
          <w:szCs w:val="26"/>
        </w:rPr>
        <w:t xml:space="preserve"> as new resources were developed in response to renewable energy programs</w:t>
      </w:r>
      <w:r w:rsidRPr="00FC6C58">
        <w:rPr>
          <w:sz w:val="26"/>
          <w:szCs w:val="26"/>
        </w:rPr>
        <w:t>.  Others, such as LG&amp;E/KU and Southern</w:t>
      </w:r>
      <w:r w:rsidR="00503CE4">
        <w:rPr>
          <w:sz w:val="26"/>
          <w:szCs w:val="26"/>
        </w:rPr>
        <w:t>,</w:t>
      </w:r>
      <w:r w:rsidRPr="00FC6C58">
        <w:rPr>
          <w:sz w:val="26"/>
          <w:szCs w:val="26"/>
        </w:rPr>
        <w:t xml:space="preserve"> ha</w:t>
      </w:r>
      <w:r>
        <w:rPr>
          <w:sz w:val="26"/>
          <w:szCs w:val="26"/>
        </w:rPr>
        <w:t>d</w:t>
      </w:r>
      <w:r w:rsidRPr="00FC6C58">
        <w:rPr>
          <w:sz w:val="26"/>
          <w:szCs w:val="26"/>
        </w:rPr>
        <w:t xml:space="preserve"> few requests each year and therefore the time</w:t>
      </w:r>
      <w:r w:rsidR="0084458E">
        <w:rPr>
          <w:sz w:val="26"/>
          <w:szCs w:val="26"/>
        </w:rPr>
        <w:t>-</w:t>
      </w:r>
      <w:r w:rsidRPr="00FC6C58">
        <w:rPr>
          <w:sz w:val="26"/>
          <w:szCs w:val="26"/>
        </w:rPr>
        <w:t>required data reflects the time required to process few</w:t>
      </w:r>
      <w:r w:rsidR="00F2263E">
        <w:rPr>
          <w:sz w:val="26"/>
          <w:szCs w:val="26"/>
        </w:rPr>
        <w:t>er</w:t>
      </w:r>
      <w:r w:rsidRPr="00FC6C58">
        <w:rPr>
          <w:sz w:val="26"/>
          <w:szCs w:val="26"/>
        </w:rPr>
        <w:t xml:space="preserve"> applications.  </w:t>
      </w:r>
      <w:r>
        <w:rPr>
          <w:sz w:val="26"/>
          <w:szCs w:val="26"/>
        </w:rPr>
        <w:t>Also, i</w:t>
      </w:r>
      <w:r w:rsidRPr="00FC6C58">
        <w:rPr>
          <w:sz w:val="26"/>
          <w:szCs w:val="26"/>
        </w:rPr>
        <w:t>nasmuch as processing time can include time during which the developer chooses not to interconnect,</w:t>
      </w:r>
      <w:r>
        <w:rPr>
          <w:rStyle w:val="FootnoteReference"/>
        </w:rPr>
        <w:footnoteReference w:id="22"/>
      </w:r>
      <w:r w:rsidRPr="00FC6C58">
        <w:rPr>
          <w:sz w:val="26"/>
          <w:szCs w:val="26"/>
        </w:rPr>
        <w:t xml:space="preserve"> this metric is not entirely within the control of ISOs, RTOs or utilities.</w:t>
      </w:r>
    </w:p>
    <w:p w:rsidR="00A60C09" w:rsidRPr="00B44992" w:rsidRDefault="00A60C09" w:rsidP="002117D1">
      <w:pPr>
        <w:pStyle w:val="Default"/>
        <w:spacing w:after="240"/>
        <w:ind w:firstLine="720"/>
        <w:rPr>
          <w:b/>
          <w:sz w:val="26"/>
          <w:szCs w:val="26"/>
        </w:rPr>
      </w:pPr>
      <w:r w:rsidRPr="00FC6C58">
        <w:rPr>
          <w:sz w:val="26"/>
          <w:szCs w:val="26"/>
        </w:rPr>
        <w:t xml:space="preserve">The second metric, actual versus planned reserve margins, </w:t>
      </w:r>
      <w:r>
        <w:rPr>
          <w:sz w:val="26"/>
          <w:szCs w:val="26"/>
        </w:rPr>
        <w:t>shows</w:t>
      </w:r>
      <w:r w:rsidRPr="00FC6C58">
        <w:rPr>
          <w:sz w:val="26"/>
          <w:szCs w:val="26"/>
        </w:rPr>
        <w:t xml:space="preserve"> a wide range of results</w:t>
      </w:r>
      <w:r w:rsidR="00F2263E">
        <w:rPr>
          <w:sz w:val="26"/>
          <w:szCs w:val="26"/>
        </w:rPr>
        <w:t>,</w:t>
      </w:r>
      <w:r w:rsidRPr="00FC6C58">
        <w:rPr>
          <w:sz w:val="26"/>
          <w:szCs w:val="26"/>
        </w:rPr>
        <w:t xml:space="preserve"> ranging from resources in excess of planning requirements on a consistent basis (ISO-NE) </w:t>
      </w:r>
      <w:r w:rsidR="00F2263E">
        <w:rPr>
          <w:sz w:val="26"/>
          <w:szCs w:val="26"/>
        </w:rPr>
        <w:t>to</w:t>
      </w:r>
      <w:r w:rsidRPr="00FC6C58">
        <w:rPr>
          <w:sz w:val="26"/>
          <w:szCs w:val="26"/>
        </w:rPr>
        <w:t xml:space="preserve"> actual reserve margins both above and below the planned reserve margin (Southern</w:t>
      </w:r>
      <w:r>
        <w:rPr>
          <w:sz w:val="26"/>
          <w:szCs w:val="26"/>
        </w:rPr>
        <w:t>, Duke, LG&amp;E/KU</w:t>
      </w:r>
      <w:r w:rsidR="00F2263E">
        <w:rPr>
          <w:sz w:val="26"/>
          <w:szCs w:val="26"/>
        </w:rPr>
        <w:t>,</w:t>
      </w:r>
      <w:r>
        <w:rPr>
          <w:sz w:val="26"/>
          <w:szCs w:val="26"/>
        </w:rPr>
        <w:t xml:space="preserve"> and APS</w:t>
      </w:r>
      <w:r w:rsidRPr="00FC6C58">
        <w:rPr>
          <w:sz w:val="26"/>
          <w:szCs w:val="26"/>
        </w:rPr>
        <w:t>)</w:t>
      </w:r>
      <w:r>
        <w:rPr>
          <w:sz w:val="26"/>
          <w:szCs w:val="26"/>
        </w:rPr>
        <w:t>.  Actual reserve margins in SPP were consistently below planned margins.</w:t>
      </w:r>
    </w:p>
    <w:p w:rsidR="00A60C09" w:rsidRDefault="00A60C09" w:rsidP="002117D1">
      <w:pPr>
        <w:spacing w:after="240"/>
        <w:ind w:firstLine="720"/>
      </w:pPr>
      <w:r>
        <w:lastRenderedPageBreak/>
        <w:t>The data submitted and discussion of the data by ISOs, RTOs and utilities indicates that the long-term reliability resource planning metrics measur</w:t>
      </w:r>
      <w:r w:rsidR="00F2263E">
        <w:t>e</w:t>
      </w:r>
      <w:r>
        <w:t xml:space="preserve"> the same activities and have the same meaning across all entities and</w:t>
      </w:r>
      <w:r w:rsidR="00826D27">
        <w:t>,</w:t>
      </w:r>
      <w:r>
        <w:t xml:space="preserve"> therefore</w:t>
      </w:r>
      <w:r w:rsidR="00826D27">
        <w:t>,</w:t>
      </w:r>
      <w:r>
        <w:t xml:space="preserve"> are suitable common metrics.  </w:t>
      </w:r>
    </w:p>
    <w:p w:rsidR="00A60C09" w:rsidRDefault="00503CE4" w:rsidP="002117D1">
      <w:pPr>
        <w:spacing w:after="240"/>
        <w:ind w:firstLine="720"/>
      </w:pPr>
      <w:r w:rsidRPr="00503CE4">
        <w:rPr>
          <w:noProof/>
        </w:rPr>
        <w:drawing>
          <wp:inline distT="0" distB="0" distL="0" distR="0" wp14:anchorId="438C1F93" wp14:editId="71A41447">
            <wp:extent cx="5495925" cy="684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6848475"/>
                    </a:xfrm>
                    <a:prstGeom prst="rect">
                      <a:avLst/>
                    </a:prstGeom>
                    <a:noFill/>
                    <a:ln>
                      <a:noFill/>
                    </a:ln>
                  </pic:spPr>
                </pic:pic>
              </a:graphicData>
            </a:graphic>
          </wp:inline>
        </w:drawing>
      </w:r>
    </w:p>
    <w:p w:rsidR="00A60C09" w:rsidRDefault="00A60C09" w:rsidP="002117D1">
      <w:pPr>
        <w:spacing w:after="240"/>
        <w:ind w:firstLine="720"/>
      </w:pPr>
    </w:p>
    <w:p w:rsidR="00F8362E" w:rsidRDefault="00F8362E" w:rsidP="002117D1">
      <w:pPr>
        <w:spacing w:after="240"/>
        <w:ind w:firstLine="720"/>
      </w:pPr>
    </w:p>
    <w:p w:rsidR="00F8362E" w:rsidRDefault="00503CE4" w:rsidP="002117D1">
      <w:pPr>
        <w:spacing w:after="240"/>
        <w:ind w:firstLine="720"/>
      </w:pPr>
      <w:r w:rsidRPr="00503CE4">
        <w:rPr>
          <w:noProof/>
        </w:rPr>
        <w:drawing>
          <wp:inline distT="0" distB="0" distL="0" distR="0" wp14:anchorId="3EAAEBBE" wp14:editId="3E22ACEB">
            <wp:extent cx="5543550" cy="474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4743450"/>
                    </a:xfrm>
                    <a:prstGeom prst="rect">
                      <a:avLst/>
                    </a:prstGeom>
                    <a:noFill/>
                    <a:ln>
                      <a:noFill/>
                    </a:ln>
                  </pic:spPr>
                </pic:pic>
              </a:graphicData>
            </a:graphic>
          </wp:inline>
        </w:drawing>
      </w:r>
    </w:p>
    <w:p w:rsidR="00F8362E" w:rsidRDefault="00F8362E" w:rsidP="002117D1">
      <w:pPr>
        <w:spacing w:after="240"/>
        <w:ind w:firstLine="720"/>
      </w:pPr>
    </w:p>
    <w:p w:rsidR="00A60C09" w:rsidRDefault="00503CE4" w:rsidP="00F8362E">
      <w:pPr>
        <w:spacing w:after="240"/>
        <w:ind w:firstLine="720"/>
        <w:jc w:val="both"/>
      </w:pPr>
      <w:r w:rsidRPr="00503CE4">
        <w:rPr>
          <w:noProof/>
        </w:rPr>
        <w:lastRenderedPageBreak/>
        <w:drawing>
          <wp:inline distT="0" distB="0" distL="0" distR="0" wp14:anchorId="5350857E" wp14:editId="531E0F9C">
            <wp:extent cx="5495925" cy="701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7010400"/>
                    </a:xfrm>
                    <a:prstGeom prst="rect">
                      <a:avLst/>
                    </a:prstGeom>
                    <a:noFill/>
                    <a:ln>
                      <a:noFill/>
                    </a:ln>
                  </pic:spPr>
                </pic:pic>
              </a:graphicData>
            </a:graphic>
          </wp:inline>
        </w:drawing>
      </w:r>
    </w:p>
    <w:p w:rsidR="00A60C09" w:rsidRDefault="00A60C09" w:rsidP="002117D1">
      <w:pPr>
        <w:pStyle w:val="Heading3"/>
      </w:pPr>
      <w:bookmarkStart w:id="57" w:name="_Toc390256236"/>
      <w:r>
        <w:t>Interconnection and Transmission Process Metrics</w:t>
      </w:r>
      <w:bookmarkEnd w:id="57"/>
      <w:r>
        <w:t xml:space="preserve"> </w:t>
      </w:r>
      <w:bookmarkStart w:id="58" w:name="_bmk28"/>
    </w:p>
    <w:p w:rsidR="00A60C09" w:rsidRPr="00953D39" w:rsidRDefault="00A60C09" w:rsidP="002117D1">
      <w:pPr>
        <w:pStyle w:val="Heading4"/>
      </w:pPr>
      <w:bookmarkStart w:id="59" w:name="_Toc390256237"/>
      <w:bookmarkEnd w:id="58"/>
      <w:r w:rsidRPr="00953D39">
        <w:t>Definition</w:t>
      </w:r>
      <w:bookmarkStart w:id="60" w:name="_bmk29"/>
      <w:bookmarkEnd w:id="59"/>
    </w:p>
    <w:bookmarkEnd w:id="60"/>
    <w:p w:rsidR="00A60C09" w:rsidRDefault="00A60C09" w:rsidP="002117D1">
      <w:pPr>
        <w:spacing w:after="240"/>
        <w:ind w:firstLine="720"/>
      </w:pPr>
      <w:r>
        <w:t xml:space="preserve">These metrics track the progress that ISOs, RTOs and utilities have made in </w:t>
      </w:r>
      <w:r>
        <w:lastRenderedPageBreak/>
        <w:t xml:space="preserve">completing their reliability reviews (feasibility, system impact and facility studies) of interconnection and transmission service requests in a timely and efficient manner.  The metrics track the number of study requests, the time required to complete the reliability reviews – including the age of incomplete studies </w:t>
      </w:r>
      <w:r w:rsidR="004376A2">
        <w:t>–</w:t>
      </w:r>
      <w:r>
        <w:t xml:space="preserve"> and the costs of completing each of the three types of studies.</w:t>
      </w:r>
    </w:p>
    <w:p w:rsidR="00A60C09" w:rsidRPr="00953D39" w:rsidRDefault="00A60C09" w:rsidP="002117D1">
      <w:pPr>
        <w:pStyle w:val="Heading4"/>
      </w:pPr>
      <w:bookmarkStart w:id="61" w:name="_Toc390256238"/>
      <w:r w:rsidRPr="00953D39">
        <w:t>Data Review and Metrics Assessment</w:t>
      </w:r>
      <w:bookmarkStart w:id="62" w:name="_bmk30"/>
      <w:bookmarkEnd w:id="61"/>
    </w:p>
    <w:bookmarkEnd w:id="62"/>
    <w:p w:rsidR="00CC16D6" w:rsidRDefault="00A60C09" w:rsidP="009D3EBB">
      <w:pPr>
        <w:pStyle w:val="Default"/>
        <w:ind w:firstLine="720"/>
        <w:rPr>
          <w:sz w:val="26"/>
          <w:szCs w:val="26"/>
        </w:rPr>
      </w:pPr>
      <w:r>
        <w:rPr>
          <w:sz w:val="26"/>
          <w:szCs w:val="26"/>
        </w:rPr>
        <w:t xml:space="preserve">With respect to the first metric on </w:t>
      </w:r>
      <w:r w:rsidR="004376A2">
        <w:rPr>
          <w:sz w:val="26"/>
          <w:szCs w:val="26"/>
        </w:rPr>
        <w:t xml:space="preserve">the number of </w:t>
      </w:r>
      <w:r>
        <w:rPr>
          <w:sz w:val="26"/>
          <w:szCs w:val="26"/>
        </w:rPr>
        <w:t xml:space="preserve">study requests and completed studies, </w:t>
      </w:r>
      <w:r w:rsidR="00B00561">
        <w:rPr>
          <w:sz w:val="26"/>
          <w:szCs w:val="26"/>
        </w:rPr>
        <w:t>the</w:t>
      </w:r>
      <w:r>
        <w:rPr>
          <w:sz w:val="26"/>
          <w:szCs w:val="26"/>
        </w:rPr>
        <w:t xml:space="preserve"> data </w:t>
      </w:r>
      <w:r w:rsidR="00B00561">
        <w:rPr>
          <w:sz w:val="26"/>
          <w:szCs w:val="26"/>
        </w:rPr>
        <w:t xml:space="preserve">provided by the ISOs and RTOs </w:t>
      </w:r>
      <w:r>
        <w:rPr>
          <w:sz w:val="26"/>
          <w:szCs w:val="26"/>
        </w:rPr>
        <w:t xml:space="preserve">shows a </w:t>
      </w:r>
      <w:r w:rsidRPr="00FC6C58">
        <w:rPr>
          <w:sz w:val="26"/>
          <w:szCs w:val="26"/>
        </w:rPr>
        <w:t xml:space="preserve">wide range of </w:t>
      </w:r>
      <w:r>
        <w:rPr>
          <w:sz w:val="26"/>
          <w:szCs w:val="26"/>
        </w:rPr>
        <w:t xml:space="preserve">study </w:t>
      </w:r>
      <w:r w:rsidRPr="00FC6C58">
        <w:rPr>
          <w:sz w:val="26"/>
          <w:szCs w:val="26"/>
        </w:rPr>
        <w:t>requests</w:t>
      </w:r>
      <w:r>
        <w:rPr>
          <w:sz w:val="26"/>
          <w:szCs w:val="26"/>
        </w:rPr>
        <w:t xml:space="preserve"> in the accompanying charts</w:t>
      </w:r>
      <w:r w:rsidRPr="00FC6C58">
        <w:rPr>
          <w:sz w:val="26"/>
          <w:szCs w:val="26"/>
        </w:rPr>
        <w:t xml:space="preserve"> – from 250 for SPP to 1445 for PJM over the 2006 – 2010 </w:t>
      </w:r>
      <w:proofErr w:type="gramStart"/>
      <w:r w:rsidRPr="00FC6C58">
        <w:rPr>
          <w:sz w:val="26"/>
          <w:szCs w:val="26"/>
        </w:rPr>
        <w:t>period</w:t>
      </w:r>
      <w:proofErr w:type="gramEnd"/>
      <w:r w:rsidRPr="00FC6C58">
        <w:rPr>
          <w:sz w:val="26"/>
          <w:szCs w:val="26"/>
        </w:rPr>
        <w:t>.</w:t>
      </w:r>
      <w:r>
        <w:rPr>
          <w:sz w:val="26"/>
          <w:szCs w:val="26"/>
        </w:rPr>
        <w:t xml:space="preserve">  </w:t>
      </w:r>
      <w:r w:rsidR="00B00561">
        <w:rPr>
          <w:sz w:val="26"/>
          <w:szCs w:val="26"/>
        </w:rPr>
        <w:t>Data for u</w:t>
      </w:r>
      <w:r>
        <w:rPr>
          <w:sz w:val="26"/>
          <w:szCs w:val="26"/>
        </w:rPr>
        <w:t xml:space="preserve">tilities in regions outside ISO and RTO markets </w:t>
      </w:r>
      <w:r w:rsidR="00B00561">
        <w:rPr>
          <w:sz w:val="26"/>
          <w:szCs w:val="26"/>
        </w:rPr>
        <w:t xml:space="preserve">likewise show a wide range of study requests – ranging from </w:t>
      </w:r>
      <w:r w:rsidR="00F64A93">
        <w:rPr>
          <w:sz w:val="26"/>
          <w:szCs w:val="26"/>
        </w:rPr>
        <w:t xml:space="preserve">139 for Southern to </w:t>
      </w:r>
      <w:r w:rsidR="00B00561">
        <w:rPr>
          <w:sz w:val="26"/>
          <w:szCs w:val="26"/>
        </w:rPr>
        <w:t>1211 for PacifiCorp over the 2006</w:t>
      </w:r>
      <w:r w:rsidR="0032123F">
        <w:rPr>
          <w:sz w:val="26"/>
          <w:szCs w:val="26"/>
        </w:rPr>
        <w:t xml:space="preserve"> </w:t>
      </w:r>
      <w:r w:rsidR="00B00561">
        <w:rPr>
          <w:sz w:val="26"/>
          <w:szCs w:val="26"/>
        </w:rPr>
        <w:t>-</w:t>
      </w:r>
      <w:r w:rsidR="0032123F">
        <w:rPr>
          <w:sz w:val="26"/>
          <w:szCs w:val="26"/>
        </w:rPr>
        <w:t xml:space="preserve"> </w:t>
      </w:r>
      <w:r w:rsidR="00B00561">
        <w:rPr>
          <w:sz w:val="26"/>
          <w:szCs w:val="26"/>
        </w:rPr>
        <w:t xml:space="preserve">2010 </w:t>
      </w:r>
      <w:proofErr w:type="gramStart"/>
      <w:r w:rsidR="00B00561">
        <w:rPr>
          <w:sz w:val="26"/>
          <w:szCs w:val="26"/>
        </w:rPr>
        <w:t>period</w:t>
      </w:r>
      <w:proofErr w:type="gramEnd"/>
      <w:r>
        <w:rPr>
          <w:sz w:val="26"/>
          <w:szCs w:val="26"/>
        </w:rPr>
        <w:t>.</w:t>
      </w:r>
      <w:r w:rsidRPr="00FC6C58">
        <w:rPr>
          <w:rStyle w:val="FootnoteReference"/>
        </w:rPr>
        <w:footnoteReference w:id="23"/>
      </w:r>
      <w:r>
        <w:rPr>
          <w:sz w:val="26"/>
          <w:szCs w:val="26"/>
        </w:rPr>
        <w:t xml:space="preserve">  In light of the significant differences in interconnection and transmission development among the ISOs, </w:t>
      </w:r>
      <w:r w:rsidR="009D3EBB">
        <w:rPr>
          <w:sz w:val="26"/>
          <w:szCs w:val="26"/>
        </w:rPr>
        <w:t>R</w:t>
      </w:r>
      <w:r>
        <w:rPr>
          <w:sz w:val="26"/>
          <w:szCs w:val="26"/>
        </w:rPr>
        <w:t xml:space="preserve">TOs and utilities, </w:t>
      </w:r>
      <w:r w:rsidRPr="00FC6C58">
        <w:rPr>
          <w:sz w:val="26"/>
          <w:szCs w:val="26"/>
        </w:rPr>
        <w:t>th</w:t>
      </w:r>
      <w:r>
        <w:rPr>
          <w:sz w:val="26"/>
          <w:szCs w:val="26"/>
        </w:rPr>
        <w:t xml:space="preserve">is </w:t>
      </w:r>
      <w:r w:rsidRPr="00FC6C58">
        <w:rPr>
          <w:sz w:val="26"/>
          <w:szCs w:val="26"/>
        </w:rPr>
        <w:t>metric</w:t>
      </w:r>
      <w:r>
        <w:rPr>
          <w:sz w:val="26"/>
          <w:szCs w:val="26"/>
        </w:rPr>
        <w:t xml:space="preserve"> </w:t>
      </w:r>
      <w:r w:rsidRPr="00FC6C58">
        <w:rPr>
          <w:sz w:val="26"/>
          <w:szCs w:val="26"/>
        </w:rPr>
        <w:t>should be evaluated primarily in terms of the trends for</w:t>
      </w:r>
      <w:r w:rsidR="00FC7DCE">
        <w:rPr>
          <w:sz w:val="26"/>
          <w:szCs w:val="26"/>
        </w:rPr>
        <w:t xml:space="preserve"> eac</w:t>
      </w:r>
      <w:r w:rsidR="0023042E">
        <w:rPr>
          <w:sz w:val="26"/>
          <w:szCs w:val="26"/>
        </w:rPr>
        <w:t>h</w:t>
      </w:r>
      <w:r w:rsidR="009B5A74">
        <w:rPr>
          <w:sz w:val="26"/>
          <w:szCs w:val="26"/>
        </w:rPr>
        <w:t xml:space="preserve"> </w:t>
      </w:r>
      <w:r w:rsidRPr="00FC6C58">
        <w:rPr>
          <w:sz w:val="26"/>
          <w:szCs w:val="26"/>
        </w:rPr>
        <w:t>respondent</w:t>
      </w:r>
      <w:r w:rsidR="00AD1769">
        <w:rPr>
          <w:sz w:val="26"/>
          <w:szCs w:val="26"/>
        </w:rPr>
        <w:t xml:space="preserve"> over time</w:t>
      </w:r>
      <w:r w:rsidRPr="00FC6C58">
        <w:rPr>
          <w:sz w:val="26"/>
          <w:szCs w:val="26"/>
        </w:rPr>
        <w:t>.</w:t>
      </w:r>
    </w:p>
    <w:p w:rsidR="00A60C09" w:rsidRDefault="00A60C09" w:rsidP="009D3EBB">
      <w:pPr>
        <w:pStyle w:val="Default"/>
        <w:ind w:firstLine="720"/>
      </w:pPr>
    </w:p>
    <w:p w:rsidR="00A60C09" w:rsidRDefault="00A60C09" w:rsidP="002117D1">
      <w:pPr>
        <w:pStyle w:val="Default"/>
        <w:spacing w:after="240"/>
        <w:ind w:firstLine="720"/>
        <w:rPr>
          <w:sz w:val="26"/>
          <w:szCs w:val="26"/>
        </w:rPr>
      </w:pPr>
      <w:r w:rsidRPr="00FC6C58">
        <w:rPr>
          <w:sz w:val="26"/>
          <w:szCs w:val="26"/>
        </w:rPr>
        <w:t xml:space="preserve">The </w:t>
      </w:r>
      <w:r>
        <w:rPr>
          <w:sz w:val="26"/>
          <w:szCs w:val="26"/>
        </w:rPr>
        <w:t xml:space="preserve">second metric on the </w:t>
      </w:r>
      <w:r w:rsidRPr="00FC6C58">
        <w:rPr>
          <w:sz w:val="26"/>
          <w:szCs w:val="26"/>
        </w:rPr>
        <w:t xml:space="preserve">average age of incomplete studies metric provides a measure of the efficiency of the study process for interconnections and transmission service requests.  </w:t>
      </w:r>
      <w:r>
        <w:rPr>
          <w:sz w:val="26"/>
          <w:szCs w:val="26"/>
        </w:rPr>
        <w:t xml:space="preserve">The annual data on the age of incomplete studies shown on the charts </w:t>
      </w:r>
      <w:r w:rsidR="00CE3CC4">
        <w:rPr>
          <w:sz w:val="26"/>
          <w:szCs w:val="26"/>
        </w:rPr>
        <w:t xml:space="preserve">below </w:t>
      </w:r>
      <w:r>
        <w:rPr>
          <w:sz w:val="26"/>
          <w:szCs w:val="26"/>
        </w:rPr>
        <w:t xml:space="preserve">is for ISOs and RTOs only.  </w:t>
      </w:r>
      <w:r w:rsidRPr="00FC6C58">
        <w:rPr>
          <w:sz w:val="26"/>
          <w:szCs w:val="26"/>
        </w:rPr>
        <w:t>Utilities outside ISO and RTO markets did not provide annual information</w:t>
      </w:r>
      <w:r>
        <w:rPr>
          <w:sz w:val="26"/>
          <w:szCs w:val="26"/>
        </w:rPr>
        <w:t xml:space="preserve"> on studies</w:t>
      </w:r>
      <w:r w:rsidRPr="00FC6C58">
        <w:rPr>
          <w:sz w:val="26"/>
          <w:szCs w:val="26"/>
        </w:rPr>
        <w:t>.  Duke indicated that</w:t>
      </w:r>
      <w:r w:rsidR="00CE3CC4">
        <w:rPr>
          <w:sz w:val="26"/>
          <w:szCs w:val="26"/>
        </w:rPr>
        <w:t>,</w:t>
      </w:r>
      <w:r w:rsidRPr="00FC6C58">
        <w:rPr>
          <w:sz w:val="26"/>
          <w:szCs w:val="26"/>
        </w:rPr>
        <w:t xml:space="preserve"> as of January 1, 2011, the average age for incomplete interconnection stud</w:t>
      </w:r>
      <w:r w:rsidR="00A72EAB">
        <w:rPr>
          <w:sz w:val="26"/>
          <w:szCs w:val="26"/>
        </w:rPr>
        <w:t>ies</w:t>
      </w:r>
      <w:r w:rsidRPr="00FC6C58">
        <w:rPr>
          <w:sz w:val="26"/>
          <w:szCs w:val="26"/>
        </w:rPr>
        <w:t xml:space="preserve"> was 108 days and 58 days for transmission service requests.  Southern indicated that</w:t>
      </w:r>
      <w:r w:rsidR="00CE3CC4">
        <w:rPr>
          <w:sz w:val="26"/>
          <w:szCs w:val="26"/>
        </w:rPr>
        <w:t>,</w:t>
      </w:r>
      <w:r w:rsidRPr="00FC6C58">
        <w:rPr>
          <w:sz w:val="26"/>
          <w:szCs w:val="26"/>
        </w:rPr>
        <w:t xml:space="preserve"> as of January 1, 2011, the average age for incomplete interconnection studies was 14 days and 23 days for transmission service requests.  LG&amp;E/KU and </w:t>
      </w:r>
      <w:r w:rsidR="007F3248">
        <w:rPr>
          <w:sz w:val="26"/>
          <w:szCs w:val="26"/>
        </w:rPr>
        <w:t>PacifiCorp</w:t>
      </w:r>
      <w:r w:rsidRPr="00FC6C58">
        <w:rPr>
          <w:sz w:val="26"/>
          <w:szCs w:val="26"/>
        </w:rPr>
        <w:t xml:space="preserve"> indicated that no studies were incomplete.  APS indicated that</w:t>
      </w:r>
      <w:r w:rsidR="00CE3CC4">
        <w:rPr>
          <w:sz w:val="26"/>
          <w:szCs w:val="26"/>
        </w:rPr>
        <w:t>,</w:t>
      </w:r>
      <w:r w:rsidRPr="00FC6C58">
        <w:rPr>
          <w:sz w:val="26"/>
          <w:szCs w:val="26"/>
        </w:rPr>
        <w:t xml:space="preserve"> as of January 1, 2011, the average age for incomplete interconnection studies was 119 days.</w:t>
      </w:r>
    </w:p>
    <w:p w:rsidR="0079276F" w:rsidRDefault="0079276F" w:rsidP="002117D1">
      <w:pPr>
        <w:pStyle w:val="Default"/>
        <w:spacing w:after="240"/>
        <w:ind w:firstLine="720"/>
      </w:pPr>
      <w:r w:rsidRPr="0079276F">
        <w:rPr>
          <w:noProof/>
        </w:rPr>
        <w:lastRenderedPageBreak/>
        <w:drawing>
          <wp:inline distT="0" distB="0" distL="0" distR="0" wp14:anchorId="389DC3DA" wp14:editId="176F51C6">
            <wp:extent cx="5497195" cy="846328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7195" cy="8463280"/>
                    </a:xfrm>
                    <a:prstGeom prst="rect">
                      <a:avLst/>
                    </a:prstGeom>
                    <a:noFill/>
                    <a:ln>
                      <a:noFill/>
                    </a:ln>
                  </pic:spPr>
                </pic:pic>
              </a:graphicData>
            </a:graphic>
          </wp:inline>
        </w:drawing>
      </w:r>
    </w:p>
    <w:p w:rsidR="00A60C09" w:rsidRDefault="002615C3" w:rsidP="002117D1">
      <w:pPr>
        <w:pStyle w:val="Default"/>
        <w:spacing w:after="240"/>
        <w:ind w:firstLine="720"/>
      </w:pPr>
      <w:r w:rsidRPr="002615C3">
        <w:rPr>
          <w:noProof/>
        </w:rPr>
        <w:lastRenderedPageBreak/>
        <w:drawing>
          <wp:inline distT="0" distB="0" distL="0" distR="0" wp14:anchorId="24A0C8A9" wp14:editId="473EC9EB">
            <wp:extent cx="5495925" cy="5715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5715000"/>
                    </a:xfrm>
                    <a:prstGeom prst="rect">
                      <a:avLst/>
                    </a:prstGeom>
                    <a:noFill/>
                    <a:ln>
                      <a:noFill/>
                    </a:ln>
                  </pic:spPr>
                </pic:pic>
              </a:graphicData>
            </a:graphic>
          </wp:inline>
        </w:drawing>
      </w:r>
    </w:p>
    <w:p w:rsidR="00A60C09" w:rsidRDefault="00A60C09" w:rsidP="002117D1">
      <w:pPr>
        <w:pStyle w:val="Default"/>
        <w:spacing w:after="240"/>
        <w:ind w:firstLine="720"/>
        <w:rPr>
          <w:sz w:val="26"/>
          <w:szCs w:val="26"/>
        </w:rPr>
      </w:pPr>
      <w:r>
        <w:rPr>
          <w:sz w:val="26"/>
          <w:szCs w:val="26"/>
        </w:rPr>
        <w:t xml:space="preserve">The table below compares the costs of studies.  The range of costs shown depicts the lowest and highest average costs reported over the 2006–2010 period.  </w:t>
      </w:r>
    </w:p>
    <w:p w:rsidR="0079276F" w:rsidRDefault="0079276F" w:rsidP="002117D1">
      <w:pPr>
        <w:pStyle w:val="Default"/>
        <w:spacing w:after="240"/>
        <w:ind w:firstLine="720"/>
        <w:rPr>
          <w:sz w:val="26"/>
          <w:szCs w:val="26"/>
        </w:rPr>
      </w:pPr>
    </w:p>
    <w:p w:rsidR="0079276F" w:rsidRDefault="0079276F" w:rsidP="002117D1">
      <w:pPr>
        <w:pStyle w:val="Default"/>
        <w:spacing w:after="240"/>
        <w:ind w:firstLine="720"/>
        <w:rPr>
          <w:sz w:val="26"/>
          <w:szCs w:val="26"/>
        </w:rPr>
      </w:pPr>
    </w:p>
    <w:p w:rsidR="0079276F" w:rsidRDefault="0079276F" w:rsidP="002117D1">
      <w:pPr>
        <w:pStyle w:val="Default"/>
        <w:spacing w:after="240"/>
        <w:ind w:firstLine="720"/>
        <w:rPr>
          <w:sz w:val="26"/>
          <w:szCs w:val="26"/>
        </w:rPr>
      </w:pPr>
    </w:p>
    <w:p w:rsidR="0079276F" w:rsidRDefault="0079276F" w:rsidP="002117D1">
      <w:pPr>
        <w:pStyle w:val="Default"/>
        <w:spacing w:after="240"/>
        <w:ind w:firstLine="720"/>
        <w:rPr>
          <w:sz w:val="26"/>
          <w:szCs w:val="26"/>
        </w:rPr>
      </w:pPr>
    </w:p>
    <w:p w:rsidR="0079276F" w:rsidRDefault="0079276F" w:rsidP="002117D1">
      <w:pPr>
        <w:pStyle w:val="Default"/>
        <w:spacing w:after="240"/>
        <w:ind w:firstLine="720"/>
        <w:rPr>
          <w:sz w:val="26"/>
          <w:szCs w:val="26"/>
        </w:rPr>
      </w:pPr>
    </w:p>
    <w:p w:rsidR="00A60C09" w:rsidRPr="00FC6C58" w:rsidRDefault="0079276F" w:rsidP="002117D1">
      <w:pPr>
        <w:pStyle w:val="Default"/>
        <w:spacing w:after="240"/>
        <w:ind w:firstLine="720"/>
        <w:rPr>
          <w:b/>
          <w:sz w:val="26"/>
          <w:szCs w:val="26"/>
          <w:u w:val="single"/>
        </w:rPr>
      </w:pPr>
      <w:r>
        <w:rPr>
          <w:b/>
          <w:sz w:val="26"/>
          <w:szCs w:val="26"/>
        </w:rPr>
        <w:lastRenderedPageBreak/>
        <w:t xml:space="preserve">               </w:t>
      </w:r>
      <w:r w:rsidR="00A60C09">
        <w:rPr>
          <w:b/>
          <w:sz w:val="26"/>
          <w:szCs w:val="26"/>
          <w:u w:val="single"/>
        </w:rPr>
        <w:t>2006 – 2010 Range of Average Costs of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160"/>
        <w:gridCol w:w="2340"/>
        <w:gridCol w:w="2448"/>
      </w:tblGrid>
      <w:tr w:rsidR="00A60C09" w:rsidRPr="00C92ED1" w:rsidTr="00953D39">
        <w:tc>
          <w:tcPr>
            <w:tcW w:w="1908"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Entity</w:t>
            </w:r>
          </w:p>
        </w:tc>
        <w:tc>
          <w:tcPr>
            <w:tcW w:w="2160"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 xml:space="preserve">Feasibility Study </w:t>
            </w:r>
          </w:p>
          <w:p w:rsidR="00A60C09" w:rsidRPr="00C92ED1" w:rsidRDefault="00A60C09" w:rsidP="002117D1">
            <w:pPr>
              <w:pStyle w:val="Default"/>
              <w:spacing w:after="240"/>
              <w:jc w:val="center"/>
              <w:rPr>
                <w:b/>
                <w:sz w:val="26"/>
                <w:szCs w:val="26"/>
                <w:u w:val="single"/>
              </w:rPr>
            </w:pPr>
            <w:r w:rsidRPr="00C92ED1">
              <w:rPr>
                <w:b/>
                <w:sz w:val="26"/>
                <w:szCs w:val="26"/>
                <w:u w:val="single"/>
              </w:rPr>
              <w:t>Costs</w:t>
            </w:r>
          </w:p>
        </w:tc>
        <w:tc>
          <w:tcPr>
            <w:tcW w:w="2340"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System Impact</w:t>
            </w:r>
          </w:p>
          <w:p w:rsidR="00A60C09" w:rsidRPr="00C92ED1" w:rsidRDefault="00A60C09" w:rsidP="002117D1">
            <w:pPr>
              <w:pStyle w:val="Default"/>
              <w:spacing w:after="240"/>
              <w:jc w:val="center"/>
              <w:rPr>
                <w:b/>
                <w:sz w:val="26"/>
                <w:szCs w:val="26"/>
                <w:u w:val="single"/>
              </w:rPr>
            </w:pPr>
            <w:r w:rsidRPr="00C92ED1">
              <w:rPr>
                <w:b/>
                <w:sz w:val="26"/>
                <w:szCs w:val="26"/>
                <w:u w:val="single"/>
              </w:rPr>
              <w:t>Study Costs</w:t>
            </w:r>
          </w:p>
        </w:tc>
        <w:tc>
          <w:tcPr>
            <w:tcW w:w="2448"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 xml:space="preserve">Facility Impact </w:t>
            </w:r>
          </w:p>
          <w:p w:rsidR="00A60C09" w:rsidRPr="00C92ED1" w:rsidRDefault="00A60C09" w:rsidP="002117D1">
            <w:pPr>
              <w:pStyle w:val="Default"/>
              <w:spacing w:after="240"/>
              <w:jc w:val="center"/>
              <w:rPr>
                <w:b/>
                <w:sz w:val="26"/>
                <w:szCs w:val="26"/>
                <w:u w:val="single"/>
              </w:rPr>
            </w:pPr>
            <w:r>
              <w:rPr>
                <w:b/>
                <w:sz w:val="26"/>
                <w:szCs w:val="26"/>
                <w:u w:val="single"/>
              </w:rPr>
              <w:t xml:space="preserve">Study </w:t>
            </w:r>
            <w:r w:rsidRPr="00C92ED1">
              <w:rPr>
                <w:b/>
                <w:sz w:val="26"/>
                <w:szCs w:val="26"/>
                <w:u w:val="single"/>
              </w:rPr>
              <w:t>Costs</w:t>
            </w:r>
          </w:p>
        </w:tc>
      </w:tr>
      <w:tr w:rsidR="00A60C09" w:rsidRPr="00C92ED1" w:rsidTr="00953D39">
        <w:tc>
          <w:tcPr>
            <w:tcW w:w="1908" w:type="dxa"/>
            <w:shd w:val="clear" w:color="auto" w:fill="auto"/>
          </w:tcPr>
          <w:p w:rsidR="00A60C09" w:rsidRPr="00C92ED1" w:rsidRDefault="00A60C09" w:rsidP="00116467">
            <w:pPr>
              <w:pStyle w:val="Default"/>
              <w:spacing w:after="240"/>
              <w:jc w:val="center"/>
              <w:rPr>
                <w:sz w:val="26"/>
                <w:szCs w:val="26"/>
              </w:rPr>
            </w:pPr>
            <w:r w:rsidRPr="00C92ED1">
              <w:rPr>
                <w:sz w:val="26"/>
                <w:szCs w:val="26"/>
              </w:rPr>
              <w:t>ISO-NE</w:t>
            </w:r>
          </w:p>
        </w:tc>
        <w:tc>
          <w:tcPr>
            <w:tcW w:w="2160" w:type="dxa"/>
            <w:shd w:val="clear" w:color="auto" w:fill="auto"/>
          </w:tcPr>
          <w:p w:rsidR="00A60C09" w:rsidRPr="00C92ED1" w:rsidRDefault="00A60C09" w:rsidP="002117D1">
            <w:pPr>
              <w:pStyle w:val="Default"/>
              <w:spacing w:after="240"/>
              <w:rPr>
                <w:sz w:val="26"/>
                <w:szCs w:val="26"/>
              </w:rPr>
            </w:pPr>
            <w:r w:rsidRPr="00C92ED1">
              <w:rPr>
                <w:sz w:val="26"/>
                <w:szCs w:val="26"/>
              </w:rPr>
              <w:t>$62,824 - $94,960</w:t>
            </w:r>
          </w:p>
        </w:tc>
        <w:tc>
          <w:tcPr>
            <w:tcW w:w="2340" w:type="dxa"/>
            <w:shd w:val="clear" w:color="auto" w:fill="auto"/>
          </w:tcPr>
          <w:p w:rsidR="00A60C09" w:rsidRPr="00C92ED1" w:rsidRDefault="00A60C09" w:rsidP="00FB63EF">
            <w:pPr>
              <w:pStyle w:val="Default"/>
              <w:spacing w:after="240"/>
              <w:rPr>
                <w:sz w:val="26"/>
                <w:szCs w:val="26"/>
              </w:rPr>
            </w:pPr>
            <w:r w:rsidRPr="00C92ED1">
              <w:rPr>
                <w:sz w:val="26"/>
                <w:szCs w:val="26"/>
              </w:rPr>
              <w:t>$83,370 - $121,</w:t>
            </w:r>
            <w:r w:rsidR="00FB63EF">
              <w:rPr>
                <w:sz w:val="26"/>
                <w:szCs w:val="26"/>
              </w:rPr>
              <w:t>363</w:t>
            </w:r>
          </w:p>
        </w:tc>
        <w:tc>
          <w:tcPr>
            <w:tcW w:w="2448" w:type="dxa"/>
            <w:shd w:val="clear" w:color="auto" w:fill="auto"/>
          </w:tcPr>
          <w:p w:rsidR="00A60C09" w:rsidRPr="00C92ED1" w:rsidRDefault="00A60C09" w:rsidP="00FB63EF">
            <w:pPr>
              <w:pStyle w:val="Default"/>
              <w:spacing w:after="240"/>
              <w:rPr>
                <w:sz w:val="26"/>
                <w:szCs w:val="26"/>
              </w:rPr>
            </w:pPr>
            <w:r w:rsidRPr="00C92ED1">
              <w:rPr>
                <w:sz w:val="26"/>
                <w:szCs w:val="26"/>
              </w:rPr>
              <w:t>$4,479 - $</w:t>
            </w:r>
            <w:r w:rsidR="00FB63EF">
              <w:rPr>
                <w:sz w:val="26"/>
                <w:szCs w:val="26"/>
              </w:rPr>
              <w:t>146,685</w:t>
            </w:r>
          </w:p>
        </w:tc>
      </w:tr>
      <w:tr w:rsidR="00A60C09" w:rsidRPr="00C92ED1" w:rsidTr="00953D39">
        <w:tc>
          <w:tcPr>
            <w:tcW w:w="1908" w:type="dxa"/>
            <w:shd w:val="clear" w:color="auto" w:fill="auto"/>
          </w:tcPr>
          <w:p w:rsidR="00A60C09" w:rsidRPr="00C92ED1" w:rsidRDefault="00A60C09" w:rsidP="00116467">
            <w:pPr>
              <w:pStyle w:val="Default"/>
              <w:spacing w:after="240"/>
              <w:jc w:val="center"/>
              <w:rPr>
                <w:sz w:val="26"/>
                <w:szCs w:val="26"/>
              </w:rPr>
            </w:pPr>
            <w:r w:rsidRPr="00C92ED1">
              <w:rPr>
                <w:sz w:val="26"/>
                <w:szCs w:val="26"/>
              </w:rPr>
              <w:t>NYISO</w:t>
            </w:r>
          </w:p>
        </w:tc>
        <w:tc>
          <w:tcPr>
            <w:tcW w:w="2160" w:type="dxa"/>
            <w:shd w:val="clear" w:color="auto" w:fill="auto"/>
          </w:tcPr>
          <w:p w:rsidR="00A60C09" w:rsidRPr="00C92ED1" w:rsidRDefault="00A60C09" w:rsidP="002117D1">
            <w:pPr>
              <w:pStyle w:val="Default"/>
              <w:spacing w:after="240"/>
              <w:rPr>
                <w:sz w:val="26"/>
                <w:szCs w:val="26"/>
              </w:rPr>
            </w:pPr>
            <w:r w:rsidRPr="00C92ED1">
              <w:rPr>
                <w:sz w:val="26"/>
                <w:szCs w:val="26"/>
              </w:rPr>
              <w:t>$24,217 - $45,805</w:t>
            </w:r>
          </w:p>
        </w:tc>
        <w:tc>
          <w:tcPr>
            <w:tcW w:w="2340" w:type="dxa"/>
            <w:shd w:val="clear" w:color="auto" w:fill="auto"/>
          </w:tcPr>
          <w:p w:rsidR="00A60C09" w:rsidRPr="00C92ED1" w:rsidRDefault="00A60C09" w:rsidP="002117D1">
            <w:pPr>
              <w:pStyle w:val="Default"/>
              <w:spacing w:after="240"/>
              <w:rPr>
                <w:sz w:val="26"/>
                <w:szCs w:val="26"/>
              </w:rPr>
            </w:pPr>
            <w:r w:rsidRPr="00C92ED1">
              <w:rPr>
                <w:sz w:val="26"/>
                <w:szCs w:val="26"/>
              </w:rPr>
              <w:t>$38,990 - $58,337</w:t>
            </w:r>
          </w:p>
        </w:tc>
        <w:tc>
          <w:tcPr>
            <w:tcW w:w="2448" w:type="dxa"/>
            <w:shd w:val="clear" w:color="auto" w:fill="auto"/>
          </w:tcPr>
          <w:p w:rsidR="00A60C09" w:rsidRPr="00C92ED1" w:rsidRDefault="00A60C09" w:rsidP="002117D1">
            <w:pPr>
              <w:pStyle w:val="Default"/>
              <w:spacing w:after="240"/>
              <w:rPr>
                <w:sz w:val="26"/>
                <w:szCs w:val="26"/>
              </w:rPr>
            </w:pPr>
            <w:r w:rsidRPr="00C92ED1">
              <w:rPr>
                <w:sz w:val="26"/>
                <w:szCs w:val="26"/>
              </w:rPr>
              <w:t>$113,090 - $125,119</w:t>
            </w:r>
          </w:p>
        </w:tc>
      </w:tr>
      <w:tr w:rsidR="00A60C09" w:rsidRPr="00C92ED1" w:rsidTr="00953D39">
        <w:tc>
          <w:tcPr>
            <w:tcW w:w="1908" w:type="dxa"/>
            <w:shd w:val="clear" w:color="auto" w:fill="auto"/>
          </w:tcPr>
          <w:p w:rsidR="00A60C09" w:rsidRPr="00C92ED1" w:rsidRDefault="00A60C09" w:rsidP="00116467">
            <w:pPr>
              <w:pStyle w:val="Default"/>
              <w:spacing w:after="240"/>
              <w:jc w:val="center"/>
              <w:rPr>
                <w:sz w:val="26"/>
                <w:szCs w:val="26"/>
              </w:rPr>
            </w:pPr>
            <w:r w:rsidRPr="00C92ED1">
              <w:rPr>
                <w:sz w:val="26"/>
                <w:szCs w:val="26"/>
              </w:rPr>
              <w:t>PJM</w:t>
            </w:r>
          </w:p>
        </w:tc>
        <w:tc>
          <w:tcPr>
            <w:tcW w:w="2160" w:type="dxa"/>
            <w:shd w:val="clear" w:color="auto" w:fill="auto"/>
          </w:tcPr>
          <w:p w:rsidR="00A60C09" w:rsidRPr="00C92ED1" w:rsidRDefault="00A60C09" w:rsidP="002117D1">
            <w:pPr>
              <w:pStyle w:val="Default"/>
              <w:spacing w:after="240"/>
              <w:rPr>
                <w:sz w:val="26"/>
                <w:szCs w:val="26"/>
              </w:rPr>
            </w:pPr>
            <w:r w:rsidRPr="00C92ED1">
              <w:rPr>
                <w:sz w:val="26"/>
                <w:szCs w:val="26"/>
              </w:rPr>
              <w:t>$3,514 - $4,538</w:t>
            </w:r>
          </w:p>
        </w:tc>
        <w:tc>
          <w:tcPr>
            <w:tcW w:w="2340" w:type="dxa"/>
            <w:shd w:val="clear" w:color="auto" w:fill="auto"/>
          </w:tcPr>
          <w:p w:rsidR="00A60C09" w:rsidRPr="00C92ED1" w:rsidRDefault="00A60C09" w:rsidP="002117D1">
            <w:pPr>
              <w:pStyle w:val="Default"/>
              <w:spacing w:after="240"/>
              <w:rPr>
                <w:sz w:val="26"/>
                <w:szCs w:val="26"/>
              </w:rPr>
            </w:pPr>
            <w:r w:rsidRPr="00C92ED1">
              <w:rPr>
                <w:sz w:val="26"/>
                <w:szCs w:val="26"/>
              </w:rPr>
              <w:t>$10,263 - $14,406</w:t>
            </w:r>
          </w:p>
        </w:tc>
        <w:tc>
          <w:tcPr>
            <w:tcW w:w="2448" w:type="dxa"/>
            <w:shd w:val="clear" w:color="auto" w:fill="auto"/>
          </w:tcPr>
          <w:p w:rsidR="00A60C09" w:rsidRPr="00C92ED1" w:rsidRDefault="00A60C09" w:rsidP="002117D1">
            <w:pPr>
              <w:pStyle w:val="Default"/>
              <w:spacing w:after="240"/>
              <w:rPr>
                <w:sz w:val="26"/>
                <w:szCs w:val="26"/>
              </w:rPr>
            </w:pPr>
            <w:r w:rsidRPr="00C92ED1">
              <w:rPr>
                <w:sz w:val="26"/>
                <w:szCs w:val="26"/>
              </w:rPr>
              <w:t>$28,635 - $66,648</w:t>
            </w:r>
          </w:p>
        </w:tc>
      </w:tr>
      <w:tr w:rsidR="00A60C09" w:rsidRPr="00C92ED1" w:rsidTr="00953D39">
        <w:tc>
          <w:tcPr>
            <w:tcW w:w="1908" w:type="dxa"/>
            <w:shd w:val="clear" w:color="auto" w:fill="auto"/>
          </w:tcPr>
          <w:p w:rsidR="00A60C09" w:rsidRPr="00C92ED1" w:rsidRDefault="00A60C09" w:rsidP="00116467">
            <w:pPr>
              <w:pStyle w:val="Default"/>
              <w:spacing w:after="240"/>
              <w:jc w:val="center"/>
              <w:rPr>
                <w:sz w:val="26"/>
                <w:szCs w:val="26"/>
              </w:rPr>
            </w:pPr>
            <w:r w:rsidRPr="00C92ED1">
              <w:rPr>
                <w:sz w:val="26"/>
                <w:szCs w:val="26"/>
              </w:rPr>
              <w:t>SPP</w:t>
            </w:r>
          </w:p>
        </w:tc>
        <w:tc>
          <w:tcPr>
            <w:tcW w:w="2160" w:type="dxa"/>
            <w:shd w:val="clear" w:color="auto" w:fill="auto"/>
          </w:tcPr>
          <w:p w:rsidR="00A60C09" w:rsidRPr="00C92ED1" w:rsidRDefault="00A60C09" w:rsidP="002117D1">
            <w:pPr>
              <w:pStyle w:val="Default"/>
              <w:spacing w:after="240"/>
              <w:rPr>
                <w:sz w:val="26"/>
                <w:szCs w:val="26"/>
              </w:rPr>
            </w:pPr>
            <w:r w:rsidRPr="00C92ED1">
              <w:rPr>
                <w:sz w:val="26"/>
                <w:szCs w:val="26"/>
              </w:rPr>
              <w:t>$2,491 - $6,495</w:t>
            </w:r>
          </w:p>
        </w:tc>
        <w:tc>
          <w:tcPr>
            <w:tcW w:w="2340" w:type="dxa"/>
            <w:shd w:val="clear" w:color="auto" w:fill="auto"/>
          </w:tcPr>
          <w:p w:rsidR="00A60C09" w:rsidRPr="00C92ED1" w:rsidRDefault="00A60C09" w:rsidP="002117D1">
            <w:pPr>
              <w:pStyle w:val="Default"/>
              <w:spacing w:after="240"/>
              <w:rPr>
                <w:sz w:val="26"/>
                <w:szCs w:val="26"/>
              </w:rPr>
            </w:pPr>
            <w:r w:rsidRPr="00C92ED1">
              <w:rPr>
                <w:sz w:val="26"/>
                <w:szCs w:val="26"/>
              </w:rPr>
              <w:t>$14,050 - $17,694</w:t>
            </w:r>
          </w:p>
        </w:tc>
        <w:tc>
          <w:tcPr>
            <w:tcW w:w="2448" w:type="dxa"/>
            <w:shd w:val="clear" w:color="auto" w:fill="auto"/>
          </w:tcPr>
          <w:p w:rsidR="00A60C09" w:rsidRPr="00C92ED1" w:rsidRDefault="00A60C09" w:rsidP="002117D1">
            <w:pPr>
              <w:pStyle w:val="Default"/>
              <w:spacing w:after="240"/>
              <w:rPr>
                <w:sz w:val="26"/>
                <w:szCs w:val="26"/>
              </w:rPr>
            </w:pPr>
            <w:r w:rsidRPr="00C92ED1">
              <w:rPr>
                <w:sz w:val="26"/>
                <w:szCs w:val="26"/>
              </w:rPr>
              <w:t>$7,290 - $16,960</w:t>
            </w:r>
          </w:p>
        </w:tc>
      </w:tr>
      <w:tr w:rsidR="00443F5B" w:rsidRPr="00C92ED1" w:rsidTr="00C4252F">
        <w:tc>
          <w:tcPr>
            <w:tcW w:w="1908" w:type="dxa"/>
            <w:shd w:val="clear" w:color="auto" w:fill="auto"/>
          </w:tcPr>
          <w:p w:rsidR="00443F5B" w:rsidRPr="00C92ED1" w:rsidRDefault="00443F5B" w:rsidP="00116467">
            <w:pPr>
              <w:pStyle w:val="Default"/>
              <w:spacing w:after="240"/>
              <w:jc w:val="center"/>
              <w:rPr>
                <w:sz w:val="26"/>
                <w:szCs w:val="26"/>
              </w:rPr>
            </w:pPr>
            <w:r w:rsidRPr="00C92ED1">
              <w:rPr>
                <w:sz w:val="26"/>
                <w:szCs w:val="26"/>
              </w:rPr>
              <w:t>APS</w:t>
            </w:r>
          </w:p>
        </w:tc>
        <w:tc>
          <w:tcPr>
            <w:tcW w:w="2160" w:type="dxa"/>
            <w:shd w:val="clear" w:color="auto" w:fill="auto"/>
          </w:tcPr>
          <w:p w:rsidR="00443F5B" w:rsidRPr="00C92ED1" w:rsidRDefault="00443F5B" w:rsidP="00C4252F">
            <w:pPr>
              <w:pStyle w:val="Default"/>
              <w:spacing w:after="240"/>
              <w:rPr>
                <w:sz w:val="26"/>
                <w:szCs w:val="26"/>
              </w:rPr>
            </w:pPr>
            <w:r w:rsidRPr="00C92ED1">
              <w:rPr>
                <w:sz w:val="26"/>
                <w:szCs w:val="26"/>
              </w:rPr>
              <w:t>$13,983 - $17,512</w:t>
            </w:r>
          </w:p>
        </w:tc>
        <w:tc>
          <w:tcPr>
            <w:tcW w:w="2340" w:type="dxa"/>
            <w:shd w:val="clear" w:color="auto" w:fill="auto"/>
          </w:tcPr>
          <w:p w:rsidR="00443F5B" w:rsidRPr="00C92ED1" w:rsidRDefault="00443F5B" w:rsidP="00C4252F">
            <w:pPr>
              <w:pStyle w:val="Default"/>
              <w:spacing w:after="240"/>
              <w:rPr>
                <w:sz w:val="26"/>
                <w:szCs w:val="26"/>
              </w:rPr>
            </w:pPr>
            <w:r w:rsidRPr="00C92ED1">
              <w:rPr>
                <w:sz w:val="26"/>
                <w:szCs w:val="26"/>
              </w:rPr>
              <w:t>$37,127 - $43,662</w:t>
            </w:r>
          </w:p>
        </w:tc>
        <w:tc>
          <w:tcPr>
            <w:tcW w:w="2448" w:type="dxa"/>
            <w:shd w:val="clear" w:color="auto" w:fill="auto"/>
          </w:tcPr>
          <w:p w:rsidR="00443F5B" w:rsidRPr="00C92ED1" w:rsidRDefault="00443F5B" w:rsidP="00C4252F">
            <w:pPr>
              <w:pStyle w:val="Default"/>
              <w:spacing w:after="240"/>
              <w:rPr>
                <w:sz w:val="26"/>
                <w:szCs w:val="26"/>
              </w:rPr>
            </w:pPr>
            <w:r w:rsidRPr="00C92ED1">
              <w:rPr>
                <w:sz w:val="26"/>
                <w:szCs w:val="26"/>
              </w:rPr>
              <w:t>$29,890 - $47,059</w:t>
            </w:r>
          </w:p>
        </w:tc>
      </w:tr>
      <w:tr w:rsidR="00A60C09" w:rsidRPr="00C92ED1" w:rsidTr="00953D39">
        <w:tc>
          <w:tcPr>
            <w:tcW w:w="1908" w:type="dxa"/>
            <w:shd w:val="clear" w:color="auto" w:fill="auto"/>
          </w:tcPr>
          <w:p w:rsidR="00A60C09" w:rsidRPr="00C92ED1" w:rsidRDefault="00A60C09" w:rsidP="00116467">
            <w:pPr>
              <w:pStyle w:val="Default"/>
              <w:spacing w:after="240"/>
              <w:jc w:val="center"/>
              <w:rPr>
                <w:sz w:val="26"/>
                <w:szCs w:val="26"/>
              </w:rPr>
            </w:pPr>
            <w:r w:rsidRPr="00C92ED1">
              <w:rPr>
                <w:sz w:val="26"/>
                <w:szCs w:val="26"/>
              </w:rPr>
              <w:t>Duke</w:t>
            </w:r>
          </w:p>
        </w:tc>
        <w:tc>
          <w:tcPr>
            <w:tcW w:w="2160" w:type="dxa"/>
            <w:shd w:val="clear" w:color="auto" w:fill="auto"/>
          </w:tcPr>
          <w:p w:rsidR="00A60C09" w:rsidRPr="00C92ED1" w:rsidRDefault="00A60C09" w:rsidP="002117D1">
            <w:pPr>
              <w:pStyle w:val="Default"/>
              <w:spacing w:after="240"/>
              <w:rPr>
                <w:sz w:val="26"/>
                <w:szCs w:val="26"/>
              </w:rPr>
            </w:pPr>
            <w:r w:rsidRPr="00C92ED1">
              <w:rPr>
                <w:sz w:val="26"/>
                <w:szCs w:val="26"/>
              </w:rPr>
              <w:t>$2,775 - $14,376</w:t>
            </w:r>
          </w:p>
        </w:tc>
        <w:tc>
          <w:tcPr>
            <w:tcW w:w="2340" w:type="dxa"/>
            <w:shd w:val="clear" w:color="auto" w:fill="auto"/>
          </w:tcPr>
          <w:p w:rsidR="00A60C09" w:rsidRPr="00C92ED1" w:rsidRDefault="00A60C09" w:rsidP="007E7F15">
            <w:pPr>
              <w:pStyle w:val="Default"/>
              <w:spacing w:after="240"/>
              <w:rPr>
                <w:sz w:val="26"/>
                <w:szCs w:val="26"/>
              </w:rPr>
            </w:pPr>
            <w:r w:rsidRPr="00C92ED1">
              <w:rPr>
                <w:sz w:val="26"/>
                <w:szCs w:val="26"/>
              </w:rPr>
              <w:t>$</w:t>
            </w:r>
            <w:r w:rsidR="007E7F15">
              <w:rPr>
                <w:sz w:val="26"/>
                <w:szCs w:val="26"/>
              </w:rPr>
              <w:t>371</w:t>
            </w:r>
            <w:r w:rsidRPr="00C92ED1">
              <w:rPr>
                <w:sz w:val="26"/>
                <w:szCs w:val="26"/>
              </w:rPr>
              <w:t xml:space="preserve"> - $</w:t>
            </w:r>
            <w:r w:rsidR="00F81B29">
              <w:rPr>
                <w:sz w:val="26"/>
                <w:szCs w:val="26"/>
              </w:rPr>
              <w:t>43,601</w:t>
            </w:r>
            <w:r w:rsidRPr="00C92ED1">
              <w:rPr>
                <w:sz w:val="26"/>
                <w:szCs w:val="26"/>
              </w:rPr>
              <w:t xml:space="preserve"> </w:t>
            </w:r>
          </w:p>
        </w:tc>
        <w:tc>
          <w:tcPr>
            <w:tcW w:w="2448" w:type="dxa"/>
            <w:shd w:val="clear" w:color="auto" w:fill="auto"/>
          </w:tcPr>
          <w:p w:rsidR="00A60C09" w:rsidRPr="00C92ED1" w:rsidRDefault="00A60C09" w:rsidP="002117D1">
            <w:pPr>
              <w:pStyle w:val="Default"/>
              <w:spacing w:after="240"/>
              <w:rPr>
                <w:sz w:val="26"/>
                <w:szCs w:val="26"/>
              </w:rPr>
            </w:pPr>
            <w:r w:rsidRPr="00C92ED1">
              <w:rPr>
                <w:sz w:val="26"/>
                <w:szCs w:val="26"/>
              </w:rPr>
              <w:t xml:space="preserve">         $1,078</w:t>
            </w:r>
          </w:p>
        </w:tc>
      </w:tr>
      <w:tr w:rsidR="00401CFA" w:rsidRPr="00C92ED1" w:rsidTr="00953D39">
        <w:tc>
          <w:tcPr>
            <w:tcW w:w="1908" w:type="dxa"/>
            <w:shd w:val="clear" w:color="auto" w:fill="auto"/>
          </w:tcPr>
          <w:p w:rsidR="00401CFA" w:rsidRPr="00C92ED1" w:rsidRDefault="00401CFA" w:rsidP="00116467">
            <w:pPr>
              <w:pStyle w:val="Default"/>
              <w:spacing w:after="240"/>
              <w:jc w:val="center"/>
              <w:rPr>
                <w:sz w:val="26"/>
                <w:szCs w:val="26"/>
              </w:rPr>
            </w:pPr>
            <w:r>
              <w:rPr>
                <w:sz w:val="26"/>
                <w:szCs w:val="26"/>
              </w:rPr>
              <w:t>LG&amp;E/KU</w:t>
            </w:r>
          </w:p>
        </w:tc>
        <w:tc>
          <w:tcPr>
            <w:tcW w:w="2160" w:type="dxa"/>
            <w:shd w:val="clear" w:color="auto" w:fill="auto"/>
          </w:tcPr>
          <w:p w:rsidR="00401CFA" w:rsidRPr="00C92ED1" w:rsidRDefault="00401CFA" w:rsidP="002117D1">
            <w:pPr>
              <w:pStyle w:val="Default"/>
              <w:spacing w:after="240"/>
              <w:rPr>
                <w:sz w:val="26"/>
                <w:szCs w:val="26"/>
              </w:rPr>
            </w:pPr>
            <w:r>
              <w:rPr>
                <w:sz w:val="26"/>
                <w:szCs w:val="26"/>
              </w:rPr>
              <w:t>No data</w:t>
            </w:r>
          </w:p>
        </w:tc>
        <w:tc>
          <w:tcPr>
            <w:tcW w:w="2340" w:type="dxa"/>
            <w:shd w:val="clear" w:color="auto" w:fill="auto"/>
          </w:tcPr>
          <w:p w:rsidR="00401CFA" w:rsidRPr="00C92ED1" w:rsidRDefault="00401CFA" w:rsidP="007E7F15">
            <w:pPr>
              <w:pStyle w:val="Default"/>
              <w:spacing w:after="240"/>
              <w:rPr>
                <w:sz w:val="26"/>
                <w:szCs w:val="26"/>
              </w:rPr>
            </w:pPr>
            <w:r>
              <w:rPr>
                <w:sz w:val="26"/>
                <w:szCs w:val="26"/>
              </w:rPr>
              <w:t>$2,925 - $4,237</w:t>
            </w:r>
          </w:p>
        </w:tc>
        <w:tc>
          <w:tcPr>
            <w:tcW w:w="2448" w:type="dxa"/>
            <w:shd w:val="clear" w:color="auto" w:fill="auto"/>
          </w:tcPr>
          <w:p w:rsidR="00401CFA" w:rsidRPr="00C92ED1" w:rsidRDefault="00401CFA" w:rsidP="002117D1">
            <w:pPr>
              <w:pStyle w:val="Default"/>
              <w:spacing w:after="240"/>
              <w:rPr>
                <w:sz w:val="26"/>
                <w:szCs w:val="26"/>
              </w:rPr>
            </w:pPr>
            <w:r>
              <w:rPr>
                <w:sz w:val="26"/>
                <w:szCs w:val="26"/>
              </w:rPr>
              <w:t>$2,636 - $3,256</w:t>
            </w:r>
          </w:p>
        </w:tc>
      </w:tr>
      <w:tr w:rsidR="00A912B0" w:rsidRPr="00C92ED1" w:rsidTr="00953D39">
        <w:tc>
          <w:tcPr>
            <w:tcW w:w="1908" w:type="dxa"/>
            <w:shd w:val="clear" w:color="auto" w:fill="auto"/>
          </w:tcPr>
          <w:p w:rsidR="00A912B0" w:rsidRPr="00C92ED1" w:rsidRDefault="00A912B0" w:rsidP="00116467">
            <w:pPr>
              <w:pStyle w:val="Default"/>
              <w:spacing w:after="240"/>
              <w:jc w:val="center"/>
              <w:rPr>
                <w:sz w:val="26"/>
                <w:szCs w:val="26"/>
              </w:rPr>
            </w:pPr>
            <w:r>
              <w:rPr>
                <w:sz w:val="26"/>
                <w:szCs w:val="26"/>
              </w:rPr>
              <w:t>Southern</w:t>
            </w:r>
          </w:p>
        </w:tc>
        <w:tc>
          <w:tcPr>
            <w:tcW w:w="2160" w:type="dxa"/>
            <w:shd w:val="clear" w:color="auto" w:fill="auto"/>
          </w:tcPr>
          <w:p w:rsidR="00A912B0" w:rsidRPr="00C92ED1" w:rsidRDefault="00A912B0" w:rsidP="002117D1">
            <w:pPr>
              <w:pStyle w:val="Default"/>
              <w:spacing w:after="240"/>
              <w:rPr>
                <w:sz w:val="26"/>
                <w:szCs w:val="26"/>
              </w:rPr>
            </w:pPr>
            <w:r>
              <w:rPr>
                <w:sz w:val="26"/>
                <w:szCs w:val="26"/>
              </w:rPr>
              <w:t>No data</w:t>
            </w:r>
          </w:p>
        </w:tc>
        <w:tc>
          <w:tcPr>
            <w:tcW w:w="2340" w:type="dxa"/>
            <w:shd w:val="clear" w:color="auto" w:fill="auto"/>
          </w:tcPr>
          <w:p w:rsidR="00A912B0" w:rsidRPr="00C92ED1" w:rsidRDefault="00A912B0" w:rsidP="00A912B0">
            <w:pPr>
              <w:pStyle w:val="Default"/>
              <w:spacing w:after="240"/>
              <w:rPr>
                <w:sz w:val="26"/>
                <w:szCs w:val="26"/>
              </w:rPr>
            </w:pPr>
            <w:r>
              <w:rPr>
                <w:sz w:val="26"/>
                <w:szCs w:val="26"/>
              </w:rPr>
              <w:t>$5,688 - $10,683</w:t>
            </w:r>
          </w:p>
        </w:tc>
        <w:tc>
          <w:tcPr>
            <w:tcW w:w="2448" w:type="dxa"/>
            <w:shd w:val="clear" w:color="auto" w:fill="auto"/>
          </w:tcPr>
          <w:p w:rsidR="00A912B0" w:rsidRPr="00C92ED1" w:rsidRDefault="00A912B0" w:rsidP="002117D1">
            <w:pPr>
              <w:pStyle w:val="Default"/>
              <w:spacing w:after="240"/>
              <w:rPr>
                <w:sz w:val="26"/>
                <w:szCs w:val="26"/>
              </w:rPr>
            </w:pPr>
            <w:r>
              <w:rPr>
                <w:sz w:val="26"/>
                <w:szCs w:val="26"/>
              </w:rPr>
              <w:t>$5,329 - $6,912</w:t>
            </w:r>
          </w:p>
        </w:tc>
      </w:tr>
    </w:tbl>
    <w:p w:rsidR="00000106" w:rsidRDefault="00000106" w:rsidP="002117D1">
      <w:pPr>
        <w:pStyle w:val="Default"/>
        <w:spacing w:after="240"/>
        <w:rPr>
          <w:sz w:val="26"/>
          <w:szCs w:val="26"/>
        </w:rPr>
      </w:pPr>
    </w:p>
    <w:p w:rsidR="00A60C09" w:rsidRPr="00603D60" w:rsidRDefault="00A60C09" w:rsidP="002117D1">
      <w:pPr>
        <w:pStyle w:val="Default"/>
        <w:spacing w:after="240"/>
        <w:rPr>
          <w:b/>
          <w:sz w:val="26"/>
          <w:szCs w:val="26"/>
          <w:u w:val="single"/>
        </w:rPr>
      </w:pPr>
      <w:r w:rsidRPr="00603D60">
        <w:rPr>
          <w:b/>
          <w:sz w:val="26"/>
          <w:szCs w:val="26"/>
          <w:u w:val="single"/>
        </w:rPr>
        <w:t>Notes</w:t>
      </w:r>
    </w:p>
    <w:p w:rsidR="00A60C09" w:rsidRDefault="00A60C09" w:rsidP="002117D1">
      <w:pPr>
        <w:pStyle w:val="Default"/>
        <w:spacing w:after="240"/>
        <w:rPr>
          <w:sz w:val="26"/>
          <w:szCs w:val="26"/>
        </w:rPr>
      </w:pPr>
      <w:proofErr w:type="gramStart"/>
      <w:r>
        <w:rPr>
          <w:sz w:val="26"/>
          <w:szCs w:val="26"/>
        </w:rPr>
        <w:t>▪  Duke</w:t>
      </w:r>
      <w:proofErr w:type="gramEnd"/>
      <w:r>
        <w:rPr>
          <w:sz w:val="26"/>
          <w:szCs w:val="26"/>
        </w:rPr>
        <w:t xml:space="preserve"> costs </w:t>
      </w:r>
      <w:r w:rsidR="007E7F15">
        <w:rPr>
          <w:sz w:val="26"/>
          <w:szCs w:val="26"/>
        </w:rPr>
        <w:t>do not include Duke</w:t>
      </w:r>
      <w:r>
        <w:rPr>
          <w:sz w:val="26"/>
          <w:szCs w:val="26"/>
        </w:rPr>
        <w:t xml:space="preserve"> Energy Carolina</w:t>
      </w:r>
      <w:r w:rsidR="00544E6A">
        <w:rPr>
          <w:sz w:val="26"/>
          <w:szCs w:val="26"/>
        </w:rPr>
        <w:t>s</w:t>
      </w:r>
      <w:r w:rsidR="007E7F15">
        <w:rPr>
          <w:sz w:val="26"/>
          <w:szCs w:val="26"/>
        </w:rPr>
        <w:t>.</w:t>
      </w:r>
      <w:r>
        <w:rPr>
          <w:sz w:val="26"/>
          <w:szCs w:val="26"/>
        </w:rPr>
        <w:t xml:space="preserve">  Total study costs for Duke </w:t>
      </w:r>
      <w:r w:rsidR="00F50858">
        <w:rPr>
          <w:sz w:val="26"/>
          <w:szCs w:val="26"/>
        </w:rPr>
        <w:t xml:space="preserve">Energy </w:t>
      </w:r>
      <w:r>
        <w:rPr>
          <w:sz w:val="26"/>
          <w:szCs w:val="26"/>
        </w:rPr>
        <w:t>Carolina</w:t>
      </w:r>
      <w:r w:rsidR="00430B95">
        <w:rPr>
          <w:sz w:val="26"/>
          <w:szCs w:val="26"/>
        </w:rPr>
        <w:t>s</w:t>
      </w:r>
      <w:r>
        <w:rPr>
          <w:sz w:val="26"/>
          <w:szCs w:val="26"/>
        </w:rPr>
        <w:t xml:space="preserve"> ranged from $31,084 to $70,483.</w:t>
      </w:r>
    </w:p>
    <w:p w:rsidR="00A912B0" w:rsidRDefault="00A912B0" w:rsidP="002117D1">
      <w:pPr>
        <w:pStyle w:val="Default"/>
        <w:spacing w:after="240"/>
        <w:rPr>
          <w:sz w:val="26"/>
          <w:szCs w:val="26"/>
        </w:rPr>
      </w:pPr>
      <w:proofErr w:type="gramStart"/>
      <w:r>
        <w:rPr>
          <w:sz w:val="26"/>
          <w:szCs w:val="26"/>
        </w:rPr>
        <w:t xml:space="preserve">▪  </w:t>
      </w:r>
      <w:r w:rsidR="00401CFA">
        <w:rPr>
          <w:sz w:val="26"/>
          <w:szCs w:val="26"/>
        </w:rPr>
        <w:t>LG</w:t>
      </w:r>
      <w:proofErr w:type="gramEnd"/>
      <w:r w:rsidR="00401CFA">
        <w:rPr>
          <w:sz w:val="26"/>
          <w:szCs w:val="26"/>
        </w:rPr>
        <w:t xml:space="preserve">&amp;E/KU and </w:t>
      </w:r>
      <w:r>
        <w:rPr>
          <w:sz w:val="26"/>
          <w:szCs w:val="26"/>
        </w:rPr>
        <w:t>Southern data based on transmission service study costs only.</w:t>
      </w:r>
    </w:p>
    <w:p w:rsidR="00A60C09" w:rsidRDefault="00A60C09" w:rsidP="002117D1">
      <w:pPr>
        <w:pStyle w:val="Default"/>
        <w:spacing w:after="240"/>
        <w:rPr>
          <w:sz w:val="26"/>
          <w:szCs w:val="26"/>
        </w:rPr>
      </w:pPr>
      <w:proofErr w:type="gramStart"/>
      <w:r>
        <w:rPr>
          <w:sz w:val="26"/>
          <w:szCs w:val="26"/>
        </w:rPr>
        <w:t>▪  MISO</w:t>
      </w:r>
      <w:proofErr w:type="gramEnd"/>
      <w:r>
        <w:rPr>
          <w:sz w:val="26"/>
          <w:szCs w:val="26"/>
        </w:rPr>
        <w:t xml:space="preserve"> </w:t>
      </w:r>
      <w:r w:rsidR="000F070B">
        <w:rPr>
          <w:sz w:val="26"/>
          <w:szCs w:val="26"/>
        </w:rPr>
        <w:t xml:space="preserve">reported average annual total costs  (feasibility, system impact and facility impact studies) that </w:t>
      </w:r>
      <w:r>
        <w:rPr>
          <w:sz w:val="26"/>
          <w:szCs w:val="26"/>
        </w:rPr>
        <w:t xml:space="preserve">ranged </w:t>
      </w:r>
      <w:r w:rsidR="000F070B">
        <w:rPr>
          <w:sz w:val="26"/>
          <w:szCs w:val="26"/>
        </w:rPr>
        <w:t xml:space="preserve">between </w:t>
      </w:r>
      <w:r w:rsidR="00B0003B">
        <w:rPr>
          <w:sz w:val="26"/>
          <w:szCs w:val="26"/>
        </w:rPr>
        <w:t xml:space="preserve">approximately </w:t>
      </w:r>
      <w:r>
        <w:rPr>
          <w:sz w:val="26"/>
          <w:szCs w:val="26"/>
        </w:rPr>
        <w:t>$90,000 to $175,000.</w:t>
      </w:r>
    </w:p>
    <w:p w:rsidR="00A60C09" w:rsidRDefault="00A60C09" w:rsidP="002117D1">
      <w:pPr>
        <w:pStyle w:val="Default"/>
        <w:spacing w:after="240"/>
        <w:rPr>
          <w:sz w:val="26"/>
          <w:szCs w:val="26"/>
        </w:rPr>
      </w:pPr>
      <w:proofErr w:type="gramStart"/>
      <w:r>
        <w:rPr>
          <w:sz w:val="26"/>
          <w:szCs w:val="26"/>
        </w:rPr>
        <w:t xml:space="preserve">▪  </w:t>
      </w:r>
      <w:r w:rsidR="007F3248">
        <w:rPr>
          <w:sz w:val="26"/>
          <w:szCs w:val="26"/>
        </w:rPr>
        <w:t>PacifiCorp</w:t>
      </w:r>
      <w:proofErr w:type="gramEnd"/>
      <w:r w:rsidR="000F070B">
        <w:rPr>
          <w:sz w:val="26"/>
          <w:szCs w:val="26"/>
        </w:rPr>
        <w:t xml:space="preserve"> only reported total (aggregate) annual costs.</w:t>
      </w:r>
    </w:p>
    <w:p w:rsidR="00A60C09" w:rsidRDefault="00A60C09" w:rsidP="002117D1">
      <w:pPr>
        <w:pStyle w:val="Default"/>
        <w:spacing w:after="240"/>
        <w:rPr>
          <w:sz w:val="26"/>
          <w:szCs w:val="26"/>
        </w:rPr>
      </w:pPr>
      <w:proofErr w:type="gramStart"/>
      <w:r>
        <w:rPr>
          <w:sz w:val="26"/>
          <w:szCs w:val="26"/>
        </w:rPr>
        <w:t>▪  CAISO</w:t>
      </w:r>
      <w:proofErr w:type="gramEnd"/>
      <w:r w:rsidR="005B28C0">
        <w:rPr>
          <w:sz w:val="26"/>
          <w:szCs w:val="26"/>
        </w:rPr>
        <w:t xml:space="preserve"> </w:t>
      </w:r>
      <w:r>
        <w:rPr>
          <w:sz w:val="26"/>
          <w:szCs w:val="26"/>
        </w:rPr>
        <w:t>did not provide data.</w:t>
      </w:r>
    </w:p>
    <w:p w:rsidR="00000106" w:rsidRDefault="00000106" w:rsidP="002117D1">
      <w:pPr>
        <w:pStyle w:val="Default"/>
        <w:spacing w:after="240"/>
        <w:rPr>
          <w:sz w:val="26"/>
          <w:szCs w:val="26"/>
        </w:rPr>
      </w:pPr>
    </w:p>
    <w:p w:rsidR="00A60C09" w:rsidRDefault="00A60C09" w:rsidP="002117D1">
      <w:pPr>
        <w:spacing w:after="240"/>
        <w:ind w:firstLine="720"/>
      </w:pPr>
      <w:r>
        <w:t>The data submitted and discussion of the data by ISOs, RTOs and utilities indicates that the interconnection and transmission process metrics measur</w:t>
      </w:r>
      <w:r w:rsidR="00CD44F6">
        <w:t>e</w:t>
      </w:r>
      <w:r>
        <w:t xml:space="preserve"> the same activities and have the same meaning across all entities, and therefore are suitable common metrics.</w:t>
      </w:r>
    </w:p>
    <w:p w:rsidR="00A60C09" w:rsidRDefault="00A60C09" w:rsidP="002117D1">
      <w:pPr>
        <w:pStyle w:val="Heading3"/>
      </w:pPr>
      <w:bookmarkStart w:id="63" w:name="_Toc390256239"/>
      <w:r>
        <w:lastRenderedPageBreak/>
        <w:t>Special Protection Systems</w:t>
      </w:r>
      <w:bookmarkStart w:id="64" w:name="_bmk31"/>
      <w:bookmarkEnd w:id="63"/>
    </w:p>
    <w:p w:rsidR="00A60C09" w:rsidRPr="00953D39" w:rsidRDefault="00A60C09" w:rsidP="002117D1">
      <w:pPr>
        <w:pStyle w:val="Heading4"/>
      </w:pPr>
      <w:bookmarkStart w:id="65" w:name="_Toc390256240"/>
      <w:bookmarkEnd w:id="64"/>
      <w:r w:rsidRPr="00953D39">
        <w:t>Definition</w:t>
      </w:r>
      <w:bookmarkStart w:id="66" w:name="_bmk32"/>
      <w:bookmarkEnd w:id="65"/>
    </w:p>
    <w:bookmarkEnd w:id="66"/>
    <w:p w:rsidR="00A60C09" w:rsidRDefault="00A60C09" w:rsidP="002117D1">
      <w:pPr>
        <w:spacing w:after="240"/>
        <w:ind w:firstLine="720"/>
      </w:pPr>
      <w:r>
        <w:t>Special Protection Systems</w:t>
      </w:r>
      <w:r>
        <w:rPr>
          <w:rStyle w:val="FootnoteReference"/>
        </w:rPr>
        <w:footnoteReference w:id="24"/>
      </w:r>
      <w:r>
        <w:t xml:space="preserve"> are automatic protection systems designed to detect abnormal or predetermined system conditions and take corrective actions, such as changing demand, generation, or system configurations in order to maintain system stability, acceptable voltage levels, or power flows.  These metrics measure the number of Special Protection Systems, as well as the performance of such Special Protection Systems</w:t>
      </w:r>
      <w:r w:rsidR="00826D27">
        <w:t>,</w:t>
      </w:r>
      <w:r>
        <w:t xml:space="preserve"> based on the definition of Special Protection Systems u</w:t>
      </w:r>
      <w:r w:rsidR="005F256E">
        <w:t>sed</w:t>
      </w:r>
      <w:r>
        <w:t xml:space="preserve"> by the reporting entity’s Regional </w:t>
      </w:r>
      <w:r w:rsidR="0052129C">
        <w:t>Entity</w:t>
      </w:r>
      <w:r>
        <w:t>.  These performance metrics measure both the frequency with which the region relies on these systems and their effectiveness, as measured by successful activations and the number of unintended activations.</w:t>
      </w:r>
    </w:p>
    <w:p w:rsidR="00A60C09" w:rsidRDefault="00A60C09" w:rsidP="002117D1">
      <w:pPr>
        <w:pStyle w:val="Heading4"/>
      </w:pPr>
      <w:bookmarkStart w:id="67" w:name="_Toc390256241"/>
      <w:r>
        <w:t>Data Review and Metrics Assessment</w:t>
      </w:r>
      <w:bookmarkStart w:id="68" w:name="_bmk33"/>
      <w:bookmarkEnd w:id="67"/>
    </w:p>
    <w:bookmarkEnd w:id="68"/>
    <w:p w:rsidR="008970CF" w:rsidRDefault="00A60C09" w:rsidP="002117D1">
      <w:pPr>
        <w:pStyle w:val="Default"/>
        <w:spacing w:after="240"/>
        <w:ind w:firstLine="720"/>
        <w:rPr>
          <w:sz w:val="26"/>
          <w:szCs w:val="26"/>
        </w:rPr>
      </w:pPr>
      <w:r>
        <w:rPr>
          <w:sz w:val="26"/>
          <w:szCs w:val="26"/>
        </w:rPr>
        <w:t>The table below compares the number of special protection systems u</w:t>
      </w:r>
      <w:r w:rsidR="005F256E">
        <w:rPr>
          <w:sz w:val="26"/>
          <w:szCs w:val="26"/>
        </w:rPr>
        <w:t>sed</w:t>
      </w:r>
      <w:r>
        <w:rPr>
          <w:sz w:val="26"/>
          <w:szCs w:val="26"/>
        </w:rPr>
        <w:t xml:space="preserve"> by ISOs, RTOs and utilities in 2010.</w:t>
      </w:r>
    </w:p>
    <w:p w:rsidR="008970CF" w:rsidRDefault="008970CF">
      <w:pPr>
        <w:widowControl/>
        <w:autoSpaceDE/>
        <w:autoSpaceDN/>
        <w:adjustRightInd/>
        <w:rPr>
          <w:color w:val="000000"/>
          <w:szCs w:val="26"/>
        </w:rPr>
      </w:pPr>
      <w:r>
        <w:rPr>
          <w:szCs w:val="26"/>
        </w:rPr>
        <w:br w:type="page"/>
      </w:r>
    </w:p>
    <w:p w:rsidR="00A60C09" w:rsidRDefault="00A60C09" w:rsidP="002117D1">
      <w:pPr>
        <w:pStyle w:val="Default"/>
        <w:spacing w:after="240"/>
        <w:ind w:firstLine="72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410"/>
      </w:tblGrid>
      <w:tr w:rsidR="00A60C09" w:rsidRPr="00C92ED1" w:rsidTr="00953D39">
        <w:trPr>
          <w:trHeight w:val="377"/>
        </w:trPr>
        <w:tc>
          <w:tcPr>
            <w:tcW w:w="2268"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Entity</w:t>
            </w:r>
          </w:p>
        </w:tc>
        <w:tc>
          <w:tcPr>
            <w:tcW w:w="4410" w:type="dxa"/>
            <w:shd w:val="clear" w:color="auto" w:fill="auto"/>
          </w:tcPr>
          <w:p w:rsidR="00A60C09" w:rsidRPr="00C92ED1" w:rsidRDefault="00A60C09" w:rsidP="002117D1">
            <w:pPr>
              <w:pStyle w:val="Default"/>
              <w:spacing w:after="240"/>
              <w:jc w:val="center"/>
              <w:rPr>
                <w:b/>
                <w:sz w:val="26"/>
                <w:szCs w:val="26"/>
                <w:u w:val="single"/>
              </w:rPr>
            </w:pPr>
            <w:r w:rsidRPr="00C92ED1">
              <w:rPr>
                <w:b/>
                <w:sz w:val="26"/>
                <w:szCs w:val="26"/>
                <w:u w:val="single"/>
              </w:rPr>
              <w:t>Special Protection Systems</w:t>
            </w:r>
          </w:p>
        </w:tc>
      </w:tr>
      <w:tr w:rsidR="0041457D" w:rsidRPr="00C92ED1" w:rsidTr="00C4252F">
        <w:tc>
          <w:tcPr>
            <w:tcW w:w="2268" w:type="dxa"/>
            <w:shd w:val="clear" w:color="auto" w:fill="auto"/>
          </w:tcPr>
          <w:p w:rsidR="0041457D" w:rsidRPr="00C92ED1" w:rsidRDefault="0041457D" w:rsidP="002C3486">
            <w:pPr>
              <w:pStyle w:val="Default"/>
              <w:spacing w:after="240"/>
              <w:jc w:val="center"/>
              <w:rPr>
                <w:sz w:val="26"/>
                <w:szCs w:val="26"/>
              </w:rPr>
            </w:pPr>
            <w:r w:rsidRPr="00C92ED1">
              <w:rPr>
                <w:sz w:val="26"/>
                <w:szCs w:val="26"/>
              </w:rPr>
              <w:t>CAISO</w:t>
            </w:r>
          </w:p>
        </w:tc>
        <w:tc>
          <w:tcPr>
            <w:tcW w:w="4410" w:type="dxa"/>
            <w:shd w:val="clear" w:color="auto" w:fill="auto"/>
          </w:tcPr>
          <w:p w:rsidR="0041457D" w:rsidRPr="00C92ED1" w:rsidRDefault="0041457D" w:rsidP="00C4252F">
            <w:pPr>
              <w:pStyle w:val="Default"/>
              <w:spacing w:after="240"/>
              <w:jc w:val="center"/>
              <w:rPr>
                <w:sz w:val="26"/>
                <w:szCs w:val="26"/>
              </w:rPr>
            </w:pPr>
            <w:r w:rsidRPr="00C92ED1">
              <w:rPr>
                <w:sz w:val="26"/>
                <w:szCs w:val="26"/>
              </w:rPr>
              <w:t>65</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ISO-NE</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9</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NYISO</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12</w:t>
            </w:r>
          </w:p>
        </w:tc>
      </w:tr>
      <w:tr w:rsidR="0041457D" w:rsidRPr="00C92ED1" w:rsidTr="00C4252F">
        <w:tc>
          <w:tcPr>
            <w:tcW w:w="2268" w:type="dxa"/>
            <w:shd w:val="clear" w:color="auto" w:fill="auto"/>
          </w:tcPr>
          <w:p w:rsidR="0041457D" w:rsidRPr="00C92ED1" w:rsidRDefault="0041457D" w:rsidP="002C3486">
            <w:pPr>
              <w:pStyle w:val="Default"/>
              <w:spacing w:after="240"/>
              <w:jc w:val="center"/>
              <w:rPr>
                <w:sz w:val="26"/>
                <w:szCs w:val="26"/>
              </w:rPr>
            </w:pPr>
            <w:r w:rsidRPr="00C92ED1">
              <w:rPr>
                <w:sz w:val="26"/>
                <w:szCs w:val="26"/>
              </w:rPr>
              <w:t>MISO</w:t>
            </w:r>
          </w:p>
        </w:tc>
        <w:tc>
          <w:tcPr>
            <w:tcW w:w="4410" w:type="dxa"/>
            <w:shd w:val="clear" w:color="auto" w:fill="auto"/>
          </w:tcPr>
          <w:p w:rsidR="0041457D" w:rsidRPr="00C92ED1" w:rsidRDefault="0041457D" w:rsidP="00C4252F">
            <w:pPr>
              <w:pStyle w:val="Default"/>
              <w:spacing w:after="240"/>
              <w:jc w:val="center"/>
              <w:rPr>
                <w:sz w:val="26"/>
                <w:szCs w:val="26"/>
              </w:rPr>
            </w:pPr>
            <w:r w:rsidRPr="00C92ED1">
              <w:rPr>
                <w:sz w:val="26"/>
                <w:szCs w:val="26"/>
              </w:rPr>
              <w:t>50</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PJM</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45</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SPP</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5</w:t>
            </w:r>
          </w:p>
        </w:tc>
      </w:tr>
      <w:tr w:rsidR="0041457D" w:rsidRPr="00C92ED1" w:rsidTr="00C4252F">
        <w:tc>
          <w:tcPr>
            <w:tcW w:w="2268" w:type="dxa"/>
            <w:shd w:val="clear" w:color="auto" w:fill="auto"/>
          </w:tcPr>
          <w:p w:rsidR="0041457D" w:rsidRPr="00C92ED1" w:rsidRDefault="0041457D" w:rsidP="002C3486">
            <w:pPr>
              <w:pStyle w:val="Default"/>
              <w:spacing w:after="240"/>
              <w:jc w:val="center"/>
              <w:rPr>
                <w:sz w:val="26"/>
                <w:szCs w:val="26"/>
              </w:rPr>
            </w:pPr>
            <w:r w:rsidRPr="00C92ED1">
              <w:rPr>
                <w:sz w:val="26"/>
                <w:szCs w:val="26"/>
              </w:rPr>
              <w:t>APS</w:t>
            </w:r>
          </w:p>
        </w:tc>
        <w:tc>
          <w:tcPr>
            <w:tcW w:w="4410" w:type="dxa"/>
            <w:shd w:val="clear" w:color="auto" w:fill="auto"/>
          </w:tcPr>
          <w:p w:rsidR="0041457D" w:rsidRPr="00C92ED1" w:rsidRDefault="0041457D" w:rsidP="00C4252F">
            <w:pPr>
              <w:pStyle w:val="Default"/>
              <w:spacing w:after="240"/>
              <w:jc w:val="center"/>
              <w:rPr>
                <w:sz w:val="26"/>
                <w:szCs w:val="26"/>
              </w:rPr>
            </w:pPr>
            <w:r w:rsidRPr="00C92ED1">
              <w:rPr>
                <w:sz w:val="26"/>
                <w:szCs w:val="26"/>
              </w:rPr>
              <w:t>6</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Duke</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2</w:t>
            </w:r>
          </w:p>
        </w:tc>
      </w:tr>
      <w:tr w:rsidR="00A60C09" w:rsidRPr="00C92ED1" w:rsidTr="00953D39">
        <w:tc>
          <w:tcPr>
            <w:tcW w:w="2268" w:type="dxa"/>
            <w:shd w:val="clear" w:color="auto" w:fill="auto"/>
          </w:tcPr>
          <w:p w:rsidR="00A60C09" w:rsidRPr="00C92ED1" w:rsidRDefault="00A60C09" w:rsidP="002C3486">
            <w:pPr>
              <w:pStyle w:val="Default"/>
              <w:spacing w:after="240"/>
              <w:jc w:val="center"/>
              <w:rPr>
                <w:sz w:val="26"/>
                <w:szCs w:val="26"/>
              </w:rPr>
            </w:pPr>
            <w:r w:rsidRPr="00C92ED1">
              <w:rPr>
                <w:sz w:val="26"/>
                <w:szCs w:val="26"/>
              </w:rPr>
              <w:t>LG&amp;E/KU</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0</w:t>
            </w:r>
          </w:p>
        </w:tc>
      </w:tr>
      <w:tr w:rsidR="00A60C09" w:rsidRPr="00C92ED1" w:rsidTr="00953D39">
        <w:tc>
          <w:tcPr>
            <w:tcW w:w="2268" w:type="dxa"/>
            <w:shd w:val="clear" w:color="auto" w:fill="auto"/>
          </w:tcPr>
          <w:p w:rsidR="00A60C09" w:rsidRPr="00C92ED1" w:rsidRDefault="007F3248" w:rsidP="002C3486">
            <w:pPr>
              <w:pStyle w:val="Default"/>
              <w:spacing w:after="240"/>
              <w:jc w:val="center"/>
              <w:rPr>
                <w:sz w:val="26"/>
                <w:szCs w:val="26"/>
              </w:rPr>
            </w:pPr>
            <w:r>
              <w:rPr>
                <w:sz w:val="26"/>
                <w:szCs w:val="26"/>
              </w:rPr>
              <w:t>PacifiCorp</w:t>
            </w:r>
          </w:p>
        </w:tc>
        <w:tc>
          <w:tcPr>
            <w:tcW w:w="4410" w:type="dxa"/>
            <w:shd w:val="clear" w:color="auto" w:fill="auto"/>
          </w:tcPr>
          <w:p w:rsidR="00A60C09" w:rsidRPr="00C92ED1" w:rsidRDefault="00A60C09" w:rsidP="002117D1">
            <w:pPr>
              <w:pStyle w:val="Default"/>
              <w:spacing w:after="240"/>
              <w:jc w:val="center"/>
              <w:rPr>
                <w:sz w:val="26"/>
                <w:szCs w:val="26"/>
              </w:rPr>
            </w:pPr>
            <w:r w:rsidRPr="00C92ED1">
              <w:rPr>
                <w:sz w:val="26"/>
                <w:szCs w:val="26"/>
              </w:rPr>
              <w:t>8</w:t>
            </w:r>
          </w:p>
        </w:tc>
      </w:tr>
      <w:tr w:rsidR="0041457D" w:rsidRPr="00C92ED1" w:rsidTr="00C4252F">
        <w:tc>
          <w:tcPr>
            <w:tcW w:w="2268" w:type="dxa"/>
            <w:shd w:val="clear" w:color="auto" w:fill="auto"/>
          </w:tcPr>
          <w:p w:rsidR="0041457D" w:rsidRPr="00C92ED1" w:rsidRDefault="0041457D" w:rsidP="002C3486">
            <w:pPr>
              <w:pStyle w:val="Default"/>
              <w:spacing w:after="240"/>
              <w:jc w:val="center"/>
              <w:rPr>
                <w:sz w:val="26"/>
                <w:szCs w:val="26"/>
              </w:rPr>
            </w:pPr>
            <w:r w:rsidRPr="00C92ED1">
              <w:rPr>
                <w:sz w:val="26"/>
                <w:szCs w:val="26"/>
              </w:rPr>
              <w:t>Southern</w:t>
            </w:r>
          </w:p>
        </w:tc>
        <w:tc>
          <w:tcPr>
            <w:tcW w:w="4410" w:type="dxa"/>
            <w:shd w:val="clear" w:color="auto" w:fill="auto"/>
          </w:tcPr>
          <w:p w:rsidR="0041457D" w:rsidRPr="00C92ED1" w:rsidRDefault="0041457D" w:rsidP="00C4252F">
            <w:pPr>
              <w:pStyle w:val="Default"/>
              <w:spacing w:after="240"/>
              <w:jc w:val="center"/>
              <w:rPr>
                <w:sz w:val="26"/>
                <w:szCs w:val="26"/>
              </w:rPr>
            </w:pPr>
            <w:r w:rsidRPr="00C92ED1">
              <w:rPr>
                <w:sz w:val="26"/>
                <w:szCs w:val="26"/>
              </w:rPr>
              <w:t>5</w:t>
            </w:r>
          </w:p>
        </w:tc>
      </w:tr>
    </w:tbl>
    <w:p w:rsidR="00A60C09" w:rsidRDefault="00A60C09" w:rsidP="002117D1">
      <w:pPr>
        <w:spacing w:after="240"/>
        <w:rPr>
          <w:b/>
          <w:u w:val="single"/>
        </w:rPr>
      </w:pPr>
      <w:r>
        <w:rPr>
          <w:b/>
          <w:u w:val="single"/>
        </w:rPr>
        <w:t>Note</w:t>
      </w:r>
    </w:p>
    <w:p w:rsidR="00A60C09" w:rsidRDefault="00A60C09" w:rsidP="002117D1">
      <w:pPr>
        <w:spacing w:after="240"/>
      </w:pPr>
      <w:r>
        <w:t xml:space="preserve">Duke data represents Progress </w:t>
      </w:r>
      <w:r w:rsidR="00CE3CC4">
        <w:t xml:space="preserve">Energy </w:t>
      </w:r>
      <w:r>
        <w:t xml:space="preserve">Florida information.  Duke </w:t>
      </w:r>
      <w:r w:rsidR="00376205">
        <w:t xml:space="preserve">Energy </w:t>
      </w:r>
      <w:r>
        <w:t>Carolina</w:t>
      </w:r>
      <w:r w:rsidR="00430B95">
        <w:t>s</w:t>
      </w:r>
      <w:r>
        <w:t xml:space="preserve"> and Progress </w:t>
      </w:r>
      <w:r w:rsidR="00CE3CC4">
        <w:t xml:space="preserve">Energy </w:t>
      </w:r>
      <w:r>
        <w:t>Carolina</w:t>
      </w:r>
      <w:r w:rsidR="00544E6A">
        <w:t>s</w:t>
      </w:r>
      <w:r>
        <w:t xml:space="preserve"> did not have Special Protection Systems</w:t>
      </w:r>
      <w:r w:rsidR="008970CF">
        <w:t>.</w:t>
      </w:r>
    </w:p>
    <w:p w:rsidR="002B1E12" w:rsidRDefault="00A60C09" w:rsidP="002117D1">
      <w:pPr>
        <w:spacing w:after="240"/>
        <w:ind w:firstLine="720"/>
      </w:pPr>
      <w:r>
        <w:t xml:space="preserve">With respect to the performance of Special Protection Systems, </w:t>
      </w:r>
      <w:r w:rsidR="002B1E12">
        <w:t>the ISOs, RTOs and utilities provided the following information for 2010:</w:t>
      </w:r>
    </w:p>
    <w:p w:rsidR="002B1E12" w:rsidRDefault="002B1E12" w:rsidP="002117D1">
      <w:pPr>
        <w:pStyle w:val="ListParagraph"/>
        <w:numPr>
          <w:ilvl w:val="0"/>
          <w:numId w:val="44"/>
        </w:numPr>
        <w:spacing w:after="240"/>
      </w:pPr>
      <w:r>
        <w:t xml:space="preserve">ISO-NE had one </w:t>
      </w:r>
      <w:proofErr w:type="spellStart"/>
      <w:r>
        <w:t>misoperation</w:t>
      </w:r>
      <w:proofErr w:type="spellEnd"/>
      <w:r>
        <w:t xml:space="preserve"> in which a Special Protection System did not perform as designed.</w:t>
      </w:r>
    </w:p>
    <w:p w:rsidR="002B1E12" w:rsidRDefault="002B1E12" w:rsidP="002117D1">
      <w:pPr>
        <w:pStyle w:val="ListParagraph"/>
        <w:numPr>
          <w:ilvl w:val="0"/>
          <w:numId w:val="44"/>
        </w:numPr>
        <w:spacing w:after="240"/>
      </w:pPr>
      <w:r>
        <w:t>PacifiCorp had four unintended activations of Special Protection Systems.</w:t>
      </w:r>
    </w:p>
    <w:p w:rsidR="002B1E12" w:rsidRDefault="002B1E12" w:rsidP="00F62BE0">
      <w:pPr>
        <w:pStyle w:val="ListParagraph"/>
        <w:numPr>
          <w:ilvl w:val="0"/>
          <w:numId w:val="44"/>
        </w:numPr>
        <w:spacing w:after="240"/>
      </w:pPr>
      <w:r>
        <w:t xml:space="preserve">MISO, PJM, SPP, Progress Energy Florida, Southern and APS had no unintended activations or </w:t>
      </w:r>
      <w:proofErr w:type="spellStart"/>
      <w:r>
        <w:t>misoperations</w:t>
      </w:r>
      <w:proofErr w:type="spellEnd"/>
      <w:r>
        <w:t>.</w:t>
      </w:r>
    </w:p>
    <w:p w:rsidR="002B1E12" w:rsidRDefault="002B1E12" w:rsidP="002117D1">
      <w:pPr>
        <w:pStyle w:val="ListParagraph"/>
        <w:numPr>
          <w:ilvl w:val="0"/>
          <w:numId w:val="44"/>
        </w:numPr>
        <w:spacing w:after="240"/>
      </w:pPr>
      <w:r>
        <w:t xml:space="preserve">CAISO, NYISO, LG&amp;E/KU, Duke </w:t>
      </w:r>
      <w:r w:rsidR="00C4252F">
        <w:t xml:space="preserve">Energy </w:t>
      </w:r>
      <w:r>
        <w:t>Carolina</w:t>
      </w:r>
      <w:r w:rsidR="00C4252F">
        <w:t>s</w:t>
      </w:r>
      <w:r>
        <w:t xml:space="preserve"> and Progress Energy Carolinas did not provide performance information.</w:t>
      </w:r>
    </w:p>
    <w:p w:rsidR="00A60C09" w:rsidRPr="00CF70B2" w:rsidRDefault="00A60C09" w:rsidP="002117D1">
      <w:pPr>
        <w:spacing w:after="240"/>
        <w:ind w:firstLine="720"/>
        <w:rPr>
          <w:b/>
        </w:rPr>
      </w:pPr>
      <w:r>
        <w:t>The data submitted and discussion of the data by ISOs, RTOs and utilities indicate that the Special Protection System metrics measur</w:t>
      </w:r>
      <w:r w:rsidR="00DC6E1C">
        <w:t>e</w:t>
      </w:r>
      <w:r>
        <w:t xml:space="preserve"> the same activities and have the same meaning across all entities and</w:t>
      </w:r>
      <w:r w:rsidR="007173CA">
        <w:t>,</w:t>
      </w:r>
      <w:r>
        <w:t xml:space="preserve"> therefore</w:t>
      </w:r>
      <w:r w:rsidR="007173CA">
        <w:t>,</w:t>
      </w:r>
      <w:r>
        <w:t xml:space="preserve"> are suitable common metrics.  </w:t>
      </w:r>
    </w:p>
    <w:p w:rsidR="00A60C09" w:rsidRDefault="00A60C09" w:rsidP="002117D1">
      <w:pPr>
        <w:pStyle w:val="Heading2"/>
      </w:pPr>
      <w:bookmarkStart w:id="69" w:name="_Toc390256242"/>
      <w:r w:rsidRPr="00ED4333">
        <w:lastRenderedPageBreak/>
        <w:t>Systems Operations Performance Metrics</w:t>
      </w:r>
      <w:bookmarkStart w:id="70" w:name="_bmk34"/>
      <w:bookmarkEnd w:id="69"/>
    </w:p>
    <w:p w:rsidR="00A60C09" w:rsidRDefault="00A60C09" w:rsidP="002117D1">
      <w:pPr>
        <w:pStyle w:val="Heading3"/>
      </w:pPr>
      <w:bookmarkStart w:id="71" w:name="_Toc390256243"/>
      <w:bookmarkEnd w:id="70"/>
      <w:r>
        <w:t>System Lambda</w:t>
      </w:r>
      <w:bookmarkStart w:id="72" w:name="_bmk35"/>
      <w:bookmarkEnd w:id="71"/>
    </w:p>
    <w:p w:rsidR="00A60C09" w:rsidRPr="00953D39" w:rsidRDefault="00A60C09" w:rsidP="002117D1">
      <w:pPr>
        <w:pStyle w:val="Heading4"/>
      </w:pPr>
      <w:bookmarkStart w:id="73" w:name="_Toc390256244"/>
      <w:bookmarkEnd w:id="72"/>
      <w:r w:rsidRPr="00953D39">
        <w:t>Definition</w:t>
      </w:r>
      <w:bookmarkStart w:id="74" w:name="_bmk36"/>
      <w:bookmarkEnd w:id="73"/>
    </w:p>
    <w:bookmarkEnd w:id="74"/>
    <w:p w:rsidR="00A60C09" w:rsidRDefault="00A60C09" w:rsidP="002117D1">
      <w:pPr>
        <w:spacing w:after="240"/>
        <w:ind w:firstLine="720"/>
      </w:pPr>
      <w:r>
        <w:t xml:space="preserve">System lambda is the incremental cost of energy of the marginal unit assuming no system constraints.  </w:t>
      </w:r>
      <w:proofErr w:type="gramStart"/>
      <w:r>
        <w:t>This metric tracks</w:t>
      </w:r>
      <w:proofErr w:type="gramEnd"/>
      <w:r>
        <w:t xml:space="preserve"> the trend in marginal fuel costs and is an important metric </w:t>
      </w:r>
      <w:r w:rsidR="00F67422">
        <w:t>because</w:t>
      </w:r>
      <w:r>
        <w:t xml:space="preserve"> fuel costs represent the largest component of wholesale energy costs.  The system lambda metric does not apply to utilities where the marginal price is typically set by hydro units.  Also, system lambda data is based on information contained in FERC Form No. 714.</w:t>
      </w:r>
    </w:p>
    <w:p w:rsidR="00A60C09" w:rsidRPr="00953D39" w:rsidRDefault="00A60C09" w:rsidP="002117D1">
      <w:pPr>
        <w:pStyle w:val="Heading4"/>
      </w:pPr>
      <w:bookmarkStart w:id="75" w:name="_Toc390256245"/>
      <w:r w:rsidRPr="00953D39">
        <w:t>Data Review and Metrics Assessment</w:t>
      </w:r>
      <w:bookmarkStart w:id="76" w:name="_bmk37"/>
      <w:bookmarkEnd w:id="75"/>
    </w:p>
    <w:bookmarkEnd w:id="76"/>
    <w:p w:rsidR="00A60C09" w:rsidRDefault="00A60C09" w:rsidP="002117D1">
      <w:pPr>
        <w:spacing w:after="240"/>
        <w:ind w:firstLine="720"/>
      </w:pPr>
      <w:r>
        <w:rPr>
          <w:szCs w:val="26"/>
        </w:rPr>
        <w:t xml:space="preserve">The data on the accompanying charts shows a range of incremental costs, reflecting differences among regions </w:t>
      </w:r>
      <w:r w:rsidR="00503CE4">
        <w:rPr>
          <w:szCs w:val="26"/>
        </w:rPr>
        <w:t>in</w:t>
      </w:r>
      <w:r>
        <w:rPr>
          <w:szCs w:val="26"/>
        </w:rPr>
        <w:t xml:space="preserve"> the costs of fuels used </w:t>
      </w:r>
      <w:r w:rsidR="00503CE4">
        <w:rPr>
          <w:szCs w:val="26"/>
        </w:rPr>
        <w:t>by</w:t>
      </w:r>
      <w:r>
        <w:rPr>
          <w:szCs w:val="26"/>
        </w:rPr>
        <w:t xml:space="preserve"> the marginal unit for ISOs, RTOs and utilities.  </w:t>
      </w:r>
      <w:r>
        <w:t>The data submitted and discussion of the data by ISOs, RTOs and utilities indicate that the system lambda metric has the same meaning across all entities and</w:t>
      </w:r>
      <w:r w:rsidR="007173CA">
        <w:t>,</w:t>
      </w:r>
      <w:r>
        <w:t xml:space="preserve"> therefore</w:t>
      </w:r>
      <w:r w:rsidR="007173CA">
        <w:t>,</w:t>
      </w:r>
      <w:r>
        <w:t xml:space="preserve"> is </w:t>
      </w:r>
      <w:r w:rsidR="00F67422">
        <w:t xml:space="preserve">a </w:t>
      </w:r>
      <w:r>
        <w:t xml:space="preserve">suitable common metric.  </w:t>
      </w:r>
    </w:p>
    <w:p w:rsidR="00A60C09" w:rsidRDefault="00A45A47" w:rsidP="002117D1">
      <w:pPr>
        <w:spacing w:after="240"/>
      </w:pPr>
      <w:r w:rsidRPr="00A45A47">
        <w:rPr>
          <w:noProof/>
        </w:rPr>
        <w:lastRenderedPageBreak/>
        <w:drawing>
          <wp:inline distT="0" distB="0" distL="0" distR="0" wp14:anchorId="6B82E738" wp14:editId="17ED5219">
            <wp:extent cx="5495925" cy="830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8305800"/>
                    </a:xfrm>
                    <a:prstGeom prst="rect">
                      <a:avLst/>
                    </a:prstGeom>
                    <a:noFill/>
                    <a:ln>
                      <a:noFill/>
                    </a:ln>
                  </pic:spPr>
                </pic:pic>
              </a:graphicData>
            </a:graphic>
          </wp:inline>
        </w:drawing>
      </w:r>
    </w:p>
    <w:p w:rsidR="00A60C09" w:rsidRDefault="00A60C09" w:rsidP="002117D1">
      <w:pPr>
        <w:pStyle w:val="Heading3"/>
      </w:pPr>
      <w:bookmarkStart w:id="77" w:name="_Toc390256246"/>
      <w:r>
        <w:lastRenderedPageBreak/>
        <w:t>Resource Availability</w:t>
      </w:r>
      <w:bookmarkStart w:id="78" w:name="_bmk38"/>
      <w:bookmarkEnd w:id="77"/>
    </w:p>
    <w:p w:rsidR="00A60C09" w:rsidRPr="00953D39" w:rsidRDefault="00A60C09" w:rsidP="002117D1">
      <w:pPr>
        <w:pStyle w:val="Heading4"/>
      </w:pPr>
      <w:bookmarkStart w:id="79" w:name="_Toc390256247"/>
      <w:bookmarkEnd w:id="78"/>
      <w:r w:rsidRPr="00953D39">
        <w:t>Definition</w:t>
      </w:r>
      <w:bookmarkStart w:id="80" w:name="_bmk39"/>
      <w:bookmarkEnd w:id="79"/>
    </w:p>
    <w:bookmarkEnd w:id="80"/>
    <w:p w:rsidR="00A60C09" w:rsidRDefault="00A60C09" w:rsidP="002117D1">
      <w:pPr>
        <w:spacing w:after="240"/>
      </w:pPr>
      <w:r>
        <w:tab/>
        <w:t xml:space="preserve">This metric measures the percentage of time that system resources </w:t>
      </w:r>
      <w:r w:rsidR="0032123F">
        <w:t xml:space="preserve">are </w:t>
      </w:r>
      <w:r>
        <w:t xml:space="preserve">available </w:t>
      </w:r>
      <w:r w:rsidR="00B20A3E">
        <w:t>after accounting for</w:t>
      </w:r>
      <w:r>
        <w:t xml:space="preserve"> unplanned outage</w:t>
      </w:r>
      <w:r w:rsidR="00B20A3E">
        <w:t>s</w:t>
      </w:r>
      <w:r>
        <w:t xml:space="preserve">, as measured by the system forced outage rate.  </w:t>
      </w:r>
      <w:r w:rsidR="00B20A3E">
        <w:t>Resource availability is calculated as one minus the forced outage rate.</w:t>
      </w:r>
      <w:r w:rsidR="00B20A3E">
        <w:rPr>
          <w:rStyle w:val="FootnoteReference"/>
        </w:rPr>
        <w:footnoteReference w:id="25"/>
      </w:r>
      <w:r w:rsidR="00B20A3E">
        <w:t xml:space="preserve">  </w:t>
      </w:r>
      <w:r>
        <w:t xml:space="preserve">Resource availability is a measure of efficiency and cost management.  Higher generator availability can result in the commitment of fewer </w:t>
      </w:r>
      <w:r w:rsidR="00F67422">
        <w:t xml:space="preserve">potentially higher cost </w:t>
      </w:r>
      <w:r>
        <w:t xml:space="preserve">peak generators (or the importation of </w:t>
      </w:r>
      <w:r w:rsidR="00F67422">
        <w:t xml:space="preserve">potentially higher cost </w:t>
      </w:r>
      <w:r>
        <w:t>peak supplies), thereby resulting in reduced costs.</w:t>
      </w:r>
    </w:p>
    <w:p w:rsidR="00A60C09" w:rsidRDefault="00A60C09" w:rsidP="002117D1">
      <w:pPr>
        <w:pStyle w:val="Heading4"/>
      </w:pPr>
      <w:bookmarkStart w:id="81" w:name="_Toc390256248"/>
      <w:r w:rsidRPr="00953D39">
        <w:t>Data Review and Metrics Assessment</w:t>
      </w:r>
      <w:bookmarkEnd w:id="81"/>
      <w:r>
        <w:t xml:space="preserve">  </w:t>
      </w:r>
      <w:bookmarkStart w:id="82" w:name="_bmk40"/>
    </w:p>
    <w:bookmarkEnd w:id="82"/>
    <w:p w:rsidR="00A60C09" w:rsidRDefault="00A60C09" w:rsidP="002117D1">
      <w:pPr>
        <w:spacing w:after="240"/>
        <w:ind w:firstLine="720"/>
        <w:rPr>
          <w:b/>
        </w:rPr>
      </w:pPr>
      <w:r>
        <w:rPr>
          <w:szCs w:val="26"/>
        </w:rPr>
        <w:t>Resource availability for ISOs, RTOs and utilities ranged between 98</w:t>
      </w:r>
      <w:r w:rsidR="007173CA">
        <w:rPr>
          <w:szCs w:val="26"/>
        </w:rPr>
        <w:t xml:space="preserve"> percent</w:t>
      </w:r>
      <w:r>
        <w:rPr>
          <w:szCs w:val="26"/>
        </w:rPr>
        <w:t xml:space="preserve"> and 92</w:t>
      </w:r>
      <w:r w:rsidR="007173CA">
        <w:rPr>
          <w:szCs w:val="26"/>
        </w:rPr>
        <w:t xml:space="preserve"> percent</w:t>
      </w:r>
      <w:r>
        <w:rPr>
          <w:szCs w:val="26"/>
        </w:rPr>
        <w:t>, as shown on the charts</w:t>
      </w:r>
      <w:r w:rsidR="004E7331">
        <w:rPr>
          <w:szCs w:val="26"/>
        </w:rPr>
        <w:t xml:space="preserve"> below</w:t>
      </w:r>
      <w:r>
        <w:rPr>
          <w:szCs w:val="26"/>
        </w:rPr>
        <w:t xml:space="preserve">.  </w:t>
      </w:r>
      <w:r>
        <w:t xml:space="preserve">The data submitted and discussion of the data by the ISOs, RTOs and utilities indicates that the resource availability metric has the same meaning across all entities, and therefore is </w:t>
      </w:r>
      <w:r w:rsidR="00F67422">
        <w:t xml:space="preserve">a </w:t>
      </w:r>
      <w:r>
        <w:t xml:space="preserve">suitable common metric.  </w:t>
      </w:r>
    </w:p>
    <w:p w:rsidR="00A60C09" w:rsidRDefault="00D73F51" w:rsidP="002117D1">
      <w:pPr>
        <w:spacing w:after="240"/>
      </w:pPr>
      <w:r w:rsidRPr="00D73F51">
        <w:rPr>
          <w:noProof/>
        </w:rPr>
        <w:lastRenderedPageBreak/>
        <w:drawing>
          <wp:inline distT="0" distB="0" distL="0" distR="0" wp14:anchorId="2A1BEDE6" wp14:editId="0C824E00">
            <wp:extent cx="5497195" cy="7496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7195" cy="7496175"/>
                    </a:xfrm>
                    <a:prstGeom prst="rect">
                      <a:avLst/>
                    </a:prstGeom>
                    <a:noFill/>
                    <a:ln>
                      <a:noFill/>
                    </a:ln>
                  </pic:spPr>
                </pic:pic>
              </a:graphicData>
            </a:graphic>
          </wp:inline>
        </w:drawing>
      </w:r>
    </w:p>
    <w:p w:rsidR="00A60C09" w:rsidRDefault="00A60C09" w:rsidP="002117D1">
      <w:pPr>
        <w:pStyle w:val="Heading3"/>
      </w:pPr>
      <w:bookmarkStart w:id="83" w:name="_Toc390256249"/>
      <w:r>
        <w:lastRenderedPageBreak/>
        <w:t>Fuel Diversity</w:t>
      </w:r>
      <w:bookmarkStart w:id="84" w:name="_bmk41"/>
      <w:bookmarkEnd w:id="83"/>
    </w:p>
    <w:p w:rsidR="00A60C09" w:rsidRPr="00953D39" w:rsidRDefault="00A60C09" w:rsidP="002117D1">
      <w:pPr>
        <w:pStyle w:val="Heading4"/>
      </w:pPr>
      <w:bookmarkStart w:id="85" w:name="_Toc390256250"/>
      <w:bookmarkEnd w:id="84"/>
      <w:r w:rsidRPr="00953D39">
        <w:t>Definition</w:t>
      </w:r>
      <w:bookmarkStart w:id="86" w:name="_bmk42"/>
      <w:bookmarkEnd w:id="85"/>
    </w:p>
    <w:bookmarkEnd w:id="86"/>
    <w:p w:rsidR="00A60C09" w:rsidRDefault="00A60C09" w:rsidP="002117D1">
      <w:pPr>
        <w:spacing w:after="240"/>
        <w:ind w:firstLine="720"/>
      </w:pPr>
      <w:r>
        <w:t xml:space="preserve">This metric is defined </w:t>
      </w:r>
      <w:r w:rsidR="00F67422">
        <w:t>as</w:t>
      </w:r>
      <w:r>
        <w:t xml:space="preserve"> the percentage mix of fuel types installed and available (capacity fuel diversity) and produced (generation fuel diversity).  Fuel diversity provides an indication of the capability of ISOs, RTOs and utilities to </w:t>
      </w:r>
      <w:r w:rsidRPr="00042261">
        <w:t>integrate</w:t>
      </w:r>
      <w:r>
        <w:t xml:space="preserve"> fuels with different characteristics, such as lower costs or lower environmental impacts, and how this capability compares to the fuel mix of energy consumed.</w:t>
      </w:r>
    </w:p>
    <w:p w:rsidR="00A60C09" w:rsidRPr="00953D39" w:rsidRDefault="00A60C09" w:rsidP="002117D1">
      <w:pPr>
        <w:pStyle w:val="Heading4"/>
      </w:pPr>
      <w:bookmarkStart w:id="87" w:name="_Toc390256251"/>
      <w:r w:rsidRPr="00953D39">
        <w:t>Data Review and Metrics Assessment</w:t>
      </w:r>
      <w:bookmarkStart w:id="88" w:name="_bmk43"/>
      <w:bookmarkEnd w:id="87"/>
    </w:p>
    <w:bookmarkEnd w:id="88"/>
    <w:p w:rsidR="00A60C09" w:rsidRDefault="00A60C09" w:rsidP="002117D1">
      <w:pPr>
        <w:spacing w:after="240"/>
        <w:rPr>
          <w:szCs w:val="26"/>
        </w:rPr>
      </w:pPr>
      <w:r>
        <w:t xml:space="preserve"> </w:t>
      </w:r>
      <w:r>
        <w:tab/>
      </w:r>
      <w:r>
        <w:rPr>
          <w:szCs w:val="26"/>
        </w:rPr>
        <w:t xml:space="preserve">With respect to the first metric, the diversity of resources as measured as a percentage of capacity, the capacity of ISOs, RTOs and utilities is predominantly comprised of coal, natural gas and nuclear power resources.  The exception is the significant hydro and renewable capacity in CAISO and </w:t>
      </w:r>
      <w:r w:rsidR="007F3248">
        <w:rPr>
          <w:szCs w:val="26"/>
        </w:rPr>
        <w:t>PacifiCorp</w:t>
      </w:r>
      <w:r>
        <w:rPr>
          <w:szCs w:val="26"/>
        </w:rPr>
        <w:t xml:space="preserve"> (between 15 and 27 percent of total capacity).  It should also be noted that ISO-NE and NYISO have meaningful capacity contribution</w:t>
      </w:r>
      <w:r w:rsidR="00F67422">
        <w:rPr>
          <w:szCs w:val="26"/>
        </w:rPr>
        <w:t>s</w:t>
      </w:r>
      <w:r>
        <w:rPr>
          <w:szCs w:val="26"/>
        </w:rPr>
        <w:t xml:space="preserve"> (between </w:t>
      </w:r>
      <w:r w:rsidR="00503CE4">
        <w:rPr>
          <w:szCs w:val="26"/>
        </w:rPr>
        <w:t>13</w:t>
      </w:r>
      <w:r>
        <w:rPr>
          <w:szCs w:val="26"/>
        </w:rPr>
        <w:t xml:space="preserve"> and </w:t>
      </w:r>
      <w:r w:rsidR="00503CE4">
        <w:rPr>
          <w:szCs w:val="26"/>
        </w:rPr>
        <w:t>16</w:t>
      </w:r>
      <w:r>
        <w:rPr>
          <w:szCs w:val="26"/>
        </w:rPr>
        <w:t xml:space="preserve"> percent) from </w:t>
      </w:r>
      <w:r w:rsidR="00F67422">
        <w:rPr>
          <w:szCs w:val="26"/>
        </w:rPr>
        <w:t>hydro and renewable</w:t>
      </w:r>
      <w:r>
        <w:rPr>
          <w:szCs w:val="26"/>
        </w:rPr>
        <w:t xml:space="preserve"> resources.  The second metric, which measures the diversity of resources u</w:t>
      </w:r>
      <w:r w:rsidR="00FF3E88">
        <w:rPr>
          <w:szCs w:val="26"/>
        </w:rPr>
        <w:t>sed</w:t>
      </w:r>
      <w:r>
        <w:rPr>
          <w:szCs w:val="26"/>
        </w:rPr>
        <w:t xml:space="preserve"> in providing energy, shows a greater reliance on coal, natural gas and nuclear power resources for meeting the daily energy needs in ISO and RTO markets and in utilities outside ISO and RTO markets.  For example, coal provided nearly all the energy generated for LG&amp;E/KU load.  MISO, Southern, and </w:t>
      </w:r>
      <w:r w:rsidR="007F3248">
        <w:rPr>
          <w:szCs w:val="26"/>
        </w:rPr>
        <w:t>PacifiCorp</w:t>
      </w:r>
      <w:r>
        <w:rPr>
          <w:szCs w:val="26"/>
        </w:rPr>
        <w:t xml:space="preserve"> also relied heavily on coal resources for energy requirements.</w:t>
      </w:r>
    </w:p>
    <w:p w:rsidR="00A60C09" w:rsidRDefault="00A60C09" w:rsidP="002117D1">
      <w:pPr>
        <w:spacing w:after="240"/>
        <w:ind w:firstLine="720"/>
        <w:rPr>
          <w:b/>
        </w:rPr>
      </w:pPr>
      <w:r>
        <w:t xml:space="preserve">The data submitted and discussion of the data by the ISOs, RTOs and utilities indicates that the fuel diversity metrics have the same meaning across all entities, and therefore are suitable common metrics.  </w:t>
      </w:r>
    </w:p>
    <w:p w:rsidR="00A60C09" w:rsidRDefault="002676AA" w:rsidP="002117D1">
      <w:pPr>
        <w:spacing w:after="240"/>
        <w:ind w:firstLine="720"/>
      </w:pPr>
      <w:r w:rsidRPr="002676AA">
        <w:rPr>
          <w:noProof/>
        </w:rPr>
        <w:lastRenderedPageBreak/>
        <w:drawing>
          <wp:inline distT="0" distB="0" distL="0" distR="0" wp14:anchorId="062C6D6E" wp14:editId="716EBE3E">
            <wp:extent cx="5497195" cy="87928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7195" cy="8792845"/>
                    </a:xfrm>
                    <a:prstGeom prst="rect">
                      <a:avLst/>
                    </a:prstGeom>
                    <a:noFill/>
                    <a:ln>
                      <a:noFill/>
                    </a:ln>
                  </pic:spPr>
                </pic:pic>
              </a:graphicData>
            </a:graphic>
          </wp:inline>
        </w:drawing>
      </w:r>
    </w:p>
    <w:p w:rsidR="00A60C09" w:rsidRPr="001B6E00" w:rsidRDefault="002676AA" w:rsidP="002117D1">
      <w:pPr>
        <w:spacing w:after="240"/>
        <w:ind w:firstLine="720"/>
        <w:rPr>
          <w:b/>
        </w:rPr>
      </w:pPr>
      <w:r w:rsidRPr="002676AA">
        <w:rPr>
          <w:noProof/>
        </w:rPr>
        <w:lastRenderedPageBreak/>
        <w:drawing>
          <wp:inline distT="0" distB="0" distL="0" distR="0" wp14:anchorId="408553F3" wp14:editId="55F25BAE">
            <wp:extent cx="5497195" cy="87928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7195" cy="8792845"/>
                    </a:xfrm>
                    <a:prstGeom prst="rect">
                      <a:avLst/>
                    </a:prstGeom>
                    <a:noFill/>
                    <a:ln>
                      <a:noFill/>
                    </a:ln>
                  </pic:spPr>
                </pic:pic>
              </a:graphicData>
            </a:graphic>
          </wp:inline>
        </w:drawing>
      </w:r>
    </w:p>
    <w:p w:rsidR="00A60C09" w:rsidRDefault="00A60C09" w:rsidP="002117D1">
      <w:pPr>
        <w:pStyle w:val="Heading1"/>
      </w:pPr>
      <w:bookmarkStart w:id="89" w:name="_Toc390256252"/>
      <w:r>
        <w:lastRenderedPageBreak/>
        <w:t>Other Metrics</w:t>
      </w:r>
      <w:bookmarkStart w:id="90" w:name="_bmk44"/>
      <w:bookmarkEnd w:id="89"/>
    </w:p>
    <w:bookmarkEnd w:id="90"/>
    <w:p w:rsidR="00A60C09" w:rsidRDefault="00A60C09" w:rsidP="002117D1">
      <w:pPr>
        <w:spacing w:after="240"/>
      </w:pPr>
      <w:r>
        <w:tab/>
        <w:t xml:space="preserve">A number of performance metrics were developed that are not </w:t>
      </w:r>
      <w:r w:rsidR="007173CA">
        <w:t>on</w:t>
      </w:r>
      <w:r>
        <w:t xml:space="preserve"> the list of common metrics because they are not applicable to the entire industry.  For example, metrics were developed that measure the performance of ISO and RTO markets.  Since regions outside ISO and RTO markets by definition do not have energy, ancillary services or capacity markets, such measures are not universally applicable and</w:t>
      </w:r>
      <w:r w:rsidR="007173CA">
        <w:t>,</w:t>
      </w:r>
      <w:r>
        <w:t xml:space="preserve"> therefore</w:t>
      </w:r>
      <w:r w:rsidR="007173CA">
        <w:t>,</w:t>
      </w:r>
      <w:r>
        <w:t xml:space="preserve"> are not suitable common metrics.  Similarly, metrics for utilities in regions outside ISO and RTO markets measure certain aspects of transmission provider performance that are not relevant to ISOs and RTOs.  For example, metrics were developed </w:t>
      </w:r>
      <w:r w:rsidR="00637124">
        <w:t xml:space="preserve">for utilities in regions outside ISO and RTO markets </w:t>
      </w:r>
      <w:r>
        <w:t xml:space="preserve">that evaluate the extent to which transmission service is open-access and non-discriminatory.  These metrics appropriately apply to utilities </w:t>
      </w:r>
      <w:r w:rsidR="00637124">
        <w:t xml:space="preserve">in regions outside ISO and RTO markets that have an incentive to discriminate among users of their transmission services </w:t>
      </w:r>
      <w:r>
        <w:t>in their role as transmission providers for transmission service on transmission facilities that they own.  However, they are not relevant to ISOs and RTOs</w:t>
      </w:r>
      <w:r w:rsidR="00D274AD">
        <w:t>,</w:t>
      </w:r>
      <w:r>
        <w:t xml:space="preserve"> since </w:t>
      </w:r>
      <w:r w:rsidR="00637124">
        <w:t>ISOs and RTOs are independent entities that do not own transmission facilities and, therefore, they do not have an incentive to discriminate among users of their transmission service.</w:t>
      </w:r>
      <w:r>
        <w:t xml:space="preserve"> </w:t>
      </w:r>
    </w:p>
    <w:p w:rsidR="00A60C09" w:rsidRDefault="00A60C09" w:rsidP="002117D1">
      <w:pPr>
        <w:spacing w:after="240"/>
      </w:pPr>
      <w:r>
        <w:tab/>
        <w:t>Other metrics specific to ISOs and RTOs are evaluated first, followed by other metrics specific to utilities in regions outside ISO and RTO markets.</w:t>
      </w:r>
    </w:p>
    <w:p w:rsidR="00A60C09" w:rsidRPr="00F133ED" w:rsidRDefault="00A60C09" w:rsidP="002117D1">
      <w:pPr>
        <w:pStyle w:val="Heading2"/>
      </w:pPr>
      <w:bookmarkStart w:id="91" w:name="_Toc390256253"/>
      <w:r w:rsidRPr="00F133ED">
        <w:t xml:space="preserve">Other Metrics Specific </w:t>
      </w:r>
      <w:r w:rsidR="00637124">
        <w:t>t</w:t>
      </w:r>
      <w:r w:rsidRPr="00F133ED">
        <w:t>o ISO and RTO Performance</w:t>
      </w:r>
      <w:bookmarkStart w:id="92" w:name="_bmk45"/>
      <w:bookmarkEnd w:id="91"/>
    </w:p>
    <w:p w:rsidR="00A60C09" w:rsidRPr="00953D39" w:rsidRDefault="00A60C09" w:rsidP="002117D1">
      <w:pPr>
        <w:pStyle w:val="Heading3"/>
      </w:pPr>
      <w:bookmarkStart w:id="93" w:name="_Toc390256254"/>
      <w:bookmarkEnd w:id="92"/>
      <w:r w:rsidRPr="00953D39">
        <w:t>Load Forecasting Accuracy Metrics</w:t>
      </w:r>
      <w:bookmarkStart w:id="94" w:name="_bmk46"/>
      <w:bookmarkEnd w:id="93"/>
    </w:p>
    <w:bookmarkEnd w:id="94"/>
    <w:p w:rsidR="00A60C09" w:rsidRDefault="00A60C09" w:rsidP="002117D1">
      <w:pPr>
        <w:pStyle w:val="Default"/>
        <w:spacing w:after="240"/>
        <w:ind w:firstLine="720"/>
        <w:rPr>
          <w:sz w:val="26"/>
          <w:szCs w:val="26"/>
        </w:rPr>
      </w:pPr>
      <w:r>
        <w:rPr>
          <w:sz w:val="26"/>
          <w:szCs w:val="26"/>
        </w:rPr>
        <w:t>In addition to the common load forecasting accuracy metrics discussed above, ISO and RTO average year and valley (off-peak) forecasting accuracy</w:t>
      </w:r>
      <w:r w:rsidR="009B392E">
        <w:rPr>
          <w:sz w:val="26"/>
          <w:szCs w:val="26"/>
        </w:rPr>
        <w:t xml:space="preserve"> performance was also evaluated</w:t>
      </w:r>
      <w:r>
        <w:rPr>
          <w:sz w:val="26"/>
          <w:szCs w:val="26"/>
        </w:rPr>
        <w:t xml:space="preserve">.  Also, load forecasting accuracy was measured using a mean absolute percentage error metric.  This information is illustrated </w:t>
      </w:r>
      <w:r w:rsidR="00637124">
        <w:rPr>
          <w:sz w:val="26"/>
          <w:szCs w:val="26"/>
        </w:rPr>
        <w:t>i</w:t>
      </w:r>
      <w:r>
        <w:rPr>
          <w:sz w:val="26"/>
          <w:szCs w:val="26"/>
        </w:rPr>
        <w:t>n the charts</w:t>
      </w:r>
      <w:r w:rsidR="00F67422">
        <w:rPr>
          <w:sz w:val="26"/>
          <w:szCs w:val="26"/>
        </w:rPr>
        <w:t xml:space="preserve"> below</w:t>
      </w:r>
      <w:r>
        <w:rPr>
          <w:sz w:val="26"/>
          <w:szCs w:val="26"/>
        </w:rPr>
        <w:t>.</w:t>
      </w:r>
    </w:p>
    <w:p w:rsidR="00A60C09" w:rsidRDefault="00802EE9" w:rsidP="002117D1">
      <w:pPr>
        <w:pStyle w:val="Default"/>
        <w:spacing w:after="240"/>
      </w:pPr>
      <w:r w:rsidRPr="00802EE9">
        <w:rPr>
          <w:noProof/>
        </w:rPr>
        <w:lastRenderedPageBreak/>
        <w:drawing>
          <wp:inline distT="0" distB="0" distL="0" distR="0" wp14:anchorId="211D4490" wp14:editId="7ADBFBEF">
            <wp:extent cx="5495925" cy="5876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5876925"/>
                    </a:xfrm>
                    <a:prstGeom prst="rect">
                      <a:avLst/>
                    </a:prstGeom>
                    <a:noFill/>
                    <a:ln>
                      <a:noFill/>
                    </a:ln>
                  </pic:spPr>
                </pic:pic>
              </a:graphicData>
            </a:graphic>
          </wp:inline>
        </w:drawing>
      </w:r>
    </w:p>
    <w:p w:rsidR="00A60C09" w:rsidRDefault="00A60C09" w:rsidP="002117D1">
      <w:pPr>
        <w:pStyle w:val="Default"/>
        <w:spacing w:after="240"/>
      </w:pPr>
    </w:p>
    <w:p w:rsidR="00A60C09" w:rsidRDefault="00A60C09" w:rsidP="002117D1">
      <w:pPr>
        <w:pStyle w:val="Default"/>
        <w:spacing w:after="240"/>
      </w:pPr>
    </w:p>
    <w:p w:rsidR="00A60C09" w:rsidRDefault="00A60C09" w:rsidP="002117D1">
      <w:pPr>
        <w:pStyle w:val="Default"/>
        <w:spacing w:after="240"/>
      </w:pPr>
    </w:p>
    <w:p w:rsidR="00A60C09" w:rsidRDefault="00802EE9" w:rsidP="002117D1">
      <w:pPr>
        <w:pStyle w:val="Default"/>
        <w:spacing w:after="240"/>
      </w:pPr>
      <w:r w:rsidRPr="00802EE9">
        <w:rPr>
          <w:noProof/>
        </w:rPr>
        <w:lastRenderedPageBreak/>
        <w:drawing>
          <wp:inline distT="0" distB="0" distL="0" distR="0" wp14:anchorId="645D05CB" wp14:editId="5FB43441">
            <wp:extent cx="5495925" cy="5876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5876925"/>
                    </a:xfrm>
                    <a:prstGeom prst="rect">
                      <a:avLst/>
                    </a:prstGeom>
                    <a:noFill/>
                    <a:ln>
                      <a:noFill/>
                    </a:ln>
                  </pic:spPr>
                </pic:pic>
              </a:graphicData>
            </a:graphic>
          </wp:inline>
        </w:drawing>
      </w:r>
      <w:bookmarkStart w:id="95" w:name="_GoBack"/>
      <w:bookmarkEnd w:id="95"/>
    </w:p>
    <w:p w:rsidR="00A60C09" w:rsidRDefault="00A60C09" w:rsidP="002117D1">
      <w:pPr>
        <w:pStyle w:val="Heading3"/>
      </w:pPr>
      <w:bookmarkStart w:id="96" w:name="_Toc390256255"/>
      <w:r>
        <w:t>Transmission Outage Metrics</w:t>
      </w:r>
      <w:bookmarkStart w:id="97" w:name="_bmk47"/>
      <w:bookmarkEnd w:id="96"/>
    </w:p>
    <w:bookmarkEnd w:id="97"/>
    <w:p w:rsidR="00A60C09" w:rsidRDefault="00A60C09" w:rsidP="002117D1">
      <w:pPr>
        <w:pStyle w:val="Default"/>
        <w:spacing w:after="240"/>
        <w:ind w:firstLine="720"/>
        <w:rPr>
          <w:sz w:val="26"/>
          <w:szCs w:val="26"/>
        </w:rPr>
      </w:pPr>
      <w:r>
        <w:rPr>
          <w:sz w:val="26"/>
          <w:szCs w:val="26"/>
        </w:rPr>
        <w:t>In addition to the common transmission outage metrics discussed above, ISO and RTO performance was also evaluated according to the following metrics:  (1)</w:t>
      </w:r>
      <w:r w:rsidR="00F67422">
        <w:rPr>
          <w:sz w:val="26"/>
          <w:szCs w:val="26"/>
        </w:rPr>
        <w:t> </w:t>
      </w:r>
      <w:r>
        <w:rPr>
          <w:sz w:val="26"/>
          <w:szCs w:val="26"/>
        </w:rPr>
        <w:t>percentage of planned outages studied within prescribed tariff and business manual timeframes; and (2)</w:t>
      </w:r>
      <w:r w:rsidR="00F67422">
        <w:rPr>
          <w:sz w:val="26"/>
          <w:szCs w:val="26"/>
        </w:rPr>
        <w:t xml:space="preserve"> percentage of </w:t>
      </w:r>
      <w:r>
        <w:rPr>
          <w:sz w:val="26"/>
          <w:szCs w:val="26"/>
        </w:rPr>
        <w:t xml:space="preserve">unplanned outages </w:t>
      </w:r>
      <w:r w:rsidR="00F67422">
        <w:rPr>
          <w:sz w:val="26"/>
          <w:szCs w:val="26"/>
        </w:rPr>
        <w:t>compared to</w:t>
      </w:r>
      <w:r>
        <w:rPr>
          <w:sz w:val="26"/>
          <w:szCs w:val="26"/>
        </w:rPr>
        <w:t xml:space="preserve"> all outages on transmission facilities greater than 200 kV.  ISO and RTO performance data is presented on the charts</w:t>
      </w:r>
      <w:r w:rsidR="00F67422">
        <w:rPr>
          <w:sz w:val="26"/>
          <w:szCs w:val="26"/>
        </w:rPr>
        <w:t xml:space="preserve"> below</w:t>
      </w:r>
      <w:r>
        <w:rPr>
          <w:sz w:val="26"/>
          <w:szCs w:val="26"/>
        </w:rPr>
        <w:t>.</w:t>
      </w:r>
    </w:p>
    <w:p w:rsidR="00A60C09" w:rsidRPr="008C7BF8" w:rsidRDefault="0015047A" w:rsidP="002117D1">
      <w:pPr>
        <w:pStyle w:val="Default"/>
        <w:spacing w:after="240"/>
        <w:ind w:firstLine="720"/>
        <w:rPr>
          <w:sz w:val="26"/>
          <w:szCs w:val="26"/>
        </w:rPr>
      </w:pPr>
      <w:r>
        <w:lastRenderedPageBreak/>
        <w:pict>
          <v:shape id="_x0000_i1026" type="#_x0000_t75" style="width:432.75pt;height:436.5pt">
            <v:imagedata r:id="rId30" o:title=""/>
          </v:shape>
        </w:pict>
      </w:r>
    </w:p>
    <w:p w:rsidR="00A60C09" w:rsidRDefault="004725C0" w:rsidP="002117D1">
      <w:pPr>
        <w:pStyle w:val="Default"/>
        <w:spacing w:after="240"/>
        <w:ind w:left="1080"/>
      </w:pPr>
      <w:r w:rsidRPr="004725C0">
        <w:rPr>
          <w:noProof/>
        </w:rPr>
        <w:lastRenderedPageBreak/>
        <w:drawing>
          <wp:inline distT="0" distB="0" distL="0" distR="0" wp14:anchorId="1F4596F4" wp14:editId="4BBCD359">
            <wp:extent cx="5495925" cy="5553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5553075"/>
                    </a:xfrm>
                    <a:prstGeom prst="rect">
                      <a:avLst/>
                    </a:prstGeom>
                    <a:noFill/>
                    <a:ln>
                      <a:noFill/>
                    </a:ln>
                  </pic:spPr>
                </pic:pic>
              </a:graphicData>
            </a:graphic>
          </wp:inline>
        </w:drawing>
      </w:r>
    </w:p>
    <w:p w:rsidR="00A60C09" w:rsidRPr="00953D39" w:rsidRDefault="00A60C09" w:rsidP="002117D1">
      <w:pPr>
        <w:pStyle w:val="Heading3"/>
      </w:pPr>
      <w:bookmarkStart w:id="98" w:name="_Toc390256256"/>
      <w:r w:rsidRPr="00953D39">
        <w:t>Long-Term Reliability Planning – Resources</w:t>
      </w:r>
      <w:bookmarkStart w:id="99" w:name="_bmk48"/>
      <w:bookmarkEnd w:id="98"/>
    </w:p>
    <w:bookmarkEnd w:id="99"/>
    <w:p w:rsidR="00A60C09" w:rsidRDefault="00A60C09" w:rsidP="002117D1">
      <w:pPr>
        <w:pStyle w:val="Default"/>
        <w:spacing w:after="240"/>
        <w:ind w:firstLine="720"/>
        <w:rPr>
          <w:sz w:val="26"/>
          <w:szCs w:val="26"/>
        </w:rPr>
      </w:pPr>
      <w:r>
        <w:rPr>
          <w:sz w:val="26"/>
          <w:szCs w:val="26"/>
        </w:rPr>
        <w:t>In addition to the common long-term reliability planning for resource metrics discussed above, ISO and RTO performance was also evaluated according to the following metrics:  (1) demand response megawatts as a percentage of total capacity; (2)</w:t>
      </w:r>
      <w:r w:rsidR="00F10B07">
        <w:rPr>
          <w:sz w:val="26"/>
          <w:szCs w:val="26"/>
        </w:rPr>
        <w:t> </w:t>
      </w:r>
      <w:r>
        <w:rPr>
          <w:sz w:val="26"/>
          <w:szCs w:val="26"/>
        </w:rPr>
        <w:t>percentage of generation outages cancelled by ISOs/RTOs; (3) number and capacity of generation reliability-must run contracts; and (4) demand response megawatts as a percentage of total ancillary services.  The demand response metrics provide an indication of the role played by demand response resources in maintaining short-term and long-term reliability</w:t>
      </w:r>
      <w:r w:rsidR="00F10B07">
        <w:rPr>
          <w:sz w:val="26"/>
          <w:szCs w:val="26"/>
        </w:rPr>
        <w:t xml:space="preserve"> in ISOs and RTOs</w:t>
      </w:r>
      <w:r>
        <w:rPr>
          <w:sz w:val="26"/>
          <w:szCs w:val="26"/>
        </w:rPr>
        <w:t xml:space="preserve">.  The generation outage cancellation metric provides an indication of the effectiveness of ISOs and RTOs in administering generation outage schedules.  A low cancellation percentage indicates that generation owners were </w:t>
      </w:r>
      <w:r>
        <w:rPr>
          <w:sz w:val="26"/>
          <w:szCs w:val="26"/>
        </w:rPr>
        <w:lastRenderedPageBreak/>
        <w:t>allowed to complete nearly all the maintenance they had planned without incurring rescheduling costs or delays.  The reliability-must-run metric provides a measure of the degree to which an ISO</w:t>
      </w:r>
      <w:r w:rsidR="000509C3">
        <w:rPr>
          <w:sz w:val="26"/>
          <w:szCs w:val="26"/>
        </w:rPr>
        <w:t xml:space="preserve"> or </w:t>
      </w:r>
      <w:r>
        <w:rPr>
          <w:sz w:val="26"/>
          <w:szCs w:val="26"/>
        </w:rPr>
        <w:t>RTO must depend on critical facilities to maintain reliability and the flexibility of an ISO</w:t>
      </w:r>
      <w:r w:rsidR="000509C3">
        <w:rPr>
          <w:sz w:val="26"/>
          <w:szCs w:val="26"/>
        </w:rPr>
        <w:t xml:space="preserve"> or </w:t>
      </w:r>
      <w:r>
        <w:rPr>
          <w:sz w:val="26"/>
          <w:szCs w:val="26"/>
        </w:rPr>
        <w:t>RTO system to respond to emergencies and other contingencies.  ISO and RTO performance data is presented on the charts</w:t>
      </w:r>
      <w:r w:rsidR="00F10B07">
        <w:rPr>
          <w:sz w:val="26"/>
          <w:szCs w:val="26"/>
        </w:rPr>
        <w:t xml:space="preserve"> below</w:t>
      </w:r>
      <w:r>
        <w:rPr>
          <w:sz w:val="26"/>
          <w:szCs w:val="26"/>
        </w:rPr>
        <w:t>.</w:t>
      </w:r>
    </w:p>
    <w:p w:rsidR="00A60C09" w:rsidRDefault="00C53ADF" w:rsidP="002117D1">
      <w:pPr>
        <w:pStyle w:val="Default"/>
        <w:spacing w:after="240"/>
      </w:pPr>
      <w:r>
        <w:pict>
          <v:shape id="_x0000_i1027" type="#_x0000_t75" style="width:432.75pt;height:424.5pt">
            <v:imagedata r:id="rId32" o:title=""/>
          </v:shape>
        </w:pict>
      </w:r>
    </w:p>
    <w:p w:rsidR="00A60C09" w:rsidRDefault="00F32FE6" w:rsidP="002117D1">
      <w:pPr>
        <w:pStyle w:val="Default"/>
        <w:spacing w:after="240"/>
      </w:pPr>
      <w:r w:rsidRPr="00F32FE6">
        <w:rPr>
          <w:noProof/>
        </w:rPr>
        <w:lastRenderedPageBreak/>
        <w:drawing>
          <wp:inline distT="0" distB="0" distL="0" distR="0" wp14:anchorId="2604ECD4" wp14:editId="25FE3F48">
            <wp:extent cx="5495925" cy="4905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4905375"/>
                    </a:xfrm>
                    <a:prstGeom prst="rect">
                      <a:avLst/>
                    </a:prstGeom>
                    <a:noFill/>
                    <a:ln>
                      <a:noFill/>
                    </a:ln>
                  </pic:spPr>
                </pic:pic>
              </a:graphicData>
            </a:graphic>
          </wp:inline>
        </w:drawing>
      </w:r>
    </w:p>
    <w:p w:rsidR="00A60C09" w:rsidRDefault="00802EE9" w:rsidP="002117D1">
      <w:pPr>
        <w:pStyle w:val="Default"/>
        <w:spacing w:after="240"/>
      </w:pPr>
      <w:r w:rsidRPr="00802EE9">
        <w:rPr>
          <w:noProof/>
        </w:rPr>
        <w:lastRenderedPageBreak/>
        <w:drawing>
          <wp:inline distT="0" distB="0" distL="0" distR="0" wp14:anchorId="25CE84D3" wp14:editId="7ECA5A0E">
            <wp:extent cx="5495925" cy="3771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3771900"/>
                    </a:xfrm>
                    <a:prstGeom prst="rect">
                      <a:avLst/>
                    </a:prstGeom>
                    <a:noFill/>
                    <a:ln>
                      <a:noFill/>
                    </a:ln>
                  </pic:spPr>
                </pic:pic>
              </a:graphicData>
            </a:graphic>
          </wp:inline>
        </w:drawing>
      </w:r>
    </w:p>
    <w:p w:rsidR="00A60C09" w:rsidRDefault="00802EE9" w:rsidP="002117D1">
      <w:pPr>
        <w:pStyle w:val="Default"/>
        <w:spacing w:after="240"/>
      </w:pPr>
      <w:r w:rsidRPr="00802EE9">
        <w:rPr>
          <w:noProof/>
        </w:rPr>
        <w:lastRenderedPageBreak/>
        <w:drawing>
          <wp:inline distT="0" distB="0" distL="0" distR="0" wp14:anchorId="33EDCF43" wp14:editId="453500B3">
            <wp:extent cx="5495925" cy="6362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6362700"/>
                    </a:xfrm>
                    <a:prstGeom prst="rect">
                      <a:avLst/>
                    </a:prstGeom>
                    <a:noFill/>
                    <a:ln>
                      <a:noFill/>
                    </a:ln>
                  </pic:spPr>
                </pic:pic>
              </a:graphicData>
            </a:graphic>
          </wp:inline>
        </w:drawing>
      </w:r>
    </w:p>
    <w:p w:rsidR="00A60C09" w:rsidRPr="007D698A" w:rsidRDefault="00A60C09" w:rsidP="002117D1">
      <w:pPr>
        <w:pStyle w:val="Default"/>
        <w:spacing w:after="240"/>
        <w:rPr>
          <w:sz w:val="26"/>
          <w:szCs w:val="26"/>
        </w:rPr>
      </w:pPr>
    </w:p>
    <w:p w:rsidR="00A60C09" w:rsidRPr="009A0F52" w:rsidRDefault="00A60C09" w:rsidP="002117D1">
      <w:pPr>
        <w:pStyle w:val="Heading3"/>
      </w:pPr>
      <w:bookmarkStart w:id="100" w:name="_Toc390256257"/>
      <w:r w:rsidRPr="009A0F52">
        <w:lastRenderedPageBreak/>
        <w:t>Price-Cost Mark-Up</w:t>
      </w:r>
      <w:bookmarkStart w:id="101" w:name="_bmk49"/>
      <w:bookmarkEnd w:id="100"/>
    </w:p>
    <w:bookmarkEnd w:id="101"/>
    <w:p w:rsidR="00A60C09" w:rsidRPr="00D31F4B" w:rsidRDefault="00A60C09" w:rsidP="002117D1">
      <w:pPr>
        <w:pStyle w:val="Default"/>
        <w:spacing w:after="240"/>
        <w:ind w:firstLine="720"/>
        <w:rPr>
          <w:sz w:val="26"/>
          <w:szCs w:val="26"/>
        </w:rPr>
      </w:pPr>
      <w:r>
        <w:rPr>
          <w:sz w:val="26"/>
          <w:szCs w:val="26"/>
        </w:rPr>
        <w:t>T</w:t>
      </w:r>
      <w:r w:rsidRPr="00D31F4B">
        <w:rPr>
          <w:sz w:val="26"/>
          <w:szCs w:val="26"/>
        </w:rPr>
        <w:t>he price-cost mark-up</w:t>
      </w:r>
      <w:r>
        <w:rPr>
          <w:sz w:val="26"/>
          <w:szCs w:val="26"/>
        </w:rPr>
        <w:t xml:space="preserve"> metric</w:t>
      </w:r>
      <w:r w:rsidRPr="00D31F4B">
        <w:rPr>
          <w:sz w:val="26"/>
          <w:szCs w:val="26"/>
        </w:rPr>
        <w:t xml:space="preserve"> compares the system marginal price to the system marginal cost,</w:t>
      </w:r>
      <w:r w:rsidRPr="00D31F4B">
        <w:rPr>
          <w:b/>
          <w:bCs/>
          <w:sz w:val="26"/>
          <w:szCs w:val="26"/>
        </w:rPr>
        <w:t xml:space="preserve"> </w:t>
      </w:r>
      <w:r w:rsidRPr="00D31F4B">
        <w:rPr>
          <w:sz w:val="26"/>
          <w:szCs w:val="26"/>
        </w:rPr>
        <w:t>assuming no system constraints.</w:t>
      </w:r>
      <w:r>
        <w:rPr>
          <w:rStyle w:val="FootnoteReference"/>
        </w:rPr>
        <w:footnoteReference w:id="26"/>
      </w:r>
      <w:r w:rsidR="00936CC4">
        <w:rPr>
          <w:sz w:val="26"/>
          <w:szCs w:val="26"/>
        </w:rPr>
        <w:t xml:space="preserve"> </w:t>
      </w:r>
      <w:r w:rsidRPr="00D31F4B">
        <w:rPr>
          <w:sz w:val="26"/>
          <w:szCs w:val="26"/>
        </w:rPr>
        <w:t xml:space="preserve"> The </w:t>
      </w:r>
      <w:r w:rsidR="00936CC4">
        <w:rPr>
          <w:sz w:val="26"/>
          <w:szCs w:val="26"/>
        </w:rPr>
        <w:t>ratio</w:t>
      </w:r>
      <w:r w:rsidRPr="00D31F4B">
        <w:rPr>
          <w:sz w:val="26"/>
          <w:szCs w:val="26"/>
        </w:rPr>
        <w:t xml:space="preserve"> between the marginal price and marginal cost indicates the degree of competition</w:t>
      </w:r>
      <w:r w:rsidR="00936CC4">
        <w:rPr>
          <w:sz w:val="26"/>
          <w:szCs w:val="26"/>
        </w:rPr>
        <w:t xml:space="preserve"> and efficiency</w:t>
      </w:r>
      <w:r w:rsidRPr="00D31F4B">
        <w:rPr>
          <w:sz w:val="26"/>
          <w:szCs w:val="26"/>
        </w:rPr>
        <w:t xml:space="preserve"> in ISO</w:t>
      </w:r>
      <w:r>
        <w:rPr>
          <w:sz w:val="26"/>
          <w:szCs w:val="26"/>
        </w:rPr>
        <w:t xml:space="preserve"> and </w:t>
      </w:r>
      <w:r w:rsidRPr="00D31F4B">
        <w:rPr>
          <w:sz w:val="26"/>
          <w:szCs w:val="26"/>
        </w:rPr>
        <w:t xml:space="preserve">RTO markets. </w:t>
      </w:r>
      <w:r w:rsidR="00936CC4">
        <w:rPr>
          <w:sz w:val="26"/>
          <w:szCs w:val="26"/>
        </w:rPr>
        <w:t xml:space="preserve"> </w:t>
      </w:r>
      <w:r w:rsidRPr="00D31F4B">
        <w:rPr>
          <w:sz w:val="26"/>
          <w:szCs w:val="26"/>
        </w:rPr>
        <w:t>ISO</w:t>
      </w:r>
      <w:r w:rsidR="00CC055A">
        <w:rPr>
          <w:sz w:val="26"/>
          <w:szCs w:val="26"/>
        </w:rPr>
        <w:t xml:space="preserve"> and </w:t>
      </w:r>
      <w:r w:rsidRPr="00D31F4B">
        <w:rPr>
          <w:sz w:val="26"/>
          <w:szCs w:val="26"/>
        </w:rPr>
        <w:t xml:space="preserve">RTO markets are more competitive the closer prices are to marginal costs. </w:t>
      </w:r>
      <w:r w:rsidR="00936CC4">
        <w:rPr>
          <w:sz w:val="26"/>
          <w:szCs w:val="26"/>
        </w:rPr>
        <w:t xml:space="preserve"> </w:t>
      </w:r>
      <w:r w:rsidRPr="00D31F4B">
        <w:rPr>
          <w:sz w:val="26"/>
          <w:szCs w:val="26"/>
        </w:rPr>
        <w:t xml:space="preserve">This metric is measured as the percentage mark-up for each year. </w:t>
      </w:r>
    </w:p>
    <w:p w:rsidR="00A60C09" w:rsidRDefault="00A60C09" w:rsidP="002117D1">
      <w:pPr>
        <w:spacing w:after="240"/>
        <w:rPr>
          <w:szCs w:val="26"/>
        </w:rPr>
      </w:pPr>
      <w:r>
        <w:rPr>
          <w:szCs w:val="26"/>
        </w:rPr>
        <w:tab/>
        <w:t xml:space="preserve">The results in the chart </w:t>
      </w:r>
      <w:r w:rsidR="00CC055A">
        <w:rPr>
          <w:szCs w:val="26"/>
        </w:rPr>
        <w:t xml:space="preserve">below </w:t>
      </w:r>
      <w:r>
        <w:rPr>
          <w:szCs w:val="26"/>
        </w:rPr>
        <w:t xml:space="preserve">show that system marginal costs and system marginal prices are nearly identical in all ISO and RTO markets, indicating </w:t>
      </w:r>
      <w:r w:rsidR="00F5388A">
        <w:rPr>
          <w:szCs w:val="26"/>
        </w:rPr>
        <w:t xml:space="preserve">efficient and </w:t>
      </w:r>
      <w:r>
        <w:rPr>
          <w:szCs w:val="26"/>
        </w:rPr>
        <w:t>competitive conditions in these markets.</w:t>
      </w:r>
    </w:p>
    <w:p w:rsidR="00A60C09" w:rsidRDefault="004725C0" w:rsidP="002117D1">
      <w:pPr>
        <w:spacing w:after="240"/>
      </w:pPr>
      <w:r w:rsidRPr="004725C0">
        <w:rPr>
          <w:noProof/>
        </w:rPr>
        <w:lastRenderedPageBreak/>
        <w:drawing>
          <wp:inline distT="0" distB="0" distL="0" distR="0" wp14:anchorId="1D68B82F" wp14:editId="556E9ECB">
            <wp:extent cx="5943600" cy="54953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495318"/>
                    </a:xfrm>
                    <a:prstGeom prst="rect">
                      <a:avLst/>
                    </a:prstGeom>
                    <a:noFill/>
                    <a:ln>
                      <a:noFill/>
                    </a:ln>
                  </pic:spPr>
                </pic:pic>
              </a:graphicData>
            </a:graphic>
          </wp:inline>
        </w:drawing>
      </w:r>
    </w:p>
    <w:p w:rsidR="00A60C09" w:rsidRPr="00953D39" w:rsidRDefault="00A60C09" w:rsidP="002117D1">
      <w:pPr>
        <w:pStyle w:val="Heading3"/>
      </w:pPr>
      <w:bookmarkStart w:id="102" w:name="_Toc390256258"/>
      <w:r w:rsidRPr="00953D39">
        <w:t>Generator Net Revenue</w:t>
      </w:r>
      <w:bookmarkStart w:id="103" w:name="_bmk50"/>
      <w:bookmarkEnd w:id="102"/>
    </w:p>
    <w:bookmarkEnd w:id="103"/>
    <w:p w:rsidR="00A60C09" w:rsidRDefault="00A60C09" w:rsidP="002117D1">
      <w:pPr>
        <w:pStyle w:val="Default"/>
        <w:spacing w:after="240"/>
        <w:ind w:firstLine="720"/>
        <w:rPr>
          <w:sz w:val="26"/>
          <w:szCs w:val="26"/>
        </w:rPr>
      </w:pPr>
      <w:r>
        <w:rPr>
          <w:sz w:val="26"/>
          <w:szCs w:val="26"/>
        </w:rPr>
        <w:t xml:space="preserve">Generator net revenue measures the revenue that a new generator would earn above its variable production costs if it were to operate only when its variable production costs were less than the energy price. </w:t>
      </w:r>
      <w:r w:rsidR="00CC055A">
        <w:rPr>
          <w:sz w:val="26"/>
          <w:szCs w:val="26"/>
        </w:rPr>
        <w:t xml:space="preserve"> </w:t>
      </w:r>
      <w:r>
        <w:rPr>
          <w:sz w:val="26"/>
          <w:szCs w:val="26"/>
        </w:rPr>
        <w:t xml:space="preserve">This metric can be an indicator of whether generator net revenues are sufficient to ensure new investment, if needed, and are consistent with competitive markets. </w:t>
      </w:r>
      <w:r w:rsidR="009A6A1A">
        <w:rPr>
          <w:sz w:val="26"/>
          <w:szCs w:val="26"/>
        </w:rPr>
        <w:t xml:space="preserve"> </w:t>
      </w:r>
      <w:r>
        <w:rPr>
          <w:sz w:val="26"/>
          <w:szCs w:val="26"/>
        </w:rPr>
        <w:t>This metric is measured on an annual basis</w:t>
      </w:r>
      <w:r w:rsidR="009A6A1A">
        <w:rPr>
          <w:sz w:val="26"/>
          <w:szCs w:val="26"/>
        </w:rPr>
        <w:t xml:space="preserve"> and comes from analysis conducted by each entity’s market monitor</w:t>
      </w:r>
      <w:r>
        <w:rPr>
          <w:sz w:val="26"/>
          <w:szCs w:val="26"/>
        </w:rPr>
        <w:t>.</w:t>
      </w:r>
    </w:p>
    <w:p w:rsidR="00A60C09" w:rsidRDefault="00A60C09" w:rsidP="002117D1">
      <w:pPr>
        <w:pStyle w:val="Default"/>
        <w:spacing w:after="240"/>
        <w:ind w:firstLine="720"/>
        <w:rPr>
          <w:sz w:val="26"/>
          <w:szCs w:val="26"/>
        </w:rPr>
      </w:pPr>
      <w:r>
        <w:rPr>
          <w:sz w:val="26"/>
          <w:szCs w:val="26"/>
        </w:rPr>
        <w:t xml:space="preserve">The data in the accompanying charts reflect the estimated generator revenues per megawatt year for a new </w:t>
      </w:r>
      <w:r w:rsidR="00CE58DA">
        <w:rPr>
          <w:sz w:val="26"/>
          <w:szCs w:val="26"/>
        </w:rPr>
        <w:t>c</w:t>
      </w:r>
      <w:r>
        <w:rPr>
          <w:sz w:val="26"/>
          <w:szCs w:val="26"/>
        </w:rPr>
        <w:t xml:space="preserve">ombustion </w:t>
      </w:r>
      <w:r w:rsidR="00CE58DA">
        <w:rPr>
          <w:sz w:val="26"/>
          <w:szCs w:val="26"/>
        </w:rPr>
        <w:t>t</w:t>
      </w:r>
      <w:r>
        <w:rPr>
          <w:sz w:val="26"/>
          <w:szCs w:val="26"/>
        </w:rPr>
        <w:t xml:space="preserve">urbine unit fueled by natural gas and for a new </w:t>
      </w:r>
      <w:r>
        <w:rPr>
          <w:sz w:val="26"/>
          <w:szCs w:val="26"/>
        </w:rPr>
        <w:lastRenderedPageBreak/>
        <w:t xml:space="preserve">entrant </w:t>
      </w:r>
      <w:r w:rsidR="00CE58DA">
        <w:rPr>
          <w:sz w:val="26"/>
          <w:szCs w:val="26"/>
        </w:rPr>
        <w:t>c</w:t>
      </w:r>
      <w:r>
        <w:rPr>
          <w:sz w:val="26"/>
          <w:szCs w:val="26"/>
        </w:rPr>
        <w:t>ombined</w:t>
      </w:r>
      <w:r w:rsidR="00CE58DA">
        <w:rPr>
          <w:sz w:val="26"/>
          <w:szCs w:val="26"/>
        </w:rPr>
        <w:t>-c</w:t>
      </w:r>
      <w:r>
        <w:rPr>
          <w:sz w:val="26"/>
          <w:szCs w:val="26"/>
        </w:rPr>
        <w:t>ycle unit fueled by natural gas.  Several of the ISO and RTO reports indicate that revenues are below the levels needed for new investment.</w:t>
      </w:r>
      <w:r>
        <w:rPr>
          <w:rStyle w:val="FootnoteReference"/>
        </w:rPr>
        <w:footnoteReference w:id="27"/>
      </w:r>
    </w:p>
    <w:p w:rsidR="00A60C09" w:rsidRDefault="0015047A" w:rsidP="002117D1">
      <w:pPr>
        <w:pStyle w:val="Default"/>
        <w:spacing w:after="240"/>
        <w:ind w:firstLine="720"/>
        <w:rPr>
          <w:sz w:val="26"/>
          <w:szCs w:val="26"/>
        </w:rPr>
      </w:pPr>
      <w:r>
        <w:pict>
          <v:shape id="_x0000_i1028" type="#_x0000_t75" style="width:385.5pt;height:475.5pt">
            <v:imagedata r:id="rId37" o:title=""/>
          </v:shape>
        </w:pict>
      </w:r>
    </w:p>
    <w:p w:rsidR="00A60C09" w:rsidRPr="00953D39" w:rsidRDefault="00A60C09" w:rsidP="002117D1">
      <w:pPr>
        <w:pStyle w:val="Heading3"/>
      </w:pPr>
      <w:bookmarkStart w:id="104" w:name="_Toc390256259"/>
      <w:r w:rsidRPr="00953D39">
        <w:lastRenderedPageBreak/>
        <w:t>Percentage of Megawatt Hours Mitigated</w:t>
      </w:r>
      <w:bookmarkStart w:id="105" w:name="_bmk51"/>
      <w:bookmarkEnd w:id="104"/>
    </w:p>
    <w:bookmarkEnd w:id="105"/>
    <w:p w:rsidR="00A60C09" w:rsidRDefault="00A60C09" w:rsidP="002117D1">
      <w:pPr>
        <w:pStyle w:val="Default"/>
        <w:spacing w:after="240"/>
        <w:ind w:firstLine="720"/>
        <w:rPr>
          <w:sz w:val="26"/>
          <w:szCs w:val="26"/>
        </w:rPr>
      </w:pPr>
      <w:r>
        <w:rPr>
          <w:sz w:val="26"/>
          <w:szCs w:val="26"/>
        </w:rPr>
        <w:t>This metric provides an indication of the magnitude of mitigation occurring in ISO</w:t>
      </w:r>
      <w:r w:rsidR="000509C3">
        <w:rPr>
          <w:sz w:val="26"/>
          <w:szCs w:val="26"/>
        </w:rPr>
        <w:t xml:space="preserve"> and </w:t>
      </w:r>
      <w:r>
        <w:rPr>
          <w:sz w:val="26"/>
          <w:szCs w:val="26"/>
        </w:rPr>
        <w:t xml:space="preserve">RTO markets, as measured by the percentage of unit hours that prices were </w:t>
      </w:r>
      <w:r w:rsidR="000E7805">
        <w:rPr>
          <w:sz w:val="26"/>
          <w:szCs w:val="26"/>
        </w:rPr>
        <w:t>set at the mitigated price</w:t>
      </w:r>
      <w:r>
        <w:rPr>
          <w:sz w:val="26"/>
          <w:szCs w:val="26"/>
        </w:rPr>
        <w:t xml:space="preserve"> on an annual basis.  The accompanying chart shows a low percentage of mitigated hours for all ISOs and RTOs, again indicating competitive conditions </w:t>
      </w:r>
      <w:r w:rsidR="005930E3">
        <w:rPr>
          <w:sz w:val="26"/>
          <w:szCs w:val="26"/>
        </w:rPr>
        <w:t>across</w:t>
      </w:r>
      <w:r>
        <w:rPr>
          <w:sz w:val="26"/>
          <w:szCs w:val="26"/>
        </w:rPr>
        <w:t xml:space="preserve"> these markets.</w:t>
      </w:r>
    </w:p>
    <w:p w:rsidR="00A60C09" w:rsidRDefault="00AC4598" w:rsidP="002117D1">
      <w:pPr>
        <w:pStyle w:val="Default"/>
        <w:spacing w:after="240"/>
        <w:ind w:firstLine="720"/>
        <w:rPr>
          <w:sz w:val="26"/>
          <w:szCs w:val="26"/>
        </w:rPr>
      </w:pPr>
      <w:r w:rsidRPr="00AC4598">
        <w:rPr>
          <w:noProof/>
        </w:rPr>
        <w:drawing>
          <wp:inline distT="0" distB="0" distL="0" distR="0" wp14:anchorId="0FCEA2AC" wp14:editId="05435A8F">
            <wp:extent cx="5334000" cy="5591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5591175"/>
                    </a:xfrm>
                    <a:prstGeom prst="rect">
                      <a:avLst/>
                    </a:prstGeom>
                    <a:noFill/>
                    <a:ln>
                      <a:noFill/>
                    </a:ln>
                  </pic:spPr>
                </pic:pic>
              </a:graphicData>
            </a:graphic>
          </wp:inline>
        </w:drawing>
      </w:r>
    </w:p>
    <w:p w:rsidR="00A60C09" w:rsidRDefault="00A60C09" w:rsidP="002117D1">
      <w:pPr>
        <w:pStyle w:val="Heading3"/>
      </w:pPr>
      <w:bookmarkStart w:id="106" w:name="_Toc390256260"/>
      <w:r w:rsidRPr="009A0F52">
        <w:t>Market Pricing Metrics</w:t>
      </w:r>
      <w:bookmarkStart w:id="107" w:name="_bmk52"/>
      <w:bookmarkEnd w:id="106"/>
    </w:p>
    <w:bookmarkEnd w:id="107"/>
    <w:p w:rsidR="00A60C09" w:rsidRDefault="00A60C09" w:rsidP="002117D1">
      <w:pPr>
        <w:pStyle w:val="Default"/>
        <w:spacing w:after="240"/>
        <w:ind w:firstLine="720"/>
        <w:rPr>
          <w:color w:val="auto"/>
          <w:sz w:val="26"/>
          <w:szCs w:val="26"/>
        </w:rPr>
      </w:pPr>
      <w:r>
        <w:rPr>
          <w:sz w:val="26"/>
          <w:szCs w:val="26"/>
        </w:rPr>
        <w:t>The four market pricing metrics measure the customer cost impact of ISO</w:t>
      </w:r>
      <w:r w:rsidR="00907AD8">
        <w:rPr>
          <w:sz w:val="26"/>
          <w:szCs w:val="26"/>
        </w:rPr>
        <w:t xml:space="preserve"> and </w:t>
      </w:r>
      <w:r>
        <w:rPr>
          <w:sz w:val="26"/>
          <w:szCs w:val="26"/>
        </w:rPr>
        <w:t xml:space="preserve">RTO markets. </w:t>
      </w:r>
      <w:r w:rsidR="005930E3">
        <w:rPr>
          <w:sz w:val="26"/>
          <w:szCs w:val="26"/>
        </w:rPr>
        <w:t xml:space="preserve"> </w:t>
      </w:r>
      <w:r>
        <w:rPr>
          <w:sz w:val="26"/>
          <w:szCs w:val="26"/>
        </w:rPr>
        <w:t xml:space="preserve">The first measure, the load-weighted locational marginal price </w:t>
      </w:r>
      <w:r w:rsidR="00907AD8">
        <w:rPr>
          <w:sz w:val="26"/>
          <w:szCs w:val="26"/>
        </w:rPr>
        <w:t xml:space="preserve">(LMP) </w:t>
      </w:r>
      <w:r>
        <w:rPr>
          <w:sz w:val="26"/>
          <w:szCs w:val="26"/>
        </w:rPr>
        <w:t>metric, measures the cost to load of energy purchased in ISO</w:t>
      </w:r>
      <w:r w:rsidR="000B36E0">
        <w:rPr>
          <w:sz w:val="26"/>
          <w:szCs w:val="26"/>
        </w:rPr>
        <w:t xml:space="preserve"> and </w:t>
      </w:r>
      <w:r>
        <w:rPr>
          <w:sz w:val="26"/>
          <w:szCs w:val="26"/>
        </w:rPr>
        <w:t xml:space="preserve">RTO markets. </w:t>
      </w:r>
      <w:r w:rsidR="005930E3">
        <w:rPr>
          <w:sz w:val="26"/>
          <w:szCs w:val="26"/>
        </w:rPr>
        <w:t xml:space="preserve"> </w:t>
      </w:r>
      <w:r>
        <w:rPr>
          <w:sz w:val="26"/>
          <w:szCs w:val="26"/>
        </w:rPr>
        <w:t xml:space="preserve">The </w:t>
      </w:r>
      <w:r>
        <w:rPr>
          <w:sz w:val="26"/>
          <w:szCs w:val="26"/>
        </w:rPr>
        <w:lastRenderedPageBreak/>
        <w:t>second metric, components of total power costs, breaks out each element of all costs paid by load, thereby providing a comprehensive assessment of all ISO</w:t>
      </w:r>
      <w:r w:rsidR="000B36E0">
        <w:rPr>
          <w:sz w:val="26"/>
          <w:szCs w:val="26"/>
        </w:rPr>
        <w:t xml:space="preserve"> and </w:t>
      </w:r>
      <w:r>
        <w:rPr>
          <w:sz w:val="26"/>
          <w:szCs w:val="26"/>
        </w:rPr>
        <w:t>RTO market costs.</w:t>
      </w:r>
      <w:r>
        <w:rPr>
          <w:rStyle w:val="FootnoteReference"/>
        </w:rPr>
        <w:footnoteReference w:id="28"/>
      </w:r>
      <w:r>
        <w:rPr>
          <w:sz w:val="26"/>
          <w:szCs w:val="26"/>
        </w:rPr>
        <w:t xml:space="preserve">  The third measure, the load-weighted, fuel-adjusted locational marginal price, is derived by holding fuel costs constant over a defined time period to show the trend of non-fuel customer costs over this period. </w:t>
      </w:r>
      <w:r w:rsidR="005930E3">
        <w:rPr>
          <w:sz w:val="26"/>
          <w:szCs w:val="26"/>
        </w:rPr>
        <w:t xml:space="preserve"> </w:t>
      </w:r>
      <w:r>
        <w:rPr>
          <w:sz w:val="26"/>
          <w:szCs w:val="26"/>
        </w:rPr>
        <w:t>This metric isolates the customer cost impact of cost elements such as transmission costs, congestion and losses, thereby providing a measure of the effectiveness of ISO</w:t>
      </w:r>
      <w:r w:rsidR="000B36E0">
        <w:rPr>
          <w:sz w:val="26"/>
          <w:szCs w:val="26"/>
        </w:rPr>
        <w:t xml:space="preserve"> and </w:t>
      </w:r>
      <w:r>
        <w:rPr>
          <w:sz w:val="26"/>
          <w:szCs w:val="26"/>
        </w:rPr>
        <w:t xml:space="preserve">RTO market management. </w:t>
      </w:r>
      <w:r w:rsidR="005930E3">
        <w:rPr>
          <w:sz w:val="26"/>
          <w:szCs w:val="26"/>
        </w:rPr>
        <w:t xml:space="preserve"> </w:t>
      </w:r>
      <w:r>
        <w:rPr>
          <w:sz w:val="26"/>
          <w:szCs w:val="26"/>
        </w:rPr>
        <w:t>This metric also reflects the impact of load growth, investments in resources and the retirement of uneconomic facilities, and therefore it measures factors that are not entirely within the control of ISOs</w:t>
      </w:r>
      <w:r w:rsidR="000B36E0">
        <w:rPr>
          <w:sz w:val="26"/>
          <w:szCs w:val="26"/>
        </w:rPr>
        <w:t xml:space="preserve"> and </w:t>
      </w:r>
      <w:r>
        <w:rPr>
          <w:sz w:val="26"/>
          <w:szCs w:val="26"/>
        </w:rPr>
        <w:t xml:space="preserve">RTOs. </w:t>
      </w:r>
      <w:r w:rsidR="005930E3">
        <w:rPr>
          <w:sz w:val="26"/>
          <w:szCs w:val="26"/>
        </w:rPr>
        <w:t xml:space="preserve"> </w:t>
      </w:r>
      <w:r w:rsidRPr="00DC6ECB">
        <w:rPr>
          <w:sz w:val="26"/>
          <w:szCs w:val="26"/>
        </w:rPr>
        <w:t xml:space="preserve">The fourth metric </w:t>
      </w:r>
      <w:r w:rsidRPr="00DC6ECB">
        <w:rPr>
          <w:color w:val="auto"/>
          <w:sz w:val="26"/>
          <w:szCs w:val="26"/>
        </w:rPr>
        <w:t>measures the impact of demand response on market prices, including impacts associated with voluntary curtailments by demand response during heat waves and other emergency conditions.  All four metrics are measured on an annual basis.</w:t>
      </w:r>
      <w:r>
        <w:rPr>
          <w:color w:val="auto"/>
          <w:sz w:val="26"/>
          <w:szCs w:val="26"/>
        </w:rPr>
        <w:t xml:space="preserve">  </w:t>
      </w:r>
    </w:p>
    <w:p w:rsidR="00A60C09" w:rsidRDefault="00A60C09" w:rsidP="002117D1">
      <w:pPr>
        <w:pStyle w:val="Default"/>
        <w:spacing w:after="240"/>
        <w:ind w:firstLine="720"/>
        <w:rPr>
          <w:color w:val="auto"/>
          <w:sz w:val="26"/>
          <w:szCs w:val="26"/>
        </w:rPr>
      </w:pPr>
      <w:r>
        <w:rPr>
          <w:color w:val="auto"/>
          <w:sz w:val="26"/>
          <w:szCs w:val="26"/>
        </w:rPr>
        <w:t>The first three metrics on market pricing and costs are summarized on a single chart below.  The purple and green lines in the chart, the energy cost and total power cost metrics, closely follow fuel price trends.  As detailed in the ISO</w:t>
      </w:r>
      <w:r w:rsidR="000B36E0">
        <w:rPr>
          <w:color w:val="auto"/>
          <w:sz w:val="26"/>
          <w:szCs w:val="26"/>
        </w:rPr>
        <w:t xml:space="preserve"> and </w:t>
      </w:r>
      <w:r>
        <w:rPr>
          <w:color w:val="auto"/>
          <w:sz w:val="26"/>
          <w:szCs w:val="26"/>
        </w:rPr>
        <w:t>RTO performance reports, the nation-wide increase in fuel costs in 2008 and the decrease in 2009 were closely tracked in wholesale energy prices.  More relevant to an assessment of ISO</w:t>
      </w:r>
      <w:r w:rsidR="000B36E0">
        <w:rPr>
          <w:color w:val="auto"/>
          <w:sz w:val="26"/>
          <w:szCs w:val="26"/>
        </w:rPr>
        <w:t xml:space="preserve"> or </w:t>
      </w:r>
      <w:r>
        <w:rPr>
          <w:color w:val="auto"/>
          <w:sz w:val="26"/>
          <w:szCs w:val="26"/>
        </w:rPr>
        <w:t>RTO performance is the red line in the chart, the market price adjusted for fuel costs.  This metric, when compared to unadjusted market prices, shows the impact of security constrained economic dispatch, incentives for improved generator availability, investment in more efficient generating units</w:t>
      </w:r>
      <w:r w:rsidR="000B36E0">
        <w:rPr>
          <w:color w:val="auto"/>
          <w:sz w:val="26"/>
          <w:szCs w:val="26"/>
        </w:rPr>
        <w:t>,</w:t>
      </w:r>
      <w:r>
        <w:rPr>
          <w:color w:val="auto"/>
          <w:sz w:val="26"/>
          <w:szCs w:val="26"/>
        </w:rPr>
        <w:t xml:space="preserve"> and other factors on prices.  Therefore, this metric provides a measure of the efficiency of ISO</w:t>
      </w:r>
      <w:r w:rsidR="000B36E0">
        <w:rPr>
          <w:color w:val="auto"/>
          <w:sz w:val="26"/>
          <w:szCs w:val="26"/>
        </w:rPr>
        <w:t xml:space="preserve"> and </w:t>
      </w:r>
      <w:r>
        <w:rPr>
          <w:color w:val="auto"/>
          <w:sz w:val="26"/>
          <w:szCs w:val="26"/>
        </w:rPr>
        <w:t xml:space="preserve">RTO markets, and how that efficiency provides a benefit to consumers in their cost of energy.  It should be noted that each ISO or RTO uses a different base year for </w:t>
      </w:r>
      <w:r w:rsidR="007173CA">
        <w:rPr>
          <w:color w:val="auto"/>
          <w:sz w:val="26"/>
          <w:szCs w:val="26"/>
        </w:rPr>
        <w:t>its</w:t>
      </w:r>
      <w:r>
        <w:rPr>
          <w:color w:val="auto"/>
          <w:sz w:val="26"/>
          <w:szCs w:val="26"/>
        </w:rPr>
        <w:t xml:space="preserve"> fuel adjustments and different fuel mixes and</w:t>
      </w:r>
      <w:r w:rsidR="007173CA">
        <w:rPr>
          <w:color w:val="auto"/>
          <w:sz w:val="26"/>
          <w:szCs w:val="26"/>
        </w:rPr>
        <w:t>,</w:t>
      </w:r>
      <w:r>
        <w:rPr>
          <w:color w:val="auto"/>
          <w:sz w:val="26"/>
          <w:szCs w:val="26"/>
        </w:rPr>
        <w:t xml:space="preserve"> therefore</w:t>
      </w:r>
      <w:r w:rsidR="007173CA">
        <w:rPr>
          <w:color w:val="auto"/>
          <w:sz w:val="26"/>
          <w:szCs w:val="26"/>
        </w:rPr>
        <w:t>,</w:t>
      </w:r>
      <w:r>
        <w:rPr>
          <w:color w:val="auto"/>
          <w:sz w:val="26"/>
          <w:szCs w:val="26"/>
        </w:rPr>
        <w:t xml:space="preserve"> direct comparisons between ISOs and RTOs are not meaningful.  </w:t>
      </w:r>
    </w:p>
    <w:p w:rsidR="00A60C09" w:rsidRDefault="004725C0" w:rsidP="002117D1">
      <w:pPr>
        <w:pStyle w:val="Default"/>
        <w:spacing w:after="240"/>
        <w:ind w:firstLine="720"/>
      </w:pPr>
      <w:r w:rsidRPr="004725C0">
        <w:rPr>
          <w:noProof/>
        </w:rPr>
        <w:lastRenderedPageBreak/>
        <w:drawing>
          <wp:inline distT="0" distB="0" distL="0" distR="0" wp14:anchorId="03F5CAAA" wp14:editId="076C7D68">
            <wp:extent cx="5943600" cy="4814753"/>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814753"/>
                    </a:xfrm>
                    <a:prstGeom prst="rect">
                      <a:avLst/>
                    </a:prstGeom>
                    <a:noFill/>
                    <a:ln>
                      <a:noFill/>
                    </a:ln>
                  </pic:spPr>
                </pic:pic>
              </a:graphicData>
            </a:graphic>
          </wp:inline>
        </w:drawing>
      </w:r>
    </w:p>
    <w:p w:rsidR="00A60C09" w:rsidRDefault="00A60C09" w:rsidP="002117D1">
      <w:pPr>
        <w:pStyle w:val="Default"/>
        <w:spacing w:after="240"/>
        <w:ind w:firstLine="720"/>
        <w:rPr>
          <w:color w:val="auto"/>
          <w:sz w:val="26"/>
          <w:szCs w:val="26"/>
        </w:rPr>
      </w:pPr>
      <w:r>
        <w:rPr>
          <w:color w:val="auto"/>
          <w:sz w:val="26"/>
          <w:szCs w:val="26"/>
        </w:rPr>
        <w:t xml:space="preserve">With regard to the </w:t>
      </w:r>
      <w:r w:rsidR="00960F5F">
        <w:rPr>
          <w:color w:val="auto"/>
          <w:sz w:val="26"/>
          <w:szCs w:val="26"/>
        </w:rPr>
        <w:t xml:space="preserve">fourth metric, the </w:t>
      </w:r>
      <w:r>
        <w:rPr>
          <w:color w:val="auto"/>
          <w:sz w:val="26"/>
          <w:szCs w:val="26"/>
        </w:rPr>
        <w:t>impact of demand response on prices, ISOs and RTOs provided the following information:</w:t>
      </w:r>
    </w:p>
    <w:p w:rsidR="00A60C09" w:rsidRDefault="00A60C09" w:rsidP="002117D1">
      <w:pPr>
        <w:pStyle w:val="Default"/>
        <w:numPr>
          <w:ilvl w:val="0"/>
          <w:numId w:val="34"/>
        </w:numPr>
        <w:spacing w:after="240"/>
        <w:rPr>
          <w:color w:val="auto"/>
          <w:sz w:val="26"/>
          <w:szCs w:val="26"/>
        </w:rPr>
      </w:pPr>
      <w:r>
        <w:rPr>
          <w:color w:val="auto"/>
          <w:sz w:val="26"/>
          <w:szCs w:val="26"/>
        </w:rPr>
        <w:t>MISO indicated that clearing prices declined by $100 - $200 per megawatt-hour during hours in which demand response participated in the August 1, 2006 emergency event.</w:t>
      </w:r>
      <w:r>
        <w:rPr>
          <w:rStyle w:val="FootnoteReference"/>
          <w:color w:val="auto"/>
        </w:rPr>
        <w:footnoteReference w:id="29"/>
      </w:r>
    </w:p>
    <w:p w:rsidR="00907AD8" w:rsidRDefault="00907AD8" w:rsidP="002117D1">
      <w:pPr>
        <w:pStyle w:val="Default"/>
        <w:numPr>
          <w:ilvl w:val="0"/>
          <w:numId w:val="34"/>
        </w:numPr>
        <w:spacing w:after="240"/>
        <w:rPr>
          <w:color w:val="auto"/>
          <w:sz w:val="26"/>
          <w:szCs w:val="26"/>
        </w:rPr>
      </w:pPr>
      <w:r>
        <w:rPr>
          <w:color w:val="auto"/>
          <w:sz w:val="26"/>
          <w:szCs w:val="26"/>
        </w:rPr>
        <w:t>ISO-NE estimated that its demand response programs reduced average real-time LMPs between $0.04 (April-June 2009) and $1.72 (June-September 2010) per megawatt-hour over the 2008-2010 period.</w:t>
      </w:r>
      <w:r>
        <w:rPr>
          <w:rStyle w:val="FootnoteReference"/>
          <w:color w:val="auto"/>
        </w:rPr>
        <w:footnoteReference w:id="30"/>
      </w:r>
    </w:p>
    <w:p w:rsidR="00A60C09" w:rsidRDefault="00A60C09" w:rsidP="002117D1">
      <w:pPr>
        <w:pStyle w:val="Default"/>
        <w:numPr>
          <w:ilvl w:val="0"/>
          <w:numId w:val="34"/>
        </w:numPr>
        <w:spacing w:after="240"/>
        <w:rPr>
          <w:color w:val="auto"/>
          <w:sz w:val="26"/>
          <w:szCs w:val="26"/>
        </w:rPr>
      </w:pPr>
      <w:r>
        <w:rPr>
          <w:color w:val="auto"/>
          <w:sz w:val="26"/>
          <w:szCs w:val="26"/>
        </w:rPr>
        <w:lastRenderedPageBreak/>
        <w:t>NYISO calculated that demand response reduced locational marginal prices between $0.04 (2007) and $2.05 (2008) per megawatt-hour.</w:t>
      </w:r>
      <w:r>
        <w:rPr>
          <w:rStyle w:val="FootnoteReference"/>
          <w:color w:val="auto"/>
        </w:rPr>
        <w:footnoteReference w:id="31"/>
      </w:r>
    </w:p>
    <w:p w:rsidR="00A60C09" w:rsidRDefault="00A60C09" w:rsidP="002117D1">
      <w:pPr>
        <w:pStyle w:val="Default"/>
        <w:numPr>
          <w:ilvl w:val="0"/>
          <w:numId w:val="34"/>
        </w:numPr>
        <w:spacing w:after="240"/>
        <w:rPr>
          <w:color w:val="auto"/>
          <w:sz w:val="26"/>
          <w:szCs w:val="26"/>
        </w:rPr>
      </w:pPr>
      <w:r>
        <w:rPr>
          <w:color w:val="auto"/>
          <w:sz w:val="26"/>
          <w:szCs w:val="26"/>
        </w:rPr>
        <w:t>PJM estimated that voluntary curtailments through its demand response program reduced wholesale energy prices by approximately $12 per megawatt-hour in the summer of 2010 and by more than $300 per megawatt-hour during August 2006.</w:t>
      </w:r>
      <w:r>
        <w:rPr>
          <w:rStyle w:val="FootnoteReference"/>
          <w:color w:val="auto"/>
        </w:rPr>
        <w:footnoteReference w:id="32"/>
      </w:r>
    </w:p>
    <w:p w:rsidR="00A60C09" w:rsidRDefault="00A60C09" w:rsidP="002117D1">
      <w:pPr>
        <w:pStyle w:val="Heading3"/>
      </w:pPr>
      <w:bookmarkStart w:id="108" w:name="_Toc390256261"/>
      <w:r w:rsidRPr="009A0F52">
        <w:t>Energy Market Price Convergence</w:t>
      </w:r>
      <w:bookmarkEnd w:id="108"/>
      <w:r w:rsidRPr="00052CE8">
        <w:t xml:space="preserve"> </w:t>
      </w:r>
      <w:bookmarkStart w:id="109" w:name="_bmk53"/>
    </w:p>
    <w:bookmarkEnd w:id="109"/>
    <w:p w:rsidR="00A60C09" w:rsidRDefault="00A60C09" w:rsidP="002117D1">
      <w:pPr>
        <w:pStyle w:val="Default"/>
        <w:spacing w:after="240"/>
        <w:ind w:firstLine="720"/>
      </w:pPr>
      <w:r>
        <w:rPr>
          <w:sz w:val="26"/>
          <w:szCs w:val="26"/>
        </w:rPr>
        <w:t>Convergence of day-ahead and real-time energy prices provides an indication of the efficiency of ISO</w:t>
      </w:r>
      <w:r w:rsidR="000B36E0">
        <w:rPr>
          <w:sz w:val="26"/>
          <w:szCs w:val="26"/>
        </w:rPr>
        <w:t xml:space="preserve"> and </w:t>
      </w:r>
      <w:r>
        <w:rPr>
          <w:sz w:val="26"/>
          <w:szCs w:val="26"/>
        </w:rPr>
        <w:t xml:space="preserve">RTO markets. Since the large majority of energy settlements and generator commitments occur in the day-ahead market, day-ahead price convergence with the real-time market ensures efficient day-ahead commitments that reflect real-time operating needs.  Energy market price convergence is measured by the absolute value and percentage of the annual difference between real-time energy market prices and day-ahead market prices.  Prices in </w:t>
      </w:r>
      <w:r w:rsidR="0069010F">
        <w:rPr>
          <w:sz w:val="26"/>
          <w:szCs w:val="26"/>
        </w:rPr>
        <w:t>ISO-NE, MISO</w:t>
      </w:r>
      <w:r w:rsidR="0042444D">
        <w:rPr>
          <w:sz w:val="26"/>
          <w:szCs w:val="26"/>
        </w:rPr>
        <w:t xml:space="preserve"> and</w:t>
      </w:r>
      <w:r w:rsidR="0069010F">
        <w:rPr>
          <w:sz w:val="26"/>
          <w:szCs w:val="26"/>
        </w:rPr>
        <w:t xml:space="preserve"> PJM </w:t>
      </w:r>
      <w:r>
        <w:rPr>
          <w:sz w:val="26"/>
          <w:szCs w:val="26"/>
        </w:rPr>
        <w:t xml:space="preserve">showed a </w:t>
      </w:r>
      <w:r w:rsidR="0042444D">
        <w:rPr>
          <w:sz w:val="26"/>
          <w:szCs w:val="26"/>
        </w:rPr>
        <w:t>difference of less than two percent</w:t>
      </w:r>
      <w:r>
        <w:rPr>
          <w:sz w:val="26"/>
          <w:szCs w:val="26"/>
        </w:rPr>
        <w:t xml:space="preserve"> between day-ahead and real-time prices.</w:t>
      </w:r>
      <w:r w:rsidR="0042444D">
        <w:rPr>
          <w:sz w:val="26"/>
          <w:szCs w:val="26"/>
        </w:rPr>
        <w:t xml:space="preserve">  NYISO reported a difference of between four and one per</w:t>
      </w:r>
      <w:r w:rsidR="00452A46">
        <w:rPr>
          <w:sz w:val="26"/>
          <w:szCs w:val="26"/>
        </w:rPr>
        <w:t>cent.</w:t>
      </w:r>
      <w:r w:rsidR="0069010F">
        <w:rPr>
          <w:sz w:val="26"/>
          <w:szCs w:val="26"/>
        </w:rPr>
        <w:t xml:space="preserve">  In CAISO, day-ahead and real-time prices had a difference of </w:t>
      </w:r>
      <w:r w:rsidR="00960F5F">
        <w:rPr>
          <w:sz w:val="26"/>
          <w:szCs w:val="26"/>
        </w:rPr>
        <w:t>between eight and nine percent</w:t>
      </w:r>
      <w:r w:rsidR="00CD09C6">
        <w:rPr>
          <w:sz w:val="26"/>
          <w:szCs w:val="26"/>
        </w:rPr>
        <w:t xml:space="preserve"> in 2009</w:t>
      </w:r>
      <w:r w:rsidR="00907AD8">
        <w:rPr>
          <w:rStyle w:val="FootnoteReference"/>
        </w:rPr>
        <w:footnoteReference w:id="33"/>
      </w:r>
      <w:r w:rsidR="00CD09C6">
        <w:rPr>
          <w:sz w:val="26"/>
          <w:szCs w:val="26"/>
        </w:rPr>
        <w:t xml:space="preserve"> and 2010.  SPP did not report convergence information since it did not </w:t>
      </w:r>
      <w:r w:rsidR="00960F5F">
        <w:rPr>
          <w:sz w:val="26"/>
          <w:szCs w:val="26"/>
        </w:rPr>
        <w:t>operate</w:t>
      </w:r>
      <w:r w:rsidR="00CD09C6">
        <w:rPr>
          <w:sz w:val="26"/>
          <w:szCs w:val="26"/>
        </w:rPr>
        <w:t xml:space="preserve"> a day-ahead market.</w:t>
      </w:r>
      <w:r w:rsidR="009A7D33">
        <w:rPr>
          <w:rStyle w:val="FootnoteReference"/>
        </w:rPr>
        <w:footnoteReference w:id="34"/>
      </w:r>
      <w:r>
        <w:rPr>
          <w:sz w:val="26"/>
          <w:szCs w:val="26"/>
        </w:rPr>
        <w:t xml:space="preserve"> </w:t>
      </w:r>
    </w:p>
    <w:p w:rsidR="00A60C09" w:rsidRDefault="00A60C09" w:rsidP="002117D1">
      <w:pPr>
        <w:pStyle w:val="Heading3"/>
      </w:pPr>
      <w:bookmarkStart w:id="110" w:name="_Toc390256262"/>
      <w:r w:rsidRPr="009A0F52">
        <w:t>Congestion Management Metrics</w:t>
      </w:r>
      <w:bookmarkEnd w:id="110"/>
      <w:r w:rsidRPr="00052CE8">
        <w:t xml:space="preserve"> </w:t>
      </w:r>
      <w:bookmarkStart w:id="111" w:name="_bmk54"/>
    </w:p>
    <w:bookmarkEnd w:id="111"/>
    <w:p w:rsidR="00A60C09" w:rsidRDefault="00A60C09" w:rsidP="002117D1">
      <w:pPr>
        <w:pStyle w:val="Default"/>
        <w:spacing w:after="240"/>
        <w:ind w:firstLine="720"/>
        <w:rPr>
          <w:sz w:val="26"/>
          <w:szCs w:val="26"/>
        </w:rPr>
      </w:pPr>
      <w:r>
        <w:rPr>
          <w:sz w:val="26"/>
          <w:szCs w:val="26"/>
        </w:rPr>
        <w:t>Congestion represents the cost to customers of paying for more expensive energy because physical transmission line limits do not allow full delivery of least-cost energy.</w:t>
      </w:r>
      <w:r w:rsidR="000B36E0">
        <w:rPr>
          <w:sz w:val="26"/>
          <w:szCs w:val="26"/>
        </w:rPr>
        <w:t xml:space="preserve"> </w:t>
      </w:r>
      <w:r>
        <w:rPr>
          <w:sz w:val="26"/>
          <w:szCs w:val="26"/>
        </w:rPr>
        <w:t xml:space="preserve"> The first congestion management metric, annual congestion costs divided by the megawatt hours of load served, tracks congestion cost trends relative to load growth</w:t>
      </w:r>
      <w:r w:rsidR="000B36E0">
        <w:rPr>
          <w:sz w:val="26"/>
          <w:szCs w:val="26"/>
        </w:rPr>
        <w:t>,</w:t>
      </w:r>
      <w:r>
        <w:rPr>
          <w:sz w:val="26"/>
          <w:szCs w:val="26"/>
        </w:rPr>
        <w:t xml:space="preserve"> thereby providing an indication of the efficiency of the overall ISO</w:t>
      </w:r>
      <w:r w:rsidR="000B36E0">
        <w:rPr>
          <w:sz w:val="26"/>
          <w:szCs w:val="26"/>
        </w:rPr>
        <w:t xml:space="preserve"> or </w:t>
      </w:r>
      <w:r>
        <w:rPr>
          <w:sz w:val="26"/>
          <w:szCs w:val="26"/>
        </w:rPr>
        <w:t>RTO system as well as the effectiveness of ISO</w:t>
      </w:r>
      <w:r w:rsidR="000B36E0">
        <w:rPr>
          <w:sz w:val="26"/>
          <w:szCs w:val="26"/>
        </w:rPr>
        <w:t xml:space="preserve"> or </w:t>
      </w:r>
      <w:r>
        <w:rPr>
          <w:sz w:val="26"/>
          <w:szCs w:val="26"/>
        </w:rPr>
        <w:t xml:space="preserve">RTO efforts to manage congestion costs through transmission expansion planning and other efficiency measures. </w:t>
      </w:r>
      <w:r w:rsidR="000B36E0">
        <w:rPr>
          <w:sz w:val="26"/>
          <w:szCs w:val="26"/>
        </w:rPr>
        <w:t xml:space="preserve"> </w:t>
      </w:r>
      <w:r>
        <w:rPr>
          <w:sz w:val="26"/>
          <w:szCs w:val="26"/>
        </w:rPr>
        <w:t>This metric is also influenced by other factors, such as load trends, and therefore it is not entirely within the control of the ISO</w:t>
      </w:r>
      <w:r w:rsidR="000B36E0">
        <w:rPr>
          <w:sz w:val="26"/>
          <w:szCs w:val="26"/>
        </w:rPr>
        <w:t xml:space="preserve"> or </w:t>
      </w:r>
      <w:r>
        <w:rPr>
          <w:sz w:val="26"/>
          <w:szCs w:val="26"/>
        </w:rPr>
        <w:t xml:space="preserve">RTO. </w:t>
      </w:r>
      <w:r w:rsidR="000B36E0">
        <w:rPr>
          <w:sz w:val="26"/>
          <w:szCs w:val="26"/>
        </w:rPr>
        <w:t xml:space="preserve"> </w:t>
      </w:r>
      <w:r>
        <w:rPr>
          <w:sz w:val="26"/>
          <w:szCs w:val="26"/>
        </w:rPr>
        <w:t xml:space="preserve">The second metric, congestion revenues paid divided by </w:t>
      </w:r>
      <w:r>
        <w:rPr>
          <w:sz w:val="26"/>
          <w:szCs w:val="26"/>
        </w:rPr>
        <w:lastRenderedPageBreak/>
        <w:t>congestion charges expressed as a percentage, tracks the ability of market participants to hedge these congestion costs, and thereby manage their costs.  These metrics are shown on the charts</w:t>
      </w:r>
      <w:r w:rsidR="000B36E0">
        <w:rPr>
          <w:sz w:val="26"/>
          <w:szCs w:val="26"/>
        </w:rPr>
        <w:t xml:space="preserve"> below</w:t>
      </w:r>
      <w:r>
        <w:rPr>
          <w:sz w:val="26"/>
          <w:szCs w:val="26"/>
        </w:rPr>
        <w:t>.</w:t>
      </w:r>
    </w:p>
    <w:p w:rsidR="00A60C09" w:rsidRDefault="0081231A" w:rsidP="002117D1">
      <w:pPr>
        <w:pStyle w:val="Default"/>
        <w:spacing w:after="240"/>
        <w:ind w:firstLine="720"/>
      </w:pPr>
      <w:r w:rsidRPr="0081231A">
        <w:rPr>
          <w:noProof/>
        </w:rPr>
        <w:drawing>
          <wp:inline distT="0" distB="0" distL="0" distR="0" wp14:anchorId="6813A13F" wp14:editId="541DDD01">
            <wp:extent cx="5497195" cy="539051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7195" cy="5390515"/>
                    </a:xfrm>
                    <a:prstGeom prst="rect">
                      <a:avLst/>
                    </a:prstGeom>
                    <a:noFill/>
                    <a:ln>
                      <a:noFill/>
                    </a:ln>
                  </pic:spPr>
                </pic:pic>
              </a:graphicData>
            </a:graphic>
          </wp:inline>
        </w:drawing>
      </w:r>
    </w:p>
    <w:p w:rsidR="00A60C09" w:rsidRDefault="00DA20E1" w:rsidP="002117D1">
      <w:pPr>
        <w:pStyle w:val="Default"/>
        <w:spacing w:after="240"/>
        <w:ind w:firstLine="720"/>
      </w:pPr>
      <w:r w:rsidRPr="00DA20E1">
        <w:rPr>
          <w:noProof/>
        </w:rPr>
        <w:lastRenderedPageBreak/>
        <w:drawing>
          <wp:inline distT="0" distB="0" distL="0" distR="0" wp14:anchorId="18B45784" wp14:editId="598E28DC">
            <wp:extent cx="5495925" cy="555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5925" cy="5553075"/>
                    </a:xfrm>
                    <a:prstGeom prst="rect">
                      <a:avLst/>
                    </a:prstGeom>
                    <a:noFill/>
                    <a:ln>
                      <a:noFill/>
                    </a:ln>
                  </pic:spPr>
                </pic:pic>
              </a:graphicData>
            </a:graphic>
          </wp:inline>
        </w:drawing>
      </w:r>
    </w:p>
    <w:p w:rsidR="00A60C09" w:rsidRDefault="00A60C09" w:rsidP="002117D1">
      <w:pPr>
        <w:pStyle w:val="Heading3"/>
      </w:pPr>
      <w:bookmarkStart w:id="112" w:name="_Toc390256263"/>
      <w:r>
        <w:t>Resource Availability Metric</w:t>
      </w:r>
      <w:bookmarkStart w:id="113" w:name="_bmk55"/>
      <w:bookmarkEnd w:id="112"/>
    </w:p>
    <w:bookmarkEnd w:id="113"/>
    <w:p w:rsidR="00A60C09" w:rsidRDefault="00A60C09" w:rsidP="002117D1">
      <w:pPr>
        <w:pStyle w:val="Default"/>
        <w:spacing w:after="240"/>
        <w:ind w:firstLine="720"/>
        <w:rPr>
          <w:sz w:val="26"/>
          <w:szCs w:val="26"/>
        </w:rPr>
      </w:pPr>
      <w:r>
        <w:rPr>
          <w:sz w:val="26"/>
          <w:szCs w:val="26"/>
        </w:rPr>
        <w:t>In addition to the generator outage metric, discussed above in the common metrics, ISOs and RTOs tracked demand res</w:t>
      </w:r>
      <w:r w:rsidR="006D491F">
        <w:rPr>
          <w:sz w:val="26"/>
          <w:szCs w:val="26"/>
        </w:rPr>
        <w:t>ource</w:t>
      </w:r>
      <w:r>
        <w:rPr>
          <w:sz w:val="26"/>
          <w:szCs w:val="26"/>
        </w:rPr>
        <w:t xml:space="preserve"> availability.  Demand resource availability measures the availability of demand response when called on to perform and when tested for its capability to meet capacity requirements.  PJM reported that demand response performed at 121 percent of capacity values when called on in 2006, and 118 percent in 2009 and 99 percent in 2010 when tested.  </w:t>
      </w:r>
      <w:r w:rsidR="00302377">
        <w:rPr>
          <w:sz w:val="26"/>
          <w:szCs w:val="26"/>
        </w:rPr>
        <w:t xml:space="preserve">Demand resources provided a cumulative load reduction in 2010 of 4,652 </w:t>
      </w:r>
      <w:r w:rsidR="00A36006">
        <w:rPr>
          <w:sz w:val="26"/>
          <w:szCs w:val="26"/>
        </w:rPr>
        <w:t>megawatts</w:t>
      </w:r>
      <w:r w:rsidR="00302377">
        <w:rPr>
          <w:sz w:val="26"/>
          <w:szCs w:val="26"/>
        </w:rPr>
        <w:t xml:space="preserve">.  </w:t>
      </w:r>
      <w:r>
        <w:rPr>
          <w:sz w:val="26"/>
          <w:szCs w:val="26"/>
        </w:rPr>
        <w:t>NYISO reported that demand response was called on for five events in 2006 and two events in 2010.  During the 2006 events</w:t>
      </w:r>
      <w:r w:rsidR="000B36E0">
        <w:rPr>
          <w:sz w:val="26"/>
          <w:szCs w:val="26"/>
        </w:rPr>
        <w:t xml:space="preserve"> in </w:t>
      </w:r>
      <w:r w:rsidR="00302377">
        <w:rPr>
          <w:sz w:val="26"/>
          <w:szCs w:val="26"/>
        </w:rPr>
        <w:t>NYISO</w:t>
      </w:r>
      <w:r>
        <w:rPr>
          <w:sz w:val="26"/>
          <w:szCs w:val="26"/>
        </w:rPr>
        <w:t xml:space="preserve">, demand response provided between </w:t>
      </w:r>
      <w:r w:rsidR="0038307A">
        <w:rPr>
          <w:sz w:val="26"/>
          <w:szCs w:val="26"/>
        </w:rPr>
        <w:t xml:space="preserve">314 and </w:t>
      </w:r>
      <w:r>
        <w:rPr>
          <w:sz w:val="26"/>
          <w:szCs w:val="26"/>
        </w:rPr>
        <w:t>865 megawatts per hour.  During the 2010 events</w:t>
      </w:r>
      <w:r w:rsidR="000B36E0">
        <w:rPr>
          <w:sz w:val="26"/>
          <w:szCs w:val="26"/>
        </w:rPr>
        <w:t xml:space="preserve"> in </w:t>
      </w:r>
      <w:r w:rsidR="00302377">
        <w:rPr>
          <w:sz w:val="26"/>
          <w:szCs w:val="26"/>
        </w:rPr>
        <w:t>NYISO</w:t>
      </w:r>
      <w:r>
        <w:rPr>
          <w:sz w:val="26"/>
          <w:szCs w:val="26"/>
        </w:rPr>
        <w:t xml:space="preserve">, demand response provided </w:t>
      </w:r>
      <w:r w:rsidR="000B36E0">
        <w:rPr>
          <w:sz w:val="26"/>
          <w:szCs w:val="26"/>
        </w:rPr>
        <w:t xml:space="preserve">between </w:t>
      </w:r>
      <w:r>
        <w:rPr>
          <w:sz w:val="26"/>
          <w:szCs w:val="26"/>
        </w:rPr>
        <w:t xml:space="preserve">387 and 409 </w:t>
      </w:r>
      <w:r>
        <w:rPr>
          <w:sz w:val="26"/>
          <w:szCs w:val="26"/>
        </w:rPr>
        <w:lastRenderedPageBreak/>
        <w:t xml:space="preserve">megawatts per hour.  </w:t>
      </w:r>
      <w:r w:rsidR="00ED37DD">
        <w:rPr>
          <w:sz w:val="26"/>
          <w:szCs w:val="26"/>
        </w:rPr>
        <w:t xml:space="preserve">ISO-NE estimated availability of 966 megawatts for on-peak demand resources based on events from August 1, 2006 through August 25, 2009.  </w:t>
      </w:r>
      <w:r>
        <w:rPr>
          <w:sz w:val="26"/>
          <w:szCs w:val="26"/>
        </w:rPr>
        <w:t>MISO reported that it did not call on its load modifying resources during this period.  CAISO and SPP did not report on this metric.</w:t>
      </w:r>
    </w:p>
    <w:p w:rsidR="00A60C09" w:rsidRPr="009A0F52" w:rsidRDefault="00A60C09" w:rsidP="002117D1">
      <w:pPr>
        <w:pStyle w:val="Heading3"/>
      </w:pPr>
      <w:bookmarkStart w:id="114" w:name="_Toc390256264"/>
      <w:r w:rsidRPr="009A0F52">
        <w:t>Renewables Metrics</w:t>
      </w:r>
      <w:bookmarkEnd w:id="114"/>
      <w:r w:rsidRPr="009A0F52">
        <w:t xml:space="preserve"> </w:t>
      </w:r>
      <w:bookmarkStart w:id="115" w:name="_bmk56"/>
    </w:p>
    <w:bookmarkEnd w:id="115"/>
    <w:p w:rsidR="00A60C09" w:rsidRDefault="00A60C09" w:rsidP="001F212D">
      <w:pPr>
        <w:pStyle w:val="Default"/>
        <w:spacing w:after="240"/>
        <w:ind w:firstLine="720"/>
      </w:pPr>
      <w:r>
        <w:rPr>
          <w:color w:val="auto"/>
          <w:sz w:val="26"/>
          <w:szCs w:val="26"/>
        </w:rPr>
        <w:t>Renewable resource</w:t>
      </w:r>
      <w:r>
        <w:rPr>
          <w:rStyle w:val="FootnoteReference"/>
          <w:color w:val="auto"/>
        </w:rPr>
        <w:footnoteReference w:id="35"/>
      </w:r>
      <w:r>
        <w:rPr>
          <w:color w:val="auto"/>
          <w:sz w:val="26"/>
          <w:szCs w:val="26"/>
        </w:rPr>
        <w:t xml:space="preserve"> </w:t>
      </w:r>
      <w:r>
        <w:rPr>
          <w:b/>
          <w:bCs/>
          <w:color w:val="auto"/>
          <w:sz w:val="17"/>
          <w:szCs w:val="17"/>
        </w:rPr>
        <w:t xml:space="preserve"> </w:t>
      </w:r>
      <w:r>
        <w:rPr>
          <w:color w:val="auto"/>
          <w:sz w:val="26"/>
          <w:szCs w:val="26"/>
        </w:rPr>
        <w:t>penetration in ISO</w:t>
      </w:r>
      <w:r w:rsidR="000B36E0">
        <w:rPr>
          <w:color w:val="auto"/>
          <w:sz w:val="26"/>
          <w:szCs w:val="26"/>
        </w:rPr>
        <w:t xml:space="preserve"> and </w:t>
      </w:r>
      <w:r>
        <w:rPr>
          <w:color w:val="auto"/>
          <w:sz w:val="26"/>
          <w:szCs w:val="26"/>
        </w:rPr>
        <w:t>RTO markets is measured as the renewable share of total capacity and the renewable share of total energy.</w:t>
      </w:r>
      <w:r w:rsidR="006D491F">
        <w:rPr>
          <w:color w:val="auto"/>
          <w:sz w:val="26"/>
          <w:szCs w:val="26"/>
        </w:rPr>
        <w:t xml:space="preserve"> </w:t>
      </w:r>
      <w:r>
        <w:rPr>
          <w:color w:val="auto"/>
          <w:sz w:val="26"/>
          <w:szCs w:val="26"/>
        </w:rPr>
        <w:t xml:space="preserve"> The renewables metrics indicate the diversity of an ISO</w:t>
      </w:r>
      <w:r w:rsidR="000B36E0">
        <w:rPr>
          <w:color w:val="auto"/>
          <w:sz w:val="26"/>
          <w:szCs w:val="26"/>
        </w:rPr>
        <w:t xml:space="preserve"> or </w:t>
      </w:r>
      <w:r>
        <w:rPr>
          <w:color w:val="auto"/>
          <w:sz w:val="26"/>
          <w:szCs w:val="26"/>
        </w:rPr>
        <w:t xml:space="preserve">RTO resource mix to meet demand and capacity requirements.  The renewable diversity profiles of the ISOs and RTOs are shown on the </w:t>
      </w:r>
      <w:r w:rsidR="00A34BB2">
        <w:rPr>
          <w:color w:val="auto"/>
          <w:sz w:val="26"/>
          <w:szCs w:val="26"/>
        </w:rPr>
        <w:t>c</w:t>
      </w:r>
      <w:r>
        <w:rPr>
          <w:color w:val="auto"/>
          <w:sz w:val="26"/>
          <w:szCs w:val="26"/>
        </w:rPr>
        <w:t>harts</w:t>
      </w:r>
      <w:r w:rsidR="00A34BB2">
        <w:rPr>
          <w:color w:val="auto"/>
          <w:sz w:val="26"/>
          <w:szCs w:val="26"/>
        </w:rPr>
        <w:t xml:space="preserve"> below</w:t>
      </w:r>
      <w:r>
        <w:rPr>
          <w:color w:val="auto"/>
          <w:sz w:val="26"/>
          <w:szCs w:val="26"/>
        </w:rPr>
        <w:t>.</w:t>
      </w:r>
    </w:p>
    <w:p w:rsidR="00A60C09" w:rsidRDefault="00281B79" w:rsidP="002117D1">
      <w:pPr>
        <w:pStyle w:val="Default"/>
        <w:spacing w:after="240"/>
      </w:pPr>
      <w:r w:rsidRPr="00281B79">
        <w:rPr>
          <w:noProof/>
        </w:rPr>
        <w:lastRenderedPageBreak/>
        <w:drawing>
          <wp:inline distT="0" distB="0" distL="0" distR="0" wp14:anchorId="7B44A71D" wp14:editId="13CBFD72">
            <wp:extent cx="5495925" cy="5391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5925" cy="5391150"/>
                    </a:xfrm>
                    <a:prstGeom prst="rect">
                      <a:avLst/>
                    </a:prstGeom>
                    <a:noFill/>
                    <a:ln>
                      <a:noFill/>
                    </a:ln>
                  </pic:spPr>
                </pic:pic>
              </a:graphicData>
            </a:graphic>
          </wp:inline>
        </w:drawing>
      </w:r>
    </w:p>
    <w:p w:rsidR="00A60C09" w:rsidRDefault="006D491F" w:rsidP="002117D1">
      <w:pPr>
        <w:pStyle w:val="Default"/>
        <w:spacing w:after="240"/>
      </w:pPr>
      <w:r w:rsidRPr="006D491F">
        <w:rPr>
          <w:noProof/>
        </w:rPr>
        <w:lastRenderedPageBreak/>
        <w:drawing>
          <wp:inline distT="0" distB="0" distL="0" distR="0" wp14:anchorId="13C6C646" wp14:editId="4BB12653">
            <wp:extent cx="5495925" cy="5553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5553075"/>
                    </a:xfrm>
                    <a:prstGeom prst="rect">
                      <a:avLst/>
                    </a:prstGeom>
                    <a:noFill/>
                    <a:ln>
                      <a:noFill/>
                    </a:ln>
                  </pic:spPr>
                </pic:pic>
              </a:graphicData>
            </a:graphic>
          </wp:inline>
        </w:drawing>
      </w:r>
    </w:p>
    <w:p w:rsidR="00A60C09" w:rsidRPr="009A0F52" w:rsidRDefault="00A60C09" w:rsidP="002117D1">
      <w:pPr>
        <w:pStyle w:val="Heading3"/>
      </w:pPr>
      <w:bookmarkStart w:id="116" w:name="_Toc390256265"/>
      <w:r w:rsidRPr="009A0F52">
        <w:t>Administrative Costs Metrics</w:t>
      </w:r>
      <w:bookmarkEnd w:id="116"/>
      <w:r w:rsidRPr="009A0F52">
        <w:t xml:space="preserve"> </w:t>
      </w:r>
      <w:bookmarkStart w:id="117" w:name="_bmk57"/>
    </w:p>
    <w:bookmarkEnd w:id="117"/>
    <w:p w:rsidR="00A60C09" w:rsidRDefault="00A60C09" w:rsidP="002117D1">
      <w:pPr>
        <w:pStyle w:val="Default"/>
        <w:spacing w:after="240"/>
        <w:ind w:firstLine="720"/>
        <w:rPr>
          <w:sz w:val="26"/>
          <w:szCs w:val="26"/>
        </w:rPr>
      </w:pPr>
      <w:r>
        <w:rPr>
          <w:sz w:val="26"/>
          <w:szCs w:val="26"/>
        </w:rPr>
        <w:t>Administrative cost metrics measure the ability of ISOs and RTOs to manage the growth rate of administrative costs commensurate with the growth rate of system load (administrative charges cents per megawatt-hour of load served metric) and to keep costs within budgeted levels (actual versus budgeted administrative charges metric).</w:t>
      </w:r>
      <w:r w:rsidR="006D491F">
        <w:rPr>
          <w:sz w:val="26"/>
          <w:szCs w:val="26"/>
        </w:rPr>
        <w:t xml:space="preserve"> </w:t>
      </w:r>
      <w:r>
        <w:rPr>
          <w:sz w:val="26"/>
          <w:szCs w:val="26"/>
        </w:rPr>
        <w:t xml:space="preserve"> The components of ISO</w:t>
      </w:r>
      <w:r w:rsidR="00AF3071">
        <w:rPr>
          <w:sz w:val="26"/>
          <w:szCs w:val="26"/>
        </w:rPr>
        <w:t xml:space="preserve"> and </w:t>
      </w:r>
      <w:r>
        <w:rPr>
          <w:sz w:val="26"/>
          <w:szCs w:val="26"/>
        </w:rPr>
        <w:t>RTO administrative costs are capital costs – capital charges, debt service, interest expense and depreciation expense – and operating and maintenance costs net of miscellaneous income.</w:t>
      </w:r>
      <w:r w:rsidR="006D491F">
        <w:rPr>
          <w:sz w:val="26"/>
          <w:szCs w:val="26"/>
        </w:rPr>
        <w:t xml:space="preserve"> </w:t>
      </w:r>
      <w:r>
        <w:rPr>
          <w:sz w:val="26"/>
          <w:szCs w:val="26"/>
        </w:rPr>
        <w:t xml:space="preserve"> By managing administrative costs, ISOs</w:t>
      </w:r>
      <w:r w:rsidR="00AF3071">
        <w:rPr>
          <w:sz w:val="26"/>
          <w:szCs w:val="26"/>
        </w:rPr>
        <w:t xml:space="preserve"> and </w:t>
      </w:r>
      <w:r>
        <w:rPr>
          <w:sz w:val="26"/>
          <w:szCs w:val="26"/>
        </w:rPr>
        <w:t>RTOs can reduce customer costs.</w:t>
      </w:r>
    </w:p>
    <w:p w:rsidR="00A60C09" w:rsidRDefault="00A60C09" w:rsidP="002117D1">
      <w:pPr>
        <w:pStyle w:val="Default"/>
        <w:spacing w:after="240"/>
        <w:ind w:firstLine="720"/>
      </w:pPr>
      <w:r>
        <w:rPr>
          <w:sz w:val="26"/>
          <w:szCs w:val="26"/>
        </w:rPr>
        <w:t xml:space="preserve">The pertinent analysis of the data shown on the accompanying chart is the trend in costs over the 2006–2010 for each ISO or RTO.  Direct comparisons between the ISOs </w:t>
      </w:r>
      <w:r>
        <w:rPr>
          <w:sz w:val="26"/>
          <w:szCs w:val="26"/>
        </w:rPr>
        <w:lastRenderedPageBreak/>
        <w:t>and RTOs are not meaningful.  While administrative costs vary widely across the ISOs and RTOs, from 20 cents per megawatt-hour for SPP up to over $1 dollar per megawatt-hour for ISO-NE, these cost differences are primarily attributable to the differences in the responsibilities of the various ISOs and RTOs.  For example, during the 2006–2010 period, eastern ISOs and RTOs managed day-two energy and reserve markets as well as capacity markets, thereby increasing their administrative costs, compared to an RTO such as SPP that only managed a day-one energy market and did not manage a capacity market.  With respect to the second metric</w:t>
      </w:r>
      <w:r w:rsidR="00AF3071">
        <w:rPr>
          <w:sz w:val="26"/>
          <w:szCs w:val="26"/>
        </w:rPr>
        <w:t>, which</w:t>
      </w:r>
      <w:r>
        <w:rPr>
          <w:sz w:val="26"/>
          <w:szCs w:val="26"/>
        </w:rPr>
        <w:t xml:space="preserve"> compares actual costs to budgeted amounts, this comparison is shown for noncapital (operations and maintenance costs) and capital costs (capital charges, debt service, interest expense and depreciation expense) on the charts</w:t>
      </w:r>
      <w:r w:rsidR="00AF3071">
        <w:rPr>
          <w:sz w:val="26"/>
          <w:szCs w:val="26"/>
        </w:rPr>
        <w:t xml:space="preserve"> below</w:t>
      </w:r>
      <w:r>
        <w:rPr>
          <w:sz w:val="26"/>
          <w:szCs w:val="26"/>
        </w:rPr>
        <w:t xml:space="preserve">. </w:t>
      </w:r>
    </w:p>
    <w:p w:rsidR="00A60C09" w:rsidRDefault="009104A6" w:rsidP="002117D1">
      <w:pPr>
        <w:pStyle w:val="Default"/>
        <w:spacing w:after="240"/>
      </w:pPr>
      <w:r w:rsidRPr="009104A6">
        <w:rPr>
          <w:noProof/>
        </w:rPr>
        <w:drawing>
          <wp:inline distT="0" distB="0" distL="0" distR="0" wp14:anchorId="66180F26" wp14:editId="440A0C35">
            <wp:extent cx="5943600" cy="418303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183039"/>
                    </a:xfrm>
                    <a:prstGeom prst="rect">
                      <a:avLst/>
                    </a:prstGeom>
                    <a:noFill/>
                    <a:ln>
                      <a:noFill/>
                    </a:ln>
                  </pic:spPr>
                </pic:pic>
              </a:graphicData>
            </a:graphic>
          </wp:inline>
        </w:drawing>
      </w:r>
    </w:p>
    <w:p w:rsidR="00A60C09" w:rsidRDefault="00281B79" w:rsidP="002117D1">
      <w:pPr>
        <w:pStyle w:val="Default"/>
        <w:spacing w:after="240"/>
      </w:pPr>
      <w:r w:rsidRPr="00281B79">
        <w:rPr>
          <w:noProof/>
        </w:rPr>
        <w:lastRenderedPageBreak/>
        <w:drawing>
          <wp:inline distT="0" distB="0" distL="0" distR="0" wp14:anchorId="50831A34" wp14:editId="50912BA2">
            <wp:extent cx="5495925" cy="5553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5553075"/>
                    </a:xfrm>
                    <a:prstGeom prst="rect">
                      <a:avLst/>
                    </a:prstGeom>
                    <a:noFill/>
                    <a:ln>
                      <a:noFill/>
                    </a:ln>
                  </pic:spPr>
                </pic:pic>
              </a:graphicData>
            </a:graphic>
          </wp:inline>
        </w:drawing>
      </w:r>
    </w:p>
    <w:p w:rsidR="00A60C09" w:rsidRDefault="0015047A" w:rsidP="002117D1">
      <w:pPr>
        <w:pStyle w:val="Default"/>
        <w:spacing w:after="240"/>
      </w:pPr>
      <w:r>
        <w:lastRenderedPageBreak/>
        <w:pict>
          <v:shape id="_x0000_i1029" type="#_x0000_t75" style="width:432.75pt;height:436.5pt">
            <v:imagedata r:id="rId46" o:title=""/>
          </v:shape>
        </w:pict>
      </w:r>
    </w:p>
    <w:p w:rsidR="00A60C09" w:rsidRPr="009A0F52" w:rsidRDefault="00A60C09" w:rsidP="002117D1">
      <w:pPr>
        <w:pStyle w:val="Heading3"/>
      </w:pPr>
      <w:bookmarkStart w:id="118" w:name="_Toc390256266"/>
      <w:r w:rsidRPr="009A0F52">
        <w:t>Customer Satisfaction Metric</w:t>
      </w:r>
      <w:bookmarkEnd w:id="118"/>
      <w:r w:rsidRPr="009A0F52">
        <w:t xml:space="preserve"> </w:t>
      </w:r>
      <w:bookmarkStart w:id="119" w:name="_bmk58"/>
    </w:p>
    <w:bookmarkEnd w:id="119"/>
    <w:p w:rsidR="00A60C09" w:rsidRDefault="00A60C09" w:rsidP="002117D1">
      <w:pPr>
        <w:pStyle w:val="Default"/>
        <w:spacing w:after="240"/>
        <w:ind w:firstLine="720"/>
        <w:rPr>
          <w:sz w:val="26"/>
          <w:szCs w:val="26"/>
        </w:rPr>
      </w:pPr>
      <w:r>
        <w:rPr>
          <w:sz w:val="26"/>
          <w:szCs w:val="26"/>
        </w:rPr>
        <w:t xml:space="preserve">The percentage of satisfied </w:t>
      </w:r>
      <w:proofErr w:type="gramStart"/>
      <w:r>
        <w:rPr>
          <w:sz w:val="26"/>
          <w:szCs w:val="26"/>
        </w:rPr>
        <w:t>members</w:t>
      </w:r>
      <w:proofErr w:type="gramEnd"/>
      <w:r>
        <w:rPr>
          <w:sz w:val="26"/>
          <w:szCs w:val="26"/>
        </w:rPr>
        <w:t xml:space="preserve"> metric, based on an independent assessment of customer satisfaction, provides an indication of the extent to which ISOs</w:t>
      </w:r>
      <w:r w:rsidR="00B4254F">
        <w:rPr>
          <w:sz w:val="26"/>
          <w:szCs w:val="26"/>
        </w:rPr>
        <w:t xml:space="preserve"> and </w:t>
      </w:r>
      <w:r>
        <w:rPr>
          <w:sz w:val="26"/>
          <w:szCs w:val="26"/>
        </w:rPr>
        <w:t xml:space="preserve">RTOs provide value to their customers. </w:t>
      </w:r>
      <w:r w:rsidR="00B4254F">
        <w:rPr>
          <w:sz w:val="26"/>
          <w:szCs w:val="26"/>
        </w:rPr>
        <w:t xml:space="preserve"> </w:t>
      </w:r>
      <w:r>
        <w:rPr>
          <w:sz w:val="26"/>
          <w:szCs w:val="26"/>
        </w:rPr>
        <w:t>The independent assessments of customer satisfaction are based on surveys undertaken by independent, third-party entities.</w:t>
      </w:r>
      <w:r w:rsidR="00B4254F">
        <w:rPr>
          <w:sz w:val="26"/>
          <w:szCs w:val="26"/>
        </w:rPr>
        <w:t xml:space="preserve"> </w:t>
      </w:r>
      <w:r>
        <w:rPr>
          <w:sz w:val="26"/>
          <w:szCs w:val="26"/>
        </w:rPr>
        <w:t xml:space="preserve"> These surveys analyze customer perspectives on a wide range of ISO</w:t>
      </w:r>
      <w:r w:rsidR="00B4254F">
        <w:rPr>
          <w:sz w:val="26"/>
          <w:szCs w:val="26"/>
        </w:rPr>
        <w:t xml:space="preserve"> and </w:t>
      </w:r>
      <w:r>
        <w:rPr>
          <w:sz w:val="26"/>
          <w:szCs w:val="26"/>
        </w:rPr>
        <w:t>RTO activities.  Results of the customer satisf</w:t>
      </w:r>
      <w:r w:rsidR="00474887">
        <w:rPr>
          <w:sz w:val="26"/>
          <w:szCs w:val="26"/>
        </w:rPr>
        <w:t xml:space="preserve">action surveys are shown on the </w:t>
      </w:r>
      <w:r>
        <w:rPr>
          <w:sz w:val="26"/>
          <w:szCs w:val="26"/>
        </w:rPr>
        <w:t>charts</w:t>
      </w:r>
      <w:r w:rsidR="00474887">
        <w:rPr>
          <w:sz w:val="26"/>
          <w:szCs w:val="26"/>
        </w:rPr>
        <w:t xml:space="preserve"> below</w:t>
      </w:r>
      <w:r>
        <w:rPr>
          <w:sz w:val="26"/>
          <w:szCs w:val="26"/>
        </w:rPr>
        <w:t>.</w:t>
      </w:r>
    </w:p>
    <w:p w:rsidR="00A60C09" w:rsidRDefault="00C53ADF" w:rsidP="002117D1">
      <w:pPr>
        <w:pStyle w:val="Default"/>
        <w:spacing w:after="240"/>
      </w:pPr>
      <w:r>
        <w:lastRenderedPageBreak/>
        <w:pict>
          <v:shape id="_x0000_i1030" type="#_x0000_t75" style="width:432.75pt;height:424.5pt">
            <v:imagedata r:id="rId47" o:title=""/>
          </v:shape>
        </w:pict>
      </w:r>
    </w:p>
    <w:p w:rsidR="00A60C09" w:rsidRPr="005260C8" w:rsidRDefault="00A60C09" w:rsidP="002117D1">
      <w:pPr>
        <w:pStyle w:val="Heading3"/>
      </w:pPr>
      <w:bookmarkStart w:id="120" w:name="_Toc390256267"/>
      <w:r w:rsidRPr="009A0F52">
        <w:t>Billing Controls Metric</w:t>
      </w:r>
      <w:bookmarkEnd w:id="120"/>
      <w:r w:rsidRPr="005260C8">
        <w:t xml:space="preserve"> </w:t>
      </w:r>
      <w:bookmarkStart w:id="121" w:name="_bmk59"/>
    </w:p>
    <w:bookmarkEnd w:id="121"/>
    <w:p w:rsidR="00A60C09" w:rsidRDefault="00A60C09" w:rsidP="002117D1">
      <w:pPr>
        <w:pStyle w:val="Default"/>
        <w:spacing w:after="240"/>
        <w:ind w:firstLine="720"/>
        <w:rPr>
          <w:sz w:val="26"/>
          <w:szCs w:val="26"/>
        </w:rPr>
      </w:pPr>
      <w:r>
        <w:rPr>
          <w:sz w:val="26"/>
          <w:szCs w:val="26"/>
        </w:rPr>
        <w:t>This metric indicates the accuracy and integrity of the ISO</w:t>
      </w:r>
      <w:r w:rsidR="00B4254F">
        <w:rPr>
          <w:sz w:val="26"/>
          <w:szCs w:val="26"/>
        </w:rPr>
        <w:t xml:space="preserve"> and </w:t>
      </w:r>
      <w:r>
        <w:rPr>
          <w:sz w:val="26"/>
          <w:szCs w:val="26"/>
        </w:rPr>
        <w:t>RTO billing process</w:t>
      </w:r>
      <w:r w:rsidR="00B4254F">
        <w:rPr>
          <w:sz w:val="26"/>
          <w:szCs w:val="26"/>
        </w:rPr>
        <w:t>es</w:t>
      </w:r>
      <w:r>
        <w:rPr>
          <w:sz w:val="26"/>
          <w:szCs w:val="26"/>
        </w:rPr>
        <w:t xml:space="preserve">, based on audits conducted according to the Statement on Auditing Standards No. 70 (SAS 70) guidelines set by the American Institute of Certified Public Accountants. </w:t>
      </w:r>
      <w:r w:rsidR="00B4254F">
        <w:rPr>
          <w:sz w:val="26"/>
          <w:szCs w:val="26"/>
        </w:rPr>
        <w:t xml:space="preserve"> </w:t>
      </w:r>
      <w:r>
        <w:rPr>
          <w:sz w:val="26"/>
          <w:szCs w:val="26"/>
        </w:rPr>
        <w:t>The audits describe the controls, the results of testing of the ISO</w:t>
      </w:r>
      <w:r w:rsidR="00B4254F">
        <w:rPr>
          <w:sz w:val="26"/>
          <w:szCs w:val="26"/>
        </w:rPr>
        <w:t xml:space="preserve"> and </w:t>
      </w:r>
      <w:r>
        <w:rPr>
          <w:sz w:val="26"/>
          <w:szCs w:val="26"/>
        </w:rPr>
        <w:t>RTO controls, whether the controls were designed to achieve the control objectives, the auditor’s opinions on the audit and whether the controls that were tested operat</w:t>
      </w:r>
      <w:r w:rsidR="00B4254F">
        <w:rPr>
          <w:sz w:val="26"/>
          <w:szCs w:val="26"/>
        </w:rPr>
        <w:t>ed</w:t>
      </w:r>
      <w:r>
        <w:rPr>
          <w:sz w:val="26"/>
          <w:szCs w:val="26"/>
        </w:rPr>
        <w:t xml:space="preserve"> with sufficient effectiveness to provide reasonable assurance that the control objectives were achieved.</w:t>
      </w:r>
    </w:p>
    <w:p w:rsidR="00A60C09" w:rsidRDefault="00A60C09" w:rsidP="002117D1">
      <w:pPr>
        <w:pStyle w:val="Default"/>
        <w:spacing w:after="240"/>
        <w:ind w:firstLine="720"/>
        <w:rPr>
          <w:sz w:val="26"/>
          <w:szCs w:val="26"/>
        </w:rPr>
      </w:pPr>
      <w:r>
        <w:rPr>
          <w:sz w:val="26"/>
          <w:szCs w:val="26"/>
        </w:rPr>
        <w:t>There are two types of SAS 70 audits: Type 1 audits</w:t>
      </w:r>
      <w:r w:rsidR="00B4254F">
        <w:rPr>
          <w:sz w:val="26"/>
          <w:szCs w:val="26"/>
        </w:rPr>
        <w:t>,</w:t>
      </w:r>
      <w:r>
        <w:rPr>
          <w:sz w:val="26"/>
          <w:szCs w:val="26"/>
        </w:rPr>
        <w:t xml:space="preserve"> which assess the adequacy of the control design</w:t>
      </w:r>
      <w:r w:rsidR="00B4254F">
        <w:rPr>
          <w:sz w:val="26"/>
          <w:szCs w:val="26"/>
        </w:rPr>
        <w:t>,</w:t>
      </w:r>
      <w:r>
        <w:rPr>
          <w:sz w:val="26"/>
          <w:szCs w:val="26"/>
        </w:rPr>
        <w:t xml:space="preserve"> and Type 2 audits</w:t>
      </w:r>
      <w:r w:rsidR="00B4254F">
        <w:rPr>
          <w:sz w:val="26"/>
          <w:szCs w:val="26"/>
        </w:rPr>
        <w:t>,</w:t>
      </w:r>
      <w:r>
        <w:rPr>
          <w:sz w:val="26"/>
          <w:szCs w:val="26"/>
        </w:rPr>
        <w:t xml:space="preserve"> which review both the adequacy of the control design and whether the controls are being followed.  An unqualified opinion indicates </w:t>
      </w:r>
      <w:r>
        <w:rPr>
          <w:sz w:val="26"/>
          <w:szCs w:val="26"/>
        </w:rPr>
        <w:lastRenderedPageBreak/>
        <w:t>that the independent auditor found the control objectives for each of the areas covered by the audit to be adequately designed and operated for the audit period.  A qualified opinion means the independent auditor found the design and/or the operation of one or more of the control objectives inadequate.  In this case, specific inadequate control objective(s) are identified and the remaining control objectives covered by the audit are deemed adequate.  Audit results are shown in the table below.</w:t>
      </w:r>
    </w:p>
    <w:p w:rsidR="00A60C09" w:rsidRDefault="00A60C09" w:rsidP="002117D1">
      <w:pPr>
        <w:pStyle w:val="Default"/>
        <w:spacing w:after="240"/>
        <w:ind w:firstLine="720"/>
        <w:jc w:val="center"/>
        <w:rPr>
          <w:b/>
          <w:sz w:val="26"/>
          <w:szCs w:val="26"/>
          <w:u w:val="single"/>
        </w:rPr>
      </w:pPr>
      <w:r>
        <w:rPr>
          <w:b/>
          <w:sz w:val="26"/>
          <w:szCs w:val="26"/>
          <w:u w:val="single"/>
        </w:rPr>
        <w:t>2006 – 2010 Billing Control Audits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508"/>
        <w:gridCol w:w="1530"/>
        <w:gridCol w:w="1458"/>
        <w:gridCol w:w="1583"/>
        <w:gridCol w:w="1477"/>
      </w:tblGrid>
      <w:tr w:rsidR="00A60C09" w:rsidRPr="000B610E" w:rsidTr="00953D39">
        <w:tc>
          <w:tcPr>
            <w:tcW w:w="1300"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ISO/RTO</w:t>
            </w:r>
          </w:p>
        </w:tc>
        <w:tc>
          <w:tcPr>
            <w:tcW w:w="1508"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2006</w:t>
            </w:r>
          </w:p>
        </w:tc>
        <w:tc>
          <w:tcPr>
            <w:tcW w:w="1530"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2007</w:t>
            </w:r>
          </w:p>
        </w:tc>
        <w:tc>
          <w:tcPr>
            <w:tcW w:w="1458"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2008</w:t>
            </w:r>
          </w:p>
        </w:tc>
        <w:tc>
          <w:tcPr>
            <w:tcW w:w="1583"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2009</w:t>
            </w:r>
          </w:p>
        </w:tc>
        <w:tc>
          <w:tcPr>
            <w:tcW w:w="1477" w:type="dxa"/>
            <w:shd w:val="clear" w:color="auto" w:fill="auto"/>
          </w:tcPr>
          <w:p w:rsidR="00A60C09" w:rsidRPr="000B610E" w:rsidRDefault="00A60C09" w:rsidP="002117D1">
            <w:pPr>
              <w:pStyle w:val="Default"/>
              <w:spacing w:after="240"/>
              <w:jc w:val="center"/>
              <w:rPr>
                <w:b/>
                <w:sz w:val="26"/>
                <w:szCs w:val="26"/>
                <w:u w:val="single"/>
              </w:rPr>
            </w:pPr>
            <w:r w:rsidRPr="000B610E">
              <w:rPr>
                <w:b/>
                <w:sz w:val="26"/>
                <w:szCs w:val="26"/>
                <w:u w:val="single"/>
              </w:rPr>
              <w:t>2010</w:t>
            </w:r>
          </w:p>
        </w:tc>
      </w:tr>
      <w:tr w:rsidR="00362F4E" w:rsidRPr="000B610E" w:rsidTr="00C4252F">
        <w:tc>
          <w:tcPr>
            <w:tcW w:w="1300" w:type="dxa"/>
            <w:shd w:val="clear" w:color="auto" w:fill="auto"/>
          </w:tcPr>
          <w:p w:rsidR="00362F4E" w:rsidRPr="000B610E" w:rsidRDefault="00362F4E" w:rsidP="007E5590">
            <w:pPr>
              <w:pStyle w:val="Default"/>
              <w:jc w:val="center"/>
              <w:rPr>
                <w:sz w:val="26"/>
                <w:szCs w:val="26"/>
              </w:rPr>
            </w:pPr>
            <w:r w:rsidRPr="000B610E">
              <w:rPr>
                <w:sz w:val="26"/>
                <w:szCs w:val="26"/>
              </w:rPr>
              <w:t>CAISO</w:t>
            </w:r>
          </w:p>
        </w:tc>
        <w:tc>
          <w:tcPr>
            <w:tcW w:w="1508"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c>
          <w:tcPr>
            <w:tcW w:w="1530" w:type="dxa"/>
            <w:shd w:val="clear" w:color="auto" w:fill="auto"/>
          </w:tcPr>
          <w:p w:rsidR="00362F4E" w:rsidRPr="000B610E" w:rsidRDefault="00362F4E" w:rsidP="007E5590">
            <w:pPr>
              <w:pStyle w:val="Default"/>
              <w:jc w:val="center"/>
              <w:rPr>
                <w:sz w:val="26"/>
                <w:szCs w:val="26"/>
              </w:rPr>
            </w:pPr>
            <w:r w:rsidRPr="000B610E">
              <w:rPr>
                <w:sz w:val="26"/>
                <w:szCs w:val="26"/>
              </w:rPr>
              <w:t>Qualified</w:t>
            </w:r>
          </w:p>
          <w:p w:rsidR="00362F4E" w:rsidRPr="000B610E" w:rsidRDefault="00362F4E" w:rsidP="007E5590">
            <w:pPr>
              <w:pStyle w:val="Default"/>
              <w:jc w:val="center"/>
              <w:rPr>
                <w:sz w:val="26"/>
                <w:szCs w:val="26"/>
              </w:rPr>
            </w:pPr>
            <w:r w:rsidRPr="000B610E">
              <w:rPr>
                <w:sz w:val="26"/>
                <w:szCs w:val="26"/>
              </w:rPr>
              <w:t>(Type 2)</w:t>
            </w:r>
          </w:p>
        </w:tc>
        <w:tc>
          <w:tcPr>
            <w:tcW w:w="1458" w:type="dxa"/>
            <w:shd w:val="clear" w:color="auto" w:fill="auto"/>
          </w:tcPr>
          <w:p w:rsidR="00362F4E" w:rsidRPr="000B610E" w:rsidRDefault="00362F4E" w:rsidP="007E5590">
            <w:pPr>
              <w:pStyle w:val="Default"/>
              <w:jc w:val="center"/>
              <w:rPr>
                <w:sz w:val="26"/>
                <w:szCs w:val="26"/>
              </w:rPr>
            </w:pPr>
            <w:r w:rsidRPr="000B610E">
              <w:rPr>
                <w:sz w:val="26"/>
                <w:szCs w:val="26"/>
              </w:rPr>
              <w:t>Qualified</w:t>
            </w:r>
          </w:p>
          <w:p w:rsidR="00362F4E" w:rsidRPr="000B610E" w:rsidRDefault="00362F4E" w:rsidP="007E5590">
            <w:pPr>
              <w:pStyle w:val="Default"/>
              <w:jc w:val="center"/>
              <w:rPr>
                <w:sz w:val="26"/>
                <w:szCs w:val="26"/>
              </w:rPr>
            </w:pPr>
            <w:r w:rsidRPr="000B610E">
              <w:rPr>
                <w:sz w:val="26"/>
                <w:szCs w:val="26"/>
              </w:rPr>
              <w:t>(Type 2)</w:t>
            </w:r>
          </w:p>
        </w:tc>
        <w:tc>
          <w:tcPr>
            <w:tcW w:w="1583"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 xml:space="preserve">(Type 1 and </w:t>
            </w:r>
            <w:r w:rsidR="006D491F">
              <w:rPr>
                <w:sz w:val="26"/>
                <w:szCs w:val="26"/>
              </w:rPr>
              <w:t xml:space="preserve">Type </w:t>
            </w:r>
            <w:r w:rsidRPr="000B610E">
              <w:rPr>
                <w:sz w:val="26"/>
                <w:szCs w:val="26"/>
              </w:rPr>
              <w:t>2)</w:t>
            </w:r>
          </w:p>
        </w:tc>
        <w:tc>
          <w:tcPr>
            <w:tcW w:w="1477"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r>
      <w:tr w:rsidR="00A60C09" w:rsidRPr="000B610E" w:rsidTr="00953D39">
        <w:tc>
          <w:tcPr>
            <w:tcW w:w="1300" w:type="dxa"/>
            <w:shd w:val="clear" w:color="auto" w:fill="auto"/>
          </w:tcPr>
          <w:p w:rsidR="00A60C09" w:rsidRPr="000B610E" w:rsidRDefault="00A60C09" w:rsidP="007E5590">
            <w:pPr>
              <w:pStyle w:val="Default"/>
              <w:jc w:val="center"/>
              <w:rPr>
                <w:sz w:val="26"/>
                <w:szCs w:val="26"/>
              </w:rPr>
            </w:pPr>
            <w:r w:rsidRPr="000B610E">
              <w:rPr>
                <w:sz w:val="26"/>
                <w:szCs w:val="26"/>
              </w:rPr>
              <w:t>ISO-NE</w:t>
            </w:r>
          </w:p>
        </w:tc>
        <w:tc>
          <w:tcPr>
            <w:tcW w:w="150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30"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5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83"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77"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r>
      <w:tr w:rsidR="00A60C09" w:rsidRPr="000B610E" w:rsidTr="00953D39">
        <w:tc>
          <w:tcPr>
            <w:tcW w:w="1300" w:type="dxa"/>
            <w:shd w:val="clear" w:color="auto" w:fill="auto"/>
          </w:tcPr>
          <w:p w:rsidR="00A60C09" w:rsidRPr="000B610E" w:rsidRDefault="00A60C09" w:rsidP="007E5590">
            <w:pPr>
              <w:pStyle w:val="Default"/>
              <w:jc w:val="center"/>
              <w:rPr>
                <w:sz w:val="26"/>
                <w:szCs w:val="26"/>
              </w:rPr>
            </w:pPr>
            <w:r w:rsidRPr="000B610E">
              <w:rPr>
                <w:sz w:val="26"/>
                <w:szCs w:val="26"/>
              </w:rPr>
              <w:t>NYISO</w:t>
            </w:r>
          </w:p>
        </w:tc>
        <w:tc>
          <w:tcPr>
            <w:tcW w:w="150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30"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5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83"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77"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r>
      <w:tr w:rsidR="00362F4E" w:rsidRPr="000B610E" w:rsidTr="00C4252F">
        <w:tc>
          <w:tcPr>
            <w:tcW w:w="1300" w:type="dxa"/>
            <w:shd w:val="clear" w:color="auto" w:fill="auto"/>
          </w:tcPr>
          <w:p w:rsidR="00362F4E" w:rsidRPr="000B610E" w:rsidRDefault="00362F4E" w:rsidP="007E5590">
            <w:pPr>
              <w:pStyle w:val="Default"/>
              <w:jc w:val="center"/>
              <w:rPr>
                <w:sz w:val="26"/>
                <w:szCs w:val="26"/>
              </w:rPr>
            </w:pPr>
            <w:r w:rsidRPr="000B610E">
              <w:rPr>
                <w:sz w:val="26"/>
                <w:szCs w:val="26"/>
              </w:rPr>
              <w:t>MISO</w:t>
            </w:r>
          </w:p>
        </w:tc>
        <w:tc>
          <w:tcPr>
            <w:tcW w:w="1508"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c>
          <w:tcPr>
            <w:tcW w:w="1530" w:type="dxa"/>
            <w:shd w:val="clear" w:color="auto" w:fill="auto"/>
          </w:tcPr>
          <w:p w:rsidR="00362F4E" w:rsidRPr="000B610E" w:rsidRDefault="00362F4E" w:rsidP="007E5590">
            <w:pPr>
              <w:pStyle w:val="Default"/>
              <w:jc w:val="center"/>
              <w:rPr>
                <w:sz w:val="26"/>
                <w:szCs w:val="26"/>
              </w:rPr>
            </w:pPr>
            <w:r w:rsidRPr="000B610E">
              <w:rPr>
                <w:sz w:val="26"/>
                <w:szCs w:val="26"/>
              </w:rPr>
              <w:t>Qualified</w:t>
            </w:r>
          </w:p>
          <w:p w:rsidR="00362F4E" w:rsidRPr="000B610E" w:rsidRDefault="00362F4E" w:rsidP="007E5590">
            <w:pPr>
              <w:pStyle w:val="Default"/>
              <w:jc w:val="center"/>
              <w:rPr>
                <w:sz w:val="26"/>
                <w:szCs w:val="26"/>
              </w:rPr>
            </w:pPr>
            <w:r w:rsidRPr="000B610E">
              <w:rPr>
                <w:sz w:val="26"/>
                <w:szCs w:val="26"/>
              </w:rPr>
              <w:t>(Type 2)</w:t>
            </w:r>
          </w:p>
        </w:tc>
        <w:tc>
          <w:tcPr>
            <w:tcW w:w="1458"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c>
          <w:tcPr>
            <w:tcW w:w="1583"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c>
          <w:tcPr>
            <w:tcW w:w="1477" w:type="dxa"/>
            <w:shd w:val="clear" w:color="auto" w:fill="auto"/>
          </w:tcPr>
          <w:p w:rsidR="00362F4E" w:rsidRPr="000B610E" w:rsidRDefault="00362F4E" w:rsidP="007E5590">
            <w:pPr>
              <w:pStyle w:val="Default"/>
              <w:jc w:val="center"/>
              <w:rPr>
                <w:sz w:val="26"/>
                <w:szCs w:val="26"/>
              </w:rPr>
            </w:pPr>
            <w:r w:rsidRPr="000B610E">
              <w:rPr>
                <w:sz w:val="26"/>
                <w:szCs w:val="26"/>
              </w:rPr>
              <w:t>Unqualified</w:t>
            </w:r>
          </w:p>
          <w:p w:rsidR="00362F4E" w:rsidRPr="000B610E" w:rsidRDefault="00362F4E" w:rsidP="007E5590">
            <w:pPr>
              <w:pStyle w:val="Default"/>
              <w:jc w:val="center"/>
              <w:rPr>
                <w:sz w:val="26"/>
                <w:szCs w:val="26"/>
              </w:rPr>
            </w:pPr>
            <w:r w:rsidRPr="000B610E">
              <w:rPr>
                <w:sz w:val="26"/>
                <w:szCs w:val="26"/>
              </w:rPr>
              <w:t>(Type 2)</w:t>
            </w:r>
          </w:p>
        </w:tc>
      </w:tr>
      <w:tr w:rsidR="00A60C09" w:rsidRPr="000B610E" w:rsidTr="00953D39">
        <w:tc>
          <w:tcPr>
            <w:tcW w:w="1300" w:type="dxa"/>
            <w:shd w:val="clear" w:color="auto" w:fill="auto"/>
          </w:tcPr>
          <w:p w:rsidR="00A60C09" w:rsidRPr="000B610E" w:rsidRDefault="00A60C09" w:rsidP="007E5590">
            <w:pPr>
              <w:pStyle w:val="Default"/>
              <w:jc w:val="center"/>
              <w:rPr>
                <w:sz w:val="26"/>
                <w:szCs w:val="26"/>
              </w:rPr>
            </w:pPr>
            <w:r w:rsidRPr="000B610E">
              <w:rPr>
                <w:sz w:val="26"/>
                <w:szCs w:val="26"/>
              </w:rPr>
              <w:t>PJM</w:t>
            </w:r>
          </w:p>
        </w:tc>
        <w:tc>
          <w:tcPr>
            <w:tcW w:w="150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30"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58"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583"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c>
          <w:tcPr>
            <w:tcW w:w="1477"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r>
      <w:tr w:rsidR="00A60C09" w:rsidRPr="000B610E" w:rsidTr="00953D39">
        <w:tc>
          <w:tcPr>
            <w:tcW w:w="1300" w:type="dxa"/>
            <w:shd w:val="clear" w:color="auto" w:fill="auto"/>
          </w:tcPr>
          <w:p w:rsidR="00A60C09" w:rsidRPr="000B610E" w:rsidRDefault="00A60C09" w:rsidP="007E5590">
            <w:pPr>
              <w:pStyle w:val="Default"/>
              <w:jc w:val="center"/>
              <w:rPr>
                <w:sz w:val="26"/>
                <w:szCs w:val="26"/>
              </w:rPr>
            </w:pPr>
            <w:r w:rsidRPr="000B610E">
              <w:rPr>
                <w:sz w:val="26"/>
                <w:szCs w:val="26"/>
              </w:rPr>
              <w:t>SPP</w:t>
            </w:r>
          </w:p>
        </w:tc>
        <w:tc>
          <w:tcPr>
            <w:tcW w:w="1508" w:type="dxa"/>
            <w:shd w:val="clear" w:color="auto" w:fill="auto"/>
          </w:tcPr>
          <w:p w:rsidR="00A60C09" w:rsidRPr="000B610E" w:rsidRDefault="00A60C09" w:rsidP="007E5590">
            <w:pPr>
              <w:pStyle w:val="Default"/>
              <w:jc w:val="center"/>
              <w:rPr>
                <w:sz w:val="26"/>
                <w:szCs w:val="26"/>
              </w:rPr>
            </w:pPr>
            <w:r w:rsidRPr="000B610E">
              <w:rPr>
                <w:sz w:val="26"/>
                <w:szCs w:val="26"/>
              </w:rPr>
              <w:t>Qualified</w:t>
            </w:r>
          </w:p>
          <w:p w:rsidR="00A60C09" w:rsidRPr="000B610E" w:rsidRDefault="00A60C09" w:rsidP="007E5590">
            <w:pPr>
              <w:pStyle w:val="Default"/>
              <w:jc w:val="center"/>
              <w:rPr>
                <w:sz w:val="26"/>
                <w:szCs w:val="26"/>
              </w:rPr>
            </w:pPr>
            <w:r w:rsidRPr="000B610E">
              <w:rPr>
                <w:sz w:val="26"/>
                <w:szCs w:val="26"/>
              </w:rPr>
              <w:t>(Type 2)</w:t>
            </w:r>
          </w:p>
        </w:tc>
        <w:tc>
          <w:tcPr>
            <w:tcW w:w="1530" w:type="dxa"/>
            <w:shd w:val="clear" w:color="auto" w:fill="auto"/>
          </w:tcPr>
          <w:p w:rsidR="00A60C09" w:rsidRPr="000B610E" w:rsidRDefault="00A60C09" w:rsidP="007E5590">
            <w:pPr>
              <w:pStyle w:val="Default"/>
              <w:jc w:val="center"/>
              <w:rPr>
                <w:sz w:val="26"/>
                <w:szCs w:val="26"/>
              </w:rPr>
            </w:pPr>
            <w:r w:rsidRPr="000B610E">
              <w:rPr>
                <w:sz w:val="26"/>
                <w:szCs w:val="26"/>
              </w:rPr>
              <w:t>Qualified</w:t>
            </w:r>
          </w:p>
          <w:p w:rsidR="00A60C09" w:rsidRPr="000B610E" w:rsidRDefault="00A60C09" w:rsidP="007E5590">
            <w:pPr>
              <w:pStyle w:val="Default"/>
              <w:jc w:val="center"/>
              <w:rPr>
                <w:sz w:val="26"/>
                <w:szCs w:val="26"/>
              </w:rPr>
            </w:pPr>
            <w:r w:rsidRPr="000B610E">
              <w:rPr>
                <w:sz w:val="26"/>
                <w:szCs w:val="26"/>
              </w:rPr>
              <w:t>(Type 2)</w:t>
            </w:r>
          </w:p>
        </w:tc>
        <w:tc>
          <w:tcPr>
            <w:tcW w:w="1458" w:type="dxa"/>
            <w:shd w:val="clear" w:color="auto" w:fill="auto"/>
          </w:tcPr>
          <w:p w:rsidR="00A60C09" w:rsidRPr="000B610E" w:rsidRDefault="00A60C09" w:rsidP="007E5590">
            <w:pPr>
              <w:pStyle w:val="Default"/>
              <w:jc w:val="center"/>
              <w:rPr>
                <w:sz w:val="26"/>
                <w:szCs w:val="26"/>
              </w:rPr>
            </w:pPr>
            <w:r w:rsidRPr="000B610E">
              <w:rPr>
                <w:sz w:val="26"/>
                <w:szCs w:val="26"/>
              </w:rPr>
              <w:t>Qualified</w:t>
            </w:r>
          </w:p>
          <w:p w:rsidR="00A60C09" w:rsidRPr="000B610E" w:rsidRDefault="00A60C09" w:rsidP="007E5590">
            <w:pPr>
              <w:pStyle w:val="Default"/>
              <w:jc w:val="center"/>
              <w:rPr>
                <w:sz w:val="26"/>
                <w:szCs w:val="26"/>
              </w:rPr>
            </w:pPr>
            <w:r w:rsidRPr="000B610E">
              <w:rPr>
                <w:sz w:val="26"/>
                <w:szCs w:val="26"/>
              </w:rPr>
              <w:t>(Type 2)</w:t>
            </w:r>
          </w:p>
        </w:tc>
        <w:tc>
          <w:tcPr>
            <w:tcW w:w="1583" w:type="dxa"/>
            <w:shd w:val="clear" w:color="auto" w:fill="auto"/>
          </w:tcPr>
          <w:p w:rsidR="00A60C09" w:rsidRPr="000B610E" w:rsidRDefault="00A60C09" w:rsidP="007E5590">
            <w:pPr>
              <w:pStyle w:val="Default"/>
              <w:jc w:val="center"/>
              <w:rPr>
                <w:sz w:val="26"/>
                <w:szCs w:val="26"/>
              </w:rPr>
            </w:pPr>
            <w:r w:rsidRPr="000B610E">
              <w:rPr>
                <w:sz w:val="26"/>
                <w:szCs w:val="26"/>
              </w:rPr>
              <w:t>Qualified</w:t>
            </w:r>
          </w:p>
          <w:p w:rsidR="00A60C09" w:rsidRPr="000B610E" w:rsidRDefault="00A60C09" w:rsidP="007E5590">
            <w:pPr>
              <w:pStyle w:val="Default"/>
              <w:jc w:val="center"/>
              <w:rPr>
                <w:sz w:val="26"/>
                <w:szCs w:val="26"/>
              </w:rPr>
            </w:pPr>
            <w:r w:rsidRPr="000B610E">
              <w:rPr>
                <w:sz w:val="26"/>
                <w:szCs w:val="26"/>
              </w:rPr>
              <w:t>(Type 2)</w:t>
            </w:r>
          </w:p>
        </w:tc>
        <w:tc>
          <w:tcPr>
            <w:tcW w:w="1477" w:type="dxa"/>
            <w:shd w:val="clear" w:color="auto" w:fill="auto"/>
          </w:tcPr>
          <w:p w:rsidR="00A60C09" w:rsidRPr="000B610E" w:rsidRDefault="00A60C09" w:rsidP="007E5590">
            <w:pPr>
              <w:pStyle w:val="Default"/>
              <w:jc w:val="center"/>
              <w:rPr>
                <w:sz w:val="26"/>
                <w:szCs w:val="26"/>
              </w:rPr>
            </w:pPr>
            <w:r w:rsidRPr="000B610E">
              <w:rPr>
                <w:sz w:val="26"/>
                <w:szCs w:val="26"/>
              </w:rPr>
              <w:t>Unqualified</w:t>
            </w:r>
          </w:p>
          <w:p w:rsidR="00A60C09" w:rsidRPr="000B610E" w:rsidRDefault="00A60C09" w:rsidP="007E5590">
            <w:pPr>
              <w:pStyle w:val="Default"/>
              <w:jc w:val="center"/>
              <w:rPr>
                <w:sz w:val="26"/>
                <w:szCs w:val="26"/>
              </w:rPr>
            </w:pPr>
            <w:r w:rsidRPr="000B610E">
              <w:rPr>
                <w:sz w:val="26"/>
                <w:szCs w:val="26"/>
              </w:rPr>
              <w:t>(Type 2)</w:t>
            </w:r>
          </w:p>
        </w:tc>
      </w:tr>
    </w:tbl>
    <w:p w:rsidR="00AB5F78" w:rsidRPr="002117D1" w:rsidRDefault="00AB5F78" w:rsidP="002117D1">
      <w:pPr>
        <w:pStyle w:val="FERCparanumber"/>
        <w:numPr>
          <w:ilvl w:val="0"/>
          <w:numId w:val="0"/>
        </w:numPr>
      </w:pPr>
    </w:p>
    <w:p w:rsidR="00A60C09" w:rsidRPr="00F133ED" w:rsidRDefault="00A60C09" w:rsidP="002117D1">
      <w:pPr>
        <w:pStyle w:val="Heading2"/>
      </w:pPr>
      <w:bookmarkStart w:id="122" w:name="_Toc390256268"/>
      <w:r w:rsidRPr="00F133ED">
        <w:t xml:space="preserve">Other Metrics Specific </w:t>
      </w:r>
      <w:proofErr w:type="gramStart"/>
      <w:r w:rsidRPr="00F133ED">
        <w:t>To</w:t>
      </w:r>
      <w:proofErr w:type="gramEnd"/>
      <w:r w:rsidRPr="00F133ED">
        <w:t xml:space="preserve"> Regions Outside ISO and RTO Markets</w:t>
      </w:r>
      <w:bookmarkEnd w:id="122"/>
      <w:r w:rsidRPr="00F133ED">
        <w:t xml:space="preserve">         </w:t>
      </w:r>
      <w:bookmarkStart w:id="123" w:name="_bmk60"/>
    </w:p>
    <w:p w:rsidR="00A60C09" w:rsidRDefault="00A60C09" w:rsidP="002117D1">
      <w:pPr>
        <w:pStyle w:val="Heading3"/>
      </w:pPr>
      <w:bookmarkStart w:id="124" w:name="_Toc390256269"/>
      <w:bookmarkEnd w:id="123"/>
      <w:r>
        <w:t xml:space="preserve">Outages </w:t>
      </w:r>
      <w:proofErr w:type="gramStart"/>
      <w:r>
        <w:t>With</w:t>
      </w:r>
      <w:proofErr w:type="gramEnd"/>
      <w:r>
        <w:t xml:space="preserve"> Less Than Two Days</w:t>
      </w:r>
      <w:r w:rsidR="0040035A">
        <w:t>’</w:t>
      </w:r>
      <w:r>
        <w:t xml:space="preserve"> Notice</w:t>
      </w:r>
      <w:bookmarkStart w:id="125" w:name="_bmk61"/>
      <w:bookmarkEnd w:id="124"/>
    </w:p>
    <w:bookmarkEnd w:id="125"/>
    <w:p w:rsidR="00A60C09" w:rsidRDefault="00A60C09" w:rsidP="002117D1">
      <w:pPr>
        <w:pStyle w:val="Default"/>
        <w:spacing w:after="240"/>
        <w:ind w:firstLine="720"/>
        <w:rPr>
          <w:sz w:val="26"/>
          <w:szCs w:val="26"/>
        </w:rPr>
      </w:pPr>
      <w:r>
        <w:rPr>
          <w:sz w:val="26"/>
          <w:szCs w:val="26"/>
        </w:rPr>
        <w:t>In addition to the common metrics for transmission outages discussed above, utilities outside of ISO and RTO markets measure the performance of their outage coordination in terms of the percentage of outages, planned and unplanned, with less than two days</w:t>
      </w:r>
      <w:r w:rsidR="0040035A">
        <w:rPr>
          <w:sz w:val="26"/>
          <w:szCs w:val="26"/>
        </w:rPr>
        <w:t>’</w:t>
      </w:r>
      <w:r>
        <w:rPr>
          <w:sz w:val="26"/>
          <w:szCs w:val="26"/>
        </w:rPr>
        <w:t xml:space="preserve"> notice.  A low percentage of short</w:t>
      </w:r>
      <w:r w:rsidR="009A75BD">
        <w:rPr>
          <w:sz w:val="26"/>
          <w:szCs w:val="26"/>
        </w:rPr>
        <w:t>-</w:t>
      </w:r>
      <w:r>
        <w:rPr>
          <w:sz w:val="26"/>
          <w:szCs w:val="26"/>
        </w:rPr>
        <w:t xml:space="preserve">notice outages </w:t>
      </w:r>
      <w:proofErr w:type="gramStart"/>
      <w:r>
        <w:rPr>
          <w:sz w:val="26"/>
          <w:szCs w:val="26"/>
        </w:rPr>
        <w:t>indicat</w:t>
      </w:r>
      <w:r w:rsidR="009A75BD">
        <w:rPr>
          <w:sz w:val="26"/>
          <w:szCs w:val="26"/>
        </w:rPr>
        <w:t>es</w:t>
      </w:r>
      <w:proofErr w:type="gramEnd"/>
      <w:r>
        <w:rPr>
          <w:sz w:val="26"/>
          <w:szCs w:val="26"/>
        </w:rPr>
        <w:t xml:space="preserve"> effective transmission coordination.  Data on this metric is provided on the charts</w:t>
      </w:r>
      <w:r w:rsidR="009A75BD">
        <w:rPr>
          <w:sz w:val="26"/>
          <w:szCs w:val="26"/>
        </w:rPr>
        <w:t xml:space="preserve"> below</w:t>
      </w:r>
      <w:r>
        <w:rPr>
          <w:sz w:val="26"/>
          <w:szCs w:val="26"/>
        </w:rPr>
        <w:t>.</w:t>
      </w:r>
    </w:p>
    <w:p w:rsidR="00A60C09" w:rsidRDefault="006D491F" w:rsidP="002117D1">
      <w:pPr>
        <w:pStyle w:val="Default"/>
        <w:spacing w:after="240"/>
        <w:ind w:firstLine="720"/>
      </w:pPr>
      <w:r w:rsidRPr="006D491F">
        <w:rPr>
          <w:noProof/>
        </w:rPr>
        <w:lastRenderedPageBreak/>
        <w:drawing>
          <wp:inline distT="0" distB="0" distL="0" distR="0" wp14:anchorId="6C43D185" wp14:editId="00C9DC32">
            <wp:extent cx="3667125" cy="4057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7125" cy="4057650"/>
                    </a:xfrm>
                    <a:prstGeom prst="rect">
                      <a:avLst/>
                    </a:prstGeom>
                    <a:noFill/>
                    <a:ln>
                      <a:noFill/>
                    </a:ln>
                  </pic:spPr>
                </pic:pic>
              </a:graphicData>
            </a:graphic>
          </wp:inline>
        </w:drawing>
      </w:r>
    </w:p>
    <w:p w:rsidR="00A60C09" w:rsidRDefault="00436C08" w:rsidP="002117D1">
      <w:pPr>
        <w:pStyle w:val="Heading3"/>
      </w:pPr>
      <w:bookmarkStart w:id="126" w:name="_Toc390256270"/>
      <w:r>
        <w:t xml:space="preserve">Dollar Amount of Facilities Approved To Be Constructed For Reliability Purposes and </w:t>
      </w:r>
      <w:r w:rsidR="00A60C09">
        <w:t xml:space="preserve">Stakeholder Process </w:t>
      </w:r>
      <w:proofErr w:type="gramStart"/>
      <w:r w:rsidR="00A60C09">
        <w:t>For</w:t>
      </w:r>
      <w:proofErr w:type="gramEnd"/>
      <w:r w:rsidR="00A60C09">
        <w:t xml:space="preserve"> Transmission Planning</w:t>
      </w:r>
      <w:bookmarkStart w:id="127" w:name="_bmk62"/>
      <w:bookmarkEnd w:id="126"/>
    </w:p>
    <w:bookmarkEnd w:id="127"/>
    <w:p w:rsidR="00C87696" w:rsidRDefault="00A60C09" w:rsidP="002117D1">
      <w:pPr>
        <w:pStyle w:val="Default"/>
        <w:spacing w:after="240"/>
        <w:ind w:firstLine="720"/>
        <w:rPr>
          <w:sz w:val="26"/>
          <w:szCs w:val="26"/>
        </w:rPr>
      </w:pPr>
      <w:r>
        <w:rPr>
          <w:sz w:val="26"/>
          <w:szCs w:val="26"/>
        </w:rPr>
        <w:t>As part of the performance metrics for long-term reliability transmission planning, utilities outside of ISO and RTO markets provide</w:t>
      </w:r>
      <w:r w:rsidR="009A75BD">
        <w:rPr>
          <w:sz w:val="26"/>
          <w:szCs w:val="26"/>
        </w:rPr>
        <w:t>d</w:t>
      </w:r>
      <w:r>
        <w:rPr>
          <w:sz w:val="26"/>
          <w:szCs w:val="26"/>
        </w:rPr>
        <w:t xml:space="preserve"> </w:t>
      </w:r>
      <w:r w:rsidR="00436C08">
        <w:rPr>
          <w:sz w:val="26"/>
          <w:szCs w:val="26"/>
        </w:rPr>
        <w:t xml:space="preserve">information on the dollar amount of facilities approved to be constructed for reliability purposes and </w:t>
      </w:r>
      <w:r>
        <w:rPr>
          <w:sz w:val="26"/>
          <w:szCs w:val="26"/>
        </w:rPr>
        <w:t>discussions of their stakeholder processes.</w:t>
      </w:r>
      <w:r w:rsidR="00436C08">
        <w:rPr>
          <w:sz w:val="26"/>
          <w:szCs w:val="26"/>
        </w:rPr>
        <w:t xml:space="preserve">  With regard to the dollar amount metric, the utilities submitted the following information.</w:t>
      </w:r>
    </w:p>
    <w:p w:rsidR="00436C08" w:rsidRPr="007E5590" w:rsidRDefault="00020E5D" w:rsidP="002117D1">
      <w:pPr>
        <w:pStyle w:val="Default"/>
        <w:spacing w:after="240"/>
        <w:ind w:firstLine="720"/>
        <w:rPr>
          <w:b/>
          <w:sz w:val="26"/>
          <w:szCs w:val="26"/>
          <w:u w:val="single"/>
        </w:rPr>
      </w:pPr>
      <w:r>
        <w:rPr>
          <w:sz w:val="26"/>
          <w:szCs w:val="26"/>
        </w:rPr>
        <w:t xml:space="preserve">                         </w:t>
      </w:r>
      <w:r w:rsidR="00436C08">
        <w:rPr>
          <w:b/>
          <w:sz w:val="26"/>
          <w:szCs w:val="26"/>
          <w:u w:val="single"/>
        </w:rPr>
        <w:t>Transmission Capital Investment (</w:t>
      </w:r>
      <w:r w:rsidR="006D491F">
        <w:rPr>
          <w:b/>
          <w:sz w:val="26"/>
          <w:szCs w:val="26"/>
          <w:u w:val="single"/>
        </w:rPr>
        <w:t>$</w:t>
      </w:r>
      <w:r w:rsidR="00436C08">
        <w:rPr>
          <w:b/>
          <w:sz w:val="26"/>
          <w:szCs w:val="26"/>
          <w:u w:val="single"/>
        </w:rPr>
        <w:t>M</w:t>
      </w:r>
      <w:r w:rsidR="006D491F">
        <w:rPr>
          <w:b/>
          <w:sz w:val="26"/>
          <w:szCs w:val="26"/>
          <w:u w:val="single"/>
        </w:rPr>
        <w:t>illions</w:t>
      </w:r>
      <w:r w:rsidR="00436C08">
        <w:rPr>
          <w:b/>
          <w:sz w:val="26"/>
          <w:szCs w:val="26"/>
          <w:u w:val="single"/>
        </w:rPr>
        <w:t>)</w:t>
      </w:r>
    </w:p>
    <w:p w:rsidR="00436C08" w:rsidRDefault="00436C08" w:rsidP="002117D1">
      <w:pPr>
        <w:pStyle w:val="Default"/>
        <w:spacing w:after="240"/>
        <w:ind w:firstLine="720"/>
        <w:rPr>
          <w:sz w:val="26"/>
          <w:szCs w:val="26"/>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436C08" w:rsidTr="00436C08">
        <w:tc>
          <w:tcPr>
            <w:tcW w:w="1596" w:type="dxa"/>
          </w:tcPr>
          <w:p w:rsidR="00436C08" w:rsidRPr="007E5590" w:rsidRDefault="00020E5D" w:rsidP="007E5590">
            <w:pPr>
              <w:pStyle w:val="Default"/>
              <w:spacing w:after="240"/>
              <w:jc w:val="center"/>
              <w:rPr>
                <w:b/>
                <w:sz w:val="26"/>
                <w:szCs w:val="26"/>
                <w:u w:val="single"/>
              </w:rPr>
            </w:pPr>
            <w:r w:rsidRPr="007E5590">
              <w:rPr>
                <w:b/>
                <w:sz w:val="26"/>
                <w:szCs w:val="26"/>
                <w:u w:val="single"/>
              </w:rPr>
              <w:t>Entity</w:t>
            </w:r>
          </w:p>
        </w:tc>
        <w:tc>
          <w:tcPr>
            <w:tcW w:w="1596" w:type="dxa"/>
          </w:tcPr>
          <w:p w:rsidR="00436C08" w:rsidRPr="007E5590" w:rsidRDefault="00020E5D" w:rsidP="007E5590">
            <w:pPr>
              <w:pStyle w:val="Default"/>
              <w:spacing w:after="240"/>
              <w:jc w:val="center"/>
              <w:rPr>
                <w:b/>
                <w:sz w:val="26"/>
                <w:szCs w:val="26"/>
                <w:u w:val="single"/>
              </w:rPr>
            </w:pPr>
            <w:r>
              <w:rPr>
                <w:b/>
                <w:sz w:val="26"/>
                <w:szCs w:val="26"/>
                <w:u w:val="single"/>
              </w:rPr>
              <w:t>2006</w:t>
            </w:r>
          </w:p>
        </w:tc>
        <w:tc>
          <w:tcPr>
            <w:tcW w:w="1596" w:type="dxa"/>
          </w:tcPr>
          <w:p w:rsidR="00436C08" w:rsidRPr="007E5590" w:rsidRDefault="00020E5D" w:rsidP="007E5590">
            <w:pPr>
              <w:pStyle w:val="Default"/>
              <w:spacing w:after="240"/>
              <w:jc w:val="center"/>
              <w:rPr>
                <w:b/>
                <w:sz w:val="26"/>
                <w:szCs w:val="26"/>
                <w:u w:val="single"/>
              </w:rPr>
            </w:pPr>
            <w:r>
              <w:rPr>
                <w:b/>
                <w:sz w:val="26"/>
                <w:szCs w:val="26"/>
                <w:u w:val="single"/>
              </w:rPr>
              <w:t>2007</w:t>
            </w:r>
          </w:p>
        </w:tc>
        <w:tc>
          <w:tcPr>
            <w:tcW w:w="1596" w:type="dxa"/>
          </w:tcPr>
          <w:p w:rsidR="00436C08" w:rsidRPr="007E5590" w:rsidRDefault="00020E5D" w:rsidP="007E5590">
            <w:pPr>
              <w:pStyle w:val="Default"/>
              <w:spacing w:after="240"/>
              <w:jc w:val="center"/>
              <w:rPr>
                <w:b/>
                <w:sz w:val="26"/>
                <w:szCs w:val="26"/>
                <w:u w:val="single"/>
              </w:rPr>
            </w:pPr>
            <w:r>
              <w:rPr>
                <w:b/>
                <w:sz w:val="26"/>
                <w:szCs w:val="26"/>
                <w:u w:val="single"/>
              </w:rPr>
              <w:t>2008</w:t>
            </w:r>
          </w:p>
        </w:tc>
        <w:tc>
          <w:tcPr>
            <w:tcW w:w="1596" w:type="dxa"/>
          </w:tcPr>
          <w:p w:rsidR="00436C08" w:rsidRPr="007E5590" w:rsidRDefault="00020E5D" w:rsidP="007E5590">
            <w:pPr>
              <w:pStyle w:val="Default"/>
              <w:spacing w:after="240"/>
              <w:jc w:val="center"/>
              <w:rPr>
                <w:b/>
                <w:sz w:val="26"/>
                <w:szCs w:val="26"/>
                <w:u w:val="single"/>
              </w:rPr>
            </w:pPr>
            <w:r>
              <w:rPr>
                <w:b/>
                <w:sz w:val="26"/>
                <w:szCs w:val="26"/>
                <w:u w:val="single"/>
              </w:rPr>
              <w:t>2009</w:t>
            </w:r>
          </w:p>
        </w:tc>
        <w:tc>
          <w:tcPr>
            <w:tcW w:w="1596" w:type="dxa"/>
          </w:tcPr>
          <w:p w:rsidR="00436C08" w:rsidRPr="007E5590" w:rsidRDefault="00020E5D" w:rsidP="007E5590">
            <w:pPr>
              <w:pStyle w:val="Default"/>
              <w:spacing w:after="240"/>
              <w:jc w:val="center"/>
              <w:rPr>
                <w:b/>
                <w:sz w:val="26"/>
                <w:szCs w:val="26"/>
                <w:u w:val="single"/>
              </w:rPr>
            </w:pPr>
            <w:r>
              <w:rPr>
                <w:b/>
                <w:sz w:val="26"/>
                <w:szCs w:val="26"/>
                <w:u w:val="single"/>
              </w:rPr>
              <w:t>2010</w:t>
            </w:r>
          </w:p>
        </w:tc>
      </w:tr>
      <w:tr w:rsidR="00436C08" w:rsidTr="00436C08">
        <w:tc>
          <w:tcPr>
            <w:tcW w:w="1596" w:type="dxa"/>
          </w:tcPr>
          <w:p w:rsidR="00436C08" w:rsidRDefault="00020E5D" w:rsidP="007E5590">
            <w:pPr>
              <w:pStyle w:val="Default"/>
              <w:spacing w:after="240"/>
              <w:jc w:val="center"/>
              <w:rPr>
                <w:sz w:val="26"/>
                <w:szCs w:val="26"/>
              </w:rPr>
            </w:pPr>
            <w:r>
              <w:rPr>
                <w:sz w:val="26"/>
                <w:szCs w:val="26"/>
              </w:rPr>
              <w:t>Duke</w:t>
            </w:r>
          </w:p>
        </w:tc>
        <w:tc>
          <w:tcPr>
            <w:tcW w:w="1596" w:type="dxa"/>
          </w:tcPr>
          <w:p w:rsidR="00436C08" w:rsidRDefault="00020E5D" w:rsidP="007E5590">
            <w:pPr>
              <w:pStyle w:val="Default"/>
              <w:spacing w:after="240"/>
              <w:jc w:val="center"/>
              <w:rPr>
                <w:sz w:val="26"/>
                <w:szCs w:val="26"/>
              </w:rPr>
            </w:pPr>
            <w:r>
              <w:rPr>
                <w:sz w:val="26"/>
                <w:szCs w:val="26"/>
              </w:rPr>
              <w:t>$264</w:t>
            </w:r>
          </w:p>
        </w:tc>
        <w:tc>
          <w:tcPr>
            <w:tcW w:w="1596" w:type="dxa"/>
          </w:tcPr>
          <w:p w:rsidR="00436C08" w:rsidRDefault="00020E5D" w:rsidP="007E5590">
            <w:pPr>
              <w:pStyle w:val="Default"/>
              <w:spacing w:after="240"/>
              <w:jc w:val="center"/>
              <w:rPr>
                <w:sz w:val="26"/>
                <w:szCs w:val="26"/>
              </w:rPr>
            </w:pPr>
            <w:r>
              <w:rPr>
                <w:sz w:val="26"/>
                <w:szCs w:val="26"/>
              </w:rPr>
              <w:t>$286</w:t>
            </w:r>
          </w:p>
        </w:tc>
        <w:tc>
          <w:tcPr>
            <w:tcW w:w="1596" w:type="dxa"/>
          </w:tcPr>
          <w:p w:rsidR="00436C08" w:rsidRDefault="00020E5D" w:rsidP="007E5590">
            <w:pPr>
              <w:pStyle w:val="Default"/>
              <w:spacing w:after="240"/>
              <w:jc w:val="center"/>
              <w:rPr>
                <w:sz w:val="26"/>
                <w:szCs w:val="26"/>
              </w:rPr>
            </w:pPr>
            <w:r>
              <w:rPr>
                <w:sz w:val="26"/>
                <w:szCs w:val="26"/>
              </w:rPr>
              <w:t>$399</w:t>
            </w:r>
          </w:p>
        </w:tc>
        <w:tc>
          <w:tcPr>
            <w:tcW w:w="1596" w:type="dxa"/>
          </w:tcPr>
          <w:p w:rsidR="00436C08" w:rsidRDefault="00020E5D" w:rsidP="007E5590">
            <w:pPr>
              <w:pStyle w:val="Default"/>
              <w:spacing w:after="240"/>
              <w:jc w:val="center"/>
              <w:rPr>
                <w:sz w:val="26"/>
                <w:szCs w:val="26"/>
              </w:rPr>
            </w:pPr>
            <w:r>
              <w:rPr>
                <w:sz w:val="26"/>
                <w:szCs w:val="26"/>
              </w:rPr>
              <w:t>$404</w:t>
            </w:r>
          </w:p>
        </w:tc>
        <w:tc>
          <w:tcPr>
            <w:tcW w:w="1596" w:type="dxa"/>
          </w:tcPr>
          <w:p w:rsidR="00436C08" w:rsidRDefault="00020E5D" w:rsidP="007E5590">
            <w:pPr>
              <w:pStyle w:val="Default"/>
              <w:spacing w:after="240"/>
              <w:jc w:val="center"/>
              <w:rPr>
                <w:sz w:val="26"/>
                <w:szCs w:val="26"/>
              </w:rPr>
            </w:pPr>
            <w:r>
              <w:rPr>
                <w:sz w:val="26"/>
                <w:szCs w:val="26"/>
              </w:rPr>
              <w:t>$401</w:t>
            </w:r>
          </w:p>
        </w:tc>
      </w:tr>
      <w:tr w:rsidR="00436C08" w:rsidTr="00436C08">
        <w:tc>
          <w:tcPr>
            <w:tcW w:w="1596" w:type="dxa"/>
          </w:tcPr>
          <w:p w:rsidR="00436C08" w:rsidRDefault="00020E5D" w:rsidP="007E5590">
            <w:pPr>
              <w:pStyle w:val="Default"/>
              <w:spacing w:after="240"/>
              <w:jc w:val="center"/>
              <w:rPr>
                <w:sz w:val="26"/>
                <w:szCs w:val="26"/>
              </w:rPr>
            </w:pPr>
            <w:r>
              <w:rPr>
                <w:sz w:val="26"/>
                <w:szCs w:val="26"/>
              </w:rPr>
              <w:t>Southern</w:t>
            </w:r>
          </w:p>
        </w:tc>
        <w:tc>
          <w:tcPr>
            <w:tcW w:w="1596" w:type="dxa"/>
          </w:tcPr>
          <w:p w:rsidR="00436C08" w:rsidRDefault="00020E5D" w:rsidP="007E5590">
            <w:pPr>
              <w:pStyle w:val="Default"/>
              <w:spacing w:after="240"/>
              <w:jc w:val="center"/>
              <w:rPr>
                <w:sz w:val="26"/>
                <w:szCs w:val="26"/>
              </w:rPr>
            </w:pPr>
            <w:r>
              <w:rPr>
                <w:sz w:val="26"/>
                <w:szCs w:val="26"/>
              </w:rPr>
              <w:t>$514</w:t>
            </w:r>
          </w:p>
        </w:tc>
        <w:tc>
          <w:tcPr>
            <w:tcW w:w="1596" w:type="dxa"/>
          </w:tcPr>
          <w:p w:rsidR="00436C08" w:rsidRDefault="00020E5D" w:rsidP="007E5590">
            <w:pPr>
              <w:pStyle w:val="Default"/>
              <w:spacing w:after="240"/>
              <w:jc w:val="center"/>
              <w:rPr>
                <w:sz w:val="26"/>
                <w:szCs w:val="26"/>
              </w:rPr>
            </w:pPr>
            <w:r>
              <w:rPr>
                <w:sz w:val="26"/>
                <w:szCs w:val="26"/>
              </w:rPr>
              <w:t>$447</w:t>
            </w:r>
          </w:p>
        </w:tc>
        <w:tc>
          <w:tcPr>
            <w:tcW w:w="1596" w:type="dxa"/>
          </w:tcPr>
          <w:p w:rsidR="00436C08" w:rsidRDefault="00020E5D" w:rsidP="007E5590">
            <w:pPr>
              <w:pStyle w:val="Default"/>
              <w:spacing w:after="240"/>
              <w:jc w:val="center"/>
              <w:rPr>
                <w:sz w:val="26"/>
                <w:szCs w:val="26"/>
              </w:rPr>
            </w:pPr>
            <w:r>
              <w:rPr>
                <w:sz w:val="26"/>
                <w:szCs w:val="26"/>
              </w:rPr>
              <w:t>$375</w:t>
            </w:r>
          </w:p>
        </w:tc>
        <w:tc>
          <w:tcPr>
            <w:tcW w:w="1596" w:type="dxa"/>
          </w:tcPr>
          <w:p w:rsidR="00436C08" w:rsidRDefault="00020E5D" w:rsidP="007E5590">
            <w:pPr>
              <w:pStyle w:val="Default"/>
              <w:spacing w:after="240"/>
              <w:jc w:val="center"/>
              <w:rPr>
                <w:sz w:val="26"/>
                <w:szCs w:val="26"/>
              </w:rPr>
            </w:pPr>
            <w:r>
              <w:rPr>
                <w:sz w:val="26"/>
                <w:szCs w:val="26"/>
              </w:rPr>
              <w:t>$334</w:t>
            </w:r>
          </w:p>
        </w:tc>
        <w:tc>
          <w:tcPr>
            <w:tcW w:w="1596" w:type="dxa"/>
          </w:tcPr>
          <w:p w:rsidR="00436C08" w:rsidRDefault="00020E5D" w:rsidP="007E5590">
            <w:pPr>
              <w:pStyle w:val="Default"/>
              <w:spacing w:after="240"/>
              <w:jc w:val="center"/>
              <w:rPr>
                <w:sz w:val="26"/>
                <w:szCs w:val="26"/>
              </w:rPr>
            </w:pPr>
            <w:r>
              <w:rPr>
                <w:sz w:val="26"/>
                <w:szCs w:val="26"/>
              </w:rPr>
              <w:t>$500</w:t>
            </w:r>
          </w:p>
        </w:tc>
      </w:tr>
    </w:tbl>
    <w:p w:rsidR="00436C08" w:rsidRDefault="00436C08" w:rsidP="002117D1">
      <w:pPr>
        <w:pStyle w:val="Default"/>
        <w:spacing w:after="240"/>
        <w:ind w:firstLine="720"/>
        <w:rPr>
          <w:sz w:val="26"/>
          <w:szCs w:val="26"/>
        </w:rPr>
      </w:pPr>
    </w:p>
    <w:p w:rsidR="00020E5D" w:rsidRPr="007E5590" w:rsidRDefault="000E335C" w:rsidP="002117D1">
      <w:pPr>
        <w:pStyle w:val="Default"/>
        <w:spacing w:after="240"/>
        <w:ind w:firstLine="720"/>
        <w:rPr>
          <w:b/>
          <w:sz w:val="26"/>
          <w:szCs w:val="26"/>
          <w:u w:val="single"/>
        </w:rPr>
      </w:pPr>
      <w:r>
        <w:rPr>
          <w:sz w:val="26"/>
          <w:szCs w:val="26"/>
        </w:rPr>
        <w:lastRenderedPageBreak/>
        <w:t xml:space="preserve">                 </w:t>
      </w:r>
      <w:r w:rsidR="00020E5D">
        <w:rPr>
          <w:b/>
          <w:sz w:val="26"/>
          <w:szCs w:val="26"/>
          <w:u w:val="single"/>
        </w:rPr>
        <w:t>Net Cost of Approved Reliability Projects ($M</w:t>
      </w:r>
      <w:r w:rsidR="006D491F">
        <w:rPr>
          <w:b/>
          <w:sz w:val="26"/>
          <w:szCs w:val="26"/>
          <w:u w:val="single"/>
        </w:rPr>
        <w:t>illions</w:t>
      </w:r>
      <w:r w:rsidR="00020E5D">
        <w:rPr>
          <w:b/>
          <w:sz w:val="26"/>
          <w:szCs w:val="26"/>
          <w:u w:val="single"/>
        </w:rPr>
        <w:t>)</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20E5D" w:rsidTr="00020E5D">
        <w:tc>
          <w:tcPr>
            <w:tcW w:w="1596" w:type="dxa"/>
          </w:tcPr>
          <w:p w:rsidR="00020E5D" w:rsidRPr="007E5590" w:rsidRDefault="00020E5D" w:rsidP="007E5590">
            <w:pPr>
              <w:pStyle w:val="Default"/>
              <w:spacing w:after="240"/>
              <w:jc w:val="center"/>
              <w:rPr>
                <w:b/>
                <w:sz w:val="26"/>
                <w:szCs w:val="26"/>
                <w:u w:val="single"/>
              </w:rPr>
            </w:pPr>
            <w:r w:rsidRPr="007E5590">
              <w:rPr>
                <w:b/>
                <w:sz w:val="26"/>
                <w:szCs w:val="26"/>
                <w:u w:val="single"/>
              </w:rPr>
              <w:t>Entity</w:t>
            </w:r>
          </w:p>
        </w:tc>
        <w:tc>
          <w:tcPr>
            <w:tcW w:w="1596" w:type="dxa"/>
          </w:tcPr>
          <w:p w:rsidR="00020E5D" w:rsidRPr="007E5590" w:rsidRDefault="00020E5D" w:rsidP="007E5590">
            <w:pPr>
              <w:pStyle w:val="Default"/>
              <w:spacing w:after="240"/>
              <w:jc w:val="center"/>
              <w:rPr>
                <w:b/>
                <w:sz w:val="26"/>
                <w:szCs w:val="26"/>
                <w:u w:val="single"/>
              </w:rPr>
            </w:pPr>
            <w:r>
              <w:rPr>
                <w:b/>
                <w:sz w:val="26"/>
                <w:szCs w:val="26"/>
                <w:u w:val="single"/>
              </w:rPr>
              <w:t>2006</w:t>
            </w:r>
          </w:p>
        </w:tc>
        <w:tc>
          <w:tcPr>
            <w:tcW w:w="1596" w:type="dxa"/>
          </w:tcPr>
          <w:p w:rsidR="00020E5D" w:rsidRPr="007E5590" w:rsidRDefault="00020E5D" w:rsidP="007E5590">
            <w:pPr>
              <w:pStyle w:val="Default"/>
              <w:spacing w:after="240"/>
              <w:jc w:val="center"/>
              <w:rPr>
                <w:b/>
                <w:sz w:val="26"/>
                <w:szCs w:val="26"/>
                <w:u w:val="single"/>
              </w:rPr>
            </w:pPr>
            <w:r>
              <w:rPr>
                <w:b/>
                <w:sz w:val="26"/>
                <w:szCs w:val="26"/>
                <w:u w:val="single"/>
              </w:rPr>
              <w:t>2007</w:t>
            </w:r>
          </w:p>
        </w:tc>
        <w:tc>
          <w:tcPr>
            <w:tcW w:w="1596" w:type="dxa"/>
          </w:tcPr>
          <w:p w:rsidR="00020E5D" w:rsidRPr="007E5590" w:rsidRDefault="000E335C" w:rsidP="007E5590">
            <w:pPr>
              <w:pStyle w:val="Default"/>
              <w:spacing w:after="240"/>
              <w:jc w:val="center"/>
              <w:rPr>
                <w:b/>
                <w:sz w:val="26"/>
                <w:szCs w:val="26"/>
                <w:u w:val="single"/>
              </w:rPr>
            </w:pPr>
            <w:r>
              <w:rPr>
                <w:b/>
                <w:sz w:val="26"/>
                <w:szCs w:val="26"/>
                <w:u w:val="single"/>
              </w:rPr>
              <w:t>2008</w:t>
            </w:r>
          </w:p>
        </w:tc>
        <w:tc>
          <w:tcPr>
            <w:tcW w:w="1596" w:type="dxa"/>
          </w:tcPr>
          <w:p w:rsidR="00020E5D" w:rsidRPr="007E5590" w:rsidRDefault="000E335C" w:rsidP="007E5590">
            <w:pPr>
              <w:pStyle w:val="Default"/>
              <w:spacing w:after="240"/>
              <w:jc w:val="center"/>
              <w:rPr>
                <w:b/>
                <w:sz w:val="26"/>
                <w:szCs w:val="26"/>
                <w:u w:val="single"/>
              </w:rPr>
            </w:pPr>
            <w:r>
              <w:rPr>
                <w:b/>
                <w:sz w:val="26"/>
                <w:szCs w:val="26"/>
                <w:u w:val="single"/>
              </w:rPr>
              <w:t>2009</w:t>
            </w:r>
          </w:p>
        </w:tc>
        <w:tc>
          <w:tcPr>
            <w:tcW w:w="1596" w:type="dxa"/>
          </w:tcPr>
          <w:p w:rsidR="00020E5D" w:rsidRPr="007E5590" w:rsidRDefault="000E335C" w:rsidP="007E5590">
            <w:pPr>
              <w:pStyle w:val="Default"/>
              <w:spacing w:after="240"/>
              <w:jc w:val="center"/>
              <w:rPr>
                <w:b/>
                <w:sz w:val="26"/>
                <w:szCs w:val="26"/>
                <w:u w:val="single"/>
              </w:rPr>
            </w:pPr>
            <w:r>
              <w:rPr>
                <w:b/>
                <w:sz w:val="26"/>
                <w:szCs w:val="26"/>
                <w:u w:val="single"/>
              </w:rPr>
              <w:t>2010</w:t>
            </w:r>
          </w:p>
        </w:tc>
      </w:tr>
      <w:tr w:rsidR="00020E5D" w:rsidTr="00020E5D">
        <w:tc>
          <w:tcPr>
            <w:tcW w:w="1596" w:type="dxa"/>
          </w:tcPr>
          <w:p w:rsidR="00020E5D" w:rsidRDefault="000E335C" w:rsidP="007E5590">
            <w:pPr>
              <w:pStyle w:val="Default"/>
              <w:spacing w:after="240"/>
              <w:jc w:val="center"/>
              <w:rPr>
                <w:sz w:val="26"/>
                <w:szCs w:val="26"/>
              </w:rPr>
            </w:pPr>
            <w:r>
              <w:rPr>
                <w:sz w:val="26"/>
                <w:szCs w:val="26"/>
              </w:rPr>
              <w:t>PacifiCorp</w:t>
            </w:r>
          </w:p>
        </w:tc>
        <w:tc>
          <w:tcPr>
            <w:tcW w:w="1596" w:type="dxa"/>
          </w:tcPr>
          <w:p w:rsidR="00020E5D" w:rsidRDefault="000E335C" w:rsidP="007E5590">
            <w:pPr>
              <w:pStyle w:val="Default"/>
              <w:spacing w:after="240"/>
              <w:jc w:val="center"/>
              <w:rPr>
                <w:sz w:val="26"/>
                <w:szCs w:val="26"/>
              </w:rPr>
            </w:pPr>
            <w:r>
              <w:rPr>
                <w:sz w:val="26"/>
                <w:szCs w:val="26"/>
              </w:rPr>
              <w:t>$1</w:t>
            </w:r>
          </w:p>
        </w:tc>
        <w:tc>
          <w:tcPr>
            <w:tcW w:w="1596" w:type="dxa"/>
          </w:tcPr>
          <w:p w:rsidR="00020E5D" w:rsidRDefault="000E335C" w:rsidP="007E5590">
            <w:pPr>
              <w:pStyle w:val="Default"/>
              <w:spacing w:after="240"/>
              <w:jc w:val="center"/>
              <w:rPr>
                <w:sz w:val="26"/>
                <w:szCs w:val="26"/>
              </w:rPr>
            </w:pPr>
            <w:r>
              <w:rPr>
                <w:sz w:val="26"/>
                <w:szCs w:val="26"/>
              </w:rPr>
              <w:t>$6</w:t>
            </w:r>
          </w:p>
        </w:tc>
        <w:tc>
          <w:tcPr>
            <w:tcW w:w="1596" w:type="dxa"/>
          </w:tcPr>
          <w:p w:rsidR="00020E5D" w:rsidRDefault="000E335C" w:rsidP="007E5590">
            <w:pPr>
              <w:pStyle w:val="Default"/>
              <w:spacing w:after="240"/>
              <w:jc w:val="center"/>
              <w:rPr>
                <w:sz w:val="26"/>
                <w:szCs w:val="26"/>
              </w:rPr>
            </w:pPr>
            <w:r>
              <w:rPr>
                <w:sz w:val="26"/>
                <w:szCs w:val="26"/>
              </w:rPr>
              <w:t>$50</w:t>
            </w:r>
          </w:p>
        </w:tc>
        <w:tc>
          <w:tcPr>
            <w:tcW w:w="1596" w:type="dxa"/>
          </w:tcPr>
          <w:p w:rsidR="00020E5D" w:rsidRDefault="000E335C" w:rsidP="007E5590">
            <w:pPr>
              <w:pStyle w:val="Default"/>
              <w:spacing w:after="240"/>
              <w:jc w:val="center"/>
              <w:rPr>
                <w:sz w:val="26"/>
                <w:szCs w:val="26"/>
              </w:rPr>
            </w:pPr>
            <w:r>
              <w:rPr>
                <w:sz w:val="26"/>
                <w:szCs w:val="26"/>
              </w:rPr>
              <w:t>$102</w:t>
            </w:r>
          </w:p>
        </w:tc>
        <w:tc>
          <w:tcPr>
            <w:tcW w:w="1596" w:type="dxa"/>
          </w:tcPr>
          <w:p w:rsidR="00020E5D" w:rsidRDefault="000E335C" w:rsidP="007E5590">
            <w:pPr>
              <w:pStyle w:val="Default"/>
              <w:spacing w:after="240"/>
              <w:jc w:val="center"/>
              <w:rPr>
                <w:sz w:val="26"/>
                <w:szCs w:val="26"/>
              </w:rPr>
            </w:pPr>
            <w:r>
              <w:rPr>
                <w:sz w:val="26"/>
                <w:szCs w:val="26"/>
              </w:rPr>
              <w:t>$133</w:t>
            </w:r>
          </w:p>
        </w:tc>
      </w:tr>
    </w:tbl>
    <w:p w:rsidR="00020E5D" w:rsidRDefault="00020E5D" w:rsidP="002117D1">
      <w:pPr>
        <w:pStyle w:val="Default"/>
        <w:spacing w:after="240"/>
        <w:ind w:firstLine="720"/>
        <w:rPr>
          <w:sz w:val="26"/>
          <w:szCs w:val="26"/>
        </w:rPr>
      </w:pPr>
    </w:p>
    <w:p w:rsidR="000E335C" w:rsidRDefault="000E335C" w:rsidP="002117D1">
      <w:pPr>
        <w:pStyle w:val="Default"/>
        <w:spacing w:after="240"/>
        <w:ind w:firstLine="720"/>
        <w:rPr>
          <w:sz w:val="26"/>
          <w:szCs w:val="26"/>
        </w:rPr>
      </w:pPr>
      <w:r>
        <w:rPr>
          <w:sz w:val="26"/>
          <w:szCs w:val="26"/>
        </w:rPr>
        <w:t xml:space="preserve">APS reported an estimated cost of $639 million over the 2006-2010 </w:t>
      </w:r>
      <w:proofErr w:type="gramStart"/>
      <w:r>
        <w:rPr>
          <w:sz w:val="26"/>
          <w:szCs w:val="26"/>
        </w:rPr>
        <w:t>period</w:t>
      </w:r>
      <w:proofErr w:type="gramEnd"/>
      <w:r>
        <w:rPr>
          <w:sz w:val="26"/>
          <w:szCs w:val="26"/>
        </w:rPr>
        <w:t xml:space="preserve"> for projects that had been granted Certificates of Environmental Compatibility by the Arizona Corporation Commission.</w:t>
      </w:r>
      <w:r w:rsidR="00281B79">
        <w:rPr>
          <w:sz w:val="26"/>
          <w:szCs w:val="26"/>
        </w:rPr>
        <w:t xml:space="preserve">  LG&amp;E/KU did not provide data.</w:t>
      </w:r>
    </w:p>
    <w:p w:rsidR="00A60C09" w:rsidRDefault="00436C08" w:rsidP="002117D1">
      <w:pPr>
        <w:pStyle w:val="Default"/>
        <w:spacing w:after="240"/>
        <w:ind w:firstLine="720"/>
        <w:rPr>
          <w:sz w:val="26"/>
          <w:szCs w:val="26"/>
        </w:rPr>
      </w:pPr>
      <w:r>
        <w:rPr>
          <w:sz w:val="26"/>
          <w:szCs w:val="26"/>
        </w:rPr>
        <w:t>With regard to the stakeholder process, t</w:t>
      </w:r>
      <w:r w:rsidR="00A60C09">
        <w:rPr>
          <w:sz w:val="26"/>
          <w:szCs w:val="26"/>
        </w:rPr>
        <w:t>he purpose of th</w:t>
      </w:r>
      <w:r w:rsidR="009A75BD">
        <w:rPr>
          <w:sz w:val="26"/>
          <w:szCs w:val="26"/>
        </w:rPr>
        <w:t>is</w:t>
      </w:r>
      <w:r w:rsidR="00A60C09">
        <w:rPr>
          <w:sz w:val="26"/>
          <w:szCs w:val="26"/>
        </w:rPr>
        <w:t xml:space="preserve"> evaluation is to provide insights into the efficacy of </w:t>
      </w:r>
      <w:r w:rsidR="009A75BD">
        <w:rPr>
          <w:sz w:val="26"/>
          <w:szCs w:val="26"/>
        </w:rPr>
        <w:t>each</w:t>
      </w:r>
      <w:r w:rsidR="00A60C09">
        <w:rPr>
          <w:sz w:val="26"/>
          <w:szCs w:val="26"/>
        </w:rPr>
        <w:t xml:space="preserve"> transmission provider’s planning process.  Highlights from the discussions include the following:</w:t>
      </w:r>
    </w:p>
    <w:p w:rsidR="00A60C09" w:rsidRDefault="00A60C09" w:rsidP="002117D1">
      <w:pPr>
        <w:pStyle w:val="Default"/>
        <w:numPr>
          <w:ilvl w:val="0"/>
          <w:numId w:val="35"/>
        </w:numPr>
        <w:spacing w:after="240"/>
        <w:rPr>
          <w:sz w:val="26"/>
          <w:szCs w:val="26"/>
        </w:rPr>
      </w:pPr>
      <w:r>
        <w:rPr>
          <w:sz w:val="26"/>
          <w:szCs w:val="26"/>
        </w:rPr>
        <w:t xml:space="preserve">Subsidiaries of Duke participate in the North Carolina Transmission Planning Collaborative, the </w:t>
      </w:r>
      <w:r w:rsidR="00B05F73">
        <w:rPr>
          <w:sz w:val="26"/>
          <w:szCs w:val="26"/>
        </w:rPr>
        <w:t>Florida Reliability Coordinating Council, Inc.</w:t>
      </w:r>
      <w:r>
        <w:rPr>
          <w:sz w:val="26"/>
          <w:szCs w:val="26"/>
        </w:rPr>
        <w:t xml:space="preserve"> Regional Transmission Planning Process and various SERC </w:t>
      </w:r>
      <w:r w:rsidR="00B05F73">
        <w:rPr>
          <w:sz w:val="26"/>
          <w:szCs w:val="26"/>
        </w:rPr>
        <w:t xml:space="preserve">Reliability Corporation </w:t>
      </w:r>
      <w:r>
        <w:rPr>
          <w:sz w:val="26"/>
          <w:szCs w:val="26"/>
        </w:rPr>
        <w:t>groups associated with reliability assessments.  Stakeholders have the opportunity to propose alternatives to projects included in the expansion plans as well as sensitivity analyses.  Stakeholders in these processes include transmission-dependent utilities, public service commission staff, federal and state regulatory representatives and non-governmental organizations.</w:t>
      </w:r>
    </w:p>
    <w:p w:rsidR="00A60C09" w:rsidRDefault="00A60C09" w:rsidP="002117D1">
      <w:pPr>
        <w:pStyle w:val="Default"/>
        <w:numPr>
          <w:ilvl w:val="0"/>
          <w:numId w:val="35"/>
        </w:numPr>
        <w:spacing w:after="240"/>
        <w:rPr>
          <w:sz w:val="26"/>
          <w:szCs w:val="26"/>
        </w:rPr>
      </w:pPr>
      <w:r>
        <w:rPr>
          <w:sz w:val="26"/>
          <w:szCs w:val="26"/>
        </w:rPr>
        <w:t>Southern participates in the SERC transmission planning process.  In this process, stakeholders (transmission owners/operators, transmission service customers, cooperatives, municipals, power marketers, generator owners/developers, ISOs/RTOs, and demand response resources) establish and participate in a regional planning stakeholder group.  Additional stakeholders in the process may include transmission-dependent utilities, public service commission staff, federal and state regulatory representatives and non-governmental organizations.  The purpose of the regional planning stakeholder proceedings is to solicit stakeholder feedback and represent multiple stakeholder groups in focused interactions and dialogue with project sponsors.</w:t>
      </w:r>
    </w:p>
    <w:p w:rsidR="00A60C09" w:rsidRDefault="00A60C09" w:rsidP="002117D1">
      <w:pPr>
        <w:pStyle w:val="Default"/>
        <w:numPr>
          <w:ilvl w:val="0"/>
          <w:numId w:val="35"/>
        </w:numPr>
        <w:spacing w:after="240"/>
        <w:rPr>
          <w:sz w:val="26"/>
          <w:szCs w:val="26"/>
        </w:rPr>
      </w:pPr>
      <w:r>
        <w:rPr>
          <w:sz w:val="26"/>
          <w:szCs w:val="26"/>
        </w:rPr>
        <w:t>LG&amp;E/KU coordinates transmission planning with a Stakeholder Planning Committee.  Membership in the Stakeholder Planning Committee is open to all interested parties and is comprised of transmission customers, load-serving entities and municipal organizations.</w:t>
      </w:r>
    </w:p>
    <w:p w:rsidR="00A60C09" w:rsidRDefault="007F3248" w:rsidP="002117D1">
      <w:pPr>
        <w:pStyle w:val="Default"/>
        <w:numPr>
          <w:ilvl w:val="0"/>
          <w:numId w:val="35"/>
        </w:numPr>
        <w:spacing w:after="240"/>
        <w:rPr>
          <w:sz w:val="26"/>
          <w:szCs w:val="26"/>
        </w:rPr>
      </w:pPr>
      <w:r>
        <w:rPr>
          <w:sz w:val="26"/>
          <w:szCs w:val="26"/>
        </w:rPr>
        <w:lastRenderedPageBreak/>
        <w:t>PacifiCorp</w:t>
      </w:r>
      <w:r w:rsidR="00A60C09">
        <w:rPr>
          <w:sz w:val="26"/>
          <w:szCs w:val="26"/>
        </w:rPr>
        <w:t xml:space="preserve"> participates in the regional planning process of the Northern Tier Transmission Group.  </w:t>
      </w:r>
      <w:r>
        <w:rPr>
          <w:sz w:val="26"/>
          <w:szCs w:val="26"/>
        </w:rPr>
        <w:t>PacifiCorp</w:t>
      </w:r>
      <w:r w:rsidR="00A60C09">
        <w:rPr>
          <w:sz w:val="26"/>
          <w:szCs w:val="26"/>
        </w:rPr>
        <w:t xml:space="preserve">’s </w:t>
      </w:r>
      <w:r w:rsidR="002204E7">
        <w:rPr>
          <w:sz w:val="26"/>
          <w:szCs w:val="26"/>
        </w:rPr>
        <w:t>description of its transmission planning process</w:t>
      </w:r>
      <w:r w:rsidR="00A60C09">
        <w:rPr>
          <w:sz w:val="26"/>
          <w:szCs w:val="26"/>
        </w:rPr>
        <w:t xml:space="preserve"> outlines a process for stakeholders to provide input and bring forth those transmission needs driven by </w:t>
      </w:r>
      <w:r w:rsidR="00B05F73">
        <w:rPr>
          <w:sz w:val="26"/>
          <w:szCs w:val="26"/>
        </w:rPr>
        <w:t>p</w:t>
      </w:r>
      <w:r w:rsidR="00A60C09">
        <w:rPr>
          <w:sz w:val="26"/>
          <w:szCs w:val="26"/>
        </w:rPr>
        <w:t xml:space="preserve">ublic </w:t>
      </w:r>
      <w:r w:rsidR="00B05F73">
        <w:rPr>
          <w:sz w:val="26"/>
          <w:szCs w:val="26"/>
        </w:rPr>
        <w:t>p</w:t>
      </w:r>
      <w:r w:rsidR="00A60C09">
        <w:rPr>
          <w:sz w:val="26"/>
          <w:szCs w:val="26"/>
        </w:rPr>
        <w:t xml:space="preserve">olicy </w:t>
      </w:r>
      <w:r w:rsidR="00B05F73">
        <w:rPr>
          <w:sz w:val="26"/>
          <w:szCs w:val="26"/>
        </w:rPr>
        <w:t>r</w:t>
      </w:r>
      <w:r w:rsidR="00A60C09">
        <w:rPr>
          <w:sz w:val="26"/>
          <w:szCs w:val="26"/>
        </w:rPr>
        <w:t xml:space="preserve">equirements and commits </w:t>
      </w:r>
      <w:r>
        <w:rPr>
          <w:sz w:val="26"/>
          <w:szCs w:val="26"/>
        </w:rPr>
        <w:t>PacifiCorp</w:t>
      </w:r>
      <w:r w:rsidR="00A60C09">
        <w:rPr>
          <w:sz w:val="26"/>
          <w:szCs w:val="26"/>
        </w:rPr>
        <w:t xml:space="preserve"> to participate in a regional transmission planning process.  Stakeholders in this planning process include network customers (Bonneville Power Administration, Deseret Generation and Transmission Cooperative, Utah Municipal Power Agency</w:t>
      </w:r>
      <w:r w:rsidR="00B05F73">
        <w:rPr>
          <w:sz w:val="26"/>
          <w:szCs w:val="26"/>
        </w:rPr>
        <w:t>,</w:t>
      </w:r>
      <w:r w:rsidR="00A60C09">
        <w:rPr>
          <w:sz w:val="26"/>
          <w:szCs w:val="26"/>
        </w:rPr>
        <w:t xml:space="preserve"> and Utah Associated Municipal Power Systems), generation developers, state public utility commissioners</w:t>
      </w:r>
      <w:r w:rsidR="00B05F73">
        <w:rPr>
          <w:sz w:val="26"/>
          <w:szCs w:val="26"/>
        </w:rPr>
        <w:t>,</w:t>
      </w:r>
      <w:r w:rsidR="00A60C09">
        <w:rPr>
          <w:sz w:val="26"/>
          <w:szCs w:val="26"/>
        </w:rPr>
        <w:t xml:space="preserve"> and public interest groups.</w:t>
      </w:r>
    </w:p>
    <w:p w:rsidR="00A60C09" w:rsidRPr="00953D39" w:rsidRDefault="00A60C09" w:rsidP="002117D1">
      <w:pPr>
        <w:pStyle w:val="Default"/>
        <w:numPr>
          <w:ilvl w:val="0"/>
          <w:numId w:val="35"/>
        </w:numPr>
        <w:spacing w:after="240"/>
        <w:rPr>
          <w:sz w:val="26"/>
          <w:szCs w:val="26"/>
        </w:rPr>
      </w:pPr>
      <w:r w:rsidRPr="00953D39">
        <w:rPr>
          <w:sz w:val="26"/>
          <w:szCs w:val="26"/>
        </w:rPr>
        <w:t>APS participates in regional planning organizations and the WestConnect organization.  APS is also a member of WECC and Southwest Area Transmission Planning group.  APS provides an opportunity for other entities to participate in future planned projects through the annual planning process.  These entities include FERC-juri</w:t>
      </w:r>
      <w:r w:rsidR="00B05F73">
        <w:rPr>
          <w:sz w:val="26"/>
          <w:szCs w:val="26"/>
        </w:rPr>
        <w:t>s</w:t>
      </w:r>
      <w:r w:rsidRPr="00953D39">
        <w:rPr>
          <w:sz w:val="26"/>
          <w:szCs w:val="26"/>
        </w:rPr>
        <w:t>dictional and non-jurisdictional utilities, state utility regulatory bodies, generator developers, transmission line project developers, consumer advocates</w:t>
      </w:r>
      <w:r w:rsidR="00B05F73">
        <w:rPr>
          <w:sz w:val="26"/>
          <w:szCs w:val="26"/>
        </w:rPr>
        <w:t>,</w:t>
      </w:r>
      <w:r w:rsidRPr="00953D39">
        <w:rPr>
          <w:sz w:val="26"/>
          <w:szCs w:val="26"/>
        </w:rPr>
        <w:t xml:space="preserve"> and individual customers.</w:t>
      </w:r>
    </w:p>
    <w:p w:rsidR="00A60C09" w:rsidRPr="00953D39" w:rsidRDefault="00A60C09" w:rsidP="002117D1">
      <w:pPr>
        <w:pStyle w:val="Heading3"/>
      </w:pPr>
      <w:bookmarkStart w:id="128" w:name="_Toc390256271"/>
      <w:r w:rsidRPr="00953D39">
        <w:t>Transmission Access/Transmission Service Requests Denials</w:t>
      </w:r>
      <w:bookmarkStart w:id="129" w:name="_bmk63"/>
      <w:bookmarkEnd w:id="128"/>
    </w:p>
    <w:bookmarkEnd w:id="129"/>
    <w:p w:rsidR="00A60C09" w:rsidRDefault="00A60C09" w:rsidP="002117D1">
      <w:pPr>
        <w:pStyle w:val="Default"/>
        <w:spacing w:after="240"/>
        <w:ind w:firstLine="720"/>
        <w:rPr>
          <w:sz w:val="26"/>
          <w:szCs w:val="26"/>
        </w:rPr>
      </w:pPr>
      <w:r w:rsidRPr="00614ABD">
        <w:rPr>
          <w:sz w:val="26"/>
          <w:szCs w:val="26"/>
        </w:rPr>
        <w:t>Th</w:t>
      </w:r>
      <w:r>
        <w:rPr>
          <w:sz w:val="26"/>
          <w:szCs w:val="26"/>
        </w:rPr>
        <w:t>e</w:t>
      </w:r>
      <w:r w:rsidRPr="00614ABD">
        <w:rPr>
          <w:sz w:val="26"/>
          <w:szCs w:val="26"/>
        </w:rPr>
        <w:t xml:space="preserve"> </w:t>
      </w:r>
      <w:r>
        <w:rPr>
          <w:sz w:val="26"/>
          <w:szCs w:val="26"/>
        </w:rPr>
        <w:t xml:space="preserve">interconnection and transmission service request </w:t>
      </w:r>
      <w:r w:rsidRPr="00614ABD">
        <w:rPr>
          <w:sz w:val="26"/>
          <w:szCs w:val="26"/>
        </w:rPr>
        <w:t>metric measures</w:t>
      </w:r>
      <w:r>
        <w:rPr>
          <w:sz w:val="26"/>
          <w:szCs w:val="26"/>
        </w:rPr>
        <w:t xml:space="preserve"> the number of transmission access or transmission service denials.  </w:t>
      </w:r>
      <w:r w:rsidRPr="00614ABD">
        <w:rPr>
          <w:sz w:val="26"/>
          <w:szCs w:val="26"/>
        </w:rPr>
        <w:t>The purpose of this metric is to provide information on the magnitude and reasons for transmission service denials and whether additional infrastructure investment is needed to avoid transmission service denials.</w:t>
      </w:r>
      <w:r>
        <w:rPr>
          <w:sz w:val="26"/>
          <w:szCs w:val="26"/>
        </w:rPr>
        <w:t xml:space="preserve">  Results are shown on the table below.</w:t>
      </w: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1F212D" w:rsidRDefault="001F212D" w:rsidP="002117D1">
      <w:pPr>
        <w:pStyle w:val="Default"/>
        <w:spacing w:after="240"/>
        <w:ind w:firstLine="720"/>
        <w:rPr>
          <w:sz w:val="26"/>
          <w:szCs w:val="26"/>
        </w:rPr>
      </w:pPr>
    </w:p>
    <w:p w:rsidR="00A60C09" w:rsidRDefault="00A60C09" w:rsidP="002117D1">
      <w:pPr>
        <w:pStyle w:val="Default"/>
        <w:spacing w:after="240"/>
        <w:ind w:firstLine="720"/>
        <w:jc w:val="center"/>
        <w:rPr>
          <w:b/>
          <w:sz w:val="26"/>
          <w:szCs w:val="26"/>
          <w:u w:val="single"/>
        </w:rPr>
      </w:pPr>
      <w:r>
        <w:rPr>
          <w:b/>
          <w:sz w:val="26"/>
          <w:szCs w:val="26"/>
          <w:u w:val="single"/>
        </w:rPr>
        <w:lastRenderedPageBreak/>
        <w:t>2006 – 2010 Transmission Service Requests Denied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1476"/>
      </w:tblGrid>
      <w:tr w:rsidR="00A60C09" w:rsidRPr="000B610E" w:rsidTr="00953D39">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Entity</w:t>
            </w:r>
          </w:p>
        </w:tc>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2006</w:t>
            </w:r>
          </w:p>
        </w:tc>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2007</w:t>
            </w:r>
          </w:p>
        </w:tc>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2008</w:t>
            </w:r>
          </w:p>
        </w:tc>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2009</w:t>
            </w:r>
          </w:p>
        </w:tc>
        <w:tc>
          <w:tcPr>
            <w:tcW w:w="1476" w:type="dxa"/>
            <w:shd w:val="clear" w:color="auto" w:fill="auto"/>
          </w:tcPr>
          <w:p w:rsidR="00A60C09" w:rsidRPr="000B610E" w:rsidRDefault="00A60C09" w:rsidP="002117D1">
            <w:pPr>
              <w:pStyle w:val="Default"/>
              <w:spacing w:after="240"/>
              <w:jc w:val="center"/>
              <w:rPr>
                <w:b/>
                <w:szCs w:val="26"/>
                <w:u w:val="single"/>
              </w:rPr>
            </w:pPr>
            <w:r w:rsidRPr="000B610E">
              <w:rPr>
                <w:b/>
                <w:szCs w:val="26"/>
                <w:u w:val="single"/>
              </w:rPr>
              <w:t>2010</w:t>
            </w:r>
          </w:p>
        </w:tc>
      </w:tr>
      <w:tr w:rsidR="0041457D" w:rsidRPr="000B610E" w:rsidTr="00C4252F">
        <w:tc>
          <w:tcPr>
            <w:tcW w:w="1476" w:type="dxa"/>
            <w:shd w:val="clear" w:color="auto" w:fill="auto"/>
          </w:tcPr>
          <w:p w:rsidR="0041457D" w:rsidRPr="000B610E" w:rsidRDefault="0041457D" w:rsidP="00C4252F">
            <w:pPr>
              <w:pStyle w:val="Default"/>
              <w:spacing w:after="240"/>
              <w:jc w:val="center"/>
              <w:rPr>
                <w:szCs w:val="26"/>
              </w:rPr>
            </w:pPr>
            <w:r w:rsidRPr="000B610E">
              <w:rPr>
                <w:szCs w:val="26"/>
              </w:rPr>
              <w:t>APS</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6</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6</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0</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3</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1</w:t>
            </w:r>
          </w:p>
        </w:tc>
      </w:tr>
      <w:tr w:rsidR="00A60C09" w:rsidRPr="000B610E" w:rsidTr="00953D39">
        <w:tc>
          <w:tcPr>
            <w:tcW w:w="1476" w:type="dxa"/>
            <w:shd w:val="clear" w:color="auto" w:fill="auto"/>
          </w:tcPr>
          <w:p w:rsidR="00A60C09" w:rsidRPr="000B610E" w:rsidRDefault="00A60C09" w:rsidP="002117D1">
            <w:pPr>
              <w:pStyle w:val="Default"/>
              <w:spacing w:after="240"/>
              <w:jc w:val="center"/>
              <w:rPr>
                <w:szCs w:val="26"/>
              </w:rPr>
            </w:pPr>
            <w:r w:rsidRPr="000B610E">
              <w:rPr>
                <w:szCs w:val="26"/>
              </w:rPr>
              <w:t>Duke</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3</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9</w:t>
            </w:r>
          </w:p>
        </w:tc>
        <w:tc>
          <w:tcPr>
            <w:tcW w:w="1476" w:type="dxa"/>
            <w:shd w:val="clear" w:color="auto" w:fill="auto"/>
          </w:tcPr>
          <w:p w:rsidR="00A60C09" w:rsidRPr="000B610E" w:rsidRDefault="00A60C09" w:rsidP="001F212D">
            <w:pPr>
              <w:pStyle w:val="Default"/>
              <w:spacing w:after="240"/>
              <w:jc w:val="center"/>
              <w:rPr>
                <w:szCs w:val="26"/>
              </w:rPr>
            </w:pPr>
            <w:r w:rsidRPr="000B610E">
              <w:rPr>
                <w:szCs w:val="26"/>
              </w:rPr>
              <w:t>1</w:t>
            </w:r>
            <w:r w:rsidR="001F212D">
              <w:rPr>
                <w:szCs w:val="26"/>
              </w:rPr>
              <w:t>2</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28</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26</w:t>
            </w:r>
          </w:p>
        </w:tc>
      </w:tr>
      <w:tr w:rsidR="0041457D" w:rsidRPr="000B610E" w:rsidTr="00C4252F">
        <w:tc>
          <w:tcPr>
            <w:tcW w:w="1476" w:type="dxa"/>
            <w:shd w:val="clear" w:color="auto" w:fill="auto"/>
          </w:tcPr>
          <w:p w:rsidR="0041457D" w:rsidRPr="000B610E" w:rsidRDefault="0041457D" w:rsidP="00C4252F">
            <w:pPr>
              <w:pStyle w:val="Default"/>
              <w:spacing w:after="240"/>
              <w:jc w:val="center"/>
              <w:rPr>
                <w:szCs w:val="26"/>
              </w:rPr>
            </w:pPr>
            <w:r w:rsidRPr="000B610E">
              <w:rPr>
                <w:szCs w:val="26"/>
              </w:rPr>
              <w:t>LG&amp;E/KU</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1208</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985</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704</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237</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1574</w:t>
            </w:r>
          </w:p>
        </w:tc>
      </w:tr>
      <w:tr w:rsidR="0041457D" w:rsidRPr="000B610E" w:rsidTr="00C4252F">
        <w:tc>
          <w:tcPr>
            <w:tcW w:w="1476" w:type="dxa"/>
            <w:shd w:val="clear" w:color="auto" w:fill="auto"/>
          </w:tcPr>
          <w:p w:rsidR="0041457D" w:rsidRPr="000B610E" w:rsidRDefault="0041457D" w:rsidP="00C4252F">
            <w:pPr>
              <w:pStyle w:val="Default"/>
              <w:spacing w:after="240"/>
              <w:jc w:val="center"/>
              <w:rPr>
                <w:szCs w:val="26"/>
              </w:rPr>
            </w:pPr>
            <w:r>
              <w:rPr>
                <w:szCs w:val="26"/>
              </w:rPr>
              <w:t>PacifiCorp</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2</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0</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1</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2</w:t>
            </w:r>
          </w:p>
        </w:tc>
        <w:tc>
          <w:tcPr>
            <w:tcW w:w="1476" w:type="dxa"/>
            <w:shd w:val="clear" w:color="auto" w:fill="auto"/>
          </w:tcPr>
          <w:p w:rsidR="0041457D" w:rsidRPr="000B610E" w:rsidRDefault="0041457D" w:rsidP="00C4252F">
            <w:pPr>
              <w:pStyle w:val="Default"/>
              <w:spacing w:after="240"/>
              <w:jc w:val="center"/>
              <w:rPr>
                <w:szCs w:val="26"/>
              </w:rPr>
            </w:pPr>
            <w:r w:rsidRPr="000B610E">
              <w:rPr>
                <w:szCs w:val="26"/>
              </w:rPr>
              <w:t>0</w:t>
            </w:r>
          </w:p>
        </w:tc>
      </w:tr>
      <w:tr w:rsidR="00A60C09" w:rsidRPr="000B610E" w:rsidTr="00953D39">
        <w:tc>
          <w:tcPr>
            <w:tcW w:w="1476" w:type="dxa"/>
            <w:shd w:val="clear" w:color="auto" w:fill="auto"/>
          </w:tcPr>
          <w:p w:rsidR="00A60C09" w:rsidRPr="000B610E" w:rsidRDefault="00A60C09" w:rsidP="002117D1">
            <w:pPr>
              <w:pStyle w:val="Default"/>
              <w:spacing w:after="240"/>
              <w:jc w:val="center"/>
              <w:rPr>
                <w:szCs w:val="26"/>
              </w:rPr>
            </w:pPr>
            <w:r w:rsidRPr="000B610E">
              <w:rPr>
                <w:szCs w:val="26"/>
              </w:rPr>
              <w:t>Southern</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6</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19</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13</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1</w:t>
            </w:r>
          </w:p>
        </w:tc>
        <w:tc>
          <w:tcPr>
            <w:tcW w:w="1476" w:type="dxa"/>
            <w:shd w:val="clear" w:color="auto" w:fill="auto"/>
          </w:tcPr>
          <w:p w:rsidR="00A60C09" w:rsidRPr="000B610E" w:rsidRDefault="00A60C09" w:rsidP="002117D1">
            <w:pPr>
              <w:pStyle w:val="Default"/>
              <w:spacing w:after="240"/>
              <w:jc w:val="center"/>
              <w:rPr>
                <w:szCs w:val="26"/>
              </w:rPr>
            </w:pPr>
            <w:r w:rsidRPr="000B610E">
              <w:rPr>
                <w:szCs w:val="26"/>
              </w:rPr>
              <w:t>0</w:t>
            </w:r>
          </w:p>
        </w:tc>
      </w:tr>
    </w:tbl>
    <w:p w:rsidR="00A60C09" w:rsidRDefault="00A60C09" w:rsidP="001F212D">
      <w:pPr>
        <w:pStyle w:val="Default"/>
        <w:spacing w:after="240"/>
        <w:ind w:firstLine="720"/>
        <w:jc w:val="both"/>
        <w:rPr>
          <w:szCs w:val="26"/>
        </w:rPr>
      </w:pPr>
    </w:p>
    <w:p w:rsidR="001F212D" w:rsidRPr="00103D17" w:rsidRDefault="00A60C09" w:rsidP="001F212D">
      <w:pPr>
        <w:pStyle w:val="Default"/>
        <w:spacing w:after="240"/>
        <w:rPr>
          <w:b/>
          <w:sz w:val="26"/>
          <w:szCs w:val="26"/>
          <w:u w:val="single"/>
        </w:rPr>
      </w:pPr>
      <w:r w:rsidRPr="00103D17">
        <w:rPr>
          <w:b/>
          <w:sz w:val="26"/>
          <w:szCs w:val="26"/>
          <w:u w:val="single"/>
        </w:rPr>
        <w:t>Notes</w:t>
      </w:r>
    </w:p>
    <w:p w:rsidR="00A60C09" w:rsidRPr="00103D17" w:rsidRDefault="00A60C09" w:rsidP="001F212D">
      <w:pPr>
        <w:pStyle w:val="Default"/>
        <w:spacing w:after="240"/>
        <w:rPr>
          <w:sz w:val="26"/>
          <w:szCs w:val="26"/>
        </w:rPr>
      </w:pPr>
      <w:r w:rsidRPr="00103D17">
        <w:rPr>
          <w:sz w:val="26"/>
          <w:szCs w:val="26"/>
        </w:rPr>
        <w:t>Duke, Southern and APS count refused requests only.</w:t>
      </w:r>
      <w:r w:rsidR="001F212D" w:rsidRPr="00103D17">
        <w:rPr>
          <w:sz w:val="26"/>
          <w:szCs w:val="26"/>
        </w:rPr>
        <w:t xml:space="preserve">  </w:t>
      </w:r>
      <w:r w:rsidRPr="00103D17">
        <w:rPr>
          <w:sz w:val="26"/>
          <w:szCs w:val="26"/>
        </w:rPr>
        <w:t xml:space="preserve">LG&amp;E/KU denials </w:t>
      </w:r>
      <w:r w:rsidR="001F212D" w:rsidRPr="00103D17">
        <w:rPr>
          <w:sz w:val="26"/>
          <w:szCs w:val="26"/>
        </w:rPr>
        <w:t xml:space="preserve">were </w:t>
      </w:r>
      <w:r w:rsidRPr="00103D17">
        <w:rPr>
          <w:sz w:val="26"/>
          <w:szCs w:val="26"/>
        </w:rPr>
        <w:t xml:space="preserve">due to insufficient </w:t>
      </w:r>
      <w:proofErr w:type="spellStart"/>
      <w:r w:rsidRPr="00103D17">
        <w:rPr>
          <w:sz w:val="26"/>
          <w:szCs w:val="26"/>
        </w:rPr>
        <w:t>flowgate</w:t>
      </w:r>
      <w:proofErr w:type="spellEnd"/>
      <w:r w:rsidRPr="00103D17">
        <w:rPr>
          <w:sz w:val="26"/>
          <w:szCs w:val="26"/>
        </w:rPr>
        <w:t xml:space="preserve"> capacity.</w:t>
      </w:r>
      <w:r w:rsidR="001F212D" w:rsidRPr="00103D17">
        <w:rPr>
          <w:sz w:val="26"/>
          <w:szCs w:val="26"/>
        </w:rPr>
        <w:t xml:space="preserve">  </w:t>
      </w:r>
      <w:r w:rsidR="007F3248" w:rsidRPr="00103D17">
        <w:rPr>
          <w:sz w:val="26"/>
          <w:szCs w:val="26"/>
        </w:rPr>
        <w:t>PacifiCorp</w:t>
      </w:r>
      <w:r w:rsidRPr="00103D17">
        <w:rPr>
          <w:sz w:val="26"/>
          <w:szCs w:val="26"/>
        </w:rPr>
        <w:t xml:space="preserve"> denials were due to incomplete applications.</w:t>
      </w:r>
    </w:p>
    <w:p w:rsidR="00A60C09" w:rsidRDefault="00A60C09" w:rsidP="002117D1">
      <w:pPr>
        <w:pStyle w:val="Heading3"/>
      </w:pPr>
      <w:bookmarkStart w:id="130" w:name="_Toc390256272"/>
      <w:r w:rsidRPr="009A0F52">
        <w:t xml:space="preserve">Demand Response </w:t>
      </w:r>
      <w:r>
        <w:t>and Renewables Integration Discussions</w:t>
      </w:r>
      <w:bookmarkStart w:id="131" w:name="_bmk64"/>
      <w:bookmarkEnd w:id="130"/>
    </w:p>
    <w:bookmarkEnd w:id="131"/>
    <w:p w:rsidR="00A60C09" w:rsidRDefault="00A60C09" w:rsidP="002117D1">
      <w:pPr>
        <w:pStyle w:val="Default"/>
        <w:spacing w:after="240"/>
        <w:ind w:firstLine="720"/>
        <w:rPr>
          <w:sz w:val="26"/>
          <w:szCs w:val="26"/>
        </w:rPr>
      </w:pPr>
      <w:r>
        <w:rPr>
          <w:sz w:val="26"/>
          <w:szCs w:val="26"/>
        </w:rPr>
        <w:t>These</w:t>
      </w:r>
      <w:r w:rsidRPr="00614ABD">
        <w:rPr>
          <w:sz w:val="26"/>
          <w:szCs w:val="26"/>
        </w:rPr>
        <w:t xml:space="preserve"> metric</w:t>
      </w:r>
      <w:r>
        <w:rPr>
          <w:sz w:val="26"/>
          <w:szCs w:val="26"/>
        </w:rPr>
        <w:t xml:space="preserve">s </w:t>
      </w:r>
      <w:r w:rsidRPr="00614ABD">
        <w:rPr>
          <w:sz w:val="26"/>
          <w:szCs w:val="26"/>
        </w:rPr>
        <w:t>require</w:t>
      </w:r>
      <w:r>
        <w:rPr>
          <w:sz w:val="26"/>
          <w:szCs w:val="26"/>
        </w:rPr>
        <w:t xml:space="preserve"> the following discussions:  (1)</w:t>
      </w:r>
      <w:r w:rsidRPr="00614ABD">
        <w:rPr>
          <w:sz w:val="26"/>
          <w:szCs w:val="26"/>
        </w:rPr>
        <w:t xml:space="preserve"> a comprehensive explanation of the nature of utility demand response programs implemented </w:t>
      </w:r>
      <w:r w:rsidR="006A0ABB">
        <w:rPr>
          <w:sz w:val="26"/>
          <w:szCs w:val="26"/>
        </w:rPr>
        <w:t>to manage</w:t>
      </w:r>
      <w:r w:rsidRPr="00614ABD">
        <w:rPr>
          <w:sz w:val="26"/>
          <w:szCs w:val="26"/>
        </w:rPr>
        <w:t xml:space="preserve"> load</w:t>
      </w:r>
      <w:r w:rsidR="006A0ABB">
        <w:rPr>
          <w:sz w:val="26"/>
          <w:szCs w:val="26"/>
        </w:rPr>
        <w:t xml:space="preserve"> and to comply</w:t>
      </w:r>
      <w:r w:rsidRPr="00614ABD">
        <w:rPr>
          <w:sz w:val="26"/>
          <w:szCs w:val="26"/>
        </w:rPr>
        <w:t xml:space="preserve"> with state requirements</w:t>
      </w:r>
      <w:r>
        <w:rPr>
          <w:sz w:val="26"/>
          <w:szCs w:val="26"/>
        </w:rPr>
        <w:t>; and (2) a discussion of programs to facilitate the integration of renewable resources and to mitigate any issues and uncertainty associated with scheduling renewable resources.</w:t>
      </w:r>
    </w:p>
    <w:p w:rsidR="00A60C09" w:rsidRDefault="006A0ABB" w:rsidP="002117D1">
      <w:pPr>
        <w:pStyle w:val="Default"/>
        <w:spacing w:after="240"/>
        <w:ind w:firstLine="720"/>
        <w:rPr>
          <w:sz w:val="26"/>
          <w:szCs w:val="26"/>
        </w:rPr>
      </w:pPr>
      <w:r>
        <w:rPr>
          <w:sz w:val="26"/>
          <w:szCs w:val="26"/>
        </w:rPr>
        <w:t>Each</w:t>
      </w:r>
      <w:r w:rsidR="00A60C09">
        <w:rPr>
          <w:sz w:val="26"/>
          <w:szCs w:val="26"/>
        </w:rPr>
        <w:t xml:space="preserve"> responding utilit</w:t>
      </w:r>
      <w:r>
        <w:rPr>
          <w:sz w:val="26"/>
          <w:szCs w:val="26"/>
        </w:rPr>
        <w:t>y</w:t>
      </w:r>
      <w:r w:rsidR="00A60C09">
        <w:rPr>
          <w:sz w:val="26"/>
          <w:szCs w:val="26"/>
        </w:rPr>
        <w:t xml:space="preserve"> had </w:t>
      </w:r>
      <w:r>
        <w:rPr>
          <w:sz w:val="26"/>
          <w:szCs w:val="26"/>
        </w:rPr>
        <w:t>several</w:t>
      </w:r>
      <w:r w:rsidR="00A60C09">
        <w:rPr>
          <w:sz w:val="26"/>
          <w:szCs w:val="26"/>
        </w:rPr>
        <w:t xml:space="preserve"> demand response programs in operation during the 2006</w:t>
      </w:r>
      <w:r w:rsidR="00B05F73">
        <w:t>–</w:t>
      </w:r>
      <w:r w:rsidR="00A60C09">
        <w:rPr>
          <w:sz w:val="26"/>
          <w:szCs w:val="26"/>
        </w:rPr>
        <w:t xml:space="preserve">2010 </w:t>
      </w:r>
      <w:proofErr w:type="gramStart"/>
      <w:r w:rsidR="00A60C09">
        <w:rPr>
          <w:sz w:val="26"/>
          <w:szCs w:val="26"/>
        </w:rPr>
        <w:t>period</w:t>
      </w:r>
      <w:proofErr w:type="gramEnd"/>
      <w:r w:rsidR="00A60C09">
        <w:rPr>
          <w:sz w:val="26"/>
          <w:szCs w:val="26"/>
        </w:rPr>
        <w:t>.  Highlights of the demand response discussions are as follows:</w:t>
      </w:r>
    </w:p>
    <w:p w:rsidR="00A60C09" w:rsidRDefault="007F3248" w:rsidP="002117D1">
      <w:pPr>
        <w:pStyle w:val="Default"/>
        <w:numPr>
          <w:ilvl w:val="0"/>
          <w:numId w:val="32"/>
        </w:numPr>
        <w:spacing w:after="240"/>
        <w:ind w:left="1080"/>
        <w:rPr>
          <w:sz w:val="26"/>
          <w:szCs w:val="26"/>
        </w:rPr>
      </w:pPr>
      <w:r>
        <w:rPr>
          <w:sz w:val="26"/>
          <w:szCs w:val="26"/>
        </w:rPr>
        <w:t>PacifiCorp</w:t>
      </w:r>
      <w:r w:rsidR="00A60C09">
        <w:rPr>
          <w:sz w:val="26"/>
          <w:szCs w:val="26"/>
        </w:rPr>
        <w:t>’s demand response programs</w:t>
      </w:r>
      <w:r w:rsidR="00A60C09">
        <w:rPr>
          <w:rStyle w:val="FootnoteReference"/>
        </w:rPr>
        <w:footnoteReference w:id="36"/>
      </w:r>
      <w:r w:rsidR="00A60C09">
        <w:rPr>
          <w:sz w:val="26"/>
          <w:szCs w:val="26"/>
        </w:rPr>
        <w:t xml:space="preserve"> provided a maximum curtailment capability of 738 megawatts.</w:t>
      </w:r>
    </w:p>
    <w:p w:rsidR="00A60C09" w:rsidRDefault="00A60C09" w:rsidP="002117D1">
      <w:pPr>
        <w:pStyle w:val="Default"/>
        <w:numPr>
          <w:ilvl w:val="0"/>
          <w:numId w:val="32"/>
        </w:numPr>
        <w:spacing w:after="240"/>
        <w:ind w:left="1080"/>
        <w:rPr>
          <w:sz w:val="26"/>
          <w:szCs w:val="26"/>
        </w:rPr>
      </w:pPr>
      <w:r>
        <w:rPr>
          <w:sz w:val="26"/>
          <w:szCs w:val="26"/>
        </w:rPr>
        <w:t>LG&amp;E/KU demand response programs provided 180 megawatts of curtailment capability.</w:t>
      </w:r>
    </w:p>
    <w:p w:rsidR="00A60C09" w:rsidRDefault="00A60C09" w:rsidP="002117D1">
      <w:pPr>
        <w:pStyle w:val="Default"/>
        <w:numPr>
          <w:ilvl w:val="0"/>
          <w:numId w:val="32"/>
        </w:numPr>
        <w:spacing w:after="240"/>
        <w:ind w:left="1080"/>
        <w:rPr>
          <w:sz w:val="26"/>
          <w:szCs w:val="26"/>
        </w:rPr>
      </w:pPr>
      <w:r>
        <w:rPr>
          <w:sz w:val="26"/>
          <w:szCs w:val="26"/>
        </w:rPr>
        <w:t xml:space="preserve">APS </w:t>
      </w:r>
      <w:r w:rsidR="002204E7">
        <w:rPr>
          <w:sz w:val="26"/>
          <w:szCs w:val="26"/>
        </w:rPr>
        <w:t xml:space="preserve">demand response </w:t>
      </w:r>
      <w:r>
        <w:rPr>
          <w:sz w:val="26"/>
          <w:szCs w:val="26"/>
        </w:rPr>
        <w:t>programs reduced summer peak loads by over 100 megawatts.</w:t>
      </w:r>
    </w:p>
    <w:p w:rsidR="00A20016" w:rsidRDefault="00A20016" w:rsidP="002117D1">
      <w:pPr>
        <w:pStyle w:val="Default"/>
        <w:numPr>
          <w:ilvl w:val="0"/>
          <w:numId w:val="32"/>
        </w:numPr>
        <w:spacing w:after="240"/>
        <w:ind w:left="1080"/>
        <w:rPr>
          <w:sz w:val="26"/>
          <w:szCs w:val="26"/>
        </w:rPr>
      </w:pPr>
      <w:r>
        <w:rPr>
          <w:sz w:val="26"/>
          <w:szCs w:val="26"/>
        </w:rPr>
        <w:lastRenderedPageBreak/>
        <w:t>Duke and Southern discussed their demand response programs and provided links to the</w:t>
      </w:r>
      <w:r w:rsidR="0091656A">
        <w:rPr>
          <w:sz w:val="26"/>
          <w:szCs w:val="26"/>
        </w:rPr>
        <w:t>se programs on the</w:t>
      </w:r>
      <w:r>
        <w:rPr>
          <w:sz w:val="26"/>
          <w:szCs w:val="26"/>
        </w:rPr>
        <w:t>ir respective corporate websites.</w:t>
      </w:r>
    </w:p>
    <w:p w:rsidR="00A60C09" w:rsidRDefault="00A60C09" w:rsidP="002117D1">
      <w:pPr>
        <w:pStyle w:val="Default"/>
        <w:spacing w:after="240"/>
        <w:ind w:firstLine="615"/>
        <w:rPr>
          <w:sz w:val="26"/>
          <w:szCs w:val="26"/>
        </w:rPr>
      </w:pPr>
      <w:r>
        <w:rPr>
          <w:sz w:val="26"/>
          <w:szCs w:val="26"/>
        </w:rPr>
        <w:t>Utility programs to integrate renewable resources include the following:</w:t>
      </w:r>
    </w:p>
    <w:p w:rsidR="00A60C09" w:rsidRDefault="007F3248" w:rsidP="002117D1">
      <w:pPr>
        <w:pStyle w:val="Default"/>
        <w:numPr>
          <w:ilvl w:val="0"/>
          <w:numId w:val="33"/>
        </w:numPr>
        <w:spacing w:after="240"/>
        <w:ind w:left="1080" w:hanging="345"/>
        <w:rPr>
          <w:sz w:val="26"/>
          <w:szCs w:val="26"/>
        </w:rPr>
      </w:pPr>
      <w:r>
        <w:rPr>
          <w:sz w:val="26"/>
          <w:szCs w:val="26"/>
        </w:rPr>
        <w:t>PacifiCorp</w:t>
      </w:r>
      <w:r w:rsidR="00A60C09">
        <w:rPr>
          <w:sz w:val="26"/>
          <w:szCs w:val="26"/>
        </w:rPr>
        <w:t xml:space="preserve"> u</w:t>
      </w:r>
      <w:r w:rsidR="00FF3E88">
        <w:rPr>
          <w:sz w:val="26"/>
          <w:szCs w:val="26"/>
        </w:rPr>
        <w:t>sed</w:t>
      </w:r>
      <w:r w:rsidR="00A60C09">
        <w:rPr>
          <w:sz w:val="26"/>
          <w:szCs w:val="26"/>
        </w:rPr>
        <w:t xml:space="preserve"> automatic generation control on its resources to facilitate the integration of renewable resources and it participated in the </w:t>
      </w:r>
      <w:r w:rsidR="00E15BD5">
        <w:rPr>
          <w:sz w:val="26"/>
          <w:szCs w:val="26"/>
        </w:rPr>
        <w:t>j</w:t>
      </w:r>
      <w:r w:rsidR="00A60C09">
        <w:rPr>
          <w:sz w:val="26"/>
          <w:szCs w:val="26"/>
        </w:rPr>
        <w:t xml:space="preserve">oint </w:t>
      </w:r>
      <w:r w:rsidR="00E15BD5">
        <w:rPr>
          <w:sz w:val="26"/>
          <w:szCs w:val="26"/>
        </w:rPr>
        <w:t>i</w:t>
      </w:r>
      <w:r w:rsidR="00A60C09">
        <w:rPr>
          <w:sz w:val="26"/>
          <w:szCs w:val="26"/>
        </w:rPr>
        <w:t xml:space="preserve">nitiative that developed tools such as the </w:t>
      </w:r>
      <w:r w:rsidR="00E15BD5">
        <w:rPr>
          <w:sz w:val="26"/>
          <w:szCs w:val="26"/>
        </w:rPr>
        <w:t>i</w:t>
      </w:r>
      <w:r w:rsidR="00A60C09">
        <w:rPr>
          <w:sz w:val="26"/>
          <w:szCs w:val="26"/>
        </w:rPr>
        <w:t>ntra-</w:t>
      </w:r>
      <w:r w:rsidR="00E15BD5">
        <w:rPr>
          <w:sz w:val="26"/>
          <w:szCs w:val="26"/>
        </w:rPr>
        <w:t>h</w:t>
      </w:r>
      <w:r w:rsidR="00A60C09">
        <w:rPr>
          <w:sz w:val="26"/>
          <w:szCs w:val="26"/>
        </w:rPr>
        <w:t xml:space="preserve">our </w:t>
      </w:r>
      <w:r w:rsidR="00E15BD5">
        <w:rPr>
          <w:sz w:val="26"/>
          <w:szCs w:val="26"/>
        </w:rPr>
        <w:t>t</w:t>
      </w:r>
      <w:r w:rsidR="00A60C09">
        <w:rPr>
          <w:sz w:val="26"/>
          <w:szCs w:val="26"/>
        </w:rPr>
        <w:t xml:space="preserve">ransaction </w:t>
      </w:r>
      <w:r w:rsidR="00E15BD5">
        <w:rPr>
          <w:sz w:val="26"/>
          <w:szCs w:val="26"/>
        </w:rPr>
        <w:t>a</w:t>
      </w:r>
      <w:r w:rsidR="00A60C09">
        <w:rPr>
          <w:sz w:val="26"/>
          <w:szCs w:val="26"/>
        </w:rPr>
        <w:t xml:space="preserve">ccelerator </w:t>
      </w:r>
      <w:r w:rsidR="00E15BD5">
        <w:rPr>
          <w:sz w:val="26"/>
          <w:szCs w:val="26"/>
        </w:rPr>
        <w:t>p</w:t>
      </w:r>
      <w:r w:rsidR="00A60C09">
        <w:rPr>
          <w:sz w:val="26"/>
          <w:szCs w:val="26"/>
        </w:rPr>
        <w:t xml:space="preserve">latform and </w:t>
      </w:r>
      <w:r w:rsidR="00E15BD5">
        <w:rPr>
          <w:sz w:val="26"/>
          <w:szCs w:val="26"/>
        </w:rPr>
        <w:t>d</w:t>
      </w:r>
      <w:r w:rsidR="00A60C09">
        <w:rPr>
          <w:sz w:val="26"/>
          <w:szCs w:val="26"/>
        </w:rPr>
        <w:t xml:space="preserve">ynamic </w:t>
      </w:r>
      <w:r w:rsidR="00E15BD5">
        <w:rPr>
          <w:sz w:val="26"/>
          <w:szCs w:val="26"/>
        </w:rPr>
        <w:t>s</w:t>
      </w:r>
      <w:r w:rsidR="00A60C09">
        <w:rPr>
          <w:sz w:val="26"/>
          <w:szCs w:val="26"/>
        </w:rPr>
        <w:t xml:space="preserve">cheduling </w:t>
      </w:r>
      <w:r w:rsidR="00E15BD5">
        <w:rPr>
          <w:sz w:val="26"/>
          <w:szCs w:val="26"/>
        </w:rPr>
        <w:t>s</w:t>
      </w:r>
      <w:r w:rsidR="00A60C09">
        <w:rPr>
          <w:sz w:val="26"/>
          <w:szCs w:val="26"/>
        </w:rPr>
        <w:t xml:space="preserve">ystem to assist in the integration of renewable resources. </w:t>
      </w:r>
    </w:p>
    <w:p w:rsidR="00A60C09" w:rsidRDefault="00A60C09" w:rsidP="002117D1">
      <w:pPr>
        <w:pStyle w:val="Default"/>
        <w:numPr>
          <w:ilvl w:val="0"/>
          <w:numId w:val="33"/>
        </w:numPr>
        <w:spacing w:after="240"/>
        <w:ind w:left="1080" w:hanging="345"/>
        <w:rPr>
          <w:sz w:val="26"/>
          <w:szCs w:val="26"/>
        </w:rPr>
      </w:pPr>
      <w:r>
        <w:rPr>
          <w:sz w:val="26"/>
          <w:szCs w:val="26"/>
        </w:rPr>
        <w:t xml:space="preserve">APS required its generation to follow ramping events of wind generators and anticipates adding gas-fired peak generators to compensate for the intermittency of </w:t>
      </w:r>
      <w:r w:rsidR="0040035A">
        <w:rPr>
          <w:sz w:val="26"/>
          <w:szCs w:val="26"/>
        </w:rPr>
        <w:t xml:space="preserve">multiple types of </w:t>
      </w:r>
      <w:r>
        <w:rPr>
          <w:sz w:val="26"/>
          <w:szCs w:val="26"/>
        </w:rPr>
        <w:t>renewable energy generation.</w:t>
      </w:r>
    </w:p>
    <w:p w:rsidR="00A60C09" w:rsidRDefault="00A60C09" w:rsidP="002117D1">
      <w:pPr>
        <w:pStyle w:val="Heading3"/>
      </w:pPr>
      <w:bookmarkStart w:id="132" w:name="_Toc390256273"/>
      <w:r w:rsidRPr="00827ACC">
        <w:t>Congestion Management</w:t>
      </w:r>
      <w:bookmarkStart w:id="133" w:name="_bmk65"/>
      <w:bookmarkEnd w:id="132"/>
    </w:p>
    <w:bookmarkEnd w:id="133"/>
    <w:p w:rsidR="00A60C09" w:rsidRDefault="00A60C09" w:rsidP="002117D1">
      <w:pPr>
        <w:spacing w:after="240"/>
        <w:ind w:firstLine="720"/>
        <w:rPr>
          <w:szCs w:val="26"/>
        </w:rPr>
      </w:pPr>
      <w:r>
        <w:rPr>
          <w:szCs w:val="26"/>
        </w:rPr>
        <w:t>Congestion represents the cost to customers of paying for more expensive energy because physical transmission line limits do not allow full delivery of least-cost energy. Entities responding to this metric were required to provide a congestion analysis consistent with Order No. 890.</w:t>
      </w:r>
      <w:r w:rsidR="00555C86">
        <w:rPr>
          <w:rStyle w:val="FootnoteReference"/>
        </w:rPr>
        <w:footnoteReference w:id="37"/>
      </w:r>
      <w:r>
        <w:rPr>
          <w:szCs w:val="26"/>
        </w:rPr>
        <w:t xml:space="preserve"> </w:t>
      </w:r>
      <w:r w:rsidR="00E15BD5">
        <w:rPr>
          <w:szCs w:val="26"/>
        </w:rPr>
        <w:t xml:space="preserve"> </w:t>
      </w:r>
      <w:r>
        <w:rPr>
          <w:szCs w:val="26"/>
        </w:rPr>
        <w:t xml:space="preserve">In Order No. 890, the Commission adopted a planning principle requiring transmission providers to prepare studies identifying “significant and recurring” congestion and </w:t>
      </w:r>
      <w:r w:rsidR="00E15BD5">
        <w:rPr>
          <w:szCs w:val="26"/>
        </w:rPr>
        <w:t xml:space="preserve">to </w:t>
      </w:r>
      <w:r>
        <w:rPr>
          <w:szCs w:val="26"/>
        </w:rPr>
        <w:t xml:space="preserve">post such studies on their </w:t>
      </w:r>
      <w:r w:rsidR="00E15BD5">
        <w:rPr>
          <w:szCs w:val="26"/>
        </w:rPr>
        <w:t>Open Access Same-Time Information Systems (</w:t>
      </w:r>
      <w:r>
        <w:rPr>
          <w:szCs w:val="26"/>
        </w:rPr>
        <w:t>OASIS</w:t>
      </w:r>
      <w:r w:rsidR="00E15BD5">
        <w:rPr>
          <w:szCs w:val="26"/>
        </w:rPr>
        <w:t>)</w:t>
      </w:r>
      <w:r>
        <w:rPr>
          <w:szCs w:val="26"/>
        </w:rPr>
        <w:t xml:space="preserve">. </w:t>
      </w:r>
      <w:r w:rsidR="00E15BD5">
        <w:rPr>
          <w:szCs w:val="26"/>
        </w:rPr>
        <w:t xml:space="preserve"> </w:t>
      </w:r>
      <w:r>
        <w:rPr>
          <w:szCs w:val="26"/>
        </w:rPr>
        <w:t>The Commission explained that the</w:t>
      </w:r>
      <w:r w:rsidR="00E15BD5">
        <w:rPr>
          <w:szCs w:val="26"/>
        </w:rPr>
        <w:t>se</w:t>
      </w:r>
      <w:r>
        <w:rPr>
          <w:szCs w:val="26"/>
        </w:rPr>
        <w:t xml:space="preserve"> studies should analyze and report on the following items: (1) location and magnitude of the congestion; (2) possible remedies for the elimination of the congestion, in whole or in part; (3) associated costs of congestion; and (4) cost</w:t>
      </w:r>
      <w:r w:rsidR="00E15BD5">
        <w:rPr>
          <w:szCs w:val="26"/>
        </w:rPr>
        <w:t>s</w:t>
      </w:r>
      <w:r>
        <w:rPr>
          <w:szCs w:val="26"/>
        </w:rPr>
        <w:t xml:space="preserve"> associated with relieving congestion through system enhancements (or other means).</w:t>
      </w:r>
      <w:r>
        <w:rPr>
          <w:rStyle w:val="FootnoteReference"/>
        </w:rPr>
        <w:footnoteReference w:id="38"/>
      </w:r>
    </w:p>
    <w:p w:rsidR="00A60C09" w:rsidRDefault="00A60C09" w:rsidP="002117D1">
      <w:pPr>
        <w:spacing w:after="240"/>
        <w:ind w:firstLine="720"/>
        <w:rPr>
          <w:szCs w:val="26"/>
        </w:rPr>
      </w:pPr>
      <w:r>
        <w:rPr>
          <w:szCs w:val="26"/>
        </w:rPr>
        <w:t xml:space="preserve">All responding utilities cited information provided in </w:t>
      </w:r>
      <w:r w:rsidR="005C3E5C">
        <w:rPr>
          <w:szCs w:val="26"/>
        </w:rPr>
        <w:t>their tariff descriptions of their transmission planning processes</w:t>
      </w:r>
      <w:r>
        <w:rPr>
          <w:szCs w:val="26"/>
        </w:rPr>
        <w:t xml:space="preserve"> and </w:t>
      </w:r>
      <w:r w:rsidR="00017DFE">
        <w:rPr>
          <w:szCs w:val="26"/>
        </w:rPr>
        <w:t>some</w:t>
      </w:r>
      <w:r w:rsidR="0040035A">
        <w:rPr>
          <w:szCs w:val="26"/>
        </w:rPr>
        <w:t xml:space="preserve"> </w:t>
      </w:r>
      <w:r>
        <w:rPr>
          <w:szCs w:val="26"/>
        </w:rPr>
        <w:t>of them provided explanations of their programs to address congestion issues, including planning processes, stakeholder processes and studies undertaken in their regions to minimize congestion, as follows:</w:t>
      </w:r>
    </w:p>
    <w:p w:rsidR="00A60C09" w:rsidRPr="00F90B95" w:rsidRDefault="007F3248" w:rsidP="002117D1">
      <w:pPr>
        <w:widowControl/>
        <w:numPr>
          <w:ilvl w:val="0"/>
          <w:numId w:val="36"/>
        </w:numPr>
        <w:autoSpaceDE/>
        <w:autoSpaceDN/>
        <w:adjustRightInd/>
        <w:spacing w:after="240"/>
        <w:rPr>
          <w:b/>
          <w:szCs w:val="26"/>
        </w:rPr>
      </w:pPr>
      <w:r>
        <w:rPr>
          <w:szCs w:val="26"/>
        </w:rPr>
        <w:lastRenderedPageBreak/>
        <w:t>PacifiCorp</w:t>
      </w:r>
      <w:r w:rsidR="00A60C09">
        <w:rPr>
          <w:szCs w:val="26"/>
        </w:rPr>
        <w:t xml:space="preserve"> discussed the congestion analysis done by the WECC Transmission Expansion Planning Policy Committee and the role played by </w:t>
      </w:r>
      <w:r>
        <w:rPr>
          <w:szCs w:val="26"/>
        </w:rPr>
        <w:t>PacifiCorp</w:t>
      </w:r>
      <w:r w:rsidR="00A60C09">
        <w:rPr>
          <w:szCs w:val="26"/>
        </w:rPr>
        <w:t>’s Energy Gateway Project in alleviating congestion.</w:t>
      </w:r>
      <w:r w:rsidR="00A60C09">
        <w:rPr>
          <w:rStyle w:val="FootnoteReference"/>
        </w:rPr>
        <w:footnoteReference w:id="39"/>
      </w:r>
    </w:p>
    <w:p w:rsidR="00A60C09" w:rsidRPr="007721FB" w:rsidRDefault="00A60C09" w:rsidP="002117D1">
      <w:pPr>
        <w:widowControl/>
        <w:numPr>
          <w:ilvl w:val="0"/>
          <w:numId w:val="36"/>
        </w:numPr>
        <w:autoSpaceDE/>
        <w:autoSpaceDN/>
        <w:adjustRightInd/>
        <w:spacing w:after="240"/>
        <w:rPr>
          <w:b/>
          <w:szCs w:val="26"/>
        </w:rPr>
      </w:pPr>
      <w:r>
        <w:rPr>
          <w:szCs w:val="26"/>
        </w:rPr>
        <w:t>LG&amp;E/KU explained that the primary causes of congestion on its system are non-firm transfers and generating unit commitments</w:t>
      </w:r>
      <w:r w:rsidR="005470F8">
        <w:rPr>
          <w:szCs w:val="26"/>
        </w:rPr>
        <w:t xml:space="preserve">. </w:t>
      </w:r>
      <w:r>
        <w:rPr>
          <w:szCs w:val="26"/>
        </w:rPr>
        <w:t xml:space="preserve"> </w:t>
      </w:r>
      <w:r w:rsidR="00E15BD5">
        <w:rPr>
          <w:szCs w:val="26"/>
        </w:rPr>
        <w:t>LG&amp;E/KU</w:t>
      </w:r>
      <w:r w:rsidR="005470F8">
        <w:rPr>
          <w:szCs w:val="26"/>
        </w:rPr>
        <w:t xml:space="preserve"> also</w:t>
      </w:r>
      <w:r w:rsidR="00E15BD5">
        <w:rPr>
          <w:szCs w:val="26"/>
        </w:rPr>
        <w:t xml:space="preserve"> </w:t>
      </w:r>
      <w:r>
        <w:rPr>
          <w:szCs w:val="26"/>
        </w:rPr>
        <w:t>described the components of its planning process.</w:t>
      </w:r>
      <w:r>
        <w:rPr>
          <w:rStyle w:val="FootnoteReference"/>
        </w:rPr>
        <w:footnoteReference w:id="40"/>
      </w:r>
    </w:p>
    <w:p w:rsidR="00A60C09" w:rsidRPr="00D71980" w:rsidRDefault="00A60C09" w:rsidP="002117D1">
      <w:pPr>
        <w:widowControl/>
        <w:numPr>
          <w:ilvl w:val="0"/>
          <w:numId w:val="36"/>
        </w:numPr>
        <w:autoSpaceDE/>
        <w:autoSpaceDN/>
        <w:adjustRightInd/>
        <w:spacing w:after="240"/>
        <w:rPr>
          <w:b/>
          <w:szCs w:val="26"/>
        </w:rPr>
      </w:pPr>
      <w:r>
        <w:rPr>
          <w:szCs w:val="26"/>
        </w:rPr>
        <w:t>Duke and Southern explained how their transmission planning processes are designed to minimize congestion and the role of congestion studies in regional planning processes.</w:t>
      </w:r>
      <w:r>
        <w:rPr>
          <w:rStyle w:val="FootnoteReference"/>
        </w:rPr>
        <w:footnoteReference w:id="41"/>
      </w:r>
    </w:p>
    <w:p w:rsidR="00A60C09" w:rsidRPr="003E6A27" w:rsidRDefault="00A60C09" w:rsidP="002117D1">
      <w:pPr>
        <w:pStyle w:val="Heading3"/>
      </w:pPr>
      <w:bookmarkStart w:id="134" w:name="_Toc390256274"/>
      <w:r w:rsidRPr="009A0F52">
        <w:t>Transmission System Availability</w:t>
      </w:r>
      <w:bookmarkStart w:id="135" w:name="_bmk66"/>
      <w:bookmarkEnd w:id="134"/>
    </w:p>
    <w:bookmarkEnd w:id="135"/>
    <w:p w:rsidR="00A60C09" w:rsidRDefault="00A60C09" w:rsidP="002117D1">
      <w:pPr>
        <w:spacing w:after="240"/>
        <w:ind w:firstLine="720"/>
        <w:rPr>
          <w:szCs w:val="26"/>
        </w:rPr>
      </w:pPr>
      <w:r>
        <w:rPr>
          <w:szCs w:val="26"/>
        </w:rPr>
        <w:t xml:space="preserve">This metric measures interrupted load megawatt hours as a percentage of megawatt hours of load served.  Duke, Southern and APS reported zero interruptions over the 2006–2010 </w:t>
      </w:r>
      <w:proofErr w:type="gramStart"/>
      <w:r>
        <w:rPr>
          <w:szCs w:val="26"/>
        </w:rPr>
        <w:t>period</w:t>
      </w:r>
      <w:proofErr w:type="gramEnd"/>
      <w:r>
        <w:rPr>
          <w:szCs w:val="26"/>
        </w:rPr>
        <w:t xml:space="preserve">.  LG&amp;E/KU and </w:t>
      </w:r>
      <w:r w:rsidR="007F3248">
        <w:rPr>
          <w:szCs w:val="26"/>
        </w:rPr>
        <w:t>PacifiCorp</w:t>
      </w:r>
      <w:r>
        <w:rPr>
          <w:szCs w:val="26"/>
        </w:rPr>
        <w:t xml:space="preserve"> did not have information on interruptions.  </w:t>
      </w:r>
      <w:r w:rsidR="007F3248">
        <w:rPr>
          <w:szCs w:val="26"/>
        </w:rPr>
        <w:t>PacifiCorp</w:t>
      </w:r>
      <w:r w:rsidR="00AF6E7C">
        <w:rPr>
          <w:szCs w:val="26"/>
        </w:rPr>
        <w:t>, however,</w:t>
      </w:r>
      <w:r>
        <w:rPr>
          <w:szCs w:val="26"/>
        </w:rPr>
        <w:t xml:space="preserve"> reported system availability </w:t>
      </w:r>
      <w:r w:rsidR="0091656A">
        <w:rPr>
          <w:szCs w:val="26"/>
        </w:rPr>
        <w:t>between</w:t>
      </w:r>
      <w:r>
        <w:rPr>
          <w:szCs w:val="26"/>
        </w:rPr>
        <w:t xml:space="preserve"> 99.9</w:t>
      </w:r>
      <w:r w:rsidR="0091656A">
        <w:rPr>
          <w:szCs w:val="26"/>
        </w:rPr>
        <w:t xml:space="preserve">108 percent and 99.9532 percent </w:t>
      </w:r>
      <w:r>
        <w:rPr>
          <w:szCs w:val="26"/>
        </w:rPr>
        <w:t xml:space="preserve">for </w:t>
      </w:r>
      <w:r w:rsidR="0091656A">
        <w:rPr>
          <w:szCs w:val="26"/>
        </w:rPr>
        <w:t>the 2006–2010 period</w:t>
      </w:r>
      <w:r>
        <w:rPr>
          <w:szCs w:val="26"/>
        </w:rPr>
        <w:t xml:space="preserve"> based on Form OE-417 data.</w:t>
      </w:r>
    </w:p>
    <w:p w:rsidR="00A60C09" w:rsidRDefault="00A60C09" w:rsidP="002117D1">
      <w:pPr>
        <w:pStyle w:val="Heading3"/>
      </w:pPr>
      <w:bookmarkStart w:id="136" w:name="_Toc390256275"/>
      <w:r w:rsidRPr="009A0F52">
        <w:t>Clean Energy</w:t>
      </w:r>
      <w:bookmarkStart w:id="137" w:name="_bmk67"/>
      <w:bookmarkEnd w:id="136"/>
    </w:p>
    <w:bookmarkEnd w:id="137"/>
    <w:p w:rsidR="00A60C09" w:rsidRDefault="00A60C09" w:rsidP="002117D1">
      <w:pPr>
        <w:spacing w:after="240"/>
        <w:ind w:firstLine="720"/>
        <w:rPr>
          <w:szCs w:val="26"/>
        </w:rPr>
      </w:pPr>
      <w:r>
        <w:rPr>
          <w:szCs w:val="26"/>
        </w:rPr>
        <w:t>The clean energy</w:t>
      </w:r>
      <w:r>
        <w:rPr>
          <w:rStyle w:val="FootnoteReference"/>
        </w:rPr>
        <w:footnoteReference w:id="42"/>
      </w:r>
      <w:r>
        <w:rPr>
          <w:szCs w:val="26"/>
        </w:rPr>
        <w:t xml:space="preserve"> metrics track the megawatt capacity of clean energy, by resource type, as a percentage of total capacity, and the megawatt-hours of clean energy, by resource type, as a percentage of total energy.  This information is provided on the accompanying charts.  </w:t>
      </w:r>
    </w:p>
    <w:p w:rsidR="00A60C09" w:rsidRDefault="00C87696" w:rsidP="002117D1">
      <w:pPr>
        <w:spacing w:after="240"/>
        <w:ind w:firstLine="720"/>
        <w:rPr>
          <w:szCs w:val="26"/>
        </w:rPr>
      </w:pPr>
      <w:r w:rsidRPr="00C87696">
        <w:rPr>
          <w:noProof/>
        </w:rPr>
        <w:lastRenderedPageBreak/>
        <w:drawing>
          <wp:inline distT="0" distB="0" distL="0" distR="0">
            <wp:extent cx="5495925" cy="6848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925" cy="6848475"/>
                    </a:xfrm>
                    <a:prstGeom prst="rect">
                      <a:avLst/>
                    </a:prstGeom>
                    <a:noFill/>
                    <a:ln>
                      <a:noFill/>
                    </a:ln>
                  </pic:spPr>
                </pic:pic>
              </a:graphicData>
            </a:graphic>
          </wp:inline>
        </w:drawing>
      </w: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C87696" w:rsidP="00953D39">
      <w:pPr>
        <w:ind w:firstLine="720"/>
        <w:rPr>
          <w:szCs w:val="26"/>
        </w:rPr>
      </w:pPr>
      <w:r w:rsidRPr="00C87696">
        <w:rPr>
          <w:noProof/>
        </w:rPr>
        <w:lastRenderedPageBreak/>
        <w:drawing>
          <wp:inline distT="0" distB="0" distL="0" distR="0" wp14:anchorId="582EC761" wp14:editId="15A3BDAA">
            <wp:extent cx="5943600" cy="666684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666846"/>
                    </a:xfrm>
                    <a:prstGeom prst="rect">
                      <a:avLst/>
                    </a:prstGeom>
                    <a:noFill/>
                    <a:ln>
                      <a:noFill/>
                    </a:ln>
                  </pic:spPr>
                </pic:pic>
              </a:graphicData>
            </a:graphic>
          </wp:inline>
        </w:drawing>
      </w:r>
    </w:p>
    <w:p w:rsidR="0048131B" w:rsidRDefault="0048131B">
      <w:pPr>
        <w:widowControl/>
        <w:autoSpaceDE/>
        <w:autoSpaceDN/>
        <w:adjustRightInd/>
        <w:rPr>
          <w:szCs w:val="26"/>
        </w:rPr>
      </w:pPr>
      <w:r>
        <w:rPr>
          <w:szCs w:val="26"/>
        </w:rPr>
        <w:br w:type="page"/>
      </w:r>
    </w:p>
    <w:p w:rsidR="0048131B" w:rsidRDefault="0048131B" w:rsidP="0048131B">
      <w:pPr>
        <w:pStyle w:val="Heading3"/>
      </w:pPr>
      <w:bookmarkStart w:id="138" w:name="_Toc390256276"/>
      <w:r>
        <w:lastRenderedPageBreak/>
        <w:t>Price Metric</w:t>
      </w:r>
      <w:bookmarkEnd w:id="138"/>
    </w:p>
    <w:p w:rsidR="00556EB2" w:rsidRDefault="0048131B" w:rsidP="00FD36C2">
      <w:pPr>
        <w:ind w:firstLine="720"/>
      </w:pPr>
      <w:r>
        <w:rPr>
          <w:szCs w:val="26"/>
        </w:rPr>
        <w:t xml:space="preserve">In the Commission </w:t>
      </w:r>
      <w:r w:rsidR="00B47E6E">
        <w:t xml:space="preserve">Staff Report on performance metrics in regions outside ISOs and RTOs, Commission Staff proposed that utilities provide </w:t>
      </w:r>
      <w:r w:rsidR="001D2245">
        <w:t xml:space="preserve">a </w:t>
      </w:r>
      <w:r w:rsidR="00B47E6E">
        <w:t>price metric on their wholesale power sales</w:t>
      </w:r>
      <w:r w:rsidR="001D2245">
        <w:t xml:space="preserve"> based on a single, average price for energy and capacity, in addition to reporting peak and off-peak prices</w:t>
      </w:r>
      <w:r w:rsidR="00B47E6E">
        <w:t>.  Commission Staff requested that participating utilities discuss their perspectives on a wholesale price metric.</w:t>
      </w:r>
      <w:r w:rsidR="001D2245">
        <w:rPr>
          <w:rStyle w:val="FootnoteReference"/>
        </w:rPr>
        <w:footnoteReference w:id="43"/>
      </w:r>
      <w:r w:rsidR="00B47E6E">
        <w:t xml:space="preserve">  </w:t>
      </w:r>
      <w:r w:rsidR="00556EB2">
        <w:t>Several of the utilities (APS, Duke, Southern) responded that a single, annualized average price metric would not provide useful performance information</w:t>
      </w:r>
      <w:r w:rsidR="00DF3237">
        <w:t xml:space="preserve"> and Pacifi</w:t>
      </w:r>
      <w:r w:rsidR="00722E81">
        <w:t>C</w:t>
      </w:r>
      <w:r w:rsidR="00DF3237">
        <w:t>orp note</w:t>
      </w:r>
      <w:r w:rsidR="007337BC">
        <w:t>d</w:t>
      </w:r>
      <w:r w:rsidR="00DF3237">
        <w:t xml:space="preserve"> that the averaging of data may mask pertinent information.  </w:t>
      </w:r>
      <w:r w:rsidR="00AF7CEA">
        <w:t xml:space="preserve">PacifiCorp also questions whether the Commission’s proposal to obtain and collect data concerning wholesale prices is intended to measure the health of wholesale markets, or intended to identify instances of bad behavior by market participants.  </w:t>
      </w:r>
      <w:r w:rsidR="00DF3237">
        <w:t>Southern and APS disagree</w:t>
      </w:r>
      <w:r w:rsidR="007337BC">
        <w:t>d</w:t>
      </w:r>
      <w:r w:rsidR="00DF3237">
        <w:t xml:space="preserve"> with the premise that a single price metric, applicable to all wholesale market models, can be developed.  APS </w:t>
      </w:r>
      <w:r w:rsidR="001D2245">
        <w:t>state</w:t>
      </w:r>
      <w:r w:rsidR="007337BC">
        <w:t>d</w:t>
      </w:r>
      <w:r w:rsidR="001D2245">
        <w:t xml:space="preserve"> that a single, annualized price will not be useful without a detailed and time-consuming analysis of individual transaction data.</w:t>
      </w:r>
      <w:r w:rsidR="007337BC">
        <w:t xml:space="preserve">  Duke indicated</w:t>
      </w:r>
      <w:r w:rsidR="003372DA">
        <w:t xml:space="preserve"> that the challenges of comparing wholesale market prices in the Southeast with organized ISO/RTO market prices preclude the ability to construct a meaningful common metric</w:t>
      </w:r>
      <w:r w:rsidR="004B33AF">
        <w:t>.</w:t>
      </w:r>
      <w:r w:rsidR="00512C6B">
        <w:rPr>
          <w:rStyle w:val="FootnoteReference"/>
        </w:rPr>
        <w:footnoteReference w:id="44"/>
      </w:r>
      <w:r w:rsidR="001D2245">
        <w:t xml:space="preserve">  </w:t>
      </w:r>
      <w:r w:rsidR="00DF3237">
        <w:t xml:space="preserve">  </w:t>
      </w:r>
      <w:r w:rsidR="00556EB2">
        <w:t xml:space="preserve"> </w:t>
      </w:r>
    </w:p>
    <w:p w:rsidR="004C685C" w:rsidRDefault="00556EB2" w:rsidP="0048131B">
      <w:pPr>
        <w:ind w:left="720" w:firstLine="720"/>
        <w:rPr>
          <w:highlight w:val="yellow"/>
        </w:rPr>
      </w:pPr>
      <w:r>
        <w:t xml:space="preserve"> </w:t>
      </w:r>
    </w:p>
    <w:p w:rsidR="0048131B" w:rsidRDefault="004C685C" w:rsidP="00FD36C2">
      <w:pPr>
        <w:ind w:firstLine="720"/>
        <w:rPr>
          <w:szCs w:val="26"/>
        </w:rPr>
      </w:pPr>
      <w:r w:rsidRPr="00556EB2">
        <w:t>W</w:t>
      </w:r>
      <w:r w:rsidR="00B47E6E" w:rsidRPr="00556EB2">
        <w:t>e continue to believe that a price metric for utilities outside RTO regions would provide a basis for comparing cost trends between RTOs and areas outside RTOs</w:t>
      </w:r>
      <w:r w:rsidRPr="00556EB2">
        <w:t xml:space="preserve">.  </w:t>
      </w:r>
      <w:r w:rsidR="00AF7CEA">
        <w:t xml:space="preserve">In response to PacifiCorp regarding the intended purpose of a price metric, we emphasize that such a metric would be useful in measuring the health of wholesale markets.   </w:t>
      </w:r>
      <w:r w:rsidRPr="00556EB2">
        <w:t xml:space="preserve">As discussed in the Commission Staff Report, </w:t>
      </w:r>
      <w:r w:rsidR="00B47E6E" w:rsidRPr="00556EB2">
        <w:t xml:space="preserve">information </w:t>
      </w:r>
      <w:r w:rsidRPr="00556EB2">
        <w:t xml:space="preserve">on a price metric </w:t>
      </w:r>
      <w:r w:rsidR="00B47E6E" w:rsidRPr="00556EB2">
        <w:t xml:space="preserve">would be useful in assessing </w:t>
      </w:r>
      <w:r w:rsidR="0070272A" w:rsidRPr="00556EB2">
        <w:t xml:space="preserve">the </w:t>
      </w:r>
      <w:r w:rsidR="00B47E6E" w:rsidRPr="00556EB2">
        <w:t>performance</w:t>
      </w:r>
      <w:r w:rsidR="0070272A" w:rsidRPr="00556EB2">
        <w:t xml:space="preserve"> of utilities in pricing their products competitively.  </w:t>
      </w:r>
      <w:r w:rsidR="003372DA">
        <w:t xml:space="preserve">We encourage participating utilities to develop price metrics that are meaningful.  For example, price metrics could be developed for comparable products, such as peak, off-peak and year-round capacity and energy and these product prices could then be volume-weighted into an average price.  </w:t>
      </w:r>
      <w:r w:rsidR="0070272A" w:rsidRPr="00556EB2">
        <w:t>Accordingly, we</w:t>
      </w:r>
      <w:r w:rsidR="00B47E6E" w:rsidRPr="00556EB2">
        <w:t xml:space="preserve"> repeat our request for data, even if the information is not directly comparable to RTOs.</w:t>
      </w: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48131B" w:rsidRDefault="0048131B" w:rsidP="00953D39">
      <w:pPr>
        <w:ind w:firstLine="720"/>
        <w:rPr>
          <w:szCs w:val="26"/>
        </w:rPr>
      </w:pPr>
    </w:p>
    <w:p w:rsidR="00000106" w:rsidRDefault="00000106" w:rsidP="007E5590">
      <w:pPr>
        <w:rPr>
          <w:b/>
          <w:szCs w:val="26"/>
        </w:rPr>
        <w:sectPr w:rsidR="00000106" w:rsidSect="00B73C4D">
          <w:headerReference w:type="default" r:id="rId51"/>
          <w:footerReference w:type="even" r:id="rId52"/>
          <w:footerReference w:type="default" r:id="rId53"/>
          <w:footerReference w:type="first" r:id="rId54"/>
          <w:pgSz w:w="12240" w:h="15840"/>
          <w:pgMar w:top="1440" w:right="1440" w:bottom="1440" w:left="1440" w:header="720" w:footer="720" w:gutter="0"/>
          <w:pgNumType w:fmt="numberInDash" w:start="1"/>
          <w:cols w:space="720"/>
          <w:noEndnote/>
          <w:titlePg/>
          <w:docGrid w:linePitch="354"/>
        </w:sect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000106" w:rsidRDefault="00000106" w:rsidP="00953D39">
      <w:pPr>
        <w:ind w:firstLine="720"/>
        <w:jc w:val="center"/>
        <w:rPr>
          <w:b/>
          <w:szCs w:val="26"/>
        </w:rPr>
      </w:pPr>
    </w:p>
    <w:p w:rsidR="00A60C09" w:rsidRDefault="00A60C09" w:rsidP="00953D39">
      <w:pPr>
        <w:ind w:firstLine="720"/>
        <w:jc w:val="center"/>
        <w:rPr>
          <w:b/>
          <w:szCs w:val="26"/>
        </w:rPr>
      </w:pPr>
      <w:r>
        <w:rPr>
          <w:b/>
          <w:szCs w:val="26"/>
        </w:rPr>
        <w:t xml:space="preserve">Appendix </w:t>
      </w:r>
      <w:r w:rsidR="005359FB">
        <w:rPr>
          <w:b/>
          <w:szCs w:val="26"/>
        </w:rPr>
        <w:t>A</w:t>
      </w:r>
    </w:p>
    <w:p w:rsidR="00A60C09" w:rsidRDefault="00A60C09" w:rsidP="00953D39">
      <w:pPr>
        <w:ind w:firstLine="720"/>
        <w:jc w:val="center"/>
        <w:rPr>
          <w:b/>
          <w:szCs w:val="26"/>
        </w:rPr>
      </w:pPr>
      <w:r>
        <w:rPr>
          <w:b/>
          <w:szCs w:val="26"/>
        </w:rPr>
        <w:t>Common Metrics</w:t>
      </w:r>
    </w:p>
    <w:p w:rsidR="00641642" w:rsidRDefault="00641642" w:rsidP="00953D39">
      <w:pPr>
        <w:ind w:firstLine="720"/>
        <w:jc w:val="center"/>
        <w:rPr>
          <w:b/>
          <w:szCs w:val="26"/>
        </w:rPr>
      </w:pPr>
      <w:r>
        <w:rPr>
          <w:b/>
          <w:szCs w:val="26"/>
        </w:rPr>
        <w:br w:type="page"/>
      </w:r>
    </w:p>
    <w:tbl>
      <w:tblPr>
        <w:tblW w:w="14147" w:type="dxa"/>
        <w:jc w:val="center"/>
        <w:tblInd w:w="-2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
        <w:gridCol w:w="321"/>
        <w:gridCol w:w="2826"/>
        <w:gridCol w:w="10531"/>
      </w:tblGrid>
      <w:tr w:rsidR="00A60C09" w:rsidRPr="004A6F34" w:rsidTr="007E5590">
        <w:trPr>
          <w:jc w:val="center"/>
        </w:trPr>
        <w:tc>
          <w:tcPr>
            <w:tcW w:w="3569" w:type="dxa"/>
            <w:gridSpan w:val="3"/>
            <w:tcBorders>
              <w:top w:val="single" w:sz="4" w:space="0" w:color="000000"/>
              <w:left w:val="single" w:sz="4" w:space="0" w:color="000000"/>
              <w:bottom w:val="single" w:sz="4" w:space="0" w:color="000000"/>
              <w:right w:val="single" w:sz="4" w:space="0" w:color="000000"/>
            </w:tcBorders>
            <w:shd w:val="clear" w:color="auto" w:fill="BFBFBF"/>
          </w:tcPr>
          <w:p w:rsidR="00A60C09" w:rsidRPr="004A6F34" w:rsidRDefault="00A60C09" w:rsidP="00953D39">
            <w:pPr>
              <w:jc w:val="center"/>
              <w:rPr>
                <w:b/>
                <w:szCs w:val="26"/>
              </w:rPr>
            </w:pPr>
            <w:r w:rsidRPr="004A6F34">
              <w:rPr>
                <w:b/>
              </w:rPr>
              <w:lastRenderedPageBreak/>
              <w:t>Performance Metric</w:t>
            </w:r>
          </w:p>
        </w:tc>
        <w:tc>
          <w:tcPr>
            <w:tcW w:w="10578" w:type="dxa"/>
            <w:tcBorders>
              <w:top w:val="single" w:sz="4" w:space="0" w:color="000000"/>
              <w:left w:val="single" w:sz="4" w:space="0" w:color="000000"/>
              <w:bottom w:val="single" w:sz="4" w:space="0" w:color="000000"/>
              <w:right w:val="single" w:sz="4" w:space="0" w:color="000000"/>
            </w:tcBorders>
            <w:shd w:val="clear" w:color="auto" w:fill="BFBFBF"/>
          </w:tcPr>
          <w:p w:rsidR="00A60C09" w:rsidRPr="004A6F34" w:rsidRDefault="00A60C09" w:rsidP="00953D39">
            <w:pPr>
              <w:jc w:val="center"/>
              <w:rPr>
                <w:b/>
                <w:szCs w:val="26"/>
              </w:rPr>
            </w:pPr>
            <w:r w:rsidRPr="004A6F34">
              <w:rPr>
                <w:b/>
              </w:rPr>
              <w:t>Specific Metric(s)</w:t>
            </w:r>
          </w:p>
        </w:tc>
      </w:tr>
      <w:tr w:rsidR="00A60C09" w:rsidRPr="004A6F34" w:rsidTr="00953D39">
        <w:trPr>
          <w:jc w:val="center"/>
        </w:trPr>
        <w:tc>
          <w:tcPr>
            <w:tcW w:w="14147" w:type="dxa"/>
            <w:gridSpan w:val="4"/>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b/>
                <w:szCs w:val="26"/>
              </w:rPr>
            </w:pPr>
            <w:r w:rsidRPr="004A6F34">
              <w:rPr>
                <w:b/>
              </w:rPr>
              <w:t>Reliability</w:t>
            </w:r>
          </w:p>
        </w:tc>
      </w:tr>
      <w:tr w:rsidR="00A60C09" w:rsidRPr="004A6F34" w:rsidTr="007E5590">
        <w:trPr>
          <w:jc w:val="center"/>
        </w:trPr>
        <w:tc>
          <w:tcPr>
            <w:tcW w:w="414"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A.</w:t>
            </w:r>
          </w:p>
        </w:tc>
        <w:tc>
          <w:tcPr>
            <w:tcW w:w="3155" w:type="dxa"/>
            <w:gridSpan w:val="2"/>
            <w:tcBorders>
              <w:top w:val="single" w:sz="4" w:space="0" w:color="000000"/>
              <w:left w:val="single" w:sz="4" w:space="0" w:color="000000"/>
              <w:bottom w:val="single" w:sz="4" w:space="0" w:color="000000"/>
              <w:right w:val="single" w:sz="4" w:space="0" w:color="000000"/>
            </w:tcBorders>
          </w:tcPr>
          <w:p w:rsidR="00A60C09" w:rsidRDefault="00A60C09" w:rsidP="00953D39">
            <w:pPr>
              <w:rPr>
                <w:szCs w:val="26"/>
              </w:rPr>
            </w:pPr>
          </w:p>
          <w:p w:rsidR="00A60C09" w:rsidRPr="004A6F34" w:rsidRDefault="00A07F4C" w:rsidP="00A07F4C">
            <w:pPr>
              <w:rPr>
                <w:szCs w:val="26"/>
              </w:rPr>
            </w:pPr>
            <w:r>
              <w:rPr>
                <w:szCs w:val="26"/>
              </w:rPr>
              <w:t xml:space="preserve">NERC </w:t>
            </w:r>
            <w:r w:rsidR="00A60C09" w:rsidRPr="004A6F34">
              <w:rPr>
                <w:szCs w:val="26"/>
              </w:rPr>
              <w:t>Reliability Standards</w:t>
            </w:r>
            <w:r>
              <w:rPr>
                <w:szCs w:val="26"/>
              </w:rPr>
              <w:t xml:space="preserve"> </w:t>
            </w:r>
            <w:r w:rsidR="00A60C09" w:rsidRPr="004A6F34">
              <w:rPr>
                <w:szCs w:val="26"/>
              </w:rPr>
              <w:t>Compliance</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pPr>
              <w:pStyle w:val="ListParagraph"/>
              <w:ind w:left="0"/>
            </w:pPr>
            <w:r w:rsidRPr="004A6F34">
              <w:t xml:space="preserve">1.  References to which </w:t>
            </w:r>
            <w:r w:rsidR="001D39E7">
              <w:t>NERC</w:t>
            </w:r>
            <w:r w:rsidRPr="004A6F34">
              <w:t xml:space="preserve"> standards are applicable</w:t>
            </w:r>
          </w:p>
          <w:p w:rsidR="00A60C09" w:rsidRDefault="00A60C09" w:rsidP="00953D39">
            <w:pPr>
              <w:pStyle w:val="ListParagraph"/>
              <w:ind w:left="0"/>
            </w:pPr>
            <w:r w:rsidRPr="004A6F34">
              <w:t>2.  Number of violations self-reported and made public by NERC/FERC</w:t>
            </w:r>
          </w:p>
          <w:p w:rsidR="00A60C09" w:rsidRDefault="00A60C09" w:rsidP="00953D39">
            <w:pPr>
              <w:pStyle w:val="ListParagraph"/>
              <w:ind w:left="0"/>
            </w:pPr>
            <w:r w:rsidRPr="004A6F34">
              <w:t xml:space="preserve">3.  Number of violations identified and made public as </w:t>
            </w:r>
            <w:r w:rsidR="001D39E7">
              <w:t>NERC</w:t>
            </w:r>
            <w:r w:rsidRPr="004A6F34">
              <w:t xml:space="preserve"> audit findings</w:t>
            </w:r>
          </w:p>
          <w:p w:rsidR="00A60C09" w:rsidRDefault="00A60C09" w:rsidP="00953D39">
            <w:pPr>
              <w:pStyle w:val="ListParagraph"/>
              <w:ind w:left="0"/>
            </w:pPr>
            <w:r w:rsidRPr="004A6F34">
              <w:t>4.  Total number of violations made public by NERC/FERC</w:t>
            </w:r>
          </w:p>
          <w:p w:rsidR="00A60C09" w:rsidRDefault="00A60C09" w:rsidP="00953D39">
            <w:pPr>
              <w:pStyle w:val="ListParagraph"/>
              <w:ind w:left="0"/>
            </w:pPr>
            <w:r w:rsidRPr="004A6F34">
              <w:t>5.  Severity level of each violation made public by NERC/FERC</w:t>
            </w:r>
          </w:p>
          <w:p w:rsidR="00A60C09" w:rsidRDefault="00A60C09" w:rsidP="00953D39">
            <w:pPr>
              <w:pStyle w:val="ListParagraph"/>
              <w:ind w:left="0"/>
            </w:pPr>
            <w:r w:rsidRPr="004A6F34">
              <w:t>6.  Compliance with operating reserve standards</w:t>
            </w:r>
          </w:p>
          <w:p w:rsidR="00A60C09" w:rsidRPr="004A6F34" w:rsidRDefault="00A60C09" w:rsidP="00953D39">
            <w:pPr>
              <w:pStyle w:val="ListParagraph"/>
              <w:ind w:left="0"/>
            </w:pPr>
            <w:r w:rsidRPr="004A6F34">
              <w:t>7.  Unserved energy (or load shedding) caused by violations.  Additional detail will be provided on (1) number of events; (2) duration of the events; (3) whether the events occurred during on/off-peak hours; (4) additional information on equipment types affected and kV of lines affected; and (5)</w:t>
            </w:r>
            <w:r w:rsidR="00031CCC">
              <w:t> </w:t>
            </w:r>
            <w:r w:rsidRPr="004A6F34">
              <w:t>n</w:t>
            </w:r>
            <w:r w:rsidRPr="004A6F34">
              <w:rPr>
                <w:iCs/>
              </w:rPr>
              <w:t>umber of events (and severity and duration of events) resulting in load shedding based on the utilization of TPL-002 Footnote b criteria.</w:t>
            </w:r>
            <w:r w:rsidRPr="004A6F34">
              <w:t xml:space="preserve">  </w:t>
            </w:r>
          </w:p>
          <w:p w:rsidR="00A60C09" w:rsidRPr="004A6F34" w:rsidRDefault="00A60C09" w:rsidP="00953D39">
            <w:pPr>
              <w:rPr>
                <w:szCs w:val="26"/>
              </w:rPr>
            </w:pPr>
          </w:p>
          <w:p w:rsidR="00A60C09" w:rsidRPr="004A6F34" w:rsidRDefault="000509C3" w:rsidP="00953D39">
            <w:pPr>
              <w:rPr>
                <w:szCs w:val="26"/>
              </w:rPr>
            </w:pPr>
            <w:r>
              <w:rPr>
                <w:szCs w:val="26"/>
              </w:rPr>
              <w:t>U</w:t>
            </w:r>
            <w:r w:rsidR="00A60C09" w:rsidRPr="004A6F34">
              <w:rPr>
                <w:szCs w:val="26"/>
              </w:rPr>
              <w:t xml:space="preserve">tilities </w:t>
            </w:r>
            <w:r>
              <w:rPr>
                <w:szCs w:val="26"/>
              </w:rPr>
              <w:t xml:space="preserve">outside ISO and RTO regions </w:t>
            </w:r>
            <w:r w:rsidR="00A60C09" w:rsidRPr="004A6F34">
              <w:rPr>
                <w:szCs w:val="26"/>
              </w:rPr>
              <w:t>should limit reporting to the same eight functional areas used by the ISO</w:t>
            </w:r>
            <w:r>
              <w:rPr>
                <w:szCs w:val="26"/>
              </w:rPr>
              <w:t xml:space="preserve">s and </w:t>
            </w:r>
            <w:r w:rsidR="00A60C09" w:rsidRPr="004A6F34">
              <w:rPr>
                <w:szCs w:val="26"/>
              </w:rPr>
              <w:t>RTOs:</w:t>
            </w:r>
          </w:p>
          <w:p w:rsidR="00A60C09" w:rsidRPr="004A6F34" w:rsidRDefault="00A60C09" w:rsidP="00A60C09">
            <w:pPr>
              <w:widowControl/>
              <w:numPr>
                <w:ilvl w:val="0"/>
                <w:numId w:val="38"/>
              </w:numPr>
              <w:autoSpaceDE/>
              <w:adjustRightInd/>
              <w:ind w:left="0"/>
              <w:rPr>
                <w:szCs w:val="26"/>
              </w:rPr>
            </w:pPr>
            <w:r>
              <w:rPr>
                <w:szCs w:val="26"/>
              </w:rPr>
              <w:t xml:space="preserve">1.  </w:t>
            </w:r>
            <w:r w:rsidRPr="004A6F34">
              <w:rPr>
                <w:szCs w:val="26"/>
              </w:rPr>
              <w:t>Balancing Authority</w:t>
            </w:r>
            <w:r>
              <w:rPr>
                <w:szCs w:val="26"/>
              </w:rPr>
              <w:t xml:space="preserve">                                   7.  Transmission Planner</w:t>
            </w:r>
          </w:p>
          <w:p w:rsidR="00A60C09" w:rsidRPr="004A6F34" w:rsidRDefault="00A60C09" w:rsidP="00A60C09">
            <w:pPr>
              <w:widowControl/>
              <w:numPr>
                <w:ilvl w:val="0"/>
                <w:numId w:val="38"/>
              </w:numPr>
              <w:autoSpaceDE/>
              <w:adjustRightInd/>
              <w:ind w:left="0"/>
              <w:rPr>
                <w:szCs w:val="26"/>
              </w:rPr>
            </w:pPr>
            <w:r>
              <w:rPr>
                <w:szCs w:val="26"/>
              </w:rPr>
              <w:t xml:space="preserve">2.  </w:t>
            </w:r>
            <w:r w:rsidRPr="004A6F34">
              <w:rPr>
                <w:szCs w:val="26"/>
              </w:rPr>
              <w:t>Interchange Authority</w:t>
            </w:r>
            <w:r>
              <w:rPr>
                <w:szCs w:val="26"/>
              </w:rPr>
              <w:t xml:space="preserve">                                 8.  Transmission Service Provider</w:t>
            </w:r>
          </w:p>
          <w:p w:rsidR="00A60C09" w:rsidRPr="004A6F34" w:rsidRDefault="00A60C09" w:rsidP="00A60C09">
            <w:pPr>
              <w:widowControl/>
              <w:numPr>
                <w:ilvl w:val="0"/>
                <w:numId w:val="38"/>
              </w:numPr>
              <w:autoSpaceDE/>
              <w:adjustRightInd/>
              <w:ind w:left="0"/>
              <w:rPr>
                <w:szCs w:val="26"/>
              </w:rPr>
            </w:pPr>
            <w:r>
              <w:rPr>
                <w:szCs w:val="26"/>
              </w:rPr>
              <w:t xml:space="preserve">3.  </w:t>
            </w:r>
            <w:r w:rsidRPr="004A6F34">
              <w:rPr>
                <w:szCs w:val="26"/>
              </w:rPr>
              <w:t>Planning Authority</w:t>
            </w:r>
          </w:p>
          <w:p w:rsidR="00A60C09" w:rsidRPr="004A6F34" w:rsidRDefault="00A60C09" w:rsidP="00A60C09">
            <w:pPr>
              <w:widowControl/>
              <w:numPr>
                <w:ilvl w:val="0"/>
                <w:numId w:val="38"/>
              </w:numPr>
              <w:autoSpaceDE/>
              <w:adjustRightInd/>
              <w:ind w:left="0"/>
              <w:rPr>
                <w:szCs w:val="26"/>
              </w:rPr>
            </w:pPr>
            <w:r>
              <w:rPr>
                <w:szCs w:val="26"/>
              </w:rPr>
              <w:t xml:space="preserve">4.  </w:t>
            </w:r>
            <w:r w:rsidRPr="004A6F34">
              <w:rPr>
                <w:szCs w:val="26"/>
              </w:rPr>
              <w:t>Reliability Coordinator</w:t>
            </w:r>
          </w:p>
          <w:p w:rsidR="00A60C09" w:rsidRPr="004A6F34" w:rsidRDefault="00A60C09" w:rsidP="00A60C09">
            <w:pPr>
              <w:widowControl/>
              <w:numPr>
                <w:ilvl w:val="0"/>
                <w:numId w:val="38"/>
              </w:numPr>
              <w:autoSpaceDE/>
              <w:adjustRightInd/>
              <w:ind w:left="0"/>
              <w:rPr>
                <w:szCs w:val="26"/>
              </w:rPr>
            </w:pPr>
            <w:r>
              <w:rPr>
                <w:szCs w:val="26"/>
              </w:rPr>
              <w:t xml:space="preserve">5.  </w:t>
            </w:r>
            <w:r w:rsidRPr="004A6F34">
              <w:rPr>
                <w:szCs w:val="26"/>
              </w:rPr>
              <w:t>Resource Planner</w:t>
            </w:r>
          </w:p>
          <w:p w:rsidR="00A60C09" w:rsidRDefault="00A60C09" w:rsidP="00A60C09">
            <w:pPr>
              <w:widowControl/>
              <w:numPr>
                <w:ilvl w:val="0"/>
                <w:numId w:val="38"/>
              </w:numPr>
              <w:autoSpaceDE/>
              <w:adjustRightInd/>
              <w:ind w:left="0"/>
              <w:rPr>
                <w:szCs w:val="26"/>
              </w:rPr>
            </w:pPr>
            <w:r>
              <w:rPr>
                <w:szCs w:val="26"/>
              </w:rPr>
              <w:t xml:space="preserve">6.  </w:t>
            </w:r>
            <w:r w:rsidRPr="004A6F34">
              <w:rPr>
                <w:szCs w:val="26"/>
              </w:rPr>
              <w:t>Transmission Operator</w:t>
            </w:r>
          </w:p>
          <w:p w:rsidR="00A60C09" w:rsidRDefault="00A60C09" w:rsidP="00953D39">
            <w:pPr>
              <w:rPr>
                <w:szCs w:val="26"/>
              </w:rPr>
            </w:pPr>
          </w:p>
          <w:p w:rsidR="00A60C09" w:rsidRDefault="00A60C09" w:rsidP="00953D39">
            <w:pPr>
              <w:rPr>
                <w:szCs w:val="26"/>
              </w:rPr>
            </w:pPr>
          </w:p>
          <w:p w:rsidR="00A60C09" w:rsidRDefault="00A60C09" w:rsidP="00953D39">
            <w:pPr>
              <w:rPr>
                <w:szCs w:val="26"/>
              </w:rPr>
            </w:pPr>
          </w:p>
          <w:p w:rsidR="00B4540D" w:rsidRDefault="00B4540D" w:rsidP="00953D39">
            <w:pPr>
              <w:rPr>
                <w:szCs w:val="26"/>
              </w:rPr>
            </w:pPr>
          </w:p>
          <w:p w:rsidR="00DA3C00" w:rsidRDefault="00DA3C00" w:rsidP="00953D39">
            <w:pPr>
              <w:rPr>
                <w:szCs w:val="26"/>
              </w:rPr>
            </w:pPr>
          </w:p>
          <w:p w:rsidR="00A60C09" w:rsidRPr="004A6F34" w:rsidRDefault="00A60C09" w:rsidP="00A60C09">
            <w:pPr>
              <w:pStyle w:val="ListParagraph"/>
              <w:widowControl/>
              <w:numPr>
                <w:ilvl w:val="0"/>
                <w:numId w:val="38"/>
              </w:numPr>
              <w:autoSpaceDE/>
              <w:autoSpaceDN/>
              <w:adjustRightInd/>
              <w:ind w:left="0"/>
              <w:rPr>
                <w:szCs w:val="26"/>
              </w:rPr>
            </w:pPr>
          </w:p>
        </w:tc>
      </w:tr>
      <w:tr w:rsidR="00A60C09" w:rsidRPr="004A6F34" w:rsidTr="007E5590">
        <w:trPr>
          <w:jc w:val="center"/>
        </w:trPr>
        <w:tc>
          <w:tcPr>
            <w:tcW w:w="3569" w:type="dxa"/>
            <w:gridSpan w:val="3"/>
            <w:tcBorders>
              <w:top w:val="single" w:sz="4" w:space="0" w:color="000000"/>
              <w:left w:val="single" w:sz="4" w:space="0" w:color="000000"/>
              <w:bottom w:val="single" w:sz="4" w:space="0" w:color="000000"/>
              <w:right w:val="single" w:sz="4" w:space="0" w:color="000000"/>
            </w:tcBorders>
            <w:shd w:val="clear" w:color="auto" w:fill="808080"/>
          </w:tcPr>
          <w:p w:rsidR="00A60C09" w:rsidRPr="004A6F34" w:rsidRDefault="00A60C09" w:rsidP="00953D39">
            <w:pPr>
              <w:jc w:val="center"/>
              <w:rPr>
                <w:b/>
                <w:szCs w:val="26"/>
              </w:rPr>
            </w:pPr>
            <w:r w:rsidRPr="004A6F34">
              <w:rPr>
                <w:b/>
              </w:rPr>
              <w:lastRenderedPageBreak/>
              <w:t>Performance Metric</w:t>
            </w:r>
          </w:p>
        </w:tc>
        <w:tc>
          <w:tcPr>
            <w:tcW w:w="10578" w:type="dxa"/>
            <w:tcBorders>
              <w:top w:val="single" w:sz="4" w:space="0" w:color="000000"/>
              <w:left w:val="single" w:sz="4" w:space="0" w:color="000000"/>
              <w:bottom w:val="single" w:sz="4" w:space="0" w:color="000000"/>
              <w:right w:val="single" w:sz="4" w:space="0" w:color="000000"/>
            </w:tcBorders>
            <w:shd w:val="clear" w:color="auto" w:fill="808080"/>
          </w:tcPr>
          <w:p w:rsidR="00A60C09" w:rsidRPr="004A6F34" w:rsidRDefault="00A60C09" w:rsidP="00953D39">
            <w:pPr>
              <w:jc w:val="center"/>
              <w:rPr>
                <w:b/>
                <w:szCs w:val="26"/>
              </w:rPr>
            </w:pPr>
            <w:r w:rsidRPr="004A6F34">
              <w:rPr>
                <w:b/>
              </w:rPr>
              <w:t>Specific Metric(s)</w:t>
            </w: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B.</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Dispatch Reliability</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pPr>
              <w:pStyle w:val="ListParagraph"/>
              <w:ind w:left="0"/>
              <w:rPr>
                <w:szCs w:val="26"/>
              </w:rPr>
            </w:pPr>
            <w:r w:rsidRPr="004A6F34">
              <w:rPr>
                <w:szCs w:val="26"/>
              </w:rPr>
              <w:t>1.  Balanc</w:t>
            </w:r>
            <w:r>
              <w:rPr>
                <w:szCs w:val="26"/>
              </w:rPr>
              <w:t>ing</w:t>
            </w:r>
            <w:r w:rsidRPr="004A6F34">
              <w:rPr>
                <w:szCs w:val="26"/>
              </w:rPr>
              <w:t xml:space="preserve"> Authority A</w:t>
            </w:r>
            <w:r w:rsidR="003E2E4F">
              <w:rPr>
                <w:szCs w:val="26"/>
              </w:rPr>
              <w:t>CE</w:t>
            </w:r>
            <w:r w:rsidRPr="004A6F34">
              <w:rPr>
                <w:szCs w:val="26"/>
              </w:rPr>
              <w:t xml:space="preserve"> Limit (BAAL) </w:t>
            </w:r>
            <w:r w:rsidR="00017DFE">
              <w:rPr>
                <w:szCs w:val="26"/>
              </w:rPr>
              <w:t>or</w:t>
            </w:r>
            <w:r w:rsidRPr="004A6F34">
              <w:rPr>
                <w:szCs w:val="26"/>
              </w:rPr>
              <w:t xml:space="preserve"> CPS1 and CPS2</w:t>
            </w:r>
          </w:p>
          <w:p w:rsidR="00031CCC" w:rsidRDefault="00031CCC" w:rsidP="00953D39">
            <w:pPr>
              <w:pStyle w:val="ListParagraph"/>
              <w:ind w:left="0"/>
              <w:rPr>
                <w:szCs w:val="26"/>
              </w:rPr>
            </w:pPr>
          </w:p>
          <w:p w:rsidR="00A60C09" w:rsidRPr="004A6F34" w:rsidRDefault="00A60C09" w:rsidP="00953D39">
            <w:pPr>
              <w:pStyle w:val="ListParagraph"/>
              <w:ind w:left="0"/>
              <w:rPr>
                <w:szCs w:val="26"/>
              </w:rPr>
            </w:pPr>
            <w:r w:rsidRPr="004A6F34">
              <w:rPr>
                <w:szCs w:val="26"/>
              </w:rPr>
              <w:t xml:space="preserve">2.  Energy Management System (EMS) availability </w:t>
            </w: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C.</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rPr>
                <w:szCs w:val="26"/>
              </w:rPr>
              <w:t>Load Forecast Accuracy</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pPr>
              <w:rPr>
                <w:szCs w:val="26"/>
              </w:rPr>
            </w:pPr>
            <w:r w:rsidRPr="004A6F34">
              <w:rPr>
                <w:szCs w:val="26"/>
              </w:rPr>
              <w:t xml:space="preserve">Actual peak load as a percentage variance from </w:t>
            </w:r>
            <w:r>
              <w:rPr>
                <w:szCs w:val="26"/>
              </w:rPr>
              <w:t>f</w:t>
            </w:r>
            <w:r w:rsidRPr="004A6F34">
              <w:rPr>
                <w:szCs w:val="26"/>
              </w:rPr>
              <w:t xml:space="preserve">orecasted peak load </w:t>
            </w:r>
          </w:p>
          <w:p w:rsidR="00A60C09" w:rsidRPr="004A6F34" w:rsidRDefault="00A60C09" w:rsidP="00953D39">
            <w:pPr>
              <w:rPr>
                <w:szCs w:val="26"/>
              </w:rPr>
            </w:pP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D.</w:t>
            </w:r>
          </w:p>
        </w:tc>
        <w:tc>
          <w:tcPr>
            <w:tcW w:w="2832" w:type="dxa"/>
            <w:tcBorders>
              <w:top w:val="single" w:sz="4" w:space="0" w:color="000000"/>
              <w:left w:val="single" w:sz="4" w:space="0" w:color="000000"/>
              <w:bottom w:val="single" w:sz="4" w:space="0" w:color="000000"/>
              <w:right w:val="single" w:sz="4" w:space="0" w:color="000000"/>
            </w:tcBorders>
          </w:tcPr>
          <w:p w:rsidR="00A60C09" w:rsidRDefault="00A60C09" w:rsidP="00953D39">
            <w:pPr>
              <w:rPr>
                <w:szCs w:val="26"/>
              </w:rPr>
            </w:pPr>
            <w:r w:rsidRPr="004A6F34">
              <w:rPr>
                <w:szCs w:val="26"/>
              </w:rPr>
              <w:t>Wind Forecasting Accuracy</w:t>
            </w:r>
          </w:p>
          <w:p w:rsidR="00A60C09" w:rsidRPr="004A6F34" w:rsidRDefault="00A60C09" w:rsidP="00953D39">
            <w:pPr>
              <w:rPr>
                <w:szCs w:val="26"/>
              </w:rPr>
            </w:pPr>
          </w:p>
        </w:tc>
        <w:tc>
          <w:tcPr>
            <w:tcW w:w="10578" w:type="dxa"/>
            <w:tcBorders>
              <w:top w:val="single" w:sz="4" w:space="0" w:color="000000"/>
              <w:left w:val="single" w:sz="4" w:space="0" w:color="000000"/>
              <w:bottom w:val="single" w:sz="4" w:space="0" w:color="000000"/>
              <w:right w:val="single" w:sz="4" w:space="0" w:color="000000"/>
            </w:tcBorders>
          </w:tcPr>
          <w:p w:rsidR="00A60C09" w:rsidRPr="004A6F34" w:rsidRDefault="00A60C09" w:rsidP="00000106">
            <w:pPr>
              <w:spacing w:before="100" w:beforeAutospacing="1" w:after="100" w:afterAutospacing="1"/>
              <w:contextualSpacing/>
              <w:rPr>
                <w:szCs w:val="26"/>
              </w:rPr>
            </w:pPr>
            <w:r w:rsidRPr="004A6F34">
              <w:rPr>
                <w:szCs w:val="26"/>
              </w:rPr>
              <w:t>Actual wind availability compared to forecasted wind availability</w:t>
            </w: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E.</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rPr>
                <w:szCs w:val="26"/>
              </w:rPr>
              <w:t>Unscheduled Flows</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r w:rsidRPr="00644750">
              <w:t>Difference between net actual interchange (actual measured power flow in real time) and the net      s</w:t>
            </w:r>
            <w:r>
              <w:t>cheduled interchange in megawatt hours</w:t>
            </w:r>
          </w:p>
          <w:p w:rsidR="00A60C09" w:rsidRDefault="00A60C09" w:rsidP="00A60C09">
            <w:pPr>
              <w:widowControl/>
              <w:numPr>
                <w:ilvl w:val="0"/>
                <w:numId w:val="41"/>
              </w:numPr>
              <w:autoSpaceDE/>
              <w:autoSpaceDN/>
              <w:adjustRightInd/>
            </w:pPr>
            <w:r>
              <w:t xml:space="preserve">Reported in </w:t>
            </w:r>
            <w:r w:rsidR="008C2C30">
              <w:t xml:space="preserve">FERC </w:t>
            </w:r>
            <w:r>
              <w:t xml:space="preserve">Form </w:t>
            </w:r>
            <w:r w:rsidR="008C2C30">
              <w:t xml:space="preserve">No. </w:t>
            </w:r>
            <w:r>
              <w:t>714</w:t>
            </w:r>
          </w:p>
          <w:p w:rsidR="00A60C09" w:rsidRPr="004A6F34" w:rsidRDefault="00A60C09" w:rsidP="00953D39"/>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F.</w:t>
            </w:r>
          </w:p>
        </w:tc>
        <w:tc>
          <w:tcPr>
            <w:tcW w:w="2832" w:type="dxa"/>
            <w:tcBorders>
              <w:top w:val="single" w:sz="4" w:space="0" w:color="000000"/>
              <w:left w:val="single" w:sz="4" w:space="0" w:color="000000"/>
              <w:bottom w:val="single" w:sz="4" w:space="0" w:color="000000"/>
              <w:right w:val="single" w:sz="4" w:space="0" w:color="000000"/>
            </w:tcBorders>
          </w:tcPr>
          <w:p w:rsidR="00A60C09" w:rsidRPr="00D61411" w:rsidRDefault="00A60C09" w:rsidP="00953D39">
            <w:pPr>
              <w:rPr>
                <w:b/>
                <w:szCs w:val="26"/>
              </w:rPr>
            </w:pPr>
            <w:r w:rsidRPr="004A6F34">
              <w:rPr>
                <w:szCs w:val="26"/>
              </w:rPr>
              <w:t>Transmission Outage Coordination</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pPr>
              <w:rPr>
                <w:szCs w:val="26"/>
              </w:rPr>
            </w:pPr>
            <w:r w:rsidRPr="004A6F34">
              <w:rPr>
                <w:szCs w:val="26"/>
              </w:rPr>
              <w:t xml:space="preserve">1.  Percentage of ≥ 200 kV planned outages of 5 days or more for which </w:t>
            </w:r>
            <w:r>
              <w:rPr>
                <w:szCs w:val="26"/>
              </w:rPr>
              <w:t xml:space="preserve">ISO, RTO or </w:t>
            </w:r>
            <w:r w:rsidRPr="004A6F34">
              <w:rPr>
                <w:szCs w:val="26"/>
              </w:rPr>
              <w:t>utility notified customers at least 1 month prior to the outage commencement date.</w:t>
            </w:r>
          </w:p>
          <w:p w:rsidR="00A60C09" w:rsidRPr="004A6F34" w:rsidRDefault="00A60C09" w:rsidP="00953D39">
            <w:pPr>
              <w:rPr>
                <w:szCs w:val="26"/>
              </w:rPr>
            </w:pPr>
          </w:p>
          <w:p w:rsidR="00A60C09" w:rsidRDefault="00A60C09" w:rsidP="00953D39">
            <w:pPr>
              <w:rPr>
                <w:szCs w:val="26"/>
              </w:rPr>
            </w:pPr>
            <w:r w:rsidRPr="004A6F34">
              <w:rPr>
                <w:szCs w:val="26"/>
              </w:rPr>
              <w:t xml:space="preserve">2.  Percentage of ≥ 200kV outages cancelled by utility after </w:t>
            </w:r>
            <w:r w:rsidR="008C2C30">
              <w:rPr>
                <w:szCs w:val="26"/>
              </w:rPr>
              <w:t>being</w:t>
            </w:r>
            <w:r w:rsidRPr="004A6F34">
              <w:rPr>
                <w:szCs w:val="26"/>
              </w:rPr>
              <w:t xml:space="preserve"> </w:t>
            </w:r>
            <w:r w:rsidR="008C2C30">
              <w:rPr>
                <w:szCs w:val="26"/>
              </w:rPr>
              <w:t xml:space="preserve">approved </w:t>
            </w:r>
            <w:r w:rsidRPr="004A6F34">
              <w:rPr>
                <w:szCs w:val="26"/>
              </w:rPr>
              <w:t>previously.</w:t>
            </w:r>
          </w:p>
          <w:p w:rsidR="00A60C09" w:rsidRPr="00D61411" w:rsidRDefault="00A60C09" w:rsidP="00953D39">
            <w:pPr>
              <w:rPr>
                <w:b/>
                <w:szCs w:val="26"/>
              </w:rPr>
            </w:pPr>
          </w:p>
        </w:tc>
      </w:tr>
      <w:tr w:rsidR="00A60C09" w:rsidRPr="004A6F34" w:rsidTr="007E5590">
        <w:trPr>
          <w:trHeight w:val="70"/>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G.</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rPr>
                <w:szCs w:val="26"/>
              </w:rPr>
              <w:t>Long-Term Reliability Planning – Transmission</w:t>
            </w:r>
          </w:p>
        </w:tc>
        <w:tc>
          <w:tcPr>
            <w:tcW w:w="10578" w:type="dxa"/>
            <w:tcBorders>
              <w:top w:val="single" w:sz="4" w:space="0" w:color="000000"/>
              <w:left w:val="single" w:sz="4" w:space="0" w:color="000000"/>
              <w:bottom w:val="single" w:sz="4" w:space="0" w:color="000000"/>
              <w:right w:val="single" w:sz="4" w:space="0" w:color="000000"/>
            </w:tcBorders>
          </w:tcPr>
          <w:p w:rsidR="00A60C09" w:rsidRPr="004A6F34" w:rsidRDefault="00A60C09" w:rsidP="00A60C09">
            <w:pPr>
              <w:pStyle w:val="ListParagraph"/>
              <w:widowControl/>
              <w:numPr>
                <w:ilvl w:val="0"/>
                <w:numId w:val="40"/>
              </w:numPr>
              <w:autoSpaceDE/>
              <w:autoSpaceDN/>
              <w:adjustRightInd/>
              <w:ind w:left="0"/>
              <w:rPr>
                <w:szCs w:val="26"/>
              </w:rPr>
            </w:pPr>
            <w:r>
              <w:rPr>
                <w:szCs w:val="26"/>
              </w:rPr>
              <w:t>1.  N</w:t>
            </w:r>
            <w:r w:rsidRPr="004A6F34">
              <w:rPr>
                <w:szCs w:val="26"/>
              </w:rPr>
              <w:t xml:space="preserve">umber of facilities approved </w:t>
            </w:r>
            <w:r w:rsidR="008C2C30">
              <w:rPr>
                <w:szCs w:val="26"/>
              </w:rPr>
              <w:t>for</w:t>
            </w:r>
            <w:r w:rsidRPr="004A6F34">
              <w:rPr>
                <w:szCs w:val="26"/>
              </w:rPr>
              <w:t xml:space="preserve"> construct</w:t>
            </w:r>
            <w:r w:rsidR="008C2C30">
              <w:rPr>
                <w:szCs w:val="26"/>
              </w:rPr>
              <w:t>ion due to</w:t>
            </w:r>
            <w:r w:rsidRPr="004A6F34">
              <w:rPr>
                <w:szCs w:val="26"/>
              </w:rPr>
              <w:t xml:space="preserve"> reliability purposes</w:t>
            </w:r>
          </w:p>
          <w:p w:rsidR="00A60C09" w:rsidRDefault="00A60C09" w:rsidP="00000106">
            <w:pPr>
              <w:spacing w:before="100" w:beforeAutospacing="1" w:after="100" w:afterAutospacing="1"/>
              <w:contextualSpacing/>
              <w:rPr>
                <w:szCs w:val="26"/>
              </w:rPr>
            </w:pPr>
            <w:r w:rsidRPr="004A6F34">
              <w:rPr>
                <w:szCs w:val="26"/>
              </w:rPr>
              <w:t xml:space="preserve">2.  Percentage of approved construction </w:t>
            </w:r>
            <w:r>
              <w:rPr>
                <w:szCs w:val="26"/>
              </w:rPr>
              <w:t xml:space="preserve">projects </w:t>
            </w:r>
            <w:r w:rsidRPr="004A6F34">
              <w:rPr>
                <w:szCs w:val="26"/>
              </w:rPr>
              <w:t>on schedule and completed</w:t>
            </w:r>
          </w:p>
          <w:p w:rsidR="00031CCC" w:rsidRPr="004A6F34" w:rsidRDefault="00031CCC" w:rsidP="00000106">
            <w:pPr>
              <w:spacing w:before="100" w:beforeAutospacing="1" w:after="100" w:afterAutospacing="1"/>
              <w:contextualSpacing/>
              <w:rPr>
                <w:szCs w:val="26"/>
              </w:rPr>
            </w:pPr>
          </w:p>
          <w:p w:rsidR="00A60C09" w:rsidRPr="004A6F34" w:rsidRDefault="00A60C09" w:rsidP="00953D39">
            <w:pPr>
              <w:spacing w:before="100" w:beforeAutospacing="1" w:after="100" w:afterAutospacing="1"/>
              <w:contextualSpacing/>
              <w:rPr>
                <w:szCs w:val="26"/>
              </w:rPr>
            </w:pPr>
            <w:r w:rsidRPr="004A6F34">
              <w:rPr>
                <w:szCs w:val="26"/>
              </w:rPr>
              <w:t>3.  Performance of planning process related to:</w:t>
            </w:r>
          </w:p>
          <w:p w:rsidR="00A60C09" w:rsidRPr="004A6F34" w:rsidRDefault="00A60C09" w:rsidP="00953D39">
            <w:pPr>
              <w:spacing w:before="100" w:beforeAutospacing="1" w:after="100" w:afterAutospacing="1"/>
              <w:contextualSpacing/>
              <w:rPr>
                <w:szCs w:val="26"/>
              </w:rPr>
            </w:pPr>
            <w:r w:rsidRPr="004A6F34">
              <w:rPr>
                <w:szCs w:val="26"/>
              </w:rPr>
              <w:t xml:space="preserve">     a.  </w:t>
            </w:r>
            <w:r w:rsidR="00651A96">
              <w:rPr>
                <w:szCs w:val="26"/>
              </w:rPr>
              <w:t>C</w:t>
            </w:r>
            <w:r w:rsidRPr="004A6F34">
              <w:rPr>
                <w:szCs w:val="26"/>
              </w:rPr>
              <w:t>omplet</w:t>
            </w:r>
            <w:r w:rsidR="00651A96">
              <w:rPr>
                <w:szCs w:val="26"/>
              </w:rPr>
              <w:t>ion of</w:t>
            </w:r>
            <w:r w:rsidRPr="004A6F34">
              <w:rPr>
                <w:szCs w:val="26"/>
              </w:rPr>
              <w:t xml:space="preserve"> reliability studies</w:t>
            </w:r>
          </w:p>
          <w:p w:rsidR="00A60C09" w:rsidRPr="004A6F34" w:rsidRDefault="00A60C09" w:rsidP="00953D39">
            <w:pPr>
              <w:spacing w:before="100" w:beforeAutospacing="1" w:after="100" w:afterAutospacing="1"/>
              <w:contextualSpacing/>
              <w:rPr>
                <w:szCs w:val="26"/>
              </w:rPr>
            </w:pPr>
            <w:r w:rsidRPr="004A6F34">
              <w:rPr>
                <w:szCs w:val="26"/>
              </w:rPr>
              <w:t xml:space="preserve">     b.  </w:t>
            </w:r>
            <w:r w:rsidR="00651A96">
              <w:rPr>
                <w:szCs w:val="26"/>
              </w:rPr>
              <w:t>C</w:t>
            </w:r>
            <w:r w:rsidRPr="004A6F34">
              <w:rPr>
                <w:szCs w:val="26"/>
              </w:rPr>
              <w:t>omplet</w:t>
            </w:r>
            <w:r w:rsidR="00651A96">
              <w:rPr>
                <w:szCs w:val="26"/>
              </w:rPr>
              <w:t>ion of</w:t>
            </w:r>
            <w:r w:rsidRPr="004A6F34">
              <w:rPr>
                <w:szCs w:val="26"/>
              </w:rPr>
              <w:t xml:space="preserve"> economic studies </w:t>
            </w:r>
          </w:p>
          <w:p w:rsidR="00A60C09" w:rsidRDefault="00A60C09" w:rsidP="00953D39">
            <w:pPr>
              <w:spacing w:before="100" w:beforeAutospacing="1" w:after="100" w:afterAutospacing="1"/>
              <w:contextualSpacing/>
              <w:rPr>
                <w:szCs w:val="26"/>
              </w:rPr>
            </w:pPr>
          </w:p>
          <w:p w:rsidR="00B4540D" w:rsidRDefault="00B4540D" w:rsidP="00953D39">
            <w:pPr>
              <w:spacing w:before="100" w:beforeAutospacing="1" w:after="100" w:afterAutospacing="1"/>
              <w:contextualSpacing/>
              <w:rPr>
                <w:szCs w:val="26"/>
              </w:rPr>
            </w:pPr>
          </w:p>
          <w:p w:rsidR="00031CCC" w:rsidRPr="004A6F34" w:rsidRDefault="00031CCC" w:rsidP="00953D39">
            <w:pPr>
              <w:spacing w:before="100" w:beforeAutospacing="1" w:after="100" w:afterAutospacing="1"/>
              <w:contextualSpacing/>
              <w:rPr>
                <w:szCs w:val="26"/>
              </w:rPr>
            </w:pPr>
          </w:p>
        </w:tc>
      </w:tr>
      <w:tr w:rsidR="00A60C09" w:rsidRPr="004A6F34" w:rsidTr="007E5590">
        <w:trPr>
          <w:jc w:val="center"/>
        </w:trPr>
        <w:tc>
          <w:tcPr>
            <w:tcW w:w="3569" w:type="dxa"/>
            <w:gridSpan w:val="3"/>
            <w:tcBorders>
              <w:top w:val="single" w:sz="4" w:space="0" w:color="000000"/>
              <w:left w:val="single" w:sz="4" w:space="0" w:color="000000"/>
              <w:bottom w:val="single" w:sz="4" w:space="0" w:color="000000"/>
              <w:right w:val="single" w:sz="4" w:space="0" w:color="000000"/>
            </w:tcBorders>
            <w:shd w:val="clear" w:color="auto" w:fill="A6A6A6"/>
          </w:tcPr>
          <w:p w:rsidR="00A60C09" w:rsidRPr="00F42ACA" w:rsidRDefault="00A60C09" w:rsidP="00953D39">
            <w:pPr>
              <w:jc w:val="center"/>
              <w:rPr>
                <w:b/>
                <w:szCs w:val="26"/>
              </w:rPr>
            </w:pPr>
            <w:r>
              <w:rPr>
                <w:b/>
                <w:szCs w:val="26"/>
              </w:rPr>
              <w:lastRenderedPageBreak/>
              <w:t>Performance Metric</w:t>
            </w:r>
          </w:p>
        </w:tc>
        <w:tc>
          <w:tcPr>
            <w:tcW w:w="10578" w:type="dxa"/>
            <w:tcBorders>
              <w:top w:val="single" w:sz="4" w:space="0" w:color="000000"/>
              <w:left w:val="single" w:sz="4" w:space="0" w:color="000000"/>
              <w:bottom w:val="single" w:sz="4" w:space="0" w:color="000000"/>
              <w:right w:val="single" w:sz="4" w:space="0" w:color="000000"/>
            </w:tcBorders>
            <w:shd w:val="clear" w:color="auto" w:fill="A6A6A6"/>
          </w:tcPr>
          <w:p w:rsidR="00A60C09" w:rsidRPr="00F42ACA" w:rsidRDefault="00A60C09" w:rsidP="00953D39">
            <w:pPr>
              <w:pStyle w:val="ListParagraph"/>
              <w:ind w:left="0"/>
              <w:jc w:val="center"/>
              <w:rPr>
                <w:b/>
              </w:rPr>
            </w:pPr>
            <w:r>
              <w:rPr>
                <w:b/>
              </w:rPr>
              <w:t>Specific Metric(s)</w:t>
            </w: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H.</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rPr>
                <w:szCs w:val="26"/>
              </w:rPr>
              <w:t>Long-Term Reliability Planning – Resources</w:t>
            </w:r>
          </w:p>
        </w:tc>
        <w:tc>
          <w:tcPr>
            <w:tcW w:w="10578" w:type="dxa"/>
            <w:tcBorders>
              <w:top w:val="single" w:sz="4" w:space="0" w:color="000000"/>
              <w:left w:val="single" w:sz="4" w:space="0" w:color="000000"/>
              <w:bottom w:val="single" w:sz="4" w:space="0" w:color="000000"/>
              <w:right w:val="single" w:sz="4" w:space="0" w:color="000000"/>
            </w:tcBorders>
          </w:tcPr>
          <w:p w:rsidR="00A60C09" w:rsidRDefault="00A60C09" w:rsidP="00953D39">
            <w:pPr>
              <w:pStyle w:val="ListParagraph"/>
              <w:ind w:left="0"/>
            </w:pPr>
            <w:r w:rsidRPr="004A6F34">
              <w:t>1.  Processing time for generation interconnection requests</w:t>
            </w:r>
          </w:p>
          <w:p w:rsidR="00A60C09" w:rsidRDefault="00A60C09" w:rsidP="00953D39">
            <w:pPr>
              <w:pStyle w:val="ListParagraph"/>
              <w:ind w:left="0"/>
            </w:pPr>
          </w:p>
          <w:p w:rsidR="00A60C09" w:rsidRDefault="00A60C09" w:rsidP="00953D39">
            <w:pPr>
              <w:pStyle w:val="ListParagraph"/>
              <w:ind w:left="0"/>
            </w:pPr>
            <w:r w:rsidRPr="004A6F34">
              <w:t xml:space="preserve">2. </w:t>
            </w:r>
            <w:r>
              <w:t xml:space="preserve"> </w:t>
            </w:r>
            <w:r w:rsidRPr="004A6F34">
              <w:t>Actual reserve margins compared with planned reserve margins</w:t>
            </w:r>
          </w:p>
          <w:p w:rsidR="00A60C09" w:rsidRPr="004A6F34" w:rsidRDefault="00A60C09" w:rsidP="00953D39">
            <w:pPr>
              <w:pStyle w:val="ListParagraph"/>
              <w:ind w:left="0"/>
            </w:pPr>
          </w:p>
          <w:p w:rsidR="00A60C09" w:rsidRPr="004A6F34" w:rsidRDefault="00A60C09" w:rsidP="00953D39">
            <w:pPr>
              <w:rPr>
                <w:szCs w:val="26"/>
              </w:rPr>
            </w:pPr>
            <w:r w:rsidRPr="004A6F34">
              <w:rPr>
                <w:szCs w:val="26"/>
              </w:rPr>
              <w:t xml:space="preserve">  </w:t>
            </w: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I.</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7E5590">
            <w:pPr>
              <w:ind w:left="-34"/>
              <w:rPr>
                <w:szCs w:val="26"/>
              </w:rPr>
            </w:pPr>
            <w:r w:rsidRPr="004A6F34">
              <w:rPr>
                <w:szCs w:val="26"/>
              </w:rPr>
              <w:t>Interconnection and Transmission Process Metrics</w:t>
            </w:r>
          </w:p>
        </w:tc>
        <w:tc>
          <w:tcPr>
            <w:tcW w:w="10578"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pStyle w:val="ListParagraph"/>
              <w:ind w:left="0"/>
              <w:rPr>
                <w:szCs w:val="26"/>
              </w:rPr>
            </w:pPr>
            <w:r w:rsidRPr="004A6F34">
              <w:rPr>
                <w:szCs w:val="26"/>
              </w:rPr>
              <w:t>1.  Number of requests</w:t>
            </w:r>
          </w:p>
          <w:p w:rsidR="00A60C09" w:rsidRDefault="00A60C09" w:rsidP="00000106">
            <w:pPr>
              <w:spacing w:before="100" w:beforeAutospacing="1" w:after="100" w:afterAutospacing="1"/>
              <w:contextualSpacing/>
              <w:rPr>
                <w:szCs w:val="26"/>
              </w:rPr>
            </w:pPr>
            <w:r w:rsidRPr="004A6F34">
              <w:rPr>
                <w:szCs w:val="26"/>
              </w:rPr>
              <w:t>2.  Number of studies completed</w:t>
            </w:r>
          </w:p>
          <w:p w:rsidR="00031CCC" w:rsidRPr="004A6F34" w:rsidRDefault="00031CCC" w:rsidP="00000106">
            <w:pPr>
              <w:spacing w:before="100" w:beforeAutospacing="1" w:after="100" w:afterAutospacing="1"/>
              <w:contextualSpacing/>
              <w:rPr>
                <w:szCs w:val="26"/>
              </w:rPr>
            </w:pPr>
          </w:p>
          <w:p w:rsidR="00A60C09" w:rsidRDefault="00A60C09" w:rsidP="00953D39">
            <w:pPr>
              <w:spacing w:before="100" w:beforeAutospacing="1" w:after="100" w:afterAutospacing="1"/>
              <w:contextualSpacing/>
              <w:rPr>
                <w:szCs w:val="26"/>
              </w:rPr>
            </w:pPr>
            <w:r w:rsidRPr="004A6F34">
              <w:rPr>
                <w:szCs w:val="26"/>
              </w:rPr>
              <w:t>3.  Average age of incomplete studies</w:t>
            </w:r>
          </w:p>
          <w:p w:rsidR="00031CCC" w:rsidRPr="004A6F34" w:rsidRDefault="00031CCC" w:rsidP="00953D39">
            <w:pPr>
              <w:spacing w:before="100" w:beforeAutospacing="1" w:after="100" w:afterAutospacing="1"/>
              <w:contextualSpacing/>
              <w:rPr>
                <w:szCs w:val="26"/>
              </w:rPr>
            </w:pPr>
          </w:p>
          <w:p w:rsidR="00A60C09" w:rsidRDefault="00A60C09" w:rsidP="00953D39">
            <w:pPr>
              <w:spacing w:before="100" w:beforeAutospacing="1" w:after="100" w:afterAutospacing="1"/>
              <w:contextualSpacing/>
              <w:rPr>
                <w:szCs w:val="26"/>
              </w:rPr>
            </w:pPr>
            <w:r w:rsidRPr="004A6F34">
              <w:rPr>
                <w:szCs w:val="26"/>
              </w:rPr>
              <w:t xml:space="preserve">4.  Average time for completed studies </w:t>
            </w:r>
          </w:p>
          <w:p w:rsidR="00031CCC" w:rsidRPr="004A6F34" w:rsidRDefault="00031CCC" w:rsidP="00953D39">
            <w:pPr>
              <w:spacing w:before="100" w:beforeAutospacing="1" w:after="100" w:afterAutospacing="1"/>
              <w:contextualSpacing/>
              <w:rPr>
                <w:szCs w:val="26"/>
              </w:rPr>
            </w:pPr>
          </w:p>
          <w:p w:rsidR="00A60C09" w:rsidRDefault="00A60C09" w:rsidP="00953D39">
            <w:pPr>
              <w:spacing w:before="100" w:beforeAutospacing="1" w:after="100" w:afterAutospacing="1"/>
              <w:contextualSpacing/>
              <w:rPr>
                <w:szCs w:val="26"/>
              </w:rPr>
            </w:pPr>
            <w:r w:rsidRPr="004A6F34">
              <w:rPr>
                <w:szCs w:val="26"/>
              </w:rPr>
              <w:t>5.  Total cost and types of studies completed (e.g., feasibility study, system impact study and facility study)</w:t>
            </w:r>
          </w:p>
          <w:p w:rsidR="00A60C09" w:rsidRPr="004A6F34" w:rsidRDefault="00A60C09" w:rsidP="00953D39">
            <w:pPr>
              <w:spacing w:before="100" w:beforeAutospacing="1" w:after="100" w:afterAutospacing="1"/>
              <w:contextualSpacing/>
              <w:rPr>
                <w:szCs w:val="26"/>
              </w:rPr>
            </w:pPr>
          </w:p>
        </w:tc>
      </w:tr>
      <w:tr w:rsidR="00A60C09" w:rsidRPr="004A6F34" w:rsidTr="007E5590">
        <w:trPr>
          <w:jc w:val="center"/>
        </w:trPr>
        <w:tc>
          <w:tcPr>
            <w:tcW w:w="737" w:type="dxa"/>
            <w:gridSpan w:val="2"/>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J.</w:t>
            </w:r>
          </w:p>
        </w:tc>
        <w:tc>
          <w:tcPr>
            <w:tcW w:w="2832"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rPr>
                <w:szCs w:val="26"/>
              </w:rPr>
              <w:t>Special Protection Systems</w:t>
            </w:r>
          </w:p>
        </w:tc>
        <w:tc>
          <w:tcPr>
            <w:tcW w:w="10578"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pStyle w:val="ListParagraph"/>
              <w:ind w:left="0"/>
              <w:rPr>
                <w:szCs w:val="26"/>
              </w:rPr>
            </w:pPr>
            <w:r w:rsidRPr="004A6F34">
              <w:rPr>
                <w:szCs w:val="26"/>
              </w:rPr>
              <w:t>1. Number of special protection systems</w:t>
            </w:r>
          </w:p>
          <w:p w:rsidR="00A60C09" w:rsidRDefault="00A60C09" w:rsidP="00953D39">
            <w:pPr>
              <w:spacing w:before="100" w:beforeAutospacing="1" w:after="100" w:afterAutospacing="1"/>
              <w:contextualSpacing/>
              <w:rPr>
                <w:szCs w:val="26"/>
              </w:rPr>
            </w:pPr>
            <w:r w:rsidRPr="004A6F34">
              <w:rPr>
                <w:szCs w:val="26"/>
              </w:rPr>
              <w:t>2. Percentage of special protection systems that responded as designed when activated</w:t>
            </w:r>
          </w:p>
          <w:p w:rsidR="00A60C09" w:rsidRDefault="00A60C09" w:rsidP="00A60C09">
            <w:pPr>
              <w:widowControl/>
              <w:numPr>
                <w:ilvl w:val="0"/>
                <w:numId w:val="39"/>
              </w:numPr>
              <w:autoSpaceDE/>
              <w:autoSpaceDN/>
              <w:adjustRightInd/>
              <w:spacing w:before="100" w:beforeAutospacing="1" w:after="100" w:afterAutospacing="1"/>
              <w:contextualSpacing/>
              <w:rPr>
                <w:szCs w:val="26"/>
              </w:rPr>
            </w:pPr>
            <w:r w:rsidRPr="004A6F34">
              <w:rPr>
                <w:szCs w:val="26"/>
              </w:rPr>
              <w:t>Applicable pool of special protection systems should be based on how the reporting entity’s Regional Entity defines “special protection systems”</w:t>
            </w:r>
          </w:p>
          <w:p w:rsidR="00031CCC" w:rsidRPr="004A6F34" w:rsidRDefault="00031CCC" w:rsidP="007E5590">
            <w:pPr>
              <w:widowControl/>
              <w:autoSpaceDE/>
              <w:autoSpaceDN/>
              <w:adjustRightInd/>
              <w:spacing w:before="100" w:beforeAutospacing="1" w:after="100" w:afterAutospacing="1"/>
              <w:ind w:left="720"/>
              <w:contextualSpacing/>
              <w:rPr>
                <w:szCs w:val="26"/>
              </w:rPr>
            </w:pPr>
          </w:p>
          <w:p w:rsidR="00A60C09" w:rsidRDefault="00A60C09" w:rsidP="00953D39">
            <w:pPr>
              <w:spacing w:before="100" w:beforeAutospacing="1" w:after="100" w:afterAutospacing="1"/>
              <w:ind w:left="-38"/>
              <w:contextualSpacing/>
              <w:rPr>
                <w:szCs w:val="26"/>
              </w:rPr>
            </w:pPr>
            <w:r>
              <w:rPr>
                <w:szCs w:val="26"/>
              </w:rPr>
              <w:t xml:space="preserve">3. </w:t>
            </w:r>
            <w:r w:rsidRPr="004A6F34">
              <w:rPr>
                <w:szCs w:val="26"/>
              </w:rPr>
              <w:t>Number of unintended activations</w:t>
            </w:r>
          </w:p>
          <w:p w:rsidR="00A60C09" w:rsidRPr="004A6F34" w:rsidRDefault="00A60C09" w:rsidP="00953D39">
            <w:pPr>
              <w:spacing w:before="100" w:beforeAutospacing="1" w:after="100" w:afterAutospacing="1"/>
              <w:ind w:left="-38"/>
              <w:contextualSpacing/>
              <w:rPr>
                <w:szCs w:val="26"/>
              </w:rPr>
            </w:pPr>
          </w:p>
        </w:tc>
      </w:tr>
    </w:tbl>
    <w:p w:rsidR="00031CCC" w:rsidRDefault="00031CCC" w:rsidP="00953D39"/>
    <w:p w:rsidR="00031CCC" w:rsidRDefault="00031CCC">
      <w:pPr>
        <w:widowControl/>
        <w:autoSpaceDE/>
        <w:autoSpaceDN/>
        <w:adjustRightInd/>
      </w:pPr>
      <w:r>
        <w:br w:type="page"/>
      </w:r>
    </w:p>
    <w:tbl>
      <w:tblPr>
        <w:tblW w:w="14170" w:type="dxa"/>
        <w:jc w:val="center"/>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5"/>
        <w:gridCol w:w="2970"/>
        <w:gridCol w:w="10685"/>
      </w:tblGrid>
      <w:tr w:rsidR="00A60C09" w:rsidRPr="004A6F34" w:rsidTr="00953D39">
        <w:trPr>
          <w:trHeight w:val="316"/>
          <w:jc w:val="center"/>
        </w:trPr>
        <w:tc>
          <w:tcPr>
            <w:tcW w:w="3485" w:type="dxa"/>
            <w:gridSpan w:val="2"/>
            <w:tcBorders>
              <w:top w:val="single" w:sz="4" w:space="0" w:color="000000"/>
              <w:left w:val="single" w:sz="4" w:space="0" w:color="000000"/>
              <w:bottom w:val="single" w:sz="4" w:space="0" w:color="000000"/>
              <w:right w:val="single" w:sz="4" w:space="0" w:color="000000"/>
            </w:tcBorders>
            <w:shd w:val="clear" w:color="auto" w:fill="A6A6A6"/>
          </w:tcPr>
          <w:p w:rsidR="00A60C09" w:rsidRPr="004A6F34" w:rsidRDefault="00A60C09" w:rsidP="00953D39">
            <w:pPr>
              <w:jc w:val="center"/>
              <w:rPr>
                <w:b/>
                <w:szCs w:val="26"/>
              </w:rPr>
            </w:pPr>
            <w:r>
              <w:rPr>
                <w:b/>
                <w:szCs w:val="26"/>
              </w:rPr>
              <w:lastRenderedPageBreak/>
              <w:t>Performance Metric</w:t>
            </w:r>
          </w:p>
        </w:tc>
        <w:tc>
          <w:tcPr>
            <w:tcW w:w="10685" w:type="dxa"/>
            <w:tcBorders>
              <w:top w:val="single" w:sz="4" w:space="0" w:color="000000"/>
              <w:left w:val="single" w:sz="4" w:space="0" w:color="000000"/>
              <w:bottom w:val="single" w:sz="4" w:space="0" w:color="000000"/>
              <w:right w:val="single" w:sz="4" w:space="0" w:color="000000"/>
            </w:tcBorders>
            <w:shd w:val="clear" w:color="auto" w:fill="A6A6A6"/>
          </w:tcPr>
          <w:p w:rsidR="00A60C09" w:rsidRPr="004A6F34" w:rsidRDefault="00A60C09" w:rsidP="00953D39">
            <w:pPr>
              <w:jc w:val="center"/>
              <w:rPr>
                <w:b/>
                <w:szCs w:val="26"/>
              </w:rPr>
            </w:pPr>
            <w:r>
              <w:rPr>
                <w:b/>
                <w:szCs w:val="26"/>
              </w:rPr>
              <w:t>Specific Metric(s)</w:t>
            </w:r>
          </w:p>
        </w:tc>
      </w:tr>
      <w:tr w:rsidR="00A60C09" w:rsidRPr="004A6F34" w:rsidTr="00953D39">
        <w:trPr>
          <w:trHeight w:val="316"/>
          <w:jc w:val="center"/>
        </w:trPr>
        <w:tc>
          <w:tcPr>
            <w:tcW w:w="14170" w:type="dxa"/>
            <w:gridSpan w:val="3"/>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b/>
                <w:szCs w:val="26"/>
              </w:rPr>
            </w:pPr>
            <w:r w:rsidRPr="004A6F34">
              <w:rPr>
                <w:b/>
              </w:rPr>
              <w:t>System Operations Measures</w:t>
            </w:r>
          </w:p>
        </w:tc>
      </w:tr>
      <w:tr w:rsidR="00A60C09" w:rsidRPr="004A6F34" w:rsidTr="00953D39">
        <w:trPr>
          <w:trHeight w:val="1912"/>
          <w:jc w:val="center"/>
        </w:trPr>
        <w:tc>
          <w:tcPr>
            <w:tcW w:w="515"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t>A</w:t>
            </w:r>
            <w:r w:rsidRPr="004A6F34">
              <w:t>.</w:t>
            </w:r>
          </w:p>
        </w:tc>
        <w:tc>
          <w:tcPr>
            <w:tcW w:w="2970"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System Lambda</w:t>
            </w:r>
          </w:p>
        </w:tc>
        <w:tc>
          <w:tcPr>
            <w:tcW w:w="10685" w:type="dxa"/>
            <w:tcBorders>
              <w:top w:val="single" w:sz="4" w:space="0" w:color="000000"/>
              <w:left w:val="single" w:sz="4" w:space="0" w:color="000000"/>
              <w:bottom w:val="single" w:sz="4" w:space="0" w:color="000000"/>
              <w:right w:val="single" w:sz="4" w:space="0" w:color="000000"/>
            </w:tcBorders>
          </w:tcPr>
          <w:p w:rsidR="00A60C09" w:rsidRDefault="00A60C09" w:rsidP="00953D39">
            <w:r w:rsidRPr="004A6F34">
              <w:t>System Lambda (on marginal unit)</w:t>
            </w:r>
          </w:p>
          <w:p w:rsidR="00A60C09" w:rsidRPr="004A6F34" w:rsidRDefault="00A60C09" w:rsidP="00953D39">
            <w:pPr>
              <w:rPr>
                <w:szCs w:val="26"/>
              </w:rPr>
            </w:pPr>
            <w:r w:rsidRPr="004A6F34">
              <w:t xml:space="preserve"> </w:t>
            </w:r>
          </w:p>
          <w:p w:rsidR="00A60C09" w:rsidRDefault="00A60C09" w:rsidP="00A60C09">
            <w:pPr>
              <w:widowControl/>
              <w:numPr>
                <w:ilvl w:val="0"/>
                <w:numId w:val="39"/>
              </w:numPr>
              <w:autoSpaceDE/>
              <w:adjustRightInd/>
            </w:pPr>
            <w:r w:rsidRPr="004A6F34">
              <w:t xml:space="preserve">System Lambda metric </w:t>
            </w:r>
            <w:r w:rsidR="00056166">
              <w:t>does</w:t>
            </w:r>
            <w:r w:rsidRPr="004A6F34">
              <w:t xml:space="preserve"> not apply to </w:t>
            </w:r>
            <w:r w:rsidR="00056166">
              <w:t xml:space="preserve">ISOs, RTOs or </w:t>
            </w:r>
            <w:r w:rsidRPr="004A6F34">
              <w:t>utilities where the marginal price is set by hydro units</w:t>
            </w:r>
          </w:p>
          <w:p w:rsidR="00A60C09" w:rsidRPr="004A6F34" w:rsidRDefault="00A60C09" w:rsidP="00953D39">
            <w:pPr>
              <w:ind w:left="360"/>
            </w:pPr>
          </w:p>
          <w:p w:rsidR="00A60C09" w:rsidRPr="004A6F34" w:rsidRDefault="00A60C09" w:rsidP="00A60C09">
            <w:pPr>
              <w:widowControl/>
              <w:numPr>
                <w:ilvl w:val="0"/>
                <w:numId w:val="39"/>
              </w:numPr>
              <w:autoSpaceDE/>
              <w:adjustRightInd/>
              <w:rPr>
                <w:szCs w:val="26"/>
              </w:rPr>
            </w:pPr>
            <w:r w:rsidRPr="004A6F34">
              <w:t xml:space="preserve">System lambda data will be based on </w:t>
            </w:r>
            <w:r w:rsidR="008C2C30">
              <w:t xml:space="preserve">FERC </w:t>
            </w:r>
            <w:r w:rsidRPr="004A6F34">
              <w:t xml:space="preserve">Form </w:t>
            </w:r>
            <w:r w:rsidR="008C2C30">
              <w:t xml:space="preserve">No. </w:t>
            </w:r>
            <w:r w:rsidRPr="004A6F34">
              <w:t>714 information.</w:t>
            </w:r>
          </w:p>
        </w:tc>
      </w:tr>
      <w:tr w:rsidR="00A60C09" w:rsidRPr="004A6F34" w:rsidTr="00953D39">
        <w:trPr>
          <w:trHeight w:val="316"/>
          <w:jc w:val="center"/>
        </w:trPr>
        <w:tc>
          <w:tcPr>
            <w:tcW w:w="515"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t>B</w:t>
            </w:r>
            <w:r w:rsidRPr="004A6F34">
              <w:t>.</w:t>
            </w:r>
          </w:p>
        </w:tc>
        <w:tc>
          <w:tcPr>
            <w:tcW w:w="2970"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Resource Availability</w:t>
            </w:r>
          </w:p>
        </w:tc>
        <w:tc>
          <w:tcPr>
            <w:tcW w:w="10685"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pStyle w:val="ListParagraph"/>
              <w:ind w:left="0"/>
              <w:rPr>
                <w:szCs w:val="26"/>
              </w:rPr>
            </w:pPr>
            <w:r w:rsidRPr="004A6F34">
              <w:rPr>
                <w:szCs w:val="26"/>
              </w:rPr>
              <w:t>1 - System forced outage rate as measured over 12 months</w:t>
            </w:r>
          </w:p>
        </w:tc>
      </w:tr>
      <w:tr w:rsidR="00A60C09" w:rsidRPr="004A6F34" w:rsidTr="00953D39">
        <w:trPr>
          <w:trHeight w:val="316"/>
          <w:jc w:val="center"/>
        </w:trPr>
        <w:tc>
          <w:tcPr>
            <w:tcW w:w="515"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t>C</w:t>
            </w:r>
            <w:r w:rsidRPr="004A6F34">
              <w:t>.</w:t>
            </w:r>
          </w:p>
        </w:tc>
        <w:tc>
          <w:tcPr>
            <w:tcW w:w="2970" w:type="dxa"/>
            <w:tcBorders>
              <w:top w:val="single" w:sz="4" w:space="0" w:color="000000"/>
              <w:left w:val="single" w:sz="4" w:space="0" w:color="000000"/>
              <w:bottom w:val="single" w:sz="4" w:space="0" w:color="000000"/>
              <w:right w:val="single" w:sz="4" w:space="0" w:color="000000"/>
            </w:tcBorders>
          </w:tcPr>
          <w:p w:rsidR="00A60C09" w:rsidRPr="004A6F34" w:rsidRDefault="00A60C09" w:rsidP="00953D39">
            <w:pPr>
              <w:rPr>
                <w:szCs w:val="26"/>
              </w:rPr>
            </w:pPr>
            <w:r w:rsidRPr="004A6F34">
              <w:t>Fuel Diversity</w:t>
            </w:r>
          </w:p>
        </w:tc>
        <w:tc>
          <w:tcPr>
            <w:tcW w:w="10685" w:type="dxa"/>
            <w:tcBorders>
              <w:top w:val="single" w:sz="4" w:space="0" w:color="000000"/>
              <w:left w:val="single" w:sz="4" w:space="0" w:color="000000"/>
              <w:bottom w:val="single" w:sz="4" w:space="0" w:color="000000"/>
              <w:right w:val="single" w:sz="4" w:space="0" w:color="000000"/>
            </w:tcBorders>
          </w:tcPr>
          <w:p w:rsidR="00A60C09" w:rsidRPr="004A6F34" w:rsidRDefault="00A60C09" w:rsidP="00E43AC2">
            <w:pPr>
              <w:pStyle w:val="ListParagraph"/>
              <w:ind w:left="0"/>
              <w:rPr>
                <w:szCs w:val="26"/>
              </w:rPr>
            </w:pPr>
            <w:r w:rsidRPr="004A6F34">
              <w:rPr>
                <w:szCs w:val="26"/>
              </w:rPr>
              <w:t>Fuel diversity in terms of energy</w:t>
            </w:r>
            <w:r w:rsidR="00E43AC2">
              <w:rPr>
                <w:szCs w:val="26"/>
              </w:rPr>
              <w:t xml:space="preserve"> produced and</w:t>
            </w:r>
            <w:r w:rsidRPr="004A6F34">
              <w:rPr>
                <w:szCs w:val="26"/>
              </w:rPr>
              <w:t xml:space="preserve"> installed capacity</w:t>
            </w:r>
          </w:p>
        </w:tc>
      </w:tr>
    </w:tbl>
    <w:p w:rsidR="00A60C09" w:rsidRDefault="00A60C09" w:rsidP="00953D39">
      <w:pPr>
        <w:jc w:val="center"/>
        <w:rPr>
          <w:b/>
          <w:szCs w:val="26"/>
        </w:rPr>
      </w:pPr>
    </w:p>
    <w:p w:rsidR="00A60C09" w:rsidRDefault="00A60C09" w:rsidP="00953D39">
      <w:pPr>
        <w:jc w:val="center"/>
        <w:rPr>
          <w:b/>
          <w:szCs w:val="26"/>
        </w:rPr>
        <w:sectPr w:rsidR="00A60C09" w:rsidSect="00DA0154">
          <w:footerReference w:type="first" r:id="rId55"/>
          <w:pgSz w:w="15840" w:h="12240" w:orient="landscape"/>
          <w:pgMar w:top="1800" w:right="1440" w:bottom="1800" w:left="1440" w:header="720" w:footer="720" w:gutter="0"/>
          <w:pgNumType w:fmt="numberInDash" w:start="1"/>
          <w:cols w:space="720"/>
          <w:titlePg/>
          <w:docGrid w:linePitch="360"/>
        </w:sect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p>
    <w:p w:rsidR="00A60C09" w:rsidRDefault="00A60C09" w:rsidP="00953D39">
      <w:pPr>
        <w:jc w:val="center"/>
        <w:rPr>
          <w:b/>
          <w:szCs w:val="26"/>
        </w:rPr>
      </w:pPr>
      <w:r>
        <w:rPr>
          <w:b/>
          <w:szCs w:val="26"/>
        </w:rPr>
        <w:t xml:space="preserve">Appendix </w:t>
      </w:r>
      <w:r w:rsidR="005359FB">
        <w:rPr>
          <w:b/>
          <w:szCs w:val="26"/>
        </w:rPr>
        <w:t>B</w:t>
      </w:r>
    </w:p>
    <w:p w:rsidR="00A60C09" w:rsidRDefault="00A60C09" w:rsidP="00953D39">
      <w:pPr>
        <w:jc w:val="center"/>
        <w:rPr>
          <w:b/>
          <w:szCs w:val="26"/>
        </w:rPr>
      </w:pPr>
      <w:r>
        <w:rPr>
          <w:b/>
          <w:szCs w:val="26"/>
        </w:rPr>
        <w:t>List of Participants</w:t>
      </w:r>
    </w:p>
    <w:p w:rsidR="0058715E" w:rsidRDefault="0058715E" w:rsidP="00953D39">
      <w:pPr>
        <w:jc w:val="center"/>
        <w:rPr>
          <w:b/>
          <w:szCs w:val="26"/>
        </w:rPr>
      </w:pPr>
      <w:r>
        <w:rPr>
          <w:b/>
          <w:szCs w:val="26"/>
        </w:rPr>
        <w:br w:type="page"/>
      </w:r>
    </w:p>
    <w:p w:rsidR="00A60C09" w:rsidRDefault="00A60C09" w:rsidP="00953D39">
      <w:pPr>
        <w:jc w:val="center"/>
        <w:rPr>
          <w:b/>
          <w:szCs w:val="26"/>
        </w:rPr>
      </w:pPr>
    </w:p>
    <w:p w:rsidR="00A60C09" w:rsidRDefault="00A60C09" w:rsidP="00953D39">
      <w:pPr>
        <w:jc w:val="center"/>
        <w:rPr>
          <w:b/>
          <w:u w:val="single"/>
        </w:rPr>
      </w:pPr>
      <w:r>
        <w:rPr>
          <w:b/>
          <w:u w:val="single"/>
        </w:rPr>
        <w:t xml:space="preserve">List of Participants </w:t>
      </w:r>
      <w:proofErr w:type="gramStart"/>
      <w:r>
        <w:rPr>
          <w:b/>
          <w:u w:val="single"/>
        </w:rPr>
        <w:t>In</w:t>
      </w:r>
      <w:proofErr w:type="gramEnd"/>
      <w:r>
        <w:rPr>
          <w:b/>
          <w:u w:val="single"/>
        </w:rPr>
        <w:t xml:space="preserve"> The Metrics Initiative</w:t>
      </w:r>
    </w:p>
    <w:p w:rsidR="00A60C09" w:rsidRDefault="00A60C09" w:rsidP="00953D39">
      <w:pPr>
        <w:jc w:val="center"/>
        <w:rPr>
          <w:b/>
          <w:u w:val="single"/>
        </w:rPr>
      </w:pPr>
    </w:p>
    <w:p w:rsidR="00A60C09" w:rsidRDefault="00A60C09" w:rsidP="00953D39">
      <w:pPr>
        <w:pStyle w:val="Default"/>
        <w:rPr>
          <w:sz w:val="26"/>
          <w:szCs w:val="26"/>
        </w:rPr>
      </w:pPr>
      <w:r>
        <w:rPr>
          <w:sz w:val="26"/>
          <w:szCs w:val="26"/>
        </w:rPr>
        <w:t xml:space="preserve">Allegheny Power and Allegheny Energy Supply Company, LLC  </w:t>
      </w:r>
    </w:p>
    <w:p w:rsidR="00A60C09" w:rsidRPr="002117D1" w:rsidRDefault="00A60C09" w:rsidP="00953D39">
      <w:pPr>
        <w:pStyle w:val="Default"/>
        <w:rPr>
          <w:b/>
          <w:i/>
          <w:sz w:val="26"/>
          <w:szCs w:val="26"/>
        </w:rPr>
      </w:pPr>
      <w:r>
        <w:rPr>
          <w:sz w:val="26"/>
          <w:szCs w:val="26"/>
        </w:rPr>
        <w:t>American Public Power Association</w:t>
      </w:r>
      <w:r w:rsidR="008628FF">
        <w:rPr>
          <w:b/>
          <w:i/>
          <w:sz w:val="26"/>
          <w:szCs w:val="26"/>
        </w:rPr>
        <w:t xml:space="preserve"> </w:t>
      </w:r>
    </w:p>
    <w:p w:rsidR="00A60C09" w:rsidRDefault="00A60C09" w:rsidP="00953D39">
      <w:pPr>
        <w:pStyle w:val="Default"/>
        <w:rPr>
          <w:sz w:val="26"/>
          <w:szCs w:val="26"/>
        </w:rPr>
      </w:pPr>
      <w:r>
        <w:rPr>
          <w:sz w:val="26"/>
          <w:szCs w:val="26"/>
        </w:rPr>
        <w:t>American Wind Energy Association</w:t>
      </w:r>
    </w:p>
    <w:p w:rsidR="00A60C09" w:rsidRDefault="00A60C09" w:rsidP="00953D39">
      <w:pPr>
        <w:pStyle w:val="Default"/>
        <w:rPr>
          <w:sz w:val="26"/>
          <w:szCs w:val="26"/>
        </w:rPr>
      </w:pPr>
      <w:r>
        <w:rPr>
          <w:sz w:val="26"/>
          <w:szCs w:val="26"/>
        </w:rPr>
        <w:t xml:space="preserve">Arizona Public Service Company </w:t>
      </w:r>
    </w:p>
    <w:p w:rsidR="00A60C09" w:rsidRDefault="00A60C09" w:rsidP="00953D39">
      <w:pPr>
        <w:pStyle w:val="Default"/>
        <w:rPr>
          <w:sz w:val="26"/>
          <w:szCs w:val="26"/>
        </w:rPr>
      </w:pPr>
      <w:r>
        <w:rPr>
          <w:sz w:val="26"/>
          <w:szCs w:val="26"/>
        </w:rPr>
        <w:t>California Department of Water Resources State Water Project</w:t>
      </w:r>
    </w:p>
    <w:p w:rsidR="00A60C09" w:rsidRDefault="00A60C09" w:rsidP="00953D39">
      <w:pPr>
        <w:pStyle w:val="Default"/>
        <w:rPr>
          <w:sz w:val="26"/>
          <w:szCs w:val="26"/>
        </w:rPr>
      </w:pPr>
      <w:r>
        <w:rPr>
          <w:sz w:val="26"/>
          <w:szCs w:val="26"/>
        </w:rPr>
        <w:t>California Independent System Operator Corporation</w:t>
      </w:r>
    </w:p>
    <w:p w:rsidR="00A60C09" w:rsidRDefault="00A60C09" w:rsidP="00953D39">
      <w:pPr>
        <w:pStyle w:val="Default"/>
        <w:rPr>
          <w:sz w:val="26"/>
          <w:szCs w:val="26"/>
        </w:rPr>
      </w:pPr>
      <w:r>
        <w:rPr>
          <w:sz w:val="26"/>
          <w:szCs w:val="26"/>
        </w:rPr>
        <w:t>California Public Utilities Commission</w:t>
      </w:r>
    </w:p>
    <w:p w:rsidR="00A60C09" w:rsidRDefault="00A60C09" w:rsidP="00953D39">
      <w:pPr>
        <w:pStyle w:val="Default"/>
        <w:rPr>
          <w:sz w:val="26"/>
          <w:szCs w:val="26"/>
        </w:rPr>
      </w:pPr>
      <w:r>
        <w:rPr>
          <w:sz w:val="26"/>
          <w:szCs w:val="26"/>
        </w:rPr>
        <w:t>City of Redding, City of Santa Clara and M-S-R Public Power Agency</w:t>
      </w:r>
    </w:p>
    <w:p w:rsidR="00A60C09" w:rsidRDefault="00A60C09" w:rsidP="00953D39">
      <w:pPr>
        <w:pStyle w:val="Default"/>
        <w:rPr>
          <w:sz w:val="26"/>
          <w:szCs w:val="26"/>
        </w:rPr>
      </w:pPr>
      <w:r>
        <w:rPr>
          <w:sz w:val="26"/>
          <w:szCs w:val="26"/>
        </w:rPr>
        <w:t>COMPETE Coalition</w:t>
      </w:r>
    </w:p>
    <w:p w:rsidR="00A60C09" w:rsidRDefault="00A60C09" w:rsidP="00953D39">
      <w:pPr>
        <w:pStyle w:val="Default"/>
        <w:rPr>
          <w:sz w:val="26"/>
          <w:szCs w:val="26"/>
        </w:rPr>
      </w:pPr>
      <w:r>
        <w:rPr>
          <w:sz w:val="26"/>
          <w:szCs w:val="26"/>
        </w:rPr>
        <w:t>Consumer Commenters</w:t>
      </w:r>
      <w:r>
        <w:rPr>
          <w:rStyle w:val="FootnoteReference"/>
        </w:rPr>
        <w:footnoteReference w:id="45"/>
      </w:r>
    </w:p>
    <w:p w:rsidR="00A60C09" w:rsidRDefault="00A60C09" w:rsidP="00953D39">
      <w:pPr>
        <w:pStyle w:val="Default"/>
        <w:rPr>
          <w:sz w:val="26"/>
          <w:szCs w:val="26"/>
        </w:rPr>
      </w:pPr>
      <w:r>
        <w:rPr>
          <w:sz w:val="26"/>
          <w:szCs w:val="26"/>
        </w:rPr>
        <w:t>DC Energy, LLC</w:t>
      </w:r>
    </w:p>
    <w:p w:rsidR="00A60C09" w:rsidRDefault="00A60C09" w:rsidP="00953D39">
      <w:pPr>
        <w:pStyle w:val="Default"/>
        <w:rPr>
          <w:sz w:val="26"/>
          <w:szCs w:val="26"/>
        </w:rPr>
      </w:pPr>
      <w:r>
        <w:rPr>
          <w:sz w:val="26"/>
          <w:szCs w:val="26"/>
        </w:rPr>
        <w:t>Delaware Municipal Electric Corporation</w:t>
      </w:r>
      <w:r w:rsidR="008C2C30">
        <w:rPr>
          <w:sz w:val="26"/>
          <w:szCs w:val="26"/>
        </w:rPr>
        <w:t>, Inc.</w:t>
      </w:r>
    </w:p>
    <w:p w:rsidR="00A60C09" w:rsidRDefault="00A60C09" w:rsidP="00953D39">
      <w:pPr>
        <w:pStyle w:val="Default"/>
        <w:rPr>
          <w:sz w:val="26"/>
          <w:szCs w:val="26"/>
        </w:rPr>
      </w:pPr>
      <w:r>
        <w:rPr>
          <w:sz w:val="26"/>
          <w:szCs w:val="26"/>
        </w:rPr>
        <w:t>Dominion Resources Services, Inc.</w:t>
      </w:r>
    </w:p>
    <w:p w:rsidR="00A60C09" w:rsidRDefault="00A60C09" w:rsidP="00953D39">
      <w:pPr>
        <w:pStyle w:val="Default"/>
        <w:rPr>
          <w:sz w:val="26"/>
          <w:szCs w:val="26"/>
        </w:rPr>
      </w:pPr>
      <w:r>
        <w:rPr>
          <w:sz w:val="26"/>
          <w:szCs w:val="26"/>
        </w:rPr>
        <w:t>Duke Energy Corporation</w:t>
      </w:r>
    </w:p>
    <w:p w:rsidR="00A60C09" w:rsidRDefault="00A60C09" w:rsidP="00953D39">
      <w:pPr>
        <w:pStyle w:val="Default"/>
        <w:rPr>
          <w:sz w:val="26"/>
          <w:szCs w:val="26"/>
        </w:rPr>
      </w:pPr>
      <w:r>
        <w:rPr>
          <w:sz w:val="26"/>
          <w:szCs w:val="26"/>
        </w:rPr>
        <w:t>Edison Electric Institute</w:t>
      </w:r>
    </w:p>
    <w:p w:rsidR="00A60C09" w:rsidRDefault="00A60C09" w:rsidP="00953D39">
      <w:pPr>
        <w:pStyle w:val="Default"/>
        <w:rPr>
          <w:sz w:val="26"/>
          <w:szCs w:val="26"/>
        </w:rPr>
      </w:pPr>
      <w:r>
        <w:rPr>
          <w:sz w:val="26"/>
          <w:szCs w:val="26"/>
        </w:rPr>
        <w:t>Eastern Massachusetts Consumer-Owned Systems</w:t>
      </w:r>
      <w:r w:rsidR="008C2C30">
        <w:rPr>
          <w:rStyle w:val="FootnoteReference"/>
        </w:rPr>
        <w:footnoteReference w:id="46"/>
      </w:r>
    </w:p>
    <w:p w:rsidR="00A60C09" w:rsidRDefault="00A60C09" w:rsidP="00953D39">
      <w:pPr>
        <w:pStyle w:val="Default"/>
        <w:rPr>
          <w:sz w:val="26"/>
          <w:szCs w:val="26"/>
        </w:rPr>
      </w:pPr>
      <w:r>
        <w:rPr>
          <w:sz w:val="26"/>
          <w:szCs w:val="26"/>
        </w:rPr>
        <w:t>Electric Power Supply Association</w:t>
      </w:r>
    </w:p>
    <w:p w:rsidR="00A60C09" w:rsidRDefault="00A60C09" w:rsidP="00953D39">
      <w:pPr>
        <w:pStyle w:val="Default"/>
        <w:rPr>
          <w:color w:val="auto"/>
        </w:rPr>
      </w:pPr>
      <w:r>
        <w:rPr>
          <w:sz w:val="26"/>
          <w:szCs w:val="26"/>
        </w:rPr>
        <w:t>Electricity Consumers Resource Council</w:t>
      </w:r>
    </w:p>
    <w:p w:rsidR="00A60C09" w:rsidRDefault="00A60C09" w:rsidP="00953D39">
      <w:pPr>
        <w:pStyle w:val="Default"/>
        <w:rPr>
          <w:color w:val="auto"/>
          <w:sz w:val="26"/>
          <w:szCs w:val="26"/>
        </w:rPr>
      </w:pPr>
      <w:r>
        <w:rPr>
          <w:color w:val="auto"/>
          <w:sz w:val="26"/>
          <w:szCs w:val="26"/>
        </w:rPr>
        <w:t>Federal Trade Commission</w:t>
      </w:r>
    </w:p>
    <w:p w:rsidR="00A60C09" w:rsidRDefault="00A60C09" w:rsidP="00953D39">
      <w:pPr>
        <w:pStyle w:val="Default"/>
        <w:rPr>
          <w:color w:val="auto"/>
          <w:sz w:val="26"/>
          <w:szCs w:val="26"/>
        </w:rPr>
      </w:pPr>
      <w:r>
        <w:rPr>
          <w:color w:val="auto"/>
          <w:sz w:val="26"/>
          <w:szCs w:val="26"/>
        </w:rPr>
        <w:t>FirstEnergy Service Company</w:t>
      </w:r>
    </w:p>
    <w:p w:rsidR="00A60C09" w:rsidRDefault="00A60C09" w:rsidP="00953D39">
      <w:pPr>
        <w:pStyle w:val="Default"/>
        <w:rPr>
          <w:color w:val="auto"/>
          <w:sz w:val="26"/>
          <w:szCs w:val="26"/>
        </w:rPr>
      </w:pPr>
      <w:proofErr w:type="gramStart"/>
      <w:r>
        <w:rPr>
          <w:color w:val="auto"/>
          <w:sz w:val="26"/>
          <w:szCs w:val="26"/>
        </w:rPr>
        <w:lastRenderedPageBreak/>
        <w:t>Internal Market Monitor of ISO New England Inc.</w:t>
      </w:r>
      <w:proofErr w:type="gramEnd"/>
    </w:p>
    <w:p w:rsidR="00A60C09" w:rsidRDefault="00A60C09" w:rsidP="00953D39">
      <w:pPr>
        <w:pStyle w:val="Default"/>
        <w:rPr>
          <w:color w:val="auto"/>
          <w:sz w:val="26"/>
          <w:szCs w:val="26"/>
        </w:rPr>
      </w:pPr>
      <w:r>
        <w:rPr>
          <w:color w:val="auto"/>
          <w:sz w:val="26"/>
          <w:szCs w:val="26"/>
        </w:rPr>
        <w:t xml:space="preserve">ISO/RTO Council </w:t>
      </w:r>
    </w:p>
    <w:p w:rsidR="00A60C09" w:rsidRDefault="00A60C09" w:rsidP="00953D39">
      <w:pPr>
        <w:pStyle w:val="Default"/>
        <w:rPr>
          <w:color w:val="auto"/>
          <w:sz w:val="26"/>
          <w:szCs w:val="26"/>
        </w:rPr>
      </w:pPr>
      <w:proofErr w:type="gramStart"/>
      <w:r>
        <w:rPr>
          <w:color w:val="auto"/>
          <w:sz w:val="26"/>
          <w:szCs w:val="26"/>
        </w:rPr>
        <w:t>Independent Power Producers of New York, Inc.</w:t>
      </w:r>
      <w:proofErr w:type="gramEnd"/>
    </w:p>
    <w:p w:rsidR="00A549C7" w:rsidRDefault="00A549C7" w:rsidP="00A549C7">
      <w:pPr>
        <w:pStyle w:val="Default"/>
        <w:rPr>
          <w:color w:val="auto"/>
          <w:sz w:val="26"/>
          <w:szCs w:val="26"/>
        </w:rPr>
      </w:pPr>
      <w:r>
        <w:rPr>
          <w:color w:val="auto"/>
          <w:sz w:val="26"/>
          <w:szCs w:val="26"/>
        </w:rPr>
        <w:t>Indicated New York Transmission Owners</w:t>
      </w:r>
      <w:r>
        <w:rPr>
          <w:rStyle w:val="FootnoteReference"/>
          <w:color w:val="auto"/>
        </w:rPr>
        <w:footnoteReference w:id="47"/>
      </w:r>
    </w:p>
    <w:p w:rsidR="00A60C09" w:rsidRDefault="00A60C09" w:rsidP="00953D39">
      <w:pPr>
        <w:pStyle w:val="Default"/>
        <w:rPr>
          <w:color w:val="auto"/>
          <w:sz w:val="26"/>
          <w:szCs w:val="26"/>
        </w:rPr>
      </w:pPr>
      <w:r>
        <w:rPr>
          <w:color w:val="auto"/>
          <w:sz w:val="26"/>
          <w:szCs w:val="26"/>
        </w:rPr>
        <w:t>International Transmission Company</w:t>
      </w:r>
    </w:p>
    <w:p w:rsidR="00A60C09" w:rsidRDefault="00A60C09" w:rsidP="00953D39">
      <w:pPr>
        <w:pStyle w:val="Default"/>
        <w:rPr>
          <w:color w:val="auto"/>
          <w:sz w:val="26"/>
          <w:szCs w:val="26"/>
        </w:rPr>
      </w:pPr>
      <w:r>
        <w:rPr>
          <w:color w:val="auto"/>
          <w:sz w:val="26"/>
          <w:szCs w:val="26"/>
        </w:rPr>
        <w:t>Kentucky Utilities Company</w:t>
      </w:r>
    </w:p>
    <w:p w:rsidR="00A60C09" w:rsidRDefault="00A60C09" w:rsidP="00953D39">
      <w:pPr>
        <w:pStyle w:val="Default"/>
        <w:rPr>
          <w:color w:val="auto"/>
          <w:sz w:val="26"/>
          <w:szCs w:val="26"/>
        </w:rPr>
      </w:pPr>
      <w:r>
        <w:rPr>
          <w:color w:val="auto"/>
          <w:sz w:val="26"/>
          <w:szCs w:val="26"/>
        </w:rPr>
        <w:t>Louisville Gas and Electric Company</w:t>
      </w:r>
    </w:p>
    <w:p w:rsidR="00A60C09" w:rsidRDefault="00A60C09" w:rsidP="00953D39">
      <w:pPr>
        <w:pStyle w:val="Default"/>
        <w:rPr>
          <w:color w:val="auto"/>
          <w:sz w:val="26"/>
          <w:szCs w:val="26"/>
        </w:rPr>
      </w:pPr>
      <w:r>
        <w:rPr>
          <w:color w:val="auto"/>
          <w:sz w:val="26"/>
          <w:szCs w:val="26"/>
        </w:rPr>
        <w:t>Maine Public Utilities Commission</w:t>
      </w:r>
    </w:p>
    <w:p w:rsidR="00A60C09" w:rsidRDefault="008C2C30" w:rsidP="00953D39">
      <w:pPr>
        <w:pStyle w:val="Default"/>
        <w:rPr>
          <w:color w:val="auto"/>
          <w:sz w:val="26"/>
          <w:szCs w:val="26"/>
        </w:rPr>
      </w:pPr>
      <w:r>
        <w:rPr>
          <w:color w:val="auto"/>
          <w:sz w:val="26"/>
          <w:szCs w:val="26"/>
        </w:rPr>
        <w:t xml:space="preserve">Maryland </w:t>
      </w:r>
      <w:r w:rsidR="00A60C09">
        <w:rPr>
          <w:color w:val="auto"/>
          <w:sz w:val="26"/>
          <w:szCs w:val="26"/>
        </w:rPr>
        <w:t>Public Service Commission</w:t>
      </w:r>
    </w:p>
    <w:p w:rsidR="00A60C09" w:rsidRDefault="00A60C09" w:rsidP="00953D39">
      <w:pPr>
        <w:pStyle w:val="Default"/>
        <w:rPr>
          <w:color w:val="auto"/>
          <w:sz w:val="26"/>
          <w:szCs w:val="26"/>
        </w:rPr>
      </w:pPr>
      <w:r>
        <w:rPr>
          <w:color w:val="auto"/>
          <w:sz w:val="26"/>
          <w:szCs w:val="26"/>
        </w:rPr>
        <w:t>Attorney General of the Commonwealth of Massachusetts</w:t>
      </w:r>
    </w:p>
    <w:p w:rsidR="00A60C09" w:rsidRDefault="00A60C09" w:rsidP="00953D39">
      <w:pPr>
        <w:pStyle w:val="Default"/>
        <w:rPr>
          <w:color w:val="auto"/>
          <w:sz w:val="26"/>
          <w:szCs w:val="26"/>
        </w:rPr>
      </w:pPr>
      <w:r>
        <w:rPr>
          <w:color w:val="auto"/>
          <w:sz w:val="26"/>
          <w:szCs w:val="26"/>
        </w:rPr>
        <w:t>MidAmerican Energy Company</w:t>
      </w:r>
    </w:p>
    <w:p w:rsidR="00A60C09" w:rsidRDefault="00A60C09" w:rsidP="00953D39">
      <w:pPr>
        <w:pStyle w:val="Default"/>
        <w:rPr>
          <w:color w:val="auto"/>
          <w:sz w:val="26"/>
          <w:szCs w:val="26"/>
        </w:rPr>
      </w:pPr>
      <w:r>
        <w:rPr>
          <w:color w:val="auto"/>
          <w:sz w:val="26"/>
          <w:szCs w:val="26"/>
        </w:rPr>
        <w:t>Midcontinent Independent System Operator, Inc.</w:t>
      </w:r>
    </w:p>
    <w:p w:rsidR="00A60C09" w:rsidRDefault="00A60C09" w:rsidP="00953D39">
      <w:pPr>
        <w:pStyle w:val="Default"/>
        <w:rPr>
          <w:color w:val="auto"/>
          <w:sz w:val="26"/>
          <w:szCs w:val="26"/>
        </w:rPr>
      </w:pPr>
      <w:r>
        <w:rPr>
          <w:color w:val="auto"/>
          <w:sz w:val="26"/>
          <w:szCs w:val="26"/>
        </w:rPr>
        <w:t>Midwest ISO Transmission Owners</w:t>
      </w:r>
      <w:r w:rsidR="008C2C30">
        <w:rPr>
          <w:rStyle w:val="FootnoteReference"/>
          <w:color w:val="auto"/>
        </w:rPr>
        <w:footnoteReference w:id="48"/>
      </w:r>
    </w:p>
    <w:p w:rsidR="00A60C09" w:rsidRDefault="00A60C09" w:rsidP="00953D39">
      <w:pPr>
        <w:pStyle w:val="Default"/>
        <w:rPr>
          <w:color w:val="auto"/>
          <w:sz w:val="26"/>
          <w:szCs w:val="26"/>
        </w:rPr>
      </w:pPr>
      <w:r>
        <w:rPr>
          <w:color w:val="auto"/>
          <w:sz w:val="26"/>
          <w:szCs w:val="26"/>
        </w:rPr>
        <w:t>Missouri Public Service Commission</w:t>
      </w:r>
    </w:p>
    <w:p w:rsidR="00A60C09" w:rsidRDefault="00A60C09" w:rsidP="00953D39">
      <w:pPr>
        <w:pStyle w:val="Default"/>
        <w:rPr>
          <w:color w:val="auto"/>
          <w:sz w:val="26"/>
          <w:szCs w:val="26"/>
        </w:rPr>
      </w:pPr>
      <w:r>
        <w:rPr>
          <w:color w:val="auto"/>
          <w:sz w:val="26"/>
          <w:szCs w:val="26"/>
        </w:rPr>
        <w:t>Multiple T</w:t>
      </w:r>
      <w:r w:rsidR="004604D5">
        <w:rPr>
          <w:color w:val="auto"/>
          <w:sz w:val="26"/>
          <w:szCs w:val="26"/>
        </w:rPr>
        <w:t>ransmission-</w:t>
      </w:r>
      <w:r>
        <w:rPr>
          <w:color w:val="auto"/>
          <w:sz w:val="26"/>
          <w:szCs w:val="26"/>
        </w:rPr>
        <w:t>D</w:t>
      </w:r>
      <w:r w:rsidR="004604D5">
        <w:rPr>
          <w:color w:val="auto"/>
          <w:sz w:val="26"/>
          <w:szCs w:val="26"/>
        </w:rPr>
        <w:t>ependent Public Power System</w:t>
      </w:r>
      <w:r>
        <w:rPr>
          <w:color w:val="auto"/>
          <w:sz w:val="26"/>
          <w:szCs w:val="26"/>
        </w:rPr>
        <w:t>s</w:t>
      </w:r>
      <w:r>
        <w:rPr>
          <w:rStyle w:val="FootnoteReference"/>
          <w:color w:val="auto"/>
        </w:rPr>
        <w:footnoteReference w:id="49"/>
      </w:r>
      <w:r>
        <w:rPr>
          <w:color w:val="auto"/>
          <w:sz w:val="26"/>
          <w:szCs w:val="26"/>
        </w:rPr>
        <w:t xml:space="preserve"> </w:t>
      </w:r>
    </w:p>
    <w:p w:rsidR="00A60C09" w:rsidRDefault="00A60C09" w:rsidP="00953D39">
      <w:pPr>
        <w:pStyle w:val="Default"/>
        <w:rPr>
          <w:color w:val="auto"/>
          <w:sz w:val="26"/>
          <w:szCs w:val="26"/>
        </w:rPr>
      </w:pPr>
      <w:r>
        <w:rPr>
          <w:color w:val="auto"/>
          <w:sz w:val="26"/>
          <w:szCs w:val="26"/>
        </w:rPr>
        <w:lastRenderedPageBreak/>
        <w:t>National Association of Regulatory Utility Commissioners</w:t>
      </w:r>
    </w:p>
    <w:p w:rsidR="00A60C09" w:rsidRDefault="00A60C09" w:rsidP="00953D39">
      <w:pPr>
        <w:pStyle w:val="Default"/>
        <w:rPr>
          <w:color w:val="auto"/>
          <w:sz w:val="26"/>
          <w:szCs w:val="26"/>
        </w:rPr>
      </w:pPr>
      <w:r>
        <w:rPr>
          <w:color w:val="auto"/>
          <w:sz w:val="26"/>
          <w:szCs w:val="26"/>
        </w:rPr>
        <w:t>National Association of State Utility Consumer Advocates</w:t>
      </w:r>
    </w:p>
    <w:p w:rsidR="00A60C09" w:rsidRDefault="00A60C09" w:rsidP="00953D39">
      <w:pPr>
        <w:pStyle w:val="Default"/>
        <w:rPr>
          <w:color w:val="auto"/>
          <w:sz w:val="26"/>
          <w:szCs w:val="26"/>
        </w:rPr>
      </w:pPr>
      <w:r>
        <w:rPr>
          <w:color w:val="auto"/>
          <w:sz w:val="26"/>
          <w:szCs w:val="26"/>
        </w:rPr>
        <w:t>National Grid USA</w:t>
      </w:r>
    </w:p>
    <w:p w:rsidR="00A60C09" w:rsidRDefault="00A60C09" w:rsidP="00953D39">
      <w:pPr>
        <w:pStyle w:val="Default"/>
        <w:rPr>
          <w:color w:val="auto"/>
          <w:sz w:val="26"/>
          <w:szCs w:val="26"/>
        </w:rPr>
      </w:pPr>
      <w:r>
        <w:rPr>
          <w:color w:val="auto"/>
          <w:sz w:val="26"/>
          <w:szCs w:val="26"/>
        </w:rPr>
        <w:t>National Rural Electric Cooperative Association</w:t>
      </w:r>
    </w:p>
    <w:p w:rsidR="00A60C09" w:rsidRDefault="00A60C09" w:rsidP="00953D39">
      <w:pPr>
        <w:pStyle w:val="Default"/>
        <w:rPr>
          <w:color w:val="auto"/>
          <w:sz w:val="26"/>
          <w:szCs w:val="26"/>
        </w:rPr>
      </w:pPr>
      <w:r>
        <w:rPr>
          <w:color w:val="auto"/>
          <w:sz w:val="26"/>
          <w:szCs w:val="26"/>
        </w:rPr>
        <w:t>New England Conference of Public Utility Commission</w:t>
      </w:r>
      <w:r w:rsidR="00A549C7">
        <w:rPr>
          <w:color w:val="auto"/>
          <w:sz w:val="26"/>
          <w:szCs w:val="26"/>
        </w:rPr>
        <w:t>er</w:t>
      </w:r>
      <w:r>
        <w:rPr>
          <w:color w:val="auto"/>
          <w:sz w:val="26"/>
          <w:szCs w:val="26"/>
        </w:rPr>
        <w:t>s</w:t>
      </w:r>
    </w:p>
    <w:p w:rsidR="00A60C09" w:rsidRDefault="00A60C09" w:rsidP="00953D39">
      <w:pPr>
        <w:pStyle w:val="Default"/>
        <w:rPr>
          <w:color w:val="auto"/>
          <w:sz w:val="26"/>
          <w:szCs w:val="26"/>
        </w:rPr>
      </w:pPr>
      <w:r>
        <w:rPr>
          <w:color w:val="auto"/>
          <w:sz w:val="26"/>
          <w:szCs w:val="26"/>
        </w:rPr>
        <w:t>ISO New England Inc.</w:t>
      </w:r>
    </w:p>
    <w:p w:rsidR="00A60C09" w:rsidRDefault="00A60C09" w:rsidP="00953D39">
      <w:pPr>
        <w:pStyle w:val="Default"/>
        <w:rPr>
          <w:color w:val="auto"/>
          <w:sz w:val="26"/>
          <w:szCs w:val="26"/>
        </w:rPr>
      </w:pPr>
      <w:r>
        <w:rPr>
          <w:color w:val="auto"/>
          <w:sz w:val="26"/>
          <w:szCs w:val="26"/>
        </w:rPr>
        <w:t>New England Power Generators Association, Inc.</w:t>
      </w:r>
    </w:p>
    <w:p w:rsidR="00A60C09" w:rsidRDefault="00A60C09" w:rsidP="00953D39">
      <w:pPr>
        <w:pStyle w:val="Default"/>
        <w:rPr>
          <w:color w:val="auto"/>
          <w:sz w:val="26"/>
          <w:szCs w:val="26"/>
        </w:rPr>
      </w:pPr>
      <w:r>
        <w:rPr>
          <w:color w:val="auto"/>
          <w:sz w:val="26"/>
          <w:szCs w:val="26"/>
        </w:rPr>
        <w:t>New England Power Pool Participants Committee</w:t>
      </w:r>
    </w:p>
    <w:p w:rsidR="00A60C09" w:rsidRDefault="00A60C09" w:rsidP="00953D39">
      <w:pPr>
        <w:pStyle w:val="Default"/>
        <w:rPr>
          <w:color w:val="auto"/>
          <w:sz w:val="26"/>
          <w:szCs w:val="26"/>
        </w:rPr>
      </w:pPr>
      <w:r>
        <w:rPr>
          <w:color w:val="auto"/>
          <w:sz w:val="26"/>
          <w:szCs w:val="26"/>
        </w:rPr>
        <w:t>New England States Committee on Electricity</w:t>
      </w:r>
    </w:p>
    <w:p w:rsidR="00A60C09" w:rsidRDefault="00A60C09" w:rsidP="00953D39">
      <w:pPr>
        <w:pStyle w:val="Default"/>
        <w:rPr>
          <w:color w:val="auto"/>
          <w:sz w:val="26"/>
          <w:szCs w:val="26"/>
        </w:rPr>
      </w:pPr>
      <w:r>
        <w:rPr>
          <w:color w:val="auto"/>
          <w:sz w:val="26"/>
          <w:szCs w:val="26"/>
        </w:rPr>
        <w:t xml:space="preserve">New Jersey </w:t>
      </w:r>
      <w:r w:rsidR="00A549C7">
        <w:rPr>
          <w:color w:val="auto"/>
          <w:sz w:val="26"/>
          <w:szCs w:val="26"/>
        </w:rPr>
        <w:t>Department</w:t>
      </w:r>
      <w:r>
        <w:rPr>
          <w:color w:val="auto"/>
          <w:sz w:val="26"/>
          <w:szCs w:val="26"/>
        </w:rPr>
        <w:t xml:space="preserve"> of </w:t>
      </w:r>
      <w:r w:rsidR="00A549C7">
        <w:rPr>
          <w:color w:val="auto"/>
          <w:sz w:val="26"/>
          <w:szCs w:val="26"/>
        </w:rPr>
        <w:t xml:space="preserve">the </w:t>
      </w:r>
      <w:r>
        <w:rPr>
          <w:color w:val="auto"/>
          <w:sz w:val="26"/>
          <w:szCs w:val="26"/>
        </w:rPr>
        <w:t>Public Advocate, Division of Rate Counsel</w:t>
      </w:r>
    </w:p>
    <w:p w:rsidR="00A60C09" w:rsidRDefault="00A60C09" w:rsidP="00953D39">
      <w:pPr>
        <w:pStyle w:val="Default"/>
        <w:rPr>
          <w:color w:val="auto"/>
          <w:sz w:val="26"/>
          <w:szCs w:val="26"/>
        </w:rPr>
      </w:pPr>
      <w:r>
        <w:rPr>
          <w:color w:val="auto"/>
          <w:sz w:val="26"/>
          <w:szCs w:val="26"/>
        </w:rPr>
        <w:t>New Hampshire Public Utilities Commission</w:t>
      </w:r>
    </w:p>
    <w:p w:rsidR="00A60C09" w:rsidRDefault="00A60C09" w:rsidP="00953D39">
      <w:pPr>
        <w:pStyle w:val="Default"/>
        <w:rPr>
          <w:color w:val="auto"/>
          <w:sz w:val="26"/>
          <w:szCs w:val="26"/>
        </w:rPr>
      </w:pPr>
      <w:r>
        <w:rPr>
          <w:color w:val="auto"/>
          <w:sz w:val="26"/>
          <w:szCs w:val="26"/>
        </w:rPr>
        <w:t>New York Independent System Operator, Inc.</w:t>
      </w:r>
    </w:p>
    <w:p w:rsidR="00A60C09" w:rsidRDefault="00A60C09" w:rsidP="00953D39">
      <w:pPr>
        <w:pStyle w:val="Default"/>
        <w:rPr>
          <w:color w:val="auto"/>
          <w:sz w:val="26"/>
          <w:szCs w:val="26"/>
        </w:rPr>
      </w:pPr>
      <w:r>
        <w:rPr>
          <w:color w:val="auto"/>
          <w:sz w:val="26"/>
          <w:szCs w:val="26"/>
        </w:rPr>
        <w:t xml:space="preserve">New York State Public Service Commission </w:t>
      </w:r>
    </w:p>
    <w:p w:rsidR="00A60C09" w:rsidRDefault="00A60C09" w:rsidP="00953D39">
      <w:pPr>
        <w:pStyle w:val="Default"/>
        <w:rPr>
          <w:color w:val="auto"/>
          <w:sz w:val="26"/>
          <w:szCs w:val="26"/>
        </w:rPr>
      </w:pPr>
      <w:r>
        <w:rPr>
          <w:color w:val="auto"/>
          <w:sz w:val="26"/>
          <w:szCs w:val="26"/>
        </w:rPr>
        <w:t xml:space="preserve">Northwest &amp; Intermountain Power Producers Coalition </w:t>
      </w:r>
    </w:p>
    <w:p w:rsidR="00A60C09" w:rsidRDefault="00A60C09" w:rsidP="00953D39">
      <w:pPr>
        <w:pStyle w:val="Default"/>
        <w:rPr>
          <w:color w:val="auto"/>
          <w:sz w:val="26"/>
          <w:szCs w:val="26"/>
        </w:rPr>
      </w:pPr>
      <w:r>
        <w:rPr>
          <w:color w:val="auto"/>
          <w:sz w:val="26"/>
          <w:szCs w:val="26"/>
        </w:rPr>
        <w:t>Public Utilities Commission of Ohio</w:t>
      </w:r>
    </w:p>
    <w:p w:rsidR="00A60C09" w:rsidRDefault="00A60C09" w:rsidP="00953D39">
      <w:pPr>
        <w:pStyle w:val="Default"/>
        <w:rPr>
          <w:color w:val="auto"/>
          <w:sz w:val="26"/>
          <w:szCs w:val="26"/>
        </w:rPr>
      </w:pPr>
      <w:r>
        <w:rPr>
          <w:color w:val="auto"/>
          <w:sz w:val="26"/>
          <w:szCs w:val="26"/>
        </w:rPr>
        <w:t>Office of the Ohio Consumers’ Counsel</w:t>
      </w:r>
    </w:p>
    <w:p w:rsidR="00A60C09" w:rsidRDefault="00A60C09" w:rsidP="00953D39">
      <w:pPr>
        <w:pStyle w:val="Default"/>
        <w:rPr>
          <w:color w:val="auto"/>
          <w:sz w:val="26"/>
          <w:szCs w:val="26"/>
        </w:rPr>
      </w:pPr>
      <w:r>
        <w:rPr>
          <w:color w:val="auto"/>
          <w:sz w:val="26"/>
          <w:szCs w:val="26"/>
        </w:rPr>
        <w:t>Old Dominion Electric Cooperative</w:t>
      </w:r>
    </w:p>
    <w:p w:rsidR="00A60C09" w:rsidRDefault="00A60C09" w:rsidP="00953D39">
      <w:pPr>
        <w:pStyle w:val="Default"/>
        <w:rPr>
          <w:color w:val="auto"/>
          <w:sz w:val="26"/>
          <w:szCs w:val="26"/>
        </w:rPr>
      </w:pPr>
      <w:r>
        <w:rPr>
          <w:color w:val="auto"/>
          <w:sz w:val="26"/>
          <w:szCs w:val="26"/>
        </w:rPr>
        <w:t>Organization of MISO States</w:t>
      </w:r>
    </w:p>
    <w:p w:rsidR="00A60C09" w:rsidRDefault="00A60C09" w:rsidP="00953D39">
      <w:pPr>
        <w:pStyle w:val="Default"/>
        <w:rPr>
          <w:color w:val="auto"/>
          <w:sz w:val="26"/>
          <w:szCs w:val="26"/>
        </w:rPr>
      </w:pPr>
      <w:r>
        <w:rPr>
          <w:color w:val="auto"/>
          <w:sz w:val="26"/>
          <w:szCs w:val="26"/>
        </w:rPr>
        <w:t>Pacific Gas and Electric Company</w:t>
      </w:r>
    </w:p>
    <w:p w:rsidR="00A60C09" w:rsidRDefault="007F3248" w:rsidP="00953D39">
      <w:pPr>
        <w:pStyle w:val="Default"/>
        <w:rPr>
          <w:color w:val="auto"/>
          <w:sz w:val="26"/>
          <w:szCs w:val="26"/>
        </w:rPr>
      </w:pPr>
      <w:r>
        <w:rPr>
          <w:color w:val="auto"/>
          <w:sz w:val="26"/>
          <w:szCs w:val="26"/>
        </w:rPr>
        <w:t>PacifiCorp</w:t>
      </w:r>
    </w:p>
    <w:p w:rsidR="00A60C09" w:rsidRDefault="00A60C09" w:rsidP="00953D39">
      <w:pPr>
        <w:pStyle w:val="Default"/>
        <w:rPr>
          <w:color w:val="auto"/>
          <w:sz w:val="26"/>
          <w:szCs w:val="26"/>
        </w:rPr>
      </w:pPr>
      <w:r>
        <w:rPr>
          <w:color w:val="auto"/>
          <w:sz w:val="26"/>
          <w:szCs w:val="26"/>
        </w:rPr>
        <w:t>Pennsylvania Public Utilit</w:t>
      </w:r>
      <w:r w:rsidR="000044BF">
        <w:rPr>
          <w:color w:val="auto"/>
          <w:sz w:val="26"/>
          <w:szCs w:val="26"/>
        </w:rPr>
        <w:t>y</w:t>
      </w:r>
      <w:r>
        <w:rPr>
          <w:color w:val="auto"/>
          <w:sz w:val="26"/>
          <w:szCs w:val="26"/>
        </w:rPr>
        <w:t xml:space="preserve"> Commission</w:t>
      </w:r>
    </w:p>
    <w:p w:rsidR="00A60C09" w:rsidRDefault="00A60C09" w:rsidP="00953D39">
      <w:pPr>
        <w:pStyle w:val="Default"/>
        <w:rPr>
          <w:color w:val="auto"/>
          <w:sz w:val="26"/>
          <w:szCs w:val="26"/>
        </w:rPr>
      </w:pPr>
      <w:r>
        <w:rPr>
          <w:color w:val="auto"/>
          <w:sz w:val="26"/>
          <w:szCs w:val="26"/>
        </w:rPr>
        <w:t>Pepco Holdings, Inc.</w:t>
      </w:r>
    </w:p>
    <w:p w:rsidR="00A60C09" w:rsidRDefault="00A60C09" w:rsidP="00953D39">
      <w:pPr>
        <w:pStyle w:val="Default"/>
        <w:rPr>
          <w:color w:val="auto"/>
          <w:sz w:val="26"/>
          <w:szCs w:val="26"/>
        </w:rPr>
      </w:pPr>
      <w:r>
        <w:rPr>
          <w:color w:val="auto"/>
          <w:sz w:val="26"/>
          <w:szCs w:val="26"/>
        </w:rPr>
        <w:t>PJM Interconnect</w:t>
      </w:r>
      <w:r w:rsidR="000044BF">
        <w:rPr>
          <w:color w:val="auto"/>
          <w:sz w:val="26"/>
          <w:szCs w:val="26"/>
        </w:rPr>
        <w:t>ion</w:t>
      </w:r>
      <w:r>
        <w:rPr>
          <w:color w:val="auto"/>
          <w:sz w:val="26"/>
          <w:szCs w:val="26"/>
        </w:rPr>
        <w:t>, L</w:t>
      </w:r>
      <w:r w:rsidR="000044BF">
        <w:rPr>
          <w:color w:val="auto"/>
          <w:sz w:val="26"/>
          <w:szCs w:val="26"/>
        </w:rPr>
        <w:t>.</w:t>
      </w:r>
      <w:r>
        <w:rPr>
          <w:color w:val="auto"/>
          <w:sz w:val="26"/>
          <w:szCs w:val="26"/>
        </w:rPr>
        <w:t>L</w:t>
      </w:r>
      <w:r w:rsidR="000044BF">
        <w:rPr>
          <w:color w:val="auto"/>
          <w:sz w:val="26"/>
          <w:szCs w:val="26"/>
        </w:rPr>
        <w:t>.</w:t>
      </w:r>
      <w:r>
        <w:rPr>
          <w:color w:val="auto"/>
          <w:sz w:val="26"/>
          <w:szCs w:val="26"/>
        </w:rPr>
        <w:t>C</w:t>
      </w:r>
      <w:r w:rsidR="000044BF">
        <w:rPr>
          <w:color w:val="auto"/>
          <w:sz w:val="26"/>
          <w:szCs w:val="26"/>
        </w:rPr>
        <w:t>.</w:t>
      </w:r>
    </w:p>
    <w:p w:rsidR="00A60C09" w:rsidRDefault="00A60C09" w:rsidP="00953D39">
      <w:pPr>
        <w:pStyle w:val="Default"/>
        <w:rPr>
          <w:color w:val="auto"/>
          <w:sz w:val="26"/>
          <w:szCs w:val="26"/>
        </w:rPr>
      </w:pPr>
      <w:r>
        <w:rPr>
          <w:color w:val="auto"/>
          <w:sz w:val="26"/>
          <w:szCs w:val="26"/>
        </w:rPr>
        <w:t>PJM Power Providers Group</w:t>
      </w:r>
    </w:p>
    <w:p w:rsidR="00A60C09" w:rsidRDefault="00A60C09" w:rsidP="00953D39">
      <w:pPr>
        <w:pStyle w:val="Default"/>
        <w:rPr>
          <w:color w:val="auto"/>
        </w:rPr>
      </w:pPr>
      <w:r>
        <w:rPr>
          <w:color w:val="auto"/>
          <w:sz w:val="26"/>
          <w:szCs w:val="26"/>
        </w:rPr>
        <w:t>Public Systems</w:t>
      </w:r>
      <w:r>
        <w:rPr>
          <w:rStyle w:val="FootnoteReference"/>
          <w:color w:val="auto"/>
        </w:rPr>
        <w:footnoteReference w:id="50"/>
      </w:r>
    </w:p>
    <w:p w:rsidR="00A60C09" w:rsidRDefault="00A60C09" w:rsidP="00953D39">
      <w:pPr>
        <w:pStyle w:val="Default"/>
        <w:rPr>
          <w:color w:val="auto"/>
          <w:sz w:val="26"/>
          <w:szCs w:val="26"/>
        </w:rPr>
      </w:pPr>
      <w:r>
        <w:rPr>
          <w:color w:val="auto"/>
          <w:sz w:val="26"/>
          <w:szCs w:val="26"/>
        </w:rPr>
        <w:t>Retail Energy Supply Association</w:t>
      </w:r>
    </w:p>
    <w:p w:rsidR="00A60C09" w:rsidRDefault="00A60C09" w:rsidP="00953D39">
      <w:pPr>
        <w:pStyle w:val="Default"/>
        <w:rPr>
          <w:color w:val="auto"/>
          <w:sz w:val="26"/>
          <w:szCs w:val="26"/>
        </w:rPr>
      </w:pPr>
      <w:r>
        <w:rPr>
          <w:color w:val="auto"/>
          <w:sz w:val="26"/>
          <w:szCs w:val="26"/>
        </w:rPr>
        <w:t>Southern Company</w:t>
      </w:r>
    </w:p>
    <w:p w:rsidR="00A60C09" w:rsidRDefault="00A60C09" w:rsidP="00953D39">
      <w:pPr>
        <w:pStyle w:val="Default"/>
        <w:rPr>
          <w:color w:val="auto"/>
          <w:sz w:val="26"/>
          <w:szCs w:val="26"/>
        </w:rPr>
      </w:pPr>
      <w:r>
        <w:rPr>
          <w:color w:val="auto"/>
          <w:sz w:val="26"/>
          <w:szCs w:val="26"/>
        </w:rPr>
        <w:t>Southern California Edison Company</w:t>
      </w:r>
    </w:p>
    <w:p w:rsidR="00A60C09" w:rsidRDefault="00A60C09" w:rsidP="00953D39">
      <w:pPr>
        <w:pStyle w:val="Default"/>
        <w:rPr>
          <w:color w:val="auto"/>
          <w:sz w:val="26"/>
          <w:szCs w:val="26"/>
        </w:rPr>
      </w:pPr>
      <w:r>
        <w:rPr>
          <w:color w:val="auto"/>
          <w:sz w:val="26"/>
          <w:szCs w:val="26"/>
        </w:rPr>
        <w:t>Southwest Power Pool, Inc.</w:t>
      </w:r>
    </w:p>
    <w:p w:rsidR="00A60C09" w:rsidRDefault="00A60C09" w:rsidP="00953D39">
      <w:pPr>
        <w:pStyle w:val="Default"/>
        <w:rPr>
          <w:color w:val="auto"/>
          <w:sz w:val="26"/>
          <w:szCs w:val="26"/>
        </w:rPr>
      </w:pPr>
      <w:r>
        <w:rPr>
          <w:color w:val="auto"/>
          <w:sz w:val="26"/>
          <w:szCs w:val="26"/>
        </w:rPr>
        <w:t>Steel Producers Association</w:t>
      </w:r>
      <w:r w:rsidR="000044BF">
        <w:rPr>
          <w:rStyle w:val="FootnoteReference"/>
          <w:color w:val="auto"/>
        </w:rPr>
        <w:footnoteReference w:id="51"/>
      </w:r>
    </w:p>
    <w:p w:rsidR="00A60C09" w:rsidRDefault="00A60C09" w:rsidP="00953D39">
      <w:pPr>
        <w:pStyle w:val="Default"/>
        <w:rPr>
          <w:color w:val="auto"/>
          <w:sz w:val="26"/>
          <w:szCs w:val="26"/>
        </w:rPr>
      </w:pPr>
      <w:r>
        <w:rPr>
          <w:color w:val="auto"/>
          <w:sz w:val="26"/>
          <w:szCs w:val="26"/>
        </w:rPr>
        <w:t>Transmission A</w:t>
      </w:r>
      <w:r w:rsidR="000044BF">
        <w:rPr>
          <w:color w:val="auto"/>
          <w:sz w:val="26"/>
          <w:szCs w:val="26"/>
        </w:rPr>
        <w:t>gency</w:t>
      </w:r>
      <w:r>
        <w:rPr>
          <w:color w:val="auto"/>
          <w:sz w:val="26"/>
          <w:szCs w:val="26"/>
        </w:rPr>
        <w:t xml:space="preserve"> of Northern California</w:t>
      </w:r>
    </w:p>
    <w:p w:rsidR="00A60C09" w:rsidRDefault="00A60C09" w:rsidP="00953D39">
      <w:pPr>
        <w:pStyle w:val="Default"/>
        <w:rPr>
          <w:color w:val="auto"/>
          <w:sz w:val="26"/>
          <w:szCs w:val="26"/>
        </w:rPr>
      </w:pPr>
      <w:r>
        <w:rPr>
          <w:color w:val="auto"/>
          <w:sz w:val="26"/>
          <w:szCs w:val="26"/>
        </w:rPr>
        <w:t>Transmission Access Policy Study Group</w:t>
      </w:r>
    </w:p>
    <w:p w:rsidR="00A60C09" w:rsidRDefault="00A60C09" w:rsidP="00953D39">
      <w:pPr>
        <w:pStyle w:val="Default"/>
        <w:rPr>
          <w:color w:val="auto"/>
          <w:sz w:val="26"/>
          <w:szCs w:val="26"/>
        </w:rPr>
      </w:pPr>
      <w:r>
        <w:rPr>
          <w:color w:val="auto"/>
          <w:sz w:val="26"/>
          <w:szCs w:val="26"/>
        </w:rPr>
        <w:t xml:space="preserve">Tyrone </w:t>
      </w:r>
      <w:r w:rsidR="000044BF">
        <w:rPr>
          <w:color w:val="auto"/>
          <w:sz w:val="26"/>
          <w:szCs w:val="26"/>
        </w:rPr>
        <w:t xml:space="preserve">J. </w:t>
      </w:r>
      <w:r>
        <w:rPr>
          <w:color w:val="auto"/>
          <w:sz w:val="26"/>
          <w:szCs w:val="26"/>
        </w:rPr>
        <w:t>Christy, Vice Chairman, Pennsylvania Public Utilit</w:t>
      </w:r>
      <w:r w:rsidR="000044BF">
        <w:rPr>
          <w:color w:val="auto"/>
          <w:sz w:val="26"/>
          <w:szCs w:val="26"/>
        </w:rPr>
        <w:t>y</w:t>
      </w:r>
      <w:r>
        <w:rPr>
          <w:color w:val="auto"/>
          <w:sz w:val="26"/>
          <w:szCs w:val="26"/>
        </w:rPr>
        <w:t xml:space="preserve"> Commission </w:t>
      </w:r>
    </w:p>
    <w:p w:rsidR="00A60C09" w:rsidRDefault="00A60C09" w:rsidP="00953D39">
      <w:pPr>
        <w:pStyle w:val="Default"/>
        <w:rPr>
          <w:color w:val="auto"/>
          <w:sz w:val="26"/>
          <w:szCs w:val="26"/>
        </w:rPr>
      </w:pPr>
      <w:r>
        <w:rPr>
          <w:color w:val="auto"/>
          <w:sz w:val="26"/>
          <w:szCs w:val="26"/>
        </w:rPr>
        <w:lastRenderedPageBreak/>
        <w:t>United Illuminating Company</w:t>
      </w:r>
    </w:p>
    <w:p w:rsidR="00A60C09" w:rsidRDefault="00A60C09" w:rsidP="00953D39">
      <w:pPr>
        <w:pStyle w:val="Default"/>
        <w:rPr>
          <w:color w:val="auto"/>
          <w:sz w:val="26"/>
          <w:szCs w:val="26"/>
        </w:rPr>
      </w:pPr>
      <w:proofErr w:type="spellStart"/>
      <w:r>
        <w:rPr>
          <w:color w:val="auto"/>
          <w:sz w:val="26"/>
          <w:szCs w:val="26"/>
        </w:rPr>
        <w:t>Viridity</w:t>
      </w:r>
      <w:proofErr w:type="spellEnd"/>
      <w:r>
        <w:rPr>
          <w:color w:val="auto"/>
          <w:sz w:val="26"/>
          <w:szCs w:val="26"/>
        </w:rPr>
        <w:t xml:space="preserve"> Energy, Inc.</w:t>
      </w:r>
    </w:p>
    <w:p w:rsidR="00A60C09" w:rsidRPr="00AE4B6D" w:rsidRDefault="00A60C09" w:rsidP="00953D39">
      <w:pPr>
        <w:pStyle w:val="Default"/>
      </w:pPr>
      <w:r>
        <w:rPr>
          <w:color w:val="auto"/>
          <w:sz w:val="26"/>
          <w:szCs w:val="26"/>
        </w:rPr>
        <w:t>Westar Energy</w:t>
      </w:r>
      <w:r w:rsidR="000044BF">
        <w:rPr>
          <w:color w:val="auto"/>
          <w:sz w:val="26"/>
          <w:szCs w:val="26"/>
        </w:rPr>
        <w:t>,</w:t>
      </w:r>
      <w:r>
        <w:rPr>
          <w:color w:val="auto"/>
          <w:sz w:val="26"/>
          <w:szCs w:val="26"/>
        </w:rPr>
        <w:t xml:space="preserve"> Inc.</w:t>
      </w:r>
    </w:p>
    <w:p w:rsidR="00A60C09" w:rsidRPr="009D64AF" w:rsidRDefault="00A60C09" w:rsidP="00953D39">
      <w:pPr>
        <w:ind w:firstLine="720"/>
        <w:rPr>
          <w:b/>
          <w:szCs w:val="26"/>
        </w:rPr>
      </w:pPr>
    </w:p>
    <w:p w:rsidR="008A6F07" w:rsidRPr="00204512" w:rsidRDefault="008A6F07" w:rsidP="00204512"/>
    <w:sectPr w:rsidR="008A6F07" w:rsidRPr="00204512" w:rsidSect="002117D1">
      <w:headerReference w:type="default" r:id="rId56"/>
      <w:footnotePr>
        <w:numRestart w:val="eachSect"/>
      </w:footnotePr>
      <w:pgSz w:w="12240" w:h="15840"/>
      <w:pgMar w:top="1440" w:right="1440" w:bottom="1440" w:left="1440" w:header="720" w:footer="1440" w:gutter="0"/>
      <w:pgNumType w:fmt="numberInDash" w:start="1"/>
      <w:cols w:space="720"/>
      <w:noEndnote/>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ADF" w:rsidRDefault="00C53ADF">
      <w:r>
        <w:separator/>
      </w:r>
    </w:p>
  </w:endnote>
  <w:endnote w:type="continuationSeparator" w:id="0">
    <w:p w:rsidR="00C53ADF" w:rsidRDefault="00C53ADF">
      <w:r>
        <w:continuationSeparator/>
      </w:r>
    </w:p>
  </w:endnote>
  <w:endnote w:type="continuationNotice" w:id="1">
    <w:p w:rsidR="00C53ADF" w:rsidRDefault="00C53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2E" w:rsidRDefault="009B392E" w:rsidP="00953D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- 5 -</w:t>
    </w:r>
    <w:r>
      <w:rPr>
        <w:rStyle w:val="PageNumber"/>
      </w:rPr>
      <w:fldChar w:fldCharType="end"/>
    </w:r>
  </w:p>
  <w:p w:rsidR="009B392E" w:rsidRDefault="009B39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2E" w:rsidRDefault="009B392E" w:rsidP="00953D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485C">
      <w:rPr>
        <w:rStyle w:val="PageNumber"/>
        <w:noProof/>
      </w:rPr>
      <w:t>- 58 -</w:t>
    </w:r>
    <w:r>
      <w:rPr>
        <w:rStyle w:val="PageNumber"/>
      </w:rPr>
      <w:fldChar w:fldCharType="end"/>
    </w:r>
  </w:p>
  <w:p w:rsidR="009B392E" w:rsidRDefault="009B39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2E" w:rsidRDefault="009B392E">
    <w:pPr>
      <w:pStyle w:val="Footer"/>
      <w:jc w:val="center"/>
    </w:pPr>
  </w:p>
  <w:p w:rsidR="009B392E" w:rsidRDefault="009B39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2E" w:rsidRDefault="009B392E">
    <w:pPr>
      <w:pStyle w:val="Footer"/>
      <w:jc w:val="center"/>
    </w:pPr>
  </w:p>
  <w:p w:rsidR="009B392E" w:rsidRDefault="009B3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ADF" w:rsidRDefault="00C53ADF">
      <w:r>
        <w:separator/>
      </w:r>
    </w:p>
  </w:footnote>
  <w:footnote w:type="continuationSeparator" w:id="0">
    <w:p w:rsidR="00C53ADF" w:rsidRDefault="00C53ADF">
      <w:r>
        <w:continuationSeparator/>
      </w:r>
    </w:p>
  </w:footnote>
  <w:footnote w:type="continuationNotice" w:id="1">
    <w:p w:rsidR="00C53ADF" w:rsidRDefault="00C53ADF"/>
  </w:footnote>
  <w:footnote w:id="2">
    <w:p w:rsidR="009B392E" w:rsidRDefault="009B392E">
      <w:pPr>
        <w:pStyle w:val="FootnoteText"/>
      </w:pPr>
      <w:r>
        <w:rPr>
          <w:rStyle w:val="FootnoteReference"/>
        </w:rPr>
        <w:footnoteRef/>
      </w:r>
      <w:r>
        <w:t xml:space="preserve"> Throughout this report, staff uses the term “utilities” to mean utilities in regions outside ISO and RTO markets.</w:t>
      </w:r>
    </w:p>
  </w:footnote>
  <w:footnote w:id="3">
    <w:p w:rsidR="009B392E" w:rsidRDefault="009B392E">
      <w:pPr>
        <w:pStyle w:val="FootnoteText"/>
      </w:pPr>
      <w:r>
        <w:rPr>
          <w:rStyle w:val="FootnoteReference"/>
        </w:rPr>
        <w:footnoteRef/>
      </w:r>
      <w:r>
        <w:t xml:space="preserve"> The final common metrics are listed in Appendix A.</w:t>
      </w:r>
    </w:p>
  </w:footnote>
  <w:footnote w:id="4">
    <w:p w:rsidR="009B392E" w:rsidRDefault="009B392E">
      <w:pPr>
        <w:pStyle w:val="FootnoteText"/>
      </w:pPr>
      <w:r>
        <w:rPr>
          <w:rStyle w:val="FootnoteReference"/>
        </w:rPr>
        <w:footnoteRef/>
      </w:r>
      <w:r>
        <w:t xml:space="preserve"> Participants in the Metrics Initiative are listed in Appendix B.</w:t>
      </w:r>
    </w:p>
  </w:footnote>
  <w:footnote w:id="5">
    <w:p w:rsidR="009B392E" w:rsidRPr="009A1D95" w:rsidRDefault="009B392E">
      <w:pPr>
        <w:pStyle w:val="FootnoteText"/>
      </w:pPr>
      <w:r>
        <w:rPr>
          <w:rStyle w:val="FootnoteReference"/>
        </w:rPr>
        <w:footnoteRef/>
      </w:r>
      <w:r>
        <w:t xml:space="preserve"> </w:t>
      </w:r>
      <w:r>
        <w:rPr>
          <w:i/>
        </w:rPr>
        <w:t>Performance Metrics For Independent System Operators and Regional Transmission Organizations</w:t>
      </w:r>
      <w:r>
        <w:t xml:space="preserve">, Docket No. AD10-5-000, at 5 (Apr. 2011); </w:t>
      </w:r>
      <w:r>
        <w:rPr>
          <w:i/>
        </w:rPr>
        <w:t>see also</w:t>
      </w:r>
      <w:r>
        <w:t xml:space="preserve"> </w:t>
      </w:r>
      <w:r w:rsidRPr="002117D1">
        <w:rPr>
          <w:i/>
        </w:rPr>
        <w:t>2010 ISO/RTO Performance Metrics Commission Report</w:t>
      </w:r>
      <w:r>
        <w:t>, Docket No. AD10-5-000 (Oct. 21, 2010).</w:t>
      </w:r>
    </w:p>
  </w:footnote>
  <w:footnote w:id="6">
    <w:p w:rsidR="009B392E" w:rsidRPr="00E42355" w:rsidRDefault="009B392E">
      <w:pPr>
        <w:pStyle w:val="FootnoteText"/>
      </w:pPr>
      <w:r>
        <w:rPr>
          <w:rStyle w:val="FootnoteReference"/>
        </w:rPr>
        <w:footnoteRef/>
      </w:r>
      <w:r>
        <w:t xml:space="preserve"> </w:t>
      </w:r>
      <w:r>
        <w:rPr>
          <w:i/>
        </w:rPr>
        <w:t>Performance Metrics In Regions Outside ISOs and RTOs Commission Staff Report</w:t>
      </w:r>
      <w:r>
        <w:t>, Docket No. AD12-8-000 (Oct. 15, 2012).</w:t>
      </w:r>
    </w:p>
  </w:footnote>
  <w:footnote w:id="7">
    <w:p w:rsidR="009B392E" w:rsidRDefault="009B392E">
      <w:pPr>
        <w:pStyle w:val="FootnoteText"/>
      </w:pPr>
      <w:r>
        <w:rPr>
          <w:rStyle w:val="FootnoteReference"/>
        </w:rPr>
        <w:footnoteRef/>
      </w:r>
      <w:r>
        <w:t xml:space="preserve"> </w:t>
      </w:r>
      <w:r w:rsidRPr="00C577F1">
        <w:t xml:space="preserve">Although these reports were filed in one document, this </w:t>
      </w:r>
      <w:r>
        <w:t>Commission S</w:t>
      </w:r>
      <w:r w:rsidRPr="00C577F1">
        <w:t>taff report refers to each ISO</w:t>
      </w:r>
      <w:r>
        <w:t>’s</w:t>
      </w:r>
      <w:r w:rsidRPr="00C577F1">
        <w:t xml:space="preserve"> or RTO’s separate section of that joint document (i.e., SPP Report at 323).</w:t>
      </w:r>
    </w:p>
  </w:footnote>
  <w:footnote w:id="8">
    <w:p w:rsidR="009B392E" w:rsidRDefault="009B392E" w:rsidP="00953D39">
      <w:pPr>
        <w:pStyle w:val="FootnoteText"/>
      </w:pPr>
      <w:r>
        <w:rPr>
          <w:rStyle w:val="FootnoteReference"/>
        </w:rPr>
        <w:footnoteRef/>
      </w:r>
      <w:r>
        <w:t xml:space="preserve"> Duke Energy Corporation provided metrics information for the following subsidiaries: Duke Energy Carolinas, LLC (Duke Energy Carolinas), Carolina Power &amp; Light Company d/b/a Progress Energy Carolinas, Inc. (Progress Energy Carolinas) and Florida Power Corporation, d/b/a Progress Energy Florida, Inc. (Progress Energy Florida).</w:t>
      </w:r>
    </w:p>
  </w:footnote>
  <w:footnote w:id="9">
    <w:p w:rsidR="009B392E" w:rsidRDefault="009B392E">
      <w:pPr>
        <w:pStyle w:val="FootnoteText"/>
      </w:pPr>
      <w:r>
        <w:rPr>
          <w:rStyle w:val="FootnoteReference"/>
        </w:rPr>
        <w:footnoteRef/>
      </w:r>
      <w:r>
        <w:t xml:space="preserve"> PacifiCorp provided metrics information for the following subsidiaries:  PacifiCorp-West (serving California, Oregon and Washington) and PacifiCorp-East (serving Idaho, Utah and Wyoming).</w:t>
      </w:r>
    </w:p>
  </w:footnote>
  <w:footnote w:id="10">
    <w:p w:rsidR="009B392E" w:rsidRDefault="009B392E">
      <w:pPr>
        <w:pStyle w:val="FootnoteText"/>
      </w:pPr>
      <w:r>
        <w:rPr>
          <w:rStyle w:val="FootnoteReference"/>
        </w:rPr>
        <w:footnoteRef/>
      </w:r>
      <w:r>
        <w:t xml:space="preserve"> A full listing of the NERC Reliability Standards is provided at </w:t>
      </w:r>
      <w:r w:rsidRPr="002117D1">
        <w:t>http://www.nerc.com/page.php?cid=2|20</w:t>
      </w:r>
      <w:r>
        <w:t xml:space="preserve"> (last visited </w:t>
      </w:r>
      <w:r w:rsidR="00C70B27">
        <w:t>Aug. 2</w:t>
      </w:r>
      <w:r w:rsidR="00E46452">
        <w:t>6</w:t>
      </w:r>
      <w:r w:rsidR="00C70B27">
        <w:t>, 2014</w:t>
      </w:r>
      <w:r>
        <w:t>).</w:t>
      </w:r>
    </w:p>
  </w:footnote>
  <w:footnote w:id="11">
    <w:p w:rsidR="009B392E" w:rsidRDefault="009B392E">
      <w:pPr>
        <w:pStyle w:val="FootnoteText"/>
      </w:pPr>
      <w:r>
        <w:rPr>
          <w:rStyle w:val="FootnoteReference"/>
        </w:rPr>
        <w:footnoteRef/>
      </w:r>
      <w:r>
        <w:t xml:space="preserve"> These metrics are numbered 1 – 6 on the metrics table in Appendix A.</w:t>
      </w:r>
    </w:p>
  </w:footnote>
  <w:footnote w:id="12">
    <w:p w:rsidR="009B392E" w:rsidRDefault="009B392E">
      <w:pPr>
        <w:pStyle w:val="FootnoteText"/>
      </w:pPr>
      <w:r>
        <w:rPr>
          <w:rStyle w:val="FootnoteReference"/>
        </w:rPr>
        <w:footnoteRef/>
      </w:r>
      <w:r>
        <w:t xml:space="preserve"> </w:t>
      </w:r>
      <w:r>
        <w:rPr>
          <w:szCs w:val="26"/>
        </w:rPr>
        <w:t xml:space="preserve">Control Performance Standard 1 is a statistical measure of Area Control Error variability.  This standard measures Area Control Error in combination with the Interconnection’s frequency error. It is based on an equation derived from frequency-based statistical theory.  Control Performance Standard 2 is a statistical measure of Area Control Error magnitude.  The standard is designed to limit a control area’s unscheduled power flows. </w:t>
      </w:r>
      <w:r>
        <w:t xml:space="preserve"> </w:t>
      </w:r>
    </w:p>
  </w:footnote>
  <w:footnote w:id="13">
    <w:p w:rsidR="009B392E" w:rsidRDefault="009B392E" w:rsidP="00953D39">
      <w:pPr>
        <w:pStyle w:val="FootnoteText"/>
      </w:pPr>
      <w:r>
        <w:rPr>
          <w:rStyle w:val="FootnoteReference"/>
        </w:rPr>
        <w:footnoteRef/>
      </w:r>
      <w:r>
        <w:t xml:space="preserve"> </w:t>
      </w:r>
      <w:proofErr w:type="gramStart"/>
      <w:r>
        <w:t>SPP Report at 323.</w:t>
      </w:r>
      <w:proofErr w:type="gramEnd"/>
    </w:p>
  </w:footnote>
  <w:footnote w:id="14">
    <w:p w:rsidR="009B392E" w:rsidRDefault="009B392E" w:rsidP="00953D39">
      <w:pPr>
        <w:pStyle w:val="FootnoteText"/>
      </w:pPr>
      <w:r>
        <w:rPr>
          <w:rStyle w:val="FootnoteReference"/>
        </w:rPr>
        <w:footnoteRef/>
      </w:r>
      <w:r>
        <w:t xml:space="preserve"> </w:t>
      </w:r>
      <w:proofErr w:type="gramStart"/>
      <w:r>
        <w:t>Duke Report at 8.</w:t>
      </w:r>
      <w:proofErr w:type="gramEnd"/>
    </w:p>
  </w:footnote>
  <w:footnote w:id="15">
    <w:p w:rsidR="009B392E" w:rsidRPr="008710DC" w:rsidRDefault="009B392E" w:rsidP="00953D39">
      <w:pPr>
        <w:pStyle w:val="FootnoteText"/>
      </w:pPr>
      <w:r>
        <w:rPr>
          <w:rStyle w:val="FootnoteReference"/>
        </w:rPr>
        <w:footnoteRef/>
      </w:r>
      <w:r>
        <w:t xml:space="preserve"> </w:t>
      </w:r>
      <w:r w:rsidRPr="002117D1">
        <w:rPr>
          <w:i/>
        </w:rPr>
        <w:t>See, e.g.</w:t>
      </w:r>
      <w:r>
        <w:t>, ISO-NE Report at 80; APS Report at 8.</w:t>
      </w:r>
    </w:p>
  </w:footnote>
  <w:footnote w:id="16">
    <w:p w:rsidR="009B392E" w:rsidRDefault="009B392E">
      <w:pPr>
        <w:pStyle w:val="FootnoteText"/>
      </w:pPr>
      <w:r>
        <w:rPr>
          <w:rStyle w:val="FootnoteReference"/>
        </w:rPr>
        <w:footnoteRef/>
      </w:r>
      <w:r>
        <w:t xml:space="preserve"> </w:t>
      </w:r>
      <w:proofErr w:type="gramStart"/>
      <w:r>
        <w:t>NYISO Report at 212-13.</w:t>
      </w:r>
      <w:proofErr w:type="gramEnd"/>
      <w:r>
        <w:t xml:space="preserve">  NYISO has undertaken a regional initiative to address Lake Erie loop flows. </w:t>
      </w:r>
    </w:p>
  </w:footnote>
  <w:footnote w:id="17">
    <w:p w:rsidR="009B392E" w:rsidRDefault="009B392E">
      <w:pPr>
        <w:pStyle w:val="FootnoteText"/>
      </w:pPr>
      <w:r>
        <w:rPr>
          <w:rStyle w:val="FootnoteReference"/>
        </w:rPr>
        <w:footnoteRef/>
      </w:r>
      <w:r>
        <w:t xml:space="preserve"> </w:t>
      </w:r>
      <w:proofErr w:type="gramStart"/>
      <w:r>
        <w:t>ISO-NE Report at 81.</w:t>
      </w:r>
      <w:proofErr w:type="gramEnd"/>
    </w:p>
  </w:footnote>
  <w:footnote w:id="18">
    <w:p w:rsidR="009B392E" w:rsidRDefault="009B392E">
      <w:pPr>
        <w:pStyle w:val="FootnoteText"/>
      </w:pPr>
      <w:r>
        <w:rPr>
          <w:rStyle w:val="FootnoteReference"/>
        </w:rPr>
        <w:footnoteRef/>
      </w:r>
      <w:r>
        <w:t xml:space="preserve"> </w:t>
      </w:r>
      <w:r w:rsidRPr="002117D1">
        <w:rPr>
          <w:i/>
        </w:rPr>
        <w:t>See</w:t>
      </w:r>
      <w:r>
        <w:t xml:space="preserve"> PJM Report at 272.</w:t>
      </w:r>
    </w:p>
  </w:footnote>
  <w:footnote w:id="19">
    <w:p w:rsidR="009B392E" w:rsidRDefault="009B392E" w:rsidP="00953D39">
      <w:pPr>
        <w:pStyle w:val="FootnoteText"/>
      </w:pPr>
      <w:r>
        <w:rPr>
          <w:rStyle w:val="FootnoteReference"/>
        </w:rPr>
        <w:footnoteRef/>
      </w:r>
      <w:r>
        <w:t xml:space="preserve"> LG&amp;E/KU Report at 7-8.</w:t>
      </w:r>
    </w:p>
  </w:footnote>
  <w:footnote w:id="20">
    <w:p w:rsidR="009B392E" w:rsidRDefault="009B392E">
      <w:pPr>
        <w:pStyle w:val="FootnoteText"/>
      </w:pPr>
      <w:r>
        <w:rPr>
          <w:rStyle w:val="FootnoteReference"/>
        </w:rPr>
        <w:footnoteRef/>
      </w:r>
      <w:r>
        <w:t xml:space="preserve"> </w:t>
      </w:r>
      <w:proofErr w:type="gramStart"/>
      <w:r>
        <w:t>Southern Report at 25.</w:t>
      </w:r>
      <w:proofErr w:type="gramEnd"/>
    </w:p>
  </w:footnote>
  <w:footnote w:id="21">
    <w:p w:rsidR="009B392E" w:rsidRDefault="009B392E" w:rsidP="0084458E">
      <w:pPr>
        <w:pStyle w:val="FootnoteText"/>
      </w:pPr>
      <w:r>
        <w:rPr>
          <w:rStyle w:val="FootnoteReference"/>
        </w:rPr>
        <w:footnoteRef/>
      </w:r>
      <w:r>
        <w:t xml:space="preserve"> </w:t>
      </w:r>
      <w:proofErr w:type="gramStart"/>
      <w:r>
        <w:t>ISO-NE Report at 90; MISO Report at 162.</w:t>
      </w:r>
      <w:proofErr w:type="gramEnd"/>
    </w:p>
  </w:footnote>
  <w:footnote w:id="22">
    <w:p w:rsidR="009B392E" w:rsidRPr="002117D1" w:rsidRDefault="009B392E">
      <w:pPr>
        <w:pStyle w:val="FootnoteText"/>
        <w:rPr>
          <w:b/>
        </w:rPr>
      </w:pPr>
      <w:r>
        <w:rPr>
          <w:rStyle w:val="FootnoteReference"/>
        </w:rPr>
        <w:footnoteRef/>
      </w:r>
      <w:r>
        <w:t xml:space="preserve"> This practice is referred to as “parking” in the industry.</w:t>
      </w:r>
    </w:p>
  </w:footnote>
  <w:footnote w:id="23">
    <w:p w:rsidR="009B392E" w:rsidRPr="00C914BC" w:rsidRDefault="009B392E" w:rsidP="00953D39">
      <w:pPr>
        <w:pStyle w:val="FootnoteText"/>
        <w:rPr>
          <w:b/>
        </w:rPr>
      </w:pPr>
      <w:r>
        <w:rPr>
          <w:rStyle w:val="FootnoteReference"/>
        </w:rPr>
        <w:footnoteRef/>
      </w:r>
      <w:r>
        <w:t xml:space="preserve"> LG&amp;E/KU had 111 requests.  However, these requests were only for system impact and facilities studies resulting from transmission service requests.  </w:t>
      </w:r>
      <w:r w:rsidRPr="00C914BC">
        <w:rPr>
          <w:i/>
        </w:rPr>
        <w:t>See</w:t>
      </w:r>
      <w:r>
        <w:t xml:space="preserve"> LG&amp;E/KU Report at 13-14.</w:t>
      </w:r>
    </w:p>
  </w:footnote>
  <w:footnote w:id="24">
    <w:p w:rsidR="009B392E" w:rsidRDefault="009B392E" w:rsidP="00953D39">
      <w:pPr>
        <w:pStyle w:val="FootnoteText"/>
      </w:pPr>
      <w:r>
        <w:rPr>
          <w:rStyle w:val="FootnoteReference"/>
        </w:rPr>
        <w:footnoteRef/>
      </w:r>
      <w:r>
        <w:t xml:space="preserve"> Special Protection Systems are also referred to as Special Protection Schemes, Remedial Action Schemes or System Integrity Protection Schemes. </w:t>
      </w:r>
    </w:p>
  </w:footnote>
  <w:footnote w:id="25">
    <w:p w:rsidR="009B392E" w:rsidRDefault="009B392E">
      <w:pPr>
        <w:pStyle w:val="FootnoteText"/>
      </w:pPr>
      <w:r>
        <w:rPr>
          <w:rStyle w:val="FootnoteReference"/>
        </w:rPr>
        <w:footnoteRef/>
      </w:r>
      <w:r>
        <w:t xml:space="preserve"> Since resource availability is calculated as a percentage, the calculation is 100 percent minus the forced outage rate, expressed as a percentage.</w:t>
      </w:r>
    </w:p>
  </w:footnote>
  <w:footnote w:id="26">
    <w:p w:rsidR="009B392E" w:rsidRPr="00936CC4" w:rsidRDefault="009B392E">
      <w:pPr>
        <w:pStyle w:val="FootnoteText"/>
        <w:rPr>
          <w:b/>
          <w:i/>
        </w:rPr>
      </w:pPr>
      <w:r>
        <w:rPr>
          <w:rStyle w:val="FootnoteReference"/>
        </w:rPr>
        <w:footnoteRef/>
      </w:r>
      <w:r>
        <w:t xml:space="preserve"> The definition of the price-cost mark-up is the load-weighted average mark-up on the cost-based offer divided by the load-weighted price offer, expressed as a percentage.</w:t>
      </w:r>
    </w:p>
  </w:footnote>
  <w:footnote w:id="27">
    <w:p w:rsidR="009B392E" w:rsidRDefault="009B392E">
      <w:pPr>
        <w:pStyle w:val="FootnoteText"/>
      </w:pPr>
      <w:r>
        <w:rPr>
          <w:rStyle w:val="FootnoteReference"/>
        </w:rPr>
        <w:footnoteRef/>
      </w:r>
      <w:r>
        <w:t xml:space="preserve"> </w:t>
      </w:r>
      <w:r w:rsidRPr="00C914BC">
        <w:rPr>
          <w:i/>
        </w:rPr>
        <w:t>See, e.g.</w:t>
      </w:r>
      <w:r>
        <w:t>, CAISO Report at 50; MISO Report at 175; SPP Report at 337.</w:t>
      </w:r>
    </w:p>
  </w:footnote>
  <w:footnote w:id="28">
    <w:p w:rsidR="009B392E" w:rsidRDefault="009B392E">
      <w:pPr>
        <w:pStyle w:val="FootnoteText"/>
      </w:pPr>
      <w:r>
        <w:rPr>
          <w:rStyle w:val="FootnoteReference"/>
        </w:rPr>
        <w:footnoteRef/>
      </w:r>
      <w:r>
        <w:t xml:space="preserve"> </w:t>
      </w:r>
      <w:r>
        <w:rPr>
          <w:szCs w:val="26"/>
        </w:rPr>
        <w:t xml:space="preserve">The cost break-down includes the following cost categories: ISO or RTO costs and regulatory fees, operating reserve costs, ancillary services costs, transmission costs, capacity costs, and energy costs. </w:t>
      </w:r>
      <w:r>
        <w:t xml:space="preserve"> </w:t>
      </w:r>
    </w:p>
  </w:footnote>
  <w:footnote w:id="29">
    <w:p w:rsidR="009B392E" w:rsidRDefault="009B392E">
      <w:pPr>
        <w:pStyle w:val="FootnoteText"/>
      </w:pPr>
      <w:r>
        <w:rPr>
          <w:rStyle w:val="FootnoteReference"/>
        </w:rPr>
        <w:footnoteRef/>
      </w:r>
      <w:r>
        <w:t xml:space="preserve"> </w:t>
      </w:r>
      <w:proofErr w:type="gramStart"/>
      <w:r>
        <w:t>MISO Report at 181.</w:t>
      </w:r>
      <w:proofErr w:type="gramEnd"/>
    </w:p>
  </w:footnote>
  <w:footnote w:id="30">
    <w:p w:rsidR="009B392E" w:rsidRDefault="009B392E">
      <w:pPr>
        <w:pStyle w:val="FootnoteText"/>
      </w:pPr>
      <w:r>
        <w:rPr>
          <w:rStyle w:val="FootnoteReference"/>
        </w:rPr>
        <w:footnoteRef/>
      </w:r>
      <w:r>
        <w:t xml:space="preserve"> </w:t>
      </w:r>
      <w:proofErr w:type="gramStart"/>
      <w:r>
        <w:t>ISO-NE Report at 114.</w:t>
      </w:r>
      <w:proofErr w:type="gramEnd"/>
    </w:p>
  </w:footnote>
  <w:footnote w:id="31">
    <w:p w:rsidR="009B392E" w:rsidRDefault="009B392E">
      <w:pPr>
        <w:pStyle w:val="FootnoteText"/>
      </w:pPr>
      <w:r>
        <w:rPr>
          <w:rStyle w:val="FootnoteReference"/>
        </w:rPr>
        <w:footnoteRef/>
      </w:r>
      <w:r>
        <w:t xml:space="preserve"> </w:t>
      </w:r>
      <w:proofErr w:type="gramStart"/>
      <w:r>
        <w:t>NYISO Report at 234.</w:t>
      </w:r>
      <w:proofErr w:type="gramEnd"/>
    </w:p>
  </w:footnote>
  <w:footnote w:id="32">
    <w:p w:rsidR="009B392E" w:rsidRDefault="009B392E">
      <w:pPr>
        <w:pStyle w:val="FootnoteText"/>
      </w:pPr>
      <w:r>
        <w:rPr>
          <w:rStyle w:val="FootnoteReference"/>
        </w:rPr>
        <w:footnoteRef/>
      </w:r>
      <w:r>
        <w:t xml:space="preserve"> </w:t>
      </w:r>
      <w:proofErr w:type="gramStart"/>
      <w:r>
        <w:t>PJM Report at 295.</w:t>
      </w:r>
      <w:proofErr w:type="gramEnd"/>
    </w:p>
  </w:footnote>
  <w:footnote w:id="33">
    <w:p w:rsidR="009B392E" w:rsidRDefault="009B392E">
      <w:pPr>
        <w:pStyle w:val="FootnoteText"/>
      </w:pPr>
      <w:r>
        <w:rPr>
          <w:rStyle w:val="FootnoteReference"/>
        </w:rPr>
        <w:footnoteRef/>
      </w:r>
      <w:r>
        <w:t xml:space="preserve"> Specifically, April 1, 2009 through December 31, 2009.</w:t>
      </w:r>
    </w:p>
  </w:footnote>
  <w:footnote w:id="34">
    <w:p w:rsidR="009B392E" w:rsidRPr="009A7D33" w:rsidRDefault="009B392E">
      <w:pPr>
        <w:pStyle w:val="FootnoteText"/>
      </w:pPr>
      <w:r>
        <w:rPr>
          <w:rStyle w:val="FootnoteReference"/>
        </w:rPr>
        <w:footnoteRef/>
      </w:r>
      <w:r>
        <w:t xml:space="preserve"> </w:t>
      </w:r>
      <w:proofErr w:type="gramStart"/>
      <w:r>
        <w:t>CAISO Report at 56; ISO-NE Report at 117-18; MISO Report at 183; NYISO Report at 238; PJM Report at 299-300; SPP Report at 344.</w:t>
      </w:r>
      <w:proofErr w:type="gramEnd"/>
    </w:p>
  </w:footnote>
  <w:footnote w:id="35">
    <w:p w:rsidR="009B392E" w:rsidRDefault="009B392E">
      <w:pPr>
        <w:pStyle w:val="FootnoteText"/>
      </w:pPr>
      <w:r>
        <w:rPr>
          <w:rStyle w:val="FootnoteReference"/>
        </w:rPr>
        <w:footnoteRef/>
      </w:r>
      <w:r>
        <w:t xml:space="preserve"> </w:t>
      </w:r>
      <w:r>
        <w:rPr>
          <w:szCs w:val="26"/>
        </w:rPr>
        <w:t xml:space="preserve">Renewable resources are defined as solar, wind, hydro, geothermal, and biomass resources. </w:t>
      </w:r>
      <w:r>
        <w:t xml:space="preserve"> </w:t>
      </w:r>
    </w:p>
  </w:footnote>
  <w:footnote w:id="36">
    <w:p w:rsidR="009B392E" w:rsidRDefault="009B392E">
      <w:pPr>
        <w:pStyle w:val="FootnoteText"/>
      </w:pPr>
      <w:r>
        <w:rPr>
          <w:rStyle w:val="FootnoteReference"/>
        </w:rPr>
        <w:footnoteRef/>
      </w:r>
      <w:r>
        <w:t xml:space="preserve"> These are irrigation load control, energy exchange load shaving, air conditioner direct load control, and industrial agreements.</w:t>
      </w:r>
    </w:p>
  </w:footnote>
  <w:footnote w:id="37">
    <w:p w:rsidR="009B392E" w:rsidRDefault="009B392E">
      <w:pPr>
        <w:pStyle w:val="FootnoteText"/>
      </w:pPr>
      <w:r>
        <w:rPr>
          <w:rStyle w:val="FootnoteReference"/>
        </w:rPr>
        <w:footnoteRef/>
      </w:r>
      <w:r>
        <w:t xml:space="preserve"> </w:t>
      </w:r>
      <w:r w:rsidRPr="00E15BD5">
        <w:rPr>
          <w:i/>
        </w:rPr>
        <w:t>Preventing Undue Discrimination and Preference in Transmission Service</w:t>
      </w:r>
      <w:r>
        <w:t xml:space="preserve">, </w:t>
      </w:r>
      <w:r>
        <w:rPr>
          <w:szCs w:val="26"/>
        </w:rPr>
        <w:t xml:space="preserve">Order No. 890, FERC Stats. </w:t>
      </w:r>
      <w:proofErr w:type="gramStart"/>
      <w:r>
        <w:rPr>
          <w:szCs w:val="26"/>
        </w:rPr>
        <w:t xml:space="preserve">&amp; </w:t>
      </w:r>
      <w:proofErr w:type="spellStart"/>
      <w:r>
        <w:rPr>
          <w:szCs w:val="26"/>
        </w:rPr>
        <w:t>Regs</w:t>
      </w:r>
      <w:proofErr w:type="spellEnd"/>
      <w:r>
        <w:rPr>
          <w:szCs w:val="26"/>
        </w:rPr>
        <w:t>.</w:t>
      </w:r>
      <w:proofErr w:type="gramEnd"/>
      <w:r>
        <w:rPr>
          <w:szCs w:val="26"/>
        </w:rPr>
        <w:t xml:space="preserve"> ¶ 31,241, </w:t>
      </w:r>
      <w:r>
        <w:rPr>
          <w:i/>
          <w:szCs w:val="26"/>
        </w:rPr>
        <w:t xml:space="preserve">order on </w:t>
      </w:r>
      <w:proofErr w:type="spellStart"/>
      <w:r>
        <w:rPr>
          <w:i/>
          <w:szCs w:val="26"/>
        </w:rPr>
        <w:t>reh’g</w:t>
      </w:r>
      <w:proofErr w:type="spellEnd"/>
      <w:r>
        <w:rPr>
          <w:szCs w:val="26"/>
        </w:rPr>
        <w:t xml:space="preserve">, Order No. 890-A, FERC Stats. </w:t>
      </w:r>
      <w:proofErr w:type="gramStart"/>
      <w:r>
        <w:rPr>
          <w:szCs w:val="26"/>
        </w:rPr>
        <w:t xml:space="preserve">&amp; </w:t>
      </w:r>
      <w:proofErr w:type="spellStart"/>
      <w:r>
        <w:rPr>
          <w:szCs w:val="26"/>
        </w:rPr>
        <w:t>Regs</w:t>
      </w:r>
      <w:proofErr w:type="spellEnd"/>
      <w:r>
        <w:rPr>
          <w:szCs w:val="26"/>
        </w:rPr>
        <w:t>.</w:t>
      </w:r>
      <w:proofErr w:type="gramEnd"/>
      <w:r>
        <w:rPr>
          <w:szCs w:val="26"/>
        </w:rPr>
        <w:t xml:space="preserve"> ¶ 31,261 (2007), </w:t>
      </w:r>
      <w:r>
        <w:rPr>
          <w:i/>
          <w:szCs w:val="26"/>
        </w:rPr>
        <w:t xml:space="preserve">order on </w:t>
      </w:r>
      <w:proofErr w:type="spellStart"/>
      <w:r>
        <w:rPr>
          <w:i/>
          <w:szCs w:val="26"/>
        </w:rPr>
        <w:t>reh’g</w:t>
      </w:r>
      <w:proofErr w:type="spellEnd"/>
      <w:r>
        <w:rPr>
          <w:szCs w:val="26"/>
        </w:rPr>
        <w:t xml:space="preserve">, Order No. 890-B, 123 FERC ¶ 61,299 (2008), </w:t>
      </w:r>
      <w:r>
        <w:rPr>
          <w:i/>
          <w:szCs w:val="26"/>
        </w:rPr>
        <w:t xml:space="preserve">order on </w:t>
      </w:r>
      <w:proofErr w:type="spellStart"/>
      <w:r>
        <w:rPr>
          <w:i/>
          <w:szCs w:val="26"/>
        </w:rPr>
        <w:t>reh’g</w:t>
      </w:r>
      <w:proofErr w:type="spellEnd"/>
      <w:r>
        <w:rPr>
          <w:szCs w:val="26"/>
        </w:rPr>
        <w:t xml:space="preserve">, Order No. 890-C, 126 FERC ¶ 61,228, </w:t>
      </w:r>
      <w:r>
        <w:rPr>
          <w:i/>
          <w:szCs w:val="26"/>
        </w:rPr>
        <w:t>order on clarification</w:t>
      </w:r>
      <w:r>
        <w:rPr>
          <w:szCs w:val="26"/>
        </w:rPr>
        <w:t xml:space="preserve">, Order No. 890-D, 129 FERC ¶ 61,126 (2009). </w:t>
      </w:r>
      <w:r>
        <w:t xml:space="preserve"> </w:t>
      </w:r>
    </w:p>
  </w:footnote>
  <w:footnote w:id="38">
    <w:p w:rsidR="009B392E" w:rsidRDefault="009B392E">
      <w:pPr>
        <w:pStyle w:val="FootnoteText"/>
      </w:pPr>
      <w:r>
        <w:rPr>
          <w:rStyle w:val="FootnoteReference"/>
        </w:rPr>
        <w:footnoteRef/>
      </w:r>
      <w:r>
        <w:t xml:space="preserve"> Order No. 890, FERC Stats. </w:t>
      </w:r>
      <w:proofErr w:type="gramStart"/>
      <w:r>
        <w:t xml:space="preserve">&amp; </w:t>
      </w:r>
      <w:proofErr w:type="spellStart"/>
      <w:r>
        <w:t>Regs</w:t>
      </w:r>
      <w:proofErr w:type="spellEnd"/>
      <w:r>
        <w:t>.</w:t>
      </w:r>
      <w:proofErr w:type="gramEnd"/>
      <w:r>
        <w:t xml:space="preserve"> </w:t>
      </w:r>
      <w:proofErr w:type="gramStart"/>
      <w:r>
        <w:t>¶ 31,241 at PP 529, 542.</w:t>
      </w:r>
      <w:proofErr w:type="gramEnd"/>
    </w:p>
  </w:footnote>
  <w:footnote w:id="39">
    <w:p w:rsidR="009B392E" w:rsidRDefault="009B392E">
      <w:pPr>
        <w:pStyle w:val="FootnoteText"/>
      </w:pPr>
      <w:r>
        <w:rPr>
          <w:rStyle w:val="FootnoteReference"/>
        </w:rPr>
        <w:footnoteRef/>
      </w:r>
      <w:r>
        <w:t xml:space="preserve"> PacifiCorp Report at 50-52.</w:t>
      </w:r>
    </w:p>
  </w:footnote>
  <w:footnote w:id="40">
    <w:p w:rsidR="009B392E" w:rsidRDefault="009B392E">
      <w:pPr>
        <w:pStyle w:val="FootnoteText"/>
      </w:pPr>
      <w:r>
        <w:rPr>
          <w:rStyle w:val="FootnoteReference"/>
        </w:rPr>
        <w:footnoteRef/>
      </w:r>
      <w:r>
        <w:t xml:space="preserve"> LG&amp;E/KU Report at 17-18.</w:t>
      </w:r>
    </w:p>
  </w:footnote>
  <w:footnote w:id="41">
    <w:p w:rsidR="009B392E" w:rsidRDefault="009B392E">
      <w:pPr>
        <w:pStyle w:val="FootnoteText"/>
      </w:pPr>
      <w:r>
        <w:rPr>
          <w:rStyle w:val="FootnoteReference"/>
        </w:rPr>
        <w:footnoteRef/>
      </w:r>
      <w:r>
        <w:t xml:space="preserve"> Duke Report at 40-41; Southern Report at 32-33.</w:t>
      </w:r>
    </w:p>
  </w:footnote>
  <w:footnote w:id="42">
    <w:p w:rsidR="009B392E" w:rsidRDefault="009B392E">
      <w:pPr>
        <w:pStyle w:val="FootnoteText"/>
      </w:pPr>
      <w:r>
        <w:rPr>
          <w:rStyle w:val="FootnoteReference"/>
        </w:rPr>
        <w:footnoteRef/>
      </w:r>
      <w:r>
        <w:t xml:space="preserve"> </w:t>
      </w:r>
      <w:r>
        <w:rPr>
          <w:szCs w:val="26"/>
        </w:rPr>
        <w:t xml:space="preserve">Clean energy is defined to include nuclear energy, solar, wind, hydro, geothermal, landfill, and biomass resources. </w:t>
      </w:r>
      <w:r>
        <w:t xml:space="preserve"> </w:t>
      </w:r>
    </w:p>
  </w:footnote>
  <w:footnote w:id="43">
    <w:p w:rsidR="009B392E" w:rsidRDefault="009B392E">
      <w:pPr>
        <w:pStyle w:val="FootnoteText"/>
      </w:pPr>
      <w:r>
        <w:rPr>
          <w:rStyle w:val="FootnoteReference"/>
        </w:rPr>
        <w:footnoteRef/>
      </w:r>
      <w:r>
        <w:t xml:space="preserve"> </w:t>
      </w:r>
      <w:r>
        <w:rPr>
          <w:i/>
        </w:rPr>
        <w:t>Performance Metrics In Regions Outside ISOs and RTOs Commission Staff Report</w:t>
      </w:r>
      <w:r>
        <w:t>, Docket No. AD12-8-000 at 14 (Oct. 15, 2012).</w:t>
      </w:r>
    </w:p>
  </w:footnote>
  <w:footnote w:id="44">
    <w:p w:rsidR="00512C6B" w:rsidRDefault="00512C6B">
      <w:pPr>
        <w:pStyle w:val="FootnoteText"/>
      </w:pPr>
      <w:r>
        <w:rPr>
          <w:rStyle w:val="FootnoteReference"/>
        </w:rPr>
        <w:footnoteRef/>
      </w:r>
      <w:r>
        <w:t xml:space="preserve"> </w:t>
      </w:r>
      <w:r>
        <w:rPr>
          <w:i/>
        </w:rPr>
        <w:t xml:space="preserve">See </w:t>
      </w:r>
      <w:r>
        <w:t>APS Report at 28; Duke Report at 46-47; Southern Report at 13; PacifiCorp Report at 63.</w:t>
      </w:r>
    </w:p>
  </w:footnote>
  <w:footnote w:id="45">
    <w:p w:rsidR="009B392E" w:rsidRDefault="009B392E" w:rsidP="00264F43">
      <w:pPr>
        <w:pStyle w:val="Default"/>
        <w:spacing w:after="240"/>
        <w:ind w:firstLine="720"/>
      </w:pPr>
      <w:r>
        <w:rPr>
          <w:rStyle w:val="FootnoteReference"/>
        </w:rPr>
        <w:footnoteRef/>
      </w:r>
      <w:r>
        <w:rPr>
          <w:sz w:val="26"/>
          <w:szCs w:val="26"/>
        </w:rPr>
        <w:t xml:space="preserve"> AARP, American Forest &amp; Paper Association, American Municipal Power, Inc., American Public Power Association, Blue Ridge Power Agency, Citizen Power, Citizens Utility Board, Coalition of Midwest Transmission Customers, Connecticut Office of Consumer Counsel, Electricity Consumers Resource Council, Illinois Attorney General, Industrial Energy Consumers of America, Kennebunk Light &amp; Power District, Maryland Office of People’s Counsel, Modesto Irrigation District, Municipal Electric Utilities Association of New York, National Consumer Law Center, NEPOOL Industrial Customer Coalition, Northeast Public Power Association, New York Association of Public Power, Office of the People’s Counsel for the District of Columbia, Ohio Partners for Affordable Energy, Pennsylvania Office of Consumer Advocate, PJM Industrial Customer Coalition, Public Citizen, Public Power Association of New Jersey, Public Utility Law Project of New York, Inc., and Virginia Citizens Consumer Council. </w:t>
      </w:r>
    </w:p>
  </w:footnote>
  <w:footnote w:id="46">
    <w:p w:rsidR="009B392E" w:rsidRDefault="009B392E">
      <w:pPr>
        <w:pStyle w:val="FootnoteText"/>
      </w:pPr>
      <w:r>
        <w:rPr>
          <w:rStyle w:val="FootnoteReference"/>
        </w:rPr>
        <w:footnoteRef/>
      </w:r>
      <w:r>
        <w:t xml:space="preserve"> Belmont Municipal Light Department, Braintree Electric Light Department, Hingham Municipal Lighting Plant, Reading Municipal Light Department, Taunton Municipal Lighting Plant, and Wellesley Municipal Lighting Plant.</w:t>
      </w:r>
    </w:p>
  </w:footnote>
  <w:footnote w:id="47">
    <w:p w:rsidR="009B392E" w:rsidRDefault="009B392E">
      <w:pPr>
        <w:pStyle w:val="FootnoteText"/>
      </w:pPr>
      <w:r>
        <w:rPr>
          <w:rStyle w:val="FootnoteReference"/>
        </w:rPr>
        <w:footnoteRef/>
      </w:r>
      <w:r>
        <w:t xml:space="preserve"> Central Hudson Gas &amp; Electric </w:t>
      </w:r>
      <w:proofErr w:type="gramStart"/>
      <w:r>
        <w:t>Corporation,</w:t>
      </w:r>
      <w:proofErr w:type="gramEnd"/>
      <w:r>
        <w:t xml:space="preserve"> Consolidated Edison Company of New York, Inc., Long Island Power Authority, New York Power Authority, New York State Electric &amp; Gas Corporation, Orange and Rockland Utilities, Inc., and Rochester Gas and Electric Corporation.</w:t>
      </w:r>
    </w:p>
  </w:footnote>
  <w:footnote w:id="48">
    <w:p w:rsidR="009B392E" w:rsidRDefault="009B392E" w:rsidP="004604D5">
      <w:pPr>
        <w:widowControl/>
        <w:spacing w:after="240"/>
        <w:ind w:firstLine="720"/>
      </w:pPr>
      <w:r>
        <w:rPr>
          <w:rStyle w:val="FootnoteReference"/>
        </w:rPr>
        <w:footnoteRef/>
      </w:r>
      <w:r>
        <w:t xml:space="preserve"> </w:t>
      </w:r>
      <w:r w:rsidRPr="008C2C30">
        <w:rPr>
          <w:szCs w:val="26"/>
        </w:rPr>
        <w:t>Ameren</w:t>
      </w:r>
      <w:r>
        <w:rPr>
          <w:szCs w:val="26"/>
        </w:rPr>
        <w:t xml:space="preserve"> </w:t>
      </w:r>
      <w:r w:rsidRPr="008C2C30">
        <w:rPr>
          <w:szCs w:val="26"/>
        </w:rPr>
        <w:t xml:space="preserve">Services Company, as agent for Union Electric Company d/b/a </w:t>
      </w:r>
      <w:proofErr w:type="spellStart"/>
      <w:r w:rsidRPr="008C2C30">
        <w:rPr>
          <w:szCs w:val="26"/>
        </w:rPr>
        <w:t>AmerenUE</w:t>
      </w:r>
      <w:proofErr w:type="spellEnd"/>
      <w:r w:rsidRPr="008C2C30">
        <w:rPr>
          <w:szCs w:val="26"/>
        </w:rPr>
        <w:t>,</w:t>
      </w:r>
      <w:r>
        <w:rPr>
          <w:szCs w:val="26"/>
        </w:rPr>
        <w:t xml:space="preserve"> </w:t>
      </w:r>
      <w:r w:rsidRPr="008C2C30">
        <w:rPr>
          <w:szCs w:val="26"/>
        </w:rPr>
        <w:t xml:space="preserve">Central Illinois Public Service Company d/b/a </w:t>
      </w:r>
      <w:proofErr w:type="spellStart"/>
      <w:r w:rsidRPr="008C2C30">
        <w:rPr>
          <w:szCs w:val="26"/>
        </w:rPr>
        <w:t>AmerenCIPS</w:t>
      </w:r>
      <w:proofErr w:type="spellEnd"/>
      <w:r w:rsidRPr="008C2C30">
        <w:rPr>
          <w:szCs w:val="26"/>
        </w:rPr>
        <w:t>, Central Illinois Light</w:t>
      </w:r>
      <w:r>
        <w:rPr>
          <w:szCs w:val="26"/>
        </w:rPr>
        <w:t xml:space="preserve"> </w:t>
      </w:r>
      <w:r w:rsidRPr="008C2C30">
        <w:rPr>
          <w:szCs w:val="26"/>
        </w:rPr>
        <w:t xml:space="preserve">Co. d/b/a </w:t>
      </w:r>
      <w:proofErr w:type="spellStart"/>
      <w:r w:rsidRPr="008C2C30">
        <w:rPr>
          <w:szCs w:val="26"/>
        </w:rPr>
        <w:t>AmerenCILCO</w:t>
      </w:r>
      <w:proofErr w:type="spellEnd"/>
      <w:r w:rsidRPr="008C2C30">
        <w:rPr>
          <w:szCs w:val="26"/>
        </w:rPr>
        <w:t xml:space="preserve">, and Illinois Power Company d/b/a </w:t>
      </w:r>
      <w:proofErr w:type="spellStart"/>
      <w:r w:rsidRPr="008C2C30">
        <w:rPr>
          <w:szCs w:val="26"/>
        </w:rPr>
        <w:t>AmerenIP</w:t>
      </w:r>
      <w:proofErr w:type="spellEnd"/>
      <w:r w:rsidRPr="008C2C30">
        <w:rPr>
          <w:szCs w:val="26"/>
        </w:rPr>
        <w:t>;</w:t>
      </w:r>
      <w:r>
        <w:rPr>
          <w:szCs w:val="26"/>
        </w:rPr>
        <w:t xml:space="preserve"> </w:t>
      </w:r>
      <w:r w:rsidRPr="008C2C30">
        <w:rPr>
          <w:szCs w:val="26"/>
        </w:rPr>
        <w:t>American Transmission Company LLC; City of Columbia Water and Light</w:t>
      </w:r>
      <w:r>
        <w:rPr>
          <w:szCs w:val="26"/>
        </w:rPr>
        <w:t xml:space="preserve"> </w:t>
      </w:r>
      <w:r w:rsidRPr="008C2C30">
        <w:rPr>
          <w:szCs w:val="26"/>
        </w:rPr>
        <w:t>Department (Columbia, MO); City Water, Light &amp; Power (Springfield, IL); Duke</w:t>
      </w:r>
      <w:r>
        <w:rPr>
          <w:szCs w:val="26"/>
        </w:rPr>
        <w:t xml:space="preserve"> </w:t>
      </w:r>
      <w:r w:rsidRPr="008C2C30">
        <w:rPr>
          <w:szCs w:val="26"/>
        </w:rPr>
        <w:t>Energy Corporation for Duke Energy Ohio, Inc., Duke Energy Indiana, Inc., and</w:t>
      </w:r>
      <w:r>
        <w:rPr>
          <w:szCs w:val="26"/>
        </w:rPr>
        <w:t xml:space="preserve"> </w:t>
      </w:r>
      <w:r w:rsidRPr="008C2C30">
        <w:rPr>
          <w:szCs w:val="26"/>
        </w:rPr>
        <w:t>Duke Energy Kentucky, Inc.; Great River Energy; Hoosier Energy Rural Electric</w:t>
      </w:r>
      <w:r>
        <w:rPr>
          <w:szCs w:val="26"/>
        </w:rPr>
        <w:t xml:space="preserve"> </w:t>
      </w:r>
      <w:r w:rsidRPr="008C2C30">
        <w:rPr>
          <w:szCs w:val="26"/>
        </w:rPr>
        <w:t>Cooperative, Inc.; Indiana Municipal Power Agency; Indianapolis Power &amp; Light</w:t>
      </w:r>
      <w:r>
        <w:rPr>
          <w:szCs w:val="26"/>
        </w:rPr>
        <w:t xml:space="preserve"> </w:t>
      </w:r>
      <w:r w:rsidRPr="008C2C30">
        <w:rPr>
          <w:szCs w:val="26"/>
        </w:rPr>
        <w:t xml:space="preserve">Company; International Transmission Company d/b/a </w:t>
      </w:r>
      <w:proofErr w:type="spellStart"/>
      <w:r w:rsidRPr="008C2C30">
        <w:rPr>
          <w:szCs w:val="26"/>
        </w:rPr>
        <w:t>ITC</w:t>
      </w:r>
      <w:r w:rsidRPr="004604D5">
        <w:rPr>
          <w:iCs/>
          <w:szCs w:val="26"/>
        </w:rPr>
        <w:t>Transmission</w:t>
      </w:r>
      <w:proofErr w:type="spellEnd"/>
      <w:r w:rsidRPr="008C2C30">
        <w:rPr>
          <w:szCs w:val="26"/>
        </w:rPr>
        <w:t>; ITC</w:t>
      </w:r>
      <w:r>
        <w:rPr>
          <w:szCs w:val="26"/>
        </w:rPr>
        <w:t xml:space="preserve"> </w:t>
      </w:r>
      <w:r w:rsidRPr="008C2C30">
        <w:rPr>
          <w:szCs w:val="26"/>
        </w:rPr>
        <w:t>Midwest LLC; Michigan Electric Transmission Company, LLC; Michigan Public</w:t>
      </w:r>
      <w:r>
        <w:rPr>
          <w:szCs w:val="26"/>
        </w:rPr>
        <w:t xml:space="preserve"> </w:t>
      </w:r>
      <w:r w:rsidRPr="008C2C30">
        <w:rPr>
          <w:szCs w:val="26"/>
        </w:rPr>
        <w:t>Power Agency; MidAmerican Energy Company; Minnesota Power (and its</w:t>
      </w:r>
      <w:r>
        <w:rPr>
          <w:szCs w:val="26"/>
        </w:rPr>
        <w:t xml:space="preserve"> </w:t>
      </w:r>
      <w:r w:rsidRPr="008C2C30">
        <w:rPr>
          <w:szCs w:val="26"/>
        </w:rPr>
        <w:t>subsidiary Superior Water, L&amp;P); Montana-Dakota Utilities Co.; Northern Indiana</w:t>
      </w:r>
      <w:r>
        <w:rPr>
          <w:szCs w:val="26"/>
        </w:rPr>
        <w:t xml:space="preserve"> </w:t>
      </w:r>
      <w:r w:rsidRPr="008C2C30">
        <w:rPr>
          <w:szCs w:val="26"/>
        </w:rPr>
        <w:t>Public Service Company; Northern States Power Company, a Minnesota</w:t>
      </w:r>
      <w:r>
        <w:rPr>
          <w:szCs w:val="26"/>
        </w:rPr>
        <w:t xml:space="preserve"> </w:t>
      </w:r>
      <w:r w:rsidRPr="008C2C30">
        <w:rPr>
          <w:szCs w:val="26"/>
        </w:rPr>
        <w:t>corporation, and Northern States Power Company, a Wisconsin corporation,</w:t>
      </w:r>
      <w:r>
        <w:rPr>
          <w:szCs w:val="26"/>
        </w:rPr>
        <w:t xml:space="preserve"> </w:t>
      </w:r>
      <w:r w:rsidRPr="008C2C30">
        <w:rPr>
          <w:szCs w:val="26"/>
        </w:rPr>
        <w:t>subsidiaries of Xcel Energy Inc.; Northwestern Wisconsin Electric Company;</w:t>
      </w:r>
      <w:r>
        <w:rPr>
          <w:szCs w:val="26"/>
        </w:rPr>
        <w:t xml:space="preserve"> </w:t>
      </w:r>
      <w:r w:rsidRPr="008C2C30">
        <w:rPr>
          <w:szCs w:val="26"/>
        </w:rPr>
        <w:t>Otter Tail Power Company; Southern Illinois Power Cooperative; Southern</w:t>
      </w:r>
      <w:r>
        <w:rPr>
          <w:szCs w:val="26"/>
        </w:rPr>
        <w:t xml:space="preserve"> </w:t>
      </w:r>
      <w:r w:rsidRPr="008C2C30">
        <w:rPr>
          <w:szCs w:val="26"/>
        </w:rPr>
        <w:t xml:space="preserve">Indiana Gas &amp; Electric Company (d/b/a </w:t>
      </w:r>
      <w:proofErr w:type="spellStart"/>
      <w:r w:rsidRPr="008C2C30">
        <w:rPr>
          <w:szCs w:val="26"/>
        </w:rPr>
        <w:t>Vectren</w:t>
      </w:r>
      <w:proofErr w:type="spellEnd"/>
      <w:r w:rsidRPr="008C2C30">
        <w:rPr>
          <w:szCs w:val="26"/>
        </w:rPr>
        <w:t xml:space="preserve"> Energy Delivery of Indiana);</w:t>
      </w:r>
      <w:r>
        <w:rPr>
          <w:szCs w:val="26"/>
        </w:rPr>
        <w:t xml:space="preserve"> </w:t>
      </w:r>
      <w:r w:rsidRPr="008C2C30">
        <w:rPr>
          <w:szCs w:val="26"/>
        </w:rPr>
        <w:t>Southern Minnesota Municipal Power Agency; Wabash Valley Power Association,</w:t>
      </w:r>
      <w:r>
        <w:rPr>
          <w:szCs w:val="26"/>
        </w:rPr>
        <w:t xml:space="preserve"> </w:t>
      </w:r>
      <w:r w:rsidRPr="008C2C30">
        <w:rPr>
          <w:szCs w:val="26"/>
        </w:rPr>
        <w:t>Inc.; and Wolverine Power Supply Cooperative, Inc.</w:t>
      </w:r>
    </w:p>
  </w:footnote>
  <w:footnote w:id="49">
    <w:p w:rsidR="009B392E" w:rsidRDefault="009B392E" w:rsidP="00953D39">
      <w:pPr>
        <w:pStyle w:val="FootnoteText"/>
      </w:pPr>
      <w:r>
        <w:rPr>
          <w:rStyle w:val="FootnoteReference"/>
        </w:rPr>
        <w:footnoteRef/>
      </w:r>
      <w:r>
        <w:t xml:space="preserve"> Public Works Commission of the City of Fayetteville, North Carolina, Lafayette Utilities System, and City of Orangeburg, South Carolina.</w:t>
      </w:r>
    </w:p>
  </w:footnote>
  <w:footnote w:id="50">
    <w:p w:rsidR="009B392E" w:rsidRDefault="009B392E" w:rsidP="00953D39">
      <w:pPr>
        <w:pStyle w:val="FootnoteText"/>
      </w:pPr>
      <w:r>
        <w:rPr>
          <w:rStyle w:val="FootnoteReference"/>
        </w:rPr>
        <w:footnoteRef/>
      </w:r>
      <w:r>
        <w:t xml:space="preserve"> </w:t>
      </w:r>
      <w:proofErr w:type="gramStart"/>
      <w:r>
        <w:rPr>
          <w:szCs w:val="26"/>
        </w:rPr>
        <w:t>Connecticut Municipal Electric Energy Cooperative, Massachusetts Municipal Wholesale Electric Company and New Hampshire Electric Cooperative, Inc.</w:t>
      </w:r>
      <w:proofErr w:type="gramEnd"/>
    </w:p>
  </w:footnote>
  <w:footnote w:id="51">
    <w:p w:rsidR="009B392E" w:rsidRDefault="009B392E">
      <w:pPr>
        <w:pStyle w:val="FootnoteText"/>
      </w:pPr>
      <w:r>
        <w:rPr>
          <w:rStyle w:val="FootnoteReference"/>
        </w:rPr>
        <w:footnoteRef/>
      </w:r>
      <w:r>
        <w:t xml:space="preserve"> </w:t>
      </w:r>
      <w:proofErr w:type="gramStart"/>
      <w:r>
        <w:t>Steel Dynamics and Nucor Steel.</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7A" w:rsidRDefault="0015047A" w:rsidP="0015047A">
    <w:pPr>
      <w:pStyle w:val="Header"/>
    </w:pPr>
    <w:r>
      <w:t xml:space="preserve">Docket No. </w:t>
    </w:r>
    <w:r w:rsidRPr="002C69C7">
      <w:t>AD14-</w:t>
    </w:r>
    <w:r>
      <w:t>15</w:t>
    </w:r>
    <w:r w:rsidRPr="002C69C7">
      <w:t>-000</w:t>
    </w:r>
    <w:r>
      <w:tab/>
      <w:t xml:space="preserve">  </w:t>
    </w:r>
  </w:p>
  <w:p w:rsidR="0015047A" w:rsidRDefault="001504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92E" w:rsidRDefault="009B392E" w:rsidP="0025400C">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BE8A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98C4F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9F61F5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93A6480"/>
    <w:lvl w:ilvl="0">
      <w:start w:val="1"/>
      <w:numFmt w:val="decimal"/>
      <w:pStyle w:val="ListNumber2"/>
      <w:lvlText w:val="%1."/>
      <w:lvlJc w:val="left"/>
      <w:pPr>
        <w:tabs>
          <w:tab w:val="num" w:pos="720"/>
        </w:tabs>
        <w:ind w:left="720" w:hanging="360"/>
      </w:pPr>
    </w:lvl>
  </w:abstractNum>
  <w:abstractNum w:abstractNumId="4">
    <w:nsid w:val="FFFFFF80"/>
    <w:multiLevelType w:val="singleLevel"/>
    <w:tmpl w:val="CB003B5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156895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AA8D62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1A424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274E444"/>
    <w:lvl w:ilvl="0">
      <w:start w:val="1"/>
      <w:numFmt w:val="decimal"/>
      <w:pStyle w:val="ListNumber"/>
      <w:lvlText w:val="%1."/>
      <w:lvlJc w:val="left"/>
      <w:pPr>
        <w:tabs>
          <w:tab w:val="num" w:pos="360"/>
        </w:tabs>
        <w:ind w:left="360" w:hanging="360"/>
      </w:pPr>
    </w:lvl>
  </w:abstractNum>
  <w:abstractNum w:abstractNumId="9">
    <w:nsid w:val="FFFFFF89"/>
    <w:multiLevelType w:val="singleLevel"/>
    <w:tmpl w:val="DDFE0A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name w:val="Letters"/>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nsid w:val="096B796C"/>
    <w:multiLevelType w:val="hybridMultilevel"/>
    <w:tmpl w:val="201665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97623C6"/>
    <w:multiLevelType w:val="hybridMultilevel"/>
    <w:tmpl w:val="C7F6CDB0"/>
    <w:lvl w:ilvl="0" w:tplc="98B617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B074A32"/>
    <w:multiLevelType w:val="hybridMultilevel"/>
    <w:tmpl w:val="4FF60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0B097A2E"/>
    <w:multiLevelType w:val="hybridMultilevel"/>
    <w:tmpl w:val="3A5C42D4"/>
    <w:lvl w:ilvl="0" w:tplc="C7408AFA">
      <w:start w:val="4"/>
      <w:numFmt w:val="upp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C345434"/>
    <w:multiLevelType w:val="hybridMultilevel"/>
    <w:tmpl w:val="10AACFA2"/>
    <w:lvl w:ilvl="0" w:tplc="F4AE41F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E190897"/>
    <w:multiLevelType w:val="hybridMultilevel"/>
    <w:tmpl w:val="CF5C7136"/>
    <w:lvl w:ilvl="0" w:tplc="BB2E4B8C">
      <w:start w:val="1"/>
      <w:numFmt w:val="decimal"/>
      <w:lvlText w:val="%1."/>
      <w:lvlJc w:val="left"/>
      <w:pPr>
        <w:ind w:left="322" w:hanging="360"/>
      </w:pPr>
    </w:lvl>
    <w:lvl w:ilvl="1" w:tplc="04090019">
      <w:start w:val="1"/>
      <w:numFmt w:val="lowerLetter"/>
      <w:lvlText w:val="%2."/>
      <w:lvlJc w:val="left"/>
      <w:pPr>
        <w:ind w:left="1042" w:hanging="360"/>
      </w:pPr>
    </w:lvl>
    <w:lvl w:ilvl="2" w:tplc="0409001B">
      <w:start w:val="1"/>
      <w:numFmt w:val="lowerRoman"/>
      <w:lvlText w:val="%3."/>
      <w:lvlJc w:val="right"/>
      <w:pPr>
        <w:ind w:left="1762" w:hanging="180"/>
      </w:pPr>
    </w:lvl>
    <w:lvl w:ilvl="3" w:tplc="0409000F">
      <w:start w:val="1"/>
      <w:numFmt w:val="decimal"/>
      <w:lvlText w:val="%4."/>
      <w:lvlJc w:val="left"/>
      <w:pPr>
        <w:ind w:left="2482" w:hanging="360"/>
      </w:pPr>
    </w:lvl>
    <w:lvl w:ilvl="4" w:tplc="04090019">
      <w:start w:val="1"/>
      <w:numFmt w:val="lowerLetter"/>
      <w:lvlText w:val="%5."/>
      <w:lvlJc w:val="left"/>
      <w:pPr>
        <w:ind w:left="3202" w:hanging="360"/>
      </w:pPr>
    </w:lvl>
    <w:lvl w:ilvl="5" w:tplc="0409001B">
      <w:start w:val="1"/>
      <w:numFmt w:val="lowerRoman"/>
      <w:lvlText w:val="%6."/>
      <w:lvlJc w:val="right"/>
      <w:pPr>
        <w:ind w:left="3922" w:hanging="180"/>
      </w:pPr>
    </w:lvl>
    <w:lvl w:ilvl="6" w:tplc="0409000F">
      <w:start w:val="1"/>
      <w:numFmt w:val="decimal"/>
      <w:lvlText w:val="%7."/>
      <w:lvlJc w:val="left"/>
      <w:pPr>
        <w:ind w:left="4642" w:hanging="360"/>
      </w:pPr>
    </w:lvl>
    <w:lvl w:ilvl="7" w:tplc="04090019">
      <w:start w:val="1"/>
      <w:numFmt w:val="lowerLetter"/>
      <w:lvlText w:val="%8."/>
      <w:lvlJc w:val="left"/>
      <w:pPr>
        <w:ind w:left="5362" w:hanging="360"/>
      </w:pPr>
    </w:lvl>
    <w:lvl w:ilvl="8" w:tplc="0409001B">
      <w:start w:val="1"/>
      <w:numFmt w:val="lowerRoman"/>
      <w:lvlText w:val="%9."/>
      <w:lvlJc w:val="right"/>
      <w:pPr>
        <w:ind w:left="6082" w:hanging="180"/>
      </w:pPr>
    </w:lvl>
  </w:abstractNum>
  <w:abstractNum w:abstractNumId="17">
    <w:nsid w:val="0ECF44E7"/>
    <w:multiLevelType w:val="hybridMultilevel"/>
    <w:tmpl w:val="EC1ECB3C"/>
    <w:lvl w:ilvl="0" w:tplc="94C009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EFB5DFB"/>
    <w:multiLevelType w:val="hybridMultilevel"/>
    <w:tmpl w:val="DF00905C"/>
    <w:lvl w:ilvl="0" w:tplc="10365E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7012702"/>
    <w:multiLevelType w:val="hybridMultilevel"/>
    <w:tmpl w:val="70A62BA6"/>
    <w:lvl w:ilvl="0" w:tplc="26F270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7793773"/>
    <w:multiLevelType w:val="multilevel"/>
    <w:tmpl w:val="9B906B0C"/>
    <w:lvl w:ilvl="0">
      <w:start w:val="1"/>
      <w:numFmt w:val="upperRoman"/>
      <w:lvlRestart w:val="0"/>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lowerRoman"/>
      <w:pStyle w:val="Heading8"/>
      <w:lvlText w:val="(%8)"/>
      <w:lvlJc w:val="left"/>
      <w:pPr>
        <w:tabs>
          <w:tab w:val="num" w:pos="5760"/>
        </w:tabs>
        <w:ind w:left="5760" w:hanging="720"/>
      </w:pPr>
    </w:lvl>
    <w:lvl w:ilvl="8">
      <w:start w:val="1"/>
      <w:numFmt w:val="decimalZero"/>
      <w:pStyle w:val="Heading9"/>
      <w:lvlText w:val="(%9)"/>
      <w:lvlJc w:val="left"/>
      <w:pPr>
        <w:tabs>
          <w:tab w:val="num" w:pos="6480"/>
        </w:tabs>
        <w:ind w:left="6480" w:hanging="720"/>
      </w:pPr>
    </w:lvl>
  </w:abstractNum>
  <w:abstractNum w:abstractNumId="21">
    <w:nsid w:val="1A7479A3"/>
    <w:multiLevelType w:val="hybridMultilevel"/>
    <w:tmpl w:val="87E6F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C5C3C71"/>
    <w:multiLevelType w:val="hybridMultilevel"/>
    <w:tmpl w:val="72A47278"/>
    <w:lvl w:ilvl="0" w:tplc="51C8E3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47F514D"/>
    <w:multiLevelType w:val="hybridMultilevel"/>
    <w:tmpl w:val="38569070"/>
    <w:lvl w:ilvl="0" w:tplc="C60AF268">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AE6785D"/>
    <w:multiLevelType w:val="hybridMultilevel"/>
    <w:tmpl w:val="948AE37E"/>
    <w:lvl w:ilvl="0" w:tplc="53BA81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C18352E"/>
    <w:multiLevelType w:val="hybridMultilevel"/>
    <w:tmpl w:val="B400F5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3C860F0B"/>
    <w:multiLevelType w:val="hybridMultilevel"/>
    <w:tmpl w:val="B49666C6"/>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27">
    <w:nsid w:val="3EF46144"/>
    <w:multiLevelType w:val="hybridMultilevel"/>
    <w:tmpl w:val="E0E67C44"/>
    <w:lvl w:ilvl="0" w:tplc="A0508DF2">
      <w:start w:val="1"/>
      <w:numFmt w:val="upp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nsid w:val="40195000"/>
    <w:multiLevelType w:val="hybridMultilevel"/>
    <w:tmpl w:val="49C478D8"/>
    <w:lvl w:ilvl="0" w:tplc="36E43284">
      <w:start w:val="1"/>
      <w:numFmt w:val="decimal"/>
      <w:lvlText w:val="%1."/>
      <w:lvlJc w:val="left"/>
      <w:pPr>
        <w:ind w:left="1440"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9">
    <w:nsid w:val="46560CCE"/>
    <w:multiLevelType w:val="hybridMultilevel"/>
    <w:tmpl w:val="7632E668"/>
    <w:lvl w:ilvl="0" w:tplc="94E823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202536"/>
    <w:multiLevelType w:val="multilevel"/>
    <w:tmpl w:val="74AA35E8"/>
    <w:lvl w:ilvl="0">
      <w:start w:val="1"/>
      <w:numFmt w:val="upperRoman"/>
      <w:lvlRestart w:val="0"/>
      <w:lvlText w:val="%1."/>
      <w:lvlJc w:val="left"/>
      <w:pPr>
        <w:tabs>
          <w:tab w:val="num" w:pos="720"/>
        </w:tabs>
        <w:ind w:left="720" w:hanging="720"/>
      </w:pPr>
    </w:lvl>
    <w:lvl w:ilvl="1">
      <w:start w:val="1"/>
      <w:numFmt w:val="upperLetter"/>
      <w:lvlText w:val="%2."/>
      <w:lvlJc w:val="left"/>
      <w:pPr>
        <w:tabs>
          <w:tab w:val="num" w:pos="1080"/>
        </w:tabs>
        <w:ind w:left="1080" w:hanging="720"/>
      </w:pPr>
    </w:lvl>
    <w:lvl w:ilvl="2">
      <w:start w:val="1"/>
      <w:numFmt w:val="decimal"/>
      <w:lvlText w:val="%3."/>
      <w:lvlJc w:val="left"/>
      <w:pPr>
        <w:tabs>
          <w:tab w:val="num" w:pos="1440"/>
        </w:tabs>
        <w:ind w:left="1440" w:hanging="720"/>
      </w:pPr>
    </w:lvl>
    <w:lvl w:ilvl="3">
      <w:start w:val="1"/>
      <w:numFmt w:val="lowerLetter"/>
      <w:lvlText w:val="%4."/>
      <w:lvlJc w:val="left"/>
      <w:pPr>
        <w:tabs>
          <w:tab w:val="num" w:pos="1800"/>
        </w:tabs>
        <w:ind w:left="1800" w:hanging="720"/>
      </w:pPr>
    </w:lvl>
    <w:lvl w:ilvl="4">
      <w:start w:val="1"/>
      <w:numFmt w:val="lowerRoman"/>
      <w:lvlText w:val="%5."/>
      <w:lvlJc w:val="left"/>
      <w:pPr>
        <w:tabs>
          <w:tab w:val="num" w:pos="2160"/>
        </w:tabs>
        <w:ind w:left="2160" w:hanging="720"/>
      </w:pPr>
    </w:lvl>
    <w:lvl w:ilvl="5">
      <w:start w:val="1"/>
      <w:numFmt w:val="lowerLetter"/>
      <w:lvlText w:val="(%6)"/>
      <w:lvlJc w:val="left"/>
      <w:pPr>
        <w:tabs>
          <w:tab w:val="num" w:pos="2520"/>
        </w:tabs>
        <w:ind w:left="2520" w:hanging="720"/>
      </w:pPr>
    </w:lvl>
    <w:lvl w:ilvl="6">
      <w:start w:val="1"/>
      <w:numFmt w:val="decimal"/>
      <w:lvlText w:val="(%7)"/>
      <w:lvlJc w:val="left"/>
      <w:pPr>
        <w:tabs>
          <w:tab w:val="num" w:pos="2880"/>
        </w:tabs>
        <w:ind w:left="2880" w:hanging="720"/>
      </w:pPr>
    </w:lvl>
    <w:lvl w:ilvl="7">
      <w:start w:val="1"/>
      <w:numFmt w:val="lowerRoman"/>
      <w:lvlText w:val="(%8)"/>
      <w:lvlJc w:val="left"/>
      <w:pPr>
        <w:tabs>
          <w:tab w:val="num" w:pos="3240"/>
        </w:tabs>
        <w:ind w:left="3240" w:hanging="720"/>
      </w:pPr>
    </w:lvl>
    <w:lvl w:ilvl="8">
      <w:start w:val="1"/>
      <w:numFmt w:val="decimalZero"/>
      <w:lvlText w:val="(%9)"/>
      <w:lvlJc w:val="left"/>
      <w:pPr>
        <w:tabs>
          <w:tab w:val="num" w:pos="3600"/>
        </w:tabs>
        <w:ind w:left="3600" w:hanging="720"/>
      </w:pPr>
    </w:lvl>
  </w:abstractNum>
  <w:abstractNum w:abstractNumId="31">
    <w:nsid w:val="4CAE02A0"/>
    <w:multiLevelType w:val="hybridMultilevel"/>
    <w:tmpl w:val="77A09AC8"/>
    <w:lvl w:ilvl="0" w:tplc="0B4E1C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D185A7C"/>
    <w:multiLevelType w:val="hybridMultilevel"/>
    <w:tmpl w:val="35AED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3260AF"/>
    <w:multiLevelType w:val="hybridMultilevel"/>
    <w:tmpl w:val="B518C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3A76B68"/>
    <w:multiLevelType w:val="hybridMultilevel"/>
    <w:tmpl w:val="969A1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5A432AD"/>
    <w:multiLevelType w:val="hybridMultilevel"/>
    <w:tmpl w:val="AE9AC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B35F26"/>
    <w:multiLevelType w:val="hybridMultilevel"/>
    <w:tmpl w:val="C226A360"/>
    <w:lvl w:ilvl="0" w:tplc="24704F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B3E2F7E"/>
    <w:multiLevelType w:val="hybridMultilevel"/>
    <w:tmpl w:val="532050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45EC9F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361A2E"/>
    <w:multiLevelType w:val="hybridMultilevel"/>
    <w:tmpl w:val="3602653E"/>
    <w:lvl w:ilvl="0" w:tplc="DFE059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13C0500"/>
    <w:multiLevelType w:val="hybridMultilevel"/>
    <w:tmpl w:val="05AE5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35C074B"/>
    <w:multiLevelType w:val="hybridMultilevel"/>
    <w:tmpl w:val="A6EC48E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3A62B61"/>
    <w:multiLevelType w:val="hybridMultilevel"/>
    <w:tmpl w:val="A1443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7B4327D"/>
    <w:multiLevelType w:val="hybridMultilevel"/>
    <w:tmpl w:val="5DD4F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AF91623"/>
    <w:multiLevelType w:val="hybridMultilevel"/>
    <w:tmpl w:val="F418C898"/>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44">
    <w:nsid w:val="6ED107EA"/>
    <w:multiLevelType w:val="hybridMultilevel"/>
    <w:tmpl w:val="EC005294"/>
    <w:lvl w:ilvl="0" w:tplc="89A2A330">
      <w:start w:val="1"/>
      <w:numFmt w:val="upperLetter"/>
      <w:lvlText w:val="%1."/>
      <w:lvlJc w:val="left"/>
      <w:pPr>
        <w:ind w:left="1080" w:hanging="360"/>
      </w:pPr>
      <w:rPr>
        <w:rFonts w:hint="default"/>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29C1B39"/>
    <w:multiLevelType w:val="hybridMultilevel"/>
    <w:tmpl w:val="3E1E86FC"/>
    <w:lvl w:ilvl="0" w:tplc="4CB4EA3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A62C23"/>
    <w:multiLevelType w:val="hybridMultilevel"/>
    <w:tmpl w:val="D72EB2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96C74B0"/>
    <w:multiLevelType w:val="hybridMultilevel"/>
    <w:tmpl w:val="77CE973A"/>
    <w:lvl w:ilvl="0" w:tplc="B28AFD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E4E4DD3"/>
    <w:multiLevelType w:val="hybridMultilevel"/>
    <w:tmpl w:val="50CAE678"/>
    <w:lvl w:ilvl="0" w:tplc="D4323D40">
      <w:start w:val="1"/>
      <w:numFmt w:val="decimal"/>
      <w:pStyle w:val="FERCparanumber"/>
      <w:lvlText w:val="%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37"/>
  </w:num>
  <w:num w:numId="14">
    <w:abstractNumId w:val="14"/>
  </w:num>
  <w:num w:numId="15">
    <w:abstractNumId w:val="31"/>
  </w:num>
  <w:num w:numId="16">
    <w:abstractNumId w:val="29"/>
  </w:num>
  <w:num w:numId="17">
    <w:abstractNumId w:val="38"/>
  </w:num>
  <w:num w:numId="18">
    <w:abstractNumId w:val="28"/>
  </w:num>
  <w:num w:numId="19">
    <w:abstractNumId w:val="36"/>
  </w:num>
  <w:num w:numId="20">
    <w:abstractNumId w:val="12"/>
  </w:num>
  <w:num w:numId="21">
    <w:abstractNumId w:val="15"/>
  </w:num>
  <w:num w:numId="22">
    <w:abstractNumId w:val="46"/>
  </w:num>
  <w:num w:numId="23">
    <w:abstractNumId w:val="19"/>
  </w:num>
  <w:num w:numId="24">
    <w:abstractNumId w:val="33"/>
  </w:num>
  <w:num w:numId="25">
    <w:abstractNumId w:val="47"/>
  </w:num>
  <w:num w:numId="26">
    <w:abstractNumId w:val="18"/>
  </w:num>
  <w:num w:numId="27">
    <w:abstractNumId w:val="24"/>
  </w:num>
  <w:num w:numId="28">
    <w:abstractNumId w:val="22"/>
  </w:num>
  <w:num w:numId="29">
    <w:abstractNumId w:val="17"/>
  </w:num>
  <w:num w:numId="30">
    <w:abstractNumId w:val="44"/>
  </w:num>
  <w:num w:numId="31">
    <w:abstractNumId w:val="23"/>
  </w:num>
  <w:num w:numId="32">
    <w:abstractNumId w:val="43"/>
  </w:num>
  <w:num w:numId="33">
    <w:abstractNumId w:val="26"/>
  </w:num>
  <w:num w:numId="34">
    <w:abstractNumId w:val="41"/>
  </w:num>
  <w:num w:numId="35">
    <w:abstractNumId w:val="21"/>
  </w:num>
  <w:num w:numId="36">
    <w:abstractNumId w:val="39"/>
  </w:num>
  <w:num w:numId="37">
    <w:abstractNumId w:val="4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7"/>
  </w:num>
  <w:num w:numId="43">
    <w:abstractNumId w:val="20"/>
  </w:num>
  <w:num w:numId="44">
    <w:abstractNumId w:val="34"/>
  </w:num>
  <w:num w:numId="45">
    <w:abstractNumId w:val="42"/>
  </w:num>
  <w:num w:numId="46">
    <w:abstractNumId w:val="25"/>
  </w:num>
  <w:num w:numId="47">
    <w:abstractNumId w:val="35"/>
  </w:num>
  <w:num w:numId="48">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C09"/>
    <w:rsid w:val="00000106"/>
    <w:rsid w:val="000044BF"/>
    <w:rsid w:val="000060FC"/>
    <w:rsid w:val="00006E79"/>
    <w:rsid w:val="0001111E"/>
    <w:rsid w:val="000151D7"/>
    <w:rsid w:val="00017BC9"/>
    <w:rsid w:val="00017DFE"/>
    <w:rsid w:val="00020927"/>
    <w:rsid w:val="00020E5D"/>
    <w:rsid w:val="0002233B"/>
    <w:rsid w:val="000265C3"/>
    <w:rsid w:val="0002750E"/>
    <w:rsid w:val="000306AF"/>
    <w:rsid w:val="00031CCC"/>
    <w:rsid w:val="00036021"/>
    <w:rsid w:val="000509C3"/>
    <w:rsid w:val="0005406C"/>
    <w:rsid w:val="00055B09"/>
    <w:rsid w:val="00056166"/>
    <w:rsid w:val="00057454"/>
    <w:rsid w:val="00060A11"/>
    <w:rsid w:val="00060AEC"/>
    <w:rsid w:val="00061F05"/>
    <w:rsid w:val="00063363"/>
    <w:rsid w:val="00064D88"/>
    <w:rsid w:val="0006768F"/>
    <w:rsid w:val="00080F67"/>
    <w:rsid w:val="0009155E"/>
    <w:rsid w:val="00094059"/>
    <w:rsid w:val="000973D0"/>
    <w:rsid w:val="00097513"/>
    <w:rsid w:val="000A0A30"/>
    <w:rsid w:val="000A485C"/>
    <w:rsid w:val="000B2326"/>
    <w:rsid w:val="000B32DC"/>
    <w:rsid w:val="000B36E0"/>
    <w:rsid w:val="000B3933"/>
    <w:rsid w:val="000B5FA3"/>
    <w:rsid w:val="000D709F"/>
    <w:rsid w:val="000E314D"/>
    <w:rsid w:val="000E335C"/>
    <w:rsid w:val="000E3901"/>
    <w:rsid w:val="000E5DA1"/>
    <w:rsid w:val="000E7805"/>
    <w:rsid w:val="000F070B"/>
    <w:rsid w:val="000F1A65"/>
    <w:rsid w:val="000F34C9"/>
    <w:rsid w:val="000F40DE"/>
    <w:rsid w:val="000F5BC4"/>
    <w:rsid w:val="000F5F14"/>
    <w:rsid w:val="00101744"/>
    <w:rsid w:val="00103D17"/>
    <w:rsid w:val="0010504A"/>
    <w:rsid w:val="00107D5A"/>
    <w:rsid w:val="0011005F"/>
    <w:rsid w:val="001113AF"/>
    <w:rsid w:val="001128A5"/>
    <w:rsid w:val="00116467"/>
    <w:rsid w:val="001171B2"/>
    <w:rsid w:val="00127B80"/>
    <w:rsid w:val="00142D4E"/>
    <w:rsid w:val="00144766"/>
    <w:rsid w:val="001450B0"/>
    <w:rsid w:val="00145BF3"/>
    <w:rsid w:val="001460E5"/>
    <w:rsid w:val="001462AA"/>
    <w:rsid w:val="00146A35"/>
    <w:rsid w:val="00147246"/>
    <w:rsid w:val="0015047A"/>
    <w:rsid w:val="00153240"/>
    <w:rsid w:val="00153A0D"/>
    <w:rsid w:val="001541A7"/>
    <w:rsid w:val="00155000"/>
    <w:rsid w:val="00155ECE"/>
    <w:rsid w:val="00157315"/>
    <w:rsid w:val="001579DE"/>
    <w:rsid w:val="001619AF"/>
    <w:rsid w:val="00166ADE"/>
    <w:rsid w:val="001701EA"/>
    <w:rsid w:val="001722E3"/>
    <w:rsid w:val="00177390"/>
    <w:rsid w:val="00180083"/>
    <w:rsid w:val="00183FD6"/>
    <w:rsid w:val="001853F5"/>
    <w:rsid w:val="00187DEA"/>
    <w:rsid w:val="001925B9"/>
    <w:rsid w:val="00193A27"/>
    <w:rsid w:val="00196908"/>
    <w:rsid w:val="001978A0"/>
    <w:rsid w:val="001A3237"/>
    <w:rsid w:val="001A4C5E"/>
    <w:rsid w:val="001A5D72"/>
    <w:rsid w:val="001A68C8"/>
    <w:rsid w:val="001B4D9E"/>
    <w:rsid w:val="001C139A"/>
    <w:rsid w:val="001C141C"/>
    <w:rsid w:val="001C17A3"/>
    <w:rsid w:val="001C5E36"/>
    <w:rsid w:val="001D0604"/>
    <w:rsid w:val="001D2245"/>
    <w:rsid w:val="001D2AF6"/>
    <w:rsid w:val="001D2FE6"/>
    <w:rsid w:val="001D3568"/>
    <w:rsid w:val="001D39E7"/>
    <w:rsid w:val="001D5918"/>
    <w:rsid w:val="001D6113"/>
    <w:rsid w:val="001D75C1"/>
    <w:rsid w:val="001D7F9B"/>
    <w:rsid w:val="001E1B1A"/>
    <w:rsid w:val="001E2192"/>
    <w:rsid w:val="001E54C4"/>
    <w:rsid w:val="001E5702"/>
    <w:rsid w:val="001E6DDE"/>
    <w:rsid w:val="001F20E6"/>
    <w:rsid w:val="001F212D"/>
    <w:rsid w:val="001F7FC3"/>
    <w:rsid w:val="00200B82"/>
    <w:rsid w:val="00204512"/>
    <w:rsid w:val="00206157"/>
    <w:rsid w:val="00206D7D"/>
    <w:rsid w:val="002117D1"/>
    <w:rsid w:val="00214041"/>
    <w:rsid w:val="00215AC5"/>
    <w:rsid w:val="002204E7"/>
    <w:rsid w:val="002246EF"/>
    <w:rsid w:val="0023042E"/>
    <w:rsid w:val="00230960"/>
    <w:rsid w:val="0023489A"/>
    <w:rsid w:val="00240066"/>
    <w:rsid w:val="002473BD"/>
    <w:rsid w:val="0025400C"/>
    <w:rsid w:val="002553AC"/>
    <w:rsid w:val="00255663"/>
    <w:rsid w:val="002615C3"/>
    <w:rsid w:val="0026424F"/>
    <w:rsid w:val="00264564"/>
    <w:rsid w:val="00264F43"/>
    <w:rsid w:val="00266808"/>
    <w:rsid w:val="002676AA"/>
    <w:rsid w:val="00267785"/>
    <w:rsid w:val="002747B3"/>
    <w:rsid w:val="002756B8"/>
    <w:rsid w:val="00276B18"/>
    <w:rsid w:val="00277D1A"/>
    <w:rsid w:val="0028132C"/>
    <w:rsid w:val="00281B3C"/>
    <w:rsid w:val="00281B79"/>
    <w:rsid w:val="00282B1D"/>
    <w:rsid w:val="00282D15"/>
    <w:rsid w:val="00286288"/>
    <w:rsid w:val="0028697E"/>
    <w:rsid w:val="002875D8"/>
    <w:rsid w:val="002940A7"/>
    <w:rsid w:val="002A5520"/>
    <w:rsid w:val="002A7895"/>
    <w:rsid w:val="002B0C7A"/>
    <w:rsid w:val="002B1DBA"/>
    <w:rsid w:val="002B1E12"/>
    <w:rsid w:val="002B6530"/>
    <w:rsid w:val="002B75D6"/>
    <w:rsid w:val="002C0B50"/>
    <w:rsid w:val="002C1C5D"/>
    <w:rsid w:val="002C3486"/>
    <w:rsid w:val="002C34F9"/>
    <w:rsid w:val="002C3700"/>
    <w:rsid w:val="002C4EF3"/>
    <w:rsid w:val="002D086D"/>
    <w:rsid w:val="002D52AE"/>
    <w:rsid w:val="002D7D08"/>
    <w:rsid w:val="002E1E26"/>
    <w:rsid w:val="002E2C8B"/>
    <w:rsid w:val="002E4290"/>
    <w:rsid w:val="002E6C23"/>
    <w:rsid w:val="002E770C"/>
    <w:rsid w:val="002F29CC"/>
    <w:rsid w:val="00301152"/>
    <w:rsid w:val="00302377"/>
    <w:rsid w:val="003023C7"/>
    <w:rsid w:val="00302619"/>
    <w:rsid w:val="003049DD"/>
    <w:rsid w:val="0031469A"/>
    <w:rsid w:val="00320784"/>
    <w:rsid w:val="003207EC"/>
    <w:rsid w:val="00321113"/>
    <w:rsid w:val="0032123F"/>
    <w:rsid w:val="003303B3"/>
    <w:rsid w:val="00331EAA"/>
    <w:rsid w:val="003350BC"/>
    <w:rsid w:val="0033571D"/>
    <w:rsid w:val="003372DA"/>
    <w:rsid w:val="00343000"/>
    <w:rsid w:val="0035311C"/>
    <w:rsid w:val="0035446A"/>
    <w:rsid w:val="00356443"/>
    <w:rsid w:val="00356DE0"/>
    <w:rsid w:val="003618AE"/>
    <w:rsid w:val="00362F4E"/>
    <w:rsid w:val="00363493"/>
    <w:rsid w:val="003703B5"/>
    <w:rsid w:val="003734FE"/>
    <w:rsid w:val="00373634"/>
    <w:rsid w:val="00375E15"/>
    <w:rsid w:val="00376205"/>
    <w:rsid w:val="00380088"/>
    <w:rsid w:val="00381F65"/>
    <w:rsid w:val="00382564"/>
    <w:rsid w:val="0038307A"/>
    <w:rsid w:val="0038393B"/>
    <w:rsid w:val="00384B4F"/>
    <w:rsid w:val="00386BAB"/>
    <w:rsid w:val="00387B47"/>
    <w:rsid w:val="00387FB2"/>
    <w:rsid w:val="00395734"/>
    <w:rsid w:val="00395E13"/>
    <w:rsid w:val="003A16CB"/>
    <w:rsid w:val="003A1A81"/>
    <w:rsid w:val="003A255F"/>
    <w:rsid w:val="003A3A1A"/>
    <w:rsid w:val="003A3E0A"/>
    <w:rsid w:val="003A3E33"/>
    <w:rsid w:val="003A7663"/>
    <w:rsid w:val="003B0BF6"/>
    <w:rsid w:val="003B708B"/>
    <w:rsid w:val="003D10CC"/>
    <w:rsid w:val="003D3871"/>
    <w:rsid w:val="003D5AAE"/>
    <w:rsid w:val="003E2E4F"/>
    <w:rsid w:val="003E36DD"/>
    <w:rsid w:val="003F0247"/>
    <w:rsid w:val="003F3E34"/>
    <w:rsid w:val="003F590E"/>
    <w:rsid w:val="003F6EDE"/>
    <w:rsid w:val="0040035A"/>
    <w:rsid w:val="00401CFA"/>
    <w:rsid w:val="004113EC"/>
    <w:rsid w:val="0041457D"/>
    <w:rsid w:val="00420538"/>
    <w:rsid w:val="004210A2"/>
    <w:rsid w:val="0042444D"/>
    <w:rsid w:val="00426D49"/>
    <w:rsid w:val="00430B95"/>
    <w:rsid w:val="004341F4"/>
    <w:rsid w:val="0043427F"/>
    <w:rsid w:val="00435317"/>
    <w:rsid w:val="00435F5E"/>
    <w:rsid w:val="00436C08"/>
    <w:rsid w:val="004376A2"/>
    <w:rsid w:val="00441920"/>
    <w:rsid w:val="00442FA2"/>
    <w:rsid w:val="00443BF7"/>
    <w:rsid w:val="00443F5B"/>
    <w:rsid w:val="004457FF"/>
    <w:rsid w:val="004504FE"/>
    <w:rsid w:val="00450972"/>
    <w:rsid w:val="00452A46"/>
    <w:rsid w:val="0045406D"/>
    <w:rsid w:val="00456DF6"/>
    <w:rsid w:val="00457A54"/>
    <w:rsid w:val="004604D5"/>
    <w:rsid w:val="00461433"/>
    <w:rsid w:val="00461B52"/>
    <w:rsid w:val="00461BBB"/>
    <w:rsid w:val="0046225D"/>
    <w:rsid w:val="004623D5"/>
    <w:rsid w:val="004675D3"/>
    <w:rsid w:val="004725C0"/>
    <w:rsid w:val="00472AED"/>
    <w:rsid w:val="00474887"/>
    <w:rsid w:val="0048131B"/>
    <w:rsid w:val="00481C81"/>
    <w:rsid w:val="00484BB2"/>
    <w:rsid w:val="0048739C"/>
    <w:rsid w:val="004943A1"/>
    <w:rsid w:val="00494BF5"/>
    <w:rsid w:val="00495B6D"/>
    <w:rsid w:val="00496261"/>
    <w:rsid w:val="004973A0"/>
    <w:rsid w:val="004A0C80"/>
    <w:rsid w:val="004B2824"/>
    <w:rsid w:val="004B33AF"/>
    <w:rsid w:val="004B4F19"/>
    <w:rsid w:val="004B6159"/>
    <w:rsid w:val="004C48A5"/>
    <w:rsid w:val="004C5BF5"/>
    <w:rsid w:val="004C685C"/>
    <w:rsid w:val="004D4ABC"/>
    <w:rsid w:val="004E021C"/>
    <w:rsid w:val="004E1EEC"/>
    <w:rsid w:val="004E50F6"/>
    <w:rsid w:val="004E7331"/>
    <w:rsid w:val="004F0FB4"/>
    <w:rsid w:val="004F1AD0"/>
    <w:rsid w:val="005017B8"/>
    <w:rsid w:val="00502A03"/>
    <w:rsid w:val="00503CE4"/>
    <w:rsid w:val="005064B0"/>
    <w:rsid w:val="00510866"/>
    <w:rsid w:val="00512C6B"/>
    <w:rsid w:val="00512F51"/>
    <w:rsid w:val="0052129C"/>
    <w:rsid w:val="0052383E"/>
    <w:rsid w:val="00531D91"/>
    <w:rsid w:val="005334B1"/>
    <w:rsid w:val="0053381C"/>
    <w:rsid w:val="005359FB"/>
    <w:rsid w:val="005372C2"/>
    <w:rsid w:val="0053745E"/>
    <w:rsid w:val="00540D60"/>
    <w:rsid w:val="00542687"/>
    <w:rsid w:val="00542F37"/>
    <w:rsid w:val="00543A91"/>
    <w:rsid w:val="005447C4"/>
    <w:rsid w:val="00544E6A"/>
    <w:rsid w:val="00546996"/>
    <w:rsid w:val="005470F8"/>
    <w:rsid w:val="00550B45"/>
    <w:rsid w:val="00552596"/>
    <w:rsid w:val="005543D6"/>
    <w:rsid w:val="00554A45"/>
    <w:rsid w:val="00555578"/>
    <w:rsid w:val="00555C86"/>
    <w:rsid w:val="00556EB2"/>
    <w:rsid w:val="00556EBF"/>
    <w:rsid w:val="005603A4"/>
    <w:rsid w:val="0056269C"/>
    <w:rsid w:val="0056490F"/>
    <w:rsid w:val="005662D9"/>
    <w:rsid w:val="00572737"/>
    <w:rsid w:val="0057509C"/>
    <w:rsid w:val="00576F39"/>
    <w:rsid w:val="00576F77"/>
    <w:rsid w:val="00577AED"/>
    <w:rsid w:val="00586BBF"/>
    <w:rsid w:val="0058715E"/>
    <w:rsid w:val="00587397"/>
    <w:rsid w:val="00592C97"/>
    <w:rsid w:val="005930E3"/>
    <w:rsid w:val="00597BE5"/>
    <w:rsid w:val="005A2B21"/>
    <w:rsid w:val="005A3527"/>
    <w:rsid w:val="005A4BB1"/>
    <w:rsid w:val="005A5113"/>
    <w:rsid w:val="005A77EE"/>
    <w:rsid w:val="005B28C0"/>
    <w:rsid w:val="005B35A9"/>
    <w:rsid w:val="005B396C"/>
    <w:rsid w:val="005C1D57"/>
    <w:rsid w:val="005C3E5C"/>
    <w:rsid w:val="005C403F"/>
    <w:rsid w:val="005C4D56"/>
    <w:rsid w:val="005C5EC8"/>
    <w:rsid w:val="005C7358"/>
    <w:rsid w:val="005D36C6"/>
    <w:rsid w:val="005D432F"/>
    <w:rsid w:val="005D60E4"/>
    <w:rsid w:val="005E1AA5"/>
    <w:rsid w:val="005E77AD"/>
    <w:rsid w:val="005F037C"/>
    <w:rsid w:val="005F256E"/>
    <w:rsid w:val="005F25F1"/>
    <w:rsid w:val="005F29EC"/>
    <w:rsid w:val="005F3999"/>
    <w:rsid w:val="005F6418"/>
    <w:rsid w:val="0060755E"/>
    <w:rsid w:val="0061075E"/>
    <w:rsid w:val="00614B9A"/>
    <w:rsid w:val="00617427"/>
    <w:rsid w:val="00623D32"/>
    <w:rsid w:val="00626BB1"/>
    <w:rsid w:val="0063109A"/>
    <w:rsid w:val="006330EA"/>
    <w:rsid w:val="00636C6F"/>
    <w:rsid w:val="00637124"/>
    <w:rsid w:val="00640844"/>
    <w:rsid w:val="00641642"/>
    <w:rsid w:val="00651A96"/>
    <w:rsid w:val="00655845"/>
    <w:rsid w:val="00656F9C"/>
    <w:rsid w:val="006575F9"/>
    <w:rsid w:val="00660701"/>
    <w:rsid w:val="0066511C"/>
    <w:rsid w:val="00666018"/>
    <w:rsid w:val="00666626"/>
    <w:rsid w:val="00676634"/>
    <w:rsid w:val="00676722"/>
    <w:rsid w:val="00677583"/>
    <w:rsid w:val="00680263"/>
    <w:rsid w:val="00680B5A"/>
    <w:rsid w:val="0068394F"/>
    <w:rsid w:val="00686983"/>
    <w:rsid w:val="00686DC3"/>
    <w:rsid w:val="00690011"/>
    <w:rsid w:val="0069010F"/>
    <w:rsid w:val="006913CC"/>
    <w:rsid w:val="00692769"/>
    <w:rsid w:val="006960C2"/>
    <w:rsid w:val="006A0444"/>
    <w:rsid w:val="006A0ABB"/>
    <w:rsid w:val="006A1C9C"/>
    <w:rsid w:val="006A3DBA"/>
    <w:rsid w:val="006A5342"/>
    <w:rsid w:val="006A66CE"/>
    <w:rsid w:val="006B19A6"/>
    <w:rsid w:val="006B675B"/>
    <w:rsid w:val="006C1639"/>
    <w:rsid w:val="006C31FC"/>
    <w:rsid w:val="006D2801"/>
    <w:rsid w:val="006D3E3F"/>
    <w:rsid w:val="006D491F"/>
    <w:rsid w:val="006E031B"/>
    <w:rsid w:val="006E1532"/>
    <w:rsid w:val="006E28A5"/>
    <w:rsid w:val="006F0F6F"/>
    <w:rsid w:val="006F106B"/>
    <w:rsid w:val="006F3629"/>
    <w:rsid w:val="0070100F"/>
    <w:rsid w:val="0070272A"/>
    <w:rsid w:val="0070481A"/>
    <w:rsid w:val="00706F67"/>
    <w:rsid w:val="0070707C"/>
    <w:rsid w:val="00707F34"/>
    <w:rsid w:val="00712357"/>
    <w:rsid w:val="00712AF9"/>
    <w:rsid w:val="00714AE8"/>
    <w:rsid w:val="00716A58"/>
    <w:rsid w:val="007173CA"/>
    <w:rsid w:val="00722E81"/>
    <w:rsid w:val="007232DD"/>
    <w:rsid w:val="0072364D"/>
    <w:rsid w:val="00723A08"/>
    <w:rsid w:val="00726AB4"/>
    <w:rsid w:val="00730373"/>
    <w:rsid w:val="00731A9B"/>
    <w:rsid w:val="007337BC"/>
    <w:rsid w:val="00743AB6"/>
    <w:rsid w:val="00744876"/>
    <w:rsid w:val="00745DCF"/>
    <w:rsid w:val="00745E6F"/>
    <w:rsid w:val="00750123"/>
    <w:rsid w:val="00751675"/>
    <w:rsid w:val="007545EE"/>
    <w:rsid w:val="0075474D"/>
    <w:rsid w:val="00754B08"/>
    <w:rsid w:val="00755061"/>
    <w:rsid w:val="00757D0F"/>
    <w:rsid w:val="007605A6"/>
    <w:rsid w:val="007612C7"/>
    <w:rsid w:val="0076159C"/>
    <w:rsid w:val="00763121"/>
    <w:rsid w:val="00763AB9"/>
    <w:rsid w:val="00763E4D"/>
    <w:rsid w:val="00765527"/>
    <w:rsid w:val="00765D80"/>
    <w:rsid w:val="00766734"/>
    <w:rsid w:val="00766EED"/>
    <w:rsid w:val="007672A3"/>
    <w:rsid w:val="00773121"/>
    <w:rsid w:val="007738FE"/>
    <w:rsid w:val="00775174"/>
    <w:rsid w:val="00780B6B"/>
    <w:rsid w:val="00784577"/>
    <w:rsid w:val="00791FE2"/>
    <w:rsid w:val="0079276F"/>
    <w:rsid w:val="007974D5"/>
    <w:rsid w:val="007A0A43"/>
    <w:rsid w:val="007A73F4"/>
    <w:rsid w:val="007A76EF"/>
    <w:rsid w:val="007B06D8"/>
    <w:rsid w:val="007B224A"/>
    <w:rsid w:val="007B3D9E"/>
    <w:rsid w:val="007C07A4"/>
    <w:rsid w:val="007C2942"/>
    <w:rsid w:val="007C7542"/>
    <w:rsid w:val="007D0129"/>
    <w:rsid w:val="007D0C62"/>
    <w:rsid w:val="007D4408"/>
    <w:rsid w:val="007D5651"/>
    <w:rsid w:val="007D64F4"/>
    <w:rsid w:val="007E26D4"/>
    <w:rsid w:val="007E437C"/>
    <w:rsid w:val="007E5582"/>
    <w:rsid w:val="007E5590"/>
    <w:rsid w:val="007E6EC4"/>
    <w:rsid w:val="007E7008"/>
    <w:rsid w:val="007E70F7"/>
    <w:rsid w:val="007E784B"/>
    <w:rsid w:val="007E7F15"/>
    <w:rsid w:val="007F026A"/>
    <w:rsid w:val="007F19B9"/>
    <w:rsid w:val="007F3248"/>
    <w:rsid w:val="00800DA5"/>
    <w:rsid w:val="008024BF"/>
    <w:rsid w:val="00802E3A"/>
    <w:rsid w:val="00802EE9"/>
    <w:rsid w:val="0081231A"/>
    <w:rsid w:val="00813146"/>
    <w:rsid w:val="00814337"/>
    <w:rsid w:val="008161C6"/>
    <w:rsid w:val="008174E3"/>
    <w:rsid w:val="008218E9"/>
    <w:rsid w:val="00825314"/>
    <w:rsid w:val="008260E9"/>
    <w:rsid w:val="00826A1C"/>
    <w:rsid w:val="00826D27"/>
    <w:rsid w:val="00827F6C"/>
    <w:rsid w:val="00832487"/>
    <w:rsid w:val="0083383A"/>
    <w:rsid w:val="00834CCC"/>
    <w:rsid w:val="00841F97"/>
    <w:rsid w:val="008437B4"/>
    <w:rsid w:val="0084458E"/>
    <w:rsid w:val="00844606"/>
    <w:rsid w:val="00852557"/>
    <w:rsid w:val="00861ED1"/>
    <w:rsid w:val="008628FF"/>
    <w:rsid w:val="00864064"/>
    <w:rsid w:val="00871325"/>
    <w:rsid w:val="00871357"/>
    <w:rsid w:val="00872517"/>
    <w:rsid w:val="00874AD4"/>
    <w:rsid w:val="0087529D"/>
    <w:rsid w:val="00876A75"/>
    <w:rsid w:val="00876CAB"/>
    <w:rsid w:val="00876E5A"/>
    <w:rsid w:val="008776B4"/>
    <w:rsid w:val="008803E8"/>
    <w:rsid w:val="008823F6"/>
    <w:rsid w:val="00882F9A"/>
    <w:rsid w:val="00883755"/>
    <w:rsid w:val="008838BF"/>
    <w:rsid w:val="00885696"/>
    <w:rsid w:val="0088645D"/>
    <w:rsid w:val="008869A8"/>
    <w:rsid w:val="00893545"/>
    <w:rsid w:val="00896950"/>
    <w:rsid w:val="008970CF"/>
    <w:rsid w:val="008A2BA0"/>
    <w:rsid w:val="008A3608"/>
    <w:rsid w:val="008A60A6"/>
    <w:rsid w:val="008A66DB"/>
    <w:rsid w:val="008A6F07"/>
    <w:rsid w:val="008B4F52"/>
    <w:rsid w:val="008C127E"/>
    <w:rsid w:val="008C22B5"/>
    <w:rsid w:val="008C2712"/>
    <w:rsid w:val="008C2C30"/>
    <w:rsid w:val="008C5E12"/>
    <w:rsid w:val="008D28CF"/>
    <w:rsid w:val="008D6DEB"/>
    <w:rsid w:val="008D6DF8"/>
    <w:rsid w:val="008E7EE7"/>
    <w:rsid w:val="008F0280"/>
    <w:rsid w:val="008F0C78"/>
    <w:rsid w:val="008F29F6"/>
    <w:rsid w:val="008F35CE"/>
    <w:rsid w:val="008F7061"/>
    <w:rsid w:val="00901B84"/>
    <w:rsid w:val="00901D82"/>
    <w:rsid w:val="00902E4F"/>
    <w:rsid w:val="009052C9"/>
    <w:rsid w:val="00906150"/>
    <w:rsid w:val="00907891"/>
    <w:rsid w:val="00907AD8"/>
    <w:rsid w:val="009104A6"/>
    <w:rsid w:val="00911681"/>
    <w:rsid w:val="009116C5"/>
    <w:rsid w:val="0091237B"/>
    <w:rsid w:val="0091656A"/>
    <w:rsid w:val="00926267"/>
    <w:rsid w:val="00926FFC"/>
    <w:rsid w:val="00931792"/>
    <w:rsid w:val="00936C4C"/>
    <w:rsid w:val="00936CC4"/>
    <w:rsid w:val="00937667"/>
    <w:rsid w:val="0093791A"/>
    <w:rsid w:val="00941F23"/>
    <w:rsid w:val="00944A60"/>
    <w:rsid w:val="00953D39"/>
    <w:rsid w:val="009558F3"/>
    <w:rsid w:val="0096011C"/>
    <w:rsid w:val="00960F5F"/>
    <w:rsid w:val="00964148"/>
    <w:rsid w:val="00971179"/>
    <w:rsid w:val="00972AAC"/>
    <w:rsid w:val="0097498F"/>
    <w:rsid w:val="009766EB"/>
    <w:rsid w:val="0098177C"/>
    <w:rsid w:val="00987FF1"/>
    <w:rsid w:val="00990D88"/>
    <w:rsid w:val="009A12EA"/>
    <w:rsid w:val="009A1C9E"/>
    <w:rsid w:val="009A2444"/>
    <w:rsid w:val="009A50FA"/>
    <w:rsid w:val="009A6A1A"/>
    <w:rsid w:val="009A75BD"/>
    <w:rsid w:val="009A7D33"/>
    <w:rsid w:val="009B0E7F"/>
    <w:rsid w:val="009B392E"/>
    <w:rsid w:val="009B5A74"/>
    <w:rsid w:val="009B7AE7"/>
    <w:rsid w:val="009B7D12"/>
    <w:rsid w:val="009C1EC8"/>
    <w:rsid w:val="009D16D9"/>
    <w:rsid w:val="009D29FA"/>
    <w:rsid w:val="009D3EBB"/>
    <w:rsid w:val="009D5E6B"/>
    <w:rsid w:val="009D7154"/>
    <w:rsid w:val="009E1D29"/>
    <w:rsid w:val="009E2E48"/>
    <w:rsid w:val="009F6F90"/>
    <w:rsid w:val="00A07F4C"/>
    <w:rsid w:val="00A1021A"/>
    <w:rsid w:val="00A138EE"/>
    <w:rsid w:val="00A152AE"/>
    <w:rsid w:val="00A1707C"/>
    <w:rsid w:val="00A20016"/>
    <w:rsid w:val="00A236C8"/>
    <w:rsid w:val="00A2517A"/>
    <w:rsid w:val="00A269D4"/>
    <w:rsid w:val="00A30B24"/>
    <w:rsid w:val="00A30BCA"/>
    <w:rsid w:val="00A32891"/>
    <w:rsid w:val="00A34BB2"/>
    <w:rsid w:val="00A36006"/>
    <w:rsid w:val="00A40C40"/>
    <w:rsid w:val="00A45077"/>
    <w:rsid w:val="00A45A47"/>
    <w:rsid w:val="00A509AD"/>
    <w:rsid w:val="00A51074"/>
    <w:rsid w:val="00A5179A"/>
    <w:rsid w:val="00A51AA5"/>
    <w:rsid w:val="00A521A7"/>
    <w:rsid w:val="00A549C7"/>
    <w:rsid w:val="00A54FE6"/>
    <w:rsid w:val="00A60B91"/>
    <w:rsid w:val="00A60C09"/>
    <w:rsid w:val="00A62B99"/>
    <w:rsid w:val="00A631C0"/>
    <w:rsid w:val="00A7176B"/>
    <w:rsid w:val="00A722CB"/>
    <w:rsid w:val="00A72E14"/>
    <w:rsid w:val="00A72EAB"/>
    <w:rsid w:val="00A7447E"/>
    <w:rsid w:val="00A75A54"/>
    <w:rsid w:val="00A85234"/>
    <w:rsid w:val="00A912B0"/>
    <w:rsid w:val="00A94C8B"/>
    <w:rsid w:val="00AA4790"/>
    <w:rsid w:val="00AB1909"/>
    <w:rsid w:val="00AB3847"/>
    <w:rsid w:val="00AB5627"/>
    <w:rsid w:val="00AB5F78"/>
    <w:rsid w:val="00AC060A"/>
    <w:rsid w:val="00AC1654"/>
    <w:rsid w:val="00AC2829"/>
    <w:rsid w:val="00AC3586"/>
    <w:rsid w:val="00AC4598"/>
    <w:rsid w:val="00AC4D29"/>
    <w:rsid w:val="00AD1769"/>
    <w:rsid w:val="00AD35B4"/>
    <w:rsid w:val="00AD5047"/>
    <w:rsid w:val="00AE12C7"/>
    <w:rsid w:val="00AE217F"/>
    <w:rsid w:val="00AE457D"/>
    <w:rsid w:val="00AE55C0"/>
    <w:rsid w:val="00AE617C"/>
    <w:rsid w:val="00AE6AD2"/>
    <w:rsid w:val="00AF08FE"/>
    <w:rsid w:val="00AF0A6E"/>
    <w:rsid w:val="00AF3071"/>
    <w:rsid w:val="00AF6DFA"/>
    <w:rsid w:val="00AF6E7C"/>
    <w:rsid w:val="00AF7CEA"/>
    <w:rsid w:val="00B0003B"/>
    <w:rsid w:val="00B00561"/>
    <w:rsid w:val="00B05F73"/>
    <w:rsid w:val="00B06834"/>
    <w:rsid w:val="00B070B7"/>
    <w:rsid w:val="00B072C8"/>
    <w:rsid w:val="00B13E21"/>
    <w:rsid w:val="00B16458"/>
    <w:rsid w:val="00B16BCF"/>
    <w:rsid w:val="00B17250"/>
    <w:rsid w:val="00B20A3E"/>
    <w:rsid w:val="00B21A74"/>
    <w:rsid w:val="00B2426C"/>
    <w:rsid w:val="00B30196"/>
    <w:rsid w:val="00B3544A"/>
    <w:rsid w:val="00B37123"/>
    <w:rsid w:val="00B4254F"/>
    <w:rsid w:val="00B44677"/>
    <w:rsid w:val="00B44D1B"/>
    <w:rsid w:val="00B4540D"/>
    <w:rsid w:val="00B4594F"/>
    <w:rsid w:val="00B47977"/>
    <w:rsid w:val="00B47E6E"/>
    <w:rsid w:val="00B529A6"/>
    <w:rsid w:val="00B61DED"/>
    <w:rsid w:val="00B628B9"/>
    <w:rsid w:val="00B63C36"/>
    <w:rsid w:val="00B641D1"/>
    <w:rsid w:val="00B6474F"/>
    <w:rsid w:val="00B65782"/>
    <w:rsid w:val="00B6598F"/>
    <w:rsid w:val="00B70C77"/>
    <w:rsid w:val="00B73C4D"/>
    <w:rsid w:val="00B763F1"/>
    <w:rsid w:val="00B81545"/>
    <w:rsid w:val="00B81B0C"/>
    <w:rsid w:val="00B83BFB"/>
    <w:rsid w:val="00B87EB7"/>
    <w:rsid w:val="00B923EE"/>
    <w:rsid w:val="00BA1434"/>
    <w:rsid w:val="00BA23E3"/>
    <w:rsid w:val="00BA5227"/>
    <w:rsid w:val="00BB22ED"/>
    <w:rsid w:val="00BB7AC9"/>
    <w:rsid w:val="00BD2B87"/>
    <w:rsid w:val="00BD6329"/>
    <w:rsid w:val="00BD64F5"/>
    <w:rsid w:val="00BE0FDE"/>
    <w:rsid w:val="00BE140B"/>
    <w:rsid w:val="00C0003C"/>
    <w:rsid w:val="00C014F6"/>
    <w:rsid w:val="00C01DA2"/>
    <w:rsid w:val="00C04438"/>
    <w:rsid w:val="00C04BFE"/>
    <w:rsid w:val="00C06C1B"/>
    <w:rsid w:val="00C07E8D"/>
    <w:rsid w:val="00C11B80"/>
    <w:rsid w:val="00C136BE"/>
    <w:rsid w:val="00C21D9F"/>
    <w:rsid w:val="00C23226"/>
    <w:rsid w:val="00C25E20"/>
    <w:rsid w:val="00C30B00"/>
    <w:rsid w:val="00C315B9"/>
    <w:rsid w:val="00C31BFE"/>
    <w:rsid w:val="00C34176"/>
    <w:rsid w:val="00C35CF5"/>
    <w:rsid w:val="00C367F9"/>
    <w:rsid w:val="00C4252F"/>
    <w:rsid w:val="00C4261F"/>
    <w:rsid w:val="00C47998"/>
    <w:rsid w:val="00C5256F"/>
    <w:rsid w:val="00C53ADF"/>
    <w:rsid w:val="00C54098"/>
    <w:rsid w:val="00C577F1"/>
    <w:rsid w:val="00C608E1"/>
    <w:rsid w:val="00C6467A"/>
    <w:rsid w:val="00C658BA"/>
    <w:rsid w:val="00C67E23"/>
    <w:rsid w:val="00C70B27"/>
    <w:rsid w:val="00C7399D"/>
    <w:rsid w:val="00C73E5F"/>
    <w:rsid w:val="00C7627E"/>
    <w:rsid w:val="00C7695A"/>
    <w:rsid w:val="00C7728C"/>
    <w:rsid w:val="00C802C1"/>
    <w:rsid w:val="00C813BC"/>
    <w:rsid w:val="00C81A4C"/>
    <w:rsid w:val="00C822C2"/>
    <w:rsid w:val="00C84E6B"/>
    <w:rsid w:val="00C86407"/>
    <w:rsid w:val="00C87696"/>
    <w:rsid w:val="00C914BC"/>
    <w:rsid w:val="00C948F4"/>
    <w:rsid w:val="00C95104"/>
    <w:rsid w:val="00C955A8"/>
    <w:rsid w:val="00C964A9"/>
    <w:rsid w:val="00C966FA"/>
    <w:rsid w:val="00C96AD2"/>
    <w:rsid w:val="00CA199C"/>
    <w:rsid w:val="00CA4DFC"/>
    <w:rsid w:val="00CB1209"/>
    <w:rsid w:val="00CB3BBD"/>
    <w:rsid w:val="00CB51C5"/>
    <w:rsid w:val="00CB64D2"/>
    <w:rsid w:val="00CB7DF8"/>
    <w:rsid w:val="00CC055A"/>
    <w:rsid w:val="00CC16D6"/>
    <w:rsid w:val="00CC2BB7"/>
    <w:rsid w:val="00CC3493"/>
    <w:rsid w:val="00CD09C6"/>
    <w:rsid w:val="00CD44F6"/>
    <w:rsid w:val="00CE0BFD"/>
    <w:rsid w:val="00CE2304"/>
    <w:rsid w:val="00CE3CC4"/>
    <w:rsid w:val="00CE4DE3"/>
    <w:rsid w:val="00CE58DA"/>
    <w:rsid w:val="00CE5A75"/>
    <w:rsid w:val="00CE6F1F"/>
    <w:rsid w:val="00CF15D4"/>
    <w:rsid w:val="00CF323B"/>
    <w:rsid w:val="00CF5826"/>
    <w:rsid w:val="00D00F19"/>
    <w:rsid w:val="00D026CF"/>
    <w:rsid w:val="00D0716F"/>
    <w:rsid w:val="00D1062D"/>
    <w:rsid w:val="00D11026"/>
    <w:rsid w:val="00D13B1B"/>
    <w:rsid w:val="00D17C3F"/>
    <w:rsid w:val="00D2137F"/>
    <w:rsid w:val="00D2376A"/>
    <w:rsid w:val="00D258EC"/>
    <w:rsid w:val="00D27403"/>
    <w:rsid w:val="00D274AD"/>
    <w:rsid w:val="00D305C0"/>
    <w:rsid w:val="00D3280E"/>
    <w:rsid w:val="00D3301D"/>
    <w:rsid w:val="00D35A4A"/>
    <w:rsid w:val="00D35EEF"/>
    <w:rsid w:val="00D366DC"/>
    <w:rsid w:val="00D405E9"/>
    <w:rsid w:val="00D43BC8"/>
    <w:rsid w:val="00D46FFE"/>
    <w:rsid w:val="00D54FA2"/>
    <w:rsid w:val="00D55B21"/>
    <w:rsid w:val="00D566A9"/>
    <w:rsid w:val="00D601E1"/>
    <w:rsid w:val="00D615FF"/>
    <w:rsid w:val="00D63408"/>
    <w:rsid w:val="00D65C07"/>
    <w:rsid w:val="00D65D7D"/>
    <w:rsid w:val="00D67F2F"/>
    <w:rsid w:val="00D73C44"/>
    <w:rsid w:val="00D73F51"/>
    <w:rsid w:val="00D811FB"/>
    <w:rsid w:val="00D8140E"/>
    <w:rsid w:val="00D83AF9"/>
    <w:rsid w:val="00D93E04"/>
    <w:rsid w:val="00D96B0A"/>
    <w:rsid w:val="00DA0154"/>
    <w:rsid w:val="00DA20E1"/>
    <w:rsid w:val="00DA3C00"/>
    <w:rsid w:val="00DA455A"/>
    <w:rsid w:val="00DA7990"/>
    <w:rsid w:val="00DB292C"/>
    <w:rsid w:val="00DB3338"/>
    <w:rsid w:val="00DB674A"/>
    <w:rsid w:val="00DB7789"/>
    <w:rsid w:val="00DC1EE7"/>
    <w:rsid w:val="00DC2CE0"/>
    <w:rsid w:val="00DC2ED9"/>
    <w:rsid w:val="00DC3F09"/>
    <w:rsid w:val="00DC6E1C"/>
    <w:rsid w:val="00DC7CE7"/>
    <w:rsid w:val="00DD2C64"/>
    <w:rsid w:val="00DD39C3"/>
    <w:rsid w:val="00DD5B6C"/>
    <w:rsid w:val="00DD5D58"/>
    <w:rsid w:val="00DD6F64"/>
    <w:rsid w:val="00DD7707"/>
    <w:rsid w:val="00DE0986"/>
    <w:rsid w:val="00DE3B9A"/>
    <w:rsid w:val="00DF0B39"/>
    <w:rsid w:val="00DF0CB9"/>
    <w:rsid w:val="00DF3237"/>
    <w:rsid w:val="00E04CFE"/>
    <w:rsid w:val="00E1519B"/>
    <w:rsid w:val="00E15BD5"/>
    <w:rsid w:val="00E20B75"/>
    <w:rsid w:val="00E24691"/>
    <w:rsid w:val="00E30192"/>
    <w:rsid w:val="00E31DF0"/>
    <w:rsid w:val="00E43AC2"/>
    <w:rsid w:val="00E44066"/>
    <w:rsid w:val="00E44FA2"/>
    <w:rsid w:val="00E46452"/>
    <w:rsid w:val="00E524EF"/>
    <w:rsid w:val="00E53746"/>
    <w:rsid w:val="00E54A4F"/>
    <w:rsid w:val="00E54C25"/>
    <w:rsid w:val="00E60A49"/>
    <w:rsid w:val="00E620F2"/>
    <w:rsid w:val="00E75421"/>
    <w:rsid w:val="00E7774A"/>
    <w:rsid w:val="00E83E2E"/>
    <w:rsid w:val="00E9151D"/>
    <w:rsid w:val="00E9182F"/>
    <w:rsid w:val="00E93235"/>
    <w:rsid w:val="00E93B37"/>
    <w:rsid w:val="00E95792"/>
    <w:rsid w:val="00E9773F"/>
    <w:rsid w:val="00EA3B0E"/>
    <w:rsid w:val="00EA5E4F"/>
    <w:rsid w:val="00EA7F4B"/>
    <w:rsid w:val="00EB2E2E"/>
    <w:rsid w:val="00EB6D73"/>
    <w:rsid w:val="00EB7339"/>
    <w:rsid w:val="00EC1D97"/>
    <w:rsid w:val="00EC39CD"/>
    <w:rsid w:val="00EC6E3A"/>
    <w:rsid w:val="00ED37DD"/>
    <w:rsid w:val="00ED7C7F"/>
    <w:rsid w:val="00EE197D"/>
    <w:rsid w:val="00EE4898"/>
    <w:rsid w:val="00EE4D90"/>
    <w:rsid w:val="00EF07EC"/>
    <w:rsid w:val="00EF26B6"/>
    <w:rsid w:val="00EF38D3"/>
    <w:rsid w:val="00F00411"/>
    <w:rsid w:val="00F10B07"/>
    <w:rsid w:val="00F11512"/>
    <w:rsid w:val="00F11FC1"/>
    <w:rsid w:val="00F12F8F"/>
    <w:rsid w:val="00F13C63"/>
    <w:rsid w:val="00F158AD"/>
    <w:rsid w:val="00F20575"/>
    <w:rsid w:val="00F20C03"/>
    <w:rsid w:val="00F2263E"/>
    <w:rsid w:val="00F24E6D"/>
    <w:rsid w:val="00F25D46"/>
    <w:rsid w:val="00F2787D"/>
    <w:rsid w:val="00F30BE7"/>
    <w:rsid w:val="00F31058"/>
    <w:rsid w:val="00F32664"/>
    <w:rsid w:val="00F32FE6"/>
    <w:rsid w:val="00F331BD"/>
    <w:rsid w:val="00F37FCB"/>
    <w:rsid w:val="00F413AF"/>
    <w:rsid w:val="00F4480F"/>
    <w:rsid w:val="00F476DC"/>
    <w:rsid w:val="00F50858"/>
    <w:rsid w:val="00F5388A"/>
    <w:rsid w:val="00F5585D"/>
    <w:rsid w:val="00F610F0"/>
    <w:rsid w:val="00F62BE0"/>
    <w:rsid w:val="00F63788"/>
    <w:rsid w:val="00F645E3"/>
    <w:rsid w:val="00F64A93"/>
    <w:rsid w:val="00F67422"/>
    <w:rsid w:val="00F67725"/>
    <w:rsid w:val="00F730B3"/>
    <w:rsid w:val="00F81B29"/>
    <w:rsid w:val="00F82CD3"/>
    <w:rsid w:val="00F8362E"/>
    <w:rsid w:val="00F854B1"/>
    <w:rsid w:val="00F901DB"/>
    <w:rsid w:val="00F92385"/>
    <w:rsid w:val="00F95625"/>
    <w:rsid w:val="00F96041"/>
    <w:rsid w:val="00F97367"/>
    <w:rsid w:val="00FA3139"/>
    <w:rsid w:val="00FA6312"/>
    <w:rsid w:val="00FA69A4"/>
    <w:rsid w:val="00FA7E17"/>
    <w:rsid w:val="00FB0B57"/>
    <w:rsid w:val="00FB47F9"/>
    <w:rsid w:val="00FB4D91"/>
    <w:rsid w:val="00FB561E"/>
    <w:rsid w:val="00FB63EF"/>
    <w:rsid w:val="00FB781F"/>
    <w:rsid w:val="00FC7DCE"/>
    <w:rsid w:val="00FD36C2"/>
    <w:rsid w:val="00FD574E"/>
    <w:rsid w:val="00FD60CD"/>
    <w:rsid w:val="00FD6DC4"/>
    <w:rsid w:val="00FD6E40"/>
    <w:rsid w:val="00FE22C2"/>
    <w:rsid w:val="00FE2EBA"/>
    <w:rsid w:val="00FF3034"/>
    <w:rsid w:val="00FF32F7"/>
    <w:rsid w:val="00FF3E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152"/>
    <w:pPr>
      <w:widowControl w:val="0"/>
      <w:autoSpaceDE w:val="0"/>
      <w:autoSpaceDN w:val="0"/>
      <w:adjustRightInd w:val="0"/>
    </w:pPr>
    <w:rPr>
      <w:sz w:val="26"/>
      <w:szCs w:val="24"/>
      <w:lang w:bidi="ar-SA"/>
    </w:rPr>
  </w:style>
  <w:style w:type="paragraph" w:styleId="Heading1">
    <w:name w:val="heading 1"/>
    <w:basedOn w:val="Normal"/>
    <w:next w:val="FERCparanumber"/>
    <w:qFormat/>
    <w:rsid w:val="00343000"/>
    <w:pPr>
      <w:keepNext/>
      <w:keepLines/>
      <w:widowControl/>
      <w:numPr>
        <w:numId w:val="43"/>
      </w:numPr>
      <w:spacing w:after="260"/>
      <w:outlineLvl w:val="0"/>
    </w:pPr>
    <w:rPr>
      <w:b/>
      <w:bCs/>
      <w:kern w:val="32"/>
      <w:szCs w:val="32"/>
      <w:u w:val="single"/>
    </w:rPr>
  </w:style>
  <w:style w:type="paragraph" w:styleId="Heading2">
    <w:name w:val="heading 2"/>
    <w:basedOn w:val="Normal"/>
    <w:next w:val="FERCparanumber"/>
    <w:qFormat/>
    <w:rsid w:val="00343000"/>
    <w:pPr>
      <w:keepNext/>
      <w:keepLines/>
      <w:widowControl/>
      <w:numPr>
        <w:ilvl w:val="1"/>
        <w:numId w:val="43"/>
      </w:numPr>
      <w:spacing w:after="260"/>
      <w:outlineLvl w:val="1"/>
    </w:pPr>
    <w:rPr>
      <w:b/>
      <w:bCs/>
      <w:iCs/>
      <w:kern w:val="32"/>
      <w:szCs w:val="28"/>
      <w:u w:val="single"/>
    </w:rPr>
  </w:style>
  <w:style w:type="paragraph" w:styleId="Heading3">
    <w:name w:val="heading 3"/>
    <w:basedOn w:val="Normal"/>
    <w:next w:val="FERCparanumber"/>
    <w:qFormat/>
    <w:rsid w:val="00343000"/>
    <w:pPr>
      <w:keepNext/>
      <w:keepLines/>
      <w:widowControl/>
      <w:numPr>
        <w:ilvl w:val="2"/>
        <w:numId w:val="43"/>
      </w:numPr>
      <w:spacing w:after="260"/>
      <w:outlineLvl w:val="2"/>
    </w:pPr>
    <w:rPr>
      <w:b/>
      <w:bCs/>
      <w:kern w:val="32"/>
      <w:szCs w:val="26"/>
      <w:u w:val="single"/>
    </w:rPr>
  </w:style>
  <w:style w:type="paragraph" w:styleId="Heading4">
    <w:name w:val="heading 4"/>
    <w:basedOn w:val="Normal"/>
    <w:next w:val="FERCparanumber"/>
    <w:qFormat/>
    <w:rsid w:val="00343000"/>
    <w:pPr>
      <w:keepNext/>
      <w:keepLines/>
      <w:widowControl/>
      <w:numPr>
        <w:ilvl w:val="3"/>
        <w:numId w:val="43"/>
      </w:numPr>
      <w:spacing w:after="260"/>
      <w:outlineLvl w:val="3"/>
    </w:pPr>
    <w:rPr>
      <w:b/>
      <w:bCs/>
      <w:kern w:val="32"/>
      <w:szCs w:val="28"/>
      <w:u w:val="single"/>
    </w:rPr>
  </w:style>
  <w:style w:type="paragraph" w:styleId="Heading5">
    <w:name w:val="heading 5"/>
    <w:basedOn w:val="Normal"/>
    <w:next w:val="FERCparanumber"/>
    <w:qFormat/>
    <w:rsid w:val="00343000"/>
    <w:pPr>
      <w:keepNext/>
      <w:keepLines/>
      <w:widowControl/>
      <w:numPr>
        <w:ilvl w:val="4"/>
        <w:numId w:val="43"/>
      </w:numPr>
      <w:spacing w:after="260"/>
      <w:outlineLvl w:val="4"/>
    </w:pPr>
    <w:rPr>
      <w:b/>
      <w:bCs/>
      <w:iCs/>
      <w:kern w:val="32"/>
      <w:szCs w:val="26"/>
      <w:u w:val="single"/>
    </w:rPr>
  </w:style>
  <w:style w:type="paragraph" w:styleId="Heading6">
    <w:name w:val="heading 6"/>
    <w:basedOn w:val="Normal"/>
    <w:next w:val="FERCparanumber"/>
    <w:qFormat/>
    <w:rsid w:val="00343000"/>
    <w:pPr>
      <w:keepNext/>
      <w:keepLines/>
      <w:widowControl/>
      <w:numPr>
        <w:ilvl w:val="5"/>
        <w:numId w:val="43"/>
      </w:numPr>
      <w:spacing w:after="260"/>
      <w:outlineLvl w:val="5"/>
    </w:pPr>
    <w:rPr>
      <w:b/>
      <w:bCs/>
      <w:kern w:val="32"/>
      <w:szCs w:val="22"/>
      <w:u w:val="single"/>
    </w:rPr>
  </w:style>
  <w:style w:type="paragraph" w:styleId="Heading7">
    <w:name w:val="heading 7"/>
    <w:basedOn w:val="Normal"/>
    <w:next w:val="FERCparanumber"/>
    <w:qFormat/>
    <w:rsid w:val="00343000"/>
    <w:pPr>
      <w:keepNext/>
      <w:keepLines/>
      <w:widowControl/>
      <w:numPr>
        <w:ilvl w:val="6"/>
        <w:numId w:val="43"/>
      </w:numPr>
      <w:spacing w:after="260"/>
      <w:outlineLvl w:val="6"/>
    </w:pPr>
    <w:rPr>
      <w:b/>
      <w:kern w:val="32"/>
      <w:u w:val="single"/>
    </w:rPr>
  </w:style>
  <w:style w:type="paragraph" w:styleId="Heading8">
    <w:name w:val="heading 8"/>
    <w:basedOn w:val="Normal"/>
    <w:next w:val="FERCparanumber"/>
    <w:qFormat/>
    <w:rsid w:val="00343000"/>
    <w:pPr>
      <w:keepNext/>
      <w:keepLines/>
      <w:widowControl/>
      <w:numPr>
        <w:ilvl w:val="7"/>
        <w:numId w:val="43"/>
      </w:numPr>
      <w:spacing w:after="260"/>
      <w:outlineLvl w:val="7"/>
    </w:pPr>
    <w:rPr>
      <w:b/>
      <w:iCs/>
      <w:kern w:val="32"/>
      <w:u w:val="single"/>
    </w:rPr>
  </w:style>
  <w:style w:type="paragraph" w:styleId="Heading9">
    <w:name w:val="heading 9"/>
    <w:basedOn w:val="Normal"/>
    <w:next w:val="FERCparanumber"/>
    <w:qFormat/>
    <w:rsid w:val="00343000"/>
    <w:pPr>
      <w:keepNext/>
      <w:keepLines/>
      <w:widowControl/>
      <w:numPr>
        <w:ilvl w:val="8"/>
        <w:numId w:val="43"/>
      </w:numPr>
      <w:spacing w:after="260"/>
      <w:outlineLvl w:val="8"/>
    </w:pPr>
    <w:rPr>
      <w:b/>
      <w:kern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Style 13,Style 12,Style 15,Style 17,Style 8,o,fr,(NECG) Footnote Reference,Style 20,o1,fr1,o2,fr2,o3,fr3,Style 9,Style 18,Style 7,Style 19,Style 28"/>
    <w:basedOn w:val="DefaultParagraphFont"/>
    <w:rsid w:val="00301152"/>
    <w:rPr>
      <w:rFonts w:ascii="Times New Roman" w:hAnsi="Times New Roman" w:cs="Times New Roman"/>
      <w:b/>
      <w:dstrike w:val="0"/>
      <w:sz w:val="26"/>
      <w:szCs w:val="26"/>
      <w:vertAlign w:val="superscript"/>
    </w:rPr>
  </w:style>
  <w:style w:type="paragraph" w:styleId="Header">
    <w:name w:val="header"/>
    <w:basedOn w:val="Normal"/>
    <w:link w:val="HeaderChar"/>
    <w:uiPriority w:val="99"/>
    <w:rsid w:val="00301152"/>
    <w:pPr>
      <w:tabs>
        <w:tab w:val="right" w:pos="8640"/>
      </w:tabs>
      <w:spacing w:after="120"/>
    </w:pPr>
  </w:style>
  <w:style w:type="paragraph" w:styleId="Footer">
    <w:name w:val="footer"/>
    <w:basedOn w:val="Normal"/>
    <w:link w:val="FooterChar"/>
    <w:uiPriority w:val="99"/>
    <w:rsid w:val="00301152"/>
    <w:pPr>
      <w:tabs>
        <w:tab w:val="center" w:pos="4320"/>
        <w:tab w:val="right" w:pos="8640"/>
      </w:tabs>
    </w:pPr>
  </w:style>
  <w:style w:type="character" w:styleId="LineNumber">
    <w:name w:val="line number"/>
    <w:basedOn w:val="DefaultParagraphFont"/>
    <w:rsid w:val="00C31BFE"/>
  </w:style>
  <w:style w:type="character" w:styleId="PageNumber">
    <w:name w:val="page number"/>
    <w:basedOn w:val="DefaultParagraphFont"/>
    <w:rsid w:val="00301152"/>
  </w:style>
  <w:style w:type="table" w:styleId="TableGrid">
    <w:name w:val="Table Grid"/>
    <w:basedOn w:val="TableNormal"/>
    <w:rsid w:val="00301152"/>
    <w:pPr>
      <w:widowControl w:val="0"/>
      <w:autoSpaceDE w:val="0"/>
      <w:autoSpaceDN w:val="0"/>
      <w:adjustRightInd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01152"/>
    <w:rPr>
      <w:rFonts w:ascii="Tahoma" w:hAnsi="Tahoma" w:cs="Tahoma"/>
      <w:sz w:val="16"/>
      <w:szCs w:val="16"/>
    </w:rPr>
  </w:style>
  <w:style w:type="character" w:customStyle="1" w:styleId="BalloonTextChar">
    <w:name w:val="Balloon Text Char"/>
    <w:basedOn w:val="DefaultParagraphFont"/>
    <w:link w:val="BalloonText"/>
    <w:rsid w:val="001F7FC3"/>
    <w:rPr>
      <w:rFonts w:ascii="Tahoma" w:hAnsi="Tahoma" w:cs="Tahoma"/>
      <w:sz w:val="16"/>
      <w:szCs w:val="16"/>
      <w:lang w:bidi="ar-SA"/>
    </w:rPr>
  </w:style>
  <w:style w:type="paragraph" w:styleId="Bibliography">
    <w:name w:val="Bibliography"/>
    <w:basedOn w:val="Normal"/>
    <w:next w:val="Normal"/>
    <w:uiPriority w:val="37"/>
    <w:semiHidden/>
    <w:unhideWhenUsed/>
    <w:rsid w:val="00301152"/>
  </w:style>
  <w:style w:type="paragraph" w:customStyle="1" w:styleId="BlockIndent">
    <w:name w:val="Block Indent"/>
    <w:basedOn w:val="Normal"/>
    <w:next w:val="Normal"/>
    <w:rsid w:val="00301152"/>
    <w:pPr>
      <w:widowControl/>
      <w:spacing w:after="240"/>
      <w:ind w:left="1440" w:right="1440"/>
    </w:pPr>
  </w:style>
  <w:style w:type="paragraph" w:styleId="BlockText">
    <w:name w:val="Block Text"/>
    <w:basedOn w:val="Normal"/>
    <w:rsid w:val="00301152"/>
    <w:pPr>
      <w:spacing w:after="120"/>
      <w:ind w:left="1440" w:right="1440"/>
    </w:pPr>
  </w:style>
  <w:style w:type="paragraph" w:styleId="FootnoteText">
    <w:name w:val="footnote text"/>
    <w:aliases w:val="Footnote Text Char,Footnote Text Char1 Char,Footnote Text Char Char Char,Footnote Text Char1,Footnote Text Char Char1,fn,Footnote Text Char Char,fn Char Char,Footnote Text Char1 Char1 Char,Footnote Text Char Char Char1 Char,ft Char Char,ft"/>
    <w:basedOn w:val="Normal"/>
    <w:link w:val="FootnoteTextChar2"/>
    <w:rsid w:val="00301152"/>
    <w:pPr>
      <w:spacing w:after="260"/>
      <w:ind w:firstLine="720"/>
    </w:pPr>
    <w:rPr>
      <w:szCs w:val="20"/>
    </w:rPr>
  </w:style>
  <w:style w:type="character" w:customStyle="1" w:styleId="a">
    <w:basedOn w:val="DefaultParagraphFont"/>
    <w:rsid w:val="00301152"/>
    <w:rPr>
      <w:sz w:val="26"/>
      <w:lang w:bidi="ar-SA"/>
    </w:rPr>
  </w:style>
  <w:style w:type="paragraph" w:customStyle="1" w:styleId="BodyFootnote">
    <w:name w:val="Body Footnote"/>
    <w:basedOn w:val="FootnoteText"/>
    <w:rsid w:val="00301152"/>
    <w:rPr>
      <w:szCs w:val="26"/>
    </w:rPr>
  </w:style>
  <w:style w:type="paragraph" w:styleId="BodyText">
    <w:name w:val="Body Text"/>
    <w:basedOn w:val="Normal"/>
    <w:link w:val="BodyTextChar"/>
    <w:rsid w:val="00301152"/>
    <w:pPr>
      <w:spacing w:after="120"/>
    </w:pPr>
  </w:style>
  <w:style w:type="character" w:customStyle="1" w:styleId="BodyTextChar">
    <w:name w:val="Body Text Char"/>
    <w:basedOn w:val="DefaultParagraphFont"/>
    <w:link w:val="BodyText"/>
    <w:rsid w:val="00301152"/>
    <w:rPr>
      <w:sz w:val="26"/>
      <w:szCs w:val="24"/>
      <w:lang w:bidi="ar-SA"/>
    </w:rPr>
  </w:style>
  <w:style w:type="paragraph" w:styleId="BodyText2">
    <w:name w:val="Body Text 2"/>
    <w:basedOn w:val="Normal"/>
    <w:link w:val="BodyText2Char"/>
    <w:rsid w:val="00301152"/>
    <w:pPr>
      <w:spacing w:after="120" w:line="480" w:lineRule="auto"/>
    </w:pPr>
  </w:style>
  <w:style w:type="character" w:customStyle="1" w:styleId="BodyText2Char">
    <w:name w:val="Body Text 2 Char"/>
    <w:basedOn w:val="DefaultParagraphFont"/>
    <w:link w:val="BodyText2"/>
    <w:rsid w:val="00301152"/>
    <w:rPr>
      <w:sz w:val="26"/>
      <w:szCs w:val="24"/>
      <w:lang w:bidi="ar-SA"/>
    </w:rPr>
  </w:style>
  <w:style w:type="paragraph" w:styleId="BodyText3">
    <w:name w:val="Body Text 3"/>
    <w:basedOn w:val="Normal"/>
    <w:link w:val="BodyText3Char"/>
    <w:rsid w:val="00301152"/>
    <w:pPr>
      <w:spacing w:after="120"/>
    </w:pPr>
    <w:rPr>
      <w:sz w:val="16"/>
      <w:szCs w:val="16"/>
    </w:rPr>
  </w:style>
  <w:style w:type="character" w:customStyle="1" w:styleId="BodyText3Char">
    <w:name w:val="Body Text 3 Char"/>
    <w:basedOn w:val="DefaultParagraphFont"/>
    <w:link w:val="BodyText3"/>
    <w:rsid w:val="00301152"/>
    <w:rPr>
      <w:sz w:val="16"/>
      <w:szCs w:val="16"/>
      <w:lang w:bidi="ar-SA"/>
    </w:rPr>
  </w:style>
  <w:style w:type="paragraph" w:styleId="BodyTextFirstIndent">
    <w:name w:val="Body Text First Indent"/>
    <w:basedOn w:val="BodyText"/>
    <w:link w:val="BodyTextFirstIndentChar"/>
    <w:rsid w:val="00301152"/>
    <w:pPr>
      <w:ind w:firstLine="210"/>
    </w:pPr>
  </w:style>
  <w:style w:type="character" w:customStyle="1" w:styleId="BodyTextFirstIndentChar">
    <w:name w:val="Body Text First Indent Char"/>
    <w:basedOn w:val="BodyTextChar"/>
    <w:link w:val="BodyTextFirstIndent"/>
    <w:rsid w:val="00301152"/>
    <w:rPr>
      <w:sz w:val="26"/>
      <w:szCs w:val="24"/>
      <w:lang w:bidi="ar-SA"/>
    </w:rPr>
  </w:style>
  <w:style w:type="paragraph" w:styleId="BodyTextIndent">
    <w:name w:val="Body Text Indent"/>
    <w:basedOn w:val="Normal"/>
    <w:link w:val="BodyTextIndentChar"/>
    <w:rsid w:val="00301152"/>
    <w:pPr>
      <w:spacing w:after="120"/>
      <w:ind w:left="360"/>
    </w:pPr>
  </w:style>
  <w:style w:type="character" w:customStyle="1" w:styleId="BodyTextIndentChar">
    <w:name w:val="Body Text Indent Char"/>
    <w:basedOn w:val="DefaultParagraphFont"/>
    <w:link w:val="BodyTextIndent"/>
    <w:rsid w:val="00301152"/>
    <w:rPr>
      <w:sz w:val="26"/>
      <w:szCs w:val="24"/>
      <w:lang w:bidi="ar-SA"/>
    </w:rPr>
  </w:style>
  <w:style w:type="paragraph" w:styleId="BodyTextFirstIndent2">
    <w:name w:val="Body Text First Indent 2"/>
    <w:basedOn w:val="BodyTextIndent"/>
    <w:link w:val="BodyTextFirstIndent2Char"/>
    <w:rsid w:val="00301152"/>
    <w:pPr>
      <w:ind w:firstLine="210"/>
    </w:pPr>
  </w:style>
  <w:style w:type="character" w:customStyle="1" w:styleId="BodyTextFirstIndent2Char">
    <w:name w:val="Body Text First Indent 2 Char"/>
    <w:basedOn w:val="BodyTextIndentChar"/>
    <w:link w:val="BodyTextFirstIndent2"/>
    <w:rsid w:val="00301152"/>
    <w:rPr>
      <w:sz w:val="26"/>
      <w:szCs w:val="24"/>
      <w:lang w:bidi="ar-SA"/>
    </w:rPr>
  </w:style>
  <w:style w:type="paragraph" w:styleId="BodyTextIndent2">
    <w:name w:val="Body Text Indent 2"/>
    <w:basedOn w:val="Normal"/>
    <w:link w:val="BodyTextIndent2Char"/>
    <w:rsid w:val="00301152"/>
    <w:pPr>
      <w:spacing w:after="120" w:line="480" w:lineRule="auto"/>
      <w:ind w:left="360"/>
    </w:pPr>
  </w:style>
  <w:style w:type="character" w:customStyle="1" w:styleId="BodyTextIndent2Char">
    <w:name w:val="Body Text Indent 2 Char"/>
    <w:basedOn w:val="DefaultParagraphFont"/>
    <w:link w:val="BodyTextIndent2"/>
    <w:rsid w:val="00301152"/>
    <w:rPr>
      <w:sz w:val="26"/>
      <w:szCs w:val="24"/>
      <w:lang w:bidi="ar-SA"/>
    </w:rPr>
  </w:style>
  <w:style w:type="paragraph" w:styleId="BodyTextIndent3">
    <w:name w:val="Body Text Indent 3"/>
    <w:basedOn w:val="Normal"/>
    <w:link w:val="BodyTextIndent3Char"/>
    <w:rsid w:val="00301152"/>
    <w:pPr>
      <w:spacing w:after="120"/>
      <w:ind w:left="360"/>
    </w:pPr>
    <w:rPr>
      <w:sz w:val="16"/>
      <w:szCs w:val="16"/>
    </w:rPr>
  </w:style>
  <w:style w:type="character" w:customStyle="1" w:styleId="BodyTextIndent3Char">
    <w:name w:val="Body Text Indent 3 Char"/>
    <w:basedOn w:val="DefaultParagraphFont"/>
    <w:link w:val="BodyTextIndent3"/>
    <w:rsid w:val="00301152"/>
    <w:rPr>
      <w:sz w:val="16"/>
      <w:szCs w:val="16"/>
      <w:lang w:bidi="ar-SA"/>
    </w:rPr>
  </w:style>
  <w:style w:type="paragraph" w:styleId="Caption">
    <w:name w:val="caption"/>
    <w:basedOn w:val="Normal"/>
    <w:next w:val="Normal"/>
    <w:qFormat/>
    <w:rsid w:val="00301152"/>
    <w:pPr>
      <w:spacing w:before="120" w:after="120"/>
    </w:pPr>
    <w:rPr>
      <w:b/>
      <w:bCs/>
      <w:sz w:val="20"/>
      <w:szCs w:val="20"/>
    </w:rPr>
  </w:style>
  <w:style w:type="paragraph" w:styleId="Closing">
    <w:name w:val="Closing"/>
    <w:basedOn w:val="Normal"/>
    <w:link w:val="ClosingChar"/>
    <w:rsid w:val="00301152"/>
    <w:pPr>
      <w:ind w:left="4320"/>
    </w:pPr>
  </w:style>
  <w:style w:type="character" w:customStyle="1" w:styleId="ClosingChar">
    <w:name w:val="Closing Char"/>
    <w:basedOn w:val="DefaultParagraphFont"/>
    <w:link w:val="Closing"/>
    <w:rsid w:val="00301152"/>
    <w:rPr>
      <w:sz w:val="26"/>
      <w:szCs w:val="24"/>
      <w:lang w:bidi="ar-SA"/>
    </w:rPr>
  </w:style>
  <w:style w:type="paragraph" w:styleId="CommentText">
    <w:name w:val="annotation text"/>
    <w:basedOn w:val="Normal"/>
    <w:link w:val="CommentTextChar"/>
    <w:semiHidden/>
    <w:rsid w:val="00301152"/>
    <w:rPr>
      <w:sz w:val="20"/>
      <w:szCs w:val="20"/>
    </w:rPr>
  </w:style>
  <w:style w:type="character" w:customStyle="1" w:styleId="CommentTextChar">
    <w:name w:val="Comment Text Char"/>
    <w:basedOn w:val="DefaultParagraphFont"/>
    <w:link w:val="CommentText"/>
    <w:semiHidden/>
    <w:rsid w:val="00301152"/>
    <w:rPr>
      <w:lang w:bidi="ar-SA"/>
    </w:rPr>
  </w:style>
  <w:style w:type="paragraph" w:styleId="CommentSubject">
    <w:name w:val="annotation subject"/>
    <w:basedOn w:val="CommentText"/>
    <w:next w:val="CommentText"/>
    <w:link w:val="CommentSubjectChar"/>
    <w:semiHidden/>
    <w:rsid w:val="00301152"/>
    <w:rPr>
      <w:b/>
      <w:bCs/>
    </w:rPr>
  </w:style>
  <w:style w:type="character" w:customStyle="1" w:styleId="CommentSubjectChar">
    <w:name w:val="Comment Subject Char"/>
    <w:basedOn w:val="CommentTextChar"/>
    <w:link w:val="CommentSubject"/>
    <w:semiHidden/>
    <w:rsid w:val="00301152"/>
    <w:rPr>
      <w:b/>
      <w:bCs/>
      <w:lang w:bidi="ar-SA"/>
    </w:rPr>
  </w:style>
  <w:style w:type="paragraph" w:styleId="Date">
    <w:name w:val="Date"/>
    <w:basedOn w:val="Normal"/>
    <w:next w:val="Normal"/>
    <w:link w:val="DateChar"/>
    <w:rsid w:val="00301152"/>
  </w:style>
  <w:style w:type="character" w:customStyle="1" w:styleId="DateChar">
    <w:name w:val="Date Char"/>
    <w:basedOn w:val="DefaultParagraphFont"/>
    <w:link w:val="Date"/>
    <w:rsid w:val="00301152"/>
    <w:rPr>
      <w:sz w:val="26"/>
      <w:szCs w:val="24"/>
      <w:lang w:bidi="ar-SA"/>
    </w:rPr>
  </w:style>
  <w:style w:type="paragraph" w:styleId="DocumentMap">
    <w:name w:val="Document Map"/>
    <w:basedOn w:val="Normal"/>
    <w:link w:val="DocumentMapChar"/>
    <w:semiHidden/>
    <w:rsid w:val="00301152"/>
    <w:pPr>
      <w:shd w:val="clear" w:color="auto" w:fill="000080"/>
    </w:pPr>
    <w:rPr>
      <w:rFonts w:ascii="Tahoma" w:hAnsi="Tahoma" w:cs="Tahoma"/>
    </w:rPr>
  </w:style>
  <w:style w:type="character" w:customStyle="1" w:styleId="DocumentMapChar">
    <w:name w:val="Document Map Char"/>
    <w:basedOn w:val="DefaultParagraphFont"/>
    <w:link w:val="DocumentMap"/>
    <w:semiHidden/>
    <w:rsid w:val="00301152"/>
    <w:rPr>
      <w:rFonts w:ascii="Tahoma" w:hAnsi="Tahoma" w:cs="Tahoma"/>
      <w:sz w:val="26"/>
      <w:szCs w:val="24"/>
      <w:shd w:val="clear" w:color="auto" w:fill="000080"/>
      <w:lang w:bidi="ar-SA"/>
    </w:rPr>
  </w:style>
  <w:style w:type="paragraph" w:styleId="E-mailSignature">
    <w:name w:val="E-mail Signature"/>
    <w:basedOn w:val="Normal"/>
    <w:link w:val="E-mailSignatureChar"/>
    <w:rsid w:val="00301152"/>
  </w:style>
  <w:style w:type="character" w:customStyle="1" w:styleId="E-mailSignatureChar">
    <w:name w:val="E-mail Signature Char"/>
    <w:basedOn w:val="DefaultParagraphFont"/>
    <w:link w:val="E-mailSignature"/>
    <w:rsid w:val="00301152"/>
    <w:rPr>
      <w:sz w:val="26"/>
      <w:szCs w:val="24"/>
      <w:lang w:bidi="ar-SA"/>
    </w:rPr>
  </w:style>
  <w:style w:type="paragraph" w:styleId="EndnoteText">
    <w:name w:val="endnote text"/>
    <w:basedOn w:val="Normal"/>
    <w:link w:val="EndnoteTextChar"/>
    <w:semiHidden/>
    <w:rsid w:val="00301152"/>
    <w:rPr>
      <w:sz w:val="20"/>
      <w:szCs w:val="20"/>
    </w:rPr>
  </w:style>
  <w:style w:type="character" w:customStyle="1" w:styleId="EndnoteTextChar">
    <w:name w:val="Endnote Text Char"/>
    <w:basedOn w:val="DefaultParagraphFont"/>
    <w:link w:val="EndnoteText"/>
    <w:semiHidden/>
    <w:rsid w:val="00301152"/>
    <w:rPr>
      <w:lang w:bidi="ar-SA"/>
    </w:rPr>
  </w:style>
  <w:style w:type="paragraph" w:styleId="EnvelopeAddress">
    <w:name w:val="envelope address"/>
    <w:basedOn w:val="Normal"/>
    <w:rsid w:val="0030115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301152"/>
    <w:rPr>
      <w:rFonts w:ascii="Arial" w:hAnsi="Arial" w:cs="Arial"/>
      <w:sz w:val="20"/>
      <w:szCs w:val="20"/>
    </w:rPr>
  </w:style>
  <w:style w:type="paragraph" w:customStyle="1" w:styleId="FERCparanumber">
    <w:name w:val="FERC paranumber"/>
    <w:basedOn w:val="Normal"/>
    <w:qFormat/>
    <w:rsid w:val="001A68C8"/>
    <w:pPr>
      <w:widowControl/>
      <w:numPr>
        <w:numId w:val="1"/>
      </w:numPr>
      <w:spacing w:line="480" w:lineRule="auto"/>
    </w:pPr>
  </w:style>
  <w:style w:type="character" w:customStyle="1" w:styleId="Heading1Char">
    <w:name w:val="Heading 1 Char"/>
    <w:basedOn w:val="DefaultParagraphFont"/>
    <w:rsid w:val="0025400C"/>
    <w:rPr>
      <w:b/>
      <w:bCs/>
      <w:kern w:val="32"/>
      <w:sz w:val="26"/>
      <w:szCs w:val="32"/>
      <w:u w:val="single"/>
      <w:lang w:bidi="ar-SA"/>
    </w:rPr>
  </w:style>
  <w:style w:type="character" w:customStyle="1" w:styleId="Heading2Char">
    <w:name w:val="Heading 2 Char"/>
    <w:basedOn w:val="DefaultParagraphFont"/>
    <w:rsid w:val="0025400C"/>
    <w:rPr>
      <w:b/>
      <w:bCs/>
      <w:iCs/>
      <w:kern w:val="32"/>
      <w:sz w:val="26"/>
      <w:szCs w:val="28"/>
      <w:u w:val="single"/>
      <w:lang w:bidi="ar-SA"/>
    </w:rPr>
  </w:style>
  <w:style w:type="character" w:customStyle="1" w:styleId="Heading3Char">
    <w:name w:val="Heading 3 Char"/>
    <w:basedOn w:val="DefaultParagraphFont"/>
    <w:rsid w:val="0025400C"/>
    <w:rPr>
      <w:b/>
      <w:bCs/>
      <w:kern w:val="32"/>
      <w:sz w:val="26"/>
      <w:szCs w:val="26"/>
      <w:u w:val="single"/>
      <w:lang w:bidi="ar-SA"/>
    </w:rPr>
  </w:style>
  <w:style w:type="character" w:customStyle="1" w:styleId="Heading4Char">
    <w:name w:val="Heading 4 Char"/>
    <w:basedOn w:val="DefaultParagraphFont"/>
    <w:rsid w:val="0025400C"/>
    <w:rPr>
      <w:b/>
      <w:bCs/>
      <w:kern w:val="32"/>
      <w:sz w:val="26"/>
      <w:szCs w:val="28"/>
      <w:u w:val="single"/>
      <w:lang w:bidi="ar-SA"/>
    </w:rPr>
  </w:style>
  <w:style w:type="character" w:customStyle="1" w:styleId="Heading5Char">
    <w:name w:val="Heading 5 Char"/>
    <w:basedOn w:val="DefaultParagraphFont"/>
    <w:rsid w:val="0025400C"/>
    <w:rPr>
      <w:b/>
      <w:bCs/>
      <w:iCs/>
      <w:kern w:val="32"/>
      <w:sz w:val="26"/>
      <w:szCs w:val="26"/>
      <w:u w:val="single"/>
      <w:lang w:bidi="ar-SA"/>
    </w:rPr>
  </w:style>
  <w:style w:type="character" w:customStyle="1" w:styleId="Heading6Char">
    <w:name w:val="Heading 6 Char"/>
    <w:basedOn w:val="DefaultParagraphFont"/>
    <w:rsid w:val="0025400C"/>
    <w:rPr>
      <w:b/>
      <w:bCs/>
      <w:kern w:val="32"/>
      <w:sz w:val="26"/>
      <w:szCs w:val="22"/>
      <w:u w:val="single"/>
      <w:lang w:bidi="ar-SA"/>
    </w:rPr>
  </w:style>
  <w:style w:type="character" w:customStyle="1" w:styleId="Heading7Char">
    <w:name w:val="Heading 7 Char"/>
    <w:basedOn w:val="DefaultParagraphFont"/>
    <w:rsid w:val="0025400C"/>
    <w:rPr>
      <w:b/>
      <w:kern w:val="32"/>
      <w:sz w:val="26"/>
      <w:szCs w:val="24"/>
      <w:u w:val="single"/>
      <w:lang w:bidi="ar-SA"/>
    </w:rPr>
  </w:style>
  <w:style w:type="character" w:customStyle="1" w:styleId="Heading8Char">
    <w:name w:val="Heading 8 Char"/>
    <w:basedOn w:val="DefaultParagraphFont"/>
    <w:rsid w:val="0025400C"/>
    <w:rPr>
      <w:b/>
      <w:iCs/>
      <w:kern w:val="32"/>
      <w:sz w:val="26"/>
      <w:szCs w:val="24"/>
      <w:u w:val="single"/>
      <w:lang w:bidi="ar-SA"/>
    </w:rPr>
  </w:style>
  <w:style w:type="character" w:customStyle="1" w:styleId="Heading9Char">
    <w:name w:val="Heading 9 Char"/>
    <w:basedOn w:val="DefaultParagraphFont"/>
    <w:rsid w:val="0025400C"/>
    <w:rPr>
      <w:b/>
      <w:kern w:val="32"/>
      <w:sz w:val="26"/>
      <w:szCs w:val="22"/>
      <w:u w:val="single"/>
      <w:lang w:bidi="ar-SA"/>
    </w:rPr>
  </w:style>
  <w:style w:type="paragraph" w:styleId="HTMLAddress">
    <w:name w:val="HTML Address"/>
    <w:basedOn w:val="Normal"/>
    <w:link w:val="HTMLAddressChar"/>
    <w:rsid w:val="00301152"/>
    <w:rPr>
      <w:i/>
      <w:iCs/>
    </w:rPr>
  </w:style>
  <w:style w:type="character" w:customStyle="1" w:styleId="HTMLAddressChar">
    <w:name w:val="HTML Address Char"/>
    <w:basedOn w:val="DefaultParagraphFont"/>
    <w:link w:val="HTMLAddress"/>
    <w:rsid w:val="00301152"/>
    <w:rPr>
      <w:i/>
      <w:iCs/>
      <w:sz w:val="26"/>
      <w:szCs w:val="24"/>
      <w:lang w:bidi="ar-SA"/>
    </w:rPr>
  </w:style>
  <w:style w:type="paragraph" w:styleId="HTMLPreformatted">
    <w:name w:val="HTML Preformatted"/>
    <w:basedOn w:val="Normal"/>
    <w:link w:val="HTMLPreformattedChar"/>
    <w:rsid w:val="00301152"/>
    <w:rPr>
      <w:rFonts w:ascii="Courier New" w:hAnsi="Courier New" w:cs="Courier New"/>
      <w:sz w:val="20"/>
      <w:szCs w:val="20"/>
    </w:rPr>
  </w:style>
  <w:style w:type="character" w:customStyle="1" w:styleId="HTMLPreformattedChar">
    <w:name w:val="HTML Preformatted Char"/>
    <w:basedOn w:val="DefaultParagraphFont"/>
    <w:link w:val="HTMLPreformatted"/>
    <w:rsid w:val="00301152"/>
    <w:rPr>
      <w:rFonts w:ascii="Courier New" w:hAnsi="Courier New" w:cs="Courier New"/>
      <w:lang w:bidi="ar-SA"/>
    </w:rPr>
  </w:style>
  <w:style w:type="paragraph" w:styleId="Index1">
    <w:name w:val="index 1"/>
    <w:basedOn w:val="Normal"/>
    <w:next w:val="Normal"/>
    <w:semiHidden/>
    <w:rsid w:val="00301152"/>
    <w:pPr>
      <w:ind w:left="260" w:hanging="260"/>
    </w:pPr>
  </w:style>
  <w:style w:type="paragraph" w:styleId="Index2">
    <w:name w:val="index 2"/>
    <w:basedOn w:val="Normal"/>
    <w:next w:val="Normal"/>
    <w:semiHidden/>
    <w:rsid w:val="00301152"/>
    <w:pPr>
      <w:ind w:left="520" w:hanging="260"/>
    </w:pPr>
  </w:style>
  <w:style w:type="paragraph" w:styleId="Index3">
    <w:name w:val="index 3"/>
    <w:basedOn w:val="Normal"/>
    <w:next w:val="Normal"/>
    <w:semiHidden/>
    <w:rsid w:val="00301152"/>
    <w:pPr>
      <w:ind w:left="780" w:hanging="260"/>
    </w:pPr>
  </w:style>
  <w:style w:type="paragraph" w:styleId="Index4">
    <w:name w:val="index 4"/>
    <w:basedOn w:val="Normal"/>
    <w:next w:val="Normal"/>
    <w:semiHidden/>
    <w:rsid w:val="00301152"/>
    <w:pPr>
      <w:ind w:left="1040" w:hanging="260"/>
    </w:pPr>
  </w:style>
  <w:style w:type="paragraph" w:styleId="Index5">
    <w:name w:val="index 5"/>
    <w:basedOn w:val="Normal"/>
    <w:next w:val="Normal"/>
    <w:semiHidden/>
    <w:rsid w:val="00301152"/>
    <w:pPr>
      <w:ind w:left="1300" w:hanging="260"/>
    </w:pPr>
  </w:style>
  <w:style w:type="paragraph" w:styleId="Index6">
    <w:name w:val="index 6"/>
    <w:basedOn w:val="Normal"/>
    <w:next w:val="Normal"/>
    <w:semiHidden/>
    <w:rsid w:val="00301152"/>
    <w:pPr>
      <w:ind w:left="1560" w:hanging="260"/>
    </w:pPr>
  </w:style>
  <w:style w:type="paragraph" w:styleId="Index7">
    <w:name w:val="index 7"/>
    <w:basedOn w:val="Normal"/>
    <w:next w:val="Normal"/>
    <w:semiHidden/>
    <w:rsid w:val="00301152"/>
    <w:pPr>
      <w:ind w:left="1820" w:hanging="260"/>
    </w:pPr>
  </w:style>
  <w:style w:type="paragraph" w:styleId="Index8">
    <w:name w:val="index 8"/>
    <w:basedOn w:val="Normal"/>
    <w:next w:val="Normal"/>
    <w:semiHidden/>
    <w:rsid w:val="00301152"/>
    <w:pPr>
      <w:ind w:left="2080" w:hanging="260"/>
    </w:pPr>
  </w:style>
  <w:style w:type="paragraph" w:styleId="Index9">
    <w:name w:val="index 9"/>
    <w:basedOn w:val="Normal"/>
    <w:next w:val="Normal"/>
    <w:semiHidden/>
    <w:rsid w:val="00301152"/>
    <w:pPr>
      <w:ind w:left="2340" w:hanging="260"/>
    </w:pPr>
  </w:style>
  <w:style w:type="paragraph" w:styleId="IndexHeading">
    <w:name w:val="index heading"/>
    <w:basedOn w:val="Normal"/>
    <w:next w:val="Index1"/>
    <w:semiHidden/>
    <w:rsid w:val="00301152"/>
    <w:rPr>
      <w:rFonts w:ascii="Arial" w:hAnsi="Arial" w:cs="Arial"/>
      <w:b/>
      <w:bCs/>
    </w:rPr>
  </w:style>
  <w:style w:type="paragraph" w:styleId="IntenseQuote">
    <w:name w:val="Intense Quote"/>
    <w:basedOn w:val="Normal"/>
    <w:next w:val="Normal"/>
    <w:link w:val="IntenseQuoteChar"/>
    <w:uiPriority w:val="30"/>
    <w:qFormat/>
    <w:rsid w:val="003011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1152"/>
    <w:rPr>
      <w:b/>
      <w:bCs/>
      <w:i/>
      <w:iCs/>
      <w:color w:val="4F81BD" w:themeColor="accent1"/>
      <w:sz w:val="26"/>
      <w:szCs w:val="24"/>
      <w:lang w:bidi="ar-SA"/>
    </w:rPr>
  </w:style>
  <w:style w:type="paragraph" w:styleId="List">
    <w:name w:val="List"/>
    <w:basedOn w:val="Normal"/>
    <w:rsid w:val="00301152"/>
    <w:pPr>
      <w:ind w:left="360" w:hanging="360"/>
    </w:pPr>
  </w:style>
  <w:style w:type="paragraph" w:styleId="List2">
    <w:name w:val="List 2"/>
    <w:basedOn w:val="Normal"/>
    <w:rsid w:val="00301152"/>
    <w:pPr>
      <w:ind w:left="720" w:hanging="360"/>
    </w:pPr>
  </w:style>
  <w:style w:type="paragraph" w:styleId="List3">
    <w:name w:val="List 3"/>
    <w:basedOn w:val="Normal"/>
    <w:rsid w:val="00301152"/>
    <w:pPr>
      <w:ind w:left="1080" w:hanging="360"/>
    </w:pPr>
  </w:style>
  <w:style w:type="paragraph" w:styleId="List4">
    <w:name w:val="List 4"/>
    <w:basedOn w:val="Normal"/>
    <w:rsid w:val="00301152"/>
    <w:pPr>
      <w:ind w:left="1440" w:hanging="360"/>
    </w:pPr>
  </w:style>
  <w:style w:type="paragraph" w:styleId="List5">
    <w:name w:val="List 5"/>
    <w:basedOn w:val="Normal"/>
    <w:rsid w:val="00301152"/>
    <w:pPr>
      <w:ind w:left="1800" w:hanging="360"/>
    </w:pPr>
  </w:style>
  <w:style w:type="paragraph" w:styleId="ListBullet">
    <w:name w:val="List Bullet"/>
    <w:basedOn w:val="Normal"/>
    <w:rsid w:val="00301152"/>
    <w:pPr>
      <w:numPr>
        <w:numId w:val="2"/>
      </w:numPr>
    </w:pPr>
  </w:style>
  <w:style w:type="paragraph" w:styleId="ListBullet2">
    <w:name w:val="List Bullet 2"/>
    <w:basedOn w:val="Normal"/>
    <w:rsid w:val="00301152"/>
    <w:pPr>
      <w:numPr>
        <w:numId w:val="3"/>
      </w:numPr>
    </w:pPr>
  </w:style>
  <w:style w:type="paragraph" w:styleId="ListBullet3">
    <w:name w:val="List Bullet 3"/>
    <w:basedOn w:val="Normal"/>
    <w:rsid w:val="00301152"/>
    <w:pPr>
      <w:numPr>
        <w:numId w:val="4"/>
      </w:numPr>
    </w:pPr>
  </w:style>
  <w:style w:type="paragraph" w:styleId="ListBullet4">
    <w:name w:val="List Bullet 4"/>
    <w:basedOn w:val="Normal"/>
    <w:rsid w:val="00301152"/>
    <w:pPr>
      <w:numPr>
        <w:numId w:val="5"/>
      </w:numPr>
    </w:pPr>
  </w:style>
  <w:style w:type="paragraph" w:styleId="ListBullet5">
    <w:name w:val="List Bullet 5"/>
    <w:basedOn w:val="Normal"/>
    <w:rsid w:val="00301152"/>
    <w:pPr>
      <w:numPr>
        <w:numId w:val="6"/>
      </w:numPr>
    </w:pPr>
  </w:style>
  <w:style w:type="paragraph" w:styleId="ListContinue">
    <w:name w:val="List Continue"/>
    <w:basedOn w:val="Normal"/>
    <w:semiHidden/>
    <w:rsid w:val="00301152"/>
    <w:pPr>
      <w:widowControl/>
      <w:autoSpaceDE/>
      <w:autoSpaceDN/>
      <w:adjustRightInd/>
      <w:spacing w:after="120"/>
      <w:ind w:left="360"/>
    </w:pPr>
  </w:style>
  <w:style w:type="paragraph" w:styleId="ListContinue2">
    <w:name w:val="List Continue 2"/>
    <w:basedOn w:val="Normal"/>
    <w:rsid w:val="00301152"/>
    <w:pPr>
      <w:spacing w:after="120"/>
      <w:ind w:left="720"/>
    </w:pPr>
  </w:style>
  <w:style w:type="paragraph" w:styleId="ListContinue3">
    <w:name w:val="List Continue 3"/>
    <w:basedOn w:val="Normal"/>
    <w:rsid w:val="00301152"/>
    <w:pPr>
      <w:spacing w:after="120"/>
      <w:ind w:left="1080"/>
    </w:pPr>
  </w:style>
  <w:style w:type="paragraph" w:styleId="ListContinue4">
    <w:name w:val="List Continue 4"/>
    <w:basedOn w:val="Normal"/>
    <w:rsid w:val="00301152"/>
    <w:pPr>
      <w:spacing w:after="120"/>
      <w:ind w:left="1440"/>
    </w:pPr>
  </w:style>
  <w:style w:type="paragraph" w:styleId="ListContinue5">
    <w:name w:val="List Continue 5"/>
    <w:basedOn w:val="Normal"/>
    <w:rsid w:val="00301152"/>
    <w:pPr>
      <w:spacing w:after="120"/>
      <w:ind w:left="1800"/>
    </w:pPr>
  </w:style>
  <w:style w:type="paragraph" w:styleId="ListNumber">
    <w:name w:val="List Number"/>
    <w:basedOn w:val="Normal"/>
    <w:rsid w:val="00301152"/>
    <w:pPr>
      <w:numPr>
        <w:numId w:val="7"/>
      </w:numPr>
    </w:pPr>
  </w:style>
  <w:style w:type="paragraph" w:styleId="ListNumber2">
    <w:name w:val="List Number 2"/>
    <w:basedOn w:val="Normal"/>
    <w:rsid w:val="00301152"/>
    <w:pPr>
      <w:numPr>
        <w:numId w:val="8"/>
      </w:numPr>
    </w:pPr>
  </w:style>
  <w:style w:type="paragraph" w:styleId="ListNumber3">
    <w:name w:val="List Number 3"/>
    <w:basedOn w:val="Normal"/>
    <w:rsid w:val="00301152"/>
    <w:pPr>
      <w:numPr>
        <w:numId w:val="9"/>
      </w:numPr>
    </w:pPr>
  </w:style>
  <w:style w:type="paragraph" w:styleId="ListNumber4">
    <w:name w:val="List Number 4"/>
    <w:basedOn w:val="Normal"/>
    <w:rsid w:val="00301152"/>
    <w:pPr>
      <w:numPr>
        <w:numId w:val="10"/>
      </w:numPr>
    </w:pPr>
  </w:style>
  <w:style w:type="paragraph" w:styleId="ListNumber5">
    <w:name w:val="List Number 5"/>
    <w:basedOn w:val="Normal"/>
    <w:rsid w:val="00301152"/>
    <w:pPr>
      <w:numPr>
        <w:numId w:val="11"/>
      </w:numPr>
    </w:pPr>
  </w:style>
  <w:style w:type="paragraph" w:styleId="ListParagraph">
    <w:name w:val="List Paragraph"/>
    <w:basedOn w:val="Normal"/>
    <w:qFormat/>
    <w:rsid w:val="00301152"/>
    <w:pPr>
      <w:ind w:left="720"/>
      <w:contextualSpacing/>
    </w:pPr>
  </w:style>
  <w:style w:type="paragraph" w:styleId="MacroText">
    <w:name w:val="macro"/>
    <w:link w:val="MacroTextChar"/>
    <w:semiHidden/>
    <w:rsid w:val="00301152"/>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lang w:bidi="ar-SA"/>
    </w:rPr>
  </w:style>
  <w:style w:type="character" w:customStyle="1" w:styleId="MacroTextChar">
    <w:name w:val="Macro Text Char"/>
    <w:basedOn w:val="DefaultParagraphFont"/>
    <w:link w:val="MacroText"/>
    <w:semiHidden/>
    <w:rsid w:val="00301152"/>
    <w:rPr>
      <w:rFonts w:ascii="Courier New" w:hAnsi="Courier New" w:cs="Courier New"/>
      <w:lang w:bidi="ar-SA"/>
    </w:rPr>
  </w:style>
  <w:style w:type="paragraph" w:styleId="MessageHeader">
    <w:name w:val="Message Header"/>
    <w:basedOn w:val="Normal"/>
    <w:link w:val="MessageHeaderChar"/>
    <w:rsid w:val="0030115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301152"/>
    <w:rPr>
      <w:rFonts w:ascii="Arial" w:hAnsi="Arial" w:cs="Arial"/>
      <w:sz w:val="24"/>
      <w:szCs w:val="24"/>
      <w:shd w:val="pct20" w:color="auto" w:fill="auto"/>
      <w:lang w:bidi="ar-SA"/>
    </w:rPr>
  </w:style>
  <w:style w:type="paragraph" w:customStyle="1" w:styleId="myTOC1">
    <w:name w:val="myTOC 1"/>
    <w:basedOn w:val="Normal"/>
    <w:next w:val="Normal"/>
    <w:rsid w:val="00301152"/>
    <w:pPr>
      <w:tabs>
        <w:tab w:val="left" w:leader="dot" w:pos="9648"/>
      </w:tabs>
      <w:spacing w:before="120"/>
    </w:pPr>
    <w:rPr>
      <w:szCs w:val="26"/>
    </w:rPr>
  </w:style>
  <w:style w:type="paragraph" w:customStyle="1" w:styleId="myTOC2">
    <w:name w:val="myTOC 2"/>
    <w:basedOn w:val="Normal"/>
    <w:next w:val="Normal"/>
    <w:rsid w:val="00301152"/>
    <w:pPr>
      <w:tabs>
        <w:tab w:val="left" w:leader="dot" w:pos="9648"/>
      </w:tabs>
      <w:ind w:left="288"/>
    </w:pPr>
    <w:rPr>
      <w:szCs w:val="26"/>
    </w:rPr>
  </w:style>
  <w:style w:type="paragraph" w:customStyle="1" w:styleId="myTOC3">
    <w:name w:val="myTOC 3"/>
    <w:basedOn w:val="Normal"/>
    <w:next w:val="Normal"/>
    <w:rsid w:val="00301152"/>
    <w:pPr>
      <w:tabs>
        <w:tab w:val="left" w:leader="dot" w:pos="9648"/>
      </w:tabs>
      <w:ind w:left="576"/>
    </w:pPr>
    <w:rPr>
      <w:szCs w:val="26"/>
    </w:rPr>
  </w:style>
  <w:style w:type="paragraph" w:customStyle="1" w:styleId="myTOC4">
    <w:name w:val="myTOC 4"/>
    <w:basedOn w:val="Normal"/>
    <w:next w:val="Normal"/>
    <w:rsid w:val="00301152"/>
    <w:pPr>
      <w:tabs>
        <w:tab w:val="left" w:leader="dot" w:pos="9648"/>
      </w:tabs>
      <w:ind w:left="864"/>
    </w:pPr>
    <w:rPr>
      <w:szCs w:val="26"/>
    </w:rPr>
  </w:style>
  <w:style w:type="paragraph" w:customStyle="1" w:styleId="myTOC5">
    <w:name w:val="myTOC 5"/>
    <w:basedOn w:val="Normal"/>
    <w:next w:val="Normal"/>
    <w:rsid w:val="00301152"/>
    <w:pPr>
      <w:tabs>
        <w:tab w:val="left" w:leader="dot" w:pos="9648"/>
      </w:tabs>
      <w:ind w:left="1152"/>
    </w:pPr>
    <w:rPr>
      <w:szCs w:val="26"/>
    </w:rPr>
  </w:style>
  <w:style w:type="paragraph" w:customStyle="1" w:styleId="myTOC6">
    <w:name w:val="myTOC 6"/>
    <w:basedOn w:val="Normal"/>
    <w:next w:val="Normal"/>
    <w:rsid w:val="00301152"/>
    <w:pPr>
      <w:widowControl/>
      <w:tabs>
        <w:tab w:val="left" w:leader="dot" w:pos="9648"/>
      </w:tabs>
      <w:autoSpaceDE/>
      <w:autoSpaceDN/>
      <w:adjustRightInd/>
      <w:ind w:left="1440"/>
    </w:pPr>
    <w:rPr>
      <w:szCs w:val="26"/>
    </w:rPr>
  </w:style>
  <w:style w:type="paragraph" w:customStyle="1" w:styleId="myTOC7">
    <w:name w:val="myTOC 7"/>
    <w:basedOn w:val="Normal"/>
    <w:next w:val="Normal"/>
    <w:rsid w:val="00301152"/>
    <w:pPr>
      <w:widowControl/>
      <w:tabs>
        <w:tab w:val="left" w:leader="dot" w:pos="9648"/>
      </w:tabs>
      <w:autoSpaceDE/>
      <w:autoSpaceDN/>
      <w:adjustRightInd/>
      <w:ind w:left="1728"/>
    </w:pPr>
    <w:rPr>
      <w:szCs w:val="26"/>
    </w:rPr>
  </w:style>
  <w:style w:type="paragraph" w:customStyle="1" w:styleId="myTOC8">
    <w:name w:val="myTOC 8"/>
    <w:basedOn w:val="Normal"/>
    <w:next w:val="Normal"/>
    <w:rsid w:val="00301152"/>
    <w:pPr>
      <w:widowControl/>
      <w:tabs>
        <w:tab w:val="left" w:leader="dot" w:pos="9648"/>
      </w:tabs>
      <w:autoSpaceDE/>
      <w:autoSpaceDN/>
      <w:adjustRightInd/>
      <w:ind w:left="2016"/>
    </w:pPr>
    <w:rPr>
      <w:szCs w:val="26"/>
    </w:rPr>
  </w:style>
  <w:style w:type="paragraph" w:customStyle="1" w:styleId="myTOC9">
    <w:name w:val="myTOC 9"/>
    <w:basedOn w:val="Normal"/>
    <w:next w:val="Normal"/>
    <w:rsid w:val="00301152"/>
    <w:pPr>
      <w:widowControl/>
      <w:tabs>
        <w:tab w:val="left" w:leader="dot" w:pos="9648"/>
      </w:tabs>
      <w:autoSpaceDE/>
      <w:autoSpaceDN/>
      <w:adjustRightInd/>
      <w:ind w:left="2304"/>
    </w:pPr>
    <w:rPr>
      <w:szCs w:val="26"/>
    </w:rPr>
  </w:style>
  <w:style w:type="paragraph" w:styleId="NoSpacing">
    <w:name w:val="No Spacing"/>
    <w:uiPriority w:val="1"/>
    <w:qFormat/>
    <w:rsid w:val="00301152"/>
    <w:pPr>
      <w:widowControl w:val="0"/>
      <w:autoSpaceDE w:val="0"/>
      <w:autoSpaceDN w:val="0"/>
      <w:adjustRightInd w:val="0"/>
    </w:pPr>
    <w:rPr>
      <w:sz w:val="26"/>
      <w:szCs w:val="24"/>
      <w:lang w:bidi="ar-SA"/>
    </w:rPr>
  </w:style>
  <w:style w:type="paragraph" w:customStyle="1" w:styleId="Non-TOCStyle">
    <w:name w:val="Non-TOC Style"/>
    <w:basedOn w:val="Normal"/>
    <w:next w:val="FERCparanumber"/>
    <w:rsid w:val="00301152"/>
    <w:pPr>
      <w:keepNext/>
      <w:keepLines/>
      <w:widowControl/>
      <w:spacing w:after="260"/>
      <w:jc w:val="center"/>
      <w:outlineLvl w:val="4"/>
    </w:pPr>
    <w:rPr>
      <w:b/>
      <w:szCs w:val="26"/>
      <w:u w:val="single"/>
    </w:rPr>
  </w:style>
  <w:style w:type="paragraph" w:styleId="NormalWeb">
    <w:name w:val="Normal (Web)"/>
    <w:basedOn w:val="Normal"/>
    <w:rsid w:val="00301152"/>
    <w:rPr>
      <w:sz w:val="24"/>
    </w:rPr>
  </w:style>
  <w:style w:type="paragraph" w:styleId="NormalIndent">
    <w:name w:val="Normal Indent"/>
    <w:basedOn w:val="Normal"/>
    <w:rsid w:val="00301152"/>
    <w:pPr>
      <w:ind w:left="720"/>
    </w:pPr>
  </w:style>
  <w:style w:type="paragraph" w:styleId="NoteHeading">
    <w:name w:val="Note Heading"/>
    <w:basedOn w:val="Normal"/>
    <w:next w:val="Normal"/>
    <w:link w:val="NoteHeadingChar"/>
    <w:rsid w:val="00301152"/>
  </w:style>
  <w:style w:type="character" w:customStyle="1" w:styleId="NoteHeadingChar">
    <w:name w:val="Note Heading Char"/>
    <w:basedOn w:val="DefaultParagraphFont"/>
    <w:link w:val="NoteHeading"/>
    <w:rsid w:val="00301152"/>
    <w:rPr>
      <w:sz w:val="26"/>
      <w:szCs w:val="24"/>
      <w:lang w:bidi="ar-SA"/>
    </w:rPr>
  </w:style>
  <w:style w:type="paragraph" w:styleId="PlainText">
    <w:name w:val="Plain Text"/>
    <w:basedOn w:val="Normal"/>
    <w:link w:val="PlainTextChar"/>
    <w:rsid w:val="00301152"/>
    <w:rPr>
      <w:rFonts w:ascii="Courier New" w:hAnsi="Courier New" w:cs="Courier New"/>
      <w:sz w:val="20"/>
      <w:szCs w:val="20"/>
    </w:rPr>
  </w:style>
  <w:style w:type="character" w:customStyle="1" w:styleId="PlainTextChar">
    <w:name w:val="Plain Text Char"/>
    <w:basedOn w:val="DefaultParagraphFont"/>
    <w:link w:val="PlainText"/>
    <w:rsid w:val="00301152"/>
    <w:rPr>
      <w:rFonts w:ascii="Courier New" w:hAnsi="Courier New" w:cs="Courier New"/>
      <w:lang w:bidi="ar-SA"/>
    </w:rPr>
  </w:style>
  <w:style w:type="paragraph" w:styleId="Quote">
    <w:name w:val="Quote"/>
    <w:basedOn w:val="Normal"/>
    <w:next w:val="Normal"/>
    <w:link w:val="QuoteChar"/>
    <w:uiPriority w:val="29"/>
    <w:qFormat/>
    <w:rsid w:val="00301152"/>
    <w:rPr>
      <w:i/>
      <w:iCs/>
      <w:color w:val="000000" w:themeColor="text1"/>
    </w:rPr>
  </w:style>
  <w:style w:type="character" w:customStyle="1" w:styleId="QuoteChar">
    <w:name w:val="Quote Char"/>
    <w:basedOn w:val="DefaultParagraphFont"/>
    <w:link w:val="Quote"/>
    <w:uiPriority w:val="29"/>
    <w:rsid w:val="00301152"/>
    <w:rPr>
      <w:i/>
      <w:iCs/>
      <w:color w:val="000000" w:themeColor="text1"/>
      <w:sz w:val="26"/>
      <w:szCs w:val="24"/>
      <w:lang w:bidi="ar-SA"/>
    </w:rPr>
  </w:style>
  <w:style w:type="paragraph" w:styleId="Salutation">
    <w:name w:val="Salutation"/>
    <w:basedOn w:val="Normal"/>
    <w:next w:val="Normal"/>
    <w:link w:val="SalutationChar"/>
    <w:rsid w:val="00301152"/>
  </w:style>
  <w:style w:type="character" w:customStyle="1" w:styleId="SalutationChar">
    <w:name w:val="Salutation Char"/>
    <w:basedOn w:val="DefaultParagraphFont"/>
    <w:link w:val="Salutation"/>
    <w:rsid w:val="00301152"/>
    <w:rPr>
      <w:sz w:val="26"/>
      <w:szCs w:val="24"/>
      <w:lang w:bidi="ar-SA"/>
    </w:rPr>
  </w:style>
  <w:style w:type="paragraph" w:styleId="Signature">
    <w:name w:val="Signature"/>
    <w:basedOn w:val="Normal"/>
    <w:link w:val="SignatureChar"/>
    <w:rsid w:val="00301152"/>
    <w:pPr>
      <w:ind w:left="4320"/>
    </w:pPr>
  </w:style>
  <w:style w:type="character" w:customStyle="1" w:styleId="SignatureChar">
    <w:name w:val="Signature Char"/>
    <w:basedOn w:val="DefaultParagraphFont"/>
    <w:link w:val="Signature"/>
    <w:rsid w:val="00301152"/>
    <w:rPr>
      <w:sz w:val="26"/>
      <w:szCs w:val="24"/>
      <w:lang w:bidi="ar-SA"/>
    </w:rPr>
  </w:style>
  <w:style w:type="paragraph" w:styleId="Subtitle">
    <w:name w:val="Subtitle"/>
    <w:basedOn w:val="Normal"/>
    <w:link w:val="SubtitleChar"/>
    <w:qFormat/>
    <w:rsid w:val="00301152"/>
    <w:pPr>
      <w:spacing w:after="60"/>
      <w:jc w:val="center"/>
      <w:outlineLvl w:val="1"/>
    </w:pPr>
    <w:rPr>
      <w:rFonts w:ascii="Arial" w:hAnsi="Arial" w:cs="Arial"/>
      <w:sz w:val="24"/>
    </w:rPr>
  </w:style>
  <w:style w:type="character" w:customStyle="1" w:styleId="SubtitleChar">
    <w:name w:val="Subtitle Char"/>
    <w:basedOn w:val="DefaultParagraphFont"/>
    <w:link w:val="Subtitle"/>
    <w:rsid w:val="00301152"/>
    <w:rPr>
      <w:rFonts w:ascii="Arial" w:hAnsi="Arial" w:cs="Arial"/>
      <w:sz w:val="24"/>
      <w:szCs w:val="24"/>
      <w:lang w:bidi="ar-SA"/>
    </w:rPr>
  </w:style>
  <w:style w:type="paragraph" w:styleId="TableofAuthorities">
    <w:name w:val="table of authorities"/>
    <w:basedOn w:val="Normal"/>
    <w:next w:val="Normal"/>
    <w:semiHidden/>
    <w:rsid w:val="00301152"/>
    <w:pPr>
      <w:ind w:left="260" w:hanging="260"/>
    </w:pPr>
  </w:style>
  <w:style w:type="paragraph" w:styleId="TableofFigures">
    <w:name w:val="table of figures"/>
    <w:basedOn w:val="Normal"/>
    <w:next w:val="Normal"/>
    <w:semiHidden/>
    <w:rsid w:val="00301152"/>
    <w:pPr>
      <w:ind w:left="520" w:hanging="520"/>
    </w:pPr>
  </w:style>
  <w:style w:type="paragraph" w:styleId="Title">
    <w:name w:val="Title"/>
    <w:basedOn w:val="Normal"/>
    <w:link w:val="TitleChar"/>
    <w:qFormat/>
    <w:rsid w:val="0030115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301152"/>
    <w:rPr>
      <w:rFonts w:ascii="Arial" w:hAnsi="Arial" w:cs="Arial"/>
      <w:b/>
      <w:bCs/>
      <w:kern w:val="28"/>
      <w:sz w:val="32"/>
      <w:szCs w:val="32"/>
      <w:lang w:bidi="ar-SA"/>
    </w:rPr>
  </w:style>
  <w:style w:type="paragraph" w:styleId="TOAHeading">
    <w:name w:val="toa heading"/>
    <w:basedOn w:val="Normal"/>
    <w:next w:val="Normal"/>
    <w:semiHidden/>
    <w:rsid w:val="00301152"/>
    <w:pPr>
      <w:spacing w:before="120"/>
    </w:pPr>
    <w:rPr>
      <w:rFonts w:ascii="Arial" w:hAnsi="Arial" w:cs="Arial"/>
      <w:b/>
      <w:bCs/>
      <w:sz w:val="24"/>
    </w:rPr>
  </w:style>
  <w:style w:type="paragraph" w:styleId="TOC1">
    <w:name w:val="toc 1"/>
    <w:basedOn w:val="Normal"/>
    <w:next w:val="Normal"/>
    <w:uiPriority w:val="39"/>
    <w:rsid w:val="00301152"/>
  </w:style>
  <w:style w:type="paragraph" w:styleId="TOC2">
    <w:name w:val="toc 2"/>
    <w:basedOn w:val="Normal"/>
    <w:next w:val="Normal"/>
    <w:uiPriority w:val="39"/>
    <w:rsid w:val="00301152"/>
    <w:pPr>
      <w:ind w:left="260"/>
    </w:pPr>
  </w:style>
  <w:style w:type="paragraph" w:styleId="TOC3">
    <w:name w:val="toc 3"/>
    <w:basedOn w:val="Normal"/>
    <w:next w:val="Normal"/>
    <w:uiPriority w:val="39"/>
    <w:rsid w:val="00301152"/>
    <w:pPr>
      <w:ind w:left="520"/>
    </w:pPr>
  </w:style>
  <w:style w:type="paragraph" w:styleId="TOC4">
    <w:name w:val="toc 4"/>
    <w:basedOn w:val="Normal"/>
    <w:next w:val="Normal"/>
    <w:uiPriority w:val="39"/>
    <w:rsid w:val="00301152"/>
    <w:pPr>
      <w:ind w:left="780"/>
    </w:pPr>
  </w:style>
  <w:style w:type="paragraph" w:styleId="TOC5">
    <w:name w:val="toc 5"/>
    <w:basedOn w:val="Normal"/>
    <w:next w:val="Normal"/>
    <w:semiHidden/>
    <w:rsid w:val="00301152"/>
    <w:pPr>
      <w:ind w:left="1040"/>
    </w:pPr>
  </w:style>
  <w:style w:type="paragraph" w:styleId="TOC6">
    <w:name w:val="toc 6"/>
    <w:basedOn w:val="Normal"/>
    <w:next w:val="Normal"/>
    <w:semiHidden/>
    <w:rsid w:val="00301152"/>
    <w:pPr>
      <w:ind w:left="1300"/>
    </w:pPr>
  </w:style>
  <w:style w:type="paragraph" w:styleId="TOC7">
    <w:name w:val="toc 7"/>
    <w:basedOn w:val="Normal"/>
    <w:next w:val="Normal"/>
    <w:semiHidden/>
    <w:rsid w:val="00301152"/>
    <w:pPr>
      <w:ind w:left="1560"/>
    </w:pPr>
  </w:style>
  <w:style w:type="paragraph" w:styleId="TOC8">
    <w:name w:val="toc 8"/>
    <w:basedOn w:val="Normal"/>
    <w:next w:val="Normal"/>
    <w:semiHidden/>
    <w:rsid w:val="00301152"/>
    <w:pPr>
      <w:ind w:left="1820"/>
    </w:pPr>
  </w:style>
  <w:style w:type="paragraph" w:styleId="TOC9">
    <w:name w:val="toc 9"/>
    <w:basedOn w:val="Normal"/>
    <w:next w:val="Normal"/>
    <w:semiHidden/>
    <w:rsid w:val="00301152"/>
    <w:pPr>
      <w:ind w:left="2080"/>
    </w:pPr>
  </w:style>
  <w:style w:type="paragraph" w:styleId="TOCHeading">
    <w:name w:val="TOC Heading"/>
    <w:basedOn w:val="Heading1"/>
    <w:next w:val="Normal"/>
    <w:uiPriority w:val="39"/>
    <w:semiHidden/>
    <w:unhideWhenUsed/>
    <w:qFormat/>
    <w:rsid w:val="00301152"/>
    <w:pPr>
      <w:widowControl w:val="0"/>
      <w:spacing w:before="480" w:after="0"/>
      <w:outlineLvl w:val="9"/>
    </w:pPr>
    <w:rPr>
      <w:rFonts w:asciiTheme="majorHAnsi" w:eastAsiaTheme="majorEastAsia" w:hAnsiTheme="majorHAnsi" w:cstheme="majorBidi"/>
      <w:color w:val="365F91" w:themeColor="accent1" w:themeShade="BF"/>
      <w:kern w:val="0"/>
      <w:sz w:val="28"/>
      <w:szCs w:val="28"/>
      <w:u w:val="none"/>
    </w:rPr>
  </w:style>
  <w:style w:type="character" w:styleId="Hyperlink">
    <w:name w:val="Hyperlink"/>
    <w:basedOn w:val="DefaultParagraphFont"/>
    <w:uiPriority w:val="99"/>
    <w:rsid w:val="0025400C"/>
    <w:rPr>
      <w:color w:val="0000FF"/>
      <w:u w:val="single"/>
    </w:rPr>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n Char Char Char,ft Char Char Char,ft Char"/>
    <w:link w:val="FootnoteText"/>
    <w:rsid w:val="00A60C09"/>
    <w:rPr>
      <w:sz w:val="26"/>
      <w:lang w:bidi="ar-SA"/>
    </w:rPr>
  </w:style>
  <w:style w:type="paragraph" w:customStyle="1" w:styleId="Default">
    <w:name w:val="Default"/>
    <w:rsid w:val="00A60C09"/>
    <w:pPr>
      <w:autoSpaceDE w:val="0"/>
      <w:autoSpaceDN w:val="0"/>
      <w:adjustRightInd w:val="0"/>
    </w:pPr>
    <w:rPr>
      <w:color w:val="000000"/>
      <w:sz w:val="24"/>
      <w:szCs w:val="24"/>
      <w:lang w:bidi="ar-SA"/>
    </w:rPr>
  </w:style>
  <w:style w:type="character" w:styleId="CommentReference">
    <w:name w:val="annotation reference"/>
    <w:basedOn w:val="DefaultParagraphFont"/>
    <w:uiPriority w:val="99"/>
    <w:semiHidden/>
    <w:unhideWhenUsed/>
    <w:rsid w:val="007F3248"/>
    <w:rPr>
      <w:sz w:val="16"/>
      <w:szCs w:val="16"/>
    </w:rPr>
  </w:style>
  <w:style w:type="paragraph" w:styleId="Revision">
    <w:name w:val="Revision"/>
    <w:hidden/>
    <w:uiPriority w:val="99"/>
    <w:semiHidden/>
    <w:rsid w:val="005D60E4"/>
    <w:rPr>
      <w:sz w:val="26"/>
      <w:szCs w:val="24"/>
      <w:lang w:bidi="ar-SA"/>
    </w:rPr>
  </w:style>
  <w:style w:type="character" w:customStyle="1" w:styleId="FooterChar">
    <w:name w:val="Footer Char"/>
    <w:basedOn w:val="DefaultParagraphFont"/>
    <w:link w:val="Footer"/>
    <w:uiPriority w:val="99"/>
    <w:rsid w:val="00641642"/>
    <w:rPr>
      <w:sz w:val="26"/>
      <w:szCs w:val="24"/>
      <w:lang w:bidi="ar-SA"/>
    </w:rPr>
  </w:style>
  <w:style w:type="character" w:customStyle="1" w:styleId="HeaderChar">
    <w:name w:val="Header Char"/>
    <w:basedOn w:val="DefaultParagraphFont"/>
    <w:link w:val="Header"/>
    <w:uiPriority w:val="99"/>
    <w:rsid w:val="0015047A"/>
    <w:rPr>
      <w:sz w:val="26"/>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152"/>
    <w:pPr>
      <w:widowControl w:val="0"/>
      <w:autoSpaceDE w:val="0"/>
      <w:autoSpaceDN w:val="0"/>
      <w:adjustRightInd w:val="0"/>
    </w:pPr>
    <w:rPr>
      <w:sz w:val="26"/>
      <w:szCs w:val="24"/>
      <w:lang w:bidi="ar-SA"/>
    </w:rPr>
  </w:style>
  <w:style w:type="paragraph" w:styleId="Heading1">
    <w:name w:val="heading 1"/>
    <w:basedOn w:val="Normal"/>
    <w:next w:val="FERCparanumber"/>
    <w:qFormat/>
    <w:rsid w:val="00343000"/>
    <w:pPr>
      <w:keepNext/>
      <w:keepLines/>
      <w:widowControl/>
      <w:numPr>
        <w:numId w:val="43"/>
      </w:numPr>
      <w:spacing w:after="260"/>
      <w:outlineLvl w:val="0"/>
    </w:pPr>
    <w:rPr>
      <w:b/>
      <w:bCs/>
      <w:kern w:val="32"/>
      <w:szCs w:val="32"/>
      <w:u w:val="single"/>
    </w:rPr>
  </w:style>
  <w:style w:type="paragraph" w:styleId="Heading2">
    <w:name w:val="heading 2"/>
    <w:basedOn w:val="Normal"/>
    <w:next w:val="FERCparanumber"/>
    <w:qFormat/>
    <w:rsid w:val="00343000"/>
    <w:pPr>
      <w:keepNext/>
      <w:keepLines/>
      <w:widowControl/>
      <w:numPr>
        <w:ilvl w:val="1"/>
        <w:numId w:val="43"/>
      </w:numPr>
      <w:spacing w:after="260"/>
      <w:outlineLvl w:val="1"/>
    </w:pPr>
    <w:rPr>
      <w:b/>
      <w:bCs/>
      <w:iCs/>
      <w:kern w:val="32"/>
      <w:szCs w:val="28"/>
      <w:u w:val="single"/>
    </w:rPr>
  </w:style>
  <w:style w:type="paragraph" w:styleId="Heading3">
    <w:name w:val="heading 3"/>
    <w:basedOn w:val="Normal"/>
    <w:next w:val="FERCparanumber"/>
    <w:qFormat/>
    <w:rsid w:val="00343000"/>
    <w:pPr>
      <w:keepNext/>
      <w:keepLines/>
      <w:widowControl/>
      <w:numPr>
        <w:ilvl w:val="2"/>
        <w:numId w:val="43"/>
      </w:numPr>
      <w:spacing w:after="260"/>
      <w:outlineLvl w:val="2"/>
    </w:pPr>
    <w:rPr>
      <w:b/>
      <w:bCs/>
      <w:kern w:val="32"/>
      <w:szCs w:val="26"/>
      <w:u w:val="single"/>
    </w:rPr>
  </w:style>
  <w:style w:type="paragraph" w:styleId="Heading4">
    <w:name w:val="heading 4"/>
    <w:basedOn w:val="Normal"/>
    <w:next w:val="FERCparanumber"/>
    <w:qFormat/>
    <w:rsid w:val="00343000"/>
    <w:pPr>
      <w:keepNext/>
      <w:keepLines/>
      <w:widowControl/>
      <w:numPr>
        <w:ilvl w:val="3"/>
        <w:numId w:val="43"/>
      </w:numPr>
      <w:spacing w:after="260"/>
      <w:outlineLvl w:val="3"/>
    </w:pPr>
    <w:rPr>
      <w:b/>
      <w:bCs/>
      <w:kern w:val="32"/>
      <w:szCs w:val="28"/>
      <w:u w:val="single"/>
    </w:rPr>
  </w:style>
  <w:style w:type="paragraph" w:styleId="Heading5">
    <w:name w:val="heading 5"/>
    <w:basedOn w:val="Normal"/>
    <w:next w:val="FERCparanumber"/>
    <w:qFormat/>
    <w:rsid w:val="00343000"/>
    <w:pPr>
      <w:keepNext/>
      <w:keepLines/>
      <w:widowControl/>
      <w:numPr>
        <w:ilvl w:val="4"/>
        <w:numId w:val="43"/>
      </w:numPr>
      <w:spacing w:after="260"/>
      <w:outlineLvl w:val="4"/>
    </w:pPr>
    <w:rPr>
      <w:b/>
      <w:bCs/>
      <w:iCs/>
      <w:kern w:val="32"/>
      <w:szCs w:val="26"/>
      <w:u w:val="single"/>
    </w:rPr>
  </w:style>
  <w:style w:type="paragraph" w:styleId="Heading6">
    <w:name w:val="heading 6"/>
    <w:basedOn w:val="Normal"/>
    <w:next w:val="FERCparanumber"/>
    <w:qFormat/>
    <w:rsid w:val="00343000"/>
    <w:pPr>
      <w:keepNext/>
      <w:keepLines/>
      <w:widowControl/>
      <w:numPr>
        <w:ilvl w:val="5"/>
        <w:numId w:val="43"/>
      </w:numPr>
      <w:spacing w:after="260"/>
      <w:outlineLvl w:val="5"/>
    </w:pPr>
    <w:rPr>
      <w:b/>
      <w:bCs/>
      <w:kern w:val="32"/>
      <w:szCs w:val="22"/>
      <w:u w:val="single"/>
    </w:rPr>
  </w:style>
  <w:style w:type="paragraph" w:styleId="Heading7">
    <w:name w:val="heading 7"/>
    <w:basedOn w:val="Normal"/>
    <w:next w:val="FERCparanumber"/>
    <w:qFormat/>
    <w:rsid w:val="00343000"/>
    <w:pPr>
      <w:keepNext/>
      <w:keepLines/>
      <w:widowControl/>
      <w:numPr>
        <w:ilvl w:val="6"/>
        <w:numId w:val="43"/>
      </w:numPr>
      <w:spacing w:after="260"/>
      <w:outlineLvl w:val="6"/>
    </w:pPr>
    <w:rPr>
      <w:b/>
      <w:kern w:val="32"/>
      <w:u w:val="single"/>
    </w:rPr>
  </w:style>
  <w:style w:type="paragraph" w:styleId="Heading8">
    <w:name w:val="heading 8"/>
    <w:basedOn w:val="Normal"/>
    <w:next w:val="FERCparanumber"/>
    <w:qFormat/>
    <w:rsid w:val="00343000"/>
    <w:pPr>
      <w:keepNext/>
      <w:keepLines/>
      <w:widowControl/>
      <w:numPr>
        <w:ilvl w:val="7"/>
        <w:numId w:val="43"/>
      </w:numPr>
      <w:spacing w:after="260"/>
      <w:outlineLvl w:val="7"/>
    </w:pPr>
    <w:rPr>
      <w:b/>
      <w:iCs/>
      <w:kern w:val="32"/>
      <w:u w:val="single"/>
    </w:rPr>
  </w:style>
  <w:style w:type="paragraph" w:styleId="Heading9">
    <w:name w:val="heading 9"/>
    <w:basedOn w:val="Normal"/>
    <w:next w:val="FERCparanumber"/>
    <w:qFormat/>
    <w:rsid w:val="00343000"/>
    <w:pPr>
      <w:keepNext/>
      <w:keepLines/>
      <w:widowControl/>
      <w:numPr>
        <w:ilvl w:val="8"/>
        <w:numId w:val="43"/>
      </w:numPr>
      <w:spacing w:after="260"/>
      <w:outlineLvl w:val="8"/>
    </w:pPr>
    <w:rPr>
      <w:b/>
      <w:kern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Style 13,Style 12,Style 15,Style 17,Style 8,o,fr,(NECG) Footnote Reference,Style 20,o1,fr1,o2,fr2,o3,fr3,Style 9,Style 18,Style 7,Style 19,Style 28"/>
    <w:basedOn w:val="DefaultParagraphFont"/>
    <w:rsid w:val="00301152"/>
    <w:rPr>
      <w:rFonts w:ascii="Times New Roman" w:hAnsi="Times New Roman" w:cs="Times New Roman"/>
      <w:b/>
      <w:dstrike w:val="0"/>
      <w:sz w:val="26"/>
      <w:szCs w:val="26"/>
      <w:vertAlign w:val="superscript"/>
    </w:rPr>
  </w:style>
  <w:style w:type="paragraph" w:styleId="Header">
    <w:name w:val="header"/>
    <w:basedOn w:val="Normal"/>
    <w:link w:val="HeaderChar"/>
    <w:uiPriority w:val="99"/>
    <w:rsid w:val="00301152"/>
    <w:pPr>
      <w:tabs>
        <w:tab w:val="right" w:pos="8640"/>
      </w:tabs>
      <w:spacing w:after="120"/>
    </w:pPr>
  </w:style>
  <w:style w:type="paragraph" w:styleId="Footer">
    <w:name w:val="footer"/>
    <w:basedOn w:val="Normal"/>
    <w:link w:val="FooterChar"/>
    <w:uiPriority w:val="99"/>
    <w:rsid w:val="00301152"/>
    <w:pPr>
      <w:tabs>
        <w:tab w:val="center" w:pos="4320"/>
        <w:tab w:val="right" w:pos="8640"/>
      </w:tabs>
    </w:pPr>
  </w:style>
  <w:style w:type="character" w:styleId="LineNumber">
    <w:name w:val="line number"/>
    <w:basedOn w:val="DefaultParagraphFont"/>
    <w:rsid w:val="00C31BFE"/>
  </w:style>
  <w:style w:type="character" w:styleId="PageNumber">
    <w:name w:val="page number"/>
    <w:basedOn w:val="DefaultParagraphFont"/>
    <w:rsid w:val="00301152"/>
  </w:style>
  <w:style w:type="table" w:styleId="TableGrid">
    <w:name w:val="Table Grid"/>
    <w:basedOn w:val="TableNormal"/>
    <w:rsid w:val="00301152"/>
    <w:pPr>
      <w:widowControl w:val="0"/>
      <w:autoSpaceDE w:val="0"/>
      <w:autoSpaceDN w:val="0"/>
      <w:adjustRightInd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01152"/>
    <w:rPr>
      <w:rFonts w:ascii="Tahoma" w:hAnsi="Tahoma" w:cs="Tahoma"/>
      <w:sz w:val="16"/>
      <w:szCs w:val="16"/>
    </w:rPr>
  </w:style>
  <w:style w:type="character" w:customStyle="1" w:styleId="BalloonTextChar">
    <w:name w:val="Balloon Text Char"/>
    <w:basedOn w:val="DefaultParagraphFont"/>
    <w:link w:val="BalloonText"/>
    <w:rsid w:val="001F7FC3"/>
    <w:rPr>
      <w:rFonts w:ascii="Tahoma" w:hAnsi="Tahoma" w:cs="Tahoma"/>
      <w:sz w:val="16"/>
      <w:szCs w:val="16"/>
      <w:lang w:bidi="ar-SA"/>
    </w:rPr>
  </w:style>
  <w:style w:type="paragraph" w:styleId="Bibliography">
    <w:name w:val="Bibliography"/>
    <w:basedOn w:val="Normal"/>
    <w:next w:val="Normal"/>
    <w:uiPriority w:val="37"/>
    <w:semiHidden/>
    <w:unhideWhenUsed/>
    <w:rsid w:val="00301152"/>
  </w:style>
  <w:style w:type="paragraph" w:customStyle="1" w:styleId="BlockIndent">
    <w:name w:val="Block Indent"/>
    <w:basedOn w:val="Normal"/>
    <w:next w:val="Normal"/>
    <w:rsid w:val="00301152"/>
    <w:pPr>
      <w:widowControl/>
      <w:spacing w:after="240"/>
      <w:ind w:left="1440" w:right="1440"/>
    </w:pPr>
  </w:style>
  <w:style w:type="paragraph" w:styleId="BlockText">
    <w:name w:val="Block Text"/>
    <w:basedOn w:val="Normal"/>
    <w:rsid w:val="00301152"/>
    <w:pPr>
      <w:spacing w:after="120"/>
      <w:ind w:left="1440" w:right="1440"/>
    </w:pPr>
  </w:style>
  <w:style w:type="paragraph" w:styleId="FootnoteText">
    <w:name w:val="footnote text"/>
    <w:aliases w:val="Footnote Text Char,Footnote Text Char1 Char,Footnote Text Char Char Char,Footnote Text Char1,Footnote Text Char Char1,fn,Footnote Text Char Char,fn Char Char,Footnote Text Char1 Char1 Char,Footnote Text Char Char Char1 Char,ft Char Char,ft"/>
    <w:basedOn w:val="Normal"/>
    <w:link w:val="FootnoteTextChar2"/>
    <w:rsid w:val="00301152"/>
    <w:pPr>
      <w:spacing w:after="260"/>
      <w:ind w:firstLine="720"/>
    </w:pPr>
    <w:rPr>
      <w:szCs w:val="20"/>
    </w:rPr>
  </w:style>
  <w:style w:type="character" w:customStyle="1" w:styleId="a">
    <w:basedOn w:val="DefaultParagraphFont"/>
    <w:rsid w:val="00301152"/>
    <w:rPr>
      <w:sz w:val="26"/>
      <w:lang w:bidi="ar-SA"/>
    </w:rPr>
  </w:style>
  <w:style w:type="paragraph" w:customStyle="1" w:styleId="BodyFootnote">
    <w:name w:val="Body Footnote"/>
    <w:basedOn w:val="FootnoteText"/>
    <w:rsid w:val="00301152"/>
    <w:rPr>
      <w:szCs w:val="26"/>
    </w:rPr>
  </w:style>
  <w:style w:type="paragraph" w:styleId="BodyText">
    <w:name w:val="Body Text"/>
    <w:basedOn w:val="Normal"/>
    <w:link w:val="BodyTextChar"/>
    <w:rsid w:val="00301152"/>
    <w:pPr>
      <w:spacing w:after="120"/>
    </w:pPr>
  </w:style>
  <w:style w:type="character" w:customStyle="1" w:styleId="BodyTextChar">
    <w:name w:val="Body Text Char"/>
    <w:basedOn w:val="DefaultParagraphFont"/>
    <w:link w:val="BodyText"/>
    <w:rsid w:val="00301152"/>
    <w:rPr>
      <w:sz w:val="26"/>
      <w:szCs w:val="24"/>
      <w:lang w:bidi="ar-SA"/>
    </w:rPr>
  </w:style>
  <w:style w:type="paragraph" w:styleId="BodyText2">
    <w:name w:val="Body Text 2"/>
    <w:basedOn w:val="Normal"/>
    <w:link w:val="BodyText2Char"/>
    <w:rsid w:val="00301152"/>
    <w:pPr>
      <w:spacing w:after="120" w:line="480" w:lineRule="auto"/>
    </w:pPr>
  </w:style>
  <w:style w:type="character" w:customStyle="1" w:styleId="BodyText2Char">
    <w:name w:val="Body Text 2 Char"/>
    <w:basedOn w:val="DefaultParagraphFont"/>
    <w:link w:val="BodyText2"/>
    <w:rsid w:val="00301152"/>
    <w:rPr>
      <w:sz w:val="26"/>
      <w:szCs w:val="24"/>
      <w:lang w:bidi="ar-SA"/>
    </w:rPr>
  </w:style>
  <w:style w:type="paragraph" w:styleId="BodyText3">
    <w:name w:val="Body Text 3"/>
    <w:basedOn w:val="Normal"/>
    <w:link w:val="BodyText3Char"/>
    <w:rsid w:val="00301152"/>
    <w:pPr>
      <w:spacing w:after="120"/>
    </w:pPr>
    <w:rPr>
      <w:sz w:val="16"/>
      <w:szCs w:val="16"/>
    </w:rPr>
  </w:style>
  <w:style w:type="character" w:customStyle="1" w:styleId="BodyText3Char">
    <w:name w:val="Body Text 3 Char"/>
    <w:basedOn w:val="DefaultParagraphFont"/>
    <w:link w:val="BodyText3"/>
    <w:rsid w:val="00301152"/>
    <w:rPr>
      <w:sz w:val="16"/>
      <w:szCs w:val="16"/>
      <w:lang w:bidi="ar-SA"/>
    </w:rPr>
  </w:style>
  <w:style w:type="paragraph" w:styleId="BodyTextFirstIndent">
    <w:name w:val="Body Text First Indent"/>
    <w:basedOn w:val="BodyText"/>
    <w:link w:val="BodyTextFirstIndentChar"/>
    <w:rsid w:val="00301152"/>
    <w:pPr>
      <w:ind w:firstLine="210"/>
    </w:pPr>
  </w:style>
  <w:style w:type="character" w:customStyle="1" w:styleId="BodyTextFirstIndentChar">
    <w:name w:val="Body Text First Indent Char"/>
    <w:basedOn w:val="BodyTextChar"/>
    <w:link w:val="BodyTextFirstIndent"/>
    <w:rsid w:val="00301152"/>
    <w:rPr>
      <w:sz w:val="26"/>
      <w:szCs w:val="24"/>
      <w:lang w:bidi="ar-SA"/>
    </w:rPr>
  </w:style>
  <w:style w:type="paragraph" w:styleId="BodyTextIndent">
    <w:name w:val="Body Text Indent"/>
    <w:basedOn w:val="Normal"/>
    <w:link w:val="BodyTextIndentChar"/>
    <w:rsid w:val="00301152"/>
    <w:pPr>
      <w:spacing w:after="120"/>
      <w:ind w:left="360"/>
    </w:pPr>
  </w:style>
  <w:style w:type="character" w:customStyle="1" w:styleId="BodyTextIndentChar">
    <w:name w:val="Body Text Indent Char"/>
    <w:basedOn w:val="DefaultParagraphFont"/>
    <w:link w:val="BodyTextIndent"/>
    <w:rsid w:val="00301152"/>
    <w:rPr>
      <w:sz w:val="26"/>
      <w:szCs w:val="24"/>
      <w:lang w:bidi="ar-SA"/>
    </w:rPr>
  </w:style>
  <w:style w:type="paragraph" w:styleId="BodyTextFirstIndent2">
    <w:name w:val="Body Text First Indent 2"/>
    <w:basedOn w:val="BodyTextIndent"/>
    <w:link w:val="BodyTextFirstIndent2Char"/>
    <w:rsid w:val="00301152"/>
    <w:pPr>
      <w:ind w:firstLine="210"/>
    </w:pPr>
  </w:style>
  <w:style w:type="character" w:customStyle="1" w:styleId="BodyTextFirstIndent2Char">
    <w:name w:val="Body Text First Indent 2 Char"/>
    <w:basedOn w:val="BodyTextIndentChar"/>
    <w:link w:val="BodyTextFirstIndent2"/>
    <w:rsid w:val="00301152"/>
    <w:rPr>
      <w:sz w:val="26"/>
      <w:szCs w:val="24"/>
      <w:lang w:bidi="ar-SA"/>
    </w:rPr>
  </w:style>
  <w:style w:type="paragraph" w:styleId="BodyTextIndent2">
    <w:name w:val="Body Text Indent 2"/>
    <w:basedOn w:val="Normal"/>
    <w:link w:val="BodyTextIndent2Char"/>
    <w:rsid w:val="00301152"/>
    <w:pPr>
      <w:spacing w:after="120" w:line="480" w:lineRule="auto"/>
      <w:ind w:left="360"/>
    </w:pPr>
  </w:style>
  <w:style w:type="character" w:customStyle="1" w:styleId="BodyTextIndent2Char">
    <w:name w:val="Body Text Indent 2 Char"/>
    <w:basedOn w:val="DefaultParagraphFont"/>
    <w:link w:val="BodyTextIndent2"/>
    <w:rsid w:val="00301152"/>
    <w:rPr>
      <w:sz w:val="26"/>
      <w:szCs w:val="24"/>
      <w:lang w:bidi="ar-SA"/>
    </w:rPr>
  </w:style>
  <w:style w:type="paragraph" w:styleId="BodyTextIndent3">
    <w:name w:val="Body Text Indent 3"/>
    <w:basedOn w:val="Normal"/>
    <w:link w:val="BodyTextIndent3Char"/>
    <w:rsid w:val="00301152"/>
    <w:pPr>
      <w:spacing w:after="120"/>
      <w:ind w:left="360"/>
    </w:pPr>
    <w:rPr>
      <w:sz w:val="16"/>
      <w:szCs w:val="16"/>
    </w:rPr>
  </w:style>
  <w:style w:type="character" w:customStyle="1" w:styleId="BodyTextIndent3Char">
    <w:name w:val="Body Text Indent 3 Char"/>
    <w:basedOn w:val="DefaultParagraphFont"/>
    <w:link w:val="BodyTextIndent3"/>
    <w:rsid w:val="00301152"/>
    <w:rPr>
      <w:sz w:val="16"/>
      <w:szCs w:val="16"/>
      <w:lang w:bidi="ar-SA"/>
    </w:rPr>
  </w:style>
  <w:style w:type="paragraph" w:styleId="Caption">
    <w:name w:val="caption"/>
    <w:basedOn w:val="Normal"/>
    <w:next w:val="Normal"/>
    <w:qFormat/>
    <w:rsid w:val="00301152"/>
    <w:pPr>
      <w:spacing w:before="120" w:after="120"/>
    </w:pPr>
    <w:rPr>
      <w:b/>
      <w:bCs/>
      <w:sz w:val="20"/>
      <w:szCs w:val="20"/>
    </w:rPr>
  </w:style>
  <w:style w:type="paragraph" w:styleId="Closing">
    <w:name w:val="Closing"/>
    <w:basedOn w:val="Normal"/>
    <w:link w:val="ClosingChar"/>
    <w:rsid w:val="00301152"/>
    <w:pPr>
      <w:ind w:left="4320"/>
    </w:pPr>
  </w:style>
  <w:style w:type="character" w:customStyle="1" w:styleId="ClosingChar">
    <w:name w:val="Closing Char"/>
    <w:basedOn w:val="DefaultParagraphFont"/>
    <w:link w:val="Closing"/>
    <w:rsid w:val="00301152"/>
    <w:rPr>
      <w:sz w:val="26"/>
      <w:szCs w:val="24"/>
      <w:lang w:bidi="ar-SA"/>
    </w:rPr>
  </w:style>
  <w:style w:type="paragraph" w:styleId="CommentText">
    <w:name w:val="annotation text"/>
    <w:basedOn w:val="Normal"/>
    <w:link w:val="CommentTextChar"/>
    <w:semiHidden/>
    <w:rsid w:val="00301152"/>
    <w:rPr>
      <w:sz w:val="20"/>
      <w:szCs w:val="20"/>
    </w:rPr>
  </w:style>
  <w:style w:type="character" w:customStyle="1" w:styleId="CommentTextChar">
    <w:name w:val="Comment Text Char"/>
    <w:basedOn w:val="DefaultParagraphFont"/>
    <w:link w:val="CommentText"/>
    <w:semiHidden/>
    <w:rsid w:val="00301152"/>
    <w:rPr>
      <w:lang w:bidi="ar-SA"/>
    </w:rPr>
  </w:style>
  <w:style w:type="paragraph" w:styleId="CommentSubject">
    <w:name w:val="annotation subject"/>
    <w:basedOn w:val="CommentText"/>
    <w:next w:val="CommentText"/>
    <w:link w:val="CommentSubjectChar"/>
    <w:semiHidden/>
    <w:rsid w:val="00301152"/>
    <w:rPr>
      <w:b/>
      <w:bCs/>
    </w:rPr>
  </w:style>
  <w:style w:type="character" w:customStyle="1" w:styleId="CommentSubjectChar">
    <w:name w:val="Comment Subject Char"/>
    <w:basedOn w:val="CommentTextChar"/>
    <w:link w:val="CommentSubject"/>
    <w:semiHidden/>
    <w:rsid w:val="00301152"/>
    <w:rPr>
      <w:b/>
      <w:bCs/>
      <w:lang w:bidi="ar-SA"/>
    </w:rPr>
  </w:style>
  <w:style w:type="paragraph" w:styleId="Date">
    <w:name w:val="Date"/>
    <w:basedOn w:val="Normal"/>
    <w:next w:val="Normal"/>
    <w:link w:val="DateChar"/>
    <w:rsid w:val="00301152"/>
  </w:style>
  <w:style w:type="character" w:customStyle="1" w:styleId="DateChar">
    <w:name w:val="Date Char"/>
    <w:basedOn w:val="DefaultParagraphFont"/>
    <w:link w:val="Date"/>
    <w:rsid w:val="00301152"/>
    <w:rPr>
      <w:sz w:val="26"/>
      <w:szCs w:val="24"/>
      <w:lang w:bidi="ar-SA"/>
    </w:rPr>
  </w:style>
  <w:style w:type="paragraph" w:styleId="DocumentMap">
    <w:name w:val="Document Map"/>
    <w:basedOn w:val="Normal"/>
    <w:link w:val="DocumentMapChar"/>
    <w:semiHidden/>
    <w:rsid w:val="00301152"/>
    <w:pPr>
      <w:shd w:val="clear" w:color="auto" w:fill="000080"/>
    </w:pPr>
    <w:rPr>
      <w:rFonts w:ascii="Tahoma" w:hAnsi="Tahoma" w:cs="Tahoma"/>
    </w:rPr>
  </w:style>
  <w:style w:type="character" w:customStyle="1" w:styleId="DocumentMapChar">
    <w:name w:val="Document Map Char"/>
    <w:basedOn w:val="DefaultParagraphFont"/>
    <w:link w:val="DocumentMap"/>
    <w:semiHidden/>
    <w:rsid w:val="00301152"/>
    <w:rPr>
      <w:rFonts w:ascii="Tahoma" w:hAnsi="Tahoma" w:cs="Tahoma"/>
      <w:sz w:val="26"/>
      <w:szCs w:val="24"/>
      <w:shd w:val="clear" w:color="auto" w:fill="000080"/>
      <w:lang w:bidi="ar-SA"/>
    </w:rPr>
  </w:style>
  <w:style w:type="paragraph" w:styleId="E-mailSignature">
    <w:name w:val="E-mail Signature"/>
    <w:basedOn w:val="Normal"/>
    <w:link w:val="E-mailSignatureChar"/>
    <w:rsid w:val="00301152"/>
  </w:style>
  <w:style w:type="character" w:customStyle="1" w:styleId="E-mailSignatureChar">
    <w:name w:val="E-mail Signature Char"/>
    <w:basedOn w:val="DefaultParagraphFont"/>
    <w:link w:val="E-mailSignature"/>
    <w:rsid w:val="00301152"/>
    <w:rPr>
      <w:sz w:val="26"/>
      <w:szCs w:val="24"/>
      <w:lang w:bidi="ar-SA"/>
    </w:rPr>
  </w:style>
  <w:style w:type="paragraph" w:styleId="EndnoteText">
    <w:name w:val="endnote text"/>
    <w:basedOn w:val="Normal"/>
    <w:link w:val="EndnoteTextChar"/>
    <w:semiHidden/>
    <w:rsid w:val="00301152"/>
    <w:rPr>
      <w:sz w:val="20"/>
      <w:szCs w:val="20"/>
    </w:rPr>
  </w:style>
  <w:style w:type="character" w:customStyle="1" w:styleId="EndnoteTextChar">
    <w:name w:val="Endnote Text Char"/>
    <w:basedOn w:val="DefaultParagraphFont"/>
    <w:link w:val="EndnoteText"/>
    <w:semiHidden/>
    <w:rsid w:val="00301152"/>
    <w:rPr>
      <w:lang w:bidi="ar-SA"/>
    </w:rPr>
  </w:style>
  <w:style w:type="paragraph" w:styleId="EnvelopeAddress">
    <w:name w:val="envelope address"/>
    <w:basedOn w:val="Normal"/>
    <w:rsid w:val="0030115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301152"/>
    <w:rPr>
      <w:rFonts w:ascii="Arial" w:hAnsi="Arial" w:cs="Arial"/>
      <w:sz w:val="20"/>
      <w:szCs w:val="20"/>
    </w:rPr>
  </w:style>
  <w:style w:type="paragraph" w:customStyle="1" w:styleId="FERCparanumber">
    <w:name w:val="FERC paranumber"/>
    <w:basedOn w:val="Normal"/>
    <w:qFormat/>
    <w:rsid w:val="001A68C8"/>
    <w:pPr>
      <w:widowControl/>
      <w:numPr>
        <w:numId w:val="1"/>
      </w:numPr>
      <w:spacing w:line="480" w:lineRule="auto"/>
    </w:pPr>
  </w:style>
  <w:style w:type="character" w:customStyle="1" w:styleId="Heading1Char">
    <w:name w:val="Heading 1 Char"/>
    <w:basedOn w:val="DefaultParagraphFont"/>
    <w:rsid w:val="0025400C"/>
    <w:rPr>
      <w:b/>
      <w:bCs/>
      <w:kern w:val="32"/>
      <w:sz w:val="26"/>
      <w:szCs w:val="32"/>
      <w:u w:val="single"/>
      <w:lang w:bidi="ar-SA"/>
    </w:rPr>
  </w:style>
  <w:style w:type="character" w:customStyle="1" w:styleId="Heading2Char">
    <w:name w:val="Heading 2 Char"/>
    <w:basedOn w:val="DefaultParagraphFont"/>
    <w:rsid w:val="0025400C"/>
    <w:rPr>
      <w:b/>
      <w:bCs/>
      <w:iCs/>
      <w:kern w:val="32"/>
      <w:sz w:val="26"/>
      <w:szCs w:val="28"/>
      <w:u w:val="single"/>
      <w:lang w:bidi="ar-SA"/>
    </w:rPr>
  </w:style>
  <w:style w:type="character" w:customStyle="1" w:styleId="Heading3Char">
    <w:name w:val="Heading 3 Char"/>
    <w:basedOn w:val="DefaultParagraphFont"/>
    <w:rsid w:val="0025400C"/>
    <w:rPr>
      <w:b/>
      <w:bCs/>
      <w:kern w:val="32"/>
      <w:sz w:val="26"/>
      <w:szCs w:val="26"/>
      <w:u w:val="single"/>
      <w:lang w:bidi="ar-SA"/>
    </w:rPr>
  </w:style>
  <w:style w:type="character" w:customStyle="1" w:styleId="Heading4Char">
    <w:name w:val="Heading 4 Char"/>
    <w:basedOn w:val="DefaultParagraphFont"/>
    <w:rsid w:val="0025400C"/>
    <w:rPr>
      <w:b/>
      <w:bCs/>
      <w:kern w:val="32"/>
      <w:sz w:val="26"/>
      <w:szCs w:val="28"/>
      <w:u w:val="single"/>
      <w:lang w:bidi="ar-SA"/>
    </w:rPr>
  </w:style>
  <w:style w:type="character" w:customStyle="1" w:styleId="Heading5Char">
    <w:name w:val="Heading 5 Char"/>
    <w:basedOn w:val="DefaultParagraphFont"/>
    <w:rsid w:val="0025400C"/>
    <w:rPr>
      <w:b/>
      <w:bCs/>
      <w:iCs/>
      <w:kern w:val="32"/>
      <w:sz w:val="26"/>
      <w:szCs w:val="26"/>
      <w:u w:val="single"/>
      <w:lang w:bidi="ar-SA"/>
    </w:rPr>
  </w:style>
  <w:style w:type="character" w:customStyle="1" w:styleId="Heading6Char">
    <w:name w:val="Heading 6 Char"/>
    <w:basedOn w:val="DefaultParagraphFont"/>
    <w:rsid w:val="0025400C"/>
    <w:rPr>
      <w:b/>
      <w:bCs/>
      <w:kern w:val="32"/>
      <w:sz w:val="26"/>
      <w:szCs w:val="22"/>
      <w:u w:val="single"/>
      <w:lang w:bidi="ar-SA"/>
    </w:rPr>
  </w:style>
  <w:style w:type="character" w:customStyle="1" w:styleId="Heading7Char">
    <w:name w:val="Heading 7 Char"/>
    <w:basedOn w:val="DefaultParagraphFont"/>
    <w:rsid w:val="0025400C"/>
    <w:rPr>
      <w:b/>
      <w:kern w:val="32"/>
      <w:sz w:val="26"/>
      <w:szCs w:val="24"/>
      <w:u w:val="single"/>
      <w:lang w:bidi="ar-SA"/>
    </w:rPr>
  </w:style>
  <w:style w:type="character" w:customStyle="1" w:styleId="Heading8Char">
    <w:name w:val="Heading 8 Char"/>
    <w:basedOn w:val="DefaultParagraphFont"/>
    <w:rsid w:val="0025400C"/>
    <w:rPr>
      <w:b/>
      <w:iCs/>
      <w:kern w:val="32"/>
      <w:sz w:val="26"/>
      <w:szCs w:val="24"/>
      <w:u w:val="single"/>
      <w:lang w:bidi="ar-SA"/>
    </w:rPr>
  </w:style>
  <w:style w:type="character" w:customStyle="1" w:styleId="Heading9Char">
    <w:name w:val="Heading 9 Char"/>
    <w:basedOn w:val="DefaultParagraphFont"/>
    <w:rsid w:val="0025400C"/>
    <w:rPr>
      <w:b/>
      <w:kern w:val="32"/>
      <w:sz w:val="26"/>
      <w:szCs w:val="22"/>
      <w:u w:val="single"/>
      <w:lang w:bidi="ar-SA"/>
    </w:rPr>
  </w:style>
  <w:style w:type="paragraph" w:styleId="HTMLAddress">
    <w:name w:val="HTML Address"/>
    <w:basedOn w:val="Normal"/>
    <w:link w:val="HTMLAddressChar"/>
    <w:rsid w:val="00301152"/>
    <w:rPr>
      <w:i/>
      <w:iCs/>
    </w:rPr>
  </w:style>
  <w:style w:type="character" w:customStyle="1" w:styleId="HTMLAddressChar">
    <w:name w:val="HTML Address Char"/>
    <w:basedOn w:val="DefaultParagraphFont"/>
    <w:link w:val="HTMLAddress"/>
    <w:rsid w:val="00301152"/>
    <w:rPr>
      <w:i/>
      <w:iCs/>
      <w:sz w:val="26"/>
      <w:szCs w:val="24"/>
      <w:lang w:bidi="ar-SA"/>
    </w:rPr>
  </w:style>
  <w:style w:type="paragraph" w:styleId="HTMLPreformatted">
    <w:name w:val="HTML Preformatted"/>
    <w:basedOn w:val="Normal"/>
    <w:link w:val="HTMLPreformattedChar"/>
    <w:rsid w:val="00301152"/>
    <w:rPr>
      <w:rFonts w:ascii="Courier New" w:hAnsi="Courier New" w:cs="Courier New"/>
      <w:sz w:val="20"/>
      <w:szCs w:val="20"/>
    </w:rPr>
  </w:style>
  <w:style w:type="character" w:customStyle="1" w:styleId="HTMLPreformattedChar">
    <w:name w:val="HTML Preformatted Char"/>
    <w:basedOn w:val="DefaultParagraphFont"/>
    <w:link w:val="HTMLPreformatted"/>
    <w:rsid w:val="00301152"/>
    <w:rPr>
      <w:rFonts w:ascii="Courier New" w:hAnsi="Courier New" w:cs="Courier New"/>
      <w:lang w:bidi="ar-SA"/>
    </w:rPr>
  </w:style>
  <w:style w:type="paragraph" w:styleId="Index1">
    <w:name w:val="index 1"/>
    <w:basedOn w:val="Normal"/>
    <w:next w:val="Normal"/>
    <w:semiHidden/>
    <w:rsid w:val="00301152"/>
    <w:pPr>
      <w:ind w:left="260" w:hanging="260"/>
    </w:pPr>
  </w:style>
  <w:style w:type="paragraph" w:styleId="Index2">
    <w:name w:val="index 2"/>
    <w:basedOn w:val="Normal"/>
    <w:next w:val="Normal"/>
    <w:semiHidden/>
    <w:rsid w:val="00301152"/>
    <w:pPr>
      <w:ind w:left="520" w:hanging="260"/>
    </w:pPr>
  </w:style>
  <w:style w:type="paragraph" w:styleId="Index3">
    <w:name w:val="index 3"/>
    <w:basedOn w:val="Normal"/>
    <w:next w:val="Normal"/>
    <w:semiHidden/>
    <w:rsid w:val="00301152"/>
    <w:pPr>
      <w:ind w:left="780" w:hanging="260"/>
    </w:pPr>
  </w:style>
  <w:style w:type="paragraph" w:styleId="Index4">
    <w:name w:val="index 4"/>
    <w:basedOn w:val="Normal"/>
    <w:next w:val="Normal"/>
    <w:semiHidden/>
    <w:rsid w:val="00301152"/>
    <w:pPr>
      <w:ind w:left="1040" w:hanging="260"/>
    </w:pPr>
  </w:style>
  <w:style w:type="paragraph" w:styleId="Index5">
    <w:name w:val="index 5"/>
    <w:basedOn w:val="Normal"/>
    <w:next w:val="Normal"/>
    <w:semiHidden/>
    <w:rsid w:val="00301152"/>
    <w:pPr>
      <w:ind w:left="1300" w:hanging="260"/>
    </w:pPr>
  </w:style>
  <w:style w:type="paragraph" w:styleId="Index6">
    <w:name w:val="index 6"/>
    <w:basedOn w:val="Normal"/>
    <w:next w:val="Normal"/>
    <w:semiHidden/>
    <w:rsid w:val="00301152"/>
    <w:pPr>
      <w:ind w:left="1560" w:hanging="260"/>
    </w:pPr>
  </w:style>
  <w:style w:type="paragraph" w:styleId="Index7">
    <w:name w:val="index 7"/>
    <w:basedOn w:val="Normal"/>
    <w:next w:val="Normal"/>
    <w:semiHidden/>
    <w:rsid w:val="00301152"/>
    <w:pPr>
      <w:ind w:left="1820" w:hanging="260"/>
    </w:pPr>
  </w:style>
  <w:style w:type="paragraph" w:styleId="Index8">
    <w:name w:val="index 8"/>
    <w:basedOn w:val="Normal"/>
    <w:next w:val="Normal"/>
    <w:semiHidden/>
    <w:rsid w:val="00301152"/>
    <w:pPr>
      <w:ind w:left="2080" w:hanging="260"/>
    </w:pPr>
  </w:style>
  <w:style w:type="paragraph" w:styleId="Index9">
    <w:name w:val="index 9"/>
    <w:basedOn w:val="Normal"/>
    <w:next w:val="Normal"/>
    <w:semiHidden/>
    <w:rsid w:val="00301152"/>
    <w:pPr>
      <w:ind w:left="2340" w:hanging="260"/>
    </w:pPr>
  </w:style>
  <w:style w:type="paragraph" w:styleId="IndexHeading">
    <w:name w:val="index heading"/>
    <w:basedOn w:val="Normal"/>
    <w:next w:val="Index1"/>
    <w:semiHidden/>
    <w:rsid w:val="00301152"/>
    <w:rPr>
      <w:rFonts w:ascii="Arial" w:hAnsi="Arial" w:cs="Arial"/>
      <w:b/>
      <w:bCs/>
    </w:rPr>
  </w:style>
  <w:style w:type="paragraph" w:styleId="IntenseQuote">
    <w:name w:val="Intense Quote"/>
    <w:basedOn w:val="Normal"/>
    <w:next w:val="Normal"/>
    <w:link w:val="IntenseQuoteChar"/>
    <w:uiPriority w:val="30"/>
    <w:qFormat/>
    <w:rsid w:val="003011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1152"/>
    <w:rPr>
      <w:b/>
      <w:bCs/>
      <w:i/>
      <w:iCs/>
      <w:color w:val="4F81BD" w:themeColor="accent1"/>
      <w:sz w:val="26"/>
      <w:szCs w:val="24"/>
      <w:lang w:bidi="ar-SA"/>
    </w:rPr>
  </w:style>
  <w:style w:type="paragraph" w:styleId="List">
    <w:name w:val="List"/>
    <w:basedOn w:val="Normal"/>
    <w:rsid w:val="00301152"/>
    <w:pPr>
      <w:ind w:left="360" w:hanging="360"/>
    </w:pPr>
  </w:style>
  <w:style w:type="paragraph" w:styleId="List2">
    <w:name w:val="List 2"/>
    <w:basedOn w:val="Normal"/>
    <w:rsid w:val="00301152"/>
    <w:pPr>
      <w:ind w:left="720" w:hanging="360"/>
    </w:pPr>
  </w:style>
  <w:style w:type="paragraph" w:styleId="List3">
    <w:name w:val="List 3"/>
    <w:basedOn w:val="Normal"/>
    <w:rsid w:val="00301152"/>
    <w:pPr>
      <w:ind w:left="1080" w:hanging="360"/>
    </w:pPr>
  </w:style>
  <w:style w:type="paragraph" w:styleId="List4">
    <w:name w:val="List 4"/>
    <w:basedOn w:val="Normal"/>
    <w:rsid w:val="00301152"/>
    <w:pPr>
      <w:ind w:left="1440" w:hanging="360"/>
    </w:pPr>
  </w:style>
  <w:style w:type="paragraph" w:styleId="List5">
    <w:name w:val="List 5"/>
    <w:basedOn w:val="Normal"/>
    <w:rsid w:val="00301152"/>
    <w:pPr>
      <w:ind w:left="1800" w:hanging="360"/>
    </w:pPr>
  </w:style>
  <w:style w:type="paragraph" w:styleId="ListBullet">
    <w:name w:val="List Bullet"/>
    <w:basedOn w:val="Normal"/>
    <w:rsid w:val="00301152"/>
    <w:pPr>
      <w:numPr>
        <w:numId w:val="2"/>
      </w:numPr>
    </w:pPr>
  </w:style>
  <w:style w:type="paragraph" w:styleId="ListBullet2">
    <w:name w:val="List Bullet 2"/>
    <w:basedOn w:val="Normal"/>
    <w:rsid w:val="00301152"/>
    <w:pPr>
      <w:numPr>
        <w:numId w:val="3"/>
      </w:numPr>
    </w:pPr>
  </w:style>
  <w:style w:type="paragraph" w:styleId="ListBullet3">
    <w:name w:val="List Bullet 3"/>
    <w:basedOn w:val="Normal"/>
    <w:rsid w:val="00301152"/>
    <w:pPr>
      <w:numPr>
        <w:numId w:val="4"/>
      </w:numPr>
    </w:pPr>
  </w:style>
  <w:style w:type="paragraph" w:styleId="ListBullet4">
    <w:name w:val="List Bullet 4"/>
    <w:basedOn w:val="Normal"/>
    <w:rsid w:val="00301152"/>
    <w:pPr>
      <w:numPr>
        <w:numId w:val="5"/>
      </w:numPr>
    </w:pPr>
  </w:style>
  <w:style w:type="paragraph" w:styleId="ListBullet5">
    <w:name w:val="List Bullet 5"/>
    <w:basedOn w:val="Normal"/>
    <w:rsid w:val="00301152"/>
    <w:pPr>
      <w:numPr>
        <w:numId w:val="6"/>
      </w:numPr>
    </w:pPr>
  </w:style>
  <w:style w:type="paragraph" w:styleId="ListContinue">
    <w:name w:val="List Continue"/>
    <w:basedOn w:val="Normal"/>
    <w:semiHidden/>
    <w:rsid w:val="00301152"/>
    <w:pPr>
      <w:widowControl/>
      <w:autoSpaceDE/>
      <w:autoSpaceDN/>
      <w:adjustRightInd/>
      <w:spacing w:after="120"/>
      <w:ind w:left="360"/>
    </w:pPr>
  </w:style>
  <w:style w:type="paragraph" w:styleId="ListContinue2">
    <w:name w:val="List Continue 2"/>
    <w:basedOn w:val="Normal"/>
    <w:rsid w:val="00301152"/>
    <w:pPr>
      <w:spacing w:after="120"/>
      <w:ind w:left="720"/>
    </w:pPr>
  </w:style>
  <w:style w:type="paragraph" w:styleId="ListContinue3">
    <w:name w:val="List Continue 3"/>
    <w:basedOn w:val="Normal"/>
    <w:rsid w:val="00301152"/>
    <w:pPr>
      <w:spacing w:after="120"/>
      <w:ind w:left="1080"/>
    </w:pPr>
  </w:style>
  <w:style w:type="paragraph" w:styleId="ListContinue4">
    <w:name w:val="List Continue 4"/>
    <w:basedOn w:val="Normal"/>
    <w:rsid w:val="00301152"/>
    <w:pPr>
      <w:spacing w:after="120"/>
      <w:ind w:left="1440"/>
    </w:pPr>
  </w:style>
  <w:style w:type="paragraph" w:styleId="ListContinue5">
    <w:name w:val="List Continue 5"/>
    <w:basedOn w:val="Normal"/>
    <w:rsid w:val="00301152"/>
    <w:pPr>
      <w:spacing w:after="120"/>
      <w:ind w:left="1800"/>
    </w:pPr>
  </w:style>
  <w:style w:type="paragraph" w:styleId="ListNumber">
    <w:name w:val="List Number"/>
    <w:basedOn w:val="Normal"/>
    <w:rsid w:val="00301152"/>
    <w:pPr>
      <w:numPr>
        <w:numId w:val="7"/>
      </w:numPr>
    </w:pPr>
  </w:style>
  <w:style w:type="paragraph" w:styleId="ListNumber2">
    <w:name w:val="List Number 2"/>
    <w:basedOn w:val="Normal"/>
    <w:rsid w:val="00301152"/>
    <w:pPr>
      <w:numPr>
        <w:numId w:val="8"/>
      </w:numPr>
    </w:pPr>
  </w:style>
  <w:style w:type="paragraph" w:styleId="ListNumber3">
    <w:name w:val="List Number 3"/>
    <w:basedOn w:val="Normal"/>
    <w:rsid w:val="00301152"/>
    <w:pPr>
      <w:numPr>
        <w:numId w:val="9"/>
      </w:numPr>
    </w:pPr>
  </w:style>
  <w:style w:type="paragraph" w:styleId="ListNumber4">
    <w:name w:val="List Number 4"/>
    <w:basedOn w:val="Normal"/>
    <w:rsid w:val="00301152"/>
    <w:pPr>
      <w:numPr>
        <w:numId w:val="10"/>
      </w:numPr>
    </w:pPr>
  </w:style>
  <w:style w:type="paragraph" w:styleId="ListNumber5">
    <w:name w:val="List Number 5"/>
    <w:basedOn w:val="Normal"/>
    <w:rsid w:val="00301152"/>
    <w:pPr>
      <w:numPr>
        <w:numId w:val="11"/>
      </w:numPr>
    </w:pPr>
  </w:style>
  <w:style w:type="paragraph" w:styleId="ListParagraph">
    <w:name w:val="List Paragraph"/>
    <w:basedOn w:val="Normal"/>
    <w:qFormat/>
    <w:rsid w:val="00301152"/>
    <w:pPr>
      <w:ind w:left="720"/>
      <w:contextualSpacing/>
    </w:pPr>
  </w:style>
  <w:style w:type="paragraph" w:styleId="MacroText">
    <w:name w:val="macro"/>
    <w:link w:val="MacroTextChar"/>
    <w:semiHidden/>
    <w:rsid w:val="00301152"/>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lang w:bidi="ar-SA"/>
    </w:rPr>
  </w:style>
  <w:style w:type="character" w:customStyle="1" w:styleId="MacroTextChar">
    <w:name w:val="Macro Text Char"/>
    <w:basedOn w:val="DefaultParagraphFont"/>
    <w:link w:val="MacroText"/>
    <w:semiHidden/>
    <w:rsid w:val="00301152"/>
    <w:rPr>
      <w:rFonts w:ascii="Courier New" w:hAnsi="Courier New" w:cs="Courier New"/>
      <w:lang w:bidi="ar-SA"/>
    </w:rPr>
  </w:style>
  <w:style w:type="paragraph" w:styleId="MessageHeader">
    <w:name w:val="Message Header"/>
    <w:basedOn w:val="Normal"/>
    <w:link w:val="MessageHeaderChar"/>
    <w:rsid w:val="0030115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301152"/>
    <w:rPr>
      <w:rFonts w:ascii="Arial" w:hAnsi="Arial" w:cs="Arial"/>
      <w:sz w:val="24"/>
      <w:szCs w:val="24"/>
      <w:shd w:val="pct20" w:color="auto" w:fill="auto"/>
      <w:lang w:bidi="ar-SA"/>
    </w:rPr>
  </w:style>
  <w:style w:type="paragraph" w:customStyle="1" w:styleId="myTOC1">
    <w:name w:val="myTOC 1"/>
    <w:basedOn w:val="Normal"/>
    <w:next w:val="Normal"/>
    <w:rsid w:val="00301152"/>
    <w:pPr>
      <w:tabs>
        <w:tab w:val="left" w:leader="dot" w:pos="9648"/>
      </w:tabs>
      <w:spacing w:before="120"/>
    </w:pPr>
    <w:rPr>
      <w:szCs w:val="26"/>
    </w:rPr>
  </w:style>
  <w:style w:type="paragraph" w:customStyle="1" w:styleId="myTOC2">
    <w:name w:val="myTOC 2"/>
    <w:basedOn w:val="Normal"/>
    <w:next w:val="Normal"/>
    <w:rsid w:val="00301152"/>
    <w:pPr>
      <w:tabs>
        <w:tab w:val="left" w:leader="dot" w:pos="9648"/>
      </w:tabs>
      <w:ind w:left="288"/>
    </w:pPr>
    <w:rPr>
      <w:szCs w:val="26"/>
    </w:rPr>
  </w:style>
  <w:style w:type="paragraph" w:customStyle="1" w:styleId="myTOC3">
    <w:name w:val="myTOC 3"/>
    <w:basedOn w:val="Normal"/>
    <w:next w:val="Normal"/>
    <w:rsid w:val="00301152"/>
    <w:pPr>
      <w:tabs>
        <w:tab w:val="left" w:leader="dot" w:pos="9648"/>
      </w:tabs>
      <w:ind w:left="576"/>
    </w:pPr>
    <w:rPr>
      <w:szCs w:val="26"/>
    </w:rPr>
  </w:style>
  <w:style w:type="paragraph" w:customStyle="1" w:styleId="myTOC4">
    <w:name w:val="myTOC 4"/>
    <w:basedOn w:val="Normal"/>
    <w:next w:val="Normal"/>
    <w:rsid w:val="00301152"/>
    <w:pPr>
      <w:tabs>
        <w:tab w:val="left" w:leader="dot" w:pos="9648"/>
      </w:tabs>
      <w:ind w:left="864"/>
    </w:pPr>
    <w:rPr>
      <w:szCs w:val="26"/>
    </w:rPr>
  </w:style>
  <w:style w:type="paragraph" w:customStyle="1" w:styleId="myTOC5">
    <w:name w:val="myTOC 5"/>
    <w:basedOn w:val="Normal"/>
    <w:next w:val="Normal"/>
    <w:rsid w:val="00301152"/>
    <w:pPr>
      <w:tabs>
        <w:tab w:val="left" w:leader="dot" w:pos="9648"/>
      </w:tabs>
      <w:ind w:left="1152"/>
    </w:pPr>
    <w:rPr>
      <w:szCs w:val="26"/>
    </w:rPr>
  </w:style>
  <w:style w:type="paragraph" w:customStyle="1" w:styleId="myTOC6">
    <w:name w:val="myTOC 6"/>
    <w:basedOn w:val="Normal"/>
    <w:next w:val="Normal"/>
    <w:rsid w:val="00301152"/>
    <w:pPr>
      <w:widowControl/>
      <w:tabs>
        <w:tab w:val="left" w:leader="dot" w:pos="9648"/>
      </w:tabs>
      <w:autoSpaceDE/>
      <w:autoSpaceDN/>
      <w:adjustRightInd/>
      <w:ind w:left="1440"/>
    </w:pPr>
    <w:rPr>
      <w:szCs w:val="26"/>
    </w:rPr>
  </w:style>
  <w:style w:type="paragraph" w:customStyle="1" w:styleId="myTOC7">
    <w:name w:val="myTOC 7"/>
    <w:basedOn w:val="Normal"/>
    <w:next w:val="Normal"/>
    <w:rsid w:val="00301152"/>
    <w:pPr>
      <w:widowControl/>
      <w:tabs>
        <w:tab w:val="left" w:leader="dot" w:pos="9648"/>
      </w:tabs>
      <w:autoSpaceDE/>
      <w:autoSpaceDN/>
      <w:adjustRightInd/>
      <w:ind w:left="1728"/>
    </w:pPr>
    <w:rPr>
      <w:szCs w:val="26"/>
    </w:rPr>
  </w:style>
  <w:style w:type="paragraph" w:customStyle="1" w:styleId="myTOC8">
    <w:name w:val="myTOC 8"/>
    <w:basedOn w:val="Normal"/>
    <w:next w:val="Normal"/>
    <w:rsid w:val="00301152"/>
    <w:pPr>
      <w:widowControl/>
      <w:tabs>
        <w:tab w:val="left" w:leader="dot" w:pos="9648"/>
      </w:tabs>
      <w:autoSpaceDE/>
      <w:autoSpaceDN/>
      <w:adjustRightInd/>
      <w:ind w:left="2016"/>
    </w:pPr>
    <w:rPr>
      <w:szCs w:val="26"/>
    </w:rPr>
  </w:style>
  <w:style w:type="paragraph" w:customStyle="1" w:styleId="myTOC9">
    <w:name w:val="myTOC 9"/>
    <w:basedOn w:val="Normal"/>
    <w:next w:val="Normal"/>
    <w:rsid w:val="00301152"/>
    <w:pPr>
      <w:widowControl/>
      <w:tabs>
        <w:tab w:val="left" w:leader="dot" w:pos="9648"/>
      </w:tabs>
      <w:autoSpaceDE/>
      <w:autoSpaceDN/>
      <w:adjustRightInd/>
      <w:ind w:left="2304"/>
    </w:pPr>
    <w:rPr>
      <w:szCs w:val="26"/>
    </w:rPr>
  </w:style>
  <w:style w:type="paragraph" w:styleId="NoSpacing">
    <w:name w:val="No Spacing"/>
    <w:uiPriority w:val="1"/>
    <w:qFormat/>
    <w:rsid w:val="00301152"/>
    <w:pPr>
      <w:widowControl w:val="0"/>
      <w:autoSpaceDE w:val="0"/>
      <w:autoSpaceDN w:val="0"/>
      <w:adjustRightInd w:val="0"/>
    </w:pPr>
    <w:rPr>
      <w:sz w:val="26"/>
      <w:szCs w:val="24"/>
      <w:lang w:bidi="ar-SA"/>
    </w:rPr>
  </w:style>
  <w:style w:type="paragraph" w:customStyle="1" w:styleId="Non-TOCStyle">
    <w:name w:val="Non-TOC Style"/>
    <w:basedOn w:val="Normal"/>
    <w:next w:val="FERCparanumber"/>
    <w:rsid w:val="00301152"/>
    <w:pPr>
      <w:keepNext/>
      <w:keepLines/>
      <w:widowControl/>
      <w:spacing w:after="260"/>
      <w:jc w:val="center"/>
      <w:outlineLvl w:val="4"/>
    </w:pPr>
    <w:rPr>
      <w:b/>
      <w:szCs w:val="26"/>
      <w:u w:val="single"/>
    </w:rPr>
  </w:style>
  <w:style w:type="paragraph" w:styleId="NormalWeb">
    <w:name w:val="Normal (Web)"/>
    <w:basedOn w:val="Normal"/>
    <w:rsid w:val="00301152"/>
    <w:rPr>
      <w:sz w:val="24"/>
    </w:rPr>
  </w:style>
  <w:style w:type="paragraph" w:styleId="NormalIndent">
    <w:name w:val="Normal Indent"/>
    <w:basedOn w:val="Normal"/>
    <w:rsid w:val="00301152"/>
    <w:pPr>
      <w:ind w:left="720"/>
    </w:pPr>
  </w:style>
  <w:style w:type="paragraph" w:styleId="NoteHeading">
    <w:name w:val="Note Heading"/>
    <w:basedOn w:val="Normal"/>
    <w:next w:val="Normal"/>
    <w:link w:val="NoteHeadingChar"/>
    <w:rsid w:val="00301152"/>
  </w:style>
  <w:style w:type="character" w:customStyle="1" w:styleId="NoteHeadingChar">
    <w:name w:val="Note Heading Char"/>
    <w:basedOn w:val="DefaultParagraphFont"/>
    <w:link w:val="NoteHeading"/>
    <w:rsid w:val="00301152"/>
    <w:rPr>
      <w:sz w:val="26"/>
      <w:szCs w:val="24"/>
      <w:lang w:bidi="ar-SA"/>
    </w:rPr>
  </w:style>
  <w:style w:type="paragraph" w:styleId="PlainText">
    <w:name w:val="Plain Text"/>
    <w:basedOn w:val="Normal"/>
    <w:link w:val="PlainTextChar"/>
    <w:rsid w:val="00301152"/>
    <w:rPr>
      <w:rFonts w:ascii="Courier New" w:hAnsi="Courier New" w:cs="Courier New"/>
      <w:sz w:val="20"/>
      <w:szCs w:val="20"/>
    </w:rPr>
  </w:style>
  <w:style w:type="character" w:customStyle="1" w:styleId="PlainTextChar">
    <w:name w:val="Plain Text Char"/>
    <w:basedOn w:val="DefaultParagraphFont"/>
    <w:link w:val="PlainText"/>
    <w:rsid w:val="00301152"/>
    <w:rPr>
      <w:rFonts w:ascii="Courier New" w:hAnsi="Courier New" w:cs="Courier New"/>
      <w:lang w:bidi="ar-SA"/>
    </w:rPr>
  </w:style>
  <w:style w:type="paragraph" w:styleId="Quote">
    <w:name w:val="Quote"/>
    <w:basedOn w:val="Normal"/>
    <w:next w:val="Normal"/>
    <w:link w:val="QuoteChar"/>
    <w:uiPriority w:val="29"/>
    <w:qFormat/>
    <w:rsid w:val="00301152"/>
    <w:rPr>
      <w:i/>
      <w:iCs/>
      <w:color w:val="000000" w:themeColor="text1"/>
    </w:rPr>
  </w:style>
  <w:style w:type="character" w:customStyle="1" w:styleId="QuoteChar">
    <w:name w:val="Quote Char"/>
    <w:basedOn w:val="DefaultParagraphFont"/>
    <w:link w:val="Quote"/>
    <w:uiPriority w:val="29"/>
    <w:rsid w:val="00301152"/>
    <w:rPr>
      <w:i/>
      <w:iCs/>
      <w:color w:val="000000" w:themeColor="text1"/>
      <w:sz w:val="26"/>
      <w:szCs w:val="24"/>
      <w:lang w:bidi="ar-SA"/>
    </w:rPr>
  </w:style>
  <w:style w:type="paragraph" w:styleId="Salutation">
    <w:name w:val="Salutation"/>
    <w:basedOn w:val="Normal"/>
    <w:next w:val="Normal"/>
    <w:link w:val="SalutationChar"/>
    <w:rsid w:val="00301152"/>
  </w:style>
  <w:style w:type="character" w:customStyle="1" w:styleId="SalutationChar">
    <w:name w:val="Salutation Char"/>
    <w:basedOn w:val="DefaultParagraphFont"/>
    <w:link w:val="Salutation"/>
    <w:rsid w:val="00301152"/>
    <w:rPr>
      <w:sz w:val="26"/>
      <w:szCs w:val="24"/>
      <w:lang w:bidi="ar-SA"/>
    </w:rPr>
  </w:style>
  <w:style w:type="paragraph" w:styleId="Signature">
    <w:name w:val="Signature"/>
    <w:basedOn w:val="Normal"/>
    <w:link w:val="SignatureChar"/>
    <w:rsid w:val="00301152"/>
    <w:pPr>
      <w:ind w:left="4320"/>
    </w:pPr>
  </w:style>
  <w:style w:type="character" w:customStyle="1" w:styleId="SignatureChar">
    <w:name w:val="Signature Char"/>
    <w:basedOn w:val="DefaultParagraphFont"/>
    <w:link w:val="Signature"/>
    <w:rsid w:val="00301152"/>
    <w:rPr>
      <w:sz w:val="26"/>
      <w:szCs w:val="24"/>
      <w:lang w:bidi="ar-SA"/>
    </w:rPr>
  </w:style>
  <w:style w:type="paragraph" w:styleId="Subtitle">
    <w:name w:val="Subtitle"/>
    <w:basedOn w:val="Normal"/>
    <w:link w:val="SubtitleChar"/>
    <w:qFormat/>
    <w:rsid w:val="00301152"/>
    <w:pPr>
      <w:spacing w:after="60"/>
      <w:jc w:val="center"/>
      <w:outlineLvl w:val="1"/>
    </w:pPr>
    <w:rPr>
      <w:rFonts w:ascii="Arial" w:hAnsi="Arial" w:cs="Arial"/>
      <w:sz w:val="24"/>
    </w:rPr>
  </w:style>
  <w:style w:type="character" w:customStyle="1" w:styleId="SubtitleChar">
    <w:name w:val="Subtitle Char"/>
    <w:basedOn w:val="DefaultParagraphFont"/>
    <w:link w:val="Subtitle"/>
    <w:rsid w:val="00301152"/>
    <w:rPr>
      <w:rFonts w:ascii="Arial" w:hAnsi="Arial" w:cs="Arial"/>
      <w:sz w:val="24"/>
      <w:szCs w:val="24"/>
      <w:lang w:bidi="ar-SA"/>
    </w:rPr>
  </w:style>
  <w:style w:type="paragraph" w:styleId="TableofAuthorities">
    <w:name w:val="table of authorities"/>
    <w:basedOn w:val="Normal"/>
    <w:next w:val="Normal"/>
    <w:semiHidden/>
    <w:rsid w:val="00301152"/>
    <w:pPr>
      <w:ind w:left="260" w:hanging="260"/>
    </w:pPr>
  </w:style>
  <w:style w:type="paragraph" w:styleId="TableofFigures">
    <w:name w:val="table of figures"/>
    <w:basedOn w:val="Normal"/>
    <w:next w:val="Normal"/>
    <w:semiHidden/>
    <w:rsid w:val="00301152"/>
    <w:pPr>
      <w:ind w:left="520" w:hanging="520"/>
    </w:pPr>
  </w:style>
  <w:style w:type="paragraph" w:styleId="Title">
    <w:name w:val="Title"/>
    <w:basedOn w:val="Normal"/>
    <w:link w:val="TitleChar"/>
    <w:qFormat/>
    <w:rsid w:val="0030115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301152"/>
    <w:rPr>
      <w:rFonts w:ascii="Arial" w:hAnsi="Arial" w:cs="Arial"/>
      <w:b/>
      <w:bCs/>
      <w:kern w:val="28"/>
      <w:sz w:val="32"/>
      <w:szCs w:val="32"/>
      <w:lang w:bidi="ar-SA"/>
    </w:rPr>
  </w:style>
  <w:style w:type="paragraph" w:styleId="TOAHeading">
    <w:name w:val="toa heading"/>
    <w:basedOn w:val="Normal"/>
    <w:next w:val="Normal"/>
    <w:semiHidden/>
    <w:rsid w:val="00301152"/>
    <w:pPr>
      <w:spacing w:before="120"/>
    </w:pPr>
    <w:rPr>
      <w:rFonts w:ascii="Arial" w:hAnsi="Arial" w:cs="Arial"/>
      <w:b/>
      <w:bCs/>
      <w:sz w:val="24"/>
    </w:rPr>
  </w:style>
  <w:style w:type="paragraph" w:styleId="TOC1">
    <w:name w:val="toc 1"/>
    <w:basedOn w:val="Normal"/>
    <w:next w:val="Normal"/>
    <w:uiPriority w:val="39"/>
    <w:rsid w:val="00301152"/>
  </w:style>
  <w:style w:type="paragraph" w:styleId="TOC2">
    <w:name w:val="toc 2"/>
    <w:basedOn w:val="Normal"/>
    <w:next w:val="Normal"/>
    <w:uiPriority w:val="39"/>
    <w:rsid w:val="00301152"/>
    <w:pPr>
      <w:ind w:left="260"/>
    </w:pPr>
  </w:style>
  <w:style w:type="paragraph" w:styleId="TOC3">
    <w:name w:val="toc 3"/>
    <w:basedOn w:val="Normal"/>
    <w:next w:val="Normal"/>
    <w:uiPriority w:val="39"/>
    <w:rsid w:val="00301152"/>
    <w:pPr>
      <w:ind w:left="520"/>
    </w:pPr>
  </w:style>
  <w:style w:type="paragraph" w:styleId="TOC4">
    <w:name w:val="toc 4"/>
    <w:basedOn w:val="Normal"/>
    <w:next w:val="Normal"/>
    <w:uiPriority w:val="39"/>
    <w:rsid w:val="00301152"/>
    <w:pPr>
      <w:ind w:left="780"/>
    </w:pPr>
  </w:style>
  <w:style w:type="paragraph" w:styleId="TOC5">
    <w:name w:val="toc 5"/>
    <w:basedOn w:val="Normal"/>
    <w:next w:val="Normal"/>
    <w:semiHidden/>
    <w:rsid w:val="00301152"/>
    <w:pPr>
      <w:ind w:left="1040"/>
    </w:pPr>
  </w:style>
  <w:style w:type="paragraph" w:styleId="TOC6">
    <w:name w:val="toc 6"/>
    <w:basedOn w:val="Normal"/>
    <w:next w:val="Normal"/>
    <w:semiHidden/>
    <w:rsid w:val="00301152"/>
    <w:pPr>
      <w:ind w:left="1300"/>
    </w:pPr>
  </w:style>
  <w:style w:type="paragraph" w:styleId="TOC7">
    <w:name w:val="toc 7"/>
    <w:basedOn w:val="Normal"/>
    <w:next w:val="Normal"/>
    <w:semiHidden/>
    <w:rsid w:val="00301152"/>
    <w:pPr>
      <w:ind w:left="1560"/>
    </w:pPr>
  </w:style>
  <w:style w:type="paragraph" w:styleId="TOC8">
    <w:name w:val="toc 8"/>
    <w:basedOn w:val="Normal"/>
    <w:next w:val="Normal"/>
    <w:semiHidden/>
    <w:rsid w:val="00301152"/>
    <w:pPr>
      <w:ind w:left="1820"/>
    </w:pPr>
  </w:style>
  <w:style w:type="paragraph" w:styleId="TOC9">
    <w:name w:val="toc 9"/>
    <w:basedOn w:val="Normal"/>
    <w:next w:val="Normal"/>
    <w:semiHidden/>
    <w:rsid w:val="00301152"/>
    <w:pPr>
      <w:ind w:left="2080"/>
    </w:pPr>
  </w:style>
  <w:style w:type="paragraph" w:styleId="TOCHeading">
    <w:name w:val="TOC Heading"/>
    <w:basedOn w:val="Heading1"/>
    <w:next w:val="Normal"/>
    <w:uiPriority w:val="39"/>
    <w:semiHidden/>
    <w:unhideWhenUsed/>
    <w:qFormat/>
    <w:rsid w:val="00301152"/>
    <w:pPr>
      <w:widowControl w:val="0"/>
      <w:spacing w:before="480" w:after="0"/>
      <w:outlineLvl w:val="9"/>
    </w:pPr>
    <w:rPr>
      <w:rFonts w:asciiTheme="majorHAnsi" w:eastAsiaTheme="majorEastAsia" w:hAnsiTheme="majorHAnsi" w:cstheme="majorBidi"/>
      <w:color w:val="365F91" w:themeColor="accent1" w:themeShade="BF"/>
      <w:kern w:val="0"/>
      <w:sz w:val="28"/>
      <w:szCs w:val="28"/>
      <w:u w:val="none"/>
    </w:rPr>
  </w:style>
  <w:style w:type="character" w:styleId="Hyperlink">
    <w:name w:val="Hyperlink"/>
    <w:basedOn w:val="DefaultParagraphFont"/>
    <w:uiPriority w:val="99"/>
    <w:rsid w:val="0025400C"/>
    <w:rPr>
      <w:color w:val="0000FF"/>
      <w:u w:val="single"/>
    </w:rPr>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n Char Char Char,ft Char Char Char,ft Char"/>
    <w:link w:val="FootnoteText"/>
    <w:rsid w:val="00A60C09"/>
    <w:rPr>
      <w:sz w:val="26"/>
      <w:lang w:bidi="ar-SA"/>
    </w:rPr>
  </w:style>
  <w:style w:type="paragraph" w:customStyle="1" w:styleId="Default">
    <w:name w:val="Default"/>
    <w:rsid w:val="00A60C09"/>
    <w:pPr>
      <w:autoSpaceDE w:val="0"/>
      <w:autoSpaceDN w:val="0"/>
      <w:adjustRightInd w:val="0"/>
    </w:pPr>
    <w:rPr>
      <w:color w:val="000000"/>
      <w:sz w:val="24"/>
      <w:szCs w:val="24"/>
      <w:lang w:bidi="ar-SA"/>
    </w:rPr>
  </w:style>
  <w:style w:type="character" w:styleId="CommentReference">
    <w:name w:val="annotation reference"/>
    <w:basedOn w:val="DefaultParagraphFont"/>
    <w:uiPriority w:val="99"/>
    <w:semiHidden/>
    <w:unhideWhenUsed/>
    <w:rsid w:val="007F3248"/>
    <w:rPr>
      <w:sz w:val="16"/>
      <w:szCs w:val="16"/>
    </w:rPr>
  </w:style>
  <w:style w:type="paragraph" w:styleId="Revision">
    <w:name w:val="Revision"/>
    <w:hidden/>
    <w:uiPriority w:val="99"/>
    <w:semiHidden/>
    <w:rsid w:val="005D60E4"/>
    <w:rPr>
      <w:sz w:val="26"/>
      <w:szCs w:val="24"/>
      <w:lang w:bidi="ar-SA"/>
    </w:rPr>
  </w:style>
  <w:style w:type="character" w:customStyle="1" w:styleId="FooterChar">
    <w:name w:val="Footer Char"/>
    <w:basedOn w:val="DefaultParagraphFont"/>
    <w:link w:val="Footer"/>
    <w:uiPriority w:val="99"/>
    <w:rsid w:val="00641642"/>
    <w:rPr>
      <w:sz w:val="26"/>
      <w:szCs w:val="24"/>
      <w:lang w:bidi="ar-SA"/>
    </w:rPr>
  </w:style>
  <w:style w:type="character" w:customStyle="1" w:styleId="HeaderChar">
    <w:name w:val="Header Char"/>
    <w:basedOn w:val="DefaultParagraphFont"/>
    <w:link w:val="Header"/>
    <w:uiPriority w:val="99"/>
    <w:rsid w:val="0015047A"/>
    <w:rPr>
      <w:sz w:val="2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2.xml"/><Relationship Id="rId58"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ustomXml" Target="../customXml/item5.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customXml" Target="../customXml/item3.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footer" Target="footer3.xml"/><Relationship Id="rId62"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oter" Target="footer1.xml"/><Relationship Id="rId60"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37EBEE62F2E248B8AD112B0E89FEBA" ma:contentTypeVersion="22" ma:contentTypeDescription="Create a new document." ma:contentTypeScope="" ma:versionID="37989b7f3facc8775e95634d9665dc17">
  <xsd:schema xmlns:xsd="http://www.w3.org/2001/XMLSchema" xmlns:p="http://schemas.microsoft.com/office/2006/metadata/properties" xmlns:ns2="d6eefc7d-9817-4fa6-84d5-3bc009be21b8" targetNamespace="http://schemas.microsoft.com/office/2006/metadata/properties" ma:root="true" ma:fieldsID="a0a8f6ab7fef6b771d681907feb4b9f5" ns2:_="">
    <xsd:import namespace="d6eefc7d-9817-4fa6-84d5-3bc009be21b8"/>
    <xsd:element name="properties">
      <xsd:complexType>
        <xsd:sequence>
          <xsd:element name="documentManagement">
            <xsd:complexType>
              <xsd:all>
                <xsd:element ref="ns2:_x0031__x002e__x0020_Collection_x0020_Number" minOccurs="0"/>
                <xsd:element ref="ns2:_x0032__x002e__x0020_Collection_x0020_Number" minOccurs="0"/>
                <xsd:element ref="ns2:_x0033__x002e__x0020_Collection_x0020_Number" minOccurs="0"/>
                <xsd:element ref="ns2:_x0031__x002e__x0020_Docket_x0020_Number" minOccurs="0"/>
                <xsd:element ref="ns2:_x0032__x002e__x0020_Docket_x0020_Number" minOccurs="0"/>
                <xsd:element ref="ns2:_x0033__x002e__x0020_Docket_x0020_Number" minOccurs="0"/>
                <xsd:element ref="ns2:Date" minOccurs="0"/>
                <xsd:element ref="ns2:Renewal_x0020_Document_x0020_Type" minOccurs="0"/>
                <xsd:element ref="ns2:Rulemaking_x0020_Document_x0020_Type" minOccurs="0"/>
                <xsd:element ref="ns2:Status" minOccurs="0"/>
              </xsd:all>
            </xsd:complexType>
          </xsd:element>
        </xsd:sequence>
      </xsd:complexType>
    </xsd:element>
  </xsd:schema>
  <xsd:schema xmlns:xsd="http://www.w3.org/2001/XMLSchema" xmlns:dms="http://schemas.microsoft.com/office/2006/documentManagement/types" targetNamespace="d6eefc7d-9817-4fa6-84d5-3bc009be21b8" elementFormDefault="qualified">
    <xsd:import namespace="http://schemas.microsoft.com/office/2006/documentManagement/types"/>
    <xsd:element name="_x0031__x002e__x0020_Collection_x0020_Number" ma:index="2" nillable="true" ma:displayName="Collection 1" ma:internalName="_x0031__x002e__x0020_Collection_x0020_Number">
      <xsd:simpleType>
        <xsd:restriction base="dms:Text">
          <xsd:maxLength value="255"/>
        </xsd:restriction>
      </xsd:simpleType>
    </xsd:element>
    <xsd:element name="_x0032__x002e__x0020_Collection_x0020_Number" ma:index="3" nillable="true" ma:displayName="Collection 2" ma:internalName="_x0032__x002e__x0020_Collection_x0020_Number">
      <xsd:simpleType>
        <xsd:restriction base="dms:Text">
          <xsd:maxLength value="255"/>
        </xsd:restriction>
      </xsd:simpleType>
    </xsd:element>
    <xsd:element name="_x0033__x002e__x0020_Collection_x0020_Number" ma:index="4" nillable="true" ma:displayName="Collection 3" ma:internalName="_x0033__x002e__x0020_Collection_x0020_Number">
      <xsd:simpleType>
        <xsd:restriction base="dms:Text">
          <xsd:maxLength value="255"/>
        </xsd:restriction>
      </xsd:simpleType>
    </xsd:element>
    <xsd:element name="_x0031__x002e__x0020_Docket_x0020_Number" ma:index="5" nillable="true" ma:displayName="Docket 1" ma:internalName="_x0031__x002e__x0020_Docket_x0020_Number">
      <xsd:simpleType>
        <xsd:restriction base="dms:Text">
          <xsd:maxLength value="255"/>
        </xsd:restriction>
      </xsd:simpleType>
    </xsd:element>
    <xsd:element name="_x0032__x002e__x0020_Docket_x0020_Number" ma:index="6" nillable="true" ma:displayName="Docket 2" ma:internalName="_x0032__x002e__x0020_Docket_x0020_Number">
      <xsd:simpleType>
        <xsd:restriction base="dms:Text">
          <xsd:maxLength value="255"/>
        </xsd:restriction>
      </xsd:simpleType>
    </xsd:element>
    <xsd:element name="_x0033__x002e__x0020_Docket_x0020_Number" ma:index="7" nillable="true" ma:displayName="Docket 3" ma:internalName="_x0033__x002e__x0020_Docket_x0020_Number">
      <xsd:simpleType>
        <xsd:restriction base="dms:Text">
          <xsd:maxLength value="255"/>
        </xsd:restriction>
      </xsd:simpleType>
    </xsd:element>
    <xsd:element name="Date" ma:index="8" nillable="true" ma:displayName="Date" ma:format="DateOnly" ma:internalName="Date">
      <xsd:simpleType>
        <xsd:restriction base="dms:DateTime"/>
      </xsd:simpleType>
    </xsd:element>
    <xsd:element name="Renewal_x0020_Document_x0020_Type" ma:index="9" nillable="true" ma:displayName="Renewal Document Type" ma:default="None" ma:format="Dropdown" ma:internalName="Renewal_x0020_Document_x0020_Type">
      <xsd:simpleType>
        <xsd:restriction base="dms:Choice">
          <xsd:enumeration value="None"/>
          <xsd:enumeration value="60-Day Notice"/>
          <xsd:enumeration value="30-Day Notice"/>
          <xsd:enumeration value="OMB Supporting Statement"/>
          <xsd:enumeration value="Supporting Information"/>
          <xsd:enumeration value="Correspondence"/>
          <xsd:enumeration value="Comments"/>
          <xsd:enumeration value="OMB NOA"/>
          <xsd:enumeration value="Errata"/>
          <xsd:enumeration value="Data Instrument"/>
          <xsd:enumeration value="Other"/>
        </xsd:restriction>
      </xsd:simpleType>
    </xsd:element>
    <xsd:element name="Rulemaking_x0020_Document_x0020_Type" ma:index="10" nillable="true" ma:displayName="Rulemaking Document Type" ma:default="None" ma:format="Dropdown" ma:internalName="Rulemaking_x0020_Document_x0020_Type">
      <xsd:simpleType>
        <xsd:restriction base="dms:Choice">
          <xsd:enumeration value="None"/>
          <xsd:enumeration value="Proposed Rule"/>
          <xsd:enumeration value="Final Rule"/>
          <xsd:enumeration value="NOI, Policy Statements, and Rehearing"/>
          <xsd:enumeration value="OMB Supporting Statement"/>
          <xsd:enumeration value="Supporting Information"/>
          <xsd:enumeration value="Correspondence"/>
          <xsd:enumeration value="CRA OMB Letter"/>
          <xsd:enumeration value="CRA SBA Letter"/>
          <xsd:enumeration value="CRA Form"/>
          <xsd:enumeration value="CRA Fact Sheet"/>
          <xsd:enumeration value="OMB NOA"/>
          <xsd:enumeration value="Status and Regulations"/>
          <xsd:enumeration value="Comments"/>
          <xsd:enumeration value="Data Instrument"/>
          <xsd:enumeration value="Other"/>
        </xsd:restriction>
      </xsd:simpleType>
    </xsd:element>
    <xsd:element name="Status" ma:index="11" nillable="true" ma:displayName="Status" ma:default="None" ma:format="Dropdown" ma:internalName="Status">
      <xsd:simpleType>
        <xsd:restriction base="dms:Choice">
          <xsd:enumeration value="None"/>
          <xsd:enumeration value="Draft"/>
          <xsd:enumeration value="Final"/>
          <xsd:enumeration value="Issued"/>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ntns:customXsn xmlns:ntns="http://schemas.microsoft.com/office/2006/metadata/customXsn">
  <ntns:xsnLocation>http://share3.ferc.gov/sites/ProgramOffices/OED/CIO/Information Collection/Forms/Document/22bba65aa4d8dbfccustomXsn.xsn</ntns:xsnLocation>
  <ntns:cached>False</ntns:cached>
  <ntns:openByDefault>True</ntns:openByDefault>
  <ntns:xsnScope>http://share3.ferc.gov/sites/ProgramOffices/OED/CIO/Information Collection</ntns:xsnScope>
</ntns: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Renewal_x0020_Document_x0020_Type xmlns="d6eefc7d-9817-4fa6-84d5-3bc009be21b8">None</Renewal_x0020_Document_x0020_Type>
    <_x0031__x002e__x0020_Docket_x0020_Number xmlns="d6eefc7d-9817-4fa6-84d5-3bc009be21b8">AD14-15</_x0031__x002e__x0020_Docket_x0020_Number>
    <_x0032__x002e__x0020_Docket_x0020_Number xmlns="d6eefc7d-9817-4fa6-84d5-3bc009be21b8" xsi:nil="true"/>
    <_x0033__x002e__x0020_Docket_x0020_Number xmlns="d6eefc7d-9817-4fa6-84d5-3bc009be21b8" xsi:nil="true"/>
    <_x0031__x002e__x0020_Collection_x0020_Number xmlns="d6eefc7d-9817-4fa6-84d5-3bc009be21b8">922</_x0031__x002e__x0020_Collection_x0020_Number>
    <_x0032__x002e__x0020_Collection_x0020_Number xmlns="d6eefc7d-9817-4fa6-84d5-3bc009be21b8" xsi:nil="true"/>
    <_x0033__x002e__x0020_Collection_x0020_Number xmlns="d6eefc7d-9817-4fa6-84d5-3bc009be21b8" xsi:nil="true"/>
    <Date xmlns="d6eefc7d-9817-4fa6-84d5-3bc009be21b8">2014-08-26T04:00:00+00:00</Date>
    <Rulemaking_x0020_Document_x0020_Type xmlns="d6eefc7d-9817-4fa6-84d5-3bc009be21b8">None</Rulemaking_x0020_Document_x0020_Type>
    <Status xmlns="d6eefc7d-9817-4fa6-84d5-3bc009be21b8">None</Status>
  </documentManagement>
</p:properties>
</file>

<file path=customXml/itemProps1.xml><?xml version="1.0" encoding="utf-8"?>
<ds:datastoreItem xmlns:ds="http://schemas.openxmlformats.org/officeDocument/2006/customXml" ds:itemID="{78E76CA7-744B-4B5E-AF53-69032F8D8871}"/>
</file>

<file path=customXml/itemProps2.xml><?xml version="1.0" encoding="utf-8"?>
<ds:datastoreItem xmlns:ds="http://schemas.openxmlformats.org/officeDocument/2006/customXml" ds:itemID="{EC688BE3-73D9-41F6-B755-46AFA068EF79}"/>
</file>

<file path=customXml/itemProps3.xml><?xml version="1.0" encoding="utf-8"?>
<ds:datastoreItem xmlns:ds="http://schemas.openxmlformats.org/officeDocument/2006/customXml" ds:itemID="{2A72BCF0-FDDA-4421-8F6F-F483EEA3496C}"/>
</file>

<file path=customXml/itemProps4.xml><?xml version="1.0" encoding="utf-8"?>
<ds:datastoreItem xmlns:ds="http://schemas.openxmlformats.org/officeDocument/2006/customXml" ds:itemID="{48E9309E-F9FF-4AFE-8AAE-A29DF02601F0}"/>
</file>

<file path=customXml/itemProps5.xml><?xml version="1.0" encoding="utf-8"?>
<ds:datastoreItem xmlns:ds="http://schemas.openxmlformats.org/officeDocument/2006/customXml" ds:itemID="{A276B933-3E36-4833-B7B1-3272FEA3B2DD}"/>
</file>

<file path=customXml/itemProps6.xml><?xml version="1.0" encoding="utf-8"?>
<ds:datastoreItem xmlns:ds="http://schemas.openxmlformats.org/officeDocument/2006/customXml" ds:itemID="{43EB7CFA-328B-44C6-B6A4-19994F53FFF5}"/>
</file>

<file path=docProps/app.xml><?xml version="1.0" encoding="utf-8"?>
<Properties xmlns="http://schemas.openxmlformats.org/officeDocument/2006/extended-properties" xmlns:vt="http://schemas.openxmlformats.org/officeDocument/2006/docPropsVTypes">
  <Template>Normal</Template>
  <TotalTime>0</TotalTime>
  <Pages>90</Pages>
  <Words>12608</Words>
  <Characters>71866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2014-08-26T13:18:00Z</dcterms:created>
  <dcterms:modified xsi:type="dcterms:W3CDTF">2014-08-26T13:20:00Z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0x0101003837EBEE62F2E248B8AD112B0E89FEBA</vt:lpwstr>
  </property>
</Properties>
</file>