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 xml:space="preserve">Race to the Top </w:t>
      </w:r>
      <w:r>
        <w:rPr>
          <w:rFonts w:ascii="Times New Roman" w:hAnsi="Times New Roman"/>
        </w:rPr>
        <w:t>Program Review Protocols</w:t>
      </w:r>
      <w:r w:rsidRPr="00E87BD8">
        <w:rPr>
          <w:rFonts w:ascii="Times New Roman" w:hAnsi="Times New Roman"/>
        </w:rPr>
        <w:t>:</w:t>
      </w:r>
    </w:p>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SUPPORTING STATEMENT</w:t>
      </w:r>
    </w:p>
    <w:p w:rsidR="00B24063" w:rsidRPr="00E87BD8" w:rsidRDefault="00B24063" w:rsidP="00B24063">
      <w:pPr>
        <w:pStyle w:val="Title"/>
        <w:shd w:val="clear" w:color="auto" w:fill="auto"/>
        <w:rPr>
          <w:rFonts w:ascii="Times New Roman" w:hAnsi="Times New Roman"/>
        </w:rPr>
      </w:pPr>
      <w:r w:rsidRPr="00E87BD8">
        <w:rPr>
          <w:rFonts w:ascii="Times New Roman" w:hAnsi="Times New Roman"/>
        </w:rPr>
        <w:tab/>
        <w:t>FOR PAPERWORK REDUCTION ACT SUBMISSION</w:t>
      </w:r>
    </w:p>
    <w:p w:rsidR="00B24063" w:rsidRPr="00E87BD8" w:rsidRDefault="00B24063" w:rsidP="00B24063">
      <w:pPr>
        <w:shd w:val="clear" w:color="auto" w:fill="auto"/>
      </w:pPr>
    </w:p>
    <w:p w:rsidR="00B24063" w:rsidRPr="00E87BD8" w:rsidRDefault="00B24063" w:rsidP="00B24063">
      <w:pPr>
        <w:shd w:val="clear" w:color="auto" w:fill="auto"/>
      </w:pPr>
      <w:r w:rsidRPr="00E87BD8">
        <w:t xml:space="preserve">A. Justification </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4063" w:rsidRPr="00E87BD8" w:rsidRDefault="00B24063" w:rsidP="00B24063">
      <w:pPr>
        <w:shd w:val="clear" w:color="auto" w:fill="auto"/>
      </w:pPr>
    </w:p>
    <w:p w:rsidR="00B24063" w:rsidRDefault="00B24063" w:rsidP="00B24063">
      <w:pPr>
        <w:shd w:val="clear" w:color="auto" w:fill="auto"/>
      </w:pPr>
      <w:r w:rsidRPr="00067E81">
        <w:t xml:space="preserve">The American Recovery and Reinvestment Act of 2009 (ARRA) provided $4.3 billion for the Race to the Top Fund (referred to in the statute as the State Incentive Grant Fund), of which approximately $4 billion was used to fund comprehensive statewide reform grants under the Race to the Top program.  </w:t>
      </w:r>
      <w:r w:rsidRPr="00357265">
        <w:t>The U.S. Department of Education (Department)</w:t>
      </w:r>
      <w:r>
        <w:t xml:space="preserve"> </w:t>
      </w:r>
      <w:r w:rsidRPr="00067E81">
        <w:t>awarded Race to the Top grants in two phases.  On March 29, 2010, at the conclusion of Phase 1,</w:t>
      </w:r>
      <w:r>
        <w:t xml:space="preserve"> the Department</w:t>
      </w:r>
      <w:r w:rsidRPr="00067E81">
        <w:t xml:space="preserve"> announced </w:t>
      </w:r>
      <w:r w:rsidR="00501711">
        <w:t>Race to the Top</w:t>
      </w:r>
      <w:r w:rsidRPr="00067E81">
        <w:t xml:space="preserve"> grants for two states.  Delaware and Tennessee received their grant awards on June 14 and July 28 respectively.  On August 24, 2010, at the conclusion of Phase 2, </w:t>
      </w:r>
      <w:r>
        <w:t>the Department</w:t>
      </w:r>
      <w:r w:rsidRPr="00067E81">
        <w:t xml:space="preserve"> announced </w:t>
      </w:r>
      <w:r w:rsidR="00501711">
        <w:t>Race to the Top</w:t>
      </w:r>
      <w:r w:rsidRPr="00067E81">
        <w:t xml:space="preserve"> grants to an additional 9 states and the District of Columbia.  All Phase 2 grants were awarded on September 24, 2010.</w:t>
      </w:r>
      <w:r>
        <w:t xml:space="preserve">  </w:t>
      </w:r>
      <w:r w:rsidRPr="00357265">
        <w:t>The</w:t>
      </w:r>
      <w:r>
        <w:t xml:space="preserve"> Department</w:t>
      </w:r>
      <w:r w:rsidRPr="00357265">
        <w:t xml:space="preserve"> </w:t>
      </w:r>
      <w:r w:rsidR="00E709AF">
        <w:t>has supported</w:t>
      </w:r>
      <w:r w:rsidRPr="00357265">
        <w:t xml:space="preserve"> </w:t>
      </w:r>
      <w:r>
        <w:t>grantees</w:t>
      </w:r>
      <w:r w:rsidRPr="00357265">
        <w:t xml:space="preserve"> as they </w:t>
      </w:r>
      <w:r w:rsidR="00E709AF">
        <w:t xml:space="preserve">have </w:t>
      </w:r>
      <w:r w:rsidRPr="00357265">
        <w:t>implement</w:t>
      </w:r>
      <w:r w:rsidR="00E709AF">
        <w:t>ed</w:t>
      </w:r>
      <w:r w:rsidRPr="00357265">
        <w:t xml:space="preserve"> ambitious reform</w:t>
      </w:r>
      <w:r>
        <w:t xml:space="preserve"> agendas through </w:t>
      </w:r>
      <w:r w:rsidR="00501711">
        <w:t>Race to the Top</w:t>
      </w:r>
      <w:r w:rsidRPr="00357265">
        <w:t xml:space="preserve">.  Specifically, the Implementation and Support Unit (ISU) at the Department </w:t>
      </w:r>
      <w:r w:rsidR="00E709AF">
        <w:t>has differentiated</w:t>
      </w:r>
      <w:r w:rsidRPr="00357265">
        <w:t xml:space="preserve"> its approach</w:t>
      </w:r>
      <w:r w:rsidR="00513FE3">
        <w:t xml:space="preserve"> to supporting grantees</w:t>
      </w:r>
      <w:r w:rsidRPr="00357265">
        <w:t xml:space="preserve"> based on individual State needs</w:t>
      </w:r>
      <w:r w:rsidR="00513FE3">
        <w:t xml:space="preserve">, as well </w:t>
      </w:r>
      <w:r w:rsidR="00E87AF3">
        <w:t>as</w:t>
      </w:r>
      <w:r w:rsidR="00E87AF3" w:rsidRPr="00357265">
        <w:t xml:space="preserve"> suppor</w:t>
      </w:r>
      <w:r w:rsidR="009B09DB">
        <w:t>t</w:t>
      </w:r>
      <w:r w:rsidR="00E709AF">
        <w:t>ed</w:t>
      </w:r>
      <w:r w:rsidRPr="00357265">
        <w:t xml:space="preserve"> States to work with each other and with experts from around the nation to achieve and sustain educational reforms.</w:t>
      </w:r>
      <w:r w:rsidR="00AE22FF">
        <w:t xml:space="preserve"> </w:t>
      </w:r>
    </w:p>
    <w:p w:rsidR="00B24063" w:rsidRPr="00357265" w:rsidRDefault="00B24063" w:rsidP="00B24063">
      <w:pPr>
        <w:shd w:val="clear" w:color="auto" w:fill="auto"/>
        <w:rPr>
          <w:b/>
          <w:i/>
        </w:rPr>
      </w:pPr>
    </w:p>
    <w:p w:rsidR="00A86E6D" w:rsidRPr="00E87BD8" w:rsidRDefault="00B24063" w:rsidP="00A86E6D">
      <w:pPr>
        <w:shd w:val="clear" w:color="auto" w:fill="auto"/>
        <w:tabs>
          <w:tab w:val="left" w:pos="-720"/>
        </w:tabs>
      </w:pPr>
      <w:r>
        <w:t xml:space="preserve">In order to fulfill our programmatic oversight responsibilities, the Department has developed </w:t>
      </w:r>
      <w:r w:rsidR="00E709AF">
        <w:t xml:space="preserve">and implemented </w:t>
      </w:r>
      <w:r>
        <w:t xml:space="preserve">a monitoring (program review) protocol that is </w:t>
      </w:r>
      <w:r w:rsidR="0002286E">
        <w:t>aligned</w:t>
      </w:r>
      <w:r>
        <w:t xml:space="preserve"> to</w:t>
      </w:r>
      <w:r w:rsidRPr="00CF2081">
        <w:t xml:space="preserve"> </w:t>
      </w:r>
      <w:r>
        <w:t xml:space="preserve">the </w:t>
      </w:r>
      <w:r w:rsidR="00501711">
        <w:t>Race to the Top</w:t>
      </w:r>
      <w:r w:rsidRPr="00CF2081">
        <w:t xml:space="preserve"> selection criteria</w:t>
      </w:r>
      <w:r>
        <w:t xml:space="preserve"> and absolute priorities</w:t>
      </w:r>
      <w:r w:rsidRPr="00CF2081">
        <w:t xml:space="preserve"> previously established and published in the Federal Register</w:t>
      </w:r>
      <w:r>
        <w:t xml:space="preserve">. Grantees </w:t>
      </w:r>
      <w:r w:rsidR="00FD6F94">
        <w:t>are</w:t>
      </w:r>
      <w:r>
        <w:t xml:space="preserve"> required to submit regular progress updates on the status of the </w:t>
      </w:r>
      <w:r w:rsidRPr="00CF2081">
        <w:t>performance measures included in their proposals</w:t>
      </w:r>
      <w:r w:rsidR="007038D3">
        <w:t>, as well as information regarding fiscal oversight and accountability of federal funds</w:t>
      </w:r>
      <w:r w:rsidRPr="00CF2081">
        <w:t>. </w:t>
      </w:r>
      <w:r>
        <w:t xml:space="preserve">Grantee responses provide the information required for the Department to inform </w:t>
      </w:r>
      <w:r w:rsidR="00513FE3">
        <w:t xml:space="preserve">State-specific </w:t>
      </w:r>
      <w:r>
        <w:t xml:space="preserve">ongoing performance management discussions in order to make the necessary and immediate adjustment to program implementation and support, as well as provide appropriate and timely updates to the public on the progress of grantee’s program implementation. </w:t>
      </w:r>
      <w:r w:rsidR="00AE22FF">
        <w:t xml:space="preserve">Similar to all discretionary grants, Race to the Top grantees are eligible to receive a no-cost extension that allows for one additional year to implement projects under their approved plans. As a result of the no cost extension period, we are seeking an extension of a </w:t>
      </w:r>
      <w:r w:rsidR="00A86E6D">
        <w:t xml:space="preserve">previously approved collection. </w:t>
      </w:r>
    </w:p>
    <w:p w:rsidR="00B24063" w:rsidRPr="00E87BD8" w:rsidRDefault="00B24063" w:rsidP="00A86E6D">
      <w:pPr>
        <w:shd w:val="clear" w:color="auto" w:fill="auto"/>
      </w:pPr>
    </w:p>
    <w:p w:rsidR="00B24063" w:rsidRPr="00E87AF3" w:rsidRDefault="00B24063" w:rsidP="00E87AF3">
      <w:pPr>
        <w:pStyle w:val="BodyText"/>
        <w:shd w:val="clear" w:color="auto" w:fill="auto"/>
        <w:rPr>
          <w:rFonts w:ascii="Times New Roman" w:hAnsi="Times New Roman"/>
        </w:rPr>
      </w:pPr>
      <w:r w:rsidRPr="00E87BD8">
        <w:rPr>
          <w:rFonts w:ascii="Times New Roman" w:hAnsi="Times New Roman"/>
        </w:rPr>
        <w:lastRenderedPageBreak/>
        <w:t>A.2.  Indicate how, by whom, and for what purpose the information is to be used.  Except for a new collection, indicate the actual use the agency has made of the information received from the current collection.</w:t>
      </w:r>
    </w:p>
    <w:p w:rsidR="00B24063" w:rsidRDefault="00B24063" w:rsidP="00B24063">
      <w:pPr>
        <w:shd w:val="clear" w:color="auto" w:fill="auto"/>
        <w:rPr>
          <w:shd w:val="clear" w:color="auto" w:fill="FFFFFF"/>
        </w:rPr>
      </w:pPr>
    </w:p>
    <w:p w:rsidR="00101933" w:rsidRDefault="00B24063" w:rsidP="00101933">
      <w:pPr>
        <w:shd w:val="clear" w:color="auto" w:fill="auto"/>
      </w:pPr>
      <w:r>
        <w:rPr>
          <w:shd w:val="clear" w:color="auto" w:fill="FFFFFF"/>
        </w:rPr>
        <w:t xml:space="preserve">The Department will </w:t>
      </w:r>
      <w:r w:rsidR="00AE22FF">
        <w:rPr>
          <w:shd w:val="clear" w:color="auto" w:fill="FFFFFF"/>
        </w:rPr>
        <w:t xml:space="preserve">continue to </w:t>
      </w:r>
      <w:r>
        <w:rPr>
          <w:shd w:val="clear" w:color="auto" w:fill="FFFFFF"/>
        </w:rPr>
        <w:t>use information</w:t>
      </w:r>
      <w:r w:rsidR="00513FE3">
        <w:rPr>
          <w:shd w:val="clear" w:color="auto" w:fill="FFFFFF"/>
        </w:rPr>
        <w:t xml:space="preserve"> collected throughout the program review</w:t>
      </w:r>
      <w:r>
        <w:rPr>
          <w:shd w:val="clear" w:color="auto" w:fill="FFFFFF"/>
        </w:rPr>
        <w:t xml:space="preserve"> to assess the progress of </w:t>
      </w:r>
      <w:r w:rsidR="00501711">
        <w:t>Race to the Top</w:t>
      </w:r>
      <w:r>
        <w:rPr>
          <w:shd w:val="clear" w:color="auto" w:fill="FFFFFF"/>
        </w:rPr>
        <w:t xml:space="preserve"> grantees in implementing the activities outlined in their approved applications</w:t>
      </w:r>
      <w:r w:rsidR="005A3EF7">
        <w:rPr>
          <w:shd w:val="clear" w:color="auto" w:fill="FFFFFF"/>
        </w:rPr>
        <w:t xml:space="preserve"> and ensure compliance with statutory and Department fiscal regulations</w:t>
      </w:r>
      <w:r>
        <w:rPr>
          <w:shd w:val="clear" w:color="auto" w:fill="FFFFFF"/>
        </w:rPr>
        <w:t>.</w:t>
      </w:r>
    </w:p>
    <w:p w:rsidR="00101933" w:rsidRDefault="00101933" w:rsidP="00101933">
      <w:pPr>
        <w:shd w:val="clear" w:color="auto" w:fill="auto"/>
      </w:pPr>
    </w:p>
    <w:p w:rsidR="007038D3" w:rsidRPr="009C0DED" w:rsidRDefault="00CE3CF0" w:rsidP="007038D3">
      <w:pPr>
        <w:shd w:val="clear" w:color="auto" w:fill="auto"/>
      </w:pPr>
      <w:r w:rsidRPr="009C0DED">
        <w:t xml:space="preserve">Based on the responses the Department has received, the </w:t>
      </w:r>
      <w:r w:rsidR="0052400B" w:rsidRPr="009C0DED">
        <w:t>Progress U</w:t>
      </w:r>
      <w:r w:rsidRPr="009C0DED">
        <w:t xml:space="preserve">pdate questions are </w:t>
      </w:r>
      <w:r w:rsidR="0052400B" w:rsidRPr="009C0DED">
        <w:t>eliciting</w:t>
      </w:r>
      <w:r w:rsidRPr="009C0DED">
        <w:t xml:space="preserve"> the level of detail</w:t>
      </w:r>
      <w:r w:rsidR="00920D16" w:rsidRPr="009C0DED">
        <w:t xml:space="preserve"> and </w:t>
      </w:r>
      <w:r w:rsidRPr="009C0DED">
        <w:t>quality of responses desired</w:t>
      </w:r>
      <w:r w:rsidR="00DF69E0" w:rsidRPr="009C0DED">
        <w:t>, as well as information on parts of the p</w:t>
      </w:r>
      <w:r w:rsidR="00E87AF3" w:rsidRPr="009C0DED">
        <w:t>lan that do not include a defin</w:t>
      </w:r>
      <w:r w:rsidR="00DF69E0" w:rsidRPr="009C0DED">
        <w:t>ed set of goals and performance measures</w:t>
      </w:r>
      <w:r w:rsidR="00E87AF3" w:rsidRPr="009C0DED">
        <w:t xml:space="preserve">.  </w:t>
      </w:r>
      <w:r w:rsidR="00DF69E0" w:rsidRPr="009C0DED">
        <w:t>For example,</w:t>
      </w:r>
      <w:r w:rsidR="007038D3" w:rsidRPr="009C0DED">
        <w:t xml:space="preserve"> Part</w:t>
      </w:r>
      <w:r w:rsidR="00E87AF3" w:rsidRPr="009C0DED">
        <w:t xml:space="preserve"> A</w:t>
      </w:r>
      <w:r w:rsidR="007038D3" w:rsidRPr="009C0DED">
        <w:t xml:space="preserve"> of the progress update template allow</w:t>
      </w:r>
      <w:r w:rsidR="00DF69E0" w:rsidRPr="009C0DED">
        <w:t>s</w:t>
      </w:r>
      <w:r w:rsidR="007038D3" w:rsidRPr="009C0DED">
        <w:t xml:space="preserve"> for a State to provide information on all aspects of its plan, including those areas that did not include a defined set of goals or performance measures</w:t>
      </w:r>
      <w:r w:rsidR="00DF69E0" w:rsidRPr="009C0DED">
        <w:t>, by</w:t>
      </w:r>
      <w:r w:rsidR="00E87AF3" w:rsidRPr="009C0DED">
        <w:t xml:space="preserve"> </w:t>
      </w:r>
      <w:r w:rsidR="007038D3" w:rsidRPr="009C0DED">
        <w:t>elicit</w:t>
      </w:r>
      <w:r w:rsidR="00DF69E0" w:rsidRPr="009C0DED">
        <w:t>ing</w:t>
      </w:r>
      <w:r w:rsidR="00E87AF3" w:rsidRPr="009C0DED">
        <w:t xml:space="preserve"> </w:t>
      </w:r>
      <w:r w:rsidR="007038D3" w:rsidRPr="009C0DED">
        <w:t xml:space="preserve">information on all aspects of their plan that have a recent success or challenge.  </w:t>
      </w:r>
    </w:p>
    <w:p w:rsidR="00E87AF3" w:rsidRPr="009C0DED" w:rsidRDefault="00E87AF3" w:rsidP="00101933">
      <w:pPr>
        <w:shd w:val="clear" w:color="auto" w:fill="auto"/>
      </w:pPr>
    </w:p>
    <w:p w:rsidR="0052400B" w:rsidRDefault="00CE3CF0" w:rsidP="00FC5C88">
      <w:pPr>
        <w:shd w:val="clear" w:color="auto" w:fill="auto"/>
      </w:pPr>
      <w:r w:rsidRPr="009C0DED">
        <w:t xml:space="preserve">State responses, particularly those related to the question that asks for challenges or barriers to implementation, provide useful information for the </w:t>
      </w:r>
      <w:r w:rsidR="0052400B" w:rsidRPr="009C0DED">
        <w:t>Reform Support N</w:t>
      </w:r>
      <w:r w:rsidRPr="009C0DED">
        <w:t>etwork to ensure</w:t>
      </w:r>
      <w:r w:rsidR="00920D16" w:rsidRPr="009C0DED">
        <w:t xml:space="preserve"> it</w:t>
      </w:r>
      <w:r w:rsidRPr="009C0DED">
        <w:t xml:space="preserve"> supplying meaningful and relevant </w:t>
      </w:r>
      <w:r w:rsidR="0052400B" w:rsidRPr="009C0DED">
        <w:t>technical assistance</w:t>
      </w:r>
      <w:r w:rsidRPr="009C0DED">
        <w:t xml:space="preserve"> to each grantee. Moreover, members of the </w:t>
      </w:r>
      <w:r w:rsidR="0052400B" w:rsidRPr="009C0DED">
        <w:t>Reform Support Network have been and will continue to be</w:t>
      </w:r>
      <w:r w:rsidRPr="009C0DED">
        <w:t xml:space="preserve"> involved in each </w:t>
      </w:r>
      <w:r w:rsidR="0052400B" w:rsidRPr="009C0DED">
        <w:t>grantee’s</w:t>
      </w:r>
      <w:r w:rsidRPr="009C0DED">
        <w:t xml:space="preserve"> on-site review.  This fosters a deeper understanding of the grantee’s overall plan and allows the Department to pinpoint areas in which it can provide support, services, or expertise to assist the State.</w:t>
      </w:r>
    </w:p>
    <w:p w:rsidR="00AE22FF" w:rsidRDefault="00AE22FF" w:rsidP="00FC5C88">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shd w:val="clear" w:color="auto" w:fill="FFFFFF"/>
        </w:rPr>
        <w:t>A.3</w:t>
      </w:r>
      <w:proofErr w:type="gramStart"/>
      <w:r w:rsidRPr="00E87BD8">
        <w:rPr>
          <w:rFonts w:ascii="Times New Roman" w:hAnsi="Times New Roman"/>
          <w:shd w:val="clear" w:color="auto" w:fill="FFFFFF"/>
        </w:rPr>
        <w:t>.  Describe</w:t>
      </w:r>
      <w:proofErr w:type="gramEnd"/>
      <w:r w:rsidRPr="00E87BD8">
        <w:rPr>
          <w:rFonts w:ascii="Times New Roman" w:hAnsi="Times New Roman"/>
          <w:shd w:val="clear" w:color="auto" w:fill="FFFFFF"/>
        </w:rPr>
        <w:t xml:space="preserve"> whether, and to what extent, the collection of information involves the use of</w:t>
      </w:r>
      <w:r w:rsidRPr="00E87BD8">
        <w:rPr>
          <w:rFonts w:ascii="Times New Roman" w:hAnsi="Times New Roman"/>
        </w:rPr>
        <w:t xml:space="preserve">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24063" w:rsidRPr="00E87BD8" w:rsidRDefault="00B24063" w:rsidP="00B24063">
      <w:pPr>
        <w:shd w:val="clear" w:color="auto" w:fill="auto"/>
      </w:pPr>
    </w:p>
    <w:p w:rsidR="00B24063" w:rsidRPr="00E87BD8" w:rsidRDefault="00B24063" w:rsidP="00B24063">
      <w:pPr>
        <w:shd w:val="clear" w:color="auto" w:fill="auto"/>
      </w:pPr>
      <w:r w:rsidRPr="00E87BD8">
        <w:t>The information requested under this collection will be gathered by email</w:t>
      </w:r>
      <w:r>
        <w:t xml:space="preserve">. </w:t>
      </w:r>
      <w:r w:rsidRPr="00E87BD8">
        <w:t xml:space="preserve">The Department has sufficient capacity to deal with </w:t>
      </w:r>
      <w:r>
        <w:t>the</w:t>
      </w:r>
      <w:r w:rsidRPr="00E87BD8">
        <w:t xml:space="preserve"> email submissions</w:t>
      </w:r>
      <w:r w:rsidR="00AE22FF">
        <w:t>.</w:t>
      </w:r>
      <w:r>
        <w:t xml:space="preserve"> </w:t>
      </w:r>
      <w:r w:rsidRPr="00E87BD8">
        <w:t>The information gathered through this process is detailed in A2.</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A.4.  Describe efforts to identify duplication.  Show specifically why any similar information already available cannot be used or modified for use of the purposes described in Item 2 above.</w:t>
      </w:r>
    </w:p>
    <w:p w:rsidR="00B24063" w:rsidRPr="00E87BD8" w:rsidRDefault="00B24063" w:rsidP="00B24063">
      <w:pPr>
        <w:shd w:val="clear" w:color="auto" w:fill="auto"/>
      </w:pPr>
    </w:p>
    <w:p w:rsidR="00B24063" w:rsidRPr="00E87BD8" w:rsidRDefault="00B24063" w:rsidP="00B24063">
      <w:pPr>
        <w:shd w:val="clear" w:color="auto" w:fill="auto"/>
      </w:pPr>
      <w:r w:rsidRPr="00E87BD8">
        <w:t>The assurances and information requested under this collection are unique to the Race to the Top program, and the Department has not collected</w:t>
      </w:r>
      <w:r>
        <w:t xml:space="preserve"> them</w:t>
      </w:r>
      <w:r w:rsidRPr="00E87BD8">
        <w:t xml:space="preserve"> in the past. Even in the event of similar or comparable information for other programs in the past, the </w:t>
      </w:r>
      <w:r>
        <w:t xml:space="preserve">progress updates are </w:t>
      </w:r>
      <w:r w:rsidRPr="00E87BD8">
        <w:t xml:space="preserve">specific to the Race to the Top program and the information is specific to the present point in time. Therefore, any comparable information and assurances that were collected in the past would not satisfy the requirements for this program. The Department has made every effort to reduce the burden on States in producing the information. </w:t>
      </w:r>
    </w:p>
    <w:p w:rsidR="00B24063" w:rsidRPr="00E87BD8" w:rsidRDefault="00B24063" w:rsidP="00B24063">
      <w:pPr>
        <w:shd w:val="clear" w:color="auto" w:fill="auto"/>
        <w:ind w:left="0"/>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A.5.  If the collection of information impacts small businesses or other small entities (Item 5 of OMB Form 83-I), describe any methods used to minimize burden.</w:t>
      </w:r>
    </w:p>
    <w:p w:rsidR="00B24063" w:rsidRPr="00E87BD8" w:rsidRDefault="00B24063" w:rsidP="00B24063">
      <w:pPr>
        <w:shd w:val="clear" w:color="auto" w:fill="auto"/>
      </w:pPr>
    </w:p>
    <w:p w:rsidR="00B24063" w:rsidRPr="0096507C" w:rsidRDefault="00B24063" w:rsidP="00B24063">
      <w:pPr>
        <w:shd w:val="clear" w:color="auto" w:fill="auto"/>
        <w:rPr>
          <w:color w:val="auto"/>
        </w:rPr>
      </w:pPr>
      <w:r w:rsidRPr="0096507C">
        <w:rPr>
          <w:color w:val="auto"/>
          <w:szCs w:val="24"/>
        </w:rPr>
        <w:t xml:space="preserve">The Secretary certifies that this proposed action will not have a significant economic impact on small entities. At most, there are 11 small entities that will be impacted but the burden will be kept to a minimum for all grantees. </w:t>
      </w:r>
    </w:p>
    <w:p w:rsidR="00B24063" w:rsidRPr="0096507C" w:rsidRDefault="00B24063" w:rsidP="00B24063">
      <w:pPr>
        <w:shd w:val="clear" w:color="auto" w:fill="auto"/>
        <w:rPr>
          <w:color w:val="auto"/>
          <w:szCs w:val="24"/>
        </w:rPr>
      </w:pPr>
      <w:r w:rsidRPr="0096507C">
        <w:rPr>
          <w:color w:val="auto"/>
          <w:szCs w:val="24"/>
        </w:rPr>
        <w:t> </w:t>
      </w: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A.6.  Describe the consequences to Federal program or policy activities if the collection is not conducted or is conducted less frequently, as well as any technical or legal obstacles to reducing burden.</w:t>
      </w:r>
    </w:p>
    <w:p w:rsidR="00B24063" w:rsidRPr="00E87BD8" w:rsidRDefault="00B24063" w:rsidP="00B24063">
      <w:pPr>
        <w:shd w:val="clear" w:color="auto" w:fill="auto"/>
      </w:pPr>
    </w:p>
    <w:p w:rsidR="00B24063" w:rsidRPr="00355737" w:rsidRDefault="00501711" w:rsidP="00B24063">
      <w:pPr>
        <w:shd w:val="clear" w:color="auto" w:fill="auto"/>
      </w:pPr>
      <w:r>
        <w:t>Race to the Top</w:t>
      </w:r>
      <w:r w:rsidR="00B24063" w:rsidRPr="00355737">
        <w:t xml:space="preserve"> is the largest discretionary grant program ever administered by the Department, and continues to</w:t>
      </w:r>
      <w:r w:rsidR="009C0DED">
        <w:t xml:space="preserve"> generate high public interest</w:t>
      </w:r>
      <w:r w:rsidR="00B24063" w:rsidRPr="00355737">
        <w:t xml:space="preserve"> for the Department. </w:t>
      </w:r>
      <w:r w:rsidR="00B24063">
        <w:t xml:space="preserve">This collection is critical to ensure the Department has the required information to inform ongoing performance management discussions with grantees in order to make the necessary and immediate adjustments to program implementation and support, as well as provide appropriate and timely updates to the public on the progress of grantee’s program implementation. </w:t>
      </w:r>
    </w:p>
    <w:p w:rsidR="00B24063" w:rsidRPr="00E87BD8" w:rsidRDefault="00B24063" w:rsidP="00B24063">
      <w:pPr>
        <w:shd w:val="clear" w:color="auto" w:fill="auto"/>
      </w:pPr>
    </w:p>
    <w:p w:rsidR="00B24063" w:rsidRPr="00A43776" w:rsidRDefault="00B24063" w:rsidP="00B24063">
      <w:pPr>
        <w:shd w:val="clear" w:color="auto" w:fill="auto"/>
        <w:rPr>
          <w:i/>
        </w:rPr>
      </w:pPr>
      <w:r w:rsidRPr="00A43776">
        <w:rPr>
          <w:i/>
        </w:rPr>
        <w:t>A.7. Explain any special circumstances that would cause an information collection to be conducted in a manner:</w:t>
      </w:r>
    </w:p>
    <w:p w:rsidR="00B24063" w:rsidRPr="00803172" w:rsidRDefault="00B24063" w:rsidP="00B24063">
      <w:pPr>
        <w:pStyle w:val="ListParagraph"/>
        <w:numPr>
          <w:ilvl w:val="0"/>
          <w:numId w:val="17"/>
        </w:numPr>
        <w:shd w:val="clear" w:color="auto" w:fill="auto"/>
        <w:rPr>
          <w:i/>
        </w:rPr>
      </w:pPr>
      <w:r w:rsidRPr="00803172">
        <w:rPr>
          <w:i/>
        </w:rPr>
        <w:t>requiring respondents to report information to the agency more often than quarterly;</w:t>
      </w:r>
    </w:p>
    <w:p w:rsidR="00B24063" w:rsidRPr="00A43776" w:rsidRDefault="00B24063" w:rsidP="00B24063">
      <w:pPr>
        <w:pStyle w:val="ListParagraph"/>
        <w:numPr>
          <w:ilvl w:val="0"/>
          <w:numId w:val="17"/>
        </w:numPr>
        <w:shd w:val="clear" w:color="auto" w:fill="auto"/>
        <w:rPr>
          <w:i/>
        </w:rPr>
      </w:pPr>
      <w:r w:rsidRPr="00A43776">
        <w:rPr>
          <w:i/>
        </w:rPr>
        <w:t>requiring respondents to prepare a written response to a collection of information in fewer than 30 days after receipt of it;</w:t>
      </w:r>
    </w:p>
    <w:p w:rsidR="00B24063" w:rsidRPr="00A43776" w:rsidRDefault="00B24063" w:rsidP="00B24063">
      <w:pPr>
        <w:pStyle w:val="ListParagraph"/>
        <w:numPr>
          <w:ilvl w:val="0"/>
          <w:numId w:val="17"/>
        </w:numPr>
        <w:shd w:val="clear" w:color="auto" w:fill="auto"/>
        <w:rPr>
          <w:i/>
        </w:rPr>
      </w:pPr>
      <w:r w:rsidRPr="00A43776">
        <w:rPr>
          <w:i/>
        </w:rPr>
        <w:t>requiring respondents to submit more than an original and two copies of any document;</w:t>
      </w:r>
    </w:p>
    <w:p w:rsidR="00B24063" w:rsidRPr="00A43776" w:rsidRDefault="00B24063" w:rsidP="00B24063">
      <w:pPr>
        <w:pStyle w:val="ListParagraph"/>
        <w:numPr>
          <w:ilvl w:val="0"/>
          <w:numId w:val="17"/>
        </w:numPr>
        <w:shd w:val="clear" w:color="auto" w:fill="auto"/>
        <w:rPr>
          <w:i/>
        </w:rPr>
      </w:pPr>
      <w:r w:rsidRPr="00A43776">
        <w:rPr>
          <w:i/>
        </w:rPr>
        <w:t>requiring respondents to retain records, other than health, medical, government contract, grant-in-aid, or tax records for more than three years;</w:t>
      </w:r>
    </w:p>
    <w:p w:rsidR="00B24063" w:rsidRPr="00A43776" w:rsidRDefault="00B24063" w:rsidP="00B24063">
      <w:pPr>
        <w:pStyle w:val="ListParagraph"/>
        <w:numPr>
          <w:ilvl w:val="0"/>
          <w:numId w:val="17"/>
        </w:numPr>
        <w:shd w:val="clear" w:color="auto" w:fill="auto"/>
        <w:rPr>
          <w:i/>
        </w:rPr>
      </w:pPr>
      <w:r w:rsidRPr="00A43776">
        <w:rPr>
          <w:i/>
        </w:rPr>
        <w:t>in connection with a statistical survey, that is not designed to produce valid and reliable results than can be generalized to the universe of study;</w:t>
      </w:r>
    </w:p>
    <w:p w:rsidR="00B24063" w:rsidRPr="00A43776" w:rsidRDefault="00B24063" w:rsidP="00B24063">
      <w:pPr>
        <w:pStyle w:val="ListParagraph"/>
        <w:numPr>
          <w:ilvl w:val="0"/>
          <w:numId w:val="17"/>
        </w:numPr>
        <w:shd w:val="clear" w:color="auto" w:fill="auto"/>
        <w:rPr>
          <w:i/>
        </w:rPr>
      </w:pPr>
      <w:r w:rsidRPr="00A43776">
        <w:rPr>
          <w:i/>
        </w:rPr>
        <w:t>requiring the use of a statistical data classification that has not been reviewed and approved by OMB;</w:t>
      </w:r>
    </w:p>
    <w:p w:rsidR="00B24063" w:rsidRPr="00A43776" w:rsidRDefault="00B24063" w:rsidP="00B24063">
      <w:pPr>
        <w:pStyle w:val="ListParagraph"/>
        <w:numPr>
          <w:ilvl w:val="0"/>
          <w:numId w:val="17"/>
        </w:numPr>
        <w:shd w:val="clear" w:color="auto" w:fill="auto"/>
        <w:rPr>
          <w:i/>
        </w:rPr>
      </w:pPr>
      <w:r w:rsidRPr="00A43776">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4063" w:rsidRPr="00A43776" w:rsidRDefault="00B24063" w:rsidP="00B24063">
      <w:pPr>
        <w:pStyle w:val="ListParagraph"/>
        <w:numPr>
          <w:ilvl w:val="0"/>
          <w:numId w:val="17"/>
        </w:numPr>
        <w:shd w:val="clear" w:color="auto" w:fill="auto"/>
        <w:rPr>
          <w:i/>
        </w:rPr>
      </w:pPr>
      <w:r w:rsidRPr="00A43776">
        <w:rPr>
          <w:i/>
        </w:rPr>
        <w:t>requiring respondents to submit proprietary trade secrets, or other confidential information unless the agency can demonstrate that it has instituted procedures to protect the information’s confidentiality to the extent permitted by law.</w:t>
      </w:r>
    </w:p>
    <w:p w:rsidR="00B24063" w:rsidRPr="00E87BD8" w:rsidRDefault="00B24063" w:rsidP="00B24063">
      <w:pPr>
        <w:shd w:val="clear" w:color="auto" w:fill="auto"/>
      </w:pPr>
    </w:p>
    <w:p w:rsidR="00B24063" w:rsidRPr="00357265" w:rsidRDefault="00B24063" w:rsidP="00B24063">
      <w:pPr>
        <w:shd w:val="clear" w:color="auto" w:fill="auto"/>
      </w:pPr>
      <w:r w:rsidRPr="00357265">
        <w:t xml:space="preserve">The </w:t>
      </w:r>
      <w:r>
        <w:t>Department</w:t>
      </w:r>
      <w:r w:rsidRPr="00357265">
        <w:t xml:space="preserve"> is committed to supporting States as they implement ambitious reform agendas through </w:t>
      </w:r>
      <w:r w:rsidR="00501711">
        <w:t>Race to the Top</w:t>
      </w:r>
      <w:r w:rsidRPr="00357265">
        <w:t xml:space="preserve">.  Specifically, the </w:t>
      </w:r>
      <w:r>
        <w:t>ISU</w:t>
      </w:r>
      <w:r w:rsidRPr="00357265">
        <w:t xml:space="preserve"> is differentiating its approach </w:t>
      </w:r>
      <w:r w:rsidR="007038D3">
        <w:t xml:space="preserve">to supporting grantees </w:t>
      </w:r>
      <w:r w:rsidRPr="00357265">
        <w:t xml:space="preserve">based on individual State needs and </w:t>
      </w:r>
      <w:r>
        <w:t xml:space="preserve">tailored technical assistance that </w:t>
      </w:r>
      <w:r w:rsidRPr="00357265">
        <w:t>support</w:t>
      </w:r>
      <w:r>
        <w:t>s</w:t>
      </w:r>
      <w:r w:rsidRPr="00357265">
        <w:t xml:space="preserve"> States to work with each other and with experts from around the nation to </w:t>
      </w:r>
      <w:r w:rsidRPr="00357265">
        <w:lastRenderedPageBreak/>
        <w:t xml:space="preserve">achieve </w:t>
      </w:r>
      <w:r>
        <w:t xml:space="preserve">and sustain educational reforms. Thus, ongoing communication with the Department is necessary to provide appropriate and timely assistance to States as they implement their </w:t>
      </w:r>
      <w:r w:rsidR="00501711">
        <w:t>Race to the Top plans</w:t>
      </w:r>
      <w:r>
        <w:t xml:space="preserve">. Additionally, regular submission of progress updates will reduce the burden on the State when preparing for the onsite program review and meetings with ISU leadership. </w:t>
      </w:r>
    </w:p>
    <w:p w:rsidR="00B24063" w:rsidRDefault="00B24063" w:rsidP="00B24063">
      <w:pPr>
        <w:shd w:val="clear" w:color="auto" w:fill="auto"/>
      </w:pPr>
    </w:p>
    <w:p w:rsidR="00B24063" w:rsidRPr="00E87BD8" w:rsidRDefault="00B24063" w:rsidP="00B24063">
      <w:pPr>
        <w:shd w:val="clear" w:color="auto" w:fill="auto"/>
      </w:pPr>
      <w:r w:rsidRPr="00E87BD8">
        <w:t>This collection is consistent with 5 CFR 1320.5.</w:t>
      </w:r>
    </w:p>
    <w:p w:rsidR="00B24063" w:rsidRPr="00E87BD8" w:rsidRDefault="00B24063" w:rsidP="00B24063">
      <w:pPr>
        <w:shd w:val="clear" w:color="auto" w:fill="auto"/>
      </w:pPr>
    </w:p>
    <w:p w:rsidR="00B24063" w:rsidRDefault="00B24063" w:rsidP="00B24063">
      <w:pPr>
        <w:shd w:val="clear" w:color="auto" w:fill="auto"/>
      </w:pPr>
      <w:r w:rsidRPr="00A43776">
        <w:rPr>
          <w:i/>
        </w:rPr>
        <w:t>A.8.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t xml:space="preserve"> </w:t>
      </w:r>
    </w:p>
    <w:p w:rsidR="00B24063" w:rsidRPr="00E87BD8" w:rsidRDefault="00B24063" w:rsidP="00B24063">
      <w:pPr>
        <w:shd w:val="clear" w:color="auto" w:fill="auto"/>
        <w:ind w:left="0"/>
        <w:rPr>
          <w:rStyle w:val="a"/>
          <w:b/>
          <w:i/>
          <w:iCs/>
        </w:rPr>
      </w:pPr>
    </w:p>
    <w:p w:rsidR="00B24063" w:rsidRPr="00E87BD8" w:rsidRDefault="00B24063" w:rsidP="00B24063">
      <w:pPr>
        <w:shd w:val="clear" w:color="auto" w:fill="auto"/>
        <w:rPr>
          <w:rStyle w:val="a"/>
          <w:i/>
          <w:iCs/>
        </w:rPr>
      </w:pPr>
      <w:r w:rsidRPr="00E87BD8">
        <w:rPr>
          <w:rStyle w:val="a"/>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24063" w:rsidRPr="00E87BD8" w:rsidRDefault="00B24063" w:rsidP="00B24063">
      <w:pPr>
        <w:shd w:val="clear" w:color="auto" w:fill="auto"/>
        <w:rPr>
          <w:rStyle w:val="a"/>
          <w:i/>
          <w:iCs/>
        </w:rPr>
      </w:pPr>
    </w:p>
    <w:p w:rsidR="00B24063" w:rsidRPr="00E87BD8" w:rsidRDefault="00B24063" w:rsidP="00B24063">
      <w:pPr>
        <w:shd w:val="clear" w:color="auto" w:fill="auto"/>
        <w:rPr>
          <w:rStyle w:val="a"/>
          <w:i/>
          <w:iCs/>
        </w:rPr>
      </w:pPr>
      <w:r w:rsidRPr="00E87BD8">
        <w:rPr>
          <w:rStyle w:val="a"/>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4063" w:rsidRPr="00E87BD8" w:rsidRDefault="00B24063" w:rsidP="00B24063">
      <w:pPr>
        <w:shd w:val="clear" w:color="auto" w:fill="auto"/>
      </w:pPr>
    </w:p>
    <w:p w:rsidR="00B24063" w:rsidRDefault="00B24063" w:rsidP="00B24063">
      <w:pPr>
        <w:shd w:val="clear" w:color="auto" w:fill="auto"/>
      </w:pPr>
      <w:r>
        <w:t xml:space="preserve">The public has previously had an opportunity to comment during </w:t>
      </w:r>
      <w:r w:rsidR="00FC5C88">
        <w:t xml:space="preserve">the emergency </w:t>
      </w:r>
      <w:r w:rsidR="00AE22FF">
        <w:t xml:space="preserve">and regular </w:t>
      </w:r>
      <w:r w:rsidR="00FC5C88">
        <w:t>clearance period, and the</w:t>
      </w:r>
      <w:r w:rsidR="003713D2">
        <w:t xml:space="preserve"> Program Review protocols </w:t>
      </w:r>
      <w:r w:rsidR="00AE22FF">
        <w:t xml:space="preserve">have been </w:t>
      </w:r>
      <w:r w:rsidR="003713D2">
        <w:t>updated to reflect public comment.</w:t>
      </w:r>
      <w:r w:rsidR="00FC5C88">
        <w:t xml:space="preserve"> </w:t>
      </w:r>
      <w:r w:rsidR="00A340EF">
        <w:t xml:space="preserve">A 60 day notice was published on July 28, 2014 (79 FR 43729). No public comments were received. </w:t>
      </w:r>
      <w:r w:rsidR="00FC5C88">
        <w:t>The public</w:t>
      </w:r>
      <w:r>
        <w:t xml:space="preserve"> will </w:t>
      </w:r>
      <w:r w:rsidR="00FC5C88">
        <w:t xml:space="preserve">also </w:t>
      </w:r>
      <w:r>
        <w:t xml:space="preserve">have an opportunity to comment during the </w:t>
      </w:r>
      <w:r w:rsidR="00A340EF">
        <w:t xml:space="preserve">30 day </w:t>
      </w:r>
      <w:bookmarkStart w:id="0" w:name="_GoBack"/>
      <w:bookmarkEnd w:id="0"/>
      <w:r w:rsidR="00FC5C88">
        <w:t>public comment period notice, and a response summary will be provided for those comments</w:t>
      </w:r>
      <w:r w:rsidR="003713D2">
        <w:t>.</w:t>
      </w:r>
    </w:p>
    <w:p w:rsidR="00A340EF" w:rsidRPr="00E87BD8" w:rsidRDefault="00A340EF" w:rsidP="00A340EF">
      <w:pPr>
        <w:shd w:val="clear" w:color="auto" w:fill="auto"/>
        <w:ind w:left="0"/>
      </w:pPr>
    </w:p>
    <w:p w:rsidR="00B24063" w:rsidRPr="00E87BD8" w:rsidRDefault="00B24063" w:rsidP="00B24063">
      <w:pPr>
        <w:shd w:val="clear" w:color="auto" w:fill="auto"/>
      </w:pPr>
    </w:p>
    <w:p w:rsidR="00B24063" w:rsidRPr="00E87BD8" w:rsidRDefault="00B24063" w:rsidP="00B24063">
      <w:pPr>
        <w:shd w:val="clear" w:color="auto" w:fill="auto"/>
      </w:pPr>
      <w:r w:rsidRPr="00E87BD8">
        <w:t xml:space="preserve">A.9. </w:t>
      </w:r>
      <w:r w:rsidRPr="00E87BD8">
        <w:rPr>
          <w:rStyle w:val="a"/>
          <w:i/>
          <w:iCs/>
        </w:rPr>
        <w:t>Explain any decision to provide any payment or gift to respondents, other than remuneration of contractors or grantees.</w:t>
      </w:r>
    </w:p>
    <w:p w:rsidR="00B24063" w:rsidRPr="00E87BD8" w:rsidRDefault="00B24063" w:rsidP="00B24063">
      <w:pPr>
        <w:shd w:val="clear" w:color="auto" w:fill="auto"/>
      </w:pPr>
    </w:p>
    <w:p w:rsidR="00B24063" w:rsidRPr="00E87BD8" w:rsidRDefault="00B24063" w:rsidP="00B24063">
      <w:pPr>
        <w:shd w:val="clear" w:color="auto" w:fill="auto"/>
      </w:pPr>
      <w:r w:rsidRPr="00E87BD8">
        <w:t>No payments or gifts to respondents have been made.</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A.10. Describe any assurance of confidentiality provided to r</w:t>
      </w:r>
      <w:r w:rsidRPr="00803172">
        <w:rPr>
          <w:rFonts w:ascii="Times New Roman" w:hAnsi="Times New Roman"/>
        </w:rPr>
        <w:t>espondents and the basis for the assurance in statute, regulation, or agency policy.</w:t>
      </w:r>
    </w:p>
    <w:p w:rsidR="00B24063" w:rsidRPr="00E87BD8" w:rsidRDefault="00B24063" w:rsidP="00B24063">
      <w:pPr>
        <w:shd w:val="clear" w:color="auto" w:fill="auto"/>
      </w:pPr>
    </w:p>
    <w:p w:rsidR="00B24063" w:rsidRPr="00E87BD8" w:rsidRDefault="00B24063" w:rsidP="00B24063">
      <w:pPr>
        <w:shd w:val="clear" w:color="auto" w:fill="auto"/>
      </w:pPr>
      <w:r w:rsidRPr="00E87BD8">
        <w:t>There is no assurance of confidentiality.</w:t>
      </w:r>
    </w:p>
    <w:p w:rsidR="00B24063" w:rsidRPr="00E87BD8" w:rsidRDefault="00B24063" w:rsidP="00B24063">
      <w:pPr>
        <w:shd w:val="clear" w:color="auto" w:fill="auto"/>
      </w:pPr>
    </w:p>
    <w:p w:rsidR="00B24063" w:rsidRPr="00E87BD8" w:rsidRDefault="00B24063" w:rsidP="00B24063">
      <w:pPr>
        <w:pStyle w:val="BodyText"/>
        <w:shd w:val="clear" w:color="auto" w:fill="auto"/>
        <w:rPr>
          <w:rFonts w:ascii="Times New Roman" w:hAnsi="Times New Roman"/>
        </w:rPr>
      </w:pPr>
      <w:r w:rsidRPr="00E87BD8">
        <w:rPr>
          <w:rFonts w:ascii="Times New Roman" w:hAnsi="Times New Roman"/>
        </w:rPr>
        <w:t xml:space="preserve">A.11. Provide additional justification for any questions of a sensitive nature, such as sexual behavior and attitudes, religious beliefs, and other matters that are commonly </w:t>
      </w:r>
      <w:r w:rsidRPr="00E87BD8">
        <w:rPr>
          <w:rFonts w:ascii="Times New Roman" w:hAnsi="Times New Roman"/>
        </w:rPr>
        <w:lastRenderedPageBreak/>
        <w:t>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4063" w:rsidRPr="00E87BD8" w:rsidRDefault="00B24063" w:rsidP="00B24063">
      <w:pPr>
        <w:shd w:val="clear" w:color="auto" w:fill="auto"/>
      </w:pPr>
    </w:p>
    <w:p w:rsidR="00B24063" w:rsidRPr="00E87BD8" w:rsidRDefault="00B24063" w:rsidP="00B24063">
      <w:pPr>
        <w:shd w:val="clear" w:color="auto" w:fill="auto"/>
      </w:pPr>
      <w:r w:rsidRPr="00E87BD8">
        <w:t>There are no questions of a sensitive nature.</w:t>
      </w:r>
    </w:p>
    <w:p w:rsidR="00B24063" w:rsidRPr="00E87BD8" w:rsidRDefault="00B24063" w:rsidP="00B24063">
      <w:pPr>
        <w:shd w:val="clear" w:color="auto" w:fill="auto"/>
      </w:pPr>
    </w:p>
    <w:p w:rsidR="00B24063" w:rsidRPr="00E87BD8" w:rsidRDefault="00B24063" w:rsidP="00B24063">
      <w:pPr>
        <w:shd w:val="clear" w:color="auto" w:fill="auto"/>
        <w:rPr>
          <w:rStyle w:val="a"/>
          <w:i/>
          <w:iCs/>
        </w:rPr>
      </w:pPr>
      <w:r w:rsidRPr="00E87BD8">
        <w:t xml:space="preserve">A.12. </w:t>
      </w:r>
      <w:r w:rsidRPr="00E87BD8">
        <w:rPr>
          <w:rStyle w:val="a"/>
          <w:i/>
          <w:iCs/>
        </w:rPr>
        <w:t xml:space="preserve">Provide estimates of the hour burden of the collection of information.  </w:t>
      </w:r>
    </w:p>
    <w:p w:rsidR="00B24063" w:rsidRPr="00E87BD8" w:rsidRDefault="00B24063" w:rsidP="00B24063">
      <w:pPr>
        <w:shd w:val="clear" w:color="auto" w:fill="auto"/>
      </w:pPr>
    </w:p>
    <w:p w:rsidR="00B24063" w:rsidRPr="00E87BD8" w:rsidRDefault="00B24063" w:rsidP="00B24063">
      <w:pPr>
        <w:pStyle w:val="Heading1"/>
        <w:shd w:val="clear" w:color="auto" w:fill="auto"/>
      </w:pPr>
      <w:r w:rsidRPr="00E87BD8">
        <w:t>A. Burden hours for respondents</w:t>
      </w:r>
    </w:p>
    <w:p w:rsidR="00B24063" w:rsidRDefault="00B24063" w:rsidP="00B24063">
      <w:pPr>
        <w:shd w:val="clear" w:color="auto" w:fill="auto"/>
        <w:ind w:firstLine="720"/>
      </w:pPr>
    </w:p>
    <w:p w:rsidR="00B24063" w:rsidRDefault="00B24063" w:rsidP="00B24063">
      <w:pPr>
        <w:shd w:val="clear" w:color="auto" w:fill="auto"/>
      </w:pPr>
      <w:r>
        <w:t>The Department estimates that approximate</w:t>
      </w:r>
      <w:r w:rsidR="00FC5C88">
        <w:t xml:space="preserve">ly 12 entities </w:t>
      </w:r>
      <w:r>
        <w:t>will engage in this collection.  The average annual burden for the program review</w:t>
      </w:r>
      <w:r w:rsidR="00091AEC">
        <w:t>, including the Progress Updates and Accountability and Oversight protocols,</w:t>
      </w:r>
      <w:r>
        <w:t xml:space="preserve"> is estim</w:t>
      </w:r>
      <w:r w:rsidR="00FC5C88">
        <w:t xml:space="preserve">ated to be </w:t>
      </w:r>
      <w:r w:rsidR="009B09DB">
        <w:t xml:space="preserve">52 </w:t>
      </w:r>
      <w:r w:rsidR="00FC5C88">
        <w:t>hours per grantee</w:t>
      </w:r>
      <w:r w:rsidR="00C432AB">
        <w:t xml:space="preserve">, for a total of </w:t>
      </w:r>
      <w:r w:rsidR="009B09DB">
        <w:t>744</w:t>
      </w:r>
      <w:r w:rsidR="00C432AB">
        <w:t xml:space="preserve"> total annual burden hours</w:t>
      </w:r>
      <w:r>
        <w:t>. The burden estimate was calculated based on the amount of time it would take a typical grantee staff member or team of staff members to complete each item.</w:t>
      </w:r>
    </w:p>
    <w:p w:rsidR="00B24063" w:rsidRDefault="00B24063" w:rsidP="00B24063">
      <w:pPr>
        <w:shd w:val="clear" w:color="auto" w:fill="auto"/>
      </w:pPr>
    </w:p>
    <w:tbl>
      <w:tblPr>
        <w:tblW w:w="882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0"/>
        <w:gridCol w:w="1890"/>
      </w:tblGrid>
      <w:tr w:rsidR="00B24063" w:rsidRPr="008972A5">
        <w:tc>
          <w:tcPr>
            <w:tcW w:w="6930" w:type="dxa"/>
            <w:shd w:val="clear" w:color="auto" w:fill="auto"/>
          </w:tcPr>
          <w:p w:rsidR="00B24063" w:rsidRPr="008972A5" w:rsidRDefault="00B24063" w:rsidP="00B24063">
            <w:pPr>
              <w:shd w:val="clear" w:color="auto" w:fill="auto"/>
              <w:ind w:left="0"/>
              <w:rPr>
                <w:b/>
                <w:bCs/>
                <w:szCs w:val="24"/>
              </w:rPr>
            </w:pPr>
            <w:r w:rsidRPr="008972A5">
              <w:rPr>
                <w:b/>
                <w:bCs/>
                <w:szCs w:val="24"/>
              </w:rPr>
              <w:t>A. State Success Factors</w:t>
            </w:r>
          </w:p>
        </w:tc>
        <w:tc>
          <w:tcPr>
            <w:tcW w:w="1890" w:type="dxa"/>
            <w:shd w:val="clear" w:color="auto" w:fill="auto"/>
          </w:tcPr>
          <w:p w:rsidR="00B24063" w:rsidRPr="008972A5" w:rsidRDefault="00B24063" w:rsidP="00091AEC">
            <w:pPr>
              <w:shd w:val="clear" w:color="auto" w:fill="auto"/>
              <w:ind w:left="0"/>
              <w:rPr>
                <w:b/>
                <w:szCs w:val="24"/>
              </w:rPr>
            </w:pPr>
            <w:r w:rsidRPr="008972A5">
              <w:rPr>
                <w:b/>
                <w:szCs w:val="24"/>
              </w:rPr>
              <w:t>Hours (Annual)</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 xml:space="preserve">(A)(1)  Articulating State’s education reform agenda and </w:t>
            </w:r>
            <w:r w:rsidR="006E0987" w:rsidRPr="008972A5">
              <w:rPr>
                <w:szCs w:val="24"/>
              </w:rPr>
              <w:t>LEA</w:t>
            </w:r>
            <w:r w:rsidRPr="008972A5">
              <w:rPr>
                <w:szCs w:val="24"/>
              </w:rPr>
              <w:t xml:space="preserve"> participation in it</w:t>
            </w:r>
          </w:p>
        </w:tc>
        <w:tc>
          <w:tcPr>
            <w:tcW w:w="1890" w:type="dxa"/>
            <w:shd w:val="clear" w:color="auto" w:fill="auto"/>
          </w:tcPr>
          <w:p w:rsidR="00B24063" w:rsidRPr="008972A5" w:rsidRDefault="00AE22FF" w:rsidP="00B24063">
            <w:pPr>
              <w:shd w:val="clear" w:color="auto" w:fill="auto"/>
              <w:jc w:val="center"/>
              <w:rPr>
                <w:szCs w:val="24"/>
              </w:rPr>
            </w:pPr>
            <w:r>
              <w:rPr>
                <w:szCs w:val="24"/>
              </w:rPr>
              <w:t>0</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(A)(2)  Building strong statewide capacity to implement, scale and sustain proposed plans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(A)(3)  Demonstrating significant progress in raising achievement and closing gaps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b/>
                <w:bCs/>
                <w:szCs w:val="24"/>
              </w:rPr>
            </w:pPr>
            <w:r w:rsidRPr="008972A5">
              <w:rPr>
                <w:b/>
                <w:bCs/>
                <w:szCs w:val="24"/>
              </w:rPr>
              <w:t>B. Standards and Assessments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(B)(1)  Developing and adopting common standards</w:t>
            </w:r>
          </w:p>
        </w:tc>
        <w:tc>
          <w:tcPr>
            <w:tcW w:w="1890" w:type="dxa"/>
            <w:shd w:val="clear" w:color="auto" w:fill="auto"/>
          </w:tcPr>
          <w:p w:rsidR="00B24063" w:rsidRPr="008972A5" w:rsidRDefault="00AE22FF" w:rsidP="00B24063">
            <w:pPr>
              <w:shd w:val="clear" w:color="auto" w:fill="auto"/>
              <w:jc w:val="center"/>
              <w:rPr>
                <w:szCs w:val="24"/>
              </w:rPr>
            </w:pPr>
            <w:r>
              <w:rPr>
                <w:szCs w:val="24"/>
              </w:rPr>
              <w:t>0</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(B)(2)  Developing and implementing common, high-quality assessments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(B)(3)  Supporting the transition to enhanced standards and high-quality assessments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b/>
                <w:bCs/>
                <w:szCs w:val="24"/>
              </w:rPr>
            </w:pPr>
            <w:r w:rsidRPr="008972A5">
              <w:rPr>
                <w:b/>
                <w:bCs/>
                <w:szCs w:val="24"/>
              </w:rPr>
              <w:t>C. Data Systems to Support Instruction</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(C)(1)  Fully implementing a statewide longitudinal data system</w:t>
            </w:r>
          </w:p>
        </w:tc>
        <w:tc>
          <w:tcPr>
            <w:tcW w:w="1890" w:type="dxa"/>
            <w:shd w:val="clear" w:color="auto" w:fill="auto"/>
          </w:tcPr>
          <w:p w:rsidR="00B24063" w:rsidRPr="008972A5" w:rsidRDefault="00AE22FF" w:rsidP="00B24063">
            <w:pPr>
              <w:shd w:val="clear" w:color="auto" w:fill="auto"/>
              <w:jc w:val="center"/>
              <w:rPr>
                <w:szCs w:val="24"/>
              </w:rPr>
            </w:pPr>
            <w:r>
              <w:rPr>
                <w:szCs w:val="24"/>
              </w:rPr>
              <w:t>0</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(C)(2)  Accessing and using State data</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(C)(3)  Using data to improve instruction</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b/>
                <w:bCs/>
                <w:szCs w:val="24"/>
              </w:rPr>
            </w:pPr>
            <w:r w:rsidRPr="008972A5">
              <w:rPr>
                <w:b/>
                <w:bCs/>
                <w:szCs w:val="24"/>
              </w:rPr>
              <w:t>D. Great Teachers and Leaders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(D)(1) Providing alternative pathways for aspiring teachers and principals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(D)(2)  Improving teacher and principal effectiveness based on performance</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(D)(3)  Ensuring equitable distribution of effective teachers and principals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(D)(4)  Reporting the effectiveness of teacher and principal preparation programs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t>(D)(5)  Providing effective support to teachers and principals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shd w:val="clear" w:color="auto" w:fill="auto"/>
            <w:vAlign w:val="bottom"/>
          </w:tcPr>
          <w:p w:rsidR="00B24063" w:rsidRPr="008972A5" w:rsidRDefault="00B24063" w:rsidP="00B24063">
            <w:pPr>
              <w:shd w:val="clear" w:color="auto" w:fill="auto"/>
              <w:ind w:left="0"/>
              <w:rPr>
                <w:b/>
                <w:bCs/>
                <w:szCs w:val="24"/>
              </w:rPr>
            </w:pPr>
            <w:r w:rsidRPr="008972A5">
              <w:rPr>
                <w:b/>
                <w:bCs/>
                <w:szCs w:val="24"/>
              </w:rPr>
              <w:t>E. Turning Around the Lowest-Achieving Schools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shd w:val="clear" w:color="auto" w:fill="auto"/>
          </w:tcPr>
          <w:p w:rsidR="00B24063" w:rsidRPr="008972A5" w:rsidRDefault="00B24063" w:rsidP="00B24063">
            <w:pPr>
              <w:shd w:val="clear" w:color="auto" w:fill="auto"/>
              <w:ind w:left="0"/>
              <w:rPr>
                <w:szCs w:val="24"/>
              </w:rPr>
            </w:pPr>
            <w:r w:rsidRPr="008972A5">
              <w:rPr>
                <w:szCs w:val="24"/>
              </w:rPr>
              <w:lastRenderedPageBreak/>
              <w:t>(E)(1)  Intervening in the lowest-achieving schools and LEAs</w:t>
            </w:r>
          </w:p>
        </w:tc>
        <w:tc>
          <w:tcPr>
            <w:tcW w:w="1890" w:type="dxa"/>
            <w:shd w:val="clear" w:color="auto" w:fill="auto"/>
          </w:tcPr>
          <w:p w:rsidR="00B24063" w:rsidRPr="008972A5" w:rsidRDefault="00AE22FF" w:rsidP="00B24063">
            <w:pPr>
              <w:shd w:val="clear" w:color="auto" w:fill="auto"/>
              <w:jc w:val="center"/>
              <w:rPr>
                <w:szCs w:val="24"/>
              </w:rPr>
            </w:pPr>
            <w:r>
              <w:rPr>
                <w:szCs w:val="24"/>
              </w:rPr>
              <w:t>0</w:t>
            </w:r>
          </w:p>
        </w:tc>
      </w:tr>
      <w:tr w:rsidR="00B24063" w:rsidRPr="008972A5">
        <w:tc>
          <w:tcPr>
            <w:tcW w:w="6930" w:type="dxa"/>
            <w:shd w:val="clear" w:color="auto" w:fill="auto"/>
            <w:vAlign w:val="bottom"/>
          </w:tcPr>
          <w:p w:rsidR="00B24063" w:rsidRPr="008972A5" w:rsidRDefault="00B24063" w:rsidP="00B24063">
            <w:pPr>
              <w:shd w:val="clear" w:color="auto" w:fill="auto"/>
              <w:ind w:left="0"/>
              <w:rPr>
                <w:szCs w:val="24"/>
              </w:rPr>
            </w:pPr>
            <w:r w:rsidRPr="008972A5">
              <w:rPr>
                <w:szCs w:val="24"/>
              </w:rPr>
              <w:t>(E)(2)  Turning around the lowest- achieving schools</w:t>
            </w:r>
          </w:p>
        </w:tc>
        <w:tc>
          <w:tcPr>
            <w:tcW w:w="1890" w:type="dxa"/>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B24063">
            <w:pPr>
              <w:shd w:val="clear" w:color="auto" w:fill="auto"/>
              <w:ind w:left="0"/>
              <w:rPr>
                <w:b/>
                <w:szCs w:val="24"/>
              </w:rPr>
            </w:pPr>
            <w:r w:rsidRPr="008972A5">
              <w:rPr>
                <w:b/>
                <w:szCs w:val="24"/>
              </w:rPr>
              <w:t xml:space="preserve">Competitive Priority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B24063">
            <w:pPr>
              <w:shd w:val="clear" w:color="auto" w:fill="auto"/>
              <w:ind w:left="0"/>
              <w:rPr>
                <w:szCs w:val="24"/>
              </w:rPr>
            </w:pPr>
            <w:r w:rsidRPr="008972A5">
              <w:rPr>
                <w:szCs w:val="24"/>
              </w:rPr>
              <w:t>Emphasis on Science, Technology, Engineering, and Math</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3</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B24063">
            <w:pPr>
              <w:shd w:val="clear" w:color="auto" w:fill="auto"/>
              <w:ind w:left="0"/>
              <w:rPr>
                <w:b/>
                <w:szCs w:val="24"/>
              </w:rPr>
            </w:pPr>
            <w:r w:rsidRPr="008972A5">
              <w:rPr>
                <w:b/>
                <w:szCs w:val="24"/>
              </w:rPr>
              <w:t>Additional Requirements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 </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091AEC">
            <w:pPr>
              <w:shd w:val="clear" w:color="auto" w:fill="auto"/>
              <w:ind w:left="0"/>
              <w:rPr>
                <w:szCs w:val="24"/>
              </w:rPr>
            </w:pPr>
            <w:r w:rsidRPr="008972A5">
              <w:rPr>
                <w:szCs w:val="24"/>
              </w:rPr>
              <w:t>(</w:t>
            </w:r>
            <w:r w:rsidR="00091AEC">
              <w:rPr>
                <w:szCs w:val="24"/>
              </w:rPr>
              <w:t>a</w:t>
            </w:r>
            <w:r w:rsidRPr="008972A5">
              <w:rPr>
                <w:szCs w:val="24"/>
              </w:rPr>
              <w:t xml:space="preserve">)  Progress Updates </w:t>
            </w:r>
            <w:r w:rsidR="006E0669">
              <w:rPr>
                <w:szCs w:val="24"/>
              </w:rPr>
              <w:t xml:space="preserve"> - LEA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12</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4063" w:rsidRPr="008972A5" w:rsidRDefault="00B24063" w:rsidP="00091AEC">
            <w:pPr>
              <w:shd w:val="clear" w:color="auto" w:fill="auto"/>
              <w:ind w:left="0"/>
              <w:rPr>
                <w:szCs w:val="24"/>
              </w:rPr>
            </w:pPr>
            <w:r w:rsidRPr="008972A5">
              <w:rPr>
                <w:szCs w:val="24"/>
              </w:rPr>
              <w:t>(</w:t>
            </w:r>
            <w:r w:rsidR="00091AEC">
              <w:rPr>
                <w:szCs w:val="24"/>
              </w:rPr>
              <w:t>b</w:t>
            </w:r>
            <w:r w:rsidRPr="008972A5">
              <w:rPr>
                <w:szCs w:val="24"/>
              </w:rPr>
              <w:t>)  Logistics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24063" w:rsidRPr="008972A5" w:rsidRDefault="00B24063" w:rsidP="00B24063">
            <w:pPr>
              <w:shd w:val="clear" w:color="auto" w:fill="auto"/>
              <w:jc w:val="center"/>
              <w:rPr>
                <w:szCs w:val="24"/>
              </w:rPr>
            </w:pPr>
            <w:r w:rsidRPr="008972A5">
              <w:rPr>
                <w:szCs w:val="24"/>
              </w:rPr>
              <w:t>1</w:t>
            </w:r>
          </w:p>
        </w:tc>
      </w:tr>
      <w:tr w:rsidR="009120F6" w:rsidRPr="008972A5" w:rsidTr="009120F6">
        <w:tc>
          <w:tcPr>
            <w:tcW w:w="693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9120F6" w:rsidRPr="008972A5" w:rsidRDefault="009120F6" w:rsidP="009120F6">
            <w:pPr>
              <w:shd w:val="clear" w:color="auto" w:fill="auto"/>
              <w:ind w:left="0"/>
              <w:rPr>
                <w:szCs w:val="24"/>
              </w:rPr>
            </w:pPr>
            <w:r w:rsidRPr="008972A5">
              <w:rPr>
                <w:szCs w:val="24"/>
              </w:rPr>
              <w:t xml:space="preserve">Total </w:t>
            </w:r>
            <w:r>
              <w:rPr>
                <w:szCs w:val="24"/>
              </w:rPr>
              <w:t xml:space="preserve">annual </w:t>
            </w:r>
            <w:r w:rsidRPr="008972A5">
              <w:rPr>
                <w:szCs w:val="24"/>
              </w:rPr>
              <w:t>hours per grantee</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9120F6" w:rsidRPr="008972A5" w:rsidRDefault="00AE22FF" w:rsidP="009120F6">
            <w:pPr>
              <w:shd w:val="clear" w:color="auto" w:fill="auto"/>
              <w:jc w:val="center"/>
              <w:rPr>
                <w:szCs w:val="24"/>
              </w:rPr>
            </w:pPr>
            <w:r>
              <w:rPr>
                <w:szCs w:val="24"/>
              </w:rPr>
              <w:t>52</w:t>
            </w:r>
          </w:p>
        </w:tc>
      </w:tr>
      <w:tr w:rsidR="00B24063" w:rsidRPr="008972A5">
        <w:tc>
          <w:tcPr>
            <w:tcW w:w="693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B24063" w:rsidRPr="008972A5" w:rsidRDefault="00B24063" w:rsidP="009120F6">
            <w:pPr>
              <w:shd w:val="clear" w:color="auto" w:fill="auto"/>
              <w:ind w:left="0"/>
              <w:rPr>
                <w:szCs w:val="24"/>
              </w:rPr>
            </w:pPr>
            <w:r w:rsidRPr="008972A5">
              <w:rPr>
                <w:szCs w:val="24"/>
              </w:rPr>
              <w:t xml:space="preserve">Total </w:t>
            </w:r>
            <w:r w:rsidR="00CE3CF0">
              <w:rPr>
                <w:szCs w:val="24"/>
              </w:rPr>
              <w:t xml:space="preserve">annual </w:t>
            </w:r>
            <w:r w:rsidRPr="008972A5">
              <w:rPr>
                <w:szCs w:val="24"/>
              </w:rPr>
              <w:t xml:space="preserve">hours </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B24063" w:rsidRPr="008972A5" w:rsidRDefault="00AE22FF" w:rsidP="00091AEC">
            <w:pPr>
              <w:shd w:val="clear" w:color="auto" w:fill="auto"/>
              <w:jc w:val="center"/>
              <w:rPr>
                <w:szCs w:val="24"/>
              </w:rPr>
            </w:pPr>
            <w:r>
              <w:rPr>
                <w:szCs w:val="24"/>
              </w:rPr>
              <w:t>624</w:t>
            </w:r>
          </w:p>
        </w:tc>
      </w:tr>
    </w:tbl>
    <w:p w:rsidR="00B24063" w:rsidRPr="00043374" w:rsidRDefault="00B24063" w:rsidP="00B24063">
      <w:pPr>
        <w:shd w:val="clear" w:color="auto" w:fill="auto"/>
        <w:ind w:left="0"/>
      </w:pPr>
    </w:p>
    <w:tbl>
      <w:tblPr>
        <w:tblStyle w:val="TableGrid"/>
        <w:tblpPr w:leftFromText="180" w:rightFromText="180" w:vertAnchor="text" w:tblpX="558" w:tblpY="1"/>
        <w:tblOverlap w:val="never"/>
        <w:tblW w:w="0" w:type="auto"/>
        <w:tblLook w:val="04A0" w:firstRow="1" w:lastRow="0" w:firstColumn="1" w:lastColumn="0" w:noHBand="0" w:noVBand="1"/>
      </w:tblPr>
      <w:tblGrid>
        <w:gridCol w:w="6930"/>
        <w:gridCol w:w="1908"/>
      </w:tblGrid>
      <w:tr w:rsidR="00091AEC" w:rsidRPr="00091AEC" w:rsidTr="00091AEC">
        <w:tc>
          <w:tcPr>
            <w:tcW w:w="6930" w:type="dxa"/>
          </w:tcPr>
          <w:p w:rsidR="00091AEC" w:rsidRPr="00091AEC" w:rsidRDefault="00091AEC" w:rsidP="00091AEC">
            <w:pPr>
              <w:shd w:val="clear" w:color="auto" w:fill="auto"/>
              <w:ind w:left="0"/>
              <w:rPr>
                <w:rFonts w:ascii="Times New Roman" w:hAnsi="Times New Roman"/>
                <w:b/>
                <w:szCs w:val="24"/>
              </w:rPr>
            </w:pPr>
            <w:r w:rsidRPr="00091AEC">
              <w:rPr>
                <w:rFonts w:ascii="Times New Roman" w:hAnsi="Times New Roman"/>
                <w:b/>
                <w:szCs w:val="24"/>
              </w:rPr>
              <w:t>Accountability and Oversight Requirements</w:t>
            </w:r>
          </w:p>
        </w:tc>
        <w:tc>
          <w:tcPr>
            <w:tcW w:w="1908" w:type="dxa"/>
          </w:tcPr>
          <w:p w:rsidR="00091AEC" w:rsidRPr="00091AEC" w:rsidRDefault="00091AEC" w:rsidP="00091AEC">
            <w:pPr>
              <w:shd w:val="clear" w:color="auto" w:fill="auto"/>
              <w:ind w:left="0"/>
              <w:rPr>
                <w:rFonts w:ascii="Times New Roman" w:hAnsi="Times New Roman"/>
                <w:b/>
                <w:szCs w:val="24"/>
              </w:rPr>
            </w:pPr>
            <w:r w:rsidRPr="00091AEC">
              <w:rPr>
                <w:rFonts w:ascii="Times New Roman" w:hAnsi="Times New Roman"/>
                <w:b/>
                <w:szCs w:val="24"/>
              </w:rPr>
              <w:t>Hours (Annual)</w:t>
            </w:r>
          </w:p>
        </w:tc>
      </w:tr>
      <w:tr w:rsidR="00091AEC" w:rsidRPr="00091AEC" w:rsidTr="00091AEC">
        <w:tc>
          <w:tcPr>
            <w:tcW w:w="6930" w:type="dxa"/>
            <w:vAlign w:val="bottom"/>
          </w:tcPr>
          <w:p w:rsidR="00091AEC" w:rsidRPr="00091AEC" w:rsidRDefault="00091AEC" w:rsidP="00091AEC">
            <w:pPr>
              <w:shd w:val="clear" w:color="auto" w:fill="auto"/>
              <w:ind w:left="0"/>
              <w:rPr>
                <w:rFonts w:ascii="Times New Roman" w:hAnsi="Times New Roman"/>
                <w:color w:val="auto"/>
                <w:szCs w:val="24"/>
              </w:rPr>
            </w:pPr>
            <w:r w:rsidRPr="00091AEC">
              <w:rPr>
                <w:rFonts w:ascii="Times New Roman" w:hAnsi="Times New Roman"/>
                <w:color w:val="auto"/>
                <w:szCs w:val="24"/>
              </w:rPr>
              <w:t>Accountability and Oversight - SEA</w:t>
            </w:r>
          </w:p>
        </w:tc>
        <w:tc>
          <w:tcPr>
            <w:tcW w:w="1908" w:type="dxa"/>
          </w:tcPr>
          <w:p w:rsidR="00091AEC" w:rsidRPr="00091AEC" w:rsidRDefault="00091AEC" w:rsidP="00091AEC">
            <w:pPr>
              <w:shd w:val="clear" w:color="auto" w:fill="auto"/>
              <w:jc w:val="center"/>
              <w:rPr>
                <w:rFonts w:ascii="Times New Roman" w:hAnsi="Times New Roman"/>
                <w:color w:val="auto"/>
                <w:szCs w:val="24"/>
              </w:rPr>
            </w:pPr>
            <w:r w:rsidRPr="00091AEC">
              <w:rPr>
                <w:rFonts w:ascii="Times New Roman" w:hAnsi="Times New Roman"/>
                <w:color w:val="auto"/>
                <w:szCs w:val="24"/>
              </w:rPr>
              <w:t>4</w:t>
            </w:r>
          </w:p>
        </w:tc>
      </w:tr>
      <w:tr w:rsidR="00091AEC" w:rsidRPr="00091AEC" w:rsidTr="00091AEC">
        <w:tc>
          <w:tcPr>
            <w:tcW w:w="6930" w:type="dxa"/>
            <w:tcBorders>
              <w:bottom w:val="single" w:sz="4" w:space="0" w:color="000000"/>
            </w:tcBorders>
            <w:vAlign w:val="bottom"/>
          </w:tcPr>
          <w:p w:rsidR="00091AEC" w:rsidRPr="00091AEC" w:rsidRDefault="00091AEC" w:rsidP="00091AEC">
            <w:pPr>
              <w:shd w:val="clear" w:color="auto" w:fill="auto"/>
              <w:ind w:left="0"/>
              <w:rPr>
                <w:rFonts w:ascii="Times New Roman" w:hAnsi="Times New Roman"/>
                <w:color w:val="auto"/>
                <w:szCs w:val="24"/>
              </w:rPr>
            </w:pPr>
            <w:r w:rsidRPr="00091AEC">
              <w:rPr>
                <w:rFonts w:ascii="Times New Roman" w:hAnsi="Times New Roman"/>
                <w:color w:val="auto"/>
                <w:szCs w:val="24"/>
              </w:rPr>
              <w:t>Accountability and Oversight – LEA</w:t>
            </w:r>
          </w:p>
        </w:tc>
        <w:tc>
          <w:tcPr>
            <w:tcW w:w="1908" w:type="dxa"/>
            <w:tcBorders>
              <w:bottom w:val="single" w:sz="4" w:space="0" w:color="000000"/>
            </w:tcBorders>
          </w:tcPr>
          <w:p w:rsidR="00091AEC" w:rsidRPr="00091AEC" w:rsidRDefault="00091AEC" w:rsidP="00091AEC">
            <w:pPr>
              <w:shd w:val="clear" w:color="auto" w:fill="auto"/>
              <w:jc w:val="center"/>
              <w:rPr>
                <w:rFonts w:ascii="Times New Roman" w:hAnsi="Times New Roman"/>
                <w:color w:val="auto"/>
                <w:szCs w:val="24"/>
              </w:rPr>
            </w:pPr>
            <w:r w:rsidRPr="00091AEC">
              <w:rPr>
                <w:rFonts w:ascii="Times New Roman" w:hAnsi="Times New Roman"/>
                <w:color w:val="auto"/>
                <w:szCs w:val="24"/>
              </w:rPr>
              <w:t>6</w:t>
            </w:r>
          </w:p>
        </w:tc>
      </w:tr>
      <w:tr w:rsidR="00091AEC" w:rsidRPr="00091AEC" w:rsidTr="00091AEC">
        <w:tc>
          <w:tcPr>
            <w:tcW w:w="6930" w:type="dxa"/>
            <w:shd w:val="clear" w:color="auto" w:fill="D9D9D9" w:themeFill="background1" w:themeFillShade="D9"/>
            <w:vAlign w:val="bottom"/>
          </w:tcPr>
          <w:p w:rsidR="00091AEC" w:rsidRPr="00091AEC" w:rsidRDefault="00091AEC" w:rsidP="00091AEC">
            <w:pPr>
              <w:shd w:val="clear" w:color="auto" w:fill="auto"/>
              <w:ind w:left="0"/>
              <w:rPr>
                <w:rFonts w:ascii="Times New Roman" w:hAnsi="Times New Roman"/>
                <w:color w:val="auto"/>
                <w:szCs w:val="24"/>
              </w:rPr>
            </w:pPr>
            <w:r w:rsidRPr="00091AEC">
              <w:rPr>
                <w:rFonts w:ascii="Times New Roman" w:hAnsi="Times New Roman"/>
                <w:color w:val="auto"/>
                <w:szCs w:val="24"/>
              </w:rPr>
              <w:t>Total annual hours per grantee</w:t>
            </w:r>
          </w:p>
        </w:tc>
        <w:tc>
          <w:tcPr>
            <w:tcW w:w="1908" w:type="dxa"/>
            <w:shd w:val="clear" w:color="auto" w:fill="D9D9D9" w:themeFill="background1" w:themeFillShade="D9"/>
          </w:tcPr>
          <w:p w:rsidR="00091AEC" w:rsidRPr="00091AEC" w:rsidRDefault="00091AEC" w:rsidP="00091AEC">
            <w:pPr>
              <w:shd w:val="clear" w:color="auto" w:fill="auto"/>
              <w:jc w:val="center"/>
              <w:rPr>
                <w:rFonts w:ascii="Times New Roman" w:hAnsi="Times New Roman"/>
                <w:color w:val="auto"/>
                <w:szCs w:val="24"/>
              </w:rPr>
            </w:pPr>
            <w:r w:rsidRPr="00091AEC">
              <w:rPr>
                <w:rFonts w:ascii="Times New Roman" w:hAnsi="Times New Roman"/>
                <w:color w:val="auto"/>
                <w:szCs w:val="24"/>
              </w:rPr>
              <w:t>10</w:t>
            </w:r>
          </w:p>
        </w:tc>
      </w:tr>
      <w:tr w:rsidR="00091AEC" w:rsidRPr="00091AEC" w:rsidTr="00091AEC">
        <w:tc>
          <w:tcPr>
            <w:tcW w:w="6930" w:type="dxa"/>
            <w:shd w:val="clear" w:color="auto" w:fill="D9D9D9" w:themeFill="background1" w:themeFillShade="D9"/>
            <w:vAlign w:val="bottom"/>
          </w:tcPr>
          <w:p w:rsidR="00091AEC" w:rsidRPr="00091AEC" w:rsidRDefault="00091AEC" w:rsidP="00091AEC">
            <w:pPr>
              <w:shd w:val="clear" w:color="auto" w:fill="auto"/>
              <w:ind w:left="0"/>
              <w:rPr>
                <w:rFonts w:ascii="Times New Roman" w:hAnsi="Times New Roman"/>
                <w:color w:val="auto"/>
                <w:szCs w:val="24"/>
              </w:rPr>
            </w:pPr>
            <w:r w:rsidRPr="00091AEC">
              <w:rPr>
                <w:rFonts w:ascii="Times New Roman" w:hAnsi="Times New Roman"/>
                <w:color w:val="auto"/>
                <w:szCs w:val="24"/>
              </w:rPr>
              <w:t xml:space="preserve">Total annual hours </w:t>
            </w:r>
          </w:p>
        </w:tc>
        <w:tc>
          <w:tcPr>
            <w:tcW w:w="1908" w:type="dxa"/>
            <w:shd w:val="clear" w:color="auto" w:fill="D9D9D9" w:themeFill="background1" w:themeFillShade="D9"/>
          </w:tcPr>
          <w:p w:rsidR="00091AEC" w:rsidRPr="00091AEC" w:rsidRDefault="00091AEC" w:rsidP="00091AEC">
            <w:pPr>
              <w:shd w:val="clear" w:color="auto" w:fill="auto"/>
              <w:jc w:val="center"/>
              <w:rPr>
                <w:rFonts w:ascii="Times New Roman" w:hAnsi="Times New Roman"/>
                <w:color w:val="auto"/>
                <w:szCs w:val="24"/>
              </w:rPr>
            </w:pPr>
            <w:r w:rsidRPr="00091AEC">
              <w:rPr>
                <w:rFonts w:ascii="Times New Roman" w:hAnsi="Times New Roman"/>
                <w:color w:val="auto"/>
                <w:szCs w:val="24"/>
              </w:rPr>
              <w:t>120</w:t>
            </w:r>
          </w:p>
        </w:tc>
      </w:tr>
    </w:tbl>
    <w:p w:rsidR="00B24063" w:rsidRPr="00E87BD8" w:rsidRDefault="00091AEC" w:rsidP="00B24063">
      <w:pPr>
        <w:shd w:val="clear" w:color="auto" w:fill="auto"/>
        <w:ind w:left="0"/>
      </w:pPr>
      <w:r>
        <w:br w:type="textWrapping" w:clear="all"/>
      </w:r>
    </w:p>
    <w:p w:rsidR="00B24063" w:rsidRPr="00E87BD8" w:rsidRDefault="00B24063" w:rsidP="00B24063">
      <w:pPr>
        <w:pStyle w:val="Heading1"/>
        <w:shd w:val="clear" w:color="auto" w:fill="auto"/>
      </w:pPr>
      <w:r w:rsidRPr="00E87BD8">
        <w:t>B. Cost to Respondents</w:t>
      </w:r>
    </w:p>
    <w:p w:rsidR="00B24063" w:rsidRPr="00E87BD8" w:rsidRDefault="00B24063" w:rsidP="00B24063">
      <w:pPr>
        <w:shd w:val="clear" w:color="auto" w:fill="auto"/>
      </w:pPr>
    </w:p>
    <w:p w:rsidR="00B24063" w:rsidRPr="007F2DCE" w:rsidRDefault="00B24063" w:rsidP="00B24063">
      <w:pPr>
        <w:shd w:val="clear" w:color="auto" w:fill="auto"/>
        <w:rPr>
          <w:color w:val="008000"/>
        </w:rPr>
      </w:pPr>
      <w:r w:rsidRPr="00E87BD8">
        <w:t xml:space="preserve">The Department estimates that the per-hour cost </w:t>
      </w:r>
      <w:r>
        <w:t xml:space="preserve">for grantee employees will </w:t>
      </w:r>
      <w:r w:rsidRPr="00E87BD8">
        <w:t>average $</w:t>
      </w:r>
      <w:r>
        <w:t>3</w:t>
      </w:r>
      <w:r w:rsidRPr="00E87BD8">
        <w:t>0 per person (</w:t>
      </w:r>
      <w:r>
        <w:t xml:space="preserve">approximately </w:t>
      </w:r>
      <w:r w:rsidRPr="00E87BD8">
        <w:t>GS-1</w:t>
      </w:r>
      <w:r>
        <w:t>2</w:t>
      </w:r>
      <w:r w:rsidRPr="00E87BD8">
        <w:t xml:space="preserve"> equivalent) </w:t>
      </w:r>
      <w:r>
        <w:t xml:space="preserve">per </w:t>
      </w:r>
      <w:r w:rsidRPr="00E87BD8">
        <w:t xml:space="preserve">hour for a total of </w:t>
      </w:r>
      <w:r>
        <w:t>$</w:t>
      </w:r>
      <w:r w:rsidR="009B09DB">
        <w:t>1,860</w:t>
      </w:r>
      <w:r>
        <w:t xml:space="preserve">.00 annually. </w:t>
      </w:r>
      <w:r w:rsidR="00091AEC">
        <w:t xml:space="preserve">Each grantee will have approximately six employees collecting this information. </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ind w:left="630"/>
        <w:rPr>
          <w:i/>
          <w:iCs/>
        </w:rPr>
      </w:pPr>
      <w:r w:rsidRPr="00E87BD8">
        <w:rPr>
          <w:i/>
          <w:iCs/>
        </w:rPr>
        <w:t xml:space="preserve">A.13.  </w:t>
      </w:r>
      <w:r w:rsidRPr="00E87BD8">
        <w:rPr>
          <w:rStyle w:val="a"/>
          <w:i/>
          <w:iCs/>
        </w:rPr>
        <w:t>Provide an estimate of the total annual cost burden to respondents or record keepers resulting from the collection of information.  (Do not include the cost of any hour burden shown in Items 12 and 14.)</w:t>
      </w:r>
    </w:p>
    <w:p w:rsidR="00B24063" w:rsidRPr="00E87BD8" w:rsidRDefault="00B24063" w:rsidP="00B24063">
      <w:pPr>
        <w:shd w:val="clear" w:color="auto" w:fill="auto"/>
        <w:tabs>
          <w:tab w:val="left" w:pos="-720"/>
        </w:tabs>
        <w:ind w:left="1440"/>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4063" w:rsidRPr="00E87BD8" w:rsidRDefault="00B24063" w:rsidP="00B24063">
      <w:pPr>
        <w:numPr>
          <w:ilvl w:val="12"/>
          <w:numId w:val="0"/>
        </w:numPr>
        <w:shd w:val="clear" w:color="auto" w:fill="auto"/>
        <w:tabs>
          <w:tab w:val="left" w:pos="-720"/>
        </w:tabs>
        <w:ind w:left="1440"/>
        <w:rPr>
          <w:i/>
        </w:rPr>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E87BD8">
        <w:rPr>
          <w:i/>
        </w:rPr>
        <w:lastRenderedPageBreak/>
        <w:t>associated with the rulemaking containing the information collection, as appropriate.</w:t>
      </w:r>
    </w:p>
    <w:p w:rsidR="00B24063" w:rsidRPr="00E87BD8" w:rsidRDefault="00B24063" w:rsidP="00B24063">
      <w:pPr>
        <w:shd w:val="clear" w:color="auto" w:fill="auto"/>
        <w:tabs>
          <w:tab w:val="left" w:pos="-720"/>
          <w:tab w:val="left" w:pos="1247"/>
        </w:tabs>
        <w:ind w:left="0"/>
        <w:rPr>
          <w:i/>
        </w:rPr>
      </w:pPr>
    </w:p>
    <w:p w:rsidR="00B24063" w:rsidRPr="00E87BD8" w:rsidRDefault="00B24063" w:rsidP="00B24063">
      <w:pPr>
        <w:numPr>
          <w:ilvl w:val="0"/>
          <w:numId w:val="5"/>
        </w:numPr>
        <w:shd w:val="clear" w:color="auto" w:fill="auto"/>
        <w:tabs>
          <w:tab w:val="left" w:pos="-720"/>
          <w:tab w:val="left" w:pos="1247"/>
        </w:tabs>
        <w:ind w:left="1440"/>
        <w:rPr>
          <w:i/>
        </w:rPr>
      </w:pPr>
      <w:r w:rsidRPr="00E87BD8">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24063" w:rsidRPr="00E87BD8" w:rsidRDefault="00B24063" w:rsidP="00B24063">
      <w:pPr>
        <w:shd w:val="clear" w:color="auto" w:fill="auto"/>
        <w:tabs>
          <w:tab w:val="left" w:pos="-720"/>
        </w:tabs>
        <w:ind w:left="1440"/>
      </w:pPr>
    </w:p>
    <w:p w:rsidR="00B24063" w:rsidRPr="00E87BD8" w:rsidRDefault="00B24063" w:rsidP="00B24063">
      <w:pPr>
        <w:shd w:val="clear" w:color="auto" w:fill="auto"/>
        <w:tabs>
          <w:tab w:val="left" w:pos="-720"/>
        </w:tabs>
        <w:ind w:left="1440"/>
      </w:pPr>
      <w:r w:rsidRPr="00E87BD8">
        <w:tab/>
        <w:t xml:space="preserve">Total </w:t>
      </w:r>
      <w:r>
        <w:t>Annualized Capital/Startup Cost:</w:t>
      </w:r>
      <w:r>
        <w:tab/>
      </w:r>
      <w:r w:rsidRPr="00E87BD8">
        <w:t>0</w:t>
      </w:r>
    </w:p>
    <w:p w:rsidR="00B24063" w:rsidRPr="00E87BD8" w:rsidRDefault="00B24063" w:rsidP="00B24063">
      <w:pPr>
        <w:shd w:val="clear" w:color="auto" w:fill="auto"/>
        <w:tabs>
          <w:tab w:val="left" w:pos="-720"/>
        </w:tabs>
        <w:ind w:left="1440"/>
      </w:pPr>
      <w:r>
        <w:tab/>
        <w:t>Total Annual Costs (O&amp;M)</w:t>
      </w:r>
      <w:r w:rsidRPr="00E87BD8">
        <w:t xml:space="preserve">: </w:t>
      </w:r>
      <w:r>
        <w:tab/>
      </w:r>
      <w:r>
        <w:tab/>
      </w:r>
      <w:r>
        <w:tab/>
      </w:r>
      <w:r w:rsidRPr="00E87BD8">
        <w:t>0</w:t>
      </w:r>
    </w:p>
    <w:p w:rsidR="00B24063" w:rsidRPr="00E87BD8" w:rsidRDefault="00B24063" w:rsidP="00B24063">
      <w:pPr>
        <w:shd w:val="clear" w:color="auto" w:fill="auto"/>
        <w:tabs>
          <w:tab w:val="left" w:pos="-720"/>
        </w:tabs>
        <w:ind w:left="2160"/>
      </w:pPr>
      <w:r>
        <w:t>_________________________________________</w:t>
      </w:r>
    </w:p>
    <w:p w:rsidR="00B24063" w:rsidRPr="00E87BD8" w:rsidRDefault="00B24063" w:rsidP="00B24063">
      <w:pPr>
        <w:shd w:val="clear" w:color="auto" w:fill="auto"/>
        <w:tabs>
          <w:tab w:val="left" w:pos="-720"/>
        </w:tabs>
        <w:ind w:left="2160"/>
      </w:pPr>
      <w:r w:rsidRPr="00E87BD8">
        <w:t>Total Annualized Costs Request</w:t>
      </w:r>
      <w:r>
        <w:t>ed</w:t>
      </w:r>
      <w:r w:rsidRPr="00E87BD8">
        <w:t>:</w:t>
      </w:r>
      <w:r>
        <w:t xml:space="preserve">              </w:t>
      </w:r>
      <w:r w:rsidRPr="00E87BD8">
        <w:t xml:space="preserve"> 0</w:t>
      </w:r>
    </w:p>
    <w:p w:rsidR="00B24063" w:rsidRDefault="00B24063" w:rsidP="00B24063">
      <w:pPr>
        <w:shd w:val="clear" w:color="auto" w:fill="auto"/>
        <w:tabs>
          <w:tab w:val="left" w:pos="-720"/>
        </w:tabs>
        <w:rPr>
          <w:rFonts w:ascii="Univers" w:hAnsi="Univers"/>
        </w:rPr>
      </w:pPr>
    </w:p>
    <w:p w:rsidR="00B24063" w:rsidRDefault="00B24063" w:rsidP="00B24063">
      <w:pPr>
        <w:shd w:val="clear" w:color="auto" w:fill="auto"/>
        <w:tabs>
          <w:tab w:val="left" w:pos="-720"/>
        </w:tabs>
      </w:pPr>
    </w:p>
    <w:p w:rsidR="00B24063" w:rsidRPr="00764B01" w:rsidRDefault="00B24063" w:rsidP="00B24063">
      <w:pPr>
        <w:shd w:val="clear" w:color="auto" w:fill="auto"/>
      </w:pPr>
      <w:r w:rsidRPr="00764B01">
        <w:t>There are no start-up or annual costs (aside from salaries listed above) for this collection.</w:t>
      </w:r>
    </w:p>
    <w:p w:rsidR="00B24063" w:rsidRPr="00764B01" w:rsidRDefault="00B24063" w:rsidP="00B24063">
      <w:pPr>
        <w:shd w:val="clear" w:color="auto" w:fill="auto"/>
        <w:tabs>
          <w:tab w:val="left" w:pos="-720"/>
        </w:tabs>
      </w:pPr>
    </w:p>
    <w:p w:rsidR="00B24063" w:rsidRPr="00E87BD8" w:rsidRDefault="00B24063" w:rsidP="00B24063">
      <w:pPr>
        <w:shd w:val="clear" w:color="auto" w:fill="auto"/>
        <w:tabs>
          <w:tab w:val="left" w:pos="-720"/>
        </w:tabs>
        <w:ind w:left="0"/>
      </w:pPr>
    </w:p>
    <w:p w:rsidR="00B24063" w:rsidRPr="00E87BD8" w:rsidRDefault="00B24063" w:rsidP="00B24063">
      <w:pPr>
        <w:shd w:val="clear" w:color="auto" w:fill="auto"/>
        <w:tabs>
          <w:tab w:val="left" w:pos="-720"/>
        </w:tabs>
        <w:rPr>
          <w:i/>
          <w:iCs/>
        </w:rPr>
      </w:pPr>
      <w:r w:rsidRPr="00E87BD8">
        <w:rPr>
          <w:i/>
          <w:iCs/>
        </w:rPr>
        <w:t xml:space="preserve">A.14. </w:t>
      </w:r>
      <w:r w:rsidRPr="00E87BD8">
        <w:rPr>
          <w:rStyle w:val="a"/>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24063" w:rsidRPr="00E87BD8" w:rsidRDefault="00B24063" w:rsidP="00B24063">
      <w:pPr>
        <w:shd w:val="clear" w:color="auto" w:fill="auto"/>
        <w:tabs>
          <w:tab w:val="left" w:pos="-720"/>
        </w:tabs>
      </w:pPr>
    </w:p>
    <w:p w:rsidR="00B24063" w:rsidRPr="00764B01" w:rsidRDefault="00B24063" w:rsidP="00B24063">
      <w:pPr>
        <w:shd w:val="clear" w:color="auto" w:fill="auto"/>
      </w:pPr>
      <w:r w:rsidRPr="00764B01">
        <w:t>The Federal costs will involve managing grantee submissions continuously over the life of the grant.  Calculations below include the costs associated with</w:t>
      </w:r>
      <w:r>
        <w:t xml:space="preserve"> managing the 12 grantees</w:t>
      </w:r>
      <w:r w:rsidRPr="00764B01">
        <w:t xml:space="preserve">:  </w:t>
      </w:r>
    </w:p>
    <w:p w:rsidR="00B24063" w:rsidRPr="00723FD8" w:rsidRDefault="00B24063" w:rsidP="00B24063">
      <w:pPr>
        <w:pStyle w:val="BodyTextIndent"/>
        <w:shd w:val="clear" w:color="auto" w:fill="auto"/>
        <w:ind w:left="0"/>
        <w:rPr>
          <w:sz w:val="24"/>
          <w:szCs w:val="24"/>
        </w:rPr>
      </w:pPr>
    </w:p>
    <w:p w:rsidR="00B24063" w:rsidRDefault="00B24063" w:rsidP="00B24063">
      <w:pPr>
        <w:pStyle w:val="BodyTextIndent"/>
        <w:numPr>
          <w:ilvl w:val="0"/>
          <w:numId w:val="16"/>
        </w:numPr>
        <w:shd w:val="clear" w:color="auto" w:fill="auto"/>
        <w:suppressAutoHyphens w:val="0"/>
        <w:rPr>
          <w:sz w:val="24"/>
          <w:szCs w:val="24"/>
        </w:rPr>
      </w:pPr>
      <w:r w:rsidRPr="00F02B87">
        <w:rPr>
          <w:b/>
          <w:sz w:val="24"/>
          <w:szCs w:val="24"/>
        </w:rPr>
        <w:t>Grade 9</w:t>
      </w:r>
      <w:r>
        <w:rPr>
          <w:sz w:val="24"/>
          <w:szCs w:val="24"/>
        </w:rPr>
        <w:t>:  (2 hrs x 12 months for monthly submissions) + (6 hours for on-site collection) = 24 + 6 = 3</w:t>
      </w:r>
      <w:r w:rsidR="00AE22FF">
        <w:rPr>
          <w:sz w:val="24"/>
          <w:szCs w:val="24"/>
        </w:rPr>
        <w:t>0</w:t>
      </w:r>
      <w:r>
        <w:rPr>
          <w:sz w:val="24"/>
          <w:szCs w:val="24"/>
        </w:rPr>
        <w:t xml:space="preserve"> hours per year x 4 employees = </w:t>
      </w:r>
      <w:r w:rsidR="00325433">
        <w:rPr>
          <w:sz w:val="24"/>
          <w:szCs w:val="24"/>
        </w:rPr>
        <w:t xml:space="preserve">120 </w:t>
      </w:r>
      <w:r>
        <w:rPr>
          <w:sz w:val="24"/>
          <w:szCs w:val="24"/>
        </w:rPr>
        <w:t xml:space="preserve">hours at 24.74 / hour = </w:t>
      </w:r>
      <w:r w:rsidRPr="00F02B87">
        <w:rPr>
          <w:b/>
          <w:sz w:val="24"/>
          <w:szCs w:val="24"/>
        </w:rPr>
        <w:t>$</w:t>
      </w:r>
      <w:r w:rsidR="00325433">
        <w:rPr>
          <w:b/>
          <w:sz w:val="24"/>
          <w:szCs w:val="24"/>
        </w:rPr>
        <w:t>2,969</w:t>
      </w:r>
    </w:p>
    <w:p w:rsidR="00B24063" w:rsidRDefault="00B24063" w:rsidP="00B24063">
      <w:pPr>
        <w:pStyle w:val="BodyTextIndent"/>
        <w:numPr>
          <w:ilvl w:val="0"/>
          <w:numId w:val="16"/>
        </w:numPr>
        <w:shd w:val="clear" w:color="auto" w:fill="auto"/>
        <w:suppressAutoHyphens w:val="0"/>
        <w:rPr>
          <w:sz w:val="24"/>
          <w:szCs w:val="24"/>
        </w:rPr>
      </w:pPr>
      <w:r w:rsidRPr="00F02B87">
        <w:rPr>
          <w:b/>
          <w:sz w:val="24"/>
          <w:szCs w:val="24"/>
        </w:rPr>
        <w:t>Grade 12</w:t>
      </w:r>
      <w:r>
        <w:rPr>
          <w:sz w:val="24"/>
          <w:szCs w:val="24"/>
        </w:rPr>
        <w:t xml:space="preserve">:  (2 </w:t>
      </w:r>
      <w:proofErr w:type="spellStart"/>
      <w:r>
        <w:rPr>
          <w:sz w:val="24"/>
          <w:szCs w:val="24"/>
        </w:rPr>
        <w:t>hrs</w:t>
      </w:r>
      <w:proofErr w:type="spellEnd"/>
      <w:r>
        <w:rPr>
          <w:sz w:val="24"/>
          <w:szCs w:val="24"/>
        </w:rPr>
        <w:t xml:space="preserve"> x 12 months for monthly submissions) + (6 hours for on-site collection) = 24 + 6 = </w:t>
      </w:r>
      <w:r w:rsidR="00AE22FF">
        <w:rPr>
          <w:sz w:val="24"/>
          <w:szCs w:val="24"/>
        </w:rPr>
        <w:t xml:space="preserve">30 </w:t>
      </w:r>
      <w:r>
        <w:rPr>
          <w:sz w:val="24"/>
          <w:szCs w:val="24"/>
        </w:rPr>
        <w:t xml:space="preserve">hours per year x </w:t>
      </w:r>
      <w:r w:rsidR="00AE22FF">
        <w:rPr>
          <w:sz w:val="24"/>
          <w:szCs w:val="24"/>
        </w:rPr>
        <w:t>5</w:t>
      </w:r>
      <w:r>
        <w:rPr>
          <w:sz w:val="24"/>
          <w:szCs w:val="24"/>
        </w:rPr>
        <w:t xml:space="preserve"> employees = </w:t>
      </w:r>
      <w:r w:rsidR="00325433">
        <w:rPr>
          <w:sz w:val="24"/>
          <w:szCs w:val="24"/>
        </w:rPr>
        <w:t xml:space="preserve">150 </w:t>
      </w:r>
      <w:r>
        <w:rPr>
          <w:sz w:val="24"/>
          <w:szCs w:val="24"/>
        </w:rPr>
        <w:t xml:space="preserve">hours at 35.88 / hour = </w:t>
      </w:r>
      <w:r w:rsidRPr="00F02B87">
        <w:rPr>
          <w:b/>
          <w:sz w:val="24"/>
          <w:szCs w:val="24"/>
        </w:rPr>
        <w:t>$</w:t>
      </w:r>
      <w:r w:rsidR="00325433">
        <w:rPr>
          <w:b/>
          <w:sz w:val="24"/>
          <w:szCs w:val="24"/>
        </w:rPr>
        <w:t>5,382</w:t>
      </w:r>
    </w:p>
    <w:p w:rsidR="00B24063" w:rsidRPr="00723FD8" w:rsidRDefault="00B24063" w:rsidP="00B24063">
      <w:pPr>
        <w:pStyle w:val="BodyTextIndent"/>
        <w:numPr>
          <w:ilvl w:val="0"/>
          <w:numId w:val="16"/>
        </w:numPr>
        <w:shd w:val="clear" w:color="auto" w:fill="auto"/>
        <w:suppressAutoHyphens w:val="0"/>
        <w:rPr>
          <w:sz w:val="24"/>
          <w:szCs w:val="24"/>
        </w:rPr>
      </w:pPr>
      <w:r w:rsidRPr="00F02B87">
        <w:rPr>
          <w:b/>
          <w:sz w:val="24"/>
          <w:szCs w:val="24"/>
        </w:rPr>
        <w:t>Grade 1</w:t>
      </w:r>
      <w:r w:rsidR="00AE22FF">
        <w:rPr>
          <w:b/>
          <w:sz w:val="24"/>
          <w:szCs w:val="24"/>
        </w:rPr>
        <w:t>3</w:t>
      </w:r>
      <w:r>
        <w:rPr>
          <w:sz w:val="24"/>
          <w:szCs w:val="24"/>
        </w:rPr>
        <w:t xml:space="preserve">: (2 </w:t>
      </w:r>
      <w:proofErr w:type="spellStart"/>
      <w:r>
        <w:rPr>
          <w:sz w:val="24"/>
          <w:szCs w:val="24"/>
        </w:rPr>
        <w:t>hrs</w:t>
      </w:r>
      <w:proofErr w:type="spellEnd"/>
      <w:r>
        <w:rPr>
          <w:sz w:val="24"/>
          <w:szCs w:val="24"/>
        </w:rPr>
        <w:t xml:space="preserve"> x 12 months for monthly submissions) + (6 hours for on-site collection) = 24 + 6 = 3</w:t>
      </w:r>
      <w:r w:rsidR="00325433">
        <w:rPr>
          <w:sz w:val="24"/>
          <w:szCs w:val="24"/>
        </w:rPr>
        <w:t>0</w:t>
      </w:r>
      <w:r>
        <w:rPr>
          <w:sz w:val="24"/>
          <w:szCs w:val="24"/>
        </w:rPr>
        <w:t xml:space="preserve"> hours per year x 1 employee =3</w:t>
      </w:r>
      <w:r w:rsidR="00325433">
        <w:rPr>
          <w:sz w:val="24"/>
          <w:szCs w:val="24"/>
        </w:rPr>
        <w:t>0</w:t>
      </w:r>
      <w:r>
        <w:rPr>
          <w:sz w:val="24"/>
          <w:szCs w:val="24"/>
        </w:rPr>
        <w:t xml:space="preserve"> hours at </w:t>
      </w:r>
      <w:r w:rsidR="00325433">
        <w:rPr>
          <w:sz w:val="24"/>
          <w:szCs w:val="24"/>
        </w:rPr>
        <w:t>42.66</w:t>
      </w:r>
      <w:r>
        <w:rPr>
          <w:sz w:val="24"/>
          <w:szCs w:val="24"/>
        </w:rPr>
        <w:t xml:space="preserve"> / hour = </w:t>
      </w:r>
      <w:r w:rsidRPr="00F02B87">
        <w:rPr>
          <w:b/>
          <w:sz w:val="24"/>
          <w:szCs w:val="24"/>
        </w:rPr>
        <w:t>$</w:t>
      </w:r>
      <w:r w:rsidR="00325433">
        <w:rPr>
          <w:b/>
          <w:sz w:val="24"/>
          <w:szCs w:val="24"/>
        </w:rPr>
        <w:t>7,679</w:t>
      </w:r>
    </w:p>
    <w:p w:rsidR="00B24063" w:rsidRDefault="00B24063" w:rsidP="00B24063">
      <w:pPr>
        <w:pStyle w:val="BodyTextIndent"/>
        <w:numPr>
          <w:ilvl w:val="0"/>
          <w:numId w:val="16"/>
        </w:numPr>
        <w:shd w:val="clear" w:color="auto" w:fill="auto"/>
        <w:suppressAutoHyphens w:val="0"/>
        <w:rPr>
          <w:sz w:val="24"/>
          <w:szCs w:val="24"/>
        </w:rPr>
      </w:pPr>
      <w:r w:rsidRPr="00F02B87">
        <w:rPr>
          <w:b/>
          <w:sz w:val="24"/>
          <w:szCs w:val="24"/>
        </w:rPr>
        <w:t>Grade 15</w:t>
      </w:r>
      <w:r w:rsidRPr="00723FD8">
        <w:rPr>
          <w:sz w:val="24"/>
          <w:szCs w:val="24"/>
        </w:rPr>
        <w:t xml:space="preserve">: </w:t>
      </w:r>
      <w:r>
        <w:rPr>
          <w:sz w:val="24"/>
          <w:szCs w:val="24"/>
        </w:rPr>
        <w:t>(2 hrs x 12 months for monthly submissions) =</w:t>
      </w:r>
      <w:r w:rsidR="00325433">
        <w:rPr>
          <w:sz w:val="24"/>
          <w:szCs w:val="24"/>
        </w:rPr>
        <w:t xml:space="preserve"> 24</w:t>
      </w:r>
      <w:r>
        <w:rPr>
          <w:sz w:val="24"/>
          <w:szCs w:val="24"/>
        </w:rPr>
        <w:t xml:space="preserve"> hours per year x 1 employee =</w:t>
      </w:r>
      <w:r w:rsidR="00325433">
        <w:rPr>
          <w:sz w:val="24"/>
          <w:szCs w:val="24"/>
        </w:rPr>
        <w:t xml:space="preserve"> 24 </w:t>
      </w:r>
      <w:r>
        <w:rPr>
          <w:sz w:val="24"/>
          <w:szCs w:val="24"/>
        </w:rPr>
        <w:t xml:space="preserve">hours at </w:t>
      </w:r>
      <w:r w:rsidR="00325433">
        <w:rPr>
          <w:sz w:val="24"/>
          <w:szCs w:val="24"/>
        </w:rPr>
        <w:t>74.51</w:t>
      </w:r>
      <w:r>
        <w:rPr>
          <w:sz w:val="24"/>
          <w:szCs w:val="24"/>
        </w:rPr>
        <w:t xml:space="preserve"> / hour = </w:t>
      </w:r>
      <w:r w:rsidRPr="00F02B87">
        <w:rPr>
          <w:b/>
          <w:sz w:val="24"/>
          <w:szCs w:val="24"/>
        </w:rPr>
        <w:t>$</w:t>
      </w:r>
      <w:r w:rsidR="00325433">
        <w:rPr>
          <w:b/>
          <w:sz w:val="24"/>
          <w:szCs w:val="24"/>
        </w:rPr>
        <w:t>1,810</w:t>
      </w:r>
    </w:p>
    <w:p w:rsidR="00B24063" w:rsidRDefault="00B24063" w:rsidP="00B24063">
      <w:pPr>
        <w:pStyle w:val="BodyTextIndent"/>
        <w:shd w:val="clear" w:color="auto" w:fill="auto"/>
        <w:suppressAutoHyphens w:val="0"/>
        <w:rPr>
          <w:sz w:val="24"/>
          <w:szCs w:val="24"/>
        </w:rPr>
      </w:pPr>
    </w:p>
    <w:p w:rsidR="00B24063" w:rsidRPr="001F1870" w:rsidRDefault="00B24063" w:rsidP="00B24063">
      <w:pPr>
        <w:pStyle w:val="BodyTextIndent"/>
        <w:shd w:val="clear" w:color="auto" w:fill="auto"/>
        <w:suppressAutoHyphens w:val="0"/>
        <w:ind w:left="1080"/>
        <w:rPr>
          <w:b/>
          <w:sz w:val="24"/>
          <w:szCs w:val="24"/>
        </w:rPr>
      </w:pPr>
      <w:r>
        <w:rPr>
          <w:b/>
          <w:sz w:val="24"/>
          <w:szCs w:val="24"/>
        </w:rPr>
        <w:t>Total = $1</w:t>
      </w:r>
      <w:r w:rsidR="00325433">
        <w:rPr>
          <w:b/>
          <w:sz w:val="24"/>
          <w:szCs w:val="24"/>
        </w:rPr>
        <w:t>7</w:t>
      </w:r>
      <w:r>
        <w:rPr>
          <w:b/>
          <w:sz w:val="24"/>
          <w:szCs w:val="24"/>
        </w:rPr>
        <w:t>,</w:t>
      </w:r>
      <w:r w:rsidR="00325433">
        <w:rPr>
          <w:b/>
          <w:sz w:val="24"/>
          <w:szCs w:val="24"/>
        </w:rPr>
        <w:t>84</w:t>
      </w:r>
      <w:r>
        <w:rPr>
          <w:b/>
          <w:sz w:val="24"/>
          <w:szCs w:val="24"/>
        </w:rPr>
        <w:t>0 per year</w:t>
      </w:r>
    </w:p>
    <w:p w:rsidR="00B24063" w:rsidRPr="00E87BD8" w:rsidRDefault="00B24063" w:rsidP="00B24063">
      <w:pPr>
        <w:shd w:val="clear" w:color="auto" w:fill="auto"/>
        <w:ind w:left="0"/>
      </w:pPr>
    </w:p>
    <w:p w:rsidR="00B24063" w:rsidRPr="00E87BD8" w:rsidRDefault="00B24063" w:rsidP="00B24063">
      <w:pPr>
        <w:shd w:val="clear" w:color="auto" w:fill="auto"/>
        <w:tabs>
          <w:tab w:val="left" w:pos="-720"/>
        </w:tabs>
        <w:rPr>
          <w:highlight w:val="yellow"/>
        </w:rPr>
      </w:pPr>
    </w:p>
    <w:p w:rsidR="00B24063" w:rsidRPr="00E87BD8" w:rsidRDefault="00B24063" w:rsidP="00B24063">
      <w:pPr>
        <w:pStyle w:val="BodyText"/>
        <w:shd w:val="clear" w:color="auto" w:fill="auto"/>
        <w:tabs>
          <w:tab w:val="clear" w:pos="0"/>
          <w:tab w:val="left" w:pos="-720"/>
        </w:tabs>
        <w:rPr>
          <w:rFonts w:ascii="Times New Roman" w:hAnsi="Times New Roman"/>
          <w:szCs w:val="24"/>
        </w:rPr>
      </w:pPr>
      <w:r w:rsidRPr="00E87BD8">
        <w:rPr>
          <w:rFonts w:ascii="Times New Roman" w:hAnsi="Times New Roman"/>
          <w:szCs w:val="24"/>
        </w:rPr>
        <w:t>A.15. Explain the reasons for any program changes or adjustments to #16f of the IC Data Part 1 Form.</w:t>
      </w:r>
    </w:p>
    <w:p w:rsidR="00B24063" w:rsidRPr="00E87BD8" w:rsidRDefault="00B24063" w:rsidP="00B24063">
      <w:pPr>
        <w:shd w:val="clear" w:color="auto" w:fill="auto"/>
        <w:tabs>
          <w:tab w:val="left" w:pos="-720"/>
        </w:tabs>
      </w:pPr>
    </w:p>
    <w:p w:rsidR="009B09DB" w:rsidRDefault="00FB5F51" w:rsidP="00B24063">
      <w:pPr>
        <w:shd w:val="clear" w:color="auto" w:fill="auto"/>
        <w:tabs>
          <w:tab w:val="left" w:pos="-720"/>
        </w:tabs>
      </w:pPr>
      <w:r>
        <w:t>The burden hours have been reduced to reflect actual grantee submissions. Grantees are only required to submit responses for those application sections that are applicable to their plan</w:t>
      </w:r>
      <w:r w:rsidR="00BC613A">
        <w:t>s</w:t>
      </w:r>
      <w:r>
        <w:t xml:space="preserve">. Therefore, the application sections that do not have plans have been removed from the burden calculations. </w:t>
      </w:r>
    </w:p>
    <w:p w:rsidR="00FB5F51" w:rsidRDefault="00FB5F51" w:rsidP="00B24063">
      <w:pPr>
        <w:shd w:val="clear" w:color="auto" w:fill="auto"/>
        <w:tabs>
          <w:tab w:val="left" w:pos="-720"/>
        </w:tabs>
        <w:rPr>
          <w:i/>
          <w:iCs/>
        </w:rPr>
      </w:pPr>
    </w:p>
    <w:p w:rsidR="00B24063" w:rsidRPr="00E87BD8" w:rsidRDefault="00B24063" w:rsidP="00B24063">
      <w:pPr>
        <w:shd w:val="clear" w:color="auto" w:fill="auto"/>
        <w:tabs>
          <w:tab w:val="left" w:pos="-720"/>
        </w:tabs>
        <w:rPr>
          <w:i/>
          <w:iCs/>
        </w:rPr>
      </w:pPr>
      <w:r w:rsidRPr="00E87BD8">
        <w:rPr>
          <w:i/>
          <w:iCs/>
        </w:rPr>
        <w:t xml:space="preserve">A.16. </w:t>
      </w:r>
      <w:r w:rsidRPr="00E87BD8">
        <w:rPr>
          <w:rStyle w:val="a"/>
          <w:i/>
          <w:iCs/>
        </w:rPr>
        <w:t xml:space="preserve">For collections of </w:t>
      </w:r>
      <w:proofErr w:type="gramStart"/>
      <w:r w:rsidRPr="00E87BD8">
        <w:rPr>
          <w:rStyle w:val="a"/>
          <w:i/>
          <w:iCs/>
        </w:rPr>
        <w:t>information</w:t>
      </w:r>
      <w:proofErr w:type="gramEnd"/>
      <w:r w:rsidRPr="00E87BD8">
        <w:rPr>
          <w:rStyle w:val="a"/>
          <w:i/>
          <w:iCs/>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pPr>
      <w:r w:rsidRPr="00E87BD8">
        <w:t xml:space="preserve">Some of the information collected in this </w:t>
      </w:r>
      <w:r>
        <w:t>program review</w:t>
      </w:r>
      <w:r w:rsidRPr="00E87BD8">
        <w:t xml:space="preserve"> may be analyzed with performance data and shared on a government website such as recovery.gov or ed.gov.</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rPr>
          <w:i/>
          <w:iCs/>
        </w:rPr>
      </w:pPr>
      <w:r w:rsidRPr="00E87BD8">
        <w:rPr>
          <w:i/>
          <w:iCs/>
        </w:rPr>
        <w:t xml:space="preserve">A.17. </w:t>
      </w:r>
      <w:r w:rsidRPr="00E87BD8">
        <w:rPr>
          <w:rStyle w:val="a"/>
          <w:i/>
          <w:iCs/>
        </w:rPr>
        <w:t>If seeking approval to not display the expiration date for OMB approval of the information collection, explain the reasons that display would be inappropriate.</w:t>
      </w:r>
    </w:p>
    <w:p w:rsidR="00B24063" w:rsidRPr="00E87BD8" w:rsidRDefault="00B24063" w:rsidP="00B24063">
      <w:pPr>
        <w:pStyle w:val="EndnoteText"/>
        <w:shd w:val="clear" w:color="auto" w:fill="auto"/>
      </w:pPr>
    </w:p>
    <w:p w:rsidR="00B24063" w:rsidRPr="009D2B94" w:rsidRDefault="009D2B94" w:rsidP="00B24063">
      <w:pPr>
        <w:shd w:val="clear" w:color="auto" w:fill="auto"/>
        <w:tabs>
          <w:tab w:val="left" w:pos="-720"/>
        </w:tabs>
        <w:rPr>
          <w:color w:val="auto"/>
        </w:rPr>
      </w:pPr>
      <w:r w:rsidRPr="009D2B94">
        <w:rPr>
          <w:color w:val="auto"/>
        </w:rPr>
        <w:t>There are no exceptions to the certification statement.</w:t>
      </w:r>
    </w:p>
    <w:p w:rsidR="009D2B94" w:rsidRPr="00E87BD8" w:rsidRDefault="009D2B94" w:rsidP="00B24063">
      <w:pPr>
        <w:shd w:val="clear" w:color="auto" w:fill="auto"/>
        <w:tabs>
          <w:tab w:val="left" w:pos="-720"/>
        </w:tabs>
      </w:pPr>
    </w:p>
    <w:p w:rsidR="00B24063" w:rsidRPr="00E87BD8" w:rsidRDefault="00B24063" w:rsidP="00B24063">
      <w:pPr>
        <w:shd w:val="clear" w:color="auto" w:fill="auto"/>
        <w:tabs>
          <w:tab w:val="left" w:pos="-720"/>
        </w:tabs>
        <w:rPr>
          <w:i/>
          <w:iCs/>
        </w:rPr>
      </w:pPr>
      <w:r w:rsidRPr="00E87BD8">
        <w:rPr>
          <w:i/>
          <w:iCs/>
        </w:rPr>
        <w:t xml:space="preserve">A18. </w:t>
      </w:r>
      <w:r w:rsidRPr="00E87BD8">
        <w:rPr>
          <w:rStyle w:val="a"/>
          <w:i/>
          <w:iCs/>
        </w:rPr>
        <w:t>Explain each exception to the certification statement identified in Item 20, “Certification for Paperwork Reduction Act Submissions,” of OMB Form 83-I.</w:t>
      </w:r>
    </w:p>
    <w:p w:rsidR="00B24063" w:rsidRPr="00E87BD8" w:rsidRDefault="00B24063" w:rsidP="00B24063">
      <w:pPr>
        <w:shd w:val="clear" w:color="auto" w:fill="auto"/>
        <w:tabs>
          <w:tab w:val="left" w:pos="-720"/>
        </w:tabs>
      </w:pPr>
    </w:p>
    <w:p w:rsidR="00B24063" w:rsidRPr="00E87BD8" w:rsidRDefault="00B24063" w:rsidP="00B24063">
      <w:pPr>
        <w:shd w:val="clear" w:color="auto" w:fill="auto"/>
      </w:pPr>
      <w:r>
        <w:t>The Department is requesting an</w:t>
      </w:r>
      <w:r w:rsidRPr="00E87BD8">
        <w:t xml:space="preserve"> exception to </w:t>
      </w:r>
      <w:r>
        <w:t>the provision certifying a reduction in burden for small entities because the provision does not apply. Additionally, the provision for certifying the use of effective and efficient statistical survey methodology does not apply to this proposed action.</w:t>
      </w:r>
    </w:p>
    <w:p w:rsidR="00B24063" w:rsidRPr="00E87BD8" w:rsidRDefault="00B24063" w:rsidP="00B24063">
      <w:pPr>
        <w:shd w:val="clear" w:color="auto" w:fill="auto"/>
        <w:tabs>
          <w:tab w:val="left" w:pos="-720"/>
        </w:tabs>
      </w:pPr>
    </w:p>
    <w:p w:rsidR="00B24063" w:rsidRPr="00E87BD8" w:rsidRDefault="00B24063" w:rsidP="00B24063">
      <w:pPr>
        <w:pStyle w:val="EndnoteText"/>
        <w:shd w:val="clear" w:color="auto" w:fill="auto"/>
      </w:pPr>
    </w:p>
    <w:p w:rsidR="00B24063" w:rsidRPr="00E87BD8" w:rsidRDefault="00B24063" w:rsidP="00B24063">
      <w:pPr>
        <w:pStyle w:val="EndnoteText"/>
        <w:shd w:val="clear" w:color="auto" w:fill="auto"/>
        <w:rPr>
          <w:b/>
          <w:bCs/>
        </w:rPr>
      </w:pPr>
      <w:r w:rsidRPr="00E87BD8">
        <w:rPr>
          <w:b/>
          <w:bCs/>
        </w:rPr>
        <w:t>B. COLLECTION OF INFORMATION EMPLOYING STATISTICAL METHODS</w:t>
      </w:r>
    </w:p>
    <w:p w:rsidR="00B24063" w:rsidRPr="00E87BD8" w:rsidRDefault="00B24063" w:rsidP="00B24063">
      <w:pPr>
        <w:pStyle w:val="EndnoteText"/>
        <w:shd w:val="clear" w:color="auto" w:fill="auto"/>
      </w:pPr>
    </w:p>
    <w:p w:rsidR="00B24063" w:rsidRPr="00E87BD8" w:rsidRDefault="00B24063" w:rsidP="00B24063">
      <w:pPr>
        <w:pStyle w:val="EndnoteText"/>
        <w:shd w:val="clear" w:color="auto" w:fill="auto"/>
      </w:pPr>
      <w:r w:rsidRPr="00E87BD8">
        <w:t>This information collection does not employ statistical methods.</w:t>
      </w:r>
    </w:p>
    <w:p w:rsidR="00B24063" w:rsidRPr="00E87BD8" w:rsidRDefault="00B24063" w:rsidP="00B24063">
      <w:pPr>
        <w:shd w:val="clear" w:color="auto" w:fill="auto"/>
        <w:tabs>
          <w:tab w:val="left" w:pos="-720"/>
        </w:tabs>
      </w:pPr>
    </w:p>
    <w:p w:rsidR="00B24063" w:rsidRPr="00E87BD8" w:rsidRDefault="00B24063" w:rsidP="00B24063">
      <w:pPr>
        <w:shd w:val="clear" w:color="auto" w:fill="auto"/>
        <w:tabs>
          <w:tab w:val="left" w:pos="-720"/>
        </w:tabs>
      </w:pPr>
    </w:p>
    <w:sectPr w:rsidR="00B24063" w:rsidRPr="00E87BD8" w:rsidSect="00B24063">
      <w:headerReference w:type="default" r:id="rId9"/>
      <w:footerReference w:type="default" r:id="rId10"/>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AEC" w:rsidRDefault="00091AEC" w:rsidP="00B24063"/>
  </w:endnote>
  <w:endnote w:type="continuationSeparator" w:id="0">
    <w:p w:rsidR="00091AEC" w:rsidRDefault="00091AEC" w:rsidP="00B24063">
      <w:r>
        <w:t xml:space="preserve"> </w:t>
      </w:r>
    </w:p>
  </w:endnote>
  <w:endnote w:type="continuationNotice" w:id="1">
    <w:p w:rsidR="00091AEC" w:rsidRDefault="00091AEC" w:rsidP="00B2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MT">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AEC" w:rsidRDefault="00731B06" w:rsidP="00B24063">
    <w:pPr>
      <w:shd w:val="clear" w:color="auto" w:fill="auto"/>
      <w:tabs>
        <w:tab w:val="left" w:pos="0"/>
      </w:tabs>
      <w:ind w:left="0"/>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91AEC" w:rsidRDefault="00091AEC" w:rsidP="00B24063">
                          <w:pPr>
                            <w:shd w:val="clear" w:color="auto" w:fill="auto"/>
                            <w:tabs>
                              <w:tab w:val="center" w:pos="4650"/>
                            </w:tabs>
                            <w:jc w:val="both"/>
                          </w:pPr>
                          <w:r>
                            <w:tab/>
                          </w:r>
                          <w:r w:rsidR="00325433">
                            <w:fldChar w:fldCharType="begin"/>
                          </w:r>
                          <w:r w:rsidR="00325433">
                            <w:instrText>page \* arabic</w:instrText>
                          </w:r>
                          <w:r w:rsidR="00325433">
                            <w:fldChar w:fldCharType="separate"/>
                          </w:r>
                          <w:r w:rsidR="00A340EF">
                            <w:rPr>
                              <w:noProof/>
                            </w:rPr>
                            <w:t>4</w:t>
                          </w:r>
                          <w:r w:rsidR="0032543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091AEC" w:rsidRDefault="00091AEC" w:rsidP="00B24063">
                    <w:pPr>
                      <w:shd w:val="clear" w:color="auto" w:fill="auto"/>
                      <w:tabs>
                        <w:tab w:val="center" w:pos="4650"/>
                      </w:tabs>
                      <w:jc w:val="both"/>
                    </w:pPr>
                    <w:r>
                      <w:tab/>
                    </w:r>
                    <w:r w:rsidR="00325433">
                      <w:fldChar w:fldCharType="begin"/>
                    </w:r>
                    <w:r w:rsidR="00325433">
                      <w:instrText>page \* arabic</w:instrText>
                    </w:r>
                    <w:r w:rsidR="00325433">
                      <w:fldChar w:fldCharType="separate"/>
                    </w:r>
                    <w:r w:rsidR="00A340EF">
                      <w:rPr>
                        <w:noProof/>
                      </w:rPr>
                      <w:t>4</w:t>
                    </w:r>
                    <w:r w:rsidR="0032543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AEC" w:rsidRDefault="00091AEC" w:rsidP="00B24063">
      <w:r>
        <w:separator/>
      </w:r>
    </w:p>
  </w:footnote>
  <w:footnote w:type="continuationSeparator" w:id="0">
    <w:p w:rsidR="00091AEC" w:rsidRDefault="00091AEC" w:rsidP="00B2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AEC" w:rsidRDefault="00091AEC" w:rsidP="00B24063">
    <w:pPr>
      <w:pStyle w:val="Header"/>
      <w:shd w:val="clear" w:color="auto" w:fill="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F27092A"/>
    <w:multiLevelType w:val="hybridMultilevel"/>
    <w:tmpl w:val="00D0A7C4"/>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8012A7BA">
      <w:start w:val="1"/>
      <w:numFmt w:val="upperLetter"/>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4A6686"/>
    <w:multiLevelType w:val="hybridMultilevel"/>
    <w:tmpl w:val="FEBC02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nsid w:val="784D6EAC"/>
    <w:multiLevelType w:val="hybridMultilevel"/>
    <w:tmpl w:val="21C8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7"/>
  </w:num>
  <w:num w:numId="4">
    <w:abstractNumId w:val="13"/>
  </w:num>
  <w:num w:numId="5">
    <w:abstractNumId w:val="2"/>
  </w:num>
  <w:num w:numId="6">
    <w:abstractNumId w:val="3"/>
  </w:num>
  <w:num w:numId="7">
    <w:abstractNumId w:val="10"/>
  </w:num>
  <w:num w:numId="8">
    <w:abstractNumId w:val="9"/>
  </w:num>
  <w:num w:numId="9">
    <w:abstractNumId w:val="11"/>
  </w:num>
  <w:num w:numId="10">
    <w:abstractNumId w:val="5"/>
  </w:num>
  <w:num w:numId="11">
    <w:abstractNumId w:val="1"/>
  </w:num>
  <w:num w:numId="12">
    <w:abstractNumId w:val="4"/>
  </w:num>
  <w:num w:numId="13">
    <w:abstractNumId w:val="14"/>
  </w:num>
  <w:num w:numId="14">
    <w:abstractNumId w:val="6"/>
  </w:num>
  <w:num w:numId="15">
    <w:abstractNumId w:val="1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0E"/>
    <w:rsid w:val="0002286E"/>
    <w:rsid w:val="00080F24"/>
    <w:rsid w:val="00091AEC"/>
    <w:rsid w:val="000A3126"/>
    <w:rsid w:val="000D0CCD"/>
    <w:rsid w:val="00101933"/>
    <w:rsid w:val="00127042"/>
    <w:rsid w:val="00195BC6"/>
    <w:rsid w:val="001A3E5E"/>
    <w:rsid w:val="00271B53"/>
    <w:rsid w:val="002D030E"/>
    <w:rsid w:val="002F7B2A"/>
    <w:rsid w:val="00325433"/>
    <w:rsid w:val="003713D2"/>
    <w:rsid w:val="0041665E"/>
    <w:rsid w:val="00420BE5"/>
    <w:rsid w:val="00501711"/>
    <w:rsid w:val="00513FE3"/>
    <w:rsid w:val="0052400B"/>
    <w:rsid w:val="005A3EF7"/>
    <w:rsid w:val="006050C3"/>
    <w:rsid w:val="006223B3"/>
    <w:rsid w:val="006711D1"/>
    <w:rsid w:val="006C2991"/>
    <w:rsid w:val="006E0669"/>
    <w:rsid w:val="006E0987"/>
    <w:rsid w:val="007038D3"/>
    <w:rsid w:val="00725ADF"/>
    <w:rsid w:val="00731B06"/>
    <w:rsid w:val="00740C35"/>
    <w:rsid w:val="0075592D"/>
    <w:rsid w:val="007A4B6B"/>
    <w:rsid w:val="007E740E"/>
    <w:rsid w:val="00800A84"/>
    <w:rsid w:val="00803782"/>
    <w:rsid w:val="00852379"/>
    <w:rsid w:val="00867049"/>
    <w:rsid w:val="008C3DAD"/>
    <w:rsid w:val="009120F6"/>
    <w:rsid w:val="00920D16"/>
    <w:rsid w:val="009A66AA"/>
    <w:rsid w:val="009B09DB"/>
    <w:rsid w:val="009C0DED"/>
    <w:rsid w:val="009D2469"/>
    <w:rsid w:val="009D2B94"/>
    <w:rsid w:val="00A2140D"/>
    <w:rsid w:val="00A24109"/>
    <w:rsid w:val="00A340EF"/>
    <w:rsid w:val="00A45EFE"/>
    <w:rsid w:val="00A86E6D"/>
    <w:rsid w:val="00AE0D64"/>
    <w:rsid w:val="00AE22FF"/>
    <w:rsid w:val="00AF628B"/>
    <w:rsid w:val="00B1225E"/>
    <w:rsid w:val="00B24063"/>
    <w:rsid w:val="00BB7FD0"/>
    <w:rsid w:val="00BC613A"/>
    <w:rsid w:val="00C26152"/>
    <w:rsid w:val="00C432AB"/>
    <w:rsid w:val="00C87836"/>
    <w:rsid w:val="00CC4476"/>
    <w:rsid w:val="00CE3CF0"/>
    <w:rsid w:val="00DE4B3F"/>
    <w:rsid w:val="00DF69E0"/>
    <w:rsid w:val="00E22F87"/>
    <w:rsid w:val="00E709AF"/>
    <w:rsid w:val="00E87AF3"/>
    <w:rsid w:val="00EF164F"/>
    <w:rsid w:val="00F527EE"/>
    <w:rsid w:val="00FB25C6"/>
    <w:rsid w:val="00FB5F51"/>
    <w:rsid w:val="00FC5C88"/>
    <w:rsid w:val="00FD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B4"/>
    <w:pPr>
      <w:shd w:val="clear" w:color="auto" w:fill="FFFF00"/>
      <w:suppressAutoHyphens/>
      <w:ind w:left="720"/>
    </w:pPr>
    <w:rPr>
      <w:color w:val="000000"/>
      <w:sz w:val="24"/>
    </w:rPr>
  </w:style>
  <w:style w:type="paragraph" w:styleId="Heading1">
    <w:name w:val="heading 1"/>
    <w:basedOn w:val="Normal"/>
    <w:next w:val="Normal"/>
    <w:qFormat/>
    <w:rsid w:val="004C6F8C"/>
    <w:pPr>
      <w:keepNext/>
      <w:outlineLvl w:val="0"/>
    </w:pPr>
    <w:rPr>
      <w:u w:val="single"/>
    </w:rPr>
  </w:style>
  <w:style w:type="paragraph" w:styleId="Heading3">
    <w:name w:val="heading 3"/>
    <w:basedOn w:val="Normal"/>
    <w:next w:val="Normal"/>
    <w:qFormat/>
    <w:rsid w:val="004C6F8C"/>
    <w:pPr>
      <w:keepNext/>
      <w:spacing w:line="480" w:lineRule="exact"/>
      <w:outlineLvl w:val="2"/>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C6F8C"/>
    <w:pPr>
      <w:tabs>
        <w:tab w:val="left" w:pos="-720"/>
      </w:tabs>
    </w:pPr>
  </w:style>
  <w:style w:type="character" w:styleId="EndnoteReference">
    <w:name w:val="endnote reference"/>
    <w:basedOn w:val="DefaultParagraphFont"/>
    <w:semiHidden/>
    <w:rsid w:val="004C6F8C"/>
    <w:rPr>
      <w:rFonts w:ascii="Courier" w:hAnsi="Courier"/>
      <w:noProof w:val="0"/>
      <w:sz w:val="24"/>
      <w:vertAlign w:val="superscript"/>
      <w:lang w:val="en-US"/>
    </w:rPr>
  </w:style>
  <w:style w:type="paragraph" w:styleId="FootnoteText">
    <w:name w:val="footnote text"/>
    <w:basedOn w:val="Normal"/>
    <w:semiHidden/>
    <w:rsid w:val="004C6F8C"/>
    <w:pPr>
      <w:tabs>
        <w:tab w:val="left" w:pos="-720"/>
      </w:tabs>
    </w:pPr>
  </w:style>
  <w:style w:type="character" w:styleId="FootnoteReference">
    <w:name w:val="footnote reference"/>
    <w:basedOn w:val="DefaultParagraphFont"/>
    <w:semiHidden/>
    <w:rsid w:val="004C6F8C"/>
    <w:rPr>
      <w:rFonts w:ascii="Courier" w:hAnsi="Courier"/>
      <w:noProof w:val="0"/>
      <w:sz w:val="24"/>
      <w:vertAlign w:val="superscript"/>
      <w:lang w:val="en-US"/>
    </w:rPr>
  </w:style>
  <w:style w:type="character" w:customStyle="1" w:styleId="DefaultParagraphFo">
    <w:name w:val="Default Paragraph Fo"/>
    <w:basedOn w:val="DefaultParagraphFont"/>
    <w:rsid w:val="004C6F8C"/>
  </w:style>
  <w:style w:type="character" w:customStyle="1" w:styleId="EquationCaption">
    <w:name w:val="_Equation Caption"/>
    <w:basedOn w:val="DefaultParagraphFont"/>
    <w:rsid w:val="004C6F8C"/>
  </w:style>
  <w:style w:type="paragraph" w:styleId="Footer">
    <w:name w:val="footer"/>
    <w:basedOn w:val="Normal"/>
    <w:rsid w:val="004C6F8C"/>
    <w:pPr>
      <w:tabs>
        <w:tab w:val="left" w:pos="0"/>
        <w:tab w:val="center" w:pos="4320"/>
        <w:tab w:val="right" w:pos="8640"/>
      </w:tabs>
    </w:pPr>
  </w:style>
  <w:style w:type="paragraph" w:styleId="Header">
    <w:name w:val="header"/>
    <w:basedOn w:val="Normal"/>
    <w:rsid w:val="004C6F8C"/>
    <w:pPr>
      <w:tabs>
        <w:tab w:val="left" w:pos="0"/>
        <w:tab w:val="left" w:pos="360"/>
        <w:tab w:val="right" w:pos="9000"/>
        <w:tab w:val="left" w:pos="9360"/>
      </w:tabs>
    </w:pPr>
  </w:style>
  <w:style w:type="character" w:styleId="PageNumber">
    <w:name w:val="page number"/>
    <w:basedOn w:val="DefaultParagraphFont"/>
    <w:rsid w:val="004C6F8C"/>
  </w:style>
  <w:style w:type="character" w:customStyle="1" w:styleId="EquationCaption1">
    <w:name w:val="_Equation Caption1"/>
    <w:basedOn w:val="DefaultParagraphFont"/>
    <w:rsid w:val="004C6F8C"/>
  </w:style>
  <w:style w:type="paragraph" w:styleId="TOC1">
    <w:name w:val="toc 1"/>
    <w:basedOn w:val="Normal"/>
    <w:next w:val="Normal"/>
    <w:semiHidden/>
    <w:rsid w:val="004C6F8C"/>
    <w:pPr>
      <w:tabs>
        <w:tab w:val="right" w:leader="dot" w:pos="9360"/>
      </w:tabs>
      <w:spacing w:before="480"/>
      <w:ind w:right="720" w:hanging="720"/>
    </w:pPr>
  </w:style>
  <w:style w:type="paragraph" w:styleId="TOC2">
    <w:name w:val="toc 2"/>
    <w:basedOn w:val="Normal"/>
    <w:next w:val="Normal"/>
    <w:semiHidden/>
    <w:rsid w:val="004C6F8C"/>
    <w:pPr>
      <w:tabs>
        <w:tab w:val="right" w:leader="dot" w:pos="9360"/>
      </w:tabs>
      <w:ind w:left="1440" w:right="720" w:hanging="720"/>
    </w:pPr>
  </w:style>
  <w:style w:type="paragraph" w:styleId="TOC3">
    <w:name w:val="toc 3"/>
    <w:basedOn w:val="Normal"/>
    <w:next w:val="Normal"/>
    <w:semiHidden/>
    <w:rsid w:val="004C6F8C"/>
    <w:pPr>
      <w:tabs>
        <w:tab w:val="right" w:leader="dot" w:pos="9360"/>
      </w:tabs>
      <w:ind w:left="2160" w:right="720" w:hanging="720"/>
    </w:pPr>
  </w:style>
  <w:style w:type="paragraph" w:styleId="TOC4">
    <w:name w:val="toc 4"/>
    <w:basedOn w:val="Normal"/>
    <w:next w:val="Normal"/>
    <w:semiHidden/>
    <w:rsid w:val="004C6F8C"/>
    <w:pPr>
      <w:tabs>
        <w:tab w:val="right" w:leader="dot" w:pos="9360"/>
      </w:tabs>
      <w:ind w:left="2880" w:right="720" w:hanging="720"/>
    </w:pPr>
  </w:style>
  <w:style w:type="paragraph" w:styleId="TOC5">
    <w:name w:val="toc 5"/>
    <w:basedOn w:val="Normal"/>
    <w:next w:val="Normal"/>
    <w:semiHidden/>
    <w:rsid w:val="004C6F8C"/>
    <w:pPr>
      <w:tabs>
        <w:tab w:val="right" w:leader="dot" w:pos="9360"/>
      </w:tabs>
      <w:ind w:left="3600" w:right="720" w:hanging="720"/>
    </w:pPr>
  </w:style>
  <w:style w:type="paragraph" w:styleId="TOC6">
    <w:name w:val="toc 6"/>
    <w:basedOn w:val="Normal"/>
    <w:next w:val="Normal"/>
    <w:semiHidden/>
    <w:rsid w:val="004C6F8C"/>
    <w:pPr>
      <w:tabs>
        <w:tab w:val="right" w:pos="9360"/>
      </w:tabs>
      <w:ind w:hanging="720"/>
    </w:pPr>
  </w:style>
  <w:style w:type="paragraph" w:styleId="TOC7">
    <w:name w:val="toc 7"/>
    <w:basedOn w:val="Normal"/>
    <w:next w:val="Normal"/>
    <w:semiHidden/>
    <w:rsid w:val="004C6F8C"/>
    <w:pPr>
      <w:ind w:hanging="720"/>
    </w:pPr>
  </w:style>
  <w:style w:type="paragraph" w:styleId="TOC8">
    <w:name w:val="toc 8"/>
    <w:basedOn w:val="Normal"/>
    <w:next w:val="Normal"/>
    <w:semiHidden/>
    <w:rsid w:val="004C6F8C"/>
    <w:pPr>
      <w:tabs>
        <w:tab w:val="right" w:pos="9360"/>
      </w:tabs>
      <w:ind w:hanging="720"/>
    </w:pPr>
  </w:style>
  <w:style w:type="paragraph" w:styleId="TOC9">
    <w:name w:val="toc 9"/>
    <w:basedOn w:val="Normal"/>
    <w:next w:val="Normal"/>
    <w:semiHidden/>
    <w:rsid w:val="004C6F8C"/>
    <w:pPr>
      <w:tabs>
        <w:tab w:val="right" w:leader="dot" w:pos="9360"/>
      </w:tabs>
      <w:ind w:hanging="720"/>
    </w:pPr>
  </w:style>
  <w:style w:type="paragraph" w:styleId="Index1">
    <w:name w:val="index 1"/>
    <w:basedOn w:val="Normal"/>
    <w:next w:val="Normal"/>
    <w:semiHidden/>
    <w:rsid w:val="004C6F8C"/>
    <w:pPr>
      <w:tabs>
        <w:tab w:val="right" w:leader="dot" w:pos="9360"/>
      </w:tabs>
      <w:ind w:left="1440" w:right="720" w:hanging="1440"/>
    </w:pPr>
  </w:style>
  <w:style w:type="paragraph" w:styleId="Index2">
    <w:name w:val="index 2"/>
    <w:basedOn w:val="Normal"/>
    <w:next w:val="Normal"/>
    <w:semiHidden/>
    <w:rsid w:val="004C6F8C"/>
    <w:pPr>
      <w:tabs>
        <w:tab w:val="right" w:leader="dot" w:pos="9360"/>
      </w:tabs>
      <w:ind w:left="1440" w:right="720" w:hanging="720"/>
    </w:pPr>
  </w:style>
  <w:style w:type="paragraph" w:styleId="TOAHeading">
    <w:name w:val="toa heading"/>
    <w:basedOn w:val="Normal"/>
    <w:next w:val="Normal"/>
    <w:semiHidden/>
    <w:rsid w:val="004C6F8C"/>
    <w:pPr>
      <w:tabs>
        <w:tab w:val="right" w:pos="9360"/>
      </w:tabs>
    </w:pPr>
  </w:style>
  <w:style w:type="paragraph" w:styleId="Caption">
    <w:name w:val="caption"/>
    <w:basedOn w:val="Normal"/>
    <w:next w:val="Normal"/>
    <w:qFormat/>
    <w:rsid w:val="004C6F8C"/>
  </w:style>
  <w:style w:type="character" w:customStyle="1" w:styleId="EquationCaption2">
    <w:name w:val="_Equation Caption2"/>
    <w:basedOn w:val="DefaultParagraphFont"/>
    <w:rsid w:val="004C6F8C"/>
  </w:style>
  <w:style w:type="character" w:customStyle="1" w:styleId="EquationCaption3">
    <w:name w:val="_Equation Caption3"/>
    <w:rsid w:val="004C6F8C"/>
  </w:style>
  <w:style w:type="character" w:customStyle="1" w:styleId="a">
    <w:name w:val="À"/>
    <w:basedOn w:val="DefaultParagraphFont"/>
    <w:rsid w:val="004C6F8C"/>
  </w:style>
  <w:style w:type="paragraph" w:styleId="Title">
    <w:name w:val="Title"/>
    <w:basedOn w:val="Normal"/>
    <w:qFormat/>
    <w:rsid w:val="004C6F8C"/>
    <w:pPr>
      <w:spacing w:before="240" w:after="60"/>
      <w:jc w:val="center"/>
    </w:pPr>
    <w:rPr>
      <w:rFonts w:ascii="Arial" w:hAnsi="Arial"/>
      <w:b/>
      <w:kern w:val="28"/>
      <w:sz w:val="32"/>
    </w:rPr>
  </w:style>
  <w:style w:type="paragraph" w:styleId="BodyText">
    <w:name w:val="Body Text"/>
    <w:basedOn w:val="Normal"/>
    <w:rsid w:val="004C6F8C"/>
    <w:pPr>
      <w:tabs>
        <w:tab w:val="left" w:pos="0"/>
      </w:tabs>
    </w:pPr>
    <w:rPr>
      <w:rFonts w:ascii="Univers" w:hAnsi="Univers"/>
      <w:i/>
      <w:iCs/>
    </w:rPr>
  </w:style>
  <w:style w:type="character" w:styleId="Emphasis">
    <w:name w:val="Emphasis"/>
    <w:basedOn w:val="DefaultParagraphFont"/>
    <w:qFormat/>
    <w:rsid w:val="004C6F8C"/>
    <w:rPr>
      <w:i/>
    </w:rPr>
  </w:style>
  <w:style w:type="paragraph" w:styleId="BalloonText">
    <w:name w:val="Balloon Text"/>
    <w:basedOn w:val="Normal"/>
    <w:semiHidden/>
    <w:rsid w:val="004C6F8C"/>
    <w:rPr>
      <w:rFonts w:ascii="Tahoma" w:hAnsi="Tahoma" w:cs="Tahoma"/>
      <w:sz w:val="16"/>
      <w:szCs w:val="16"/>
    </w:rPr>
  </w:style>
  <w:style w:type="character" w:styleId="Hyperlink">
    <w:name w:val="Hyperlink"/>
    <w:basedOn w:val="DefaultParagraphFont"/>
    <w:rsid w:val="004C6F8C"/>
    <w:rPr>
      <w:color w:val="0000FF"/>
      <w:u w:val="single"/>
    </w:rPr>
  </w:style>
  <w:style w:type="paragraph" w:styleId="BodyTextIndent3">
    <w:name w:val="Body Text Indent 3"/>
    <w:basedOn w:val="Normal"/>
    <w:rsid w:val="004C6F8C"/>
    <w:pPr>
      <w:autoSpaceDE w:val="0"/>
      <w:autoSpaceDN w:val="0"/>
      <w:adjustRightInd w:val="0"/>
      <w:ind w:left="540" w:hanging="540"/>
    </w:pPr>
    <w:rPr>
      <w:b/>
      <w:bCs/>
      <w:szCs w:val="27"/>
    </w:rPr>
  </w:style>
  <w:style w:type="paragraph" w:styleId="BodyTextIndent">
    <w:name w:val="Body Text Indent"/>
    <w:basedOn w:val="Normal"/>
    <w:rsid w:val="004C6F8C"/>
    <w:rPr>
      <w:sz w:val="20"/>
    </w:rPr>
  </w:style>
  <w:style w:type="paragraph" w:customStyle="1" w:styleId="ParagraphSSLAST">
    <w:name w:val="ParagraphSS (LAST)"/>
    <w:basedOn w:val="Normal"/>
    <w:next w:val="Normal"/>
    <w:qFormat/>
    <w:rsid w:val="000A327D"/>
    <w:pPr>
      <w:tabs>
        <w:tab w:val="left" w:pos="432"/>
      </w:tabs>
      <w:spacing w:after="480"/>
      <w:ind w:firstLine="432"/>
      <w:jc w:val="both"/>
    </w:pPr>
    <w:rPr>
      <w:szCs w:val="24"/>
    </w:rPr>
  </w:style>
  <w:style w:type="character" w:customStyle="1" w:styleId="apple-style-span">
    <w:name w:val="apple-style-span"/>
    <w:basedOn w:val="DefaultParagraphFont"/>
    <w:rsid w:val="00D60F9F"/>
  </w:style>
  <w:style w:type="character" w:styleId="CommentReference">
    <w:name w:val="annotation reference"/>
    <w:basedOn w:val="DefaultParagraphFont"/>
    <w:uiPriority w:val="99"/>
    <w:rsid w:val="0055055C"/>
    <w:rPr>
      <w:sz w:val="16"/>
      <w:szCs w:val="16"/>
    </w:rPr>
  </w:style>
  <w:style w:type="paragraph" w:styleId="CommentText">
    <w:name w:val="annotation text"/>
    <w:basedOn w:val="Normal"/>
    <w:link w:val="CommentTextChar"/>
    <w:uiPriority w:val="99"/>
    <w:rsid w:val="0055055C"/>
    <w:rPr>
      <w:sz w:val="20"/>
    </w:rPr>
  </w:style>
  <w:style w:type="character" w:customStyle="1" w:styleId="CommentTextChar">
    <w:name w:val="Comment Text Char"/>
    <w:basedOn w:val="DefaultParagraphFont"/>
    <w:link w:val="CommentText"/>
    <w:uiPriority w:val="99"/>
    <w:rsid w:val="0055055C"/>
    <w:rPr>
      <w:rFonts w:ascii="Courier" w:hAnsi="Courier"/>
    </w:rPr>
  </w:style>
  <w:style w:type="paragraph" w:styleId="CommentSubject">
    <w:name w:val="annotation subject"/>
    <w:basedOn w:val="CommentText"/>
    <w:next w:val="CommentText"/>
    <w:link w:val="CommentSubjectChar"/>
    <w:rsid w:val="0055055C"/>
    <w:rPr>
      <w:b/>
      <w:bCs/>
    </w:rPr>
  </w:style>
  <w:style w:type="character" w:customStyle="1" w:styleId="CommentSubjectChar">
    <w:name w:val="Comment Subject Char"/>
    <w:basedOn w:val="CommentTextChar"/>
    <w:link w:val="CommentSubject"/>
    <w:rsid w:val="0055055C"/>
    <w:rPr>
      <w:rFonts w:ascii="Courier" w:hAnsi="Courier"/>
      <w:b/>
      <w:bCs/>
    </w:rPr>
  </w:style>
  <w:style w:type="table" w:styleId="TableGrid">
    <w:name w:val="Table Grid"/>
    <w:basedOn w:val="TableNormal"/>
    <w:uiPriority w:val="59"/>
    <w:rsid w:val="0094344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3776"/>
    <w:pPr>
      <w:contextualSpacing/>
    </w:pPr>
  </w:style>
  <w:style w:type="paragraph" w:styleId="PlainText">
    <w:name w:val="Plain Text"/>
    <w:basedOn w:val="Normal"/>
    <w:link w:val="PlainTextChar"/>
    <w:uiPriority w:val="99"/>
    <w:semiHidden/>
    <w:unhideWhenUsed/>
    <w:rsid w:val="00B24063"/>
    <w:pPr>
      <w:shd w:val="clear" w:color="auto" w:fill="auto"/>
      <w:suppressAutoHyphens w:val="0"/>
      <w:ind w:left="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B24063"/>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B4"/>
    <w:pPr>
      <w:shd w:val="clear" w:color="auto" w:fill="FFFF00"/>
      <w:suppressAutoHyphens/>
      <w:ind w:left="720"/>
    </w:pPr>
    <w:rPr>
      <w:color w:val="000000"/>
      <w:sz w:val="24"/>
    </w:rPr>
  </w:style>
  <w:style w:type="paragraph" w:styleId="Heading1">
    <w:name w:val="heading 1"/>
    <w:basedOn w:val="Normal"/>
    <w:next w:val="Normal"/>
    <w:qFormat/>
    <w:rsid w:val="004C6F8C"/>
    <w:pPr>
      <w:keepNext/>
      <w:outlineLvl w:val="0"/>
    </w:pPr>
    <w:rPr>
      <w:u w:val="single"/>
    </w:rPr>
  </w:style>
  <w:style w:type="paragraph" w:styleId="Heading3">
    <w:name w:val="heading 3"/>
    <w:basedOn w:val="Normal"/>
    <w:next w:val="Normal"/>
    <w:qFormat/>
    <w:rsid w:val="004C6F8C"/>
    <w:pPr>
      <w:keepNext/>
      <w:spacing w:line="480" w:lineRule="exact"/>
      <w:outlineLvl w:val="2"/>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C6F8C"/>
    <w:pPr>
      <w:tabs>
        <w:tab w:val="left" w:pos="-720"/>
      </w:tabs>
    </w:pPr>
  </w:style>
  <w:style w:type="character" w:styleId="EndnoteReference">
    <w:name w:val="endnote reference"/>
    <w:basedOn w:val="DefaultParagraphFont"/>
    <w:semiHidden/>
    <w:rsid w:val="004C6F8C"/>
    <w:rPr>
      <w:rFonts w:ascii="Courier" w:hAnsi="Courier"/>
      <w:noProof w:val="0"/>
      <w:sz w:val="24"/>
      <w:vertAlign w:val="superscript"/>
      <w:lang w:val="en-US"/>
    </w:rPr>
  </w:style>
  <w:style w:type="paragraph" w:styleId="FootnoteText">
    <w:name w:val="footnote text"/>
    <w:basedOn w:val="Normal"/>
    <w:semiHidden/>
    <w:rsid w:val="004C6F8C"/>
    <w:pPr>
      <w:tabs>
        <w:tab w:val="left" w:pos="-720"/>
      </w:tabs>
    </w:pPr>
  </w:style>
  <w:style w:type="character" w:styleId="FootnoteReference">
    <w:name w:val="footnote reference"/>
    <w:basedOn w:val="DefaultParagraphFont"/>
    <w:semiHidden/>
    <w:rsid w:val="004C6F8C"/>
    <w:rPr>
      <w:rFonts w:ascii="Courier" w:hAnsi="Courier"/>
      <w:noProof w:val="0"/>
      <w:sz w:val="24"/>
      <w:vertAlign w:val="superscript"/>
      <w:lang w:val="en-US"/>
    </w:rPr>
  </w:style>
  <w:style w:type="character" w:customStyle="1" w:styleId="DefaultParagraphFo">
    <w:name w:val="Default Paragraph Fo"/>
    <w:basedOn w:val="DefaultParagraphFont"/>
    <w:rsid w:val="004C6F8C"/>
  </w:style>
  <w:style w:type="character" w:customStyle="1" w:styleId="EquationCaption">
    <w:name w:val="_Equation Caption"/>
    <w:basedOn w:val="DefaultParagraphFont"/>
    <w:rsid w:val="004C6F8C"/>
  </w:style>
  <w:style w:type="paragraph" w:styleId="Footer">
    <w:name w:val="footer"/>
    <w:basedOn w:val="Normal"/>
    <w:rsid w:val="004C6F8C"/>
    <w:pPr>
      <w:tabs>
        <w:tab w:val="left" w:pos="0"/>
        <w:tab w:val="center" w:pos="4320"/>
        <w:tab w:val="right" w:pos="8640"/>
      </w:tabs>
    </w:pPr>
  </w:style>
  <w:style w:type="paragraph" w:styleId="Header">
    <w:name w:val="header"/>
    <w:basedOn w:val="Normal"/>
    <w:rsid w:val="004C6F8C"/>
    <w:pPr>
      <w:tabs>
        <w:tab w:val="left" w:pos="0"/>
        <w:tab w:val="left" w:pos="360"/>
        <w:tab w:val="right" w:pos="9000"/>
        <w:tab w:val="left" w:pos="9360"/>
      </w:tabs>
    </w:pPr>
  </w:style>
  <w:style w:type="character" w:styleId="PageNumber">
    <w:name w:val="page number"/>
    <w:basedOn w:val="DefaultParagraphFont"/>
    <w:rsid w:val="004C6F8C"/>
  </w:style>
  <w:style w:type="character" w:customStyle="1" w:styleId="EquationCaption1">
    <w:name w:val="_Equation Caption1"/>
    <w:basedOn w:val="DefaultParagraphFont"/>
    <w:rsid w:val="004C6F8C"/>
  </w:style>
  <w:style w:type="paragraph" w:styleId="TOC1">
    <w:name w:val="toc 1"/>
    <w:basedOn w:val="Normal"/>
    <w:next w:val="Normal"/>
    <w:semiHidden/>
    <w:rsid w:val="004C6F8C"/>
    <w:pPr>
      <w:tabs>
        <w:tab w:val="right" w:leader="dot" w:pos="9360"/>
      </w:tabs>
      <w:spacing w:before="480"/>
      <w:ind w:right="720" w:hanging="720"/>
    </w:pPr>
  </w:style>
  <w:style w:type="paragraph" w:styleId="TOC2">
    <w:name w:val="toc 2"/>
    <w:basedOn w:val="Normal"/>
    <w:next w:val="Normal"/>
    <w:semiHidden/>
    <w:rsid w:val="004C6F8C"/>
    <w:pPr>
      <w:tabs>
        <w:tab w:val="right" w:leader="dot" w:pos="9360"/>
      </w:tabs>
      <w:ind w:left="1440" w:right="720" w:hanging="720"/>
    </w:pPr>
  </w:style>
  <w:style w:type="paragraph" w:styleId="TOC3">
    <w:name w:val="toc 3"/>
    <w:basedOn w:val="Normal"/>
    <w:next w:val="Normal"/>
    <w:semiHidden/>
    <w:rsid w:val="004C6F8C"/>
    <w:pPr>
      <w:tabs>
        <w:tab w:val="right" w:leader="dot" w:pos="9360"/>
      </w:tabs>
      <w:ind w:left="2160" w:right="720" w:hanging="720"/>
    </w:pPr>
  </w:style>
  <w:style w:type="paragraph" w:styleId="TOC4">
    <w:name w:val="toc 4"/>
    <w:basedOn w:val="Normal"/>
    <w:next w:val="Normal"/>
    <w:semiHidden/>
    <w:rsid w:val="004C6F8C"/>
    <w:pPr>
      <w:tabs>
        <w:tab w:val="right" w:leader="dot" w:pos="9360"/>
      </w:tabs>
      <w:ind w:left="2880" w:right="720" w:hanging="720"/>
    </w:pPr>
  </w:style>
  <w:style w:type="paragraph" w:styleId="TOC5">
    <w:name w:val="toc 5"/>
    <w:basedOn w:val="Normal"/>
    <w:next w:val="Normal"/>
    <w:semiHidden/>
    <w:rsid w:val="004C6F8C"/>
    <w:pPr>
      <w:tabs>
        <w:tab w:val="right" w:leader="dot" w:pos="9360"/>
      </w:tabs>
      <w:ind w:left="3600" w:right="720" w:hanging="720"/>
    </w:pPr>
  </w:style>
  <w:style w:type="paragraph" w:styleId="TOC6">
    <w:name w:val="toc 6"/>
    <w:basedOn w:val="Normal"/>
    <w:next w:val="Normal"/>
    <w:semiHidden/>
    <w:rsid w:val="004C6F8C"/>
    <w:pPr>
      <w:tabs>
        <w:tab w:val="right" w:pos="9360"/>
      </w:tabs>
      <w:ind w:hanging="720"/>
    </w:pPr>
  </w:style>
  <w:style w:type="paragraph" w:styleId="TOC7">
    <w:name w:val="toc 7"/>
    <w:basedOn w:val="Normal"/>
    <w:next w:val="Normal"/>
    <w:semiHidden/>
    <w:rsid w:val="004C6F8C"/>
    <w:pPr>
      <w:ind w:hanging="720"/>
    </w:pPr>
  </w:style>
  <w:style w:type="paragraph" w:styleId="TOC8">
    <w:name w:val="toc 8"/>
    <w:basedOn w:val="Normal"/>
    <w:next w:val="Normal"/>
    <w:semiHidden/>
    <w:rsid w:val="004C6F8C"/>
    <w:pPr>
      <w:tabs>
        <w:tab w:val="right" w:pos="9360"/>
      </w:tabs>
      <w:ind w:hanging="720"/>
    </w:pPr>
  </w:style>
  <w:style w:type="paragraph" w:styleId="TOC9">
    <w:name w:val="toc 9"/>
    <w:basedOn w:val="Normal"/>
    <w:next w:val="Normal"/>
    <w:semiHidden/>
    <w:rsid w:val="004C6F8C"/>
    <w:pPr>
      <w:tabs>
        <w:tab w:val="right" w:leader="dot" w:pos="9360"/>
      </w:tabs>
      <w:ind w:hanging="720"/>
    </w:pPr>
  </w:style>
  <w:style w:type="paragraph" w:styleId="Index1">
    <w:name w:val="index 1"/>
    <w:basedOn w:val="Normal"/>
    <w:next w:val="Normal"/>
    <w:semiHidden/>
    <w:rsid w:val="004C6F8C"/>
    <w:pPr>
      <w:tabs>
        <w:tab w:val="right" w:leader="dot" w:pos="9360"/>
      </w:tabs>
      <w:ind w:left="1440" w:right="720" w:hanging="1440"/>
    </w:pPr>
  </w:style>
  <w:style w:type="paragraph" w:styleId="Index2">
    <w:name w:val="index 2"/>
    <w:basedOn w:val="Normal"/>
    <w:next w:val="Normal"/>
    <w:semiHidden/>
    <w:rsid w:val="004C6F8C"/>
    <w:pPr>
      <w:tabs>
        <w:tab w:val="right" w:leader="dot" w:pos="9360"/>
      </w:tabs>
      <w:ind w:left="1440" w:right="720" w:hanging="720"/>
    </w:pPr>
  </w:style>
  <w:style w:type="paragraph" w:styleId="TOAHeading">
    <w:name w:val="toa heading"/>
    <w:basedOn w:val="Normal"/>
    <w:next w:val="Normal"/>
    <w:semiHidden/>
    <w:rsid w:val="004C6F8C"/>
    <w:pPr>
      <w:tabs>
        <w:tab w:val="right" w:pos="9360"/>
      </w:tabs>
    </w:pPr>
  </w:style>
  <w:style w:type="paragraph" w:styleId="Caption">
    <w:name w:val="caption"/>
    <w:basedOn w:val="Normal"/>
    <w:next w:val="Normal"/>
    <w:qFormat/>
    <w:rsid w:val="004C6F8C"/>
  </w:style>
  <w:style w:type="character" w:customStyle="1" w:styleId="EquationCaption2">
    <w:name w:val="_Equation Caption2"/>
    <w:basedOn w:val="DefaultParagraphFont"/>
    <w:rsid w:val="004C6F8C"/>
  </w:style>
  <w:style w:type="character" w:customStyle="1" w:styleId="EquationCaption3">
    <w:name w:val="_Equation Caption3"/>
    <w:rsid w:val="004C6F8C"/>
  </w:style>
  <w:style w:type="character" w:customStyle="1" w:styleId="a">
    <w:name w:val="À"/>
    <w:basedOn w:val="DefaultParagraphFont"/>
    <w:rsid w:val="004C6F8C"/>
  </w:style>
  <w:style w:type="paragraph" w:styleId="Title">
    <w:name w:val="Title"/>
    <w:basedOn w:val="Normal"/>
    <w:qFormat/>
    <w:rsid w:val="004C6F8C"/>
    <w:pPr>
      <w:spacing w:before="240" w:after="60"/>
      <w:jc w:val="center"/>
    </w:pPr>
    <w:rPr>
      <w:rFonts w:ascii="Arial" w:hAnsi="Arial"/>
      <w:b/>
      <w:kern w:val="28"/>
      <w:sz w:val="32"/>
    </w:rPr>
  </w:style>
  <w:style w:type="paragraph" w:styleId="BodyText">
    <w:name w:val="Body Text"/>
    <w:basedOn w:val="Normal"/>
    <w:rsid w:val="004C6F8C"/>
    <w:pPr>
      <w:tabs>
        <w:tab w:val="left" w:pos="0"/>
      </w:tabs>
    </w:pPr>
    <w:rPr>
      <w:rFonts w:ascii="Univers" w:hAnsi="Univers"/>
      <w:i/>
      <w:iCs/>
    </w:rPr>
  </w:style>
  <w:style w:type="character" w:styleId="Emphasis">
    <w:name w:val="Emphasis"/>
    <w:basedOn w:val="DefaultParagraphFont"/>
    <w:qFormat/>
    <w:rsid w:val="004C6F8C"/>
    <w:rPr>
      <w:i/>
    </w:rPr>
  </w:style>
  <w:style w:type="paragraph" w:styleId="BalloonText">
    <w:name w:val="Balloon Text"/>
    <w:basedOn w:val="Normal"/>
    <w:semiHidden/>
    <w:rsid w:val="004C6F8C"/>
    <w:rPr>
      <w:rFonts w:ascii="Tahoma" w:hAnsi="Tahoma" w:cs="Tahoma"/>
      <w:sz w:val="16"/>
      <w:szCs w:val="16"/>
    </w:rPr>
  </w:style>
  <w:style w:type="character" w:styleId="Hyperlink">
    <w:name w:val="Hyperlink"/>
    <w:basedOn w:val="DefaultParagraphFont"/>
    <w:rsid w:val="004C6F8C"/>
    <w:rPr>
      <w:color w:val="0000FF"/>
      <w:u w:val="single"/>
    </w:rPr>
  </w:style>
  <w:style w:type="paragraph" w:styleId="BodyTextIndent3">
    <w:name w:val="Body Text Indent 3"/>
    <w:basedOn w:val="Normal"/>
    <w:rsid w:val="004C6F8C"/>
    <w:pPr>
      <w:autoSpaceDE w:val="0"/>
      <w:autoSpaceDN w:val="0"/>
      <w:adjustRightInd w:val="0"/>
      <w:ind w:left="540" w:hanging="540"/>
    </w:pPr>
    <w:rPr>
      <w:b/>
      <w:bCs/>
      <w:szCs w:val="27"/>
    </w:rPr>
  </w:style>
  <w:style w:type="paragraph" w:styleId="BodyTextIndent">
    <w:name w:val="Body Text Indent"/>
    <w:basedOn w:val="Normal"/>
    <w:rsid w:val="004C6F8C"/>
    <w:rPr>
      <w:sz w:val="20"/>
    </w:rPr>
  </w:style>
  <w:style w:type="paragraph" w:customStyle="1" w:styleId="ParagraphSSLAST">
    <w:name w:val="ParagraphSS (LAST)"/>
    <w:basedOn w:val="Normal"/>
    <w:next w:val="Normal"/>
    <w:qFormat/>
    <w:rsid w:val="000A327D"/>
    <w:pPr>
      <w:tabs>
        <w:tab w:val="left" w:pos="432"/>
      </w:tabs>
      <w:spacing w:after="480"/>
      <w:ind w:firstLine="432"/>
      <w:jc w:val="both"/>
    </w:pPr>
    <w:rPr>
      <w:szCs w:val="24"/>
    </w:rPr>
  </w:style>
  <w:style w:type="character" w:customStyle="1" w:styleId="apple-style-span">
    <w:name w:val="apple-style-span"/>
    <w:basedOn w:val="DefaultParagraphFont"/>
    <w:rsid w:val="00D60F9F"/>
  </w:style>
  <w:style w:type="character" w:styleId="CommentReference">
    <w:name w:val="annotation reference"/>
    <w:basedOn w:val="DefaultParagraphFont"/>
    <w:uiPriority w:val="99"/>
    <w:rsid w:val="0055055C"/>
    <w:rPr>
      <w:sz w:val="16"/>
      <w:szCs w:val="16"/>
    </w:rPr>
  </w:style>
  <w:style w:type="paragraph" w:styleId="CommentText">
    <w:name w:val="annotation text"/>
    <w:basedOn w:val="Normal"/>
    <w:link w:val="CommentTextChar"/>
    <w:uiPriority w:val="99"/>
    <w:rsid w:val="0055055C"/>
    <w:rPr>
      <w:sz w:val="20"/>
    </w:rPr>
  </w:style>
  <w:style w:type="character" w:customStyle="1" w:styleId="CommentTextChar">
    <w:name w:val="Comment Text Char"/>
    <w:basedOn w:val="DefaultParagraphFont"/>
    <w:link w:val="CommentText"/>
    <w:uiPriority w:val="99"/>
    <w:rsid w:val="0055055C"/>
    <w:rPr>
      <w:rFonts w:ascii="Courier" w:hAnsi="Courier"/>
    </w:rPr>
  </w:style>
  <w:style w:type="paragraph" w:styleId="CommentSubject">
    <w:name w:val="annotation subject"/>
    <w:basedOn w:val="CommentText"/>
    <w:next w:val="CommentText"/>
    <w:link w:val="CommentSubjectChar"/>
    <w:rsid w:val="0055055C"/>
    <w:rPr>
      <w:b/>
      <w:bCs/>
    </w:rPr>
  </w:style>
  <w:style w:type="character" w:customStyle="1" w:styleId="CommentSubjectChar">
    <w:name w:val="Comment Subject Char"/>
    <w:basedOn w:val="CommentTextChar"/>
    <w:link w:val="CommentSubject"/>
    <w:rsid w:val="0055055C"/>
    <w:rPr>
      <w:rFonts w:ascii="Courier" w:hAnsi="Courier"/>
      <w:b/>
      <w:bCs/>
    </w:rPr>
  </w:style>
  <w:style w:type="table" w:styleId="TableGrid">
    <w:name w:val="Table Grid"/>
    <w:basedOn w:val="TableNormal"/>
    <w:uiPriority w:val="59"/>
    <w:rsid w:val="0094344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3776"/>
    <w:pPr>
      <w:contextualSpacing/>
    </w:pPr>
  </w:style>
  <w:style w:type="paragraph" w:styleId="PlainText">
    <w:name w:val="Plain Text"/>
    <w:basedOn w:val="Normal"/>
    <w:link w:val="PlainTextChar"/>
    <w:uiPriority w:val="99"/>
    <w:semiHidden/>
    <w:unhideWhenUsed/>
    <w:rsid w:val="00B24063"/>
    <w:pPr>
      <w:shd w:val="clear" w:color="auto" w:fill="auto"/>
      <w:suppressAutoHyphens w:val="0"/>
      <w:ind w:left="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B24063"/>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7012">
      <w:bodyDiv w:val="1"/>
      <w:marLeft w:val="0"/>
      <w:marRight w:val="0"/>
      <w:marTop w:val="0"/>
      <w:marBottom w:val="0"/>
      <w:divBdr>
        <w:top w:val="none" w:sz="0" w:space="0" w:color="auto"/>
        <w:left w:val="none" w:sz="0" w:space="0" w:color="auto"/>
        <w:bottom w:val="none" w:sz="0" w:space="0" w:color="auto"/>
        <w:right w:val="none" w:sz="0" w:space="0" w:color="auto"/>
      </w:divBdr>
    </w:div>
    <w:div w:id="9506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559D-AB97-408C-861F-61E141DD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2961</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5</cp:revision>
  <cp:lastPrinted>2011-06-17T21:13:00Z</cp:lastPrinted>
  <dcterms:created xsi:type="dcterms:W3CDTF">2014-06-23T14:35:00Z</dcterms:created>
  <dcterms:modified xsi:type="dcterms:W3CDTF">2014-09-30T18:32:00Z</dcterms:modified>
</cp:coreProperties>
</file>