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bookmarkStart w:id="1" w:name="Text1"/>
    <w:p w:rsidR="00386054" w:rsidRPr="00EF7FF5" w:rsidRDefault="008D2B8B">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DB296A" w:rsidRDefault="00DB296A" w:rsidP="000440C5">
      <w:pPr>
        <w:pStyle w:val="NormalWeb"/>
        <w:spacing w:before="0" w:beforeAutospacing="0" w:after="0" w:afterAutospacing="0"/>
        <w:ind w:firstLine="0"/>
        <w:rPr>
          <w:color w:val="1F497D" w:themeColor="text2"/>
        </w:rPr>
      </w:pPr>
    </w:p>
    <w:p w:rsidR="00132450" w:rsidRDefault="00132450" w:rsidP="00132450">
      <w:pPr>
        <w:pStyle w:val="NormalWeb"/>
        <w:spacing w:before="0" w:beforeAutospacing="0" w:after="0" w:afterAutospacing="0"/>
        <w:ind w:firstLine="0"/>
        <w:rPr>
          <w:color w:val="1F497D" w:themeColor="text2"/>
        </w:rPr>
      </w:pPr>
      <w:r>
        <w:rPr>
          <w:color w:val="1F497D" w:themeColor="text2"/>
        </w:rPr>
        <w:t>The Department is seeking OMB approval of a Third Party Servicer Data Form to be used to validate the information reported to the Department by higher education institutions regarding third party servicers that administer one or more aspects of the administration of the Title IV, HEA programs on an institution’s behalf and to collect additional information required for effective oversight of these entities.  This is a new request for collection.</w:t>
      </w:r>
    </w:p>
    <w:p w:rsidR="00132450" w:rsidRDefault="00132450" w:rsidP="000440C5">
      <w:pPr>
        <w:pStyle w:val="NormalWeb"/>
        <w:spacing w:before="0" w:beforeAutospacing="0" w:after="0" w:afterAutospacing="0"/>
        <w:ind w:firstLine="0"/>
        <w:rPr>
          <w:color w:val="1F497D" w:themeColor="text2"/>
        </w:rPr>
      </w:pPr>
    </w:p>
    <w:p w:rsidR="00D33DC5" w:rsidRDefault="00225842" w:rsidP="00D33DC5">
      <w:pPr>
        <w:pStyle w:val="NormalWeb"/>
        <w:spacing w:before="0" w:beforeAutospacing="0" w:after="0" w:afterAutospacing="0"/>
        <w:ind w:firstLine="0"/>
        <w:rPr>
          <w:color w:val="1F497D" w:themeColor="text2"/>
        </w:rPr>
      </w:pPr>
      <w:r>
        <w:rPr>
          <w:color w:val="1F497D" w:themeColor="text2"/>
        </w:rPr>
        <w:t>Title IV eligible i</w:t>
      </w:r>
      <w:r w:rsidR="000440C5">
        <w:rPr>
          <w:color w:val="1F497D" w:themeColor="text2"/>
        </w:rPr>
        <w:t>nstitutions</w:t>
      </w:r>
      <w:r>
        <w:rPr>
          <w:color w:val="1F497D" w:themeColor="text2"/>
        </w:rPr>
        <w:t xml:space="preserve"> of higher education</w:t>
      </w:r>
      <w:r w:rsidR="000440C5">
        <w:rPr>
          <w:color w:val="1F497D" w:themeColor="text2"/>
        </w:rPr>
        <w:t xml:space="preserve"> are required to notify the Secretary</w:t>
      </w:r>
      <w:r w:rsidR="00D33DC5">
        <w:rPr>
          <w:color w:val="1F497D" w:themeColor="text2"/>
        </w:rPr>
        <w:t xml:space="preserve"> of its third party servicer relationships</w:t>
      </w:r>
      <w:r w:rsidR="000440C5">
        <w:rPr>
          <w:color w:val="1F497D" w:themeColor="text2"/>
        </w:rPr>
        <w:t xml:space="preserve"> via the </w:t>
      </w:r>
      <w:r w:rsidR="000440C5" w:rsidRPr="000440C5">
        <w:rPr>
          <w:color w:val="1F497D" w:themeColor="text2"/>
        </w:rPr>
        <w:t xml:space="preserve">institution’s </w:t>
      </w:r>
      <w:hyperlink r:id="rId9" w:history="1">
        <w:r w:rsidR="000440C5" w:rsidRPr="000440C5">
          <w:rPr>
            <w:color w:val="1F497D" w:themeColor="text2"/>
          </w:rPr>
          <w:t>Application for Approval to Participate in the Federal Student Financial Aid Programs</w:t>
        </w:r>
      </w:hyperlink>
      <w:r w:rsidR="000440C5" w:rsidRPr="000440C5">
        <w:rPr>
          <w:color w:val="1F497D" w:themeColor="text2"/>
        </w:rPr>
        <w:t xml:space="preserve"> (E-App).</w:t>
      </w:r>
      <w:r w:rsidR="00EC056A">
        <w:rPr>
          <w:color w:val="1F497D" w:themeColor="text2"/>
        </w:rPr>
        <w:t xml:space="preserve">  In addition to the name and address of the servicer, the E-App requires institutions to report the name and phone number of the servicer’s contact person as well as identify the services performed on behalf of the institution</w:t>
      </w:r>
      <w:r>
        <w:rPr>
          <w:color w:val="1F497D" w:themeColor="text2"/>
        </w:rPr>
        <w:t xml:space="preserve"> in section J of the E-App</w:t>
      </w:r>
      <w:r w:rsidR="00EC056A">
        <w:rPr>
          <w:color w:val="1F497D" w:themeColor="text2"/>
        </w:rPr>
        <w:t>.</w:t>
      </w:r>
      <w:r w:rsidR="002A59F0">
        <w:rPr>
          <w:color w:val="1F497D" w:themeColor="text2"/>
        </w:rPr>
        <w:t xml:space="preserve">  T</w:t>
      </w:r>
      <w:r w:rsidR="00D33DC5" w:rsidRPr="00D9652F">
        <w:rPr>
          <w:color w:val="1F497D" w:themeColor="text2"/>
        </w:rPr>
        <w:t xml:space="preserve">he Department has determined through data analysis, research, program reviews, and audits that a significant number of </w:t>
      </w:r>
      <w:r w:rsidR="00AE37FA">
        <w:rPr>
          <w:color w:val="1F497D" w:themeColor="text2"/>
        </w:rPr>
        <w:t xml:space="preserve">higher education </w:t>
      </w:r>
      <w:r w:rsidR="00D33DC5" w:rsidRPr="00D9652F">
        <w:rPr>
          <w:color w:val="1F497D" w:themeColor="text2"/>
        </w:rPr>
        <w:t>institutions have failed to report, update, and/or have incorrectly</w:t>
      </w:r>
      <w:r w:rsidR="00D33DC5">
        <w:rPr>
          <w:color w:val="000000"/>
          <w:szCs w:val="27"/>
        </w:rPr>
        <w:t xml:space="preserve"> </w:t>
      </w:r>
      <w:r w:rsidR="00D33DC5" w:rsidRPr="00D9652F">
        <w:rPr>
          <w:color w:val="1F497D" w:themeColor="text2"/>
        </w:rPr>
        <w:t>reported third party servicer information</w:t>
      </w:r>
      <w:r w:rsidR="002A59F0">
        <w:rPr>
          <w:color w:val="1F497D" w:themeColor="text2"/>
        </w:rPr>
        <w:t xml:space="preserve"> on the E-App</w:t>
      </w:r>
      <w:r w:rsidR="00D33DC5" w:rsidRPr="00D9652F">
        <w:rPr>
          <w:color w:val="1F497D" w:themeColor="text2"/>
        </w:rPr>
        <w:t xml:space="preserve">.  </w:t>
      </w:r>
      <w:r w:rsidR="00524A5A">
        <w:rPr>
          <w:color w:val="1F497D" w:themeColor="text2"/>
        </w:rPr>
        <w:t>As a result, i</w:t>
      </w:r>
      <w:r w:rsidR="00D33DC5" w:rsidRPr="00D9652F">
        <w:rPr>
          <w:color w:val="1F497D" w:themeColor="text2"/>
        </w:rPr>
        <w:t xml:space="preserve">nformation contained in </w:t>
      </w:r>
      <w:r w:rsidR="00524A5A">
        <w:rPr>
          <w:color w:val="1F497D" w:themeColor="text2"/>
        </w:rPr>
        <w:t xml:space="preserve">the </w:t>
      </w:r>
      <w:r w:rsidR="00D33DC5" w:rsidRPr="00D9652F">
        <w:rPr>
          <w:color w:val="1F497D" w:themeColor="text2"/>
        </w:rPr>
        <w:t>Department</w:t>
      </w:r>
      <w:r w:rsidR="00524A5A">
        <w:rPr>
          <w:color w:val="1F497D" w:themeColor="text2"/>
        </w:rPr>
        <w:t>’s</w:t>
      </w:r>
      <w:r w:rsidR="00D33DC5" w:rsidRPr="00D9652F">
        <w:rPr>
          <w:color w:val="1F497D" w:themeColor="text2"/>
        </w:rPr>
        <w:t xml:space="preserve"> databases regarding third party servicer</w:t>
      </w:r>
      <w:r w:rsidR="00524A5A">
        <w:rPr>
          <w:color w:val="1F497D" w:themeColor="text2"/>
        </w:rPr>
        <w:t xml:space="preserve"> contacts, demographics, client lists</w:t>
      </w:r>
      <w:r w:rsidR="00D33DC5" w:rsidRPr="00D9652F">
        <w:rPr>
          <w:color w:val="1F497D" w:themeColor="text2"/>
        </w:rPr>
        <w:t>, and</w:t>
      </w:r>
      <w:r w:rsidR="00066874">
        <w:rPr>
          <w:color w:val="1F497D" w:themeColor="text2"/>
        </w:rPr>
        <w:t>/or</w:t>
      </w:r>
      <w:r w:rsidR="00D33DC5" w:rsidRPr="00D9652F">
        <w:rPr>
          <w:color w:val="1F497D" w:themeColor="text2"/>
        </w:rPr>
        <w:t xml:space="preserve"> </w:t>
      </w:r>
      <w:r w:rsidR="00D9652F">
        <w:rPr>
          <w:color w:val="1F497D" w:themeColor="text2"/>
        </w:rPr>
        <w:t xml:space="preserve">the </w:t>
      </w:r>
      <w:r w:rsidR="00D33DC5" w:rsidRPr="00D9652F">
        <w:rPr>
          <w:color w:val="1F497D" w:themeColor="text2"/>
        </w:rPr>
        <w:t>services provided</w:t>
      </w:r>
      <w:r w:rsidR="00D9652F">
        <w:rPr>
          <w:color w:val="1F497D" w:themeColor="text2"/>
        </w:rPr>
        <w:t xml:space="preserve"> to </w:t>
      </w:r>
      <w:r w:rsidR="00AE37FA">
        <w:rPr>
          <w:color w:val="1F497D" w:themeColor="text2"/>
        </w:rPr>
        <w:t xml:space="preserve">higher education </w:t>
      </w:r>
      <w:r w:rsidR="00D9652F">
        <w:rPr>
          <w:color w:val="1F497D" w:themeColor="text2"/>
        </w:rPr>
        <w:t>institutions</w:t>
      </w:r>
      <w:r w:rsidR="00D33DC5" w:rsidRPr="00D9652F">
        <w:rPr>
          <w:color w:val="1F497D" w:themeColor="text2"/>
        </w:rPr>
        <w:t xml:space="preserve"> is inconsistent</w:t>
      </w:r>
      <w:r w:rsidR="00EC056A">
        <w:rPr>
          <w:color w:val="1F497D" w:themeColor="text2"/>
        </w:rPr>
        <w:t xml:space="preserve"> and inaccurate.  </w:t>
      </w:r>
      <w:r w:rsidR="00713F3B">
        <w:rPr>
          <w:color w:val="1F497D" w:themeColor="text2"/>
        </w:rPr>
        <w:t>Therefore, t</w:t>
      </w:r>
      <w:r w:rsidR="00EC056A">
        <w:rPr>
          <w:color w:val="1F497D" w:themeColor="text2"/>
        </w:rPr>
        <w:t>he Department is unable to rely on the information reported by institutions to provide appropriate oversight of the entities performing work on behalf of Title IV eligible institutions.</w:t>
      </w:r>
    </w:p>
    <w:p w:rsidR="00132450" w:rsidRDefault="00132450" w:rsidP="00D33DC5">
      <w:pPr>
        <w:pStyle w:val="NormalWeb"/>
        <w:spacing w:before="0" w:beforeAutospacing="0" w:after="0" w:afterAutospacing="0"/>
        <w:ind w:firstLine="0"/>
        <w:rPr>
          <w:color w:val="1F497D" w:themeColor="text2"/>
        </w:rPr>
      </w:pPr>
    </w:p>
    <w:p w:rsidR="00132450" w:rsidRDefault="00132450" w:rsidP="00132450">
      <w:pPr>
        <w:pStyle w:val="NormalWeb"/>
        <w:spacing w:before="0" w:beforeAutospacing="0" w:after="0" w:afterAutospacing="0"/>
        <w:ind w:firstLine="0"/>
        <w:rPr>
          <w:color w:val="1F497D" w:themeColor="text2"/>
        </w:rPr>
      </w:pPr>
      <w:r>
        <w:rPr>
          <w:color w:val="1F497D" w:themeColor="text2"/>
        </w:rPr>
        <w:t xml:space="preserve">The information collected through the Third Party Servicer Data form will allow the Department to identify institutions of higher education that are failing to report or incorrectly reporting third party servicer information via the E-App; to monitor and enforce third party servicer compliance with annual audit requirements pursuant to 34 C.F.R. </w:t>
      </w:r>
      <w:r w:rsidRPr="007518B1">
        <w:rPr>
          <w:color w:val="1F497D" w:themeColor="text2"/>
        </w:rPr>
        <w:t>§ 668.2</w:t>
      </w:r>
      <w:r>
        <w:rPr>
          <w:color w:val="1F497D" w:themeColor="text2"/>
        </w:rPr>
        <w:t xml:space="preserve">5(c), to identify other persons or organizations that contract with a third party servicer to assist with any aspect the administration of a Title IV program on behalf of the third party servicer or its clients, and to effectively coordinate third party servicer program review assessments.  </w:t>
      </w:r>
    </w:p>
    <w:p w:rsidR="00446CC8" w:rsidRDefault="00446CC8" w:rsidP="00132450">
      <w:pPr>
        <w:pStyle w:val="NormalWeb"/>
        <w:spacing w:before="0" w:beforeAutospacing="0" w:after="0" w:afterAutospacing="0"/>
        <w:ind w:firstLine="0"/>
        <w:rPr>
          <w:color w:val="1F497D" w:themeColor="text2"/>
        </w:rPr>
      </w:pPr>
    </w:p>
    <w:p w:rsidR="00446CC8" w:rsidRDefault="00446CC8" w:rsidP="00446CC8">
      <w:pPr>
        <w:pStyle w:val="NormalWeb"/>
        <w:spacing w:before="0" w:beforeAutospacing="0" w:after="0" w:afterAutospacing="0"/>
        <w:ind w:firstLine="0"/>
        <w:rPr>
          <w:color w:val="1F497D" w:themeColor="text2"/>
        </w:rPr>
      </w:pPr>
      <w:r w:rsidRPr="007518B1">
        <w:rPr>
          <w:color w:val="1F497D" w:themeColor="text2"/>
        </w:rPr>
        <w:lastRenderedPageBreak/>
        <w:t>The Higher Education Act of 1965, as amended, allows institutions of higher education to outsource any aspect of the institution’s participation in any Title IV, HEA program.</w:t>
      </w:r>
      <w:r>
        <w:rPr>
          <w:color w:val="1F497D" w:themeColor="text2"/>
        </w:rPr>
        <w:t xml:space="preserve">  </w:t>
      </w:r>
      <w:r w:rsidRPr="007518B1">
        <w:rPr>
          <w:color w:val="1F497D" w:themeColor="text2"/>
        </w:rPr>
        <w:t xml:space="preserve">A third party servicer is defined as any individual or entity that contracts with or performs work on behalf of an institution to administer, through manual or automated processing, any aspect of an institution’s responsibilities required under the Title IV, HEA programs.  </w:t>
      </w:r>
      <w:proofErr w:type="gramStart"/>
      <w:r w:rsidRPr="007518B1">
        <w:rPr>
          <w:color w:val="1F497D" w:themeColor="text2"/>
        </w:rPr>
        <w:t>34 C.F.R. § 668.2 (definition of third party servicer).</w:t>
      </w:r>
      <w:proofErr w:type="gramEnd"/>
      <w:r w:rsidRPr="007518B1">
        <w:rPr>
          <w:color w:val="1F497D" w:themeColor="text2"/>
        </w:rPr>
        <w:t xml:space="preserve">  </w:t>
      </w:r>
    </w:p>
    <w:p w:rsidR="00446CC8" w:rsidRDefault="00446CC8" w:rsidP="00446CC8">
      <w:pPr>
        <w:pStyle w:val="NormalWeb"/>
        <w:spacing w:before="0" w:beforeAutospacing="0" w:after="0" w:afterAutospacing="0"/>
        <w:ind w:firstLine="0"/>
        <w:rPr>
          <w:color w:val="1F497D" w:themeColor="text2"/>
        </w:rPr>
      </w:pPr>
    </w:p>
    <w:p w:rsidR="00446CC8" w:rsidRDefault="00446CC8" w:rsidP="00446CC8">
      <w:pPr>
        <w:pStyle w:val="NormalWeb"/>
        <w:spacing w:before="0" w:beforeAutospacing="0" w:after="0" w:afterAutospacing="0"/>
        <w:ind w:firstLine="0"/>
        <w:rPr>
          <w:color w:val="1F497D" w:themeColor="text2"/>
        </w:rPr>
      </w:pPr>
      <w:r>
        <w:rPr>
          <w:color w:val="1F497D" w:themeColor="text2"/>
        </w:rPr>
        <w:t>Higher education institutions are required to notify the Secretary within 10 days of the date that:</w:t>
      </w:r>
    </w:p>
    <w:p w:rsidR="00446CC8" w:rsidRDefault="00446CC8" w:rsidP="00446CC8">
      <w:pPr>
        <w:pStyle w:val="NormalWeb"/>
        <w:numPr>
          <w:ilvl w:val="0"/>
          <w:numId w:val="11"/>
        </w:numPr>
        <w:spacing w:before="0" w:beforeAutospacing="0" w:after="0" w:afterAutospacing="0"/>
        <w:rPr>
          <w:color w:val="1F497D" w:themeColor="text2"/>
        </w:rPr>
      </w:pPr>
      <w:r>
        <w:rPr>
          <w:color w:val="1F497D" w:themeColor="text2"/>
        </w:rPr>
        <w:t>the institution enters into a new contract or significantly modifies an existing contract with a third party servicer to administer any aspect of that program;</w:t>
      </w:r>
    </w:p>
    <w:p w:rsidR="00446CC8" w:rsidRDefault="00446CC8" w:rsidP="00446CC8">
      <w:pPr>
        <w:pStyle w:val="NormalWeb"/>
        <w:numPr>
          <w:ilvl w:val="0"/>
          <w:numId w:val="11"/>
        </w:numPr>
        <w:spacing w:before="0" w:beforeAutospacing="0" w:after="0" w:afterAutospacing="0"/>
        <w:rPr>
          <w:color w:val="1F497D" w:themeColor="text2"/>
        </w:rPr>
      </w:pPr>
      <w:r>
        <w:rPr>
          <w:color w:val="1F497D" w:themeColor="text2"/>
        </w:rPr>
        <w:t>the institution or a third party servicer terminates a contract for the servicer to administer any aspect of that program; or</w:t>
      </w:r>
    </w:p>
    <w:p w:rsidR="00446CC8" w:rsidRDefault="00446CC8" w:rsidP="00446CC8">
      <w:pPr>
        <w:pStyle w:val="NormalWeb"/>
        <w:numPr>
          <w:ilvl w:val="0"/>
          <w:numId w:val="11"/>
        </w:numPr>
        <w:spacing w:before="0" w:beforeAutospacing="0" w:after="0" w:afterAutospacing="0"/>
        <w:rPr>
          <w:color w:val="1F497D" w:themeColor="text2"/>
        </w:rPr>
      </w:pPr>
      <w:r>
        <w:rPr>
          <w:color w:val="1F497D" w:themeColor="text2"/>
        </w:rPr>
        <w:t>a third party servicer that administers any aspect of the institution’s participation in that program stops providing  services for the administration of that program, goes out of business, or files a petition under the Bankruptcy Code.</w:t>
      </w:r>
    </w:p>
    <w:p w:rsidR="00190161" w:rsidRDefault="00190161" w:rsidP="00190161">
      <w:pPr>
        <w:pStyle w:val="NormalWeb"/>
        <w:spacing w:before="0" w:beforeAutospacing="0" w:after="0" w:afterAutospacing="0"/>
        <w:ind w:left="778" w:firstLine="0"/>
        <w:rPr>
          <w:color w:val="1F497D" w:themeColor="text2"/>
        </w:rPr>
      </w:pPr>
    </w:p>
    <w:p w:rsidR="00446CC8" w:rsidRDefault="00446CC8" w:rsidP="00446CC8">
      <w:pPr>
        <w:pStyle w:val="NormalWeb"/>
        <w:spacing w:before="0" w:beforeAutospacing="0" w:after="0" w:afterAutospacing="0"/>
        <w:ind w:firstLine="0"/>
        <w:rPr>
          <w:color w:val="1F497D" w:themeColor="text2"/>
        </w:rPr>
      </w:pPr>
      <w:r>
        <w:rPr>
          <w:color w:val="1F497D" w:themeColor="text2"/>
        </w:rPr>
        <w:t xml:space="preserve">The institution’s notification must include the name and address of the servicer.  </w:t>
      </w:r>
      <w:r w:rsidRPr="007518B1">
        <w:rPr>
          <w:color w:val="1F497D" w:themeColor="text2"/>
        </w:rPr>
        <w:t>See 34 C.F.R. § 668.2</w:t>
      </w:r>
      <w:r>
        <w:rPr>
          <w:color w:val="1F497D" w:themeColor="text2"/>
        </w:rPr>
        <w:t>5(e</w:t>
      </w:r>
      <w:proofErr w:type="gramStart"/>
      <w:r>
        <w:rPr>
          <w:color w:val="1F497D" w:themeColor="text2"/>
        </w:rPr>
        <w:t>)(</w:t>
      </w:r>
      <w:proofErr w:type="gramEnd"/>
      <w:r>
        <w:rPr>
          <w:color w:val="1F497D" w:themeColor="text2"/>
        </w:rPr>
        <w:t xml:space="preserve">1).  </w:t>
      </w:r>
    </w:p>
    <w:p w:rsidR="00AE37FA" w:rsidRDefault="00AE37FA" w:rsidP="00AE37FA">
      <w:pPr>
        <w:pStyle w:val="NormalWeb"/>
        <w:spacing w:before="0" w:beforeAutospacing="0" w:after="0" w:afterAutospacing="0"/>
        <w:ind w:firstLine="0"/>
        <w:rPr>
          <w:color w:val="1F497D" w:themeColor="text2"/>
        </w:rPr>
      </w:pPr>
    </w:p>
    <w:p w:rsidR="00641448" w:rsidRDefault="00AE37FA" w:rsidP="00AE37FA">
      <w:pPr>
        <w:pStyle w:val="NormalWeb"/>
        <w:spacing w:before="0" w:beforeAutospacing="0" w:after="0" w:afterAutospacing="0"/>
        <w:ind w:firstLine="0"/>
        <w:rPr>
          <w:color w:val="1F497D" w:themeColor="text2"/>
        </w:rPr>
      </w:pPr>
      <w:r>
        <w:rPr>
          <w:color w:val="1F497D" w:themeColor="text2"/>
        </w:rPr>
        <w:t xml:space="preserve">The Title IV, HEA regulations authorize the Department to provide oversight of third party servicers.  </w:t>
      </w:r>
      <w:r w:rsidR="002F3961">
        <w:rPr>
          <w:color w:val="1F497D" w:themeColor="text2"/>
        </w:rPr>
        <w:t>A third party servicer is subject</w:t>
      </w:r>
      <w:r w:rsidR="00713F3B">
        <w:rPr>
          <w:color w:val="1F497D" w:themeColor="text2"/>
        </w:rPr>
        <w:t xml:space="preserve"> to the highest standard of care</w:t>
      </w:r>
      <w:r w:rsidR="002F3961">
        <w:rPr>
          <w:color w:val="1F497D" w:themeColor="text2"/>
        </w:rPr>
        <w:t xml:space="preserve"> and diligence in administering any aspect of the programs on behalf of the institutions with which the servicer contracts and in accounting to the Secretary and those institutions for any funds administered by the servicer under those programs.  </w:t>
      </w:r>
      <w:r w:rsidR="002F3961" w:rsidRPr="00381535">
        <w:rPr>
          <w:color w:val="1F497D" w:themeColor="text2"/>
        </w:rPr>
        <w:t>34 C.F.R. § 668</w:t>
      </w:r>
      <w:r w:rsidR="002F3961">
        <w:rPr>
          <w:color w:val="1F497D" w:themeColor="text2"/>
        </w:rPr>
        <w:t>.82(</w:t>
      </w:r>
      <w:r w:rsidR="00132450">
        <w:rPr>
          <w:color w:val="1F497D" w:themeColor="text2"/>
        </w:rPr>
        <w:t>b</w:t>
      </w:r>
      <w:proofErr w:type="gramStart"/>
      <w:r w:rsidR="002F3961">
        <w:rPr>
          <w:color w:val="1F497D" w:themeColor="text2"/>
        </w:rPr>
        <w:t>)(</w:t>
      </w:r>
      <w:proofErr w:type="gramEnd"/>
      <w:r w:rsidR="002F3961">
        <w:rPr>
          <w:color w:val="1F497D" w:themeColor="text2"/>
        </w:rPr>
        <w:t xml:space="preserve">2).  </w:t>
      </w:r>
    </w:p>
    <w:p w:rsidR="00641448" w:rsidRDefault="00641448" w:rsidP="00AE37FA">
      <w:pPr>
        <w:pStyle w:val="NormalWeb"/>
        <w:spacing w:before="0" w:beforeAutospacing="0" w:after="0" w:afterAutospacing="0"/>
        <w:ind w:firstLine="0"/>
        <w:rPr>
          <w:color w:val="1F497D" w:themeColor="text2"/>
        </w:rPr>
      </w:pPr>
    </w:p>
    <w:p w:rsidR="002F3961" w:rsidRDefault="00AE37FA" w:rsidP="00AE37FA">
      <w:pPr>
        <w:pStyle w:val="NormalWeb"/>
        <w:spacing w:before="0" w:beforeAutospacing="0" w:after="0" w:afterAutospacing="0"/>
        <w:ind w:firstLine="0"/>
        <w:rPr>
          <w:color w:val="1F497D" w:themeColor="text2"/>
        </w:rPr>
      </w:pPr>
      <w:r w:rsidRPr="00381535">
        <w:rPr>
          <w:color w:val="1F497D" w:themeColor="text2"/>
        </w:rPr>
        <w:t>When contracting with an institution, a servicer and/or its contractors essentially steps into the shoes of that institution with respect to its compliance with the various requirements relevant to the Title IV, HEA functions it is servicing.  A servicer is jointly and severally liable with the institution for any violation of Title IV, HEA requirements resulting from the functions performed by the servicer.  34 C.F.R. § 668.25(c</w:t>
      </w:r>
      <w:proofErr w:type="gramStart"/>
      <w:r w:rsidRPr="00381535">
        <w:rPr>
          <w:color w:val="1F497D" w:themeColor="text2"/>
        </w:rPr>
        <w:t>)(</w:t>
      </w:r>
      <w:proofErr w:type="gramEnd"/>
      <w:r w:rsidRPr="00381535">
        <w:rPr>
          <w:color w:val="1F497D" w:themeColor="text2"/>
        </w:rPr>
        <w:t>3).</w:t>
      </w:r>
      <w:r>
        <w:rPr>
          <w:color w:val="1F497D" w:themeColor="text2"/>
        </w:rPr>
        <w:t xml:space="preserve">  </w:t>
      </w:r>
    </w:p>
    <w:p w:rsidR="002F3961" w:rsidRDefault="002F3961" w:rsidP="00AE37FA">
      <w:pPr>
        <w:pStyle w:val="NormalWeb"/>
        <w:spacing w:before="0" w:beforeAutospacing="0" w:after="0" w:afterAutospacing="0"/>
        <w:ind w:firstLine="0"/>
        <w:rPr>
          <w:color w:val="1F497D" w:themeColor="text2"/>
        </w:rPr>
      </w:pPr>
    </w:p>
    <w:p w:rsidR="00AE37FA" w:rsidRDefault="002F3961" w:rsidP="00AE37FA">
      <w:pPr>
        <w:pStyle w:val="NormalWeb"/>
        <w:spacing w:before="0" w:beforeAutospacing="0" w:after="0" w:afterAutospacing="0"/>
        <w:ind w:firstLine="0"/>
        <w:rPr>
          <w:color w:val="1F497D" w:themeColor="text2"/>
        </w:rPr>
      </w:pPr>
      <w:r>
        <w:rPr>
          <w:color w:val="1F497D" w:themeColor="text2"/>
        </w:rPr>
        <w:t>The failure of a third party servicer to administer a Title IV, HEA program, or to account for the funds that the institution or servicer receives under that program, in accordance with the highest standard of care and diligence required of a fiduciary, constitutes ground for</w:t>
      </w:r>
      <w:r w:rsidR="00AC6F74">
        <w:rPr>
          <w:color w:val="1F497D" w:themeColor="text2"/>
        </w:rPr>
        <w:t xml:space="preserve"> the Department to</w:t>
      </w:r>
      <w:r>
        <w:rPr>
          <w:color w:val="1F497D" w:themeColor="text2"/>
        </w:rPr>
        <w:t>:</w:t>
      </w:r>
    </w:p>
    <w:p w:rsidR="00AE37FA" w:rsidRDefault="00AC6F74" w:rsidP="00AE37FA">
      <w:pPr>
        <w:pStyle w:val="NormalWeb"/>
        <w:numPr>
          <w:ilvl w:val="0"/>
          <w:numId w:val="12"/>
        </w:numPr>
        <w:spacing w:before="0" w:beforeAutospacing="0" w:after="0" w:afterAutospacing="0"/>
        <w:rPr>
          <w:color w:val="1F497D" w:themeColor="text2"/>
        </w:rPr>
      </w:pPr>
      <w:r>
        <w:rPr>
          <w:color w:val="1F497D" w:themeColor="text2"/>
        </w:rPr>
        <w:t>Seek a</w:t>
      </w:r>
      <w:r w:rsidR="00AE37FA">
        <w:rPr>
          <w:color w:val="1F497D" w:themeColor="text2"/>
        </w:rPr>
        <w:t>n emergency action</w:t>
      </w:r>
      <w:r w:rsidR="002F3961">
        <w:rPr>
          <w:color w:val="1F497D" w:themeColor="text2"/>
        </w:rPr>
        <w:t xml:space="preserve"> against the servicer</w:t>
      </w:r>
      <w:r w:rsidR="00AE37FA">
        <w:rPr>
          <w:color w:val="1F497D" w:themeColor="text2"/>
        </w:rPr>
        <w:t>;</w:t>
      </w:r>
    </w:p>
    <w:p w:rsidR="00AE37FA" w:rsidRDefault="00AC6F74" w:rsidP="00AE37FA">
      <w:pPr>
        <w:pStyle w:val="NormalWeb"/>
        <w:numPr>
          <w:ilvl w:val="0"/>
          <w:numId w:val="12"/>
        </w:numPr>
        <w:spacing w:before="0" w:beforeAutospacing="0" w:after="0" w:afterAutospacing="0"/>
        <w:rPr>
          <w:color w:val="1F497D" w:themeColor="text2"/>
        </w:rPr>
      </w:pPr>
      <w:r>
        <w:rPr>
          <w:color w:val="1F497D" w:themeColor="text2"/>
        </w:rPr>
        <w:t>Impose</w:t>
      </w:r>
      <w:r w:rsidR="00AE37FA">
        <w:rPr>
          <w:color w:val="1F497D" w:themeColor="text2"/>
        </w:rPr>
        <w:t xml:space="preserve"> a fine</w:t>
      </w:r>
      <w:r w:rsidR="002F3961">
        <w:rPr>
          <w:color w:val="1F497D" w:themeColor="text2"/>
        </w:rPr>
        <w:t xml:space="preserve"> </w:t>
      </w:r>
      <w:r w:rsidR="00471EAD">
        <w:rPr>
          <w:color w:val="1F497D" w:themeColor="text2"/>
        </w:rPr>
        <w:t>against</w:t>
      </w:r>
      <w:r w:rsidR="002F3961">
        <w:rPr>
          <w:color w:val="1F497D" w:themeColor="text2"/>
        </w:rPr>
        <w:t xml:space="preserve"> the servicer</w:t>
      </w:r>
      <w:r w:rsidR="00AE37FA">
        <w:rPr>
          <w:color w:val="1F497D" w:themeColor="text2"/>
        </w:rPr>
        <w:t>;</w:t>
      </w:r>
      <w:r w:rsidR="002F3961">
        <w:rPr>
          <w:color w:val="1F497D" w:themeColor="text2"/>
        </w:rPr>
        <w:t xml:space="preserve"> or</w:t>
      </w:r>
    </w:p>
    <w:p w:rsidR="00AE37FA" w:rsidRDefault="00AC6F74" w:rsidP="00AE37FA">
      <w:pPr>
        <w:pStyle w:val="NormalWeb"/>
        <w:numPr>
          <w:ilvl w:val="0"/>
          <w:numId w:val="12"/>
        </w:numPr>
        <w:spacing w:before="0" w:beforeAutospacing="0" w:after="0" w:afterAutospacing="0"/>
        <w:rPr>
          <w:color w:val="1F497D" w:themeColor="text2"/>
        </w:rPr>
      </w:pPr>
      <w:r>
        <w:rPr>
          <w:color w:val="1F497D" w:themeColor="text2"/>
        </w:rPr>
        <w:t>Limit</w:t>
      </w:r>
      <w:r w:rsidR="00AE37FA">
        <w:rPr>
          <w:color w:val="1F497D" w:themeColor="text2"/>
        </w:rPr>
        <w:t>, suspen</w:t>
      </w:r>
      <w:r>
        <w:rPr>
          <w:color w:val="1F497D" w:themeColor="text2"/>
        </w:rPr>
        <w:t>d</w:t>
      </w:r>
      <w:r w:rsidR="00AE37FA">
        <w:rPr>
          <w:color w:val="1F497D" w:themeColor="text2"/>
        </w:rPr>
        <w:t>, or terminat</w:t>
      </w:r>
      <w:r>
        <w:rPr>
          <w:color w:val="1F497D" w:themeColor="text2"/>
        </w:rPr>
        <w:t>e</w:t>
      </w:r>
      <w:r w:rsidR="00AE37FA">
        <w:rPr>
          <w:color w:val="1F497D" w:themeColor="text2"/>
        </w:rPr>
        <w:t xml:space="preserve"> </w:t>
      </w:r>
      <w:r w:rsidR="002F3961">
        <w:rPr>
          <w:color w:val="1F497D" w:themeColor="text2"/>
        </w:rPr>
        <w:t>the servicer’s eligibility to contract with any institution to administer any aspect of the institution’s participation in that program</w:t>
      </w:r>
      <w:r w:rsidR="00AE37FA">
        <w:rPr>
          <w:color w:val="1F497D" w:themeColor="text2"/>
        </w:rPr>
        <w:t>.</w:t>
      </w:r>
    </w:p>
    <w:p w:rsidR="002F3961" w:rsidRDefault="00713F3B" w:rsidP="002F3961">
      <w:pPr>
        <w:pStyle w:val="NormalWeb"/>
        <w:spacing w:before="0" w:beforeAutospacing="0" w:after="0" w:afterAutospacing="0"/>
        <w:ind w:firstLine="0"/>
        <w:rPr>
          <w:color w:val="1F497D" w:themeColor="text2"/>
        </w:rPr>
      </w:pPr>
      <w:r w:rsidRPr="00381535">
        <w:rPr>
          <w:color w:val="1F497D" w:themeColor="text2"/>
        </w:rPr>
        <w:t>34 C.F.R. § 668.</w:t>
      </w:r>
      <w:r>
        <w:rPr>
          <w:color w:val="1F497D" w:themeColor="text2"/>
        </w:rPr>
        <w:t>82(c</w:t>
      </w:r>
      <w:proofErr w:type="gramStart"/>
      <w:r>
        <w:rPr>
          <w:color w:val="1F497D" w:themeColor="text2"/>
        </w:rPr>
        <w:t>)(</w:t>
      </w:r>
      <w:proofErr w:type="gramEnd"/>
      <w:r>
        <w:rPr>
          <w:color w:val="1F497D" w:themeColor="text2"/>
        </w:rPr>
        <w:t>2).</w:t>
      </w:r>
    </w:p>
    <w:p w:rsidR="00C37B59" w:rsidRDefault="00C37B59" w:rsidP="002F3961">
      <w:pPr>
        <w:pStyle w:val="NormalWeb"/>
        <w:spacing w:before="0" w:beforeAutospacing="0" w:after="0" w:afterAutospacing="0"/>
        <w:ind w:firstLine="0"/>
        <w:rPr>
          <w:color w:val="1F497D" w:themeColor="text2"/>
        </w:rPr>
      </w:pPr>
    </w:p>
    <w:p w:rsidR="00C37B59" w:rsidRDefault="00C37B59" w:rsidP="002F3961">
      <w:pPr>
        <w:pStyle w:val="NormalWeb"/>
        <w:spacing w:before="0" w:beforeAutospacing="0" w:after="0" w:afterAutospacing="0"/>
        <w:ind w:firstLine="0"/>
        <w:rPr>
          <w:color w:val="1F497D" w:themeColor="text2"/>
        </w:rPr>
      </w:pPr>
      <w:r>
        <w:rPr>
          <w:color w:val="1F497D" w:themeColor="text2"/>
        </w:rPr>
        <w:t>A third party servicer violates it</w:t>
      </w:r>
      <w:r w:rsidR="00AC6F74">
        <w:rPr>
          <w:color w:val="1F497D" w:themeColor="text2"/>
        </w:rPr>
        <w:t>s</w:t>
      </w:r>
      <w:r>
        <w:rPr>
          <w:color w:val="1F497D" w:themeColor="text2"/>
        </w:rPr>
        <w:t xml:space="preserve"> fiduciary duty if the servicer uses or contracts in a capacity that involves any aspect of the administration of the Title IV, HEA program with any other person, agency, or organization that has been or whose officers or employees have been convicted of, or pled nolo contendere or guilty to, a crime involving the acquisition, use, or expenditure of Federal, State, or local government funds; or administratively or judicially determined to have committed fraud or any other material violation of law involving Federal, State, or local government funds.</w:t>
      </w:r>
      <w:r w:rsidRPr="00C37B59">
        <w:rPr>
          <w:color w:val="1F497D" w:themeColor="text2"/>
        </w:rPr>
        <w:t xml:space="preserve"> </w:t>
      </w:r>
      <w:r w:rsidRPr="00381535">
        <w:rPr>
          <w:color w:val="1F497D" w:themeColor="text2"/>
        </w:rPr>
        <w:t>34 C.F.R. § 668.</w:t>
      </w:r>
      <w:r>
        <w:rPr>
          <w:color w:val="1F497D" w:themeColor="text2"/>
        </w:rPr>
        <w:t>82(d</w:t>
      </w:r>
      <w:proofErr w:type="gramStart"/>
      <w:r>
        <w:rPr>
          <w:color w:val="1F497D" w:themeColor="text2"/>
        </w:rPr>
        <w:t>)</w:t>
      </w:r>
      <w:r w:rsidR="00AC6F74">
        <w:rPr>
          <w:color w:val="1F497D" w:themeColor="text2"/>
        </w:rPr>
        <w:t>(</w:t>
      </w:r>
      <w:proofErr w:type="gramEnd"/>
      <w:r w:rsidR="00AC6F74">
        <w:rPr>
          <w:color w:val="1F497D" w:themeColor="text2"/>
        </w:rPr>
        <w:t>1)(i)(D).</w:t>
      </w:r>
    </w:p>
    <w:p w:rsidR="00446CC8" w:rsidRDefault="00446CC8" w:rsidP="002F3961">
      <w:pPr>
        <w:pStyle w:val="NormalWeb"/>
        <w:spacing w:before="0" w:beforeAutospacing="0" w:after="0" w:afterAutospacing="0"/>
        <w:ind w:firstLine="0"/>
        <w:rPr>
          <w:color w:val="1F497D" w:themeColor="text2"/>
        </w:rPr>
      </w:pP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F7936" w:rsidRDefault="006C70C6" w:rsidP="006C70C6">
      <w:pPr>
        <w:pStyle w:val="NormalWeb"/>
        <w:spacing w:before="0" w:beforeAutospacing="0" w:after="0" w:afterAutospacing="0"/>
        <w:ind w:firstLine="0"/>
        <w:rPr>
          <w:color w:val="1F497D" w:themeColor="text2"/>
        </w:rPr>
      </w:pPr>
      <w:r w:rsidRPr="006C70C6">
        <w:rPr>
          <w:color w:val="1F497D" w:themeColor="text2"/>
        </w:rPr>
        <w:t>Third Party</w:t>
      </w:r>
      <w:r>
        <w:rPr>
          <w:color w:val="1F497D" w:themeColor="text2"/>
        </w:rPr>
        <w:t xml:space="preserve"> Servicers that contract with Title IV eligible institutions to administer any aspect</w:t>
      </w:r>
      <w:r w:rsidRPr="006C70C6">
        <w:rPr>
          <w:color w:val="1F497D" w:themeColor="text2"/>
        </w:rPr>
        <w:t xml:space="preserve"> </w:t>
      </w:r>
      <w:r w:rsidRPr="007518B1">
        <w:rPr>
          <w:color w:val="1F497D" w:themeColor="text2"/>
        </w:rPr>
        <w:t>of an institution’s responsibilities required u</w:t>
      </w:r>
      <w:r w:rsidR="006C7FDE">
        <w:rPr>
          <w:color w:val="1F497D" w:themeColor="text2"/>
        </w:rPr>
        <w:t xml:space="preserve">nder the Title IV, HEA programs will be required to complete the Third Party Servicer </w:t>
      </w:r>
      <w:r w:rsidR="00E913FE">
        <w:rPr>
          <w:color w:val="1F497D" w:themeColor="text2"/>
        </w:rPr>
        <w:t xml:space="preserve">Data </w:t>
      </w:r>
      <w:r w:rsidR="006C7FDE">
        <w:rPr>
          <w:color w:val="1F497D" w:themeColor="text2"/>
        </w:rPr>
        <w:t>Form</w:t>
      </w:r>
      <w:r w:rsidR="00E913FE">
        <w:rPr>
          <w:color w:val="1F497D" w:themeColor="text2"/>
        </w:rPr>
        <w:t xml:space="preserve">.  </w:t>
      </w:r>
      <w:r w:rsidR="00D12C6E">
        <w:rPr>
          <w:color w:val="1F497D" w:themeColor="text2"/>
        </w:rPr>
        <w:t>Hard copy</w:t>
      </w:r>
      <w:r w:rsidR="00E913FE">
        <w:rPr>
          <w:color w:val="1F497D" w:themeColor="text2"/>
        </w:rPr>
        <w:t xml:space="preserve"> form</w:t>
      </w:r>
      <w:r w:rsidR="00D12C6E">
        <w:rPr>
          <w:color w:val="1F497D" w:themeColor="text2"/>
        </w:rPr>
        <w:t>s</w:t>
      </w:r>
      <w:r w:rsidR="00E913FE">
        <w:rPr>
          <w:color w:val="1F497D" w:themeColor="text2"/>
        </w:rPr>
        <w:t xml:space="preserve"> will be sent to Third Party Servicers currently listed </w:t>
      </w:r>
      <w:r w:rsidR="00E913FE" w:rsidRPr="00013ADA">
        <w:rPr>
          <w:color w:val="1F497D" w:themeColor="text2"/>
        </w:rPr>
        <w:t>in Department</w:t>
      </w:r>
      <w:r w:rsidR="00E913FE" w:rsidRPr="003C29B1">
        <w:rPr>
          <w:color w:val="FF0000"/>
        </w:rPr>
        <w:t xml:space="preserve"> </w:t>
      </w:r>
      <w:r w:rsidR="00E913FE">
        <w:rPr>
          <w:color w:val="1F497D" w:themeColor="text2"/>
        </w:rPr>
        <w:t xml:space="preserve">databases and </w:t>
      </w:r>
      <w:r w:rsidR="00D12C6E">
        <w:rPr>
          <w:color w:val="1F497D" w:themeColor="text2"/>
        </w:rPr>
        <w:t xml:space="preserve">will also be </w:t>
      </w:r>
      <w:r w:rsidR="00E913FE">
        <w:rPr>
          <w:color w:val="1F497D" w:themeColor="text2"/>
        </w:rPr>
        <w:t>available to download from the I</w:t>
      </w:r>
      <w:r w:rsidR="00792737">
        <w:rPr>
          <w:color w:val="1F497D" w:themeColor="text2"/>
        </w:rPr>
        <w:t xml:space="preserve">nformation for Financial </w:t>
      </w:r>
      <w:r w:rsidR="00E913FE">
        <w:rPr>
          <w:color w:val="1F497D" w:themeColor="text2"/>
        </w:rPr>
        <w:t>A</w:t>
      </w:r>
      <w:r w:rsidR="00792737">
        <w:rPr>
          <w:color w:val="1F497D" w:themeColor="text2"/>
        </w:rPr>
        <w:t xml:space="preserve">id </w:t>
      </w:r>
      <w:r w:rsidR="00E913FE">
        <w:rPr>
          <w:color w:val="1F497D" w:themeColor="text2"/>
        </w:rPr>
        <w:t>P</w:t>
      </w:r>
      <w:r w:rsidR="00792737">
        <w:rPr>
          <w:color w:val="1F497D" w:themeColor="text2"/>
        </w:rPr>
        <w:t>rofessionals (IFAP)</w:t>
      </w:r>
      <w:r w:rsidR="00E913FE">
        <w:rPr>
          <w:color w:val="1F497D" w:themeColor="text2"/>
        </w:rPr>
        <w:t xml:space="preserve"> web-site.  </w:t>
      </w:r>
      <w:r w:rsidR="00D12C6E">
        <w:rPr>
          <w:color w:val="1F497D" w:themeColor="text2"/>
        </w:rPr>
        <w:t>Servicers will be instructed to submit</w:t>
      </w:r>
      <w:r w:rsidR="00E913FE">
        <w:rPr>
          <w:color w:val="1F497D" w:themeColor="text2"/>
        </w:rPr>
        <w:t xml:space="preserve"> the</w:t>
      </w:r>
      <w:r w:rsidR="00D12C6E">
        <w:rPr>
          <w:color w:val="1F497D" w:themeColor="text2"/>
        </w:rPr>
        <w:t xml:space="preserve"> form to the</w:t>
      </w:r>
      <w:r w:rsidR="00E913FE">
        <w:rPr>
          <w:color w:val="1F497D" w:themeColor="text2"/>
        </w:rPr>
        <w:t xml:space="preserve"> Third Party Servicer Oversight Group/Kansas City School Participation Division</w:t>
      </w:r>
      <w:r w:rsidR="00D12C6E">
        <w:rPr>
          <w:color w:val="1F497D" w:themeColor="text2"/>
        </w:rPr>
        <w:t xml:space="preserve"> by e-mail or regular mail.</w:t>
      </w:r>
    </w:p>
    <w:p w:rsidR="00D12C6E" w:rsidRDefault="00D12C6E" w:rsidP="006C70C6">
      <w:pPr>
        <w:pStyle w:val="NormalWeb"/>
        <w:spacing w:before="0" w:beforeAutospacing="0" w:after="0" w:afterAutospacing="0"/>
        <w:ind w:firstLine="0"/>
        <w:rPr>
          <w:color w:val="1F497D" w:themeColor="text2"/>
        </w:rPr>
      </w:pPr>
    </w:p>
    <w:p w:rsidR="00D12C6E" w:rsidRDefault="00D12C6E" w:rsidP="006C70C6">
      <w:pPr>
        <w:pStyle w:val="NormalWeb"/>
        <w:spacing w:before="0" w:beforeAutospacing="0" w:after="0" w:afterAutospacing="0"/>
        <w:ind w:firstLine="0"/>
        <w:rPr>
          <w:color w:val="1F497D" w:themeColor="text2"/>
        </w:rPr>
      </w:pPr>
      <w:r>
        <w:rPr>
          <w:color w:val="1F497D" w:themeColor="text2"/>
        </w:rPr>
        <w:t xml:space="preserve">The Third Party Servicer Oversight Group will compare the information </w:t>
      </w:r>
      <w:r w:rsidR="00490204">
        <w:rPr>
          <w:color w:val="1F497D" w:themeColor="text2"/>
        </w:rPr>
        <w:t>collected</w:t>
      </w:r>
      <w:r w:rsidR="008C42C6">
        <w:rPr>
          <w:color w:val="1F497D" w:themeColor="text2"/>
        </w:rPr>
        <w:t xml:space="preserve"> o</w:t>
      </w:r>
      <w:r w:rsidR="00490204">
        <w:rPr>
          <w:color w:val="1F497D" w:themeColor="text2"/>
        </w:rPr>
        <w:t>n the Third Party Servicer</w:t>
      </w:r>
      <w:r w:rsidR="007616C3">
        <w:rPr>
          <w:color w:val="1F497D" w:themeColor="text2"/>
        </w:rPr>
        <w:t xml:space="preserve"> Data F</w:t>
      </w:r>
      <w:r w:rsidR="00490204">
        <w:rPr>
          <w:color w:val="1F497D" w:themeColor="text2"/>
        </w:rPr>
        <w:t xml:space="preserve">orm to the information maintained in the Department’s </w:t>
      </w:r>
      <w:r w:rsidR="002A59F0">
        <w:rPr>
          <w:color w:val="1F497D" w:themeColor="text2"/>
        </w:rPr>
        <w:t xml:space="preserve">Postsecondary Education Participants System </w:t>
      </w:r>
      <w:r w:rsidR="00013ADA" w:rsidRPr="0058767A">
        <w:rPr>
          <w:color w:val="1F497D" w:themeColor="text2"/>
        </w:rPr>
        <w:t>(</w:t>
      </w:r>
      <w:r w:rsidR="00490204" w:rsidRPr="0058767A">
        <w:rPr>
          <w:color w:val="1F497D" w:themeColor="text2"/>
        </w:rPr>
        <w:t>PEPS</w:t>
      </w:r>
      <w:r w:rsidR="00013ADA" w:rsidRPr="0058767A">
        <w:rPr>
          <w:color w:val="1F497D" w:themeColor="text2"/>
        </w:rPr>
        <w:t>)</w:t>
      </w:r>
      <w:r w:rsidR="00490204">
        <w:rPr>
          <w:color w:val="1F497D" w:themeColor="text2"/>
        </w:rPr>
        <w:t xml:space="preserve"> database and update the </w:t>
      </w:r>
      <w:r w:rsidR="0058767A" w:rsidRPr="0058767A">
        <w:rPr>
          <w:color w:val="1F497D" w:themeColor="text2"/>
        </w:rPr>
        <w:t>s</w:t>
      </w:r>
      <w:r w:rsidR="00490204" w:rsidRPr="0058767A">
        <w:rPr>
          <w:color w:val="1F497D" w:themeColor="text2"/>
        </w:rPr>
        <w:t>ervicer’s</w:t>
      </w:r>
      <w:r w:rsidR="00490204">
        <w:rPr>
          <w:color w:val="1F497D" w:themeColor="text2"/>
        </w:rPr>
        <w:t xml:space="preserve"> contact and demographic information</w:t>
      </w:r>
      <w:r w:rsidR="007616C3">
        <w:rPr>
          <w:color w:val="1F497D" w:themeColor="text2"/>
        </w:rPr>
        <w:t xml:space="preserve"> in the system</w:t>
      </w:r>
      <w:r w:rsidR="00490204">
        <w:rPr>
          <w:color w:val="1F497D" w:themeColor="text2"/>
        </w:rPr>
        <w:t xml:space="preserve"> as needed.  Higher Education institutions that failed to report or terminate </w:t>
      </w:r>
      <w:r w:rsidR="0058767A" w:rsidRPr="0058767A">
        <w:rPr>
          <w:color w:val="1F497D" w:themeColor="text2"/>
        </w:rPr>
        <w:t>third party s</w:t>
      </w:r>
      <w:r w:rsidR="00490204" w:rsidRPr="0058767A">
        <w:rPr>
          <w:color w:val="1F497D" w:themeColor="text2"/>
        </w:rPr>
        <w:t xml:space="preserve">ervicer </w:t>
      </w:r>
      <w:r w:rsidR="00490204">
        <w:rPr>
          <w:color w:val="1F497D" w:themeColor="text2"/>
        </w:rPr>
        <w:t xml:space="preserve">relationships will be notified to update </w:t>
      </w:r>
      <w:r w:rsidR="007616C3">
        <w:rPr>
          <w:color w:val="1F497D" w:themeColor="text2"/>
        </w:rPr>
        <w:t>the</w:t>
      </w:r>
      <w:r w:rsidR="00490204">
        <w:rPr>
          <w:color w:val="1F497D" w:themeColor="text2"/>
        </w:rPr>
        <w:t xml:space="preserve"> E-App to accurately reflect </w:t>
      </w:r>
      <w:r w:rsidR="007616C3">
        <w:rPr>
          <w:color w:val="1F497D" w:themeColor="text2"/>
        </w:rPr>
        <w:t>the institution’s relationship with the</w:t>
      </w:r>
      <w:r w:rsidR="00490204">
        <w:rPr>
          <w:color w:val="1F497D" w:themeColor="text2"/>
        </w:rPr>
        <w:t xml:space="preserve"> servicer(s).</w:t>
      </w:r>
      <w:r w:rsidR="007616C3">
        <w:rPr>
          <w:color w:val="1F497D" w:themeColor="text2"/>
        </w:rPr>
        <w:t xml:space="preserve">  The Third Party Servicer Oversight Group will enter the information collected on the form into an Access database utilized by the Third Party Servicer Oversight Group to track program review and audit activities.</w:t>
      </w:r>
      <w:r w:rsidR="00300B3B">
        <w:rPr>
          <w:color w:val="1F497D" w:themeColor="text2"/>
        </w:rPr>
        <w:t xml:space="preserve">  The information collected will provide essential data needed to monitor </w:t>
      </w:r>
      <w:r w:rsidR="0058767A" w:rsidRPr="0058767A">
        <w:rPr>
          <w:color w:val="1F497D" w:themeColor="text2"/>
        </w:rPr>
        <w:t>third party s</w:t>
      </w:r>
      <w:r w:rsidR="00300B3B" w:rsidRPr="0058767A">
        <w:rPr>
          <w:color w:val="1F497D" w:themeColor="text2"/>
        </w:rPr>
        <w:t xml:space="preserve">ervicer </w:t>
      </w:r>
      <w:r w:rsidR="00300B3B">
        <w:rPr>
          <w:color w:val="1F497D" w:themeColor="text2"/>
        </w:rPr>
        <w:t xml:space="preserve">compliance with annual audit requirements, as well as more reliable data for risk analysis and program reviews. </w:t>
      </w:r>
    </w:p>
    <w:p w:rsidR="00ED3654" w:rsidRDefault="00ED3654" w:rsidP="006C70C6">
      <w:pPr>
        <w:pStyle w:val="NormalWeb"/>
        <w:spacing w:before="0" w:beforeAutospacing="0" w:after="0" w:afterAutospacing="0"/>
        <w:ind w:firstLine="0"/>
        <w:rPr>
          <w:color w:val="1F497D" w:themeColor="text2"/>
        </w:rPr>
      </w:pPr>
    </w:p>
    <w:p w:rsidR="00ED3654" w:rsidRDefault="00ED3654" w:rsidP="006C70C6">
      <w:pPr>
        <w:pStyle w:val="NormalWeb"/>
        <w:spacing w:before="0" w:beforeAutospacing="0" w:after="0" w:afterAutospacing="0"/>
        <w:ind w:firstLine="0"/>
        <w:rPr>
          <w:color w:val="1F497D" w:themeColor="text2"/>
        </w:rPr>
      </w:pPr>
      <w:r>
        <w:rPr>
          <w:color w:val="1F497D" w:themeColor="text2"/>
        </w:rPr>
        <w:t xml:space="preserve">The information collected will be utilized to populate </w:t>
      </w:r>
      <w:r w:rsidR="0058767A" w:rsidRPr="0058767A">
        <w:rPr>
          <w:color w:val="1F497D" w:themeColor="text2"/>
        </w:rPr>
        <w:t>third party s</w:t>
      </w:r>
      <w:r w:rsidRPr="0058767A">
        <w:rPr>
          <w:color w:val="1F497D" w:themeColor="text2"/>
        </w:rPr>
        <w:t xml:space="preserve">ervicer </w:t>
      </w:r>
      <w:r>
        <w:rPr>
          <w:color w:val="1F497D" w:themeColor="text2"/>
        </w:rPr>
        <w:t>information during data migration when the Department’s Integrated Partner Management (IPM) system is implemented.</w:t>
      </w:r>
      <w:r w:rsidR="00AE713C">
        <w:rPr>
          <w:color w:val="1F497D" w:themeColor="text2"/>
        </w:rPr>
        <w:t xml:space="preserve">  IPM is currently scheduled for </w:t>
      </w:r>
      <w:r w:rsidR="00AE713C" w:rsidRPr="00013ADA">
        <w:rPr>
          <w:color w:val="1F497D" w:themeColor="text2"/>
        </w:rPr>
        <w:t>deployment the</w:t>
      </w:r>
      <w:r w:rsidR="00AE713C" w:rsidRPr="00013ADA">
        <w:rPr>
          <w:color w:val="FF0000"/>
        </w:rPr>
        <w:t xml:space="preserve"> </w:t>
      </w:r>
      <w:r w:rsidR="00AE713C">
        <w:rPr>
          <w:color w:val="1F497D" w:themeColor="text2"/>
        </w:rPr>
        <w:t>end of 2015 and will replace and/or integrate with a number of Department systems currently utilized, including PEPS.</w:t>
      </w:r>
    </w:p>
    <w:p w:rsidR="00194FB0" w:rsidRDefault="00194FB0" w:rsidP="006C70C6">
      <w:pPr>
        <w:pStyle w:val="NormalWeb"/>
        <w:spacing w:before="0" w:beforeAutospacing="0" w:after="0" w:afterAutospacing="0"/>
        <w:ind w:firstLine="0"/>
        <w:rPr>
          <w:color w:val="1F497D" w:themeColor="text2"/>
        </w:rPr>
      </w:pPr>
    </w:p>
    <w:p w:rsidR="00194FB0" w:rsidRPr="006C70C6" w:rsidRDefault="00194FB0" w:rsidP="006C70C6">
      <w:pPr>
        <w:pStyle w:val="NormalWeb"/>
        <w:spacing w:before="0" w:beforeAutospacing="0" w:after="0" w:afterAutospacing="0"/>
        <w:ind w:firstLine="0"/>
        <w:rPr>
          <w:color w:val="1F497D" w:themeColor="text2"/>
        </w:rPr>
      </w:pPr>
      <w:r>
        <w:rPr>
          <w:color w:val="1F497D" w:themeColor="text2"/>
        </w:rPr>
        <w:t xml:space="preserve">The Third Party Servicer Oversight Group will work with the Department’s </w:t>
      </w:r>
      <w:r w:rsidRPr="008E5BDD">
        <w:rPr>
          <w:color w:val="1F497D" w:themeColor="text2"/>
        </w:rPr>
        <w:t xml:space="preserve">Policy Liaison and Implementation staff to issue an </w:t>
      </w:r>
      <w:r w:rsidRPr="0058767A">
        <w:rPr>
          <w:color w:val="1F497D" w:themeColor="text2"/>
        </w:rPr>
        <w:t>electronic announcement</w:t>
      </w:r>
      <w:r w:rsidRPr="00013ADA">
        <w:rPr>
          <w:color w:val="FF0000"/>
        </w:rPr>
        <w:t xml:space="preserve"> </w:t>
      </w:r>
      <w:r w:rsidRPr="008E5BDD">
        <w:rPr>
          <w:color w:val="1F497D" w:themeColor="text2"/>
        </w:rPr>
        <w:t xml:space="preserve">to the Higher Education community </w:t>
      </w:r>
      <w:r w:rsidR="00155E94">
        <w:rPr>
          <w:color w:val="1F497D" w:themeColor="text2"/>
        </w:rPr>
        <w:t>to communicate</w:t>
      </w:r>
      <w:r w:rsidR="00155E94" w:rsidRPr="008E5BDD">
        <w:rPr>
          <w:color w:val="1F497D" w:themeColor="text2"/>
        </w:rPr>
        <w:t xml:space="preserve"> </w:t>
      </w:r>
      <w:r w:rsidRPr="008E5BDD">
        <w:rPr>
          <w:color w:val="1F497D" w:themeColor="text2"/>
        </w:rPr>
        <w:t xml:space="preserve">the requirement </w:t>
      </w:r>
      <w:r w:rsidR="00155E94">
        <w:rPr>
          <w:color w:val="1F497D" w:themeColor="text2"/>
        </w:rPr>
        <w:t xml:space="preserve">for </w:t>
      </w:r>
      <w:r w:rsidR="00155E94" w:rsidRPr="00013ADA">
        <w:rPr>
          <w:color w:val="1F497D" w:themeColor="text2"/>
        </w:rPr>
        <w:t xml:space="preserve">third party </w:t>
      </w:r>
      <w:r w:rsidR="00155E94">
        <w:rPr>
          <w:color w:val="1F497D" w:themeColor="text2"/>
        </w:rPr>
        <w:t>entities to comply with this request.</w:t>
      </w:r>
    </w:p>
    <w:p w:rsidR="00386054" w:rsidRPr="008E5BDD" w:rsidRDefault="00386054" w:rsidP="008E5BDD">
      <w:pPr>
        <w:pStyle w:val="NormalWeb"/>
        <w:spacing w:before="0" w:beforeAutospacing="0" w:after="0" w:afterAutospacing="0"/>
        <w:ind w:firstLine="0"/>
        <w:rPr>
          <w:color w:val="1F497D" w:themeColor="text2"/>
        </w:rPr>
      </w:pPr>
    </w:p>
    <w:p w:rsidR="00386054" w:rsidRPr="009B267D" w:rsidRDefault="00386054" w:rsidP="008E5BDD">
      <w:pPr>
        <w:pStyle w:val="NormalWeb"/>
        <w:spacing w:before="0" w:beforeAutospacing="0" w:after="0" w:afterAutospacing="0"/>
        <w:ind w:firstLine="0"/>
      </w:pPr>
      <w:r w:rsidRPr="008E5BDD">
        <w:rPr>
          <w:color w:val="1F497D" w:themeColor="text2"/>
        </w:rPr>
        <w:t>3</w:t>
      </w:r>
      <w:r w:rsidRPr="009B267D">
        <w:t>.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9B267D">
        <w:t xml:space="preserve"> </w:t>
      </w:r>
    </w:p>
    <w:p w:rsidR="00386054" w:rsidRPr="008E5BDD" w:rsidRDefault="00386054" w:rsidP="008E5BDD">
      <w:pPr>
        <w:pStyle w:val="NormalWeb"/>
        <w:spacing w:before="0" w:beforeAutospacing="0" w:after="0" w:afterAutospacing="0"/>
        <w:ind w:firstLine="0"/>
        <w:rPr>
          <w:color w:val="1F497D" w:themeColor="text2"/>
        </w:rPr>
      </w:pPr>
    </w:p>
    <w:p w:rsidR="003F7936" w:rsidRPr="00ED3654" w:rsidRDefault="002E23F3" w:rsidP="00ED3654">
      <w:pPr>
        <w:pStyle w:val="NormalWeb"/>
        <w:spacing w:before="0" w:beforeAutospacing="0" w:after="0" w:afterAutospacing="0"/>
        <w:ind w:firstLine="0"/>
        <w:rPr>
          <w:color w:val="1F497D" w:themeColor="text2"/>
        </w:rPr>
      </w:pPr>
      <w:r>
        <w:rPr>
          <w:color w:val="1F497D" w:themeColor="text2"/>
        </w:rPr>
        <w:t xml:space="preserve">Based on the comments received during the 60 day comment period, the format of the form was revised to allow respondents to type and save responses.  </w:t>
      </w:r>
      <w:r w:rsidR="009A30A2">
        <w:rPr>
          <w:color w:val="1F497D" w:themeColor="text2"/>
        </w:rPr>
        <w:t>Respondents</w:t>
      </w:r>
      <w:r w:rsidR="009B267D">
        <w:rPr>
          <w:color w:val="1F497D" w:themeColor="text2"/>
        </w:rPr>
        <w:t xml:space="preserve"> will be able to submit the form as an e-mail attachment or </w:t>
      </w:r>
      <w:r w:rsidR="009A30A2">
        <w:rPr>
          <w:color w:val="1F497D" w:themeColor="text2"/>
        </w:rPr>
        <w:t xml:space="preserve">print and submit the form </w:t>
      </w:r>
      <w:r w:rsidR="00ED3654">
        <w:rPr>
          <w:color w:val="1F497D" w:themeColor="text2"/>
        </w:rPr>
        <w:t xml:space="preserve">via </w:t>
      </w:r>
      <w:r w:rsidR="009A30A2">
        <w:rPr>
          <w:color w:val="1F497D" w:themeColor="text2"/>
        </w:rPr>
        <w:t>standard</w:t>
      </w:r>
      <w:r w:rsidR="00ED3654">
        <w:rPr>
          <w:color w:val="1F497D" w:themeColor="text2"/>
        </w:rPr>
        <w:t xml:space="preserve"> mail</w:t>
      </w:r>
      <w:r w:rsidR="009A30A2">
        <w:rPr>
          <w:color w:val="1F497D" w:themeColor="text2"/>
        </w:rPr>
        <w:t xml:space="preserve"> delivery</w:t>
      </w:r>
      <w:r w:rsidR="009B267D">
        <w:rPr>
          <w:color w:val="1F497D" w:themeColor="text2"/>
        </w:rPr>
        <w:t>.</w:t>
      </w:r>
      <w:r w:rsidR="00ED3654">
        <w:rPr>
          <w:color w:val="1F497D" w:themeColor="text2"/>
        </w:rPr>
        <w:t xml:space="preserve">  Once the</w:t>
      </w:r>
      <w:r w:rsidR="00D77A89">
        <w:rPr>
          <w:color w:val="1F497D" w:themeColor="text2"/>
        </w:rPr>
        <w:t xml:space="preserve"> </w:t>
      </w:r>
      <w:r w:rsidR="00ED3654">
        <w:rPr>
          <w:color w:val="1F497D" w:themeColor="text2"/>
        </w:rPr>
        <w:t xml:space="preserve">IPM system is fully implemented, </w:t>
      </w:r>
      <w:r w:rsidR="009A30A2">
        <w:rPr>
          <w:color w:val="1F497D" w:themeColor="text2"/>
        </w:rPr>
        <w:t>respondents</w:t>
      </w:r>
      <w:r w:rsidR="00ED3654" w:rsidRPr="0058767A">
        <w:rPr>
          <w:color w:val="1F497D" w:themeColor="text2"/>
        </w:rPr>
        <w:t xml:space="preserve"> </w:t>
      </w:r>
      <w:r w:rsidR="00ED3654">
        <w:rPr>
          <w:color w:val="1F497D" w:themeColor="text2"/>
        </w:rPr>
        <w:t xml:space="preserve">will be required to enter </w:t>
      </w:r>
      <w:r w:rsidR="00A555D1">
        <w:rPr>
          <w:color w:val="1F497D" w:themeColor="text2"/>
        </w:rPr>
        <w:t xml:space="preserve">and/or update </w:t>
      </w:r>
      <w:r w:rsidR="00ED3654">
        <w:rPr>
          <w:color w:val="1F497D" w:themeColor="text2"/>
        </w:rPr>
        <w:t>the information through the partner portal that</w:t>
      </w:r>
      <w:r w:rsidR="009A30A2">
        <w:rPr>
          <w:color w:val="1F497D" w:themeColor="text2"/>
        </w:rPr>
        <w:t xml:space="preserve"> will</w:t>
      </w:r>
      <w:r w:rsidR="00ED3654">
        <w:rPr>
          <w:color w:val="1F497D" w:themeColor="text2"/>
        </w:rPr>
        <w:t xml:space="preserve"> re</w:t>
      </w:r>
      <w:r w:rsidR="009A30A2">
        <w:rPr>
          <w:color w:val="1F497D" w:themeColor="text2"/>
        </w:rPr>
        <w:t>side</w:t>
      </w:r>
      <w:r w:rsidR="00ED3654">
        <w:rPr>
          <w:color w:val="1F497D" w:themeColor="text2"/>
        </w:rPr>
        <w:t xml:space="preserve"> in the </w:t>
      </w:r>
      <w:r w:rsidR="00AE713C">
        <w:rPr>
          <w:color w:val="1F497D" w:themeColor="text2"/>
        </w:rPr>
        <w:t xml:space="preserve">IPM </w:t>
      </w:r>
      <w:r w:rsidR="00ED3654">
        <w:rPr>
          <w:color w:val="1F497D" w:themeColor="text2"/>
        </w:rPr>
        <w:t>system.</w:t>
      </w:r>
      <w:r w:rsidR="00AE713C">
        <w:rPr>
          <w:color w:val="1F497D" w:themeColor="text2"/>
        </w:rPr>
        <w:t xml:space="preserve">  The IPM system </w:t>
      </w:r>
      <w:r w:rsidR="00F6231C">
        <w:rPr>
          <w:color w:val="1F497D" w:themeColor="text2"/>
        </w:rPr>
        <w:t xml:space="preserve">data justification </w:t>
      </w:r>
      <w:r w:rsidR="00AE713C">
        <w:rPr>
          <w:color w:val="1F497D" w:themeColor="text2"/>
        </w:rPr>
        <w:t xml:space="preserve">will </w:t>
      </w:r>
      <w:r w:rsidR="00F6231C">
        <w:rPr>
          <w:color w:val="1F497D" w:themeColor="text2"/>
        </w:rPr>
        <w:t>be submitted through a separate OMB approval process.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8B3723" w:rsidRDefault="00AE713C" w:rsidP="00AE713C">
      <w:pPr>
        <w:pStyle w:val="NormalWeb"/>
        <w:spacing w:before="0" w:beforeAutospacing="0" w:after="0" w:afterAutospacing="0"/>
        <w:ind w:firstLine="0"/>
        <w:rPr>
          <w:color w:val="1F497D" w:themeColor="text2"/>
        </w:rPr>
      </w:pPr>
      <w:r w:rsidRPr="00AE713C">
        <w:rPr>
          <w:color w:val="1F497D" w:themeColor="text2"/>
        </w:rPr>
        <w:t>The Department does not</w:t>
      </w:r>
      <w:r>
        <w:rPr>
          <w:color w:val="1F497D" w:themeColor="text2"/>
        </w:rPr>
        <w:t xml:space="preserve"> currently </w:t>
      </w:r>
      <w:r w:rsidR="00194FB0">
        <w:rPr>
          <w:color w:val="1F497D" w:themeColor="text2"/>
        </w:rPr>
        <w:t xml:space="preserve">have a mechanism in place to </w:t>
      </w:r>
      <w:r>
        <w:rPr>
          <w:color w:val="1F497D" w:themeColor="text2"/>
        </w:rPr>
        <w:t>collect</w:t>
      </w:r>
      <w:r w:rsidR="004278BE">
        <w:rPr>
          <w:color w:val="1F497D" w:themeColor="text2"/>
        </w:rPr>
        <w:t xml:space="preserve"> </w:t>
      </w:r>
      <w:r>
        <w:rPr>
          <w:color w:val="1F497D" w:themeColor="text2"/>
        </w:rPr>
        <w:t xml:space="preserve">the information </w:t>
      </w:r>
      <w:r w:rsidR="004278BE">
        <w:rPr>
          <w:color w:val="1F497D" w:themeColor="text2"/>
        </w:rPr>
        <w:t xml:space="preserve">needed for effective oversight </w:t>
      </w:r>
      <w:r w:rsidR="0028277F">
        <w:rPr>
          <w:color w:val="1F497D" w:themeColor="text2"/>
        </w:rPr>
        <w:t xml:space="preserve">directly </w:t>
      </w:r>
      <w:r w:rsidR="008B3723">
        <w:rPr>
          <w:color w:val="1F497D" w:themeColor="text2"/>
        </w:rPr>
        <w:t xml:space="preserve">from </w:t>
      </w:r>
      <w:r w:rsidR="004278BE">
        <w:rPr>
          <w:color w:val="1F497D" w:themeColor="text2"/>
        </w:rPr>
        <w:t>the entities that partner with eligible higher education institutions to perform Title IV related functions.</w:t>
      </w:r>
      <w:r>
        <w:rPr>
          <w:color w:val="1F497D" w:themeColor="text2"/>
        </w:rPr>
        <w:t xml:space="preserve"> </w:t>
      </w:r>
      <w:r w:rsidR="004278BE">
        <w:rPr>
          <w:color w:val="1F497D" w:themeColor="text2"/>
        </w:rPr>
        <w:t xml:space="preserve"> </w:t>
      </w:r>
      <w:r>
        <w:rPr>
          <w:color w:val="1F497D" w:themeColor="text2"/>
        </w:rPr>
        <w:t xml:space="preserve">The </w:t>
      </w:r>
      <w:r w:rsidR="004278BE">
        <w:rPr>
          <w:color w:val="1F497D" w:themeColor="text2"/>
        </w:rPr>
        <w:t xml:space="preserve">minimal amount of </w:t>
      </w:r>
      <w:r w:rsidR="00D71E9B">
        <w:rPr>
          <w:color w:val="1F497D" w:themeColor="text2"/>
        </w:rPr>
        <w:t xml:space="preserve">third party servicer </w:t>
      </w:r>
      <w:r>
        <w:rPr>
          <w:color w:val="1F497D" w:themeColor="text2"/>
        </w:rPr>
        <w:t xml:space="preserve">information that is </w:t>
      </w:r>
      <w:r w:rsidR="004278BE">
        <w:rPr>
          <w:color w:val="1F497D" w:themeColor="text2"/>
        </w:rPr>
        <w:t>collected from</w:t>
      </w:r>
      <w:r>
        <w:rPr>
          <w:color w:val="1F497D" w:themeColor="text2"/>
        </w:rPr>
        <w:t xml:space="preserve"> higher education institutions </w:t>
      </w:r>
      <w:r w:rsidR="00D71E9B">
        <w:rPr>
          <w:color w:val="1F497D" w:themeColor="text2"/>
        </w:rPr>
        <w:t xml:space="preserve">through the E-App process </w:t>
      </w:r>
      <w:r>
        <w:rPr>
          <w:color w:val="1F497D" w:themeColor="text2"/>
        </w:rPr>
        <w:t>has been determined to be inaccurate, inconsisten</w:t>
      </w:r>
      <w:r w:rsidR="00194FB0">
        <w:rPr>
          <w:color w:val="1F497D" w:themeColor="text2"/>
        </w:rPr>
        <w:t>t, and limited in scope.</w:t>
      </w:r>
      <w:r w:rsidR="00D71E9B">
        <w:rPr>
          <w:color w:val="1F497D" w:themeColor="text2"/>
        </w:rPr>
        <w:t xml:space="preserve">  </w:t>
      </w:r>
    </w:p>
    <w:p w:rsidR="008B3723" w:rsidRDefault="008B3723" w:rsidP="00AE713C">
      <w:pPr>
        <w:pStyle w:val="NormalWeb"/>
        <w:spacing w:before="0" w:beforeAutospacing="0" w:after="0" w:afterAutospacing="0"/>
        <w:ind w:firstLine="0"/>
        <w:rPr>
          <w:color w:val="1F497D" w:themeColor="text2"/>
        </w:rPr>
      </w:pPr>
    </w:p>
    <w:p w:rsidR="00203D2F" w:rsidRDefault="00203D2F" w:rsidP="00AE713C">
      <w:pPr>
        <w:pStyle w:val="NormalWeb"/>
        <w:spacing w:before="0" w:beforeAutospacing="0" w:after="0" w:afterAutospacing="0"/>
        <w:ind w:firstLine="0"/>
        <w:rPr>
          <w:color w:val="1F497D" w:themeColor="text2"/>
        </w:rPr>
      </w:pPr>
      <w:r>
        <w:rPr>
          <w:color w:val="1F497D" w:themeColor="text2"/>
        </w:rPr>
        <w:t>In addition, t</w:t>
      </w:r>
      <w:r w:rsidRPr="00203D2F">
        <w:rPr>
          <w:color w:val="1F497D" w:themeColor="text2"/>
        </w:rPr>
        <w:t>he Department has received notification from institutions indicating that some servicers have instructed institutions to not report an entity as a third party servicer creating confusion in the community regarding who should or should not be reported as a third party servicer.</w:t>
      </w:r>
      <w:r>
        <w:rPr>
          <w:color w:val="1F497D" w:themeColor="text2"/>
        </w:rPr>
        <w:t xml:space="preserve">  As a result, t</w:t>
      </w:r>
      <w:r w:rsidR="004278BE">
        <w:rPr>
          <w:color w:val="1F497D" w:themeColor="text2"/>
        </w:rPr>
        <w:t>he Department has been unable to rely on the information reported</w:t>
      </w:r>
      <w:r>
        <w:rPr>
          <w:color w:val="1F497D" w:themeColor="text2"/>
        </w:rPr>
        <w:t xml:space="preserve"> by higher education institutions</w:t>
      </w:r>
      <w:r w:rsidR="004278BE">
        <w:rPr>
          <w:color w:val="1F497D" w:themeColor="text2"/>
        </w:rPr>
        <w:t xml:space="preserve"> to determine </w:t>
      </w:r>
      <w:r w:rsidR="00614EC4">
        <w:rPr>
          <w:color w:val="1F497D" w:themeColor="text2"/>
        </w:rPr>
        <w:t xml:space="preserve">servicer </w:t>
      </w:r>
      <w:r w:rsidR="004278BE">
        <w:rPr>
          <w:color w:val="1F497D" w:themeColor="text2"/>
        </w:rPr>
        <w:t xml:space="preserve">compliance with audit requirements </w:t>
      </w:r>
      <w:r>
        <w:rPr>
          <w:color w:val="1F497D" w:themeColor="text2"/>
        </w:rPr>
        <w:t>and/</w:t>
      </w:r>
      <w:r w:rsidR="004278BE">
        <w:rPr>
          <w:color w:val="1F497D" w:themeColor="text2"/>
        </w:rPr>
        <w:t xml:space="preserve">or to contact </w:t>
      </w:r>
      <w:r w:rsidR="00614EC4">
        <w:rPr>
          <w:color w:val="1F497D" w:themeColor="text2"/>
        </w:rPr>
        <w:t xml:space="preserve">servicers for purposes of scheduling program reviews or responding to inquiries.  </w:t>
      </w:r>
    </w:p>
    <w:p w:rsidR="00203D2F" w:rsidRDefault="00203D2F" w:rsidP="00AE713C">
      <w:pPr>
        <w:pStyle w:val="NormalWeb"/>
        <w:spacing w:before="0" w:beforeAutospacing="0" w:after="0" w:afterAutospacing="0"/>
        <w:ind w:firstLine="0"/>
        <w:rPr>
          <w:color w:val="1F497D" w:themeColor="text2"/>
        </w:rPr>
      </w:pPr>
    </w:p>
    <w:p w:rsidR="00386054" w:rsidRPr="00AE713C" w:rsidRDefault="004278BE" w:rsidP="00AE713C">
      <w:pPr>
        <w:pStyle w:val="NormalWeb"/>
        <w:spacing w:before="0" w:beforeAutospacing="0" w:after="0" w:afterAutospacing="0"/>
        <w:ind w:firstLine="0"/>
        <w:rPr>
          <w:color w:val="1F497D" w:themeColor="text2"/>
        </w:rPr>
      </w:pPr>
      <w:r>
        <w:rPr>
          <w:color w:val="1F497D" w:themeColor="text2"/>
        </w:rPr>
        <w:t xml:space="preserve">Reliance </w:t>
      </w:r>
      <w:r w:rsidR="000A2695">
        <w:rPr>
          <w:color w:val="1F497D" w:themeColor="text2"/>
        </w:rPr>
        <w:t xml:space="preserve">solely </w:t>
      </w:r>
      <w:r>
        <w:rPr>
          <w:color w:val="1F497D" w:themeColor="text2"/>
        </w:rPr>
        <w:t xml:space="preserve">on data reported from </w:t>
      </w:r>
      <w:r w:rsidR="00614EC4">
        <w:rPr>
          <w:color w:val="1F497D" w:themeColor="text2"/>
        </w:rPr>
        <w:t>higher education institutions has restricted the Department’s ability</w:t>
      </w:r>
      <w:r>
        <w:rPr>
          <w:color w:val="1F497D" w:themeColor="text2"/>
        </w:rPr>
        <w:t xml:space="preserve"> </w:t>
      </w:r>
      <w:r w:rsidR="00203D2F">
        <w:rPr>
          <w:color w:val="1F497D" w:themeColor="text2"/>
        </w:rPr>
        <w:t xml:space="preserve">to ensure third party servicers are complying with the statutes and regulations the Department has been </w:t>
      </w:r>
      <w:r w:rsidR="00D94D46">
        <w:rPr>
          <w:color w:val="1F497D" w:themeColor="text2"/>
        </w:rPr>
        <w:t>tasked</w:t>
      </w:r>
      <w:r w:rsidR="00203D2F">
        <w:rPr>
          <w:color w:val="1F497D" w:themeColor="text2"/>
        </w:rPr>
        <w:t xml:space="preserve"> with overseeing.  Requiring </w:t>
      </w:r>
      <w:r w:rsidR="0058767A" w:rsidRPr="0058767A">
        <w:rPr>
          <w:color w:val="1F497D" w:themeColor="text2"/>
        </w:rPr>
        <w:t>t</w:t>
      </w:r>
      <w:r w:rsidR="00276F48" w:rsidRPr="0058767A">
        <w:rPr>
          <w:color w:val="1F497D" w:themeColor="text2"/>
        </w:rPr>
        <w:t xml:space="preserve">hird </w:t>
      </w:r>
      <w:r w:rsidR="0058767A" w:rsidRPr="0058767A">
        <w:rPr>
          <w:color w:val="1F497D" w:themeColor="text2"/>
        </w:rPr>
        <w:t>p</w:t>
      </w:r>
      <w:r w:rsidR="00276F48" w:rsidRPr="0058767A">
        <w:rPr>
          <w:color w:val="1F497D" w:themeColor="text2"/>
        </w:rPr>
        <w:t xml:space="preserve">arty </w:t>
      </w:r>
      <w:r w:rsidR="0058767A" w:rsidRPr="0058767A">
        <w:rPr>
          <w:color w:val="1F497D" w:themeColor="text2"/>
        </w:rPr>
        <w:t>s</w:t>
      </w:r>
      <w:r w:rsidR="00276F48" w:rsidRPr="0058767A">
        <w:rPr>
          <w:color w:val="1F497D" w:themeColor="text2"/>
        </w:rPr>
        <w:t xml:space="preserve">ervicers </w:t>
      </w:r>
      <w:r w:rsidR="00276F48">
        <w:rPr>
          <w:color w:val="1F497D" w:themeColor="text2"/>
        </w:rPr>
        <w:t>to complete and submit</w:t>
      </w:r>
      <w:r w:rsidR="00203D2F">
        <w:rPr>
          <w:color w:val="1F497D" w:themeColor="text2"/>
        </w:rPr>
        <w:t xml:space="preserve"> the </w:t>
      </w:r>
      <w:r w:rsidR="00276F48">
        <w:rPr>
          <w:color w:val="1F497D" w:themeColor="text2"/>
        </w:rPr>
        <w:t xml:space="preserve">information contained on the </w:t>
      </w:r>
      <w:r w:rsidR="00203D2F">
        <w:rPr>
          <w:color w:val="1F497D" w:themeColor="text2"/>
        </w:rPr>
        <w:t xml:space="preserve">Third Party Servicer Data form will </w:t>
      </w:r>
      <w:r w:rsidR="00276F48">
        <w:rPr>
          <w:color w:val="1F497D" w:themeColor="text2"/>
        </w:rPr>
        <w:t xml:space="preserve">equip the Department with the </w:t>
      </w:r>
      <w:r w:rsidR="00A555D1">
        <w:rPr>
          <w:color w:val="1F497D" w:themeColor="text2"/>
        </w:rPr>
        <w:t xml:space="preserve">information </w:t>
      </w:r>
      <w:r w:rsidR="00276F48">
        <w:rPr>
          <w:color w:val="1F497D" w:themeColor="text2"/>
        </w:rPr>
        <w:t>necessary to effectively provide required oversight.</w:t>
      </w:r>
      <w:r w:rsidR="008B3723">
        <w:rPr>
          <w:color w:val="1F497D" w:themeColor="text2"/>
        </w:rPr>
        <w:t xml:space="preserve">  Approval of this data collection tool will allow the Department to request and obtain vital information directly from entities that have been identified as third party servicers regardless of whether or not the </w:t>
      </w:r>
      <w:r w:rsidR="0058767A" w:rsidRPr="0058767A">
        <w:rPr>
          <w:color w:val="1F497D" w:themeColor="text2"/>
        </w:rPr>
        <w:t>s</w:t>
      </w:r>
      <w:r w:rsidR="008B3723" w:rsidRPr="0058767A">
        <w:rPr>
          <w:color w:val="1F497D" w:themeColor="text2"/>
        </w:rPr>
        <w:t>ervicer</w:t>
      </w:r>
      <w:r w:rsidR="008B3723">
        <w:rPr>
          <w:color w:val="1F497D" w:themeColor="text2"/>
        </w:rPr>
        <w:t xml:space="preserve"> has been identified through the E-App process.</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8B3723">
      <w:pPr>
        <w:tabs>
          <w:tab w:val="left" w:pos="-720"/>
        </w:tabs>
        <w:suppressAutoHyphens/>
        <w:rPr>
          <w:rFonts w:ascii="Times New Roman" w:hAnsi="Times New Roman"/>
          <w:szCs w:val="24"/>
        </w:rPr>
      </w:pPr>
      <w:r>
        <w:rPr>
          <w:rFonts w:ascii="Times New Roman" w:hAnsi="Times New Roman"/>
          <w:color w:val="1F497D" w:themeColor="text2"/>
          <w:szCs w:val="24"/>
        </w:rPr>
        <w:t xml:space="preserve">No small businesses are affected by this information collection.  </w:t>
      </w: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8B3723" w:rsidRDefault="000A2695" w:rsidP="005F2002">
      <w:pPr>
        <w:tabs>
          <w:tab w:val="left" w:pos="-720"/>
        </w:tabs>
        <w:suppressAutoHyphens/>
        <w:rPr>
          <w:rFonts w:ascii="Times New Roman" w:hAnsi="Times New Roman"/>
          <w:color w:val="1F497D" w:themeColor="text2"/>
          <w:szCs w:val="24"/>
        </w:rPr>
      </w:pPr>
      <w:r>
        <w:rPr>
          <w:rFonts w:ascii="Times New Roman" w:hAnsi="Times New Roman"/>
          <w:color w:val="1F497D" w:themeColor="text2"/>
          <w:szCs w:val="24"/>
        </w:rPr>
        <w:t>As stated previously, r</w:t>
      </w:r>
      <w:r w:rsidRPr="000A2695">
        <w:rPr>
          <w:rFonts w:ascii="Times New Roman" w:hAnsi="Times New Roman"/>
          <w:color w:val="1F497D" w:themeColor="text2"/>
          <w:szCs w:val="24"/>
        </w:rPr>
        <w:t>eliance solely on data reported from higher education institutions has restricted the Department’s ability to ensure third party servicers are complying with the statutes and regulations the Department has been tasked with overseeing.</w:t>
      </w:r>
      <w:r>
        <w:rPr>
          <w:rFonts w:ascii="Times New Roman" w:hAnsi="Times New Roman"/>
          <w:color w:val="1F497D" w:themeColor="text2"/>
          <w:szCs w:val="24"/>
        </w:rPr>
        <w:t xml:space="preserve">  The Department must be able to easily identify and contact any entity that is involved in the administration of Title IV programs on behalf of a Title IV eligible institution or the students it serves.   The Department must have a method to validate the information reported by higher education institutions</w:t>
      </w:r>
      <w:r w:rsidR="00E7399D">
        <w:rPr>
          <w:rFonts w:ascii="Times New Roman" w:hAnsi="Times New Roman"/>
          <w:color w:val="1F497D" w:themeColor="text2"/>
          <w:szCs w:val="24"/>
        </w:rPr>
        <w:t xml:space="preserve"> and to resolve discrepancies when one or more entities report incorrect or conflicting information</w:t>
      </w:r>
      <w:r>
        <w:rPr>
          <w:rFonts w:ascii="Times New Roman" w:hAnsi="Times New Roman"/>
          <w:color w:val="1F497D" w:themeColor="text2"/>
          <w:szCs w:val="24"/>
        </w:rPr>
        <w:t xml:space="preserve">.  </w:t>
      </w:r>
    </w:p>
    <w:p w:rsidR="008B3723" w:rsidRDefault="008B3723" w:rsidP="005F2002">
      <w:pPr>
        <w:tabs>
          <w:tab w:val="left" w:pos="-720"/>
        </w:tabs>
        <w:suppressAutoHyphens/>
        <w:rPr>
          <w:rFonts w:ascii="Times New Roman" w:hAnsi="Times New Roman"/>
          <w:color w:val="1F497D" w:themeColor="text2"/>
          <w:szCs w:val="24"/>
        </w:rPr>
      </w:pPr>
    </w:p>
    <w:p w:rsidR="00386054" w:rsidRDefault="000A2695">
      <w:pPr>
        <w:tabs>
          <w:tab w:val="left" w:pos="-720"/>
        </w:tabs>
        <w:suppressAutoHyphens/>
        <w:rPr>
          <w:rFonts w:ascii="Times New Roman" w:hAnsi="Times New Roman"/>
          <w:color w:val="1F497D" w:themeColor="text2"/>
          <w:szCs w:val="24"/>
        </w:rPr>
      </w:pPr>
      <w:r>
        <w:rPr>
          <w:rFonts w:ascii="Times New Roman" w:hAnsi="Times New Roman"/>
          <w:color w:val="1F497D" w:themeColor="text2"/>
          <w:szCs w:val="24"/>
        </w:rPr>
        <w:t xml:space="preserve">Absent a data collection tool to request pertinent information from </w:t>
      </w:r>
      <w:r w:rsidR="00E7399D">
        <w:rPr>
          <w:rFonts w:ascii="Times New Roman" w:hAnsi="Times New Roman"/>
          <w:color w:val="1F497D" w:themeColor="text2"/>
          <w:szCs w:val="24"/>
        </w:rPr>
        <w:t>third party servicers</w:t>
      </w:r>
      <w:r>
        <w:rPr>
          <w:rFonts w:ascii="Times New Roman" w:hAnsi="Times New Roman"/>
          <w:color w:val="1F497D" w:themeColor="text2"/>
          <w:szCs w:val="24"/>
        </w:rPr>
        <w:t xml:space="preserve"> that contract with Title IV eligible institutions to perform one or more </w:t>
      </w:r>
      <w:r w:rsidR="008209E4">
        <w:rPr>
          <w:rFonts w:ascii="Times New Roman" w:hAnsi="Times New Roman"/>
          <w:color w:val="1F497D" w:themeColor="text2"/>
          <w:szCs w:val="24"/>
        </w:rPr>
        <w:t>Title IV related</w:t>
      </w:r>
      <w:r w:rsidR="008A27E1">
        <w:rPr>
          <w:rFonts w:ascii="Times New Roman" w:hAnsi="Times New Roman"/>
          <w:color w:val="1F497D" w:themeColor="text2"/>
          <w:szCs w:val="24"/>
        </w:rPr>
        <w:t xml:space="preserve"> </w:t>
      </w:r>
      <w:r>
        <w:rPr>
          <w:rFonts w:ascii="Times New Roman" w:hAnsi="Times New Roman"/>
          <w:color w:val="1F497D" w:themeColor="text2"/>
          <w:szCs w:val="24"/>
        </w:rPr>
        <w:t>functions, t</w:t>
      </w:r>
      <w:r w:rsidR="008E5BDD" w:rsidRPr="00D94D46">
        <w:rPr>
          <w:rFonts w:ascii="Times New Roman" w:hAnsi="Times New Roman"/>
          <w:color w:val="1F497D" w:themeColor="text2"/>
          <w:szCs w:val="24"/>
        </w:rPr>
        <w:t xml:space="preserve">he Department </w:t>
      </w:r>
      <w:r w:rsidR="008A27E1">
        <w:rPr>
          <w:rFonts w:ascii="Times New Roman" w:hAnsi="Times New Roman"/>
          <w:color w:val="1F497D" w:themeColor="text2"/>
          <w:szCs w:val="24"/>
        </w:rPr>
        <w:t>lacks</w:t>
      </w:r>
      <w:r w:rsidR="00D94D46" w:rsidRPr="00D94D46">
        <w:rPr>
          <w:rFonts w:ascii="Times New Roman" w:hAnsi="Times New Roman"/>
          <w:color w:val="1F497D" w:themeColor="text2"/>
          <w:szCs w:val="24"/>
        </w:rPr>
        <w:t xml:space="preserve"> adequate information</w:t>
      </w:r>
      <w:r w:rsidR="008A27E1">
        <w:rPr>
          <w:rFonts w:ascii="Times New Roman" w:hAnsi="Times New Roman"/>
          <w:color w:val="1F497D" w:themeColor="text2"/>
          <w:szCs w:val="24"/>
        </w:rPr>
        <w:t xml:space="preserve"> that is necessary</w:t>
      </w:r>
      <w:r w:rsidR="00D94D46" w:rsidRPr="00D94D46">
        <w:rPr>
          <w:rFonts w:ascii="Times New Roman" w:hAnsi="Times New Roman"/>
          <w:color w:val="1F497D" w:themeColor="text2"/>
          <w:szCs w:val="24"/>
        </w:rPr>
        <w:t xml:space="preserve"> to </w:t>
      </w:r>
      <w:r w:rsidR="008A27E1">
        <w:rPr>
          <w:rFonts w:ascii="Times New Roman" w:hAnsi="Times New Roman"/>
          <w:color w:val="1F497D" w:themeColor="text2"/>
          <w:szCs w:val="24"/>
        </w:rPr>
        <w:t>ensure compliance with the laws, regulations, and policies that govern the programs.  Failure to collect this information</w:t>
      </w:r>
      <w:r w:rsidR="00E7399D">
        <w:rPr>
          <w:rFonts w:ascii="Times New Roman" w:hAnsi="Times New Roman"/>
          <w:color w:val="1F497D" w:themeColor="text2"/>
          <w:szCs w:val="24"/>
        </w:rPr>
        <w:t xml:space="preserve"> </w:t>
      </w:r>
      <w:r w:rsidR="00D51615">
        <w:rPr>
          <w:rFonts w:ascii="Times New Roman" w:hAnsi="Times New Roman"/>
          <w:color w:val="1F497D" w:themeColor="text2"/>
          <w:szCs w:val="24"/>
        </w:rPr>
        <w:t>jeopardiz</w:t>
      </w:r>
      <w:r w:rsidR="008A27E1">
        <w:rPr>
          <w:rFonts w:ascii="Times New Roman" w:hAnsi="Times New Roman"/>
          <w:color w:val="1F497D" w:themeColor="text2"/>
          <w:szCs w:val="24"/>
        </w:rPr>
        <w:t>es</w:t>
      </w:r>
      <w:r w:rsidR="00D51615">
        <w:rPr>
          <w:rFonts w:ascii="Times New Roman" w:hAnsi="Times New Roman"/>
          <w:color w:val="1F497D" w:themeColor="text2"/>
          <w:szCs w:val="24"/>
        </w:rPr>
        <w:t xml:space="preserve"> the Department’s </w:t>
      </w:r>
      <w:r w:rsidR="008A27E1">
        <w:rPr>
          <w:rFonts w:ascii="Times New Roman" w:hAnsi="Times New Roman"/>
          <w:color w:val="1F497D" w:themeColor="text2"/>
          <w:szCs w:val="24"/>
        </w:rPr>
        <w:t xml:space="preserve">ability to fulfill its </w:t>
      </w:r>
      <w:r w:rsidR="00D51615">
        <w:rPr>
          <w:rFonts w:ascii="Times New Roman" w:hAnsi="Times New Roman"/>
          <w:color w:val="1F497D" w:themeColor="text2"/>
          <w:szCs w:val="24"/>
        </w:rPr>
        <w:t xml:space="preserve">fiduciary responsibility </w:t>
      </w:r>
      <w:r w:rsidR="008209E4">
        <w:rPr>
          <w:rFonts w:ascii="Times New Roman" w:hAnsi="Times New Roman"/>
          <w:color w:val="1F497D" w:themeColor="text2"/>
          <w:szCs w:val="24"/>
        </w:rPr>
        <w:t>of</w:t>
      </w:r>
      <w:r w:rsidR="00D51615">
        <w:rPr>
          <w:rFonts w:ascii="Times New Roman" w:hAnsi="Times New Roman"/>
          <w:color w:val="1F497D" w:themeColor="text2"/>
          <w:szCs w:val="24"/>
        </w:rPr>
        <w:t xml:space="preserve"> safeguard</w:t>
      </w:r>
      <w:r w:rsidR="008209E4">
        <w:rPr>
          <w:rFonts w:ascii="Times New Roman" w:hAnsi="Times New Roman"/>
          <w:color w:val="1F497D" w:themeColor="text2"/>
          <w:szCs w:val="24"/>
        </w:rPr>
        <w:t>ing</w:t>
      </w:r>
      <w:r w:rsidR="00D51615">
        <w:rPr>
          <w:rFonts w:ascii="Times New Roman" w:hAnsi="Times New Roman"/>
          <w:color w:val="1F497D" w:themeColor="text2"/>
          <w:szCs w:val="24"/>
        </w:rPr>
        <w:t xml:space="preserve"> taxpayer interest</w:t>
      </w:r>
      <w:r w:rsidR="00E7399D">
        <w:rPr>
          <w:rFonts w:ascii="Times New Roman" w:hAnsi="Times New Roman"/>
          <w:color w:val="1F497D" w:themeColor="text2"/>
          <w:szCs w:val="24"/>
        </w:rPr>
        <w:t xml:space="preserve"> </w:t>
      </w:r>
      <w:r w:rsidR="008209E4">
        <w:rPr>
          <w:rFonts w:ascii="Times New Roman" w:hAnsi="Times New Roman"/>
          <w:color w:val="1F497D" w:themeColor="text2"/>
          <w:szCs w:val="24"/>
        </w:rPr>
        <w:t>and</w:t>
      </w:r>
      <w:r>
        <w:rPr>
          <w:rFonts w:ascii="Times New Roman" w:hAnsi="Times New Roman"/>
          <w:color w:val="1F497D" w:themeColor="text2"/>
          <w:szCs w:val="24"/>
        </w:rPr>
        <w:t xml:space="preserve"> ensuring</w:t>
      </w:r>
      <w:r w:rsidR="00D94D46" w:rsidRPr="00D94D46">
        <w:rPr>
          <w:rFonts w:ascii="Times New Roman" w:hAnsi="Times New Roman"/>
          <w:color w:val="1F497D" w:themeColor="text2"/>
          <w:szCs w:val="24"/>
        </w:rPr>
        <w:t xml:space="preserve"> all participants in the system of funding postsecondary education serve the interests of students.</w:t>
      </w:r>
      <w:r w:rsidR="00D51615">
        <w:rPr>
          <w:rFonts w:ascii="Times New Roman" w:hAnsi="Times New Roman"/>
          <w:color w:val="1F497D" w:themeColor="text2"/>
          <w:szCs w:val="24"/>
        </w:rPr>
        <w:t xml:space="preserve">  </w:t>
      </w:r>
    </w:p>
    <w:p w:rsidR="008A27E1" w:rsidRPr="00EF7FF5" w:rsidRDefault="008A27E1">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4B0170" w:rsidRDefault="00C13173">
      <w:pPr>
        <w:tabs>
          <w:tab w:val="left" w:pos="-720"/>
        </w:tabs>
        <w:suppressAutoHyphens/>
        <w:rPr>
          <w:rFonts w:ascii="Times New Roman" w:hAnsi="Times New Roman"/>
          <w:color w:val="1F497D" w:themeColor="text2"/>
        </w:rPr>
      </w:pPr>
      <w:r>
        <w:rPr>
          <w:rFonts w:ascii="Times New Roman" w:hAnsi="Times New Roman"/>
          <w:color w:val="1F497D" w:themeColor="text2"/>
        </w:rPr>
        <w:t xml:space="preserve">Entities will be required to submit the </w:t>
      </w:r>
      <w:r w:rsidR="00D12900">
        <w:rPr>
          <w:rFonts w:ascii="Times New Roman" w:hAnsi="Times New Roman"/>
          <w:color w:val="1F497D" w:themeColor="text2"/>
        </w:rPr>
        <w:t xml:space="preserve">initial </w:t>
      </w:r>
      <w:r w:rsidR="00873FFE" w:rsidRPr="004B0170">
        <w:rPr>
          <w:rFonts w:ascii="Times New Roman" w:hAnsi="Times New Roman"/>
          <w:color w:val="1F497D" w:themeColor="text2"/>
        </w:rPr>
        <w:t xml:space="preserve">Third Party Servicer Data Form within, but no later </w:t>
      </w:r>
      <w:r w:rsidR="00873FFE" w:rsidRPr="0058767A">
        <w:rPr>
          <w:rFonts w:ascii="Times New Roman" w:hAnsi="Times New Roman"/>
          <w:color w:val="1F497D" w:themeColor="text2"/>
        </w:rPr>
        <w:t>than</w:t>
      </w:r>
      <w:r w:rsidR="00D77A89" w:rsidRPr="0058767A">
        <w:rPr>
          <w:rFonts w:ascii="Times New Roman" w:hAnsi="Times New Roman"/>
          <w:color w:val="1F497D" w:themeColor="text2"/>
        </w:rPr>
        <w:t>,</w:t>
      </w:r>
      <w:r w:rsidR="00873FFE" w:rsidRPr="0058767A">
        <w:rPr>
          <w:rFonts w:ascii="Times New Roman" w:hAnsi="Times New Roman"/>
          <w:color w:val="1F497D" w:themeColor="text2"/>
        </w:rPr>
        <w:t xml:space="preserve"> </w:t>
      </w:r>
      <w:r w:rsidR="00873FFE" w:rsidRPr="004B0170">
        <w:rPr>
          <w:rFonts w:ascii="Times New Roman" w:hAnsi="Times New Roman"/>
          <w:color w:val="1F497D" w:themeColor="text2"/>
        </w:rPr>
        <w:t>30 days after</w:t>
      </w:r>
      <w:r>
        <w:rPr>
          <w:rFonts w:ascii="Times New Roman" w:hAnsi="Times New Roman"/>
          <w:color w:val="1F497D" w:themeColor="text2"/>
        </w:rPr>
        <w:t xml:space="preserve"> receiving notification of the requirement.  </w:t>
      </w:r>
      <w:r w:rsidR="00C363D9">
        <w:rPr>
          <w:rFonts w:ascii="Times New Roman" w:hAnsi="Times New Roman"/>
          <w:color w:val="1F497D" w:themeColor="text2"/>
        </w:rPr>
        <w:t xml:space="preserve">Consistent with the requirements of higher education institutions pursuant to </w:t>
      </w:r>
      <w:r w:rsidR="00C363D9" w:rsidRPr="00C363D9">
        <w:rPr>
          <w:rFonts w:ascii="Times New Roman" w:hAnsi="Times New Roman"/>
          <w:color w:val="1F497D" w:themeColor="text2"/>
        </w:rPr>
        <w:t>34 C.F.R. § 668.25(e)(1)</w:t>
      </w:r>
      <w:r w:rsidR="00C363D9">
        <w:rPr>
          <w:rFonts w:ascii="Times New Roman" w:hAnsi="Times New Roman"/>
          <w:color w:val="1F497D" w:themeColor="text2"/>
        </w:rPr>
        <w:t xml:space="preserve">, third party </w:t>
      </w:r>
      <w:r w:rsidR="00C363D9" w:rsidRPr="0058767A">
        <w:rPr>
          <w:rFonts w:ascii="Times New Roman" w:hAnsi="Times New Roman"/>
          <w:color w:val="1F497D" w:themeColor="text2"/>
        </w:rPr>
        <w:t xml:space="preserve">servicers </w:t>
      </w:r>
      <w:r w:rsidRPr="0058767A">
        <w:rPr>
          <w:rFonts w:ascii="Times New Roman" w:hAnsi="Times New Roman"/>
          <w:color w:val="1F497D" w:themeColor="text2"/>
        </w:rPr>
        <w:t xml:space="preserve">will </w:t>
      </w:r>
      <w:r>
        <w:rPr>
          <w:rFonts w:ascii="Times New Roman" w:hAnsi="Times New Roman"/>
          <w:color w:val="1F497D" w:themeColor="text2"/>
        </w:rPr>
        <w:t xml:space="preserve">be required to </w:t>
      </w:r>
      <w:r w:rsidR="004E7F0A">
        <w:rPr>
          <w:rFonts w:ascii="Times New Roman" w:hAnsi="Times New Roman"/>
          <w:color w:val="1F497D" w:themeColor="text2"/>
        </w:rPr>
        <w:t>submit revised</w:t>
      </w:r>
      <w:r>
        <w:rPr>
          <w:rFonts w:ascii="Times New Roman" w:hAnsi="Times New Roman"/>
          <w:color w:val="1F497D" w:themeColor="text2"/>
        </w:rPr>
        <w:t xml:space="preserve"> </w:t>
      </w:r>
      <w:r w:rsidR="00D12900">
        <w:rPr>
          <w:rFonts w:ascii="Times New Roman" w:hAnsi="Times New Roman"/>
          <w:color w:val="1F497D" w:themeColor="text2"/>
        </w:rPr>
        <w:t>information</w:t>
      </w:r>
      <w:r>
        <w:rPr>
          <w:rFonts w:ascii="Times New Roman" w:hAnsi="Times New Roman"/>
          <w:color w:val="1F497D" w:themeColor="text2"/>
        </w:rPr>
        <w:t xml:space="preserve"> </w:t>
      </w:r>
      <w:r w:rsidR="00C363D9">
        <w:rPr>
          <w:rFonts w:ascii="Times New Roman" w:hAnsi="Times New Roman"/>
          <w:color w:val="1F497D" w:themeColor="text2"/>
        </w:rPr>
        <w:t>within 10 days of the date:</w:t>
      </w:r>
    </w:p>
    <w:p w:rsidR="00873FFE" w:rsidRPr="004B0170" w:rsidRDefault="00873FFE" w:rsidP="00873FFE">
      <w:pPr>
        <w:pStyle w:val="ListParagraph"/>
        <w:numPr>
          <w:ilvl w:val="0"/>
          <w:numId w:val="13"/>
        </w:numPr>
        <w:tabs>
          <w:tab w:val="left" w:pos="-720"/>
        </w:tabs>
        <w:suppressAutoHyphens/>
        <w:rPr>
          <w:rFonts w:ascii="Times New Roman" w:hAnsi="Times New Roman"/>
          <w:color w:val="1F497D" w:themeColor="text2"/>
        </w:rPr>
      </w:pPr>
      <w:r w:rsidRPr="004B0170">
        <w:rPr>
          <w:rFonts w:ascii="Times New Roman" w:hAnsi="Times New Roman"/>
          <w:color w:val="1F497D" w:themeColor="text2"/>
        </w:rPr>
        <w:t>The entity change</w:t>
      </w:r>
      <w:r w:rsidR="00C13173">
        <w:rPr>
          <w:rFonts w:ascii="Times New Roman" w:hAnsi="Times New Roman"/>
          <w:color w:val="1F497D" w:themeColor="text2"/>
        </w:rPr>
        <w:t>s its name</w:t>
      </w:r>
      <w:r w:rsidRPr="004B0170">
        <w:rPr>
          <w:rFonts w:ascii="Times New Roman" w:hAnsi="Times New Roman"/>
          <w:color w:val="1F497D" w:themeColor="text2"/>
        </w:rPr>
        <w:t>;</w:t>
      </w:r>
    </w:p>
    <w:p w:rsidR="00873FFE" w:rsidRDefault="00873FFE" w:rsidP="00873FFE">
      <w:pPr>
        <w:pStyle w:val="ListParagraph"/>
        <w:numPr>
          <w:ilvl w:val="0"/>
          <w:numId w:val="13"/>
        </w:numPr>
        <w:tabs>
          <w:tab w:val="left" w:pos="-720"/>
        </w:tabs>
        <w:suppressAutoHyphens/>
        <w:rPr>
          <w:rFonts w:ascii="Times New Roman" w:hAnsi="Times New Roman"/>
          <w:color w:val="1F497D" w:themeColor="text2"/>
        </w:rPr>
      </w:pPr>
      <w:r w:rsidRPr="004B0170">
        <w:rPr>
          <w:rFonts w:ascii="Times New Roman" w:hAnsi="Times New Roman"/>
          <w:color w:val="1F497D" w:themeColor="text2"/>
        </w:rPr>
        <w:t xml:space="preserve">The entity changes the address </w:t>
      </w:r>
      <w:r w:rsidR="00D12900">
        <w:rPr>
          <w:rFonts w:ascii="Times New Roman" w:hAnsi="Times New Roman"/>
          <w:color w:val="1F497D" w:themeColor="text2"/>
        </w:rPr>
        <w:t>or contact information for</w:t>
      </w:r>
      <w:r w:rsidRPr="004B0170">
        <w:rPr>
          <w:rFonts w:ascii="Times New Roman" w:hAnsi="Times New Roman"/>
          <w:color w:val="1F497D" w:themeColor="text2"/>
        </w:rPr>
        <w:t xml:space="preserve"> a primary</w:t>
      </w:r>
      <w:r w:rsidR="00C13173">
        <w:rPr>
          <w:rFonts w:ascii="Times New Roman" w:hAnsi="Times New Roman"/>
          <w:color w:val="1F497D" w:themeColor="text2"/>
        </w:rPr>
        <w:t xml:space="preserve"> location</w:t>
      </w:r>
      <w:r w:rsidRPr="004B0170">
        <w:rPr>
          <w:rFonts w:ascii="Times New Roman" w:hAnsi="Times New Roman"/>
          <w:color w:val="1F497D" w:themeColor="text2"/>
        </w:rPr>
        <w:t xml:space="preserve"> </w:t>
      </w:r>
      <w:r w:rsidR="00C13173">
        <w:rPr>
          <w:rFonts w:ascii="Times New Roman" w:hAnsi="Times New Roman"/>
          <w:color w:val="1F497D" w:themeColor="text2"/>
        </w:rPr>
        <w:t xml:space="preserve">or </w:t>
      </w:r>
      <w:r w:rsidRPr="004B0170">
        <w:rPr>
          <w:rFonts w:ascii="Times New Roman" w:hAnsi="Times New Roman"/>
          <w:color w:val="1F497D" w:themeColor="text2"/>
        </w:rPr>
        <w:t>additional location</w:t>
      </w:r>
      <w:r w:rsidR="00C13173">
        <w:rPr>
          <w:rFonts w:ascii="Times New Roman" w:hAnsi="Times New Roman"/>
          <w:color w:val="1F497D" w:themeColor="text2"/>
        </w:rPr>
        <w:t>;</w:t>
      </w:r>
    </w:p>
    <w:p w:rsidR="00873FFE" w:rsidRPr="0028277F" w:rsidRDefault="00C13173" w:rsidP="0028277F">
      <w:pPr>
        <w:pStyle w:val="ListParagraph"/>
        <w:numPr>
          <w:ilvl w:val="0"/>
          <w:numId w:val="13"/>
        </w:numPr>
        <w:tabs>
          <w:tab w:val="left" w:pos="-720"/>
        </w:tabs>
        <w:suppressAutoHyphens/>
        <w:rPr>
          <w:rFonts w:ascii="Times New Roman" w:hAnsi="Times New Roman"/>
          <w:color w:val="1F497D" w:themeColor="text2"/>
        </w:rPr>
      </w:pPr>
      <w:r>
        <w:rPr>
          <w:rFonts w:ascii="Times New Roman" w:hAnsi="Times New Roman"/>
          <w:color w:val="1F497D" w:themeColor="text2"/>
        </w:rPr>
        <w:t>The entity adds or terminates a contract with an eligible Title IV institution;</w:t>
      </w:r>
      <w:r w:rsidR="0028277F">
        <w:rPr>
          <w:rFonts w:ascii="Times New Roman" w:hAnsi="Times New Roman"/>
          <w:color w:val="1F497D" w:themeColor="text2"/>
        </w:rPr>
        <w:t xml:space="preserve"> </w:t>
      </w:r>
      <w:r w:rsidR="00D12900" w:rsidRPr="0028277F">
        <w:rPr>
          <w:rFonts w:ascii="Times New Roman" w:hAnsi="Times New Roman"/>
          <w:color w:val="1F497D" w:themeColor="text2"/>
        </w:rPr>
        <w:t xml:space="preserve">or </w:t>
      </w:r>
    </w:p>
    <w:p w:rsidR="00873FFE" w:rsidRPr="004B0170" w:rsidRDefault="00873FFE" w:rsidP="00873FFE">
      <w:pPr>
        <w:pStyle w:val="ListParagraph"/>
        <w:numPr>
          <w:ilvl w:val="0"/>
          <w:numId w:val="13"/>
        </w:numPr>
        <w:tabs>
          <w:tab w:val="left" w:pos="-720"/>
        </w:tabs>
        <w:suppressAutoHyphens/>
        <w:rPr>
          <w:rFonts w:ascii="Times New Roman" w:hAnsi="Times New Roman"/>
          <w:color w:val="1F497D" w:themeColor="text2"/>
        </w:rPr>
      </w:pPr>
      <w:r w:rsidRPr="004B0170">
        <w:rPr>
          <w:rFonts w:ascii="Times New Roman" w:hAnsi="Times New Roman"/>
          <w:color w:val="1F497D" w:themeColor="text2"/>
        </w:rPr>
        <w:t>The entity buys, sells, or merges wi</w:t>
      </w:r>
      <w:r w:rsidR="00D12900">
        <w:rPr>
          <w:rFonts w:ascii="Times New Roman" w:hAnsi="Times New Roman"/>
          <w:color w:val="1F497D" w:themeColor="text2"/>
        </w:rPr>
        <w:t>th another third party servicer.</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0B0004" w:rsidRPr="000B0004" w:rsidRDefault="000B0004" w:rsidP="000B0004">
      <w:pPr>
        <w:tabs>
          <w:tab w:val="left" w:pos="-720"/>
        </w:tabs>
        <w:suppressAutoHyphens/>
        <w:rPr>
          <w:rFonts w:ascii="Times New Roman" w:hAnsi="Times New Roman"/>
          <w:color w:val="1F497D" w:themeColor="text2"/>
        </w:rPr>
      </w:pPr>
      <w:r w:rsidRPr="000B0004">
        <w:rPr>
          <w:rFonts w:ascii="Times New Roman" w:hAnsi="Times New Roman"/>
          <w:color w:val="1F497D" w:themeColor="text2"/>
        </w:rPr>
        <w:t xml:space="preserve">We published the 60-day Federal Register Notice inviting public comment.  </w:t>
      </w:r>
      <w:r w:rsidR="00802790">
        <w:rPr>
          <w:rFonts w:ascii="Times New Roman" w:hAnsi="Times New Roman"/>
          <w:color w:val="1F497D" w:themeColor="text2"/>
        </w:rPr>
        <w:t>Comments</w:t>
      </w:r>
      <w:r w:rsidRPr="000B0004">
        <w:rPr>
          <w:rFonts w:ascii="Times New Roman" w:hAnsi="Times New Roman"/>
          <w:color w:val="1F497D" w:themeColor="text2"/>
        </w:rPr>
        <w:t xml:space="preserve"> w</w:t>
      </w:r>
      <w:r w:rsidR="00802790">
        <w:rPr>
          <w:rFonts w:ascii="Times New Roman" w:hAnsi="Times New Roman"/>
          <w:color w:val="1F497D" w:themeColor="text2"/>
        </w:rPr>
        <w:t>ere</w:t>
      </w:r>
      <w:r w:rsidRPr="000B0004">
        <w:rPr>
          <w:rFonts w:ascii="Times New Roman" w:hAnsi="Times New Roman"/>
          <w:color w:val="1F497D" w:themeColor="text2"/>
        </w:rPr>
        <w:t xml:space="preserve"> received from </w:t>
      </w:r>
      <w:r w:rsidR="00802790">
        <w:rPr>
          <w:rFonts w:ascii="Times New Roman" w:hAnsi="Times New Roman"/>
          <w:color w:val="1F497D" w:themeColor="text2"/>
        </w:rPr>
        <w:t>two external entities</w:t>
      </w:r>
      <w:r w:rsidRPr="000B0004">
        <w:rPr>
          <w:rFonts w:ascii="Times New Roman" w:hAnsi="Times New Roman"/>
          <w:color w:val="1F497D" w:themeColor="text2"/>
        </w:rPr>
        <w:t xml:space="preserve">.  </w:t>
      </w:r>
      <w:r w:rsidR="00802790">
        <w:rPr>
          <w:rFonts w:ascii="Times New Roman" w:hAnsi="Times New Roman"/>
          <w:color w:val="1F497D" w:themeColor="text2"/>
        </w:rPr>
        <w:t>The form was updated based on the comments received.  A description of the updates</w:t>
      </w:r>
      <w:r w:rsidR="00C97EF0">
        <w:rPr>
          <w:rFonts w:ascii="Times New Roman" w:hAnsi="Times New Roman"/>
          <w:color w:val="1F497D" w:themeColor="text2"/>
        </w:rPr>
        <w:t xml:space="preserve"> made to the form and</w:t>
      </w:r>
      <w:r w:rsidR="00802790">
        <w:rPr>
          <w:rFonts w:ascii="Times New Roman" w:hAnsi="Times New Roman"/>
          <w:color w:val="1F497D" w:themeColor="text2"/>
        </w:rPr>
        <w:t xml:space="preserve"> </w:t>
      </w:r>
      <w:r w:rsidR="00C97EF0">
        <w:rPr>
          <w:rFonts w:ascii="Times New Roman" w:hAnsi="Times New Roman"/>
          <w:color w:val="1F497D" w:themeColor="text2"/>
        </w:rPr>
        <w:t>the Department’s response</w:t>
      </w:r>
      <w:r w:rsidR="00802790">
        <w:rPr>
          <w:rFonts w:ascii="Times New Roman" w:hAnsi="Times New Roman"/>
          <w:color w:val="1F497D" w:themeColor="text2"/>
        </w:rPr>
        <w:t xml:space="preserve"> to </w:t>
      </w:r>
      <w:r w:rsidR="00C97EF0">
        <w:rPr>
          <w:rFonts w:ascii="Times New Roman" w:hAnsi="Times New Roman"/>
          <w:color w:val="1F497D" w:themeColor="text2"/>
        </w:rPr>
        <w:t>the general</w:t>
      </w:r>
      <w:r w:rsidR="00802790">
        <w:rPr>
          <w:rFonts w:ascii="Times New Roman" w:hAnsi="Times New Roman"/>
          <w:color w:val="1F497D" w:themeColor="text2"/>
        </w:rPr>
        <w:t xml:space="preserve"> comments </w:t>
      </w:r>
      <w:r w:rsidR="00C97EF0">
        <w:rPr>
          <w:rFonts w:ascii="Times New Roman" w:hAnsi="Times New Roman"/>
          <w:color w:val="1F497D" w:themeColor="text2"/>
        </w:rPr>
        <w:t xml:space="preserve">submitted are included as </w:t>
      </w:r>
      <w:r w:rsidRPr="000B0004">
        <w:rPr>
          <w:rFonts w:ascii="Times New Roman" w:hAnsi="Times New Roman"/>
          <w:color w:val="1F497D" w:themeColor="text2"/>
        </w:rPr>
        <w:t>an attachment to this filing.  This notice is the final 30-day Federal Register Notice inviting public comment.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F7936" w:rsidRPr="004E7F0A" w:rsidRDefault="004E7F0A" w:rsidP="005F2002">
      <w:pPr>
        <w:tabs>
          <w:tab w:val="left" w:pos="-720"/>
        </w:tabs>
        <w:suppressAutoHyphens/>
        <w:rPr>
          <w:rFonts w:ascii="Times New Roman" w:hAnsi="Times New Roman"/>
          <w:color w:val="1F497D" w:themeColor="text2"/>
          <w:szCs w:val="24"/>
        </w:rPr>
      </w:pPr>
      <w:r w:rsidRPr="004E7F0A">
        <w:rPr>
          <w:rFonts w:ascii="Times New Roman" w:hAnsi="Times New Roman"/>
          <w:color w:val="1F497D" w:themeColor="text2"/>
          <w:szCs w:val="24"/>
        </w:rPr>
        <w:t>No gifts or payments will be provided to any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r w:rsidR="00DF4923">
        <w:rPr>
          <w:rFonts w:ascii="Times New Roman" w:hAnsi="Times New Roman"/>
          <w:szCs w:val="24"/>
        </w:rPr>
        <w:t xml:space="preserve">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w:t>
      </w:r>
      <w:r w:rsidR="001743A5" w:rsidRPr="0058767A">
        <w:rPr>
          <w:rFonts w:ascii="Times New Roman" w:hAnsi="Times New Roman"/>
          <w:szCs w:val="24"/>
        </w:rPr>
        <w:t>confidential</w:t>
      </w:r>
      <w:r w:rsidR="0058767A" w:rsidRPr="0058767A">
        <w:rPr>
          <w:rFonts w:ascii="Times New Roman" w:hAnsi="Times New Roman"/>
          <w:szCs w:val="24"/>
        </w:rPr>
        <w:t>it</w:t>
      </w:r>
      <w:r w:rsidR="001743A5" w:rsidRPr="0058767A">
        <w:rPr>
          <w:rFonts w:ascii="Times New Roman" w:hAnsi="Times New Roman"/>
          <w:szCs w:val="24"/>
        </w:rPr>
        <w:t>y</w:t>
      </w:r>
      <w:r w:rsidR="001743A5">
        <w:rPr>
          <w:rFonts w:ascii="Times New Roman" w:hAnsi="Times New Roman"/>
          <w:szCs w:val="24"/>
        </w:rPr>
        <w:t xml:space="preserve"> of the data.</w:t>
      </w:r>
      <w:proofErr w:type="gramEnd"/>
    </w:p>
    <w:p w:rsidR="00386054" w:rsidRPr="00EF7FF5" w:rsidRDefault="00386054">
      <w:pPr>
        <w:tabs>
          <w:tab w:val="left" w:pos="-720"/>
        </w:tabs>
        <w:suppressAutoHyphens/>
        <w:rPr>
          <w:rFonts w:ascii="Times New Roman" w:hAnsi="Times New Roman"/>
          <w:szCs w:val="24"/>
        </w:rPr>
      </w:pPr>
    </w:p>
    <w:p w:rsidR="004E7F0A" w:rsidRPr="004E7F0A" w:rsidRDefault="004E7F0A" w:rsidP="004E7F0A">
      <w:pPr>
        <w:tabs>
          <w:tab w:val="left" w:pos="-720"/>
        </w:tabs>
        <w:suppressAutoHyphens/>
        <w:rPr>
          <w:rFonts w:ascii="Times New Roman" w:hAnsi="Times New Roman"/>
          <w:color w:val="1F497D" w:themeColor="text2"/>
          <w:szCs w:val="24"/>
        </w:rPr>
      </w:pPr>
      <w:r w:rsidRPr="004E7F0A">
        <w:rPr>
          <w:rFonts w:ascii="Times New Roman" w:hAnsi="Times New Roman"/>
          <w:color w:val="1F497D" w:themeColor="text2"/>
          <w:szCs w:val="24"/>
        </w:rPr>
        <w:t xml:space="preserve">The Department makes no pledge about the </w:t>
      </w:r>
      <w:r w:rsidRPr="0058767A">
        <w:rPr>
          <w:rFonts w:ascii="Times New Roman" w:hAnsi="Times New Roman"/>
          <w:color w:val="1F497D" w:themeColor="text2"/>
          <w:szCs w:val="24"/>
        </w:rPr>
        <w:t>confidential</w:t>
      </w:r>
      <w:r w:rsidR="00D77A89" w:rsidRPr="0058767A">
        <w:rPr>
          <w:rFonts w:ascii="Times New Roman" w:hAnsi="Times New Roman"/>
          <w:color w:val="1F497D" w:themeColor="text2"/>
          <w:szCs w:val="24"/>
        </w:rPr>
        <w:t>ity</w:t>
      </w:r>
      <w:r w:rsidRPr="004E7F0A">
        <w:rPr>
          <w:rFonts w:ascii="Times New Roman" w:hAnsi="Times New Roman"/>
          <w:color w:val="1F497D" w:themeColor="text2"/>
          <w:szCs w:val="24"/>
        </w:rPr>
        <w:t xml:space="preserve"> of the data.</w:t>
      </w:r>
    </w:p>
    <w:p w:rsidR="00A536B5" w:rsidRDefault="00A536B5">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E7F0A" w:rsidRDefault="004E7F0A" w:rsidP="004E7F0A">
      <w:pPr>
        <w:pStyle w:val="FootnoteText"/>
        <w:rPr>
          <w:rFonts w:ascii="Times New Roman" w:hAnsi="Times New Roman"/>
          <w:sz w:val="20"/>
        </w:rPr>
      </w:pPr>
    </w:p>
    <w:p w:rsidR="004E7F0A" w:rsidRPr="00EF7FF5" w:rsidRDefault="004E7F0A" w:rsidP="004E7F0A">
      <w:pPr>
        <w:tabs>
          <w:tab w:val="left" w:pos="-720"/>
        </w:tabs>
        <w:suppressAutoHyphens/>
        <w:rPr>
          <w:rFonts w:ascii="Times New Roman" w:hAnsi="Times New Roman"/>
          <w:szCs w:val="24"/>
        </w:rPr>
      </w:pPr>
      <w:r w:rsidRPr="004E7F0A">
        <w:rPr>
          <w:rFonts w:ascii="Times New Roman" w:hAnsi="Times New Roman"/>
          <w:color w:val="1F497D" w:themeColor="text2"/>
          <w:szCs w:val="24"/>
        </w:rPr>
        <w:t>The Department is not collecting information of a sensitive nature.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00A536B5">
        <w:rPr>
          <w:rStyle w:val="a"/>
          <w:rFonts w:ascii="Times New Roman" w:hAnsi="Times New Roman"/>
          <w:szCs w:val="24"/>
        </w:rPr>
        <w:t xml:space="preserve">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72530" w:rsidRDefault="00D72530" w:rsidP="00592D69">
      <w:pPr>
        <w:tabs>
          <w:tab w:val="left" w:pos="-720"/>
        </w:tabs>
        <w:suppressAutoHyphens/>
        <w:rPr>
          <w:rFonts w:ascii="Times New Roman" w:hAnsi="Times New Roman"/>
          <w:color w:val="1F497D" w:themeColor="text2"/>
          <w:szCs w:val="24"/>
        </w:rPr>
      </w:pPr>
    </w:p>
    <w:p w:rsidR="00641448" w:rsidRDefault="00A555D1" w:rsidP="00592D69">
      <w:pPr>
        <w:tabs>
          <w:tab w:val="left" w:pos="-720"/>
        </w:tabs>
        <w:suppressAutoHyphens/>
        <w:rPr>
          <w:rFonts w:ascii="Times New Roman" w:hAnsi="Times New Roman"/>
          <w:color w:val="1F497D" w:themeColor="text2"/>
          <w:szCs w:val="24"/>
        </w:rPr>
      </w:pPr>
      <w:r>
        <w:rPr>
          <w:rFonts w:ascii="Times New Roman" w:hAnsi="Times New Roman"/>
          <w:color w:val="1F497D" w:themeColor="text2"/>
          <w:szCs w:val="24"/>
        </w:rPr>
        <w:t xml:space="preserve">The Department </w:t>
      </w:r>
      <w:r w:rsidR="00DB296A">
        <w:rPr>
          <w:rFonts w:ascii="Times New Roman" w:hAnsi="Times New Roman"/>
          <w:color w:val="1F497D" w:themeColor="text2"/>
          <w:szCs w:val="24"/>
        </w:rPr>
        <w:t>anticipate</w:t>
      </w:r>
      <w:r>
        <w:rPr>
          <w:rFonts w:ascii="Times New Roman" w:hAnsi="Times New Roman"/>
          <w:color w:val="1F497D" w:themeColor="text2"/>
          <w:szCs w:val="24"/>
        </w:rPr>
        <w:t>s</w:t>
      </w:r>
      <w:r w:rsidR="00DB296A">
        <w:rPr>
          <w:rFonts w:ascii="Times New Roman" w:hAnsi="Times New Roman"/>
          <w:color w:val="1F497D" w:themeColor="text2"/>
          <w:szCs w:val="24"/>
        </w:rPr>
        <w:t xml:space="preserve"> an initial response of </w:t>
      </w:r>
      <w:r w:rsidR="008A27E1">
        <w:rPr>
          <w:rFonts w:ascii="Times New Roman" w:hAnsi="Times New Roman"/>
          <w:color w:val="1F497D" w:themeColor="text2"/>
          <w:szCs w:val="24"/>
        </w:rPr>
        <w:t>approximately</w:t>
      </w:r>
      <w:r>
        <w:rPr>
          <w:rFonts w:ascii="Times New Roman" w:hAnsi="Times New Roman"/>
          <w:color w:val="1F497D" w:themeColor="text2"/>
          <w:szCs w:val="24"/>
        </w:rPr>
        <w:t xml:space="preserve"> </w:t>
      </w:r>
      <w:r w:rsidR="00106F06">
        <w:rPr>
          <w:rFonts w:ascii="Times New Roman" w:hAnsi="Times New Roman"/>
          <w:color w:val="1F497D" w:themeColor="text2"/>
          <w:szCs w:val="24"/>
        </w:rPr>
        <w:t>600</w:t>
      </w:r>
      <w:r w:rsidR="00DB296A">
        <w:rPr>
          <w:rFonts w:ascii="Times New Roman" w:hAnsi="Times New Roman"/>
          <w:color w:val="1F497D" w:themeColor="text2"/>
          <w:szCs w:val="24"/>
        </w:rPr>
        <w:t xml:space="preserve"> third party servicers based on </w:t>
      </w:r>
      <w:r>
        <w:rPr>
          <w:rFonts w:ascii="Times New Roman" w:hAnsi="Times New Roman"/>
          <w:color w:val="1F497D" w:themeColor="text2"/>
          <w:szCs w:val="24"/>
        </w:rPr>
        <w:t xml:space="preserve">the </w:t>
      </w:r>
      <w:r w:rsidR="00DB296A">
        <w:rPr>
          <w:rFonts w:ascii="Times New Roman" w:hAnsi="Times New Roman"/>
          <w:color w:val="1F497D" w:themeColor="text2"/>
          <w:szCs w:val="24"/>
        </w:rPr>
        <w:t>initial mailing.</w:t>
      </w:r>
      <w:r>
        <w:rPr>
          <w:rFonts w:ascii="Times New Roman" w:hAnsi="Times New Roman"/>
          <w:color w:val="1F497D" w:themeColor="text2"/>
          <w:szCs w:val="24"/>
        </w:rPr>
        <w:t xml:space="preserve"> </w:t>
      </w:r>
      <w:r w:rsidR="00DB296A">
        <w:rPr>
          <w:rFonts w:ascii="Times New Roman" w:hAnsi="Times New Roman"/>
          <w:color w:val="1F497D" w:themeColor="text2"/>
          <w:szCs w:val="24"/>
        </w:rPr>
        <w:t xml:space="preserve"> Of the </w:t>
      </w:r>
      <w:r w:rsidR="00106F06">
        <w:rPr>
          <w:rFonts w:ascii="Times New Roman" w:hAnsi="Times New Roman"/>
          <w:color w:val="1F497D" w:themeColor="text2"/>
          <w:szCs w:val="24"/>
        </w:rPr>
        <w:t>600</w:t>
      </w:r>
      <w:r>
        <w:rPr>
          <w:rFonts w:ascii="Times New Roman" w:hAnsi="Times New Roman"/>
          <w:color w:val="1F497D" w:themeColor="text2"/>
          <w:szCs w:val="24"/>
        </w:rPr>
        <w:t xml:space="preserve">, the Department </w:t>
      </w:r>
      <w:r w:rsidR="00DD6EA5">
        <w:rPr>
          <w:rFonts w:ascii="Times New Roman" w:hAnsi="Times New Roman"/>
          <w:color w:val="1F497D" w:themeColor="text2"/>
          <w:szCs w:val="24"/>
        </w:rPr>
        <w:t>anticipate</w:t>
      </w:r>
      <w:r>
        <w:rPr>
          <w:rFonts w:ascii="Times New Roman" w:hAnsi="Times New Roman"/>
          <w:color w:val="1F497D" w:themeColor="text2"/>
          <w:szCs w:val="24"/>
        </w:rPr>
        <w:t>s</w:t>
      </w:r>
      <w:r w:rsidR="00DD6EA5">
        <w:rPr>
          <w:rFonts w:ascii="Times New Roman" w:hAnsi="Times New Roman"/>
          <w:color w:val="1F497D" w:themeColor="text2"/>
          <w:szCs w:val="24"/>
        </w:rPr>
        <w:t xml:space="preserve"> that</w:t>
      </w:r>
      <w:r w:rsidR="00DB296A">
        <w:rPr>
          <w:rFonts w:ascii="Times New Roman" w:hAnsi="Times New Roman"/>
          <w:color w:val="1F497D" w:themeColor="text2"/>
          <w:szCs w:val="24"/>
        </w:rPr>
        <w:t xml:space="preserve"> </w:t>
      </w:r>
      <w:r w:rsidR="00DD6EA5">
        <w:rPr>
          <w:rFonts w:ascii="Times New Roman" w:hAnsi="Times New Roman"/>
          <w:color w:val="1F497D" w:themeColor="text2"/>
          <w:szCs w:val="24"/>
        </w:rPr>
        <w:t>400</w:t>
      </w:r>
      <w:r w:rsidR="008A27E1">
        <w:rPr>
          <w:rFonts w:ascii="Times New Roman" w:hAnsi="Times New Roman"/>
          <w:color w:val="1F497D" w:themeColor="text2"/>
          <w:szCs w:val="24"/>
        </w:rPr>
        <w:t xml:space="preserve"> respondents will be</w:t>
      </w:r>
      <w:r w:rsidR="00DB296A">
        <w:rPr>
          <w:rFonts w:ascii="Times New Roman" w:hAnsi="Times New Roman"/>
          <w:color w:val="1F497D" w:themeColor="text2"/>
          <w:szCs w:val="24"/>
        </w:rPr>
        <w:t xml:space="preserve"> for-profit servicers, </w:t>
      </w:r>
      <w:r w:rsidR="00DD6EA5">
        <w:rPr>
          <w:rFonts w:ascii="Times New Roman" w:hAnsi="Times New Roman"/>
          <w:color w:val="1F497D" w:themeColor="text2"/>
          <w:szCs w:val="24"/>
        </w:rPr>
        <w:t>100</w:t>
      </w:r>
      <w:r w:rsidR="008A27E1">
        <w:rPr>
          <w:rFonts w:ascii="Times New Roman" w:hAnsi="Times New Roman"/>
          <w:color w:val="1F497D" w:themeColor="text2"/>
          <w:szCs w:val="24"/>
        </w:rPr>
        <w:t xml:space="preserve"> respondents will be</w:t>
      </w:r>
      <w:r w:rsidR="00DB296A">
        <w:rPr>
          <w:rFonts w:ascii="Times New Roman" w:hAnsi="Times New Roman"/>
          <w:color w:val="1F497D" w:themeColor="text2"/>
          <w:szCs w:val="24"/>
        </w:rPr>
        <w:t xml:space="preserve"> </w:t>
      </w:r>
      <w:r w:rsidR="00DB296A" w:rsidRPr="00DF4923">
        <w:rPr>
          <w:rFonts w:ascii="Times New Roman" w:hAnsi="Times New Roman"/>
          <w:color w:val="1F497D" w:themeColor="text2"/>
          <w:szCs w:val="24"/>
        </w:rPr>
        <w:t>not</w:t>
      </w:r>
      <w:r w:rsidR="00DF4923" w:rsidRPr="00DF4923">
        <w:rPr>
          <w:rFonts w:ascii="Times New Roman" w:hAnsi="Times New Roman"/>
          <w:color w:val="1F497D" w:themeColor="text2"/>
          <w:szCs w:val="24"/>
        </w:rPr>
        <w:t>-</w:t>
      </w:r>
      <w:r w:rsidR="00DB296A">
        <w:rPr>
          <w:rFonts w:ascii="Times New Roman" w:hAnsi="Times New Roman"/>
          <w:color w:val="1F497D" w:themeColor="text2"/>
          <w:szCs w:val="24"/>
        </w:rPr>
        <w:t xml:space="preserve">for-profit servicers, </w:t>
      </w:r>
      <w:r w:rsidR="00DD6EA5">
        <w:rPr>
          <w:rFonts w:ascii="Times New Roman" w:hAnsi="Times New Roman"/>
          <w:color w:val="1F497D" w:themeColor="text2"/>
          <w:szCs w:val="24"/>
        </w:rPr>
        <w:t>50</w:t>
      </w:r>
      <w:r w:rsidR="008A27E1">
        <w:rPr>
          <w:rFonts w:ascii="Times New Roman" w:hAnsi="Times New Roman"/>
          <w:color w:val="1F497D" w:themeColor="text2"/>
          <w:szCs w:val="24"/>
        </w:rPr>
        <w:t xml:space="preserve"> respondents will be</w:t>
      </w:r>
      <w:r w:rsidR="00DB296A">
        <w:rPr>
          <w:rFonts w:ascii="Times New Roman" w:hAnsi="Times New Roman"/>
          <w:color w:val="1F497D" w:themeColor="text2"/>
          <w:szCs w:val="24"/>
        </w:rPr>
        <w:t xml:space="preserve"> State servicers</w:t>
      </w:r>
      <w:r w:rsidR="000B4578">
        <w:rPr>
          <w:rFonts w:ascii="Times New Roman" w:hAnsi="Times New Roman"/>
          <w:color w:val="1F497D" w:themeColor="text2"/>
          <w:szCs w:val="24"/>
        </w:rPr>
        <w:t xml:space="preserve"> and </w:t>
      </w:r>
      <w:r w:rsidR="00DD6EA5">
        <w:rPr>
          <w:rFonts w:ascii="Times New Roman" w:hAnsi="Times New Roman"/>
          <w:color w:val="1F497D" w:themeColor="text2"/>
          <w:szCs w:val="24"/>
        </w:rPr>
        <w:t>50</w:t>
      </w:r>
      <w:r w:rsidR="000B4578">
        <w:rPr>
          <w:rFonts w:ascii="Times New Roman" w:hAnsi="Times New Roman"/>
          <w:color w:val="1F497D" w:themeColor="text2"/>
          <w:szCs w:val="24"/>
        </w:rPr>
        <w:t xml:space="preserve"> </w:t>
      </w:r>
      <w:r w:rsidR="008A27E1">
        <w:rPr>
          <w:rFonts w:ascii="Times New Roman" w:hAnsi="Times New Roman"/>
          <w:color w:val="1F497D" w:themeColor="text2"/>
          <w:szCs w:val="24"/>
        </w:rPr>
        <w:t xml:space="preserve">respondents will be </w:t>
      </w:r>
      <w:r w:rsidR="00D77A89" w:rsidRPr="00DF4923">
        <w:rPr>
          <w:rFonts w:ascii="Times New Roman" w:hAnsi="Times New Roman"/>
          <w:color w:val="1F497D" w:themeColor="text2"/>
          <w:szCs w:val="24"/>
        </w:rPr>
        <w:t>i</w:t>
      </w:r>
      <w:r w:rsidR="000B4578">
        <w:rPr>
          <w:rFonts w:ascii="Times New Roman" w:hAnsi="Times New Roman"/>
          <w:color w:val="1F497D" w:themeColor="text2"/>
          <w:szCs w:val="24"/>
        </w:rPr>
        <w:t>ndividuals</w:t>
      </w:r>
      <w:r w:rsidR="00DB296A">
        <w:rPr>
          <w:rFonts w:ascii="Times New Roman" w:hAnsi="Times New Roman"/>
          <w:color w:val="1F497D" w:themeColor="text2"/>
          <w:szCs w:val="24"/>
        </w:rPr>
        <w:t xml:space="preserve">.  </w:t>
      </w:r>
      <w:r>
        <w:rPr>
          <w:rFonts w:ascii="Times New Roman" w:hAnsi="Times New Roman"/>
          <w:color w:val="1F497D" w:themeColor="text2"/>
          <w:szCs w:val="24"/>
        </w:rPr>
        <w:t xml:space="preserve">The Department </w:t>
      </w:r>
      <w:r w:rsidR="00DB296A">
        <w:rPr>
          <w:rFonts w:ascii="Times New Roman" w:hAnsi="Times New Roman"/>
          <w:color w:val="1F497D" w:themeColor="text2"/>
          <w:szCs w:val="24"/>
        </w:rPr>
        <w:t>estimate</w:t>
      </w:r>
      <w:r>
        <w:rPr>
          <w:rFonts w:ascii="Times New Roman" w:hAnsi="Times New Roman"/>
          <w:color w:val="1F497D" w:themeColor="text2"/>
          <w:szCs w:val="24"/>
        </w:rPr>
        <w:t>s</w:t>
      </w:r>
      <w:r w:rsidR="00DB296A">
        <w:rPr>
          <w:rFonts w:ascii="Times New Roman" w:hAnsi="Times New Roman"/>
          <w:color w:val="1F497D" w:themeColor="text2"/>
          <w:szCs w:val="24"/>
        </w:rPr>
        <w:t xml:space="preserve"> that </w:t>
      </w:r>
      <w:r>
        <w:rPr>
          <w:rFonts w:ascii="Times New Roman" w:hAnsi="Times New Roman"/>
          <w:color w:val="1F497D" w:themeColor="text2"/>
          <w:szCs w:val="24"/>
        </w:rPr>
        <w:t xml:space="preserve">it </w:t>
      </w:r>
      <w:r w:rsidR="00DB296A">
        <w:rPr>
          <w:rFonts w:ascii="Times New Roman" w:hAnsi="Times New Roman"/>
          <w:color w:val="1F497D" w:themeColor="text2"/>
          <w:szCs w:val="24"/>
        </w:rPr>
        <w:t xml:space="preserve">will take </w:t>
      </w:r>
      <w:r w:rsidR="00303944">
        <w:rPr>
          <w:rFonts w:ascii="Times New Roman" w:hAnsi="Times New Roman"/>
          <w:color w:val="1F497D" w:themeColor="text2"/>
          <w:szCs w:val="24"/>
        </w:rPr>
        <w:t xml:space="preserve">an average of 75 </w:t>
      </w:r>
      <w:r w:rsidR="00DB296A">
        <w:rPr>
          <w:rFonts w:ascii="Times New Roman" w:hAnsi="Times New Roman"/>
          <w:color w:val="1F497D" w:themeColor="text2"/>
          <w:szCs w:val="24"/>
        </w:rPr>
        <w:t>minutes to complete the Third Party Servicer Data Form and return it to the Department.</w:t>
      </w:r>
    </w:p>
    <w:p w:rsidR="00DB296A" w:rsidRDefault="00DB296A" w:rsidP="00592D69">
      <w:pPr>
        <w:tabs>
          <w:tab w:val="left" w:pos="-720"/>
        </w:tabs>
        <w:suppressAutoHyphens/>
        <w:rPr>
          <w:rFonts w:ascii="Times New Roman" w:hAnsi="Times New Roman"/>
          <w:color w:val="1F497D" w:themeColor="text2"/>
          <w:szCs w:val="24"/>
        </w:rPr>
      </w:pPr>
    </w:p>
    <w:p w:rsidR="00DB296A" w:rsidRDefault="00DB296A" w:rsidP="00592D69">
      <w:pPr>
        <w:tabs>
          <w:tab w:val="left" w:pos="-720"/>
        </w:tabs>
        <w:suppressAutoHyphens/>
        <w:rPr>
          <w:rFonts w:ascii="Times New Roman" w:hAnsi="Times New Roman"/>
          <w:color w:val="1F497D" w:themeColor="text2"/>
          <w:szCs w:val="24"/>
        </w:rPr>
      </w:pPr>
      <w:r>
        <w:rPr>
          <w:rFonts w:ascii="Times New Roman" w:hAnsi="Times New Roman"/>
          <w:color w:val="1F497D" w:themeColor="text2"/>
          <w:szCs w:val="24"/>
        </w:rPr>
        <w:t xml:space="preserve">Therefore, </w:t>
      </w:r>
      <w:r w:rsidR="00A555D1">
        <w:rPr>
          <w:rFonts w:ascii="Times New Roman" w:hAnsi="Times New Roman"/>
          <w:color w:val="1F497D" w:themeColor="text2"/>
          <w:szCs w:val="24"/>
        </w:rPr>
        <w:t xml:space="preserve">the Department </w:t>
      </w:r>
      <w:r>
        <w:rPr>
          <w:rFonts w:ascii="Times New Roman" w:hAnsi="Times New Roman"/>
          <w:color w:val="1F497D" w:themeColor="text2"/>
          <w:szCs w:val="24"/>
        </w:rPr>
        <w:t>estimate</w:t>
      </w:r>
      <w:r w:rsidR="00A555D1">
        <w:rPr>
          <w:rFonts w:ascii="Times New Roman" w:hAnsi="Times New Roman"/>
          <w:color w:val="1F497D" w:themeColor="text2"/>
          <w:szCs w:val="24"/>
        </w:rPr>
        <w:t>s</w:t>
      </w:r>
      <w:r>
        <w:rPr>
          <w:rFonts w:ascii="Times New Roman" w:hAnsi="Times New Roman"/>
          <w:color w:val="1F497D" w:themeColor="text2"/>
          <w:szCs w:val="24"/>
        </w:rPr>
        <w:t xml:space="preserve"> the total burden for this information collection to be </w:t>
      </w:r>
      <w:r w:rsidR="005E55C1">
        <w:rPr>
          <w:rFonts w:ascii="Times New Roman" w:hAnsi="Times New Roman"/>
          <w:color w:val="1F497D" w:themeColor="text2"/>
          <w:szCs w:val="24"/>
        </w:rPr>
        <w:t>750 hours.</w:t>
      </w:r>
      <w:r>
        <w:rPr>
          <w:rFonts w:ascii="Times New Roman" w:hAnsi="Times New Roman"/>
          <w:color w:val="1F497D" w:themeColor="text2"/>
          <w:szCs w:val="24"/>
        </w:rPr>
        <w:t xml:space="preserve"> </w:t>
      </w:r>
    </w:p>
    <w:p w:rsidR="00DB296A" w:rsidRDefault="00DB296A" w:rsidP="00592D69">
      <w:pPr>
        <w:tabs>
          <w:tab w:val="left" w:pos="-720"/>
        </w:tabs>
        <w:suppressAutoHyphens/>
        <w:rPr>
          <w:rFonts w:ascii="Times New Roman" w:hAnsi="Times New Roman"/>
          <w:color w:val="1F497D" w:themeColor="text2"/>
          <w:szCs w:val="24"/>
        </w:rPr>
      </w:pPr>
    </w:p>
    <w:tbl>
      <w:tblPr>
        <w:tblStyle w:val="TableGrid"/>
        <w:tblW w:w="10008" w:type="dxa"/>
        <w:tblLook w:val="04A0" w:firstRow="1" w:lastRow="0" w:firstColumn="1" w:lastColumn="0" w:noHBand="0" w:noVBand="1"/>
      </w:tblPr>
      <w:tblGrid>
        <w:gridCol w:w="2628"/>
        <w:gridCol w:w="2700"/>
        <w:gridCol w:w="2070"/>
        <w:gridCol w:w="2610"/>
      </w:tblGrid>
      <w:tr w:rsidR="005E55C1" w:rsidTr="00E27FDA">
        <w:tc>
          <w:tcPr>
            <w:tcW w:w="2628" w:type="dxa"/>
          </w:tcPr>
          <w:p w:rsidR="005E55C1" w:rsidRPr="00F0044A" w:rsidRDefault="005E55C1" w:rsidP="00E27FDA">
            <w:pPr>
              <w:jc w:val="center"/>
              <w:rPr>
                <w:rFonts w:ascii="Times New Roman" w:hAnsi="Times New Roman"/>
                <w:b/>
                <w:szCs w:val="24"/>
              </w:rPr>
            </w:pPr>
            <w:r w:rsidRPr="00F0044A">
              <w:rPr>
                <w:rFonts w:ascii="Times New Roman" w:hAnsi="Times New Roman"/>
                <w:b/>
                <w:szCs w:val="24"/>
              </w:rPr>
              <w:t>Type of Respondent</w:t>
            </w:r>
          </w:p>
        </w:tc>
        <w:tc>
          <w:tcPr>
            <w:tcW w:w="2700" w:type="dxa"/>
          </w:tcPr>
          <w:p w:rsidR="005E55C1" w:rsidRPr="00F0044A" w:rsidRDefault="005E55C1" w:rsidP="00E27FDA">
            <w:pPr>
              <w:jc w:val="center"/>
              <w:rPr>
                <w:rFonts w:ascii="Times New Roman" w:hAnsi="Times New Roman"/>
                <w:b/>
                <w:szCs w:val="24"/>
              </w:rPr>
            </w:pPr>
            <w:r w:rsidRPr="00F0044A">
              <w:rPr>
                <w:rFonts w:ascii="Times New Roman" w:hAnsi="Times New Roman"/>
                <w:b/>
                <w:szCs w:val="24"/>
              </w:rPr>
              <w:t>Number of Responses</w:t>
            </w:r>
          </w:p>
        </w:tc>
        <w:tc>
          <w:tcPr>
            <w:tcW w:w="2070" w:type="dxa"/>
          </w:tcPr>
          <w:p w:rsidR="005E55C1" w:rsidRPr="00F0044A" w:rsidRDefault="005E55C1" w:rsidP="00E27FDA">
            <w:pPr>
              <w:jc w:val="center"/>
              <w:rPr>
                <w:rFonts w:ascii="Times New Roman" w:hAnsi="Times New Roman"/>
                <w:b/>
                <w:szCs w:val="24"/>
              </w:rPr>
            </w:pPr>
            <w:r w:rsidRPr="00F0044A">
              <w:rPr>
                <w:rFonts w:ascii="Times New Roman" w:hAnsi="Times New Roman"/>
                <w:b/>
                <w:szCs w:val="24"/>
              </w:rPr>
              <w:t>Time/Response</w:t>
            </w:r>
          </w:p>
        </w:tc>
        <w:tc>
          <w:tcPr>
            <w:tcW w:w="2610" w:type="dxa"/>
          </w:tcPr>
          <w:p w:rsidR="005E55C1" w:rsidRPr="00F0044A" w:rsidRDefault="005E55C1" w:rsidP="00E27FDA">
            <w:pPr>
              <w:jc w:val="center"/>
              <w:rPr>
                <w:rFonts w:ascii="Times New Roman" w:hAnsi="Times New Roman"/>
                <w:b/>
                <w:szCs w:val="24"/>
              </w:rPr>
            </w:pPr>
            <w:r w:rsidRPr="00F0044A">
              <w:rPr>
                <w:rFonts w:ascii="Times New Roman" w:hAnsi="Times New Roman"/>
                <w:b/>
                <w:szCs w:val="24"/>
              </w:rPr>
              <w:t>Total Time</w:t>
            </w:r>
          </w:p>
        </w:tc>
      </w:tr>
      <w:tr w:rsidR="005E55C1" w:rsidTr="00E27FDA">
        <w:tc>
          <w:tcPr>
            <w:tcW w:w="2628" w:type="dxa"/>
          </w:tcPr>
          <w:p w:rsidR="005E55C1" w:rsidRPr="00F0044A" w:rsidRDefault="005E55C1" w:rsidP="00E27FDA">
            <w:pPr>
              <w:rPr>
                <w:rFonts w:ascii="Times New Roman" w:hAnsi="Times New Roman"/>
                <w:szCs w:val="24"/>
              </w:rPr>
            </w:pPr>
            <w:r w:rsidRPr="00F0044A">
              <w:rPr>
                <w:rFonts w:ascii="Times New Roman" w:hAnsi="Times New Roman"/>
                <w:szCs w:val="24"/>
              </w:rPr>
              <w:t>For-profit servicer</w:t>
            </w:r>
          </w:p>
        </w:tc>
        <w:tc>
          <w:tcPr>
            <w:tcW w:w="2700" w:type="dxa"/>
          </w:tcPr>
          <w:p w:rsidR="005E55C1" w:rsidRPr="00F0044A" w:rsidRDefault="005E55C1" w:rsidP="00E27FDA">
            <w:pPr>
              <w:jc w:val="center"/>
              <w:rPr>
                <w:rFonts w:ascii="Times New Roman" w:hAnsi="Times New Roman"/>
                <w:szCs w:val="24"/>
              </w:rPr>
            </w:pPr>
            <w:r w:rsidRPr="00F0044A">
              <w:rPr>
                <w:rFonts w:ascii="Times New Roman" w:hAnsi="Times New Roman"/>
                <w:szCs w:val="24"/>
              </w:rPr>
              <w:t>400</w:t>
            </w:r>
          </w:p>
        </w:tc>
        <w:tc>
          <w:tcPr>
            <w:tcW w:w="2070" w:type="dxa"/>
          </w:tcPr>
          <w:p w:rsidR="005E55C1" w:rsidRPr="00F0044A" w:rsidRDefault="005E55C1" w:rsidP="00E27FDA">
            <w:pPr>
              <w:jc w:val="center"/>
              <w:rPr>
                <w:rFonts w:ascii="Times New Roman" w:hAnsi="Times New Roman"/>
                <w:szCs w:val="24"/>
              </w:rPr>
            </w:pPr>
            <w:r w:rsidRPr="00F0044A">
              <w:rPr>
                <w:rFonts w:ascii="Times New Roman" w:hAnsi="Times New Roman"/>
                <w:szCs w:val="24"/>
              </w:rPr>
              <w:t>90 minutes</w:t>
            </w:r>
          </w:p>
        </w:tc>
        <w:tc>
          <w:tcPr>
            <w:tcW w:w="2610" w:type="dxa"/>
          </w:tcPr>
          <w:p w:rsidR="005E55C1" w:rsidRPr="00F0044A" w:rsidRDefault="005E55C1" w:rsidP="00E27FDA">
            <w:pPr>
              <w:jc w:val="center"/>
              <w:rPr>
                <w:rFonts w:ascii="Times New Roman" w:hAnsi="Times New Roman"/>
                <w:szCs w:val="24"/>
              </w:rPr>
            </w:pPr>
            <w:r>
              <w:rPr>
                <w:rFonts w:ascii="Times New Roman" w:hAnsi="Times New Roman"/>
                <w:szCs w:val="24"/>
              </w:rPr>
              <w:t>36,000 minutes</w:t>
            </w:r>
          </w:p>
        </w:tc>
      </w:tr>
      <w:tr w:rsidR="005E55C1" w:rsidTr="00E27FDA">
        <w:tc>
          <w:tcPr>
            <w:tcW w:w="2628" w:type="dxa"/>
          </w:tcPr>
          <w:p w:rsidR="005E55C1" w:rsidRPr="00F0044A" w:rsidRDefault="005E55C1" w:rsidP="00E27FDA">
            <w:pPr>
              <w:rPr>
                <w:rFonts w:ascii="Times New Roman" w:hAnsi="Times New Roman"/>
                <w:szCs w:val="24"/>
              </w:rPr>
            </w:pPr>
            <w:r w:rsidRPr="00F0044A">
              <w:rPr>
                <w:rFonts w:ascii="Times New Roman" w:hAnsi="Times New Roman"/>
                <w:szCs w:val="24"/>
              </w:rPr>
              <w:t>Not-for-profit servicer</w:t>
            </w:r>
          </w:p>
        </w:tc>
        <w:tc>
          <w:tcPr>
            <w:tcW w:w="2700" w:type="dxa"/>
          </w:tcPr>
          <w:p w:rsidR="005E55C1" w:rsidRPr="00F0044A" w:rsidRDefault="005E55C1" w:rsidP="00E27FDA">
            <w:pPr>
              <w:jc w:val="center"/>
              <w:rPr>
                <w:rFonts w:ascii="Times New Roman" w:hAnsi="Times New Roman"/>
                <w:szCs w:val="24"/>
              </w:rPr>
            </w:pPr>
            <w:r w:rsidRPr="00F0044A">
              <w:rPr>
                <w:rFonts w:ascii="Times New Roman" w:hAnsi="Times New Roman"/>
                <w:szCs w:val="24"/>
              </w:rPr>
              <w:t>100</w:t>
            </w:r>
          </w:p>
        </w:tc>
        <w:tc>
          <w:tcPr>
            <w:tcW w:w="2070" w:type="dxa"/>
          </w:tcPr>
          <w:p w:rsidR="005E55C1" w:rsidRPr="00F0044A" w:rsidRDefault="005E55C1" w:rsidP="00E27FDA">
            <w:pPr>
              <w:jc w:val="center"/>
              <w:rPr>
                <w:rFonts w:ascii="Times New Roman" w:hAnsi="Times New Roman"/>
                <w:szCs w:val="24"/>
              </w:rPr>
            </w:pPr>
            <w:r w:rsidRPr="00F0044A">
              <w:rPr>
                <w:rFonts w:ascii="Times New Roman" w:hAnsi="Times New Roman"/>
                <w:szCs w:val="24"/>
              </w:rPr>
              <w:t>60 minutes</w:t>
            </w:r>
          </w:p>
        </w:tc>
        <w:tc>
          <w:tcPr>
            <w:tcW w:w="2610" w:type="dxa"/>
          </w:tcPr>
          <w:p w:rsidR="005E55C1" w:rsidRPr="00F0044A" w:rsidRDefault="005E55C1" w:rsidP="00E27FDA">
            <w:pPr>
              <w:jc w:val="center"/>
              <w:rPr>
                <w:rFonts w:ascii="Times New Roman" w:hAnsi="Times New Roman"/>
                <w:szCs w:val="24"/>
              </w:rPr>
            </w:pPr>
            <w:r>
              <w:rPr>
                <w:rFonts w:ascii="Times New Roman" w:hAnsi="Times New Roman"/>
                <w:szCs w:val="24"/>
              </w:rPr>
              <w:t xml:space="preserve">  6,000 minutes</w:t>
            </w:r>
          </w:p>
        </w:tc>
      </w:tr>
      <w:tr w:rsidR="005E55C1" w:rsidTr="00E27FDA">
        <w:tc>
          <w:tcPr>
            <w:tcW w:w="2628" w:type="dxa"/>
          </w:tcPr>
          <w:p w:rsidR="005E55C1" w:rsidRPr="00F0044A" w:rsidRDefault="005E55C1" w:rsidP="00E27FDA">
            <w:pPr>
              <w:rPr>
                <w:rFonts w:ascii="Times New Roman" w:hAnsi="Times New Roman"/>
                <w:szCs w:val="24"/>
              </w:rPr>
            </w:pPr>
            <w:r w:rsidRPr="00F0044A">
              <w:rPr>
                <w:rFonts w:ascii="Times New Roman" w:hAnsi="Times New Roman"/>
                <w:szCs w:val="24"/>
              </w:rPr>
              <w:t>State agencies</w:t>
            </w:r>
          </w:p>
        </w:tc>
        <w:tc>
          <w:tcPr>
            <w:tcW w:w="2700" w:type="dxa"/>
          </w:tcPr>
          <w:p w:rsidR="005E55C1" w:rsidRPr="00F0044A" w:rsidRDefault="005E55C1" w:rsidP="00E27FDA">
            <w:pPr>
              <w:jc w:val="center"/>
              <w:rPr>
                <w:rFonts w:ascii="Times New Roman" w:hAnsi="Times New Roman"/>
                <w:szCs w:val="24"/>
              </w:rPr>
            </w:pPr>
            <w:r w:rsidRPr="00F0044A">
              <w:rPr>
                <w:rFonts w:ascii="Times New Roman" w:hAnsi="Times New Roman"/>
                <w:szCs w:val="24"/>
              </w:rPr>
              <w:t>50</w:t>
            </w:r>
          </w:p>
        </w:tc>
        <w:tc>
          <w:tcPr>
            <w:tcW w:w="2070" w:type="dxa"/>
          </w:tcPr>
          <w:p w:rsidR="005E55C1" w:rsidRPr="00F0044A" w:rsidRDefault="005E55C1" w:rsidP="00E27FDA">
            <w:pPr>
              <w:jc w:val="center"/>
              <w:rPr>
                <w:rFonts w:ascii="Times New Roman" w:hAnsi="Times New Roman"/>
                <w:szCs w:val="24"/>
              </w:rPr>
            </w:pPr>
            <w:r w:rsidRPr="00F0044A">
              <w:rPr>
                <w:rFonts w:ascii="Times New Roman" w:hAnsi="Times New Roman"/>
                <w:szCs w:val="24"/>
              </w:rPr>
              <w:t>30 minutes</w:t>
            </w:r>
          </w:p>
        </w:tc>
        <w:tc>
          <w:tcPr>
            <w:tcW w:w="2610" w:type="dxa"/>
          </w:tcPr>
          <w:p w:rsidR="005E55C1" w:rsidRPr="00F0044A" w:rsidRDefault="005E55C1" w:rsidP="00E27FDA">
            <w:pPr>
              <w:jc w:val="center"/>
              <w:rPr>
                <w:rFonts w:ascii="Times New Roman" w:hAnsi="Times New Roman"/>
                <w:szCs w:val="24"/>
              </w:rPr>
            </w:pPr>
            <w:r>
              <w:rPr>
                <w:rFonts w:ascii="Times New Roman" w:hAnsi="Times New Roman"/>
                <w:szCs w:val="24"/>
              </w:rPr>
              <w:t xml:space="preserve">  1,500 minutes</w:t>
            </w:r>
          </w:p>
        </w:tc>
      </w:tr>
      <w:tr w:rsidR="005E55C1" w:rsidTr="00E27FDA">
        <w:tc>
          <w:tcPr>
            <w:tcW w:w="2628" w:type="dxa"/>
          </w:tcPr>
          <w:p w:rsidR="005E55C1" w:rsidRPr="00F0044A" w:rsidRDefault="005E55C1" w:rsidP="00E27FDA">
            <w:pPr>
              <w:rPr>
                <w:rFonts w:ascii="Times New Roman" w:hAnsi="Times New Roman"/>
                <w:szCs w:val="24"/>
              </w:rPr>
            </w:pPr>
            <w:r w:rsidRPr="00F0044A">
              <w:rPr>
                <w:rFonts w:ascii="Times New Roman" w:hAnsi="Times New Roman"/>
                <w:szCs w:val="24"/>
              </w:rPr>
              <w:t>Individuals</w:t>
            </w:r>
          </w:p>
        </w:tc>
        <w:tc>
          <w:tcPr>
            <w:tcW w:w="2700" w:type="dxa"/>
          </w:tcPr>
          <w:p w:rsidR="005E55C1" w:rsidRPr="00F0044A" w:rsidRDefault="005E55C1" w:rsidP="00E27FDA">
            <w:pPr>
              <w:jc w:val="center"/>
              <w:rPr>
                <w:rFonts w:ascii="Times New Roman" w:hAnsi="Times New Roman"/>
                <w:szCs w:val="24"/>
              </w:rPr>
            </w:pPr>
            <w:r w:rsidRPr="00F0044A">
              <w:rPr>
                <w:rFonts w:ascii="Times New Roman" w:hAnsi="Times New Roman"/>
                <w:szCs w:val="24"/>
              </w:rPr>
              <w:t>50</w:t>
            </w:r>
          </w:p>
        </w:tc>
        <w:tc>
          <w:tcPr>
            <w:tcW w:w="2070" w:type="dxa"/>
          </w:tcPr>
          <w:p w:rsidR="005E55C1" w:rsidRPr="00F0044A" w:rsidRDefault="005E55C1" w:rsidP="00E27FDA">
            <w:pPr>
              <w:jc w:val="center"/>
              <w:rPr>
                <w:rFonts w:ascii="Times New Roman" w:hAnsi="Times New Roman"/>
                <w:szCs w:val="24"/>
              </w:rPr>
            </w:pPr>
            <w:r w:rsidRPr="00F0044A">
              <w:rPr>
                <w:rFonts w:ascii="Times New Roman" w:hAnsi="Times New Roman"/>
                <w:szCs w:val="24"/>
              </w:rPr>
              <w:t>30 minutes</w:t>
            </w:r>
          </w:p>
        </w:tc>
        <w:tc>
          <w:tcPr>
            <w:tcW w:w="2610" w:type="dxa"/>
          </w:tcPr>
          <w:p w:rsidR="005E55C1" w:rsidRPr="00F0044A" w:rsidRDefault="005E55C1" w:rsidP="00E27FDA">
            <w:pPr>
              <w:jc w:val="center"/>
              <w:rPr>
                <w:rFonts w:ascii="Times New Roman" w:hAnsi="Times New Roman"/>
                <w:szCs w:val="24"/>
              </w:rPr>
            </w:pPr>
            <w:r>
              <w:rPr>
                <w:rFonts w:ascii="Times New Roman" w:hAnsi="Times New Roman"/>
                <w:szCs w:val="24"/>
              </w:rPr>
              <w:t xml:space="preserve">  1,500 minutes</w:t>
            </w:r>
          </w:p>
        </w:tc>
      </w:tr>
      <w:tr w:rsidR="005E55C1" w:rsidTr="00E27FDA">
        <w:tc>
          <w:tcPr>
            <w:tcW w:w="2628" w:type="dxa"/>
          </w:tcPr>
          <w:p w:rsidR="005E55C1" w:rsidRPr="00F0044A" w:rsidRDefault="005E55C1" w:rsidP="00E27FDA">
            <w:pPr>
              <w:rPr>
                <w:rFonts w:ascii="Times New Roman" w:hAnsi="Times New Roman"/>
                <w:szCs w:val="24"/>
              </w:rPr>
            </w:pPr>
            <w:r w:rsidRPr="00F0044A">
              <w:rPr>
                <w:rFonts w:ascii="Times New Roman" w:hAnsi="Times New Roman"/>
                <w:szCs w:val="24"/>
              </w:rPr>
              <w:t>Total for new collection</w:t>
            </w:r>
          </w:p>
        </w:tc>
        <w:tc>
          <w:tcPr>
            <w:tcW w:w="2700" w:type="dxa"/>
          </w:tcPr>
          <w:p w:rsidR="005E55C1" w:rsidRPr="00F0044A" w:rsidRDefault="005E55C1" w:rsidP="00E27FDA">
            <w:pPr>
              <w:jc w:val="center"/>
              <w:rPr>
                <w:rFonts w:ascii="Times New Roman" w:hAnsi="Times New Roman"/>
                <w:szCs w:val="24"/>
              </w:rPr>
            </w:pPr>
            <w:r w:rsidRPr="00F0044A">
              <w:rPr>
                <w:rFonts w:ascii="Times New Roman" w:hAnsi="Times New Roman"/>
                <w:szCs w:val="24"/>
              </w:rPr>
              <w:t>600</w:t>
            </w:r>
          </w:p>
        </w:tc>
        <w:tc>
          <w:tcPr>
            <w:tcW w:w="2070" w:type="dxa"/>
          </w:tcPr>
          <w:p w:rsidR="005E55C1" w:rsidRPr="00F0044A" w:rsidRDefault="005E55C1" w:rsidP="00E27FDA">
            <w:pPr>
              <w:jc w:val="center"/>
              <w:rPr>
                <w:rFonts w:ascii="Times New Roman" w:hAnsi="Times New Roman"/>
                <w:szCs w:val="24"/>
              </w:rPr>
            </w:pPr>
            <w:r>
              <w:rPr>
                <w:rFonts w:ascii="Times New Roman" w:hAnsi="Times New Roman"/>
                <w:szCs w:val="24"/>
              </w:rPr>
              <w:t>75 minutes (weighted average)</w:t>
            </w:r>
          </w:p>
        </w:tc>
        <w:tc>
          <w:tcPr>
            <w:tcW w:w="2610" w:type="dxa"/>
          </w:tcPr>
          <w:p w:rsidR="005E55C1" w:rsidRDefault="005E55C1" w:rsidP="00E27FDA">
            <w:pPr>
              <w:jc w:val="center"/>
              <w:rPr>
                <w:rFonts w:ascii="Times New Roman" w:hAnsi="Times New Roman"/>
                <w:szCs w:val="24"/>
              </w:rPr>
            </w:pPr>
            <w:r>
              <w:rPr>
                <w:rFonts w:ascii="Times New Roman" w:hAnsi="Times New Roman"/>
                <w:szCs w:val="24"/>
              </w:rPr>
              <w:t xml:space="preserve">45,000 minutes or </w:t>
            </w:r>
          </w:p>
          <w:p w:rsidR="005E55C1" w:rsidRPr="00F0044A" w:rsidRDefault="005E55C1" w:rsidP="00E27FDA">
            <w:pPr>
              <w:jc w:val="center"/>
              <w:rPr>
                <w:rFonts w:ascii="Times New Roman" w:hAnsi="Times New Roman"/>
                <w:szCs w:val="24"/>
              </w:rPr>
            </w:pPr>
            <w:r>
              <w:rPr>
                <w:rFonts w:ascii="Times New Roman" w:hAnsi="Times New Roman"/>
                <w:szCs w:val="24"/>
              </w:rPr>
              <w:t>750 hours</w:t>
            </w:r>
          </w:p>
        </w:tc>
      </w:tr>
    </w:tbl>
    <w:p w:rsidR="0004557F" w:rsidRDefault="0004557F" w:rsidP="00592D69">
      <w:pPr>
        <w:tabs>
          <w:tab w:val="left" w:pos="-720"/>
        </w:tabs>
        <w:suppressAutoHyphens/>
        <w:rPr>
          <w:rFonts w:ascii="Times New Roman" w:hAnsi="Times New Roman"/>
          <w:color w:val="1F497D" w:themeColor="text2"/>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4"/>
    </w:p>
    <w:p w:rsidR="00386054" w:rsidRDefault="00386054">
      <w:pPr>
        <w:tabs>
          <w:tab w:val="left" w:pos="-720"/>
        </w:tabs>
        <w:suppressAutoHyphens/>
        <w:rPr>
          <w:rFonts w:ascii="Times New Roman" w:hAnsi="Times New Roman"/>
          <w:szCs w:val="24"/>
        </w:rPr>
      </w:pPr>
    </w:p>
    <w:p w:rsidR="00F92FDC" w:rsidRPr="00AE36E5" w:rsidRDefault="00641448">
      <w:pPr>
        <w:tabs>
          <w:tab w:val="left" w:pos="-720"/>
        </w:tabs>
        <w:suppressAutoHyphens/>
        <w:rPr>
          <w:rFonts w:ascii="Times New Roman" w:hAnsi="Times New Roman"/>
          <w:color w:val="1F497D" w:themeColor="text2"/>
          <w:szCs w:val="24"/>
        </w:rPr>
      </w:pPr>
      <w:r w:rsidRPr="00AE36E5">
        <w:rPr>
          <w:rFonts w:ascii="Times New Roman" w:hAnsi="Times New Roman"/>
          <w:color w:val="1F497D" w:themeColor="text2"/>
          <w:szCs w:val="24"/>
        </w:rPr>
        <w:t>There are no additional costs.  There are no systems requirements to respondents.</w:t>
      </w:r>
    </w:p>
    <w:p w:rsidR="00F92FDC" w:rsidRPr="00EF7FF5" w:rsidRDefault="00F92FD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Default="00641448">
      <w:pPr>
        <w:tabs>
          <w:tab w:val="left" w:pos="-720"/>
        </w:tabs>
        <w:suppressAutoHyphens/>
        <w:rPr>
          <w:rFonts w:ascii="Times New Roman" w:hAnsi="Times New Roman"/>
          <w:color w:val="1F497D" w:themeColor="text2"/>
          <w:szCs w:val="24"/>
        </w:rPr>
      </w:pPr>
      <w:r w:rsidRPr="00AE36E5">
        <w:rPr>
          <w:rFonts w:ascii="Times New Roman" w:hAnsi="Times New Roman"/>
          <w:color w:val="1F497D" w:themeColor="text2"/>
          <w:szCs w:val="24"/>
        </w:rPr>
        <w:t>There are</w:t>
      </w:r>
      <w:r w:rsidR="000B4578" w:rsidRPr="00AE36E5">
        <w:rPr>
          <w:rFonts w:ascii="Times New Roman" w:hAnsi="Times New Roman"/>
          <w:color w:val="1F497D" w:themeColor="text2"/>
          <w:szCs w:val="24"/>
        </w:rPr>
        <w:t xml:space="preserve"> </w:t>
      </w:r>
      <w:r w:rsidRPr="00AE36E5">
        <w:rPr>
          <w:rFonts w:ascii="Times New Roman" w:hAnsi="Times New Roman"/>
          <w:color w:val="1F497D" w:themeColor="text2"/>
          <w:szCs w:val="24"/>
        </w:rPr>
        <w:t>no additional costs to the Federal government</w:t>
      </w:r>
      <w:r w:rsidR="00A555D1">
        <w:rPr>
          <w:rFonts w:ascii="Times New Roman" w:hAnsi="Times New Roman"/>
          <w:color w:val="1F497D" w:themeColor="text2"/>
          <w:szCs w:val="24"/>
        </w:rPr>
        <w:t>.</w:t>
      </w:r>
    </w:p>
    <w:p w:rsidR="005E55C1" w:rsidRPr="00EF7FF5" w:rsidRDefault="005E55C1">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Default="00386054">
      <w:pPr>
        <w:tabs>
          <w:tab w:val="left" w:pos="-720"/>
        </w:tabs>
        <w:suppressAutoHyphens/>
        <w:rPr>
          <w:rFonts w:ascii="Times New Roman" w:hAnsi="Times New Roman"/>
          <w:szCs w:val="24"/>
        </w:rPr>
      </w:pPr>
    </w:p>
    <w:p w:rsidR="00A059E8" w:rsidRPr="00A059E8" w:rsidRDefault="00641448">
      <w:pPr>
        <w:tabs>
          <w:tab w:val="left" w:pos="-720"/>
        </w:tabs>
        <w:suppressAutoHyphens/>
        <w:rPr>
          <w:rFonts w:ascii="Times New Roman" w:hAnsi="Times New Roman"/>
          <w:color w:val="1F497D" w:themeColor="text2"/>
          <w:szCs w:val="24"/>
        </w:rPr>
      </w:pPr>
      <w:r>
        <w:rPr>
          <w:rFonts w:ascii="Times New Roman" w:hAnsi="Times New Roman"/>
          <w:color w:val="1F497D" w:themeColor="text2"/>
          <w:szCs w:val="24"/>
        </w:rPr>
        <w:t xml:space="preserve">This is a request for a program change due to agency discretion.  This new information collection will provide necessary information on </w:t>
      </w:r>
      <w:r w:rsidR="00DF4923" w:rsidRPr="00DF4923">
        <w:rPr>
          <w:rFonts w:ascii="Times New Roman" w:hAnsi="Times New Roman"/>
          <w:color w:val="1F497D" w:themeColor="text2"/>
          <w:szCs w:val="24"/>
        </w:rPr>
        <w:t xml:space="preserve">third </w:t>
      </w:r>
      <w:r w:rsidRPr="00DF4923">
        <w:rPr>
          <w:rFonts w:ascii="Times New Roman" w:hAnsi="Times New Roman"/>
          <w:color w:val="1F497D" w:themeColor="text2"/>
          <w:szCs w:val="24"/>
        </w:rPr>
        <w:t xml:space="preserve">party servicers </w:t>
      </w:r>
      <w:r>
        <w:rPr>
          <w:rFonts w:ascii="Times New Roman" w:hAnsi="Times New Roman"/>
          <w:color w:val="1F497D" w:themeColor="text2"/>
          <w:szCs w:val="24"/>
        </w:rPr>
        <w:t xml:space="preserve">who provide </w:t>
      </w:r>
      <w:r w:rsidR="005E55C1">
        <w:rPr>
          <w:rFonts w:ascii="Times New Roman" w:hAnsi="Times New Roman"/>
          <w:color w:val="1F497D" w:themeColor="text2"/>
          <w:szCs w:val="24"/>
        </w:rPr>
        <w:t>T</w:t>
      </w:r>
      <w:r>
        <w:rPr>
          <w:rFonts w:ascii="Times New Roman" w:hAnsi="Times New Roman"/>
          <w:color w:val="1F497D" w:themeColor="text2"/>
          <w:szCs w:val="24"/>
        </w:rPr>
        <w:t>itle IV, HEA services to eligible institutions and allow the Department to maintain oversight of the servicers and protect the interests of eligible institutions, eligible students and taxpayers.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80CA5" w:rsidRDefault="00641448">
      <w:pPr>
        <w:tabs>
          <w:tab w:val="left" w:pos="-720"/>
        </w:tabs>
        <w:suppressAutoHyphens/>
        <w:rPr>
          <w:rFonts w:ascii="Times New Roman" w:hAnsi="Times New Roman"/>
          <w:color w:val="1F497D" w:themeColor="text2"/>
          <w:szCs w:val="24"/>
        </w:rPr>
      </w:pPr>
      <w:r w:rsidRPr="00E80CA5">
        <w:rPr>
          <w:rFonts w:ascii="Times New Roman" w:hAnsi="Times New Roman"/>
          <w:color w:val="1F497D" w:themeColor="text2"/>
          <w:szCs w:val="24"/>
        </w:rPr>
        <w:t>The results of this collection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A059E8" w:rsidRDefault="00641448">
      <w:pPr>
        <w:tabs>
          <w:tab w:val="left" w:pos="-720"/>
        </w:tabs>
        <w:suppressAutoHyphens/>
        <w:rPr>
          <w:rFonts w:ascii="Times New Roman" w:hAnsi="Times New Roman"/>
          <w:color w:val="1F497D" w:themeColor="text2"/>
          <w:szCs w:val="24"/>
        </w:rPr>
      </w:pPr>
      <w:r>
        <w:rPr>
          <w:rFonts w:ascii="Times New Roman" w:hAnsi="Times New Roman"/>
          <w:color w:val="1F497D" w:themeColor="text2"/>
          <w:szCs w:val="24"/>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A059E8" w:rsidRDefault="00A059E8">
      <w:pPr>
        <w:tabs>
          <w:tab w:val="left" w:pos="-720"/>
        </w:tabs>
        <w:suppressAutoHyphens/>
        <w:rPr>
          <w:rStyle w:val="a"/>
          <w:rFonts w:ascii="Times New Roman" w:hAnsi="Times New Roman"/>
          <w:szCs w:val="24"/>
        </w:rPr>
      </w:pPr>
    </w:p>
    <w:p w:rsidR="00641448" w:rsidRPr="00E80CA5" w:rsidRDefault="00641448">
      <w:pPr>
        <w:tabs>
          <w:tab w:val="left" w:pos="-720"/>
        </w:tabs>
        <w:suppressAutoHyphens/>
        <w:rPr>
          <w:rFonts w:ascii="Times New Roman" w:hAnsi="Times New Roman"/>
          <w:color w:val="1F497D" w:themeColor="text2"/>
          <w:szCs w:val="24"/>
        </w:rPr>
      </w:pPr>
      <w:r w:rsidRPr="00E80CA5">
        <w:rPr>
          <w:rFonts w:ascii="Times New Roman" w:hAnsi="Times New Roman"/>
          <w:color w:val="1F497D" w:themeColor="text2"/>
          <w:szCs w:val="24"/>
        </w:rPr>
        <w:t>The Department is not requesting any exceptions to the “Certification for Paperwork Reduction Act Submissions” of OMB Form 83-1.</w:t>
      </w:r>
    </w:p>
    <w:sectPr w:rsidR="00641448" w:rsidRPr="00E80CA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161" w:rsidRDefault="006B6161">
      <w:pPr>
        <w:spacing w:line="20" w:lineRule="exact"/>
      </w:pPr>
    </w:p>
  </w:endnote>
  <w:endnote w:type="continuationSeparator" w:id="0">
    <w:p w:rsidR="006B6161" w:rsidRDefault="006B6161">
      <w:r>
        <w:t xml:space="preserve"> </w:t>
      </w:r>
    </w:p>
  </w:endnote>
  <w:endnote w:type="continuationNotice" w:id="1">
    <w:p w:rsidR="006B6161" w:rsidRDefault="006B61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D11548">
    <w:pPr>
      <w:tabs>
        <w:tab w:val="left" w:pos="0"/>
      </w:tabs>
      <w:suppressAutoHyphens/>
    </w:pPr>
    <w:r>
      <w:rPr>
        <w:noProof/>
      </w:rPr>
      <mc:AlternateContent>
        <mc:Choice Requires="wps">
          <w:drawing>
            <wp:anchor distT="0" distB="0" distL="114300" distR="114300" simplePos="0" relativeHeight="251657728" behindDoc="1" locked="0" layoutInCell="0" allowOverlap="1" wp14:anchorId="5E9E70E8" wp14:editId="7F5E5695">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637049">
                            <w:rPr>
                              <w:noProof/>
                            </w:rPr>
                            <w:t>9</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637049">
                      <w:rPr>
                        <w:noProof/>
                      </w:rPr>
                      <w:t>9</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161" w:rsidRDefault="006B6161">
      <w:r>
        <w:separator/>
      </w:r>
    </w:p>
  </w:footnote>
  <w:footnote w:type="continuationSeparator" w:id="0">
    <w:p w:rsidR="006B6161" w:rsidRDefault="006B6161">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rPr>
          <w:rFonts w:ascii="Times New Roman" w:hAnsi="Times New Roman"/>
          <w:sz w:val="20"/>
        </w:rPr>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p w:rsidR="004E7F0A" w:rsidRPr="004E7F0A" w:rsidRDefault="004E7F0A" w:rsidP="004E7F0A">
      <w:pPr>
        <w:tabs>
          <w:tab w:val="left" w:pos="-720"/>
        </w:tabs>
        <w:suppressAutoHyphens/>
        <w:rPr>
          <w:rFonts w:ascii="Times New Roman" w:hAnsi="Times New Roman"/>
          <w:color w:val="1F497D" w:themeColor="text2"/>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XXXX-XXXX                                         </w:t>
    </w:r>
    <w:r w:rsidR="00637049">
      <w:rPr>
        <w:rFonts w:ascii="Times New Roman" w:hAnsi="Times New Roman"/>
        <w:sz w:val="20"/>
      </w:rPr>
      <w:tab/>
    </w:r>
    <w:r>
      <w:rPr>
        <w:rFonts w:ascii="Times New Roman" w:hAnsi="Times New Roman"/>
        <w:sz w:val="20"/>
      </w:rPr>
      <w:t xml:space="preserve">Revised: </w:t>
    </w:r>
    <w:r w:rsidR="00637049">
      <w:rPr>
        <w:rFonts w:ascii="Times New Roman" w:hAnsi="Times New Roman"/>
        <w:sz w:val="20"/>
      </w:rPr>
      <w:t>11</w:t>
    </w:r>
    <w:r>
      <w:rPr>
        <w:rFonts w:ascii="Times New Roman" w:hAnsi="Times New Roman"/>
        <w:sz w:val="20"/>
      </w:rPr>
      <w:t>/</w:t>
    </w:r>
    <w:r w:rsidR="00637049">
      <w:rPr>
        <w:rFonts w:ascii="Times New Roman" w:hAnsi="Times New Roman"/>
        <w:sz w:val="20"/>
      </w:rPr>
      <w:t>25</w:t>
    </w:r>
    <w:r>
      <w:rPr>
        <w:rFonts w:ascii="Times New Roman" w:hAnsi="Times New Roman"/>
        <w:sz w:val="20"/>
      </w:rPr>
      <w:t>/</w:t>
    </w:r>
    <w:r w:rsidR="00637049">
      <w:rPr>
        <w:rFonts w:ascii="Times New Roman" w:hAnsi="Times New Roman"/>
        <w:sz w:val="20"/>
      </w:rPr>
      <w:t>2014</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94E7C0D"/>
    <w:multiLevelType w:val="hybridMultilevel"/>
    <w:tmpl w:val="3FD2B056"/>
    <w:lvl w:ilvl="0" w:tplc="51EC5DF8">
      <w:start w:val="1"/>
      <w:numFmt w:val="decimal"/>
      <w:lvlText w:val="(%1)"/>
      <w:lvlJc w:val="left"/>
      <w:pPr>
        <w:ind w:left="778" w:hanging="360"/>
      </w:pPr>
      <w:rPr>
        <w:rFont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3DD6017"/>
    <w:multiLevelType w:val="hybridMultilevel"/>
    <w:tmpl w:val="18BC53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35A6510"/>
    <w:multiLevelType w:val="hybridMultilevel"/>
    <w:tmpl w:val="445CE8D8"/>
    <w:lvl w:ilvl="0" w:tplc="51EC5DF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8"/>
  </w:num>
  <w:num w:numId="8">
    <w:abstractNumId w:val="7"/>
  </w:num>
  <w:num w:numId="9">
    <w:abstractNumId w:val="10"/>
  </w:num>
  <w:num w:numId="10">
    <w:abstractNumId w:val="12"/>
  </w:num>
  <w:num w:numId="11">
    <w:abstractNumId w:val="3"/>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6953"/>
    <w:rsid w:val="00013ADA"/>
    <w:rsid w:val="000440C5"/>
    <w:rsid w:val="0004557F"/>
    <w:rsid w:val="00050CBE"/>
    <w:rsid w:val="00066874"/>
    <w:rsid w:val="00075E78"/>
    <w:rsid w:val="000909E0"/>
    <w:rsid w:val="000A2695"/>
    <w:rsid w:val="000B0004"/>
    <w:rsid w:val="000B14D8"/>
    <w:rsid w:val="000B4578"/>
    <w:rsid w:val="000E592D"/>
    <w:rsid w:val="000F175B"/>
    <w:rsid w:val="00106F06"/>
    <w:rsid w:val="00132450"/>
    <w:rsid w:val="0014500F"/>
    <w:rsid w:val="00153F20"/>
    <w:rsid w:val="00155E94"/>
    <w:rsid w:val="001743A5"/>
    <w:rsid w:val="0018279C"/>
    <w:rsid w:val="00190161"/>
    <w:rsid w:val="00194FB0"/>
    <w:rsid w:val="0020222D"/>
    <w:rsid w:val="00203D2F"/>
    <w:rsid w:val="00225842"/>
    <w:rsid w:val="002473CE"/>
    <w:rsid w:val="00270221"/>
    <w:rsid w:val="00276F48"/>
    <w:rsid w:val="0028277F"/>
    <w:rsid w:val="002A59F0"/>
    <w:rsid w:val="002B0412"/>
    <w:rsid w:val="002B0A95"/>
    <w:rsid w:val="002C656F"/>
    <w:rsid w:val="002D35B7"/>
    <w:rsid w:val="002E23F3"/>
    <w:rsid w:val="002F3961"/>
    <w:rsid w:val="00300B3B"/>
    <w:rsid w:val="00303944"/>
    <w:rsid w:val="00381535"/>
    <w:rsid w:val="00386054"/>
    <w:rsid w:val="003C29B1"/>
    <w:rsid w:val="003C29C2"/>
    <w:rsid w:val="003C7F70"/>
    <w:rsid w:val="003E285A"/>
    <w:rsid w:val="003F7936"/>
    <w:rsid w:val="00404245"/>
    <w:rsid w:val="00425411"/>
    <w:rsid w:val="004278BE"/>
    <w:rsid w:val="00446CC8"/>
    <w:rsid w:val="00471EAD"/>
    <w:rsid w:val="00480DDB"/>
    <w:rsid w:val="00490204"/>
    <w:rsid w:val="004A2DBB"/>
    <w:rsid w:val="004B0170"/>
    <w:rsid w:val="004D25FC"/>
    <w:rsid w:val="004E23D9"/>
    <w:rsid w:val="004E7F0A"/>
    <w:rsid w:val="004F692A"/>
    <w:rsid w:val="00512598"/>
    <w:rsid w:val="00524A5A"/>
    <w:rsid w:val="00563CCF"/>
    <w:rsid w:val="00587243"/>
    <w:rsid w:val="0058767A"/>
    <w:rsid w:val="00592D69"/>
    <w:rsid w:val="005958DC"/>
    <w:rsid w:val="005A1566"/>
    <w:rsid w:val="005A1DFC"/>
    <w:rsid w:val="005A4185"/>
    <w:rsid w:val="005C6F49"/>
    <w:rsid w:val="005D2703"/>
    <w:rsid w:val="005D2E7B"/>
    <w:rsid w:val="005E55C1"/>
    <w:rsid w:val="005F2002"/>
    <w:rsid w:val="00614EC4"/>
    <w:rsid w:val="0061708A"/>
    <w:rsid w:val="0063484C"/>
    <w:rsid w:val="00637049"/>
    <w:rsid w:val="00641448"/>
    <w:rsid w:val="00654305"/>
    <w:rsid w:val="006737C0"/>
    <w:rsid w:val="00677BC2"/>
    <w:rsid w:val="006A3B5C"/>
    <w:rsid w:val="006B6161"/>
    <w:rsid w:val="006C01D0"/>
    <w:rsid w:val="006C70C6"/>
    <w:rsid w:val="006C7FDE"/>
    <w:rsid w:val="006D2EA0"/>
    <w:rsid w:val="00713F3B"/>
    <w:rsid w:val="007518B1"/>
    <w:rsid w:val="0075235E"/>
    <w:rsid w:val="007616C3"/>
    <w:rsid w:val="007661D9"/>
    <w:rsid w:val="007756E0"/>
    <w:rsid w:val="00777F67"/>
    <w:rsid w:val="00792737"/>
    <w:rsid w:val="007B14E8"/>
    <w:rsid w:val="007C12B5"/>
    <w:rsid w:val="007D41D7"/>
    <w:rsid w:val="007E77FA"/>
    <w:rsid w:val="007F716E"/>
    <w:rsid w:val="008011B6"/>
    <w:rsid w:val="00802790"/>
    <w:rsid w:val="008173F9"/>
    <w:rsid w:val="008209E4"/>
    <w:rsid w:val="00845752"/>
    <w:rsid w:val="0086406E"/>
    <w:rsid w:val="00873FFE"/>
    <w:rsid w:val="008A27E1"/>
    <w:rsid w:val="008B3723"/>
    <w:rsid w:val="008C42C6"/>
    <w:rsid w:val="008D2B8B"/>
    <w:rsid w:val="008D43E7"/>
    <w:rsid w:val="008E5BDD"/>
    <w:rsid w:val="008F3062"/>
    <w:rsid w:val="009077DA"/>
    <w:rsid w:val="00921CB1"/>
    <w:rsid w:val="009544A3"/>
    <w:rsid w:val="00955DFB"/>
    <w:rsid w:val="009949A8"/>
    <w:rsid w:val="009A30A2"/>
    <w:rsid w:val="009B267D"/>
    <w:rsid w:val="00A01331"/>
    <w:rsid w:val="00A059E8"/>
    <w:rsid w:val="00A41F2C"/>
    <w:rsid w:val="00A536B5"/>
    <w:rsid w:val="00A555D1"/>
    <w:rsid w:val="00A8606D"/>
    <w:rsid w:val="00A87940"/>
    <w:rsid w:val="00A94CCB"/>
    <w:rsid w:val="00AB0D7D"/>
    <w:rsid w:val="00AC6F74"/>
    <w:rsid w:val="00AE310C"/>
    <w:rsid w:val="00AE36E5"/>
    <w:rsid w:val="00AE37FA"/>
    <w:rsid w:val="00AE713C"/>
    <w:rsid w:val="00AF6382"/>
    <w:rsid w:val="00B23EC0"/>
    <w:rsid w:val="00BC244F"/>
    <w:rsid w:val="00BD1325"/>
    <w:rsid w:val="00BD3813"/>
    <w:rsid w:val="00BE73A2"/>
    <w:rsid w:val="00BF5BCD"/>
    <w:rsid w:val="00C024FE"/>
    <w:rsid w:val="00C13173"/>
    <w:rsid w:val="00C363D9"/>
    <w:rsid w:val="00C37B59"/>
    <w:rsid w:val="00C641E9"/>
    <w:rsid w:val="00C723C2"/>
    <w:rsid w:val="00C97EF0"/>
    <w:rsid w:val="00CE72AF"/>
    <w:rsid w:val="00D11548"/>
    <w:rsid w:val="00D115BF"/>
    <w:rsid w:val="00D12900"/>
    <w:rsid w:val="00D12C6E"/>
    <w:rsid w:val="00D257C7"/>
    <w:rsid w:val="00D269C3"/>
    <w:rsid w:val="00D33DC5"/>
    <w:rsid w:val="00D51615"/>
    <w:rsid w:val="00D71E9B"/>
    <w:rsid w:val="00D72530"/>
    <w:rsid w:val="00D77A89"/>
    <w:rsid w:val="00D81626"/>
    <w:rsid w:val="00D94D46"/>
    <w:rsid w:val="00D9652F"/>
    <w:rsid w:val="00DB296A"/>
    <w:rsid w:val="00DB4A48"/>
    <w:rsid w:val="00DD6EA5"/>
    <w:rsid w:val="00DF4923"/>
    <w:rsid w:val="00E023B7"/>
    <w:rsid w:val="00E07290"/>
    <w:rsid w:val="00E26820"/>
    <w:rsid w:val="00E7399D"/>
    <w:rsid w:val="00E80CA5"/>
    <w:rsid w:val="00E913FE"/>
    <w:rsid w:val="00EA3C1F"/>
    <w:rsid w:val="00EC056A"/>
    <w:rsid w:val="00EC2CC4"/>
    <w:rsid w:val="00ED3654"/>
    <w:rsid w:val="00EE74CD"/>
    <w:rsid w:val="00EF7FF5"/>
    <w:rsid w:val="00F03B29"/>
    <w:rsid w:val="00F313DF"/>
    <w:rsid w:val="00F54B3D"/>
    <w:rsid w:val="00F57854"/>
    <w:rsid w:val="00F6231C"/>
    <w:rsid w:val="00F92FDC"/>
    <w:rsid w:val="00FA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NormalWeb">
    <w:name w:val="Normal (Web)"/>
    <w:basedOn w:val="Normal"/>
    <w:uiPriority w:val="99"/>
    <w:unhideWhenUsed/>
    <w:rsid w:val="007518B1"/>
    <w:pPr>
      <w:spacing w:before="100" w:beforeAutospacing="1" w:after="100" w:afterAutospacing="1"/>
      <w:ind w:firstLine="480"/>
    </w:pPr>
    <w:rPr>
      <w:rFonts w:ascii="Times New Roman" w:hAnsi="Times New Roman"/>
      <w:szCs w:val="24"/>
    </w:rPr>
  </w:style>
  <w:style w:type="character" w:customStyle="1" w:styleId="st">
    <w:name w:val="st"/>
    <w:basedOn w:val="DefaultParagraphFont"/>
    <w:rsid w:val="00194FB0"/>
  </w:style>
  <w:style w:type="paragraph" w:styleId="ListParagraph">
    <w:name w:val="List Paragraph"/>
    <w:basedOn w:val="Normal"/>
    <w:uiPriority w:val="34"/>
    <w:qFormat/>
    <w:rsid w:val="00873F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NormalWeb">
    <w:name w:val="Normal (Web)"/>
    <w:basedOn w:val="Normal"/>
    <w:uiPriority w:val="99"/>
    <w:unhideWhenUsed/>
    <w:rsid w:val="007518B1"/>
    <w:pPr>
      <w:spacing w:before="100" w:beforeAutospacing="1" w:after="100" w:afterAutospacing="1"/>
      <w:ind w:firstLine="480"/>
    </w:pPr>
    <w:rPr>
      <w:rFonts w:ascii="Times New Roman" w:hAnsi="Times New Roman"/>
      <w:szCs w:val="24"/>
    </w:rPr>
  </w:style>
  <w:style w:type="character" w:customStyle="1" w:styleId="st">
    <w:name w:val="st"/>
    <w:basedOn w:val="DefaultParagraphFont"/>
    <w:rsid w:val="00194FB0"/>
  </w:style>
  <w:style w:type="paragraph" w:styleId="ListParagraph">
    <w:name w:val="List Paragraph"/>
    <w:basedOn w:val="Normal"/>
    <w:uiPriority w:val="34"/>
    <w:qFormat/>
    <w:rsid w:val="00873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ligcert.ed.gov/ows-doc/eap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074E5-39F7-4885-A605-744DE9648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3997</Words>
  <Characters>22680</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2014-12-03T13:36:00Z</cp:lastPrinted>
  <dcterms:created xsi:type="dcterms:W3CDTF">2014-12-03T13:37:00Z</dcterms:created>
  <dcterms:modified xsi:type="dcterms:W3CDTF">2014-12-03T13:37:00Z</dcterms:modified>
</cp:coreProperties>
</file>