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475" w:rsidRPr="00DB7DBE" w:rsidRDefault="005F5373" w:rsidP="00DB7DBE">
      <w:pPr>
        <w:pStyle w:val="Header1"/>
      </w:pPr>
      <w:r w:rsidRPr="00DB7DBE">
        <w:t xml:space="preserve">Form Instructions for the </w:t>
      </w:r>
      <w:r w:rsidR="00FF15C1" w:rsidRPr="00DB7DBE">
        <w:t>Notice of Medicare Non-Coverage</w:t>
      </w:r>
      <w:r w:rsidR="003B4475" w:rsidRPr="00DB7DBE">
        <w:t xml:space="preserve"> </w:t>
      </w:r>
    </w:p>
    <w:p w:rsidR="00FF15C1" w:rsidRPr="00DB7DBE" w:rsidRDefault="003B4475" w:rsidP="00DB7DBE">
      <w:pPr>
        <w:pStyle w:val="Header1"/>
      </w:pPr>
      <w:r w:rsidRPr="00DB7DBE">
        <w:t>(NOMNC)</w:t>
      </w:r>
      <w:r w:rsidR="00775480" w:rsidRPr="00DB7DBE">
        <w:t xml:space="preserve"> </w:t>
      </w:r>
      <w:r w:rsidR="00E75624" w:rsidRPr="00DB7DBE">
        <w:t>CMS-10123</w:t>
      </w:r>
    </w:p>
    <w:p w:rsidR="00FF15C1" w:rsidRPr="00E60649" w:rsidRDefault="00FF15C1">
      <w:pPr>
        <w:jc w:val="center"/>
        <w:rPr>
          <w:rFonts w:ascii="Arial" w:hAnsi="Arial" w:cs="Arial"/>
        </w:rPr>
      </w:pPr>
    </w:p>
    <w:p w:rsidR="00E30551" w:rsidRPr="00E60649" w:rsidRDefault="00E30551" w:rsidP="00775480">
      <w:pPr>
        <w:pStyle w:val="Body1"/>
        <w:rPr>
          <w:b/>
        </w:rPr>
      </w:pPr>
    </w:p>
    <w:p w:rsidR="00E30551" w:rsidRPr="00E60649" w:rsidRDefault="00E30551" w:rsidP="00775480">
      <w:pPr>
        <w:pStyle w:val="Body1"/>
        <w:rPr>
          <w:b/>
        </w:rPr>
      </w:pPr>
    </w:p>
    <w:p w:rsidR="00392887" w:rsidRPr="00E60649" w:rsidRDefault="00392887" w:rsidP="006D0DA8">
      <w:pPr>
        <w:pStyle w:val="Body10"/>
        <w:rPr>
          <w:b/>
        </w:rPr>
      </w:pPr>
      <w:r w:rsidRPr="00E60649">
        <w:rPr>
          <w:b/>
        </w:rPr>
        <w:t>When to Deliver the NOMNC</w:t>
      </w:r>
    </w:p>
    <w:p w:rsidR="00775480" w:rsidRPr="00E60649" w:rsidRDefault="00775480" w:rsidP="006D0DA8">
      <w:pPr>
        <w:pStyle w:val="Body10"/>
        <w:rPr>
          <w:b/>
        </w:rPr>
      </w:pPr>
    </w:p>
    <w:p w:rsidR="00FF3991" w:rsidRDefault="00FF15C1" w:rsidP="006D0DA8">
      <w:pPr>
        <w:pStyle w:val="Body10"/>
      </w:pPr>
      <w:r w:rsidRPr="00E60649">
        <w:t>A Medicare</w:t>
      </w:r>
      <w:r w:rsidR="003233BE" w:rsidRPr="00E60649">
        <w:t xml:space="preserve"> </w:t>
      </w:r>
      <w:r w:rsidRPr="00E60649">
        <w:t xml:space="preserve">provider </w:t>
      </w:r>
      <w:r w:rsidR="00E75624" w:rsidRPr="00E60649">
        <w:t xml:space="preserve">or health </w:t>
      </w:r>
      <w:r w:rsidR="00E75624" w:rsidRPr="00FF3991">
        <w:t xml:space="preserve">plan </w:t>
      </w:r>
      <w:r w:rsidR="00FF3991" w:rsidRPr="00FF3991">
        <w:t>(</w:t>
      </w:r>
      <w:r w:rsidR="00FF3991" w:rsidRPr="00A50995">
        <w:rPr>
          <w:bCs/>
          <w:iCs/>
        </w:rPr>
        <w:t xml:space="preserve">Medicare </w:t>
      </w:r>
      <w:r w:rsidR="00FF3991">
        <w:rPr>
          <w:bCs/>
          <w:iCs/>
        </w:rPr>
        <w:t xml:space="preserve">Advantage plans and cost plans , </w:t>
      </w:r>
      <w:r w:rsidR="00FF3991" w:rsidRPr="00A50995">
        <w:rPr>
          <w:bCs/>
          <w:iCs/>
        </w:rPr>
        <w:t>collectively referred to as “plans”)</w:t>
      </w:r>
      <w:r w:rsidR="00FF3991">
        <w:rPr>
          <w:bCs/>
          <w:iCs/>
        </w:rPr>
        <w:t xml:space="preserve"> </w:t>
      </w:r>
      <w:r w:rsidRPr="00FF3991">
        <w:t xml:space="preserve">must </w:t>
      </w:r>
      <w:r w:rsidR="008279BE" w:rsidRPr="00A50995">
        <w:t xml:space="preserve">deliver </w:t>
      </w:r>
      <w:r w:rsidRPr="00A50995">
        <w:t>a</w:t>
      </w:r>
      <w:r w:rsidR="008141C5">
        <w:t xml:space="preserve"> </w:t>
      </w:r>
      <w:r w:rsidRPr="00A50995">
        <w:t>completed copy of th</w:t>
      </w:r>
      <w:r w:rsidR="00BC696F" w:rsidRPr="00A50995">
        <w:t>e</w:t>
      </w:r>
      <w:r w:rsidRPr="00A50995">
        <w:t xml:space="preserve"> </w:t>
      </w:r>
      <w:r w:rsidR="00BC696F" w:rsidRPr="00A50995">
        <w:t>N</w:t>
      </w:r>
      <w:r w:rsidRPr="00A50995">
        <w:t>otice</w:t>
      </w:r>
      <w:r w:rsidR="00BC696F" w:rsidRPr="00A50995">
        <w:t xml:space="preserve"> of Medicare Non-Coverage (NOMNC)</w:t>
      </w:r>
      <w:r w:rsidR="003B4475" w:rsidRPr="00A50995">
        <w:t xml:space="preserve"> </w:t>
      </w:r>
      <w:r w:rsidRPr="00A50995">
        <w:t xml:space="preserve">to </w:t>
      </w:r>
      <w:r w:rsidR="00E75624" w:rsidRPr="00A50995">
        <w:t>beneficiaries/</w:t>
      </w:r>
      <w:r w:rsidRPr="00A50995">
        <w:t xml:space="preserve">enrollees receiving </w:t>
      </w:r>
      <w:r w:rsidR="0089053E">
        <w:t xml:space="preserve">covered </w:t>
      </w:r>
      <w:r w:rsidRPr="00A50995">
        <w:t>skilled nursing, home health</w:t>
      </w:r>
      <w:r w:rsidR="004A2997" w:rsidRPr="00A50995">
        <w:t xml:space="preserve"> </w:t>
      </w:r>
      <w:r w:rsidR="00042BD1" w:rsidRPr="00A50995">
        <w:t>(including</w:t>
      </w:r>
      <w:r w:rsidR="004A2997" w:rsidRPr="00A50995">
        <w:t xml:space="preserve"> psychiatric home health),</w:t>
      </w:r>
      <w:r w:rsidR="00E75624" w:rsidRPr="00A50995">
        <w:t xml:space="preserve"> </w:t>
      </w:r>
      <w:r w:rsidRPr="00A50995">
        <w:t>comprehensive outpatient rehabilitation facility</w:t>
      </w:r>
      <w:r w:rsidR="00E75624" w:rsidRPr="00A50995">
        <w:t>, and hospice</w:t>
      </w:r>
      <w:r w:rsidRPr="00A50995">
        <w:t xml:space="preserve"> services</w:t>
      </w:r>
      <w:r w:rsidR="00FF3991">
        <w:t xml:space="preserve">.  </w:t>
      </w:r>
    </w:p>
    <w:p w:rsidR="00FF3991" w:rsidRDefault="00FF3991" w:rsidP="006D0DA8">
      <w:pPr>
        <w:pStyle w:val="Body10"/>
      </w:pPr>
    </w:p>
    <w:p w:rsidR="00FF3991" w:rsidRDefault="00FF3991" w:rsidP="006D0DA8">
      <w:pPr>
        <w:pStyle w:val="Body10"/>
      </w:pPr>
      <w:r>
        <w:t xml:space="preserve">The NOMNC must be delivered </w:t>
      </w:r>
      <w:r w:rsidR="008279BE" w:rsidRPr="00A50995">
        <w:t>at least two calendar days before Medicare covered services end or the second to last day of service if care is not being provided daily</w:t>
      </w:r>
      <w:r w:rsidR="00CC59B8" w:rsidRPr="00A50995">
        <w:t>.</w:t>
      </w:r>
      <w:r w:rsidR="00FF15C1" w:rsidRPr="00A50995">
        <w:t xml:space="preserve">  </w:t>
      </w:r>
    </w:p>
    <w:p w:rsidR="00B643F6" w:rsidRDefault="00B643F6" w:rsidP="006D0DA8">
      <w:pPr>
        <w:pStyle w:val="Body10"/>
      </w:pPr>
    </w:p>
    <w:p w:rsidR="00B643F6" w:rsidRPr="006D7798" w:rsidRDefault="00B643F6" w:rsidP="006D0DA8">
      <w:pPr>
        <w:pStyle w:val="Body10"/>
      </w:pPr>
      <w:r w:rsidRPr="006D7798">
        <w:t>Note: The two day advance requirement is not a 48 hour requirement.</w:t>
      </w:r>
    </w:p>
    <w:p w:rsidR="00B643F6" w:rsidRDefault="00B643F6" w:rsidP="006D0DA8">
      <w:pPr>
        <w:pStyle w:val="Body10"/>
      </w:pPr>
    </w:p>
    <w:p w:rsidR="008141C5" w:rsidRPr="00A50995" w:rsidRDefault="00B643F6" w:rsidP="006D0DA8">
      <w:pPr>
        <w:pStyle w:val="Body10"/>
      </w:pPr>
      <w:r w:rsidRPr="00BC7C59">
        <w:t>This notice fulfills the requirement at 42 CFR 405.1200(b</w:t>
      </w:r>
      <w:proofErr w:type="gramStart"/>
      <w:r w:rsidRPr="00BC7C59">
        <w:t>)(</w:t>
      </w:r>
      <w:proofErr w:type="gramEnd"/>
      <w:r w:rsidRPr="00BC7C59">
        <w:t xml:space="preserve">1) and (2) and 42 CFR 422.624(b)(1) and (2).  </w:t>
      </w:r>
      <w:r w:rsidR="008141C5" w:rsidRPr="00A50995">
        <w:t xml:space="preserve">Additional guidance for Original Medicare </w:t>
      </w:r>
      <w:r w:rsidR="008141C5">
        <w:t xml:space="preserve">and </w:t>
      </w:r>
      <w:r w:rsidR="008141C5" w:rsidRPr="00A50995">
        <w:t>Medicare Advantage</w:t>
      </w:r>
      <w:r w:rsidR="00FF3991">
        <w:t xml:space="preserve"> </w:t>
      </w:r>
      <w:r w:rsidR="008141C5">
        <w:t xml:space="preserve">can be found, respectively, at Chapter 4, Section 260 </w:t>
      </w:r>
      <w:r w:rsidR="0060665E">
        <w:t xml:space="preserve">of the Medicare Claims Processing Manual </w:t>
      </w:r>
      <w:r w:rsidR="008141C5">
        <w:t xml:space="preserve">and Chapter 13, Sections 90.2-90.9 of the </w:t>
      </w:r>
      <w:r w:rsidR="0060665E">
        <w:t xml:space="preserve">Medicare Managed Care Manual. </w:t>
      </w:r>
    </w:p>
    <w:p w:rsidR="008141C5" w:rsidRDefault="008141C5" w:rsidP="006D0DA8">
      <w:pPr>
        <w:pStyle w:val="Body10"/>
      </w:pPr>
    </w:p>
    <w:p w:rsidR="008279BE" w:rsidRPr="00A50995" w:rsidRDefault="00FF3991" w:rsidP="006D0DA8">
      <w:pPr>
        <w:pStyle w:val="Body10"/>
        <w:rPr>
          <w:u w:val="single"/>
        </w:rPr>
      </w:pPr>
      <w:r w:rsidRPr="00A50995">
        <w:rPr>
          <w:u w:val="single"/>
        </w:rPr>
        <w:t>Plans</w:t>
      </w:r>
      <w:r w:rsidR="008279BE" w:rsidRPr="00A50995">
        <w:rPr>
          <w:u w:val="single"/>
        </w:rPr>
        <w:t xml:space="preserve"> only:</w:t>
      </w:r>
    </w:p>
    <w:p w:rsidR="00E60649" w:rsidRPr="00E60649" w:rsidRDefault="00CF529E" w:rsidP="006D0DA8">
      <w:pPr>
        <w:pStyle w:val="Body10"/>
        <w:rPr>
          <w:highlight w:val="yellow"/>
        </w:rPr>
      </w:pPr>
      <w:r w:rsidRPr="00E60649">
        <w:t xml:space="preserve">In situations where the decision </w:t>
      </w:r>
      <w:r w:rsidR="00862630">
        <w:t xml:space="preserve">to terminate covered services </w:t>
      </w:r>
      <w:r w:rsidRPr="00E60649">
        <w:t>is not delegated to a provider</w:t>
      </w:r>
      <w:r w:rsidR="00E75624" w:rsidRPr="00E60649">
        <w:t xml:space="preserve"> by a </w:t>
      </w:r>
      <w:r w:rsidR="00E75624" w:rsidRPr="00A50995">
        <w:t>health plan</w:t>
      </w:r>
      <w:r w:rsidRPr="00A50995">
        <w:t>,</w:t>
      </w:r>
      <w:r w:rsidR="007613B9" w:rsidRPr="00A50995">
        <w:t xml:space="preserve"> but the provider is delivering the notice,</w:t>
      </w:r>
      <w:r w:rsidRPr="00A50995">
        <w:t xml:space="preserve"> the </w:t>
      </w:r>
      <w:r w:rsidR="00747252" w:rsidRPr="00A50995">
        <w:t>health</w:t>
      </w:r>
      <w:r w:rsidR="00747252">
        <w:t xml:space="preserve"> </w:t>
      </w:r>
      <w:r w:rsidRPr="00E60649">
        <w:t xml:space="preserve">plan must provide the service termination date to the provider </w:t>
      </w:r>
      <w:r w:rsidR="00E60649" w:rsidRPr="00E60649">
        <w:t>at least two calendar days before Medicare covered services end.</w:t>
      </w:r>
      <w:r w:rsidR="00E60649" w:rsidRPr="00E60649" w:rsidDel="00E60649">
        <w:rPr>
          <w:highlight w:val="yellow"/>
        </w:rPr>
        <w:t xml:space="preserve"> </w:t>
      </w:r>
      <w:r w:rsidR="007613B9">
        <w:rPr>
          <w:highlight w:val="yellow"/>
        </w:rPr>
        <w:t xml:space="preserve"> </w:t>
      </w:r>
    </w:p>
    <w:p w:rsidR="00392887" w:rsidRPr="00E60649" w:rsidRDefault="00392887" w:rsidP="00775480">
      <w:pPr>
        <w:pStyle w:val="Body1"/>
      </w:pPr>
    </w:p>
    <w:p w:rsidR="00E72962" w:rsidRPr="00E60649" w:rsidRDefault="002477C1" w:rsidP="006D0DA8">
      <w:pPr>
        <w:pStyle w:val="Body20"/>
      </w:pPr>
      <w:r w:rsidRPr="00E60649">
        <w:t>Provider Delivery of the NOMNC</w:t>
      </w:r>
    </w:p>
    <w:p w:rsidR="00E72962" w:rsidRPr="00E60649" w:rsidRDefault="00E72962" w:rsidP="006D0DA8">
      <w:pPr>
        <w:pStyle w:val="Body20"/>
      </w:pPr>
    </w:p>
    <w:p w:rsidR="002477C1" w:rsidRDefault="002477C1" w:rsidP="006D0DA8">
      <w:pPr>
        <w:pStyle w:val="Body20"/>
        <w:rPr>
          <w:color w:val="000000"/>
        </w:rPr>
      </w:pPr>
      <w:r w:rsidRPr="00A50995">
        <w:rPr>
          <w:color w:val="000000"/>
        </w:rPr>
        <w:t>Providers must deliver the NOMNC to all beneficiaries</w:t>
      </w:r>
      <w:r w:rsidR="000A6529">
        <w:rPr>
          <w:color w:val="000000"/>
        </w:rPr>
        <w:t>/enrol</w:t>
      </w:r>
      <w:r w:rsidR="00B82DDB">
        <w:rPr>
          <w:color w:val="000000"/>
        </w:rPr>
        <w:t>l</w:t>
      </w:r>
      <w:r w:rsidR="000A6529">
        <w:rPr>
          <w:color w:val="000000"/>
        </w:rPr>
        <w:t>ees</w:t>
      </w:r>
      <w:r w:rsidRPr="00A50995">
        <w:rPr>
          <w:color w:val="000000"/>
        </w:rPr>
        <w:t xml:space="preserve"> eligible for the expedited determination process per </w:t>
      </w:r>
      <w:r w:rsidR="006066A0">
        <w:t xml:space="preserve">Chapter 4, Section 260 </w:t>
      </w:r>
      <w:r w:rsidR="00F87058">
        <w:t xml:space="preserve">of the Medicare Claims Processing Manual </w:t>
      </w:r>
      <w:r w:rsidR="006066A0">
        <w:t xml:space="preserve">and Chapter 13, Sections 90.2-90.9 of the </w:t>
      </w:r>
      <w:r w:rsidR="00F87058">
        <w:t xml:space="preserve">Medicare Managed Care Manual. </w:t>
      </w:r>
      <w:r w:rsidRPr="00A50995">
        <w:rPr>
          <w:color w:val="000000"/>
        </w:rPr>
        <w:t xml:space="preserve"> A NOMNC must be delivered even if the </w:t>
      </w:r>
      <w:r w:rsidR="009F534B">
        <w:t>beneficiary/enrollee</w:t>
      </w:r>
      <w:r w:rsidRPr="00A50995">
        <w:rPr>
          <w:color w:val="000000"/>
        </w:rPr>
        <w:t xml:space="preserve"> agrees with the termination of services. Medicare providers are responsible for the delivery of the NOMNC. Providers may formally delegate the delivery of the notices to a designated agent such as a courier service; however, all of the requirements of valid notice delivery apply to designated agents. </w:t>
      </w:r>
    </w:p>
    <w:p w:rsidR="006066A0" w:rsidRPr="00A50995" w:rsidRDefault="006066A0" w:rsidP="006D0DA8">
      <w:pPr>
        <w:pStyle w:val="Body20"/>
        <w:rPr>
          <w:color w:val="000000"/>
        </w:rPr>
      </w:pPr>
    </w:p>
    <w:p w:rsidR="002477C1" w:rsidRPr="00A50995" w:rsidRDefault="002477C1" w:rsidP="006D0DA8">
      <w:pPr>
        <w:pStyle w:val="Body20"/>
        <w:rPr>
          <w:color w:val="000000"/>
        </w:rPr>
      </w:pPr>
      <w:r w:rsidRPr="00A50995">
        <w:rPr>
          <w:color w:val="000000"/>
        </w:rPr>
        <w:t>The provider must ensure that the beneficiary</w:t>
      </w:r>
      <w:r w:rsidR="000A6529">
        <w:rPr>
          <w:color w:val="000000"/>
        </w:rPr>
        <w:t>/enrollee</w:t>
      </w:r>
      <w:r w:rsidRPr="00A50995">
        <w:rPr>
          <w:color w:val="000000"/>
        </w:rPr>
        <w:t xml:space="preserve"> or representative signs and dates the NOMNC to demonstrate that the </w:t>
      </w:r>
      <w:r w:rsidR="009F534B">
        <w:t>beneficiary/enrollee</w:t>
      </w:r>
      <w:r w:rsidRPr="00A50995">
        <w:rPr>
          <w:color w:val="000000"/>
        </w:rPr>
        <w:t xml:space="preserve"> or representative received the notice and understands that the termination decision can be disputed. Use of assistive devices may be used to obtain a signature. </w:t>
      </w:r>
    </w:p>
    <w:p w:rsidR="002477C1" w:rsidRPr="00A50995" w:rsidRDefault="002477C1" w:rsidP="006D0DA8">
      <w:pPr>
        <w:pStyle w:val="Body20"/>
        <w:rPr>
          <w:color w:val="000000"/>
        </w:rPr>
      </w:pPr>
    </w:p>
    <w:p w:rsidR="00A50995" w:rsidRDefault="00A50995" w:rsidP="006D0DA8">
      <w:pPr>
        <w:pStyle w:val="Body20"/>
        <w:rPr>
          <w:color w:val="000000"/>
        </w:rPr>
      </w:pPr>
    </w:p>
    <w:p w:rsidR="00A50995" w:rsidRDefault="00A50995" w:rsidP="006D0DA8">
      <w:pPr>
        <w:pStyle w:val="Body20"/>
        <w:rPr>
          <w:color w:val="000000"/>
        </w:rPr>
      </w:pPr>
    </w:p>
    <w:p w:rsidR="00A50995" w:rsidRDefault="00A50995" w:rsidP="006D0DA8">
      <w:pPr>
        <w:pStyle w:val="Body20"/>
        <w:rPr>
          <w:color w:val="000000"/>
        </w:rPr>
      </w:pPr>
    </w:p>
    <w:p w:rsidR="002477C1" w:rsidRPr="00A50995" w:rsidRDefault="002477C1" w:rsidP="006D0DA8">
      <w:pPr>
        <w:pStyle w:val="Body20"/>
        <w:rPr>
          <w:color w:val="000000"/>
        </w:rPr>
      </w:pPr>
      <w:r w:rsidRPr="00A50995">
        <w:rPr>
          <w:color w:val="000000"/>
        </w:rPr>
        <w:t xml:space="preserve">Electronic issuance of NOMNCs is not prohibited. If a provider elects to issue a NOMNC that is viewed on an electronic screen before signing, the </w:t>
      </w:r>
      <w:r w:rsidR="009F534B">
        <w:t>beneficiary/enrollee</w:t>
      </w:r>
      <w:r w:rsidR="009F534B" w:rsidRPr="001324F6">
        <w:t xml:space="preserve"> </w:t>
      </w:r>
      <w:r w:rsidRPr="00A50995">
        <w:rPr>
          <w:color w:val="000000"/>
        </w:rPr>
        <w:t xml:space="preserve">must be given the option of requesting paper issuance over electronic if that is what is preferred. Regardless of whether a paper or electronic version is issued and regardless of whether the signature is digitally captured or manually penned, the </w:t>
      </w:r>
      <w:r w:rsidR="009F534B">
        <w:t>beneficiary/enrollee</w:t>
      </w:r>
      <w:r w:rsidRPr="00A50995">
        <w:rPr>
          <w:color w:val="000000"/>
        </w:rPr>
        <w:t xml:space="preserve"> must be given a paper copy of the NOMNC, with the required </w:t>
      </w:r>
      <w:r w:rsidR="009F534B">
        <w:t>beneficiary/enrollee</w:t>
      </w:r>
      <w:r w:rsidR="009F534B" w:rsidRPr="001324F6">
        <w:t xml:space="preserve"> </w:t>
      </w:r>
      <w:r w:rsidRPr="00A50995">
        <w:rPr>
          <w:color w:val="000000"/>
        </w:rPr>
        <w:t xml:space="preserve">-specific information inserted, at the time of </w:t>
      </w:r>
      <w:r w:rsidR="00E60649" w:rsidRPr="00A50995">
        <w:rPr>
          <w:color w:val="000000"/>
        </w:rPr>
        <w:t xml:space="preserve">electronic </w:t>
      </w:r>
      <w:r w:rsidRPr="00A50995">
        <w:rPr>
          <w:color w:val="000000"/>
        </w:rPr>
        <w:t xml:space="preserve">notice delivery. </w:t>
      </w:r>
    </w:p>
    <w:p w:rsidR="00FF15C1" w:rsidRPr="006D0DA8" w:rsidRDefault="00B95870" w:rsidP="006D0DA8">
      <w:pPr>
        <w:pStyle w:val="Body30"/>
        <w:rPr>
          <w:b/>
        </w:rPr>
      </w:pPr>
      <w:r w:rsidRPr="006D0DA8">
        <w:rPr>
          <w:b/>
        </w:rPr>
        <w:t>N</w:t>
      </w:r>
      <w:r w:rsidR="00FF15C1" w:rsidRPr="006D0DA8">
        <w:rPr>
          <w:b/>
        </w:rPr>
        <w:t xml:space="preserve">otice Delivery to </w:t>
      </w:r>
      <w:r w:rsidR="002477C1" w:rsidRPr="006D0DA8">
        <w:rPr>
          <w:b/>
        </w:rPr>
        <w:t>Representatives</w:t>
      </w:r>
    </w:p>
    <w:p w:rsidR="00BE14B8" w:rsidRPr="00E60649" w:rsidRDefault="00FF15C1" w:rsidP="006D0DA8">
      <w:pPr>
        <w:pStyle w:val="Body30"/>
      </w:pPr>
      <w:r w:rsidRPr="00E60649">
        <w:t xml:space="preserve">CMS requires that notification of changes in coverage for an institutionalized </w:t>
      </w:r>
      <w:r w:rsidR="00FB73B1" w:rsidRPr="00E60649">
        <w:t>beneficiary/</w:t>
      </w:r>
      <w:r w:rsidRPr="00E60649">
        <w:t xml:space="preserve">enrollee who is not competent be made to a </w:t>
      </w:r>
      <w:r w:rsidR="00FB73B1" w:rsidRPr="00E60649">
        <w:t>representative</w:t>
      </w:r>
      <w:r w:rsidRPr="00E60649">
        <w:t xml:space="preserve">.  Notification to the representative may be problematic because that person may not be available in person to acknowledge receipt of the required notification.  </w:t>
      </w:r>
      <w:r w:rsidR="007522EE" w:rsidRPr="00E60649">
        <w:t>Providers</w:t>
      </w:r>
      <w:r w:rsidRPr="00E60649">
        <w:t xml:space="preserve"> are required to develop procedures to use when the </w:t>
      </w:r>
      <w:r w:rsidR="00FB73B1" w:rsidRPr="00E60649">
        <w:t>beneficiary/</w:t>
      </w:r>
      <w:r w:rsidRPr="00E60649">
        <w:t>enrollee is incapable</w:t>
      </w:r>
      <w:r w:rsidR="000A6529">
        <w:t xml:space="preserve"> or incompetent</w:t>
      </w:r>
      <w:r w:rsidRPr="00E60649">
        <w:t xml:space="preserve"> and the </w:t>
      </w:r>
      <w:r w:rsidR="00D11AF5" w:rsidRPr="00E60649">
        <w:t>provider</w:t>
      </w:r>
      <w:r w:rsidRPr="00E60649">
        <w:t xml:space="preserve"> cannot obtain the signature of the enrollee’s representative through direct personal contact.  If the </w:t>
      </w:r>
      <w:r w:rsidR="00D11AF5" w:rsidRPr="00E60649">
        <w:t>provider</w:t>
      </w:r>
      <w:r w:rsidRPr="00E60649">
        <w:t xml:space="preserve"> is</w:t>
      </w:r>
      <w:r w:rsidR="001C53FA" w:rsidRPr="00E60649">
        <w:t xml:space="preserve"> personally</w:t>
      </w:r>
      <w:r w:rsidRPr="00E60649">
        <w:t xml:space="preserve"> unable to</w:t>
      </w:r>
      <w:r w:rsidR="001C53FA" w:rsidRPr="00E60649">
        <w:t xml:space="preserve"> </w:t>
      </w:r>
      <w:r w:rsidRPr="00E60649">
        <w:t xml:space="preserve">deliver a </w:t>
      </w:r>
      <w:r w:rsidR="004F361D" w:rsidRPr="00E60649">
        <w:t>NOMNC</w:t>
      </w:r>
      <w:r w:rsidRPr="00E60649">
        <w:t xml:space="preserve"> to</w:t>
      </w:r>
      <w:r w:rsidR="009F534B">
        <w:t xml:space="preserve"> a person acting on behalf of a</w:t>
      </w:r>
      <w:r w:rsidRPr="00E60649">
        <w:t xml:space="preserve"> </w:t>
      </w:r>
      <w:r w:rsidR="000A6529">
        <w:t>beneficiary/</w:t>
      </w:r>
      <w:r w:rsidRPr="00E60649">
        <w:t xml:space="preserve">enrollee, then the </w:t>
      </w:r>
      <w:r w:rsidR="00D11AF5" w:rsidRPr="00E60649">
        <w:t>provider</w:t>
      </w:r>
      <w:r w:rsidRPr="00E60649">
        <w:t xml:space="preserve"> should telephone the representative to advise him or her when the enrollee’s services are no longer covered.  </w:t>
      </w:r>
    </w:p>
    <w:p w:rsidR="00FF15C1" w:rsidRPr="00E60649" w:rsidRDefault="00FF15C1" w:rsidP="006D0DA8">
      <w:pPr>
        <w:pStyle w:val="Body30"/>
      </w:pPr>
      <w:r w:rsidRPr="00E60649">
        <w:t>The date of the conversation is the date of the receipt of the notice.  Confirm the telephone contact by written notice mailed on that same date.  When direct phone contact cannot be made, send the notice to the representative by certified mail, return receipt requested.  The date that someone at the representative’s address signs (or refuses to sign) the receipt is the date of receipt</w:t>
      </w:r>
      <w:r w:rsidR="001C53FA" w:rsidRPr="00E60649">
        <w:t xml:space="preserve">.  </w:t>
      </w:r>
      <w:r w:rsidRPr="00E60649">
        <w:t xml:space="preserve">Place a dated copy of the notice in the enrollee’s medical file.  When notices are returned by the post office with no indication of a refusal date, then the enrollee’s liability starts on the second working day after the </w:t>
      </w:r>
      <w:r w:rsidR="00D11AF5" w:rsidRPr="00E60649">
        <w:t>provider</w:t>
      </w:r>
      <w:r w:rsidRPr="00E60649">
        <w:t xml:space="preserve">’s mailing date.  </w:t>
      </w:r>
    </w:p>
    <w:p w:rsidR="00392887" w:rsidRPr="006D0DA8" w:rsidRDefault="003B60F3" w:rsidP="006D0DA8">
      <w:pPr>
        <w:pStyle w:val="Body30"/>
        <w:rPr>
          <w:b/>
        </w:rPr>
      </w:pPr>
      <w:r w:rsidRPr="006D0DA8">
        <w:rPr>
          <w:b/>
        </w:rPr>
        <w:t>Exceptions</w:t>
      </w:r>
    </w:p>
    <w:p w:rsidR="00E60649" w:rsidRPr="001324F6" w:rsidRDefault="00E60649" w:rsidP="006D0DA8">
      <w:pPr>
        <w:pStyle w:val="Body30"/>
      </w:pPr>
      <w:r w:rsidRPr="001324F6">
        <w:t xml:space="preserve">The following service terminations, reductions, or changes in care are not eligible for an expedited review. Providers should not deliver a NOMNC in these instances. </w:t>
      </w:r>
    </w:p>
    <w:p w:rsidR="00E60649" w:rsidRPr="001324F6" w:rsidRDefault="00E60649" w:rsidP="006D0DA8">
      <w:pPr>
        <w:pStyle w:val="Bullet"/>
      </w:pPr>
      <w:r w:rsidRPr="001324F6">
        <w:t>When beneficiaries</w:t>
      </w:r>
      <w:r w:rsidR="000A6529">
        <w:t>/enrollees</w:t>
      </w:r>
      <w:r w:rsidRPr="001324F6">
        <w:t xml:space="preserve"> never received Medicare covered care in one of the covered settings (e.g., an admission to a SNF will not be covered due to the lack of a qualifying hospital stay or a face-to-face visit was not conducted for the initial episode of home health care). </w:t>
      </w:r>
    </w:p>
    <w:p w:rsidR="00E60649" w:rsidRPr="001324F6" w:rsidRDefault="00E60649" w:rsidP="006D0DA8">
      <w:pPr>
        <w:pStyle w:val="Bullet"/>
        <w:numPr>
          <w:ilvl w:val="0"/>
          <w:numId w:val="0"/>
        </w:numPr>
        <w:ind w:left="1500"/>
      </w:pPr>
    </w:p>
    <w:p w:rsidR="00E60649" w:rsidRPr="001324F6" w:rsidRDefault="00E60649" w:rsidP="006D0DA8">
      <w:pPr>
        <w:pStyle w:val="Bullet"/>
      </w:pPr>
      <w:r w:rsidRPr="001324F6">
        <w:t xml:space="preserve">When services are being reduced (e.g., an HHA providing physical therapy and occupational therapy discontinues the occupational therapy). </w:t>
      </w:r>
    </w:p>
    <w:p w:rsidR="00E60649" w:rsidRPr="001324F6" w:rsidRDefault="00E60649" w:rsidP="006D0DA8">
      <w:pPr>
        <w:pStyle w:val="Bullet"/>
        <w:numPr>
          <w:ilvl w:val="0"/>
          <w:numId w:val="0"/>
        </w:numPr>
        <w:ind w:left="1500"/>
      </w:pPr>
    </w:p>
    <w:p w:rsidR="00E60649" w:rsidRPr="001324F6" w:rsidRDefault="00E60649" w:rsidP="006D0DA8">
      <w:pPr>
        <w:pStyle w:val="Bullet"/>
      </w:pPr>
      <w:r w:rsidRPr="001324F6">
        <w:lastRenderedPageBreak/>
        <w:t xml:space="preserve">When </w:t>
      </w:r>
      <w:r w:rsidR="000A6529" w:rsidRPr="001324F6">
        <w:t>beneficiaries</w:t>
      </w:r>
      <w:r w:rsidR="000A6529">
        <w:t>/enrollees</w:t>
      </w:r>
      <w:r w:rsidRPr="001324F6">
        <w:t xml:space="preserve"> are moving to a higher level of care (e.g., home health care ends because a </w:t>
      </w:r>
      <w:r w:rsidR="000A6529">
        <w:t>beneficiary/enrollee</w:t>
      </w:r>
      <w:r w:rsidRPr="001324F6">
        <w:t xml:space="preserve"> is admitted to a SNF). </w:t>
      </w:r>
    </w:p>
    <w:p w:rsidR="00E60649" w:rsidRPr="001324F6" w:rsidRDefault="00E60649" w:rsidP="006D0DA8">
      <w:pPr>
        <w:pStyle w:val="Bullet"/>
        <w:numPr>
          <w:ilvl w:val="0"/>
          <w:numId w:val="0"/>
        </w:numPr>
        <w:ind w:left="1500"/>
      </w:pPr>
    </w:p>
    <w:p w:rsidR="00E60649" w:rsidRDefault="00E60649" w:rsidP="006D0DA8">
      <w:pPr>
        <w:pStyle w:val="Bullet"/>
      </w:pPr>
      <w:r w:rsidRPr="001324F6">
        <w:t xml:space="preserve">When </w:t>
      </w:r>
      <w:r w:rsidR="000A6529" w:rsidRPr="001324F6">
        <w:t>beneficiaries</w:t>
      </w:r>
      <w:r w:rsidR="000A6529">
        <w:t>/enrollees</w:t>
      </w:r>
      <w:r w:rsidRPr="001324F6">
        <w:t xml:space="preserve"> exhaust their benefits (e.g., a </w:t>
      </w:r>
      <w:r w:rsidR="000A6529">
        <w:t>beneficiary/enrollee</w:t>
      </w:r>
      <w:r w:rsidRPr="001324F6">
        <w:t xml:space="preserve"> reaches 100 days of coverage in a SNF, thus exhausting the</w:t>
      </w:r>
      <w:r w:rsidR="006D0DA8">
        <w:t xml:space="preserve">ir Medicare Part </w:t>
      </w:r>
      <w:proofErr w:type="gramStart"/>
      <w:r w:rsidR="006D0DA8">
        <w:t>A</w:t>
      </w:r>
      <w:proofErr w:type="gramEnd"/>
      <w:r w:rsidR="006D0DA8">
        <w:t xml:space="preserve"> SNF benefit).</w:t>
      </w:r>
    </w:p>
    <w:p w:rsidR="006D0DA8" w:rsidRPr="001324F6" w:rsidRDefault="006D0DA8" w:rsidP="006D0DA8">
      <w:pPr>
        <w:pStyle w:val="Bullet"/>
        <w:numPr>
          <w:ilvl w:val="0"/>
          <w:numId w:val="0"/>
        </w:numPr>
      </w:pPr>
    </w:p>
    <w:p w:rsidR="00E60649" w:rsidRPr="001324F6" w:rsidRDefault="00E60649" w:rsidP="006D0DA8">
      <w:pPr>
        <w:pStyle w:val="Bullet"/>
      </w:pPr>
      <w:r w:rsidRPr="001324F6">
        <w:t xml:space="preserve">When </w:t>
      </w:r>
      <w:r w:rsidR="000A6529" w:rsidRPr="001324F6">
        <w:t>beneficiaries</w:t>
      </w:r>
      <w:r w:rsidR="000A6529">
        <w:t>/enrollees</w:t>
      </w:r>
      <w:r w:rsidRPr="001324F6">
        <w:t xml:space="preserve"> end care on their own initiative (e.g., a </w:t>
      </w:r>
      <w:r w:rsidR="000A6529">
        <w:t>beneficiary/enrollee</w:t>
      </w:r>
      <w:r w:rsidRPr="001324F6">
        <w:t xml:space="preserve"> decides to revoke the hospice benefit and return to standard Medicare coverage). </w:t>
      </w:r>
    </w:p>
    <w:p w:rsidR="00E60649" w:rsidRPr="001324F6" w:rsidRDefault="00E60649" w:rsidP="006D0DA8">
      <w:pPr>
        <w:pStyle w:val="Bullet"/>
        <w:numPr>
          <w:ilvl w:val="0"/>
          <w:numId w:val="0"/>
        </w:numPr>
        <w:ind w:left="1500"/>
      </w:pPr>
    </w:p>
    <w:p w:rsidR="00E60649" w:rsidRPr="001324F6" w:rsidRDefault="00E60649" w:rsidP="006D0DA8">
      <w:pPr>
        <w:pStyle w:val="Bullet"/>
      </w:pPr>
      <w:r w:rsidRPr="001324F6">
        <w:t xml:space="preserve">When </w:t>
      </w:r>
      <w:r w:rsidR="000A6529" w:rsidRPr="001324F6">
        <w:t>beneficiaries</w:t>
      </w:r>
      <w:r w:rsidR="000A6529">
        <w:t>/enrollees</w:t>
      </w:r>
      <w:r w:rsidR="000A6529" w:rsidRPr="001324F6">
        <w:t xml:space="preserve"> </w:t>
      </w:r>
      <w:r w:rsidR="000A6529">
        <w:t xml:space="preserve">transfer to other </w:t>
      </w:r>
      <w:r w:rsidRPr="001324F6">
        <w:t>provider</w:t>
      </w:r>
      <w:r w:rsidR="000A6529">
        <w:t>s</w:t>
      </w:r>
      <w:r w:rsidRPr="001324F6">
        <w:t xml:space="preserve"> at the same level of care (e.g., a </w:t>
      </w:r>
      <w:r w:rsidR="000A6529">
        <w:t>beneficiary/enrollee</w:t>
      </w:r>
      <w:r w:rsidRPr="001324F6">
        <w:t xml:space="preserve"> transfers from one SNF to another while remaining in a Medicare-covered SNF stay). </w:t>
      </w:r>
    </w:p>
    <w:p w:rsidR="00E60649" w:rsidRPr="001324F6" w:rsidRDefault="00E60649" w:rsidP="006D0DA8">
      <w:pPr>
        <w:pStyle w:val="Bullet"/>
        <w:numPr>
          <w:ilvl w:val="0"/>
          <w:numId w:val="0"/>
        </w:numPr>
        <w:ind w:left="1500"/>
      </w:pPr>
    </w:p>
    <w:p w:rsidR="00E60649" w:rsidRDefault="00E60649" w:rsidP="006D0DA8">
      <w:pPr>
        <w:pStyle w:val="Bullet"/>
      </w:pPr>
      <w:r w:rsidRPr="001324F6">
        <w:t xml:space="preserve">When a provider discontinues care for business reasons (e.g., an HHA refuses to continue care at a home with a dangerous animal or because the </w:t>
      </w:r>
      <w:r w:rsidR="000A6529">
        <w:t>beneficiary/enrollee</w:t>
      </w:r>
      <w:r w:rsidRPr="001324F6">
        <w:t xml:space="preserve"> was receiving physical therapy and the provider’s physical therapist leaves the HHA for another job). </w:t>
      </w:r>
    </w:p>
    <w:p w:rsidR="00FF3991" w:rsidRDefault="00FF3991" w:rsidP="00A50995">
      <w:pPr>
        <w:pStyle w:val="ListParagraph"/>
        <w:rPr>
          <w:rFonts w:ascii="Arial" w:hAnsi="Arial" w:cs="Arial"/>
        </w:rPr>
      </w:pPr>
    </w:p>
    <w:p w:rsidR="00FF3991" w:rsidRPr="001324F6" w:rsidRDefault="00FF3991" w:rsidP="00A50995">
      <w:pPr>
        <w:pStyle w:val="Default"/>
        <w:widowControl/>
        <w:ind w:left="720"/>
        <w:rPr>
          <w:rFonts w:ascii="Arial" w:hAnsi="Arial" w:cs="Arial"/>
        </w:rPr>
      </w:pPr>
    </w:p>
    <w:p w:rsidR="008279BE" w:rsidRPr="006D0DA8" w:rsidRDefault="00FF3991" w:rsidP="006D0DA8">
      <w:pPr>
        <w:pStyle w:val="Body30"/>
        <w:rPr>
          <w:b/>
        </w:rPr>
      </w:pPr>
      <w:r w:rsidRPr="006D0DA8">
        <w:rPr>
          <w:b/>
        </w:rPr>
        <w:t>Plans Only</w:t>
      </w:r>
      <w:r w:rsidR="008279BE" w:rsidRPr="006D0DA8">
        <w:rPr>
          <w:b/>
        </w:rPr>
        <w:t>:</w:t>
      </w:r>
    </w:p>
    <w:p w:rsidR="00486B19" w:rsidRPr="00E60649" w:rsidRDefault="006066A0" w:rsidP="006D0DA8">
      <w:pPr>
        <w:pStyle w:val="Body30"/>
      </w:pPr>
      <w:r>
        <w:t>If a member requests coverage in</w:t>
      </w:r>
      <w:r w:rsidR="00486B19" w:rsidRPr="00E60649">
        <w:t xml:space="preserve"> the</w:t>
      </w:r>
      <w:r w:rsidR="00F3114A" w:rsidRPr="00E60649">
        <w:t xml:space="preserve"> above situations</w:t>
      </w:r>
      <w:r w:rsidR="00486B19" w:rsidRPr="00E60649">
        <w:t xml:space="preserve">, the </w:t>
      </w:r>
      <w:r w:rsidR="00A20ADE" w:rsidRPr="00E60649">
        <w:t>plan</w:t>
      </w:r>
      <w:r w:rsidR="00486B19" w:rsidRPr="00E60649">
        <w:t xml:space="preserve"> </w:t>
      </w:r>
      <w:r>
        <w:t>must</w:t>
      </w:r>
      <w:r w:rsidR="0089053E" w:rsidRPr="00E60649">
        <w:t xml:space="preserve"> </w:t>
      </w:r>
      <w:r w:rsidR="00486B19" w:rsidRPr="00E60649">
        <w:t>issue the CMS form 10003</w:t>
      </w:r>
      <w:r w:rsidR="00BE14B8" w:rsidRPr="00E60649">
        <w:t xml:space="preserve"> </w:t>
      </w:r>
      <w:r w:rsidR="00486B19" w:rsidRPr="00E60649">
        <w:t>- Notice of Denial of Medical Coverage.</w:t>
      </w:r>
    </w:p>
    <w:p w:rsidR="00486B19" w:rsidRPr="00A50995" w:rsidRDefault="00486B19" w:rsidP="00775480">
      <w:pPr>
        <w:pStyle w:val="Body3"/>
      </w:pPr>
    </w:p>
    <w:p w:rsidR="00712A02" w:rsidRDefault="00712A02" w:rsidP="00775480">
      <w:pPr>
        <w:pStyle w:val="Body3"/>
        <w:rPr>
          <w:b/>
        </w:rPr>
      </w:pPr>
    </w:p>
    <w:p w:rsidR="00392887" w:rsidRPr="00E60649" w:rsidRDefault="00712A02" w:rsidP="006D0DA8">
      <w:pPr>
        <w:pStyle w:val="Body40"/>
        <w:rPr>
          <w:b/>
        </w:rPr>
      </w:pPr>
      <w:r>
        <w:rPr>
          <w:b/>
        </w:rPr>
        <w:t>A</w:t>
      </w:r>
      <w:r w:rsidR="00EF7B1A" w:rsidRPr="00E60649">
        <w:rPr>
          <w:b/>
        </w:rPr>
        <w:t xml:space="preserve">lterations </w:t>
      </w:r>
      <w:r w:rsidR="00AF665A" w:rsidRPr="00E60649">
        <w:rPr>
          <w:b/>
        </w:rPr>
        <w:t>to the NOMNC</w:t>
      </w:r>
    </w:p>
    <w:p w:rsidR="00392887" w:rsidRPr="00A50995" w:rsidRDefault="00392887" w:rsidP="006D0DA8">
      <w:pPr>
        <w:pStyle w:val="Body40"/>
        <w:rPr>
          <w:b/>
        </w:rPr>
      </w:pPr>
    </w:p>
    <w:p w:rsidR="00EF7B1A" w:rsidRPr="00A50995" w:rsidRDefault="00EF7B1A" w:rsidP="006D0DA8">
      <w:pPr>
        <w:pStyle w:val="Body40"/>
        <w:rPr>
          <w:color w:val="000000"/>
        </w:rPr>
      </w:pPr>
      <w:r w:rsidRPr="00A50995">
        <w:rPr>
          <w:color w:val="000000"/>
        </w:rPr>
        <w:t xml:space="preserve">The NOMNC must remain two pages. The notice can be two sides of one page or one side of two separate pages, but </w:t>
      </w:r>
      <w:r w:rsidRPr="00A50995">
        <w:rPr>
          <w:b/>
          <w:bCs/>
          <w:color w:val="000000"/>
        </w:rPr>
        <w:t xml:space="preserve">must not </w:t>
      </w:r>
      <w:r w:rsidRPr="00A50995">
        <w:rPr>
          <w:color w:val="000000"/>
        </w:rPr>
        <w:t xml:space="preserve">be condensed to one page. </w:t>
      </w:r>
    </w:p>
    <w:p w:rsidR="004C75A0" w:rsidRPr="00A50995" w:rsidRDefault="004C75A0" w:rsidP="006D0DA8">
      <w:pPr>
        <w:pStyle w:val="Body40"/>
        <w:rPr>
          <w:color w:val="000000"/>
        </w:rPr>
      </w:pPr>
    </w:p>
    <w:p w:rsidR="00EF7B1A" w:rsidRPr="00A50995" w:rsidRDefault="00EF7B1A" w:rsidP="006D0DA8">
      <w:pPr>
        <w:pStyle w:val="Body40"/>
        <w:rPr>
          <w:color w:val="000000"/>
        </w:rPr>
      </w:pPr>
      <w:r w:rsidRPr="00A50995">
        <w:rPr>
          <w:color w:val="000000"/>
        </w:rPr>
        <w:t>Providers may include their business logo and contact information on the top of the NOMNC.</w:t>
      </w:r>
      <w:r w:rsidR="004C75A0" w:rsidRPr="00A50995">
        <w:rPr>
          <w:color w:val="000000"/>
        </w:rPr>
        <w:t xml:space="preserve"> </w:t>
      </w:r>
      <w:r w:rsidRPr="00A50995">
        <w:rPr>
          <w:color w:val="000000"/>
        </w:rPr>
        <w:t xml:space="preserve">Text may not be </w:t>
      </w:r>
      <w:r w:rsidR="008167E6">
        <w:rPr>
          <w:color w:val="000000"/>
        </w:rPr>
        <w:t>moved</w:t>
      </w:r>
      <w:r w:rsidRPr="00A50995">
        <w:rPr>
          <w:color w:val="000000"/>
        </w:rPr>
        <w:t xml:space="preserve"> from page 1 to page 2 to accommodate large logos, address headers, etc.</w:t>
      </w:r>
    </w:p>
    <w:p w:rsidR="00EF7B1A" w:rsidRPr="00A50995" w:rsidRDefault="00EF7B1A" w:rsidP="006D0DA8">
      <w:pPr>
        <w:pStyle w:val="Body40"/>
        <w:rPr>
          <w:color w:val="000000"/>
        </w:rPr>
      </w:pPr>
    </w:p>
    <w:p w:rsidR="00EF7B1A" w:rsidRPr="00A50995" w:rsidRDefault="00EF7B1A" w:rsidP="006D0DA8">
      <w:pPr>
        <w:pStyle w:val="Body40"/>
        <w:rPr>
          <w:color w:val="000000"/>
        </w:rPr>
      </w:pPr>
      <w:r w:rsidRPr="00A50995">
        <w:rPr>
          <w:color w:val="000000"/>
        </w:rPr>
        <w:t xml:space="preserve">Providers may include information in the optional “Additional Information” section relevant to the </w:t>
      </w:r>
      <w:r w:rsidR="009F534B">
        <w:t>beneficiary’s/enrollee’s</w:t>
      </w:r>
      <w:r w:rsidRPr="00A50995">
        <w:rPr>
          <w:color w:val="000000"/>
        </w:rPr>
        <w:t xml:space="preserve"> situation. </w:t>
      </w:r>
    </w:p>
    <w:p w:rsidR="00EF7B1A" w:rsidRPr="00A50995" w:rsidRDefault="00EF7B1A" w:rsidP="006D0DA8">
      <w:pPr>
        <w:pStyle w:val="Body40"/>
        <w:rPr>
          <w:color w:val="000000"/>
        </w:rPr>
      </w:pPr>
    </w:p>
    <w:p w:rsidR="00EF7B1A" w:rsidRPr="00A50995" w:rsidRDefault="00EF7B1A" w:rsidP="006D0DA8">
      <w:pPr>
        <w:pStyle w:val="Body40"/>
        <w:rPr>
          <w:color w:val="000000"/>
        </w:rPr>
      </w:pPr>
      <w:r w:rsidRPr="00A50995">
        <w:rPr>
          <w:b/>
          <w:bCs/>
          <w:color w:val="000000"/>
        </w:rPr>
        <w:t xml:space="preserve">Note: </w:t>
      </w:r>
      <w:r w:rsidRPr="00A50995">
        <w:rPr>
          <w:color w:val="000000"/>
        </w:rPr>
        <w:t xml:space="preserve">Including information normally included in the Detailed Explanation of Non-Coverage (DENC) in the “Additional Information” section does not satisfy </w:t>
      </w:r>
      <w:r w:rsidR="00A50995">
        <w:rPr>
          <w:color w:val="000000"/>
        </w:rPr>
        <w:t>the</w:t>
      </w:r>
      <w:r w:rsidRPr="00A50995">
        <w:rPr>
          <w:color w:val="000000"/>
        </w:rPr>
        <w:t xml:space="preserve"> responsibility to deliver the DENC, if otherwise required. </w:t>
      </w:r>
    </w:p>
    <w:p w:rsidR="00EF7B1A" w:rsidRPr="00A50995" w:rsidRDefault="00EF7B1A" w:rsidP="00EF7B1A">
      <w:pPr>
        <w:autoSpaceDE w:val="0"/>
        <w:autoSpaceDN w:val="0"/>
        <w:adjustRightInd w:val="0"/>
        <w:rPr>
          <w:rFonts w:ascii="Arial" w:hAnsi="Arial" w:cs="Arial"/>
          <w:color w:val="000000"/>
        </w:rPr>
      </w:pPr>
    </w:p>
    <w:p w:rsidR="004D6A61" w:rsidRPr="00A50995" w:rsidRDefault="004D6A61" w:rsidP="00775480">
      <w:pPr>
        <w:pStyle w:val="Body3"/>
        <w:rPr>
          <w:b/>
          <w:bCs/>
        </w:rPr>
      </w:pPr>
    </w:p>
    <w:p w:rsidR="004D6A61" w:rsidRPr="00A50995" w:rsidRDefault="004D6A61" w:rsidP="00775480">
      <w:pPr>
        <w:pStyle w:val="Body3"/>
        <w:rPr>
          <w:b/>
          <w:bCs/>
        </w:rPr>
      </w:pPr>
    </w:p>
    <w:p w:rsidR="00FF15C1" w:rsidRPr="006D0DA8" w:rsidRDefault="00FF15C1" w:rsidP="006D0DA8">
      <w:pPr>
        <w:pStyle w:val="Body40"/>
        <w:rPr>
          <w:b/>
        </w:rPr>
      </w:pPr>
      <w:r w:rsidRPr="006D0DA8">
        <w:rPr>
          <w:b/>
        </w:rPr>
        <w:t>Heading</w:t>
      </w:r>
    </w:p>
    <w:p w:rsidR="00FF15C1" w:rsidRPr="00A50995" w:rsidRDefault="00FF15C1" w:rsidP="006D0DA8">
      <w:pPr>
        <w:pStyle w:val="Body40"/>
      </w:pPr>
    </w:p>
    <w:p w:rsidR="00A620CB" w:rsidRPr="00E60649" w:rsidRDefault="00244AD2" w:rsidP="006D0DA8">
      <w:pPr>
        <w:pStyle w:val="Body40"/>
      </w:pPr>
      <w:r w:rsidRPr="006D0DA8">
        <w:rPr>
          <w:b/>
        </w:rPr>
        <w:t>Contact information</w:t>
      </w:r>
      <w:r w:rsidR="00042BD1" w:rsidRPr="006D0DA8">
        <w:rPr>
          <w:b/>
        </w:rPr>
        <w:t xml:space="preserve">: </w:t>
      </w:r>
      <w:r w:rsidR="00042BD1" w:rsidRPr="00E60649">
        <w:t xml:space="preserve"> </w:t>
      </w:r>
      <w:r w:rsidR="00A416CD" w:rsidRPr="00E60649">
        <w:t>The name</w:t>
      </w:r>
      <w:r w:rsidR="00B84E09" w:rsidRPr="00E60649">
        <w:t>, address and telephone number of the</w:t>
      </w:r>
      <w:r w:rsidR="00042BD1" w:rsidRPr="00E60649">
        <w:t xml:space="preserve"> </w:t>
      </w:r>
      <w:r w:rsidR="003E18FB" w:rsidRPr="00E60649">
        <w:t>provider</w:t>
      </w:r>
      <w:r w:rsidR="00042BD1" w:rsidRPr="00E60649">
        <w:t xml:space="preserve"> </w:t>
      </w:r>
      <w:r w:rsidR="009C4400" w:rsidRPr="00E60649">
        <w:t xml:space="preserve">that delivers the notice must </w:t>
      </w:r>
      <w:r w:rsidR="00B84E09" w:rsidRPr="00E60649">
        <w:t>appear above the title of the form</w:t>
      </w:r>
      <w:r w:rsidR="00042BD1" w:rsidRPr="00E60649">
        <w:t xml:space="preserve">.  </w:t>
      </w:r>
      <w:r w:rsidR="00B84E09" w:rsidRPr="00E60649">
        <w:t xml:space="preserve">The </w:t>
      </w:r>
      <w:r w:rsidR="00A620CB" w:rsidRPr="00E60649">
        <w:t xml:space="preserve">provider’s </w:t>
      </w:r>
      <w:r w:rsidR="00B84E09" w:rsidRPr="00E60649">
        <w:t>registered logo may be used</w:t>
      </w:r>
      <w:r w:rsidR="003E18FB" w:rsidRPr="00E60649">
        <w:t>.</w:t>
      </w:r>
      <w:r w:rsidR="00042BD1" w:rsidRPr="00E60649">
        <w:t xml:space="preserve">  </w:t>
      </w:r>
    </w:p>
    <w:p w:rsidR="00BC696F" w:rsidRPr="00E60649" w:rsidRDefault="00BC696F" w:rsidP="006D0DA8">
      <w:pPr>
        <w:pStyle w:val="Body40"/>
      </w:pPr>
      <w:r w:rsidRPr="00E60649">
        <w:tab/>
      </w:r>
    </w:p>
    <w:p w:rsidR="00BC696F" w:rsidRPr="00E60649" w:rsidRDefault="00BC696F" w:rsidP="006D0DA8">
      <w:pPr>
        <w:pStyle w:val="Body40"/>
      </w:pPr>
      <w:r w:rsidRPr="006D0DA8">
        <w:rPr>
          <w:b/>
        </w:rPr>
        <w:t>Member number:</w:t>
      </w:r>
      <w:r w:rsidRPr="00E60649">
        <w:t xml:space="preserve"> Providers may fill in the </w:t>
      </w:r>
      <w:r w:rsidR="00716D73" w:rsidRPr="00E60649">
        <w:t>beneficiary’s/</w:t>
      </w:r>
      <w:r w:rsidRPr="00E60649">
        <w:t xml:space="preserve">enrollee’s unique medical record or other identification number.  </w:t>
      </w:r>
      <w:r w:rsidR="00E457B8">
        <w:t xml:space="preserve">The beneficiary’s/enrollee’s </w:t>
      </w:r>
      <w:r w:rsidRPr="00E60649">
        <w:t xml:space="preserve">HIC number </w:t>
      </w:r>
      <w:r w:rsidR="003A470C" w:rsidRPr="00E60649">
        <w:t>must</w:t>
      </w:r>
      <w:r w:rsidRPr="00E60649">
        <w:t xml:space="preserve"> not be used.</w:t>
      </w:r>
    </w:p>
    <w:p w:rsidR="00BC696F" w:rsidRPr="00E60649" w:rsidRDefault="00BC696F" w:rsidP="006D0DA8">
      <w:pPr>
        <w:pStyle w:val="Body40"/>
      </w:pPr>
    </w:p>
    <w:p w:rsidR="00FF15C1" w:rsidRPr="00E60649" w:rsidRDefault="00FF15C1" w:rsidP="006D0DA8">
      <w:pPr>
        <w:pStyle w:val="Body40"/>
      </w:pPr>
      <w:r w:rsidRPr="006D0DA8">
        <w:rPr>
          <w:b/>
        </w:rPr>
        <w:t>THE EFFECTIVE DATE YOUR {INSERT TYPE} SERVICES WILL END:</w:t>
      </w:r>
      <w:r w:rsidRPr="00E60649">
        <w:t xml:space="preserve">  </w:t>
      </w:r>
      <w:r w:rsidRPr="006D0DA8">
        <w:rPr>
          <w:b/>
        </w:rPr>
        <w:t xml:space="preserve">{Insert Effective Date}: </w:t>
      </w:r>
      <w:r w:rsidRPr="00E60649">
        <w:t xml:space="preserve"> Fill in the type of services ending, </w:t>
      </w:r>
      <w:r w:rsidRPr="006D0DA8">
        <w:rPr>
          <w:b/>
        </w:rPr>
        <w:t>{</w:t>
      </w:r>
      <w:r w:rsidR="00A50995" w:rsidRPr="006D0DA8">
        <w:rPr>
          <w:b/>
        </w:rPr>
        <w:t xml:space="preserve">home health, skilled nursing, </w:t>
      </w:r>
      <w:r w:rsidRPr="006D0DA8">
        <w:rPr>
          <w:b/>
        </w:rPr>
        <w:t>comprehensive outpatient rehabilitation</w:t>
      </w:r>
      <w:r w:rsidR="00A50995" w:rsidRPr="006D0DA8">
        <w:rPr>
          <w:b/>
        </w:rPr>
        <w:t xml:space="preserve"> </w:t>
      </w:r>
      <w:r w:rsidRPr="006D0DA8">
        <w:rPr>
          <w:b/>
        </w:rPr>
        <w:t>services</w:t>
      </w:r>
      <w:r w:rsidR="00657260" w:rsidRPr="006D0DA8">
        <w:rPr>
          <w:b/>
        </w:rPr>
        <w:t>, or hospice</w:t>
      </w:r>
      <w:r w:rsidR="001C53FA" w:rsidRPr="006D0DA8">
        <w:rPr>
          <w:b/>
        </w:rPr>
        <w:t>}</w:t>
      </w:r>
      <w:r w:rsidR="001C53FA" w:rsidRPr="00E60649">
        <w:t xml:space="preserve"> and</w:t>
      </w:r>
      <w:r w:rsidRPr="00E60649">
        <w:t xml:space="preserve"> the actual date the service will end.  Note that the date should be in no less than 12-point type</w:t>
      </w:r>
      <w:r w:rsidR="00042BD1" w:rsidRPr="00E60649">
        <w:t>.  If h</w:t>
      </w:r>
      <w:r w:rsidR="001C53FA" w:rsidRPr="00E60649">
        <w:t>andwritten</w:t>
      </w:r>
      <w:r w:rsidR="00042BD1" w:rsidRPr="00E60649">
        <w:t>,</w:t>
      </w:r>
      <w:r w:rsidR="001C53FA" w:rsidRPr="00E60649">
        <w:t xml:space="preserve"> </w:t>
      </w:r>
      <w:r w:rsidR="002C77E0" w:rsidRPr="00E60649">
        <w:t xml:space="preserve">notice </w:t>
      </w:r>
      <w:r w:rsidR="007C0CB1" w:rsidRPr="00E60649">
        <w:t>entries</w:t>
      </w:r>
      <w:r w:rsidR="001C53FA" w:rsidRPr="00E60649">
        <w:t xml:space="preserve"> must be at least as large as 12</w:t>
      </w:r>
      <w:r w:rsidR="00A708AD" w:rsidRPr="00E60649">
        <w:t>-</w:t>
      </w:r>
      <w:r w:rsidR="001C53FA" w:rsidRPr="00E60649">
        <w:t xml:space="preserve"> point type and legible.</w:t>
      </w:r>
    </w:p>
    <w:p w:rsidR="00FF15C1" w:rsidRPr="00E60649" w:rsidRDefault="00FF15C1" w:rsidP="00775480">
      <w:pPr>
        <w:pStyle w:val="Body3"/>
        <w:rPr>
          <w:b/>
          <w:bCs/>
        </w:rPr>
      </w:pPr>
    </w:p>
    <w:p w:rsidR="00FF15C1" w:rsidRPr="006D0DA8" w:rsidRDefault="00FF15C1" w:rsidP="006D0DA8">
      <w:pPr>
        <w:pStyle w:val="Body40"/>
        <w:rPr>
          <w:b/>
        </w:rPr>
      </w:pPr>
      <w:proofErr w:type="gramStart"/>
      <w:r w:rsidRPr="006D0DA8">
        <w:rPr>
          <w:b/>
        </w:rPr>
        <w:t>YOUR</w:t>
      </w:r>
      <w:proofErr w:type="gramEnd"/>
      <w:r w:rsidRPr="006D0DA8">
        <w:rPr>
          <w:b/>
        </w:rPr>
        <w:t xml:space="preserve"> RIGHT TO APPEAL THIS DECISION</w:t>
      </w:r>
    </w:p>
    <w:p w:rsidR="00FF15C1" w:rsidRPr="00E60649" w:rsidRDefault="00FF15C1" w:rsidP="006D0DA8">
      <w:pPr>
        <w:pStyle w:val="Body40"/>
      </w:pPr>
    </w:p>
    <w:p w:rsidR="00FF15C1" w:rsidRPr="00E60649" w:rsidRDefault="00FF15C1" w:rsidP="006D0DA8">
      <w:pPr>
        <w:pStyle w:val="Body40"/>
      </w:pPr>
      <w:r w:rsidRPr="006D0DA8">
        <w:rPr>
          <w:b/>
        </w:rPr>
        <w:t>Bullet # 1</w:t>
      </w:r>
      <w:r w:rsidRPr="00E60649">
        <w:tab/>
        <w:t xml:space="preserve"> </w:t>
      </w:r>
      <w:r w:rsidR="00EC1875" w:rsidRPr="00E60649">
        <w:t xml:space="preserve">not applicable </w:t>
      </w:r>
    </w:p>
    <w:p w:rsidR="00FF15C1" w:rsidRPr="00E60649" w:rsidRDefault="00FF15C1" w:rsidP="006D0DA8">
      <w:pPr>
        <w:pStyle w:val="Body40"/>
      </w:pPr>
    </w:p>
    <w:p w:rsidR="00FF15C1" w:rsidRPr="00E60649" w:rsidRDefault="00FF15C1" w:rsidP="006D0DA8">
      <w:pPr>
        <w:pStyle w:val="Body40"/>
      </w:pPr>
      <w:r w:rsidRPr="006D0DA8">
        <w:rPr>
          <w:b/>
        </w:rPr>
        <w:t>Bullet # 2</w:t>
      </w:r>
      <w:r w:rsidRPr="00E60649">
        <w:t xml:space="preserve"> </w:t>
      </w:r>
      <w:r w:rsidRPr="00E60649">
        <w:tab/>
        <w:t xml:space="preserve"> </w:t>
      </w:r>
      <w:r w:rsidR="00EC1875" w:rsidRPr="00E60649">
        <w:t>not applicable</w:t>
      </w:r>
    </w:p>
    <w:p w:rsidR="00EC1875" w:rsidRPr="00E60649" w:rsidRDefault="00EC1875" w:rsidP="006D0DA8">
      <w:pPr>
        <w:pStyle w:val="Body40"/>
      </w:pPr>
    </w:p>
    <w:p w:rsidR="00FF15C1" w:rsidRPr="00E60649" w:rsidRDefault="00FF15C1" w:rsidP="006D0DA8">
      <w:pPr>
        <w:pStyle w:val="Body40"/>
      </w:pPr>
      <w:r w:rsidRPr="006D0DA8">
        <w:rPr>
          <w:b/>
        </w:rPr>
        <w:t>Bullet # 3</w:t>
      </w:r>
      <w:r w:rsidRPr="00E60649">
        <w:tab/>
        <w:t xml:space="preserve"> </w:t>
      </w:r>
      <w:r w:rsidR="00EC1875" w:rsidRPr="00E60649">
        <w:t>not applicable</w:t>
      </w:r>
    </w:p>
    <w:p w:rsidR="00FF15C1" w:rsidRPr="00E60649" w:rsidRDefault="00FF15C1" w:rsidP="006D0DA8">
      <w:pPr>
        <w:pStyle w:val="Body40"/>
      </w:pPr>
    </w:p>
    <w:p w:rsidR="00FF15C1" w:rsidRPr="00E60649" w:rsidRDefault="00FF15C1" w:rsidP="006D0DA8">
      <w:pPr>
        <w:pStyle w:val="Body40"/>
      </w:pPr>
      <w:r w:rsidRPr="006D0DA8">
        <w:rPr>
          <w:b/>
        </w:rPr>
        <w:t>Bullet # 4</w:t>
      </w:r>
      <w:r w:rsidRPr="00E60649">
        <w:tab/>
        <w:t xml:space="preserve"> </w:t>
      </w:r>
      <w:r w:rsidR="00EC1875" w:rsidRPr="00E60649">
        <w:t>not applicable</w:t>
      </w:r>
    </w:p>
    <w:p w:rsidR="00EC1875" w:rsidRPr="00E60649" w:rsidRDefault="00EC1875" w:rsidP="006D0DA8">
      <w:pPr>
        <w:pStyle w:val="Body40"/>
      </w:pPr>
    </w:p>
    <w:p w:rsidR="00FF15C1" w:rsidRPr="00E60649" w:rsidRDefault="00FF15C1" w:rsidP="006D0DA8">
      <w:pPr>
        <w:pStyle w:val="Body40"/>
      </w:pPr>
      <w:r w:rsidRPr="006D0DA8">
        <w:rPr>
          <w:b/>
        </w:rPr>
        <w:t>Bullet # 5</w:t>
      </w:r>
      <w:r w:rsidRPr="00E60649">
        <w:tab/>
        <w:t xml:space="preserve"> </w:t>
      </w:r>
      <w:r w:rsidR="00EC1875" w:rsidRPr="00E60649">
        <w:t>not applicable</w:t>
      </w:r>
    </w:p>
    <w:p w:rsidR="00EC1875" w:rsidRPr="00E60649" w:rsidRDefault="00EC1875" w:rsidP="006D0DA8">
      <w:pPr>
        <w:pStyle w:val="Body40"/>
      </w:pPr>
    </w:p>
    <w:p w:rsidR="00FF15C1" w:rsidRPr="006D0DA8" w:rsidRDefault="00FF15C1" w:rsidP="006D0DA8">
      <w:pPr>
        <w:pStyle w:val="Body40"/>
        <w:rPr>
          <w:b/>
        </w:rPr>
      </w:pPr>
      <w:r w:rsidRPr="006D0DA8">
        <w:rPr>
          <w:b/>
        </w:rPr>
        <w:t xml:space="preserve">HOW TO ASK FOR AN IMMEDIATE APPEAL </w:t>
      </w:r>
    </w:p>
    <w:p w:rsidR="00FF15C1" w:rsidRPr="00E60649" w:rsidRDefault="00FF15C1" w:rsidP="006D0DA8">
      <w:pPr>
        <w:pStyle w:val="Body40"/>
      </w:pPr>
    </w:p>
    <w:p w:rsidR="00FF15C1" w:rsidRPr="00E60649" w:rsidRDefault="00FF15C1" w:rsidP="006D0DA8">
      <w:pPr>
        <w:pStyle w:val="Body40"/>
      </w:pPr>
      <w:r w:rsidRPr="006D0DA8">
        <w:rPr>
          <w:b/>
        </w:rPr>
        <w:t>Bullet # 1</w:t>
      </w:r>
      <w:r w:rsidRPr="00E60649">
        <w:tab/>
        <w:t xml:space="preserve"> </w:t>
      </w:r>
      <w:r w:rsidR="00EC1875" w:rsidRPr="00E60649">
        <w:t>not applicable</w:t>
      </w:r>
    </w:p>
    <w:p w:rsidR="00FF15C1" w:rsidRPr="00A50995" w:rsidRDefault="00FF15C1" w:rsidP="006D0DA8">
      <w:pPr>
        <w:pStyle w:val="Body40"/>
      </w:pPr>
    </w:p>
    <w:p w:rsidR="00FF15C1" w:rsidRPr="00A50995" w:rsidRDefault="00FF15C1" w:rsidP="006D0DA8">
      <w:pPr>
        <w:pStyle w:val="Body40"/>
      </w:pPr>
      <w:r w:rsidRPr="006D0DA8">
        <w:rPr>
          <w:b/>
        </w:rPr>
        <w:t>Bullet # 2</w:t>
      </w:r>
      <w:r w:rsidRPr="00E60649">
        <w:t xml:space="preserve"> </w:t>
      </w:r>
      <w:r w:rsidRPr="00E60649">
        <w:tab/>
        <w:t xml:space="preserve"> </w:t>
      </w:r>
      <w:r w:rsidR="00EC1875" w:rsidRPr="00E60649">
        <w:t>not applicable</w:t>
      </w:r>
    </w:p>
    <w:p w:rsidR="00EC1875" w:rsidRPr="00E60649" w:rsidRDefault="00EC1875" w:rsidP="006D0DA8">
      <w:pPr>
        <w:pStyle w:val="Body40"/>
      </w:pPr>
    </w:p>
    <w:p w:rsidR="00FF15C1" w:rsidRPr="00A50995" w:rsidRDefault="00FF15C1" w:rsidP="006D0DA8">
      <w:pPr>
        <w:pStyle w:val="Body40"/>
      </w:pPr>
      <w:r w:rsidRPr="006D0DA8">
        <w:rPr>
          <w:b/>
        </w:rPr>
        <w:t>Bullet # 3</w:t>
      </w:r>
      <w:r w:rsidRPr="00E60649">
        <w:tab/>
      </w:r>
      <w:r w:rsidR="00EC1875" w:rsidRPr="00E60649">
        <w:t>not applicable</w:t>
      </w:r>
    </w:p>
    <w:p w:rsidR="00EC1875" w:rsidRPr="00E60649" w:rsidRDefault="00EC1875" w:rsidP="006D0DA8">
      <w:pPr>
        <w:pStyle w:val="Body40"/>
      </w:pPr>
    </w:p>
    <w:p w:rsidR="00FF15C1" w:rsidRPr="00E60649" w:rsidRDefault="00FF15C1" w:rsidP="006D0DA8">
      <w:pPr>
        <w:pStyle w:val="Body40"/>
      </w:pPr>
      <w:r w:rsidRPr="006D0DA8">
        <w:rPr>
          <w:b/>
        </w:rPr>
        <w:t>Bullet # 4</w:t>
      </w:r>
      <w:r w:rsidRPr="00E60649">
        <w:t xml:space="preserve"> </w:t>
      </w:r>
      <w:r w:rsidRPr="00E60649">
        <w:tab/>
        <w:t xml:space="preserve">Insert the name and telephone numbers (including TTY) of the applicable QIO in no less than12-point type.  </w:t>
      </w:r>
    </w:p>
    <w:p w:rsidR="00FF15C1" w:rsidRPr="00A50995" w:rsidRDefault="00FF15C1" w:rsidP="006D0DA8">
      <w:pPr>
        <w:pStyle w:val="Body40"/>
      </w:pPr>
    </w:p>
    <w:p w:rsidR="00D9070F" w:rsidRPr="00E60649" w:rsidRDefault="00D9070F" w:rsidP="006D0DA8">
      <w:pPr>
        <w:pStyle w:val="Body40"/>
      </w:pPr>
    </w:p>
    <w:p w:rsidR="00FF15C1" w:rsidRPr="006D0DA8" w:rsidRDefault="00FF15C1" w:rsidP="006D0DA8">
      <w:pPr>
        <w:pStyle w:val="Body40"/>
        <w:rPr>
          <w:b/>
        </w:rPr>
      </w:pPr>
      <w:r w:rsidRPr="006D0DA8">
        <w:rPr>
          <w:b/>
        </w:rPr>
        <w:t>Signature page:</w:t>
      </w:r>
    </w:p>
    <w:p w:rsidR="00D9070F" w:rsidRPr="00E60649" w:rsidRDefault="00D9070F" w:rsidP="006D0DA8">
      <w:pPr>
        <w:pStyle w:val="Body40"/>
      </w:pPr>
    </w:p>
    <w:p w:rsidR="007728BF" w:rsidRPr="00E60649" w:rsidRDefault="007728BF" w:rsidP="006D0DA8">
      <w:pPr>
        <w:pStyle w:val="Body40"/>
      </w:pPr>
      <w:r w:rsidRPr="006D0DA8">
        <w:rPr>
          <w:b/>
        </w:rPr>
        <w:t>Plan contact information</w:t>
      </w:r>
      <w:r w:rsidR="006066A0" w:rsidRPr="006D0DA8">
        <w:rPr>
          <w:b/>
        </w:rPr>
        <w:t xml:space="preserve"> (Plans</w:t>
      </w:r>
      <w:r w:rsidR="00716D73" w:rsidRPr="006D0DA8">
        <w:rPr>
          <w:b/>
        </w:rPr>
        <w:t xml:space="preserve"> only)</w:t>
      </w:r>
      <w:r w:rsidRPr="006D0DA8">
        <w:rPr>
          <w:b/>
        </w:rPr>
        <w:t>:</w:t>
      </w:r>
      <w:r w:rsidRPr="00E60649">
        <w:t xml:space="preserve"> The plan’s name and contact information must be displayed here for the enrollee’s use in case an expedited appeal is requested or in the event the enrollee or QIO seeks the plan’s identification.</w:t>
      </w:r>
    </w:p>
    <w:p w:rsidR="007728BF" w:rsidRPr="00E60649" w:rsidRDefault="007728BF" w:rsidP="006D0DA8">
      <w:pPr>
        <w:pStyle w:val="Body40"/>
      </w:pPr>
    </w:p>
    <w:p w:rsidR="00FF15C1" w:rsidRPr="00E60649" w:rsidRDefault="00FF15C1" w:rsidP="006D0DA8">
      <w:pPr>
        <w:pStyle w:val="Body40"/>
      </w:pPr>
      <w:r w:rsidRPr="006D0DA8">
        <w:rPr>
          <w:b/>
        </w:rPr>
        <w:lastRenderedPageBreak/>
        <w:t>Optional:</w:t>
      </w:r>
      <w:r w:rsidR="00404767" w:rsidRPr="00E60649">
        <w:t xml:space="preserve">  </w:t>
      </w:r>
      <w:r w:rsidR="00404767" w:rsidRPr="00D72B73">
        <w:rPr>
          <w:b/>
        </w:rPr>
        <w:t>Additional information.</w:t>
      </w:r>
      <w:r w:rsidR="00404767" w:rsidRPr="00E60649">
        <w:t xml:space="preserve">  This section </w:t>
      </w:r>
      <w:r w:rsidR="007728BF" w:rsidRPr="00E60649">
        <w:t xml:space="preserve">provides space for </w:t>
      </w:r>
      <w:r w:rsidR="00404767" w:rsidRPr="00E60649">
        <w:t xml:space="preserve">additional pertinent information that may be useful to the </w:t>
      </w:r>
      <w:r w:rsidR="00E52F81">
        <w:t>beneficiary/enrollee</w:t>
      </w:r>
      <w:r w:rsidR="00A416CD" w:rsidRPr="00E60649">
        <w:t xml:space="preserve">.  </w:t>
      </w:r>
      <w:r w:rsidR="00404767" w:rsidRPr="00E60649">
        <w:t xml:space="preserve">It may not be used as a Detailed Explanation of Non-Coverage, even if facts pertinent to the termination decision are provided. </w:t>
      </w:r>
    </w:p>
    <w:p w:rsidR="00FF15C1" w:rsidRPr="00A50995" w:rsidRDefault="00FF15C1" w:rsidP="006D0DA8">
      <w:pPr>
        <w:pStyle w:val="Body40"/>
      </w:pPr>
    </w:p>
    <w:p w:rsidR="00BC696F" w:rsidRPr="00E60649" w:rsidRDefault="00BC696F" w:rsidP="006D0DA8">
      <w:pPr>
        <w:pStyle w:val="Body40"/>
      </w:pPr>
      <w:r w:rsidRPr="00D72B73">
        <w:rPr>
          <w:b/>
        </w:rPr>
        <w:t xml:space="preserve">Signature line:  </w:t>
      </w:r>
      <w:r w:rsidRPr="00E60649">
        <w:t xml:space="preserve">The </w:t>
      </w:r>
      <w:r w:rsidR="00716D73" w:rsidRPr="00E60649">
        <w:t>beneficiary/</w:t>
      </w:r>
      <w:r w:rsidRPr="00E60649">
        <w:t>enrollee or the representative must sign this line.</w:t>
      </w:r>
    </w:p>
    <w:p w:rsidR="00BC696F" w:rsidRPr="00A50995" w:rsidRDefault="00BC696F" w:rsidP="006D0DA8">
      <w:pPr>
        <w:pStyle w:val="Body40"/>
      </w:pPr>
    </w:p>
    <w:p w:rsidR="00BC696F" w:rsidRPr="00E60649" w:rsidRDefault="00BC696F" w:rsidP="006D0DA8">
      <w:pPr>
        <w:pStyle w:val="Body40"/>
      </w:pPr>
      <w:r w:rsidRPr="00D72B73">
        <w:rPr>
          <w:b/>
        </w:rPr>
        <w:t>Date:</w:t>
      </w:r>
      <w:r w:rsidRPr="00E60649">
        <w:t xml:space="preserve">  The </w:t>
      </w:r>
      <w:r w:rsidR="00716D73" w:rsidRPr="00E60649">
        <w:t>beneficiary/</w:t>
      </w:r>
      <w:r w:rsidRPr="00E60649">
        <w:t xml:space="preserve">enrollee or the representative must fill in the date that he or she signs the document.  If the document is delivered, but the enrollee or the representative refuses to sign on the delivery date, then annotate the case file to indicate the date that the form was delivered.  </w:t>
      </w:r>
    </w:p>
    <w:p w:rsidR="007374A5" w:rsidRPr="00E60649" w:rsidRDefault="007374A5" w:rsidP="006D0DA8">
      <w:pPr>
        <w:pStyle w:val="Body40"/>
      </w:pPr>
    </w:p>
    <w:p w:rsidR="00712A02" w:rsidRPr="00E60649" w:rsidRDefault="00712A02" w:rsidP="00416C53">
      <w:pPr>
        <w:suppressAutoHyphens/>
        <w:spacing w:line="240" w:lineRule="atLeast"/>
        <w:rPr>
          <w:rFonts w:ascii="Arial" w:hAnsi="Arial" w:cs="Arial"/>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A50995" w:rsidRDefault="00A50995" w:rsidP="00EC1875">
      <w:pPr>
        <w:pStyle w:val="Body4"/>
        <w:rPr>
          <w:sz w:val="20"/>
          <w:szCs w:val="20"/>
        </w:rPr>
      </w:pPr>
    </w:p>
    <w:p w:rsidR="00D9070F" w:rsidRPr="00A50995" w:rsidRDefault="00451D5E" w:rsidP="00EC1875">
      <w:pPr>
        <w:pStyle w:val="Body4"/>
        <w:rPr>
          <w:sz w:val="22"/>
          <w:szCs w:val="22"/>
        </w:rPr>
      </w:pPr>
      <w:r w:rsidRPr="00BC7C59">
        <w:rPr>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BC7C59">
        <w:rPr>
          <w:b/>
          <w:sz w:val="20"/>
          <w:szCs w:val="20"/>
        </w:rPr>
        <w:t>0938-</w:t>
      </w:r>
      <w:r w:rsidR="001D0E06">
        <w:rPr>
          <w:b/>
          <w:sz w:val="20"/>
          <w:szCs w:val="20"/>
        </w:rPr>
        <w:t>0910</w:t>
      </w:r>
      <w:r w:rsidR="00F47B53">
        <w:rPr>
          <w:sz w:val="20"/>
          <w:szCs w:val="20"/>
        </w:rPr>
        <w:t xml:space="preserve">. </w:t>
      </w:r>
      <w:bookmarkStart w:id="0" w:name="_GoBack"/>
      <w:bookmarkEnd w:id="0"/>
      <w:r w:rsidRPr="00BC7C59">
        <w:rPr>
          <w:sz w:val="20"/>
          <w:szCs w:val="20"/>
        </w:rPr>
        <w:t xml:space="preserve">The time required to complete this information collection is estimated to average </w:t>
      </w:r>
      <w:r w:rsidRPr="00BC7C59">
        <w:rPr>
          <w:b/>
          <w:sz w:val="20"/>
          <w:szCs w:val="20"/>
        </w:rPr>
        <w:t>15 minutes</w:t>
      </w:r>
      <w:r w:rsidRPr="00BC7C59">
        <w:rPr>
          <w:sz w:val="20"/>
          <w:szCs w:val="20"/>
        </w:rPr>
        <w:t xml:space="preserve"> per response, including the time to review instructions, search existing data resources, </w:t>
      </w:r>
      <w:proofErr w:type="gramStart"/>
      <w:r w:rsidRPr="00BC7C59">
        <w:rPr>
          <w:sz w:val="20"/>
          <w:szCs w:val="20"/>
        </w:rPr>
        <w:t>gather</w:t>
      </w:r>
      <w:proofErr w:type="gramEnd"/>
      <w:r w:rsidRPr="00BC7C59">
        <w:rPr>
          <w:sz w:val="20"/>
          <w:szCs w:val="20"/>
        </w:rPr>
        <w:t xml:space="preserve"> the data needed, and complete and review the information collection.  If you have comments concerning th</w:t>
      </w:r>
      <w:r w:rsidR="00EC1875" w:rsidRPr="00BC7C59">
        <w:rPr>
          <w:sz w:val="20"/>
          <w:szCs w:val="20"/>
        </w:rPr>
        <w:t>e accuracy of the time estimate</w:t>
      </w:r>
      <w:r w:rsidRPr="00BC7C59">
        <w:rPr>
          <w:sz w:val="20"/>
          <w:szCs w:val="20"/>
        </w:rPr>
        <w:t xml:space="preserve"> or suggestions for improving this form, please write to: CMS, 7500 Security Boulevard, Att</w:t>
      </w:r>
      <w:r w:rsidR="00EC1875" w:rsidRPr="00BC7C59">
        <w:rPr>
          <w:sz w:val="20"/>
          <w:szCs w:val="20"/>
        </w:rPr>
        <w:t>ention</w:t>
      </w:r>
      <w:r w:rsidRPr="00BC7C59">
        <w:rPr>
          <w:sz w:val="20"/>
          <w:szCs w:val="20"/>
        </w:rPr>
        <w:t xml:space="preserve">: PRA Reports Clearance Officer, Mail Stop C4-26-05, </w:t>
      </w:r>
      <w:proofErr w:type="gramStart"/>
      <w:r w:rsidRPr="00BC7C59">
        <w:rPr>
          <w:sz w:val="20"/>
          <w:szCs w:val="20"/>
        </w:rPr>
        <w:t>Baltimore</w:t>
      </w:r>
      <w:proofErr w:type="gramEnd"/>
      <w:r w:rsidRPr="00BC7C59">
        <w:rPr>
          <w:sz w:val="20"/>
          <w:szCs w:val="20"/>
        </w:rPr>
        <w:t xml:space="preserve">, Maryland 21244-1850. </w:t>
      </w:r>
    </w:p>
    <w:sectPr w:rsidR="00D9070F" w:rsidRPr="00A50995" w:rsidSect="00D8277D">
      <w:footerReference w:type="even" r:id="rId9"/>
      <w:footerReference w:type="default" r:id="rId10"/>
      <w:headerReference w:type="first" r:id="rId11"/>
      <w:footerReference w:type="first" r:id="rId12"/>
      <w:pgSz w:w="12240" w:h="15840"/>
      <w:pgMar w:top="1170" w:right="1440" w:bottom="99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B7D" w:rsidRDefault="00DC2B7D">
      <w:r>
        <w:separator/>
      </w:r>
    </w:p>
  </w:endnote>
  <w:endnote w:type="continuationSeparator" w:id="0">
    <w:p w:rsidR="00DC2B7D" w:rsidRDefault="00DC2B7D">
      <w:r>
        <w:continuationSeparator/>
      </w:r>
    </w:p>
  </w:endnote>
  <w:endnote w:type="continuationNotice" w:id="1">
    <w:p w:rsidR="00DC2B7D" w:rsidRDefault="00DC2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3B1" w:rsidRDefault="007B2478">
    <w:pPr>
      <w:pStyle w:val="Footer"/>
      <w:framePr w:wrap="around" w:vAnchor="text" w:hAnchor="margin" w:xAlign="center" w:y="1"/>
      <w:rPr>
        <w:rStyle w:val="PageNumber"/>
      </w:rPr>
    </w:pPr>
    <w:r>
      <w:rPr>
        <w:rStyle w:val="PageNumber"/>
      </w:rPr>
      <w:fldChar w:fldCharType="begin"/>
    </w:r>
    <w:r w:rsidR="00FB73B1">
      <w:rPr>
        <w:rStyle w:val="PageNumber"/>
      </w:rPr>
      <w:instrText xml:space="preserve">PAGE  </w:instrText>
    </w:r>
    <w:r>
      <w:rPr>
        <w:rStyle w:val="PageNumber"/>
      </w:rPr>
      <w:fldChar w:fldCharType="end"/>
    </w:r>
  </w:p>
  <w:p w:rsidR="00FB73B1" w:rsidRDefault="00FB73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CE4" w:rsidRDefault="00B51CE4">
    <w:pPr>
      <w:pStyle w:val="Footer"/>
    </w:pPr>
    <w:r w:rsidRPr="00D9070F">
      <w:rPr>
        <w:sz w:val="20"/>
        <w:szCs w:val="20"/>
      </w:rPr>
      <w:t>Form Instructions</w:t>
    </w:r>
    <w:r>
      <w:rPr>
        <w:b/>
      </w:rPr>
      <w:t xml:space="preserve"> </w:t>
    </w:r>
    <w:r w:rsidRPr="00D9070F">
      <w:rPr>
        <w:sz w:val="20"/>
        <w:szCs w:val="20"/>
      </w:rPr>
      <w:t>1</w:t>
    </w:r>
    <w:r>
      <w:rPr>
        <w:sz w:val="20"/>
        <w:szCs w:val="20"/>
      </w:rPr>
      <w:t>0123</w:t>
    </w:r>
    <w:r w:rsidRPr="00D9070F">
      <w:rPr>
        <w:sz w:val="20"/>
        <w:szCs w:val="20"/>
      </w:rPr>
      <w:t>-</w:t>
    </w:r>
    <w:r w:rsidR="001D0E06">
      <w:rPr>
        <w:sz w:val="20"/>
        <w:szCs w:val="20"/>
      </w:rPr>
      <w:t>NOMNC</w:t>
    </w:r>
    <w:r w:rsidR="001D0E06">
      <w:rPr>
        <w:sz w:val="20"/>
        <w:szCs w:val="20"/>
      </w:rPr>
      <w:tab/>
    </w:r>
    <w:r w:rsidR="001D0E06">
      <w:rPr>
        <w:sz w:val="20"/>
        <w:szCs w:val="20"/>
      </w:rPr>
      <w:tab/>
      <w:t>OMB Approval 0938-0910</w:t>
    </w:r>
    <w:r>
      <w:rPr>
        <w:sz w:val="20"/>
        <w:szCs w:val="20"/>
      </w:rPr>
      <w:tab/>
    </w:r>
    <w:r>
      <w:rPr>
        <w:b/>
      </w:rPr>
      <w:t xml:space="preserve"> </w:t>
    </w:r>
    <w:r>
      <w:rPr>
        <w:b/>
      </w:rPr>
      <w:br w:type="page"/>
    </w:r>
  </w:p>
  <w:p w:rsidR="00B51CE4" w:rsidRDefault="00B51C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10" w:rsidRDefault="00B51CE4">
    <w:pPr>
      <w:pStyle w:val="Footer"/>
      <w:rPr>
        <w:sz w:val="20"/>
        <w:szCs w:val="20"/>
      </w:rPr>
    </w:pPr>
    <w:r w:rsidRPr="00D9070F">
      <w:rPr>
        <w:sz w:val="20"/>
        <w:szCs w:val="20"/>
      </w:rPr>
      <w:t>Form Instructions</w:t>
    </w:r>
    <w:r>
      <w:rPr>
        <w:b/>
      </w:rPr>
      <w:t xml:space="preserve"> </w:t>
    </w:r>
    <w:r w:rsidRPr="00D9070F">
      <w:rPr>
        <w:sz w:val="20"/>
        <w:szCs w:val="20"/>
      </w:rPr>
      <w:t>1</w:t>
    </w:r>
    <w:r>
      <w:rPr>
        <w:sz w:val="20"/>
        <w:szCs w:val="20"/>
      </w:rPr>
      <w:t>0123</w:t>
    </w:r>
    <w:r w:rsidRPr="00D9070F">
      <w:rPr>
        <w:sz w:val="20"/>
        <w:szCs w:val="20"/>
      </w:rPr>
      <w:t>-</w:t>
    </w:r>
    <w:r w:rsidR="00F97710">
      <w:rPr>
        <w:sz w:val="20"/>
        <w:szCs w:val="20"/>
      </w:rPr>
      <w:t>NOMNC</w:t>
    </w:r>
    <w:r w:rsidR="00F97710">
      <w:rPr>
        <w:sz w:val="20"/>
        <w:szCs w:val="20"/>
      </w:rPr>
      <w:tab/>
    </w:r>
    <w:r w:rsidR="00F97710">
      <w:rPr>
        <w:sz w:val="20"/>
        <w:szCs w:val="20"/>
      </w:rPr>
      <w:tab/>
      <w:t xml:space="preserve"> OMB Approval 0938-0910</w:t>
    </w:r>
  </w:p>
  <w:p w:rsidR="00B51CE4" w:rsidRDefault="00B51CE4">
    <w:pPr>
      <w:pStyle w:val="Footer"/>
    </w:pPr>
    <w:r>
      <w:rPr>
        <w:sz w:val="20"/>
        <w:szCs w:val="20"/>
      </w:rPr>
      <w:tab/>
    </w:r>
    <w:r>
      <w:rPr>
        <w:b/>
      </w:rPr>
      <w:t xml:space="preserve"> </w:t>
    </w:r>
    <w:r>
      <w:rPr>
        <w:b/>
      </w:rPr>
      <w:br w:type="page"/>
    </w:r>
  </w:p>
  <w:p w:rsidR="00B51CE4" w:rsidRDefault="00B51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B7D" w:rsidRDefault="00DC2B7D">
      <w:r>
        <w:separator/>
      </w:r>
    </w:p>
  </w:footnote>
  <w:footnote w:type="continuationSeparator" w:id="0">
    <w:p w:rsidR="00DC2B7D" w:rsidRDefault="00DC2B7D">
      <w:r>
        <w:continuationSeparator/>
      </w:r>
    </w:p>
  </w:footnote>
  <w:footnote w:type="continuationNotice" w:id="1">
    <w:p w:rsidR="00DC2B7D" w:rsidRDefault="00DC2B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3B1" w:rsidRPr="004D14F4" w:rsidRDefault="00FB73B1">
    <w:pPr>
      <w:pStyle w:val="Header"/>
      <w:rPr>
        <w:sz w:val="16"/>
        <w:szCs w:val="16"/>
      </w:rPr>
    </w:pPr>
    <w:r>
      <w:rPr>
        <w:sz w:val="16"/>
        <w:szCs w:val="16"/>
      </w:rPr>
      <w:tab/>
    </w:r>
    <w:r>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C78"/>
    <w:multiLevelType w:val="hybridMultilevel"/>
    <w:tmpl w:val="7ED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C1CAD"/>
    <w:multiLevelType w:val="hybridMultilevel"/>
    <w:tmpl w:val="A1B6577E"/>
    <w:lvl w:ilvl="0" w:tplc="A11E7C54">
      <w:start w:val="1"/>
      <w:numFmt w:val="bullet"/>
      <w:pStyle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1B3D3097"/>
    <w:multiLevelType w:val="hybridMultilevel"/>
    <w:tmpl w:val="83C0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B82302"/>
    <w:multiLevelType w:val="hybridMultilevel"/>
    <w:tmpl w:val="D1F2B9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73485A47"/>
    <w:multiLevelType w:val="hybridMultilevel"/>
    <w:tmpl w:val="D73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A06F29"/>
    <w:multiLevelType w:val="hybridMultilevel"/>
    <w:tmpl w:val="7D8AB4D8"/>
    <w:lvl w:ilvl="0" w:tplc="DB8C2570">
      <w:numFmt w:val="bullet"/>
      <w:lvlText w:val="•"/>
      <w:lvlJc w:val="left"/>
      <w:pPr>
        <w:ind w:left="1140" w:hanging="360"/>
      </w:pPr>
      <w:rPr>
        <w:rFonts w:ascii="Arial" w:eastAsia="Times New Rom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1DF"/>
    <w:rsid w:val="000071C2"/>
    <w:rsid w:val="00040BF7"/>
    <w:rsid w:val="0004155E"/>
    <w:rsid w:val="00042BD1"/>
    <w:rsid w:val="00061436"/>
    <w:rsid w:val="000A5488"/>
    <w:rsid w:val="000A6529"/>
    <w:rsid w:val="000B115B"/>
    <w:rsid w:val="000C2163"/>
    <w:rsid w:val="000C28A0"/>
    <w:rsid w:val="000E1059"/>
    <w:rsid w:val="00116617"/>
    <w:rsid w:val="00124634"/>
    <w:rsid w:val="00136000"/>
    <w:rsid w:val="00157513"/>
    <w:rsid w:val="0019675F"/>
    <w:rsid w:val="001C1E8D"/>
    <w:rsid w:val="001C4285"/>
    <w:rsid w:val="001C53FA"/>
    <w:rsid w:val="001D0E06"/>
    <w:rsid w:val="001F40A0"/>
    <w:rsid w:val="001F768B"/>
    <w:rsid w:val="00226B1B"/>
    <w:rsid w:val="00244AD2"/>
    <w:rsid w:val="002477C1"/>
    <w:rsid w:val="00283605"/>
    <w:rsid w:val="002A2943"/>
    <w:rsid w:val="002A515C"/>
    <w:rsid w:val="002C77E0"/>
    <w:rsid w:val="002E60CE"/>
    <w:rsid w:val="002F2E4A"/>
    <w:rsid w:val="003158E1"/>
    <w:rsid w:val="003233BE"/>
    <w:rsid w:val="00360456"/>
    <w:rsid w:val="00375038"/>
    <w:rsid w:val="00392887"/>
    <w:rsid w:val="00392BEE"/>
    <w:rsid w:val="003A470C"/>
    <w:rsid w:val="003B4475"/>
    <w:rsid w:val="003B60F3"/>
    <w:rsid w:val="003C73E2"/>
    <w:rsid w:val="003E18FB"/>
    <w:rsid w:val="00404767"/>
    <w:rsid w:val="00416C53"/>
    <w:rsid w:val="004513E4"/>
    <w:rsid w:val="00451D5E"/>
    <w:rsid w:val="00486B19"/>
    <w:rsid w:val="004A2997"/>
    <w:rsid w:val="004C75A0"/>
    <w:rsid w:val="004D0CF3"/>
    <w:rsid w:val="004D14F4"/>
    <w:rsid w:val="004D6A61"/>
    <w:rsid w:val="004E4900"/>
    <w:rsid w:val="004E4DF0"/>
    <w:rsid w:val="004F361D"/>
    <w:rsid w:val="004F64C0"/>
    <w:rsid w:val="00507C9F"/>
    <w:rsid w:val="0052066B"/>
    <w:rsid w:val="00525E14"/>
    <w:rsid w:val="0053215A"/>
    <w:rsid w:val="00534985"/>
    <w:rsid w:val="00550EC0"/>
    <w:rsid w:val="005602FD"/>
    <w:rsid w:val="00573D6F"/>
    <w:rsid w:val="00573D74"/>
    <w:rsid w:val="00593EA9"/>
    <w:rsid w:val="00595752"/>
    <w:rsid w:val="005B7CC9"/>
    <w:rsid w:val="005D36AF"/>
    <w:rsid w:val="005F119E"/>
    <w:rsid w:val="005F5373"/>
    <w:rsid w:val="005F5C41"/>
    <w:rsid w:val="0060665E"/>
    <w:rsid w:val="006066A0"/>
    <w:rsid w:val="00614BAE"/>
    <w:rsid w:val="00644334"/>
    <w:rsid w:val="00657260"/>
    <w:rsid w:val="006615F4"/>
    <w:rsid w:val="006671C0"/>
    <w:rsid w:val="006723DF"/>
    <w:rsid w:val="006777F2"/>
    <w:rsid w:val="006B7FCD"/>
    <w:rsid w:val="006C5920"/>
    <w:rsid w:val="006C7EF1"/>
    <w:rsid w:val="006D0DA8"/>
    <w:rsid w:val="007009CA"/>
    <w:rsid w:val="00703546"/>
    <w:rsid w:val="00712A02"/>
    <w:rsid w:val="00716D73"/>
    <w:rsid w:val="00721079"/>
    <w:rsid w:val="0072326E"/>
    <w:rsid w:val="007374A5"/>
    <w:rsid w:val="00747252"/>
    <w:rsid w:val="00751333"/>
    <w:rsid w:val="007522EE"/>
    <w:rsid w:val="007613B9"/>
    <w:rsid w:val="007728BF"/>
    <w:rsid w:val="00773428"/>
    <w:rsid w:val="00775480"/>
    <w:rsid w:val="007A0252"/>
    <w:rsid w:val="007A2C1F"/>
    <w:rsid w:val="007A74D4"/>
    <w:rsid w:val="007B2478"/>
    <w:rsid w:val="007B7440"/>
    <w:rsid w:val="007C0CB1"/>
    <w:rsid w:val="007C547A"/>
    <w:rsid w:val="007D1FF1"/>
    <w:rsid w:val="008141C5"/>
    <w:rsid w:val="008167E6"/>
    <w:rsid w:val="008279BE"/>
    <w:rsid w:val="00862630"/>
    <w:rsid w:val="0086638E"/>
    <w:rsid w:val="0089053E"/>
    <w:rsid w:val="00892408"/>
    <w:rsid w:val="008A5A1A"/>
    <w:rsid w:val="008F2A13"/>
    <w:rsid w:val="00903B69"/>
    <w:rsid w:val="00925BCA"/>
    <w:rsid w:val="00937C93"/>
    <w:rsid w:val="00996EBA"/>
    <w:rsid w:val="009C1783"/>
    <w:rsid w:val="009C4400"/>
    <w:rsid w:val="009F534B"/>
    <w:rsid w:val="00A00942"/>
    <w:rsid w:val="00A20ADE"/>
    <w:rsid w:val="00A25F11"/>
    <w:rsid w:val="00A35D9E"/>
    <w:rsid w:val="00A416CD"/>
    <w:rsid w:val="00A50995"/>
    <w:rsid w:val="00A5755F"/>
    <w:rsid w:val="00A620CB"/>
    <w:rsid w:val="00A708AD"/>
    <w:rsid w:val="00AA2ABA"/>
    <w:rsid w:val="00AC049A"/>
    <w:rsid w:val="00AD445D"/>
    <w:rsid w:val="00AD73A6"/>
    <w:rsid w:val="00AF5A78"/>
    <w:rsid w:val="00AF665A"/>
    <w:rsid w:val="00B009AC"/>
    <w:rsid w:val="00B15D2C"/>
    <w:rsid w:val="00B21E37"/>
    <w:rsid w:val="00B51CE4"/>
    <w:rsid w:val="00B643F6"/>
    <w:rsid w:val="00B776C7"/>
    <w:rsid w:val="00B82DDB"/>
    <w:rsid w:val="00B84E09"/>
    <w:rsid w:val="00B95870"/>
    <w:rsid w:val="00B9702B"/>
    <w:rsid w:val="00BB36EB"/>
    <w:rsid w:val="00BC44EF"/>
    <w:rsid w:val="00BC696F"/>
    <w:rsid w:val="00BC7C59"/>
    <w:rsid w:val="00BD502F"/>
    <w:rsid w:val="00BE14B8"/>
    <w:rsid w:val="00BF4BBB"/>
    <w:rsid w:val="00C122B4"/>
    <w:rsid w:val="00C53739"/>
    <w:rsid w:val="00C53E8F"/>
    <w:rsid w:val="00C86BFE"/>
    <w:rsid w:val="00CC59B8"/>
    <w:rsid w:val="00CF529E"/>
    <w:rsid w:val="00D05706"/>
    <w:rsid w:val="00D07AD0"/>
    <w:rsid w:val="00D11AF5"/>
    <w:rsid w:val="00D41D4B"/>
    <w:rsid w:val="00D41E73"/>
    <w:rsid w:val="00D72B73"/>
    <w:rsid w:val="00D766F7"/>
    <w:rsid w:val="00D8277D"/>
    <w:rsid w:val="00D9070F"/>
    <w:rsid w:val="00DB7DBE"/>
    <w:rsid w:val="00DC2B7D"/>
    <w:rsid w:val="00DC38FA"/>
    <w:rsid w:val="00E06B20"/>
    <w:rsid w:val="00E237AE"/>
    <w:rsid w:val="00E30551"/>
    <w:rsid w:val="00E4084B"/>
    <w:rsid w:val="00E457B8"/>
    <w:rsid w:val="00E52F81"/>
    <w:rsid w:val="00E60649"/>
    <w:rsid w:val="00E72962"/>
    <w:rsid w:val="00E75624"/>
    <w:rsid w:val="00E83C32"/>
    <w:rsid w:val="00EB2FC3"/>
    <w:rsid w:val="00EC1875"/>
    <w:rsid w:val="00EE26B1"/>
    <w:rsid w:val="00EE286F"/>
    <w:rsid w:val="00EF095E"/>
    <w:rsid w:val="00EF7B1A"/>
    <w:rsid w:val="00F10EE9"/>
    <w:rsid w:val="00F30644"/>
    <w:rsid w:val="00F3114A"/>
    <w:rsid w:val="00F4754E"/>
    <w:rsid w:val="00F47B53"/>
    <w:rsid w:val="00F61FD8"/>
    <w:rsid w:val="00F65211"/>
    <w:rsid w:val="00F87058"/>
    <w:rsid w:val="00F87B6E"/>
    <w:rsid w:val="00F903F0"/>
    <w:rsid w:val="00F97710"/>
    <w:rsid w:val="00F97716"/>
    <w:rsid w:val="00FB73B1"/>
    <w:rsid w:val="00FC31DF"/>
    <w:rsid w:val="00FD0003"/>
    <w:rsid w:val="00FF15C1"/>
    <w:rsid w:val="00FF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66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16617"/>
    <w:pPr>
      <w:spacing w:before="100" w:beforeAutospacing="1" w:after="100" w:afterAutospacing="1"/>
    </w:pPr>
  </w:style>
  <w:style w:type="paragraph" w:styleId="Footer">
    <w:name w:val="footer"/>
    <w:basedOn w:val="Normal"/>
    <w:link w:val="FooterChar"/>
    <w:uiPriority w:val="99"/>
    <w:rsid w:val="00116617"/>
    <w:pPr>
      <w:tabs>
        <w:tab w:val="center" w:pos="4320"/>
        <w:tab w:val="right" w:pos="8640"/>
      </w:tabs>
    </w:pPr>
  </w:style>
  <w:style w:type="character" w:styleId="PageNumber">
    <w:name w:val="page number"/>
    <w:basedOn w:val="DefaultParagraphFont"/>
    <w:rsid w:val="00116617"/>
  </w:style>
  <w:style w:type="paragraph" w:styleId="BalloonText">
    <w:name w:val="Balloon Text"/>
    <w:basedOn w:val="Normal"/>
    <w:semiHidden/>
    <w:rsid w:val="00FC31DF"/>
    <w:rPr>
      <w:rFonts w:ascii="Tahoma" w:hAnsi="Tahoma" w:cs="Tahoma"/>
      <w:sz w:val="16"/>
      <w:szCs w:val="16"/>
    </w:rPr>
  </w:style>
  <w:style w:type="character" w:styleId="CommentReference">
    <w:name w:val="annotation reference"/>
    <w:basedOn w:val="DefaultParagraphFont"/>
    <w:semiHidden/>
    <w:rsid w:val="007A2C1F"/>
    <w:rPr>
      <w:sz w:val="16"/>
      <w:szCs w:val="16"/>
    </w:rPr>
  </w:style>
  <w:style w:type="paragraph" w:styleId="CommentText">
    <w:name w:val="annotation text"/>
    <w:basedOn w:val="Normal"/>
    <w:semiHidden/>
    <w:rsid w:val="007A2C1F"/>
    <w:rPr>
      <w:sz w:val="20"/>
      <w:szCs w:val="20"/>
    </w:rPr>
  </w:style>
  <w:style w:type="paragraph" w:styleId="CommentSubject">
    <w:name w:val="annotation subject"/>
    <w:basedOn w:val="CommentText"/>
    <w:next w:val="CommentText"/>
    <w:semiHidden/>
    <w:rsid w:val="007A2C1F"/>
    <w:rPr>
      <w:b/>
      <w:bCs/>
    </w:rPr>
  </w:style>
  <w:style w:type="paragraph" w:customStyle="1" w:styleId="Default">
    <w:name w:val="Default"/>
    <w:rsid w:val="00E72962"/>
    <w:pPr>
      <w:widowControl w:val="0"/>
      <w:autoSpaceDE w:val="0"/>
      <w:autoSpaceDN w:val="0"/>
      <w:adjustRightInd w:val="0"/>
    </w:pPr>
    <w:rPr>
      <w:color w:val="000000"/>
      <w:sz w:val="24"/>
      <w:szCs w:val="24"/>
    </w:rPr>
  </w:style>
  <w:style w:type="paragraph" w:styleId="Header">
    <w:name w:val="header"/>
    <w:basedOn w:val="Normal"/>
    <w:rsid w:val="004D14F4"/>
    <w:pPr>
      <w:tabs>
        <w:tab w:val="center" w:pos="4320"/>
        <w:tab w:val="right" w:pos="8640"/>
      </w:tabs>
    </w:pPr>
  </w:style>
  <w:style w:type="paragraph" w:customStyle="1" w:styleId="Header1">
    <w:name w:val="Header1"/>
    <w:basedOn w:val="Normal"/>
    <w:qFormat/>
    <w:rsid w:val="00775480"/>
    <w:pPr>
      <w:jc w:val="center"/>
    </w:pPr>
    <w:rPr>
      <w:rFonts w:ascii="Arial" w:hAnsi="Arial" w:cs="Arial"/>
      <w:b/>
      <w:bCs/>
    </w:rPr>
  </w:style>
  <w:style w:type="paragraph" w:customStyle="1" w:styleId="Body1">
    <w:name w:val="Body 1"/>
    <w:basedOn w:val="Normal"/>
    <w:qFormat/>
    <w:rsid w:val="00775480"/>
    <w:rPr>
      <w:rFonts w:ascii="Arial" w:hAnsi="Arial" w:cs="Arial"/>
    </w:rPr>
  </w:style>
  <w:style w:type="paragraph" w:customStyle="1" w:styleId="Body2">
    <w:name w:val="Body 2"/>
    <w:basedOn w:val="Normal"/>
    <w:qFormat/>
    <w:rsid w:val="00775480"/>
    <w:pPr>
      <w:spacing w:before="100" w:beforeAutospacing="1" w:after="100" w:afterAutospacing="1"/>
    </w:pPr>
    <w:rPr>
      <w:rFonts w:ascii="Arial" w:hAnsi="Arial" w:cs="Arial"/>
      <w:bCs/>
    </w:rPr>
  </w:style>
  <w:style w:type="paragraph" w:customStyle="1" w:styleId="Bullet">
    <w:name w:val="Bullet"/>
    <w:basedOn w:val="Normal"/>
    <w:qFormat/>
    <w:rsid w:val="006D0DA8"/>
    <w:pPr>
      <w:numPr>
        <w:numId w:val="6"/>
      </w:numPr>
    </w:pPr>
    <w:rPr>
      <w:rFonts w:ascii="Arial" w:hAnsi="Arial" w:cs="Arial"/>
    </w:rPr>
  </w:style>
  <w:style w:type="paragraph" w:customStyle="1" w:styleId="Body3">
    <w:name w:val="Body 3"/>
    <w:basedOn w:val="Normal"/>
    <w:qFormat/>
    <w:rsid w:val="00775480"/>
    <w:pPr>
      <w:ind w:left="60"/>
    </w:pPr>
    <w:rPr>
      <w:rFonts w:ascii="Arial" w:hAnsi="Arial" w:cs="Arial"/>
    </w:rPr>
  </w:style>
  <w:style w:type="paragraph" w:customStyle="1" w:styleId="Body4">
    <w:name w:val="Body 4"/>
    <w:basedOn w:val="Normal"/>
    <w:qFormat/>
    <w:rsid w:val="00EC1875"/>
    <w:pPr>
      <w:suppressAutoHyphens/>
      <w:spacing w:line="240" w:lineRule="atLeast"/>
    </w:pPr>
    <w:rPr>
      <w:rFonts w:ascii="Arial" w:hAnsi="Arial" w:cs="Arial"/>
    </w:rPr>
  </w:style>
  <w:style w:type="character" w:customStyle="1" w:styleId="FooterChar">
    <w:name w:val="Footer Char"/>
    <w:basedOn w:val="DefaultParagraphFont"/>
    <w:link w:val="Footer"/>
    <w:uiPriority w:val="99"/>
    <w:rsid w:val="00B51CE4"/>
    <w:rPr>
      <w:sz w:val="24"/>
      <w:szCs w:val="24"/>
    </w:rPr>
  </w:style>
  <w:style w:type="paragraph" w:styleId="ListParagraph">
    <w:name w:val="List Paragraph"/>
    <w:basedOn w:val="Normal"/>
    <w:uiPriority w:val="34"/>
    <w:qFormat/>
    <w:rsid w:val="00F3114A"/>
    <w:pPr>
      <w:ind w:left="720"/>
      <w:contextualSpacing/>
    </w:pPr>
  </w:style>
  <w:style w:type="paragraph" w:customStyle="1" w:styleId="Body20">
    <w:name w:val="Body2"/>
    <w:basedOn w:val="Body1"/>
    <w:qFormat/>
    <w:rsid w:val="006D0DA8"/>
  </w:style>
  <w:style w:type="paragraph" w:customStyle="1" w:styleId="Body30">
    <w:name w:val="Body3"/>
    <w:basedOn w:val="Body2"/>
    <w:qFormat/>
    <w:rsid w:val="006D0DA8"/>
  </w:style>
  <w:style w:type="paragraph" w:customStyle="1" w:styleId="Body10">
    <w:name w:val="Body1"/>
    <w:basedOn w:val="Body20"/>
    <w:qFormat/>
    <w:rsid w:val="006D0DA8"/>
  </w:style>
  <w:style w:type="paragraph" w:customStyle="1" w:styleId="Body40">
    <w:name w:val="Body4"/>
    <w:basedOn w:val="Body3"/>
    <w:qFormat/>
    <w:rsid w:val="006D0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66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16617"/>
    <w:pPr>
      <w:spacing w:before="100" w:beforeAutospacing="1" w:after="100" w:afterAutospacing="1"/>
    </w:pPr>
  </w:style>
  <w:style w:type="paragraph" w:styleId="Footer">
    <w:name w:val="footer"/>
    <w:basedOn w:val="Normal"/>
    <w:link w:val="FooterChar"/>
    <w:uiPriority w:val="99"/>
    <w:rsid w:val="00116617"/>
    <w:pPr>
      <w:tabs>
        <w:tab w:val="center" w:pos="4320"/>
        <w:tab w:val="right" w:pos="8640"/>
      </w:tabs>
    </w:pPr>
  </w:style>
  <w:style w:type="character" w:styleId="PageNumber">
    <w:name w:val="page number"/>
    <w:basedOn w:val="DefaultParagraphFont"/>
    <w:rsid w:val="00116617"/>
  </w:style>
  <w:style w:type="paragraph" w:styleId="BalloonText">
    <w:name w:val="Balloon Text"/>
    <w:basedOn w:val="Normal"/>
    <w:semiHidden/>
    <w:rsid w:val="00FC31DF"/>
    <w:rPr>
      <w:rFonts w:ascii="Tahoma" w:hAnsi="Tahoma" w:cs="Tahoma"/>
      <w:sz w:val="16"/>
      <w:szCs w:val="16"/>
    </w:rPr>
  </w:style>
  <w:style w:type="character" w:styleId="CommentReference">
    <w:name w:val="annotation reference"/>
    <w:basedOn w:val="DefaultParagraphFont"/>
    <w:semiHidden/>
    <w:rsid w:val="007A2C1F"/>
    <w:rPr>
      <w:sz w:val="16"/>
      <w:szCs w:val="16"/>
    </w:rPr>
  </w:style>
  <w:style w:type="paragraph" w:styleId="CommentText">
    <w:name w:val="annotation text"/>
    <w:basedOn w:val="Normal"/>
    <w:semiHidden/>
    <w:rsid w:val="007A2C1F"/>
    <w:rPr>
      <w:sz w:val="20"/>
      <w:szCs w:val="20"/>
    </w:rPr>
  </w:style>
  <w:style w:type="paragraph" w:styleId="CommentSubject">
    <w:name w:val="annotation subject"/>
    <w:basedOn w:val="CommentText"/>
    <w:next w:val="CommentText"/>
    <w:semiHidden/>
    <w:rsid w:val="007A2C1F"/>
    <w:rPr>
      <w:b/>
      <w:bCs/>
    </w:rPr>
  </w:style>
  <w:style w:type="paragraph" w:customStyle="1" w:styleId="Default">
    <w:name w:val="Default"/>
    <w:rsid w:val="00E72962"/>
    <w:pPr>
      <w:widowControl w:val="0"/>
      <w:autoSpaceDE w:val="0"/>
      <w:autoSpaceDN w:val="0"/>
      <w:adjustRightInd w:val="0"/>
    </w:pPr>
    <w:rPr>
      <w:color w:val="000000"/>
      <w:sz w:val="24"/>
      <w:szCs w:val="24"/>
    </w:rPr>
  </w:style>
  <w:style w:type="paragraph" w:styleId="Header">
    <w:name w:val="header"/>
    <w:basedOn w:val="Normal"/>
    <w:rsid w:val="004D14F4"/>
    <w:pPr>
      <w:tabs>
        <w:tab w:val="center" w:pos="4320"/>
        <w:tab w:val="right" w:pos="8640"/>
      </w:tabs>
    </w:pPr>
  </w:style>
  <w:style w:type="paragraph" w:customStyle="1" w:styleId="Header1">
    <w:name w:val="Header1"/>
    <w:basedOn w:val="Normal"/>
    <w:qFormat/>
    <w:rsid w:val="00775480"/>
    <w:pPr>
      <w:jc w:val="center"/>
    </w:pPr>
    <w:rPr>
      <w:rFonts w:ascii="Arial" w:hAnsi="Arial" w:cs="Arial"/>
      <w:b/>
      <w:bCs/>
    </w:rPr>
  </w:style>
  <w:style w:type="paragraph" w:customStyle="1" w:styleId="Body1">
    <w:name w:val="Body 1"/>
    <w:basedOn w:val="Normal"/>
    <w:qFormat/>
    <w:rsid w:val="00775480"/>
    <w:rPr>
      <w:rFonts w:ascii="Arial" w:hAnsi="Arial" w:cs="Arial"/>
    </w:rPr>
  </w:style>
  <w:style w:type="paragraph" w:customStyle="1" w:styleId="Body2">
    <w:name w:val="Body 2"/>
    <w:basedOn w:val="Normal"/>
    <w:qFormat/>
    <w:rsid w:val="00775480"/>
    <w:pPr>
      <w:spacing w:before="100" w:beforeAutospacing="1" w:after="100" w:afterAutospacing="1"/>
    </w:pPr>
    <w:rPr>
      <w:rFonts w:ascii="Arial" w:hAnsi="Arial" w:cs="Arial"/>
      <w:bCs/>
    </w:rPr>
  </w:style>
  <w:style w:type="paragraph" w:customStyle="1" w:styleId="Bullet">
    <w:name w:val="Bullet"/>
    <w:basedOn w:val="Normal"/>
    <w:qFormat/>
    <w:rsid w:val="006D0DA8"/>
    <w:pPr>
      <w:numPr>
        <w:numId w:val="6"/>
      </w:numPr>
    </w:pPr>
    <w:rPr>
      <w:rFonts w:ascii="Arial" w:hAnsi="Arial" w:cs="Arial"/>
    </w:rPr>
  </w:style>
  <w:style w:type="paragraph" w:customStyle="1" w:styleId="Body3">
    <w:name w:val="Body 3"/>
    <w:basedOn w:val="Normal"/>
    <w:qFormat/>
    <w:rsid w:val="00775480"/>
    <w:pPr>
      <w:ind w:left="60"/>
    </w:pPr>
    <w:rPr>
      <w:rFonts w:ascii="Arial" w:hAnsi="Arial" w:cs="Arial"/>
    </w:rPr>
  </w:style>
  <w:style w:type="paragraph" w:customStyle="1" w:styleId="Body4">
    <w:name w:val="Body 4"/>
    <w:basedOn w:val="Normal"/>
    <w:qFormat/>
    <w:rsid w:val="00EC1875"/>
    <w:pPr>
      <w:suppressAutoHyphens/>
      <w:spacing w:line="240" w:lineRule="atLeast"/>
    </w:pPr>
    <w:rPr>
      <w:rFonts w:ascii="Arial" w:hAnsi="Arial" w:cs="Arial"/>
    </w:rPr>
  </w:style>
  <w:style w:type="character" w:customStyle="1" w:styleId="FooterChar">
    <w:name w:val="Footer Char"/>
    <w:basedOn w:val="DefaultParagraphFont"/>
    <w:link w:val="Footer"/>
    <w:uiPriority w:val="99"/>
    <w:rsid w:val="00B51CE4"/>
    <w:rPr>
      <w:sz w:val="24"/>
      <w:szCs w:val="24"/>
    </w:rPr>
  </w:style>
  <w:style w:type="paragraph" w:styleId="ListParagraph">
    <w:name w:val="List Paragraph"/>
    <w:basedOn w:val="Normal"/>
    <w:uiPriority w:val="34"/>
    <w:qFormat/>
    <w:rsid w:val="00F3114A"/>
    <w:pPr>
      <w:ind w:left="720"/>
      <w:contextualSpacing/>
    </w:pPr>
  </w:style>
  <w:style w:type="paragraph" w:customStyle="1" w:styleId="Body20">
    <w:name w:val="Body2"/>
    <w:basedOn w:val="Body1"/>
    <w:qFormat/>
    <w:rsid w:val="006D0DA8"/>
  </w:style>
  <w:style w:type="paragraph" w:customStyle="1" w:styleId="Body30">
    <w:name w:val="Body3"/>
    <w:basedOn w:val="Body2"/>
    <w:qFormat/>
    <w:rsid w:val="006D0DA8"/>
  </w:style>
  <w:style w:type="paragraph" w:customStyle="1" w:styleId="Body10">
    <w:name w:val="Body1"/>
    <w:basedOn w:val="Body20"/>
    <w:qFormat/>
    <w:rsid w:val="006D0DA8"/>
  </w:style>
  <w:style w:type="paragraph" w:customStyle="1" w:styleId="Body40">
    <w:name w:val="Body4"/>
    <w:basedOn w:val="Body3"/>
    <w:qFormat/>
    <w:rsid w:val="006D0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3085">
      <w:bodyDiv w:val="1"/>
      <w:marLeft w:val="0"/>
      <w:marRight w:val="0"/>
      <w:marTop w:val="0"/>
      <w:marBottom w:val="0"/>
      <w:divBdr>
        <w:top w:val="none" w:sz="0" w:space="0" w:color="auto"/>
        <w:left w:val="none" w:sz="0" w:space="0" w:color="auto"/>
        <w:bottom w:val="none" w:sz="0" w:space="0" w:color="auto"/>
        <w:right w:val="none" w:sz="0" w:space="0" w:color="auto"/>
      </w:divBdr>
    </w:div>
    <w:div w:id="1209410830">
      <w:bodyDiv w:val="1"/>
      <w:marLeft w:val="0"/>
      <w:marRight w:val="0"/>
      <w:marTop w:val="0"/>
      <w:marBottom w:val="0"/>
      <w:divBdr>
        <w:top w:val="none" w:sz="0" w:space="0" w:color="auto"/>
        <w:left w:val="none" w:sz="0" w:space="0" w:color="auto"/>
        <w:bottom w:val="none" w:sz="0" w:space="0" w:color="auto"/>
        <w:right w:val="none" w:sz="0" w:space="0" w:color="auto"/>
      </w:divBdr>
    </w:div>
    <w:div w:id="1238591746">
      <w:bodyDiv w:val="1"/>
      <w:marLeft w:val="0"/>
      <w:marRight w:val="0"/>
      <w:marTop w:val="0"/>
      <w:marBottom w:val="0"/>
      <w:divBdr>
        <w:top w:val="none" w:sz="0" w:space="0" w:color="auto"/>
        <w:left w:val="none" w:sz="0" w:space="0" w:color="auto"/>
        <w:bottom w:val="none" w:sz="0" w:space="0" w:color="auto"/>
        <w:right w:val="none" w:sz="0" w:space="0" w:color="auto"/>
      </w:divBdr>
    </w:div>
    <w:div w:id="194341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644C1-06D9-4D23-B9FE-2635A010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1471</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Form Instructions NOMNC</vt:lpstr>
    </vt:vector>
  </TitlesOfParts>
  <Company>CMS</Company>
  <LinksUpToDate>false</LinksUpToDate>
  <CharactersWithSpaces>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NOMNC</dc:title>
  <dc:subject>Form Instructions NOMNC</dc:subject>
  <dc:creator>CMS/CPC/MEAG/DAP</dc:creator>
  <cp:keywords>Form Instructions NOMNC, MA plan, notice of Medicare Non-Coaverage</cp:keywords>
  <cp:lastModifiedBy>JANET MILLER</cp:lastModifiedBy>
  <cp:revision>2</cp:revision>
  <cp:lastPrinted>2010-04-01T16:07:00Z</cp:lastPrinted>
  <dcterms:created xsi:type="dcterms:W3CDTF">2014-06-03T14:29:00Z</dcterms:created>
  <dcterms:modified xsi:type="dcterms:W3CDTF">2014-06-03T14:29:00Z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PRA package OMB# 0938-0953</vt:lpwstr>
  </property>
  <property fmtid="{D5CDD505-2E9C-101B-9397-08002B2CF9AE}" pid="4" name="_AuthorEmail">
    <vt:lpwstr>Janet.Miller@cms.hhs.gov</vt:lpwstr>
  </property>
  <property fmtid="{D5CDD505-2E9C-101B-9397-08002B2CF9AE}" pid="5" name="_AuthorEmailDisplayName">
    <vt:lpwstr>Miller, Janet (CMS/CPC)</vt:lpwstr>
  </property>
  <property fmtid="{D5CDD505-2E9C-101B-9397-08002B2CF9AE}" pid="6" name="_AdHocReviewCycleID">
    <vt:i4>-619534365</vt:i4>
  </property>
  <property fmtid="{D5CDD505-2E9C-101B-9397-08002B2CF9AE}" pid="7" name="_PreviousAdHocReviewCycleID">
    <vt:i4>1402565584</vt:i4>
  </property>
</Properties>
</file>