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5A" w:rsidRDefault="00FE259B">
      <w:bookmarkStart w:id="0" w:name="_GoBack"/>
      <w:bookmarkEnd w:id="0"/>
    </w:p>
    <w:p w:rsidR="00FB3FC8" w:rsidRPr="00FB3FC8" w:rsidRDefault="00FB3FC8" w:rsidP="00FB3FC8">
      <w:pPr>
        <w:rPr>
          <w:rFonts w:ascii="Times New Roman" w:hAnsi="Times New Roman" w:cs="Times New Roman"/>
          <w:b/>
          <w:sz w:val="28"/>
          <w:u w:val="single"/>
        </w:rPr>
      </w:pPr>
      <w:r>
        <w:rPr>
          <w:rFonts w:ascii="Times New Roman" w:hAnsi="Times New Roman" w:cs="Times New Roman"/>
          <w:b/>
          <w:sz w:val="28"/>
          <w:u w:val="single"/>
        </w:rPr>
        <w:t xml:space="preserve">Table 1:  </w:t>
      </w:r>
      <w:r w:rsidRPr="00FB3FC8">
        <w:rPr>
          <w:rFonts w:ascii="Times New Roman" w:hAnsi="Times New Roman" w:cs="Times New Roman"/>
          <w:b/>
          <w:sz w:val="28"/>
          <w:u w:val="single"/>
        </w:rPr>
        <w:t>Changes to OMB-approved OASIS-C1 – substitution of ICD-9 items for ICD-10 items:</w:t>
      </w:r>
    </w:p>
    <w:p w:rsidR="00FB3FC8" w:rsidRDefault="00FB3FC8"/>
    <w:p w:rsidR="00FB3FC8" w:rsidRDefault="00FB3FC8"/>
    <w:tbl>
      <w:tblPr>
        <w:tblW w:w="13664" w:type="dxa"/>
        <w:tblCellMar>
          <w:left w:w="0" w:type="dxa"/>
          <w:right w:w="0" w:type="dxa"/>
        </w:tblCellMar>
        <w:tblLook w:val="04A0" w:firstRow="1" w:lastRow="0" w:firstColumn="1" w:lastColumn="0" w:noHBand="0" w:noVBand="1"/>
      </w:tblPr>
      <w:tblGrid>
        <w:gridCol w:w="1390"/>
        <w:gridCol w:w="4002"/>
        <w:gridCol w:w="4140"/>
        <w:gridCol w:w="4132"/>
      </w:tblGrid>
      <w:tr w:rsidR="00FB3FC8" w:rsidRPr="00480FF0" w:rsidTr="00C34342">
        <w:trPr>
          <w:tblHeader/>
        </w:trPr>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b/>
                <w:bCs/>
                <w:sz w:val="24"/>
              </w:rPr>
            </w:pPr>
            <w:r w:rsidRPr="00480FF0">
              <w:rPr>
                <w:rFonts w:ascii="Times New Roman" w:hAnsi="Times New Roman" w:cs="Times New Roman"/>
                <w:b/>
                <w:bCs/>
                <w:sz w:val="24"/>
              </w:rPr>
              <w:t>OASIS Item</w:t>
            </w:r>
          </w:p>
        </w:tc>
        <w:tc>
          <w:tcPr>
            <w:tcW w:w="4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b/>
                <w:bCs/>
                <w:sz w:val="24"/>
              </w:rPr>
            </w:pPr>
            <w:r w:rsidRPr="00480FF0">
              <w:rPr>
                <w:rFonts w:ascii="Times New Roman" w:hAnsi="Times New Roman" w:cs="Times New Roman"/>
                <w:b/>
                <w:bCs/>
                <w:sz w:val="24"/>
              </w:rPr>
              <w:t>OASIS</w:t>
            </w:r>
            <w:r w:rsidR="00C34342">
              <w:rPr>
                <w:rFonts w:ascii="Times New Roman" w:hAnsi="Times New Roman" w:cs="Times New Roman"/>
                <w:b/>
                <w:bCs/>
                <w:sz w:val="24"/>
              </w:rPr>
              <w:t>-C1</w:t>
            </w:r>
            <w:r w:rsidRPr="00480FF0">
              <w:rPr>
                <w:rFonts w:ascii="Times New Roman" w:hAnsi="Times New Roman" w:cs="Times New Roman"/>
                <w:b/>
                <w:bCs/>
                <w:sz w:val="24"/>
              </w:rPr>
              <w:t xml:space="preserve"> with ICD-10</w:t>
            </w:r>
          </w:p>
          <w:p w:rsidR="00FB3FC8" w:rsidRPr="00480FF0" w:rsidRDefault="00FB3FC8">
            <w:pPr>
              <w:pStyle w:val="ListParagraph"/>
              <w:spacing w:after="200" w:line="276" w:lineRule="auto"/>
              <w:ind w:left="0"/>
              <w:contextualSpacing/>
              <w:jc w:val="center"/>
              <w:rPr>
                <w:rFonts w:ascii="Times New Roman" w:hAnsi="Times New Roman" w:cs="Times New Roman"/>
                <w:b/>
                <w:bCs/>
                <w:sz w:val="24"/>
              </w:rPr>
            </w:pPr>
            <w:r w:rsidRPr="00480FF0">
              <w:rPr>
                <w:rFonts w:ascii="Times New Roman" w:hAnsi="Times New Roman" w:cs="Times New Roman"/>
                <w:b/>
                <w:bCs/>
                <w:sz w:val="24"/>
              </w:rPr>
              <w:t>(currently approved by OMB)</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3FC8" w:rsidRPr="00551EBB" w:rsidRDefault="00551EBB">
            <w:pPr>
              <w:pStyle w:val="ListParagraph"/>
              <w:spacing w:after="200" w:line="276" w:lineRule="auto"/>
              <w:ind w:left="0"/>
              <w:contextualSpacing/>
              <w:jc w:val="center"/>
              <w:rPr>
                <w:rFonts w:ascii="Times New Roman" w:hAnsi="Times New Roman" w:cs="Times New Roman"/>
                <w:b/>
                <w:bCs/>
                <w:sz w:val="24"/>
                <w:szCs w:val="24"/>
              </w:rPr>
            </w:pPr>
            <w:r w:rsidRPr="00551EBB">
              <w:rPr>
                <w:rFonts w:ascii="Times New Roman" w:hAnsi="Times New Roman" w:cs="Times New Roman"/>
                <w:b/>
                <w:sz w:val="24"/>
                <w:szCs w:val="24"/>
              </w:rPr>
              <w:t>OASIS-C1/ICD-9 Version</w:t>
            </w:r>
          </w:p>
        </w:tc>
        <w:tc>
          <w:tcPr>
            <w:tcW w:w="4132" w:type="dxa"/>
            <w:tcBorders>
              <w:top w:val="single" w:sz="8" w:space="0" w:color="auto"/>
              <w:left w:val="nil"/>
              <w:bottom w:val="single" w:sz="8" w:space="0" w:color="auto"/>
              <w:right w:val="single" w:sz="8" w:space="0" w:color="auto"/>
            </w:tcBorders>
            <w:tcMar>
              <w:top w:w="0" w:type="dxa"/>
              <w:left w:w="58" w:type="dxa"/>
              <w:bottom w:w="0" w:type="dxa"/>
              <w:right w:w="0"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b/>
                <w:bCs/>
                <w:sz w:val="24"/>
              </w:rPr>
            </w:pPr>
            <w:r w:rsidRPr="00480FF0">
              <w:rPr>
                <w:rFonts w:ascii="Times New Roman" w:hAnsi="Times New Roman" w:cs="Times New Roman"/>
                <w:b/>
                <w:bCs/>
                <w:sz w:val="24"/>
              </w:rPr>
              <w:t>Reason for Change</w:t>
            </w:r>
          </w:p>
        </w:tc>
      </w:tr>
      <w:tr w:rsidR="00FB3FC8" w:rsidRPr="00480FF0" w:rsidTr="00FB3FC8">
        <w:tc>
          <w:tcPr>
            <w:tcW w:w="1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sz w:val="24"/>
              </w:rPr>
            </w:pPr>
            <w:r w:rsidRPr="00480FF0">
              <w:rPr>
                <w:rFonts w:ascii="Times New Roman" w:hAnsi="Times New Roman" w:cs="Times New Roman"/>
                <w:sz w:val="24"/>
              </w:rPr>
              <w:t>M1010 / M1011</w:t>
            </w:r>
          </w:p>
        </w:tc>
        <w:tc>
          <w:tcPr>
            <w:tcW w:w="4002"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M1011 (contains ICD-10 terminology and formatting)</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M1011 deleted</w:t>
            </w:r>
          </w:p>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Replaced with M1010 (currently approved OASIS-C item using ICD-9)</w:t>
            </w:r>
          </w:p>
        </w:tc>
        <w:tc>
          <w:tcPr>
            <w:tcW w:w="4132" w:type="dxa"/>
            <w:vMerge w:val="restart"/>
            <w:tcBorders>
              <w:top w:val="nil"/>
              <w:left w:val="nil"/>
              <w:bottom w:val="single" w:sz="8" w:space="0" w:color="auto"/>
              <w:right w:val="single" w:sz="8" w:space="0" w:color="auto"/>
            </w:tcBorders>
            <w:tcMar>
              <w:top w:w="0" w:type="dxa"/>
              <w:left w:w="58" w:type="dxa"/>
              <w:bottom w:w="0" w:type="dxa"/>
              <w:right w:w="0" w:type="dxa"/>
            </w:tcMar>
            <w:hideMark/>
          </w:tcPr>
          <w:p w:rsidR="00FB3FC8" w:rsidRPr="00480FF0" w:rsidRDefault="00FB3FC8">
            <w:pPr>
              <w:pStyle w:val="ListParagraph"/>
              <w:spacing w:after="200" w:line="276" w:lineRule="auto"/>
              <w:ind w:left="0" w:right="172"/>
              <w:contextualSpacing/>
              <w:rPr>
                <w:rFonts w:ascii="Times New Roman" w:hAnsi="Times New Roman" w:cs="Times New Roman"/>
                <w:sz w:val="24"/>
              </w:rPr>
            </w:pPr>
            <w:r w:rsidRPr="00480FF0">
              <w:rPr>
                <w:rFonts w:ascii="Times New Roman" w:hAnsi="Times New Roman" w:cs="Times New Roman"/>
                <w:sz w:val="24"/>
              </w:rPr>
              <w:t>PAMA necessitates the removal of OASIS-C1 items containing ICD-10-specific terminology, formatting and instructions. Items currently in use in OASIS-C that have ICD-9-specific references, formatting and instructions have been substituted.</w:t>
            </w:r>
          </w:p>
        </w:tc>
      </w:tr>
      <w:tr w:rsidR="00FB3FC8" w:rsidRPr="00480FF0" w:rsidTr="00FB3FC8">
        <w:tc>
          <w:tcPr>
            <w:tcW w:w="1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sz w:val="24"/>
              </w:rPr>
            </w:pPr>
            <w:r w:rsidRPr="00480FF0">
              <w:rPr>
                <w:rFonts w:ascii="Times New Roman" w:hAnsi="Times New Roman" w:cs="Times New Roman"/>
                <w:sz w:val="24"/>
              </w:rPr>
              <w:t>M1016 / M1017</w:t>
            </w:r>
          </w:p>
        </w:tc>
        <w:tc>
          <w:tcPr>
            <w:tcW w:w="4002"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M1017 (contains ICD-10 terminology and formatting)</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M1017 deleted.</w:t>
            </w:r>
          </w:p>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Replaced with M1016 (currently approved OASIS-C item using ICD-9)</w:t>
            </w:r>
          </w:p>
        </w:tc>
        <w:tc>
          <w:tcPr>
            <w:tcW w:w="0" w:type="auto"/>
            <w:vMerge/>
            <w:tcBorders>
              <w:top w:val="nil"/>
              <w:left w:val="nil"/>
              <w:bottom w:val="single" w:sz="8" w:space="0" w:color="auto"/>
              <w:right w:val="single" w:sz="8" w:space="0" w:color="auto"/>
            </w:tcBorders>
            <w:vAlign w:val="center"/>
            <w:hideMark/>
          </w:tcPr>
          <w:p w:rsidR="00FB3FC8" w:rsidRPr="00480FF0" w:rsidRDefault="00FB3FC8">
            <w:pPr>
              <w:rPr>
                <w:sz w:val="24"/>
              </w:rPr>
            </w:pPr>
          </w:p>
        </w:tc>
      </w:tr>
      <w:tr w:rsidR="00FB3FC8" w:rsidRPr="00480FF0" w:rsidTr="00FB3FC8">
        <w:tc>
          <w:tcPr>
            <w:tcW w:w="1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sz w:val="24"/>
              </w:rPr>
            </w:pPr>
            <w:r w:rsidRPr="00480FF0">
              <w:rPr>
                <w:rFonts w:ascii="Times New Roman" w:hAnsi="Times New Roman" w:cs="Times New Roman"/>
                <w:sz w:val="24"/>
              </w:rPr>
              <w:t>M1020 – M1025</w:t>
            </w:r>
          </w:p>
        </w:tc>
        <w:tc>
          <w:tcPr>
            <w:tcW w:w="4002"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M1021, M1023, M1025 (contains ICD-10 terminology, formatting and instructions)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M1021, M1023, M1025 deleted.</w:t>
            </w:r>
          </w:p>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Replaced with M1020, M1022, M1024 (currently approved OASIS-C items using ICD-9)</w:t>
            </w:r>
          </w:p>
        </w:tc>
        <w:tc>
          <w:tcPr>
            <w:tcW w:w="0" w:type="auto"/>
            <w:vMerge/>
            <w:tcBorders>
              <w:top w:val="nil"/>
              <w:left w:val="nil"/>
              <w:bottom w:val="single" w:sz="8" w:space="0" w:color="auto"/>
              <w:right w:val="single" w:sz="8" w:space="0" w:color="auto"/>
            </w:tcBorders>
            <w:vAlign w:val="center"/>
            <w:hideMark/>
          </w:tcPr>
          <w:p w:rsidR="00FB3FC8" w:rsidRPr="00480FF0" w:rsidRDefault="00FB3FC8">
            <w:pPr>
              <w:rPr>
                <w:sz w:val="24"/>
              </w:rPr>
            </w:pPr>
          </w:p>
        </w:tc>
      </w:tr>
    </w:tbl>
    <w:p w:rsidR="00FB3FC8" w:rsidRPr="00480FF0" w:rsidRDefault="00FB3FC8" w:rsidP="00FB3FC8">
      <w:pPr>
        <w:rPr>
          <w:sz w:val="24"/>
        </w:rPr>
      </w:pPr>
    </w:p>
    <w:p w:rsidR="00480FF0" w:rsidRDefault="00480FF0">
      <w:pPr>
        <w:spacing w:after="200" w:line="276" w:lineRule="auto"/>
        <w:rPr>
          <w:rFonts w:ascii="Times New Roman" w:hAnsi="Times New Roman" w:cs="Times New Roman"/>
          <w:b/>
          <w:sz w:val="28"/>
          <w:u w:val="single"/>
        </w:rPr>
      </w:pPr>
      <w:r>
        <w:rPr>
          <w:rFonts w:ascii="Times New Roman" w:hAnsi="Times New Roman" w:cs="Times New Roman"/>
          <w:b/>
          <w:sz w:val="28"/>
          <w:u w:val="single"/>
        </w:rPr>
        <w:br w:type="page"/>
      </w:r>
    </w:p>
    <w:p w:rsidR="00FB3FC8" w:rsidRPr="00FB3FC8" w:rsidRDefault="00D75EE7" w:rsidP="00FB3FC8">
      <w:pPr>
        <w:rPr>
          <w:rFonts w:ascii="Times New Roman" w:hAnsi="Times New Roman" w:cs="Times New Roman"/>
          <w:b/>
          <w:sz w:val="28"/>
          <w:u w:val="single"/>
        </w:rPr>
      </w:pPr>
      <w:r>
        <w:rPr>
          <w:rFonts w:ascii="Times New Roman" w:hAnsi="Times New Roman" w:cs="Times New Roman"/>
          <w:b/>
          <w:sz w:val="28"/>
          <w:u w:val="single"/>
        </w:rPr>
        <w:lastRenderedPageBreak/>
        <w:t>T</w:t>
      </w:r>
      <w:r w:rsidR="00FB3FC8" w:rsidRPr="00FB3FC8">
        <w:rPr>
          <w:rFonts w:ascii="Times New Roman" w:hAnsi="Times New Roman" w:cs="Times New Roman"/>
          <w:b/>
          <w:sz w:val="28"/>
          <w:u w:val="single"/>
        </w:rPr>
        <w:t>able 2:  Changes to OMB-approved OASIS-C1 – Time Point and Skip Pattern direction changes REQUIRED:</w:t>
      </w:r>
    </w:p>
    <w:p w:rsidR="00FB3FC8" w:rsidRDefault="00FB3FC8" w:rsidP="00FB3FC8"/>
    <w:tbl>
      <w:tblPr>
        <w:tblW w:w="13664" w:type="dxa"/>
        <w:tblCellMar>
          <w:left w:w="0" w:type="dxa"/>
          <w:right w:w="0" w:type="dxa"/>
        </w:tblCellMar>
        <w:tblLook w:val="04A0" w:firstRow="1" w:lastRow="0" w:firstColumn="1" w:lastColumn="0" w:noHBand="0" w:noVBand="1"/>
      </w:tblPr>
      <w:tblGrid>
        <w:gridCol w:w="1396"/>
        <w:gridCol w:w="3996"/>
        <w:gridCol w:w="4140"/>
        <w:gridCol w:w="4132"/>
      </w:tblGrid>
      <w:tr w:rsidR="00551EBB" w:rsidRPr="00480FF0" w:rsidTr="00C34342">
        <w:trPr>
          <w:tblHeader/>
        </w:trPr>
        <w:tc>
          <w:tcPr>
            <w:tcW w:w="1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1EBB" w:rsidRPr="00480FF0" w:rsidRDefault="00551EBB">
            <w:pPr>
              <w:pStyle w:val="ListParagraph"/>
              <w:spacing w:after="200" w:line="276" w:lineRule="auto"/>
              <w:ind w:left="0"/>
              <w:contextualSpacing/>
              <w:jc w:val="center"/>
              <w:rPr>
                <w:rFonts w:ascii="Times New Roman" w:hAnsi="Times New Roman" w:cs="Times New Roman"/>
                <w:b/>
                <w:bCs/>
                <w:sz w:val="24"/>
              </w:rPr>
            </w:pPr>
            <w:r w:rsidRPr="00480FF0">
              <w:rPr>
                <w:rFonts w:ascii="Times New Roman" w:hAnsi="Times New Roman" w:cs="Times New Roman"/>
                <w:b/>
                <w:bCs/>
                <w:sz w:val="24"/>
              </w:rPr>
              <w:t>OASIS Item</w:t>
            </w:r>
          </w:p>
        </w:tc>
        <w:tc>
          <w:tcPr>
            <w:tcW w:w="3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EBB" w:rsidRPr="00480FF0" w:rsidRDefault="00551EBB">
            <w:pPr>
              <w:pStyle w:val="ListParagraph"/>
              <w:spacing w:after="200" w:line="276" w:lineRule="auto"/>
              <w:ind w:left="0"/>
              <w:contextualSpacing/>
              <w:jc w:val="center"/>
              <w:rPr>
                <w:rFonts w:ascii="Times New Roman" w:hAnsi="Times New Roman" w:cs="Times New Roman"/>
                <w:b/>
                <w:bCs/>
                <w:sz w:val="24"/>
              </w:rPr>
            </w:pPr>
            <w:r w:rsidRPr="00480FF0">
              <w:rPr>
                <w:rFonts w:ascii="Times New Roman" w:hAnsi="Times New Roman" w:cs="Times New Roman"/>
                <w:b/>
                <w:bCs/>
                <w:sz w:val="24"/>
              </w:rPr>
              <w:t>OASIS</w:t>
            </w:r>
            <w:r>
              <w:rPr>
                <w:rFonts w:ascii="Times New Roman" w:hAnsi="Times New Roman" w:cs="Times New Roman"/>
                <w:b/>
                <w:bCs/>
                <w:sz w:val="24"/>
              </w:rPr>
              <w:t>-C1</w:t>
            </w:r>
            <w:r w:rsidRPr="00480FF0">
              <w:rPr>
                <w:rFonts w:ascii="Times New Roman" w:hAnsi="Times New Roman" w:cs="Times New Roman"/>
                <w:b/>
                <w:bCs/>
                <w:sz w:val="24"/>
              </w:rPr>
              <w:t xml:space="preserve"> with ICD-10</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EBB" w:rsidRPr="00551EBB" w:rsidRDefault="00551EBB" w:rsidP="00C95BD0">
            <w:pPr>
              <w:pStyle w:val="ListParagraph"/>
              <w:spacing w:after="200" w:line="276" w:lineRule="auto"/>
              <w:ind w:left="0"/>
              <w:contextualSpacing/>
              <w:jc w:val="center"/>
              <w:rPr>
                <w:rFonts w:ascii="Times New Roman" w:hAnsi="Times New Roman" w:cs="Times New Roman"/>
                <w:b/>
                <w:bCs/>
                <w:sz w:val="24"/>
                <w:szCs w:val="24"/>
              </w:rPr>
            </w:pPr>
            <w:r w:rsidRPr="00551EBB">
              <w:rPr>
                <w:rFonts w:ascii="Times New Roman" w:hAnsi="Times New Roman" w:cs="Times New Roman"/>
                <w:b/>
                <w:sz w:val="24"/>
                <w:szCs w:val="24"/>
              </w:rPr>
              <w:t>OASIS-C1/ICD-9 Version</w:t>
            </w:r>
          </w:p>
        </w:tc>
        <w:tc>
          <w:tcPr>
            <w:tcW w:w="4132" w:type="dxa"/>
            <w:tcBorders>
              <w:top w:val="single" w:sz="8" w:space="0" w:color="auto"/>
              <w:left w:val="nil"/>
              <w:bottom w:val="single" w:sz="8" w:space="0" w:color="auto"/>
              <w:right w:val="single" w:sz="8" w:space="0" w:color="auto"/>
            </w:tcBorders>
            <w:tcMar>
              <w:top w:w="0" w:type="dxa"/>
              <w:left w:w="58" w:type="dxa"/>
              <w:bottom w:w="0" w:type="dxa"/>
              <w:right w:w="29" w:type="dxa"/>
            </w:tcMar>
            <w:hideMark/>
          </w:tcPr>
          <w:p w:rsidR="00551EBB" w:rsidRPr="00480FF0" w:rsidRDefault="00551EBB">
            <w:pPr>
              <w:pStyle w:val="ListParagraph"/>
              <w:spacing w:after="200" w:line="276" w:lineRule="auto"/>
              <w:ind w:left="0"/>
              <w:contextualSpacing/>
              <w:jc w:val="center"/>
              <w:rPr>
                <w:rFonts w:ascii="Times New Roman" w:hAnsi="Times New Roman" w:cs="Times New Roman"/>
                <w:b/>
                <w:bCs/>
                <w:sz w:val="24"/>
              </w:rPr>
            </w:pPr>
            <w:r w:rsidRPr="00480FF0">
              <w:rPr>
                <w:rFonts w:ascii="Times New Roman" w:hAnsi="Times New Roman" w:cs="Times New Roman"/>
                <w:b/>
                <w:bCs/>
                <w:sz w:val="24"/>
              </w:rPr>
              <w:t>Reason</w:t>
            </w:r>
          </w:p>
        </w:tc>
      </w:tr>
      <w:tr w:rsidR="00FB3FC8" w:rsidRPr="00480FF0" w:rsidTr="00FB3FC8">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3FC8" w:rsidRPr="00480FF0" w:rsidRDefault="00FB3FC8">
            <w:pPr>
              <w:pStyle w:val="ListParagraph"/>
              <w:spacing w:after="200" w:line="276" w:lineRule="auto"/>
              <w:ind w:left="0"/>
              <w:contextualSpacing/>
              <w:jc w:val="center"/>
              <w:rPr>
                <w:rFonts w:ascii="Times New Roman" w:hAnsi="Times New Roman" w:cs="Times New Roman"/>
                <w:i/>
                <w:iCs/>
                <w:sz w:val="24"/>
              </w:rPr>
            </w:pPr>
            <w:r w:rsidRPr="00480FF0">
              <w:rPr>
                <w:rFonts w:ascii="Times New Roman" w:hAnsi="Times New Roman" w:cs="Times New Roman"/>
                <w:i/>
                <w:iCs/>
                <w:sz w:val="24"/>
              </w:rPr>
              <w:t>Time Points</w:t>
            </w:r>
          </w:p>
          <w:p w:rsidR="00FB3FC8" w:rsidRPr="00480FF0" w:rsidRDefault="00FB3FC8">
            <w:pPr>
              <w:pStyle w:val="ListParagraph"/>
              <w:spacing w:after="200" w:line="276" w:lineRule="auto"/>
              <w:ind w:left="0"/>
              <w:contextualSpacing/>
              <w:jc w:val="center"/>
              <w:rPr>
                <w:rFonts w:ascii="Times New Roman" w:hAnsi="Times New Roman" w:cs="Times New Roman"/>
                <w:i/>
                <w:iCs/>
                <w:sz w:val="24"/>
              </w:rPr>
            </w:pPr>
            <w:r w:rsidRPr="00480FF0">
              <w:rPr>
                <w:rFonts w:ascii="Times New Roman" w:hAnsi="Times New Roman" w:cs="Times New Roman"/>
                <w:i/>
                <w:iCs/>
                <w:sz w:val="24"/>
              </w:rPr>
              <w:t xml:space="preserve">Table </w:t>
            </w:r>
          </w:p>
          <w:p w:rsidR="00FB3FC8" w:rsidRPr="00480FF0" w:rsidRDefault="00FB3FC8">
            <w:pPr>
              <w:pStyle w:val="ListParagraph"/>
              <w:spacing w:after="200" w:line="276" w:lineRule="auto"/>
              <w:ind w:left="0"/>
              <w:contextualSpacing/>
              <w:jc w:val="center"/>
              <w:rPr>
                <w:rFonts w:ascii="Times New Roman" w:hAnsi="Times New Roman" w:cs="Times New Roman"/>
                <w:sz w:val="24"/>
              </w:rPr>
            </w:pPr>
            <w:r w:rsidRPr="00480FF0">
              <w:rPr>
                <w:rFonts w:ascii="Times New Roman" w:hAnsi="Times New Roman" w:cs="Times New Roman"/>
                <w:sz w:val="24"/>
              </w:rPr>
              <w:t>(page 3)</w:t>
            </w:r>
          </w:p>
          <w:p w:rsidR="00FB3FC8" w:rsidRPr="00480FF0" w:rsidRDefault="00FB3FC8" w:rsidP="00480FF0">
            <w:pPr>
              <w:pStyle w:val="ListParagraph"/>
              <w:spacing w:after="200" w:line="276" w:lineRule="auto"/>
              <w:ind w:left="0"/>
              <w:contextualSpacing/>
              <w:jc w:val="center"/>
              <w:rPr>
                <w:rFonts w:ascii="Times New Roman" w:hAnsi="Times New Roman" w:cs="Times New Roman"/>
                <w:i/>
                <w:iCs/>
                <w:sz w:val="24"/>
              </w:rPr>
            </w:pPr>
            <w:r w:rsidRPr="00480FF0">
              <w:rPr>
                <w:rFonts w:ascii="Times New Roman" w:hAnsi="Times New Roman" w:cs="Times New Roman"/>
                <w:i/>
                <w:iCs/>
                <w:sz w:val="24"/>
              </w:rPr>
              <w:t>Items Used at Follow-Up</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rsidP="00664DD4">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 xml:space="preserve">Includes </w:t>
            </w:r>
            <w:r w:rsidR="00664DD4">
              <w:rPr>
                <w:rFonts w:ascii="Times New Roman" w:hAnsi="Times New Roman" w:cs="Times New Roman"/>
                <w:sz w:val="24"/>
              </w:rPr>
              <w:t>“M1011” at Follow-Up Time Point</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 xml:space="preserve">“M1011” - deleted at Follow-Up Time Point </w:t>
            </w:r>
          </w:p>
        </w:tc>
        <w:tc>
          <w:tcPr>
            <w:tcW w:w="4132" w:type="dxa"/>
            <w:tcBorders>
              <w:top w:val="nil"/>
              <w:left w:val="nil"/>
              <w:bottom w:val="single" w:sz="8" w:space="0" w:color="auto"/>
              <w:right w:val="single" w:sz="8" w:space="0" w:color="auto"/>
            </w:tcBorders>
            <w:tcMar>
              <w:top w:w="0" w:type="dxa"/>
              <w:left w:w="58" w:type="dxa"/>
              <w:bottom w:w="0" w:type="dxa"/>
              <w:right w:w="29"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 xml:space="preserve">PAMA necessitates the removal of ICD-10-specific items in the Time Points Table. The ICD-9 version of this item is not collected at Follow-up in OASIS-C and so will not be included in OASIS-C1. </w:t>
            </w:r>
          </w:p>
        </w:tc>
      </w:tr>
      <w:tr w:rsidR="00FB3FC8" w:rsidRPr="00480FF0" w:rsidTr="00FB3FC8">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3FC8" w:rsidRPr="00480FF0" w:rsidRDefault="00FB3FC8">
            <w:pPr>
              <w:pStyle w:val="ListParagraph"/>
              <w:spacing w:after="200" w:line="276" w:lineRule="auto"/>
              <w:ind w:left="0"/>
              <w:contextualSpacing/>
              <w:jc w:val="center"/>
              <w:rPr>
                <w:rFonts w:ascii="Times New Roman" w:hAnsi="Times New Roman" w:cs="Times New Roman"/>
                <w:i/>
                <w:iCs/>
                <w:sz w:val="24"/>
              </w:rPr>
            </w:pPr>
            <w:r w:rsidRPr="00480FF0">
              <w:rPr>
                <w:rFonts w:ascii="Times New Roman" w:hAnsi="Times New Roman" w:cs="Times New Roman"/>
                <w:i/>
                <w:iCs/>
                <w:sz w:val="24"/>
              </w:rPr>
              <w:t>Time Points</w:t>
            </w:r>
          </w:p>
          <w:p w:rsidR="00FB3FC8" w:rsidRPr="00480FF0" w:rsidRDefault="00FB3FC8">
            <w:pPr>
              <w:pStyle w:val="ListParagraph"/>
              <w:spacing w:after="200" w:line="276" w:lineRule="auto"/>
              <w:ind w:left="0"/>
              <w:contextualSpacing/>
              <w:jc w:val="center"/>
              <w:rPr>
                <w:rFonts w:ascii="Times New Roman" w:hAnsi="Times New Roman" w:cs="Times New Roman"/>
                <w:i/>
                <w:iCs/>
                <w:sz w:val="24"/>
              </w:rPr>
            </w:pPr>
            <w:r w:rsidRPr="00480FF0">
              <w:rPr>
                <w:rFonts w:ascii="Times New Roman" w:hAnsi="Times New Roman" w:cs="Times New Roman"/>
                <w:i/>
                <w:iCs/>
                <w:sz w:val="24"/>
              </w:rPr>
              <w:t xml:space="preserve">Table </w:t>
            </w:r>
          </w:p>
          <w:p w:rsidR="00FB3FC8" w:rsidRPr="00480FF0" w:rsidRDefault="00FB3FC8">
            <w:pPr>
              <w:pStyle w:val="ListParagraph"/>
              <w:spacing w:after="200" w:line="276" w:lineRule="auto"/>
              <w:ind w:left="0"/>
              <w:contextualSpacing/>
              <w:jc w:val="center"/>
              <w:rPr>
                <w:rFonts w:ascii="Times New Roman" w:hAnsi="Times New Roman" w:cs="Times New Roman"/>
                <w:sz w:val="24"/>
              </w:rPr>
            </w:pPr>
            <w:r w:rsidRPr="00480FF0">
              <w:rPr>
                <w:rFonts w:ascii="Times New Roman" w:hAnsi="Times New Roman" w:cs="Times New Roman"/>
                <w:sz w:val="24"/>
              </w:rPr>
              <w:t>(page 3)</w:t>
            </w:r>
          </w:p>
          <w:p w:rsidR="00FB3FC8" w:rsidRPr="00480FF0" w:rsidRDefault="00FB3FC8" w:rsidP="00480FF0">
            <w:pPr>
              <w:pStyle w:val="ListParagraph"/>
              <w:spacing w:after="200" w:line="276" w:lineRule="auto"/>
              <w:ind w:left="0"/>
              <w:contextualSpacing/>
              <w:jc w:val="center"/>
              <w:rPr>
                <w:rFonts w:ascii="Times New Roman" w:hAnsi="Times New Roman" w:cs="Times New Roman"/>
                <w:i/>
                <w:iCs/>
                <w:sz w:val="24"/>
              </w:rPr>
            </w:pPr>
            <w:r w:rsidRPr="00480FF0">
              <w:rPr>
                <w:rFonts w:ascii="Times New Roman" w:hAnsi="Times New Roman" w:cs="Times New Roman"/>
                <w:i/>
                <w:iCs/>
                <w:sz w:val="24"/>
              </w:rPr>
              <w:t>Items Used at Follow-Up</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Includes “M1021” at Follow-Up Time Point</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 xml:space="preserve">“M1021” – deleted at Follow-Up Time Point. “M1020”substituted </w:t>
            </w:r>
          </w:p>
        </w:tc>
        <w:tc>
          <w:tcPr>
            <w:tcW w:w="4132" w:type="dxa"/>
            <w:tcBorders>
              <w:top w:val="nil"/>
              <w:left w:val="nil"/>
              <w:bottom w:val="single" w:sz="8" w:space="0" w:color="auto"/>
              <w:right w:val="single" w:sz="8" w:space="0" w:color="auto"/>
            </w:tcBorders>
            <w:tcMar>
              <w:top w:w="0" w:type="dxa"/>
              <w:left w:w="58" w:type="dxa"/>
              <w:bottom w:w="0" w:type="dxa"/>
              <w:right w:w="29"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 xml:space="preserve">PAMA necessitates the removal of ICD-10-specific items in the Time Points Table and replacement with the substituted ICD-9-specific items </w:t>
            </w:r>
          </w:p>
        </w:tc>
      </w:tr>
      <w:tr w:rsidR="00FB3FC8" w:rsidRPr="00480FF0" w:rsidTr="00FB3FC8">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sz w:val="24"/>
              </w:rPr>
            </w:pPr>
            <w:r w:rsidRPr="00480FF0">
              <w:rPr>
                <w:rFonts w:ascii="Times New Roman" w:hAnsi="Times New Roman" w:cs="Times New Roman"/>
                <w:sz w:val="24"/>
              </w:rPr>
              <w:t>M1000</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Instructions for response NA now state: Go to M1017</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 xml:space="preserve">Instructions for response NA now state: </w:t>
            </w:r>
          </w:p>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Go to M1016</w:t>
            </w:r>
          </w:p>
        </w:tc>
        <w:tc>
          <w:tcPr>
            <w:tcW w:w="4132" w:type="dxa"/>
            <w:tcBorders>
              <w:top w:val="nil"/>
              <w:left w:val="nil"/>
              <w:bottom w:val="single" w:sz="8" w:space="0" w:color="auto"/>
              <w:right w:val="single" w:sz="8" w:space="0" w:color="auto"/>
            </w:tcBorders>
            <w:tcMar>
              <w:top w:w="0" w:type="dxa"/>
              <w:left w:w="58" w:type="dxa"/>
              <w:bottom w:w="0" w:type="dxa"/>
              <w:right w:w="29"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PAMA necessitates the removal of ICD-10-specific items. Therefore, instructions to use ICD-10-specific items in the M1000 Skip Instructions must be replaced  with instruction to use the substituted ICD-9-specific items</w:t>
            </w:r>
          </w:p>
        </w:tc>
      </w:tr>
      <w:tr w:rsidR="00FB3FC8" w:rsidRPr="00480FF0" w:rsidTr="00FB3FC8">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jc w:val="center"/>
              <w:rPr>
                <w:rFonts w:ascii="Times New Roman" w:hAnsi="Times New Roman" w:cs="Times New Roman"/>
                <w:sz w:val="24"/>
              </w:rPr>
            </w:pPr>
            <w:r w:rsidRPr="00480FF0">
              <w:rPr>
                <w:rFonts w:ascii="Times New Roman" w:hAnsi="Times New Roman" w:cs="Times New Roman"/>
                <w:sz w:val="24"/>
              </w:rPr>
              <w:t>M1340</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For response options 0 and 2, direction</w:t>
            </w:r>
            <w:r w:rsidR="00664DD4">
              <w:rPr>
                <w:rFonts w:ascii="Times New Roman" w:hAnsi="Times New Roman" w:cs="Times New Roman"/>
                <w:sz w:val="24"/>
              </w:rPr>
              <w:t>s</w:t>
            </w:r>
            <w:r w:rsidRPr="00480FF0">
              <w:rPr>
                <w:rFonts w:ascii="Times New Roman" w:hAnsi="Times New Roman" w:cs="Times New Roman"/>
                <w:sz w:val="24"/>
              </w:rPr>
              <w:t xml:space="preserve"> read “At TRN/DC, go to M1400”</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For response options 0 and 2, directions changed to “At FU/DC, go to M1400” because item is collected at Follow-up and Discharge, not Transfer (TRN)</w:t>
            </w:r>
          </w:p>
        </w:tc>
        <w:tc>
          <w:tcPr>
            <w:tcW w:w="4132" w:type="dxa"/>
            <w:tcBorders>
              <w:top w:val="nil"/>
              <w:left w:val="nil"/>
              <w:bottom w:val="single" w:sz="8" w:space="0" w:color="auto"/>
              <w:right w:val="single" w:sz="8" w:space="0" w:color="auto"/>
            </w:tcBorders>
            <w:tcMar>
              <w:top w:w="0" w:type="dxa"/>
              <w:left w:w="58" w:type="dxa"/>
              <w:bottom w:w="0" w:type="dxa"/>
              <w:right w:w="29" w:type="dxa"/>
            </w:tcMar>
            <w:hideMark/>
          </w:tcPr>
          <w:p w:rsidR="00FB3FC8" w:rsidRPr="00480FF0" w:rsidRDefault="00FB3FC8">
            <w:pPr>
              <w:pStyle w:val="ListParagraph"/>
              <w:spacing w:after="200" w:line="276" w:lineRule="auto"/>
              <w:ind w:left="0"/>
              <w:contextualSpacing/>
              <w:rPr>
                <w:rFonts w:ascii="Times New Roman" w:hAnsi="Times New Roman" w:cs="Times New Roman"/>
                <w:sz w:val="24"/>
              </w:rPr>
            </w:pPr>
            <w:r w:rsidRPr="00480FF0">
              <w:rPr>
                <w:rFonts w:ascii="Times New Roman" w:hAnsi="Times New Roman" w:cs="Times New Roman"/>
                <w:sz w:val="24"/>
              </w:rPr>
              <w:t xml:space="preserve">M1350 was deleted at Follow-up and Discharge as part of OASIS-C1 burden reduction. Directions to skip M1350 at Follow-up were inadvertently omitted from M1340. </w:t>
            </w:r>
          </w:p>
        </w:tc>
      </w:tr>
    </w:tbl>
    <w:p w:rsidR="00FB3FC8" w:rsidRPr="00480FF0" w:rsidRDefault="00FB3FC8" w:rsidP="00FB3FC8">
      <w:pPr>
        <w:rPr>
          <w:rFonts w:ascii="Times New Roman" w:hAnsi="Times New Roman" w:cs="Times New Roman"/>
          <w:b/>
          <w:sz w:val="28"/>
          <w:u w:val="single"/>
        </w:rPr>
      </w:pPr>
      <w:r w:rsidRPr="00480FF0">
        <w:rPr>
          <w:rFonts w:ascii="Times New Roman" w:hAnsi="Times New Roman" w:cs="Times New Roman"/>
          <w:b/>
          <w:sz w:val="28"/>
          <w:u w:val="single"/>
        </w:rPr>
        <w:lastRenderedPageBreak/>
        <w:t>Table 3: Additional edits to the OMB-approved version of OASIS-C1 due to typographical or other identified errors</w:t>
      </w:r>
      <w:r w:rsidR="00480FF0" w:rsidRPr="00480FF0">
        <w:rPr>
          <w:rFonts w:ascii="Times New Roman" w:hAnsi="Times New Roman" w:cs="Times New Roman"/>
          <w:b/>
          <w:sz w:val="28"/>
          <w:u w:val="single"/>
        </w:rPr>
        <w:t xml:space="preserve"> that should be corrected with this item set change</w:t>
      </w:r>
      <w:r w:rsidRPr="00480FF0">
        <w:rPr>
          <w:rFonts w:ascii="Times New Roman" w:hAnsi="Times New Roman" w:cs="Times New Roman"/>
          <w:b/>
          <w:sz w:val="28"/>
          <w:u w:val="single"/>
        </w:rPr>
        <w:t>:</w:t>
      </w:r>
    </w:p>
    <w:p w:rsidR="00FB3FC8" w:rsidRPr="00480FF0" w:rsidRDefault="00FB3FC8" w:rsidP="00FB3FC8">
      <w:pPr>
        <w:rPr>
          <w:rFonts w:ascii="Times New Roman" w:hAnsi="Times New Roman" w:cs="Times New Roman"/>
          <w:b/>
          <w:sz w:val="28"/>
          <w:u w:val="single"/>
        </w:rPr>
      </w:pPr>
    </w:p>
    <w:tbl>
      <w:tblPr>
        <w:tblW w:w="13664" w:type="dxa"/>
        <w:tblCellMar>
          <w:left w:w="0" w:type="dxa"/>
          <w:right w:w="0" w:type="dxa"/>
        </w:tblCellMar>
        <w:tblLook w:val="04A0" w:firstRow="1" w:lastRow="0" w:firstColumn="1" w:lastColumn="0" w:noHBand="0" w:noVBand="1"/>
      </w:tblPr>
      <w:tblGrid>
        <w:gridCol w:w="1151"/>
        <w:gridCol w:w="4241"/>
        <w:gridCol w:w="4140"/>
        <w:gridCol w:w="4132"/>
      </w:tblGrid>
      <w:tr w:rsidR="00551EBB" w:rsidRPr="00480FF0" w:rsidTr="00C34342">
        <w:trPr>
          <w:tblHeader/>
        </w:trPr>
        <w:tc>
          <w:tcPr>
            <w:tcW w:w="1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1EBB" w:rsidRPr="003632E7" w:rsidRDefault="00551EBB">
            <w:pPr>
              <w:pStyle w:val="ListParagraph"/>
              <w:spacing w:after="200" w:line="276" w:lineRule="auto"/>
              <w:ind w:left="0"/>
              <w:contextualSpacing/>
              <w:jc w:val="center"/>
              <w:rPr>
                <w:rFonts w:ascii="Times New Roman" w:hAnsi="Times New Roman" w:cs="Times New Roman"/>
                <w:b/>
                <w:bCs/>
                <w:sz w:val="24"/>
              </w:rPr>
            </w:pPr>
            <w:r w:rsidRPr="003632E7">
              <w:rPr>
                <w:rFonts w:ascii="Times New Roman" w:hAnsi="Times New Roman" w:cs="Times New Roman"/>
                <w:b/>
                <w:bCs/>
                <w:sz w:val="24"/>
              </w:rPr>
              <w:t>OASIS Item</w:t>
            </w:r>
          </w:p>
        </w:tc>
        <w:tc>
          <w:tcPr>
            <w:tcW w:w="4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EBB" w:rsidRPr="003632E7" w:rsidRDefault="00551EBB">
            <w:pPr>
              <w:pStyle w:val="ListParagraph"/>
              <w:spacing w:after="200" w:line="276" w:lineRule="auto"/>
              <w:ind w:left="0"/>
              <w:contextualSpacing/>
              <w:jc w:val="center"/>
              <w:rPr>
                <w:rFonts w:ascii="Times New Roman" w:hAnsi="Times New Roman" w:cs="Times New Roman"/>
                <w:b/>
                <w:bCs/>
                <w:sz w:val="24"/>
              </w:rPr>
            </w:pPr>
            <w:r w:rsidRPr="003632E7">
              <w:rPr>
                <w:rFonts w:ascii="Times New Roman" w:hAnsi="Times New Roman" w:cs="Times New Roman"/>
                <w:b/>
                <w:bCs/>
                <w:sz w:val="24"/>
              </w:rPr>
              <w:t>OASIS</w:t>
            </w:r>
            <w:r>
              <w:rPr>
                <w:rFonts w:ascii="Times New Roman" w:hAnsi="Times New Roman" w:cs="Times New Roman"/>
                <w:b/>
                <w:bCs/>
                <w:sz w:val="24"/>
              </w:rPr>
              <w:t>-C1</w:t>
            </w:r>
            <w:r w:rsidRPr="003632E7">
              <w:rPr>
                <w:rFonts w:ascii="Times New Roman" w:hAnsi="Times New Roman" w:cs="Times New Roman"/>
                <w:b/>
                <w:bCs/>
                <w:sz w:val="24"/>
              </w:rPr>
              <w:t xml:space="preserve"> with ICD-10</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EBB" w:rsidRPr="00551EBB" w:rsidRDefault="00551EBB" w:rsidP="00C95BD0">
            <w:pPr>
              <w:pStyle w:val="ListParagraph"/>
              <w:spacing w:after="200" w:line="276" w:lineRule="auto"/>
              <w:ind w:left="0"/>
              <w:contextualSpacing/>
              <w:jc w:val="center"/>
              <w:rPr>
                <w:rFonts w:ascii="Times New Roman" w:hAnsi="Times New Roman" w:cs="Times New Roman"/>
                <w:b/>
                <w:bCs/>
                <w:sz w:val="24"/>
                <w:szCs w:val="24"/>
              </w:rPr>
            </w:pPr>
            <w:r w:rsidRPr="00551EBB">
              <w:rPr>
                <w:rFonts w:ascii="Times New Roman" w:hAnsi="Times New Roman" w:cs="Times New Roman"/>
                <w:b/>
                <w:sz w:val="24"/>
                <w:szCs w:val="24"/>
              </w:rPr>
              <w:t>OASIS-C1/ICD-9 Version</w:t>
            </w:r>
          </w:p>
        </w:tc>
        <w:tc>
          <w:tcPr>
            <w:tcW w:w="4132" w:type="dxa"/>
            <w:tcBorders>
              <w:top w:val="single" w:sz="8" w:space="0" w:color="auto"/>
              <w:left w:val="nil"/>
              <w:bottom w:val="single" w:sz="8" w:space="0" w:color="auto"/>
              <w:right w:val="single" w:sz="8" w:space="0" w:color="auto"/>
            </w:tcBorders>
            <w:tcMar>
              <w:top w:w="0" w:type="dxa"/>
              <w:left w:w="58" w:type="dxa"/>
              <w:bottom w:w="0" w:type="dxa"/>
              <w:right w:w="29" w:type="dxa"/>
            </w:tcMar>
            <w:hideMark/>
          </w:tcPr>
          <w:p w:rsidR="00551EBB" w:rsidRPr="003632E7" w:rsidRDefault="00551EBB">
            <w:pPr>
              <w:pStyle w:val="ListParagraph"/>
              <w:spacing w:after="200" w:line="276" w:lineRule="auto"/>
              <w:ind w:left="0"/>
              <w:contextualSpacing/>
              <w:jc w:val="center"/>
              <w:rPr>
                <w:rFonts w:ascii="Times New Roman" w:hAnsi="Times New Roman" w:cs="Times New Roman"/>
                <w:b/>
                <w:bCs/>
                <w:sz w:val="24"/>
              </w:rPr>
            </w:pPr>
            <w:r w:rsidRPr="003632E7">
              <w:rPr>
                <w:rFonts w:ascii="Times New Roman" w:hAnsi="Times New Roman" w:cs="Times New Roman"/>
                <w:b/>
                <w:bCs/>
                <w:sz w:val="24"/>
              </w:rPr>
              <w:t>Reason</w:t>
            </w:r>
          </w:p>
        </w:tc>
      </w:tr>
      <w:tr w:rsidR="00FB3FC8" w:rsidRPr="00480FF0" w:rsidTr="00FB3FC8">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jc w:val="center"/>
              <w:rPr>
                <w:rFonts w:ascii="Times New Roman" w:hAnsi="Times New Roman" w:cs="Times New Roman"/>
                <w:sz w:val="24"/>
              </w:rPr>
            </w:pPr>
            <w:r w:rsidRPr="003632E7">
              <w:rPr>
                <w:rFonts w:ascii="Times New Roman" w:hAnsi="Times New Roman" w:cs="Times New Roman"/>
                <w:sz w:val="24"/>
              </w:rPr>
              <w:t>M0060</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664DD4">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w:t>
            </w:r>
            <w:r w:rsidR="00FB3FC8" w:rsidRPr="003632E7">
              <w:rPr>
                <w:rFonts w:ascii="Times New Roman" w:hAnsi="Times New Roman" w:cs="Times New Roman"/>
                <w:sz w:val="24"/>
              </w:rPr>
              <w:t>Zip</w:t>
            </w:r>
            <w:r>
              <w:rPr>
                <w:rFonts w:ascii="Times New Roman" w:hAnsi="Times New Roman" w:cs="Times New Roman"/>
                <w:sz w:val="24"/>
              </w:rPr>
              <w:t>”</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664DD4">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w:t>
            </w:r>
            <w:r w:rsidR="00FB3FC8" w:rsidRPr="003632E7">
              <w:rPr>
                <w:rFonts w:ascii="Times New Roman" w:hAnsi="Times New Roman" w:cs="Times New Roman"/>
                <w:sz w:val="24"/>
              </w:rPr>
              <w:t>Zip</w:t>
            </w:r>
            <w:r>
              <w:rPr>
                <w:rFonts w:ascii="Times New Roman" w:hAnsi="Times New Roman" w:cs="Times New Roman"/>
                <w:sz w:val="24"/>
              </w:rPr>
              <w:t>”</w:t>
            </w:r>
            <w:r w:rsidR="00FB3FC8" w:rsidRPr="003632E7">
              <w:rPr>
                <w:rFonts w:ascii="Times New Roman" w:hAnsi="Times New Roman" w:cs="Times New Roman"/>
                <w:sz w:val="24"/>
              </w:rPr>
              <w:t xml:space="preserve"> deleted.</w:t>
            </w:r>
          </w:p>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Replaced with: ZIP</w:t>
            </w:r>
          </w:p>
        </w:tc>
        <w:tc>
          <w:tcPr>
            <w:tcW w:w="4132" w:type="dxa"/>
            <w:tcBorders>
              <w:top w:val="nil"/>
              <w:left w:val="nil"/>
              <w:bottom w:val="single" w:sz="8" w:space="0" w:color="auto"/>
              <w:right w:val="single" w:sz="8" w:space="0" w:color="auto"/>
            </w:tcBorders>
            <w:tcMar>
              <w:top w:w="0" w:type="dxa"/>
              <w:left w:w="58" w:type="dxa"/>
              <w:bottom w:w="0" w:type="dxa"/>
              <w:right w:w="29"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ZIP (an acronym for Zone Improvement Plan) should be capitalized. </w:t>
            </w:r>
          </w:p>
        </w:tc>
      </w:tr>
      <w:tr w:rsidR="00FB3FC8" w:rsidRPr="00480FF0" w:rsidTr="00FB3FC8">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jc w:val="center"/>
              <w:rPr>
                <w:rFonts w:ascii="Times New Roman" w:hAnsi="Times New Roman" w:cs="Times New Roman"/>
                <w:sz w:val="24"/>
              </w:rPr>
            </w:pPr>
            <w:r w:rsidRPr="003632E7">
              <w:rPr>
                <w:rFonts w:ascii="Times New Roman" w:hAnsi="Times New Roman" w:cs="Times New Roman"/>
                <w:sz w:val="24"/>
              </w:rPr>
              <w:t>M1051</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Includes term “PPV” at end of item stem</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“PPV” deleted. </w:t>
            </w:r>
          </w:p>
          <w:p w:rsidR="00FB3FC8"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Replaced with: (e.g., </w:t>
            </w:r>
            <w:proofErr w:type="spellStart"/>
            <w:r w:rsidRPr="003632E7">
              <w:rPr>
                <w:rFonts w:ascii="Times New Roman" w:hAnsi="Times New Roman" w:cs="Times New Roman"/>
                <w:sz w:val="24"/>
              </w:rPr>
              <w:t>pneumovax</w:t>
            </w:r>
            <w:proofErr w:type="spellEnd"/>
            <w:r w:rsidRPr="003632E7">
              <w:rPr>
                <w:rFonts w:ascii="Times New Roman" w:hAnsi="Times New Roman" w:cs="Times New Roman"/>
                <w:sz w:val="24"/>
              </w:rPr>
              <w:t>)</w:t>
            </w:r>
          </w:p>
          <w:p w:rsidR="003632E7" w:rsidRPr="003632E7" w:rsidRDefault="003632E7">
            <w:pPr>
              <w:pStyle w:val="ListParagraph"/>
              <w:spacing w:after="200" w:line="276" w:lineRule="auto"/>
              <w:ind w:left="0"/>
              <w:contextualSpacing/>
              <w:rPr>
                <w:rFonts w:ascii="Times New Roman" w:hAnsi="Times New Roman" w:cs="Times New Roman"/>
                <w:sz w:val="24"/>
              </w:rPr>
            </w:pPr>
          </w:p>
        </w:tc>
        <w:tc>
          <w:tcPr>
            <w:tcW w:w="4132" w:type="dxa"/>
            <w:vMerge w:val="restart"/>
            <w:tcBorders>
              <w:top w:val="nil"/>
              <w:left w:val="nil"/>
              <w:bottom w:val="single" w:sz="8" w:space="0" w:color="auto"/>
              <w:right w:val="single" w:sz="8" w:space="0" w:color="auto"/>
            </w:tcBorders>
            <w:tcMar>
              <w:top w:w="0" w:type="dxa"/>
              <w:left w:w="58" w:type="dxa"/>
              <w:bottom w:w="0" w:type="dxa"/>
              <w:right w:w="29"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CMS has previously indicated that references to the proprietary term “Pneumococcal polysaccharide vaccine (PPV)” should be deleted in all data sets, and replaced with the more generic terms “Pneumococcal Vaccine” and “</w:t>
            </w:r>
            <w:proofErr w:type="spellStart"/>
            <w:r w:rsidRPr="003632E7">
              <w:rPr>
                <w:rFonts w:ascii="Times New Roman" w:hAnsi="Times New Roman" w:cs="Times New Roman"/>
                <w:sz w:val="24"/>
              </w:rPr>
              <w:t>pneumovax</w:t>
            </w:r>
            <w:proofErr w:type="spellEnd"/>
            <w:r w:rsidRPr="003632E7">
              <w:rPr>
                <w:rFonts w:ascii="Times New Roman" w:hAnsi="Times New Roman" w:cs="Times New Roman"/>
                <w:sz w:val="24"/>
              </w:rPr>
              <w:t>”.</w:t>
            </w:r>
          </w:p>
        </w:tc>
      </w:tr>
      <w:tr w:rsidR="00FB3FC8" w:rsidRPr="00480FF0" w:rsidTr="00FB3FC8">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jc w:val="center"/>
              <w:rPr>
                <w:rFonts w:ascii="Times New Roman" w:hAnsi="Times New Roman" w:cs="Times New Roman"/>
                <w:sz w:val="24"/>
              </w:rPr>
            </w:pPr>
            <w:r w:rsidRPr="003632E7">
              <w:rPr>
                <w:rFonts w:ascii="Times New Roman" w:hAnsi="Times New Roman" w:cs="Times New Roman"/>
                <w:sz w:val="24"/>
              </w:rPr>
              <w:t>M1056</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Includes term “PPV” twice in item stem </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“PPV” deleted. </w:t>
            </w:r>
          </w:p>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Replaced with: Pneumococcal Vaccine and (e.g., </w:t>
            </w:r>
            <w:proofErr w:type="spellStart"/>
            <w:r w:rsidRPr="003632E7">
              <w:rPr>
                <w:rFonts w:ascii="Times New Roman" w:hAnsi="Times New Roman" w:cs="Times New Roman"/>
                <w:sz w:val="24"/>
              </w:rPr>
              <w:t>pneumovax</w:t>
            </w:r>
            <w:proofErr w:type="spellEnd"/>
            <w:r w:rsidRPr="003632E7">
              <w:rPr>
                <w:rFonts w:ascii="Times New Roman" w:hAnsi="Times New Roman" w:cs="Times New Roman"/>
                <w:sz w:val="24"/>
              </w:rPr>
              <w:t>)</w:t>
            </w:r>
          </w:p>
        </w:tc>
        <w:tc>
          <w:tcPr>
            <w:tcW w:w="0" w:type="auto"/>
            <w:vMerge/>
            <w:tcBorders>
              <w:top w:val="nil"/>
              <w:left w:val="nil"/>
              <w:bottom w:val="single" w:sz="8" w:space="0" w:color="auto"/>
              <w:right w:val="single" w:sz="8" w:space="0" w:color="auto"/>
            </w:tcBorders>
            <w:vAlign w:val="center"/>
            <w:hideMark/>
          </w:tcPr>
          <w:p w:rsidR="00FB3FC8" w:rsidRPr="003632E7" w:rsidRDefault="00FB3FC8">
            <w:pPr>
              <w:rPr>
                <w:rFonts w:ascii="Times New Roman" w:hAnsi="Times New Roman" w:cs="Times New Roman"/>
                <w:sz w:val="24"/>
              </w:rPr>
            </w:pPr>
          </w:p>
        </w:tc>
      </w:tr>
      <w:tr w:rsidR="00FB3FC8" w:rsidRPr="00480FF0" w:rsidTr="00FB3FC8">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jc w:val="center"/>
              <w:rPr>
                <w:rFonts w:ascii="Times New Roman" w:hAnsi="Times New Roman" w:cs="Times New Roman"/>
                <w:sz w:val="24"/>
              </w:rPr>
            </w:pPr>
            <w:r w:rsidRPr="003632E7">
              <w:rPr>
                <w:rFonts w:ascii="Times New Roman" w:hAnsi="Times New Roman" w:cs="Times New Roman"/>
                <w:sz w:val="24"/>
              </w:rPr>
              <w:t>M1056</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Response 3 includes the term “PPV”</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“PPV” deleted. </w:t>
            </w:r>
          </w:p>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Replaced with: Pneumococcal Vaccine</w:t>
            </w:r>
          </w:p>
        </w:tc>
        <w:tc>
          <w:tcPr>
            <w:tcW w:w="0" w:type="auto"/>
            <w:vMerge/>
            <w:tcBorders>
              <w:top w:val="nil"/>
              <w:left w:val="nil"/>
              <w:bottom w:val="single" w:sz="8" w:space="0" w:color="auto"/>
              <w:right w:val="single" w:sz="8" w:space="0" w:color="auto"/>
            </w:tcBorders>
            <w:vAlign w:val="center"/>
            <w:hideMark/>
          </w:tcPr>
          <w:p w:rsidR="00FB3FC8" w:rsidRPr="003632E7" w:rsidRDefault="00FB3FC8">
            <w:pPr>
              <w:rPr>
                <w:rFonts w:ascii="Times New Roman" w:hAnsi="Times New Roman" w:cs="Times New Roman"/>
                <w:sz w:val="24"/>
              </w:rPr>
            </w:pPr>
          </w:p>
        </w:tc>
      </w:tr>
      <w:tr w:rsidR="00FB3FC8" w:rsidRPr="00480FF0" w:rsidTr="00FB3FC8">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jc w:val="center"/>
              <w:rPr>
                <w:rFonts w:ascii="Times New Roman" w:hAnsi="Times New Roman" w:cs="Times New Roman"/>
                <w:sz w:val="24"/>
              </w:rPr>
            </w:pPr>
            <w:r w:rsidRPr="003632E7">
              <w:rPr>
                <w:rFonts w:ascii="Times New Roman" w:hAnsi="Times New Roman" w:cs="Times New Roman"/>
                <w:sz w:val="24"/>
              </w:rPr>
              <w:t>M1306, M1308, M1309</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 xml:space="preserve">The word “unstageable” appears in quotes and </w:t>
            </w:r>
            <w:proofErr w:type="spellStart"/>
            <w:r w:rsidRPr="003632E7">
              <w:rPr>
                <w:rFonts w:ascii="Times New Roman" w:hAnsi="Times New Roman" w:cs="Times New Roman"/>
                <w:sz w:val="24"/>
              </w:rPr>
              <w:t>uncapitalized</w:t>
            </w:r>
            <w:proofErr w:type="spellEnd"/>
            <w:r w:rsidRPr="003632E7">
              <w:rPr>
                <w:rFonts w:ascii="Times New Roman" w:hAnsi="Times New Roman" w:cs="Times New Roman"/>
                <w:sz w:val="24"/>
              </w:rPr>
              <w:t xml:space="preserve"> numerous times in these items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The word “unstageable” deleted</w:t>
            </w:r>
          </w:p>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Replaced with: Unstageable</w:t>
            </w:r>
          </w:p>
        </w:tc>
        <w:tc>
          <w:tcPr>
            <w:tcW w:w="4132" w:type="dxa"/>
            <w:tcBorders>
              <w:top w:val="nil"/>
              <w:left w:val="nil"/>
              <w:bottom w:val="single" w:sz="8" w:space="0" w:color="auto"/>
              <w:right w:val="single" w:sz="8" w:space="0" w:color="auto"/>
            </w:tcBorders>
            <w:tcMar>
              <w:top w:w="0" w:type="dxa"/>
              <w:left w:w="58" w:type="dxa"/>
              <w:bottom w:w="0" w:type="dxa"/>
              <w:right w:w="29"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NPUAP guidance indicates the correct term is:  Unstageable (without quotes, and capitalized)</w:t>
            </w:r>
          </w:p>
        </w:tc>
      </w:tr>
      <w:tr w:rsidR="00FB3FC8" w:rsidRPr="00480FF0" w:rsidTr="00844A3C">
        <w:tc>
          <w:tcPr>
            <w:tcW w:w="11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3FC8" w:rsidRPr="003632E7" w:rsidRDefault="00FB3FC8">
            <w:pPr>
              <w:pStyle w:val="ListParagraph"/>
              <w:spacing w:after="200" w:line="276" w:lineRule="auto"/>
              <w:ind w:left="0"/>
              <w:contextualSpacing/>
              <w:jc w:val="center"/>
              <w:rPr>
                <w:rFonts w:ascii="Times New Roman" w:hAnsi="Times New Roman" w:cs="Times New Roman"/>
                <w:sz w:val="24"/>
              </w:rPr>
            </w:pPr>
            <w:r w:rsidRPr="003632E7">
              <w:rPr>
                <w:rFonts w:ascii="Times New Roman" w:hAnsi="Times New Roman" w:cs="Times New Roman"/>
                <w:sz w:val="24"/>
              </w:rPr>
              <w:t>M1320</w:t>
            </w:r>
          </w:p>
        </w:tc>
        <w:tc>
          <w:tcPr>
            <w:tcW w:w="4241" w:type="dxa"/>
            <w:tcBorders>
              <w:top w:val="nil"/>
              <w:left w:val="nil"/>
              <w:bottom w:val="single" w:sz="4" w:space="0" w:color="auto"/>
              <w:right w:val="single" w:sz="8" w:space="0" w:color="auto"/>
            </w:tcBorders>
            <w:tcMar>
              <w:top w:w="0" w:type="dxa"/>
              <w:left w:w="108" w:type="dxa"/>
              <w:bottom w:w="0" w:type="dxa"/>
              <w:right w:w="108" w:type="dxa"/>
            </w:tcMar>
            <w:hideMark/>
          </w:tcPr>
          <w:p w:rsidR="00FB3FC8" w:rsidRPr="003632E7" w:rsidRDefault="00C96EBC">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Beginning parenthesis but</w:t>
            </w:r>
            <w:r w:rsidR="00FB3FC8" w:rsidRPr="003632E7">
              <w:rPr>
                <w:rFonts w:ascii="Times New Roman" w:hAnsi="Times New Roman" w:cs="Times New Roman"/>
                <w:sz w:val="24"/>
              </w:rPr>
              <w:t xml:space="preserve"> no end parenthesis at end of item stem.</w:t>
            </w:r>
          </w:p>
        </w:tc>
        <w:tc>
          <w:tcPr>
            <w:tcW w:w="4140" w:type="dxa"/>
            <w:tcBorders>
              <w:top w:val="nil"/>
              <w:left w:val="nil"/>
              <w:bottom w:val="single" w:sz="4" w:space="0" w:color="auto"/>
              <w:right w:val="single" w:sz="8" w:space="0" w:color="auto"/>
            </w:tcBorders>
            <w:tcMar>
              <w:top w:w="0" w:type="dxa"/>
              <w:left w:w="108" w:type="dxa"/>
              <w:bottom w:w="0" w:type="dxa"/>
              <w:right w:w="108" w:type="dxa"/>
            </w:tcMar>
            <w:hideMark/>
          </w:tcPr>
          <w:p w:rsidR="003632E7" w:rsidRPr="003632E7" w:rsidRDefault="00FB3FC8" w:rsidP="00844A3C">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End parenthesis placed after “dressing/device” at end of item stem</w:t>
            </w:r>
          </w:p>
        </w:tc>
        <w:tc>
          <w:tcPr>
            <w:tcW w:w="4132" w:type="dxa"/>
            <w:tcBorders>
              <w:top w:val="nil"/>
              <w:left w:val="nil"/>
              <w:bottom w:val="single" w:sz="4" w:space="0" w:color="auto"/>
              <w:right w:val="single" w:sz="8" w:space="0" w:color="auto"/>
            </w:tcBorders>
            <w:tcMar>
              <w:top w:w="0" w:type="dxa"/>
              <w:left w:w="58" w:type="dxa"/>
              <w:bottom w:w="0" w:type="dxa"/>
              <w:right w:w="29" w:type="dxa"/>
            </w:tcMar>
            <w:hideMark/>
          </w:tcPr>
          <w:p w:rsidR="00FB3FC8" w:rsidRPr="003632E7" w:rsidRDefault="00FB3FC8">
            <w:pPr>
              <w:pStyle w:val="ListParagraph"/>
              <w:spacing w:after="200" w:line="276" w:lineRule="auto"/>
              <w:ind w:left="0"/>
              <w:contextualSpacing/>
              <w:rPr>
                <w:rFonts w:ascii="Times New Roman" w:hAnsi="Times New Roman" w:cs="Times New Roman"/>
                <w:sz w:val="24"/>
              </w:rPr>
            </w:pPr>
            <w:r w:rsidRPr="003632E7">
              <w:rPr>
                <w:rFonts w:ascii="Times New Roman" w:hAnsi="Times New Roman" w:cs="Times New Roman"/>
                <w:sz w:val="24"/>
              </w:rPr>
              <w:t>End parenthesis mistakenly omitted.</w:t>
            </w:r>
          </w:p>
        </w:tc>
      </w:tr>
      <w:tr w:rsidR="00844A3C" w:rsidRPr="00480FF0" w:rsidTr="00D526BF">
        <w:trPr>
          <w:cantSplit/>
        </w:trPr>
        <w:tc>
          <w:tcPr>
            <w:tcW w:w="11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44A3C" w:rsidRPr="003632E7" w:rsidRDefault="00C93C3B">
            <w:pPr>
              <w:pStyle w:val="ListParagraph"/>
              <w:spacing w:after="200" w:line="276" w:lineRule="auto"/>
              <w:ind w:left="0"/>
              <w:contextualSpacing/>
              <w:jc w:val="center"/>
              <w:rPr>
                <w:rFonts w:ascii="Times New Roman" w:hAnsi="Times New Roman" w:cs="Times New Roman"/>
                <w:sz w:val="24"/>
              </w:rPr>
            </w:pPr>
            <w:r>
              <w:rPr>
                <w:rFonts w:ascii="Times New Roman" w:hAnsi="Times New Roman" w:cs="Times New Roman"/>
                <w:sz w:val="24"/>
              </w:rPr>
              <w:t>Multiple Items</w:t>
            </w:r>
          </w:p>
        </w:tc>
        <w:tc>
          <w:tcPr>
            <w:tcW w:w="424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44A3C" w:rsidRPr="003632E7" w:rsidRDefault="00C93C3B" w:rsidP="00C93C3B">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“F</w:t>
            </w:r>
            <w:r w:rsidR="00844A3C">
              <w:rPr>
                <w:rFonts w:ascii="Times New Roman" w:hAnsi="Times New Roman" w:cs="Times New Roman"/>
                <w:sz w:val="24"/>
              </w:rPr>
              <w:t>or example” appears numerous times followed by a colon.</w:t>
            </w:r>
          </w:p>
        </w:tc>
        <w:tc>
          <w:tcPr>
            <w:tcW w:w="41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44A3C" w:rsidRPr="003632E7" w:rsidRDefault="00844A3C">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Replaced each instance of “for example” followed by a colon, with “for example” followed by a comma.</w:t>
            </w:r>
          </w:p>
        </w:tc>
        <w:tc>
          <w:tcPr>
            <w:tcW w:w="4132" w:type="dxa"/>
            <w:tcBorders>
              <w:top w:val="single" w:sz="4" w:space="0" w:color="auto"/>
              <w:left w:val="nil"/>
              <w:bottom w:val="single" w:sz="4" w:space="0" w:color="auto"/>
              <w:right w:val="single" w:sz="8" w:space="0" w:color="auto"/>
            </w:tcBorders>
            <w:tcMar>
              <w:top w:w="0" w:type="dxa"/>
              <w:left w:w="58" w:type="dxa"/>
              <w:bottom w:w="0" w:type="dxa"/>
              <w:right w:w="29" w:type="dxa"/>
            </w:tcMar>
          </w:tcPr>
          <w:p w:rsidR="00844A3C" w:rsidRPr="003632E7" w:rsidRDefault="00844A3C">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It is grammatically more correct to use a comma after the phrase “for example.”</w:t>
            </w:r>
          </w:p>
        </w:tc>
      </w:tr>
      <w:tr w:rsidR="00D526BF" w:rsidRPr="00480FF0" w:rsidTr="00844A3C">
        <w:trPr>
          <w:cantSplit/>
        </w:trPr>
        <w:tc>
          <w:tcPr>
            <w:tcW w:w="11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526BF" w:rsidRDefault="00D526BF">
            <w:pPr>
              <w:pStyle w:val="ListParagraph"/>
              <w:spacing w:after="200" w:line="276" w:lineRule="auto"/>
              <w:ind w:left="0"/>
              <w:contextualSpacing/>
              <w:jc w:val="center"/>
              <w:rPr>
                <w:rFonts w:ascii="Times New Roman" w:hAnsi="Times New Roman" w:cs="Times New Roman"/>
                <w:sz w:val="24"/>
              </w:rPr>
            </w:pPr>
            <w:r>
              <w:rPr>
                <w:rFonts w:ascii="Times New Roman" w:hAnsi="Times New Roman" w:cs="Times New Roman"/>
                <w:sz w:val="24"/>
              </w:rPr>
              <w:t>Multiple Items</w:t>
            </w:r>
          </w:p>
        </w:tc>
        <w:tc>
          <w:tcPr>
            <w:tcW w:w="424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526BF" w:rsidRDefault="00D526BF" w:rsidP="00C34342">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 xml:space="preserve">Spacing and font of skip instructions, e.g., </w:t>
            </w:r>
            <w:r>
              <w:rPr>
                <w:rFonts w:ascii="Arial Unicode MS" w:eastAsia="Arial Unicode MS" w:hAnsi="Arial Unicode MS" w:cs="Arial Unicode MS"/>
                <w:b/>
                <w:bCs/>
                <w:szCs w:val="18"/>
              </w:rPr>
              <w:t>[</w:t>
            </w:r>
            <w:r w:rsidRPr="00127B66">
              <w:rPr>
                <w:rFonts w:ascii="Arial Unicode MS" w:eastAsia="Arial Unicode MS" w:hAnsi="Arial Unicode MS" w:cs="Arial Unicode MS"/>
                <w:b/>
                <w:bCs/>
                <w:i/>
                <w:szCs w:val="18"/>
              </w:rPr>
              <w:t>Go to M2010</w:t>
            </w:r>
            <w:r w:rsidRPr="00796701">
              <w:rPr>
                <w:rFonts w:ascii="Arial Unicode MS" w:eastAsia="Arial Unicode MS" w:hAnsi="Arial Unicode MS" w:cs="Arial Unicode MS"/>
                <w:b/>
                <w:bCs/>
                <w:szCs w:val="18"/>
              </w:rPr>
              <w:t xml:space="preserve"> ]</w:t>
            </w:r>
            <w:r w:rsidR="00C34342">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vary among items.</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526BF" w:rsidRDefault="00D526BF">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Edited font and spacing to make consistent throughout the document.</w:t>
            </w:r>
          </w:p>
        </w:tc>
        <w:tc>
          <w:tcPr>
            <w:tcW w:w="4132" w:type="dxa"/>
            <w:tcBorders>
              <w:top w:val="single" w:sz="4" w:space="0" w:color="auto"/>
              <w:left w:val="nil"/>
              <w:bottom w:val="single" w:sz="8" w:space="0" w:color="auto"/>
              <w:right w:val="single" w:sz="8" w:space="0" w:color="auto"/>
            </w:tcBorders>
            <w:tcMar>
              <w:top w:w="0" w:type="dxa"/>
              <w:left w:w="58" w:type="dxa"/>
              <w:bottom w:w="0" w:type="dxa"/>
              <w:right w:w="29" w:type="dxa"/>
            </w:tcMar>
          </w:tcPr>
          <w:p w:rsidR="00D526BF" w:rsidRDefault="00D526BF" w:rsidP="00D526BF">
            <w:pPr>
              <w:pStyle w:val="ListParagraph"/>
              <w:spacing w:after="200" w:line="276" w:lineRule="auto"/>
              <w:ind w:left="0"/>
              <w:contextualSpacing/>
              <w:rPr>
                <w:rFonts w:ascii="Times New Roman" w:hAnsi="Times New Roman" w:cs="Times New Roman"/>
                <w:sz w:val="24"/>
              </w:rPr>
            </w:pPr>
            <w:r>
              <w:rPr>
                <w:rFonts w:ascii="Times New Roman" w:hAnsi="Times New Roman" w:cs="Times New Roman"/>
                <w:sz w:val="24"/>
              </w:rPr>
              <w:t>Document is more readable if consistent formats are used throughout.</w:t>
            </w:r>
          </w:p>
        </w:tc>
      </w:tr>
    </w:tbl>
    <w:p w:rsidR="00FB3FC8" w:rsidRPr="00480FF0" w:rsidRDefault="00FB3FC8" w:rsidP="00D526BF">
      <w:pPr>
        <w:rPr>
          <w:rFonts w:ascii="Times New Roman" w:hAnsi="Times New Roman" w:cs="Times New Roman"/>
        </w:rPr>
      </w:pPr>
    </w:p>
    <w:sectPr w:rsidR="00FB3FC8" w:rsidRPr="00480FF0" w:rsidSect="00FB3FC8">
      <w:headerReference w:type="default" r:id="rId8"/>
      <w:footerReference w:type="default" r:id="rId9"/>
      <w:pgSz w:w="15840" w:h="12240" w:orient="landscape"/>
      <w:pgMar w:top="576"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C8" w:rsidRDefault="00FB3FC8" w:rsidP="00FB3FC8">
      <w:r>
        <w:separator/>
      </w:r>
    </w:p>
  </w:endnote>
  <w:endnote w:type="continuationSeparator" w:id="0">
    <w:p w:rsidR="00FB3FC8" w:rsidRDefault="00FB3FC8" w:rsidP="00FB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4"/>
      </w:rPr>
      <w:id w:val="-1574883256"/>
      <w:docPartObj>
        <w:docPartGallery w:val="Page Numbers (Bottom of Page)"/>
        <w:docPartUnique/>
      </w:docPartObj>
    </w:sdtPr>
    <w:sdtEndPr/>
    <w:sdtContent>
      <w:sdt>
        <w:sdtPr>
          <w:rPr>
            <w:b/>
            <w:sz w:val="24"/>
          </w:rPr>
          <w:id w:val="-1669238322"/>
          <w:docPartObj>
            <w:docPartGallery w:val="Page Numbers (Top of Page)"/>
            <w:docPartUnique/>
          </w:docPartObj>
        </w:sdtPr>
        <w:sdtEndPr/>
        <w:sdtContent>
          <w:p w:rsidR="00480FF0" w:rsidRPr="00D75EE7" w:rsidRDefault="00EC393D" w:rsidP="00D75EE7">
            <w:pPr>
              <w:pStyle w:val="Footer"/>
              <w:ind w:firstLine="4320"/>
              <w:rPr>
                <w:b/>
                <w:sz w:val="24"/>
              </w:rPr>
            </w:pPr>
            <w:r w:rsidRPr="00D75EE7">
              <w:rPr>
                <w:b/>
                <w:sz w:val="24"/>
              </w:rPr>
              <w:t>Attachment B</w:t>
            </w:r>
            <w:r w:rsidR="00D75EE7" w:rsidRPr="00D75EE7">
              <w:rPr>
                <w:b/>
                <w:sz w:val="24"/>
              </w:rPr>
              <w:t xml:space="preserve"> / </w:t>
            </w:r>
            <w:r w:rsidR="00480FF0" w:rsidRPr="00D75EE7">
              <w:rPr>
                <w:b/>
                <w:sz w:val="24"/>
              </w:rPr>
              <w:t xml:space="preserve">Page </w:t>
            </w:r>
            <w:r w:rsidR="00480FF0" w:rsidRPr="00D75EE7">
              <w:rPr>
                <w:b/>
                <w:bCs/>
                <w:sz w:val="28"/>
                <w:szCs w:val="24"/>
              </w:rPr>
              <w:fldChar w:fldCharType="begin"/>
            </w:r>
            <w:r w:rsidR="00480FF0" w:rsidRPr="00D75EE7">
              <w:rPr>
                <w:b/>
                <w:bCs/>
                <w:sz w:val="24"/>
              </w:rPr>
              <w:instrText xml:space="preserve"> PAGE </w:instrText>
            </w:r>
            <w:r w:rsidR="00480FF0" w:rsidRPr="00D75EE7">
              <w:rPr>
                <w:b/>
                <w:bCs/>
                <w:sz w:val="28"/>
                <w:szCs w:val="24"/>
              </w:rPr>
              <w:fldChar w:fldCharType="separate"/>
            </w:r>
            <w:r w:rsidR="00FE259B">
              <w:rPr>
                <w:b/>
                <w:bCs/>
                <w:noProof/>
                <w:sz w:val="24"/>
              </w:rPr>
              <w:t>2</w:t>
            </w:r>
            <w:r w:rsidR="00480FF0" w:rsidRPr="00D75EE7">
              <w:rPr>
                <w:b/>
                <w:bCs/>
                <w:sz w:val="28"/>
                <w:szCs w:val="24"/>
              </w:rPr>
              <w:fldChar w:fldCharType="end"/>
            </w:r>
            <w:r w:rsidR="00480FF0" w:rsidRPr="00D75EE7">
              <w:rPr>
                <w:b/>
                <w:sz w:val="24"/>
              </w:rPr>
              <w:t xml:space="preserve"> of </w:t>
            </w:r>
            <w:r w:rsidR="00480FF0" w:rsidRPr="00D75EE7">
              <w:rPr>
                <w:b/>
                <w:bCs/>
                <w:sz w:val="28"/>
                <w:szCs w:val="24"/>
              </w:rPr>
              <w:fldChar w:fldCharType="begin"/>
            </w:r>
            <w:r w:rsidR="00480FF0" w:rsidRPr="00D75EE7">
              <w:rPr>
                <w:b/>
                <w:bCs/>
                <w:sz w:val="24"/>
              </w:rPr>
              <w:instrText xml:space="preserve"> NUMPAGES  </w:instrText>
            </w:r>
            <w:r w:rsidR="00480FF0" w:rsidRPr="00D75EE7">
              <w:rPr>
                <w:b/>
                <w:bCs/>
                <w:sz w:val="28"/>
                <w:szCs w:val="24"/>
              </w:rPr>
              <w:fldChar w:fldCharType="separate"/>
            </w:r>
            <w:r w:rsidR="00FE259B">
              <w:rPr>
                <w:b/>
                <w:bCs/>
                <w:noProof/>
                <w:sz w:val="24"/>
              </w:rPr>
              <w:t>3</w:t>
            </w:r>
            <w:r w:rsidR="00480FF0" w:rsidRPr="00D75EE7">
              <w:rPr>
                <w:b/>
                <w:bCs/>
                <w:sz w:val="28"/>
                <w:szCs w:val="24"/>
              </w:rPr>
              <w:fldChar w:fldCharType="end"/>
            </w:r>
          </w:p>
        </w:sdtContent>
      </w:sdt>
    </w:sdtContent>
  </w:sdt>
  <w:p w:rsidR="00480FF0" w:rsidRDefault="00480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C8" w:rsidRDefault="00FB3FC8" w:rsidP="00FB3FC8">
      <w:r>
        <w:separator/>
      </w:r>
    </w:p>
  </w:footnote>
  <w:footnote w:type="continuationSeparator" w:id="0">
    <w:p w:rsidR="00FB3FC8" w:rsidRDefault="00FB3FC8" w:rsidP="00FB3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43C58178674A4AC2A373CF7D3955452A"/>
      </w:placeholder>
      <w:dataBinding w:prefixMappings="xmlns:ns0='http://schemas.openxmlformats.org/package/2006/metadata/core-properties' xmlns:ns1='http://purl.org/dc/elements/1.1/'" w:xpath="/ns0:coreProperties[1]/ns1:title[1]" w:storeItemID="{6C3C8BC8-F283-45AE-878A-BAB7291924A1}"/>
      <w:text/>
    </w:sdtPr>
    <w:sdtEndPr/>
    <w:sdtContent>
      <w:p w:rsidR="00FB3FC8" w:rsidRDefault="008E228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Table of Changes </w:t>
        </w:r>
        <w:r w:rsidR="00FB3FC8" w:rsidRPr="00FB3FC8">
          <w:rPr>
            <w:rFonts w:asciiTheme="majorHAnsi" w:eastAsiaTheme="majorEastAsia" w:hAnsiTheme="majorHAnsi" w:cstheme="majorBidi"/>
            <w:sz w:val="32"/>
            <w:szCs w:val="32"/>
          </w:rPr>
          <w:t xml:space="preserve">to OASIS-C1 to </w:t>
        </w:r>
        <w:r w:rsidR="00D2606A">
          <w:rPr>
            <w:rFonts w:asciiTheme="majorHAnsi" w:eastAsiaTheme="majorEastAsia" w:hAnsiTheme="majorHAnsi" w:cstheme="majorBidi"/>
            <w:sz w:val="32"/>
            <w:szCs w:val="32"/>
          </w:rPr>
          <w:t>Create “OASIS-C1</w:t>
        </w:r>
        <w:r w:rsidR="00664DD4">
          <w:rPr>
            <w:rFonts w:asciiTheme="majorHAnsi" w:eastAsiaTheme="majorEastAsia" w:hAnsiTheme="majorHAnsi" w:cstheme="majorBidi"/>
            <w:sz w:val="32"/>
            <w:szCs w:val="32"/>
          </w:rPr>
          <w:t>/</w:t>
        </w:r>
        <w:r w:rsidR="00FB3FC8" w:rsidRPr="00FB3FC8">
          <w:rPr>
            <w:rFonts w:asciiTheme="majorHAnsi" w:eastAsiaTheme="majorEastAsia" w:hAnsiTheme="majorHAnsi" w:cstheme="majorBidi"/>
            <w:sz w:val="32"/>
            <w:szCs w:val="32"/>
          </w:rPr>
          <w:t>ICD-9 Version”</w:t>
        </w:r>
      </w:p>
    </w:sdtContent>
  </w:sdt>
  <w:p w:rsidR="00FB3FC8" w:rsidRDefault="00FB3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332B1"/>
    <w:multiLevelType w:val="hybridMultilevel"/>
    <w:tmpl w:val="0E9251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C8"/>
    <w:rsid w:val="003632E7"/>
    <w:rsid w:val="00384C6F"/>
    <w:rsid w:val="00480FF0"/>
    <w:rsid w:val="00551EBB"/>
    <w:rsid w:val="00664DD4"/>
    <w:rsid w:val="007759A9"/>
    <w:rsid w:val="00844A3C"/>
    <w:rsid w:val="008E228C"/>
    <w:rsid w:val="00A6398D"/>
    <w:rsid w:val="00BF03EC"/>
    <w:rsid w:val="00C34342"/>
    <w:rsid w:val="00C93252"/>
    <w:rsid w:val="00C93C3B"/>
    <w:rsid w:val="00C96EBC"/>
    <w:rsid w:val="00CA40D1"/>
    <w:rsid w:val="00D2606A"/>
    <w:rsid w:val="00D526BF"/>
    <w:rsid w:val="00D75EE7"/>
    <w:rsid w:val="00E02962"/>
    <w:rsid w:val="00EC393D"/>
    <w:rsid w:val="00EF2263"/>
    <w:rsid w:val="00FB3FC8"/>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C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FC8"/>
    <w:pPr>
      <w:ind w:left="720"/>
    </w:pPr>
  </w:style>
  <w:style w:type="paragraph" w:styleId="Header">
    <w:name w:val="header"/>
    <w:basedOn w:val="Normal"/>
    <w:link w:val="HeaderChar"/>
    <w:uiPriority w:val="99"/>
    <w:unhideWhenUsed/>
    <w:rsid w:val="00FB3FC8"/>
    <w:pPr>
      <w:tabs>
        <w:tab w:val="center" w:pos="4680"/>
        <w:tab w:val="right" w:pos="9360"/>
      </w:tabs>
    </w:pPr>
  </w:style>
  <w:style w:type="character" w:customStyle="1" w:styleId="HeaderChar">
    <w:name w:val="Header Char"/>
    <w:basedOn w:val="DefaultParagraphFont"/>
    <w:link w:val="Header"/>
    <w:uiPriority w:val="99"/>
    <w:rsid w:val="00FB3FC8"/>
    <w:rPr>
      <w:rFonts w:ascii="Calibri" w:hAnsi="Calibri" w:cs="Calibri"/>
    </w:rPr>
  </w:style>
  <w:style w:type="paragraph" w:styleId="Footer">
    <w:name w:val="footer"/>
    <w:basedOn w:val="Normal"/>
    <w:link w:val="FooterChar"/>
    <w:uiPriority w:val="99"/>
    <w:unhideWhenUsed/>
    <w:rsid w:val="00FB3FC8"/>
    <w:pPr>
      <w:tabs>
        <w:tab w:val="center" w:pos="4680"/>
        <w:tab w:val="right" w:pos="9360"/>
      </w:tabs>
    </w:pPr>
  </w:style>
  <w:style w:type="character" w:customStyle="1" w:styleId="FooterChar">
    <w:name w:val="Footer Char"/>
    <w:basedOn w:val="DefaultParagraphFont"/>
    <w:link w:val="Footer"/>
    <w:uiPriority w:val="99"/>
    <w:rsid w:val="00FB3FC8"/>
    <w:rPr>
      <w:rFonts w:ascii="Calibri" w:hAnsi="Calibri" w:cs="Calibri"/>
    </w:rPr>
  </w:style>
  <w:style w:type="paragraph" w:styleId="BalloonText">
    <w:name w:val="Balloon Text"/>
    <w:basedOn w:val="Normal"/>
    <w:link w:val="BalloonTextChar"/>
    <w:uiPriority w:val="99"/>
    <w:semiHidden/>
    <w:unhideWhenUsed/>
    <w:rsid w:val="00FB3FC8"/>
    <w:rPr>
      <w:rFonts w:ascii="Tahoma" w:hAnsi="Tahoma" w:cs="Tahoma"/>
      <w:sz w:val="16"/>
      <w:szCs w:val="16"/>
    </w:rPr>
  </w:style>
  <w:style w:type="character" w:customStyle="1" w:styleId="BalloonTextChar">
    <w:name w:val="Balloon Text Char"/>
    <w:basedOn w:val="DefaultParagraphFont"/>
    <w:link w:val="BalloonText"/>
    <w:uiPriority w:val="99"/>
    <w:semiHidden/>
    <w:rsid w:val="00FB3F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C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FC8"/>
    <w:pPr>
      <w:ind w:left="720"/>
    </w:pPr>
  </w:style>
  <w:style w:type="paragraph" w:styleId="Header">
    <w:name w:val="header"/>
    <w:basedOn w:val="Normal"/>
    <w:link w:val="HeaderChar"/>
    <w:uiPriority w:val="99"/>
    <w:unhideWhenUsed/>
    <w:rsid w:val="00FB3FC8"/>
    <w:pPr>
      <w:tabs>
        <w:tab w:val="center" w:pos="4680"/>
        <w:tab w:val="right" w:pos="9360"/>
      </w:tabs>
    </w:pPr>
  </w:style>
  <w:style w:type="character" w:customStyle="1" w:styleId="HeaderChar">
    <w:name w:val="Header Char"/>
    <w:basedOn w:val="DefaultParagraphFont"/>
    <w:link w:val="Header"/>
    <w:uiPriority w:val="99"/>
    <w:rsid w:val="00FB3FC8"/>
    <w:rPr>
      <w:rFonts w:ascii="Calibri" w:hAnsi="Calibri" w:cs="Calibri"/>
    </w:rPr>
  </w:style>
  <w:style w:type="paragraph" w:styleId="Footer">
    <w:name w:val="footer"/>
    <w:basedOn w:val="Normal"/>
    <w:link w:val="FooterChar"/>
    <w:uiPriority w:val="99"/>
    <w:unhideWhenUsed/>
    <w:rsid w:val="00FB3FC8"/>
    <w:pPr>
      <w:tabs>
        <w:tab w:val="center" w:pos="4680"/>
        <w:tab w:val="right" w:pos="9360"/>
      </w:tabs>
    </w:pPr>
  </w:style>
  <w:style w:type="character" w:customStyle="1" w:styleId="FooterChar">
    <w:name w:val="Footer Char"/>
    <w:basedOn w:val="DefaultParagraphFont"/>
    <w:link w:val="Footer"/>
    <w:uiPriority w:val="99"/>
    <w:rsid w:val="00FB3FC8"/>
    <w:rPr>
      <w:rFonts w:ascii="Calibri" w:hAnsi="Calibri" w:cs="Calibri"/>
    </w:rPr>
  </w:style>
  <w:style w:type="paragraph" w:styleId="BalloonText">
    <w:name w:val="Balloon Text"/>
    <w:basedOn w:val="Normal"/>
    <w:link w:val="BalloonTextChar"/>
    <w:uiPriority w:val="99"/>
    <w:semiHidden/>
    <w:unhideWhenUsed/>
    <w:rsid w:val="00FB3FC8"/>
    <w:rPr>
      <w:rFonts w:ascii="Tahoma" w:hAnsi="Tahoma" w:cs="Tahoma"/>
      <w:sz w:val="16"/>
      <w:szCs w:val="16"/>
    </w:rPr>
  </w:style>
  <w:style w:type="character" w:customStyle="1" w:styleId="BalloonTextChar">
    <w:name w:val="Balloon Text Char"/>
    <w:basedOn w:val="DefaultParagraphFont"/>
    <w:link w:val="BalloonText"/>
    <w:uiPriority w:val="99"/>
    <w:semiHidden/>
    <w:rsid w:val="00FB3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C58178674A4AC2A373CF7D3955452A"/>
        <w:category>
          <w:name w:val="General"/>
          <w:gallery w:val="placeholder"/>
        </w:category>
        <w:types>
          <w:type w:val="bbPlcHdr"/>
        </w:types>
        <w:behaviors>
          <w:behavior w:val="content"/>
        </w:behaviors>
        <w:guid w:val="{45890440-3CE1-4873-BC2A-2DE44A6449D5}"/>
      </w:docPartPr>
      <w:docPartBody>
        <w:p w:rsidR="005D4805" w:rsidRDefault="0046721A" w:rsidP="0046721A">
          <w:pPr>
            <w:pStyle w:val="43C58178674A4AC2A373CF7D3955452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1A"/>
    <w:rsid w:val="0046721A"/>
    <w:rsid w:val="005D4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C58178674A4AC2A373CF7D3955452A">
    <w:name w:val="43C58178674A4AC2A373CF7D3955452A"/>
    <w:rsid w:val="004672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C58178674A4AC2A373CF7D3955452A">
    <w:name w:val="43C58178674A4AC2A373CF7D3955452A"/>
    <w:rsid w:val="00467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Table of Changes to OASIS-C1 to Create “OASIS-C1/ICD-9 Version”</vt:lpstr>
    </vt:vector>
  </TitlesOfParts>
  <Company>CMS</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to OASIS-C1 to Create “OASIS-C1/ICD-9 Version”</dc:title>
  <dc:creator>CAROLINE GALLAHER</dc:creator>
  <cp:lastModifiedBy>CAROLINE GALLAHER</cp:lastModifiedBy>
  <cp:revision>6</cp:revision>
  <cp:lastPrinted>2014-08-05T17:58:00Z</cp:lastPrinted>
  <dcterms:created xsi:type="dcterms:W3CDTF">2014-08-05T17:54:00Z</dcterms:created>
  <dcterms:modified xsi:type="dcterms:W3CDTF">2014-08-05T17:58:00Z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