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29" w:rsidRDefault="00D66D29" w:rsidP="00D66D29">
      <w:pPr>
        <w:rPr>
          <w:b/>
        </w:rPr>
      </w:pPr>
      <w:bookmarkStart w:id="0" w:name="_GoBack"/>
      <w:bookmarkEnd w:id="0"/>
    </w:p>
    <w:p w:rsidR="00D66D29" w:rsidRDefault="00D66D29" w:rsidP="00D42A01">
      <w:pPr>
        <w:jc w:val="center"/>
        <w:rPr>
          <w:b/>
        </w:rPr>
      </w:pPr>
    </w:p>
    <w:p w:rsidR="00D66D29" w:rsidRDefault="00D66D29" w:rsidP="00F47615">
      <w:pPr>
        <w:rPr>
          <w:b/>
        </w:rPr>
      </w:pPr>
    </w:p>
    <w:p w:rsidR="00FA3D30" w:rsidRPr="00AD4665" w:rsidRDefault="00FA3D30" w:rsidP="00F47615">
      <w:pPr>
        <w:rPr>
          <w:b/>
        </w:rPr>
      </w:pPr>
      <w:r w:rsidRPr="00AD4665">
        <w:rPr>
          <w:b/>
        </w:rPr>
        <w:t>Epidemiologic Study of Health Effects Associated With Low Pressure Events in Drinking Water Distribution Systems</w:t>
      </w:r>
    </w:p>
    <w:p w:rsidR="00FA3D30" w:rsidRPr="00AD4665" w:rsidRDefault="00FA3D30" w:rsidP="0031176C"/>
    <w:p w:rsidR="00CE58E3" w:rsidRPr="00AD4665" w:rsidRDefault="00CE58E3" w:rsidP="0031176C">
      <w:pPr>
        <w:pStyle w:val="NoSpacing"/>
        <w:spacing w:line="276" w:lineRule="auto"/>
        <w:rPr>
          <w:rFonts w:ascii="Times New Roman" w:hAnsi="Times New Roman" w:cs="Times New Roman"/>
          <w:b/>
          <w:sz w:val="24"/>
          <w:szCs w:val="24"/>
        </w:rPr>
      </w:pPr>
      <w:r w:rsidRPr="00AD4665">
        <w:rPr>
          <w:rFonts w:ascii="Times New Roman" w:hAnsi="Times New Roman" w:cs="Times New Roman"/>
          <w:b/>
          <w:sz w:val="24"/>
          <w:szCs w:val="24"/>
        </w:rPr>
        <w:t>OMB Control Number: 0920-0960</w:t>
      </w:r>
    </w:p>
    <w:p w:rsidR="00C04089" w:rsidRPr="00AD4665" w:rsidRDefault="00C04089" w:rsidP="0031176C">
      <w:pPr>
        <w:pStyle w:val="NoSpacing"/>
        <w:spacing w:line="276" w:lineRule="auto"/>
        <w:rPr>
          <w:rFonts w:ascii="Times New Roman" w:hAnsi="Times New Roman" w:cs="Times New Roman"/>
          <w:b/>
          <w:sz w:val="24"/>
          <w:szCs w:val="24"/>
        </w:rPr>
      </w:pPr>
      <w:r w:rsidRPr="00AD4665">
        <w:rPr>
          <w:rFonts w:ascii="Times New Roman" w:hAnsi="Times New Roman" w:cs="Times New Roman"/>
          <w:b/>
          <w:sz w:val="24"/>
          <w:szCs w:val="24"/>
        </w:rPr>
        <w:t>Expiration Date: 03/31/2016</w:t>
      </w:r>
    </w:p>
    <w:p w:rsidR="00FA3D30" w:rsidRPr="00AD4665" w:rsidRDefault="00FA3D30" w:rsidP="0031176C">
      <w:pPr>
        <w:rPr>
          <w:b/>
        </w:rPr>
      </w:pPr>
    </w:p>
    <w:p w:rsidR="002108FD" w:rsidRPr="00AD4665" w:rsidRDefault="002108FD" w:rsidP="0031176C">
      <w:pPr>
        <w:rPr>
          <w:b/>
        </w:rPr>
      </w:pPr>
      <w:r w:rsidRPr="00AD4665">
        <w:rPr>
          <w:b/>
        </w:rPr>
        <w:t>Non-substantive Change Request</w:t>
      </w:r>
    </w:p>
    <w:p w:rsidR="00D66D29" w:rsidRPr="00AD4665" w:rsidRDefault="00D66D29" w:rsidP="0031176C">
      <w:pPr>
        <w:rPr>
          <w:b/>
        </w:rPr>
      </w:pPr>
    </w:p>
    <w:p w:rsidR="00D66D29" w:rsidRPr="00AD4665" w:rsidRDefault="00D66D29" w:rsidP="0031176C">
      <w:pPr>
        <w:rPr>
          <w:b/>
        </w:rPr>
      </w:pPr>
      <w:r w:rsidRPr="00AD4665">
        <w:rPr>
          <w:b/>
        </w:rPr>
        <w:t xml:space="preserve">Part </w:t>
      </w:r>
      <w:r w:rsidR="00D42A01" w:rsidRPr="00AD4665">
        <w:rPr>
          <w:b/>
        </w:rPr>
        <w:t>B</w:t>
      </w:r>
    </w:p>
    <w:p w:rsidR="002108FD" w:rsidRPr="00AD4665" w:rsidRDefault="002108FD" w:rsidP="00FA3D30"/>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D66D29" w:rsidRPr="00AD4665" w:rsidRDefault="00D66D29" w:rsidP="002108FD"/>
    <w:p w:rsidR="002108FD" w:rsidRPr="00AD4665" w:rsidRDefault="002108FD" w:rsidP="002108FD">
      <w:pPr>
        <w:rPr>
          <w:b/>
        </w:rPr>
      </w:pPr>
      <w:r w:rsidRPr="00AD4665">
        <w:rPr>
          <w:b/>
        </w:rPr>
        <w:t>Contact:</w:t>
      </w:r>
    </w:p>
    <w:p w:rsidR="002108FD" w:rsidRPr="00AD4665" w:rsidRDefault="002108FD" w:rsidP="002108FD">
      <w:r w:rsidRPr="00AD4665">
        <w:t>Julia Gargano, PhD</w:t>
      </w:r>
      <w:r w:rsidRPr="00AD4665">
        <w:br/>
        <w:t>Epidemiologist, Waterborne Disease Prevention Branch</w:t>
      </w:r>
      <w:r w:rsidRPr="00AD4665">
        <w:br/>
        <w:t xml:space="preserve">National Center for Emerging and Zoonotic Infectious Diseases </w:t>
      </w:r>
      <w:r w:rsidRPr="00AD4665">
        <w:br/>
        <w:t>Centers for Disease Control and Prevention</w:t>
      </w:r>
      <w:r w:rsidRPr="00AD4665">
        <w:br/>
        <w:t>Mailstop C-09</w:t>
      </w:r>
      <w:r w:rsidRPr="00AD4665">
        <w:br/>
        <w:t>1600 Clifton Rd. NE</w:t>
      </w:r>
      <w:r w:rsidRPr="00AD4665">
        <w:br/>
        <w:t xml:space="preserve">Atlanta, GA 30333 </w:t>
      </w:r>
    </w:p>
    <w:p w:rsidR="002108FD" w:rsidRPr="00AD4665" w:rsidRDefault="002108FD" w:rsidP="002108FD">
      <w:r w:rsidRPr="00AD4665">
        <w:t>Tel: 404-718-4893</w:t>
      </w:r>
      <w:r w:rsidRPr="00AD4665">
        <w:br/>
        <w:t>Fax: 404-639-2205</w:t>
      </w:r>
      <w:r w:rsidRPr="00AD4665">
        <w:br/>
        <w:t xml:space="preserve">E-mail: </w:t>
      </w:r>
      <w:hyperlink r:id="rId8" w:history="1">
        <w:r w:rsidRPr="00AD4665">
          <w:rPr>
            <w:rStyle w:val="Hyperlink"/>
          </w:rPr>
          <w:t>jgargano@cdc.gov</w:t>
        </w:r>
      </w:hyperlink>
    </w:p>
    <w:p w:rsidR="002108FD" w:rsidRPr="00AD4665" w:rsidRDefault="002108FD" w:rsidP="00FA3D30"/>
    <w:p w:rsidR="007B17DE" w:rsidRPr="00AD4665" w:rsidRDefault="00D66D29" w:rsidP="00D42A01">
      <w:pPr>
        <w:sectPr w:rsidR="007B17DE" w:rsidRPr="00AD4665">
          <w:headerReference w:type="default" r:id="rId9"/>
          <w:pgSz w:w="12240" w:h="15840"/>
          <w:pgMar w:top="1440" w:right="1440" w:bottom="1440" w:left="1440" w:header="720" w:footer="720" w:gutter="0"/>
          <w:cols w:space="720"/>
          <w:docGrid w:linePitch="360"/>
        </w:sectPr>
      </w:pPr>
      <w:r w:rsidRPr="00AD4665">
        <w:br w:type="page"/>
      </w:r>
    </w:p>
    <w:p w:rsidR="009E4A24" w:rsidRPr="00AD4665" w:rsidRDefault="009E4A24" w:rsidP="00FA3D30">
      <w:pPr>
        <w:rPr>
          <w:b/>
          <w:u w:val="single"/>
        </w:rPr>
      </w:pPr>
    </w:p>
    <w:sdt>
      <w:sdtPr>
        <w:rPr>
          <w:rFonts w:ascii="Times New Roman" w:eastAsia="Times New Roman" w:hAnsi="Times New Roman" w:cs="Times New Roman"/>
          <w:b w:val="0"/>
          <w:bCs w:val="0"/>
          <w:color w:val="auto"/>
          <w:sz w:val="24"/>
          <w:szCs w:val="22"/>
          <w:lang w:eastAsia="en-US"/>
        </w:rPr>
        <w:id w:val="-2133091591"/>
        <w:docPartObj>
          <w:docPartGallery w:val="Table of Contents"/>
          <w:docPartUnique/>
        </w:docPartObj>
      </w:sdtPr>
      <w:sdtEndPr>
        <w:rPr>
          <w:noProof/>
        </w:rPr>
      </w:sdtEndPr>
      <w:sdtContent>
        <w:p w:rsidR="009E4A24" w:rsidRPr="00AD4665" w:rsidRDefault="009E4A24">
          <w:pPr>
            <w:pStyle w:val="TOCHeading"/>
            <w:rPr>
              <w:rFonts w:ascii="Times New Roman" w:hAnsi="Times New Roman" w:cs="Times New Roman"/>
              <w:color w:val="auto"/>
              <w:sz w:val="24"/>
              <w:szCs w:val="24"/>
            </w:rPr>
          </w:pPr>
          <w:r w:rsidRPr="00AD4665">
            <w:rPr>
              <w:rFonts w:ascii="Times New Roman" w:hAnsi="Times New Roman" w:cs="Times New Roman"/>
              <w:color w:val="auto"/>
              <w:sz w:val="24"/>
              <w:szCs w:val="24"/>
            </w:rPr>
            <w:t xml:space="preserve">Table of Contents: Part B </w:t>
          </w:r>
        </w:p>
        <w:p w:rsidR="009E4A24" w:rsidRPr="00AD4665" w:rsidRDefault="009E4A24" w:rsidP="009E4A24">
          <w:pPr>
            <w:pStyle w:val="TOC1"/>
            <w:rPr>
              <w:rFonts w:asciiTheme="minorHAnsi" w:eastAsiaTheme="minorEastAsia" w:hAnsiTheme="minorHAnsi" w:cstheme="minorBidi"/>
              <w:noProof/>
              <w:sz w:val="22"/>
            </w:rPr>
          </w:pPr>
          <w:r w:rsidRPr="00AD4665">
            <w:fldChar w:fldCharType="begin"/>
          </w:r>
          <w:r w:rsidRPr="00AD4665">
            <w:instrText xml:space="preserve"> TOC \o "1-3" \h \z \u </w:instrText>
          </w:r>
          <w:r w:rsidRPr="00AD4665">
            <w:fldChar w:fldCharType="separate"/>
          </w:r>
          <w:hyperlink w:anchor="_Toc398033088" w:history="1">
            <w:r w:rsidRPr="00AD4665">
              <w:rPr>
                <w:rStyle w:val="Hyperlink"/>
                <w:noProof/>
              </w:rPr>
              <w:t>Respondent Universe and Sampling Methods</w:t>
            </w:r>
            <w:r w:rsidRPr="00AD4665">
              <w:rPr>
                <w:noProof/>
                <w:webHidden/>
              </w:rPr>
              <w:tab/>
            </w:r>
            <w:r w:rsidRPr="00AD4665">
              <w:rPr>
                <w:noProof/>
                <w:webHidden/>
              </w:rPr>
              <w:fldChar w:fldCharType="begin"/>
            </w:r>
            <w:r w:rsidRPr="00AD4665">
              <w:rPr>
                <w:noProof/>
                <w:webHidden/>
              </w:rPr>
              <w:instrText xml:space="preserve"> PAGEREF _Toc398033088 \h </w:instrText>
            </w:r>
            <w:r w:rsidRPr="00AD4665">
              <w:rPr>
                <w:noProof/>
                <w:webHidden/>
              </w:rPr>
            </w:r>
            <w:r w:rsidRPr="00AD4665">
              <w:rPr>
                <w:noProof/>
                <w:webHidden/>
              </w:rPr>
              <w:fldChar w:fldCharType="separate"/>
            </w:r>
            <w:r w:rsidR="003A7CEE" w:rsidRPr="00AD4665">
              <w:rPr>
                <w:noProof/>
                <w:webHidden/>
              </w:rPr>
              <w:t>2</w:t>
            </w:r>
            <w:r w:rsidRPr="00AD4665">
              <w:rPr>
                <w:noProof/>
                <w:webHidden/>
              </w:rPr>
              <w:fldChar w:fldCharType="end"/>
            </w:r>
          </w:hyperlink>
        </w:p>
        <w:p w:rsidR="009E4A24" w:rsidRPr="00AD4665" w:rsidRDefault="009E4A24" w:rsidP="009E4A24">
          <w:pPr>
            <w:pStyle w:val="TOC1"/>
            <w:rPr>
              <w:rFonts w:asciiTheme="minorHAnsi" w:eastAsiaTheme="minorEastAsia" w:hAnsiTheme="minorHAnsi" w:cstheme="minorBidi"/>
              <w:noProof/>
              <w:sz w:val="22"/>
            </w:rPr>
          </w:pPr>
          <w:hyperlink w:anchor="_Toc398033089" w:history="1">
            <w:r w:rsidRPr="00AD4665">
              <w:rPr>
                <w:rStyle w:val="Hyperlink"/>
                <w:noProof/>
              </w:rPr>
              <w:t>Procedures for the Collection of Information</w:t>
            </w:r>
            <w:r w:rsidRPr="00AD4665">
              <w:rPr>
                <w:noProof/>
                <w:webHidden/>
              </w:rPr>
              <w:tab/>
            </w:r>
            <w:r w:rsidRPr="00AD4665">
              <w:rPr>
                <w:noProof/>
                <w:webHidden/>
              </w:rPr>
              <w:fldChar w:fldCharType="begin"/>
            </w:r>
            <w:r w:rsidRPr="00AD4665">
              <w:rPr>
                <w:noProof/>
                <w:webHidden/>
              </w:rPr>
              <w:instrText xml:space="preserve"> PAGEREF _Toc398033089 \h </w:instrText>
            </w:r>
            <w:r w:rsidRPr="00AD4665">
              <w:rPr>
                <w:noProof/>
                <w:webHidden/>
              </w:rPr>
            </w:r>
            <w:r w:rsidRPr="00AD4665">
              <w:rPr>
                <w:noProof/>
                <w:webHidden/>
              </w:rPr>
              <w:fldChar w:fldCharType="separate"/>
            </w:r>
            <w:r w:rsidR="003A7CEE" w:rsidRPr="00AD4665">
              <w:rPr>
                <w:noProof/>
                <w:webHidden/>
              </w:rPr>
              <w:t>3</w:t>
            </w:r>
            <w:r w:rsidRPr="00AD4665">
              <w:rPr>
                <w:noProof/>
                <w:webHidden/>
              </w:rPr>
              <w:fldChar w:fldCharType="end"/>
            </w:r>
          </w:hyperlink>
        </w:p>
        <w:p w:rsidR="009E4A24" w:rsidRPr="00AD4665" w:rsidRDefault="009E4A24" w:rsidP="009E4A24">
          <w:pPr>
            <w:pStyle w:val="TOC1"/>
            <w:rPr>
              <w:rFonts w:asciiTheme="minorHAnsi" w:eastAsiaTheme="minorEastAsia" w:hAnsiTheme="minorHAnsi" w:cstheme="minorBidi"/>
              <w:noProof/>
              <w:sz w:val="22"/>
            </w:rPr>
          </w:pPr>
          <w:hyperlink w:anchor="_Toc398033090" w:history="1">
            <w:r w:rsidRPr="00AD4665">
              <w:rPr>
                <w:rStyle w:val="Hyperlink"/>
                <w:noProof/>
              </w:rPr>
              <w:t>Methods to Maximize Response Rates and Deal with Non-response</w:t>
            </w:r>
            <w:r w:rsidRPr="00AD4665">
              <w:rPr>
                <w:noProof/>
                <w:webHidden/>
              </w:rPr>
              <w:tab/>
            </w:r>
            <w:r w:rsidRPr="00AD4665">
              <w:rPr>
                <w:noProof/>
                <w:webHidden/>
              </w:rPr>
              <w:fldChar w:fldCharType="begin"/>
            </w:r>
            <w:r w:rsidRPr="00AD4665">
              <w:rPr>
                <w:noProof/>
                <w:webHidden/>
              </w:rPr>
              <w:instrText xml:space="preserve"> PAGEREF _Toc398033090 \h </w:instrText>
            </w:r>
            <w:r w:rsidRPr="00AD4665">
              <w:rPr>
                <w:noProof/>
                <w:webHidden/>
              </w:rPr>
            </w:r>
            <w:r w:rsidRPr="00AD4665">
              <w:rPr>
                <w:noProof/>
                <w:webHidden/>
              </w:rPr>
              <w:fldChar w:fldCharType="separate"/>
            </w:r>
            <w:r w:rsidR="003A7CEE" w:rsidRPr="00AD4665">
              <w:rPr>
                <w:noProof/>
                <w:webHidden/>
              </w:rPr>
              <w:t>5</w:t>
            </w:r>
            <w:r w:rsidRPr="00AD4665">
              <w:rPr>
                <w:noProof/>
                <w:webHidden/>
              </w:rPr>
              <w:fldChar w:fldCharType="end"/>
            </w:r>
          </w:hyperlink>
        </w:p>
        <w:p w:rsidR="009E4A24" w:rsidRPr="00AD4665" w:rsidRDefault="009E4A24" w:rsidP="009E4A24">
          <w:pPr>
            <w:pStyle w:val="TOC1"/>
            <w:rPr>
              <w:rFonts w:asciiTheme="minorHAnsi" w:eastAsiaTheme="minorEastAsia" w:hAnsiTheme="minorHAnsi" w:cstheme="minorBidi"/>
              <w:noProof/>
              <w:sz w:val="22"/>
            </w:rPr>
          </w:pPr>
          <w:hyperlink w:anchor="_Toc398033091" w:history="1">
            <w:r w:rsidRPr="00AD4665">
              <w:rPr>
                <w:rStyle w:val="Hyperlink"/>
                <w:noProof/>
              </w:rPr>
              <w:t>Tests of Procedures or Methods to be Undertaken</w:t>
            </w:r>
            <w:r w:rsidRPr="00AD4665">
              <w:rPr>
                <w:noProof/>
                <w:webHidden/>
              </w:rPr>
              <w:tab/>
            </w:r>
            <w:r w:rsidRPr="00AD4665">
              <w:rPr>
                <w:noProof/>
                <w:webHidden/>
              </w:rPr>
              <w:fldChar w:fldCharType="begin"/>
            </w:r>
            <w:r w:rsidRPr="00AD4665">
              <w:rPr>
                <w:noProof/>
                <w:webHidden/>
              </w:rPr>
              <w:instrText xml:space="preserve"> PAGEREF _Toc398033091 \h </w:instrText>
            </w:r>
            <w:r w:rsidRPr="00AD4665">
              <w:rPr>
                <w:noProof/>
                <w:webHidden/>
              </w:rPr>
            </w:r>
            <w:r w:rsidRPr="00AD4665">
              <w:rPr>
                <w:noProof/>
                <w:webHidden/>
              </w:rPr>
              <w:fldChar w:fldCharType="separate"/>
            </w:r>
            <w:r w:rsidR="003A7CEE" w:rsidRPr="00AD4665">
              <w:rPr>
                <w:noProof/>
                <w:webHidden/>
              </w:rPr>
              <w:t>6</w:t>
            </w:r>
            <w:r w:rsidRPr="00AD4665">
              <w:rPr>
                <w:noProof/>
                <w:webHidden/>
              </w:rPr>
              <w:fldChar w:fldCharType="end"/>
            </w:r>
          </w:hyperlink>
        </w:p>
        <w:p w:rsidR="009E4A24" w:rsidRPr="00AD4665" w:rsidRDefault="009E4A24" w:rsidP="009E4A24">
          <w:pPr>
            <w:pStyle w:val="TOC1"/>
            <w:rPr>
              <w:rFonts w:asciiTheme="minorHAnsi" w:eastAsiaTheme="minorEastAsia" w:hAnsiTheme="minorHAnsi" w:cstheme="minorBidi"/>
              <w:noProof/>
              <w:sz w:val="22"/>
            </w:rPr>
          </w:pPr>
          <w:hyperlink w:anchor="_Toc398033092" w:history="1">
            <w:r w:rsidRPr="00AD4665">
              <w:rPr>
                <w:rStyle w:val="Hyperlink"/>
                <w:noProof/>
              </w:rPr>
              <w:t>Individuals Consulted on Statistical Aspects and Individuals Collecting and/or Analyzing Data</w:t>
            </w:r>
            <w:r w:rsidRPr="00AD4665">
              <w:rPr>
                <w:noProof/>
                <w:webHidden/>
              </w:rPr>
              <w:tab/>
            </w:r>
            <w:r w:rsidRPr="00AD4665">
              <w:rPr>
                <w:noProof/>
                <w:webHidden/>
              </w:rPr>
              <w:fldChar w:fldCharType="begin"/>
            </w:r>
            <w:r w:rsidRPr="00AD4665">
              <w:rPr>
                <w:noProof/>
                <w:webHidden/>
              </w:rPr>
              <w:instrText xml:space="preserve"> PAGEREF _Toc398033092 \h </w:instrText>
            </w:r>
            <w:r w:rsidRPr="00AD4665">
              <w:rPr>
                <w:noProof/>
                <w:webHidden/>
              </w:rPr>
            </w:r>
            <w:r w:rsidRPr="00AD4665">
              <w:rPr>
                <w:noProof/>
                <w:webHidden/>
              </w:rPr>
              <w:fldChar w:fldCharType="separate"/>
            </w:r>
            <w:r w:rsidR="003A7CEE" w:rsidRPr="00AD4665">
              <w:rPr>
                <w:noProof/>
                <w:webHidden/>
              </w:rPr>
              <w:t>6</w:t>
            </w:r>
            <w:r w:rsidRPr="00AD4665">
              <w:rPr>
                <w:noProof/>
                <w:webHidden/>
              </w:rPr>
              <w:fldChar w:fldCharType="end"/>
            </w:r>
          </w:hyperlink>
        </w:p>
        <w:p w:rsidR="009E4A24" w:rsidRPr="00AD4665" w:rsidRDefault="009E4A24">
          <w:r w:rsidRPr="00AD4665">
            <w:rPr>
              <w:b/>
              <w:bCs/>
              <w:noProof/>
            </w:rPr>
            <w:fldChar w:fldCharType="end"/>
          </w:r>
        </w:p>
      </w:sdtContent>
    </w:sdt>
    <w:p w:rsidR="007F342F" w:rsidRPr="00AD4665" w:rsidRDefault="007F342F" w:rsidP="007F342F">
      <w:pPr>
        <w:rPr>
          <w:b/>
          <w:szCs w:val="24"/>
        </w:rPr>
      </w:pPr>
      <w:r w:rsidRPr="00AD4665">
        <w:rPr>
          <w:b/>
          <w:szCs w:val="24"/>
        </w:rPr>
        <w:t xml:space="preserve">List of Reference Attachments </w:t>
      </w:r>
    </w:p>
    <w:p w:rsidR="007F342F" w:rsidRPr="00AD4665" w:rsidRDefault="007F342F" w:rsidP="007F342F">
      <w:pPr>
        <w:pStyle w:val="ListParagraph"/>
        <w:numPr>
          <w:ilvl w:val="0"/>
          <w:numId w:val="12"/>
        </w:numPr>
        <w:spacing w:after="200" w:line="276" w:lineRule="auto"/>
        <w:rPr>
          <w:szCs w:val="24"/>
        </w:rPr>
      </w:pPr>
      <w:r w:rsidRPr="00AD4665">
        <w:rPr>
          <w:szCs w:val="24"/>
        </w:rPr>
        <w:t>Authorizing Legislation</w:t>
      </w:r>
    </w:p>
    <w:p w:rsidR="007F342F" w:rsidRPr="00AD4665" w:rsidRDefault="007F342F" w:rsidP="007F342F">
      <w:pPr>
        <w:pStyle w:val="ListParagraph"/>
        <w:numPr>
          <w:ilvl w:val="0"/>
          <w:numId w:val="12"/>
        </w:numPr>
        <w:spacing w:after="200" w:line="276" w:lineRule="auto"/>
        <w:rPr>
          <w:szCs w:val="24"/>
        </w:rPr>
      </w:pPr>
      <w:r w:rsidRPr="00AD4665">
        <w:rPr>
          <w:szCs w:val="24"/>
        </w:rPr>
        <w:t>60 day Federal Register Notice</w:t>
      </w:r>
    </w:p>
    <w:p w:rsidR="007F342F" w:rsidRPr="00AD4665" w:rsidRDefault="007F342F" w:rsidP="007F342F">
      <w:pPr>
        <w:pStyle w:val="ListParagraph"/>
        <w:numPr>
          <w:ilvl w:val="0"/>
          <w:numId w:val="12"/>
        </w:numPr>
        <w:spacing w:after="200" w:line="276" w:lineRule="auto"/>
        <w:rPr>
          <w:szCs w:val="24"/>
        </w:rPr>
      </w:pPr>
      <w:r w:rsidRPr="00AD4665">
        <w:rPr>
          <w:szCs w:val="24"/>
        </w:rPr>
        <w:t>Pilot Evaluation Logical Framework</w:t>
      </w:r>
    </w:p>
    <w:p w:rsidR="007F342F" w:rsidRPr="00AD4665" w:rsidRDefault="007F342F" w:rsidP="007F342F">
      <w:pPr>
        <w:pStyle w:val="ListParagraph"/>
        <w:numPr>
          <w:ilvl w:val="0"/>
          <w:numId w:val="12"/>
        </w:numPr>
        <w:spacing w:after="200" w:line="276" w:lineRule="auto"/>
        <w:rPr>
          <w:szCs w:val="24"/>
        </w:rPr>
      </w:pPr>
      <w:r w:rsidRPr="00AD4665">
        <w:rPr>
          <w:szCs w:val="24"/>
        </w:rPr>
        <w:t>Reminder Phone Script (revised)</w:t>
      </w:r>
    </w:p>
    <w:p w:rsidR="007F342F" w:rsidRPr="00AD4665" w:rsidRDefault="007F342F" w:rsidP="007F342F">
      <w:pPr>
        <w:pStyle w:val="ListParagraph"/>
        <w:numPr>
          <w:ilvl w:val="0"/>
          <w:numId w:val="12"/>
        </w:numPr>
        <w:spacing w:after="200" w:line="276" w:lineRule="auto"/>
        <w:rPr>
          <w:szCs w:val="24"/>
        </w:rPr>
      </w:pPr>
      <w:r w:rsidRPr="00AD4665">
        <w:rPr>
          <w:szCs w:val="24"/>
        </w:rPr>
        <w:t>IRB Approval Continuation</w:t>
      </w:r>
    </w:p>
    <w:p w:rsidR="007F342F" w:rsidRPr="00AD4665" w:rsidRDefault="007F342F" w:rsidP="007F342F">
      <w:pPr>
        <w:pStyle w:val="ListParagraph"/>
        <w:numPr>
          <w:ilvl w:val="0"/>
          <w:numId w:val="12"/>
        </w:numPr>
        <w:spacing w:after="200" w:line="276" w:lineRule="auto"/>
        <w:rPr>
          <w:szCs w:val="24"/>
        </w:rPr>
      </w:pPr>
      <w:r w:rsidRPr="00AD4665">
        <w:rPr>
          <w:szCs w:val="24"/>
        </w:rPr>
        <w:t>Cover Letter – E-mail (revised)</w:t>
      </w:r>
    </w:p>
    <w:p w:rsidR="007F342F" w:rsidRPr="00AD4665" w:rsidRDefault="007F342F" w:rsidP="007F342F">
      <w:pPr>
        <w:pStyle w:val="ListParagraph"/>
        <w:numPr>
          <w:ilvl w:val="0"/>
          <w:numId w:val="12"/>
        </w:numPr>
        <w:spacing w:after="200" w:line="276" w:lineRule="auto"/>
        <w:rPr>
          <w:szCs w:val="24"/>
        </w:rPr>
      </w:pPr>
      <w:r w:rsidRPr="00AD4665">
        <w:rPr>
          <w:szCs w:val="24"/>
        </w:rPr>
        <w:t>Low Pressure Event Form (revised)</w:t>
      </w:r>
    </w:p>
    <w:p w:rsidR="007F342F" w:rsidRPr="00AD4665" w:rsidRDefault="007F342F" w:rsidP="007F342F">
      <w:pPr>
        <w:pStyle w:val="ListParagraph"/>
        <w:numPr>
          <w:ilvl w:val="0"/>
          <w:numId w:val="12"/>
        </w:numPr>
        <w:spacing w:after="200" w:line="276" w:lineRule="auto"/>
        <w:rPr>
          <w:szCs w:val="24"/>
        </w:rPr>
      </w:pPr>
      <w:r w:rsidRPr="00AD4665">
        <w:rPr>
          <w:szCs w:val="24"/>
        </w:rPr>
        <w:t>Utility Customer Information (revised)</w:t>
      </w:r>
    </w:p>
    <w:p w:rsidR="007F342F" w:rsidRPr="00AD4665" w:rsidRDefault="007F342F" w:rsidP="007F342F">
      <w:pPr>
        <w:pStyle w:val="ListParagraph"/>
        <w:numPr>
          <w:ilvl w:val="0"/>
          <w:numId w:val="12"/>
        </w:numPr>
        <w:spacing w:after="200" w:line="276" w:lineRule="auto"/>
        <w:rPr>
          <w:szCs w:val="24"/>
        </w:rPr>
      </w:pPr>
      <w:r w:rsidRPr="00AD4665">
        <w:rPr>
          <w:szCs w:val="24"/>
        </w:rPr>
        <w:t>Advance Letter (revised)</w:t>
      </w:r>
    </w:p>
    <w:p w:rsidR="007F342F" w:rsidRPr="00AD4665" w:rsidRDefault="007F342F" w:rsidP="007F342F">
      <w:pPr>
        <w:pStyle w:val="ListParagraph"/>
        <w:numPr>
          <w:ilvl w:val="0"/>
          <w:numId w:val="12"/>
        </w:numPr>
        <w:spacing w:after="200" w:line="276" w:lineRule="auto"/>
        <w:rPr>
          <w:szCs w:val="24"/>
        </w:rPr>
      </w:pPr>
      <w:r w:rsidRPr="00AD4665">
        <w:rPr>
          <w:szCs w:val="24"/>
        </w:rPr>
        <w:t>Cover Letter – Paper</w:t>
      </w:r>
    </w:p>
    <w:p w:rsidR="007F342F" w:rsidRPr="00AD4665" w:rsidRDefault="007F342F" w:rsidP="007F342F">
      <w:pPr>
        <w:pStyle w:val="ListParagraph"/>
        <w:numPr>
          <w:ilvl w:val="0"/>
          <w:numId w:val="12"/>
        </w:numPr>
        <w:spacing w:after="200" w:line="276" w:lineRule="auto"/>
        <w:rPr>
          <w:szCs w:val="24"/>
        </w:rPr>
      </w:pPr>
      <w:r w:rsidRPr="00AD4665">
        <w:rPr>
          <w:szCs w:val="24"/>
        </w:rPr>
        <w:t>Consent Brochure</w:t>
      </w:r>
    </w:p>
    <w:p w:rsidR="007F342F" w:rsidRPr="00AD4665" w:rsidRDefault="007F342F" w:rsidP="007F342F">
      <w:pPr>
        <w:pStyle w:val="ListParagraph"/>
        <w:numPr>
          <w:ilvl w:val="0"/>
          <w:numId w:val="12"/>
        </w:numPr>
        <w:spacing w:after="200" w:line="276" w:lineRule="auto"/>
        <w:rPr>
          <w:szCs w:val="24"/>
        </w:rPr>
      </w:pPr>
      <w:r w:rsidRPr="00AD4665">
        <w:rPr>
          <w:szCs w:val="24"/>
        </w:rPr>
        <w:t>CDC Water and Health Study – Household (revised) paper version</w:t>
      </w:r>
    </w:p>
    <w:p w:rsidR="007F342F" w:rsidRPr="00AD4665" w:rsidRDefault="007F342F" w:rsidP="007F342F">
      <w:pPr>
        <w:pStyle w:val="ListParagraph"/>
        <w:numPr>
          <w:ilvl w:val="0"/>
          <w:numId w:val="12"/>
        </w:numPr>
        <w:spacing w:after="200" w:line="276" w:lineRule="auto"/>
        <w:rPr>
          <w:szCs w:val="24"/>
        </w:rPr>
      </w:pPr>
      <w:r w:rsidRPr="00AD4665">
        <w:rPr>
          <w:szCs w:val="24"/>
        </w:rPr>
        <w:t>CDC Water and Health Study –  Household (revised) web version – Screen Shots</w:t>
      </w:r>
    </w:p>
    <w:p w:rsidR="007F342F" w:rsidRPr="00AD4665" w:rsidRDefault="007F342F" w:rsidP="007F342F">
      <w:pPr>
        <w:pStyle w:val="ListParagraph"/>
        <w:numPr>
          <w:ilvl w:val="0"/>
          <w:numId w:val="12"/>
        </w:numPr>
        <w:spacing w:after="200" w:line="276" w:lineRule="auto"/>
        <w:rPr>
          <w:szCs w:val="24"/>
        </w:rPr>
      </w:pPr>
      <w:r w:rsidRPr="00AD4665">
        <w:rPr>
          <w:szCs w:val="24"/>
        </w:rPr>
        <w:t>Thank you/Reminder Letter</w:t>
      </w:r>
    </w:p>
    <w:p w:rsidR="007F342F" w:rsidRPr="00AD4665" w:rsidRDefault="007F342F" w:rsidP="007F342F">
      <w:pPr>
        <w:pStyle w:val="ListParagraph"/>
        <w:numPr>
          <w:ilvl w:val="0"/>
          <w:numId w:val="12"/>
        </w:numPr>
        <w:spacing w:after="200" w:line="276" w:lineRule="auto"/>
        <w:rPr>
          <w:szCs w:val="24"/>
        </w:rPr>
      </w:pPr>
      <w:r w:rsidRPr="00AD4665">
        <w:rPr>
          <w:szCs w:val="24"/>
        </w:rPr>
        <w:t>Replacement Survey Cover Letter</w:t>
      </w:r>
    </w:p>
    <w:p w:rsidR="007F342F" w:rsidRPr="00AD4665" w:rsidRDefault="007F342F" w:rsidP="007F342F">
      <w:pPr>
        <w:pStyle w:val="ListParagraph"/>
        <w:numPr>
          <w:ilvl w:val="0"/>
          <w:numId w:val="12"/>
        </w:numPr>
        <w:spacing w:after="200" w:line="276" w:lineRule="auto"/>
        <w:rPr>
          <w:szCs w:val="24"/>
        </w:rPr>
      </w:pPr>
      <w:r w:rsidRPr="00AD4665">
        <w:rPr>
          <w:szCs w:val="24"/>
        </w:rPr>
        <w:t>Final Appeal Letter</w:t>
      </w:r>
    </w:p>
    <w:p w:rsidR="007F342F" w:rsidRPr="00AD4665" w:rsidRDefault="007F342F" w:rsidP="007F342F">
      <w:pPr>
        <w:pStyle w:val="ListParagraph"/>
        <w:numPr>
          <w:ilvl w:val="0"/>
          <w:numId w:val="12"/>
        </w:numPr>
        <w:spacing w:after="200" w:line="276" w:lineRule="auto"/>
        <w:rPr>
          <w:szCs w:val="24"/>
        </w:rPr>
      </w:pPr>
      <w:r w:rsidRPr="00AD4665">
        <w:rPr>
          <w:szCs w:val="24"/>
        </w:rPr>
        <w:t>Notice of Action</w:t>
      </w:r>
    </w:p>
    <w:p w:rsidR="009E4A24" w:rsidRPr="00AD4665" w:rsidRDefault="009E4A24">
      <w:pPr>
        <w:spacing w:after="200" w:line="276" w:lineRule="auto"/>
        <w:rPr>
          <w:b/>
          <w:u w:val="single"/>
        </w:rPr>
      </w:pPr>
    </w:p>
    <w:p w:rsidR="00FA3D30" w:rsidRPr="00AD4665" w:rsidRDefault="00FA3D30" w:rsidP="00FA3D30">
      <w:r w:rsidRPr="00AD4665">
        <w:rPr>
          <w:b/>
          <w:u w:val="single"/>
        </w:rPr>
        <w:t>B. Collections of Information Employing Statistical Methods</w:t>
      </w:r>
    </w:p>
    <w:p w:rsidR="00FA3D30" w:rsidRPr="00AD4665" w:rsidRDefault="00FA3D30" w:rsidP="00FA3D30"/>
    <w:p w:rsidR="00FA3D30" w:rsidRPr="00AD4665" w:rsidRDefault="00FA3D30" w:rsidP="009E4A24">
      <w:pPr>
        <w:pStyle w:val="Heading1"/>
        <w:numPr>
          <w:ilvl w:val="0"/>
          <w:numId w:val="10"/>
        </w:numPr>
        <w:rPr>
          <w:rFonts w:ascii="Times New Roman" w:hAnsi="Times New Roman" w:cs="Times New Roman"/>
          <w:color w:val="auto"/>
          <w:sz w:val="24"/>
          <w:szCs w:val="24"/>
        </w:rPr>
      </w:pPr>
      <w:bookmarkStart w:id="1" w:name="_Toc398033088"/>
      <w:r w:rsidRPr="00AD4665">
        <w:rPr>
          <w:rFonts w:ascii="Times New Roman" w:hAnsi="Times New Roman" w:cs="Times New Roman"/>
          <w:color w:val="auto"/>
          <w:sz w:val="24"/>
          <w:szCs w:val="24"/>
        </w:rPr>
        <w:t>Respondent Universe and Sampling Methods</w:t>
      </w:r>
      <w:bookmarkEnd w:id="1"/>
    </w:p>
    <w:p w:rsidR="00415F73" w:rsidRPr="00AD4665" w:rsidRDefault="000F7F83" w:rsidP="00415F73">
      <w:r w:rsidRPr="00AD4665">
        <w:t>The p</w:t>
      </w:r>
      <w:r w:rsidR="00415F73" w:rsidRPr="00AD4665">
        <w:t xml:space="preserve">ilot demonstrated the feasibility of the study design and survey methods. The customer service lists were a reliable source of contact information, with deliverable addresses available for 98% of contacted households. The pilot survey response rate of 37% was comparable to recent CDC surveys about waterborne illnesses. A CDC survey that was administered after a community-wide drinking water outbreak used water utility billing information to contact households for a postal survey and attained a 33% response rate </w:t>
      </w:r>
      <w:r w:rsidR="00415F73" w:rsidRPr="00AD4665">
        <w:rPr>
          <w:noProof/>
        </w:rPr>
        <w:t xml:space="preserve">(Ailes et al., 2013). A CDC and </w:t>
      </w:r>
      <w:r w:rsidR="00415F73" w:rsidRPr="00AD4665">
        <w:rPr>
          <w:noProof/>
        </w:rPr>
        <w:lastRenderedPageBreak/>
        <w:t xml:space="preserve">National Park Service survey about illness, including AGI, and injury among backcountry travelers attained a 39% response rate among respondents that consented to participate prior to the survey administration; respondents specified a preferred method of either e-mail or postal contact, and researchers implemented a multiple contact strategy </w:t>
      </w:r>
      <w:r w:rsidR="00415F73" w:rsidRPr="00AD4665">
        <w:t>(</w:t>
      </w:r>
      <w:proofErr w:type="spellStart"/>
      <w:r w:rsidR="00415F73" w:rsidRPr="00AD4665">
        <w:t>Rajasingham</w:t>
      </w:r>
      <w:proofErr w:type="spellEnd"/>
      <w:r w:rsidR="00415F73" w:rsidRPr="00AD4665">
        <w:t xml:space="preserve"> et al., 2013). Additionally, the pilot survey response rate was similar to a series of population studies on gastrointestinal illness and drinking water consumption patterns in Canada, in which researchers used a similar strategy of selecting random samples of households from contact lists, first contacting households with an advance letter, and then utilizing a multiple contact strategy, although these studies used a telephone mode of survey administration (44%) </w:t>
      </w:r>
      <w:r w:rsidR="00415F73" w:rsidRPr="00AD4665">
        <w:rPr>
          <w:noProof/>
        </w:rPr>
        <w:t>(Jones et al., 2007; Thomas et al., 2006)</w:t>
      </w:r>
      <w:r w:rsidR="00415F73" w:rsidRPr="00AD4665">
        <w:t xml:space="preserve">. The strategy of cold contacting random samples of water utility customers by mail was resource efficient compared to conducting in-person interviews; however, the trade-off might have been a lower response rate. Higher response rates are more likely to be achieved in in-person interviews (59%) </w:t>
      </w:r>
      <w:r w:rsidR="00415F73" w:rsidRPr="00AD4665">
        <w:rPr>
          <w:noProof/>
        </w:rPr>
        <w:t>(Arnold et al., 2013)</w:t>
      </w:r>
      <w:r w:rsidR="00415F73" w:rsidRPr="00AD4665">
        <w:t>. The goal for the full study is to reach a 60% response rate to ensure generalizability of findings and to provide enough statistical power to conduct stratified analyses by utility disinfectant type.</w:t>
      </w:r>
      <w:r w:rsidRPr="00AD4665">
        <w:t xml:space="preserve"> See section B.3 for a discussion on methods for improving the anticipated response rates.</w:t>
      </w:r>
    </w:p>
    <w:p w:rsidR="000F7F83" w:rsidRPr="00AD4665" w:rsidRDefault="000F7F83" w:rsidP="00415F73"/>
    <w:p w:rsidR="005A4D75" w:rsidRPr="00AD4665" w:rsidRDefault="000F7F83" w:rsidP="00415F73">
      <w:r w:rsidRPr="00AD4665">
        <w:t>The power calculations were not changed following the pilot.</w:t>
      </w:r>
      <w:r w:rsidR="005A4D75" w:rsidRPr="00AD4665">
        <w:t xml:space="preserve"> </w:t>
      </w:r>
    </w:p>
    <w:p w:rsidR="00FA3D30" w:rsidRPr="00AD4665" w:rsidRDefault="00FA3D30" w:rsidP="009E4A24">
      <w:pPr>
        <w:pStyle w:val="Heading1"/>
        <w:rPr>
          <w:rFonts w:ascii="Times New Roman" w:hAnsi="Times New Roman" w:cs="Times New Roman"/>
          <w:color w:val="auto"/>
          <w:sz w:val="24"/>
          <w:szCs w:val="24"/>
        </w:rPr>
      </w:pPr>
      <w:bookmarkStart w:id="2" w:name="_Toc398033089"/>
      <w:r w:rsidRPr="00AD4665">
        <w:rPr>
          <w:rFonts w:ascii="Times New Roman" w:hAnsi="Times New Roman" w:cs="Times New Roman"/>
          <w:color w:val="auto"/>
          <w:sz w:val="24"/>
          <w:szCs w:val="24"/>
        </w:rPr>
        <w:t>2. Procedures for the Collection of Information</w:t>
      </w:r>
      <w:bookmarkEnd w:id="2"/>
      <w:r w:rsidRPr="00AD4665">
        <w:rPr>
          <w:rFonts w:ascii="Times New Roman" w:hAnsi="Times New Roman" w:cs="Times New Roman"/>
          <w:color w:val="auto"/>
          <w:sz w:val="24"/>
          <w:szCs w:val="24"/>
        </w:rPr>
        <w:t xml:space="preserve"> </w:t>
      </w:r>
    </w:p>
    <w:p w:rsidR="00FA3D30" w:rsidRPr="00AD4665" w:rsidRDefault="00FA3D30" w:rsidP="008A4B31">
      <w:pPr>
        <w:ind w:left="720"/>
        <w:rPr>
          <w:b/>
          <w:bCs/>
        </w:rPr>
      </w:pPr>
      <w:r w:rsidRPr="00AD4665">
        <w:rPr>
          <w:b/>
          <w:bCs/>
        </w:rPr>
        <w:t>2.1  Methods</w:t>
      </w:r>
    </w:p>
    <w:p w:rsidR="000E19E3" w:rsidRPr="00AD4665" w:rsidRDefault="0007783C" w:rsidP="0007783C">
      <w:r w:rsidRPr="00AD4665">
        <w:t>The study design and protocols were piloted at one utility site and evaluated by CDC; the evaluation was used to streamline and improve the study processes, protocol, and materials. During the LPE, water utility personnel completed a standard LPE form describing the event and repair process. The utility collected water samples from exposed (low pressure) and unexposed (normal pressure) areas. Households in exposed and similar but unexposed areas were mailed a questionnaire about recent illness symptoms, household water exposures, and other risk factors to assess the increased risk associated with the LPEs.</w:t>
      </w:r>
    </w:p>
    <w:p w:rsidR="0007783C" w:rsidRPr="00AD4665" w:rsidRDefault="0007783C" w:rsidP="0007783C">
      <w:r w:rsidRPr="00AD4665">
        <w:t xml:space="preserve"> </w:t>
      </w:r>
    </w:p>
    <w:p w:rsidR="0007783C" w:rsidRPr="00AD4665" w:rsidRDefault="0007783C" w:rsidP="0007783C">
      <w:r w:rsidRPr="00AD4665">
        <w:t>The study team collected field and laboratory data from the six LPEs from December 2013 to March 2014. Data collection for the household survey administration was completed in May 2014. A total of 646 households were contacted, LPE forms were completed for each event, and 24 ultrafiltration water samples and 36 grab samples were collected and analyzed. Data were collected and stored securely in several databases, housed at CDC. LPE form data were summarized to assess the usability of the form, data quality, and burden of work for the utility</w:t>
      </w:r>
      <w:r w:rsidR="00BE5512" w:rsidRPr="00AD4665">
        <w:t xml:space="preserve"> (see Attachment G </w:t>
      </w:r>
      <w:r w:rsidR="00D81951" w:rsidRPr="00AD4665">
        <w:t>for revised LPE form)</w:t>
      </w:r>
      <w:r w:rsidRPr="00AD4665">
        <w:t>. Survey data were summarized using descriptive percentages of both household-level and individual-level data to assess data quality and completeness.</w:t>
      </w:r>
    </w:p>
    <w:p w:rsidR="0007783C" w:rsidRPr="00AD4665" w:rsidRDefault="0007783C" w:rsidP="008A4B31">
      <w:pPr>
        <w:ind w:left="720"/>
        <w:rPr>
          <w:b/>
          <w:bCs/>
        </w:rPr>
      </w:pPr>
    </w:p>
    <w:p w:rsidR="00FA3D30" w:rsidRPr="00AD4665" w:rsidRDefault="00FA3D30" w:rsidP="008A4B31">
      <w:pPr>
        <w:ind w:left="720"/>
        <w:rPr>
          <w:bCs/>
        </w:rPr>
      </w:pPr>
      <w:r w:rsidRPr="00AD4665">
        <w:rPr>
          <w:bCs/>
        </w:rPr>
        <w:t>2.1.1  Identification of Potential Study Participants</w:t>
      </w:r>
      <w:r w:rsidR="00C326F2" w:rsidRPr="00AD4665">
        <w:rPr>
          <w:bCs/>
        </w:rPr>
        <w:t xml:space="preserve"> – no change</w:t>
      </w:r>
    </w:p>
    <w:p w:rsidR="00FA3D30" w:rsidRPr="00AD4665" w:rsidRDefault="00FA3D30" w:rsidP="008A4B31">
      <w:pPr>
        <w:ind w:left="720"/>
        <w:rPr>
          <w:bCs/>
        </w:rPr>
      </w:pPr>
      <w:r w:rsidRPr="00AD4665">
        <w:rPr>
          <w:bCs/>
        </w:rPr>
        <w:t>2.1.2 Eligibility</w:t>
      </w:r>
      <w:r w:rsidR="00C326F2" w:rsidRPr="00AD4665">
        <w:rPr>
          <w:bCs/>
        </w:rPr>
        <w:t xml:space="preserve"> –</w:t>
      </w:r>
      <w:r w:rsidR="005555DB" w:rsidRPr="00AD4665">
        <w:rPr>
          <w:bCs/>
        </w:rPr>
        <w:t xml:space="preserve"> To exclude potentially ineligible residential properties (e.g., rental properties or seasonal homes), we excluded addresses for which the mailing and premise addresses did not match (</w:t>
      </w:r>
      <w:r w:rsidR="00D81951" w:rsidRPr="00AD4665">
        <w:rPr>
          <w:bCs/>
        </w:rPr>
        <w:t>see</w:t>
      </w:r>
      <w:r w:rsidR="009B4326" w:rsidRPr="00AD4665">
        <w:rPr>
          <w:bCs/>
        </w:rPr>
        <w:t xml:space="preserve"> A</w:t>
      </w:r>
      <w:r w:rsidR="00D81951" w:rsidRPr="00AD4665">
        <w:rPr>
          <w:bCs/>
        </w:rPr>
        <w:t>ttachment H for revised customer contact list</w:t>
      </w:r>
      <w:r w:rsidR="009B4326" w:rsidRPr="00AD4665">
        <w:rPr>
          <w:bCs/>
        </w:rPr>
        <w:t>)</w:t>
      </w:r>
      <w:r w:rsidR="005555DB" w:rsidRPr="00AD4665">
        <w:rPr>
          <w:bCs/>
        </w:rPr>
        <w:t>.</w:t>
      </w:r>
      <w:r w:rsidR="009B4326" w:rsidRPr="00AD4665">
        <w:rPr>
          <w:bCs/>
        </w:rPr>
        <w:t xml:space="preserve"> </w:t>
      </w:r>
    </w:p>
    <w:p w:rsidR="00FA3D30" w:rsidRPr="00AD4665" w:rsidRDefault="00FA3D30" w:rsidP="008A4B31">
      <w:pPr>
        <w:ind w:left="720"/>
      </w:pPr>
      <w:r w:rsidRPr="00AD4665">
        <w:t>2.1.3. Advance letter</w:t>
      </w:r>
      <w:r w:rsidR="00C326F2" w:rsidRPr="00AD4665">
        <w:t xml:space="preserve"> – </w:t>
      </w:r>
      <w:r w:rsidR="003A7CEE" w:rsidRPr="00AD4665">
        <w:t xml:space="preserve">We made </w:t>
      </w:r>
      <w:r w:rsidR="00BD0E15" w:rsidRPr="00AD4665">
        <w:t xml:space="preserve">minor changes to </w:t>
      </w:r>
      <w:r w:rsidR="003A7CEE" w:rsidRPr="00AD4665">
        <w:t xml:space="preserve">the </w:t>
      </w:r>
      <w:r w:rsidR="00BD0E15" w:rsidRPr="00AD4665">
        <w:t>wording to improve clarity and reduce reading time.</w:t>
      </w:r>
      <w:r w:rsidR="009B4326" w:rsidRPr="00AD4665">
        <w:t xml:space="preserve"> (</w:t>
      </w:r>
      <w:r w:rsidR="00D81951" w:rsidRPr="00AD4665">
        <w:t xml:space="preserve">see Attachment I for revised advance </w:t>
      </w:r>
      <w:r w:rsidR="00BD0E15" w:rsidRPr="00AD4665">
        <w:t>letter</w:t>
      </w:r>
      <w:r w:rsidR="009B4326" w:rsidRPr="00AD4665">
        <w:t>)</w:t>
      </w:r>
    </w:p>
    <w:p w:rsidR="00FA3D30" w:rsidRPr="00AD4665" w:rsidRDefault="00FA3D30" w:rsidP="008A4B31">
      <w:pPr>
        <w:ind w:left="720"/>
        <w:rPr>
          <w:bCs/>
        </w:rPr>
      </w:pPr>
      <w:r w:rsidRPr="00AD4665">
        <w:rPr>
          <w:bCs/>
        </w:rPr>
        <w:lastRenderedPageBreak/>
        <w:t>2.1.4  Enrollment</w:t>
      </w:r>
      <w:r w:rsidR="00C326F2" w:rsidRPr="00AD4665">
        <w:rPr>
          <w:bCs/>
        </w:rPr>
        <w:t xml:space="preserve"> – </w:t>
      </w:r>
      <w:r w:rsidR="00490246" w:rsidRPr="00AD4665">
        <w:rPr>
          <w:bCs/>
        </w:rPr>
        <w:t xml:space="preserve"> </w:t>
      </w:r>
      <w:r w:rsidR="00422556" w:rsidRPr="00AD4665">
        <w:rPr>
          <w:bCs/>
        </w:rPr>
        <w:t>s</w:t>
      </w:r>
      <w:r w:rsidR="00490246" w:rsidRPr="00AD4665">
        <w:rPr>
          <w:bCs/>
        </w:rPr>
        <w:t xml:space="preserve">urvey materials will be mailed to selected households 2 weeks after the LPE, instead of 3 weeks after. We will add an email contact with link to secure web survey, user name, </w:t>
      </w:r>
      <w:r w:rsidR="00422556" w:rsidRPr="00AD4665">
        <w:rPr>
          <w:bCs/>
        </w:rPr>
        <w:t>and password</w:t>
      </w:r>
      <w:r w:rsidR="009B4326" w:rsidRPr="00AD4665">
        <w:rPr>
          <w:bCs/>
        </w:rPr>
        <w:t xml:space="preserve"> (A</w:t>
      </w:r>
      <w:r w:rsidR="00D81951" w:rsidRPr="00AD4665">
        <w:rPr>
          <w:bCs/>
        </w:rPr>
        <w:t>ttachment</w:t>
      </w:r>
      <w:r w:rsidR="009B4326" w:rsidRPr="00AD4665">
        <w:rPr>
          <w:bCs/>
        </w:rPr>
        <w:t xml:space="preserve"> </w:t>
      </w:r>
      <w:r w:rsidR="00D81951" w:rsidRPr="00AD4665">
        <w:rPr>
          <w:bCs/>
        </w:rPr>
        <w:t>F</w:t>
      </w:r>
      <w:r w:rsidR="009B4326" w:rsidRPr="00AD4665">
        <w:rPr>
          <w:bCs/>
        </w:rPr>
        <w:t>)</w:t>
      </w:r>
      <w:r w:rsidR="00B75425" w:rsidRPr="00AD4665">
        <w:rPr>
          <w:bCs/>
        </w:rPr>
        <w:t>; this will be timed to arrive at about the same time as the postal survey packet</w:t>
      </w:r>
      <w:r w:rsidR="00490246" w:rsidRPr="00AD4665">
        <w:rPr>
          <w:bCs/>
        </w:rPr>
        <w:t xml:space="preserve">. </w:t>
      </w:r>
      <w:r w:rsidR="006A75B5" w:rsidRPr="00AD4665">
        <w:rPr>
          <w:bCs/>
        </w:rPr>
        <w:t xml:space="preserve">(see Attachment J for paper cover letter) </w:t>
      </w:r>
    </w:p>
    <w:p w:rsidR="00FA3D30" w:rsidRPr="00AD4665" w:rsidRDefault="00FA3D30" w:rsidP="008A4B31">
      <w:pPr>
        <w:ind w:left="720"/>
        <w:rPr>
          <w:bCs/>
        </w:rPr>
      </w:pPr>
      <w:r w:rsidRPr="00AD4665">
        <w:rPr>
          <w:bCs/>
        </w:rPr>
        <w:t>2.1.5 Consent Process</w:t>
      </w:r>
      <w:r w:rsidR="00C326F2" w:rsidRPr="00AD4665">
        <w:rPr>
          <w:bCs/>
        </w:rPr>
        <w:t xml:space="preserve"> – no change</w:t>
      </w:r>
      <w:r w:rsidR="009B4326" w:rsidRPr="00AD4665">
        <w:rPr>
          <w:bCs/>
        </w:rPr>
        <w:t xml:space="preserve"> (see </w:t>
      </w:r>
      <w:r w:rsidR="00D81951" w:rsidRPr="00AD4665">
        <w:rPr>
          <w:bCs/>
        </w:rPr>
        <w:t>Attachment</w:t>
      </w:r>
      <w:r w:rsidR="009B4326" w:rsidRPr="00AD4665">
        <w:rPr>
          <w:bCs/>
        </w:rPr>
        <w:t xml:space="preserve"> </w:t>
      </w:r>
      <w:r w:rsidR="006A75B5" w:rsidRPr="00AD4665">
        <w:rPr>
          <w:bCs/>
        </w:rPr>
        <w:t>K</w:t>
      </w:r>
      <w:r w:rsidR="00D81951" w:rsidRPr="00AD4665">
        <w:rPr>
          <w:bCs/>
        </w:rPr>
        <w:t xml:space="preserve"> for consent brochure)</w:t>
      </w:r>
    </w:p>
    <w:p w:rsidR="00FA3D30" w:rsidRPr="00AD4665" w:rsidRDefault="00FA3D30" w:rsidP="008A4B31">
      <w:pPr>
        <w:ind w:left="720"/>
        <w:rPr>
          <w:bCs/>
        </w:rPr>
      </w:pPr>
      <w:r w:rsidRPr="00AD4665">
        <w:rPr>
          <w:bCs/>
        </w:rPr>
        <w:t>2.1.6 Survey Questionnaire</w:t>
      </w:r>
      <w:r w:rsidR="00C326F2" w:rsidRPr="00AD4665">
        <w:rPr>
          <w:bCs/>
        </w:rPr>
        <w:t xml:space="preserve"> </w:t>
      </w:r>
      <w:r w:rsidR="009B4326" w:rsidRPr="00AD4665">
        <w:rPr>
          <w:bCs/>
        </w:rPr>
        <w:t>(see A</w:t>
      </w:r>
      <w:r w:rsidR="00D81951" w:rsidRPr="00AD4665">
        <w:rPr>
          <w:bCs/>
        </w:rPr>
        <w:t xml:space="preserve">ttachment </w:t>
      </w:r>
      <w:r w:rsidR="006A75B5" w:rsidRPr="00AD4665">
        <w:rPr>
          <w:bCs/>
        </w:rPr>
        <w:t>L</w:t>
      </w:r>
      <w:r w:rsidR="009B4326" w:rsidRPr="00AD4665">
        <w:rPr>
          <w:bCs/>
        </w:rPr>
        <w:t xml:space="preserve"> for</w:t>
      </w:r>
      <w:r w:rsidR="00D81951" w:rsidRPr="00AD4665">
        <w:rPr>
          <w:bCs/>
        </w:rPr>
        <w:t xml:space="preserve"> revised paper version</w:t>
      </w:r>
      <w:r w:rsidR="009B4326" w:rsidRPr="00AD4665">
        <w:rPr>
          <w:bCs/>
        </w:rPr>
        <w:t xml:space="preserve"> and </w:t>
      </w:r>
      <w:r w:rsidR="00D81951" w:rsidRPr="00AD4665">
        <w:rPr>
          <w:bCs/>
        </w:rPr>
        <w:t xml:space="preserve">Attachment </w:t>
      </w:r>
      <w:r w:rsidR="006A75B5" w:rsidRPr="00AD4665">
        <w:rPr>
          <w:bCs/>
        </w:rPr>
        <w:t>M</w:t>
      </w:r>
      <w:r w:rsidR="00D81951" w:rsidRPr="00AD4665">
        <w:rPr>
          <w:bCs/>
        </w:rPr>
        <w:t xml:space="preserve"> </w:t>
      </w:r>
      <w:r w:rsidR="009B4326" w:rsidRPr="00AD4665">
        <w:rPr>
          <w:bCs/>
        </w:rPr>
        <w:t>for</w:t>
      </w:r>
      <w:r w:rsidR="00D81951" w:rsidRPr="00AD4665">
        <w:rPr>
          <w:bCs/>
        </w:rPr>
        <w:t xml:space="preserve"> revised web version</w:t>
      </w:r>
      <w:r w:rsidR="009B4326" w:rsidRPr="00AD4665">
        <w:rPr>
          <w:bCs/>
        </w:rPr>
        <w:t>)</w:t>
      </w:r>
    </w:p>
    <w:p w:rsidR="00F8257D" w:rsidRPr="00AD4665" w:rsidRDefault="00F8257D" w:rsidP="008A4B31">
      <w:pPr>
        <w:ind w:left="720"/>
        <w:rPr>
          <w:bCs/>
        </w:rPr>
      </w:pPr>
    </w:p>
    <w:p w:rsidR="00C326F2" w:rsidRPr="00AD4665" w:rsidRDefault="00C326F2" w:rsidP="0007783C">
      <w:pPr>
        <w:spacing w:after="120"/>
      </w:pPr>
      <w:r w:rsidRPr="00AD4665">
        <w:t xml:space="preserve">The pilot survey helped the study team identify items that could be eliminated, information gaps that could be filled, and response options that should be added to existing questions. Minor changes have been made to the survey instrument to improve the quality of the data and facilitate ease of participation. The recall period has been changed from three weeks to two weeks because this time period should be easier for respondents to recall, and because it is more </w:t>
      </w:r>
      <w:r w:rsidR="00D62DFE" w:rsidRPr="00AD4665">
        <w:t>appropriate given</w:t>
      </w:r>
      <w:r w:rsidRPr="00AD4665">
        <w:t xml:space="preserve"> the incubation period of most waterborne </w:t>
      </w:r>
      <w:r w:rsidR="000817DF" w:rsidRPr="00AD4665">
        <w:t xml:space="preserve">gastrointestinal </w:t>
      </w:r>
      <w:r w:rsidRPr="00AD4665">
        <w:t>pathogens.</w:t>
      </w:r>
      <w:r w:rsidR="0007783C" w:rsidRPr="00AD4665">
        <w:t xml:space="preserve"> Specific question changes are detailed in the justification.</w:t>
      </w:r>
    </w:p>
    <w:p w:rsidR="0007783C" w:rsidRPr="00AD4665" w:rsidRDefault="0007783C" w:rsidP="0007783C">
      <w:pPr>
        <w:spacing w:after="120"/>
      </w:pPr>
      <w:r w:rsidRPr="00AD4665">
        <w:t xml:space="preserve">Descriptive data were used to simplify the survey. Survey data indicated that the household water use question could be removed, and the wording of the individual water use question could be simplified to focus on determining which respondents drank their home tap water (i.e., determining which respondents in the exposed areas were not actually exposed to the LPE because they did not consume any tap water), rather than describing each respondents’ main </w:t>
      </w:r>
      <w:r w:rsidR="00706A16" w:rsidRPr="00AD4665">
        <w:t>drinking water source.</w:t>
      </w:r>
      <w:r w:rsidRPr="00AD4665">
        <w:t xml:space="preserve"> One answer option was added to each of the household filter, pets, and water use questions, informed by what respondents wrote in the “other” categories. </w:t>
      </w:r>
    </w:p>
    <w:p w:rsidR="0007783C" w:rsidRPr="00AD4665" w:rsidRDefault="0007783C" w:rsidP="0007783C">
      <w:pPr>
        <w:spacing w:after="120"/>
      </w:pPr>
      <w:r w:rsidRPr="00AD4665">
        <w:t xml:space="preserve">To facilitate creating illness definitions from the AGI symptom questions, the illness details section was moved directly after the stomach problem questions and simplified to only ask details about the stomach problems. Additionally, the 3-week recall period was shortened to 2-weeks to improve the recall of the illness onset date and number of symptoms.   </w:t>
      </w:r>
    </w:p>
    <w:p w:rsidR="0007783C" w:rsidRPr="00AD4665" w:rsidRDefault="0007783C" w:rsidP="0007783C">
      <w:pPr>
        <w:spacing w:after="120"/>
      </w:pPr>
      <w:r w:rsidRPr="00AD4665">
        <w:t xml:space="preserve">To further simplify the illness sections, the cold/flu section was changed to a section on other recent symptoms that asked more general questions about more varied symptoms (e.g., rash, eye infection). The follow-up questions regarding illness onset date and number of days of symptoms were substituted with more general questions about illness impact (i.e., health care seeking behavior, missed school/work). </w:t>
      </w:r>
    </w:p>
    <w:p w:rsidR="0007783C" w:rsidRPr="00AD4665" w:rsidRDefault="0007783C" w:rsidP="008A4B31">
      <w:pPr>
        <w:ind w:left="720"/>
        <w:rPr>
          <w:bCs/>
        </w:rPr>
      </w:pPr>
    </w:p>
    <w:p w:rsidR="00FA3D30" w:rsidRPr="00AD4665" w:rsidRDefault="00FA3D30" w:rsidP="008A4B31">
      <w:pPr>
        <w:ind w:left="720"/>
      </w:pPr>
      <w:r w:rsidRPr="00AD4665">
        <w:t>2.1.7 Thank you/reminder notecard</w:t>
      </w:r>
      <w:r w:rsidR="00C326F2" w:rsidRPr="00AD4665">
        <w:t xml:space="preserve"> – no change</w:t>
      </w:r>
      <w:r w:rsidR="008F427E" w:rsidRPr="00AD4665">
        <w:t xml:space="preserve"> (</w:t>
      </w:r>
      <w:r w:rsidR="00D81951" w:rsidRPr="00AD4665">
        <w:t xml:space="preserve">Attachment </w:t>
      </w:r>
      <w:r w:rsidR="006A75B5" w:rsidRPr="00AD4665">
        <w:t>N</w:t>
      </w:r>
      <w:r w:rsidR="008F427E" w:rsidRPr="00AD4665">
        <w:t>)</w:t>
      </w:r>
    </w:p>
    <w:p w:rsidR="00FA3D30" w:rsidRPr="00AD4665" w:rsidRDefault="00FA3D30" w:rsidP="008A4B31">
      <w:pPr>
        <w:ind w:left="720"/>
      </w:pPr>
      <w:r w:rsidRPr="00AD4665">
        <w:t>2.1.8 Replacement questionnaire mailing</w:t>
      </w:r>
      <w:r w:rsidR="00C326F2" w:rsidRPr="00AD4665">
        <w:t xml:space="preserve"> – no change. </w:t>
      </w:r>
      <w:r w:rsidR="00D81951" w:rsidRPr="00AD4665">
        <w:t xml:space="preserve">(Attachment </w:t>
      </w:r>
      <w:r w:rsidR="006A75B5" w:rsidRPr="00AD4665">
        <w:t>O</w:t>
      </w:r>
      <w:r w:rsidR="008F427E" w:rsidRPr="00AD4665">
        <w:t>)</w:t>
      </w:r>
    </w:p>
    <w:p w:rsidR="00FA3D30" w:rsidRPr="00AD4665" w:rsidRDefault="00FA3D30" w:rsidP="008A4B31">
      <w:pPr>
        <w:ind w:left="720"/>
      </w:pPr>
      <w:r w:rsidRPr="00AD4665">
        <w:t>2.1.9 Final Appeal Letter</w:t>
      </w:r>
      <w:r w:rsidR="00D81951" w:rsidRPr="00AD4665">
        <w:t xml:space="preserve"> (A</w:t>
      </w:r>
      <w:r w:rsidR="006A75B5" w:rsidRPr="00AD4665">
        <w:t>ttachment P</w:t>
      </w:r>
      <w:r w:rsidR="008F427E" w:rsidRPr="00AD4665">
        <w:t>)</w:t>
      </w:r>
    </w:p>
    <w:p w:rsidR="00C326F2" w:rsidRPr="00AD4665" w:rsidRDefault="00C326F2" w:rsidP="008A4B31">
      <w:pPr>
        <w:ind w:left="720"/>
      </w:pPr>
      <w:r w:rsidRPr="00AD4665">
        <w:tab/>
        <w:t xml:space="preserve">Prior to mailing this appeal, the study team will add an outbound </w:t>
      </w:r>
      <w:r w:rsidR="00E41E37" w:rsidRPr="00AD4665">
        <w:t xml:space="preserve">telephone </w:t>
      </w:r>
      <w:r w:rsidRPr="00AD4665">
        <w:t xml:space="preserve">call as a reminder before the final appeal letter is sent in an attempt to further increase the response rate. </w:t>
      </w:r>
      <w:r w:rsidR="00D81951" w:rsidRPr="00AD4665">
        <w:t>(Attachment C</w:t>
      </w:r>
      <w:r w:rsidR="008F427E" w:rsidRPr="00AD4665">
        <w:t>)</w:t>
      </w:r>
    </w:p>
    <w:p w:rsidR="00FA3D30" w:rsidRPr="00AD4665" w:rsidRDefault="00FA3D30" w:rsidP="008A4B31">
      <w:pPr>
        <w:ind w:left="720"/>
        <w:rPr>
          <w:bCs/>
        </w:rPr>
      </w:pPr>
      <w:r w:rsidRPr="00AD4665">
        <w:rPr>
          <w:bCs/>
        </w:rPr>
        <w:t>2.1.10 Low Pressure Event Information</w:t>
      </w:r>
      <w:r w:rsidR="008F427E" w:rsidRPr="00AD4665">
        <w:rPr>
          <w:bCs/>
        </w:rPr>
        <w:t xml:space="preserve"> (A</w:t>
      </w:r>
      <w:r w:rsidR="00D81951" w:rsidRPr="00AD4665">
        <w:rPr>
          <w:bCs/>
        </w:rPr>
        <w:t>ttachment G)</w:t>
      </w:r>
    </w:p>
    <w:p w:rsidR="0007783C" w:rsidRPr="00AD4665" w:rsidRDefault="003C40C9" w:rsidP="0007783C">
      <w:pPr>
        <w:spacing w:after="120"/>
        <w:ind w:left="720"/>
        <w:rPr>
          <w:bCs/>
        </w:rPr>
      </w:pPr>
      <w:r w:rsidRPr="00AD4665">
        <w:rPr>
          <w:bCs/>
        </w:rPr>
        <w:tab/>
        <w:t xml:space="preserve">The study team reviewed information collected in the Low Pressure Event Form and received feedback from the utility participating in the pilot study, and made minor modifications to simplify and improve the ease of completing the form. </w:t>
      </w:r>
    </w:p>
    <w:p w:rsidR="001F153D" w:rsidRPr="00AD4665" w:rsidRDefault="001F153D" w:rsidP="0007783C">
      <w:pPr>
        <w:spacing w:after="120"/>
        <w:ind w:left="720"/>
        <w:rPr>
          <w:bCs/>
        </w:rPr>
      </w:pPr>
      <w:r w:rsidRPr="00AD4665">
        <w:t xml:space="preserve">We have modified the </w:t>
      </w:r>
      <w:r w:rsidR="00756A5A" w:rsidRPr="00AD4665">
        <w:t xml:space="preserve">utility </w:t>
      </w:r>
      <w:r w:rsidRPr="00AD4665">
        <w:t xml:space="preserve">customer </w:t>
      </w:r>
      <w:r w:rsidR="00756A5A" w:rsidRPr="00AD4665">
        <w:t>information</w:t>
      </w:r>
      <w:r w:rsidRPr="00AD4665">
        <w:t xml:space="preserve"> form to </w:t>
      </w:r>
      <w:r w:rsidRPr="00AD4665">
        <w:rPr>
          <w:bCs/>
        </w:rPr>
        <w:t xml:space="preserve">include a template for a hydraulic map and a checklist of attributes of the exposed and unexposed areas to </w:t>
      </w:r>
      <w:r w:rsidRPr="00AD4665">
        <w:rPr>
          <w:bCs/>
        </w:rPr>
        <w:lastRenderedPageBreak/>
        <w:t>standardize and simplify the collection of this information.</w:t>
      </w:r>
      <w:r w:rsidR="008F427E" w:rsidRPr="00AD4665">
        <w:rPr>
          <w:bCs/>
        </w:rPr>
        <w:t xml:space="preserve"> (A</w:t>
      </w:r>
      <w:r w:rsidR="00D81951" w:rsidRPr="00AD4665">
        <w:rPr>
          <w:bCs/>
        </w:rPr>
        <w:t>ttachment H</w:t>
      </w:r>
      <w:r w:rsidR="008F427E" w:rsidRPr="00AD4665">
        <w:rPr>
          <w:bCs/>
        </w:rPr>
        <w:t>)</w:t>
      </w:r>
      <w:r w:rsidRPr="00AD4665">
        <w:rPr>
          <w:bCs/>
        </w:rPr>
        <w:t xml:space="preserve"> </w:t>
      </w:r>
      <w:r w:rsidR="00E130EE" w:rsidRPr="00AD4665">
        <w:rPr>
          <w:bCs/>
        </w:rPr>
        <w:t xml:space="preserve">This replaces the collection of information on hydraulic model outputs described in the original submission, but is performed by similar staff and takes a similar amount of time, so no net change in the burden is expected. Additionally, during the pilot we learned that the utility could produce one customer service list for both areas; we also learned we need to collect the premise and mailing address for data quality checks (e.g., excluding part-time residents, “snow birds”, that are potentially not home during certain times of the year to receive the survey). </w:t>
      </w:r>
      <w:r w:rsidR="00D62DFE" w:rsidRPr="00AD4665">
        <w:rPr>
          <w:bCs/>
        </w:rPr>
        <w:t>Finally</w:t>
      </w:r>
      <w:r w:rsidR="00E9353C" w:rsidRPr="00AD4665">
        <w:rPr>
          <w:bCs/>
        </w:rPr>
        <w:t xml:space="preserve">, phone number and email address were added to the form. </w:t>
      </w:r>
      <w:r w:rsidR="00756A5A" w:rsidRPr="00AD4665">
        <w:rPr>
          <w:bCs/>
        </w:rPr>
        <w:t>The field</w:t>
      </w:r>
      <w:r w:rsidR="0086163C" w:rsidRPr="00AD4665">
        <w:rPr>
          <w:bCs/>
        </w:rPr>
        <w:t>s</w:t>
      </w:r>
      <w:r w:rsidR="00756A5A" w:rsidRPr="00AD4665">
        <w:rPr>
          <w:bCs/>
        </w:rPr>
        <w:t xml:space="preserve"> for</w:t>
      </w:r>
      <w:r w:rsidR="0086163C" w:rsidRPr="00AD4665">
        <w:rPr>
          <w:bCs/>
        </w:rPr>
        <w:t xml:space="preserve"> the customer number and</w:t>
      </w:r>
      <w:r w:rsidR="00756A5A" w:rsidRPr="00AD4665">
        <w:rPr>
          <w:bCs/>
        </w:rPr>
        <w:t xml:space="preserve"> reclaimed water service w</w:t>
      </w:r>
      <w:r w:rsidR="0086163C" w:rsidRPr="00AD4665">
        <w:rPr>
          <w:bCs/>
        </w:rPr>
        <w:t>ere</w:t>
      </w:r>
      <w:r w:rsidR="00756A5A" w:rsidRPr="00AD4665">
        <w:rPr>
          <w:bCs/>
        </w:rPr>
        <w:t xml:space="preserve"> removed as </w:t>
      </w:r>
      <w:r w:rsidR="00A9591D" w:rsidRPr="00AD4665">
        <w:rPr>
          <w:bCs/>
        </w:rPr>
        <w:t>these</w:t>
      </w:r>
      <w:r w:rsidR="00756A5A" w:rsidRPr="00AD4665">
        <w:rPr>
          <w:bCs/>
        </w:rPr>
        <w:t xml:space="preserve"> w</w:t>
      </w:r>
      <w:r w:rsidR="00A9591D" w:rsidRPr="00AD4665">
        <w:rPr>
          <w:bCs/>
        </w:rPr>
        <w:t>ere</w:t>
      </w:r>
      <w:r w:rsidR="00756A5A" w:rsidRPr="00AD4665">
        <w:rPr>
          <w:bCs/>
        </w:rPr>
        <w:t xml:space="preserve"> not used in the pilot.</w:t>
      </w:r>
    </w:p>
    <w:p w:rsidR="00E9353C" w:rsidRPr="00AD4665" w:rsidRDefault="00E9353C" w:rsidP="0007783C">
      <w:pPr>
        <w:spacing w:after="120"/>
        <w:ind w:left="720"/>
        <w:rPr>
          <w:bCs/>
        </w:rPr>
      </w:pPr>
    </w:p>
    <w:p w:rsidR="00FA3D30" w:rsidRPr="00AD4665" w:rsidRDefault="00FA3D30" w:rsidP="008A4B31">
      <w:pPr>
        <w:ind w:left="720"/>
      </w:pPr>
      <w:r w:rsidRPr="00AD4665">
        <w:t>2.1.11 Quality Control Procedures</w:t>
      </w:r>
      <w:r w:rsidR="003C40C9" w:rsidRPr="00AD4665">
        <w:t xml:space="preserve"> – No change</w:t>
      </w:r>
    </w:p>
    <w:p w:rsidR="00FA3D30" w:rsidRPr="00AD4665" w:rsidRDefault="00FA3D30" w:rsidP="00FA3D30">
      <w:pPr>
        <w:pStyle w:val="ListParagraph"/>
        <w:ind w:left="360"/>
        <w:rPr>
          <w:b/>
        </w:rPr>
      </w:pPr>
    </w:p>
    <w:p w:rsidR="00FA3D30" w:rsidRPr="00AD4665" w:rsidRDefault="00FA3D30" w:rsidP="009E4A24">
      <w:pPr>
        <w:pStyle w:val="Heading1"/>
        <w:rPr>
          <w:rFonts w:ascii="Times New Roman" w:hAnsi="Times New Roman" w:cs="Times New Roman"/>
          <w:sz w:val="24"/>
          <w:szCs w:val="24"/>
        </w:rPr>
      </w:pPr>
      <w:bookmarkStart w:id="3" w:name="_Toc398033090"/>
      <w:r w:rsidRPr="00AD4665">
        <w:rPr>
          <w:rFonts w:ascii="Times New Roman" w:hAnsi="Times New Roman" w:cs="Times New Roman"/>
          <w:color w:val="auto"/>
          <w:sz w:val="24"/>
          <w:szCs w:val="24"/>
        </w:rPr>
        <w:t>3. Methods to Maximize Response Rates and Deal with Non-response</w:t>
      </w:r>
      <w:bookmarkEnd w:id="3"/>
    </w:p>
    <w:p w:rsidR="007771B3" w:rsidRPr="00AD4665" w:rsidRDefault="007771B3" w:rsidP="007771B3">
      <w:pPr>
        <w:spacing w:after="120"/>
      </w:pPr>
      <w:r w:rsidRPr="00AD4665">
        <w:t xml:space="preserve">In the pilot study, the overall survey response rate was 37%, the response rates for each event ranged from 32-43% and did not appear to vary by event type or size. Additionally, the response rates were similar in LPE (38%) and non-LPE areas (36%). The non-response rate was &lt; 10% for the main survey items. There was higher non-response for follow-up questions for the illness details onset date and number of days with symptoms. Other illness detail questions such as the number of days of school or work missed because of the illness, or healthcare seeking behavior were nearly complete. Skip patterns were built into the web survey interface; for the paper surveys, data from the mail surveys indicated that the majority of respondents correctly skipped or answered the appropriate questions. System data demonstrated that the web-based survey took customers a median of 11 minutes to complete, suggesting that the time burden for participation was low and in line with the anticipated time of 12 minutes. Most </w:t>
      </w:r>
      <w:r w:rsidR="0038650D" w:rsidRPr="00AD4665">
        <w:t xml:space="preserve">(94%) </w:t>
      </w:r>
      <w:r w:rsidRPr="00AD4665">
        <w:t>of the</w:t>
      </w:r>
      <w:r w:rsidRPr="00AD4665">
        <w:rPr>
          <w:bCs/>
        </w:rPr>
        <w:t xml:space="preserve"> web surveys were submitted successfully, demonstrating there was limited survey break-off.</w:t>
      </w:r>
      <w:r w:rsidRPr="00AD4665">
        <w:rPr>
          <w:b/>
          <w:bCs/>
        </w:rPr>
        <w:t xml:space="preserve"> </w:t>
      </w:r>
    </w:p>
    <w:p w:rsidR="007771B3" w:rsidRPr="00AD4665" w:rsidRDefault="007771B3" w:rsidP="007771B3">
      <w:pPr>
        <w:spacing w:after="120"/>
      </w:pPr>
      <w:r w:rsidRPr="00AD4665">
        <w:t xml:space="preserve">To improve response rates in the full study, the study team will </w:t>
      </w:r>
      <w:r w:rsidR="000817DF" w:rsidRPr="00AD4665">
        <w:t>modify</w:t>
      </w:r>
      <w:r w:rsidRPr="00AD4665">
        <w:t xml:space="preserve"> the survey procedures and will increase efforts to promote the study in the participating communities. Nearly half of the page views for the study website (46%) occurred in the 30 days following the press release, before any survey materials were mailed out, suggesting that additional ongoing publicity in the study communities has potential to motivate participants. The study team will implement additional community outreach throughout the study period to improve community acceptance of the study and to boost response rates. Possible methods include implementing local public service announcements or periodic advertisements in local print media. Improving the study response rates is a priority for CDC branch-level management, who has prioritized obtaining resources for targeted communications efforts, including contract time with a health communicator.</w:t>
      </w:r>
    </w:p>
    <w:p w:rsidR="007771B3" w:rsidRPr="00AD4665" w:rsidRDefault="007771B3" w:rsidP="007771B3">
      <w:pPr>
        <w:spacing w:after="120"/>
      </w:pPr>
      <w:r w:rsidRPr="00AD4665">
        <w:t xml:space="preserve">The multiple mailing contact strategy encouraged participation, evidenced by boosts in survey response following the mail prompts. The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w:t>
      </w:r>
      <w:r w:rsidRPr="00AD4665">
        <w:lastRenderedPageBreak/>
        <w:t>inconvenient for respondents to access a computer, type the link to the website, and log-in to take the survey. To encourage web survey participation and</w:t>
      </w:r>
      <w:r w:rsidR="00612043" w:rsidRPr="00AD4665">
        <w:t xml:space="preserve"> reduce respondent burden in hopes of increasing response,</w:t>
      </w:r>
      <w:r w:rsidRPr="00AD4665">
        <w:t xml:space="preserve"> the study team will send the survey link electronically to customers that have email addresses on file (approximately 10% of pilot utility customers). Additionally, the study team will add an outbound</w:t>
      </w:r>
      <w:r w:rsidR="003A5CE5" w:rsidRPr="00AD4665">
        <w:t xml:space="preserve"> phone</w:t>
      </w:r>
      <w:r w:rsidRPr="00AD4665">
        <w:t xml:space="preserve"> call as a reminder before the final appeal letter is sent. </w:t>
      </w:r>
    </w:p>
    <w:p w:rsidR="007771B3" w:rsidRPr="00AD4665" w:rsidRDefault="007771B3" w:rsidP="007771B3">
      <w:pPr>
        <w:spacing w:after="120"/>
      </w:pPr>
      <w:r w:rsidRPr="00AD4665">
        <w:t>Additional minor changes to the survey will be made to help boost the response rate. The survey recall time period will be shortened from 3 weeks to 2 weeks, and the illness questions and water use questions will be simplified. The specific changes to the</w:t>
      </w:r>
      <w:r w:rsidR="00635EB5" w:rsidRPr="00AD4665">
        <w:t xml:space="preserve"> content are outlined in Tables 1 and 2</w:t>
      </w:r>
      <w:r w:rsidRPr="00AD4665">
        <w:t xml:space="preserve"> of the Justification of Change document. </w:t>
      </w:r>
    </w:p>
    <w:p w:rsidR="007771B3" w:rsidRPr="00AD4665" w:rsidRDefault="007771B3" w:rsidP="007771B3">
      <w:pPr>
        <w:spacing w:after="120"/>
      </w:pPr>
      <w:r w:rsidRPr="00AD4665">
        <w:t xml:space="preserve">The survey supplemental materials will be </w:t>
      </w:r>
      <w:r w:rsidR="000817DF" w:rsidRPr="00AD4665">
        <w:t xml:space="preserve">modified slightly </w:t>
      </w:r>
      <w:r w:rsidRPr="00AD4665">
        <w:t xml:space="preserve">to make them easier and faster to read. For example, the advance letter </w:t>
      </w:r>
      <w:r w:rsidR="001244B3" w:rsidRPr="00AD4665">
        <w:t>was edited to improve clarity and readability</w:t>
      </w:r>
      <w:r w:rsidR="001C4BD9" w:rsidRPr="00AD4665">
        <w:t>, and the web survey will have fewer questions per screen to make the survey easier to read</w:t>
      </w:r>
      <w:r w:rsidRPr="00AD4665">
        <w:t xml:space="preserve">. The study team does not have the resources to provide financial incentives. </w:t>
      </w:r>
    </w:p>
    <w:p w:rsidR="003A5CE5" w:rsidRPr="00AD4665" w:rsidRDefault="007771B3" w:rsidP="003A5CE5">
      <w:pPr>
        <w:spacing w:after="120"/>
      </w:pPr>
      <w:r w:rsidRPr="00AD4665">
        <w:t>Although 9</w:t>
      </w:r>
      <w:r w:rsidR="000E19E3" w:rsidRPr="00AD4665">
        <w:t>4</w:t>
      </w:r>
      <w:r w:rsidRPr="00AD4665">
        <w:t>% of the web survey</w:t>
      </w:r>
      <w:r w:rsidR="000E19E3" w:rsidRPr="00AD4665">
        <w:t xml:space="preserve"> respondents</w:t>
      </w:r>
      <w:r w:rsidRPr="00AD4665">
        <w:t xml:space="preserve"> successfully</w:t>
      </w:r>
      <w:r w:rsidR="000E19E3" w:rsidRPr="00AD4665">
        <w:t xml:space="preserve"> completed the survey</w:t>
      </w:r>
      <w:r w:rsidRPr="00AD4665">
        <w:t xml:space="preserve">, indicating survey break-off was not a </w:t>
      </w:r>
      <w:r w:rsidR="00612043" w:rsidRPr="00AD4665">
        <w:t>major</w:t>
      </w:r>
      <w:r w:rsidRPr="00AD4665">
        <w:t xml:space="preserve"> concern, additional measures will be taken to encourage respondents to finish the web survey, including reformatting the survey and simplifying instructions to make the survey appear shorter and to reduce reading time.</w:t>
      </w:r>
    </w:p>
    <w:p w:rsidR="00FA3D30" w:rsidRPr="00AD4665" w:rsidRDefault="00FA3D30" w:rsidP="009E4A24">
      <w:pPr>
        <w:pStyle w:val="Heading1"/>
        <w:rPr>
          <w:rFonts w:ascii="Times New Roman" w:hAnsi="Times New Roman" w:cs="Times New Roman"/>
          <w:color w:val="auto"/>
          <w:sz w:val="24"/>
          <w:szCs w:val="24"/>
        </w:rPr>
      </w:pPr>
      <w:bookmarkStart w:id="4" w:name="_Toc398033091"/>
      <w:r w:rsidRPr="00AD4665">
        <w:rPr>
          <w:rFonts w:ascii="Times New Roman" w:hAnsi="Times New Roman" w:cs="Times New Roman"/>
          <w:color w:val="auto"/>
          <w:sz w:val="24"/>
          <w:szCs w:val="24"/>
        </w:rPr>
        <w:t>4. Tests of Procedures or Methods to be Undertaken</w:t>
      </w:r>
      <w:bookmarkEnd w:id="4"/>
    </w:p>
    <w:p w:rsidR="00710159" w:rsidRPr="00AD4665" w:rsidRDefault="00710159" w:rsidP="00FA3D30">
      <w:r w:rsidRPr="00AD4665">
        <w:t>The data collection instruments and the participant information materials were piloted at one water utility site and evaluated by CDC. Overall, the pilot demonstrated that the study design and procedures will allow the study team to collect the data needed to meet the study goal and aims.</w:t>
      </w:r>
      <w:r w:rsidR="00FF36CA" w:rsidRPr="00AD4665">
        <w:t xml:space="preserve"> Following the minor modifications to the study materials and protocols to streamline field data collection and improve the household survey response rates outlined in this non-substantive change request, the study team will be ready to implement the full study to determine whether LPEs are associated with illness.</w:t>
      </w:r>
    </w:p>
    <w:p w:rsidR="00EA26B1" w:rsidRPr="00AD4665" w:rsidRDefault="00EA26B1" w:rsidP="00FA3D30"/>
    <w:p w:rsidR="00FA3D30" w:rsidRPr="00AD4665" w:rsidRDefault="00FA3D30" w:rsidP="009E4A24">
      <w:pPr>
        <w:pStyle w:val="Heading1"/>
        <w:rPr>
          <w:rFonts w:ascii="Times New Roman" w:hAnsi="Times New Roman" w:cs="Times New Roman"/>
          <w:color w:val="auto"/>
          <w:sz w:val="24"/>
          <w:szCs w:val="24"/>
        </w:rPr>
      </w:pPr>
      <w:bookmarkStart w:id="5" w:name="_Toc398033092"/>
      <w:r w:rsidRPr="00AD4665">
        <w:rPr>
          <w:rFonts w:ascii="Times New Roman" w:hAnsi="Times New Roman" w:cs="Times New Roman"/>
          <w:color w:val="auto"/>
          <w:sz w:val="24"/>
          <w:szCs w:val="24"/>
        </w:rPr>
        <w:t>5. Individuals Consulted on Statistical Aspects and Individuals Collecting and/or Analyzing Data</w:t>
      </w:r>
      <w:bookmarkEnd w:id="5"/>
    </w:p>
    <w:p w:rsidR="00FA3D30" w:rsidRPr="00AD4665" w:rsidRDefault="00A56B88" w:rsidP="00FA3D30">
      <w:r w:rsidRPr="00AD4665">
        <w:t>Statistical consultants for study design:</w:t>
      </w:r>
    </w:p>
    <w:p w:rsidR="00A56B88" w:rsidRPr="00AD4665" w:rsidRDefault="00A56B88" w:rsidP="00EA26B1">
      <w:pPr>
        <w:pStyle w:val="ListParagraph"/>
        <w:numPr>
          <w:ilvl w:val="0"/>
          <w:numId w:val="7"/>
        </w:numPr>
      </w:pPr>
      <w:r w:rsidRPr="00AD4665">
        <w:t xml:space="preserve">Add </w:t>
      </w:r>
      <w:r w:rsidR="009C5E27" w:rsidRPr="00AD4665">
        <w:t xml:space="preserve">Xin (Lucy) Lu, CDC/ORISE (Tracy Ayers is supervisor) </w:t>
      </w:r>
      <w:r w:rsidRPr="00AD4665">
        <w:t xml:space="preserve">– ph. 404-718-4868, email: </w:t>
      </w:r>
      <w:hyperlink r:id="rId10" w:history="1">
        <w:r w:rsidRPr="00AD4665">
          <w:rPr>
            <w:rStyle w:val="Hyperlink"/>
          </w:rPr>
          <w:t>xjp2@cdc.gov</w:t>
        </w:r>
      </w:hyperlink>
    </w:p>
    <w:p w:rsidR="00612043" w:rsidRPr="00AD4665" w:rsidRDefault="00612043" w:rsidP="00EA26B1">
      <w:pPr>
        <w:pStyle w:val="ListParagraph"/>
        <w:numPr>
          <w:ilvl w:val="0"/>
          <w:numId w:val="7"/>
        </w:numPr>
      </w:pPr>
      <w:r w:rsidRPr="00AD4665">
        <w:t xml:space="preserve">Add Mark J. Lamias, </w:t>
      </w:r>
      <w:proofErr w:type="spellStart"/>
      <w:r w:rsidRPr="00AD4665">
        <w:t>Leidos</w:t>
      </w:r>
      <w:proofErr w:type="spellEnd"/>
      <w:r w:rsidRPr="00AD4665">
        <w:t xml:space="preserve"> Contractor to CDC (Robert Fish is supervisor) – ph.  404-248-6413, email: </w:t>
      </w:r>
      <w:hyperlink r:id="rId11" w:history="1">
        <w:r w:rsidRPr="00AD4665">
          <w:rPr>
            <w:rStyle w:val="Hyperlink"/>
          </w:rPr>
          <w:t>bnz6@cdc.gov</w:t>
        </w:r>
      </w:hyperlink>
    </w:p>
    <w:p w:rsidR="00A56B88" w:rsidRPr="00AD4665" w:rsidRDefault="00A56B88" w:rsidP="00FA3D30">
      <w:r w:rsidRPr="00AD4665">
        <w:t>Persons who designed the data collection:</w:t>
      </w:r>
    </w:p>
    <w:p w:rsidR="00A56B88" w:rsidRPr="00AD4665" w:rsidRDefault="00A56B88" w:rsidP="00EA26B1">
      <w:pPr>
        <w:pStyle w:val="ListParagraph"/>
        <w:numPr>
          <w:ilvl w:val="0"/>
          <w:numId w:val="8"/>
        </w:numPr>
      </w:pPr>
      <w:r w:rsidRPr="00AD4665">
        <w:t xml:space="preserve">Add Elizabeth Adam, CDC/ORISE </w:t>
      </w:r>
      <w:r w:rsidR="009C5E27" w:rsidRPr="00AD4665">
        <w:t xml:space="preserve">(Julia Gargano is supervisor) </w:t>
      </w:r>
      <w:r w:rsidRPr="00AD4665">
        <w:t xml:space="preserve">– ph. 404-718-4873, email: </w:t>
      </w:r>
      <w:hyperlink r:id="rId12" w:history="1">
        <w:r w:rsidRPr="00AD4665">
          <w:rPr>
            <w:rStyle w:val="Hyperlink"/>
          </w:rPr>
          <w:t>wsi7@cdc.gov</w:t>
        </w:r>
      </w:hyperlink>
    </w:p>
    <w:p w:rsidR="00A56B88" w:rsidRPr="00AD4665" w:rsidRDefault="00A56B88" w:rsidP="00FA3D30">
      <w:r w:rsidRPr="00AD4665">
        <w:t>Persons who will collect the data:</w:t>
      </w:r>
    </w:p>
    <w:p w:rsidR="00A56B88" w:rsidRPr="00AD4665" w:rsidRDefault="00A56B88" w:rsidP="00EA26B1">
      <w:pPr>
        <w:pStyle w:val="ListParagraph"/>
        <w:numPr>
          <w:ilvl w:val="0"/>
          <w:numId w:val="8"/>
        </w:numPr>
      </w:pPr>
      <w:r w:rsidRPr="00AD4665">
        <w:t xml:space="preserve">Add Vincent Hill, CDC – ph. 404-718-4151, email: </w:t>
      </w:r>
      <w:hyperlink r:id="rId13" w:history="1">
        <w:r w:rsidRPr="00AD4665">
          <w:rPr>
            <w:rStyle w:val="Hyperlink"/>
          </w:rPr>
          <w:t>veh2@cdc.gov</w:t>
        </w:r>
      </w:hyperlink>
    </w:p>
    <w:p w:rsidR="00A56B88" w:rsidRPr="00AD4665" w:rsidRDefault="00A56B88" w:rsidP="00EA26B1">
      <w:pPr>
        <w:pStyle w:val="ListParagraph"/>
        <w:numPr>
          <w:ilvl w:val="0"/>
          <w:numId w:val="8"/>
        </w:numPr>
      </w:pPr>
      <w:r w:rsidRPr="00AD4665">
        <w:t>Add Chandra Schneeberger, contractor for CDC (Vince</w:t>
      </w:r>
      <w:r w:rsidR="009C1FE2" w:rsidRPr="00AD4665">
        <w:t>nt</w:t>
      </w:r>
      <w:r w:rsidRPr="00AD4665">
        <w:t xml:space="preserve"> Hill is supervisor) - ph. 404-718-4154 email: </w:t>
      </w:r>
      <w:hyperlink r:id="rId14" w:history="1">
        <w:r w:rsidR="00435A51" w:rsidRPr="00AD4665">
          <w:rPr>
            <w:rStyle w:val="Hyperlink"/>
          </w:rPr>
          <w:t>ipq7@cdc.gov</w:t>
        </w:r>
      </w:hyperlink>
      <w:r w:rsidR="00435A51" w:rsidRPr="00AD4665">
        <w:t xml:space="preserve"> </w:t>
      </w:r>
    </w:p>
    <w:p w:rsidR="001330AE" w:rsidRPr="00AD4665" w:rsidRDefault="001330AE" w:rsidP="001330AE">
      <w:pPr>
        <w:pStyle w:val="ListParagraph"/>
      </w:pPr>
    </w:p>
    <w:p w:rsidR="00502F78" w:rsidRPr="00AD4665" w:rsidRDefault="00502F78">
      <w:pPr>
        <w:spacing w:after="200" w:line="276" w:lineRule="auto"/>
        <w:rPr>
          <w:b/>
        </w:rPr>
      </w:pPr>
      <w:r w:rsidRPr="00AD4665">
        <w:rPr>
          <w:b/>
        </w:rPr>
        <w:lastRenderedPageBreak/>
        <w:t>References</w:t>
      </w:r>
    </w:p>
    <w:p w:rsidR="00502F78" w:rsidRPr="00AD4665" w:rsidRDefault="00502F78" w:rsidP="00502F78">
      <w:pPr>
        <w:rPr>
          <w:noProof/>
        </w:rPr>
      </w:pPr>
      <w:bookmarkStart w:id="6" w:name="_ENREF_22"/>
      <w:bookmarkStart w:id="7" w:name="_ENREF_20"/>
      <w:r w:rsidRPr="00AD4665">
        <w:rPr>
          <w:noProof/>
        </w:rPr>
        <w:t>Ailes, E.; Budge, P.; Shankar, M.; Collier, S.; Brinton, W.; Cronquist, A.; Chen, M.; Thornton, A.; Beach, M.J.; Brunkard, J.M. Economic and health impacts associated with a Salmonella Typhimurium drinking water outbreak-Alamosa, CO, 2008. PloS One. 2013;8(3):e57439.</w:t>
      </w:r>
      <w:bookmarkEnd w:id="6"/>
    </w:p>
    <w:p w:rsidR="00502F78" w:rsidRPr="00AD4665" w:rsidRDefault="00502F78" w:rsidP="00502F78">
      <w:pPr>
        <w:rPr>
          <w:noProof/>
        </w:rPr>
      </w:pPr>
    </w:p>
    <w:p w:rsidR="00502F78" w:rsidRPr="00AD4665" w:rsidRDefault="00502F78" w:rsidP="00502F78">
      <w:proofErr w:type="spellStart"/>
      <w:r w:rsidRPr="00AD4665">
        <w:t>Rajasingham</w:t>
      </w:r>
      <w:proofErr w:type="spellEnd"/>
      <w:r w:rsidRPr="00AD4665">
        <w:t xml:space="preserve"> A.; Ayers T.; Derado G.; Stockman L.J.; Larsen G.; Higgins C.; Beach M.J.; Roy S.L., CDC Report (2013). Yellowstone National Park Backcountry Study: Study of Illness and Injury among Backcountry Users.</w:t>
      </w:r>
    </w:p>
    <w:p w:rsidR="00502F78" w:rsidRPr="00AD4665" w:rsidRDefault="00502F78" w:rsidP="00502F78">
      <w:pPr>
        <w:rPr>
          <w:noProof/>
        </w:rPr>
      </w:pPr>
    </w:p>
    <w:p w:rsidR="00502F78" w:rsidRPr="00AD4665" w:rsidRDefault="00502F78" w:rsidP="00502F78">
      <w:pPr>
        <w:rPr>
          <w:noProof/>
        </w:rPr>
      </w:pPr>
      <w:r w:rsidRPr="00AD4665">
        <w:rPr>
          <w:noProof/>
        </w:rPr>
        <w:t>Jones, A.Q.; Majowicz, S.E.; Edge, V.L.; Thomas, M.K.; MacDougall, L.; Fyfe, M.; Atashband, S.; Kovacs, S.J. Drinking water consumption patterns in British Columbia: an investigation of associations with demographic factors and acute gastrointestinal illness. The Science of the Total Environment. 2007 Dec 15;388(1-3):54-65.</w:t>
      </w:r>
      <w:bookmarkEnd w:id="7"/>
    </w:p>
    <w:p w:rsidR="00502F78" w:rsidRPr="00AD4665" w:rsidRDefault="00502F78" w:rsidP="00502F78">
      <w:pPr>
        <w:rPr>
          <w:noProof/>
        </w:rPr>
      </w:pPr>
    </w:p>
    <w:p w:rsidR="00502F78" w:rsidRPr="00AD4665" w:rsidRDefault="00502F78" w:rsidP="00502F78">
      <w:pPr>
        <w:rPr>
          <w:noProof/>
        </w:rPr>
      </w:pPr>
      <w:bookmarkStart w:id="8" w:name="_ENREF_21"/>
      <w:r w:rsidRPr="00AD4665">
        <w:rPr>
          <w:noProof/>
        </w:rPr>
        <w:t>Thomas, M.K.; Majowicz, S.E.; MacDougall, L.; Sockett, P.N.; Kovacs, S.J.; Fyfe, M.; Edge, V.L.; Dore, K.; Flint, J.A.; Henson, S.; Jones, A.Q. Population distribution and burden of acute gastrointestinal illness in British Columbia, Canada. BMC Public Health. 2006;6:307.</w:t>
      </w:r>
      <w:bookmarkEnd w:id="8"/>
    </w:p>
    <w:p w:rsidR="00502F78" w:rsidRPr="00AD4665" w:rsidRDefault="00502F78" w:rsidP="00502F78">
      <w:pPr>
        <w:rPr>
          <w:noProof/>
        </w:rPr>
      </w:pPr>
    </w:p>
    <w:p w:rsidR="00502F78" w:rsidRPr="00AD4665" w:rsidRDefault="00502F78" w:rsidP="00502F78">
      <w:pPr>
        <w:rPr>
          <w:noProof/>
        </w:rPr>
      </w:pPr>
      <w:bookmarkStart w:id="9" w:name="_ENREF_23"/>
      <w:r w:rsidRPr="00AD4665">
        <w:rPr>
          <w:noProof/>
        </w:rPr>
        <w:t>Arnold, B.F.; Schiff, K.C.; Griffith, J.F.; Gruber, J.S.; Yau, V.; Wright, C.C.; Wade, T.J.; Burns, S.; Hayes, J.M.; McGee, C.; Gold, M.; Cao, Y.P.; Weisberg, S.B.; Colford, J.M. Swimmer Illness Associated with Marine Water Exposure and Water Quality Indicators Impact of Widely Used Assumptions. Epidemiology. 2013 Nov;24(6):845-853.</w:t>
      </w:r>
      <w:bookmarkEnd w:id="9"/>
    </w:p>
    <w:p w:rsidR="00502F78" w:rsidRPr="00AD4665" w:rsidRDefault="00502F78" w:rsidP="00502F78">
      <w:pPr>
        <w:rPr>
          <w:rFonts w:ascii="Calibri" w:hAnsi="Calibri"/>
          <w:noProof/>
        </w:rPr>
      </w:pPr>
    </w:p>
    <w:p w:rsidR="001330AE" w:rsidRDefault="001330AE" w:rsidP="00C466F8"/>
    <w:sectPr w:rsidR="001330A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FE" w:rsidRDefault="00D62DFE" w:rsidP="00D66D29">
      <w:r>
        <w:separator/>
      </w:r>
    </w:p>
  </w:endnote>
  <w:endnote w:type="continuationSeparator" w:id="0">
    <w:p w:rsidR="00D62DFE" w:rsidRDefault="00D62DFE" w:rsidP="00D6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FE" w:rsidRDefault="00D62DFE" w:rsidP="00D66D29">
      <w:r>
        <w:separator/>
      </w:r>
    </w:p>
  </w:footnote>
  <w:footnote w:type="continuationSeparator" w:id="0">
    <w:p w:rsidR="00D62DFE" w:rsidRDefault="00D62DFE" w:rsidP="00D66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FE" w:rsidRDefault="00D62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FE" w:rsidRDefault="00D62DFE">
    <w:pPr>
      <w:pStyle w:val="Header"/>
    </w:pPr>
    <w:r>
      <w:t>Gargano OMB Mini-Supporting Statement Part B 082914</w:t>
    </w:r>
  </w:p>
  <w:p w:rsidR="00D62DFE" w:rsidRDefault="00D62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7BC"/>
    <w:multiLevelType w:val="hybridMultilevel"/>
    <w:tmpl w:val="71983D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DB0012"/>
    <w:multiLevelType w:val="hybridMultilevel"/>
    <w:tmpl w:val="ACDE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641F1"/>
    <w:multiLevelType w:val="hybridMultilevel"/>
    <w:tmpl w:val="27BCC3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9828C2"/>
    <w:multiLevelType w:val="hybridMultilevel"/>
    <w:tmpl w:val="8E06FD9A"/>
    <w:lvl w:ilvl="0" w:tplc="83B2BAB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244AA"/>
    <w:multiLevelType w:val="hybridMultilevel"/>
    <w:tmpl w:val="20EC59B0"/>
    <w:lvl w:ilvl="0" w:tplc="05328F40">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701374"/>
    <w:multiLevelType w:val="hybridMultilevel"/>
    <w:tmpl w:val="CD420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B63385"/>
    <w:multiLevelType w:val="hybridMultilevel"/>
    <w:tmpl w:val="FA22A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F58AB"/>
    <w:multiLevelType w:val="hybridMultilevel"/>
    <w:tmpl w:val="3B603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7033DE"/>
    <w:multiLevelType w:val="hybridMultilevel"/>
    <w:tmpl w:val="D14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1592B"/>
    <w:multiLevelType w:val="hybridMultilevel"/>
    <w:tmpl w:val="8F94A03C"/>
    <w:lvl w:ilvl="0" w:tplc="9D24F248">
      <w:start w:val="1"/>
      <w:numFmt w:val="decimal"/>
      <w:pStyle w:val="TOC1"/>
      <w:lvlText w:val="%1."/>
      <w:lvlJc w:val="left"/>
      <w:pPr>
        <w:ind w:left="36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6E03FB"/>
    <w:multiLevelType w:val="hybridMultilevel"/>
    <w:tmpl w:val="E320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3"/>
  </w:num>
  <w:num w:numId="6">
    <w:abstractNumId w:val="5"/>
  </w:num>
  <w:num w:numId="7">
    <w:abstractNumId w:val="11"/>
  </w:num>
  <w:num w:numId="8">
    <w:abstractNumId w:val="9"/>
  </w:num>
  <w:num w:numId="9">
    <w:abstractNumId w:val="1"/>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30"/>
    <w:rsid w:val="00022256"/>
    <w:rsid w:val="000651D7"/>
    <w:rsid w:val="0007783C"/>
    <w:rsid w:val="000817DF"/>
    <w:rsid w:val="00082F19"/>
    <w:rsid w:val="00083332"/>
    <w:rsid w:val="000A46EE"/>
    <w:rsid w:val="000A5E43"/>
    <w:rsid w:val="000E19E3"/>
    <w:rsid w:val="000F7F83"/>
    <w:rsid w:val="001244B3"/>
    <w:rsid w:val="001330AE"/>
    <w:rsid w:val="00144F1E"/>
    <w:rsid w:val="00155ECE"/>
    <w:rsid w:val="001A4B63"/>
    <w:rsid w:val="001A6D05"/>
    <w:rsid w:val="001C4BD9"/>
    <w:rsid w:val="001D2C66"/>
    <w:rsid w:val="001E0704"/>
    <w:rsid w:val="001F153D"/>
    <w:rsid w:val="002108FD"/>
    <w:rsid w:val="002445F1"/>
    <w:rsid w:val="0025366F"/>
    <w:rsid w:val="002A52DC"/>
    <w:rsid w:val="002C4028"/>
    <w:rsid w:val="002C5198"/>
    <w:rsid w:val="002E718C"/>
    <w:rsid w:val="00304B78"/>
    <w:rsid w:val="0031176C"/>
    <w:rsid w:val="00335C8E"/>
    <w:rsid w:val="0034600A"/>
    <w:rsid w:val="0038650D"/>
    <w:rsid w:val="003A5CE5"/>
    <w:rsid w:val="003A7CEE"/>
    <w:rsid w:val="003C40C9"/>
    <w:rsid w:val="003F42D0"/>
    <w:rsid w:val="00415F73"/>
    <w:rsid w:val="00417BE2"/>
    <w:rsid w:val="00420DCD"/>
    <w:rsid w:val="00422556"/>
    <w:rsid w:val="00435A51"/>
    <w:rsid w:val="00442DDC"/>
    <w:rsid w:val="004859DC"/>
    <w:rsid w:val="00490246"/>
    <w:rsid w:val="00502F78"/>
    <w:rsid w:val="005064EC"/>
    <w:rsid w:val="005555DB"/>
    <w:rsid w:val="005568D6"/>
    <w:rsid w:val="005623AC"/>
    <w:rsid w:val="005A3ED7"/>
    <w:rsid w:val="005A4D75"/>
    <w:rsid w:val="00600E1C"/>
    <w:rsid w:val="00612043"/>
    <w:rsid w:val="00635EB5"/>
    <w:rsid w:val="00640C27"/>
    <w:rsid w:val="00665E50"/>
    <w:rsid w:val="006729DC"/>
    <w:rsid w:val="006A75B5"/>
    <w:rsid w:val="006B0EA5"/>
    <w:rsid w:val="006E12CB"/>
    <w:rsid w:val="00706A16"/>
    <w:rsid w:val="00707C9B"/>
    <w:rsid w:val="00710159"/>
    <w:rsid w:val="00756A5A"/>
    <w:rsid w:val="00761053"/>
    <w:rsid w:val="007771B3"/>
    <w:rsid w:val="007B17DE"/>
    <w:rsid w:val="007E1476"/>
    <w:rsid w:val="007F18E8"/>
    <w:rsid w:val="007F342F"/>
    <w:rsid w:val="0080410F"/>
    <w:rsid w:val="00805AF6"/>
    <w:rsid w:val="008600AD"/>
    <w:rsid w:val="0086163C"/>
    <w:rsid w:val="008A4B31"/>
    <w:rsid w:val="008C0524"/>
    <w:rsid w:val="008C3485"/>
    <w:rsid w:val="008F427E"/>
    <w:rsid w:val="009345B8"/>
    <w:rsid w:val="0093703F"/>
    <w:rsid w:val="00974C7A"/>
    <w:rsid w:val="00984C45"/>
    <w:rsid w:val="00993115"/>
    <w:rsid w:val="00994B2D"/>
    <w:rsid w:val="009B1BE2"/>
    <w:rsid w:val="009B4326"/>
    <w:rsid w:val="009C1FE2"/>
    <w:rsid w:val="009C5E27"/>
    <w:rsid w:val="009C71A8"/>
    <w:rsid w:val="009E4A24"/>
    <w:rsid w:val="009E6E70"/>
    <w:rsid w:val="009F283A"/>
    <w:rsid w:val="009F37DF"/>
    <w:rsid w:val="00A22E9B"/>
    <w:rsid w:val="00A237E7"/>
    <w:rsid w:val="00A44903"/>
    <w:rsid w:val="00A45D3A"/>
    <w:rsid w:val="00A520A5"/>
    <w:rsid w:val="00A56B88"/>
    <w:rsid w:val="00A61066"/>
    <w:rsid w:val="00A674D2"/>
    <w:rsid w:val="00A9591D"/>
    <w:rsid w:val="00AD4665"/>
    <w:rsid w:val="00AE2CA5"/>
    <w:rsid w:val="00B75425"/>
    <w:rsid w:val="00BB23BF"/>
    <w:rsid w:val="00BD0E15"/>
    <w:rsid w:val="00BE5512"/>
    <w:rsid w:val="00BF2E3C"/>
    <w:rsid w:val="00C03637"/>
    <w:rsid w:val="00C04089"/>
    <w:rsid w:val="00C326F2"/>
    <w:rsid w:val="00C466F8"/>
    <w:rsid w:val="00C51530"/>
    <w:rsid w:val="00CD2C03"/>
    <w:rsid w:val="00CD38D9"/>
    <w:rsid w:val="00CE58E3"/>
    <w:rsid w:val="00CE7F92"/>
    <w:rsid w:val="00CF3C6E"/>
    <w:rsid w:val="00CF7956"/>
    <w:rsid w:val="00D42A01"/>
    <w:rsid w:val="00D62DFE"/>
    <w:rsid w:val="00D66D29"/>
    <w:rsid w:val="00D81951"/>
    <w:rsid w:val="00D86768"/>
    <w:rsid w:val="00E130EE"/>
    <w:rsid w:val="00E41E37"/>
    <w:rsid w:val="00E61C94"/>
    <w:rsid w:val="00E634A6"/>
    <w:rsid w:val="00E9353C"/>
    <w:rsid w:val="00EA26B1"/>
    <w:rsid w:val="00EA75D6"/>
    <w:rsid w:val="00ED79B8"/>
    <w:rsid w:val="00F03987"/>
    <w:rsid w:val="00F42976"/>
    <w:rsid w:val="00F47615"/>
    <w:rsid w:val="00F544AD"/>
    <w:rsid w:val="00F8257D"/>
    <w:rsid w:val="00FA3D30"/>
    <w:rsid w:val="00FC2592"/>
    <w:rsid w:val="00FD3F5F"/>
    <w:rsid w:val="00FF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30"/>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9E4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30"/>
    <w:pPr>
      <w:ind w:left="720"/>
      <w:contextualSpacing/>
    </w:pPr>
  </w:style>
  <w:style w:type="character" w:styleId="Strong">
    <w:name w:val="Strong"/>
    <w:basedOn w:val="DefaultParagraphFont"/>
    <w:uiPriority w:val="22"/>
    <w:qFormat/>
    <w:rsid w:val="008A4B31"/>
    <w:rPr>
      <w:b/>
      <w:bCs/>
    </w:rPr>
  </w:style>
  <w:style w:type="paragraph" w:styleId="NormalWeb">
    <w:name w:val="Normal (Web)"/>
    <w:basedOn w:val="Normal"/>
    <w:uiPriority w:val="99"/>
    <w:semiHidden/>
    <w:unhideWhenUsed/>
    <w:rsid w:val="008A4B31"/>
    <w:pPr>
      <w:spacing w:after="216" w:line="336" w:lineRule="atLeast"/>
      <w:ind w:left="75" w:right="75"/>
    </w:pPr>
    <w:rPr>
      <w:szCs w:val="24"/>
    </w:rPr>
  </w:style>
  <w:style w:type="character" w:styleId="Emphasis">
    <w:name w:val="Emphasis"/>
    <w:basedOn w:val="DefaultParagraphFont"/>
    <w:uiPriority w:val="20"/>
    <w:qFormat/>
    <w:rsid w:val="008A4B31"/>
    <w:rPr>
      <w:i/>
      <w:iCs/>
    </w:rPr>
  </w:style>
  <w:style w:type="character" w:styleId="CommentReference">
    <w:name w:val="annotation reference"/>
    <w:basedOn w:val="DefaultParagraphFont"/>
    <w:uiPriority w:val="99"/>
    <w:unhideWhenUsed/>
    <w:rsid w:val="007771B3"/>
    <w:rPr>
      <w:sz w:val="16"/>
      <w:szCs w:val="16"/>
    </w:rPr>
  </w:style>
  <w:style w:type="paragraph" w:styleId="CommentText">
    <w:name w:val="annotation text"/>
    <w:basedOn w:val="Normal"/>
    <w:link w:val="CommentTextChar"/>
    <w:unhideWhenUsed/>
    <w:rsid w:val="007771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7771B3"/>
    <w:rPr>
      <w:sz w:val="20"/>
      <w:szCs w:val="20"/>
    </w:rPr>
  </w:style>
  <w:style w:type="paragraph" w:styleId="BalloonText">
    <w:name w:val="Balloon Text"/>
    <w:basedOn w:val="Normal"/>
    <w:link w:val="BalloonTextChar"/>
    <w:uiPriority w:val="99"/>
    <w:semiHidden/>
    <w:unhideWhenUsed/>
    <w:rsid w:val="007771B3"/>
    <w:rPr>
      <w:rFonts w:ascii="Tahoma" w:hAnsi="Tahoma" w:cs="Tahoma"/>
      <w:sz w:val="16"/>
      <w:szCs w:val="16"/>
    </w:rPr>
  </w:style>
  <w:style w:type="character" w:customStyle="1" w:styleId="BalloonTextChar">
    <w:name w:val="Balloon Text Char"/>
    <w:basedOn w:val="DefaultParagraphFont"/>
    <w:link w:val="BalloonText"/>
    <w:uiPriority w:val="99"/>
    <w:semiHidden/>
    <w:rsid w:val="007771B3"/>
    <w:rPr>
      <w:rFonts w:ascii="Tahoma" w:eastAsia="Times New Roman" w:hAnsi="Tahoma" w:cs="Tahoma"/>
      <w:sz w:val="16"/>
      <w:szCs w:val="16"/>
    </w:rPr>
  </w:style>
  <w:style w:type="table" w:styleId="TableGrid">
    <w:name w:val="Table Grid"/>
    <w:basedOn w:val="TableNormal"/>
    <w:rsid w:val="00D8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676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86768"/>
    <w:rPr>
      <w:rFonts w:ascii="Times New Roman" w:eastAsia="Times New Roman" w:hAnsi="Times New Roman" w:cs="Times New Roman"/>
      <w:b/>
      <w:bCs/>
      <w:sz w:val="20"/>
      <w:szCs w:val="20"/>
    </w:rPr>
  </w:style>
  <w:style w:type="paragraph" w:styleId="NoSpacing">
    <w:name w:val="No Spacing"/>
    <w:uiPriority w:val="1"/>
    <w:qFormat/>
    <w:rsid w:val="00CE58E3"/>
    <w:pPr>
      <w:spacing w:after="0" w:line="240" w:lineRule="auto"/>
    </w:pPr>
  </w:style>
  <w:style w:type="character" w:styleId="Hyperlink">
    <w:name w:val="Hyperlink"/>
    <w:basedOn w:val="DefaultParagraphFont"/>
    <w:uiPriority w:val="99"/>
    <w:rsid w:val="002108FD"/>
    <w:rPr>
      <w:rFonts w:cs="Times New Roman"/>
      <w:color w:val="0000FF"/>
      <w:u w:val="single"/>
    </w:rPr>
  </w:style>
  <w:style w:type="paragraph" w:styleId="Header">
    <w:name w:val="header"/>
    <w:basedOn w:val="Normal"/>
    <w:link w:val="HeaderChar"/>
    <w:uiPriority w:val="99"/>
    <w:unhideWhenUsed/>
    <w:rsid w:val="00D66D29"/>
    <w:pPr>
      <w:tabs>
        <w:tab w:val="center" w:pos="4680"/>
        <w:tab w:val="right" w:pos="9360"/>
      </w:tabs>
    </w:pPr>
  </w:style>
  <w:style w:type="character" w:customStyle="1" w:styleId="HeaderChar">
    <w:name w:val="Header Char"/>
    <w:basedOn w:val="DefaultParagraphFont"/>
    <w:link w:val="Header"/>
    <w:uiPriority w:val="99"/>
    <w:rsid w:val="00D66D29"/>
    <w:rPr>
      <w:rFonts w:ascii="Times New Roman" w:eastAsia="Times New Roman" w:hAnsi="Times New Roman" w:cs="Times New Roman"/>
      <w:sz w:val="24"/>
    </w:rPr>
  </w:style>
  <w:style w:type="paragraph" w:styleId="Footer">
    <w:name w:val="footer"/>
    <w:basedOn w:val="Normal"/>
    <w:link w:val="FooterChar"/>
    <w:uiPriority w:val="99"/>
    <w:unhideWhenUsed/>
    <w:rsid w:val="00D66D29"/>
    <w:pPr>
      <w:tabs>
        <w:tab w:val="center" w:pos="4680"/>
        <w:tab w:val="right" w:pos="9360"/>
      </w:tabs>
    </w:pPr>
  </w:style>
  <w:style w:type="character" w:customStyle="1" w:styleId="FooterChar">
    <w:name w:val="Footer Char"/>
    <w:basedOn w:val="DefaultParagraphFont"/>
    <w:link w:val="Footer"/>
    <w:uiPriority w:val="99"/>
    <w:rsid w:val="00D66D29"/>
    <w:rPr>
      <w:rFonts w:ascii="Times New Roman" w:eastAsia="Times New Roman" w:hAnsi="Times New Roman" w:cs="Times New Roman"/>
      <w:sz w:val="24"/>
    </w:rPr>
  </w:style>
  <w:style w:type="paragraph" w:styleId="Revision">
    <w:name w:val="Revision"/>
    <w:hidden/>
    <w:uiPriority w:val="99"/>
    <w:semiHidden/>
    <w:rsid w:val="0031176C"/>
    <w:pPr>
      <w:spacing w:after="0" w:line="240" w:lineRule="auto"/>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9E4A2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E4A24"/>
    <w:pPr>
      <w:spacing w:line="276" w:lineRule="auto"/>
      <w:outlineLvl w:val="9"/>
    </w:pPr>
    <w:rPr>
      <w:lang w:eastAsia="ja-JP"/>
    </w:rPr>
  </w:style>
  <w:style w:type="paragraph" w:styleId="TOC1">
    <w:name w:val="toc 1"/>
    <w:basedOn w:val="Normal"/>
    <w:next w:val="Normal"/>
    <w:autoRedefine/>
    <w:uiPriority w:val="39"/>
    <w:unhideWhenUsed/>
    <w:rsid w:val="009E4A24"/>
    <w:pPr>
      <w:numPr>
        <w:numId w:val="11"/>
      </w:numPr>
      <w:tabs>
        <w:tab w:val="left" w:pos="440"/>
        <w:tab w:val="right" w:leader="dot" w:pos="935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30"/>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9E4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30"/>
    <w:pPr>
      <w:ind w:left="720"/>
      <w:contextualSpacing/>
    </w:pPr>
  </w:style>
  <w:style w:type="character" w:styleId="Strong">
    <w:name w:val="Strong"/>
    <w:basedOn w:val="DefaultParagraphFont"/>
    <w:uiPriority w:val="22"/>
    <w:qFormat/>
    <w:rsid w:val="008A4B31"/>
    <w:rPr>
      <w:b/>
      <w:bCs/>
    </w:rPr>
  </w:style>
  <w:style w:type="paragraph" w:styleId="NormalWeb">
    <w:name w:val="Normal (Web)"/>
    <w:basedOn w:val="Normal"/>
    <w:uiPriority w:val="99"/>
    <w:semiHidden/>
    <w:unhideWhenUsed/>
    <w:rsid w:val="008A4B31"/>
    <w:pPr>
      <w:spacing w:after="216" w:line="336" w:lineRule="atLeast"/>
      <w:ind w:left="75" w:right="75"/>
    </w:pPr>
    <w:rPr>
      <w:szCs w:val="24"/>
    </w:rPr>
  </w:style>
  <w:style w:type="character" w:styleId="Emphasis">
    <w:name w:val="Emphasis"/>
    <w:basedOn w:val="DefaultParagraphFont"/>
    <w:uiPriority w:val="20"/>
    <w:qFormat/>
    <w:rsid w:val="008A4B31"/>
    <w:rPr>
      <w:i/>
      <w:iCs/>
    </w:rPr>
  </w:style>
  <w:style w:type="character" w:styleId="CommentReference">
    <w:name w:val="annotation reference"/>
    <w:basedOn w:val="DefaultParagraphFont"/>
    <w:uiPriority w:val="99"/>
    <w:unhideWhenUsed/>
    <w:rsid w:val="007771B3"/>
    <w:rPr>
      <w:sz w:val="16"/>
      <w:szCs w:val="16"/>
    </w:rPr>
  </w:style>
  <w:style w:type="paragraph" w:styleId="CommentText">
    <w:name w:val="annotation text"/>
    <w:basedOn w:val="Normal"/>
    <w:link w:val="CommentTextChar"/>
    <w:unhideWhenUsed/>
    <w:rsid w:val="007771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7771B3"/>
    <w:rPr>
      <w:sz w:val="20"/>
      <w:szCs w:val="20"/>
    </w:rPr>
  </w:style>
  <w:style w:type="paragraph" w:styleId="BalloonText">
    <w:name w:val="Balloon Text"/>
    <w:basedOn w:val="Normal"/>
    <w:link w:val="BalloonTextChar"/>
    <w:uiPriority w:val="99"/>
    <w:semiHidden/>
    <w:unhideWhenUsed/>
    <w:rsid w:val="007771B3"/>
    <w:rPr>
      <w:rFonts w:ascii="Tahoma" w:hAnsi="Tahoma" w:cs="Tahoma"/>
      <w:sz w:val="16"/>
      <w:szCs w:val="16"/>
    </w:rPr>
  </w:style>
  <w:style w:type="character" w:customStyle="1" w:styleId="BalloonTextChar">
    <w:name w:val="Balloon Text Char"/>
    <w:basedOn w:val="DefaultParagraphFont"/>
    <w:link w:val="BalloonText"/>
    <w:uiPriority w:val="99"/>
    <w:semiHidden/>
    <w:rsid w:val="007771B3"/>
    <w:rPr>
      <w:rFonts w:ascii="Tahoma" w:eastAsia="Times New Roman" w:hAnsi="Tahoma" w:cs="Tahoma"/>
      <w:sz w:val="16"/>
      <w:szCs w:val="16"/>
    </w:rPr>
  </w:style>
  <w:style w:type="table" w:styleId="TableGrid">
    <w:name w:val="Table Grid"/>
    <w:basedOn w:val="TableNormal"/>
    <w:rsid w:val="00D8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676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86768"/>
    <w:rPr>
      <w:rFonts w:ascii="Times New Roman" w:eastAsia="Times New Roman" w:hAnsi="Times New Roman" w:cs="Times New Roman"/>
      <w:b/>
      <w:bCs/>
      <w:sz w:val="20"/>
      <w:szCs w:val="20"/>
    </w:rPr>
  </w:style>
  <w:style w:type="paragraph" w:styleId="NoSpacing">
    <w:name w:val="No Spacing"/>
    <w:uiPriority w:val="1"/>
    <w:qFormat/>
    <w:rsid w:val="00CE58E3"/>
    <w:pPr>
      <w:spacing w:after="0" w:line="240" w:lineRule="auto"/>
    </w:pPr>
  </w:style>
  <w:style w:type="character" w:styleId="Hyperlink">
    <w:name w:val="Hyperlink"/>
    <w:basedOn w:val="DefaultParagraphFont"/>
    <w:uiPriority w:val="99"/>
    <w:rsid w:val="002108FD"/>
    <w:rPr>
      <w:rFonts w:cs="Times New Roman"/>
      <w:color w:val="0000FF"/>
      <w:u w:val="single"/>
    </w:rPr>
  </w:style>
  <w:style w:type="paragraph" w:styleId="Header">
    <w:name w:val="header"/>
    <w:basedOn w:val="Normal"/>
    <w:link w:val="HeaderChar"/>
    <w:uiPriority w:val="99"/>
    <w:unhideWhenUsed/>
    <w:rsid w:val="00D66D29"/>
    <w:pPr>
      <w:tabs>
        <w:tab w:val="center" w:pos="4680"/>
        <w:tab w:val="right" w:pos="9360"/>
      </w:tabs>
    </w:pPr>
  </w:style>
  <w:style w:type="character" w:customStyle="1" w:styleId="HeaderChar">
    <w:name w:val="Header Char"/>
    <w:basedOn w:val="DefaultParagraphFont"/>
    <w:link w:val="Header"/>
    <w:uiPriority w:val="99"/>
    <w:rsid w:val="00D66D29"/>
    <w:rPr>
      <w:rFonts w:ascii="Times New Roman" w:eastAsia="Times New Roman" w:hAnsi="Times New Roman" w:cs="Times New Roman"/>
      <w:sz w:val="24"/>
    </w:rPr>
  </w:style>
  <w:style w:type="paragraph" w:styleId="Footer">
    <w:name w:val="footer"/>
    <w:basedOn w:val="Normal"/>
    <w:link w:val="FooterChar"/>
    <w:uiPriority w:val="99"/>
    <w:unhideWhenUsed/>
    <w:rsid w:val="00D66D29"/>
    <w:pPr>
      <w:tabs>
        <w:tab w:val="center" w:pos="4680"/>
        <w:tab w:val="right" w:pos="9360"/>
      </w:tabs>
    </w:pPr>
  </w:style>
  <w:style w:type="character" w:customStyle="1" w:styleId="FooterChar">
    <w:name w:val="Footer Char"/>
    <w:basedOn w:val="DefaultParagraphFont"/>
    <w:link w:val="Footer"/>
    <w:uiPriority w:val="99"/>
    <w:rsid w:val="00D66D29"/>
    <w:rPr>
      <w:rFonts w:ascii="Times New Roman" w:eastAsia="Times New Roman" w:hAnsi="Times New Roman" w:cs="Times New Roman"/>
      <w:sz w:val="24"/>
    </w:rPr>
  </w:style>
  <w:style w:type="paragraph" w:styleId="Revision">
    <w:name w:val="Revision"/>
    <w:hidden/>
    <w:uiPriority w:val="99"/>
    <w:semiHidden/>
    <w:rsid w:val="0031176C"/>
    <w:pPr>
      <w:spacing w:after="0" w:line="240" w:lineRule="auto"/>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9E4A2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E4A24"/>
    <w:pPr>
      <w:spacing w:line="276" w:lineRule="auto"/>
      <w:outlineLvl w:val="9"/>
    </w:pPr>
    <w:rPr>
      <w:lang w:eastAsia="ja-JP"/>
    </w:rPr>
  </w:style>
  <w:style w:type="paragraph" w:styleId="TOC1">
    <w:name w:val="toc 1"/>
    <w:basedOn w:val="Normal"/>
    <w:next w:val="Normal"/>
    <w:autoRedefine/>
    <w:uiPriority w:val="39"/>
    <w:unhideWhenUsed/>
    <w:rsid w:val="009E4A24"/>
    <w:pPr>
      <w:numPr>
        <w:numId w:val="11"/>
      </w:numPr>
      <w:tabs>
        <w:tab w:val="left" w:pos="44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09419">
      <w:bodyDiv w:val="1"/>
      <w:marLeft w:val="0"/>
      <w:marRight w:val="0"/>
      <w:marTop w:val="0"/>
      <w:marBottom w:val="0"/>
      <w:divBdr>
        <w:top w:val="none" w:sz="0" w:space="0" w:color="auto"/>
        <w:left w:val="none" w:sz="0" w:space="0" w:color="auto"/>
        <w:bottom w:val="none" w:sz="0" w:space="0" w:color="auto"/>
        <w:right w:val="none" w:sz="0" w:space="0" w:color="auto"/>
      </w:divBdr>
      <w:divsChild>
        <w:div w:id="1754693259">
          <w:marLeft w:val="0"/>
          <w:marRight w:val="0"/>
          <w:marTop w:val="0"/>
          <w:marBottom w:val="75"/>
          <w:divBdr>
            <w:top w:val="none" w:sz="0" w:space="0" w:color="auto"/>
            <w:left w:val="single" w:sz="6" w:space="0" w:color="CCCCCC"/>
            <w:bottom w:val="single" w:sz="6" w:space="2" w:color="CCCCCC"/>
            <w:right w:val="single" w:sz="6" w:space="0" w:color="CCCCCC"/>
          </w:divBdr>
          <w:divsChild>
            <w:div w:id="106850221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unkard@cdc.gov" TargetMode="External"/><Relationship Id="rId13" Type="http://schemas.openxmlformats.org/officeDocument/2006/relationships/hyperlink" Target="mailto:veh2@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si7@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nz6@cd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jp2@cd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pq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7</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32</cp:revision>
  <dcterms:created xsi:type="dcterms:W3CDTF">2014-09-09T15:31:00Z</dcterms:created>
  <dcterms:modified xsi:type="dcterms:W3CDTF">2014-09-26T14:14:00Z</dcterms:modified>
</cp:coreProperties>
</file>