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9A5" w:rsidRDefault="00DD49A5"/>
    <w:p w:rsidR="0097203A" w:rsidRDefault="000A364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Attachment 6: </w:t>
      </w:r>
      <w:r w:rsidR="0097203A" w:rsidRPr="00580A10">
        <w:rPr>
          <w:rFonts w:ascii="Times New Roman" w:hAnsi="Times New Roman" w:cs="Times New Roman"/>
          <w:b/>
          <w:sz w:val="24"/>
          <w:szCs w:val="24"/>
        </w:rPr>
        <w:t>Overview of Changes (0920-0909)</w:t>
      </w:r>
      <w:r w:rsidR="00D0685E">
        <w:rPr>
          <w:rFonts w:ascii="Times New Roman" w:hAnsi="Times New Roman" w:cs="Times New Roman"/>
          <w:b/>
          <w:sz w:val="24"/>
          <w:szCs w:val="24"/>
        </w:rPr>
        <w:t>*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8"/>
        <w:gridCol w:w="3147"/>
        <w:gridCol w:w="4009"/>
        <w:gridCol w:w="2802"/>
      </w:tblGrid>
      <w:tr w:rsidR="0097203A" w:rsidTr="002801AF">
        <w:trPr>
          <w:cantSplit/>
          <w:tblHeader/>
        </w:trPr>
        <w:tc>
          <w:tcPr>
            <w:tcW w:w="3218" w:type="dxa"/>
            <w:shd w:val="clear" w:color="auto" w:fill="BFBFBF" w:themeFill="background1" w:themeFillShade="BF"/>
          </w:tcPr>
          <w:p w:rsidR="0097203A" w:rsidRPr="00F04D1F" w:rsidRDefault="0097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1F">
              <w:rPr>
                <w:rFonts w:ascii="Times New Roman" w:hAnsi="Times New Roman" w:cs="Times New Roman"/>
                <w:b/>
                <w:sz w:val="24"/>
                <w:szCs w:val="24"/>
              </w:rPr>
              <w:t>Type of Change</w:t>
            </w:r>
          </w:p>
        </w:tc>
        <w:tc>
          <w:tcPr>
            <w:tcW w:w="3147" w:type="dxa"/>
            <w:shd w:val="clear" w:color="auto" w:fill="BFBFBF" w:themeFill="background1" w:themeFillShade="BF"/>
          </w:tcPr>
          <w:p w:rsidR="0097203A" w:rsidRPr="00F04D1F" w:rsidRDefault="0097203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1F">
              <w:rPr>
                <w:rFonts w:ascii="Times New Roman" w:hAnsi="Times New Roman" w:cs="Times New Roman"/>
                <w:b/>
                <w:sz w:val="24"/>
                <w:szCs w:val="24"/>
              </w:rPr>
              <w:t>Rationale</w:t>
            </w:r>
          </w:p>
        </w:tc>
        <w:tc>
          <w:tcPr>
            <w:tcW w:w="4009" w:type="dxa"/>
            <w:shd w:val="clear" w:color="auto" w:fill="BFBFBF" w:themeFill="background1" w:themeFillShade="BF"/>
          </w:tcPr>
          <w:p w:rsidR="0097203A" w:rsidRPr="00F04D1F" w:rsidRDefault="00EC3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1F">
              <w:rPr>
                <w:rFonts w:ascii="Times New Roman" w:hAnsi="Times New Roman" w:cs="Times New Roman"/>
                <w:b/>
                <w:sz w:val="24"/>
                <w:szCs w:val="24"/>
              </w:rPr>
              <w:t>Detailed Description of Change(s)</w:t>
            </w:r>
          </w:p>
        </w:tc>
        <w:tc>
          <w:tcPr>
            <w:tcW w:w="2802" w:type="dxa"/>
            <w:shd w:val="clear" w:color="auto" w:fill="BFBFBF" w:themeFill="background1" w:themeFillShade="BF"/>
          </w:tcPr>
          <w:p w:rsidR="0097203A" w:rsidRPr="00F04D1F" w:rsidRDefault="00EC342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4D1F">
              <w:rPr>
                <w:rFonts w:ascii="Times New Roman" w:hAnsi="Times New Roman" w:cs="Times New Roman"/>
                <w:b/>
                <w:sz w:val="24"/>
                <w:szCs w:val="24"/>
              </w:rPr>
              <w:t>Affected Form(s)</w:t>
            </w:r>
          </w:p>
        </w:tc>
      </w:tr>
      <w:tr w:rsidR="002801AF" w:rsidTr="002801AF">
        <w:trPr>
          <w:cantSplit/>
        </w:trPr>
        <w:tc>
          <w:tcPr>
            <w:tcW w:w="3218" w:type="dxa"/>
          </w:tcPr>
          <w:p w:rsidR="002801AF" w:rsidRPr="00580A10" w:rsidRDefault="002801AF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Programmatic changes</w:t>
            </w:r>
          </w:p>
        </w:tc>
        <w:tc>
          <w:tcPr>
            <w:tcW w:w="3147" w:type="dxa"/>
          </w:tcPr>
          <w:p w:rsidR="002801AF" w:rsidRPr="00580A10" w:rsidRDefault="002801AF" w:rsidP="00BA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The science of the primary prevention of type 2 diabetes has evolved and now </w:t>
            </w:r>
            <w:r w:rsidR="00D4759A">
              <w:rPr>
                <w:rFonts w:ascii="Times New Roman" w:hAnsi="Times New Roman" w:cs="Times New Roman"/>
                <w:sz w:val="24"/>
                <w:szCs w:val="24"/>
              </w:rPr>
              <w:t xml:space="preserve">the evidence base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includes alternative modes and methods of delivery.  The standards were revised to reflect this science and be applicable to all recognized lifestyle programs.  </w:t>
            </w:r>
          </w:p>
        </w:tc>
        <w:tc>
          <w:tcPr>
            <w:tcW w:w="4009" w:type="dxa"/>
          </w:tcPr>
          <w:p w:rsidR="002801AF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a. allow virtual program delivery; </w:t>
            </w:r>
          </w:p>
          <w:p w:rsidR="002801AF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b. eliminate requirements for in-person delivery/ interaction with lifestyle coach, exactly one-hour sessions and hard-copy materials; </w:t>
            </w:r>
          </w:p>
          <w:p w:rsidR="002801AF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c. increase flexibility in curricula delivery by trained coaches; </w:t>
            </w:r>
          </w:p>
          <w:p w:rsidR="002801AF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d. participants</w:t>
            </w:r>
            <w:r w:rsidR="00D608CB">
              <w:rPr>
                <w:rFonts w:ascii="Times New Roman" w:hAnsi="Times New Roman" w:cs="Times New Roman"/>
                <w:sz w:val="24"/>
                <w:szCs w:val="24"/>
              </w:rPr>
              <w:t xml:space="preserve"> will be allowed to self-</w:t>
            </w:r>
            <w:r w:rsidR="00D608CB" w:rsidRPr="000477B1">
              <w:rPr>
                <w:rFonts w:ascii="Times New Roman" w:hAnsi="Times New Roman" w:cs="Times New Roman"/>
                <w:sz w:val="24"/>
                <w:szCs w:val="24"/>
              </w:rPr>
              <w:t xml:space="preserve">report </w:t>
            </w:r>
            <w:r w:rsidR="00C75B36" w:rsidRPr="00E172D3">
              <w:rPr>
                <w:rFonts w:ascii="Times New Roman" w:hAnsi="Times New Roman" w:cs="Times New Roman"/>
                <w:sz w:val="24"/>
                <w:szCs w:val="24"/>
              </w:rPr>
              <w:t>objectively measured</w:t>
            </w:r>
            <w:r w:rsidR="000477B1" w:rsidRPr="000477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608CB">
              <w:rPr>
                <w:rFonts w:ascii="Times New Roman" w:hAnsi="Times New Roman" w:cs="Times New Roman"/>
                <w:sz w:val="24"/>
                <w:szCs w:val="24"/>
              </w:rPr>
              <w:t>weight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proofErr w:type="gramEnd"/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. terms “core” and “post-core” changed to 1</w:t>
            </w:r>
            <w:r w:rsidRPr="00580A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six months/2</w:t>
            </w:r>
            <w:r w:rsidRPr="00580A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six months (due to elimination of Session ID, Session Type and increased flexibility) with subtle changes in DPRP data analysis but not to the information collection or burden.</w:t>
            </w:r>
          </w:p>
        </w:tc>
        <w:tc>
          <w:tcPr>
            <w:tcW w:w="2802" w:type="dxa"/>
          </w:tcPr>
          <w:p w:rsidR="002801AF" w:rsidRPr="00580A10" w:rsidRDefault="002801AF" w:rsidP="00C75B36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DPRP Standards 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(Attachment 3)</w:t>
            </w:r>
          </w:p>
          <w:p w:rsidR="002801AF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virtual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[location];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p. 3; b. intervention intensity p. 10; </w:t>
            </w:r>
          </w:p>
          <w:p w:rsidR="002801AF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c. curriculum p</w:t>
            </w:r>
            <w:r w:rsidR="008E6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6-10; </w:t>
            </w:r>
          </w:p>
          <w:p w:rsidR="002801AF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d. weight p</w:t>
            </w:r>
            <w:r w:rsidR="008E6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10; </w:t>
            </w:r>
          </w:p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e. curriculum p</w:t>
            </w:r>
            <w:r w:rsidR="008E6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6-10 and p</w:t>
            </w:r>
            <w:r w:rsidR="008E6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15-18 evaluation data elements [analysis only relative to 1</w:t>
            </w:r>
            <w:r w:rsidRPr="00580A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/2</w:t>
            </w:r>
            <w:r w:rsidRPr="00580A1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six months])</w:t>
            </w:r>
          </w:p>
        </w:tc>
      </w:tr>
      <w:tr w:rsidR="002801AF" w:rsidTr="002801AF">
        <w:trPr>
          <w:cantSplit/>
        </w:trPr>
        <w:tc>
          <w:tcPr>
            <w:tcW w:w="3218" w:type="dxa"/>
          </w:tcPr>
          <w:p w:rsidR="002801AF" w:rsidRPr="00580A10" w:rsidRDefault="002801AF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Collect additional contact information for applicant organizations</w:t>
            </w:r>
          </w:p>
        </w:tc>
        <w:tc>
          <w:tcPr>
            <w:tcW w:w="3147" w:type="dxa"/>
          </w:tcPr>
          <w:p w:rsidR="002801AF" w:rsidRPr="00580A10" w:rsidRDefault="002801AF" w:rsidP="00BA45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Improve CDC’s ability to follow up with an applicant organization in the event of turnover in personnel at the applicant organization or questions related to data submissions</w:t>
            </w:r>
          </w:p>
        </w:tc>
        <w:tc>
          <w:tcPr>
            <w:tcW w:w="4009" w:type="dxa"/>
          </w:tcPr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Add fields for Secondary Organizational Contact: Name, Title, Email Address, Phone Number and Fax Number</w:t>
            </w:r>
          </w:p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Add fields for Data Preparer: Name, Title, Email Address, Phone Number and Fax Number</w:t>
            </w:r>
          </w:p>
        </w:tc>
        <w:tc>
          <w:tcPr>
            <w:tcW w:w="2802" w:type="dxa"/>
          </w:tcPr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Application Form (Attachment 4A)</w:t>
            </w:r>
          </w:p>
        </w:tc>
      </w:tr>
      <w:tr w:rsidR="002801AF" w:rsidTr="002801AF">
        <w:trPr>
          <w:cantSplit/>
        </w:trPr>
        <w:tc>
          <w:tcPr>
            <w:tcW w:w="3218" w:type="dxa"/>
          </w:tcPr>
          <w:p w:rsidR="002801AF" w:rsidRPr="00580A10" w:rsidRDefault="002801AF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Clarify the type of information submitted on the Application Form</w:t>
            </w:r>
          </w:p>
        </w:tc>
        <w:tc>
          <w:tcPr>
            <w:tcW w:w="3147" w:type="dxa"/>
          </w:tcPr>
          <w:p w:rsidR="002801AF" w:rsidRPr="00580A10" w:rsidRDefault="002801AF" w:rsidP="001A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Change is not a “type” of application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(changes should be reported via email)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and the organization code will be assigned by the DPRP once the application is approved.</w:t>
            </w:r>
          </w:p>
        </w:tc>
        <w:tc>
          <w:tcPr>
            <w:tcW w:w="4009" w:type="dxa"/>
          </w:tcPr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Delete “Change” as a response option for the field: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Application Type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and delete the field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Organization Code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  <w:p w:rsidR="002801AF" w:rsidRDefault="002801AF" w:rsidP="00DF64A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1AF" w:rsidRPr="00580A10" w:rsidRDefault="002801AF" w:rsidP="001A36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Added:  changes to application form data (i.e., contact information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should be submitted via email </w:t>
            </w:r>
          </w:p>
        </w:tc>
        <w:tc>
          <w:tcPr>
            <w:tcW w:w="2802" w:type="dxa"/>
          </w:tcPr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Application Form</w:t>
            </w:r>
          </w:p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(Attachment 4A)</w:t>
            </w:r>
          </w:p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1AF" w:rsidRDefault="002801AF" w:rsidP="00F03E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801AF" w:rsidRPr="00580A10" w:rsidRDefault="002801AF" w:rsidP="00F0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Application Form Web Confirmation Pages (Attachment 4C)</w:t>
            </w:r>
          </w:p>
        </w:tc>
      </w:tr>
      <w:tr w:rsidR="002801AF" w:rsidTr="002801AF">
        <w:trPr>
          <w:cantSplit/>
        </w:trPr>
        <w:tc>
          <w:tcPr>
            <w:tcW w:w="3218" w:type="dxa"/>
          </w:tcPr>
          <w:p w:rsidR="002801AF" w:rsidRPr="00580A10" w:rsidRDefault="002801AF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Allow entities that offer distance learning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(virtual)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programs to apply for recognition</w:t>
            </w:r>
          </w:p>
        </w:tc>
        <w:tc>
          <w:tcPr>
            <w:tcW w:w="3147" w:type="dxa"/>
          </w:tcPr>
          <w:p w:rsidR="002801AF" w:rsidRPr="00580A10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Extend the reach of evidence-based interventions and i</w:t>
            </w:r>
            <w:r w:rsidR="002801AF" w:rsidRPr="00580A10">
              <w:rPr>
                <w:rFonts w:ascii="Times New Roman" w:hAnsi="Times New Roman" w:cs="Times New Roman"/>
                <w:sz w:val="24"/>
                <w:szCs w:val="24"/>
              </w:rPr>
              <w:t>mprove CDC’s ability to evaluate modes of delivery and provide technical assistance</w:t>
            </w:r>
          </w:p>
        </w:tc>
        <w:tc>
          <w:tcPr>
            <w:tcW w:w="4009" w:type="dxa"/>
          </w:tcPr>
          <w:p w:rsidR="002801AF" w:rsidRPr="00580A10" w:rsidRDefault="002801AF" w:rsidP="00D47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Add field: Intended Mode of Delivery</w:t>
            </w:r>
            <w:r w:rsidR="00D4759A">
              <w:rPr>
                <w:rFonts w:ascii="Times New Roman" w:hAnsi="Times New Roman" w:cs="Times New Roman"/>
                <w:sz w:val="24"/>
                <w:szCs w:val="24"/>
              </w:rPr>
              <w:t>: in person, virtual, other</w:t>
            </w:r>
            <w:r w:rsidR="008E6F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02" w:type="dxa"/>
          </w:tcPr>
          <w:p w:rsidR="002801AF" w:rsidRPr="00580A10" w:rsidRDefault="002801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Application Form (Attachment 4A)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Collect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geographic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information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about program participants</w:t>
            </w:r>
          </w:p>
        </w:tc>
        <w:tc>
          <w:tcPr>
            <w:tcW w:w="3147" w:type="dxa"/>
          </w:tcPr>
          <w:p w:rsidR="004B3EB2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Allow CDC to evaluate the state level performance and impact of programs that are delivered via distance learning by national and regional providers</w:t>
            </w:r>
          </w:p>
        </w:tc>
        <w:tc>
          <w:tcPr>
            <w:tcW w:w="4009" w:type="dxa"/>
          </w:tcPr>
          <w:p w:rsidR="004B3EB2" w:rsidRPr="00580A10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Add field: Participant State of Residence</w:t>
            </w:r>
          </w:p>
        </w:tc>
        <w:tc>
          <w:tcPr>
            <w:tcW w:w="2802" w:type="dxa"/>
          </w:tcPr>
          <w:p w:rsidR="004B3EB2" w:rsidRPr="00580A10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Evaluation Data (Attachment 5A)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Change curriculum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submission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method from email to web attachment</w:t>
            </w:r>
          </w:p>
        </w:tc>
        <w:tc>
          <w:tcPr>
            <w:tcW w:w="3147" w:type="dxa"/>
          </w:tcPr>
          <w:p w:rsidR="004B3EB2" w:rsidRPr="00580A10" w:rsidRDefault="004B3EB2" w:rsidP="0071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Improve the submission process and eliminate misdirected emails</w:t>
            </w:r>
          </w:p>
        </w:tc>
        <w:tc>
          <w:tcPr>
            <w:tcW w:w="4009" w:type="dxa"/>
          </w:tcPr>
          <w:p w:rsidR="004B3EB2" w:rsidRPr="00580A10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Added a file (curriculum) upload button</w:t>
            </w:r>
          </w:p>
        </w:tc>
        <w:tc>
          <w:tcPr>
            <w:tcW w:w="2802" w:type="dxa"/>
          </w:tcPr>
          <w:p w:rsidR="004B3EB2" w:rsidRPr="00580A10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Application Form (Attachment 4A)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Add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security feature (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math problem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147" w:type="dxa"/>
          </w:tcPr>
          <w:p w:rsidR="004B3EB2" w:rsidRPr="00580A10" w:rsidRDefault="004B3EB2" w:rsidP="0071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Spam verification</w:t>
            </w:r>
          </w:p>
        </w:tc>
        <w:tc>
          <w:tcPr>
            <w:tcW w:w="4009" w:type="dxa"/>
          </w:tcPr>
          <w:p w:rsidR="004B3EB2" w:rsidRPr="00580A10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Added: please answer this math problem</w:t>
            </w:r>
          </w:p>
        </w:tc>
        <w:tc>
          <w:tcPr>
            <w:tcW w:w="2802" w:type="dxa"/>
          </w:tcPr>
          <w:p w:rsidR="004B3EB2" w:rsidRPr="00580A10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Application Form</w:t>
            </w:r>
            <w:r w:rsidR="008E6F6F">
              <w:rPr>
                <w:rFonts w:ascii="Times New Roman" w:hAnsi="Times New Roman" w:cs="Times New Roman"/>
                <w:sz w:val="24"/>
                <w:szCs w:val="24"/>
              </w:rPr>
              <w:t xml:space="preserve"> (Attachment 4A)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Change application form instructions</w:t>
            </w:r>
          </w:p>
        </w:tc>
        <w:tc>
          <w:tcPr>
            <w:tcW w:w="3147" w:type="dxa"/>
          </w:tcPr>
          <w:p w:rsidR="004B3EB2" w:rsidRPr="00580A10" w:rsidRDefault="004B3EB2" w:rsidP="0071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Revise the instructions to reflect changes to the application form and/or improve clarity</w:t>
            </w:r>
          </w:p>
        </w:tc>
        <w:tc>
          <w:tcPr>
            <w:tcW w:w="4009" w:type="dxa"/>
          </w:tcPr>
          <w:p w:rsidR="004B3EB2" w:rsidRPr="00580A10" w:rsidRDefault="004B3EB2" w:rsidP="009276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Text edited to reflect the above changes and improve clarity (e.g.,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or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Salutation,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added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“Enter only if other is selected”)</w:t>
            </w:r>
          </w:p>
        </w:tc>
        <w:tc>
          <w:tcPr>
            <w:tcW w:w="2802" w:type="dxa"/>
          </w:tcPr>
          <w:p w:rsidR="004B3EB2" w:rsidRPr="00580A10" w:rsidRDefault="004B3EB2" w:rsidP="00F03E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Application Form (Attachment 4A)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Application confirmation web page</w:t>
            </w:r>
          </w:p>
        </w:tc>
        <w:tc>
          <w:tcPr>
            <w:tcW w:w="3147" w:type="dxa"/>
          </w:tcPr>
          <w:p w:rsidR="004B3EB2" w:rsidRPr="00580A10" w:rsidRDefault="004B3EB2" w:rsidP="000974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To have a version for both the CDC-preferred curriculum and an alternative curriculum</w:t>
            </w:r>
          </w:p>
        </w:tc>
        <w:tc>
          <w:tcPr>
            <w:tcW w:w="4009" w:type="dxa"/>
          </w:tcPr>
          <w:p w:rsidR="004B3EB2" w:rsidRPr="00580A10" w:rsidRDefault="004B3EB2" w:rsidP="0071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Changed one confirmation screen into two screens with text dependent on curriculum choice</w:t>
            </w:r>
          </w:p>
        </w:tc>
        <w:tc>
          <w:tcPr>
            <w:tcW w:w="2802" w:type="dxa"/>
          </w:tcPr>
          <w:p w:rsidR="004B3EB2" w:rsidRPr="00580A10" w:rsidRDefault="004B3EB2" w:rsidP="00712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Application Form Web Confirmation Pages (Attachment 4C)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Assure uniform reporting from all entities</w:t>
            </w:r>
          </w:p>
        </w:tc>
        <w:tc>
          <w:tcPr>
            <w:tcW w:w="3147" w:type="dxa"/>
          </w:tcPr>
          <w:p w:rsidR="004B3EB2" w:rsidRPr="00580A10" w:rsidRDefault="004B3EB2" w:rsidP="0055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Eliminate the collection of data not applicable to all modes of delivery</w:t>
            </w:r>
          </w:p>
        </w:tc>
        <w:tc>
          <w:tcPr>
            <w:tcW w:w="4009" w:type="dxa"/>
          </w:tcPr>
          <w:p w:rsidR="004B3EB2" w:rsidRPr="00580A10" w:rsidRDefault="004B3EB2" w:rsidP="0055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Delete 5 data elements that are only meaningful for in-person programs: Core Group Code, Location Code, Lifestyle Coach ID, Session Type and Session ID</w:t>
            </w:r>
          </w:p>
        </w:tc>
        <w:tc>
          <w:tcPr>
            <w:tcW w:w="2802" w:type="dxa"/>
          </w:tcPr>
          <w:p w:rsidR="004B3EB2" w:rsidRPr="00580A10" w:rsidRDefault="004B3EB2" w:rsidP="0055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Evaluation Data (Attachment 5A)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Simplify data reporting process</w:t>
            </w:r>
          </w:p>
        </w:tc>
        <w:tc>
          <w:tcPr>
            <w:tcW w:w="3147" w:type="dxa"/>
          </w:tcPr>
          <w:p w:rsidR="004B3EB2" w:rsidRPr="00580A10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Reduce the numbers of required responses related to participant eligibility</w:t>
            </w:r>
          </w:p>
        </w:tc>
        <w:tc>
          <w:tcPr>
            <w:tcW w:w="4009" w:type="dxa"/>
          </w:tcPr>
          <w:p w:rsidR="004B3EB2" w:rsidRPr="00580A10" w:rsidRDefault="00B30E34" w:rsidP="000477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Reduce the number of distinct fields related to participant eligibility to three: </w:t>
            </w:r>
            <w:r w:rsidR="00913EB3">
              <w:rPr>
                <w:rFonts w:ascii="Times New Roman" w:hAnsi="Times New Roman" w:cs="Times New Roman"/>
                <w:sz w:val="24"/>
                <w:szCs w:val="24"/>
              </w:rPr>
              <w:t xml:space="preserve">Three distinct fields for </w:t>
            </w:r>
            <w:r w:rsidR="00AA70DD">
              <w:rPr>
                <w:rFonts w:ascii="Times New Roman" w:hAnsi="Times New Roman" w:cs="Times New Roman"/>
                <w:sz w:val="24"/>
                <w:szCs w:val="24"/>
              </w:rPr>
              <w:t>blood tests</w:t>
            </w:r>
            <w:r w:rsidR="000477B1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A70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13EB3">
              <w:rPr>
                <w:rFonts w:ascii="Times New Roman" w:hAnsi="Times New Roman" w:cs="Times New Roman"/>
                <w:sz w:val="24"/>
                <w:szCs w:val="24"/>
              </w:rPr>
              <w:t>fasting plasma glucose, oral glucose tolerance test and Hemoglobin A</w:t>
            </w:r>
            <w:r w:rsidR="000477B1">
              <w:rPr>
                <w:rFonts w:ascii="Times New Roman" w:hAnsi="Times New Roman" w:cs="Times New Roman"/>
                <w:sz w:val="24"/>
                <w:szCs w:val="24"/>
              </w:rPr>
              <w:t xml:space="preserve">1c, </w:t>
            </w:r>
            <w:r w:rsidR="000B08B0">
              <w:rPr>
                <w:rFonts w:ascii="Times New Roman" w:hAnsi="Times New Roman" w:cs="Times New Roman"/>
                <w:sz w:val="24"/>
                <w:szCs w:val="24"/>
              </w:rPr>
              <w:t>became one fie</w:t>
            </w:r>
            <w:r w:rsidR="000477B1"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0B08B0">
              <w:rPr>
                <w:rFonts w:ascii="Times New Roman" w:hAnsi="Times New Roman" w:cs="Times New Roman"/>
                <w:sz w:val="24"/>
                <w:szCs w:val="24"/>
              </w:rPr>
              <w:t>d (blood test)</w:t>
            </w:r>
            <w:r w:rsidR="00CB77B3">
              <w:rPr>
                <w:rFonts w:ascii="Times New Roman" w:hAnsi="Times New Roman" w:cs="Times New Roman"/>
                <w:sz w:val="24"/>
                <w:szCs w:val="24"/>
              </w:rPr>
              <w:t>. Other eligibility fields for entry via prediabetes risk test and history of gestational diabetes mellitus (GDM) remain the same</w:t>
            </w:r>
          </w:p>
        </w:tc>
        <w:tc>
          <w:tcPr>
            <w:tcW w:w="2802" w:type="dxa"/>
          </w:tcPr>
          <w:p w:rsidR="004B3EB2" w:rsidRPr="00580A10" w:rsidRDefault="004B3EB2" w:rsidP="0055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Evaluation Data (Attachment 5A)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Reduce frequency of reporting of Evaluation Data </w:t>
            </w:r>
          </w:p>
        </w:tc>
        <w:tc>
          <w:tcPr>
            <w:tcW w:w="3147" w:type="dxa"/>
          </w:tcPr>
          <w:p w:rsidR="004B3EB2" w:rsidRPr="00580A10" w:rsidRDefault="004B3EB2" w:rsidP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Reduce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reporting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burden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for organizations seeking DPRP recognition</w:t>
            </w:r>
          </w:p>
        </w:tc>
        <w:tc>
          <w:tcPr>
            <w:tcW w:w="4009" w:type="dxa"/>
          </w:tcPr>
          <w:p w:rsidR="004B3EB2" w:rsidRPr="00580A10" w:rsidRDefault="004B3EB2" w:rsidP="00B12D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Reduce the frequency of reporting from twice yearly to once yearly</w:t>
            </w:r>
          </w:p>
        </w:tc>
        <w:tc>
          <w:tcPr>
            <w:tcW w:w="2802" w:type="dxa"/>
          </w:tcPr>
          <w:p w:rsidR="004B3EB2" w:rsidRPr="00580A10" w:rsidRDefault="004B3EB2" w:rsidP="0055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Evaluation Data (Attachment 5A)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Change the due date for evaluation data</w:t>
            </w:r>
          </w:p>
        </w:tc>
        <w:tc>
          <w:tcPr>
            <w:tcW w:w="3147" w:type="dxa"/>
          </w:tcPr>
          <w:p w:rsidR="004B3EB2" w:rsidRPr="00580A10" w:rsidRDefault="004B3EB2" w:rsidP="00812D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To simplify the reporting requirement by standardizing the date organizations report </w:t>
            </w:r>
          </w:p>
        </w:tc>
        <w:tc>
          <w:tcPr>
            <w:tcW w:w="4009" w:type="dxa"/>
          </w:tcPr>
          <w:p w:rsidR="004B3EB2" w:rsidRPr="00580A10" w:rsidRDefault="004B3EB2" w:rsidP="0002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Change due date for data submissions to an “effective date” (first day of a month) assigned by DPRP</w:t>
            </w:r>
          </w:p>
        </w:tc>
        <w:tc>
          <w:tcPr>
            <w:tcW w:w="2802" w:type="dxa"/>
          </w:tcPr>
          <w:p w:rsidR="004B3EB2" w:rsidRPr="00580A10" w:rsidRDefault="004B3EB2" w:rsidP="0055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Evaluation Data (Attachment 5A)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Provide opportunity for “existing” recognized organizations to submit previously approved data</w:t>
            </w:r>
          </w:p>
        </w:tc>
        <w:tc>
          <w:tcPr>
            <w:tcW w:w="3147" w:type="dxa"/>
          </w:tcPr>
          <w:p w:rsidR="004B3EB2" w:rsidRPr="00580A10" w:rsidRDefault="004B3EB2" w:rsidP="000258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Existing organizations need time to adapt data collection and reporting processes</w:t>
            </w:r>
          </w:p>
        </w:tc>
        <w:tc>
          <w:tcPr>
            <w:tcW w:w="4009" w:type="dxa"/>
          </w:tcPr>
          <w:p w:rsidR="004B3EB2" w:rsidRPr="00580A10" w:rsidRDefault="004B3EB2" w:rsidP="001A13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Added transition plan:  existing organizations may submit data elements previously approved by OMB (2011) once between 12/1/14 and 11/30/15</w:t>
            </w:r>
          </w:p>
        </w:tc>
        <w:tc>
          <w:tcPr>
            <w:tcW w:w="2802" w:type="dxa"/>
          </w:tcPr>
          <w:p w:rsidR="004B3EB2" w:rsidRPr="00580A10" w:rsidRDefault="004B3EB2" w:rsidP="00913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Evaluation Data (Attachment 5B and Appendix F of the DPRP Standards)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Change delivery method for evaluation data file</w:t>
            </w:r>
          </w:p>
        </w:tc>
        <w:tc>
          <w:tcPr>
            <w:tcW w:w="3147" w:type="dxa"/>
          </w:tcPr>
          <w:p w:rsidR="004B3EB2" w:rsidRPr="00580A10" w:rsidRDefault="004B3EB2" w:rsidP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To provide users with the ability to submit files to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large</w:t>
            </w:r>
            <w:r w:rsidR="00B2760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to upload </w:t>
            </w:r>
          </w:p>
        </w:tc>
        <w:tc>
          <w:tcPr>
            <w:tcW w:w="4009" w:type="dxa"/>
          </w:tcPr>
          <w:p w:rsidR="004B3EB2" w:rsidRPr="00580A10" w:rsidRDefault="004B3EB2" w:rsidP="006A35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Added an option to allow the curriculum to be submitted via email if over 10 megabytes</w:t>
            </w:r>
          </w:p>
        </w:tc>
        <w:tc>
          <w:tcPr>
            <w:tcW w:w="2802" w:type="dxa"/>
          </w:tcPr>
          <w:p w:rsidR="004B3EB2" w:rsidRPr="00580A10" w:rsidRDefault="004B3EB2" w:rsidP="00554C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DPRP Evaluation Data Submission Web Page</w:t>
            </w:r>
          </w:p>
        </w:tc>
      </w:tr>
      <w:tr w:rsidR="004B3EB2" w:rsidTr="002801AF">
        <w:trPr>
          <w:cantSplit/>
        </w:trPr>
        <w:tc>
          <w:tcPr>
            <w:tcW w:w="3218" w:type="dxa"/>
          </w:tcPr>
          <w:p w:rsidR="004B3EB2" w:rsidRPr="00580A10" w:rsidRDefault="004B3EB2" w:rsidP="00407C5B">
            <w:pPr>
              <w:pStyle w:val="ListParagraph"/>
              <w:numPr>
                <w:ilvl w:val="0"/>
                <w:numId w:val="2"/>
              </w:numPr>
              <w:tabs>
                <w:tab w:val="left" w:pos="360"/>
              </w:tabs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Increase estimated annualized number of respondents</w:t>
            </w:r>
          </w:p>
        </w:tc>
        <w:tc>
          <w:tcPr>
            <w:tcW w:w="3147" w:type="dxa"/>
          </w:tcPr>
          <w:p w:rsidR="004B3EB2" w:rsidRPr="00580A10" w:rsidRDefault="004B3E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Currently recognized organizations will continue to submit data and new organizations will apply each year and begin to submit data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Burden estimates must be aligned with anticipated demand for DPRP services and recognition.</w:t>
            </w:r>
          </w:p>
        </w:tc>
        <w:tc>
          <w:tcPr>
            <w:tcW w:w="4009" w:type="dxa"/>
          </w:tcPr>
          <w:p w:rsidR="004B3EB2" w:rsidRPr="00580A10" w:rsidRDefault="004B3EB2" w:rsidP="005923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ncrease burden table estimates to include both existing organizations and organizations joining the program (applying and submitting data) within the next three yea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 xml:space="preserve">s </w:t>
            </w:r>
          </w:p>
        </w:tc>
        <w:tc>
          <w:tcPr>
            <w:tcW w:w="2802" w:type="dxa"/>
          </w:tcPr>
          <w:p w:rsidR="004B3EB2" w:rsidRPr="00580A10" w:rsidRDefault="004B3EB2" w:rsidP="00FD49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80A10">
              <w:rPr>
                <w:rFonts w:ascii="Times New Roman" w:hAnsi="Times New Roman" w:cs="Times New Roman"/>
                <w:sz w:val="24"/>
                <w:szCs w:val="24"/>
              </w:rPr>
              <w:t>Burden table (Supporting Statement A section A-12)</w:t>
            </w:r>
          </w:p>
        </w:tc>
      </w:tr>
    </w:tbl>
    <w:p w:rsidR="0099268C" w:rsidRDefault="0099268C" w:rsidP="00407C5B">
      <w:pPr>
        <w:rPr>
          <w:rFonts w:ascii="Times New Roman" w:hAnsi="Times New Roman" w:cs="Times New Roman"/>
          <w:sz w:val="24"/>
          <w:szCs w:val="24"/>
        </w:rPr>
      </w:pPr>
    </w:p>
    <w:p w:rsidR="0097203A" w:rsidRPr="00947D9A" w:rsidRDefault="0099268C" w:rsidP="0099268C">
      <w:pPr>
        <w:spacing w:line="240" w:lineRule="auto"/>
        <w:ind w:left="180" w:hanging="1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</w:r>
      <w:r w:rsidR="00D0685E" w:rsidRPr="00947D9A">
        <w:rPr>
          <w:rFonts w:ascii="Times New Roman" w:hAnsi="Times New Roman" w:cs="Times New Roman"/>
          <w:sz w:val="24"/>
          <w:szCs w:val="24"/>
        </w:rPr>
        <w:t xml:space="preserve">None of these changes alter the critical elements of the lifestyle program, shown to prevent or reduce diabetes in research studies – the </w:t>
      </w:r>
      <w:r w:rsidR="00D0685E" w:rsidRPr="0077050B">
        <w:rPr>
          <w:rFonts w:ascii="Times New Roman" w:hAnsi="Times New Roman" w:cs="Times New Roman"/>
          <w:sz w:val="24"/>
          <w:szCs w:val="24"/>
        </w:rPr>
        <w:t xml:space="preserve">participant eligibility requirements, </w:t>
      </w:r>
      <w:r w:rsidR="0077050B" w:rsidRPr="0077050B">
        <w:rPr>
          <w:rFonts w:ascii="Times New Roman" w:hAnsi="Times New Roman" w:cs="Times New Roman"/>
          <w:sz w:val="24"/>
          <w:szCs w:val="24"/>
        </w:rPr>
        <w:t xml:space="preserve">lifestyle </w:t>
      </w:r>
      <w:r w:rsidR="00D0685E" w:rsidRPr="0077050B">
        <w:rPr>
          <w:rFonts w:ascii="Times New Roman" w:hAnsi="Times New Roman" w:cs="Times New Roman"/>
          <w:sz w:val="24"/>
          <w:szCs w:val="24"/>
        </w:rPr>
        <w:t>program intensity and duration, participant weight loss (at least 5% of body weight), documentation of physical activity minutes (with a goal of 150 minutes per week) and documentation of required attendance throughout the entire</w:t>
      </w:r>
      <w:bookmarkStart w:id="0" w:name="_GoBack"/>
      <w:bookmarkEnd w:id="0"/>
      <w:r w:rsidR="00D0685E" w:rsidRPr="0077050B">
        <w:rPr>
          <w:rFonts w:ascii="Times New Roman" w:hAnsi="Times New Roman" w:cs="Times New Roman"/>
          <w:sz w:val="24"/>
          <w:szCs w:val="24"/>
        </w:rPr>
        <w:t xml:space="preserve"> 12-month intervention</w:t>
      </w:r>
      <w:r w:rsidR="0077050B" w:rsidRPr="0077050B">
        <w:rPr>
          <w:rFonts w:ascii="Times New Roman" w:hAnsi="Times New Roman" w:cs="Times New Roman"/>
          <w:sz w:val="24"/>
          <w:szCs w:val="24"/>
        </w:rPr>
        <w:t>.</w:t>
      </w:r>
    </w:p>
    <w:sectPr w:rsidR="0097203A" w:rsidRPr="00947D9A" w:rsidSect="003D3E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1535C"/>
    <w:multiLevelType w:val="hybridMultilevel"/>
    <w:tmpl w:val="5426B2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660452"/>
    <w:multiLevelType w:val="hybridMultilevel"/>
    <w:tmpl w:val="A2F8B1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03A"/>
    <w:rsid w:val="00007B13"/>
    <w:rsid w:val="00012E0F"/>
    <w:rsid w:val="00025824"/>
    <w:rsid w:val="000477B1"/>
    <w:rsid w:val="00097477"/>
    <w:rsid w:val="000A3645"/>
    <w:rsid w:val="000A445B"/>
    <w:rsid w:val="000B08B0"/>
    <w:rsid w:val="000C3C03"/>
    <w:rsid w:val="000C4FC2"/>
    <w:rsid w:val="000D760A"/>
    <w:rsid w:val="00133BD3"/>
    <w:rsid w:val="001405D3"/>
    <w:rsid w:val="00195EE7"/>
    <w:rsid w:val="001A13B1"/>
    <w:rsid w:val="001A15CF"/>
    <w:rsid w:val="001A3639"/>
    <w:rsid w:val="001E4779"/>
    <w:rsid w:val="001F417E"/>
    <w:rsid w:val="002801AF"/>
    <w:rsid w:val="00287D28"/>
    <w:rsid w:val="002B39F3"/>
    <w:rsid w:val="002E24DD"/>
    <w:rsid w:val="0033119F"/>
    <w:rsid w:val="00393E60"/>
    <w:rsid w:val="003D3E22"/>
    <w:rsid w:val="00407C5B"/>
    <w:rsid w:val="0043213C"/>
    <w:rsid w:val="00464917"/>
    <w:rsid w:val="00465808"/>
    <w:rsid w:val="004664CD"/>
    <w:rsid w:val="004B3EB2"/>
    <w:rsid w:val="004C5B69"/>
    <w:rsid w:val="00502ED6"/>
    <w:rsid w:val="00554CC7"/>
    <w:rsid w:val="00580A10"/>
    <w:rsid w:val="005923EA"/>
    <w:rsid w:val="005C4A74"/>
    <w:rsid w:val="005D6D08"/>
    <w:rsid w:val="005E6A30"/>
    <w:rsid w:val="00602081"/>
    <w:rsid w:val="006165AA"/>
    <w:rsid w:val="00626AD0"/>
    <w:rsid w:val="00632D4E"/>
    <w:rsid w:val="00647417"/>
    <w:rsid w:val="006A352D"/>
    <w:rsid w:val="006B31AA"/>
    <w:rsid w:val="0071257D"/>
    <w:rsid w:val="0074072F"/>
    <w:rsid w:val="00755F23"/>
    <w:rsid w:val="0077050B"/>
    <w:rsid w:val="007A1E4A"/>
    <w:rsid w:val="007D1F89"/>
    <w:rsid w:val="007D4F07"/>
    <w:rsid w:val="007E06AA"/>
    <w:rsid w:val="007F5797"/>
    <w:rsid w:val="008079AC"/>
    <w:rsid w:val="00811A60"/>
    <w:rsid w:val="00812DD3"/>
    <w:rsid w:val="00870643"/>
    <w:rsid w:val="008D76EF"/>
    <w:rsid w:val="008E0032"/>
    <w:rsid w:val="008E6F6F"/>
    <w:rsid w:val="009136AC"/>
    <w:rsid w:val="00913EB3"/>
    <w:rsid w:val="00927688"/>
    <w:rsid w:val="00934A2F"/>
    <w:rsid w:val="00947D9A"/>
    <w:rsid w:val="0097203A"/>
    <w:rsid w:val="0099268C"/>
    <w:rsid w:val="009A3BCD"/>
    <w:rsid w:val="009B2DA7"/>
    <w:rsid w:val="00A212B5"/>
    <w:rsid w:val="00A74EF1"/>
    <w:rsid w:val="00A87BA3"/>
    <w:rsid w:val="00AA70DD"/>
    <w:rsid w:val="00AC09E6"/>
    <w:rsid w:val="00AE4627"/>
    <w:rsid w:val="00AF3785"/>
    <w:rsid w:val="00B12D8C"/>
    <w:rsid w:val="00B2760C"/>
    <w:rsid w:val="00B30E34"/>
    <w:rsid w:val="00B37A05"/>
    <w:rsid w:val="00BA4562"/>
    <w:rsid w:val="00BA684B"/>
    <w:rsid w:val="00C35D0A"/>
    <w:rsid w:val="00C47214"/>
    <w:rsid w:val="00C7270B"/>
    <w:rsid w:val="00C75B36"/>
    <w:rsid w:val="00C77B1A"/>
    <w:rsid w:val="00C86032"/>
    <w:rsid w:val="00CB77B3"/>
    <w:rsid w:val="00CE7F01"/>
    <w:rsid w:val="00D0685E"/>
    <w:rsid w:val="00D257B6"/>
    <w:rsid w:val="00D268C7"/>
    <w:rsid w:val="00D43FB4"/>
    <w:rsid w:val="00D4759A"/>
    <w:rsid w:val="00D608CB"/>
    <w:rsid w:val="00DA7369"/>
    <w:rsid w:val="00DD49A5"/>
    <w:rsid w:val="00DE396C"/>
    <w:rsid w:val="00DF64A0"/>
    <w:rsid w:val="00DF7D40"/>
    <w:rsid w:val="00E172D3"/>
    <w:rsid w:val="00E35557"/>
    <w:rsid w:val="00E903E8"/>
    <w:rsid w:val="00EC0601"/>
    <w:rsid w:val="00EC342F"/>
    <w:rsid w:val="00EE1406"/>
    <w:rsid w:val="00F03E61"/>
    <w:rsid w:val="00F0471A"/>
    <w:rsid w:val="00F04D1F"/>
    <w:rsid w:val="00F31B1E"/>
    <w:rsid w:val="00F32226"/>
    <w:rsid w:val="00F3364D"/>
    <w:rsid w:val="00FB1FFC"/>
    <w:rsid w:val="00FB32F9"/>
    <w:rsid w:val="00FC186D"/>
    <w:rsid w:val="00FD43F1"/>
    <w:rsid w:val="00FD49FC"/>
    <w:rsid w:val="00FD5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42F"/>
    <w:pPr>
      <w:ind w:left="720"/>
      <w:contextualSpacing/>
    </w:pPr>
  </w:style>
  <w:style w:type="table" w:styleId="LightShading">
    <w:name w:val="Light Shading"/>
    <w:basedOn w:val="TableNormal"/>
    <w:uiPriority w:val="60"/>
    <w:rsid w:val="00F04D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B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720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C342F"/>
    <w:pPr>
      <w:ind w:left="720"/>
      <w:contextualSpacing/>
    </w:pPr>
  </w:style>
  <w:style w:type="table" w:styleId="LightShading">
    <w:name w:val="Light Shading"/>
    <w:basedOn w:val="TableNormal"/>
    <w:uiPriority w:val="60"/>
    <w:rsid w:val="00F04D1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07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7C5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4B3E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E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E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E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EB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5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987</Words>
  <Characters>5630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6604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CDC User</cp:lastModifiedBy>
  <cp:revision>12</cp:revision>
  <dcterms:created xsi:type="dcterms:W3CDTF">2014-08-28T18:47:00Z</dcterms:created>
  <dcterms:modified xsi:type="dcterms:W3CDTF">2014-09-10T23:28:00Z</dcterms:modified>
</cp:coreProperties>
</file>