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B4" w:rsidRPr="00EA35D3" w:rsidRDefault="00E20EB4" w:rsidP="00E20EB4">
      <w:pPr>
        <w:rPr>
          <w:b/>
          <w:color w:val="000000"/>
          <w:sz w:val="44"/>
          <w:szCs w:val="44"/>
        </w:rPr>
      </w:pPr>
      <w:r w:rsidRPr="00EA35D3">
        <w:rPr>
          <w:b/>
          <w:color w:val="000000"/>
          <w:sz w:val="44"/>
          <w:szCs w:val="44"/>
        </w:rPr>
        <w:t>Quarantine Station Illness Response Forms: Airline, Maritime, and Land/Border Crossing (OMB Control No. 0920-0821) Expiration date 8/31/2015</w:t>
      </w:r>
    </w:p>
    <w:p w:rsidR="00E20EB4" w:rsidRPr="00EA35D3" w:rsidRDefault="00E20EB4" w:rsidP="00E20EB4">
      <w:pPr>
        <w:rPr>
          <w:b/>
          <w:sz w:val="22"/>
          <w:szCs w:val="22"/>
        </w:rPr>
      </w:pPr>
    </w:p>
    <w:p w:rsidR="00E20EB4" w:rsidRPr="00EA35D3" w:rsidRDefault="00E20EB4" w:rsidP="00E20EB4">
      <w:pPr>
        <w:rPr>
          <w:b/>
          <w:sz w:val="22"/>
          <w:szCs w:val="22"/>
        </w:rPr>
      </w:pP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8"/>
          <w:szCs w:val="28"/>
          <w:u w:val="single"/>
        </w:rPr>
      </w:pPr>
      <w:r w:rsidRPr="00EA35D3">
        <w:rPr>
          <w:b/>
          <w:sz w:val="28"/>
          <w:szCs w:val="28"/>
          <w:u w:val="single"/>
        </w:rPr>
        <w:t>Program Contact</w:t>
      </w: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p>
    <w:p w:rsidR="00E20EB4" w:rsidRPr="00EA35D3" w:rsidRDefault="00E20EB4" w:rsidP="00E20EB4">
      <w:pPr>
        <w:tabs>
          <w:tab w:val="center" w:pos="4680"/>
        </w:tabs>
        <w:autoSpaceDE w:val="0"/>
        <w:autoSpaceDN w:val="0"/>
        <w:adjustRightInd w:val="0"/>
        <w:rPr>
          <w:b/>
          <w:bCs/>
          <w:noProof/>
          <w:sz w:val="28"/>
          <w:szCs w:val="28"/>
        </w:rPr>
      </w:pPr>
      <w:bookmarkStart w:id="0" w:name="_Toc342981598"/>
      <w:r w:rsidRPr="00EA35D3">
        <w:rPr>
          <w:b/>
          <w:bCs/>
          <w:noProof/>
          <w:sz w:val="28"/>
          <w:szCs w:val="28"/>
        </w:rPr>
        <w:t>Amy McMillen</w:t>
      </w:r>
      <w:bookmarkEnd w:id="0"/>
    </w:p>
    <w:p w:rsidR="00E20EB4" w:rsidRPr="00EA35D3" w:rsidRDefault="00E20EB4" w:rsidP="00E20EB4">
      <w:pPr>
        <w:tabs>
          <w:tab w:val="center" w:pos="4680"/>
        </w:tabs>
        <w:autoSpaceDE w:val="0"/>
        <w:autoSpaceDN w:val="0"/>
        <w:adjustRightInd w:val="0"/>
        <w:rPr>
          <w:b/>
          <w:bCs/>
          <w:noProof/>
          <w:sz w:val="28"/>
          <w:szCs w:val="28"/>
        </w:rPr>
      </w:pPr>
      <w:bookmarkStart w:id="1" w:name="_Toc295819828"/>
      <w:bookmarkStart w:id="2" w:name="_Toc295818055"/>
      <w:bookmarkStart w:id="3" w:name="_Toc295817574"/>
      <w:bookmarkStart w:id="4" w:name="_Toc295817040"/>
      <w:bookmarkStart w:id="5" w:name="_Toc342981599"/>
      <w:r w:rsidRPr="00EA35D3">
        <w:rPr>
          <w:b/>
          <w:bCs/>
          <w:noProof/>
          <w:sz w:val="28"/>
          <w:szCs w:val="28"/>
        </w:rPr>
        <w:t>Office of Policy and Planning</w:t>
      </w:r>
      <w:bookmarkEnd w:id="1"/>
      <w:bookmarkEnd w:id="2"/>
      <w:bookmarkEnd w:id="3"/>
      <w:bookmarkEnd w:id="4"/>
      <w:bookmarkEnd w:id="5"/>
    </w:p>
    <w:p w:rsidR="00E20EB4" w:rsidRPr="00EA35D3" w:rsidRDefault="00E20EB4" w:rsidP="00E20EB4">
      <w:pPr>
        <w:tabs>
          <w:tab w:val="center" w:pos="4680"/>
        </w:tabs>
        <w:autoSpaceDE w:val="0"/>
        <w:autoSpaceDN w:val="0"/>
        <w:adjustRightInd w:val="0"/>
        <w:rPr>
          <w:b/>
          <w:bCs/>
          <w:noProof/>
          <w:sz w:val="28"/>
          <w:szCs w:val="28"/>
        </w:rPr>
      </w:pPr>
      <w:bookmarkStart w:id="6" w:name="_Toc295819829"/>
      <w:bookmarkStart w:id="7" w:name="_Toc295818056"/>
      <w:bookmarkStart w:id="8" w:name="_Toc295817575"/>
      <w:bookmarkStart w:id="9" w:name="_Toc295817041"/>
      <w:bookmarkStart w:id="10" w:name="_Toc342981600"/>
      <w:r w:rsidRPr="00EA35D3">
        <w:rPr>
          <w:b/>
          <w:bCs/>
          <w:noProof/>
          <w:sz w:val="28"/>
          <w:szCs w:val="28"/>
        </w:rPr>
        <w:t>National Center for Emerging and Zoonotic Infectious Diseases</w:t>
      </w:r>
      <w:bookmarkEnd w:id="6"/>
      <w:bookmarkEnd w:id="7"/>
      <w:bookmarkEnd w:id="8"/>
      <w:bookmarkEnd w:id="9"/>
      <w:bookmarkEnd w:id="10"/>
    </w:p>
    <w:p w:rsidR="00E20EB4" w:rsidRPr="00EA35D3" w:rsidRDefault="00E20EB4" w:rsidP="00E20EB4">
      <w:pPr>
        <w:tabs>
          <w:tab w:val="center" w:pos="4680"/>
        </w:tabs>
        <w:autoSpaceDE w:val="0"/>
        <w:autoSpaceDN w:val="0"/>
        <w:adjustRightInd w:val="0"/>
        <w:rPr>
          <w:b/>
          <w:bCs/>
          <w:noProof/>
          <w:sz w:val="28"/>
          <w:szCs w:val="28"/>
        </w:rPr>
      </w:pPr>
      <w:bookmarkStart w:id="11" w:name="_Toc295819830"/>
      <w:bookmarkStart w:id="12" w:name="_Toc295818057"/>
      <w:bookmarkStart w:id="13" w:name="_Toc295817576"/>
      <w:bookmarkStart w:id="14" w:name="_Toc295817042"/>
      <w:bookmarkStart w:id="15" w:name="_Toc342981601"/>
      <w:r w:rsidRPr="00EA35D3">
        <w:rPr>
          <w:b/>
          <w:bCs/>
          <w:noProof/>
          <w:sz w:val="28"/>
          <w:szCs w:val="28"/>
        </w:rPr>
        <w:t>Centers for Disease Control and Prevention</w:t>
      </w:r>
      <w:bookmarkEnd w:id="11"/>
      <w:bookmarkEnd w:id="12"/>
      <w:bookmarkEnd w:id="13"/>
      <w:bookmarkEnd w:id="14"/>
      <w:bookmarkEnd w:id="15"/>
    </w:p>
    <w:p w:rsidR="00E20EB4" w:rsidRPr="00EA35D3" w:rsidRDefault="00E20EB4" w:rsidP="00E20EB4">
      <w:pPr>
        <w:tabs>
          <w:tab w:val="center" w:pos="4680"/>
        </w:tabs>
        <w:autoSpaceDE w:val="0"/>
        <w:autoSpaceDN w:val="0"/>
        <w:adjustRightInd w:val="0"/>
        <w:rPr>
          <w:b/>
          <w:bCs/>
          <w:noProof/>
          <w:sz w:val="28"/>
          <w:szCs w:val="28"/>
        </w:rPr>
      </w:pPr>
      <w:bookmarkStart w:id="16" w:name="_Toc295819831"/>
      <w:bookmarkStart w:id="17" w:name="_Toc295818058"/>
      <w:bookmarkStart w:id="18" w:name="_Toc295817577"/>
      <w:bookmarkStart w:id="19" w:name="_Toc295817043"/>
      <w:bookmarkStart w:id="20" w:name="_Toc342981602"/>
      <w:r w:rsidRPr="00EA35D3">
        <w:rPr>
          <w:b/>
          <w:bCs/>
          <w:noProof/>
          <w:sz w:val="28"/>
          <w:szCs w:val="28"/>
        </w:rPr>
        <w:t xml:space="preserve">1600 Clifton Road, N.E., MS </w:t>
      </w:r>
      <w:bookmarkEnd w:id="16"/>
      <w:bookmarkEnd w:id="17"/>
      <w:bookmarkEnd w:id="18"/>
      <w:bookmarkEnd w:id="19"/>
      <w:r w:rsidRPr="00EA35D3">
        <w:rPr>
          <w:b/>
          <w:bCs/>
          <w:noProof/>
          <w:sz w:val="28"/>
          <w:szCs w:val="28"/>
        </w:rPr>
        <w:t>C12</w:t>
      </w:r>
      <w:bookmarkEnd w:id="20"/>
    </w:p>
    <w:p w:rsidR="00E20EB4" w:rsidRPr="00EA35D3" w:rsidRDefault="00E20EB4" w:rsidP="00E20EB4">
      <w:pPr>
        <w:tabs>
          <w:tab w:val="center" w:pos="4680"/>
        </w:tabs>
        <w:autoSpaceDE w:val="0"/>
        <w:autoSpaceDN w:val="0"/>
        <w:adjustRightInd w:val="0"/>
        <w:rPr>
          <w:b/>
          <w:bCs/>
          <w:noProof/>
          <w:sz w:val="28"/>
          <w:szCs w:val="28"/>
        </w:rPr>
      </w:pPr>
      <w:bookmarkStart w:id="21" w:name="_Toc295819832"/>
      <w:bookmarkStart w:id="22" w:name="_Toc295818059"/>
      <w:bookmarkStart w:id="23" w:name="_Toc295817578"/>
      <w:bookmarkStart w:id="24" w:name="_Toc295817044"/>
      <w:bookmarkStart w:id="25" w:name="_Toc342981603"/>
      <w:r w:rsidRPr="00EA35D3">
        <w:rPr>
          <w:b/>
          <w:bCs/>
          <w:noProof/>
          <w:sz w:val="28"/>
          <w:szCs w:val="28"/>
        </w:rPr>
        <w:t>Atlanta, Georgia 30333</w:t>
      </w:r>
      <w:bookmarkEnd w:id="21"/>
      <w:bookmarkEnd w:id="22"/>
      <w:bookmarkEnd w:id="23"/>
      <w:bookmarkEnd w:id="24"/>
      <w:bookmarkEnd w:id="25"/>
    </w:p>
    <w:p w:rsidR="00E20EB4" w:rsidRPr="00EA35D3" w:rsidRDefault="00E20EB4" w:rsidP="00E20EB4">
      <w:pPr>
        <w:tabs>
          <w:tab w:val="center" w:pos="4680"/>
        </w:tabs>
        <w:autoSpaceDE w:val="0"/>
        <w:autoSpaceDN w:val="0"/>
        <w:adjustRightInd w:val="0"/>
        <w:rPr>
          <w:b/>
          <w:bCs/>
          <w:noProof/>
          <w:sz w:val="28"/>
          <w:szCs w:val="28"/>
        </w:rPr>
      </w:pPr>
      <w:bookmarkStart w:id="26" w:name="_Toc295819833"/>
      <w:bookmarkStart w:id="27" w:name="_Toc295818060"/>
      <w:bookmarkStart w:id="28" w:name="_Toc295817579"/>
      <w:bookmarkStart w:id="29" w:name="_Toc295817045"/>
      <w:bookmarkStart w:id="30" w:name="_Toc342981604"/>
      <w:r w:rsidRPr="00EA35D3">
        <w:rPr>
          <w:b/>
          <w:bCs/>
          <w:noProof/>
          <w:sz w:val="28"/>
          <w:szCs w:val="28"/>
        </w:rPr>
        <w:t>Phone: (404) 639-</w:t>
      </w:r>
      <w:bookmarkEnd w:id="26"/>
      <w:bookmarkEnd w:id="27"/>
      <w:bookmarkEnd w:id="28"/>
      <w:bookmarkEnd w:id="29"/>
      <w:r w:rsidRPr="00EA35D3">
        <w:rPr>
          <w:b/>
          <w:bCs/>
          <w:noProof/>
          <w:sz w:val="28"/>
          <w:szCs w:val="28"/>
        </w:rPr>
        <w:t>1045</w:t>
      </w:r>
      <w:bookmarkEnd w:id="30"/>
    </w:p>
    <w:p w:rsidR="00E20EB4" w:rsidRPr="00EA35D3" w:rsidRDefault="00E20EB4" w:rsidP="00E20EB4">
      <w:pPr>
        <w:tabs>
          <w:tab w:val="center" w:pos="4680"/>
        </w:tabs>
        <w:autoSpaceDE w:val="0"/>
        <w:autoSpaceDN w:val="0"/>
        <w:adjustRightInd w:val="0"/>
        <w:rPr>
          <w:b/>
          <w:bCs/>
          <w:noProof/>
          <w:sz w:val="28"/>
          <w:szCs w:val="28"/>
        </w:rPr>
      </w:pPr>
      <w:bookmarkStart w:id="31" w:name="_Toc295819834"/>
      <w:bookmarkStart w:id="32" w:name="_Toc295818061"/>
      <w:bookmarkStart w:id="33" w:name="_Toc295817580"/>
      <w:bookmarkStart w:id="34" w:name="_Toc295817046"/>
      <w:r w:rsidRPr="00EA35D3">
        <w:rPr>
          <w:b/>
          <w:bCs/>
          <w:noProof/>
          <w:sz w:val="28"/>
          <w:szCs w:val="28"/>
        </w:rPr>
        <w:t>Email:</w:t>
      </w:r>
      <w:r w:rsidRPr="00EA35D3" w:rsidDel="005E46F9">
        <w:rPr>
          <w:b/>
          <w:bCs/>
          <w:noProof/>
          <w:sz w:val="28"/>
          <w:szCs w:val="28"/>
        </w:rPr>
        <w:t xml:space="preserve"> </w:t>
      </w:r>
      <w:bookmarkEnd w:id="31"/>
      <w:bookmarkEnd w:id="32"/>
      <w:bookmarkEnd w:id="33"/>
      <w:bookmarkEnd w:id="34"/>
      <w:r w:rsidRPr="00EA35D3">
        <w:rPr>
          <w:b/>
          <w:bCs/>
          <w:noProof/>
          <w:sz w:val="28"/>
          <w:szCs w:val="28"/>
        </w:rPr>
        <w:fldChar w:fldCharType="begin"/>
      </w:r>
      <w:r w:rsidRPr="00EA35D3">
        <w:rPr>
          <w:b/>
          <w:bCs/>
          <w:noProof/>
          <w:sz w:val="28"/>
          <w:szCs w:val="28"/>
        </w:rPr>
        <w:instrText xml:space="preserve"> HYPERLINK "mailto:auh1@cdc.gov" </w:instrText>
      </w:r>
      <w:r w:rsidRPr="00EA35D3">
        <w:rPr>
          <w:b/>
          <w:bCs/>
          <w:noProof/>
          <w:sz w:val="28"/>
          <w:szCs w:val="28"/>
        </w:rPr>
        <w:fldChar w:fldCharType="separate"/>
      </w:r>
      <w:r w:rsidRPr="00EA35D3">
        <w:rPr>
          <w:rStyle w:val="Hyperlink"/>
          <w:b/>
          <w:bCs/>
          <w:noProof/>
          <w:sz w:val="28"/>
          <w:szCs w:val="28"/>
        </w:rPr>
        <w:t>auh1@cdc.gov</w:t>
      </w:r>
      <w:r w:rsidRPr="00EA35D3">
        <w:rPr>
          <w:b/>
          <w:bCs/>
          <w:noProof/>
          <w:sz w:val="28"/>
          <w:szCs w:val="28"/>
        </w:rPr>
        <w:fldChar w:fldCharType="end"/>
      </w:r>
    </w:p>
    <w:p w:rsidR="00E20EB4" w:rsidRPr="00EA35D3" w:rsidRDefault="00E20EB4" w:rsidP="00E20EB4">
      <w:pPr>
        <w:tabs>
          <w:tab w:val="center" w:pos="4680"/>
        </w:tabs>
        <w:autoSpaceDE w:val="0"/>
        <w:autoSpaceDN w:val="0"/>
        <w:adjustRightInd w:val="0"/>
        <w:rPr>
          <w:noProof/>
          <w:sz w:val="28"/>
          <w:szCs w:val="28"/>
        </w:rPr>
      </w:pPr>
      <w:r w:rsidRPr="00EA35D3">
        <w:rPr>
          <w:noProof/>
          <w:sz w:val="28"/>
          <w:szCs w:val="28"/>
        </w:rPr>
        <w:tab/>
      </w: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r w:rsidRPr="00EA35D3">
        <w:rPr>
          <w:sz w:val="28"/>
          <w:szCs w:val="28"/>
          <w:u w:val="single"/>
        </w:rPr>
        <w:t xml:space="preserve"> </w:t>
      </w: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u w:val="single"/>
        </w:rPr>
      </w:pPr>
    </w:p>
    <w:p w:rsidR="00E20EB4" w:rsidRPr="00EA35D3" w:rsidRDefault="00E20EB4" w:rsidP="00E20E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8"/>
          <w:szCs w:val="28"/>
        </w:rPr>
      </w:pPr>
      <w:r w:rsidRPr="00EA35D3">
        <w:rPr>
          <w:b/>
          <w:sz w:val="28"/>
          <w:szCs w:val="28"/>
        </w:rPr>
        <w:t>Submission Date:</w:t>
      </w:r>
      <w:r w:rsidRPr="00EA35D3">
        <w:rPr>
          <w:sz w:val="28"/>
          <w:szCs w:val="28"/>
        </w:rPr>
        <w:t xml:space="preserve"> </w:t>
      </w:r>
      <w:r w:rsidR="007D0118">
        <w:rPr>
          <w:sz w:val="28"/>
          <w:szCs w:val="28"/>
        </w:rPr>
        <w:t>September 5</w:t>
      </w:r>
      <w:r w:rsidR="00630363">
        <w:rPr>
          <w:sz w:val="28"/>
          <w:szCs w:val="28"/>
        </w:rPr>
        <w:t>, 201</w:t>
      </w:r>
      <w:r w:rsidR="007D0118">
        <w:rPr>
          <w:sz w:val="28"/>
          <w:szCs w:val="28"/>
        </w:rPr>
        <w:t>4</w:t>
      </w:r>
    </w:p>
    <w:p w:rsidR="00E20EB4" w:rsidRPr="00EA35D3" w:rsidRDefault="00E20EB4" w:rsidP="00E20EB4">
      <w:pPr>
        <w:rPr>
          <w:sz w:val="28"/>
          <w:szCs w:val="28"/>
        </w:rPr>
      </w:pPr>
    </w:p>
    <w:p w:rsidR="00E20EB4" w:rsidRPr="00EA35D3" w:rsidRDefault="00E20EB4" w:rsidP="00E20EB4">
      <w:pPr>
        <w:autoSpaceDE w:val="0"/>
        <w:autoSpaceDN w:val="0"/>
        <w:adjustRightInd w:val="0"/>
        <w:rPr>
          <w:color w:val="000000"/>
          <w:sz w:val="22"/>
          <w:szCs w:val="22"/>
        </w:rPr>
      </w:pPr>
      <w:r w:rsidRPr="00EA35D3">
        <w:rPr>
          <w:b/>
          <w:color w:val="000000"/>
          <w:sz w:val="22"/>
          <w:szCs w:val="22"/>
        </w:rPr>
        <w:br w:type="page"/>
      </w:r>
      <w:r w:rsidRPr="00EA35D3">
        <w:rPr>
          <w:b/>
          <w:color w:val="000000"/>
          <w:sz w:val="22"/>
          <w:szCs w:val="22"/>
          <w:u w:val="single"/>
        </w:rPr>
        <w:lastRenderedPageBreak/>
        <w:t>Circumstances of Change Request for OMB 0920-0821</w:t>
      </w:r>
    </w:p>
    <w:p w:rsidR="00E20EB4" w:rsidRPr="00EA35D3" w:rsidRDefault="00E20EB4" w:rsidP="00E20EB4">
      <w:pPr>
        <w:rPr>
          <w:color w:val="000000"/>
          <w:sz w:val="22"/>
          <w:szCs w:val="22"/>
        </w:rPr>
      </w:pPr>
    </w:p>
    <w:p w:rsidR="00E20EB4" w:rsidRPr="00EE6D0F" w:rsidRDefault="000259BB" w:rsidP="000259BB">
      <w:pPr>
        <w:spacing w:after="120"/>
        <w:rPr>
          <w:bCs/>
        </w:rPr>
      </w:pPr>
      <w:r>
        <w:rPr>
          <w:bCs/>
        </w:rPr>
        <w:t>In order to more quickly and effectively assess</w:t>
      </w:r>
      <w:r w:rsidR="006C647B">
        <w:rPr>
          <w:bCs/>
        </w:rPr>
        <w:t xml:space="preserve"> the risk for Ebola</w:t>
      </w:r>
      <w:r>
        <w:rPr>
          <w:bCs/>
        </w:rPr>
        <w:t xml:space="preserve"> in travelers to the United States from affected countries, </w:t>
      </w:r>
      <w:r w:rsidR="00E20EB4" w:rsidRPr="00EE6D0F">
        <w:rPr>
          <w:bCs/>
        </w:rPr>
        <w:t>CDC request</w:t>
      </w:r>
      <w:r w:rsidR="00421C30" w:rsidRPr="00EE6D0F">
        <w:rPr>
          <w:bCs/>
        </w:rPr>
        <w:t>s</w:t>
      </w:r>
      <w:r w:rsidR="00E20EB4" w:rsidRPr="00EE6D0F">
        <w:rPr>
          <w:bCs/>
        </w:rPr>
        <w:t xml:space="preserve"> approval for a nonmaterial/non-substantive change to </w:t>
      </w:r>
      <w:r w:rsidR="00421C30" w:rsidRPr="00EE6D0F">
        <w:rPr>
          <w:bCs/>
        </w:rPr>
        <w:t xml:space="preserve">OMB </w:t>
      </w:r>
      <w:r w:rsidR="00E20EB4" w:rsidRPr="00EE6D0F">
        <w:rPr>
          <w:bCs/>
        </w:rPr>
        <w:t>0920-0821</w:t>
      </w:r>
      <w:r w:rsidR="00BF2906" w:rsidRPr="00EE6D0F">
        <w:rPr>
          <w:bCs/>
        </w:rPr>
        <w:t>:</w:t>
      </w:r>
      <w:r w:rsidR="00E20EB4" w:rsidRPr="00EE6D0F">
        <w:rPr>
          <w:bCs/>
        </w:rPr>
        <w:t xml:space="preserve"> Quarantine Station Illness Response Forms: Airline, Maritime, and Land/Border Crossing (expiring 8/31/2015).</w:t>
      </w:r>
      <w:r>
        <w:rPr>
          <w:bCs/>
        </w:rPr>
        <w:t xml:space="preserve"> </w:t>
      </w:r>
      <w:r w:rsidR="00E20EB4" w:rsidRPr="00EE6D0F">
        <w:rPr>
          <w:bCs/>
        </w:rPr>
        <w:t xml:space="preserve"> </w:t>
      </w:r>
      <w:r w:rsidR="00710065" w:rsidRPr="00EE6D0F">
        <w:rPr>
          <w:bCs/>
        </w:rPr>
        <w:t>CDC request</w:t>
      </w:r>
      <w:r w:rsidR="00421C30" w:rsidRPr="00EE6D0F">
        <w:rPr>
          <w:bCs/>
        </w:rPr>
        <w:t>s</w:t>
      </w:r>
      <w:r w:rsidR="00710065" w:rsidRPr="00EE6D0F">
        <w:rPr>
          <w:bCs/>
        </w:rPr>
        <w:t xml:space="preserve"> </w:t>
      </w:r>
      <w:r w:rsidR="007D0118">
        <w:rPr>
          <w:bCs/>
        </w:rPr>
        <w:t xml:space="preserve">the addition of one form, the </w:t>
      </w:r>
      <w:r w:rsidRPr="000259BB">
        <w:rPr>
          <w:bCs/>
        </w:rPr>
        <w:t>Exposure Risk Assessment For Travelers From Ebola Outbreak-Affected Countries</w:t>
      </w:r>
      <w:r>
        <w:rPr>
          <w:bCs/>
        </w:rPr>
        <w:t xml:space="preserve"> form</w:t>
      </w:r>
      <w:r w:rsidR="00710065" w:rsidRPr="00EE6D0F">
        <w:rPr>
          <w:bCs/>
        </w:rPr>
        <w:t xml:space="preserve">.  </w:t>
      </w:r>
      <w:r w:rsidR="00996684" w:rsidRPr="00EE6D0F">
        <w:rPr>
          <w:bCs/>
        </w:rPr>
        <w:t>A</w:t>
      </w:r>
      <w:r>
        <w:rPr>
          <w:bCs/>
        </w:rPr>
        <w:t>n</w:t>
      </w:r>
      <w:r w:rsidR="00E20EB4" w:rsidRPr="00EE6D0F">
        <w:rPr>
          <w:bCs/>
        </w:rPr>
        <w:t xml:space="preserve"> </w:t>
      </w:r>
      <w:r>
        <w:rPr>
          <w:bCs/>
        </w:rPr>
        <w:t>increase of five</w:t>
      </w:r>
      <w:r w:rsidR="00E20EB4" w:rsidRPr="00EE6D0F">
        <w:rPr>
          <w:bCs/>
        </w:rPr>
        <w:t xml:space="preserve"> hours of respondent bu</w:t>
      </w:r>
      <w:r w:rsidR="00710065" w:rsidRPr="00EE6D0F">
        <w:rPr>
          <w:bCs/>
        </w:rPr>
        <w:t xml:space="preserve">rden is estimated for 0920-0821 as a result of </w:t>
      </w:r>
      <w:r w:rsidR="006C647B">
        <w:rPr>
          <w:bCs/>
        </w:rPr>
        <w:t>asking six additional questions specific to risk for Ebola infection</w:t>
      </w:r>
      <w:r w:rsidR="00421C30" w:rsidRPr="00EE6D0F">
        <w:rPr>
          <w:bCs/>
        </w:rPr>
        <w:t xml:space="preserve">. </w:t>
      </w:r>
    </w:p>
    <w:p w:rsidR="00BF2906" w:rsidRPr="00BF2906" w:rsidRDefault="00BF2906" w:rsidP="00E20EB4">
      <w:pPr>
        <w:rPr>
          <w:color w:val="000000"/>
        </w:rPr>
      </w:pPr>
    </w:p>
    <w:p w:rsidR="00E20EB4" w:rsidRPr="00BF2906" w:rsidRDefault="00E20EB4" w:rsidP="00E20EB4">
      <w:pPr>
        <w:rPr>
          <w:color w:val="000000"/>
          <w:u w:val="single"/>
        </w:rPr>
      </w:pPr>
      <w:r w:rsidRPr="00BF2906">
        <w:rPr>
          <w:color w:val="000000"/>
          <w:u w:val="single"/>
        </w:rPr>
        <w:t>Description of Changes</w:t>
      </w:r>
    </w:p>
    <w:p w:rsidR="00E20EB4" w:rsidRPr="00BF2906" w:rsidRDefault="00E20EB4" w:rsidP="00E20EB4">
      <w:pPr>
        <w:rPr>
          <w:color w:val="000000"/>
        </w:rPr>
      </w:pPr>
    </w:p>
    <w:p w:rsidR="000259BB" w:rsidRDefault="000259BB" w:rsidP="000259BB">
      <w:pPr>
        <w:rPr>
          <w:bCs/>
        </w:rPr>
      </w:pPr>
      <w:r w:rsidRPr="000259BB">
        <w:rPr>
          <w:bCs/>
        </w:rPr>
        <w:t>This is a request for information collection tool to supplement CDC’s rou</w:t>
      </w:r>
      <w:r w:rsidR="006C647B">
        <w:rPr>
          <w:bCs/>
        </w:rPr>
        <w:t>tine illness and death investigations</w:t>
      </w:r>
      <w:r w:rsidRPr="000259BB">
        <w:rPr>
          <w:bCs/>
        </w:rPr>
        <w:t xml:space="preserve"> </w:t>
      </w:r>
      <w:r>
        <w:rPr>
          <w:bCs/>
        </w:rPr>
        <w:t>so that CDC can use</w:t>
      </w:r>
      <w:r w:rsidRPr="000259BB">
        <w:rPr>
          <w:bCs/>
        </w:rPr>
        <w:t xml:space="preserve"> the Ebola Exposure Risk Assessment for Travelers from Outbreak-affected Countries </w:t>
      </w:r>
      <w:r>
        <w:rPr>
          <w:bCs/>
        </w:rPr>
        <w:t>form to</w:t>
      </w:r>
      <w:r w:rsidRPr="000259BB">
        <w:rPr>
          <w:bCs/>
        </w:rPr>
        <w:t xml:space="preserve"> assess travelers who are identified during travel (e.g. reported to CDC by airlines per regulation 42 CFR part 71.21)</w:t>
      </w:r>
      <w:r>
        <w:rPr>
          <w:bCs/>
        </w:rPr>
        <w:t xml:space="preserve"> </w:t>
      </w:r>
      <w:r w:rsidRPr="000259BB">
        <w:rPr>
          <w:bCs/>
        </w:rPr>
        <w:t xml:space="preserve">as </w:t>
      </w:r>
      <w:r w:rsidR="00405F14">
        <w:rPr>
          <w:bCs/>
        </w:rPr>
        <w:t>meeting criteria for required or requested reporting</w:t>
      </w:r>
      <w:r w:rsidRPr="000259BB">
        <w:rPr>
          <w:bCs/>
        </w:rPr>
        <w:t xml:space="preserve"> and who are traveling from the affected region. CDC has approved Illness and Death Investigation forms (0920-0821) to assist in routine responses to illnesses, but these forms do not have the specificity needed to perform an assessment given known risks characteri</w:t>
      </w:r>
      <w:r>
        <w:rPr>
          <w:bCs/>
        </w:rPr>
        <w:t>zed during this Ebola outbreak.  Given that subject matter experts have determined that there are specific exposures and symptoms that put individual at a high</w:t>
      </w:r>
      <w:r w:rsidR="006C647B">
        <w:rPr>
          <w:bCs/>
        </w:rPr>
        <w:t>er</w:t>
      </w:r>
      <w:r>
        <w:rPr>
          <w:bCs/>
        </w:rPr>
        <w:t xml:space="preserve"> risk for Ebola, </w:t>
      </w:r>
      <w:r w:rsidR="006C647B">
        <w:rPr>
          <w:bCs/>
        </w:rPr>
        <w:t>CDC can, with the requested form, provide a more thorough, efficient, and timely risk assessment.</w:t>
      </w:r>
    </w:p>
    <w:p w:rsidR="00C25322" w:rsidRDefault="00C25322" w:rsidP="000259BB">
      <w:pPr>
        <w:rPr>
          <w:bCs/>
        </w:rPr>
      </w:pPr>
    </w:p>
    <w:p w:rsidR="00C25322" w:rsidRDefault="00C25322" w:rsidP="000259BB">
      <w:pPr>
        <w:rPr>
          <w:bCs/>
        </w:rPr>
      </w:pPr>
      <w:bookmarkStart w:id="35" w:name="_GoBack"/>
      <w:r>
        <w:rPr>
          <w:rFonts w:cs="Shruti"/>
        </w:rPr>
        <w:t>When Quarantine Officers are present at the port of entry, they often respond in person to conduct the assessment of an ill traveler. However, there are many instances in which a Quarantine Officer may not be able to meet a conveyance or border crosser in person, including (but not limited to) the following:  the conveyance arrives at a port of entry that does not have Quarantine Station on site; Quarantine Officers are already responding to another illness report; or the illness may be reported after hours and Quarantine Officers cannot arrive in time to meet the conveyance or border crosser without causing substantial delays to travel.  If Quarantine Officers are unable to respond in-person, they provide phone consultation to port partners (e.g., Emergency Medical Services (EMS), CBP Officers) on the scene, to determine the public health importance of the illness.  In both circumstances, an interview of the ill person(s) is required to conduct the public health assessment, whether in-person, by phone, or through a trained responder (in consultation with the Quarantine Officer).</w:t>
      </w:r>
      <w:r w:rsidR="002A08CC">
        <w:rPr>
          <w:rFonts w:cs="Shruti"/>
        </w:rPr>
        <w:t xml:space="preserve"> </w:t>
      </w:r>
      <w:r w:rsidR="002A08CC">
        <w:rPr>
          <w:rFonts w:cs="Shruti"/>
        </w:rPr>
        <w:t xml:space="preserve">The assessment this new form allows will be performed prior to the individual leaving the port of entry after arrival.  This can either be on the conveyance, in the terminal, by Customs and Border Protection in </w:t>
      </w:r>
      <w:r w:rsidR="007C77C0">
        <w:rPr>
          <w:rFonts w:cs="Shruti"/>
        </w:rPr>
        <w:t>their space at the port of entry</w:t>
      </w:r>
      <w:r w:rsidR="002A08CC">
        <w:rPr>
          <w:rFonts w:cs="Shruti"/>
        </w:rPr>
        <w:t>, or in CDC’s office space at the port of entry.</w:t>
      </w:r>
    </w:p>
    <w:bookmarkEnd w:id="35"/>
    <w:p w:rsidR="000259BB" w:rsidRDefault="000259BB" w:rsidP="00E20EB4">
      <w:pPr>
        <w:rPr>
          <w:bCs/>
        </w:rPr>
      </w:pPr>
    </w:p>
    <w:p w:rsidR="006C647B" w:rsidRDefault="00CF0CD3" w:rsidP="00E20EB4">
      <w:pPr>
        <w:rPr>
          <w:u w:val="single"/>
        </w:rPr>
      </w:pPr>
      <w:r>
        <w:t>While cooperation with CDC during this proposed risk assessment is voluntary, i</w:t>
      </w:r>
      <w:r w:rsidR="006C647B">
        <w:t xml:space="preserve">f an individual refused to provide the requested information, or </w:t>
      </w:r>
      <w:r w:rsidR="00941E02">
        <w:t>is not truthful</w:t>
      </w:r>
      <w:r w:rsidR="00941E02">
        <w:t xml:space="preserve"> </w:t>
      </w:r>
      <w:r w:rsidR="006C647B">
        <w:t>about the information provided during an illness investigation,</w:t>
      </w:r>
      <w:r>
        <w:t xml:space="preserve"> </w:t>
      </w:r>
      <w:r w:rsidR="006C647B">
        <w:rPr>
          <w:color w:val="000000"/>
        </w:rPr>
        <w:t xml:space="preserve">CDC </w:t>
      </w:r>
      <w:r>
        <w:rPr>
          <w:color w:val="000000"/>
        </w:rPr>
        <w:t xml:space="preserve">may, if </w:t>
      </w:r>
      <w:r w:rsidR="00941E02">
        <w:rPr>
          <w:color w:val="000000"/>
        </w:rPr>
        <w:t>it is</w:t>
      </w:r>
      <w:r>
        <w:rPr>
          <w:color w:val="000000"/>
        </w:rPr>
        <w:t xml:space="preserve"> </w:t>
      </w:r>
      <w:r w:rsidRPr="00CF0CD3">
        <w:rPr>
          <w:color w:val="000000"/>
        </w:rPr>
        <w:t>reasonably believe</w:t>
      </w:r>
      <w:r w:rsidR="00941E02">
        <w:rPr>
          <w:color w:val="000000"/>
        </w:rPr>
        <w:t>d</w:t>
      </w:r>
      <w:r w:rsidRPr="00CF0CD3">
        <w:rPr>
          <w:color w:val="000000"/>
        </w:rPr>
        <w:t xml:space="preserve"> that the individual is infected with or has been exposed to Ebola, quarantine, isolate, or place the individual under surveillance under 42 CFR 71.32 and 71.33.</w:t>
      </w:r>
    </w:p>
    <w:p w:rsidR="006C647B" w:rsidRDefault="006C647B" w:rsidP="00E20EB4">
      <w:pPr>
        <w:rPr>
          <w:u w:val="single"/>
        </w:rPr>
      </w:pPr>
    </w:p>
    <w:p w:rsidR="00E20EB4" w:rsidRPr="00421C30" w:rsidRDefault="00E20EB4" w:rsidP="00E20EB4">
      <w:pPr>
        <w:rPr>
          <w:u w:val="single"/>
        </w:rPr>
      </w:pPr>
      <w:r w:rsidRPr="00421C30">
        <w:rPr>
          <w:u w:val="single"/>
        </w:rPr>
        <w:t>Burden</w:t>
      </w:r>
    </w:p>
    <w:p w:rsidR="00E20EB4" w:rsidRPr="00421C30" w:rsidRDefault="00E20EB4" w:rsidP="00E20EB4">
      <w:pPr>
        <w:rPr>
          <w:color w:val="000000"/>
        </w:rPr>
      </w:pPr>
    </w:p>
    <w:p w:rsidR="00E20EB4" w:rsidRPr="00421C30" w:rsidRDefault="00E20EB4" w:rsidP="00E20EB4">
      <w:pPr>
        <w:rPr>
          <w:color w:val="000000"/>
        </w:rPr>
      </w:pPr>
      <w:r w:rsidRPr="00421C30">
        <w:rPr>
          <w:color w:val="000000"/>
        </w:rPr>
        <w:t>Estimates of Annualized Burden Hours 0920-0821 Quarantine Station Illness Response Forms: Airline, Maritime, and Land/Border Crossing (</w:t>
      </w:r>
      <w:r w:rsidR="000259BB">
        <w:rPr>
          <w:color w:val="000000"/>
        </w:rPr>
        <w:t>increase of five</w:t>
      </w:r>
      <w:r w:rsidRPr="00421C30">
        <w:rPr>
          <w:color w:val="000000"/>
        </w:rPr>
        <w:t xml:space="preserve"> hours)</w:t>
      </w:r>
    </w:p>
    <w:p w:rsidR="00E20EB4" w:rsidRPr="00421C30" w:rsidRDefault="00E20EB4" w:rsidP="00E20EB4">
      <w:pPr>
        <w:rPr>
          <w:color w:val="FF0000"/>
        </w:rPr>
      </w:pPr>
    </w:p>
    <w:tbl>
      <w:tblPr>
        <w:tblW w:w="8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10"/>
        <w:gridCol w:w="1620"/>
        <w:gridCol w:w="1890"/>
        <w:gridCol w:w="931"/>
      </w:tblGrid>
      <w:tr w:rsidR="00E20EB4" w:rsidRPr="00421C30" w:rsidTr="000259BB">
        <w:tc>
          <w:tcPr>
            <w:tcW w:w="1998"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Form</w:t>
            </w:r>
          </w:p>
        </w:tc>
        <w:tc>
          <w:tcPr>
            <w:tcW w:w="1710"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Number of Respondents</w:t>
            </w:r>
          </w:p>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620"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Number of Responses per</w:t>
            </w:r>
          </w:p>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Respondent</w:t>
            </w:r>
          </w:p>
        </w:tc>
        <w:tc>
          <w:tcPr>
            <w:tcW w:w="1890" w:type="dxa"/>
          </w:tcPr>
          <w:p w:rsidR="00E20EB4" w:rsidRPr="00421C30" w:rsidRDefault="00E20EB4" w:rsidP="00900AF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421C30">
              <w:t>Average Burden per Response</w:t>
            </w:r>
          </w:p>
          <w:p w:rsidR="00E20EB4" w:rsidRPr="00421C30" w:rsidRDefault="00E20EB4" w:rsidP="00900AFF">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pPr>
            <w:r w:rsidRPr="00421C30">
              <w:t>(in minutes)</w:t>
            </w:r>
          </w:p>
        </w:tc>
        <w:tc>
          <w:tcPr>
            <w:tcW w:w="931"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Total Burden Hours</w:t>
            </w:r>
          </w:p>
        </w:tc>
      </w:tr>
      <w:tr w:rsidR="00E20EB4" w:rsidRPr="00421C30" w:rsidTr="000259BB">
        <w:tc>
          <w:tcPr>
            <w:tcW w:w="1998"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21C30">
              <w:t xml:space="preserve">Airline Travel Illness or Death Investigation  Form </w:t>
            </w:r>
          </w:p>
        </w:tc>
        <w:tc>
          <w:tcPr>
            <w:tcW w:w="171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1626</w:t>
            </w:r>
          </w:p>
        </w:tc>
        <w:tc>
          <w:tcPr>
            <w:tcW w:w="162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w:t>
            </w:r>
          </w:p>
        </w:tc>
        <w:tc>
          <w:tcPr>
            <w:tcW w:w="189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5/60</w:t>
            </w:r>
          </w:p>
        </w:tc>
        <w:tc>
          <w:tcPr>
            <w:tcW w:w="931"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136</w:t>
            </w:r>
          </w:p>
        </w:tc>
      </w:tr>
      <w:tr w:rsidR="00E20EB4" w:rsidRPr="00421C30" w:rsidTr="000259BB">
        <w:tc>
          <w:tcPr>
            <w:tcW w:w="1998"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21C30">
              <w:t>Maritime Conveyance Illness or Death Investigation Form</w:t>
            </w:r>
          </w:p>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71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1873</w:t>
            </w:r>
          </w:p>
        </w:tc>
        <w:tc>
          <w:tcPr>
            <w:tcW w:w="162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w:t>
            </w:r>
          </w:p>
        </w:tc>
        <w:tc>
          <w:tcPr>
            <w:tcW w:w="189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5/60</w:t>
            </w:r>
          </w:p>
        </w:tc>
        <w:tc>
          <w:tcPr>
            <w:tcW w:w="931"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21C30">
              <w:t>156</w:t>
            </w:r>
          </w:p>
        </w:tc>
      </w:tr>
      <w:tr w:rsidR="00E20EB4" w:rsidRPr="00421C30" w:rsidTr="000259BB">
        <w:tc>
          <w:tcPr>
            <w:tcW w:w="1998" w:type="dxa"/>
          </w:tcPr>
          <w:p w:rsidR="00E20EB4" w:rsidRPr="00421C30" w:rsidRDefault="00E20EB4"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pPr>
            <w:r w:rsidRPr="00421C30">
              <w:t>Land Travel  Illness or Death Investigation Form</w:t>
            </w:r>
          </w:p>
        </w:tc>
        <w:tc>
          <w:tcPr>
            <w:tcW w:w="171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259</w:t>
            </w:r>
          </w:p>
        </w:tc>
        <w:tc>
          <w:tcPr>
            <w:tcW w:w="162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1</w:t>
            </w:r>
          </w:p>
        </w:tc>
        <w:tc>
          <w:tcPr>
            <w:tcW w:w="1890"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5/60</w:t>
            </w:r>
          </w:p>
        </w:tc>
        <w:tc>
          <w:tcPr>
            <w:tcW w:w="931" w:type="dxa"/>
          </w:tcPr>
          <w:p w:rsidR="00E20EB4" w:rsidRPr="00421C30" w:rsidRDefault="00E20EB4"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22</w:t>
            </w:r>
          </w:p>
        </w:tc>
      </w:tr>
      <w:tr w:rsidR="000259BB" w:rsidRPr="00421C30" w:rsidTr="000259BB">
        <w:tc>
          <w:tcPr>
            <w:tcW w:w="1998" w:type="dxa"/>
          </w:tcPr>
          <w:p w:rsidR="000259BB" w:rsidRPr="008D6F0A" w:rsidRDefault="000259BB" w:rsidP="000259BB">
            <w:r w:rsidRPr="008D6F0A">
              <w:t xml:space="preserve">Ebola Exposure Risk Assessment for Travelers from Outbreak-affected Countries </w:t>
            </w:r>
          </w:p>
        </w:tc>
        <w:tc>
          <w:tcPr>
            <w:tcW w:w="1710" w:type="dxa"/>
          </w:tcPr>
          <w:p w:rsidR="000259BB" w:rsidRPr="008D6F0A" w:rsidRDefault="000259BB" w:rsidP="000259BB">
            <w:pPr>
              <w:jc w:val="center"/>
            </w:pPr>
            <w:r>
              <w:t>100</w:t>
            </w:r>
          </w:p>
        </w:tc>
        <w:tc>
          <w:tcPr>
            <w:tcW w:w="1620" w:type="dxa"/>
          </w:tcPr>
          <w:p w:rsidR="000259BB" w:rsidRPr="008D6F0A" w:rsidRDefault="000259BB" w:rsidP="000259BB">
            <w:pPr>
              <w:jc w:val="center"/>
            </w:pPr>
            <w:r>
              <w:t>1</w:t>
            </w:r>
          </w:p>
        </w:tc>
        <w:tc>
          <w:tcPr>
            <w:tcW w:w="1890" w:type="dxa"/>
          </w:tcPr>
          <w:p w:rsidR="000259BB" w:rsidRPr="008D6F0A" w:rsidRDefault="000259BB" w:rsidP="000259BB">
            <w:pPr>
              <w:jc w:val="center"/>
            </w:pPr>
            <w:r>
              <w:t>3/60</w:t>
            </w:r>
          </w:p>
        </w:tc>
        <w:tc>
          <w:tcPr>
            <w:tcW w:w="931" w:type="dxa"/>
          </w:tcPr>
          <w:p w:rsidR="000259BB" w:rsidRPr="008D6F0A" w:rsidRDefault="000259BB" w:rsidP="000259BB">
            <w:pPr>
              <w:jc w:val="center"/>
            </w:pPr>
            <w:r>
              <w:t>5</w:t>
            </w:r>
          </w:p>
        </w:tc>
      </w:tr>
      <w:tr w:rsidR="000259BB" w:rsidRPr="00421C30" w:rsidTr="000259BB">
        <w:tc>
          <w:tcPr>
            <w:tcW w:w="1998" w:type="dxa"/>
          </w:tcPr>
          <w:p w:rsidR="000259BB" w:rsidRPr="00421C30" w:rsidRDefault="000259BB"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Total</w:t>
            </w:r>
          </w:p>
        </w:tc>
        <w:tc>
          <w:tcPr>
            <w:tcW w:w="1710" w:type="dxa"/>
          </w:tcPr>
          <w:p w:rsidR="000259BB" w:rsidRPr="00421C30" w:rsidRDefault="000259BB"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rsidRPr="00421C30">
              <w:t>3,</w:t>
            </w:r>
            <w:r>
              <w:t>8</w:t>
            </w:r>
            <w:r w:rsidRPr="00421C30">
              <w:t>58</w:t>
            </w:r>
          </w:p>
        </w:tc>
        <w:tc>
          <w:tcPr>
            <w:tcW w:w="1620" w:type="dxa"/>
          </w:tcPr>
          <w:p w:rsidR="000259BB" w:rsidRPr="00421C30" w:rsidRDefault="000259BB"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p>
        </w:tc>
        <w:tc>
          <w:tcPr>
            <w:tcW w:w="1890" w:type="dxa"/>
          </w:tcPr>
          <w:p w:rsidR="000259BB" w:rsidRPr="00421C30" w:rsidRDefault="000259BB"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p>
        </w:tc>
        <w:tc>
          <w:tcPr>
            <w:tcW w:w="931" w:type="dxa"/>
          </w:tcPr>
          <w:p w:rsidR="000259BB" w:rsidRPr="00421C30" w:rsidRDefault="000259BB" w:rsidP="00025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
              <w:jc w:val="center"/>
            </w:pPr>
            <w:r>
              <w:t>319</w:t>
            </w:r>
          </w:p>
        </w:tc>
      </w:tr>
    </w:tbl>
    <w:p w:rsidR="00E20EB4" w:rsidRPr="00421C30" w:rsidRDefault="00E20EB4" w:rsidP="00E20EB4">
      <w:pPr>
        <w:rPr>
          <w:color w:val="FF0000"/>
        </w:rPr>
      </w:pPr>
    </w:p>
    <w:p w:rsidR="00E20EB4" w:rsidRPr="00421C30" w:rsidRDefault="00E20EB4" w:rsidP="00E20EB4">
      <w:pPr>
        <w:rPr>
          <w:color w:val="FF0000"/>
        </w:rPr>
      </w:pPr>
    </w:p>
    <w:p w:rsidR="00E20EB4" w:rsidRPr="00421C30" w:rsidRDefault="00E20EB4" w:rsidP="00E20EB4">
      <w:pPr>
        <w:rPr>
          <w:color w:val="000000"/>
        </w:rPr>
      </w:pPr>
      <w:r w:rsidRPr="00421C30">
        <w:rPr>
          <w:color w:val="000000"/>
        </w:rPr>
        <w:t xml:space="preserve">Estimates of Annualized Cost Burden 0920-0821 Quarantine Station Illness Response Forms: Airline, Maritime, and </w:t>
      </w:r>
      <w:r w:rsidR="00CF0CD3">
        <w:rPr>
          <w:color w:val="000000"/>
        </w:rPr>
        <w:t xml:space="preserve">Land/Border Crossing.  There is an </w:t>
      </w:r>
      <w:r w:rsidR="006C647B">
        <w:rPr>
          <w:color w:val="000000"/>
        </w:rPr>
        <w:t>increase</w:t>
      </w:r>
      <w:r w:rsidRPr="00421C30">
        <w:rPr>
          <w:color w:val="000000"/>
        </w:rPr>
        <w:t xml:space="preserve"> of $</w:t>
      </w:r>
      <w:r w:rsidR="006C647B">
        <w:rPr>
          <w:color w:val="000000"/>
        </w:rPr>
        <w:t>418</w:t>
      </w:r>
      <w:r w:rsidRPr="00421C30">
        <w:rPr>
          <w:color w:val="000000"/>
        </w:rPr>
        <w:t xml:space="preserve"> dollars</w:t>
      </w:r>
      <w:r w:rsidR="006C647B">
        <w:rPr>
          <w:color w:val="000000"/>
        </w:rPr>
        <w:t xml:space="preserve">.  Included in this </w:t>
      </w:r>
      <w:r w:rsidR="00CF0CD3">
        <w:rPr>
          <w:color w:val="000000"/>
        </w:rPr>
        <w:t>increase</w:t>
      </w:r>
      <w:r w:rsidR="006C647B">
        <w:rPr>
          <w:color w:val="000000"/>
        </w:rPr>
        <w:t xml:space="preserve"> is an adjustment for increase in </w:t>
      </w:r>
      <w:r w:rsidR="00CF0CD3">
        <w:rPr>
          <w:color w:val="000000"/>
        </w:rPr>
        <w:t>the average wage</w:t>
      </w:r>
      <w:r w:rsidR="006C647B">
        <w:rPr>
          <w:color w:val="000000"/>
        </w:rPr>
        <w:t xml:space="preserve"> from 2012 to 2013. </w:t>
      </w:r>
      <w:r w:rsidR="006C647B" w:rsidRPr="006C647B">
        <w:rPr>
          <w:color w:val="000000"/>
        </w:rPr>
        <w:t>Wages for Passengers were gathered from 00-0000 All Occupations (http://www.bls.gov/oes/current/oes_nat.htm#00-0000</w:t>
      </w:r>
      <w:r w:rsidRPr="00421C30">
        <w:rPr>
          <w:color w:val="000000"/>
        </w:rPr>
        <w:t>)</w:t>
      </w:r>
    </w:p>
    <w:p w:rsidR="00E20EB4" w:rsidRPr="00421C30" w:rsidRDefault="00E20EB4" w:rsidP="00E20EB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670"/>
        <w:gridCol w:w="1260"/>
        <w:gridCol w:w="3150"/>
      </w:tblGrid>
      <w:tr w:rsidR="00E20EB4" w:rsidRPr="00421C30" w:rsidTr="00900AFF">
        <w:tc>
          <w:tcPr>
            <w:tcW w:w="2128" w:type="dxa"/>
          </w:tcPr>
          <w:p w:rsidR="00E20EB4" w:rsidRPr="00421C30" w:rsidRDefault="00E20EB4" w:rsidP="00900AFF">
            <w:pPr>
              <w:jc w:val="center"/>
            </w:pPr>
            <w:r w:rsidRPr="00421C30">
              <w:t>Form</w:t>
            </w:r>
          </w:p>
        </w:tc>
        <w:tc>
          <w:tcPr>
            <w:tcW w:w="1670" w:type="dxa"/>
          </w:tcPr>
          <w:p w:rsidR="00E20EB4" w:rsidRPr="00421C30" w:rsidRDefault="00E20EB4" w:rsidP="00900AFF">
            <w:pPr>
              <w:jc w:val="center"/>
            </w:pPr>
            <w:r w:rsidRPr="00421C30">
              <w:t>Total Burden Hours</w:t>
            </w:r>
          </w:p>
        </w:tc>
        <w:tc>
          <w:tcPr>
            <w:tcW w:w="1260" w:type="dxa"/>
          </w:tcPr>
          <w:p w:rsidR="00E20EB4" w:rsidRPr="00421C30" w:rsidRDefault="00E20EB4" w:rsidP="00900AFF">
            <w:pPr>
              <w:jc w:val="center"/>
            </w:pPr>
            <w:r w:rsidRPr="00421C30">
              <w:t>Hourly Wage Rate</w:t>
            </w:r>
          </w:p>
        </w:tc>
        <w:tc>
          <w:tcPr>
            <w:tcW w:w="3150" w:type="dxa"/>
          </w:tcPr>
          <w:p w:rsidR="00E20EB4" w:rsidRPr="00421C30" w:rsidRDefault="00E20EB4" w:rsidP="00900AFF">
            <w:pPr>
              <w:jc w:val="center"/>
            </w:pPr>
            <w:r w:rsidRPr="00421C30">
              <w:t>Total Respondent Costs</w:t>
            </w:r>
          </w:p>
        </w:tc>
      </w:tr>
      <w:tr w:rsidR="000259BB" w:rsidRPr="00421C30" w:rsidTr="00900AFF">
        <w:tc>
          <w:tcPr>
            <w:tcW w:w="2128" w:type="dxa"/>
          </w:tcPr>
          <w:p w:rsidR="000259BB" w:rsidRPr="00421C30" w:rsidRDefault="000259BB" w:rsidP="00900AFF">
            <w:r w:rsidRPr="00421C30">
              <w:t>Airline Travel Illness or Death Investigation  Form</w:t>
            </w:r>
          </w:p>
        </w:tc>
        <w:tc>
          <w:tcPr>
            <w:tcW w:w="1670" w:type="dxa"/>
          </w:tcPr>
          <w:p w:rsidR="000259BB" w:rsidRPr="00421C30" w:rsidRDefault="000259BB" w:rsidP="000259BB">
            <w:pPr>
              <w:jc w:val="center"/>
            </w:pPr>
            <w:r w:rsidRPr="00421C30">
              <w:t>136</w:t>
            </w:r>
          </w:p>
          <w:p w:rsidR="000259BB" w:rsidRPr="00421C30" w:rsidRDefault="000259BB" w:rsidP="000259BB">
            <w:pPr>
              <w:jc w:val="center"/>
            </w:pPr>
          </w:p>
        </w:tc>
        <w:tc>
          <w:tcPr>
            <w:tcW w:w="1260" w:type="dxa"/>
          </w:tcPr>
          <w:p w:rsidR="000259BB" w:rsidRDefault="000259BB">
            <w:r w:rsidRPr="00B11627">
              <w:t>$22.33</w:t>
            </w:r>
          </w:p>
        </w:tc>
        <w:tc>
          <w:tcPr>
            <w:tcW w:w="3150" w:type="dxa"/>
          </w:tcPr>
          <w:p w:rsidR="000259BB" w:rsidRPr="00421C30" w:rsidRDefault="006C647B" w:rsidP="006C647B">
            <w:pPr>
              <w:jc w:val="center"/>
            </w:pPr>
            <w:r>
              <w:t>$3,037</w:t>
            </w:r>
          </w:p>
        </w:tc>
      </w:tr>
      <w:tr w:rsidR="000259BB" w:rsidRPr="00421C30" w:rsidTr="00900AFF">
        <w:tc>
          <w:tcPr>
            <w:tcW w:w="2128" w:type="dxa"/>
          </w:tcPr>
          <w:p w:rsidR="000259BB" w:rsidRPr="00421C30" w:rsidRDefault="000259BB" w:rsidP="0090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21C30">
              <w:t xml:space="preserve">Maritime Conveyance Illness or Death Investigation Form* </w:t>
            </w:r>
          </w:p>
          <w:p w:rsidR="000259BB" w:rsidRPr="00421C30" w:rsidRDefault="000259BB" w:rsidP="00900AFF"/>
        </w:tc>
        <w:tc>
          <w:tcPr>
            <w:tcW w:w="1670" w:type="dxa"/>
          </w:tcPr>
          <w:p w:rsidR="000259BB" w:rsidRPr="00421C30" w:rsidRDefault="000259BB" w:rsidP="000259BB">
            <w:pPr>
              <w:jc w:val="center"/>
            </w:pPr>
            <w:r w:rsidRPr="00421C30">
              <w:t>156</w:t>
            </w:r>
          </w:p>
        </w:tc>
        <w:tc>
          <w:tcPr>
            <w:tcW w:w="1260" w:type="dxa"/>
          </w:tcPr>
          <w:p w:rsidR="000259BB" w:rsidRDefault="000259BB">
            <w:r w:rsidRPr="00B11627">
              <w:t>$22.33</w:t>
            </w:r>
          </w:p>
        </w:tc>
        <w:tc>
          <w:tcPr>
            <w:tcW w:w="3150" w:type="dxa"/>
          </w:tcPr>
          <w:p w:rsidR="000259BB" w:rsidRPr="00421C30" w:rsidRDefault="006C647B" w:rsidP="000259BB">
            <w:pPr>
              <w:jc w:val="center"/>
            </w:pPr>
            <w:r>
              <w:t>$3,483</w:t>
            </w:r>
          </w:p>
        </w:tc>
      </w:tr>
      <w:tr w:rsidR="000259BB" w:rsidRPr="00421C30" w:rsidTr="00900AFF">
        <w:tc>
          <w:tcPr>
            <w:tcW w:w="2128" w:type="dxa"/>
          </w:tcPr>
          <w:p w:rsidR="000259BB" w:rsidRPr="00421C30" w:rsidRDefault="000259BB" w:rsidP="00900AFF">
            <w:r w:rsidRPr="00421C30">
              <w:t>Land Travel  Illness or Death Investigation Form</w:t>
            </w:r>
          </w:p>
        </w:tc>
        <w:tc>
          <w:tcPr>
            <w:tcW w:w="1670" w:type="dxa"/>
          </w:tcPr>
          <w:p w:rsidR="000259BB" w:rsidRPr="00421C30" w:rsidRDefault="000259BB" w:rsidP="000259BB">
            <w:pPr>
              <w:jc w:val="center"/>
            </w:pPr>
            <w:r w:rsidRPr="00421C30">
              <w:t>22</w:t>
            </w:r>
          </w:p>
        </w:tc>
        <w:tc>
          <w:tcPr>
            <w:tcW w:w="1260" w:type="dxa"/>
          </w:tcPr>
          <w:p w:rsidR="000259BB" w:rsidRDefault="000259BB">
            <w:r w:rsidRPr="00B11627">
              <w:t>$22.33</w:t>
            </w:r>
          </w:p>
        </w:tc>
        <w:tc>
          <w:tcPr>
            <w:tcW w:w="3150" w:type="dxa"/>
          </w:tcPr>
          <w:p w:rsidR="000259BB" w:rsidRPr="00421C30" w:rsidRDefault="006C647B" w:rsidP="000259BB">
            <w:pPr>
              <w:jc w:val="center"/>
            </w:pPr>
            <w:r>
              <w:t>$491</w:t>
            </w:r>
          </w:p>
        </w:tc>
      </w:tr>
      <w:tr w:rsidR="000259BB" w:rsidRPr="00421C30" w:rsidTr="00900AFF">
        <w:tc>
          <w:tcPr>
            <w:tcW w:w="2128" w:type="dxa"/>
          </w:tcPr>
          <w:p w:rsidR="000259BB" w:rsidRPr="00421C30" w:rsidRDefault="000259BB" w:rsidP="00900AFF">
            <w:r w:rsidRPr="008D6F0A">
              <w:t xml:space="preserve">Ebola Exposure Risk Assessment </w:t>
            </w:r>
            <w:r w:rsidRPr="008D6F0A">
              <w:lastRenderedPageBreak/>
              <w:t>for Travelers from Outbreak-affected Countries</w:t>
            </w:r>
          </w:p>
        </w:tc>
        <w:tc>
          <w:tcPr>
            <w:tcW w:w="1670" w:type="dxa"/>
          </w:tcPr>
          <w:p w:rsidR="000259BB" w:rsidRPr="00421C30" w:rsidRDefault="000259BB" w:rsidP="000259BB">
            <w:pPr>
              <w:jc w:val="center"/>
            </w:pPr>
            <w:r>
              <w:lastRenderedPageBreak/>
              <w:t>5</w:t>
            </w:r>
          </w:p>
        </w:tc>
        <w:tc>
          <w:tcPr>
            <w:tcW w:w="1260" w:type="dxa"/>
          </w:tcPr>
          <w:p w:rsidR="000259BB" w:rsidRDefault="000259BB">
            <w:r w:rsidRPr="00B11627">
              <w:t>$22.33</w:t>
            </w:r>
          </w:p>
        </w:tc>
        <w:tc>
          <w:tcPr>
            <w:tcW w:w="3150" w:type="dxa"/>
          </w:tcPr>
          <w:p w:rsidR="000259BB" w:rsidRPr="00421C30" w:rsidRDefault="006C647B" w:rsidP="000259BB">
            <w:pPr>
              <w:jc w:val="center"/>
            </w:pPr>
            <w:r>
              <w:t>$112</w:t>
            </w:r>
          </w:p>
        </w:tc>
      </w:tr>
      <w:tr w:rsidR="000259BB" w:rsidRPr="00421C30" w:rsidTr="00900AFF">
        <w:tc>
          <w:tcPr>
            <w:tcW w:w="2128" w:type="dxa"/>
          </w:tcPr>
          <w:p w:rsidR="000259BB" w:rsidRPr="00421C30" w:rsidRDefault="000259BB" w:rsidP="00900AFF">
            <w:r w:rsidRPr="00421C30">
              <w:lastRenderedPageBreak/>
              <w:t>Total</w:t>
            </w:r>
          </w:p>
        </w:tc>
        <w:tc>
          <w:tcPr>
            <w:tcW w:w="1670" w:type="dxa"/>
          </w:tcPr>
          <w:p w:rsidR="000259BB" w:rsidRPr="00421C30" w:rsidRDefault="000259BB" w:rsidP="000259BB">
            <w:pPr>
              <w:jc w:val="center"/>
            </w:pPr>
            <w:r w:rsidRPr="00421C30">
              <w:t>377</w:t>
            </w:r>
          </w:p>
        </w:tc>
        <w:tc>
          <w:tcPr>
            <w:tcW w:w="1260" w:type="dxa"/>
          </w:tcPr>
          <w:p w:rsidR="000259BB" w:rsidRDefault="000259BB">
            <w:r w:rsidRPr="00B11627">
              <w:t>$22.33</w:t>
            </w:r>
          </w:p>
        </w:tc>
        <w:tc>
          <w:tcPr>
            <w:tcW w:w="3150" w:type="dxa"/>
          </w:tcPr>
          <w:p w:rsidR="000259BB" w:rsidRPr="00421C30" w:rsidRDefault="000259BB" w:rsidP="006C647B">
            <w:pPr>
              <w:jc w:val="center"/>
            </w:pPr>
            <w:r w:rsidRPr="00421C30">
              <w:t>$</w:t>
            </w:r>
            <w:r w:rsidR="006C647B">
              <w:t>7,123</w:t>
            </w:r>
          </w:p>
        </w:tc>
      </w:tr>
    </w:tbl>
    <w:p w:rsidR="00E20EB4" w:rsidRPr="00421C30" w:rsidRDefault="00E20EB4" w:rsidP="00E20EB4">
      <w:pPr>
        <w:rPr>
          <w:u w:val="single"/>
        </w:rPr>
      </w:pPr>
    </w:p>
    <w:p w:rsidR="00E20EB4" w:rsidRPr="00421C30" w:rsidRDefault="00E20EB4" w:rsidP="00E20EB4">
      <w:pPr>
        <w:rPr>
          <w:u w:val="single"/>
        </w:rPr>
      </w:pPr>
    </w:p>
    <w:p w:rsidR="00E20EB4" w:rsidRPr="00421C30" w:rsidRDefault="00E20EB4" w:rsidP="00E20EB4">
      <w:pPr>
        <w:rPr>
          <w:u w:val="single"/>
        </w:rPr>
      </w:pPr>
      <w:r w:rsidRPr="00421C30">
        <w:rPr>
          <w:u w:val="single"/>
        </w:rPr>
        <w:t>Privacy Impact Assessment</w:t>
      </w:r>
    </w:p>
    <w:p w:rsidR="00E20EB4" w:rsidRPr="00421C30" w:rsidRDefault="00E20EB4" w:rsidP="00E20EB4">
      <w:pPr>
        <w:rPr>
          <w:u w:val="single"/>
        </w:rPr>
      </w:pPr>
    </w:p>
    <w:p w:rsidR="00E20EB4" w:rsidRPr="00421C30" w:rsidRDefault="00CF0CD3" w:rsidP="00E20EB4">
      <w:r>
        <w:t xml:space="preserve">There is no PII collected on the </w:t>
      </w:r>
      <w:r w:rsidRPr="000259BB">
        <w:rPr>
          <w:bCs/>
        </w:rPr>
        <w:t xml:space="preserve">Ebola Exposure Risk Assessment for Travelers from Outbreak-affected Countries </w:t>
      </w:r>
      <w:r>
        <w:rPr>
          <w:bCs/>
        </w:rPr>
        <w:t xml:space="preserve">form, so there will be </w:t>
      </w:r>
      <w:r w:rsidR="00E20EB4" w:rsidRPr="00421C30">
        <w:t xml:space="preserve">no effect on the Privacy Impact Assessment provided in the supporting statement for the information collection approved under </w:t>
      </w:r>
      <w:r w:rsidR="00E7473D" w:rsidRPr="00421C30">
        <w:t>OMB 0920</w:t>
      </w:r>
      <w:r w:rsidR="00E20EB4" w:rsidRPr="00421C30">
        <w:t xml:space="preserve">-0821. All of the procedural and physical safeguards and access requirements </w:t>
      </w:r>
      <w:r>
        <w:t xml:space="preserve">to the collected information </w:t>
      </w:r>
      <w:r w:rsidR="00E20EB4" w:rsidRPr="00421C30">
        <w:t>remain the same.</w:t>
      </w:r>
    </w:p>
    <w:p w:rsidR="00E20EB4" w:rsidRPr="00421C30" w:rsidRDefault="00E20EB4" w:rsidP="00E20EB4">
      <w:pPr>
        <w:rPr>
          <w:color w:val="000000"/>
        </w:rPr>
      </w:pPr>
    </w:p>
    <w:p w:rsidR="0027187E" w:rsidRPr="00421C30" w:rsidRDefault="0027187E"/>
    <w:sectPr w:rsidR="0027187E" w:rsidRPr="00421C30" w:rsidSect="008D7C48">
      <w:headerReference w:type="default" r:id="rId8"/>
      <w:footerReference w:type="even" r:id="rId9"/>
      <w:footerReference w:type="default" r:id="rId10"/>
      <w:footerReference w:type="first" r:id="rId1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9B" w:rsidRDefault="00803C9B">
      <w:r>
        <w:separator/>
      </w:r>
    </w:p>
  </w:endnote>
  <w:endnote w:type="continuationSeparator" w:id="0">
    <w:p w:rsidR="00803C9B" w:rsidRDefault="0080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C" w:rsidRDefault="00E20EB4"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063C" w:rsidRDefault="00A93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C" w:rsidRDefault="00E20EB4"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282">
      <w:rPr>
        <w:rStyle w:val="PageNumber"/>
        <w:noProof/>
      </w:rPr>
      <w:t>2</w:t>
    </w:r>
    <w:r>
      <w:rPr>
        <w:rStyle w:val="PageNumber"/>
      </w:rPr>
      <w:fldChar w:fldCharType="end"/>
    </w:r>
  </w:p>
  <w:p w:rsidR="00BF063C" w:rsidRPr="00974CF8" w:rsidRDefault="00E20EB4" w:rsidP="008D7C48">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C" w:rsidRDefault="00E20EB4" w:rsidP="008D7C48">
    <w:pPr>
      <w:pStyle w:val="Footer"/>
      <w:jc w:val="center"/>
    </w:pPr>
    <w:r>
      <w:fldChar w:fldCharType="begin"/>
    </w:r>
    <w:r>
      <w:instrText xml:space="preserve"> PAGE   \* MERGEFORMAT </w:instrText>
    </w:r>
    <w:r>
      <w:fldChar w:fldCharType="separate"/>
    </w:r>
    <w:r w:rsidR="00941E02">
      <w:rPr>
        <w:noProof/>
      </w:rPr>
      <w:t>1</w:t>
    </w:r>
    <w:r>
      <w:fldChar w:fldCharType="end"/>
    </w:r>
  </w:p>
  <w:p w:rsidR="00BF063C" w:rsidRDefault="00A93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9B" w:rsidRDefault="00803C9B">
      <w:r>
        <w:separator/>
      </w:r>
    </w:p>
  </w:footnote>
  <w:footnote w:type="continuationSeparator" w:id="0">
    <w:p w:rsidR="00803C9B" w:rsidRDefault="00803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C" w:rsidRPr="00974CF8" w:rsidRDefault="00E20EB4"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BF063C" w:rsidRDefault="00A93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B4"/>
    <w:multiLevelType w:val="hybridMultilevel"/>
    <w:tmpl w:val="903E35B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B4"/>
    <w:rsid w:val="000259BB"/>
    <w:rsid w:val="00031DE9"/>
    <w:rsid w:val="00091941"/>
    <w:rsid w:val="000D1EED"/>
    <w:rsid w:val="001335F9"/>
    <w:rsid w:val="0027187E"/>
    <w:rsid w:val="002A08CC"/>
    <w:rsid w:val="00401616"/>
    <w:rsid w:val="00405F14"/>
    <w:rsid w:val="00421C30"/>
    <w:rsid w:val="004B0B62"/>
    <w:rsid w:val="004B45E0"/>
    <w:rsid w:val="004F77F2"/>
    <w:rsid w:val="00630363"/>
    <w:rsid w:val="006414F2"/>
    <w:rsid w:val="006420E3"/>
    <w:rsid w:val="006A3D36"/>
    <w:rsid w:val="006B2EAB"/>
    <w:rsid w:val="006C647B"/>
    <w:rsid w:val="00710065"/>
    <w:rsid w:val="007C77C0"/>
    <w:rsid w:val="007D0118"/>
    <w:rsid w:val="00803C9B"/>
    <w:rsid w:val="00861F9A"/>
    <w:rsid w:val="0092323E"/>
    <w:rsid w:val="00941E02"/>
    <w:rsid w:val="00996684"/>
    <w:rsid w:val="009D59B9"/>
    <w:rsid w:val="00A93282"/>
    <w:rsid w:val="00AE5A51"/>
    <w:rsid w:val="00B53357"/>
    <w:rsid w:val="00BF2906"/>
    <w:rsid w:val="00C25322"/>
    <w:rsid w:val="00C96CEC"/>
    <w:rsid w:val="00CF0CD3"/>
    <w:rsid w:val="00CF4432"/>
    <w:rsid w:val="00D4618D"/>
    <w:rsid w:val="00E20EB4"/>
    <w:rsid w:val="00E7473D"/>
    <w:rsid w:val="00E77A06"/>
    <w:rsid w:val="00EA35D3"/>
    <w:rsid w:val="00EC7AE2"/>
    <w:rsid w:val="00EE6D0F"/>
    <w:rsid w:val="00F27EAD"/>
    <w:rsid w:val="00FD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EB4"/>
    <w:pPr>
      <w:tabs>
        <w:tab w:val="center" w:pos="4320"/>
        <w:tab w:val="right" w:pos="8640"/>
      </w:tabs>
    </w:pPr>
  </w:style>
  <w:style w:type="character" w:customStyle="1" w:styleId="HeaderChar">
    <w:name w:val="Header Char"/>
    <w:basedOn w:val="DefaultParagraphFont"/>
    <w:link w:val="Header"/>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semiHidden/>
    <w:unhideWhenUsed/>
    <w:rsid w:val="004B45E0"/>
    <w:rPr>
      <w:sz w:val="20"/>
      <w:szCs w:val="20"/>
    </w:rPr>
  </w:style>
  <w:style w:type="character" w:customStyle="1" w:styleId="CommentTextChar">
    <w:name w:val="Comment Text Char"/>
    <w:basedOn w:val="DefaultParagraphFont"/>
    <w:link w:val="CommentText"/>
    <w:uiPriority w:val="99"/>
    <w:semiHidden/>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EB4"/>
    <w:pPr>
      <w:tabs>
        <w:tab w:val="center" w:pos="4320"/>
        <w:tab w:val="right" w:pos="8640"/>
      </w:tabs>
    </w:pPr>
  </w:style>
  <w:style w:type="character" w:customStyle="1" w:styleId="HeaderChar">
    <w:name w:val="Header Char"/>
    <w:basedOn w:val="DefaultParagraphFont"/>
    <w:link w:val="Header"/>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semiHidden/>
    <w:unhideWhenUsed/>
    <w:rsid w:val="004B45E0"/>
    <w:rPr>
      <w:sz w:val="20"/>
      <w:szCs w:val="20"/>
    </w:rPr>
  </w:style>
  <w:style w:type="character" w:customStyle="1" w:styleId="CommentTextChar">
    <w:name w:val="Comment Text Char"/>
    <w:basedOn w:val="DefaultParagraphFont"/>
    <w:link w:val="CommentText"/>
    <w:uiPriority w:val="99"/>
    <w:semiHidden/>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5961">
      <w:bodyDiv w:val="1"/>
      <w:marLeft w:val="0"/>
      <w:marRight w:val="0"/>
      <w:marTop w:val="0"/>
      <w:marBottom w:val="0"/>
      <w:divBdr>
        <w:top w:val="none" w:sz="0" w:space="0" w:color="auto"/>
        <w:left w:val="none" w:sz="0" w:space="0" w:color="auto"/>
        <w:bottom w:val="none" w:sz="0" w:space="0" w:color="auto"/>
        <w:right w:val="none" w:sz="0" w:space="0" w:color="auto"/>
      </w:divBdr>
    </w:div>
    <w:div w:id="325984835">
      <w:bodyDiv w:val="1"/>
      <w:marLeft w:val="0"/>
      <w:marRight w:val="0"/>
      <w:marTop w:val="0"/>
      <w:marBottom w:val="0"/>
      <w:divBdr>
        <w:top w:val="none" w:sz="0" w:space="0" w:color="auto"/>
        <w:left w:val="none" w:sz="0" w:space="0" w:color="auto"/>
        <w:bottom w:val="none" w:sz="0" w:space="0" w:color="auto"/>
        <w:right w:val="none" w:sz="0" w:space="0" w:color="auto"/>
      </w:divBdr>
    </w:div>
    <w:div w:id="542592806">
      <w:bodyDiv w:val="1"/>
      <w:marLeft w:val="0"/>
      <w:marRight w:val="0"/>
      <w:marTop w:val="0"/>
      <w:marBottom w:val="0"/>
      <w:divBdr>
        <w:top w:val="none" w:sz="0" w:space="0" w:color="auto"/>
        <w:left w:val="none" w:sz="0" w:space="0" w:color="auto"/>
        <w:bottom w:val="none" w:sz="0" w:space="0" w:color="auto"/>
        <w:right w:val="none" w:sz="0" w:space="0" w:color="auto"/>
      </w:divBdr>
    </w:div>
    <w:div w:id="716198667">
      <w:bodyDiv w:val="1"/>
      <w:marLeft w:val="0"/>
      <w:marRight w:val="0"/>
      <w:marTop w:val="0"/>
      <w:marBottom w:val="0"/>
      <w:divBdr>
        <w:top w:val="none" w:sz="0" w:space="0" w:color="auto"/>
        <w:left w:val="none" w:sz="0" w:space="0" w:color="auto"/>
        <w:bottom w:val="none" w:sz="0" w:space="0" w:color="auto"/>
        <w:right w:val="none" w:sz="0" w:space="0" w:color="auto"/>
      </w:divBdr>
    </w:div>
    <w:div w:id="742289216">
      <w:bodyDiv w:val="1"/>
      <w:marLeft w:val="0"/>
      <w:marRight w:val="0"/>
      <w:marTop w:val="0"/>
      <w:marBottom w:val="0"/>
      <w:divBdr>
        <w:top w:val="none" w:sz="0" w:space="0" w:color="auto"/>
        <w:left w:val="none" w:sz="0" w:space="0" w:color="auto"/>
        <w:bottom w:val="none" w:sz="0" w:space="0" w:color="auto"/>
        <w:right w:val="none" w:sz="0" w:space="0" w:color="auto"/>
      </w:divBdr>
    </w:div>
    <w:div w:id="1895504602">
      <w:bodyDiv w:val="1"/>
      <w:marLeft w:val="0"/>
      <w:marRight w:val="0"/>
      <w:marTop w:val="0"/>
      <w:marBottom w:val="0"/>
      <w:divBdr>
        <w:top w:val="none" w:sz="0" w:space="0" w:color="auto"/>
        <w:left w:val="none" w:sz="0" w:space="0" w:color="auto"/>
        <w:bottom w:val="none" w:sz="0" w:space="0" w:color="auto"/>
        <w:right w:val="none" w:sz="0" w:space="0" w:color="auto"/>
      </w:divBdr>
    </w:div>
    <w:div w:id="2096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6</cp:revision>
  <dcterms:created xsi:type="dcterms:W3CDTF">2014-09-18T12:41:00Z</dcterms:created>
  <dcterms:modified xsi:type="dcterms:W3CDTF">2014-09-18T12:51:00Z</dcterms:modified>
</cp:coreProperties>
</file>