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56" w:rsidRDefault="00877B56" w:rsidP="00877B56">
      <w:pPr>
        <w:jc w:val="center"/>
        <w:rPr>
          <w:b/>
          <w:bCs/>
          <w:sz w:val="24"/>
          <w:szCs w:val="24"/>
        </w:rPr>
      </w:pPr>
      <w:r>
        <w:rPr>
          <w:b/>
          <w:bCs/>
          <w:sz w:val="24"/>
          <w:szCs w:val="24"/>
        </w:rPr>
        <w:t>SUPPORTING STATEMENT</w:t>
      </w:r>
    </w:p>
    <w:p w:rsidR="00877B56" w:rsidRDefault="00877B56" w:rsidP="00877B56">
      <w:pPr>
        <w:jc w:val="center"/>
        <w:rPr>
          <w:b/>
          <w:bCs/>
          <w:sz w:val="24"/>
          <w:szCs w:val="24"/>
        </w:rPr>
      </w:pPr>
      <w:r>
        <w:rPr>
          <w:b/>
          <w:bCs/>
          <w:sz w:val="24"/>
          <w:szCs w:val="24"/>
        </w:rPr>
        <w:t>COMMERCIAL FISHERIES SEAFOOD PROCESSING SURVEY</w:t>
      </w:r>
    </w:p>
    <w:p w:rsidR="00877B56" w:rsidRDefault="00877B56" w:rsidP="00877B56">
      <w:pPr>
        <w:jc w:val="center"/>
        <w:rPr>
          <w:sz w:val="24"/>
          <w:szCs w:val="24"/>
        </w:rPr>
      </w:pPr>
      <w:proofErr w:type="gramStart"/>
      <w:r>
        <w:rPr>
          <w:b/>
          <w:bCs/>
          <w:sz w:val="24"/>
          <w:szCs w:val="24"/>
        </w:rPr>
        <w:t>OMB CONTROL NO.</w:t>
      </w:r>
      <w:proofErr w:type="gramEnd"/>
      <w:r>
        <w:rPr>
          <w:b/>
          <w:bCs/>
          <w:sz w:val="24"/>
          <w:szCs w:val="24"/>
        </w:rPr>
        <w:t xml:space="preserve"> 0648-0018</w:t>
      </w:r>
    </w:p>
    <w:p w:rsidR="00877B56" w:rsidRDefault="00877B56" w:rsidP="00877B56">
      <w:pPr>
        <w:rPr>
          <w:b/>
          <w:bCs/>
          <w:sz w:val="24"/>
          <w:szCs w:val="24"/>
        </w:rPr>
      </w:pPr>
    </w:p>
    <w:p w:rsidR="00877B56" w:rsidRDefault="00877B56" w:rsidP="00877B56">
      <w:pPr>
        <w:rPr>
          <w:b/>
          <w:bCs/>
          <w:sz w:val="24"/>
          <w:szCs w:val="24"/>
        </w:rPr>
      </w:pPr>
    </w:p>
    <w:p w:rsidR="00877B56" w:rsidRDefault="00877B56" w:rsidP="00877B56">
      <w:pPr>
        <w:rPr>
          <w:sz w:val="24"/>
          <w:szCs w:val="24"/>
        </w:rPr>
      </w:pPr>
      <w:r>
        <w:rPr>
          <w:b/>
          <w:bCs/>
          <w:sz w:val="24"/>
          <w:szCs w:val="24"/>
        </w:rPr>
        <w:t>B.  COLLECTIONS OF INFORMATION EMPLOYING STATISTICAL METHODS</w:t>
      </w:r>
    </w:p>
    <w:p w:rsidR="00877B56" w:rsidRDefault="00877B56" w:rsidP="00877B56">
      <w:pPr>
        <w:rPr>
          <w:sz w:val="24"/>
          <w:szCs w:val="24"/>
        </w:rPr>
      </w:pPr>
    </w:p>
    <w:p w:rsidR="00877B56" w:rsidRPr="001341A8"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1341A8">
        <w:rPr>
          <w:b/>
          <w:bCs/>
          <w:sz w:val="24"/>
          <w:szCs w:val="24"/>
        </w:rPr>
        <w:t>1.</w:t>
      </w:r>
      <w:r>
        <w:rPr>
          <w:b/>
          <w:bCs/>
          <w:sz w:val="24"/>
          <w:szCs w:val="24"/>
        </w:rPr>
        <w:t xml:space="preserve">  </w:t>
      </w:r>
      <w:r w:rsidRPr="001341A8">
        <w:rPr>
          <w:b/>
          <w:bCs/>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877B56" w:rsidRPr="001341A8" w:rsidRDefault="00877B56" w:rsidP="00877B56"/>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011ED">
        <w:rPr>
          <w:sz w:val="24"/>
          <w:szCs w:val="24"/>
        </w:rPr>
        <w:t>The Survey of Fish Processors (</w:t>
      </w:r>
      <w:r w:rsidRPr="00F06D1E">
        <w:rPr>
          <w:sz w:val="24"/>
          <w:szCs w:val="24"/>
        </w:rPr>
        <w:t>OMB Control No. 0648-0018)</w:t>
      </w:r>
      <w:r>
        <w:rPr>
          <w:sz w:val="24"/>
          <w:szCs w:val="24"/>
        </w:rPr>
        <w:t xml:space="preserve"> sends NOAA Form 88-13 to federally licensed seafood processors. This add-on survey expands that frame to include more sources. In addition to the federally licensed seafood processors from the Survey of Fish Processors, </w:t>
      </w:r>
      <w:bookmarkStart w:id="0" w:name="_GoBack"/>
      <w:bookmarkEnd w:id="0"/>
      <w:r w:rsidRPr="00E011ED">
        <w:rPr>
          <w:sz w:val="24"/>
          <w:szCs w:val="24"/>
        </w:rPr>
        <w:t>participants in NOAA Fisheries’ Seafood Inspection Program</w:t>
      </w:r>
      <w:proofErr w:type="gramStart"/>
      <w:r w:rsidRPr="00E011ED">
        <w:rPr>
          <w:sz w:val="24"/>
          <w:szCs w:val="24"/>
        </w:rPr>
        <w:t>,  state</w:t>
      </w:r>
      <w:proofErr w:type="gramEnd"/>
      <w:r w:rsidRPr="00E011ED">
        <w:rPr>
          <w:sz w:val="24"/>
          <w:szCs w:val="24"/>
        </w:rPr>
        <w:t xml:space="preserve"> licensed dealers and processors compiled by the Atlantic Cooperative Coastal Cooperative Statistics Program, and those who applied for first receiver site licenses from the Pacific States Marine Fisheries Commission were combined to form the frame for this survey.</w:t>
      </w:r>
      <w:r>
        <w:rPr>
          <w:sz w:val="24"/>
          <w:szCs w:val="24"/>
        </w:rPr>
        <w:t xml:space="preserve"> </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Under the original Survey of Fish Processors, there are 855 seafood processors. The number of entries in this proposed sample frame by each region is listed in Table 3. The entire population is 5,030 dealers or processors.</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Pr="001341A8"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roofErr w:type="gramStart"/>
      <w:r w:rsidRPr="001341A8">
        <w:rPr>
          <w:b/>
        </w:rPr>
        <w:t>Table 3.</w:t>
      </w:r>
      <w:proofErr w:type="gramEnd"/>
      <w:r w:rsidRPr="001341A8">
        <w:rPr>
          <w:b/>
        </w:rPr>
        <w:t xml:space="preserve"> Breakdown of sampling strategy by region</w:t>
      </w:r>
    </w:p>
    <w:tbl>
      <w:tblPr>
        <w:tblStyle w:val="MediumList1-Accent1"/>
        <w:tblW w:w="9375" w:type="dxa"/>
        <w:tblLayout w:type="fixed"/>
        <w:tblLook w:val="04A0" w:firstRow="1" w:lastRow="0" w:firstColumn="1" w:lastColumn="0" w:noHBand="0" w:noVBand="1"/>
      </w:tblPr>
      <w:tblGrid>
        <w:gridCol w:w="1638"/>
        <w:gridCol w:w="1761"/>
        <w:gridCol w:w="1992"/>
        <w:gridCol w:w="1992"/>
        <w:gridCol w:w="1992"/>
      </w:tblGrid>
      <w:tr w:rsidR="00877B56" w:rsidRPr="004B6798" w:rsidTr="000313E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tcBorders>
            <w:shd w:val="clear" w:color="auto" w:fill="95B3D7" w:themeFill="accent1" w:themeFillTint="99"/>
            <w:noWrap/>
            <w:hideMark/>
          </w:tcPr>
          <w:p w:rsidR="00877B56" w:rsidRPr="004B6798" w:rsidRDefault="00877B56" w:rsidP="000313E6">
            <w:pPr>
              <w:widowControl/>
              <w:autoSpaceDE/>
              <w:autoSpaceDN/>
              <w:adjustRightInd/>
              <w:rPr>
                <w:b w:val="0"/>
                <w:color w:val="000000"/>
                <w:sz w:val="24"/>
                <w:szCs w:val="24"/>
              </w:rPr>
            </w:pPr>
            <w:r>
              <w:rPr>
                <w:b w:val="0"/>
                <w:color w:val="000000"/>
                <w:sz w:val="24"/>
                <w:szCs w:val="24"/>
              </w:rPr>
              <w:t>Column 1. Region</w:t>
            </w:r>
          </w:p>
        </w:tc>
        <w:tc>
          <w:tcPr>
            <w:tcW w:w="1761" w:type="dxa"/>
            <w:tcBorders>
              <w:top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cnfStyle w:val="100000000000" w:firstRow="1"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Column 2. No.</w:t>
            </w:r>
            <w:r w:rsidRPr="004B6798">
              <w:rPr>
                <w:b/>
                <w:color w:val="000000"/>
                <w:sz w:val="24"/>
                <w:szCs w:val="24"/>
              </w:rPr>
              <w:t xml:space="preserve"> entries in sample frame</w:t>
            </w:r>
            <w:r>
              <w:rPr>
                <w:b/>
                <w:color w:val="000000"/>
                <w:sz w:val="24"/>
                <w:szCs w:val="24"/>
              </w:rPr>
              <w:t xml:space="preserve"> (N)</w:t>
            </w:r>
          </w:p>
        </w:tc>
        <w:tc>
          <w:tcPr>
            <w:tcW w:w="1992" w:type="dxa"/>
            <w:tcBorders>
              <w:top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cnfStyle w:val="100000000000" w:firstRow="1"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Column 3. </w:t>
            </w:r>
            <w:r w:rsidRPr="004B6798">
              <w:rPr>
                <w:b/>
                <w:color w:val="000000"/>
                <w:sz w:val="24"/>
                <w:szCs w:val="24"/>
              </w:rPr>
              <w:t>Observations required to estimate true population value</w:t>
            </w:r>
            <w:r>
              <w:rPr>
                <w:b/>
                <w:color w:val="000000"/>
                <w:sz w:val="24"/>
                <w:szCs w:val="24"/>
              </w:rPr>
              <w:t xml:space="preserve"> (n  see Eqn. 1)</w:t>
            </w:r>
          </w:p>
        </w:tc>
        <w:tc>
          <w:tcPr>
            <w:tcW w:w="1992" w:type="dxa"/>
            <w:tcBorders>
              <w:top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cnfStyle w:val="100000000000" w:firstRow="1"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Column 4. </w:t>
            </w:r>
            <w:r w:rsidRPr="004B6798">
              <w:rPr>
                <w:b/>
                <w:color w:val="000000"/>
                <w:sz w:val="24"/>
                <w:szCs w:val="24"/>
              </w:rPr>
              <w:t xml:space="preserve">Sample size </w:t>
            </w:r>
            <w:r>
              <w:rPr>
                <w:b/>
                <w:color w:val="000000"/>
                <w:sz w:val="24"/>
                <w:szCs w:val="24"/>
              </w:rPr>
              <w:t xml:space="preserve">required under </w:t>
            </w:r>
            <w:r w:rsidRPr="004B6798">
              <w:rPr>
                <w:b/>
                <w:color w:val="000000"/>
                <w:sz w:val="24"/>
                <w:szCs w:val="24"/>
              </w:rPr>
              <w:t>assum</w:t>
            </w:r>
            <w:r>
              <w:rPr>
                <w:b/>
                <w:color w:val="000000"/>
                <w:sz w:val="24"/>
                <w:szCs w:val="24"/>
              </w:rPr>
              <w:t>ption of</w:t>
            </w:r>
            <w:r w:rsidRPr="004B6798">
              <w:rPr>
                <w:b/>
                <w:color w:val="000000"/>
                <w:sz w:val="24"/>
                <w:szCs w:val="24"/>
              </w:rPr>
              <w:t xml:space="preserve"> </w:t>
            </w:r>
            <w:r>
              <w:rPr>
                <w:b/>
                <w:color w:val="000000"/>
                <w:sz w:val="24"/>
                <w:szCs w:val="24"/>
              </w:rPr>
              <w:t>60</w:t>
            </w:r>
            <w:r w:rsidRPr="004B6798">
              <w:rPr>
                <w:b/>
                <w:color w:val="000000"/>
                <w:sz w:val="24"/>
                <w:szCs w:val="24"/>
              </w:rPr>
              <w:t>% response rate</w:t>
            </w:r>
            <w:r>
              <w:rPr>
                <w:b/>
                <w:color w:val="000000"/>
                <w:sz w:val="24"/>
                <w:szCs w:val="24"/>
              </w:rPr>
              <w:t xml:space="preserve"> (Column C/60%</w:t>
            </w:r>
            <w:r w:rsidRPr="004B6798">
              <w:rPr>
                <w:b/>
                <w:color w:val="000000"/>
                <w:sz w:val="24"/>
                <w:szCs w:val="24"/>
              </w:rPr>
              <w:t>)</w:t>
            </w:r>
          </w:p>
        </w:tc>
        <w:tc>
          <w:tcPr>
            <w:tcW w:w="1992" w:type="dxa"/>
            <w:tcBorders>
              <w:top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cnfStyle w:val="100000000000" w:firstRow="1"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Column 5. </w:t>
            </w:r>
            <w:r w:rsidRPr="004B6798">
              <w:rPr>
                <w:b/>
                <w:color w:val="000000"/>
                <w:sz w:val="24"/>
                <w:szCs w:val="24"/>
              </w:rPr>
              <w:t xml:space="preserve">Sample size with </w:t>
            </w:r>
            <w:r>
              <w:rPr>
                <w:b/>
                <w:color w:val="000000"/>
                <w:sz w:val="24"/>
                <w:szCs w:val="24"/>
              </w:rPr>
              <w:t>20</w:t>
            </w:r>
            <w:r w:rsidRPr="004B6798">
              <w:rPr>
                <w:b/>
                <w:color w:val="000000"/>
                <w:sz w:val="24"/>
                <w:szCs w:val="24"/>
              </w:rPr>
              <w:t>% buffer</w:t>
            </w:r>
            <w:r>
              <w:rPr>
                <w:b/>
                <w:color w:val="000000"/>
                <w:sz w:val="24"/>
                <w:szCs w:val="24"/>
              </w:rPr>
              <w:t xml:space="preserve"> (Column D*115%)</w:t>
            </w:r>
          </w:p>
        </w:tc>
      </w:tr>
      <w:tr w:rsidR="00877B56" w:rsidRPr="00105F16" w:rsidTr="000313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noWrap/>
            <w:vAlign w:val="center"/>
            <w:hideMark/>
          </w:tcPr>
          <w:p w:rsidR="00877B56" w:rsidRPr="004B6798" w:rsidRDefault="00877B56" w:rsidP="000313E6">
            <w:pPr>
              <w:widowControl/>
              <w:autoSpaceDE/>
              <w:autoSpaceDN/>
              <w:adjustRightInd/>
              <w:jc w:val="right"/>
              <w:rPr>
                <w:b w:val="0"/>
                <w:color w:val="000000"/>
                <w:sz w:val="24"/>
                <w:szCs w:val="24"/>
              </w:rPr>
            </w:pPr>
            <w:r>
              <w:rPr>
                <w:b w:val="0"/>
                <w:color w:val="000000"/>
                <w:sz w:val="24"/>
                <w:szCs w:val="24"/>
              </w:rPr>
              <w:t>Great Lakes*</w:t>
            </w:r>
          </w:p>
        </w:tc>
        <w:tc>
          <w:tcPr>
            <w:tcW w:w="1761"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w:t>
            </w:r>
          </w:p>
        </w:tc>
      </w:tr>
      <w:tr w:rsidR="00877B56" w:rsidRPr="004B6798" w:rsidTr="000313E6">
        <w:trPr>
          <w:trHeight w:val="315"/>
        </w:trPr>
        <w:tc>
          <w:tcPr>
            <w:cnfStyle w:val="001000000000" w:firstRow="0" w:lastRow="0" w:firstColumn="1" w:lastColumn="0" w:oddVBand="0" w:evenVBand="0" w:oddHBand="0" w:evenHBand="0" w:firstRowFirstColumn="0" w:firstRowLastColumn="0" w:lastRowFirstColumn="0" w:lastRowLastColumn="0"/>
            <w:tcW w:w="1638" w:type="dxa"/>
            <w:shd w:val="clear" w:color="auto" w:fill="DBE5F1" w:themeFill="accent1" w:themeFillTint="33"/>
            <w:noWrap/>
            <w:vAlign w:val="center"/>
            <w:hideMark/>
          </w:tcPr>
          <w:p w:rsidR="00877B56" w:rsidRPr="004B6798" w:rsidRDefault="00877B56" w:rsidP="000313E6">
            <w:pPr>
              <w:widowControl/>
              <w:autoSpaceDE/>
              <w:autoSpaceDN/>
              <w:adjustRightInd/>
              <w:jc w:val="right"/>
              <w:rPr>
                <w:b w:val="0"/>
                <w:color w:val="000000"/>
                <w:sz w:val="24"/>
                <w:szCs w:val="24"/>
              </w:rPr>
            </w:pPr>
            <w:r>
              <w:rPr>
                <w:b w:val="0"/>
                <w:color w:val="000000"/>
                <w:sz w:val="24"/>
                <w:szCs w:val="24"/>
              </w:rPr>
              <w:t>Gulf of Mexico</w:t>
            </w:r>
          </w:p>
        </w:tc>
        <w:tc>
          <w:tcPr>
            <w:tcW w:w="1761" w:type="dxa"/>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680</w:t>
            </w:r>
          </w:p>
        </w:tc>
        <w:tc>
          <w:tcPr>
            <w:tcW w:w="1992" w:type="dxa"/>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197</w:t>
            </w:r>
          </w:p>
        </w:tc>
        <w:tc>
          <w:tcPr>
            <w:tcW w:w="1992" w:type="dxa"/>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328</w:t>
            </w:r>
          </w:p>
        </w:tc>
        <w:tc>
          <w:tcPr>
            <w:tcW w:w="1992" w:type="dxa"/>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394</w:t>
            </w:r>
          </w:p>
        </w:tc>
      </w:tr>
      <w:tr w:rsidR="00877B56" w:rsidRPr="00105F16" w:rsidTr="000313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noWrap/>
            <w:vAlign w:val="center"/>
            <w:hideMark/>
          </w:tcPr>
          <w:p w:rsidR="00877B56" w:rsidRPr="004B6798" w:rsidRDefault="00877B56" w:rsidP="000313E6">
            <w:pPr>
              <w:widowControl/>
              <w:autoSpaceDE/>
              <w:autoSpaceDN/>
              <w:adjustRightInd/>
              <w:jc w:val="right"/>
              <w:rPr>
                <w:b w:val="0"/>
                <w:color w:val="000000"/>
                <w:sz w:val="24"/>
                <w:szCs w:val="24"/>
              </w:rPr>
            </w:pPr>
            <w:r>
              <w:rPr>
                <w:b w:val="0"/>
                <w:color w:val="000000"/>
                <w:sz w:val="24"/>
                <w:szCs w:val="24"/>
              </w:rPr>
              <w:t>Hawaii*</w:t>
            </w:r>
          </w:p>
        </w:tc>
        <w:tc>
          <w:tcPr>
            <w:tcW w:w="1761"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w:t>
            </w:r>
          </w:p>
        </w:tc>
      </w:tr>
      <w:tr w:rsidR="00877B56" w:rsidRPr="004B6798" w:rsidTr="000313E6">
        <w:trPr>
          <w:trHeight w:val="315"/>
        </w:trPr>
        <w:tc>
          <w:tcPr>
            <w:cnfStyle w:val="001000000000" w:firstRow="0" w:lastRow="0" w:firstColumn="1" w:lastColumn="0" w:oddVBand="0" w:evenVBand="0" w:oddHBand="0" w:evenHBand="0" w:firstRowFirstColumn="0" w:firstRowLastColumn="0" w:lastRowFirstColumn="0" w:lastRowLastColumn="0"/>
            <w:tcW w:w="1638" w:type="dxa"/>
            <w:shd w:val="clear" w:color="auto" w:fill="DBE5F1" w:themeFill="accent1" w:themeFillTint="33"/>
            <w:noWrap/>
            <w:vAlign w:val="center"/>
            <w:hideMark/>
          </w:tcPr>
          <w:p w:rsidR="00877B56" w:rsidRPr="004B6798" w:rsidRDefault="00877B56" w:rsidP="000313E6">
            <w:pPr>
              <w:widowControl/>
              <w:autoSpaceDE/>
              <w:autoSpaceDN/>
              <w:adjustRightInd/>
              <w:jc w:val="right"/>
              <w:rPr>
                <w:b w:val="0"/>
                <w:color w:val="000000"/>
                <w:sz w:val="24"/>
                <w:szCs w:val="24"/>
              </w:rPr>
            </w:pPr>
            <w:r>
              <w:rPr>
                <w:b w:val="0"/>
                <w:color w:val="000000"/>
                <w:sz w:val="24"/>
                <w:szCs w:val="24"/>
              </w:rPr>
              <w:t>Mid-Atlantic</w:t>
            </w:r>
          </w:p>
        </w:tc>
        <w:tc>
          <w:tcPr>
            <w:tcW w:w="1761" w:type="dxa"/>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410</w:t>
            </w:r>
          </w:p>
        </w:tc>
        <w:tc>
          <w:tcPr>
            <w:tcW w:w="1992" w:type="dxa"/>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166</w:t>
            </w:r>
          </w:p>
        </w:tc>
        <w:tc>
          <w:tcPr>
            <w:tcW w:w="1992" w:type="dxa"/>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277</w:t>
            </w:r>
          </w:p>
        </w:tc>
        <w:tc>
          <w:tcPr>
            <w:tcW w:w="1992" w:type="dxa"/>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332</w:t>
            </w:r>
          </w:p>
        </w:tc>
      </w:tr>
      <w:tr w:rsidR="00877B56" w:rsidRPr="00105F16" w:rsidTr="000313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noWrap/>
            <w:vAlign w:val="center"/>
            <w:hideMark/>
          </w:tcPr>
          <w:p w:rsidR="00877B56" w:rsidRPr="004B6798" w:rsidRDefault="00877B56" w:rsidP="000313E6">
            <w:pPr>
              <w:widowControl/>
              <w:autoSpaceDE/>
              <w:autoSpaceDN/>
              <w:adjustRightInd/>
              <w:jc w:val="right"/>
              <w:rPr>
                <w:b w:val="0"/>
                <w:color w:val="000000"/>
                <w:sz w:val="24"/>
                <w:szCs w:val="24"/>
              </w:rPr>
            </w:pPr>
            <w:r>
              <w:rPr>
                <w:b w:val="0"/>
                <w:color w:val="000000"/>
                <w:sz w:val="24"/>
                <w:szCs w:val="24"/>
              </w:rPr>
              <w:t>New England</w:t>
            </w:r>
          </w:p>
        </w:tc>
        <w:tc>
          <w:tcPr>
            <w:tcW w:w="1761"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676</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4B6798">
              <w:rPr>
                <w:color w:val="000000"/>
                <w:sz w:val="24"/>
                <w:szCs w:val="24"/>
              </w:rPr>
              <w:t>1</w:t>
            </w:r>
            <w:r>
              <w:rPr>
                <w:color w:val="000000"/>
                <w:sz w:val="24"/>
                <w:szCs w:val="24"/>
              </w:rPr>
              <w:t>97</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328</w:t>
            </w:r>
          </w:p>
        </w:tc>
        <w:tc>
          <w:tcPr>
            <w:tcW w:w="1992" w:type="dxa"/>
            <w:shd w:val="clear" w:color="auto" w:fill="auto"/>
            <w:noWrap/>
            <w:vAlign w:val="center"/>
            <w:hideMark/>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394</w:t>
            </w:r>
          </w:p>
        </w:tc>
      </w:tr>
      <w:tr w:rsidR="00877B56" w:rsidRPr="004B6798" w:rsidTr="000313E6">
        <w:trPr>
          <w:trHeight w:val="315"/>
        </w:trPr>
        <w:tc>
          <w:tcPr>
            <w:cnfStyle w:val="001000000000" w:firstRow="0" w:lastRow="0" w:firstColumn="1" w:lastColumn="0" w:oddVBand="0" w:evenVBand="0" w:oddHBand="0" w:evenHBand="0" w:firstRowFirstColumn="0" w:firstRowLastColumn="0" w:lastRowFirstColumn="0" w:lastRowLastColumn="0"/>
            <w:tcW w:w="1638" w:type="dxa"/>
            <w:tcBorders>
              <w:bottom w:val="nil"/>
            </w:tcBorders>
            <w:shd w:val="clear" w:color="auto" w:fill="DBE5F1" w:themeFill="accent1" w:themeFillTint="33"/>
            <w:noWrap/>
            <w:vAlign w:val="center"/>
            <w:hideMark/>
          </w:tcPr>
          <w:p w:rsidR="00877B56" w:rsidRPr="004B6798" w:rsidRDefault="00877B56" w:rsidP="000313E6">
            <w:pPr>
              <w:widowControl/>
              <w:autoSpaceDE/>
              <w:autoSpaceDN/>
              <w:adjustRightInd/>
              <w:jc w:val="right"/>
              <w:rPr>
                <w:b w:val="0"/>
                <w:color w:val="000000"/>
                <w:sz w:val="24"/>
                <w:szCs w:val="24"/>
              </w:rPr>
            </w:pPr>
            <w:r>
              <w:rPr>
                <w:b w:val="0"/>
                <w:color w:val="000000"/>
                <w:sz w:val="24"/>
                <w:szCs w:val="24"/>
              </w:rPr>
              <w:t>Northwest</w:t>
            </w:r>
          </w:p>
        </w:tc>
        <w:tc>
          <w:tcPr>
            <w:tcW w:w="1761" w:type="dxa"/>
            <w:tcBorders>
              <w:bottom w:val="nil"/>
            </w:tcBorders>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229</w:t>
            </w:r>
          </w:p>
        </w:tc>
        <w:tc>
          <w:tcPr>
            <w:tcW w:w="1992" w:type="dxa"/>
            <w:tcBorders>
              <w:bottom w:val="nil"/>
            </w:tcBorders>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4B6798">
              <w:rPr>
                <w:color w:val="000000"/>
                <w:sz w:val="24"/>
                <w:szCs w:val="24"/>
              </w:rPr>
              <w:t>1</w:t>
            </w:r>
            <w:r>
              <w:rPr>
                <w:color w:val="000000"/>
                <w:sz w:val="24"/>
                <w:szCs w:val="24"/>
              </w:rPr>
              <w:t>26</w:t>
            </w:r>
          </w:p>
        </w:tc>
        <w:tc>
          <w:tcPr>
            <w:tcW w:w="1992" w:type="dxa"/>
            <w:tcBorders>
              <w:bottom w:val="nil"/>
            </w:tcBorders>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210</w:t>
            </w:r>
          </w:p>
        </w:tc>
        <w:tc>
          <w:tcPr>
            <w:tcW w:w="1992" w:type="dxa"/>
            <w:tcBorders>
              <w:bottom w:val="nil"/>
            </w:tcBorders>
            <w:shd w:val="clear" w:color="auto" w:fill="DBE5F1" w:themeFill="accent1" w:themeFillTint="33"/>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252</w:t>
            </w:r>
          </w:p>
        </w:tc>
      </w:tr>
      <w:tr w:rsidR="00877B56" w:rsidRPr="004B6798" w:rsidTr="000313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8" w:type="dxa"/>
            <w:tcBorders>
              <w:bottom w:val="nil"/>
            </w:tcBorders>
            <w:shd w:val="clear" w:color="auto" w:fill="auto"/>
            <w:noWrap/>
            <w:vAlign w:val="center"/>
          </w:tcPr>
          <w:p w:rsidR="00877B56" w:rsidRDefault="00877B56" w:rsidP="000313E6">
            <w:pPr>
              <w:widowControl/>
              <w:autoSpaceDE/>
              <w:autoSpaceDN/>
              <w:adjustRightInd/>
              <w:jc w:val="right"/>
              <w:rPr>
                <w:b w:val="0"/>
                <w:color w:val="000000"/>
                <w:sz w:val="24"/>
                <w:szCs w:val="24"/>
              </w:rPr>
            </w:pPr>
            <w:r w:rsidRPr="004F1A50">
              <w:rPr>
                <w:b w:val="0"/>
                <w:color w:val="000000"/>
                <w:sz w:val="24"/>
                <w:szCs w:val="24"/>
              </w:rPr>
              <w:t>Southwest</w:t>
            </w:r>
            <w:r>
              <w:rPr>
                <w:b w:val="0"/>
                <w:color w:val="000000"/>
                <w:sz w:val="24"/>
                <w:szCs w:val="24"/>
              </w:rPr>
              <w:t xml:space="preserve"> </w:t>
            </w:r>
          </w:p>
        </w:tc>
        <w:tc>
          <w:tcPr>
            <w:tcW w:w="1761" w:type="dxa"/>
            <w:tcBorders>
              <w:bottom w:val="nil"/>
            </w:tcBorders>
            <w:shd w:val="clear" w:color="auto" w:fill="auto"/>
            <w:noWrap/>
            <w:vAlign w:val="center"/>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930</w:t>
            </w:r>
          </w:p>
        </w:tc>
        <w:tc>
          <w:tcPr>
            <w:tcW w:w="1992" w:type="dxa"/>
            <w:tcBorders>
              <w:bottom w:val="nil"/>
            </w:tcBorders>
            <w:shd w:val="clear" w:color="auto" w:fill="auto"/>
            <w:noWrap/>
            <w:vAlign w:val="center"/>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214</w:t>
            </w:r>
          </w:p>
        </w:tc>
        <w:tc>
          <w:tcPr>
            <w:tcW w:w="1992" w:type="dxa"/>
            <w:tcBorders>
              <w:bottom w:val="nil"/>
            </w:tcBorders>
            <w:shd w:val="clear" w:color="auto" w:fill="auto"/>
            <w:noWrap/>
            <w:vAlign w:val="center"/>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357</w:t>
            </w:r>
          </w:p>
        </w:tc>
        <w:tc>
          <w:tcPr>
            <w:tcW w:w="1992" w:type="dxa"/>
            <w:tcBorders>
              <w:bottom w:val="nil"/>
            </w:tcBorders>
            <w:shd w:val="clear" w:color="auto" w:fill="auto"/>
            <w:noWrap/>
            <w:vAlign w:val="center"/>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428</w:t>
            </w:r>
          </w:p>
        </w:tc>
      </w:tr>
      <w:tr w:rsidR="00877B56" w:rsidRPr="004B6798" w:rsidTr="000313E6">
        <w:trPr>
          <w:trHeight w:val="315"/>
        </w:trPr>
        <w:tc>
          <w:tcPr>
            <w:cnfStyle w:val="001000000000" w:firstRow="0" w:lastRow="0" w:firstColumn="1" w:lastColumn="0" w:oddVBand="0" w:evenVBand="0" w:oddHBand="0" w:evenHBand="0" w:firstRowFirstColumn="0" w:firstRowLastColumn="0" w:lastRowFirstColumn="0" w:lastRowLastColumn="0"/>
            <w:tcW w:w="1638" w:type="dxa"/>
            <w:tcBorders>
              <w:bottom w:val="nil"/>
            </w:tcBorders>
            <w:shd w:val="clear" w:color="auto" w:fill="DBE5F1" w:themeFill="accent1" w:themeFillTint="33"/>
            <w:noWrap/>
            <w:vAlign w:val="center"/>
          </w:tcPr>
          <w:p w:rsidR="00877B56" w:rsidRDefault="00877B56" w:rsidP="000313E6">
            <w:pPr>
              <w:widowControl/>
              <w:autoSpaceDE/>
              <w:autoSpaceDN/>
              <w:adjustRightInd/>
              <w:jc w:val="right"/>
              <w:rPr>
                <w:b w:val="0"/>
                <w:color w:val="000000"/>
                <w:sz w:val="24"/>
                <w:szCs w:val="24"/>
              </w:rPr>
            </w:pPr>
            <w:r>
              <w:rPr>
                <w:b w:val="0"/>
                <w:color w:val="000000"/>
                <w:sz w:val="24"/>
                <w:szCs w:val="24"/>
              </w:rPr>
              <w:t>South Atlantic</w:t>
            </w:r>
          </w:p>
        </w:tc>
        <w:tc>
          <w:tcPr>
            <w:tcW w:w="1761" w:type="dxa"/>
            <w:tcBorders>
              <w:bottom w:val="nil"/>
            </w:tcBorders>
            <w:shd w:val="clear" w:color="auto" w:fill="DBE5F1" w:themeFill="accent1" w:themeFillTint="33"/>
            <w:noWrap/>
            <w:vAlign w:val="center"/>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2,076</w:t>
            </w:r>
          </w:p>
        </w:tc>
        <w:tc>
          <w:tcPr>
            <w:tcW w:w="1992" w:type="dxa"/>
            <w:tcBorders>
              <w:bottom w:val="nil"/>
            </w:tcBorders>
            <w:shd w:val="clear" w:color="auto" w:fill="DBE5F1" w:themeFill="accent1" w:themeFillTint="33"/>
            <w:noWrap/>
            <w:vAlign w:val="center"/>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245</w:t>
            </w:r>
          </w:p>
        </w:tc>
        <w:tc>
          <w:tcPr>
            <w:tcW w:w="1992" w:type="dxa"/>
            <w:tcBorders>
              <w:bottom w:val="nil"/>
            </w:tcBorders>
            <w:shd w:val="clear" w:color="auto" w:fill="DBE5F1" w:themeFill="accent1" w:themeFillTint="33"/>
            <w:noWrap/>
            <w:vAlign w:val="center"/>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408</w:t>
            </w:r>
          </w:p>
        </w:tc>
        <w:tc>
          <w:tcPr>
            <w:tcW w:w="1992" w:type="dxa"/>
            <w:tcBorders>
              <w:bottom w:val="nil"/>
            </w:tcBorders>
            <w:shd w:val="clear" w:color="auto" w:fill="DBE5F1" w:themeFill="accent1" w:themeFillTint="33"/>
            <w:noWrap/>
            <w:vAlign w:val="center"/>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490</w:t>
            </w:r>
          </w:p>
        </w:tc>
      </w:tr>
      <w:tr w:rsidR="00877B56" w:rsidRPr="004B6798" w:rsidTr="000313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38" w:type="dxa"/>
            <w:tcBorders>
              <w:bottom w:val="nil"/>
            </w:tcBorders>
            <w:shd w:val="clear" w:color="auto" w:fill="auto"/>
            <w:noWrap/>
            <w:vAlign w:val="center"/>
          </w:tcPr>
          <w:p w:rsidR="00877B56" w:rsidRDefault="00877B56" w:rsidP="000313E6">
            <w:pPr>
              <w:widowControl/>
              <w:autoSpaceDE/>
              <w:autoSpaceDN/>
              <w:adjustRightInd/>
              <w:jc w:val="right"/>
              <w:rPr>
                <w:b w:val="0"/>
                <w:color w:val="000000"/>
                <w:sz w:val="24"/>
                <w:szCs w:val="24"/>
              </w:rPr>
            </w:pPr>
            <w:r>
              <w:rPr>
                <w:b w:val="0"/>
                <w:color w:val="000000"/>
                <w:sz w:val="24"/>
                <w:szCs w:val="24"/>
              </w:rPr>
              <w:t>American Samoa*</w:t>
            </w:r>
          </w:p>
        </w:tc>
        <w:tc>
          <w:tcPr>
            <w:tcW w:w="1761" w:type="dxa"/>
            <w:tcBorders>
              <w:bottom w:val="nil"/>
            </w:tcBorders>
            <w:shd w:val="clear" w:color="auto" w:fill="auto"/>
            <w:noWrap/>
            <w:vAlign w:val="center"/>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1992" w:type="dxa"/>
            <w:tcBorders>
              <w:bottom w:val="nil"/>
            </w:tcBorders>
            <w:shd w:val="clear" w:color="auto" w:fill="auto"/>
            <w:noWrap/>
            <w:vAlign w:val="center"/>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1992" w:type="dxa"/>
            <w:tcBorders>
              <w:bottom w:val="nil"/>
            </w:tcBorders>
            <w:shd w:val="clear" w:color="auto" w:fill="auto"/>
            <w:noWrap/>
            <w:vAlign w:val="center"/>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1992" w:type="dxa"/>
            <w:tcBorders>
              <w:bottom w:val="nil"/>
            </w:tcBorders>
            <w:shd w:val="clear" w:color="auto" w:fill="auto"/>
            <w:noWrap/>
            <w:vAlign w:val="center"/>
          </w:tcPr>
          <w:p w:rsidR="00877B56" w:rsidRPr="004B6798" w:rsidRDefault="00877B56" w:rsidP="000313E6">
            <w:pPr>
              <w:widowControl/>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r>
      <w:tr w:rsidR="00877B56" w:rsidRPr="00105F16" w:rsidTr="000313E6">
        <w:trPr>
          <w:trHeight w:val="315"/>
        </w:trPr>
        <w:tc>
          <w:tcPr>
            <w:cnfStyle w:val="001000000000" w:firstRow="0" w:lastRow="0" w:firstColumn="1" w:lastColumn="0" w:oddVBand="0" w:evenVBand="0" w:oddHBand="0" w:evenHBand="0" w:firstRowFirstColumn="0" w:firstRowLastColumn="0" w:lastRowFirstColumn="0" w:lastRowLastColumn="0"/>
            <w:tcW w:w="1638" w:type="dxa"/>
            <w:tcBorders>
              <w:top w:val="nil"/>
              <w:bottom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rPr>
                <w:color w:val="000000"/>
                <w:sz w:val="24"/>
                <w:szCs w:val="24"/>
              </w:rPr>
            </w:pPr>
            <w:r w:rsidRPr="004B6798">
              <w:rPr>
                <w:color w:val="000000"/>
                <w:sz w:val="24"/>
                <w:szCs w:val="24"/>
              </w:rPr>
              <w:t>Total</w:t>
            </w:r>
          </w:p>
        </w:tc>
        <w:tc>
          <w:tcPr>
            <w:tcW w:w="1761" w:type="dxa"/>
            <w:tcBorders>
              <w:top w:val="nil"/>
              <w:bottom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sidRPr="004B6798">
              <w:rPr>
                <w:b/>
                <w:color w:val="000000"/>
                <w:sz w:val="24"/>
                <w:szCs w:val="24"/>
              </w:rPr>
              <w:t>5,</w:t>
            </w:r>
            <w:r>
              <w:rPr>
                <w:b/>
                <w:color w:val="000000"/>
                <w:sz w:val="24"/>
                <w:szCs w:val="24"/>
              </w:rPr>
              <w:t>030</w:t>
            </w:r>
          </w:p>
        </w:tc>
        <w:tc>
          <w:tcPr>
            <w:tcW w:w="1992" w:type="dxa"/>
            <w:tcBorders>
              <w:top w:val="nil"/>
              <w:bottom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1,174</w:t>
            </w:r>
          </w:p>
        </w:tc>
        <w:tc>
          <w:tcPr>
            <w:tcW w:w="1992" w:type="dxa"/>
            <w:tcBorders>
              <w:top w:val="nil"/>
              <w:bottom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1,937</w:t>
            </w:r>
          </w:p>
        </w:tc>
        <w:tc>
          <w:tcPr>
            <w:tcW w:w="1992" w:type="dxa"/>
            <w:tcBorders>
              <w:top w:val="nil"/>
              <w:bottom w:val="single" w:sz="4" w:space="0" w:color="auto"/>
            </w:tcBorders>
            <w:shd w:val="clear" w:color="auto" w:fill="95B3D7" w:themeFill="accent1" w:themeFillTint="99"/>
            <w:noWrap/>
            <w:vAlign w:val="center"/>
            <w:hideMark/>
          </w:tcPr>
          <w:p w:rsidR="00877B56" w:rsidRPr="004B6798" w:rsidRDefault="00877B56" w:rsidP="000313E6">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2,319</w:t>
            </w:r>
          </w:p>
        </w:tc>
      </w:tr>
      <w:tr w:rsidR="00877B56" w:rsidRPr="00105F16" w:rsidTr="000313E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75" w:type="dxa"/>
            <w:gridSpan w:val="5"/>
            <w:tcBorders>
              <w:top w:val="single" w:sz="4" w:space="0" w:color="auto"/>
              <w:bottom w:val="nil"/>
            </w:tcBorders>
            <w:shd w:val="clear" w:color="auto" w:fill="auto"/>
            <w:noWrap/>
            <w:vAlign w:val="center"/>
          </w:tcPr>
          <w:p w:rsidR="00877B56" w:rsidRPr="003F7824" w:rsidRDefault="00877B56" w:rsidP="000313E6">
            <w:pPr>
              <w:widowControl/>
              <w:autoSpaceDE/>
              <w:autoSpaceDN/>
              <w:adjustRightInd/>
              <w:rPr>
                <w:b w:val="0"/>
                <w:color w:val="000000"/>
                <w:sz w:val="24"/>
                <w:szCs w:val="24"/>
              </w:rPr>
            </w:pPr>
            <w:r w:rsidRPr="003F7824">
              <w:rPr>
                <w:b w:val="0"/>
                <w:color w:val="000000"/>
                <w:sz w:val="24"/>
                <w:szCs w:val="24"/>
              </w:rPr>
              <w:t>*All of the resp</w:t>
            </w:r>
            <w:r>
              <w:rPr>
                <w:b w:val="0"/>
                <w:color w:val="000000"/>
                <w:sz w:val="24"/>
                <w:szCs w:val="24"/>
              </w:rPr>
              <w:t>o</w:t>
            </w:r>
            <w:r w:rsidRPr="003F7824">
              <w:rPr>
                <w:b w:val="0"/>
                <w:color w:val="000000"/>
                <w:sz w:val="24"/>
                <w:szCs w:val="24"/>
              </w:rPr>
              <w:t>ndents in these strata will be surveyed due to low numbers.</w:t>
            </w:r>
          </w:p>
        </w:tc>
      </w:tr>
    </w:tbl>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Pr="00A57242"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A57242">
        <w:rPr>
          <w:sz w:val="24"/>
          <w:szCs w:val="24"/>
        </w:rPr>
        <w:t xml:space="preserve">A stratified random sample of the frame will be used to draw the sample population. Note that each region is represented within each </w:t>
      </w:r>
      <w:r w:rsidRPr="00A57242">
        <w:rPr>
          <w:i/>
          <w:iCs/>
          <w:sz w:val="24"/>
          <w:szCs w:val="24"/>
        </w:rPr>
        <w:t>l</w:t>
      </w:r>
      <w:r w:rsidRPr="00A57242">
        <w:rPr>
          <w:sz w:val="24"/>
          <w:szCs w:val="24"/>
        </w:rPr>
        <w:t xml:space="preserve"> strata. This collection is a one-time data collection. </w:t>
      </w:r>
    </w:p>
    <w:p w:rsidR="00877B56" w:rsidRPr="00A57242"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Pr="00A57242"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57242">
        <w:rPr>
          <w:sz w:val="24"/>
          <w:szCs w:val="24"/>
        </w:rPr>
        <w:t xml:space="preserve">Following Equation 1 (Yamane 1967) approximately </w:t>
      </w:r>
      <w:r>
        <w:rPr>
          <w:sz w:val="24"/>
          <w:szCs w:val="24"/>
        </w:rPr>
        <w:t>2</w:t>
      </w:r>
      <w:r w:rsidRPr="00A57242">
        <w:rPr>
          <w:sz w:val="24"/>
          <w:szCs w:val="24"/>
        </w:rPr>
        <w:t>,</w:t>
      </w:r>
      <w:r>
        <w:rPr>
          <w:sz w:val="24"/>
          <w:szCs w:val="24"/>
        </w:rPr>
        <w:t>319</w:t>
      </w:r>
      <w:r w:rsidRPr="00A57242">
        <w:rPr>
          <w:sz w:val="24"/>
          <w:szCs w:val="24"/>
        </w:rPr>
        <w:t xml:space="preserve"> observations are required to represent the true value for each region, assum</w:t>
      </w:r>
      <w:r>
        <w:rPr>
          <w:sz w:val="24"/>
          <w:szCs w:val="24"/>
        </w:rPr>
        <w:t>ing a +/- 6% precision rate,</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877B56" w:rsidRPr="00A57242"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A57242">
        <w:rPr>
          <w:i/>
          <w:sz w:val="24"/>
          <w:szCs w:val="24"/>
        </w:rPr>
        <w:t>Equation 1</w:t>
      </w:r>
      <w:r w:rsidRPr="00A57242">
        <w:rPr>
          <w:sz w:val="24"/>
          <w:szCs w:val="24"/>
        </w:rPr>
        <w:t>.</w:t>
      </w:r>
      <w:proofErr w:type="gramEnd"/>
      <w:r w:rsidRPr="00A57242">
        <w:rPr>
          <w:sz w:val="24"/>
          <w:szCs w:val="24"/>
        </w:rPr>
        <w:t xml:space="preserve"> </w:t>
      </w:r>
      <w:r w:rsidRPr="00A57242">
        <w:rPr>
          <w:position w:val="-30"/>
          <w:sz w:val="24"/>
          <w:szCs w:val="24"/>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33.6pt" o:ole="">
            <v:imagedata r:id="rId7" o:title=""/>
          </v:shape>
          <o:OLEObject Type="Embed" ProgID="Equation.3" ShapeID="_x0000_i1025" DrawAspect="Content" ObjectID="_1471268839" r:id="rId8"/>
        </w:object>
      </w:r>
      <w:r w:rsidRPr="00A57242">
        <w:rPr>
          <w:sz w:val="24"/>
          <w:szCs w:val="24"/>
        </w:rPr>
        <w:br/>
      </w:r>
      <w:proofErr w:type="gramStart"/>
      <w:r w:rsidRPr="00A57242">
        <w:rPr>
          <w:i/>
          <w:sz w:val="24"/>
          <w:szCs w:val="24"/>
        </w:rPr>
        <w:t>Equation 1, Examp</w:t>
      </w:r>
      <w:r>
        <w:rPr>
          <w:i/>
          <w:sz w:val="24"/>
          <w:szCs w:val="24"/>
        </w:rPr>
        <w:t>l</w:t>
      </w:r>
      <w:r w:rsidRPr="00A57242">
        <w:rPr>
          <w:i/>
          <w:sz w:val="24"/>
          <w:szCs w:val="24"/>
        </w:rPr>
        <w:t>e South Atlantic.</w:t>
      </w:r>
      <w:proofErr w:type="gramEnd"/>
      <w:r w:rsidRPr="00A57242">
        <w:rPr>
          <w:sz w:val="24"/>
          <w:szCs w:val="24"/>
        </w:rPr>
        <w:t xml:space="preserve"> </w:t>
      </w:r>
      <w:r w:rsidRPr="00A57242">
        <w:rPr>
          <w:position w:val="-30"/>
          <w:sz w:val="24"/>
          <w:szCs w:val="24"/>
        </w:rPr>
        <w:object w:dxaOrig="2280" w:dyaOrig="680">
          <v:shape id="_x0000_i1026" type="#_x0000_t75" style="width:114pt;height:33.6pt" o:ole="">
            <v:imagedata r:id="rId9" o:title=""/>
          </v:shape>
          <o:OLEObject Type="Embed" ProgID="Equation.3" ShapeID="_x0000_i1026" DrawAspect="Content" ObjectID="_1471268840" r:id="rId10"/>
        </w:object>
      </w:r>
    </w:p>
    <w:p w:rsidR="00877B56" w:rsidRPr="00A57242"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Pr="00A57242"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A57242">
        <w:rPr>
          <w:sz w:val="24"/>
          <w:szCs w:val="24"/>
        </w:rPr>
        <w:t>where</w:t>
      </w:r>
      <w:proofErr w:type="gramEnd"/>
      <w:r w:rsidRPr="00A57242">
        <w:rPr>
          <w:sz w:val="24"/>
          <w:szCs w:val="24"/>
        </w:rPr>
        <w:t xml:space="preserve"> </w:t>
      </w:r>
      <w:r w:rsidRPr="00A57242">
        <w:rPr>
          <w:i/>
          <w:sz w:val="24"/>
          <w:szCs w:val="24"/>
        </w:rPr>
        <w:t>n</w:t>
      </w:r>
      <w:r w:rsidRPr="00A57242">
        <w:rPr>
          <w:sz w:val="24"/>
          <w:szCs w:val="24"/>
        </w:rPr>
        <w:t xml:space="preserve"> is the sample size, </w:t>
      </w:r>
      <w:r w:rsidRPr="00A57242">
        <w:rPr>
          <w:i/>
          <w:sz w:val="24"/>
          <w:szCs w:val="24"/>
        </w:rPr>
        <w:t>N</w:t>
      </w:r>
      <w:r w:rsidRPr="00A57242">
        <w:rPr>
          <w:sz w:val="24"/>
          <w:szCs w:val="24"/>
        </w:rPr>
        <w:t xml:space="preserve"> is the population size, and </w:t>
      </w:r>
      <w:r w:rsidRPr="00A57242">
        <w:rPr>
          <w:i/>
          <w:sz w:val="24"/>
          <w:szCs w:val="24"/>
        </w:rPr>
        <w:t>e</w:t>
      </w:r>
      <w:r w:rsidRPr="00A57242">
        <w:rPr>
          <w:sz w:val="24"/>
          <w:szCs w:val="24"/>
        </w:rPr>
        <w:t xml:space="preserve"> is the level of precision required.  The equation assumes a confidence interval of 95% and maximum variability in the sample (.50).  An observation unit is an individual respondent.  </w:t>
      </w:r>
    </w:p>
    <w:p w:rsidR="00877B56" w:rsidRPr="00A57242" w:rsidRDefault="00877B56" w:rsidP="00877B5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77B56" w:rsidRPr="00A57242" w:rsidRDefault="00877B56" w:rsidP="00877B5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57242">
        <w:rPr>
          <w:szCs w:val="24"/>
        </w:rPr>
        <w:t>The number of observations required to estimate the true population estimate (n) is calculated for each stratum,</w:t>
      </w:r>
      <w:r w:rsidRPr="00A57242">
        <w:rPr>
          <w:i/>
          <w:iCs/>
          <w:szCs w:val="24"/>
        </w:rPr>
        <w:t xml:space="preserve"> l</w:t>
      </w:r>
      <w:r w:rsidRPr="00A57242">
        <w:rPr>
          <w:szCs w:val="24"/>
        </w:rPr>
        <w:t xml:space="preserve"> (column 3 in Table 1). </w:t>
      </w:r>
      <w:r>
        <w:rPr>
          <w:szCs w:val="24"/>
        </w:rPr>
        <w:t>In previous years, the Survey of Fishery Processors has achieved a 60% response rate; therefore, w</w:t>
      </w:r>
      <w:r w:rsidRPr="00A57242">
        <w:rPr>
          <w:szCs w:val="24"/>
        </w:rPr>
        <w:t xml:space="preserve">e assume a </w:t>
      </w:r>
      <w:r>
        <w:rPr>
          <w:szCs w:val="24"/>
        </w:rPr>
        <w:t>60</w:t>
      </w:r>
      <w:r w:rsidRPr="00A57242">
        <w:rPr>
          <w:szCs w:val="24"/>
        </w:rPr>
        <w:t>% response rate for this survey (column 4 in Table 1), and funds w</w:t>
      </w:r>
      <w:r>
        <w:rPr>
          <w:szCs w:val="24"/>
        </w:rPr>
        <w:t>ill be available to provide a 20</w:t>
      </w:r>
      <w:r w:rsidRPr="00A57242">
        <w:rPr>
          <w:szCs w:val="24"/>
        </w:rPr>
        <w:t xml:space="preserve">% sampling buffer, resulting in a combined sample of </w:t>
      </w:r>
      <w:r>
        <w:rPr>
          <w:szCs w:val="24"/>
        </w:rPr>
        <w:t>2</w:t>
      </w:r>
      <w:r w:rsidRPr="00A57242">
        <w:rPr>
          <w:szCs w:val="24"/>
        </w:rPr>
        <w:t>,</w:t>
      </w:r>
      <w:r>
        <w:rPr>
          <w:szCs w:val="24"/>
        </w:rPr>
        <w:t>319</w:t>
      </w:r>
      <w:r w:rsidRPr="00A57242">
        <w:rPr>
          <w:szCs w:val="24"/>
        </w:rPr>
        <w:t xml:space="preserve"> (column 5 in </w:t>
      </w:r>
      <w:r>
        <w:rPr>
          <w:szCs w:val="24"/>
        </w:rPr>
        <w:t>Table 1).</w:t>
      </w:r>
    </w:p>
    <w:p w:rsidR="00877B56" w:rsidRDefault="00877B56" w:rsidP="00877B5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77B56" w:rsidRDefault="00877B56" w:rsidP="00877B5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 sample includes those in the Survey of Fish Processors, plus state licensed dealers and processors from </w:t>
      </w:r>
      <w:r w:rsidRPr="00E011ED">
        <w:rPr>
          <w:szCs w:val="24"/>
        </w:rPr>
        <w:t>Atlantic Cooperative Coastal Cooperative Statistics Program, those who applied for first receiver site licenses from the Pacific States Marine Fisheries Commission</w:t>
      </w:r>
      <w:r>
        <w:rPr>
          <w:szCs w:val="24"/>
        </w:rPr>
        <w:t xml:space="preserve"> and participants in NOAA’s Seafood Inspection Program.</w:t>
      </w:r>
    </w:p>
    <w:p w:rsidR="00877B56" w:rsidRDefault="00877B56" w:rsidP="00877B5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77B56" w:rsidRPr="00B2587B" w:rsidRDefault="00877B56" w:rsidP="00877B5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highlight w:val="yellow"/>
        </w:rPr>
      </w:pPr>
      <w:r w:rsidRPr="003F7824">
        <w:rPr>
          <w:szCs w:val="24"/>
        </w:rPr>
        <w:t>Regional port agents will send the survey to those respondents included in the Survey of Fish Processors (OMB Control No. 0648-0018). Regional port agents work closely with national, regional and state industry trade associations. Port agents often hold discussions with industry leaders to describe the necessity of their members to provide the information. The Survey of Fish Processors has been conducted for the past 20 years and port agents may have personal relationships with the processors. The port agents will follow-up with phone calls to encourage responses. A second survey mailing will be sent to all respondents who have not completed and returned their survey within the first three months of the initial mailing in early December. A second mailing to those who have not yet responded is conducted in late February. Port agents will conduct follow-up phone calls within two weeks of this mailing to determine if problems have arisen. This follows the usual protocol for the Survey of Fish Processors.</w:t>
      </w:r>
    </w:p>
    <w:p w:rsidR="00877B56" w:rsidRPr="00B2587B" w:rsidRDefault="00877B56" w:rsidP="00877B5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highlight w:val="yellow"/>
        </w:rPr>
      </w:pPr>
    </w:p>
    <w:p w:rsidR="00877B56" w:rsidRPr="003F7824" w:rsidRDefault="00877B56" w:rsidP="00877B5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F7824">
        <w:rPr>
          <w:szCs w:val="24"/>
        </w:rPr>
        <w:t xml:space="preserve">For those respondents </w:t>
      </w:r>
      <w:r w:rsidRPr="003F7824">
        <w:rPr>
          <w:i/>
          <w:szCs w:val="24"/>
        </w:rPr>
        <w:t>not</w:t>
      </w:r>
      <w:r w:rsidRPr="003F7824">
        <w:rPr>
          <w:szCs w:val="24"/>
        </w:rPr>
        <w:t xml:space="preserve"> included in the Survey of Fishery Processors (OMB Control No. 0648-0018)</w:t>
      </w:r>
      <w:r>
        <w:rPr>
          <w:szCs w:val="24"/>
        </w:rPr>
        <w:t>, t</w:t>
      </w:r>
      <w:r w:rsidRPr="003F7824">
        <w:rPr>
          <w:szCs w:val="24"/>
        </w:rPr>
        <w:t xml:space="preserve">he information collection will follow a modified </w:t>
      </w:r>
      <w:proofErr w:type="spellStart"/>
      <w:r>
        <w:rPr>
          <w:szCs w:val="24"/>
        </w:rPr>
        <w:t>Dillman</w:t>
      </w:r>
      <w:proofErr w:type="spellEnd"/>
      <w:r>
        <w:rPr>
          <w:szCs w:val="24"/>
        </w:rPr>
        <w:t xml:space="preserve"> Approach (</w:t>
      </w:r>
      <w:proofErr w:type="spellStart"/>
      <w:r>
        <w:rPr>
          <w:szCs w:val="24"/>
        </w:rPr>
        <w:t>Dillman</w:t>
      </w:r>
      <w:proofErr w:type="spellEnd"/>
      <w:r>
        <w:rPr>
          <w:szCs w:val="24"/>
        </w:rPr>
        <w:t xml:space="preserve"> 2000)</w:t>
      </w:r>
      <w:r w:rsidRPr="003F7824">
        <w:rPr>
          <w:szCs w:val="24"/>
        </w:rPr>
        <w:t xml:space="preserve">: </w:t>
      </w:r>
    </w:p>
    <w:p w:rsidR="00877B56" w:rsidRPr="003F7824" w:rsidRDefault="00877B56" w:rsidP="00877B56">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F7824">
        <w:rPr>
          <w:szCs w:val="24"/>
        </w:rPr>
        <w:t xml:space="preserve">Each respondent will receive a pre-notice letter informing the potential respondent of the </w:t>
      </w:r>
      <w:r w:rsidRPr="003F7824">
        <w:rPr>
          <w:szCs w:val="24"/>
        </w:rPr>
        <w:lastRenderedPageBreak/>
        <w:t xml:space="preserve">survey effort, purpose, and forthcoming survey instrument. </w:t>
      </w:r>
    </w:p>
    <w:p w:rsidR="00877B56" w:rsidRPr="003F7824" w:rsidRDefault="00877B56" w:rsidP="00877B56">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F7824">
        <w:rPr>
          <w:szCs w:val="24"/>
        </w:rPr>
        <w:t xml:space="preserve">Approximately 9 days after the pre-notice, a survey instrument and cover letter will be mailed to all sampling units.  </w:t>
      </w:r>
    </w:p>
    <w:p w:rsidR="00877B56" w:rsidRPr="003F7824" w:rsidRDefault="00877B56" w:rsidP="00877B56">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F7824">
        <w:rPr>
          <w:szCs w:val="24"/>
        </w:rPr>
        <w:t>A reminder postcard will be sent to all respondents one month after the survey mailing.</w:t>
      </w:r>
    </w:p>
    <w:p w:rsidR="00877B56" w:rsidRPr="003F7824" w:rsidRDefault="00877B56" w:rsidP="00877B56">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F7824">
        <w:rPr>
          <w:szCs w:val="24"/>
        </w:rPr>
        <w:t>A second survey mailing will be sent to all respondents who have not completed and returned their survey within two w</w:t>
      </w:r>
      <w:r>
        <w:rPr>
          <w:szCs w:val="24"/>
        </w:rPr>
        <w:t>eeks of the reminder postcard.</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Pr="00ED058F"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D058F">
        <w:rPr>
          <w:sz w:val="24"/>
          <w:szCs w:val="24"/>
        </w:rPr>
        <w:t>Approximately 50 percent of the survey forms are returned within the first three months of the initial mailing for t</w:t>
      </w:r>
      <w:r>
        <w:rPr>
          <w:sz w:val="24"/>
          <w:szCs w:val="24"/>
        </w:rPr>
        <w:t>he Survey of Fishery Processors;</w:t>
      </w:r>
      <w:r w:rsidRPr="00ED058F">
        <w:rPr>
          <w:sz w:val="24"/>
          <w:szCs w:val="24"/>
        </w:rPr>
        <w:t xml:space="preserve"> we expect the same results for the additional respondents. </w:t>
      </w:r>
      <w:r>
        <w:rPr>
          <w:sz w:val="24"/>
          <w:szCs w:val="24"/>
        </w:rPr>
        <w:t xml:space="preserve">For those respondents in the Survey of Fish Processors, </w:t>
      </w:r>
      <w:r w:rsidRPr="003F7824">
        <w:rPr>
          <w:sz w:val="24"/>
          <w:szCs w:val="24"/>
        </w:rPr>
        <w:t>a second survey mailing will be sent to all respondents who have not completed and returned their survey within the first three months of the initial mailing in early December. A second mailing to those who have not yet responded is conducted in late February. Port agents will conduct follow-up phone calls within two weeks of this mailing to dete</w:t>
      </w:r>
      <w:r>
        <w:rPr>
          <w:sz w:val="24"/>
          <w:szCs w:val="24"/>
        </w:rPr>
        <w:t>rmine if problems have arisen.</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Pr="003F7824"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F7824">
        <w:rPr>
          <w:sz w:val="24"/>
          <w:szCs w:val="24"/>
        </w:rPr>
        <w:t>The mail survey implementation will follow state-of-the-art protocols described in ‘The Tailored Design Method’ (</w:t>
      </w:r>
      <w:proofErr w:type="spellStart"/>
      <w:r w:rsidRPr="003F7824">
        <w:rPr>
          <w:sz w:val="24"/>
          <w:szCs w:val="24"/>
        </w:rPr>
        <w:t>Dillman</w:t>
      </w:r>
      <w:proofErr w:type="spellEnd"/>
      <w:r w:rsidRPr="003F7824">
        <w:rPr>
          <w:sz w:val="24"/>
          <w:szCs w:val="24"/>
        </w:rPr>
        <w:t xml:space="preserve"> 2000).  Protocols include four mailings with approximately 2 – 4  weeks between mailings:  (1) a pre-notice letter informing the respondent that they have been selected to receive a survey within the next two weeks; (2) a cover letter describing the importance of filling out the survey completely and the survey questionnaire; (3) a post-card follow up thanking respondents who returned their survey and reminding respondents to complete their survey and return it if they have not already done so; (4) a final mailing including a cover letter and survey instrument.  The Tailored Design Method is designed to maximize response rates, and components of the design have been scientifically tested and determined to increase response rates for mail surveys (</w:t>
      </w:r>
      <w:proofErr w:type="spellStart"/>
      <w:r w:rsidRPr="003F7824">
        <w:rPr>
          <w:sz w:val="24"/>
          <w:szCs w:val="24"/>
        </w:rPr>
        <w:t>Dillman</w:t>
      </w:r>
      <w:proofErr w:type="spellEnd"/>
      <w:r w:rsidRPr="003F7824">
        <w:rPr>
          <w:sz w:val="24"/>
          <w:szCs w:val="24"/>
        </w:rPr>
        <w:t xml:space="preserve"> 2000).  </w:t>
      </w:r>
    </w:p>
    <w:p w:rsidR="00877B56" w:rsidRPr="003F7824"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F7824">
        <w:rPr>
          <w:sz w:val="24"/>
          <w:szCs w:val="24"/>
        </w:rPr>
        <w:t xml:space="preserve">A small random sample of non-respondents will be contacted by telephone to determine the extent, if any, of non-response bias.  </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Survey of Fishery Processors has been conducted in the same manner for 20 years. No tests have been conducted recently. The add-on questions were based on an annual survey conducted on the U.S. West Coast under OMB Control No. </w:t>
      </w:r>
      <w:r w:rsidRPr="00835641">
        <w:rPr>
          <w:sz w:val="24"/>
          <w:szCs w:val="24"/>
          <w:shd w:val="clear" w:color="auto" w:fill="FFFFFF"/>
        </w:rPr>
        <w:t>0648-</w:t>
      </w:r>
      <w:r>
        <w:rPr>
          <w:sz w:val="24"/>
          <w:szCs w:val="24"/>
          <w:shd w:val="clear" w:color="auto" w:fill="FFFFFF"/>
        </w:rPr>
        <w:t>0618 since 2009.</w:t>
      </w:r>
      <w:r>
        <w:rPr>
          <w:sz w:val="24"/>
          <w:szCs w:val="24"/>
        </w:rPr>
        <w:t xml:space="preserve"> </w:t>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7B56" w:rsidRDefault="00877B56">
      <w:pPr>
        <w:widowControl/>
        <w:autoSpaceDE/>
        <w:autoSpaceDN/>
        <w:adjustRightInd/>
        <w:spacing w:after="200" w:line="276" w:lineRule="auto"/>
        <w:rPr>
          <w:b/>
          <w:bCs/>
          <w:sz w:val="24"/>
          <w:szCs w:val="24"/>
        </w:rPr>
      </w:pPr>
      <w:r>
        <w:rPr>
          <w:b/>
          <w:bCs/>
          <w:sz w:val="24"/>
          <w:szCs w:val="24"/>
        </w:rPr>
        <w:br w:type="page"/>
      </w:r>
    </w:p>
    <w:p w:rsidR="00877B56" w:rsidRDefault="00877B56" w:rsidP="00877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877B56" w:rsidRPr="00ED058F" w:rsidRDefault="00877B56" w:rsidP="00877B56">
      <w:pPr>
        <w:rPr>
          <w:sz w:val="24"/>
          <w:szCs w:val="24"/>
        </w:rPr>
      </w:pPr>
    </w:p>
    <w:p w:rsidR="00877B56" w:rsidRDefault="00877B56" w:rsidP="00877B56">
      <w:pPr>
        <w:rPr>
          <w:sz w:val="24"/>
          <w:szCs w:val="24"/>
        </w:rPr>
      </w:pPr>
      <w:r w:rsidRPr="00ED058F">
        <w:rPr>
          <w:sz w:val="24"/>
          <w:szCs w:val="24"/>
        </w:rPr>
        <w:t>Regional agency personnel and port agents conduct the census of fishery processors. The main NOAA Fisheries regional contacts are:</w:t>
      </w:r>
    </w:p>
    <w:p w:rsidR="00877B56" w:rsidRPr="00ED058F" w:rsidRDefault="00877B56" w:rsidP="00877B56">
      <w:pPr>
        <w:rPr>
          <w:sz w:val="24"/>
          <w:szCs w:val="24"/>
        </w:rPr>
      </w:pPr>
    </w:p>
    <w:p w:rsidR="00877B56" w:rsidRPr="003F7824" w:rsidRDefault="00877B56" w:rsidP="00877B56">
      <w:pPr>
        <w:rPr>
          <w:sz w:val="24"/>
          <w:szCs w:val="24"/>
        </w:rPr>
      </w:pPr>
      <w:r w:rsidRPr="003F7824">
        <w:rPr>
          <w:sz w:val="24"/>
          <w:szCs w:val="24"/>
        </w:rPr>
        <w:t xml:space="preserve">Northeast Region – Victor </w:t>
      </w:r>
      <w:proofErr w:type="spellStart"/>
      <w:r w:rsidRPr="003F7824">
        <w:rPr>
          <w:sz w:val="24"/>
          <w:szCs w:val="24"/>
        </w:rPr>
        <w:t>Vecchio</w:t>
      </w:r>
      <w:proofErr w:type="spellEnd"/>
      <w:r w:rsidRPr="003F7824">
        <w:rPr>
          <w:sz w:val="24"/>
          <w:szCs w:val="24"/>
        </w:rPr>
        <w:t xml:space="preserve"> 631-324-3569</w:t>
      </w:r>
    </w:p>
    <w:p w:rsidR="00877B56" w:rsidRPr="003F7824" w:rsidRDefault="00877B56" w:rsidP="00877B56">
      <w:pPr>
        <w:rPr>
          <w:sz w:val="24"/>
          <w:szCs w:val="24"/>
        </w:rPr>
      </w:pPr>
      <w:r w:rsidRPr="003F7824">
        <w:rPr>
          <w:sz w:val="24"/>
          <w:szCs w:val="24"/>
        </w:rPr>
        <w:t xml:space="preserve">Southeast Region – Lawrence </w:t>
      </w:r>
      <w:proofErr w:type="spellStart"/>
      <w:r w:rsidRPr="003F7824">
        <w:rPr>
          <w:sz w:val="24"/>
          <w:szCs w:val="24"/>
        </w:rPr>
        <w:t>Beerkircher</w:t>
      </w:r>
      <w:proofErr w:type="spellEnd"/>
      <w:r w:rsidRPr="003F7824">
        <w:rPr>
          <w:sz w:val="24"/>
          <w:szCs w:val="24"/>
        </w:rPr>
        <w:t xml:space="preserve"> 305-361-4290, </w:t>
      </w:r>
      <w:proofErr w:type="spellStart"/>
      <w:r w:rsidRPr="003F7824">
        <w:rPr>
          <w:sz w:val="24"/>
          <w:szCs w:val="24"/>
        </w:rPr>
        <w:t>ext</w:t>
      </w:r>
      <w:proofErr w:type="spellEnd"/>
      <w:r w:rsidRPr="003F7824">
        <w:rPr>
          <w:sz w:val="24"/>
          <w:szCs w:val="24"/>
        </w:rPr>
        <w:t xml:space="preserve"> 290</w:t>
      </w:r>
    </w:p>
    <w:p w:rsidR="00877B56" w:rsidRPr="003F7824" w:rsidRDefault="00877B56" w:rsidP="00877B56">
      <w:pPr>
        <w:rPr>
          <w:sz w:val="24"/>
          <w:szCs w:val="24"/>
        </w:rPr>
      </w:pPr>
      <w:r w:rsidRPr="003F7824">
        <w:rPr>
          <w:sz w:val="24"/>
          <w:szCs w:val="24"/>
        </w:rPr>
        <w:t>Gulf Region – Pamela Brown-</w:t>
      </w:r>
      <w:proofErr w:type="spellStart"/>
      <w:r w:rsidRPr="003F7824">
        <w:rPr>
          <w:sz w:val="24"/>
          <w:szCs w:val="24"/>
        </w:rPr>
        <w:t>Eyo</w:t>
      </w:r>
      <w:proofErr w:type="spellEnd"/>
      <w:r w:rsidRPr="003F7824">
        <w:rPr>
          <w:sz w:val="24"/>
          <w:szCs w:val="24"/>
        </w:rPr>
        <w:t xml:space="preserve"> 305-361-4565, </w:t>
      </w:r>
      <w:proofErr w:type="spellStart"/>
      <w:r w:rsidRPr="003F7824">
        <w:rPr>
          <w:sz w:val="24"/>
          <w:szCs w:val="24"/>
        </w:rPr>
        <w:t>ext</w:t>
      </w:r>
      <w:proofErr w:type="spellEnd"/>
      <w:r w:rsidRPr="003F7824">
        <w:rPr>
          <w:sz w:val="24"/>
          <w:szCs w:val="24"/>
        </w:rPr>
        <w:t xml:space="preserve"> 565</w:t>
      </w:r>
    </w:p>
    <w:p w:rsidR="00877B56" w:rsidRPr="003F7824" w:rsidRDefault="00877B56" w:rsidP="00877B56">
      <w:pPr>
        <w:rPr>
          <w:sz w:val="24"/>
          <w:szCs w:val="24"/>
        </w:rPr>
      </w:pPr>
      <w:r w:rsidRPr="003F7824">
        <w:rPr>
          <w:sz w:val="24"/>
          <w:szCs w:val="24"/>
        </w:rPr>
        <w:t>Southwest Region – Craig D’Angelo 562-980-4024</w:t>
      </w:r>
    </w:p>
    <w:p w:rsidR="00877B56" w:rsidRPr="003F7824" w:rsidRDefault="00877B56" w:rsidP="00877B56">
      <w:pPr>
        <w:shd w:val="clear" w:color="auto" w:fill="FFFFFF"/>
        <w:rPr>
          <w:sz w:val="24"/>
          <w:szCs w:val="24"/>
        </w:rPr>
      </w:pPr>
      <w:r w:rsidRPr="003F7824">
        <w:rPr>
          <w:sz w:val="24"/>
          <w:szCs w:val="24"/>
        </w:rPr>
        <w:t xml:space="preserve">Northwest Region – </w:t>
      </w:r>
      <w:proofErr w:type="spellStart"/>
      <w:r w:rsidRPr="003F7824">
        <w:rPr>
          <w:sz w:val="24"/>
          <w:szCs w:val="24"/>
        </w:rPr>
        <w:t>Hollye</w:t>
      </w:r>
      <w:proofErr w:type="spellEnd"/>
      <w:r w:rsidRPr="003F7824">
        <w:rPr>
          <w:sz w:val="24"/>
          <w:szCs w:val="24"/>
        </w:rPr>
        <w:t xml:space="preserve"> Maxwell (Pacific States Marine Fisheries Commission) 503-595-3100</w:t>
      </w:r>
    </w:p>
    <w:p w:rsidR="00877B56" w:rsidRPr="00ED058F" w:rsidRDefault="00877B56" w:rsidP="00877B56">
      <w:pPr>
        <w:rPr>
          <w:sz w:val="24"/>
          <w:szCs w:val="24"/>
        </w:rPr>
      </w:pPr>
      <w:r w:rsidRPr="003F7824">
        <w:rPr>
          <w:sz w:val="24"/>
          <w:szCs w:val="24"/>
        </w:rPr>
        <w:t xml:space="preserve">Pacific Islands – Walter </w:t>
      </w:r>
      <w:proofErr w:type="spellStart"/>
      <w:r w:rsidRPr="003F7824">
        <w:rPr>
          <w:sz w:val="24"/>
          <w:szCs w:val="24"/>
        </w:rPr>
        <w:t>Ikehara</w:t>
      </w:r>
      <w:proofErr w:type="spellEnd"/>
      <w:r w:rsidRPr="003F7824">
        <w:rPr>
          <w:sz w:val="24"/>
          <w:szCs w:val="24"/>
        </w:rPr>
        <w:t xml:space="preserve"> 808-944-2275</w:t>
      </w:r>
    </w:p>
    <w:p w:rsidR="00877B56" w:rsidRPr="00ED058F" w:rsidRDefault="00877B56" w:rsidP="00877B56">
      <w:pPr>
        <w:rPr>
          <w:sz w:val="24"/>
          <w:szCs w:val="24"/>
        </w:rPr>
      </w:pPr>
    </w:p>
    <w:p w:rsidR="00877B56" w:rsidRPr="00ED058F" w:rsidRDefault="00877B56" w:rsidP="00877B56">
      <w:pPr>
        <w:rPr>
          <w:sz w:val="24"/>
          <w:szCs w:val="24"/>
        </w:rPr>
      </w:pPr>
      <w:r w:rsidRPr="00ED058F">
        <w:rPr>
          <w:sz w:val="24"/>
          <w:szCs w:val="24"/>
        </w:rPr>
        <w:t>Sampling Design, Data Analysis and Report Writing:</w:t>
      </w:r>
    </w:p>
    <w:p w:rsidR="00877B56" w:rsidRPr="00ED058F" w:rsidRDefault="00877B56" w:rsidP="00877B56">
      <w:pPr>
        <w:rPr>
          <w:sz w:val="24"/>
          <w:szCs w:val="24"/>
        </w:rPr>
      </w:pPr>
      <w:proofErr w:type="spellStart"/>
      <w:r w:rsidRPr="00ED058F">
        <w:rPr>
          <w:sz w:val="24"/>
          <w:szCs w:val="24"/>
        </w:rPr>
        <w:t>Ayeisha</w:t>
      </w:r>
      <w:proofErr w:type="spellEnd"/>
      <w:r w:rsidRPr="00ED058F">
        <w:rPr>
          <w:sz w:val="24"/>
          <w:szCs w:val="24"/>
        </w:rPr>
        <w:t xml:space="preserve"> Brinson</w:t>
      </w:r>
      <w:r>
        <w:rPr>
          <w:sz w:val="24"/>
          <w:szCs w:val="24"/>
        </w:rPr>
        <w:t xml:space="preserve"> </w:t>
      </w:r>
      <w:r w:rsidRPr="00ED058F">
        <w:rPr>
          <w:sz w:val="24"/>
          <w:szCs w:val="24"/>
        </w:rPr>
        <w:t>301-427-8198</w:t>
      </w:r>
    </w:p>
    <w:p w:rsidR="00877B56" w:rsidRDefault="00877B56" w:rsidP="00877B56">
      <w:pPr>
        <w:rPr>
          <w:rStyle w:val="base"/>
          <w:szCs w:val="24"/>
        </w:rPr>
      </w:pPr>
    </w:p>
    <w:p w:rsidR="00877B56" w:rsidRPr="008B498C" w:rsidRDefault="00877B56" w:rsidP="00877B56">
      <w:pPr>
        <w:rPr>
          <w:rStyle w:val="base"/>
          <w:szCs w:val="24"/>
        </w:rPr>
      </w:pPr>
    </w:p>
    <w:p w:rsidR="00877B56" w:rsidRPr="006171C6" w:rsidRDefault="00877B56" w:rsidP="00877B56">
      <w:pPr>
        <w:rPr>
          <w:b/>
          <w:sz w:val="24"/>
          <w:szCs w:val="24"/>
        </w:rPr>
      </w:pPr>
      <w:r w:rsidRPr="006171C6">
        <w:rPr>
          <w:b/>
          <w:sz w:val="24"/>
          <w:szCs w:val="24"/>
        </w:rPr>
        <w:t>References</w:t>
      </w:r>
    </w:p>
    <w:p w:rsidR="00877B56" w:rsidRPr="008B498C" w:rsidRDefault="00877B56" w:rsidP="00877B56">
      <w:pPr>
        <w:rPr>
          <w:sz w:val="24"/>
          <w:szCs w:val="24"/>
        </w:rPr>
      </w:pPr>
    </w:p>
    <w:p w:rsidR="00877B56" w:rsidRPr="008B498C" w:rsidRDefault="00877B56" w:rsidP="00877B56">
      <w:pPr>
        <w:rPr>
          <w:sz w:val="24"/>
          <w:szCs w:val="24"/>
        </w:rPr>
      </w:pPr>
      <w:proofErr w:type="spellStart"/>
      <w:r w:rsidRPr="008B498C">
        <w:rPr>
          <w:sz w:val="24"/>
          <w:szCs w:val="24"/>
        </w:rPr>
        <w:t>Dillman</w:t>
      </w:r>
      <w:proofErr w:type="spellEnd"/>
      <w:r w:rsidRPr="008B498C">
        <w:rPr>
          <w:sz w:val="24"/>
          <w:szCs w:val="24"/>
        </w:rPr>
        <w:t>, D. 20</w:t>
      </w:r>
      <w:r>
        <w:rPr>
          <w:sz w:val="24"/>
          <w:szCs w:val="24"/>
        </w:rPr>
        <w:t xml:space="preserve">00. </w:t>
      </w:r>
      <w:proofErr w:type="gramStart"/>
      <w:r>
        <w:rPr>
          <w:sz w:val="24"/>
          <w:szCs w:val="24"/>
        </w:rPr>
        <w:t>Mail and Internet Surveys.</w:t>
      </w:r>
      <w:proofErr w:type="gramEnd"/>
      <w:r w:rsidRPr="008B498C">
        <w:rPr>
          <w:sz w:val="24"/>
          <w:szCs w:val="24"/>
        </w:rPr>
        <w:t xml:space="preserve"> </w:t>
      </w:r>
      <w:proofErr w:type="gramStart"/>
      <w:r w:rsidRPr="008B498C">
        <w:rPr>
          <w:sz w:val="24"/>
          <w:szCs w:val="24"/>
        </w:rPr>
        <w:t>The Tailored Design Method.</w:t>
      </w:r>
      <w:proofErr w:type="gramEnd"/>
      <w:r w:rsidRPr="008B498C">
        <w:rPr>
          <w:sz w:val="24"/>
          <w:szCs w:val="24"/>
        </w:rPr>
        <w:t xml:space="preserve"> </w:t>
      </w:r>
      <w:proofErr w:type="gramStart"/>
      <w:r w:rsidRPr="008B498C">
        <w:rPr>
          <w:sz w:val="24"/>
          <w:szCs w:val="24"/>
        </w:rPr>
        <w:t>John Wiley and S</w:t>
      </w:r>
      <w:r>
        <w:rPr>
          <w:sz w:val="24"/>
          <w:szCs w:val="24"/>
        </w:rPr>
        <w:t>ons, Inc., New York, New York.</w:t>
      </w:r>
      <w:proofErr w:type="gramEnd"/>
      <w:r>
        <w:rPr>
          <w:sz w:val="24"/>
          <w:szCs w:val="24"/>
        </w:rPr>
        <w:t xml:space="preserve"> </w:t>
      </w:r>
    </w:p>
    <w:p w:rsidR="00877B56" w:rsidRPr="008B498C" w:rsidRDefault="00877B56" w:rsidP="00877B56">
      <w:pPr>
        <w:rPr>
          <w:sz w:val="24"/>
          <w:szCs w:val="24"/>
        </w:rPr>
      </w:pPr>
    </w:p>
    <w:p w:rsidR="00877B56" w:rsidRPr="008B498C" w:rsidRDefault="00877B56" w:rsidP="00877B56">
      <w:pPr>
        <w:rPr>
          <w:sz w:val="24"/>
          <w:szCs w:val="24"/>
        </w:rPr>
      </w:pPr>
      <w:r>
        <w:rPr>
          <w:sz w:val="24"/>
          <w:szCs w:val="24"/>
        </w:rPr>
        <w:t xml:space="preserve">Rice, J. 1995. </w:t>
      </w:r>
      <w:proofErr w:type="gramStart"/>
      <w:r w:rsidRPr="008B498C">
        <w:rPr>
          <w:sz w:val="24"/>
          <w:szCs w:val="24"/>
        </w:rPr>
        <w:t>Mathematical Statistics and Data Analysis, Second Edition.</w:t>
      </w:r>
      <w:proofErr w:type="gramEnd"/>
      <w:r w:rsidRPr="008B498C">
        <w:rPr>
          <w:sz w:val="24"/>
          <w:szCs w:val="24"/>
        </w:rPr>
        <w:t xml:space="preserve"> </w:t>
      </w:r>
      <w:proofErr w:type="gramStart"/>
      <w:r w:rsidRPr="008B498C">
        <w:rPr>
          <w:sz w:val="24"/>
          <w:szCs w:val="24"/>
        </w:rPr>
        <w:t>Wadsworth Publishing</w:t>
      </w:r>
      <w:r>
        <w:rPr>
          <w:sz w:val="24"/>
          <w:szCs w:val="24"/>
        </w:rPr>
        <w:t xml:space="preserve"> Company, Belmont, California.</w:t>
      </w:r>
      <w:proofErr w:type="gramEnd"/>
      <w:r>
        <w:rPr>
          <w:sz w:val="24"/>
          <w:szCs w:val="24"/>
        </w:rPr>
        <w:t xml:space="preserve"> </w:t>
      </w:r>
    </w:p>
    <w:p w:rsidR="00877B56" w:rsidRPr="008B498C" w:rsidRDefault="00877B56" w:rsidP="00877B56">
      <w:pPr>
        <w:rPr>
          <w:sz w:val="24"/>
          <w:szCs w:val="24"/>
        </w:rPr>
      </w:pPr>
    </w:p>
    <w:p w:rsidR="00877B56" w:rsidRDefault="00877B56" w:rsidP="00877B56">
      <w:pPr>
        <w:rPr>
          <w:sz w:val="24"/>
          <w:szCs w:val="24"/>
        </w:rPr>
      </w:pPr>
      <w:r w:rsidRPr="008B498C">
        <w:rPr>
          <w:sz w:val="24"/>
          <w:szCs w:val="24"/>
        </w:rPr>
        <w:t xml:space="preserve">Yamane, Taro. 1967. Statistics, </w:t>
      </w:r>
      <w:proofErr w:type="gramStart"/>
      <w:r w:rsidRPr="008B498C">
        <w:rPr>
          <w:sz w:val="24"/>
          <w:szCs w:val="24"/>
        </w:rPr>
        <w:t>An</w:t>
      </w:r>
      <w:proofErr w:type="gramEnd"/>
      <w:r w:rsidRPr="008B498C">
        <w:rPr>
          <w:sz w:val="24"/>
          <w:szCs w:val="24"/>
        </w:rPr>
        <w:t xml:space="preserve"> Introductory Analysis, 2nd Ed., New York: Harper and Row.</w:t>
      </w:r>
    </w:p>
    <w:p w:rsidR="005725F8" w:rsidRDefault="00467B6A"/>
    <w:sectPr w:rsidR="005725F8" w:rsidSect="00877B5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44BAC"/>
    <w:multiLevelType w:val="hybridMultilevel"/>
    <w:tmpl w:val="84B8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56"/>
    <w:rsid w:val="002666F4"/>
    <w:rsid w:val="00467B6A"/>
    <w:rsid w:val="007C6674"/>
    <w:rsid w:val="0087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7B56"/>
    <w:pPr>
      <w:widowControl/>
    </w:pPr>
    <w:rPr>
      <w:sz w:val="24"/>
    </w:rPr>
  </w:style>
  <w:style w:type="character" w:customStyle="1" w:styleId="BodyTextChar">
    <w:name w:val="Body Text Char"/>
    <w:basedOn w:val="DefaultParagraphFont"/>
    <w:link w:val="BodyText"/>
    <w:rsid w:val="00877B56"/>
    <w:rPr>
      <w:rFonts w:ascii="Times New Roman" w:eastAsia="Times New Roman" w:hAnsi="Times New Roman" w:cs="Times New Roman"/>
      <w:sz w:val="24"/>
      <w:szCs w:val="20"/>
    </w:rPr>
  </w:style>
  <w:style w:type="character" w:customStyle="1" w:styleId="base">
    <w:name w:val="base"/>
    <w:basedOn w:val="DefaultParagraphFont"/>
    <w:rsid w:val="00877B56"/>
  </w:style>
  <w:style w:type="table" w:styleId="MediumList1-Accent1">
    <w:name w:val="Medium List 1 Accent 1"/>
    <w:basedOn w:val="TableNormal"/>
    <w:uiPriority w:val="65"/>
    <w:rsid w:val="00877B56"/>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pple-converted-space">
    <w:name w:val="apple-converted-space"/>
    <w:basedOn w:val="DefaultParagraphFont"/>
    <w:rsid w:val="00877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7B56"/>
    <w:pPr>
      <w:widowControl/>
    </w:pPr>
    <w:rPr>
      <w:sz w:val="24"/>
    </w:rPr>
  </w:style>
  <w:style w:type="character" w:customStyle="1" w:styleId="BodyTextChar">
    <w:name w:val="Body Text Char"/>
    <w:basedOn w:val="DefaultParagraphFont"/>
    <w:link w:val="BodyText"/>
    <w:rsid w:val="00877B56"/>
    <w:rPr>
      <w:rFonts w:ascii="Times New Roman" w:eastAsia="Times New Roman" w:hAnsi="Times New Roman" w:cs="Times New Roman"/>
      <w:sz w:val="24"/>
      <w:szCs w:val="20"/>
    </w:rPr>
  </w:style>
  <w:style w:type="character" w:customStyle="1" w:styleId="base">
    <w:name w:val="base"/>
    <w:basedOn w:val="DefaultParagraphFont"/>
    <w:rsid w:val="00877B56"/>
  </w:style>
  <w:style w:type="table" w:styleId="MediumList1-Accent1">
    <w:name w:val="Medium List 1 Accent 1"/>
    <w:basedOn w:val="TableNormal"/>
    <w:uiPriority w:val="65"/>
    <w:rsid w:val="00877B56"/>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pple-converted-space">
    <w:name w:val="apple-converted-space"/>
    <w:basedOn w:val="DefaultParagraphFont"/>
    <w:rsid w:val="00877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1293D-4F63-4041-84FD-A438FAF1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1408</Words>
  <Characters>8027</Characters>
  <Application>Microsoft Office Word</Application>
  <DocSecurity>0</DocSecurity>
  <Lines>66</Lines>
  <Paragraphs>18</Paragraphs>
  <ScaleCrop>false</ScaleCrop>
  <Company>NOAA</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2014-09-03T20:46:00Z</dcterms:created>
  <dcterms:modified xsi:type="dcterms:W3CDTF">2014-09-03T21:01:00Z</dcterms:modified>
</cp:coreProperties>
</file>