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bookmarkStart w:id="0" w:name="_GoBack"/>
      <w:bookmarkEnd w:id="0"/>
    </w:p>
    <w:p w:rsidR="004F26E9" w:rsidRDefault="001341A8">
      <w:pPr>
        <w:jc w:val="center"/>
        <w:rPr>
          <w:b/>
          <w:bCs/>
          <w:sz w:val="24"/>
          <w:szCs w:val="24"/>
        </w:rPr>
      </w:pPr>
      <w:r>
        <w:rPr>
          <w:b/>
          <w:bCs/>
          <w:sz w:val="24"/>
          <w:szCs w:val="24"/>
        </w:rPr>
        <w:t>COMMERCIAL FISHERIES SEAFOOD PROCESSING SURVEY</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430C25">
        <w:rPr>
          <w:b/>
          <w:bCs/>
          <w:sz w:val="24"/>
          <w:szCs w:val="24"/>
        </w:rPr>
        <w:t>-0018</w:t>
      </w:r>
    </w:p>
    <w:p w:rsidR="004F26E9" w:rsidRDefault="004F26E9">
      <w:pPr>
        <w:rPr>
          <w:sz w:val="24"/>
          <w:szCs w:val="24"/>
        </w:rPr>
      </w:pPr>
    </w:p>
    <w:p w:rsidR="004F26E9" w:rsidRDefault="004F26E9">
      <w:pPr>
        <w:rPr>
          <w:sz w:val="24"/>
          <w:szCs w:val="24"/>
        </w:rPr>
      </w:pPr>
    </w:p>
    <w:p w:rsidR="004F26E9" w:rsidRDefault="001341A8">
      <w:pPr>
        <w:tabs>
          <w:tab w:val="left" w:pos="720"/>
        </w:tabs>
        <w:ind w:left="720" w:hanging="720"/>
        <w:rPr>
          <w:sz w:val="24"/>
          <w:szCs w:val="24"/>
        </w:rPr>
      </w:pPr>
      <w:r>
        <w:rPr>
          <w:b/>
          <w:bCs/>
          <w:sz w:val="24"/>
          <w:szCs w:val="24"/>
        </w:rPr>
        <w:t>A.</w:t>
      </w:r>
      <w:r w:rsidR="004F26E9">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E92C90" w:rsidRDefault="00E92C90">
      <w:pPr>
        <w:rPr>
          <w:sz w:val="24"/>
          <w:szCs w:val="24"/>
        </w:rPr>
      </w:pPr>
    </w:p>
    <w:p w:rsidR="00430C25" w:rsidRDefault="00430C25">
      <w:pPr>
        <w:rPr>
          <w:sz w:val="24"/>
          <w:szCs w:val="24"/>
        </w:rPr>
      </w:pPr>
      <w:r>
        <w:rPr>
          <w:sz w:val="24"/>
          <w:szCs w:val="24"/>
        </w:rPr>
        <w:t>This request is for a revision to a current information collection.</w:t>
      </w:r>
    </w:p>
    <w:p w:rsidR="00430C25" w:rsidRDefault="00430C25">
      <w:pPr>
        <w:rPr>
          <w:sz w:val="24"/>
          <w:szCs w:val="24"/>
        </w:rPr>
      </w:pPr>
    </w:p>
    <w:p w:rsidR="00631B2D" w:rsidRDefault="00631B2D">
      <w:pPr>
        <w:rPr>
          <w:sz w:val="24"/>
          <w:szCs w:val="24"/>
        </w:rPr>
      </w:pPr>
      <w:r>
        <w:rPr>
          <w:sz w:val="24"/>
          <w:szCs w:val="24"/>
        </w:rPr>
        <w:t xml:space="preserve">NOAA Form 88-13 </w:t>
      </w:r>
      <w:r w:rsidR="00CC75A9">
        <w:rPr>
          <w:sz w:val="24"/>
          <w:szCs w:val="24"/>
        </w:rPr>
        <w:t>(under OMB Control No. 0648-0018)</w:t>
      </w:r>
      <w:r w:rsidR="002252A3">
        <w:rPr>
          <w:sz w:val="24"/>
          <w:szCs w:val="24"/>
        </w:rPr>
        <w:t xml:space="preserve"> </w:t>
      </w:r>
      <w:r>
        <w:rPr>
          <w:sz w:val="24"/>
          <w:szCs w:val="24"/>
        </w:rPr>
        <w:t xml:space="preserve">is used to collect annual information </w:t>
      </w:r>
      <w:r w:rsidR="00B333F1">
        <w:rPr>
          <w:sz w:val="24"/>
          <w:szCs w:val="24"/>
        </w:rPr>
        <w:t xml:space="preserve">annually </w:t>
      </w:r>
      <w:r>
        <w:rPr>
          <w:sz w:val="24"/>
          <w:szCs w:val="24"/>
        </w:rPr>
        <w:t>on seafood and industrial fishery processing plants. These data are required by the Secretary of Commerce in carrying out provisions of the Magnuson-Stevens Fishery Conservation and Management Act (</w:t>
      </w:r>
      <w:r w:rsidR="00077010">
        <w:rPr>
          <w:sz w:val="24"/>
          <w:szCs w:val="24"/>
        </w:rPr>
        <w:t xml:space="preserve">Section 101-627 of </w:t>
      </w:r>
      <w:r>
        <w:rPr>
          <w:sz w:val="24"/>
          <w:szCs w:val="24"/>
        </w:rPr>
        <w:t>16 U.S.C. 1801). Each Fishery Management Plan established under the Magnuson-Stevens Act must determine the estimated capacity by United States seafood processors for the managed fishery. Data from this survey are used in economic analyses to estimate the capacity and extent to which U.S. fish processors, on an annual basis, will process that portion of the optimum yield harvested by domestic fishing vessels. Employment data are used in socioeconomic analyses for determining the potential impacts on processing employment, due in part to management measures</w:t>
      </w:r>
      <w:r w:rsidR="00077010">
        <w:rPr>
          <w:sz w:val="24"/>
          <w:szCs w:val="24"/>
        </w:rPr>
        <w:t xml:space="preserve"> (16 U.S.C. Section 303(a)(4)(C)</w:t>
      </w:r>
      <w:r>
        <w:rPr>
          <w:sz w:val="24"/>
          <w:szCs w:val="24"/>
        </w:rPr>
        <w:t>.</w:t>
      </w:r>
    </w:p>
    <w:p w:rsidR="00631B2D" w:rsidRDefault="00631B2D">
      <w:pPr>
        <w:rPr>
          <w:sz w:val="24"/>
          <w:szCs w:val="24"/>
        </w:rPr>
      </w:pPr>
    </w:p>
    <w:p w:rsidR="00C358D2" w:rsidRDefault="00631B2D">
      <w:pPr>
        <w:rPr>
          <w:sz w:val="24"/>
          <w:szCs w:val="24"/>
        </w:rPr>
      </w:pPr>
      <w:r>
        <w:rPr>
          <w:sz w:val="24"/>
          <w:szCs w:val="24"/>
        </w:rPr>
        <w:t>The current form gathers information on production and revenue from seafood fishery processors. This</w:t>
      </w:r>
      <w:r w:rsidR="00FC2EF1">
        <w:rPr>
          <w:sz w:val="24"/>
          <w:szCs w:val="24"/>
        </w:rPr>
        <w:t xml:space="preserve"> </w:t>
      </w:r>
      <w:r w:rsidR="00CC75A9">
        <w:rPr>
          <w:sz w:val="24"/>
          <w:szCs w:val="24"/>
        </w:rPr>
        <w:t>request</w:t>
      </w:r>
      <w:r>
        <w:rPr>
          <w:sz w:val="24"/>
          <w:szCs w:val="24"/>
        </w:rPr>
        <w:t xml:space="preserve"> is </w:t>
      </w:r>
      <w:r w:rsidR="00CC75A9">
        <w:rPr>
          <w:sz w:val="24"/>
          <w:szCs w:val="24"/>
        </w:rPr>
        <w:t xml:space="preserve">for </w:t>
      </w:r>
      <w:r>
        <w:rPr>
          <w:sz w:val="24"/>
          <w:szCs w:val="24"/>
        </w:rPr>
        <w:t xml:space="preserve">a one-time add-on to NOAA Form 88-13. </w:t>
      </w:r>
      <w:r w:rsidR="00616557">
        <w:rPr>
          <w:sz w:val="24"/>
          <w:szCs w:val="24"/>
        </w:rPr>
        <w:t xml:space="preserve">Currently Form 88-13 requests information about revenue from seafood products and the add-on </w:t>
      </w:r>
      <w:r>
        <w:rPr>
          <w:sz w:val="24"/>
          <w:szCs w:val="24"/>
        </w:rPr>
        <w:t xml:space="preserve">requests information on product costs. </w:t>
      </w:r>
      <w:r w:rsidR="00616557">
        <w:rPr>
          <w:sz w:val="24"/>
          <w:szCs w:val="24"/>
        </w:rPr>
        <w:t xml:space="preserve">The data collected will be used to update regional fishery economic models. </w:t>
      </w:r>
      <w:r w:rsidR="00537BA7">
        <w:rPr>
          <w:sz w:val="24"/>
          <w:szCs w:val="24"/>
        </w:rPr>
        <w:t xml:space="preserve">The information collection is necessary in that it has been more than two decades since the model to produce commercial fishery economic impacts and value added for commercial marine products has been updated. </w:t>
      </w:r>
    </w:p>
    <w:p w:rsidR="00B333F1" w:rsidRDefault="00B333F1">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E92C90" w:rsidRDefault="00E92C90" w:rsidP="0069403A">
      <w:pPr>
        <w:rPr>
          <w:sz w:val="24"/>
          <w:szCs w:val="24"/>
        </w:rPr>
      </w:pPr>
    </w:p>
    <w:p w:rsidR="001516A8" w:rsidRDefault="001516A8" w:rsidP="0069403A">
      <w:pPr>
        <w:rPr>
          <w:sz w:val="24"/>
          <w:szCs w:val="24"/>
        </w:rPr>
      </w:pPr>
      <w:r>
        <w:rPr>
          <w:sz w:val="24"/>
          <w:szCs w:val="24"/>
        </w:rPr>
        <w:t>The add-on requests informatio</w:t>
      </w:r>
      <w:r w:rsidR="00FC2EF1">
        <w:rPr>
          <w:sz w:val="24"/>
          <w:szCs w:val="24"/>
        </w:rPr>
        <w:t>n on fishery quantity and costs by species name. The respondent will have to list all species, the quantity that was not paid for, the quantity that was paid for and the cost for that species. The add-on also requests information on the r</w:t>
      </w:r>
      <w:r w:rsidR="00FC2EF1" w:rsidRPr="00FC2EF1">
        <w:rPr>
          <w:sz w:val="24"/>
        </w:rPr>
        <w:t>evenue received for custom processing of fish owned by another processor</w:t>
      </w:r>
      <w:r w:rsidR="00FC2EF1">
        <w:rPr>
          <w:sz w:val="24"/>
        </w:rPr>
        <w:t xml:space="preserve">, the revenue from offloading fees. This information is needed to estimate the mark-up value for each of the species processed at the facility. The mark-up value is estimated as the difference between the revenue from the sale of species (collected from </w:t>
      </w:r>
      <w:r w:rsidR="00FC2EF1">
        <w:rPr>
          <w:sz w:val="24"/>
          <w:szCs w:val="24"/>
        </w:rPr>
        <w:t>NOAA Form 88-13 under OMB Control No. 0648-0018) and the amount paid for these species (requested information from add-on survey).</w:t>
      </w:r>
    </w:p>
    <w:p w:rsidR="00FC2EF1" w:rsidRPr="00FC2EF1" w:rsidRDefault="00FC2EF1" w:rsidP="0069403A">
      <w:pPr>
        <w:rPr>
          <w:sz w:val="24"/>
          <w:szCs w:val="24"/>
        </w:rPr>
      </w:pPr>
    </w:p>
    <w:p w:rsidR="00490843" w:rsidRDefault="00490843" w:rsidP="0069403A">
      <w:pPr>
        <w:rPr>
          <w:sz w:val="24"/>
          <w:szCs w:val="24"/>
        </w:rPr>
      </w:pPr>
      <w:r>
        <w:rPr>
          <w:sz w:val="24"/>
          <w:szCs w:val="24"/>
        </w:rPr>
        <w:t xml:space="preserve">The data from the add-on survey on costs will be used to update the model that produces various economic analyses. These economic analyses include the Value Added for Commercial Marine Products published in Fisheries of the United States, commercial fishing economic impacts </w:t>
      </w:r>
      <w:r>
        <w:rPr>
          <w:sz w:val="24"/>
          <w:szCs w:val="24"/>
        </w:rPr>
        <w:lastRenderedPageBreak/>
        <w:t xml:space="preserve">published in Fisheries Economics of the United States and in regional impact models to support Fishery Management Plans. Section 303 of 16 U.S.C 1853 requires Fishery Management Plans to assess and specify the capacity and extent to </w:t>
      </w:r>
      <w:r w:rsidR="0092062C">
        <w:rPr>
          <w:sz w:val="24"/>
          <w:szCs w:val="24"/>
        </w:rPr>
        <w:t>which</w:t>
      </w:r>
      <w:r>
        <w:rPr>
          <w:sz w:val="24"/>
          <w:szCs w:val="24"/>
        </w:rPr>
        <w:t xml:space="preserve"> United States fish processors, on an annual basis, will process that portion of such optimum yield that will be harvested by fishing vessels of the United States.</w:t>
      </w:r>
      <w:r w:rsidR="0092062C">
        <w:rPr>
          <w:sz w:val="24"/>
          <w:szCs w:val="24"/>
        </w:rPr>
        <w:t xml:space="preserve"> Fishery Management Plans are also required to estimate the processing capacity utilized by fish processors. Plans are also required to include a fishery impact statement which assesses, specifies and analyzes the likely effects of management measures for the participants in the fisheries and fishing communities affected by the plan or amendment.</w:t>
      </w:r>
    </w:p>
    <w:p w:rsidR="00490843" w:rsidRDefault="00490843" w:rsidP="0069403A">
      <w:pPr>
        <w:rPr>
          <w:sz w:val="24"/>
          <w:szCs w:val="24"/>
        </w:rPr>
      </w:pPr>
    </w:p>
    <w:p w:rsidR="0092062C" w:rsidRDefault="00D801C2" w:rsidP="0069403A">
      <w:pPr>
        <w:rPr>
          <w:sz w:val="24"/>
          <w:szCs w:val="24"/>
        </w:rPr>
      </w:pPr>
      <w:r>
        <w:rPr>
          <w:sz w:val="24"/>
          <w:szCs w:val="24"/>
        </w:rPr>
        <w:t xml:space="preserve">The data collected currently under NOAA Form 88-13 are used by </w:t>
      </w:r>
      <w:r w:rsidR="0092062C">
        <w:rPr>
          <w:sz w:val="24"/>
          <w:szCs w:val="24"/>
        </w:rPr>
        <w:t>NOAA Fisheries and Regional Council economists to complete the analyses on estimating processing capacity and measuring economic impacts of fishery management regulations, required by the Magnuson-Stevens Act to support Fishery Management Plans or Amendments. Employment data will be analyzed to determine the seasonality of specific fisheries.</w:t>
      </w:r>
    </w:p>
    <w:p w:rsidR="00B333F1" w:rsidRDefault="00B333F1" w:rsidP="0069403A">
      <w:pPr>
        <w:rPr>
          <w:sz w:val="24"/>
          <w:szCs w:val="24"/>
        </w:rPr>
      </w:pPr>
    </w:p>
    <w:p w:rsidR="00B333F1" w:rsidRPr="00F7702F" w:rsidRDefault="00B333F1" w:rsidP="00B333F1">
      <w:pPr>
        <w:widowControl/>
        <w:rPr>
          <w:color w:val="000000"/>
          <w:sz w:val="24"/>
        </w:rPr>
      </w:pPr>
      <w:r w:rsidRPr="00F7702F">
        <w:rPr>
          <w:color w:val="000000"/>
          <w:sz w:val="24"/>
        </w:rPr>
        <w:t>NOAA Form 88-13c is used to collect monthly production of fish meal and oil. These data are needed by the Department of Commerce to report market and supply conditions and are used by the industry to procure sufficient inputs to produce such products as animal feeds, paint, and lubricants (</w:t>
      </w:r>
      <w:r>
        <w:rPr>
          <w:rFonts w:ascii="ZWAdobeF" w:hAnsi="ZWAdobeF" w:cs="ZWAdobeF"/>
          <w:sz w:val="2"/>
          <w:szCs w:val="2"/>
        </w:rPr>
        <w:t>H</w:t>
      </w:r>
      <w:hyperlink r:id="rId10" w:history="1">
        <w:r>
          <w:rPr>
            <w:rFonts w:ascii="ZWAdobeF" w:hAnsi="ZWAdobeF" w:cs="ZWAdobeF"/>
            <w:sz w:val="2"/>
            <w:szCs w:val="2"/>
          </w:rPr>
          <w:t>U</w:t>
        </w:r>
        <w:r w:rsidRPr="00F7702F">
          <w:rPr>
            <w:rStyle w:val="Hyperlink"/>
            <w:color w:val="000000"/>
            <w:sz w:val="24"/>
          </w:rPr>
          <w:t xml:space="preserve">13 U.S.C. 61 </w:t>
        </w:r>
        <w:proofErr w:type="gramStart"/>
        <w:r w:rsidRPr="00F7702F">
          <w:rPr>
            <w:rStyle w:val="Hyperlink"/>
            <w:color w:val="000000"/>
            <w:sz w:val="24"/>
          </w:rPr>
          <w:t>et</w:t>
        </w:r>
        <w:proofErr w:type="gramEnd"/>
        <w:r w:rsidRPr="00F7702F">
          <w:rPr>
            <w:rStyle w:val="Hyperlink"/>
            <w:color w:val="000000"/>
            <w:sz w:val="24"/>
          </w:rPr>
          <w:t xml:space="preserve"> </w:t>
        </w:r>
        <w:proofErr w:type="spellStart"/>
        <w:r w:rsidRPr="00F7702F">
          <w:rPr>
            <w:rStyle w:val="Hyperlink"/>
            <w:color w:val="000000"/>
            <w:sz w:val="24"/>
          </w:rPr>
          <w:t>seq</w:t>
        </w:r>
        <w:r>
          <w:rPr>
            <w:rStyle w:val="Hyperlink"/>
            <w:rFonts w:ascii="ZWAdobeF" w:hAnsi="ZWAdobeF" w:cs="ZWAdobeF"/>
            <w:sz w:val="2"/>
            <w:szCs w:val="2"/>
          </w:rPr>
          <w:t>U</w:t>
        </w:r>
      </w:hyperlink>
      <w:r>
        <w:rPr>
          <w:rFonts w:ascii="ZWAdobeF" w:hAnsi="ZWAdobeF" w:cs="ZWAdobeF"/>
          <w:sz w:val="2"/>
          <w:szCs w:val="2"/>
        </w:rPr>
        <w:t>H</w:t>
      </w:r>
      <w:proofErr w:type="spellEnd"/>
      <w:r w:rsidRPr="00F7702F">
        <w:rPr>
          <w:color w:val="000000"/>
          <w:sz w:val="24"/>
        </w:rPr>
        <w:t>.).</w:t>
      </w:r>
      <w:r>
        <w:rPr>
          <w:color w:val="000000"/>
          <w:sz w:val="24"/>
        </w:rPr>
        <w:t xml:space="preserve"> There is no change to this information collection as part of this revision.</w:t>
      </w:r>
    </w:p>
    <w:p w:rsidR="00202850" w:rsidRDefault="00202850" w:rsidP="0069403A">
      <w:pPr>
        <w:rPr>
          <w:sz w:val="24"/>
          <w:szCs w:val="24"/>
        </w:rPr>
      </w:pPr>
    </w:p>
    <w:p w:rsidR="0092062C" w:rsidRDefault="00B333F1" w:rsidP="0069403A">
      <w:pPr>
        <w:rPr>
          <w:sz w:val="24"/>
          <w:szCs w:val="24"/>
        </w:rPr>
      </w:pPr>
      <w:r>
        <w:rPr>
          <w:sz w:val="24"/>
          <w:szCs w:val="24"/>
        </w:rPr>
        <w:t>T</w:t>
      </w:r>
      <w:r w:rsidR="0092062C" w:rsidRPr="00537BA7">
        <w:rPr>
          <w:sz w:val="24"/>
          <w:szCs w:val="24"/>
        </w:rPr>
        <w:t xml:space="preserve">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w:t>
      </w:r>
      <w:r w:rsidR="00537BA7" w:rsidRPr="00537BA7">
        <w:rPr>
          <w:color w:val="000000"/>
          <w:sz w:val="24"/>
          <w:szCs w:val="24"/>
        </w:rPr>
        <w:t xml:space="preserve">See response to Question 10 of this Supporting Statement for more information on confidentiality and privacy. </w:t>
      </w:r>
      <w:r w:rsidR="0092062C">
        <w:rPr>
          <w:sz w:val="24"/>
          <w:szCs w:val="24"/>
        </w:rPr>
        <w:t>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365927" w:rsidRPr="008B498C" w:rsidRDefault="00365927" w:rsidP="00365927">
      <w:pPr>
        <w:rPr>
          <w:sz w:val="24"/>
          <w:szCs w:val="24"/>
        </w:rPr>
      </w:pPr>
      <w:r w:rsidRPr="008B498C">
        <w:rPr>
          <w:sz w:val="24"/>
          <w:szCs w:val="24"/>
        </w:rPr>
        <w:t xml:space="preserve">The data will be collected via a voluntary mail survey, and thus the use of automated, electronic, </w:t>
      </w:r>
      <w:r w:rsidR="00E92C90" w:rsidRPr="008B498C">
        <w:rPr>
          <w:sz w:val="24"/>
          <w:szCs w:val="24"/>
        </w:rPr>
        <w:t>mechanical</w:t>
      </w:r>
      <w:r w:rsidRPr="008B498C">
        <w:rPr>
          <w:sz w:val="24"/>
          <w:szCs w:val="24"/>
        </w:rPr>
        <w:t xml:space="preserve"> or other technological techniques is minimal. </w:t>
      </w:r>
      <w:r w:rsidR="00653FBD">
        <w:rPr>
          <w:sz w:val="24"/>
          <w:szCs w:val="24"/>
        </w:rPr>
        <w:t>The Survey of Fishery Processors (OMB Control No. 0648-0018) provides each processor with a unique pre-printed form that includes the products produced in the previous year. On this form, respondents only need to fill in quantities and value, and any new products. The add-on for this information collection does not use any additional automated technology, with the exception of a mail merge to create personalized cover letters and mailing labels.</w:t>
      </w:r>
      <w:r w:rsidRPr="008B498C">
        <w:rPr>
          <w:sz w:val="24"/>
          <w:szCs w:val="24"/>
        </w:rPr>
        <w:t xml:space="preserve"> The cover letter will involve the merging of the sampling database with prepared cover letters to create a personalized introduction to the survey.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E92C90" w:rsidRDefault="00E92C90">
      <w:pPr>
        <w:rPr>
          <w:sz w:val="24"/>
          <w:szCs w:val="24"/>
        </w:rPr>
      </w:pPr>
    </w:p>
    <w:p w:rsidR="003901EE" w:rsidRDefault="003901EE">
      <w:pPr>
        <w:rPr>
          <w:sz w:val="24"/>
          <w:szCs w:val="24"/>
        </w:rPr>
      </w:pPr>
      <w:r>
        <w:rPr>
          <w:sz w:val="24"/>
          <w:szCs w:val="24"/>
        </w:rPr>
        <w:t xml:space="preserve">Currently under OMB Control No. 0648-0018, federally licensed processors are contacted. This add-on augments that survey frame and includes </w:t>
      </w:r>
      <w:r w:rsidR="00653FBD">
        <w:rPr>
          <w:sz w:val="24"/>
          <w:szCs w:val="24"/>
        </w:rPr>
        <w:t xml:space="preserve">participants in NOAA Fisheries’ Seafood Inspection Program, state licensed dealers and processors compiled by the Atlantic Cooperative </w:t>
      </w:r>
      <w:r w:rsidR="00653FBD">
        <w:rPr>
          <w:sz w:val="24"/>
          <w:szCs w:val="24"/>
        </w:rPr>
        <w:lastRenderedPageBreak/>
        <w:t>Coastal Cooperative Statistics Program</w:t>
      </w:r>
      <w:r w:rsidR="00616557">
        <w:rPr>
          <w:sz w:val="24"/>
          <w:szCs w:val="24"/>
        </w:rPr>
        <w:t>, and those who applied for first receiver site licenses from the Pacific States Marine Fisheries Commission</w:t>
      </w:r>
      <w:r>
        <w:rPr>
          <w:sz w:val="24"/>
          <w:szCs w:val="24"/>
        </w:rPr>
        <w:t>. All of these sources</w:t>
      </w:r>
      <w:r w:rsidR="00653FBD">
        <w:rPr>
          <w:sz w:val="24"/>
          <w:szCs w:val="24"/>
        </w:rPr>
        <w:t xml:space="preserve"> were combined to form the frame for this </w:t>
      </w:r>
      <w:r>
        <w:rPr>
          <w:sz w:val="24"/>
          <w:szCs w:val="24"/>
        </w:rPr>
        <w:t xml:space="preserve">add-on </w:t>
      </w:r>
      <w:r w:rsidR="00653FBD">
        <w:rPr>
          <w:sz w:val="24"/>
          <w:szCs w:val="24"/>
        </w:rPr>
        <w:t xml:space="preserve">survey. The final frame </w:t>
      </w:r>
      <w:r w:rsidR="0069403A">
        <w:rPr>
          <w:sz w:val="24"/>
          <w:szCs w:val="24"/>
        </w:rPr>
        <w:t>was examined to remove duplicate entries, those entries with the same owner name for multiple locations or the same business name for multiple locations.</w:t>
      </w:r>
      <w:r w:rsidR="00653FBD">
        <w:rPr>
          <w:sz w:val="24"/>
          <w:szCs w:val="24"/>
        </w:rPr>
        <w:t xml:space="preserve"> Also duplicates from the multiple sources were removed as well. </w:t>
      </w:r>
    </w:p>
    <w:p w:rsidR="003901EE" w:rsidRDefault="003901EE">
      <w:pPr>
        <w:rPr>
          <w:sz w:val="24"/>
          <w:szCs w:val="24"/>
        </w:rPr>
      </w:pPr>
    </w:p>
    <w:p w:rsidR="004F26E9" w:rsidRPr="00E92C90" w:rsidRDefault="00653FBD">
      <w:pPr>
        <w:rPr>
          <w:sz w:val="24"/>
          <w:szCs w:val="24"/>
        </w:rPr>
      </w:pPr>
      <w:r>
        <w:rPr>
          <w:sz w:val="24"/>
          <w:szCs w:val="24"/>
        </w:rPr>
        <w:t>Processors and dealers in the State of Alaska will be exempted from this survey because the State</w:t>
      </w:r>
      <w:r w:rsidR="00616557">
        <w:rPr>
          <w:sz w:val="24"/>
          <w:szCs w:val="24"/>
        </w:rPr>
        <w:t xml:space="preserve"> of Alaska</w:t>
      </w:r>
      <w:r>
        <w:rPr>
          <w:sz w:val="24"/>
          <w:szCs w:val="24"/>
        </w:rPr>
        <w:t xml:space="preserve"> collects this information in a separate information collection; therefore, this survey excludes those processors to reduce burden. </w:t>
      </w:r>
      <w:r w:rsidRPr="00E92C90">
        <w:rPr>
          <w:sz w:val="24"/>
          <w:szCs w:val="24"/>
        </w:rPr>
        <w:t xml:space="preserve">Also, </w:t>
      </w:r>
      <w:r w:rsidR="00E92C90" w:rsidRPr="00E92C90">
        <w:rPr>
          <w:sz w:val="24"/>
          <w:szCs w:val="24"/>
        </w:rPr>
        <w:t>all participants of the West Coast Groundfish Trawl Fishery must complete an annual E</w:t>
      </w:r>
      <w:r w:rsidR="00E92C90">
        <w:rPr>
          <w:sz w:val="24"/>
          <w:szCs w:val="24"/>
        </w:rPr>
        <w:t xml:space="preserve">conomic </w:t>
      </w:r>
      <w:r w:rsidR="00E92C90" w:rsidRPr="00E92C90">
        <w:rPr>
          <w:sz w:val="24"/>
          <w:szCs w:val="24"/>
        </w:rPr>
        <w:t>D</w:t>
      </w:r>
      <w:r w:rsidR="00E92C90">
        <w:rPr>
          <w:sz w:val="24"/>
          <w:szCs w:val="24"/>
        </w:rPr>
        <w:t xml:space="preserve">ata </w:t>
      </w:r>
      <w:r w:rsidR="00E92C90" w:rsidRPr="00E92C90">
        <w:rPr>
          <w:sz w:val="24"/>
          <w:szCs w:val="24"/>
        </w:rPr>
        <w:t>C</w:t>
      </w:r>
      <w:r w:rsidR="00E92C90">
        <w:rPr>
          <w:sz w:val="24"/>
          <w:szCs w:val="24"/>
        </w:rPr>
        <w:t>ollection</w:t>
      </w:r>
      <w:r w:rsidR="00E92C90" w:rsidRPr="00E92C90">
        <w:rPr>
          <w:sz w:val="24"/>
          <w:szCs w:val="24"/>
        </w:rPr>
        <w:t xml:space="preserve"> form</w:t>
      </w:r>
      <w:r w:rsidR="00E92C90">
        <w:rPr>
          <w:sz w:val="24"/>
          <w:szCs w:val="24"/>
        </w:rPr>
        <w:t xml:space="preserve"> (OMB Control No. 0648-0618)</w:t>
      </w:r>
      <w:r w:rsidR="00E92C90" w:rsidRPr="00E92C90">
        <w:rPr>
          <w:sz w:val="24"/>
          <w:szCs w:val="24"/>
        </w:rPr>
        <w:t xml:space="preserve"> as noted in regulation 50 CFR 660.114. </w:t>
      </w:r>
      <w:r w:rsidR="00E92C90">
        <w:rPr>
          <w:sz w:val="24"/>
          <w:szCs w:val="24"/>
        </w:rPr>
        <w:t>The data in this information collection are similar to</w:t>
      </w:r>
      <w:r w:rsidR="00CC75A9">
        <w:rPr>
          <w:sz w:val="24"/>
          <w:szCs w:val="24"/>
        </w:rPr>
        <w:t xml:space="preserve"> those collected under OMB Control No.</w:t>
      </w:r>
      <w:r w:rsidR="00E92C90">
        <w:rPr>
          <w:sz w:val="24"/>
          <w:szCs w:val="24"/>
        </w:rPr>
        <w:t xml:space="preserve"> 0648-0618 and as a result</w:t>
      </w:r>
      <w:r w:rsidR="003901EE">
        <w:rPr>
          <w:sz w:val="24"/>
          <w:szCs w:val="24"/>
        </w:rPr>
        <w:t>,</w:t>
      </w:r>
      <w:r w:rsidR="00E92C90">
        <w:rPr>
          <w:sz w:val="24"/>
          <w:szCs w:val="24"/>
        </w:rPr>
        <w:t xml:space="preserve"> the processors in the West Coast Groundfish Trawl Fishery will be excluded as well to avoid duplication.</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616557">
      <w:pPr>
        <w:rPr>
          <w:sz w:val="24"/>
          <w:szCs w:val="24"/>
        </w:rPr>
      </w:pPr>
      <w:r>
        <w:rPr>
          <w:sz w:val="24"/>
          <w:szCs w:val="24"/>
        </w:rPr>
        <w:t>The vast majority</w:t>
      </w:r>
      <w:r w:rsidR="0069403A">
        <w:rPr>
          <w:sz w:val="24"/>
          <w:szCs w:val="24"/>
        </w:rPr>
        <w:t xml:space="preserve"> of the respondents are considered small businesses; separate requirements based on size of business have not been developed. Only the minimal data are requested. Furthermore, this survey will be conducted as an add-on to an existing survey. The reasoning behind this approach is to minimize burden to the respondents. Respondents already are sent NOAA Form 88-13 annually and this survey requires a few additional questions. In order to minimize the burden to respondents, the surveys are being sent jointly. </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E92C90" w:rsidRDefault="00E92C90">
      <w:pPr>
        <w:rPr>
          <w:sz w:val="24"/>
          <w:szCs w:val="24"/>
        </w:rPr>
      </w:pPr>
    </w:p>
    <w:p w:rsidR="004F26E9" w:rsidRDefault="0069403A">
      <w:pPr>
        <w:rPr>
          <w:sz w:val="24"/>
          <w:szCs w:val="24"/>
        </w:rPr>
      </w:pPr>
      <w:r>
        <w:rPr>
          <w:sz w:val="24"/>
          <w:szCs w:val="24"/>
        </w:rPr>
        <w:t>This is a one-time</w:t>
      </w:r>
      <w:r w:rsidR="00616557">
        <w:rPr>
          <w:sz w:val="24"/>
          <w:szCs w:val="24"/>
        </w:rPr>
        <w:t xml:space="preserve"> add-on</w:t>
      </w:r>
      <w:r>
        <w:rPr>
          <w:sz w:val="24"/>
          <w:szCs w:val="24"/>
        </w:rPr>
        <w:t xml:space="preserve"> survey. </w:t>
      </w:r>
      <w:r w:rsidR="00537BA7">
        <w:rPr>
          <w:sz w:val="24"/>
          <w:szCs w:val="24"/>
        </w:rPr>
        <w:t>Th</w:t>
      </w:r>
      <w:r w:rsidR="00616557">
        <w:rPr>
          <w:sz w:val="24"/>
          <w:szCs w:val="24"/>
        </w:rPr>
        <w:t>e regional economic</w:t>
      </w:r>
      <w:r w:rsidR="00537BA7">
        <w:rPr>
          <w:sz w:val="24"/>
          <w:szCs w:val="24"/>
        </w:rPr>
        <w:t xml:space="preserve"> model</w:t>
      </w:r>
      <w:r w:rsidR="00616557">
        <w:rPr>
          <w:sz w:val="24"/>
          <w:szCs w:val="24"/>
        </w:rPr>
        <w:t xml:space="preserve">s that produce estimates of impacts from regulatory decisions </w:t>
      </w:r>
      <w:r w:rsidR="00537BA7">
        <w:rPr>
          <w:sz w:val="24"/>
          <w:szCs w:val="24"/>
        </w:rPr>
        <w:t>ha</w:t>
      </w:r>
      <w:r w:rsidR="00616557">
        <w:rPr>
          <w:sz w:val="24"/>
          <w:szCs w:val="24"/>
        </w:rPr>
        <w:t>ve</w:t>
      </w:r>
      <w:r w:rsidR="00537BA7">
        <w:rPr>
          <w:sz w:val="24"/>
          <w:szCs w:val="24"/>
        </w:rPr>
        <w:t xml:space="preserve"> not been updated in more than two decades. The information collection will update the model that produces national and regional commercial fishery impacts.</w:t>
      </w:r>
      <w:r w:rsidR="00616557" w:rsidRPr="00616557">
        <w:rPr>
          <w:sz w:val="24"/>
          <w:szCs w:val="24"/>
        </w:rPr>
        <w:t xml:space="preserve"> </w:t>
      </w:r>
      <w:r w:rsidR="00616557">
        <w:rPr>
          <w:sz w:val="24"/>
          <w:szCs w:val="24"/>
        </w:rPr>
        <w:t>If the survey is not conducted, the data necessary to complete our regulatory requirements will be severely out of date.</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365927" w:rsidRDefault="00365927" w:rsidP="00365927">
      <w:pPr>
        <w:rPr>
          <w:sz w:val="24"/>
          <w:szCs w:val="24"/>
        </w:rPr>
      </w:pPr>
      <w:r>
        <w:rPr>
          <w:sz w:val="24"/>
          <w:szCs w:val="24"/>
        </w:rPr>
        <w:t>The collection will be conducted in a manner consistent with OMB Guidelines.</w:t>
      </w: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CC75A9" w:rsidRDefault="001E6F72">
      <w:pPr>
        <w:rPr>
          <w:sz w:val="24"/>
          <w:szCs w:val="24"/>
        </w:rPr>
      </w:pPr>
      <w:r w:rsidRPr="00835641">
        <w:rPr>
          <w:sz w:val="24"/>
          <w:szCs w:val="24"/>
        </w:rPr>
        <w:t xml:space="preserve">A </w:t>
      </w:r>
      <w:r w:rsidRPr="00835641">
        <w:rPr>
          <w:sz w:val="24"/>
          <w:szCs w:val="24"/>
          <w:u w:val="single"/>
        </w:rPr>
        <w:t>Federal Register</w:t>
      </w:r>
      <w:r w:rsidRPr="00835641">
        <w:rPr>
          <w:sz w:val="24"/>
          <w:szCs w:val="24"/>
        </w:rPr>
        <w:t xml:space="preserve"> Notice published on </w:t>
      </w:r>
      <w:r w:rsidR="00835641" w:rsidRPr="00835641">
        <w:rPr>
          <w:sz w:val="24"/>
          <w:szCs w:val="24"/>
        </w:rPr>
        <w:t>November</w:t>
      </w:r>
      <w:r w:rsidRPr="00835641">
        <w:rPr>
          <w:sz w:val="24"/>
          <w:szCs w:val="24"/>
        </w:rPr>
        <w:t xml:space="preserve"> </w:t>
      </w:r>
      <w:r w:rsidR="00835641" w:rsidRPr="00835641">
        <w:rPr>
          <w:sz w:val="24"/>
          <w:szCs w:val="24"/>
        </w:rPr>
        <w:t>7</w:t>
      </w:r>
      <w:r w:rsidRPr="00835641">
        <w:rPr>
          <w:sz w:val="24"/>
          <w:szCs w:val="24"/>
        </w:rPr>
        <w:t>, 20</w:t>
      </w:r>
      <w:r w:rsidR="00835641" w:rsidRPr="00835641">
        <w:rPr>
          <w:sz w:val="24"/>
          <w:szCs w:val="24"/>
        </w:rPr>
        <w:t>13</w:t>
      </w:r>
      <w:r w:rsidRPr="00835641">
        <w:rPr>
          <w:sz w:val="24"/>
          <w:szCs w:val="24"/>
        </w:rPr>
        <w:t xml:space="preserve"> (</w:t>
      </w:r>
      <w:r w:rsidR="00090409">
        <w:rPr>
          <w:sz w:val="24"/>
          <w:szCs w:val="24"/>
          <w:u w:val="single"/>
        </w:rPr>
        <w:t>78</w:t>
      </w:r>
      <w:r w:rsidRPr="00835641">
        <w:rPr>
          <w:sz w:val="24"/>
          <w:szCs w:val="24"/>
          <w:u w:val="single"/>
        </w:rPr>
        <w:t xml:space="preserve"> FR </w:t>
      </w:r>
      <w:r w:rsidR="00835641" w:rsidRPr="00835641">
        <w:rPr>
          <w:sz w:val="24"/>
          <w:szCs w:val="24"/>
          <w:u w:val="single"/>
        </w:rPr>
        <w:t>66899</w:t>
      </w:r>
      <w:r w:rsidRPr="00835641">
        <w:rPr>
          <w:sz w:val="24"/>
          <w:szCs w:val="24"/>
        </w:rPr>
        <w:t>) solicited public comm</w:t>
      </w:r>
      <w:r w:rsidR="00835641" w:rsidRPr="00835641">
        <w:rPr>
          <w:sz w:val="24"/>
          <w:szCs w:val="24"/>
        </w:rPr>
        <w:t xml:space="preserve">ent. </w:t>
      </w:r>
    </w:p>
    <w:p w:rsidR="00CC75A9" w:rsidRDefault="00CC75A9">
      <w:pPr>
        <w:rPr>
          <w:sz w:val="24"/>
          <w:szCs w:val="24"/>
        </w:rPr>
      </w:pPr>
    </w:p>
    <w:p w:rsidR="004F26E9" w:rsidRPr="00835641" w:rsidRDefault="00835641">
      <w:pPr>
        <w:rPr>
          <w:sz w:val="24"/>
          <w:szCs w:val="24"/>
          <w:shd w:val="clear" w:color="auto" w:fill="FFFFFF"/>
        </w:rPr>
      </w:pPr>
      <w:r w:rsidRPr="00835641">
        <w:rPr>
          <w:sz w:val="24"/>
          <w:szCs w:val="24"/>
        </w:rPr>
        <w:t>An e</w:t>
      </w:r>
      <w:r w:rsidR="006B6E66">
        <w:rPr>
          <w:sz w:val="24"/>
          <w:szCs w:val="24"/>
        </w:rPr>
        <w:t>-m</w:t>
      </w:r>
      <w:r w:rsidRPr="00835641">
        <w:rPr>
          <w:sz w:val="24"/>
          <w:szCs w:val="24"/>
        </w:rPr>
        <w:t xml:space="preserve">ail was received from </w:t>
      </w:r>
      <w:r w:rsidRPr="00835641">
        <w:rPr>
          <w:sz w:val="24"/>
          <w:szCs w:val="24"/>
          <w:shd w:val="clear" w:color="auto" w:fill="FFFFFF"/>
        </w:rPr>
        <w:t xml:space="preserve">Shannon Davis of The Research Group, LLC. He requested further information about the sampling frame and sampling procedure. The frame was not available at that time, but we agreed to send him the frame at a later date. Once the frame was available, we sent him an electronic copy. </w:t>
      </w:r>
    </w:p>
    <w:p w:rsidR="00537BA7" w:rsidRDefault="00537BA7">
      <w:pPr>
        <w:rPr>
          <w:sz w:val="24"/>
          <w:szCs w:val="24"/>
          <w:shd w:val="clear" w:color="auto" w:fill="FFFFFF"/>
        </w:rPr>
      </w:pPr>
    </w:p>
    <w:p w:rsidR="00CC75A9" w:rsidRDefault="00835641">
      <w:pPr>
        <w:rPr>
          <w:sz w:val="24"/>
          <w:szCs w:val="24"/>
          <w:shd w:val="clear" w:color="auto" w:fill="FFFFFF"/>
        </w:rPr>
      </w:pPr>
      <w:r w:rsidRPr="00835641">
        <w:rPr>
          <w:sz w:val="24"/>
          <w:szCs w:val="24"/>
          <w:shd w:val="clear" w:color="auto" w:fill="FFFFFF"/>
        </w:rPr>
        <w:t xml:space="preserve">Paul </w:t>
      </w:r>
      <w:proofErr w:type="spellStart"/>
      <w:r w:rsidRPr="00835641">
        <w:rPr>
          <w:sz w:val="24"/>
          <w:szCs w:val="24"/>
          <w:shd w:val="clear" w:color="auto" w:fill="FFFFFF"/>
        </w:rPr>
        <w:t>MacGregor</w:t>
      </w:r>
      <w:proofErr w:type="spellEnd"/>
      <w:r w:rsidRPr="00835641">
        <w:rPr>
          <w:sz w:val="24"/>
          <w:szCs w:val="24"/>
          <w:shd w:val="clear" w:color="auto" w:fill="FFFFFF"/>
        </w:rPr>
        <w:t>, representing the At-sea Seafood processing sector in Alaska</w:t>
      </w:r>
      <w:r w:rsidR="00CC75A9">
        <w:rPr>
          <w:sz w:val="24"/>
          <w:szCs w:val="24"/>
          <w:shd w:val="clear" w:color="auto" w:fill="FFFFFF"/>
        </w:rPr>
        <w:t>,</w:t>
      </w:r>
      <w:r w:rsidRPr="00835641">
        <w:rPr>
          <w:sz w:val="24"/>
          <w:szCs w:val="24"/>
          <w:shd w:val="clear" w:color="auto" w:fill="FFFFFF"/>
        </w:rPr>
        <w:t xml:space="preserve"> phoned and e</w:t>
      </w:r>
      <w:r w:rsidR="006B6E66">
        <w:rPr>
          <w:sz w:val="24"/>
          <w:szCs w:val="24"/>
          <w:shd w:val="clear" w:color="auto" w:fill="FFFFFF"/>
        </w:rPr>
        <w:t>-</w:t>
      </w:r>
      <w:r w:rsidRPr="00835641">
        <w:rPr>
          <w:sz w:val="24"/>
          <w:szCs w:val="24"/>
          <w:shd w:val="clear" w:color="auto" w:fill="FFFFFF"/>
        </w:rPr>
        <w:t xml:space="preserve">mailed about the survey and proposed information collection. He requested a copy of the survey, which was not available at the time; however, we sent him a copy of the survey used for </w:t>
      </w:r>
      <w:r w:rsidR="006B6E66">
        <w:rPr>
          <w:sz w:val="24"/>
          <w:szCs w:val="24"/>
          <w:shd w:val="clear" w:color="auto" w:fill="FFFFFF"/>
        </w:rPr>
        <w:t xml:space="preserve">the West Coast Groundfish Economic Data Collection Program, OMB </w:t>
      </w:r>
      <w:r w:rsidRPr="00835641">
        <w:rPr>
          <w:sz w:val="24"/>
          <w:szCs w:val="24"/>
          <w:shd w:val="clear" w:color="auto" w:fill="FFFFFF"/>
        </w:rPr>
        <w:t>0648-</w:t>
      </w:r>
      <w:r w:rsidR="006B6E66">
        <w:rPr>
          <w:sz w:val="24"/>
          <w:szCs w:val="24"/>
          <w:shd w:val="clear" w:color="auto" w:fill="FFFFFF"/>
        </w:rPr>
        <w:t xml:space="preserve">0618. The West Coast Groundfish First Receiver and Shore-based Processor survey form was the </w:t>
      </w:r>
      <w:r w:rsidRPr="00835641">
        <w:rPr>
          <w:sz w:val="24"/>
          <w:szCs w:val="24"/>
          <w:shd w:val="clear" w:color="auto" w:fill="FFFFFF"/>
        </w:rPr>
        <w:t xml:space="preserve">basis for this information collection. </w:t>
      </w:r>
      <w:r w:rsidR="006B6E66">
        <w:rPr>
          <w:sz w:val="24"/>
          <w:szCs w:val="24"/>
          <w:shd w:val="clear" w:color="auto" w:fill="FFFFFF"/>
        </w:rPr>
        <w:t xml:space="preserve">Once a </w:t>
      </w:r>
      <w:r w:rsidRPr="00835641">
        <w:rPr>
          <w:sz w:val="24"/>
          <w:szCs w:val="24"/>
          <w:shd w:val="clear" w:color="auto" w:fill="FFFFFF"/>
        </w:rPr>
        <w:t xml:space="preserve">draft survey </w:t>
      </w:r>
      <w:r w:rsidR="006B6E66">
        <w:rPr>
          <w:sz w:val="24"/>
          <w:szCs w:val="24"/>
          <w:shd w:val="clear" w:color="auto" w:fill="FFFFFF"/>
        </w:rPr>
        <w:t>for this information collection was completed, a copy was sent</w:t>
      </w:r>
      <w:r w:rsidRPr="00835641">
        <w:rPr>
          <w:sz w:val="24"/>
          <w:szCs w:val="24"/>
          <w:shd w:val="clear" w:color="auto" w:fill="FFFFFF"/>
        </w:rPr>
        <w:t xml:space="preserve"> to Mr. </w:t>
      </w:r>
      <w:proofErr w:type="spellStart"/>
      <w:r w:rsidRPr="00835641">
        <w:rPr>
          <w:sz w:val="24"/>
          <w:szCs w:val="24"/>
          <w:shd w:val="clear" w:color="auto" w:fill="FFFFFF"/>
        </w:rPr>
        <w:t>MacGregor</w:t>
      </w:r>
      <w:proofErr w:type="spellEnd"/>
      <w:r w:rsidRPr="00835641">
        <w:rPr>
          <w:sz w:val="24"/>
          <w:szCs w:val="24"/>
          <w:shd w:val="clear" w:color="auto" w:fill="FFFFFF"/>
        </w:rPr>
        <w:t xml:space="preserve"> on 12/18/2013. </w:t>
      </w:r>
    </w:p>
    <w:p w:rsidR="00CC75A9" w:rsidRDefault="00CC75A9">
      <w:pPr>
        <w:rPr>
          <w:sz w:val="24"/>
          <w:szCs w:val="24"/>
          <w:shd w:val="clear" w:color="auto" w:fill="FFFFFF"/>
        </w:rPr>
      </w:pPr>
    </w:p>
    <w:p w:rsidR="00835641" w:rsidRDefault="00835641">
      <w:pPr>
        <w:rPr>
          <w:sz w:val="24"/>
          <w:szCs w:val="24"/>
          <w:shd w:val="clear" w:color="auto" w:fill="FFFFFF"/>
        </w:rPr>
      </w:pPr>
      <w:r w:rsidRPr="00835641">
        <w:rPr>
          <w:sz w:val="24"/>
          <w:szCs w:val="24"/>
          <w:shd w:val="clear" w:color="auto" w:fill="FFFFFF"/>
        </w:rPr>
        <w:t>No further comments were received</w:t>
      </w:r>
      <w:r w:rsidR="00055FAC">
        <w:rPr>
          <w:sz w:val="24"/>
          <w:szCs w:val="24"/>
          <w:shd w:val="clear" w:color="auto" w:fill="FFFFFF"/>
        </w:rPr>
        <w:t>.</w:t>
      </w:r>
    </w:p>
    <w:p w:rsidR="00055FAC" w:rsidRDefault="00055FAC">
      <w:pPr>
        <w:rPr>
          <w:sz w:val="24"/>
          <w:szCs w:val="24"/>
          <w:shd w:val="clear" w:color="auto" w:fill="FFFFFF"/>
        </w:rPr>
      </w:pPr>
    </w:p>
    <w:p w:rsidR="00055FAC" w:rsidRPr="00835641" w:rsidRDefault="00055FAC">
      <w:pPr>
        <w:rPr>
          <w:sz w:val="24"/>
          <w:szCs w:val="24"/>
        </w:rPr>
      </w:pPr>
      <w:r w:rsidRPr="00616557">
        <w:rPr>
          <w:sz w:val="24"/>
          <w:szCs w:val="24"/>
          <w:shd w:val="clear" w:color="auto" w:fill="FFFFFF"/>
        </w:rPr>
        <w:t xml:space="preserve">We attended Seafood Expo North America in March 2014 to meet with members of the seafood processing industry to elicit their comments on the draft survey. The </w:t>
      </w:r>
      <w:r w:rsidR="00616557" w:rsidRPr="00616557">
        <w:rPr>
          <w:sz w:val="24"/>
          <w:szCs w:val="24"/>
          <w:shd w:val="clear" w:color="auto" w:fill="FFFFFF"/>
        </w:rPr>
        <w:t>constituents</w:t>
      </w:r>
      <w:r w:rsidR="00FC2EF1">
        <w:rPr>
          <w:sz w:val="24"/>
          <w:szCs w:val="24"/>
          <w:shd w:val="clear" w:color="auto" w:fill="FFFFFF"/>
        </w:rPr>
        <w:t xml:space="preserve"> (three from Alaska and one from Virginia)</w:t>
      </w:r>
      <w:r w:rsidR="00616557" w:rsidRPr="00616557">
        <w:rPr>
          <w:sz w:val="24"/>
          <w:szCs w:val="24"/>
          <w:shd w:val="clear" w:color="auto" w:fill="FFFFFF"/>
        </w:rPr>
        <w:t xml:space="preserve"> provided </w:t>
      </w:r>
      <w:r w:rsidRPr="00616557">
        <w:rPr>
          <w:sz w:val="24"/>
          <w:szCs w:val="24"/>
          <w:shd w:val="clear" w:color="auto" w:fill="FFFFFF"/>
        </w:rPr>
        <w:t>valuable input on the survey and sampling procedure</w:t>
      </w:r>
      <w:r w:rsidR="00616557" w:rsidRPr="00616557">
        <w:rPr>
          <w:sz w:val="24"/>
          <w:szCs w:val="24"/>
          <w:shd w:val="clear" w:color="auto" w:fill="FFFFFF"/>
        </w:rPr>
        <w:t>; these comments</w:t>
      </w:r>
      <w:r w:rsidRPr="00616557">
        <w:rPr>
          <w:sz w:val="24"/>
          <w:szCs w:val="24"/>
          <w:shd w:val="clear" w:color="auto" w:fill="FFFFFF"/>
        </w:rPr>
        <w:t xml:space="preserve"> were incorporated into the final draft survey.</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365927" w:rsidRDefault="00365927" w:rsidP="00365927">
      <w:pPr>
        <w:widowControl/>
        <w:rPr>
          <w:sz w:val="24"/>
          <w:szCs w:val="24"/>
        </w:rPr>
      </w:pPr>
      <w:r>
        <w:rPr>
          <w:sz w:val="24"/>
          <w:szCs w:val="24"/>
        </w:rPr>
        <w:t>No payments or gifts are made.</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AE5F3E" w:rsidRDefault="00365927" w:rsidP="00AE5F3E">
      <w:pPr>
        <w:widowControl/>
        <w:rPr>
          <w:sz w:val="24"/>
          <w:szCs w:val="24"/>
        </w:rPr>
      </w:pPr>
      <w:r>
        <w:rPr>
          <w:sz w:val="24"/>
          <w:szCs w:val="24"/>
        </w:rPr>
        <w:t>As stated on the survey, the data collected will be kept confidential as required by section 402(b) of the Magnuson-Stevens and NOAA Administrative Order 216-100, Confidentiality of Fisheries Statistics, and will not be released for public use except in aggregate statistical form without identification as to its source.</w:t>
      </w:r>
      <w:r w:rsidR="00AE5F3E">
        <w:rPr>
          <w:sz w:val="24"/>
          <w:szCs w:val="24"/>
        </w:rPr>
        <w:t xml:space="preserve"> Respondents are assured on the survey form of confidentiality and that their responses will not be tied to them individually; data will be aggregated.</w:t>
      </w:r>
    </w:p>
    <w:p w:rsidR="00AE5F3E" w:rsidRDefault="00AE5F3E" w:rsidP="00AE5F3E">
      <w:pPr>
        <w:widowControl/>
        <w:rPr>
          <w:sz w:val="24"/>
          <w:szCs w:val="24"/>
        </w:rPr>
      </w:pPr>
    </w:p>
    <w:p w:rsidR="004F26E9" w:rsidRDefault="00AE5F3E">
      <w:pPr>
        <w:rPr>
          <w:sz w:val="24"/>
          <w:szCs w:val="24"/>
        </w:rPr>
      </w:pPr>
      <w:r>
        <w:rPr>
          <w:b/>
          <w:bCs/>
          <w:sz w:val="24"/>
          <w:szCs w:val="24"/>
        </w:rPr>
        <w:t>1</w:t>
      </w:r>
      <w:r w:rsidR="004F26E9">
        <w:rPr>
          <w:b/>
          <w:bCs/>
          <w:sz w:val="24"/>
          <w:szCs w:val="24"/>
        </w:rPr>
        <w:t xml:space="preserve">1.  </w:t>
      </w:r>
      <w:r w:rsidR="004F26E9">
        <w:rPr>
          <w:b/>
          <w:bCs/>
          <w:sz w:val="24"/>
          <w:szCs w:val="24"/>
          <w:u w:val="single"/>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RDefault="004F26E9">
      <w:pPr>
        <w:rPr>
          <w:sz w:val="24"/>
          <w:szCs w:val="24"/>
        </w:rPr>
      </w:pPr>
    </w:p>
    <w:p w:rsidR="00365927" w:rsidRDefault="001341A8" w:rsidP="00365927">
      <w:pPr>
        <w:widowControl/>
        <w:rPr>
          <w:sz w:val="24"/>
          <w:szCs w:val="24"/>
        </w:rPr>
      </w:pPr>
      <w:r>
        <w:rPr>
          <w:sz w:val="24"/>
          <w:szCs w:val="24"/>
        </w:rPr>
        <w:t>Not Applicable.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3C2021" w:rsidRPr="00E617CF" w:rsidRDefault="003901EE" w:rsidP="003C2021">
      <w:pPr>
        <w:rPr>
          <w:b/>
          <w:sz w:val="24"/>
          <w:szCs w:val="24"/>
        </w:rPr>
      </w:pPr>
      <w:r>
        <w:rPr>
          <w:sz w:val="24"/>
          <w:szCs w:val="24"/>
        </w:rPr>
        <w:t>Under the current OMB 0648-0018, the</w:t>
      </w:r>
      <w:r w:rsidR="00430C25">
        <w:rPr>
          <w:sz w:val="24"/>
          <w:szCs w:val="24"/>
        </w:rPr>
        <w:t xml:space="preserve"> number of responses and </w:t>
      </w:r>
      <w:r>
        <w:rPr>
          <w:sz w:val="24"/>
          <w:szCs w:val="24"/>
        </w:rPr>
        <w:t xml:space="preserve">burden </w:t>
      </w:r>
      <w:r w:rsidR="00430C25">
        <w:rPr>
          <w:sz w:val="24"/>
          <w:szCs w:val="24"/>
        </w:rPr>
        <w:t>hours are 963 and 455 respectively</w:t>
      </w:r>
      <w:r w:rsidR="00D801C2">
        <w:rPr>
          <w:sz w:val="24"/>
          <w:szCs w:val="24"/>
        </w:rPr>
        <w:t>.</w:t>
      </w:r>
      <w:r w:rsidR="00430C25">
        <w:rPr>
          <w:sz w:val="24"/>
          <w:szCs w:val="24"/>
        </w:rPr>
        <w:t xml:space="preserve"> </w:t>
      </w:r>
      <w:r w:rsidR="003C2021" w:rsidRPr="008B498C">
        <w:rPr>
          <w:sz w:val="24"/>
          <w:szCs w:val="24"/>
        </w:rPr>
        <w:t xml:space="preserve">The proposed collection will require approximately </w:t>
      </w:r>
      <w:r w:rsidR="00E617CF">
        <w:rPr>
          <w:sz w:val="24"/>
          <w:szCs w:val="24"/>
        </w:rPr>
        <w:t xml:space="preserve">587 </w:t>
      </w:r>
      <w:r w:rsidR="003C2021" w:rsidRPr="008B498C">
        <w:rPr>
          <w:sz w:val="24"/>
          <w:szCs w:val="24"/>
        </w:rPr>
        <w:t>burden hours (</w:t>
      </w:r>
      <w:r w:rsidR="00F02366">
        <w:rPr>
          <w:sz w:val="24"/>
          <w:szCs w:val="24"/>
        </w:rPr>
        <w:t>1</w:t>
      </w:r>
      <w:r w:rsidR="003C2021" w:rsidRPr="008B498C">
        <w:rPr>
          <w:sz w:val="24"/>
          <w:szCs w:val="24"/>
        </w:rPr>
        <w:t>,</w:t>
      </w:r>
      <w:r w:rsidR="00E617CF">
        <w:rPr>
          <w:sz w:val="24"/>
          <w:szCs w:val="24"/>
        </w:rPr>
        <w:t xml:space="preserve">174 </w:t>
      </w:r>
      <w:r w:rsidR="003C2021" w:rsidRPr="008B498C">
        <w:rPr>
          <w:sz w:val="24"/>
          <w:szCs w:val="24"/>
        </w:rPr>
        <w:t>estimated respondents</w:t>
      </w:r>
      <w:r w:rsidR="003C2021">
        <w:rPr>
          <w:sz w:val="24"/>
          <w:szCs w:val="24"/>
        </w:rPr>
        <w:t>, and responses,</w:t>
      </w:r>
      <w:r w:rsidR="003C2021" w:rsidRPr="008B498C">
        <w:rPr>
          <w:sz w:val="24"/>
          <w:szCs w:val="24"/>
        </w:rPr>
        <w:t xml:space="preserve"> </w:t>
      </w:r>
      <w:r w:rsidR="003C2021">
        <w:rPr>
          <w:sz w:val="24"/>
          <w:szCs w:val="24"/>
        </w:rPr>
        <w:t>at</w:t>
      </w:r>
      <w:r w:rsidR="003C2021" w:rsidRPr="008B498C">
        <w:rPr>
          <w:sz w:val="24"/>
          <w:szCs w:val="24"/>
        </w:rPr>
        <w:t xml:space="preserve"> </w:t>
      </w:r>
      <w:r w:rsidR="003C2021">
        <w:rPr>
          <w:sz w:val="24"/>
          <w:szCs w:val="24"/>
        </w:rPr>
        <w:t>30</w:t>
      </w:r>
      <w:r w:rsidR="003C2021" w:rsidRPr="008B498C">
        <w:rPr>
          <w:sz w:val="24"/>
          <w:szCs w:val="24"/>
        </w:rPr>
        <w:t xml:space="preserve"> minutes per response). </w:t>
      </w:r>
      <w:r w:rsidR="00F02366">
        <w:rPr>
          <w:sz w:val="24"/>
          <w:szCs w:val="24"/>
        </w:rPr>
        <w:t>New total responses and hours</w:t>
      </w:r>
      <w:r w:rsidR="00E617CF">
        <w:rPr>
          <w:sz w:val="24"/>
          <w:szCs w:val="24"/>
        </w:rPr>
        <w:t xml:space="preserve"> for the first year (in which the add-on survey is conducted)</w:t>
      </w:r>
      <w:r w:rsidR="00F02366">
        <w:rPr>
          <w:sz w:val="24"/>
          <w:szCs w:val="24"/>
        </w:rPr>
        <w:t xml:space="preserve"> are 2,</w:t>
      </w:r>
      <w:r w:rsidR="00F06D1E">
        <w:rPr>
          <w:sz w:val="24"/>
          <w:szCs w:val="24"/>
        </w:rPr>
        <w:t>137</w:t>
      </w:r>
      <w:r w:rsidR="00F02366">
        <w:rPr>
          <w:sz w:val="24"/>
          <w:szCs w:val="24"/>
        </w:rPr>
        <w:t xml:space="preserve"> responses and 1,</w:t>
      </w:r>
      <w:r w:rsidR="00F06D1E">
        <w:rPr>
          <w:sz w:val="24"/>
          <w:szCs w:val="24"/>
        </w:rPr>
        <w:t>042</w:t>
      </w:r>
      <w:r w:rsidR="00F02366">
        <w:rPr>
          <w:sz w:val="24"/>
          <w:szCs w:val="24"/>
        </w:rPr>
        <w:t xml:space="preserve"> hours (see Table 1).</w:t>
      </w:r>
      <w:r w:rsidR="003C2021" w:rsidRPr="008B498C">
        <w:rPr>
          <w:sz w:val="24"/>
          <w:szCs w:val="24"/>
        </w:rPr>
        <w:t xml:space="preserve"> </w:t>
      </w:r>
      <w:r w:rsidR="00E617CF" w:rsidRPr="00E617CF">
        <w:rPr>
          <w:b/>
          <w:sz w:val="24"/>
          <w:szCs w:val="24"/>
        </w:rPr>
        <w:t>Annualizing the add-on survey responses and hours to 391 and 196, brings the new annualized responses and burden to 1,354 and 651.</w:t>
      </w:r>
    </w:p>
    <w:p w:rsidR="00E617CF" w:rsidRDefault="00E617CF" w:rsidP="003C2021">
      <w:pPr>
        <w:rPr>
          <w:sz w:val="24"/>
          <w:szCs w:val="24"/>
        </w:rPr>
      </w:pPr>
    </w:p>
    <w:p w:rsidR="00F02366" w:rsidRPr="00F06D1E" w:rsidRDefault="00F02366" w:rsidP="00202850">
      <w:pPr>
        <w:widowControl/>
        <w:autoSpaceDE/>
        <w:autoSpaceDN/>
        <w:adjustRightInd/>
        <w:rPr>
          <w:b/>
          <w:sz w:val="24"/>
          <w:szCs w:val="24"/>
        </w:rPr>
      </w:pPr>
      <w:proofErr w:type="gramStart"/>
      <w:r w:rsidRPr="00F06D1E">
        <w:rPr>
          <w:b/>
          <w:sz w:val="24"/>
          <w:szCs w:val="24"/>
        </w:rPr>
        <w:t>Table 1.</w:t>
      </w:r>
      <w:proofErr w:type="gramEnd"/>
      <w:r w:rsidRPr="00F06D1E">
        <w:rPr>
          <w:b/>
          <w:sz w:val="24"/>
          <w:szCs w:val="24"/>
        </w:rPr>
        <w:t xml:space="preserve"> </w:t>
      </w:r>
      <w:proofErr w:type="gramStart"/>
      <w:r w:rsidRPr="00F06D1E">
        <w:rPr>
          <w:b/>
          <w:sz w:val="24"/>
          <w:szCs w:val="24"/>
        </w:rPr>
        <w:t>Calculation of reporting burden hours</w:t>
      </w:r>
      <w:r>
        <w:rPr>
          <w:b/>
          <w:sz w:val="24"/>
          <w:szCs w:val="24"/>
        </w:rPr>
        <w:t>.</w:t>
      </w:r>
      <w:proofErr w:type="gramEnd"/>
    </w:p>
    <w:tbl>
      <w:tblPr>
        <w:tblW w:w="9170" w:type="dxa"/>
        <w:tblInd w:w="93" w:type="dxa"/>
        <w:tblLook w:val="04A0" w:firstRow="1" w:lastRow="0" w:firstColumn="1" w:lastColumn="0" w:noHBand="0" w:noVBand="1"/>
      </w:tblPr>
      <w:tblGrid>
        <w:gridCol w:w="1760"/>
        <w:gridCol w:w="1880"/>
        <w:gridCol w:w="1643"/>
        <w:gridCol w:w="1750"/>
        <w:gridCol w:w="1177"/>
        <w:gridCol w:w="960"/>
      </w:tblGrid>
      <w:tr w:rsidR="00F02366" w:rsidRPr="00F02366" w:rsidTr="00F06D1E">
        <w:trPr>
          <w:trHeight w:val="300"/>
        </w:trPr>
        <w:tc>
          <w:tcPr>
            <w:tcW w:w="1760" w:type="dxa"/>
            <w:tcBorders>
              <w:top w:val="nil"/>
              <w:left w:val="nil"/>
              <w:bottom w:val="single" w:sz="4" w:space="0" w:color="auto"/>
              <w:right w:val="nil"/>
            </w:tcBorders>
            <w:shd w:val="clear" w:color="auto" w:fill="95B3D7" w:themeFill="accent1" w:themeFillTint="99"/>
            <w:noWrap/>
            <w:hideMark/>
          </w:tcPr>
          <w:p w:rsidR="00F02366" w:rsidRPr="00F06D1E" w:rsidRDefault="00F02366" w:rsidP="00F06D1E">
            <w:pPr>
              <w:widowControl/>
              <w:autoSpaceDE/>
              <w:autoSpaceDN/>
              <w:adjustRightInd/>
              <w:jc w:val="right"/>
              <w:rPr>
                <w:b/>
                <w:color w:val="000000"/>
                <w:sz w:val="24"/>
                <w:szCs w:val="22"/>
              </w:rPr>
            </w:pPr>
            <w:r w:rsidRPr="00F06D1E">
              <w:rPr>
                <w:b/>
                <w:color w:val="000000"/>
                <w:sz w:val="24"/>
                <w:szCs w:val="22"/>
              </w:rPr>
              <w:t>Form</w:t>
            </w:r>
          </w:p>
        </w:tc>
        <w:tc>
          <w:tcPr>
            <w:tcW w:w="1880" w:type="dxa"/>
            <w:tcBorders>
              <w:top w:val="nil"/>
              <w:left w:val="nil"/>
              <w:bottom w:val="single" w:sz="4" w:space="0" w:color="auto"/>
              <w:right w:val="nil"/>
            </w:tcBorders>
            <w:shd w:val="clear" w:color="auto" w:fill="95B3D7" w:themeFill="accent1" w:themeFillTint="99"/>
            <w:noWrap/>
            <w:hideMark/>
          </w:tcPr>
          <w:p w:rsidR="00F02366" w:rsidRPr="00F06D1E" w:rsidRDefault="00F02366" w:rsidP="00F06D1E">
            <w:pPr>
              <w:widowControl/>
              <w:autoSpaceDE/>
              <w:autoSpaceDN/>
              <w:adjustRightInd/>
              <w:jc w:val="right"/>
              <w:rPr>
                <w:b/>
                <w:color w:val="000000"/>
                <w:sz w:val="24"/>
                <w:szCs w:val="22"/>
              </w:rPr>
            </w:pPr>
            <w:r w:rsidRPr="00F06D1E">
              <w:rPr>
                <w:b/>
                <w:color w:val="000000"/>
                <w:sz w:val="24"/>
                <w:szCs w:val="22"/>
              </w:rPr>
              <w:t>No. entities</w:t>
            </w:r>
          </w:p>
        </w:tc>
        <w:tc>
          <w:tcPr>
            <w:tcW w:w="1643" w:type="dxa"/>
            <w:tcBorders>
              <w:top w:val="nil"/>
              <w:left w:val="nil"/>
              <w:bottom w:val="single" w:sz="4" w:space="0" w:color="auto"/>
              <w:right w:val="nil"/>
            </w:tcBorders>
            <w:shd w:val="clear" w:color="auto" w:fill="95B3D7" w:themeFill="accent1" w:themeFillTint="99"/>
            <w:noWrap/>
            <w:hideMark/>
          </w:tcPr>
          <w:p w:rsidR="00F02366" w:rsidRPr="00F06D1E" w:rsidRDefault="00F02366" w:rsidP="00F06D1E">
            <w:pPr>
              <w:widowControl/>
              <w:autoSpaceDE/>
              <w:autoSpaceDN/>
              <w:adjustRightInd/>
              <w:jc w:val="right"/>
              <w:rPr>
                <w:b/>
                <w:color w:val="000000"/>
                <w:sz w:val="24"/>
                <w:szCs w:val="22"/>
              </w:rPr>
            </w:pPr>
            <w:r w:rsidRPr="00F06D1E">
              <w:rPr>
                <w:b/>
                <w:color w:val="000000"/>
                <w:sz w:val="24"/>
                <w:szCs w:val="22"/>
              </w:rPr>
              <w:t>Items/Entities</w:t>
            </w:r>
          </w:p>
        </w:tc>
        <w:tc>
          <w:tcPr>
            <w:tcW w:w="1750" w:type="dxa"/>
            <w:tcBorders>
              <w:top w:val="nil"/>
              <w:left w:val="nil"/>
              <w:bottom w:val="single" w:sz="4" w:space="0" w:color="auto"/>
              <w:right w:val="nil"/>
            </w:tcBorders>
            <w:shd w:val="clear" w:color="auto" w:fill="95B3D7" w:themeFill="accent1" w:themeFillTint="99"/>
            <w:noWrap/>
            <w:hideMark/>
          </w:tcPr>
          <w:p w:rsidR="00F02366" w:rsidRPr="00F06D1E" w:rsidRDefault="00F02366" w:rsidP="00F06D1E">
            <w:pPr>
              <w:widowControl/>
              <w:autoSpaceDE/>
              <w:autoSpaceDN/>
              <w:adjustRightInd/>
              <w:jc w:val="right"/>
              <w:rPr>
                <w:b/>
                <w:color w:val="000000"/>
                <w:sz w:val="24"/>
                <w:szCs w:val="22"/>
              </w:rPr>
            </w:pPr>
            <w:r w:rsidRPr="00F06D1E">
              <w:rPr>
                <w:b/>
                <w:color w:val="000000"/>
                <w:sz w:val="24"/>
                <w:szCs w:val="22"/>
              </w:rPr>
              <w:t>Tot no. of responses</w:t>
            </w:r>
          </w:p>
        </w:tc>
        <w:tc>
          <w:tcPr>
            <w:tcW w:w="1177" w:type="dxa"/>
            <w:tcBorders>
              <w:top w:val="nil"/>
              <w:left w:val="nil"/>
              <w:bottom w:val="single" w:sz="4" w:space="0" w:color="auto"/>
              <w:right w:val="nil"/>
            </w:tcBorders>
            <w:shd w:val="clear" w:color="auto" w:fill="95B3D7" w:themeFill="accent1" w:themeFillTint="99"/>
            <w:noWrap/>
            <w:hideMark/>
          </w:tcPr>
          <w:p w:rsidR="00F02366" w:rsidRPr="00F06D1E" w:rsidRDefault="00F02366" w:rsidP="00F06D1E">
            <w:pPr>
              <w:widowControl/>
              <w:autoSpaceDE/>
              <w:autoSpaceDN/>
              <w:adjustRightInd/>
              <w:jc w:val="right"/>
              <w:rPr>
                <w:b/>
                <w:color w:val="000000"/>
                <w:sz w:val="24"/>
                <w:szCs w:val="22"/>
              </w:rPr>
            </w:pPr>
            <w:r w:rsidRPr="00F06D1E">
              <w:rPr>
                <w:b/>
                <w:color w:val="000000"/>
                <w:sz w:val="24"/>
                <w:szCs w:val="22"/>
              </w:rPr>
              <w:t>Response time</w:t>
            </w:r>
          </w:p>
        </w:tc>
        <w:tc>
          <w:tcPr>
            <w:tcW w:w="960" w:type="dxa"/>
            <w:tcBorders>
              <w:top w:val="nil"/>
              <w:left w:val="nil"/>
              <w:bottom w:val="single" w:sz="4" w:space="0" w:color="auto"/>
              <w:right w:val="nil"/>
            </w:tcBorders>
            <w:shd w:val="clear" w:color="auto" w:fill="95B3D7" w:themeFill="accent1" w:themeFillTint="99"/>
            <w:noWrap/>
            <w:hideMark/>
          </w:tcPr>
          <w:p w:rsidR="00F02366" w:rsidRPr="00F06D1E" w:rsidRDefault="00F02366" w:rsidP="00F06D1E">
            <w:pPr>
              <w:widowControl/>
              <w:autoSpaceDE/>
              <w:autoSpaceDN/>
              <w:adjustRightInd/>
              <w:jc w:val="right"/>
              <w:rPr>
                <w:b/>
                <w:color w:val="000000"/>
                <w:sz w:val="24"/>
                <w:szCs w:val="22"/>
              </w:rPr>
            </w:pPr>
            <w:r w:rsidRPr="00F06D1E">
              <w:rPr>
                <w:b/>
                <w:color w:val="000000"/>
                <w:sz w:val="24"/>
                <w:szCs w:val="22"/>
              </w:rPr>
              <w:t>Tot. hours</w:t>
            </w:r>
          </w:p>
        </w:tc>
      </w:tr>
      <w:tr w:rsidR="00F02366" w:rsidRPr="00F02366" w:rsidTr="00F06D1E">
        <w:trPr>
          <w:trHeight w:val="300"/>
        </w:trPr>
        <w:tc>
          <w:tcPr>
            <w:tcW w:w="1760" w:type="dxa"/>
            <w:tcBorders>
              <w:top w:val="single" w:sz="4" w:space="0" w:color="auto"/>
              <w:left w:val="nil"/>
              <w:bottom w:val="nil"/>
              <w:right w:val="nil"/>
            </w:tcBorders>
            <w:shd w:val="clear" w:color="auto" w:fill="auto"/>
            <w:noWrap/>
            <w:hideMark/>
          </w:tcPr>
          <w:p w:rsidR="00F02366" w:rsidRPr="00F02366" w:rsidRDefault="00F02366" w:rsidP="00F06D1E">
            <w:pPr>
              <w:widowControl/>
              <w:autoSpaceDE/>
              <w:autoSpaceDN/>
              <w:adjustRightInd/>
              <w:jc w:val="right"/>
              <w:rPr>
                <w:color w:val="000000"/>
                <w:sz w:val="24"/>
                <w:szCs w:val="22"/>
              </w:rPr>
            </w:pPr>
            <w:r w:rsidRPr="00F02366">
              <w:rPr>
                <w:color w:val="000000"/>
                <w:sz w:val="24"/>
                <w:szCs w:val="22"/>
              </w:rPr>
              <w:t>NOAA Form 88-13</w:t>
            </w:r>
          </w:p>
        </w:tc>
        <w:tc>
          <w:tcPr>
            <w:tcW w:w="1880" w:type="dxa"/>
            <w:tcBorders>
              <w:top w:val="single" w:sz="4" w:space="0" w:color="auto"/>
              <w:left w:val="nil"/>
              <w:bottom w:val="nil"/>
              <w:right w:val="nil"/>
            </w:tcBorders>
            <w:shd w:val="clear" w:color="auto" w:fill="auto"/>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855</w:t>
            </w:r>
          </w:p>
        </w:tc>
        <w:tc>
          <w:tcPr>
            <w:tcW w:w="1643" w:type="dxa"/>
            <w:tcBorders>
              <w:top w:val="single" w:sz="4" w:space="0" w:color="auto"/>
              <w:left w:val="nil"/>
              <w:bottom w:val="nil"/>
              <w:right w:val="nil"/>
            </w:tcBorders>
            <w:shd w:val="clear" w:color="auto" w:fill="auto"/>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1</w:t>
            </w:r>
          </w:p>
        </w:tc>
        <w:tc>
          <w:tcPr>
            <w:tcW w:w="1750" w:type="dxa"/>
            <w:tcBorders>
              <w:top w:val="single" w:sz="4" w:space="0" w:color="auto"/>
              <w:left w:val="nil"/>
              <w:bottom w:val="nil"/>
              <w:right w:val="nil"/>
            </w:tcBorders>
            <w:shd w:val="clear" w:color="auto" w:fill="auto"/>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855</w:t>
            </w:r>
          </w:p>
        </w:tc>
        <w:tc>
          <w:tcPr>
            <w:tcW w:w="1177" w:type="dxa"/>
            <w:tcBorders>
              <w:top w:val="single" w:sz="4" w:space="0" w:color="auto"/>
              <w:left w:val="nil"/>
              <w:bottom w:val="nil"/>
              <w:right w:val="nil"/>
            </w:tcBorders>
            <w:shd w:val="clear" w:color="auto" w:fill="auto"/>
            <w:noWrap/>
            <w:hideMark/>
          </w:tcPr>
          <w:p w:rsidR="00F02366" w:rsidRPr="00F02366" w:rsidRDefault="000F146E" w:rsidP="00F02366">
            <w:pPr>
              <w:widowControl/>
              <w:autoSpaceDE/>
              <w:autoSpaceDN/>
              <w:adjustRightInd/>
              <w:jc w:val="right"/>
              <w:rPr>
                <w:color w:val="000000"/>
                <w:sz w:val="24"/>
                <w:szCs w:val="22"/>
              </w:rPr>
            </w:pPr>
            <w:r>
              <w:rPr>
                <w:color w:val="000000"/>
                <w:sz w:val="24"/>
                <w:szCs w:val="22"/>
              </w:rPr>
              <w:t>30 minutes</w:t>
            </w:r>
          </w:p>
        </w:tc>
        <w:tc>
          <w:tcPr>
            <w:tcW w:w="960" w:type="dxa"/>
            <w:tcBorders>
              <w:top w:val="single" w:sz="4" w:space="0" w:color="auto"/>
              <w:left w:val="nil"/>
              <w:bottom w:val="nil"/>
              <w:right w:val="nil"/>
            </w:tcBorders>
            <w:shd w:val="clear" w:color="auto" w:fill="auto"/>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427.5</w:t>
            </w:r>
            <w:r w:rsidR="00F06D1E">
              <w:rPr>
                <w:color w:val="000000"/>
                <w:sz w:val="24"/>
                <w:szCs w:val="22"/>
              </w:rPr>
              <w:t xml:space="preserve"> (428)</w:t>
            </w:r>
          </w:p>
        </w:tc>
      </w:tr>
      <w:tr w:rsidR="00F02366" w:rsidRPr="00F02366" w:rsidTr="00F06D1E">
        <w:trPr>
          <w:trHeight w:val="300"/>
        </w:trPr>
        <w:tc>
          <w:tcPr>
            <w:tcW w:w="1760" w:type="dxa"/>
            <w:tcBorders>
              <w:top w:val="nil"/>
              <w:left w:val="nil"/>
              <w:right w:val="nil"/>
            </w:tcBorders>
            <w:shd w:val="clear" w:color="auto" w:fill="DBE5F1" w:themeFill="accent1" w:themeFillTint="33"/>
            <w:noWrap/>
            <w:hideMark/>
          </w:tcPr>
          <w:p w:rsidR="00F02366" w:rsidRPr="00F02366" w:rsidRDefault="00F02366" w:rsidP="00F06D1E">
            <w:pPr>
              <w:widowControl/>
              <w:autoSpaceDE/>
              <w:autoSpaceDN/>
              <w:adjustRightInd/>
              <w:jc w:val="right"/>
              <w:rPr>
                <w:color w:val="000000"/>
                <w:sz w:val="24"/>
                <w:szCs w:val="22"/>
              </w:rPr>
            </w:pPr>
            <w:r w:rsidRPr="00F02366">
              <w:rPr>
                <w:color w:val="000000"/>
                <w:sz w:val="24"/>
                <w:szCs w:val="22"/>
              </w:rPr>
              <w:t>NOAA Form 88-13c</w:t>
            </w:r>
          </w:p>
        </w:tc>
        <w:tc>
          <w:tcPr>
            <w:tcW w:w="1880" w:type="dxa"/>
            <w:tcBorders>
              <w:top w:val="nil"/>
              <w:left w:val="nil"/>
              <w:right w:val="nil"/>
            </w:tcBorders>
            <w:shd w:val="clear" w:color="auto" w:fill="DBE5F1" w:themeFill="accent1" w:themeFillTint="33"/>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9</w:t>
            </w:r>
          </w:p>
        </w:tc>
        <w:tc>
          <w:tcPr>
            <w:tcW w:w="1643" w:type="dxa"/>
            <w:tcBorders>
              <w:top w:val="nil"/>
              <w:left w:val="nil"/>
              <w:right w:val="nil"/>
            </w:tcBorders>
            <w:shd w:val="clear" w:color="auto" w:fill="DBE5F1" w:themeFill="accent1" w:themeFillTint="33"/>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12</w:t>
            </w:r>
          </w:p>
        </w:tc>
        <w:tc>
          <w:tcPr>
            <w:tcW w:w="1750" w:type="dxa"/>
            <w:tcBorders>
              <w:top w:val="nil"/>
              <w:left w:val="nil"/>
              <w:right w:val="nil"/>
            </w:tcBorders>
            <w:shd w:val="clear" w:color="auto" w:fill="DBE5F1" w:themeFill="accent1" w:themeFillTint="33"/>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108</w:t>
            </w:r>
          </w:p>
        </w:tc>
        <w:tc>
          <w:tcPr>
            <w:tcW w:w="1177" w:type="dxa"/>
            <w:tcBorders>
              <w:top w:val="nil"/>
              <w:left w:val="nil"/>
              <w:right w:val="nil"/>
            </w:tcBorders>
            <w:shd w:val="clear" w:color="auto" w:fill="DBE5F1" w:themeFill="accent1" w:themeFillTint="33"/>
            <w:noWrap/>
            <w:hideMark/>
          </w:tcPr>
          <w:p w:rsidR="00F02366" w:rsidRPr="00F02366" w:rsidRDefault="000F146E" w:rsidP="00F02366">
            <w:pPr>
              <w:widowControl/>
              <w:autoSpaceDE/>
              <w:autoSpaceDN/>
              <w:adjustRightInd/>
              <w:jc w:val="right"/>
              <w:rPr>
                <w:color w:val="000000"/>
                <w:sz w:val="24"/>
                <w:szCs w:val="22"/>
              </w:rPr>
            </w:pPr>
            <w:r>
              <w:rPr>
                <w:color w:val="000000"/>
                <w:sz w:val="24"/>
                <w:szCs w:val="22"/>
              </w:rPr>
              <w:t>15 minutes</w:t>
            </w:r>
          </w:p>
        </w:tc>
        <w:tc>
          <w:tcPr>
            <w:tcW w:w="960" w:type="dxa"/>
            <w:tcBorders>
              <w:top w:val="nil"/>
              <w:left w:val="nil"/>
              <w:right w:val="nil"/>
            </w:tcBorders>
            <w:shd w:val="clear" w:color="auto" w:fill="DBE5F1" w:themeFill="accent1" w:themeFillTint="33"/>
            <w:noWrap/>
            <w:hideMark/>
          </w:tcPr>
          <w:p w:rsidR="00F02366" w:rsidRPr="00F02366" w:rsidRDefault="00F02366" w:rsidP="00F02366">
            <w:pPr>
              <w:widowControl/>
              <w:autoSpaceDE/>
              <w:autoSpaceDN/>
              <w:adjustRightInd/>
              <w:jc w:val="right"/>
              <w:rPr>
                <w:color w:val="000000"/>
                <w:sz w:val="24"/>
                <w:szCs w:val="22"/>
              </w:rPr>
            </w:pPr>
            <w:r w:rsidRPr="00F02366">
              <w:rPr>
                <w:color w:val="000000"/>
                <w:sz w:val="24"/>
                <w:szCs w:val="22"/>
              </w:rPr>
              <w:t>27</w:t>
            </w:r>
          </w:p>
        </w:tc>
      </w:tr>
      <w:tr w:rsidR="00F06D1E" w:rsidRPr="00F02366" w:rsidTr="00F06D1E">
        <w:trPr>
          <w:trHeight w:val="300"/>
        </w:trPr>
        <w:tc>
          <w:tcPr>
            <w:tcW w:w="1760" w:type="dxa"/>
            <w:tcBorders>
              <w:top w:val="nil"/>
              <w:left w:val="nil"/>
              <w:bottom w:val="single" w:sz="4" w:space="0" w:color="auto"/>
              <w:right w:val="nil"/>
            </w:tcBorders>
            <w:shd w:val="clear" w:color="auto" w:fill="auto"/>
            <w:noWrap/>
            <w:hideMark/>
          </w:tcPr>
          <w:p w:rsidR="00F06D1E" w:rsidRPr="00F02366" w:rsidRDefault="00F06D1E" w:rsidP="00F06D1E">
            <w:pPr>
              <w:widowControl/>
              <w:autoSpaceDE/>
              <w:autoSpaceDN/>
              <w:adjustRightInd/>
              <w:jc w:val="right"/>
              <w:rPr>
                <w:color w:val="000000"/>
                <w:sz w:val="24"/>
                <w:szCs w:val="22"/>
              </w:rPr>
            </w:pPr>
            <w:r>
              <w:rPr>
                <w:color w:val="000000"/>
                <w:sz w:val="24"/>
                <w:szCs w:val="22"/>
              </w:rPr>
              <w:t>Add-on</w:t>
            </w:r>
          </w:p>
        </w:tc>
        <w:tc>
          <w:tcPr>
            <w:tcW w:w="1880" w:type="dxa"/>
            <w:tcBorders>
              <w:top w:val="nil"/>
              <w:left w:val="nil"/>
              <w:bottom w:val="single" w:sz="4" w:space="0" w:color="auto"/>
              <w:right w:val="nil"/>
            </w:tcBorders>
            <w:shd w:val="clear" w:color="auto" w:fill="auto"/>
            <w:noWrap/>
            <w:hideMark/>
          </w:tcPr>
          <w:p w:rsidR="00F06D1E" w:rsidRPr="00F02366" w:rsidRDefault="00F06D1E" w:rsidP="00F02366">
            <w:pPr>
              <w:widowControl/>
              <w:autoSpaceDE/>
              <w:autoSpaceDN/>
              <w:adjustRightInd/>
              <w:jc w:val="right"/>
              <w:rPr>
                <w:color w:val="000000"/>
                <w:sz w:val="24"/>
                <w:szCs w:val="22"/>
              </w:rPr>
            </w:pPr>
            <w:r>
              <w:rPr>
                <w:color w:val="000000"/>
                <w:sz w:val="24"/>
                <w:szCs w:val="22"/>
              </w:rPr>
              <w:t>1,174</w:t>
            </w:r>
          </w:p>
        </w:tc>
        <w:tc>
          <w:tcPr>
            <w:tcW w:w="1643" w:type="dxa"/>
            <w:tcBorders>
              <w:top w:val="nil"/>
              <w:left w:val="nil"/>
              <w:bottom w:val="single" w:sz="4" w:space="0" w:color="auto"/>
              <w:right w:val="nil"/>
            </w:tcBorders>
            <w:shd w:val="clear" w:color="auto" w:fill="auto"/>
            <w:noWrap/>
            <w:hideMark/>
          </w:tcPr>
          <w:p w:rsidR="00F06D1E" w:rsidRPr="00F02366" w:rsidRDefault="00F06D1E" w:rsidP="00F02366">
            <w:pPr>
              <w:widowControl/>
              <w:autoSpaceDE/>
              <w:autoSpaceDN/>
              <w:adjustRightInd/>
              <w:jc w:val="right"/>
              <w:rPr>
                <w:color w:val="000000"/>
                <w:sz w:val="24"/>
                <w:szCs w:val="22"/>
              </w:rPr>
            </w:pPr>
            <w:r>
              <w:rPr>
                <w:color w:val="000000"/>
                <w:sz w:val="24"/>
                <w:szCs w:val="22"/>
              </w:rPr>
              <w:t>1</w:t>
            </w:r>
          </w:p>
        </w:tc>
        <w:tc>
          <w:tcPr>
            <w:tcW w:w="1750" w:type="dxa"/>
            <w:tcBorders>
              <w:top w:val="nil"/>
              <w:left w:val="nil"/>
              <w:bottom w:val="single" w:sz="4" w:space="0" w:color="auto"/>
              <w:right w:val="nil"/>
            </w:tcBorders>
            <w:shd w:val="clear" w:color="auto" w:fill="auto"/>
            <w:noWrap/>
            <w:hideMark/>
          </w:tcPr>
          <w:p w:rsidR="00F06D1E" w:rsidRPr="00F02366" w:rsidRDefault="00F06D1E" w:rsidP="00F02366">
            <w:pPr>
              <w:widowControl/>
              <w:autoSpaceDE/>
              <w:autoSpaceDN/>
              <w:adjustRightInd/>
              <w:jc w:val="right"/>
              <w:rPr>
                <w:color w:val="000000"/>
                <w:sz w:val="24"/>
                <w:szCs w:val="22"/>
              </w:rPr>
            </w:pPr>
            <w:r>
              <w:rPr>
                <w:color w:val="000000"/>
                <w:sz w:val="24"/>
                <w:szCs w:val="22"/>
              </w:rPr>
              <w:t>1,174</w:t>
            </w:r>
          </w:p>
        </w:tc>
        <w:tc>
          <w:tcPr>
            <w:tcW w:w="1177" w:type="dxa"/>
            <w:tcBorders>
              <w:top w:val="nil"/>
              <w:left w:val="nil"/>
              <w:bottom w:val="single" w:sz="4" w:space="0" w:color="auto"/>
              <w:right w:val="nil"/>
            </w:tcBorders>
            <w:shd w:val="clear" w:color="auto" w:fill="auto"/>
            <w:noWrap/>
            <w:hideMark/>
          </w:tcPr>
          <w:p w:rsidR="00F06D1E" w:rsidRPr="00F02366" w:rsidRDefault="000F146E" w:rsidP="00F02366">
            <w:pPr>
              <w:widowControl/>
              <w:autoSpaceDE/>
              <w:autoSpaceDN/>
              <w:adjustRightInd/>
              <w:jc w:val="right"/>
              <w:rPr>
                <w:color w:val="000000"/>
                <w:sz w:val="24"/>
                <w:szCs w:val="22"/>
              </w:rPr>
            </w:pPr>
            <w:r>
              <w:rPr>
                <w:color w:val="000000"/>
                <w:sz w:val="24"/>
                <w:szCs w:val="22"/>
              </w:rPr>
              <w:t>30 minutes</w:t>
            </w:r>
          </w:p>
        </w:tc>
        <w:tc>
          <w:tcPr>
            <w:tcW w:w="960" w:type="dxa"/>
            <w:tcBorders>
              <w:top w:val="nil"/>
              <w:left w:val="nil"/>
              <w:bottom w:val="single" w:sz="4" w:space="0" w:color="auto"/>
              <w:right w:val="nil"/>
            </w:tcBorders>
            <w:shd w:val="clear" w:color="auto" w:fill="auto"/>
            <w:noWrap/>
            <w:hideMark/>
          </w:tcPr>
          <w:p w:rsidR="00F06D1E" w:rsidRPr="00F02366" w:rsidRDefault="00F06D1E" w:rsidP="00F02366">
            <w:pPr>
              <w:widowControl/>
              <w:autoSpaceDE/>
              <w:autoSpaceDN/>
              <w:adjustRightInd/>
              <w:jc w:val="right"/>
              <w:rPr>
                <w:color w:val="000000"/>
                <w:sz w:val="24"/>
                <w:szCs w:val="22"/>
              </w:rPr>
            </w:pPr>
            <w:r>
              <w:rPr>
                <w:color w:val="000000"/>
                <w:sz w:val="24"/>
                <w:szCs w:val="22"/>
              </w:rPr>
              <w:t>587</w:t>
            </w:r>
          </w:p>
        </w:tc>
      </w:tr>
      <w:tr w:rsidR="00F06D1E" w:rsidRPr="00F02366" w:rsidTr="00F06D1E">
        <w:trPr>
          <w:trHeight w:val="300"/>
        </w:trPr>
        <w:tc>
          <w:tcPr>
            <w:tcW w:w="1760" w:type="dxa"/>
            <w:tcBorders>
              <w:top w:val="single" w:sz="4" w:space="0" w:color="auto"/>
              <w:left w:val="nil"/>
              <w:bottom w:val="nil"/>
              <w:right w:val="nil"/>
            </w:tcBorders>
            <w:shd w:val="clear" w:color="auto" w:fill="DBE5F1" w:themeFill="accent1" w:themeFillTint="33"/>
            <w:noWrap/>
            <w:hideMark/>
          </w:tcPr>
          <w:p w:rsidR="00F06D1E" w:rsidRPr="00F06D1E" w:rsidRDefault="00F06D1E" w:rsidP="00F06D1E">
            <w:pPr>
              <w:widowControl/>
              <w:autoSpaceDE/>
              <w:autoSpaceDN/>
              <w:adjustRightInd/>
              <w:jc w:val="right"/>
              <w:rPr>
                <w:b/>
                <w:color w:val="000000"/>
                <w:sz w:val="24"/>
                <w:szCs w:val="22"/>
              </w:rPr>
            </w:pPr>
            <w:r>
              <w:rPr>
                <w:b/>
                <w:color w:val="000000"/>
                <w:sz w:val="24"/>
                <w:szCs w:val="22"/>
              </w:rPr>
              <w:t>Total</w:t>
            </w:r>
          </w:p>
        </w:tc>
        <w:tc>
          <w:tcPr>
            <w:tcW w:w="1880" w:type="dxa"/>
            <w:tcBorders>
              <w:top w:val="single" w:sz="4" w:space="0" w:color="auto"/>
              <w:left w:val="nil"/>
              <w:bottom w:val="nil"/>
              <w:right w:val="nil"/>
            </w:tcBorders>
            <w:shd w:val="clear" w:color="auto" w:fill="DBE5F1" w:themeFill="accent1" w:themeFillTint="33"/>
            <w:noWrap/>
            <w:hideMark/>
          </w:tcPr>
          <w:p w:rsidR="00F06D1E" w:rsidRPr="00F06D1E" w:rsidRDefault="00F06D1E" w:rsidP="00F06D1E">
            <w:pPr>
              <w:widowControl/>
              <w:autoSpaceDE/>
              <w:autoSpaceDN/>
              <w:adjustRightInd/>
              <w:jc w:val="right"/>
              <w:rPr>
                <w:b/>
                <w:color w:val="000000"/>
                <w:sz w:val="24"/>
                <w:szCs w:val="22"/>
              </w:rPr>
            </w:pPr>
            <w:r>
              <w:rPr>
                <w:b/>
                <w:color w:val="000000"/>
                <w:sz w:val="24"/>
                <w:szCs w:val="22"/>
              </w:rPr>
              <w:t>2,038</w:t>
            </w:r>
          </w:p>
        </w:tc>
        <w:tc>
          <w:tcPr>
            <w:tcW w:w="1643" w:type="dxa"/>
            <w:tcBorders>
              <w:top w:val="single" w:sz="4" w:space="0" w:color="auto"/>
              <w:left w:val="nil"/>
              <w:bottom w:val="nil"/>
              <w:right w:val="nil"/>
            </w:tcBorders>
            <w:shd w:val="clear" w:color="auto" w:fill="DBE5F1" w:themeFill="accent1" w:themeFillTint="33"/>
            <w:noWrap/>
            <w:hideMark/>
          </w:tcPr>
          <w:p w:rsidR="00F06D1E" w:rsidRPr="00F02366" w:rsidRDefault="00F06D1E" w:rsidP="00F06D1E">
            <w:pPr>
              <w:widowControl/>
              <w:autoSpaceDE/>
              <w:autoSpaceDN/>
              <w:adjustRightInd/>
              <w:jc w:val="right"/>
              <w:rPr>
                <w:color w:val="000000"/>
                <w:sz w:val="24"/>
                <w:szCs w:val="22"/>
              </w:rPr>
            </w:pPr>
          </w:p>
        </w:tc>
        <w:tc>
          <w:tcPr>
            <w:tcW w:w="1750" w:type="dxa"/>
            <w:tcBorders>
              <w:top w:val="single" w:sz="4" w:space="0" w:color="auto"/>
              <w:left w:val="nil"/>
              <w:bottom w:val="nil"/>
              <w:right w:val="nil"/>
            </w:tcBorders>
            <w:shd w:val="clear" w:color="auto" w:fill="DBE5F1" w:themeFill="accent1" w:themeFillTint="33"/>
            <w:noWrap/>
            <w:hideMark/>
          </w:tcPr>
          <w:p w:rsidR="00F06D1E" w:rsidRPr="00F06D1E" w:rsidRDefault="00F06D1E" w:rsidP="00F02366">
            <w:pPr>
              <w:widowControl/>
              <w:autoSpaceDE/>
              <w:autoSpaceDN/>
              <w:adjustRightInd/>
              <w:jc w:val="right"/>
              <w:rPr>
                <w:b/>
                <w:color w:val="000000"/>
                <w:sz w:val="24"/>
                <w:szCs w:val="22"/>
              </w:rPr>
            </w:pPr>
            <w:r>
              <w:rPr>
                <w:b/>
                <w:color w:val="000000"/>
                <w:sz w:val="24"/>
                <w:szCs w:val="22"/>
              </w:rPr>
              <w:t>2,137</w:t>
            </w:r>
          </w:p>
        </w:tc>
        <w:tc>
          <w:tcPr>
            <w:tcW w:w="1177" w:type="dxa"/>
            <w:tcBorders>
              <w:top w:val="single" w:sz="4" w:space="0" w:color="auto"/>
              <w:left w:val="nil"/>
              <w:bottom w:val="nil"/>
              <w:right w:val="nil"/>
            </w:tcBorders>
            <w:shd w:val="clear" w:color="auto" w:fill="DBE5F1" w:themeFill="accent1" w:themeFillTint="33"/>
            <w:noWrap/>
            <w:hideMark/>
          </w:tcPr>
          <w:p w:rsidR="00F06D1E" w:rsidRPr="00F06D1E" w:rsidRDefault="00F06D1E" w:rsidP="00F06D1E">
            <w:pPr>
              <w:widowControl/>
              <w:autoSpaceDE/>
              <w:autoSpaceDN/>
              <w:adjustRightInd/>
              <w:jc w:val="right"/>
              <w:rPr>
                <w:b/>
                <w:color w:val="000000"/>
                <w:sz w:val="24"/>
                <w:szCs w:val="22"/>
              </w:rPr>
            </w:pPr>
          </w:p>
        </w:tc>
        <w:tc>
          <w:tcPr>
            <w:tcW w:w="960" w:type="dxa"/>
            <w:tcBorders>
              <w:top w:val="single" w:sz="4" w:space="0" w:color="auto"/>
              <w:left w:val="nil"/>
              <w:bottom w:val="nil"/>
              <w:right w:val="nil"/>
            </w:tcBorders>
            <w:shd w:val="clear" w:color="auto" w:fill="DBE5F1" w:themeFill="accent1" w:themeFillTint="33"/>
            <w:noWrap/>
            <w:hideMark/>
          </w:tcPr>
          <w:p w:rsidR="00F06D1E" w:rsidRPr="00F06D1E" w:rsidRDefault="00F06D1E" w:rsidP="00F06D1E">
            <w:pPr>
              <w:widowControl/>
              <w:autoSpaceDE/>
              <w:autoSpaceDN/>
              <w:adjustRightInd/>
              <w:jc w:val="right"/>
              <w:rPr>
                <w:b/>
                <w:color w:val="000000"/>
                <w:sz w:val="24"/>
                <w:szCs w:val="22"/>
              </w:rPr>
            </w:pPr>
            <w:r>
              <w:rPr>
                <w:b/>
                <w:color w:val="000000"/>
                <w:sz w:val="24"/>
                <w:szCs w:val="22"/>
              </w:rPr>
              <w:t>1,042</w:t>
            </w:r>
          </w:p>
        </w:tc>
      </w:tr>
    </w:tbl>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365927" w:rsidRDefault="00365927" w:rsidP="00365927">
      <w:pPr>
        <w:widowControl/>
        <w:rPr>
          <w:sz w:val="24"/>
          <w:szCs w:val="24"/>
        </w:rPr>
      </w:pPr>
      <w:r>
        <w:rPr>
          <w:sz w:val="24"/>
          <w:szCs w:val="24"/>
        </w:rPr>
        <w:t>There are no start-up, capital, or maintenance costs associated with this collection.  No new or specialized equipment is needed to respond to this collection.  The forms are provided with postage-paid envelopes.</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3C2021" w:rsidRDefault="003C2021" w:rsidP="00AB16B0">
      <w:pPr>
        <w:pStyle w:val="BodyText"/>
        <w:rPr>
          <w:szCs w:val="24"/>
        </w:rPr>
      </w:pPr>
      <w:r w:rsidRPr="008B498C">
        <w:rPr>
          <w:szCs w:val="24"/>
        </w:rPr>
        <w:t xml:space="preserve">The estimated </w:t>
      </w:r>
      <w:r w:rsidR="00AE5F3E">
        <w:rPr>
          <w:szCs w:val="24"/>
        </w:rPr>
        <w:t>c</w:t>
      </w:r>
      <w:r w:rsidRPr="008B498C">
        <w:rPr>
          <w:szCs w:val="24"/>
        </w:rPr>
        <w:t xml:space="preserve">ost to </w:t>
      </w:r>
      <w:r w:rsidR="00AE5F3E">
        <w:rPr>
          <w:szCs w:val="24"/>
        </w:rPr>
        <w:t>the g</w:t>
      </w:r>
      <w:r w:rsidRPr="008B498C">
        <w:rPr>
          <w:szCs w:val="24"/>
        </w:rPr>
        <w:t xml:space="preserve">overnment is </w:t>
      </w:r>
      <w:r w:rsidR="00AB16B0">
        <w:rPr>
          <w:szCs w:val="24"/>
        </w:rPr>
        <w:t xml:space="preserve">$14,568 (Table </w:t>
      </w:r>
      <w:r w:rsidR="00F02366">
        <w:rPr>
          <w:szCs w:val="24"/>
        </w:rPr>
        <w:t>2</w:t>
      </w:r>
      <w:r w:rsidR="00AB16B0">
        <w:rPr>
          <w:szCs w:val="24"/>
        </w:rPr>
        <w:t xml:space="preserve">). </w:t>
      </w:r>
      <w:r w:rsidR="00EF7F1B">
        <w:rPr>
          <w:szCs w:val="24"/>
        </w:rPr>
        <w:t>Staff (port agents) will contact the potential respondents.</w:t>
      </w:r>
      <w:r w:rsidRPr="00065C66">
        <w:rPr>
          <w:szCs w:val="24"/>
        </w:rPr>
        <w:t xml:space="preserve">  </w:t>
      </w:r>
    </w:p>
    <w:p w:rsidR="00EF7F1B" w:rsidRDefault="00EF7F1B" w:rsidP="00AB16B0">
      <w:pPr>
        <w:pStyle w:val="BodyText"/>
        <w:rPr>
          <w:szCs w:val="24"/>
        </w:rPr>
      </w:pPr>
    </w:p>
    <w:p w:rsidR="004F26E9" w:rsidRPr="00EF7F1B" w:rsidRDefault="00430C25">
      <w:pPr>
        <w:rPr>
          <w:b/>
          <w:sz w:val="24"/>
          <w:szCs w:val="24"/>
        </w:rPr>
      </w:pPr>
      <w:proofErr w:type="gramStart"/>
      <w:r>
        <w:rPr>
          <w:b/>
          <w:sz w:val="24"/>
          <w:szCs w:val="24"/>
        </w:rPr>
        <w:t>Ta</w:t>
      </w:r>
      <w:r w:rsidR="00EF7F1B" w:rsidRPr="00EF7F1B">
        <w:rPr>
          <w:b/>
          <w:sz w:val="24"/>
          <w:szCs w:val="24"/>
        </w:rPr>
        <w:t xml:space="preserve">ble </w:t>
      </w:r>
      <w:r w:rsidR="00F02366">
        <w:rPr>
          <w:b/>
          <w:sz w:val="24"/>
          <w:szCs w:val="24"/>
        </w:rPr>
        <w:t>2</w:t>
      </w:r>
      <w:r w:rsidR="00EF7F1B" w:rsidRPr="00EF7F1B">
        <w:rPr>
          <w:b/>
          <w:sz w:val="24"/>
          <w:szCs w:val="24"/>
        </w:rPr>
        <w:t>.</w:t>
      </w:r>
      <w:proofErr w:type="gramEnd"/>
      <w:r w:rsidR="00EF7F1B" w:rsidRPr="00EF7F1B">
        <w:rPr>
          <w:b/>
          <w:sz w:val="24"/>
          <w:szCs w:val="24"/>
        </w:rPr>
        <w:t xml:space="preserve"> Estimated cost to the Federal government</w:t>
      </w:r>
      <w:r w:rsidR="00F02366">
        <w:rPr>
          <w:b/>
          <w:sz w:val="24"/>
          <w:szCs w:val="24"/>
        </w:rPr>
        <w:t>.</w:t>
      </w:r>
    </w:p>
    <w:tbl>
      <w:tblPr>
        <w:tblW w:w="5775" w:type="dxa"/>
        <w:tblInd w:w="93" w:type="dxa"/>
        <w:tblLook w:val="04A0" w:firstRow="1" w:lastRow="0" w:firstColumn="1" w:lastColumn="0" w:noHBand="0" w:noVBand="1"/>
      </w:tblPr>
      <w:tblGrid>
        <w:gridCol w:w="1905"/>
        <w:gridCol w:w="1137"/>
        <w:gridCol w:w="1521"/>
        <w:gridCol w:w="1350"/>
      </w:tblGrid>
      <w:tr w:rsidR="00AB16B0" w:rsidRPr="00AB16B0" w:rsidTr="00F06D1E">
        <w:trPr>
          <w:trHeight w:val="300"/>
        </w:trPr>
        <w:tc>
          <w:tcPr>
            <w:tcW w:w="1905" w:type="dxa"/>
            <w:tcBorders>
              <w:bottom w:val="single" w:sz="4" w:space="0" w:color="auto"/>
            </w:tcBorders>
            <w:shd w:val="clear" w:color="auto" w:fill="95B3D7" w:themeFill="accent1" w:themeFillTint="99"/>
            <w:noWrap/>
            <w:vAlign w:val="center"/>
            <w:hideMark/>
          </w:tcPr>
          <w:p w:rsidR="00AB16B0" w:rsidRPr="00AB16B0" w:rsidRDefault="00AB16B0" w:rsidP="00AB16B0">
            <w:pPr>
              <w:widowControl/>
              <w:autoSpaceDE/>
              <w:autoSpaceDN/>
              <w:adjustRightInd/>
              <w:rPr>
                <w:b/>
                <w:color w:val="000000"/>
                <w:sz w:val="24"/>
                <w:szCs w:val="24"/>
              </w:rPr>
            </w:pPr>
          </w:p>
        </w:tc>
        <w:tc>
          <w:tcPr>
            <w:tcW w:w="999" w:type="dxa"/>
            <w:tcBorders>
              <w:bottom w:val="single" w:sz="4" w:space="0" w:color="auto"/>
            </w:tcBorders>
            <w:shd w:val="clear" w:color="auto" w:fill="95B3D7" w:themeFill="accent1" w:themeFillTint="99"/>
            <w:noWrap/>
            <w:vAlign w:val="center"/>
            <w:hideMark/>
          </w:tcPr>
          <w:p w:rsidR="00AB16B0" w:rsidRPr="00AB16B0" w:rsidRDefault="00AB16B0" w:rsidP="00EF7F1B">
            <w:pPr>
              <w:widowControl/>
              <w:autoSpaceDE/>
              <w:autoSpaceDN/>
              <w:adjustRightInd/>
              <w:jc w:val="right"/>
              <w:rPr>
                <w:b/>
                <w:color w:val="000000"/>
                <w:sz w:val="24"/>
                <w:szCs w:val="24"/>
              </w:rPr>
            </w:pPr>
            <w:r w:rsidRPr="00AB16B0">
              <w:rPr>
                <w:b/>
                <w:color w:val="000000"/>
                <w:sz w:val="24"/>
                <w:szCs w:val="24"/>
              </w:rPr>
              <w:t>Quantity</w:t>
            </w:r>
          </w:p>
        </w:tc>
        <w:tc>
          <w:tcPr>
            <w:tcW w:w="1521" w:type="dxa"/>
            <w:tcBorders>
              <w:bottom w:val="single" w:sz="4" w:space="0" w:color="auto"/>
            </w:tcBorders>
            <w:shd w:val="clear" w:color="auto" w:fill="95B3D7" w:themeFill="accent1" w:themeFillTint="99"/>
            <w:noWrap/>
            <w:vAlign w:val="center"/>
            <w:hideMark/>
          </w:tcPr>
          <w:p w:rsidR="00AB16B0" w:rsidRPr="00AB16B0" w:rsidRDefault="00AB16B0" w:rsidP="00EF7F1B">
            <w:pPr>
              <w:widowControl/>
              <w:autoSpaceDE/>
              <w:autoSpaceDN/>
              <w:adjustRightInd/>
              <w:jc w:val="right"/>
              <w:rPr>
                <w:b/>
                <w:color w:val="000000"/>
                <w:sz w:val="24"/>
                <w:szCs w:val="24"/>
              </w:rPr>
            </w:pPr>
            <w:r w:rsidRPr="00AB16B0">
              <w:rPr>
                <w:b/>
                <w:color w:val="000000"/>
                <w:sz w:val="24"/>
                <w:szCs w:val="24"/>
              </w:rPr>
              <w:t>Unit cost</w:t>
            </w:r>
          </w:p>
        </w:tc>
        <w:tc>
          <w:tcPr>
            <w:tcW w:w="1350" w:type="dxa"/>
            <w:tcBorders>
              <w:bottom w:val="single" w:sz="4" w:space="0" w:color="auto"/>
            </w:tcBorders>
            <w:shd w:val="clear" w:color="auto" w:fill="95B3D7" w:themeFill="accent1" w:themeFillTint="99"/>
            <w:noWrap/>
            <w:vAlign w:val="center"/>
            <w:hideMark/>
          </w:tcPr>
          <w:p w:rsidR="00AB16B0" w:rsidRPr="00AB16B0" w:rsidRDefault="00AB16B0" w:rsidP="00EF7F1B">
            <w:pPr>
              <w:widowControl/>
              <w:autoSpaceDE/>
              <w:autoSpaceDN/>
              <w:adjustRightInd/>
              <w:jc w:val="right"/>
              <w:rPr>
                <w:b/>
                <w:color w:val="000000"/>
                <w:sz w:val="24"/>
                <w:szCs w:val="24"/>
              </w:rPr>
            </w:pPr>
            <w:r w:rsidRPr="00AB16B0">
              <w:rPr>
                <w:b/>
                <w:color w:val="000000"/>
                <w:sz w:val="24"/>
                <w:szCs w:val="24"/>
              </w:rPr>
              <w:t>Subtotal</w:t>
            </w:r>
          </w:p>
        </w:tc>
      </w:tr>
      <w:tr w:rsidR="00AB16B0" w:rsidRPr="00AB16B0" w:rsidTr="00EF7F1B">
        <w:trPr>
          <w:trHeight w:val="300"/>
        </w:trPr>
        <w:tc>
          <w:tcPr>
            <w:tcW w:w="1905" w:type="dxa"/>
            <w:tcBorders>
              <w:top w:val="single" w:sz="4" w:space="0" w:color="auto"/>
            </w:tcBorders>
            <w:shd w:val="clear" w:color="auto" w:fill="auto"/>
            <w:noWrap/>
            <w:vAlign w:val="center"/>
            <w:hideMark/>
          </w:tcPr>
          <w:p w:rsidR="00AB16B0" w:rsidRPr="00AB16B0" w:rsidRDefault="00AB16B0" w:rsidP="00AB16B0">
            <w:pPr>
              <w:widowControl/>
              <w:autoSpaceDE/>
              <w:autoSpaceDN/>
              <w:adjustRightInd/>
              <w:rPr>
                <w:color w:val="000000"/>
                <w:sz w:val="24"/>
                <w:szCs w:val="24"/>
              </w:rPr>
            </w:pPr>
            <w:r w:rsidRPr="00AB16B0">
              <w:rPr>
                <w:color w:val="000000"/>
                <w:sz w:val="24"/>
                <w:szCs w:val="24"/>
              </w:rPr>
              <w:t>Forms</w:t>
            </w:r>
          </w:p>
        </w:tc>
        <w:tc>
          <w:tcPr>
            <w:tcW w:w="999" w:type="dxa"/>
            <w:tcBorders>
              <w:top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2,319</w:t>
            </w:r>
          </w:p>
        </w:tc>
        <w:tc>
          <w:tcPr>
            <w:tcW w:w="1521" w:type="dxa"/>
            <w:tcBorders>
              <w:top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0.05</w:t>
            </w:r>
          </w:p>
        </w:tc>
        <w:tc>
          <w:tcPr>
            <w:tcW w:w="1350" w:type="dxa"/>
            <w:tcBorders>
              <w:top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EF7F1B">
              <w:rPr>
                <w:color w:val="000000"/>
                <w:sz w:val="24"/>
                <w:szCs w:val="24"/>
              </w:rPr>
              <w:t>1</w:t>
            </w:r>
            <w:r w:rsidRPr="00AB16B0">
              <w:rPr>
                <w:color w:val="000000"/>
                <w:sz w:val="24"/>
                <w:szCs w:val="24"/>
              </w:rPr>
              <w:t>16</w:t>
            </w:r>
          </w:p>
        </w:tc>
      </w:tr>
      <w:tr w:rsidR="00AB16B0" w:rsidRPr="00AB16B0" w:rsidTr="00EF7F1B">
        <w:trPr>
          <w:trHeight w:val="300"/>
        </w:trPr>
        <w:tc>
          <w:tcPr>
            <w:tcW w:w="1905" w:type="dxa"/>
            <w:shd w:val="clear" w:color="auto" w:fill="auto"/>
            <w:noWrap/>
            <w:vAlign w:val="center"/>
            <w:hideMark/>
          </w:tcPr>
          <w:p w:rsidR="00AB16B0" w:rsidRPr="00AB16B0" w:rsidRDefault="00AB16B0" w:rsidP="00AB16B0">
            <w:pPr>
              <w:widowControl/>
              <w:autoSpaceDE/>
              <w:autoSpaceDN/>
              <w:adjustRightInd/>
              <w:rPr>
                <w:color w:val="000000"/>
                <w:sz w:val="24"/>
                <w:szCs w:val="24"/>
              </w:rPr>
            </w:pPr>
            <w:r w:rsidRPr="00AB16B0">
              <w:rPr>
                <w:color w:val="000000"/>
                <w:sz w:val="24"/>
                <w:szCs w:val="24"/>
              </w:rPr>
              <w:t>Postage</w:t>
            </w:r>
          </w:p>
        </w:tc>
        <w:tc>
          <w:tcPr>
            <w:tcW w:w="999" w:type="dxa"/>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2,319</w:t>
            </w:r>
          </w:p>
        </w:tc>
        <w:tc>
          <w:tcPr>
            <w:tcW w:w="1521" w:type="dxa"/>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0.85</w:t>
            </w:r>
          </w:p>
        </w:tc>
        <w:tc>
          <w:tcPr>
            <w:tcW w:w="1350" w:type="dxa"/>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1,971</w:t>
            </w:r>
          </w:p>
        </w:tc>
      </w:tr>
      <w:tr w:rsidR="00AB16B0" w:rsidRPr="00AB16B0" w:rsidTr="00F06D1E">
        <w:trPr>
          <w:trHeight w:val="300"/>
        </w:trPr>
        <w:tc>
          <w:tcPr>
            <w:tcW w:w="1905" w:type="dxa"/>
            <w:tcBorders>
              <w:bottom w:val="single" w:sz="4" w:space="0" w:color="auto"/>
            </w:tcBorders>
            <w:shd w:val="clear" w:color="auto" w:fill="95B3D7" w:themeFill="accent1" w:themeFillTint="99"/>
            <w:noWrap/>
            <w:vAlign w:val="center"/>
            <w:hideMark/>
          </w:tcPr>
          <w:p w:rsidR="00AB16B0" w:rsidRPr="00AB16B0" w:rsidRDefault="00AB16B0" w:rsidP="00AB16B0">
            <w:pPr>
              <w:widowControl/>
              <w:autoSpaceDE/>
              <w:autoSpaceDN/>
              <w:adjustRightInd/>
              <w:rPr>
                <w:b/>
                <w:color w:val="000000"/>
                <w:sz w:val="24"/>
                <w:szCs w:val="24"/>
              </w:rPr>
            </w:pPr>
          </w:p>
        </w:tc>
        <w:tc>
          <w:tcPr>
            <w:tcW w:w="999" w:type="dxa"/>
            <w:tcBorders>
              <w:bottom w:val="single" w:sz="4" w:space="0" w:color="auto"/>
            </w:tcBorders>
            <w:shd w:val="clear" w:color="auto" w:fill="95B3D7" w:themeFill="accent1" w:themeFillTint="99"/>
            <w:noWrap/>
            <w:vAlign w:val="center"/>
            <w:hideMark/>
          </w:tcPr>
          <w:p w:rsidR="00AB16B0" w:rsidRPr="00AB16B0" w:rsidRDefault="00AB16B0" w:rsidP="00EF7F1B">
            <w:pPr>
              <w:widowControl/>
              <w:autoSpaceDE/>
              <w:autoSpaceDN/>
              <w:adjustRightInd/>
              <w:jc w:val="right"/>
              <w:rPr>
                <w:b/>
                <w:color w:val="000000"/>
                <w:sz w:val="24"/>
                <w:szCs w:val="24"/>
              </w:rPr>
            </w:pPr>
            <w:r w:rsidRPr="00AB16B0">
              <w:rPr>
                <w:b/>
                <w:color w:val="000000"/>
                <w:sz w:val="24"/>
                <w:szCs w:val="24"/>
              </w:rPr>
              <w:t xml:space="preserve">Hours </w:t>
            </w:r>
          </w:p>
        </w:tc>
        <w:tc>
          <w:tcPr>
            <w:tcW w:w="1521" w:type="dxa"/>
            <w:tcBorders>
              <w:bottom w:val="single" w:sz="4" w:space="0" w:color="auto"/>
            </w:tcBorders>
            <w:shd w:val="clear" w:color="auto" w:fill="95B3D7" w:themeFill="accent1" w:themeFillTint="99"/>
            <w:noWrap/>
            <w:vAlign w:val="center"/>
            <w:hideMark/>
          </w:tcPr>
          <w:p w:rsidR="00AB16B0" w:rsidRPr="00AB16B0" w:rsidRDefault="00AB16B0" w:rsidP="00EF7F1B">
            <w:pPr>
              <w:widowControl/>
              <w:autoSpaceDE/>
              <w:autoSpaceDN/>
              <w:adjustRightInd/>
              <w:jc w:val="right"/>
              <w:rPr>
                <w:color w:val="000000"/>
                <w:sz w:val="24"/>
                <w:szCs w:val="24"/>
              </w:rPr>
            </w:pPr>
          </w:p>
        </w:tc>
        <w:tc>
          <w:tcPr>
            <w:tcW w:w="1350" w:type="dxa"/>
            <w:tcBorders>
              <w:bottom w:val="single" w:sz="4" w:space="0" w:color="auto"/>
            </w:tcBorders>
            <w:shd w:val="clear" w:color="auto" w:fill="95B3D7" w:themeFill="accent1" w:themeFillTint="99"/>
            <w:noWrap/>
            <w:vAlign w:val="center"/>
            <w:hideMark/>
          </w:tcPr>
          <w:p w:rsidR="00AB16B0" w:rsidRPr="00AB16B0" w:rsidRDefault="00AB16B0" w:rsidP="00EF7F1B">
            <w:pPr>
              <w:widowControl/>
              <w:autoSpaceDE/>
              <w:autoSpaceDN/>
              <w:adjustRightInd/>
              <w:jc w:val="right"/>
              <w:rPr>
                <w:color w:val="000000"/>
                <w:sz w:val="24"/>
                <w:szCs w:val="24"/>
              </w:rPr>
            </w:pPr>
          </w:p>
        </w:tc>
      </w:tr>
      <w:tr w:rsidR="00AB16B0" w:rsidRPr="00AB16B0" w:rsidTr="00EF7F1B">
        <w:trPr>
          <w:trHeight w:val="300"/>
        </w:trPr>
        <w:tc>
          <w:tcPr>
            <w:tcW w:w="1905" w:type="dxa"/>
            <w:tcBorders>
              <w:top w:val="single" w:sz="4" w:space="0" w:color="auto"/>
            </w:tcBorders>
            <w:shd w:val="clear" w:color="auto" w:fill="auto"/>
            <w:noWrap/>
            <w:vAlign w:val="center"/>
            <w:hideMark/>
          </w:tcPr>
          <w:p w:rsidR="00AB16B0" w:rsidRPr="00AB16B0" w:rsidRDefault="00AB16B0" w:rsidP="00AB16B0">
            <w:pPr>
              <w:widowControl/>
              <w:autoSpaceDE/>
              <w:autoSpaceDN/>
              <w:adjustRightInd/>
              <w:rPr>
                <w:color w:val="000000"/>
                <w:sz w:val="24"/>
                <w:szCs w:val="24"/>
              </w:rPr>
            </w:pPr>
            <w:r w:rsidRPr="00AB16B0">
              <w:rPr>
                <w:color w:val="000000"/>
                <w:sz w:val="24"/>
                <w:szCs w:val="24"/>
              </w:rPr>
              <w:t>Staff Support</w:t>
            </w:r>
          </w:p>
        </w:tc>
        <w:tc>
          <w:tcPr>
            <w:tcW w:w="999" w:type="dxa"/>
            <w:tcBorders>
              <w:top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220</w:t>
            </w:r>
          </w:p>
        </w:tc>
        <w:tc>
          <w:tcPr>
            <w:tcW w:w="1521" w:type="dxa"/>
            <w:tcBorders>
              <w:top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20.50</w:t>
            </w:r>
          </w:p>
        </w:tc>
        <w:tc>
          <w:tcPr>
            <w:tcW w:w="1350" w:type="dxa"/>
            <w:tcBorders>
              <w:top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4,510</w:t>
            </w:r>
          </w:p>
        </w:tc>
      </w:tr>
      <w:tr w:rsidR="00AB16B0" w:rsidRPr="00AB16B0" w:rsidTr="00EF7F1B">
        <w:trPr>
          <w:trHeight w:val="300"/>
        </w:trPr>
        <w:tc>
          <w:tcPr>
            <w:tcW w:w="1905" w:type="dxa"/>
            <w:tcBorders>
              <w:bottom w:val="single" w:sz="4" w:space="0" w:color="auto"/>
            </w:tcBorders>
            <w:shd w:val="clear" w:color="auto" w:fill="auto"/>
            <w:noWrap/>
            <w:vAlign w:val="center"/>
            <w:hideMark/>
          </w:tcPr>
          <w:p w:rsidR="00AB16B0" w:rsidRPr="00AB16B0" w:rsidRDefault="00AB16B0" w:rsidP="00AB16B0">
            <w:pPr>
              <w:widowControl/>
              <w:autoSpaceDE/>
              <w:autoSpaceDN/>
              <w:adjustRightInd/>
              <w:rPr>
                <w:color w:val="000000"/>
                <w:sz w:val="24"/>
                <w:szCs w:val="24"/>
              </w:rPr>
            </w:pPr>
            <w:proofErr w:type="spellStart"/>
            <w:r w:rsidRPr="00AB16B0">
              <w:rPr>
                <w:color w:val="000000"/>
                <w:sz w:val="24"/>
                <w:szCs w:val="24"/>
              </w:rPr>
              <w:t>Ayeisha</w:t>
            </w:r>
            <w:proofErr w:type="spellEnd"/>
            <w:r w:rsidRPr="00AB16B0">
              <w:rPr>
                <w:color w:val="000000"/>
                <w:sz w:val="24"/>
                <w:szCs w:val="24"/>
              </w:rPr>
              <w:t xml:space="preserve"> Brinson</w:t>
            </w:r>
          </w:p>
        </w:tc>
        <w:tc>
          <w:tcPr>
            <w:tcW w:w="999" w:type="dxa"/>
            <w:tcBorders>
              <w:bottom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160</w:t>
            </w:r>
          </w:p>
        </w:tc>
        <w:tc>
          <w:tcPr>
            <w:tcW w:w="1521" w:type="dxa"/>
            <w:tcBorders>
              <w:bottom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49.82</w:t>
            </w:r>
          </w:p>
        </w:tc>
        <w:tc>
          <w:tcPr>
            <w:tcW w:w="1350" w:type="dxa"/>
            <w:tcBorders>
              <w:bottom w:val="single" w:sz="4" w:space="0" w:color="auto"/>
            </w:tcBorders>
            <w:shd w:val="clear" w:color="auto" w:fill="auto"/>
            <w:noWrap/>
            <w:vAlign w:val="center"/>
            <w:hideMark/>
          </w:tcPr>
          <w:p w:rsidR="00AB16B0" w:rsidRPr="00AB16B0" w:rsidRDefault="00AB16B0" w:rsidP="00EF7F1B">
            <w:pPr>
              <w:widowControl/>
              <w:autoSpaceDE/>
              <w:autoSpaceDN/>
              <w:adjustRightInd/>
              <w:jc w:val="right"/>
              <w:rPr>
                <w:color w:val="000000"/>
                <w:sz w:val="24"/>
                <w:szCs w:val="24"/>
              </w:rPr>
            </w:pPr>
            <w:r w:rsidRPr="00AB16B0">
              <w:rPr>
                <w:color w:val="000000"/>
                <w:sz w:val="24"/>
                <w:szCs w:val="24"/>
              </w:rPr>
              <w:t>7,971</w:t>
            </w:r>
          </w:p>
        </w:tc>
      </w:tr>
      <w:tr w:rsidR="00AB16B0" w:rsidRPr="00AB16B0" w:rsidTr="00F06D1E">
        <w:trPr>
          <w:trHeight w:val="300"/>
        </w:trPr>
        <w:tc>
          <w:tcPr>
            <w:tcW w:w="1905" w:type="dxa"/>
            <w:tcBorders>
              <w:top w:val="single" w:sz="4" w:space="0" w:color="auto"/>
            </w:tcBorders>
            <w:shd w:val="clear" w:color="auto" w:fill="DBE5F1" w:themeFill="accent1" w:themeFillTint="33"/>
            <w:noWrap/>
            <w:vAlign w:val="center"/>
            <w:hideMark/>
          </w:tcPr>
          <w:p w:rsidR="00AB16B0" w:rsidRPr="00AB16B0" w:rsidRDefault="00AB16B0" w:rsidP="00AB16B0">
            <w:pPr>
              <w:widowControl/>
              <w:autoSpaceDE/>
              <w:autoSpaceDN/>
              <w:adjustRightInd/>
              <w:rPr>
                <w:b/>
                <w:color w:val="000000"/>
                <w:sz w:val="24"/>
                <w:szCs w:val="24"/>
              </w:rPr>
            </w:pPr>
          </w:p>
        </w:tc>
        <w:tc>
          <w:tcPr>
            <w:tcW w:w="999" w:type="dxa"/>
            <w:tcBorders>
              <w:top w:val="single" w:sz="4" w:space="0" w:color="auto"/>
            </w:tcBorders>
            <w:shd w:val="clear" w:color="auto" w:fill="DBE5F1" w:themeFill="accent1" w:themeFillTint="33"/>
            <w:noWrap/>
            <w:vAlign w:val="center"/>
            <w:hideMark/>
          </w:tcPr>
          <w:p w:rsidR="00AB16B0" w:rsidRPr="00AB16B0" w:rsidRDefault="00AB16B0" w:rsidP="00EF7F1B">
            <w:pPr>
              <w:widowControl/>
              <w:autoSpaceDE/>
              <w:autoSpaceDN/>
              <w:adjustRightInd/>
              <w:jc w:val="right"/>
              <w:rPr>
                <w:color w:val="000000"/>
                <w:sz w:val="24"/>
                <w:szCs w:val="24"/>
              </w:rPr>
            </w:pPr>
          </w:p>
        </w:tc>
        <w:tc>
          <w:tcPr>
            <w:tcW w:w="1521" w:type="dxa"/>
            <w:tcBorders>
              <w:top w:val="single" w:sz="4" w:space="0" w:color="auto"/>
            </w:tcBorders>
            <w:shd w:val="clear" w:color="auto" w:fill="DBE5F1" w:themeFill="accent1" w:themeFillTint="33"/>
            <w:noWrap/>
            <w:vAlign w:val="center"/>
            <w:hideMark/>
          </w:tcPr>
          <w:p w:rsidR="00AB16B0" w:rsidRPr="00AB16B0" w:rsidRDefault="00AB16B0" w:rsidP="00EF7F1B">
            <w:pPr>
              <w:widowControl/>
              <w:autoSpaceDE/>
              <w:autoSpaceDN/>
              <w:adjustRightInd/>
              <w:jc w:val="right"/>
              <w:rPr>
                <w:b/>
                <w:color w:val="000000"/>
                <w:sz w:val="24"/>
                <w:szCs w:val="24"/>
              </w:rPr>
            </w:pPr>
            <w:r w:rsidRPr="00AB16B0">
              <w:rPr>
                <w:b/>
                <w:color w:val="000000"/>
                <w:sz w:val="24"/>
                <w:szCs w:val="24"/>
              </w:rPr>
              <w:t>Total</w:t>
            </w:r>
          </w:p>
        </w:tc>
        <w:tc>
          <w:tcPr>
            <w:tcW w:w="1350" w:type="dxa"/>
            <w:tcBorders>
              <w:top w:val="single" w:sz="4" w:space="0" w:color="auto"/>
            </w:tcBorders>
            <w:shd w:val="clear" w:color="auto" w:fill="DBE5F1" w:themeFill="accent1" w:themeFillTint="33"/>
            <w:noWrap/>
            <w:vAlign w:val="center"/>
            <w:hideMark/>
          </w:tcPr>
          <w:p w:rsidR="00AB16B0" w:rsidRPr="00AB16B0" w:rsidRDefault="00AB16B0" w:rsidP="00EF7F1B">
            <w:pPr>
              <w:widowControl/>
              <w:autoSpaceDE/>
              <w:autoSpaceDN/>
              <w:adjustRightInd/>
              <w:jc w:val="right"/>
              <w:rPr>
                <w:b/>
                <w:color w:val="000000"/>
                <w:sz w:val="24"/>
                <w:szCs w:val="24"/>
              </w:rPr>
            </w:pPr>
            <w:r w:rsidRPr="00AB16B0">
              <w:rPr>
                <w:b/>
                <w:color w:val="000000"/>
                <w:sz w:val="24"/>
                <w:szCs w:val="24"/>
              </w:rPr>
              <w:t>14,568</w:t>
            </w:r>
          </w:p>
        </w:tc>
      </w:tr>
    </w:tbl>
    <w:p w:rsidR="00AB16B0" w:rsidRDefault="00AB16B0">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F06D1E" w:rsidRDefault="00F06D1E">
      <w:pPr>
        <w:rPr>
          <w:sz w:val="24"/>
          <w:szCs w:val="24"/>
        </w:rPr>
      </w:pPr>
    </w:p>
    <w:p w:rsidR="00F06D1E" w:rsidRDefault="00430C25">
      <w:pPr>
        <w:rPr>
          <w:sz w:val="24"/>
          <w:szCs w:val="24"/>
        </w:rPr>
      </w:pPr>
      <w:r>
        <w:rPr>
          <w:sz w:val="24"/>
          <w:szCs w:val="24"/>
        </w:rPr>
        <w:t>This one-time survey adds</w:t>
      </w:r>
      <w:r w:rsidR="00D801C2" w:rsidRPr="00D801C2">
        <w:rPr>
          <w:sz w:val="24"/>
          <w:szCs w:val="24"/>
        </w:rPr>
        <w:t xml:space="preserve"> </w:t>
      </w:r>
      <w:r w:rsidR="00D801C2">
        <w:rPr>
          <w:sz w:val="24"/>
          <w:szCs w:val="24"/>
        </w:rPr>
        <w:t xml:space="preserve">questions about fishery quantity and costs by species name. </w:t>
      </w:r>
      <w:r w:rsidR="00F06D1E">
        <w:rPr>
          <w:sz w:val="24"/>
          <w:szCs w:val="24"/>
        </w:rPr>
        <w:t xml:space="preserve"> </w:t>
      </w:r>
      <w:r w:rsidR="00154A22">
        <w:rPr>
          <w:sz w:val="24"/>
          <w:szCs w:val="24"/>
        </w:rPr>
        <w:t xml:space="preserve">One-time addition of </w:t>
      </w:r>
      <w:r w:rsidR="00F06D1E">
        <w:rPr>
          <w:sz w:val="24"/>
          <w:szCs w:val="24"/>
        </w:rPr>
        <w:t>responses and hours: 1,174 and 587</w:t>
      </w:r>
      <w:r w:rsidR="00154A22">
        <w:rPr>
          <w:sz w:val="24"/>
          <w:szCs w:val="24"/>
        </w:rPr>
        <w:t>, annualized to 391 and 196.</w:t>
      </w:r>
    </w:p>
    <w:p w:rsidR="00F06D1E" w:rsidRDefault="00F06D1E">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365927" w:rsidRDefault="00365927" w:rsidP="00365927">
      <w:pPr>
        <w:rPr>
          <w:sz w:val="24"/>
          <w:szCs w:val="24"/>
        </w:rPr>
      </w:pPr>
      <w:r>
        <w:rPr>
          <w:sz w:val="24"/>
          <w:szCs w:val="24"/>
        </w:rPr>
        <w:t xml:space="preserve">All results will be entered in a database using standard QA/QC procedures in survey research.  Economists from NOAA Fisheries will analyze the data using standard software (e.g. SAS) and standard statistical procedures that are appropriate for survey data.  Results from this collection may be used in scientific, management, technical or general informational publications, and would follow prescribed statistical tabulations and summary table formats. Data will be available to the general public on request in summary form only. </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365927" w:rsidRDefault="001341A8" w:rsidP="00365927">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1341A8" w:rsidRDefault="001341A8" w:rsidP="001341A8">
      <w:pPr>
        <w:rPr>
          <w:sz w:val="24"/>
          <w:szCs w:val="24"/>
        </w:rPr>
      </w:pPr>
      <w:r>
        <w:rPr>
          <w:sz w:val="24"/>
          <w:szCs w:val="24"/>
        </w:rPr>
        <w:t>Not Applicable.</w:t>
      </w:r>
    </w:p>
    <w:p w:rsidR="001341A8" w:rsidRDefault="001341A8">
      <w:pPr>
        <w:widowControl/>
        <w:autoSpaceDE/>
        <w:autoSpaceDN/>
        <w:adjustRightInd/>
        <w:rPr>
          <w:sz w:val="24"/>
          <w:szCs w:val="24"/>
        </w:rPr>
      </w:pPr>
      <w:r>
        <w:rPr>
          <w:sz w:val="24"/>
          <w:szCs w:val="24"/>
        </w:rPr>
        <w:br w:type="page"/>
      </w:r>
    </w:p>
    <w:sectPr w:rsidR="001341A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DA" w:rsidRDefault="004E48DA">
      <w:r>
        <w:separator/>
      </w:r>
    </w:p>
  </w:endnote>
  <w:endnote w:type="continuationSeparator" w:id="0">
    <w:p w:rsidR="004E48DA" w:rsidRDefault="004E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2763C">
      <w:rPr>
        <w:rStyle w:val="PageNumber"/>
        <w:noProof/>
        <w:sz w:val="24"/>
        <w:szCs w:val="24"/>
      </w:rPr>
      <w:t>1</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DA" w:rsidRDefault="004E48DA">
      <w:r>
        <w:separator/>
      </w:r>
    </w:p>
  </w:footnote>
  <w:footnote w:type="continuationSeparator" w:id="0">
    <w:p w:rsidR="004E48DA" w:rsidRDefault="004E4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366F"/>
    <w:multiLevelType w:val="hybridMultilevel"/>
    <w:tmpl w:val="F0D2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44BAC"/>
    <w:multiLevelType w:val="hybridMultilevel"/>
    <w:tmpl w:val="84B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55FAC"/>
    <w:rsid w:val="00077010"/>
    <w:rsid w:val="00090409"/>
    <w:rsid w:val="000C2662"/>
    <w:rsid w:val="000C60FA"/>
    <w:rsid w:val="000F146E"/>
    <w:rsid w:val="00105F16"/>
    <w:rsid w:val="00107F5D"/>
    <w:rsid w:val="001341A8"/>
    <w:rsid w:val="001516A8"/>
    <w:rsid w:val="00154A22"/>
    <w:rsid w:val="001A68BE"/>
    <w:rsid w:val="001C4E9A"/>
    <w:rsid w:val="001D134B"/>
    <w:rsid w:val="001E6F72"/>
    <w:rsid w:val="00202850"/>
    <w:rsid w:val="002252A3"/>
    <w:rsid w:val="00365927"/>
    <w:rsid w:val="003901EE"/>
    <w:rsid w:val="003C2021"/>
    <w:rsid w:val="003F7824"/>
    <w:rsid w:val="004179F5"/>
    <w:rsid w:val="00430C25"/>
    <w:rsid w:val="00490843"/>
    <w:rsid w:val="004B6798"/>
    <w:rsid w:val="004E48DA"/>
    <w:rsid w:val="004F1A50"/>
    <w:rsid w:val="004F26E9"/>
    <w:rsid w:val="00532DD5"/>
    <w:rsid w:val="00537BA7"/>
    <w:rsid w:val="0054309A"/>
    <w:rsid w:val="005905DE"/>
    <w:rsid w:val="005A112A"/>
    <w:rsid w:val="005E3AA4"/>
    <w:rsid w:val="00616557"/>
    <w:rsid w:val="006171C6"/>
    <w:rsid w:val="0062763C"/>
    <w:rsid w:val="00631B2D"/>
    <w:rsid w:val="00653FBD"/>
    <w:rsid w:val="0069403A"/>
    <w:rsid w:val="006B6E66"/>
    <w:rsid w:val="006C37FC"/>
    <w:rsid w:val="006C3AF0"/>
    <w:rsid w:val="00704862"/>
    <w:rsid w:val="00725C5C"/>
    <w:rsid w:val="00772B5D"/>
    <w:rsid w:val="0082574C"/>
    <w:rsid w:val="00835641"/>
    <w:rsid w:val="0087285B"/>
    <w:rsid w:val="008C7957"/>
    <w:rsid w:val="0092062C"/>
    <w:rsid w:val="00A145AC"/>
    <w:rsid w:val="00A52249"/>
    <w:rsid w:val="00A57242"/>
    <w:rsid w:val="00AB16B0"/>
    <w:rsid w:val="00AE5F3E"/>
    <w:rsid w:val="00B2587B"/>
    <w:rsid w:val="00B333F1"/>
    <w:rsid w:val="00BF1EFB"/>
    <w:rsid w:val="00C358D2"/>
    <w:rsid w:val="00C86EFF"/>
    <w:rsid w:val="00CC75A9"/>
    <w:rsid w:val="00CE1E61"/>
    <w:rsid w:val="00D529D1"/>
    <w:rsid w:val="00D801C2"/>
    <w:rsid w:val="00D92626"/>
    <w:rsid w:val="00DD31C6"/>
    <w:rsid w:val="00E011ED"/>
    <w:rsid w:val="00E166E6"/>
    <w:rsid w:val="00E617CF"/>
    <w:rsid w:val="00E767EA"/>
    <w:rsid w:val="00E92C90"/>
    <w:rsid w:val="00EB608D"/>
    <w:rsid w:val="00ED058F"/>
    <w:rsid w:val="00EF7F1B"/>
    <w:rsid w:val="00F02366"/>
    <w:rsid w:val="00F06D1E"/>
    <w:rsid w:val="00F16BFA"/>
    <w:rsid w:val="00F3706E"/>
    <w:rsid w:val="00F5177E"/>
    <w:rsid w:val="00F6021A"/>
    <w:rsid w:val="00F641FD"/>
    <w:rsid w:val="00FB12AB"/>
    <w:rsid w:val="00FC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B2587B"/>
    <w:pPr>
      <w:widowControl/>
    </w:pPr>
    <w:rPr>
      <w:sz w:val="24"/>
    </w:rPr>
  </w:style>
  <w:style w:type="character" w:customStyle="1" w:styleId="BodyTextChar">
    <w:name w:val="Body Text Char"/>
    <w:basedOn w:val="DefaultParagraphFont"/>
    <w:link w:val="BodyText"/>
    <w:rsid w:val="00B2587B"/>
    <w:rPr>
      <w:sz w:val="24"/>
    </w:rPr>
  </w:style>
  <w:style w:type="character" w:customStyle="1" w:styleId="base">
    <w:name w:val="base"/>
    <w:basedOn w:val="DefaultParagraphFont"/>
    <w:rsid w:val="00704862"/>
  </w:style>
  <w:style w:type="table" w:styleId="LightShading-Accent6">
    <w:name w:val="Light Shading Accent 6"/>
    <w:basedOn w:val="TableNormal"/>
    <w:uiPriority w:val="60"/>
    <w:rsid w:val="00105F1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105F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105F1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DefaultParagraphFont"/>
    <w:rsid w:val="00E92C90"/>
  </w:style>
  <w:style w:type="character" w:styleId="Hyperlink">
    <w:name w:val="Hyperlink"/>
    <w:basedOn w:val="DefaultParagraphFont"/>
    <w:uiPriority w:val="99"/>
    <w:unhideWhenUsed/>
    <w:rsid w:val="00E92C90"/>
    <w:rPr>
      <w:color w:val="0000FF"/>
      <w:u w:val="single"/>
    </w:rPr>
  </w:style>
  <w:style w:type="paragraph" w:styleId="BalloonText">
    <w:name w:val="Balloon Text"/>
    <w:basedOn w:val="Normal"/>
    <w:link w:val="BalloonTextChar"/>
    <w:rsid w:val="00E92C90"/>
    <w:rPr>
      <w:rFonts w:ascii="Tahoma" w:hAnsi="Tahoma" w:cs="Tahoma"/>
      <w:sz w:val="16"/>
      <w:szCs w:val="16"/>
    </w:rPr>
  </w:style>
  <w:style w:type="character" w:customStyle="1" w:styleId="BalloonTextChar">
    <w:name w:val="Balloon Text Char"/>
    <w:basedOn w:val="DefaultParagraphFont"/>
    <w:link w:val="BalloonText"/>
    <w:rsid w:val="00E92C90"/>
    <w:rPr>
      <w:rFonts w:ascii="Tahoma" w:hAnsi="Tahoma" w:cs="Tahoma"/>
      <w:sz w:val="16"/>
      <w:szCs w:val="16"/>
    </w:rPr>
  </w:style>
  <w:style w:type="table" w:styleId="TableGrid">
    <w:name w:val="Table Grid"/>
    <w:basedOn w:val="TableNormal"/>
    <w:rsid w:val="0087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C75A9"/>
    <w:rPr>
      <w:sz w:val="16"/>
      <w:szCs w:val="16"/>
    </w:rPr>
  </w:style>
  <w:style w:type="paragraph" w:styleId="CommentText">
    <w:name w:val="annotation text"/>
    <w:basedOn w:val="Normal"/>
    <w:link w:val="CommentTextChar"/>
    <w:rsid w:val="00CC75A9"/>
  </w:style>
  <w:style w:type="character" w:customStyle="1" w:styleId="CommentTextChar">
    <w:name w:val="Comment Text Char"/>
    <w:basedOn w:val="DefaultParagraphFont"/>
    <w:link w:val="CommentText"/>
    <w:rsid w:val="00CC75A9"/>
  </w:style>
  <w:style w:type="paragraph" w:styleId="CommentSubject">
    <w:name w:val="annotation subject"/>
    <w:basedOn w:val="CommentText"/>
    <w:next w:val="CommentText"/>
    <w:link w:val="CommentSubjectChar"/>
    <w:rsid w:val="00CC75A9"/>
    <w:rPr>
      <w:b/>
      <w:bCs/>
    </w:rPr>
  </w:style>
  <w:style w:type="character" w:customStyle="1" w:styleId="CommentSubjectChar">
    <w:name w:val="Comment Subject Char"/>
    <w:basedOn w:val="CommentTextChar"/>
    <w:link w:val="CommentSubject"/>
    <w:rsid w:val="00CC75A9"/>
    <w:rPr>
      <w:b/>
      <w:bCs/>
    </w:rPr>
  </w:style>
  <w:style w:type="paragraph" w:styleId="ListParagraph">
    <w:name w:val="List Paragraph"/>
    <w:basedOn w:val="Normal"/>
    <w:uiPriority w:val="34"/>
    <w:qFormat/>
    <w:rsid w:val="001341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B2587B"/>
    <w:pPr>
      <w:widowControl/>
    </w:pPr>
    <w:rPr>
      <w:sz w:val="24"/>
    </w:rPr>
  </w:style>
  <w:style w:type="character" w:customStyle="1" w:styleId="BodyTextChar">
    <w:name w:val="Body Text Char"/>
    <w:basedOn w:val="DefaultParagraphFont"/>
    <w:link w:val="BodyText"/>
    <w:rsid w:val="00B2587B"/>
    <w:rPr>
      <w:sz w:val="24"/>
    </w:rPr>
  </w:style>
  <w:style w:type="character" w:customStyle="1" w:styleId="base">
    <w:name w:val="base"/>
    <w:basedOn w:val="DefaultParagraphFont"/>
    <w:rsid w:val="00704862"/>
  </w:style>
  <w:style w:type="table" w:styleId="LightShading-Accent6">
    <w:name w:val="Light Shading Accent 6"/>
    <w:basedOn w:val="TableNormal"/>
    <w:uiPriority w:val="60"/>
    <w:rsid w:val="00105F1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105F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105F1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DefaultParagraphFont"/>
    <w:rsid w:val="00E92C90"/>
  </w:style>
  <w:style w:type="character" w:styleId="Hyperlink">
    <w:name w:val="Hyperlink"/>
    <w:basedOn w:val="DefaultParagraphFont"/>
    <w:uiPriority w:val="99"/>
    <w:unhideWhenUsed/>
    <w:rsid w:val="00E92C90"/>
    <w:rPr>
      <w:color w:val="0000FF"/>
      <w:u w:val="single"/>
    </w:rPr>
  </w:style>
  <w:style w:type="paragraph" w:styleId="BalloonText">
    <w:name w:val="Balloon Text"/>
    <w:basedOn w:val="Normal"/>
    <w:link w:val="BalloonTextChar"/>
    <w:rsid w:val="00E92C90"/>
    <w:rPr>
      <w:rFonts w:ascii="Tahoma" w:hAnsi="Tahoma" w:cs="Tahoma"/>
      <w:sz w:val="16"/>
      <w:szCs w:val="16"/>
    </w:rPr>
  </w:style>
  <w:style w:type="character" w:customStyle="1" w:styleId="BalloonTextChar">
    <w:name w:val="Balloon Text Char"/>
    <w:basedOn w:val="DefaultParagraphFont"/>
    <w:link w:val="BalloonText"/>
    <w:rsid w:val="00E92C90"/>
    <w:rPr>
      <w:rFonts w:ascii="Tahoma" w:hAnsi="Tahoma" w:cs="Tahoma"/>
      <w:sz w:val="16"/>
      <w:szCs w:val="16"/>
    </w:rPr>
  </w:style>
  <w:style w:type="table" w:styleId="TableGrid">
    <w:name w:val="Table Grid"/>
    <w:basedOn w:val="TableNormal"/>
    <w:rsid w:val="0087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C75A9"/>
    <w:rPr>
      <w:sz w:val="16"/>
      <w:szCs w:val="16"/>
    </w:rPr>
  </w:style>
  <w:style w:type="paragraph" w:styleId="CommentText">
    <w:name w:val="annotation text"/>
    <w:basedOn w:val="Normal"/>
    <w:link w:val="CommentTextChar"/>
    <w:rsid w:val="00CC75A9"/>
  </w:style>
  <w:style w:type="character" w:customStyle="1" w:styleId="CommentTextChar">
    <w:name w:val="Comment Text Char"/>
    <w:basedOn w:val="DefaultParagraphFont"/>
    <w:link w:val="CommentText"/>
    <w:rsid w:val="00CC75A9"/>
  </w:style>
  <w:style w:type="paragraph" w:styleId="CommentSubject">
    <w:name w:val="annotation subject"/>
    <w:basedOn w:val="CommentText"/>
    <w:next w:val="CommentText"/>
    <w:link w:val="CommentSubjectChar"/>
    <w:rsid w:val="00CC75A9"/>
    <w:rPr>
      <w:b/>
      <w:bCs/>
    </w:rPr>
  </w:style>
  <w:style w:type="character" w:customStyle="1" w:styleId="CommentSubjectChar">
    <w:name w:val="Comment Subject Char"/>
    <w:basedOn w:val="CommentTextChar"/>
    <w:link w:val="CommentSubject"/>
    <w:rsid w:val="00CC75A9"/>
    <w:rPr>
      <w:b/>
      <w:bCs/>
    </w:rPr>
  </w:style>
  <w:style w:type="paragraph" w:styleId="ListParagraph">
    <w:name w:val="List Paragraph"/>
    <w:basedOn w:val="Normal"/>
    <w:uiPriority w:val="34"/>
    <w:qFormat/>
    <w:rsid w:val="00134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5447">
      <w:bodyDiv w:val="1"/>
      <w:marLeft w:val="0"/>
      <w:marRight w:val="0"/>
      <w:marTop w:val="0"/>
      <w:marBottom w:val="0"/>
      <w:divBdr>
        <w:top w:val="none" w:sz="0" w:space="0" w:color="auto"/>
        <w:left w:val="none" w:sz="0" w:space="0" w:color="auto"/>
        <w:bottom w:val="none" w:sz="0" w:space="0" w:color="auto"/>
        <w:right w:val="none" w:sz="0" w:space="0" w:color="auto"/>
      </w:divBdr>
    </w:div>
    <w:div w:id="131407214">
      <w:bodyDiv w:val="1"/>
      <w:marLeft w:val="0"/>
      <w:marRight w:val="0"/>
      <w:marTop w:val="0"/>
      <w:marBottom w:val="0"/>
      <w:divBdr>
        <w:top w:val="none" w:sz="0" w:space="0" w:color="auto"/>
        <w:left w:val="none" w:sz="0" w:space="0" w:color="auto"/>
        <w:bottom w:val="none" w:sz="0" w:space="0" w:color="auto"/>
        <w:right w:val="none" w:sz="0" w:space="0" w:color="auto"/>
      </w:divBdr>
    </w:div>
    <w:div w:id="650987634">
      <w:bodyDiv w:val="1"/>
      <w:marLeft w:val="0"/>
      <w:marRight w:val="0"/>
      <w:marTop w:val="0"/>
      <w:marBottom w:val="0"/>
      <w:divBdr>
        <w:top w:val="none" w:sz="0" w:space="0" w:color="auto"/>
        <w:left w:val="none" w:sz="0" w:space="0" w:color="auto"/>
        <w:bottom w:val="none" w:sz="0" w:space="0" w:color="auto"/>
        <w:right w:val="none" w:sz="0" w:space="0" w:color="auto"/>
      </w:divBdr>
    </w:div>
    <w:div w:id="680282449">
      <w:bodyDiv w:val="1"/>
      <w:marLeft w:val="0"/>
      <w:marRight w:val="0"/>
      <w:marTop w:val="0"/>
      <w:marBottom w:val="0"/>
      <w:divBdr>
        <w:top w:val="none" w:sz="0" w:space="0" w:color="auto"/>
        <w:left w:val="none" w:sz="0" w:space="0" w:color="auto"/>
        <w:bottom w:val="none" w:sz="0" w:space="0" w:color="auto"/>
        <w:right w:val="none" w:sz="0" w:space="0" w:color="auto"/>
      </w:divBdr>
    </w:div>
    <w:div w:id="922027972">
      <w:bodyDiv w:val="1"/>
      <w:marLeft w:val="0"/>
      <w:marRight w:val="0"/>
      <w:marTop w:val="0"/>
      <w:marBottom w:val="0"/>
      <w:divBdr>
        <w:top w:val="none" w:sz="0" w:space="0" w:color="auto"/>
        <w:left w:val="none" w:sz="0" w:space="0" w:color="auto"/>
        <w:bottom w:val="none" w:sz="0" w:space="0" w:color="auto"/>
        <w:right w:val="none" w:sz="0" w:space="0" w:color="auto"/>
      </w:divBdr>
    </w:div>
    <w:div w:id="1169829511">
      <w:bodyDiv w:val="1"/>
      <w:marLeft w:val="0"/>
      <w:marRight w:val="0"/>
      <w:marTop w:val="0"/>
      <w:marBottom w:val="0"/>
      <w:divBdr>
        <w:top w:val="none" w:sz="0" w:space="0" w:color="auto"/>
        <w:left w:val="none" w:sz="0" w:space="0" w:color="auto"/>
        <w:bottom w:val="none" w:sz="0" w:space="0" w:color="auto"/>
        <w:right w:val="none" w:sz="0" w:space="0" w:color="auto"/>
      </w:divBdr>
    </w:div>
    <w:div w:id="1219365658">
      <w:bodyDiv w:val="1"/>
      <w:marLeft w:val="0"/>
      <w:marRight w:val="0"/>
      <w:marTop w:val="0"/>
      <w:marBottom w:val="0"/>
      <w:divBdr>
        <w:top w:val="none" w:sz="0" w:space="0" w:color="auto"/>
        <w:left w:val="none" w:sz="0" w:space="0" w:color="auto"/>
        <w:bottom w:val="none" w:sz="0" w:space="0" w:color="auto"/>
        <w:right w:val="none" w:sz="0" w:space="0" w:color="auto"/>
      </w:divBdr>
    </w:div>
    <w:div w:id="1319533915">
      <w:bodyDiv w:val="1"/>
      <w:marLeft w:val="0"/>
      <w:marRight w:val="0"/>
      <w:marTop w:val="0"/>
      <w:marBottom w:val="0"/>
      <w:divBdr>
        <w:top w:val="none" w:sz="0" w:space="0" w:color="auto"/>
        <w:left w:val="none" w:sz="0" w:space="0" w:color="auto"/>
        <w:bottom w:val="none" w:sz="0" w:space="0" w:color="auto"/>
        <w:right w:val="none" w:sz="0" w:space="0" w:color="auto"/>
      </w:divBdr>
    </w:div>
    <w:div w:id="1467970879">
      <w:bodyDiv w:val="1"/>
      <w:marLeft w:val="0"/>
      <w:marRight w:val="0"/>
      <w:marTop w:val="0"/>
      <w:marBottom w:val="0"/>
      <w:divBdr>
        <w:top w:val="none" w:sz="0" w:space="0" w:color="auto"/>
        <w:left w:val="none" w:sz="0" w:space="0" w:color="auto"/>
        <w:bottom w:val="none" w:sz="0" w:space="0" w:color="auto"/>
        <w:right w:val="none" w:sz="0" w:space="0" w:color="auto"/>
      </w:divBdr>
    </w:div>
    <w:div w:id="1816144253">
      <w:bodyDiv w:val="1"/>
      <w:marLeft w:val="0"/>
      <w:marRight w:val="0"/>
      <w:marTop w:val="0"/>
      <w:marBottom w:val="0"/>
      <w:divBdr>
        <w:top w:val="none" w:sz="0" w:space="0" w:color="auto"/>
        <w:left w:val="none" w:sz="0" w:space="0" w:color="auto"/>
        <w:bottom w:val="none" w:sz="0" w:space="0" w:color="auto"/>
        <w:right w:val="none" w:sz="0" w:space="0" w:color="auto"/>
      </w:divBdr>
    </w:div>
    <w:div w:id="1844317255">
      <w:bodyDiv w:val="1"/>
      <w:marLeft w:val="0"/>
      <w:marRight w:val="0"/>
      <w:marTop w:val="0"/>
      <w:marBottom w:val="0"/>
      <w:divBdr>
        <w:top w:val="none" w:sz="0" w:space="0" w:color="auto"/>
        <w:left w:val="none" w:sz="0" w:space="0" w:color="auto"/>
        <w:bottom w:val="none" w:sz="0" w:space="0" w:color="auto"/>
        <w:right w:val="none" w:sz="0" w:space="0" w:color="auto"/>
      </w:divBdr>
      <w:divsChild>
        <w:div w:id="2133480777">
          <w:marLeft w:val="0"/>
          <w:marRight w:val="0"/>
          <w:marTop w:val="0"/>
          <w:marBottom w:val="0"/>
          <w:divBdr>
            <w:top w:val="none" w:sz="0" w:space="0" w:color="auto"/>
            <w:left w:val="none" w:sz="0" w:space="0" w:color="auto"/>
            <w:bottom w:val="none" w:sz="0" w:space="0" w:color="auto"/>
            <w:right w:val="none" w:sz="0" w:space="0" w:color="auto"/>
          </w:divBdr>
        </w:div>
        <w:div w:id="538398838">
          <w:marLeft w:val="0"/>
          <w:marRight w:val="0"/>
          <w:marTop w:val="0"/>
          <w:marBottom w:val="0"/>
          <w:divBdr>
            <w:top w:val="none" w:sz="0" w:space="0" w:color="auto"/>
            <w:left w:val="none" w:sz="0" w:space="0" w:color="auto"/>
            <w:bottom w:val="none" w:sz="0" w:space="0" w:color="auto"/>
            <w:right w:val="none" w:sz="0" w:space="0" w:color="auto"/>
          </w:divBdr>
          <w:divsChild>
            <w:div w:id="2015452664">
              <w:marLeft w:val="0"/>
              <w:marRight w:val="0"/>
              <w:marTop w:val="0"/>
              <w:marBottom w:val="0"/>
              <w:divBdr>
                <w:top w:val="none" w:sz="0" w:space="0" w:color="auto"/>
                <w:left w:val="none" w:sz="0" w:space="0" w:color="auto"/>
                <w:bottom w:val="none" w:sz="0" w:space="0" w:color="auto"/>
                <w:right w:val="none" w:sz="0" w:space="0" w:color="auto"/>
              </w:divBdr>
            </w:div>
            <w:div w:id="450589230">
              <w:marLeft w:val="0"/>
              <w:marRight w:val="0"/>
              <w:marTop w:val="0"/>
              <w:marBottom w:val="0"/>
              <w:divBdr>
                <w:top w:val="none" w:sz="0" w:space="0" w:color="auto"/>
                <w:left w:val="none" w:sz="0" w:space="0" w:color="auto"/>
                <w:bottom w:val="none" w:sz="0" w:space="0" w:color="auto"/>
                <w:right w:val="none" w:sz="0" w:space="0" w:color="auto"/>
              </w:divBdr>
            </w:div>
            <w:div w:id="89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9440">
      <w:bodyDiv w:val="1"/>
      <w:marLeft w:val="0"/>
      <w:marRight w:val="0"/>
      <w:marTop w:val="0"/>
      <w:marBottom w:val="0"/>
      <w:divBdr>
        <w:top w:val="none" w:sz="0" w:space="0" w:color="auto"/>
        <w:left w:val="none" w:sz="0" w:space="0" w:color="auto"/>
        <w:bottom w:val="none" w:sz="0" w:space="0" w:color="auto"/>
        <w:right w:val="none" w:sz="0" w:space="0" w:color="auto"/>
      </w:divBdr>
    </w:div>
    <w:div w:id="21088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rwebgate6.access.gpo.gov/cgi-bin/PDFgate.cgi?WAISdocID=333911401123+0+2+0&amp;WAISaction=retriev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119C-9F61-4676-9622-2D0A9ED9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12845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cp:revision>
  <cp:lastPrinted>2014-08-29T18:09:00Z</cp:lastPrinted>
  <dcterms:created xsi:type="dcterms:W3CDTF">2014-09-03T20:49:00Z</dcterms:created>
  <dcterms:modified xsi:type="dcterms:W3CDTF">2014-09-03T20:49:00Z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233754712</vt:i4>
  </property>
</Properties>
</file>