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1573D6" w:rsidP="00093E43">
      <w:pPr>
        <w:pStyle w:val="Default"/>
        <w:jc w:val="center"/>
      </w:pPr>
      <w:r>
        <w:rPr>
          <w:b/>
          <w:bCs/>
        </w:rPr>
        <w:t>COASTAL HOUSEHOLD TELEPHONE SURVEY (CHTS)</w:t>
      </w:r>
    </w:p>
    <w:p w:rsidR="007E59B4" w:rsidRDefault="007E59B4" w:rsidP="00093E43">
      <w:pPr>
        <w:pStyle w:val="Default"/>
        <w:jc w:val="center"/>
      </w:pPr>
      <w:proofErr w:type="gramStart"/>
      <w:r>
        <w:rPr>
          <w:b/>
          <w:bCs/>
        </w:rPr>
        <w:t>OMB CONTROL NO.</w:t>
      </w:r>
      <w:proofErr w:type="gramEnd"/>
      <w:r>
        <w:rPr>
          <w:b/>
          <w:bCs/>
        </w:rPr>
        <w:t xml:space="preserve"> </w:t>
      </w:r>
      <w:r w:rsidR="001C4A9B">
        <w:rPr>
          <w:b/>
          <w:bCs/>
        </w:rPr>
        <w:t>0648-</w:t>
      </w:r>
      <w:r w:rsidR="005454ED">
        <w:rPr>
          <w:b/>
          <w:bCs/>
        </w:rPr>
        <w:t>XXXX</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B503CD">
      <w:pPr>
        <w:pStyle w:val="Default"/>
        <w:ind w:left="720"/>
      </w:pPr>
    </w:p>
    <w:p w:rsidR="00B503CD" w:rsidRDefault="00B503CD" w:rsidP="00B503CD">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(e.g.</w:t>
      </w:r>
      <w:r w:rsidR="005454ED">
        <w:rPr>
          <w:b/>
        </w:rPr>
        <w:t>,</w:t>
      </w:r>
      <w:r w:rsidRPr="00270DD1">
        <w:rPr>
          <w:b/>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C36271" w:rsidRDefault="00C36271" w:rsidP="00C36271">
      <w:pPr>
        <w:pStyle w:val="Default"/>
      </w:pPr>
    </w:p>
    <w:p w:rsidR="005773C5" w:rsidRDefault="00C36271" w:rsidP="00C36271">
      <w:pPr>
        <w:pStyle w:val="Default"/>
      </w:pPr>
      <w:r>
        <w:t xml:space="preserve">The Coastal Household Telephone Survey (CHTS) is a bi-monthly (wave), random digit dial </w:t>
      </w:r>
      <w:r w:rsidR="00F3143D">
        <w:t xml:space="preserve">(RDD) </w:t>
      </w:r>
      <w:r>
        <w:t xml:space="preserve">telephone survey designed to estimate the number of recreational shore and private boat fishing trips taken by residents of coastal counties.  </w:t>
      </w:r>
      <w:r w:rsidR="005773C5">
        <w:t>Each year, t</w:t>
      </w:r>
      <w:r>
        <w:t xml:space="preserve">he CHTS will be conducted for six, two-month reference waves in 17 states bordering the Atlantic Coast and Gulf of Mexico, with the exception of Texas, as well as in Puerto Rico and Hawaii.  </w:t>
      </w:r>
    </w:p>
    <w:p w:rsidR="005773C5" w:rsidRDefault="005773C5" w:rsidP="00C36271">
      <w:pPr>
        <w:pStyle w:val="Default"/>
      </w:pPr>
    </w:p>
    <w:p w:rsidR="00CE214D" w:rsidRDefault="00EB5034" w:rsidP="00C36271">
      <w:pPr>
        <w:pStyle w:val="Default"/>
      </w:pPr>
      <w:r>
        <w:t xml:space="preserve">The </w:t>
      </w:r>
      <w:r w:rsidR="00CE214D">
        <w:t>target population</w:t>
      </w:r>
      <w:r>
        <w:t xml:space="preserve"> for the CHTS is the population of full-time, residential households located in the coastal counties of the survey states</w:t>
      </w:r>
      <w:r>
        <w:rPr>
          <w:rStyle w:val="FootnoteReference"/>
        </w:rPr>
        <w:footnoteReference w:id="1"/>
      </w:r>
      <w:r>
        <w:t>.</w:t>
      </w:r>
      <w:r w:rsidR="00A931AA">
        <w:t xml:space="preserve">  </w:t>
      </w:r>
      <w:r w:rsidR="00B67A2D">
        <w:t>To represent this population</w:t>
      </w:r>
      <w:r w:rsidR="00A931AA">
        <w:t xml:space="preserve">, we </w:t>
      </w:r>
      <w:r w:rsidR="00D15588">
        <w:t xml:space="preserve">will sample a sufficient number of telephone numbers to achieve a target of </w:t>
      </w:r>
      <w:r w:rsidR="001A14D9">
        <w:t>2</w:t>
      </w:r>
      <w:r w:rsidR="00C762C0">
        <w:t>28</w:t>
      </w:r>
      <w:r w:rsidR="001A14D9">
        <w:t>,000</w:t>
      </w:r>
      <w:r w:rsidR="00D15588">
        <w:t xml:space="preserve"> completed </w:t>
      </w:r>
      <w:r w:rsidR="00B67A2D">
        <w:t xml:space="preserve">household </w:t>
      </w:r>
      <w:r w:rsidR="00D15588">
        <w:t xml:space="preserve">interviews.  </w:t>
      </w:r>
      <w:r w:rsidR="001A14D9">
        <w:t>Table 1 provides the estimated size of the target population, the expected number of sampled telephone numbers and completed household interviews, and the expected response rates</w:t>
      </w:r>
      <w:r w:rsidR="001A14D9">
        <w:rPr>
          <w:rStyle w:val="FootnoteReference"/>
        </w:rPr>
        <w:footnoteReference w:id="2"/>
      </w:r>
      <w:r w:rsidR="00C30386">
        <w:t>, overall and by reference wave.</w:t>
      </w:r>
      <w:r w:rsidR="00A931BE">
        <w:t xml:space="preserve">  </w:t>
      </w:r>
    </w:p>
    <w:p w:rsidR="00CE214D" w:rsidRDefault="00CE214D" w:rsidP="00C36271">
      <w:pPr>
        <w:pStyle w:val="Default"/>
      </w:pPr>
    </w:p>
    <w:p w:rsidR="00BA6266" w:rsidRDefault="00BA6266">
      <w:pPr>
        <w:spacing w:after="200" w:line="276" w:lineRule="auto"/>
        <w:rPr>
          <w:color w:val="000000"/>
        </w:rPr>
      </w:pPr>
      <w:r>
        <w:br w:type="page"/>
      </w:r>
    </w:p>
    <w:p w:rsidR="00CE214D" w:rsidRDefault="00CE214D" w:rsidP="00C36271">
      <w:pPr>
        <w:pStyle w:val="Default"/>
      </w:pPr>
      <w:proofErr w:type="gramStart"/>
      <w:r>
        <w:lastRenderedPageBreak/>
        <w:t>Table 1.</w:t>
      </w:r>
      <w:proofErr w:type="gramEnd"/>
      <w:r w:rsidR="00981CA4" w:rsidRPr="00981CA4">
        <w:rPr>
          <w:sz w:val="22"/>
          <w:szCs w:val="22"/>
        </w:rPr>
        <w:t xml:space="preserve"> </w:t>
      </w:r>
      <w:r w:rsidR="00981CA4" w:rsidRPr="00871E58">
        <w:rPr>
          <w:sz w:val="22"/>
          <w:szCs w:val="22"/>
        </w:rPr>
        <w:t xml:space="preserve">Estimated size of </w:t>
      </w:r>
      <w:r w:rsidR="00981CA4">
        <w:rPr>
          <w:sz w:val="22"/>
          <w:szCs w:val="22"/>
        </w:rPr>
        <w:t>the target population</w:t>
      </w:r>
      <w:r w:rsidR="00981CA4" w:rsidRPr="00871E58">
        <w:rPr>
          <w:sz w:val="22"/>
          <w:szCs w:val="22"/>
        </w:rPr>
        <w:t xml:space="preserve">, </w:t>
      </w:r>
      <w:r w:rsidR="00981CA4">
        <w:rPr>
          <w:sz w:val="22"/>
          <w:szCs w:val="22"/>
        </w:rPr>
        <w:t>number of sampled telephone numbers</w:t>
      </w:r>
      <w:r w:rsidR="00981CA4" w:rsidRPr="00871E58">
        <w:rPr>
          <w:sz w:val="22"/>
          <w:szCs w:val="22"/>
        </w:rPr>
        <w:t xml:space="preserve">, </w:t>
      </w:r>
      <w:proofErr w:type="gramStart"/>
      <w:r w:rsidR="008E5DB9">
        <w:rPr>
          <w:sz w:val="22"/>
          <w:szCs w:val="22"/>
        </w:rPr>
        <w:t>expected</w:t>
      </w:r>
      <w:proofErr w:type="gramEnd"/>
      <w:r w:rsidR="008E5DB9">
        <w:rPr>
          <w:sz w:val="22"/>
          <w:szCs w:val="22"/>
        </w:rPr>
        <w:t xml:space="preserve"> percentage of sampled telephone numbers that are residential, </w:t>
      </w:r>
      <w:r w:rsidR="00981CA4" w:rsidRPr="00871E58">
        <w:rPr>
          <w:sz w:val="22"/>
          <w:szCs w:val="22"/>
        </w:rPr>
        <w:t xml:space="preserve">expected response rates and estimated number of completed household interviews per wave for the </w:t>
      </w:r>
      <w:r w:rsidR="00981CA4">
        <w:rPr>
          <w:sz w:val="22"/>
          <w:szCs w:val="22"/>
        </w:rPr>
        <w:t>Coastal Household Telephone Survey</w:t>
      </w:r>
      <w:r w:rsidR="00981CA4" w:rsidRPr="00871E58">
        <w:rPr>
          <w:sz w:val="22"/>
          <w:szCs w:val="22"/>
        </w:rPr>
        <w:t>.</w:t>
      </w:r>
    </w:p>
    <w:tbl>
      <w:tblPr>
        <w:tblW w:w="9840" w:type="dxa"/>
        <w:tblInd w:w="93" w:type="dxa"/>
        <w:tblLook w:val="04A0" w:firstRow="1" w:lastRow="0" w:firstColumn="1" w:lastColumn="0" w:noHBand="0" w:noVBand="1"/>
      </w:tblPr>
      <w:tblGrid>
        <w:gridCol w:w="1420"/>
        <w:gridCol w:w="1600"/>
        <w:gridCol w:w="1780"/>
        <w:gridCol w:w="1620"/>
        <w:gridCol w:w="1720"/>
        <w:gridCol w:w="1700"/>
      </w:tblGrid>
      <w:tr w:rsidR="00BA6266" w:rsidRPr="00BA6266" w:rsidTr="00BA6266">
        <w:trPr>
          <w:trHeight w:val="1500"/>
        </w:trPr>
        <w:tc>
          <w:tcPr>
            <w:tcW w:w="1420" w:type="dxa"/>
            <w:tcBorders>
              <w:top w:val="single" w:sz="4" w:space="0" w:color="auto"/>
              <w:left w:val="nil"/>
              <w:bottom w:val="single" w:sz="4" w:space="0" w:color="auto"/>
              <w:right w:val="nil"/>
            </w:tcBorders>
            <w:shd w:val="clear" w:color="auto" w:fill="auto"/>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Reference Wave</w:t>
            </w:r>
          </w:p>
        </w:tc>
        <w:tc>
          <w:tcPr>
            <w:tcW w:w="1600" w:type="dxa"/>
            <w:tcBorders>
              <w:top w:val="single" w:sz="4" w:space="0" w:color="auto"/>
              <w:left w:val="nil"/>
              <w:bottom w:val="single" w:sz="4" w:space="0" w:color="auto"/>
              <w:right w:val="nil"/>
            </w:tcBorders>
            <w:shd w:val="clear" w:color="auto" w:fill="auto"/>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Estimated Number of Households in Target Population</w:t>
            </w:r>
            <w:r w:rsidR="002F2C68">
              <w:rPr>
                <w:rStyle w:val="FootnoteReference"/>
                <w:rFonts w:ascii="Calibri" w:hAnsi="Calibri"/>
                <w:color w:val="000000"/>
                <w:sz w:val="22"/>
                <w:szCs w:val="22"/>
              </w:rPr>
              <w:footnoteReference w:id="3"/>
            </w:r>
          </w:p>
        </w:tc>
        <w:tc>
          <w:tcPr>
            <w:tcW w:w="1780" w:type="dxa"/>
            <w:tcBorders>
              <w:top w:val="single" w:sz="4" w:space="0" w:color="auto"/>
              <w:left w:val="nil"/>
              <w:bottom w:val="single" w:sz="4" w:space="0" w:color="auto"/>
              <w:right w:val="nil"/>
            </w:tcBorders>
            <w:shd w:val="clear" w:color="auto" w:fill="auto"/>
            <w:vAlign w:val="bottom"/>
            <w:hideMark/>
          </w:tcPr>
          <w:p w:rsidR="00BA6266" w:rsidRPr="00BA6266" w:rsidRDefault="00FB2D99" w:rsidP="00BA6266">
            <w:pPr>
              <w:spacing w:line="240" w:lineRule="auto"/>
              <w:jc w:val="center"/>
              <w:rPr>
                <w:rFonts w:ascii="Calibri" w:hAnsi="Calibri"/>
                <w:color w:val="000000"/>
                <w:sz w:val="22"/>
                <w:szCs w:val="22"/>
              </w:rPr>
            </w:pPr>
            <w:r>
              <w:rPr>
                <w:rFonts w:ascii="Calibri" w:hAnsi="Calibri"/>
                <w:color w:val="000000"/>
                <w:sz w:val="22"/>
                <w:szCs w:val="22"/>
              </w:rPr>
              <w:t>Estimated</w:t>
            </w:r>
            <w:r w:rsidRPr="00BA6266">
              <w:rPr>
                <w:rFonts w:ascii="Calibri" w:hAnsi="Calibri"/>
                <w:color w:val="000000"/>
                <w:sz w:val="22"/>
                <w:szCs w:val="22"/>
              </w:rPr>
              <w:t xml:space="preserve"> </w:t>
            </w:r>
            <w:r w:rsidR="00BA6266" w:rsidRPr="00BA6266">
              <w:rPr>
                <w:rFonts w:ascii="Calibri" w:hAnsi="Calibri"/>
                <w:color w:val="000000"/>
                <w:sz w:val="22"/>
                <w:szCs w:val="22"/>
              </w:rPr>
              <w:t>Number of Sampled Telephone Numbers</w:t>
            </w:r>
          </w:p>
        </w:tc>
        <w:tc>
          <w:tcPr>
            <w:tcW w:w="1620" w:type="dxa"/>
            <w:tcBorders>
              <w:top w:val="single" w:sz="4" w:space="0" w:color="auto"/>
              <w:left w:val="nil"/>
              <w:bottom w:val="single" w:sz="4" w:space="0" w:color="auto"/>
              <w:right w:val="nil"/>
            </w:tcBorders>
            <w:shd w:val="clear" w:color="auto" w:fill="auto"/>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 xml:space="preserve">Expected Percent of Sampled </w:t>
            </w:r>
            <w:r w:rsidR="008E52A6">
              <w:rPr>
                <w:rFonts w:ascii="Calibri" w:hAnsi="Calibri"/>
                <w:color w:val="000000"/>
                <w:sz w:val="22"/>
                <w:szCs w:val="22"/>
              </w:rPr>
              <w:t xml:space="preserve">Telephone </w:t>
            </w:r>
            <w:r w:rsidRPr="00BA6266">
              <w:rPr>
                <w:rFonts w:ascii="Calibri" w:hAnsi="Calibri"/>
                <w:color w:val="000000"/>
                <w:sz w:val="22"/>
                <w:szCs w:val="22"/>
              </w:rPr>
              <w:t>Numbers that are Residential</w:t>
            </w:r>
          </w:p>
        </w:tc>
        <w:tc>
          <w:tcPr>
            <w:tcW w:w="1720" w:type="dxa"/>
            <w:tcBorders>
              <w:top w:val="single" w:sz="4" w:space="0" w:color="auto"/>
              <w:left w:val="nil"/>
              <w:bottom w:val="single" w:sz="4" w:space="0" w:color="auto"/>
              <w:right w:val="nil"/>
            </w:tcBorders>
            <w:shd w:val="clear" w:color="auto" w:fill="auto"/>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Expected Response Rate</w:t>
            </w:r>
          </w:p>
        </w:tc>
        <w:tc>
          <w:tcPr>
            <w:tcW w:w="1700" w:type="dxa"/>
            <w:tcBorders>
              <w:top w:val="single" w:sz="4" w:space="0" w:color="auto"/>
              <w:left w:val="nil"/>
              <w:bottom w:val="single" w:sz="4" w:space="0" w:color="auto"/>
              <w:right w:val="nil"/>
            </w:tcBorders>
            <w:shd w:val="clear" w:color="auto" w:fill="auto"/>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Expected Number of Completed Household Interviews</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1 (Jan/Feb)</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11,623,764</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551,694</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19,861</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2 (Mar/APR)</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27,784,857</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819,278</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29,494</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3 (May/Jun)</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30,107,559</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1,312,806</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47,261</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4 (Jul/Aug)</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30,107,559</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1,635,972</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58,895</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5 (Sep/Oct)</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30,107,559</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1,182,611</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42,574</w:t>
            </w:r>
          </w:p>
        </w:tc>
      </w:tr>
      <w:tr w:rsidR="00BA6266" w:rsidRPr="00BA6266" w:rsidTr="00BA6266">
        <w:trPr>
          <w:trHeight w:val="300"/>
        </w:trPr>
        <w:tc>
          <w:tcPr>
            <w:tcW w:w="14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rPr>
                <w:rFonts w:ascii="Calibri" w:hAnsi="Calibri"/>
                <w:color w:val="000000"/>
                <w:sz w:val="22"/>
                <w:szCs w:val="22"/>
              </w:rPr>
            </w:pPr>
            <w:r w:rsidRPr="00BA6266">
              <w:rPr>
                <w:rFonts w:ascii="Calibri" w:hAnsi="Calibri"/>
                <w:color w:val="000000"/>
                <w:sz w:val="22"/>
                <w:szCs w:val="22"/>
              </w:rPr>
              <w:t>6 (Nov/Dec)</w:t>
            </w:r>
          </w:p>
        </w:tc>
        <w:tc>
          <w:tcPr>
            <w:tcW w:w="16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27,784,857</w:t>
            </w:r>
          </w:p>
        </w:tc>
        <w:tc>
          <w:tcPr>
            <w:tcW w:w="1780" w:type="dxa"/>
            <w:tcBorders>
              <w:top w:val="nil"/>
              <w:left w:val="nil"/>
              <w:bottom w:val="nil"/>
              <w:right w:val="nil"/>
            </w:tcBorders>
            <w:shd w:val="clear" w:color="auto" w:fill="auto"/>
            <w:noWrap/>
            <w:vAlign w:val="bottom"/>
            <w:hideMark/>
          </w:tcPr>
          <w:p w:rsidR="00BA6266" w:rsidRPr="00BA6266" w:rsidRDefault="00891605" w:rsidP="00BA6266">
            <w:pPr>
              <w:spacing w:line="240" w:lineRule="auto"/>
              <w:jc w:val="center"/>
              <w:rPr>
                <w:rFonts w:ascii="Calibri" w:hAnsi="Calibri"/>
                <w:color w:val="000000"/>
                <w:sz w:val="22"/>
                <w:szCs w:val="22"/>
              </w:rPr>
            </w:pPr>
            <w:r>
              <w:rPr>
                <w:rFonts w:ascii="Calibri" w:hAnsi="Calibri"/>
                <w:color w:val="000000"/>
                <w:sz w:val="22"/>
                <w:szCs w:val="22"/>
              </w:rPr>
              <w:t>830,972</w:t>
            </w:r>
          </w:p>
        </w:tc>
        <w:tc>
          <w:tcPr>
            <w:tcW w:w="16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12.0</w:t>
            </w:r>
          </w:p>
        </w:tc>
        <w:tc>
          <w:tcPr>
            <w:tcW w:w="172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30.0</w:t>
            </w:r>
          </w:p>
        </w:tc>
        <w:tc>
          <w:tcPr>
            <w:tcW w:w="1700" w:type="dxa"/>
            <w:tcBorders>
              <w:top w:val="nil"/>
              <w:left w:val="nil"/>
              <w:bottom w:val="nil"/>
              <w:right w:val="nil"/>
            </w:tcBorders>
            <w:shd w:val="clear" w:color="auto" w:fill="auto"/>
            <w:noWrap/>
            <w:vAlign w:val="bottom"/>
            <w:hideMark/>
          </w:tcPr>
          <w:p w:rsidR="00BA6266" w:rsidRPr="00BA6266" w:rsidRDefault="00BA6266" w:rsidP="00BA6266">
            <w:pPr>
              <w:spacing w:line="240" w:lineRule="auto"/>
              <w:jc w:val="center"/>
              <w:rPr>
                <w:rFonts w:ascii="Calibri" w:hAnsi="Calibri"/>
                <w:color w:val="000000"/>
                <w:sz w:val="22"/>
                <w:szCs w:val="22"/>
              </w:rPr>
            </w:pPr>
            <w:r w:rsidRPr="00BA6266">
              <w:rPr>
                <w:rFonts w:ascii="Calibri" w:hAnsi="Calibri"/>
                <w:color w:val="000000"/>
                <w:sz w:val="22"/>
                <w:szCs w:val="22"/>
              </w:rPr>
              <w:t>29,915</w:t>
            </w:r>
          </w:p>
        </w:tc>
      </w:tr>
      <w:tr w:rsidR="00BA6266" w:rsidRPr="00BA6266" w:rsidTr="00BA6266">
        <w:trPr>
          <w:trHeight w:val="300"/>
        </w:trPr>
        <w:tc>
          <w:tcPr>
            <w:tcW w:w="1420" w:type="dxa"/>
            <w:tcBorders>
              <w:top w:val="nil"/>
              <w:left w:val="nil"/>
              <w:bottom w:val="single" w:sz="4" w:space="0" w:color="auto"/>
              <w:right w:val="nil"/>
            </w:tcBorders>
            <w:shd w:val="clear" w:color="auto" w:fill="auto"/>
            <w:noWrap/>
            <w:vAlign w:val="bottom"/>
            <w:hideMark/>
          </w:tcPr>
          <w:p w:rsidR="00BA6266" w:rsidRPr="00FD138E" w:rsidRDefault="00BA6266" w:rsidP="00BA6266">
            <w:pPr>
              <w:spacing w:line="240" w:lineRule="auto"/>
              <w:rPr>
                <w:rFonts w:ascii="Calibri" w:hAnsi="Calibri"/>
                <w:b/>
                <w:color w:val="000000"/>
                <w:sz w:val="22"/>
                <w:szCs w:val="22"/>
              </w:rPr>
            </w:pPr>
            <w:r w:rsidRPr="00FD138E">
              <w:rPr>
                <w:rFonts w:ascii="Calibri" w:hAnsi="Calibri"/>
                <w:b/>
                <w:color w:val="000000"/>
                <w:sz w:val="22"/>
                <w:szCs w:val="22"/>
              </w:rPr>
              <w:t>Overall</w:t>
            </w:r>
          </w:p>
        </w:tc>
        <w:tc>
          <w:tcPr>
            <w:tcW w:w="1600" w:type="dxa"/>
            <w:tcBorders>
              <w:top w:val="nil"/>
              <w:left w:val="nil"/>
              <w:bottom w:val="single" w:sz="4" w:space="0" w:color="auto"/>
              <w:right w:val="nil"/>
            </w:tcBorders>
            <w:shd w:val="clear" w:color="auto" w:fill="auto"/>
            <w:noWrap/>
            <w:vAlign w:val="bottom"/>
            <w:hideMark/>
          </w:tcPr>
          <w:p w:rsidR="00BA6266" w:rsidRPr="00FD138E" w:rsidRDefault="00BA6266" w:rsidP="00BA6266">
            <w:pPr>
              <w:spacing w:line="240" w:lineRule="auto"/>
              <w:jc w:val="center"/>
              <w:rPr>
                <w:rFonts w:ascii="Calibri" w:hAnsi="Calibri"/>
                <w:b/>
                <w:color w:val="000000"/>
                <w:sz w:val="22"/>
                <w:szCs w:val="22"/>
              </w:rPr>
            </w:pPr>
            <w:r w:rsidRPr="00FD138E">
              <w:rPr>
                <w:rFonts w:ascii="Calibri" w:hAnsi="Calibri"/>
                <w:b/>
                <w:color w:val="000000"/>
                <w:sz w:val="22"/>
                <w:szCs w:val="22"/>
              </w:rPr>
              <w:t> </w:t>
            </w:r>
          </w:p>
        </w:tc>
        <w:tc>
          <w:tcPr>
            <w:tcW w:w="1780" w:type="dxa"/>
            <w:tcBorders>
              <w:top w:val="nil"/>
              <w:left w:val="nil"/>
              <w:bottom w:val="single" w:sz="4" w:space="0" w:color="auto"/>
              <w:right w:val="nil"/>
            </w:tcBorders>
            <w:shd w:val="clear" w:color="auto" w:fill="auto"/>
            <w:noWrap/>
            <w:vAlign w:val="bottom"/>
            <w:hideMark/>
          </w:tcPr>
          <w:p w:rsidR="00BA6266" w:rsidRPr="00FD138E" w:rsidRDefault="00BA6266" w:rsidP="00891605">
            <w:pPr>
              <w:spacing w:line="240" w:lineRule="auto"/>
              <w:jc w:val="center"/>
              <w:rPr>
                <w:rFonts w:ascii="Calibri" w:hAnsi="Calibri"/>
                <w:b/>
                <w:color w:val="000000"/>
                <w:sz w:val="22"/>
                <w:szCs w:val="22"/>
              </w:rPr>
            </w:pPr>
            <w:r w:rsidRPr="00FD138E">
              <w:rPr>
                <w:rFonts w:ascii="Calibri" w:hAnsi="Calibri"/>
                <w:b/>
                <w:color w:val="000000"/>
                <w:sz w:val="22"/>
                <w:szCs w:val="22"/>
              </w:rPr>
              <w:t>6,</w:t>
            </w:r>
            <w:r w:rsidR="00891605" w:rsidRPr="00FD138E">
              <w:rPr>
                <w:rFonts w:ascii="Calibri" w:hAnsi="Calibri"/>
                <w:b/>
                <w:color w:val="000000"/>
                <w:sz w:val="22"/>
                <w:szCs w:val="22"/>
              </w:rPr>
              <w:t>333,333</w:t>
            </w:r>
          </w:p>
        </w:tc>
        <w:tc>
          <w:tcPr>
            <w:tcW w:w="1620" w:type="dxa"/>
            <w:tcBorders>
              <w:top w:val="nil"/>
              <w:left w:val="nil"/>
              <w:bottom w:val="single" w:sz="4" w:space="0" w:color="auto"/>
              <w:right w:val="nil"/>
            </w:tcBorders>
            <w:shd w:val="clear" w:color="auto" w:fill="auto"/>
            <w:noWrap/>
            <w:vAlign w:val="bottom"/>
            <w:hideMark/>
          </w:tcPr>
          <w:p w:rsidR="00BA6266" w:rsidRPr="00FD138E" w:rsidRDefault="00BA6266" w:rsidP="00BA6266">
            <w:pPr>
              <w:spacing w:line="240" w:lineRule="auto"/>
              <w:jc w:val="center"/>
              <w:rPr>
                <w:rFonts w:ascii="Calibri" w:hAnsi="Calibri"/>
                <w:b/>
                <w:color w:val="000000"/>
                <w:sz w:val="22"/>
                <w:szCs w:val="22"/>
              </w:rPr>
            </w:pPr>
            <w:r w:rsidRPr="00FD138E">
              <w:rPr>
                <w:rFonts w:ascii="Calibri" w:hAnsi="Calibri"/>
                <w:b/>
                <w:color w:val="000000"/>
                <w:sz w:val="22"/>
                <w:szCs w:val="22"/>
              </w:rPr>
              <w:t>12.0</w:t>
            </w:r>
          </w:p>
        </w:tc>
        <w:tc>
          <w:tcPr>
            <w:tcW w:w="1720" w:type="dxa"/>
            <w:tcBorders>
              <w:top w:val="nil"/>
              <w:left w:val="nil"/>
              <w:bottom w:val="single" w:sz="4" w:space="0" w:color="auto"/>
              <w:right w:val="nil"/>
            </w:tcBorders>
            <w:shd w:val="clear" w:color="auto" w:fill="auto"/>
            <w:noWrap/>
            <w:vAlign w:val="bottom"/>
            <w:hideMark/>
          </w:tcPr>
          <w:p w:rsidR="00BA6266" w:rsidRPr="00FD138E" w:rsidRDefault="00BA6266" w:rsidP="00BA6266">
            <w:pPr>
              <w:spacing w:line="240" w:lineRule="auto"/>
              <w:jc w:val="center"/>
              <w:rPr>
                <w:rFonts w:ascii="Calibri" w:hAnsi="Calibri"/>
                <w:b/>
                <w:color w:val="000000"/>
                <w:sz w:val="22"/>
                <w:szCs w:val="22"/>
              </w:rPr>
            </w:pPr>
            <w:r w:rsidRPr="00FD138E">
              <w:rPr>
                <w:rFonts w:ascii="Calibri" w:hAnsi="Calibri"/>
                <w:b/>
                <w:color w:val="000000"/>
                <w:sz w:val="22"/>
                <w:szCs w:val="22"/>
              </w:rPr>
              <w:t>30.0</w:t>
            </w:r>
          </w:p>
        </w:tc>
        <w:tc>
          <w:tcPr>
            <w:tcW w:w="1700" w:type="dxa"/>
            <w:tcBorders>
              <w:top w:val="nil"/>
              <w:left w:val="nil"/>
              <w:bottom w:val="single" w:sz="4" w:space="0" w:color="auto"/>
              <w:right w:val="nil"/>
            </w:tcBorders>
            <w:shd w:val="clear" w:color="auto" w:fill="auto"/>
            <w:noWrap/>
            <w:vAlign w:val="bottom"/>
            <w:hideMark/>
          </w:tcPr>
          <w:p w:rsidR="00BA6266" w:rsidRPr="00FD138E" w:rsidRDefault="00BA6266" w:rsidP="00BA6266">
            <w:pPr>
              <w:spacing w:line="240" w:lineRule="auto"/>
              <w:jc w:val="center"/>
              <w:rPr>
                <w:rFonts w:ascii="Calibri" w:hAnsi="Calibri"/>
                <w:b/>
                <w:color w:val="000000"/>
                <w:sz w:val="22"/>
                <w:szCs w:val="22"/>
              </w:rPr>
            </w:pPr>
            <w:r w:rsidRPr="00FD138E">
              <w:rPr>
                <w:rFonts w:ascii="Calibri" w:hAnsi="Calibri"/>
                <w:b/>
                <w:color w:val="000000"/>
                <w:sz w:val="22"/>
                <w:szCs w:val="22"/>
              </w:rPr>
              <w:t>228,000</w:t>
            </w:r>
          </w:p>
        </w:tc>
      </w:tr>
    </w:tbl>
    <w:p w:rsidR="00C36271" w:rsidRPr="00C36271" w:rsidRDefault="00EB5034" w:rsidP="00C36271">
      <w:pPr>
        <w:pStyle w:val="Default"/>
      </w:pPr>
      <w:r>
        <w:t xml:space="preserve">  </w:t>
      </w:r>
    </w:p>
    <w:p w:rsidR="00B503CD" w:rsidRDefault="00B503CD" w:rsidP="00B503CD">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2F37B6" w:rsidRDefault="002F37B6" w:rsidP="002F37B6">
      <w:pPr>
        <w:pStyle w:val="Default"/>
      </w:pPr>
    </w:p>
    <w:p w:rsidR="002F37B6" w:rsidRPr="002F37B6" w:rsidRDefault="002F37B6" w:rsidP="002F37B6">
      <w:pPr>
        <w:pStyle w:val="Default"/>
      </w:pPr>
      <w:r>
        <w:t>2.1. Sampling Design</w:t>
      </w:r>
    </w:p>
    <w:p w:rsidR="00F3143D" w:rsidRDefault="00F3143D" w:rsidP="00F3143D">
      <w:pPr>
        <w:pStyle w:val="Default"/>
      </w:pPr>
    </w:p>
    <w:p w:rsidR="00B64521" w:rsidRDefault="00F3143D" w:rsidP="00F3143D">
      <w:pPr>
        <w:pStyle w:val="Default"/>
      </w:pPr>
      <w:r>
        <w:t xml:space="preserve">The CHTS utilizes a list-assisted RDD approach.  </w:t>
      </w:r>
      <w:r w:rsidRPr="002F7038">
        <w:t xml:space="preserve">The sample frame </w:t>
      </w:r>
      <w:r>
        <w:t xml:space="preserve">for the survey </w:t>
      </w:r>
      <w:r w:rsidRPr="002F7038">
        <w:t>include</w:t>
      </w:r>
      <w:r>
        <w:t>s</w:t>
      </w:r>
      <w:r w:rsidRPr="002F7038">
        <w:t xml:space="preserve"> all </w:t>
      </w:r>
      <w:r w:rsidR="00387C8F">
        <w:t xml:space="preserve">telephone </w:t>
      </w:r>
      <w:r>
        <w:t xml:space="preserve">numbers in </w:t>
      </w:r>
      <w:r w:rsidRPr="002F7038">
        <w:t xml:space="preserve">hundred-banks </w:t>
      </w:r>
      <w:r w:rsidR="00387C8F">
        <w:t xml:space="preserve">(the set of numbers with the same first eight digits) </w:t>
      </w:r>
      <w:r w:rsidRPr="002F7038">
        <w:t>that contain at least one number</w:t>
      </w:r>
      <w:r w:rsidR="00387C8F">
        <w:t xml:space="preserve"> listed in the white pages directory</w:t>
      </w:r>
      <w:r>
        <w:t>.</w:t>
      </w:r>
      <w:r w:rsidR="00B64521">
        <w:t xml:space="preserve">  </w:t>
      </w:r>
      <w:r w:rsidR="00E65916">
        <w:t xml:space="preserve">Consequently, the frame includes both listed and unlisted telephone numbers.  </w:t>
      </w:r>
      <w:r w:rsidR="003C3D57">
        <w:t>The sample frame excludes telephone exchanges that are known to be assigned only to cell phones and</w:t>
      </w:r>
      <w:r w:rsidR="00B64521">
        <w:t xml:space="preserve"> is updated each wave to ensure that working blocks of </w:t>
      </w:r>
      <w:r w:rsidR="0022053A">
        <w:t xml:space="preserve">telephone </w:t>
      </w:r>
      <w:r w:rsidR="00B64521">
        <w:t xml:space="preserve">numbers are not inappropriately excluded.  </w:t>
      </w:r>
      <w:r>
        <w:t xml:space="preserve">  </w:t>
      </w:r>
    </w:p>
    <w:p w:rsidR="00B64521" w:rsidRDefault="00B64521" w:rsidP="00F3143D">
      <w:pPr>
        <w:pStyle w:val="Default"/>
      </w:pPr>
    </w:p>
    <w:p w:rsidR="00CC14A2" w:rsidRDefault="002F37B6" w:rsidP="00F3143D">
      <w:pPr>
        <w:pStyle w:val="Default"/>
      </w:pPr>
      <w:r>
        <w:t>S</w:t>
      </w:r>
      <w:r w:rsidR="00657391">
        <w:t>ampling</w:t>
      </w:r>
      <w:r>
        <w:t xml:space="preserve"> for the CHTS</w:t>
      </w:r>
      <w:r w:rsidR="00657391">
        <w:t xml:space="preserve"> is stratified by state and</w:t>
      </w:r>
      <w:r w:rsidR="00F3143D" w:rsidRPr="001D23DB">
        <w:t xml:space="preserve"> county</w:t>
      </w:r>
      <w:r>
        <w:t>.  For each wave and stratum, a simple random sample of telephone numbers is selected</w:t>
      </w:r>
      <w:r w:rsidR="003C3D57">
        <w:t xml:space="preserve"> from county-specific sample frames</w:t>
      </w:r>
      <w:r>
        <w:t>.</w:t>
      </w:r>
      <w:r w:rsidR="00ED7B03">
        <w:t xml:space="preserve">  Within a wave and state, sample is allocated among counties in proportion to the square root of the county population.  This approach ensures that counties with small populations receive sufficient sample to detect saltwater fishing activity.</w:t>
      </w:r>
      <w:r w:rsidR="00AC13CC">
        <w:t xml:space="preserve">  Following sampling, telephone numbers are pre-dialed to identify and eliminate non-working numbers.</w:t>
      </w:r>
      <w:r w:rsidR="007C2361">
        <w:t xml:space="preserve">  </w:t>
      </w:r>
      <w:r w:rsidR="00792B1A">
        <w:t>Approximately 85% of</w:t>
      </w:r>
      <w:r w:rsidR="007C2361">
        <w:t xml:space="preserve"> working numbers </w:t>
      </w:r>
      <w:r w:rsidR="00BB3C15">
        <w:t xml:space="preserve">in the sample </w:t>
      </w:r>
      <w:r w:rsidR="007C2361">
        <w:t xml:space="preserve">are loaded into the Computer Assisted Telephone Interviewing (CATI) system for </w:t>
      </w:r>
      <w:r w:rsidR="007C2361">
        <w:lastRenderedPageBreak/>
        <w:t>dialing.</w:t>
      </w:r>
      <w:r w:rsidR="00792B1A">
        <w:t xml:space="preserve">  The remaining 15% are held in reserve in the event that sample y</w:t>
      </w:r>
      <w:r w:rsidR="005F74D5">
        <w:t>ields fall below expectations.  Productivity of the sample is monitored throughout the data collection period, and additional sample is released as needed to complete the required number of interviews.</w:t>
      </w:r>
    </w:p>
    <w:p w:rsidR="00CC14A2" w:rsidRDefault="00CC14A2" w:rsidP="00F3143D">
      <w:pPr>
        <w:pStyle w:val="Default"/>
      </w:pPr>
    </w:p>
    <w:p w:rsidR="00CC14A2" w:rsidRDefault="00CC14A2" w:rsidP="00F3143D">
      <w:pPr>
        <w:pStyle w:val="Default"/>
      </w:pPr>
      <w:r>
        <w:t>2.2. Data Collection Procedures</w:t>
      </w:r>
    </w:p>
    <w:p w:rsidR="00CC14A2" w:rsidRDefault="00CC14A2" w:rsidP="00F3143D">
      <w:pPr>
        <w:pStyle w:val="Default"/>
      </w:pPr>
    </w:p>
    <w:p w:rsidR="003B53C2" w:rsidRDefault="00854D1D" w:rsidP="00F3143D">
      <w:pPr>
        <w:pStyle w:val="Default"/>
      </w:pPr>
      <w:r>
        <w:t xml:space="preserve">The CHTS collects fishing information for fixed, two-month reference waves.  </w:t>
      </w:r>
      <w:r w:rsidR="00037DB2">
        <w:t>Data col</w:t>
      </w:r>
      <w:r w:rsidR="00E6091F">
        <w:t xml:space="preserve">lection for </w:t>
      </w:r>
      <w:r>
        <w:t>each wave</w:t>
      </w:r>
      <w:r w:rsidR="00E6091F">
        <w:t xml:space="preserve"> begins one </w:t>
      </w:r>
      <w:r w:rsidR="00037DB2">
        <w:t xml:space="preserve">week prior to the end of </w:t>
      </w:r>
      <w:r>
        <w:t>the</w:t>
      </w:r>
      <w:r w:rsidR="00037DB2">
        <w:t xml:space="preserve"> wave and continues for a period of two weeks.  </w:t>
      </w:r>
      <w:r w:rsidR="003B53C2">
        <w:t xml:space="preserve">All interviews are conducted </w:t>
      </w:r>
      <w:r w:rsidR="004C0A69">
        <w:t>via a CATI system that</w:t>
      </w:r>
      <w:r w:rsidR="003B53C2">
        <w:t xml:space="preserve"> automatically dials sampled telephone numbers, sch</w:t>
      </w:r>
      <w:r w:rsidR="004C0A69">
        <w:t xml:space="preserve">edules call-back interviews, </w:t>
      </w:r>
      <w:r w:rsidR="003B53C2">
        <w:t>ensures that dialing protocols are satisfied for each sampled number</w:t>
      </w:r>
      <w:r w:rsidR="004C0A69">
        <w:t xml:space="preserve">, navigates the interview through complex skip patterns, </w:t>
      </w:r>
      <w:r w:rsidR="00D46A62">
        <w:t xml:space="preserve">and </w:t>
      </w:r>
      <w:r w:rsidR="004C0A69">
        <w:t>verifies suspect</w:t>
      </w:r>
      <w:r w:rsidR="00D46A62">
        <w:t xml:space="preserve"> or illogical</w:t>
      </w:r>
      <w:r w:rsidR="004C0A69">
        <w:t xml:space="preserve"> responses </w:t>
      </w:r>
      <w:r w:rsidR="00D46A62">
        <w:t>at the point of data entry</w:t>
      </w:r>
      <w:r w:rsidR="003B53C2">
        <w:t xml:space="preserve">.   </w:t>
      </w:r>
    </w:p>
    <w:p w:rsidR="003B53C2" w:rsidRDefault="003B53C2" w:rsidP="00F3143D">
      <w:pPr>
        <w:pStyle w:val="Default"/>
      </w:pPr>
    </w:p>
    <w:p w:rsidR="00515875" w:rsidRDefault="00515875" w:rsidP="00515875">
      <w:pPr>
        <w:pStyle w:val="ListParagraph"/>
        <w:spacing w:line="240" w:lineRule="auto"/>
        <w:ind w:left="0"/>
      </w:pPr>
      <w:r w:rsidRPr="002F7038">
        <w:t xml:space="preserve">Once a number has been </w:t>
      </w:r>
      <w:r>
        <w:t>loaded into the CATI system</w:t>
      </w:r>
      <w:r w:rsidRPr="002F7038">
        <w:t xml:space="preserve">, a minimum of five </w:t>
      </w:r>
      <w:r>
        <w:t xml:space="preserve">contact </w:t>
      </w:r>
      <w:r w:rsidRPr="002F7038">
        <w:t xml:space="preserve">attempts </w:t>
      </w:r>
      <w:r w:rsidR="0041577D">
        <w:t>are</w:t>
      </w:r>
      <w:r w:rsidRPr="002F7038">
        <w:t xml:space="preserve"> made to categorize the number as an interview (partial or complete), </w:t>
      </w:r>
      <w:proofErr w:type="spellStart"/>
      <w:r w:rsidRPr="002F7038">
        <w:t>nonrespondent</w:t>
      </w:r>
      <w:proofErr w:type="spellEnd"/>
      <w:r w:rsidRPr="002F7038">
        <w:t>, ine</w:t>
      </w:r>
      <w:r>
        <w:t xml:space="preserve">ligible or unknown eligibility.  </w:t>
      </w:r>
      <w:r w:rsidRPr="002F7038">
        <w:t xml:space="preserve">Once dialed, </w:t>
      </w:r>
      <w:r>
        <w:t>each</w:t>
      </w:r>
      <w:r w:rsidRPr="002F7038">
        <w:t xml:space="preserve"> telephone </w:t>
      </w:r>
      <w:r>
        <w:t>number is</w:t>
      </w:r>
      <w:r w:rsidRPr="002F7038">
        <w:t xml:space="preserve"> allowed to ring five times before the number is classified as “no answer.”  Telephone calls </w:t>
      </w:r>
      <w:r>
        <w:t>are</w:t>
      </w:r>
      <w:r w:rsidRPr="002F7038">
        <w:t xml:space="preserve"> </w:t>
      </w:r>
      <w:r>
        <w:t>distributed</w:t>
      </w:r>
      <w:r w:rsidRPr="002F7038">
        <w:t xml:space="preserve"> </w:t>
      </w:r>
      <w:r>
        <w:t>among</w:t>
      </w:r>
      <w:r w:rsidRPr="002F7038">
        <w:t xml:space="preserve"> weekend/weekday and day/evening</w:t>
      </w:r>
      <w:r w:rsidR="00CC478A">
        <w:t xml:space="preserve">, such that the following criteria are satisfied:  </w:t>
      </w:r>
    </w:p>
    <w:p w:rsidR="00CC478A" w:rsidRDefault="00CC478A" w:rsidP="00515875">
      <w:pPr>
        <w:pStyle w:val="ListParagraph"/>
        <w:spacing w:line="240" w:lineRule="auto"/>
        <w:ind w:left="0"/>
      </w:pPr>
    </w:p>
    <w:p w:rsidR="00515875" w:rsidRDefault="00515875" w:rsidP="00515875">
      <w:pPr>
        <w:pStyle w:val="ListParagraph"/>
        <w:numPr>
          <w:ilvl w:val="0"/>
          <w:numId w:val="20"/>
        </w:numPr>
        <w:spacing w:line="240" w:lineRule="auto"/>
      </w:pPr>
      <w:r>
        <w:t>E</w:t>
      </w:r>
      <w:r w:rsidRPr="002F7038">
        <w:t xml:space="preserve">ach number </w:t>
      </w:r>
      <w:r w:rsidR="00CC478A">
        <w:t>receives</w:t>
      </w:r>
      <w:r w:rsidRPr="002F7038">
        <w:t xml:space="preserve"> at least one weekday attempt and three night or weekend attempts.</w:t>
      </w:r>
      <w:r>
        <w:t xml:space="preserve">  </w:t>
      </w:r>
      <w:r w:rsidRPr="002F7038">
        <w:t>The time d</w:t>
      </w:r>
      <w:r>
        <w:t>elineating day and night is 5 p</w:t>
      </w:r>
      <w:r w:rsidRPr="002F7038">
        <w:t xml:space="preserve">m.  </w:t>
      </w:r>
    </w:p>
    <w:p w:rsidR="00515875" w:rsidRDefault="00515875" w:rsidP="00515875">
      <w:pPr>
        <w:pStyle w:val="ListParagraph"/>
        <w:numPr>
          <w:ilvl w:val="0"/>
          <w:numId w:val="20"/>
        </w:numPr>
        <w:spacing w:line="240" w:lineRule="auto"/>
      </w:pPr>
      <w:r w:rsidRPr="002F7038">
        <w:t xml:space="preserve">At least one of the night-time attempts </w:t>
      </w:r>
      <w:r w:rsidR="003E68EF">
        <w:t>must</w:t>
      </w:r>
      <w:r w:rsidR="003E68EF" w:rsidRPr="002F7038">
        <w:t xml:space="preserve"> </w:t>
      </w:r>
      <w:r w:rsidRPr="002F7038">
        <w:t xml:space="preserve">also be a weekend attempt.  </w:t>
      </w:r>
    </w:p>
    <w:p w:rsidR="00515875" w:rsidRPr="002F7038" w:rsidRDefault="00CC478A" w:rsidP="00515875">
      <w:pPr>
        <w:pStyle w:val="ListParagraph"/>
        <w:numPr>
          <w:ilvl w:val="0"/>
          <w:numId w:val="20"/>
        </w:numPr>
        <w:spacing w:line="240" w:lineRule="auto"/>
      </w:pPr>
      <w:r>
        <w:t>Calling is completed between 8:00</w:t>
      </w:r>
      <w:r w:rsidR="00E6091F">
        <w:t xml:space="preserve"> a.m. </w:t>
      </w:r>
      <w:r>
        <w:t>and 9:00 PM local time for the geographic area being dialed.</w:t>
      </w:r>
    </w:p>
    <w:p w:rsidR="00F3143D" w:rsidRDefault="00515875" w:rsidP="00F3143D">
      <w:pPr>
        <w:pStyle w:val="Default"/>
      </w:pPr>
      <w:r>
        <w:t xml:space="preserve">  </w:t>
      </w:r>
      <w:r w:rsidRPr="002F7038">
        <w:t xml:space="preserve"> </w:t>
      </w:r>
      <w:r w:rsidR="003B53C2">
        <w:t xml:space="preserve"> </w:t>
      </w:r>
      <w:r w:rsidR="007C2361">
        <w:t xml:space="preserve">  </w:t>
      </w:r>
      <w:r w:rsidR="002F37B6">
        <w:t xml:space="preserve"> </w:t>
      </w:r>
    </w:p>
    <w:p w:rsidR="00B67103" w:rsidRDefault="009A5D2D" w:rsidP="00C03346">
      <w:pPr>
        <w:pStyle w:val="ListParagraph"/>
        <w:spacing w:line="240" w:lineRule="auto"/>
        <w:ind w:left="0"/>
      </w:pPr>
      <w:r>
        <w:t xml:space="preserve">Once a household has been contacted, the interviewer </w:t>
      </w:r>
      <w:r w:rsidR="00C03346" w:rsidRPr="002F7038">
        <w:t>determine</w:t>
      </w:r>
      <w:r>
        <w:t>s</w:t>
      </w:r>
      <w:r w:rsidR="00C03346" w:rsidRPr="002F7038">
        <w:t xml:space="preserve"> if </w:t>
      </w:r>
      <w:r>
        <w:t xml:space="preserve">any </w:t>
      </w:r>
      <w:r w:rsidR="00C03346" w:rsidRPr="002F7038">
        <w:t>household residents participated in saltwater fishi</w:t>
      </w:r>
      <w:r w:rsidR="00B67103">
        <w:t xml:space="preserve">ng during the reference period </w:t>
      </w:r>
      <w:r w:rsidR="00C03346" w:rsidRPr="002F7038">
        <w:t>and</w:t>
      </w:r>
      <w:r>
        <w:t xml:space="preserve"> then attempts to</w:t>
      </w:r>
      <w:r w:rsidR="00C03346" w:rsidRPr="002F7038">
        <w:t xml:space="preserve"> interview each </w:t>
      </w:r>
      <w:r>
        <w:t xml:space="preserve">individual </w:t>
      </w:r>
      <w:r w:rsidR="00C03346" w:rsidRPr="002F7038">
        <w:t xml:space="preserve">angler to collect detailed information about recent saltwater fishing trips.  </w:t>
      </w:r>
      <w:r w:rsidR="00B67103">
        <w:t>In the event that interviews with all anglers</w:t>
      </w:r>
      <w:r w:rsidR="0041577D">
        <w:t xml:space="preserve"> within a household</w:t>
      </w:r>
      <w:r w:rsidR="00B67103">
        <w:t xml:space="preserve"> cannot</w:t>
      </w:r>
      <w:r w:rsidR="00C03346" w:rsidRPr="002F7038">
        <w:t xml:space="preserve"> be completed </w:t>
      </w:r>
      <w:r w:rsidR="00C03346">
        <w:t>during</w:t>
      </w:r>
      <w:r w:rsidR="00C03346" w:rsidRPr="002F7038">
        <w:t xml:space="preserve"> the initial</w:t>
      </w:r>
      <w:r w:rsidR="0041577D">
        <w:t xml:space="preserve"> contact</w:t>
      </w:r>
      <w:r w:rsidR="00B67103">
        <w:t>, up to five additional attempts are made to complete the interview</w:t>
      </w:r>
      <w:r w:rsidR="00C03346" w:rsidRPr="002F7038">
        <w:t>.</w:t>
      </w:r>
      <w:r w:rsidR="00B67103">
        <w:t xml:space="preserve">  Appointment interviews are scheduled to facilitate the collection of complete household data.  </w:t>
      </w:r>
      <w:r w:rsidR="00FE2167">
        <w:t xml:space="preserve">If an individual angler cannot be contacted after five additional attempts, data can be accepted from another household member.  </w:t>
      </w:r>
    </w:p>
    <w:p w:rsidR="00F82D6A" w:rsidRDefault="00F82D6A" w:rsidP="00C03346">
      <w:pPr>
        <w:pStyle w:val="ListParagraph"/>
        <w:spacing w:line="240" w:lineRule="auto"/>
        <w:ind w:left="0"/>
      </w:pPr>
    </w:p>
    <w:p w:rsidR="00F82D6A" w:rsidRDefault="00F82D6A" w:rsidP="00C03346">
      <w:pPr>
        <w:pStyle w:val="ListParagraph"/>
        <w:spacing w:line="240" w:lineRule="auto"/>
        <w:ind w:left="0"/>
      </w:pPr>
      <w:r>
        <w:t>2.3. Estimation Design</w:t>
      </w:r>
    </w:p>
    <w:p w:rsidR="00F82D6A" w:rsidRDefault="00F82D6A" w:rsidP="00C03346">
      <w:pPr>
        <w:pStyle w:val="ListParagraph"/>
        <w:spacing w:line="240" w:lineRule="auto"/>
        <w:ind w:left="0"/>
      </w:pPr>
    </w:p>
    <w:p w:rsidR="008D15A0" w:rsidRDefault="008D15A0" w:rsidP="008D15A0">
      <w:pPr>
        <w:autoSpaceDE w:val="0"/>
        <w:autoSpaceDN w:val="0"/>
        <w:adjustRightInd w:val="0"/>
        <w:spacing w:line="240" w:lineRule="auto"/>
        <w:rPr>
          <w:color w:val="000000"/>
        </w:rPr>
      </w:pPr>
      <w:r w:rsidRPr="008D15A0">
        <w:rPr>
          <w:color w:val="000000"/>
        </w:rPr>
        <w:t xml:space="preserve">The estimation weights for the </w:t>
      </w:r>
      <w:r>
        <w:rPr>
          <w:color w:val="000000"/>
        </w:rPr>
        <w:t xml:space="preserve">CHTS are </w:t>
      </w:r>
      <w:r w:rsidRPr="008D15A0">
        <w:rPr>
          <w:color w:val="000000"/>
        </w:rPr>
        <w:t xml:space="preserve">formed in stages.  The first stage is the creation of a base weight for the household, which is the inverse of the probability of selection of the telephone number.  The second stage is the adjustment of the base weights for households with multiple telephone numbers.  The third stage is a non-response adjustment.  The fourth stage is the </w:t>
      </w:r>
      <w:proofErr w:type="spellStart"/>
      <w:r w:rsidRPr="008D15A0">
        <w:rPr>
          <w:color w:val="000000"/>
        </w:rPr>
        <w:t>poststratification</w:t>
      </w:r>
      <w:proofErr w:type="spellEnd"/>
      <w:r w:rsidRPr="008D15A0">
        <w:rPr>
          <w:color w:val="000000"/>
        </w:rPr>
        <w:t xml:space="preserve"> adjustment of the weights to estimates of household totals </w:t>
      </w:r>
      <w:r>
        <w:rPr>
          <w:color w:val="000000"/>
        </w:rPr>
        <w:t>within the survey area</w:t>
      </w:r>
      <w:r w:rsidR="00673E3E">
        <w:rPr>
          <w:rStyle w:val="FootnoteReference"/>
          <w:color w:val="000000"/>
        </w:rPr>
        <w:footnoteReference w:id="4"/>
      </w:r>
      <w:r w:rsidRPr="008D15A0">
        <w:rPr>
          <w:color w:val="000000"/>
        </w:rPr>
        <w:t>.  These household-level weights implicitly include nonresponse and undercoverage adjustments</w:t>
      </w:r>
      <w:r w:rsidR="00A205D7">
        <w:rPr>
          <w:color w:val="000000"/>
        </w:rPr>
        <w:t xml:space="preserve">, resulting, for example, from the exclusion of non-landline households from the </w:t>
      </w:r>
      <w:r w:rsidR="00A205D7">
        <w:rPr>
          <w:color w:val="000000"/>
        </w:rPr>
        <w:lastRenderedPageBreak/>
        <w:t>sample frame</w:t>
      </w:r>
      <w:r w:rsidRPr="008D15A0">
        <w:rPr>
          <w:color w:val="000000"/>
        </w:rPr>
        <w:t xml:space="preserve">.  </w:t>
      </w:r>
      <w:r w:rsidR="00341B7F">
        <w:rPr>
          <w:color w:val="000000"/>
        </w:rPr>
        <w:t xml:space="preserve">Estimates of total fishing effort by residents of coastal counties </w:t>
      </w:r>
      <w:r w:rsidR="00BA3CF1">
        <w:rPr>
          <w:color w:val="000000"/>
        </w:rPr>
        <w:t>(</w:t>
      </w:r>
      <w:proofErr w:type="spellStart"/>
      <w:r w:rsidR="00BA3CF1">
        <w:rPr>
          <w:color w:val="000000"/>
        </w:rPr>
        <w:t>Ŷ</w:t>
      </w:r>
      <w:r w:rsidR="00BA3CF1" w:rsidRPr="00BA3CF1">
        <w:rPr>
          <w:color w:val="000000"/>
          <w:vertAlign w:val="subscript"/>
        </w:rPr>
        <w:t>c</w:t>
      </w:r>
      <w:proofErr w:type="spellEnd"/>
      <w:r w:rsidR="00BA3CF1">
        <w:rPr>
          <w:color w:val="000000"/>
        </w:rPr>
        <w:t xml:space="preserve">) </w:t>
      </w:r>
      <w:r w:rsidR="00341B7F">
        <w:rPr>
          <w:color w:val="000000"/>
        </w:rPr>
        <w:t>are produced using these</w:t>
      </w:r>
      <w:r w:rsidRPr="008D15A0">
        <w:rPr>
          <w:color w:val="000000"/>
        </w:rPr>
        <w:t xml:space="preserve"> </w:t>
      </w:r>
      <w:proofErr w:type="spellStart"/>
      <w:r w:rsidRPr="008D15A0">
        <w:rPr>
          <w:color w:val="000000"/>
        </w:rPr>
        <w:t>poststratified</w:t>
      </w:r>
      <w:proofErr w:type="spellEnd"/>
      <w:r w:rsidRPr="008D15A0">
        <w:rPr>
          <w:color w:val="000000"/>
        </w:rPr>
        <w:t xml:space="preserve"> household weights.</w:t>
      </w:r>
    </w:p>
    <w:p w:rsidR="008B62D6" w:rsidRDefault="008B62D6" w:rsidP="008D15A0">
      <w:pPr>
        <w:autoSpaceDE w:val="0"/>
        <w:autoSpaceDN w:val="0"/>
        <w:adjustRightInd w:val="0"/>
        <w:spacing w:line="240" w:lineRule="auto"/>
        <w:rPr>
          <w:color w:val="000000"/>
        </w:rPr>
      </w:pPr>
    </w:p>
    <w:p w:rsidR="008B62D6" w:rsidRDefault="008B62D6" w:rsidP="008B62D6">
      <w:pPr>
        <w:spacing w:line="240" w:lineRule="auto"/>
      </w:pPr>
    </w:p>
    <w:p w:rsidR="008B62D6" w:rsidRDefault="008D6A31" w:rsidP="008B62D6">
      <w:pPr>
        <w:spacing w:line="240" w:lineRule="auto"/>
        <w:rPr>
          <w:vertAlign w:val="subscript"/>
        </w:rPr>
      </w:pPr>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c</m:t>
                  </m:r>
                </m:sub>
              </m:sSub>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e>
              </m:nary>
            </m:e>
          </m:nary>
          <m:r>
            <w:rPr>
              <w:rFonts w:ascii="Cambria Math" w:hAnsi="Cambria Math"/>
              <w:vertAlign w:val="subscript"/>
            </w:rPr>
            <m:t xml:space="preserve"> </m:t>
          </m:r>
          <m:r>
            <m:rPr>
              <m:sty m:val="p"/>
            </m:rPr>
            <w:rPr>
              <w:vertAlign w:val="subscript"/>
            </w:rPr>
            <w:br/>
          </m:r>
        </m:oMath>
      </m:oMathPara>
      <w:r w:rsidR="008B62D6">
        <w:rPr>
          <w:vertAlign w:val="subscript"/>
        </w:rPr>
        <w:tab/>
      </w:r>
      <w:r w:rsidR="008B62D6">
        <w:rPr>
          <w:vertAlign w:val="subscript"/>
        </w:rPr>
        <w:tab/>
      </w:r>
    </w:p>
    <w:p w:rsidR="008B62D6" w:rsidRDefault="008B62D6" w:rsidP="008B62D6">
      <w:pPr>
        <w:spacing w:line="240" w:lineRule="auto"/>
        <w:rPr>
          <w:vertAlign w:val="subscript"/>
        </w:rPr>
      </w:pPr>
    </w:p>
    <w:p w:rsidR="008B62D6" w:rsidRPr="005908B6" w:rsidRDefault="008B62D6" w:rsidP="008B62D6">
      <w:pPr>
        <w:spacing w:line="240" w:lineRule="auto"/>
      </w:pPr>
      <w:proofErr w:type="gramStart"/>
      <w:r>
        <w:t>where</w:t>
      </w:r>
      <w:proofErr w:type="gramEnd"/>
      <w:r>
        <w:t xml:space="preserv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oMath>
      <w:r>
        <w:rPr>
          <w:vertAlign w:val="subscript"/>
        </w:rPr>
        <w:t xml:space="preserve"> </w:t>
      </w:r>
      <w: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oMath>
      <w:r>
        <w:rPr>
          <w:vertAlign w:val="subscript"/>
        </w:rPr>
        <w:t xml:space="preserve"> </w:t>
      </w:r>
      <w:r>
        <w:t xml:space="preserve">are the final, </w:t>
      </w:r>
      <w:proofErr w:type="spellStart"/>
      <w:r>
        <w:t>poststratified</w:t>
      </w:r>
      <w:proofErr w:type="spellEnd"/>
      <w:r>
        <w:t xml:space="preserve"> weight and reported number of recreational fishing trips, respectfully,</w:t>
      </w:r>
      <w:r w:rsidR="00BA3CF1">
        <w:t xml:space="preserve"> for household</w:t>
      </w:r>
      <w:r>
        <w:t xml:space="preserve"> </w:t>
      </w:r>
      <w:proofErr w:type="spellStart"/>
      <w:r w:rsidRPr="007B7976">
        <w:rPr>
          <w:i/>
        </w:rPr>
        <w:t>i</w:t>
      </w:r>
      <w:proofErr w:type="spellEnd"/>
      <w:r>
        <w:t xml:space="preserve"> of stratum </w:t>
      </w:r>
      <w:r w:rsidRPr="007B7976">
        <w:rPr>
          <w:i/>
        </w:rPr>
        <w:t>h</w:t>
      </w:r>
      <w:r>
        <w:t>.</w:t>
      </w:r>
    </w:p>
    <w:p w:rsidR="008D15A0" w:rsidRDefault="008D15A0" w:rsidP="00C03346">
      <w:pPr>
        <w:pStyle w:val="ListParagraph"/>
        <w:spacing w:line="240" w:lineRule="auto"/>
        <w:ind w:left="0"/>
      </w:pPr>
    </w:p>
    <w:p w:rsidR="00223EBC" w:rsidRDefault="00DF013D" w:rsidP="00A42D73">
      <w:pPr>
        <w:pStyle w:val="FootnoteText"/>
        <w:spacing w:line="240" w:lineRule="auto"/>
        <w:rPr>
          <w:sz w:val="24"/>
          <w:szCs w:val="24"/>
        </w:rPr>
      </w:pPr>
      <w:r>
        <w:rPr>
          <w:sz w:val="24"/>
          <w:szCs w:val="24"/>
        </w:rPr>
        <w:t>Total fishing effort (</w:t>
      </w:r>
      <w:proofErr w:type="spellStart"/>
      <w:proofErr w:type="gramStart"/>
      <w:r>
        <w:rPr>
          <w:color w:val="000000"/>
        </w:rPr>
        <w:t>Ŷ</w:t>
      </w:r>
      <w:r>
        <w:rPr>
          <w:color w:val="000000"/>
          <w:vertAlign w:val="subscript"/>
        </w:rPr>
        <w:t>t</w:t>
      </w:r>
      <w:proofErr w:type="spellEnd"/>
      <w:proofErr w:type="gramEnd"/>
      <w:r>
        <w:rPr>
          <w:color w:val="000000"/>
          <w:sz w:val="24"/>
          <w:szCs w:val="24"/>
        </w:rPr>
        <w:t>)</w:t>
      </w:r>
      <w:r>
        <w:rPr>
          <w:sz w:val="24"/>
          <w:szCs w:val="24"/>
        </w:rPr>
        <w:t xml:space="preserve"> is estimated by multiplying coastal resident effort by </w:t>
      </w:r>
      <w:r w:rsidR="00673E3E" w:rsidRPr="006E545F">
        <w:rPr>
          <w:sz w:val="24"/>
          <w:szCs w:val="24"/>
        </w:rPr>
        <w:t>correction factors derived from a complementary survey, the Access-Point Angler Intercept Survey (</w:t>
      </w:r>
      <w:r w:rsidR="006E545F">
        <w:rPr>
          <w:sz w:val="24"/>
          <w:szCs w:val="24"/>
        </w:rPr>
        <w:t xml:space="preserve">APAIS, </w:t>
      </w:r>
      <w:r w:rsidR="00673E3E" w:rsidRPr="006E545F">
        <w:rPr>
          <w:sz w:val="24"/>
          <w:szCs w:val="24"/>
        </w:rPr>
        <w:t>OMB Control No. 0648-0659)</w:t>
      </w:r>
      <w:r w:rsidR="006E545F">
        <w:rPr>
          <w:sz w:val="24"/>
          <w:szCs w:val="24"/>
        </w:rPr>
        <w:t>.  Specifically</w:t>
      </w:r>
      <w:r w:rsidR="006E545F" w:rsidRPr="006E545F">
        <w:rPr>
          <w:sz w:val="24"/>
          <w:szCs w:val="24"/>
        </w:rPr>
        <w:t xml:space="preserve">, </w:t>
      </w:r>
      <w:r w:rsidR="006E545F">
        <w:rPr>
          <w:sz w:val="24"/>
          <w:szCs w:val="24"/>
        </w:rPr>
        <w:t>APAIS respondents</w:t>
      </w:r>
      <w:r w:rsidR="006E545F" w:rsidRPr="006E545F">
        <w:rPr>
          <w:sz w:val="24"/>
          <w:szCs w:val="24"/>
        </w:rPr>
        <w:t xml:space="preserve"> are asked for their state and county of residence.  CHTS estimates are then expanded by the ratio of</w:t>
      </w:r>
      <w:r w:rsidR="000B1963">
        <w:rPr>
          <w:sz w:val="24"/>
          <w:szCs w:val="24"/>
        </w:rPr>
        <w:t xml:space="preserve"> </w:t>
      </w:r>
      <w:r w:rsidR="00223EBC">
        <w:rPr>
          <w:sz w:val="24"/>
          <w:szCs w:val="24"/>
        </w:rPr>
        <w:t>total intercepted trips to intercept</w:t>
      </w:r>
      <w:r w:rsidR="0098482F">
        <w:rPr>
          <w:sz w:val="24"/>
          <w:szCs w:val="24"/>
        </w:rPr>
        <w:t>ed</w:t>
      </w:r>
      <w:r w:rsidR="00223EBC">
        <w:rPr>
          <w:sz w:val="24"/>
          <w:szCs w:val="24"/>
        </w:rPr>
        <w:t xml:space="preserve"> trips taken by residents of coastal counties.</w:t>
      </w:r>
    </w:p>
    <w:p w:rsidR="006E545F" w:rsidRPr="006E545F" w:rsidRDefault="006E545F" w:rsidP="00A42D73">
      <w:pPr>
        <w:pStyle w:val="FootnoteText"/>
        <w:spacing w:line="240" w:lineRule="auto"/>
        <w:rPr>
          <w:sz w:val="24"/>
          <w:szCs w:val="24"/>
        </w:rPr>
      </w:pPr>
      <w:r w:rsidRPr="006E545F">
        <w:rPr>
          <w:sz w:val="24"/>
          <w:szCs w:val="24"/>
        </w:rPr>
        <w:t xml:space="preserve">       </w:t>
      </w:r>
    </w:p>
    <w:p w:rsidR="00B67103" w:rsidRPr="00BC399A" w:rsidRDefault="008D6A31" w:rsidP="00C03346">
      <w:pPr>
        <w:pStyle w:val="ListParagraph"/>
        <w:spacing w:line="240" w:lineRule="auto"/>
        <w:ind w:left="0"/>
      </w:pPr>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t</m:t>
                  </m:r>
                </m:sub>
              </m:sSub>
            </m:e>
          </m:acc>
          <m:r>
            <w:rPr>
              <w:rFonts w:ascii="Cambria Math" w:hAnsi="Cambria Math"/>
              <w:vertAlign w:val="subscript"/>
            </w:rPr>
            <m:t xml:space="preserve">=  </m:t>
          </m:r>
          <m:sSub>
            <m:sSubPr>
              <m:ctrlPr>
                <w:rPr>
                  <w:rFonts w:ascii="Cambria Math" w:hAnsi="Cambria Math"/>
                  <w:i/>
                  <w:vertAlign w:val="subscript"/>
                </w:rPr>
              </m:ctrlPr>
            </m:sSubPr>
            <m:e>
              <m:acc>
                <m:accPr>
                  <m:ctrlPr>
                    <w:rPr>
                      <w:rFonts w:ascii="Cambria Math" w:hAnsi="Cambria Math"/>
                      <w:i/>
                      <w:vertAlign w:val="subscript"/>
                    </w:rPr>
                  </m:ctrlPr>
                </m:accPr>
                <m:e>
                  <m:r>
                    <w:rPr>
                      <w:rFonts w:ascii="Cambria Math" w:hAnsi="Cambria Math"/>
                      <w:vertAlign w:val="subscript"/>
                    </w:rPr>
                    <m:t>Y</m:t>
                  </m:r>
                </m:e>
              </m:acc>
            </m:e>
            <m:sub>
              <m:r>
                <w:rPr>
                  <w:rFonts w:ascii="Cambria Math" w:hAnsi="Cambria Math"/>
                  <w:vertAlign w:val="subscript"/>
                </w:rPr>
                <m:t>c</m:t>
              </m:r>
            </m:sub>
          </m:sSub>
          <m:acc>
            <m:accPr>
              <m:ctrlPr>
                <w:rPr>
                  <w:rFonts w:ascii="Cambria Math" w:hAnsi="Cambria Math"/>
                  <w:vertAlign w:val="subscript"/>
                </w:rPr>
              </m:ctrlPr>
            </m:accPr>
            <m:e>
              <m:r>
                <m:rPr>
                  <m:sty m:val="p"/>
                </m:rPr>
                <w:rPr>
                  <w:rFonts w:ascii="Cambria Math"/>
                  <w:vertAlign w:val="subscript"/>
                </w:rPr>
                <m:t>R</m:t>
              </m:r>
            </m:e>
          </m:acc>
          <m:r>
            <m:rPr>
              <m:sty m:val="p"/>
            </m:rPr>
            <w:rPr>
              <w:vertAlign w:val="subscript"/>
            </w:rPr>
            <w:br/>
          </m:r>
        </m:oMath>
      </m:oMathPara>
    </w:p>
    <w:p w:rsidR="00BC399A" w:rsidRDefault="005A55A8" w:rsidP="00C03346">
      <w:pPr>
        <w:pStyle w:val="ListParagraph"/>
        <w:spacing w:line="240" w:lineRule="auto"/>
        <w:ind w:left="0"/>
      </w:pPr>
      <w:proofErr w:type="gramStart"/>
      <w:r>
        <w:t>w</w:t>
      </w:r>
      <w:r w:rsidR="00BC399A">
        <w:t xml:space="preserve">here </w:t>
      </w:r>
      <w:proofErr w:type="gramEnd"/>
      <m:oMath>
        <m:acc>
          <m:accPr>
            <m:ctrlPr>
              <w:rPr>
                <w:rFonts w:ascii="Cambria Math" w:hAnsi="Cambria Math"/>
                <w:i/>
              </w:rPr>
            </m:ctrlPr>
          </m:accPr>
          <m:e>
            <m:r>
              <w:rPr>
                <w:rFonts w:ascii="Cambria Math" w:hAnsi="Cambria Math"/>
              </w:rPr>
              <m:t>R</m:t>
            </m:r>
          </m:e>
        </m:acc>
        <m:r>
          <w:rPr>
            <w:rFonts w:ascii="Cambria Math" w:hAnsi="Cambria Math"/>
          </w:rPr>
          <m:t xml:space="preserve">= </m:t>
        </m:r>
        <m:f>
          <m:fPr>
            <m:ctrlPr>
              <w:rPr>
                <w:rFonts w:ascii="Cambria Math" w:hAnsi="Cambria Math"/>
                <w:i/>
              </w:rPr>
            </m:ctrlPr>
          </m:fPr>
          <m:num>
            <m:r>
              <w:rPr>
                <w:rFonts w:ascii="Cambria Math" w:hAnsi="Cambria Math"/>
              </w:rPr>
              <m:t>Total APAIS Intercepts</m:t>
            </m:r>
          </m:num>
          <m:den>
            <m:r>
              <w:rPr>
                <w:rFonts w:ascii="Cambria Math" w:hAnsi="Cambria Math"/>
              </w:rPr>
              <m:t>APAIS Intercepts with Coastal Residents</m:t>
            </m:r>
          </m:den>
        </m:f>
      </m:oMath>
      <w:r w:rsidR="00BC399A">
        <w:t>.</w:t>
      </w:r>
    </w:p>
    <w:p w:rsidR="00BB2AC4" w:rsidRPr="00BB2AC4" w:rsidRDefault="00BB2AC4" w:rsidP="00C85D52">
      <w:pPr>
        <w:spacing w:line="240" w:lineRule="auto"/>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921830" w:rsidRDefault="00921830" w:rsidP="00921830">
      <w:pPr>
        <w:pStyle w:val="Default"/>
      </w:pPr>
    </w:p>
    <w:p w:rsidR="00921830" w:rsidRDefault="00921830" w:rsidP="00921830">
      <w:pPr>
        <w:pStyle w:val="CM23"/>
        <w:spacing w:line="280" w:lineRule="atLeast"/>
        <w:rPr>
          <w:color w:val="000000"/>
        </w:rPr>
      </w:pPr>
      <w:r>
        <w:rPr>
          <w:color w:val="000000"/>
        </w:rPr>
        <w:t xml:space="preserve">Intensive interviewer training and tested methodological approaches are employed to maximize response rates. Interviewers are tested for skills in effective communication with potential respondents, and/or accurate coding of responses before they are hired for training. Training familiarizes interviewers with a procedures manual and develops their interviewing skills through role-playing exercises. Supervision and additional training of interviewers occurs during the conduct of all telephone surveys. Call-center supervisors monitor in-progress interviews and provide immediate feedback and additional training as needed.  Refusal rates for the telephone surveys have rarely exceeded five percent during the </w:t>
      </w:r>
      <w:r w:rsidR="005647D5">
        <w:rPr>
          <w:color w:val="000000"/>
        </w:rPr>
        <w:t>30</w:t>
      </w:r>
      <w:r w:rsidR="005B009D">
        <w:rPr>
          <w:color w:val="000000"/>
        </w:rPr>
        <w:t xml:space="preserve"> years of the s</w:t>
      </w:r>
      <w:r>
        <w:rPr>
          <w:color w:val="000000"/>
        </w:rPr>
        <w:t xml:space="preserve">urvey. </w:t>
      </w:r>
    </w:p>
    <w:p w:rsidR="00921830" w:rsidRPr="00921830" w:rsidRDefault="003409E8" w:rsidP="00921830">
      <w:pPr>
        <w:pStyle w:val="Default"/>
      </w:pPr>
      <w:r>
        <w:t>Nonresponse</w:t>
      </w:r>
      <w:r w:rsidR="00964F59">
        <w:t xml:space="preserve"> will be handled through nonresponse weighting adjustment.  Specifically, the weights of nonrespondents will be transferred to respondents within adjustment cells. Generally, nonresponse adjustment cells will be defined at the stratum level.  Weights will also be post-stratified to population control totals within strata, which will ensure that sample data represent the entire population of household</w:t>
      </w:r>
      <w:r w:rsidR="00BB3C15">
        <w:t>s</w:t>
      </w:r>
      <w:r w:rsidR="00964F59">
        <w:t xml:space="preserve"> within the geographic coverage area of the CHTS.</w:t>
      </w:r>
    </w:p>
    <w:p w:rsidR="00B503CD" w:rsidRPr="0091579D" w:rsidRDefault="00B503CD" w:rsidP="00B503CD">
      <w:pPr>
        <w:pStyle w:val="Default"/>
      </w:pPr>
    </w:p>
    <w:p w:rsidR="00D728AB" w:rsidRDefault="00D728AB" w:rsidP="00B503CD">
      <w:pPr>
        <w:pStyle w:val="Default"/>
        <w:ind w:right="183"/>
        <w:rPr>
          <w:b/>
          <w:bCs/>
        </w:rPr>
      </w:pPr>
    </w:p>
    <w:p w:rsidR="00D728AB" w:rsidRDefault="00D728AB">
      <w:pPr>
        <w:spacing w:after="200" w:line="276" w:lineRule="auto"/>
        <w:rPr>
          <w:b/>
          <w:bCs/>
          <w:color w:val="000000"/>
        </w:rPr>
      </w:pPr>
      <w:r>
        <w:rPr>
          <w:b/>
          <w:bCs/>
        </w:rPr>
        <w:br w:type="page"/>
      </w:r>
    </w:p>
    <w:p w:rsidR="00B503CD" w:rsidRDefault="00B503CD" w:rsidP="00B503CD">
      <w:pPr>
        <w:pStyle w:val="Default"/>
        <w:ind w:right="183"/>
        <w:rPr>
          <w:b/>
          <w:bCs/>
        </w:rPr>
      </w:pPr>
      <w:r>
        <w:rPr>
          <w:b/>
          <w:bCs/>
        </w:rPr>
        <w:lastRenderedPageBreak/>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1B0D90" w:rsidRDefault="001B0D90" w:rsidP="001B0D90">
      <w:pPr>
        <w:pStyle w:val="Default"/>
      </w:pPr>
    </w:p>
    <w:p w:rsidR="00902F47" w:rsidRPr="00D75D88" w:rsidRDefault="00902F47" w:rsidP="00902F47">
      <w:pPr>
        <w:pStyle w:val="CM1"/>
      </w:pPr>
      <w:proofErr w:type="spellStart"/>
      <w:r>
        <w:t>Anjunell</w:t>
      </w:r>
      <w:proofErr w:type="spellEnd"/>
      <w:r>
        <w:t xml:space="preserve"> Lew</w:t>
      </w:r>
      <w:r w:rsidR="003956B8">
        <w:t>i</w:t>
      </w:r>
      <w:r>
        <w:t>s</w:t>
      </w:r>
      <w:r w:rsidR="001B0D90">
        <w:t>, NOAA Fisheries Service, Office of Science and Technology, 301-427-</w:t>
      </w:r>
      <w:r>
        <w:t xml:space="preserve">8145 </w:t>
      </w:r>
      <w:r w:rsidR="001B0D90">
        <w:t>is the point-of-contact for the Agency.</w:t>
      </w:r>
      <w:r>
        <w:t xml:space="preserve">  </w:t>
      </w:r>
      <w:r w:rsidRPr="00D75D88">
        <w:t xml:space="preserve">The </w:t>
      </w:r>
      <w:r>
        <w:t>current</w:t>
      </w:r>
      <w:r w:rsidRPr="00D75D88">
        <w:t xml:space="preserve"> contractor for the </w:t>
      </w:r>
      <w:r>
        <w:t>CHTS</w:t>
      </w:r>
      <w:r w:rsidRPr="00D75D88">
        <w:t xml:space="preserve"> is </w:t>
      </w:r>
      <w:r>
        <w:t>ICF International, of Fairfax</w:t>
      </w:r>
      <w:r w:rsidRPr="00D75D88">
        <w:t xml:space="preserve">, Virginia. Data collections are performed under contract; NMFS staff performs analyses. </w:t>
      </w:r>
    </w:p>
    <w:p w:rsidR="00B503CD" w:rsidRDefault="00B503CD" w:rsidP="00B503CD">
      <w:pPr>
        <w:pStyle w:val="Default"/>
      </w:pPr>
      <w:bookmarkStart w:id="0" w:name="_GoBack"/>
      <w:bookmarkEnd w:id="0"/>
    </w:p>
    <w:sectPr w:rsidR="00B503CD" w:rsidSect="0076412D">
      <w:headerReference w:type="default" r:id="rId9"/>
      <w:footerReference w:type="default" r:id="rId10"/>
      <w:type w:val="continuous"/>
      <w:pgSz w:w="12240" w:h="15840"/>
      <w:pgMar w:top="1152"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31" w:rsidRDefault="008D6A31" w:rsidP="00113646">
      <w:r>
        <w:separator/>
      </w:r>
    </w:p>
  </w:endnote>
  <w:endnote w:type="continuationSeparator" w:id="0">
    <w:p w:rsidR="008D6A31" w:rsidRDefault="008D6A31"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173230"/>
      <w:docPartObj>
        <w:docPartGallery w:val="Page Numbers (Bottom of Page)"/>
        <w:docPartUnique/>
      </w:docPartObj>
    </w:sdtPr>
    <w:sdtEndPr>
      <w:rPr>
        <w:noProof/>
      </w:rPr>
    </w:sdtEndPr>
    <w:sdtContent>
      <w:p w:rsidR="009340CF" w:rsidRDefault="009340CF">
        <w:pPr>
          <w:pStyle w:val="Footer"/>
          <w:jc w:val="center"/>
        </w:pPr>
        <w:r>
          <w:fldChar w:fldCharType="begin"/>
        </w:r>
        <w:r>
          <w:instrText xml:space="preserve"> PAGE   \* MERGEFORMAT </w:instrText>
        </w:r>
        <w:r>
          <w:fldChar w:fldCharType="separate"/>
        </w:r>
        <w:r w:rsidR="00D728AB">
          <w:rPr>
            <w:noProof/>
          </w:rPr>
          <w:t>5</w:t>
        </w:r>
        <w:r>
          <w:rPr>
            <w:noProof/>
          </w:rPr>
          <w:fldChar w:fldCharType="end"/>
        </w:r>
      </w:p>
    </w:sdtContent>
  </w:sdt>
  <w:p w:rsidR="00C81D26" w:rsidRDefault="00C81D26"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31" w:rsidRDefault="008D6A31" w:rsidP="00113646">
      <w:r>
        <w:separator/>
      </w:r>
    </w:p>
  </w:footnote>
  <w:footnote w:type="continuationSeparator" w:id="0">
    <w:p w:rsidR="008D6A31" w:rsidRDefault="008D6A31" w:rsidP="00113646">
      <w:r>
        <w:continuationSeparator/>
      </w:r>
    </w:p>
  </w:footnote>
  <w:footnote w:id="1">
    <w:p w:rsidR="00EB5034" w:rsidRPr="00CE619E" w:rsidRDefault="00EB5034" w:rsidP="00EB5034">
      <w:pPr>
        <w:pStyle w:val="Level1"/>
        <w:rPr>
          <w:sz w:val="20"/>
        </w:rPr>
      </w:pPr>
      <w:r>
        <w:rPr>
          <w:rStyle w:val="FootnoteReference"/>
        </w:rPr>
        <w:footnoteRef/>
      </w:r>
      <w:r>
        <w:t xml:space="preserve"> </w:t>
      </w:r>
      <w:r w:rsidRPr="00CE619E">
        <w:rPr>
          <w:sz w:val="20"/>
        </w:rPr>
        <w:t>In general, coastal counties are those within 25 miles of ocean coastline (including coastlines of major bays or estuaries).  In the South Atlantic and Gulf of Mexico during May through October coastal counties are those within 50 miles of the coast.  Sampling in North Carolina is increased to counties within 50 miles of the coast during November to April and within 100 miles of the co</w:t>
      </w:r>
      <w:r w:rsidR="00487F84" w:rsidRPr="00CE619E">
        <w:rPr>
          <w:sz w:val="20"/>
        </w:rPr>
        <w:t>ast during May through October.  Data collected from the complementary Access-Point Angler Intercept Survey (OMB Control No. 0648-0659) demonstrate that 70-90% of saltwater fishing trips are taken by residents of the counties covered by the CHTS.</w:t>
      </w:r>
    </w:p>
    <w:p w:rsidR="00EB5034" w:rsidRDefault="00EB5034">
      <w:pPr>
        <w:pStyle w:val="FootnoteText"/>
      </w:pPr>
    </w:p>
  </w:footnote>
  <w:footnote w:id="2">
    <w:p w:rsidR="001A14D9" w:rsidRDefault="001A14D9">
      <w:pPr>
        <w:pStyle w:val="FootnoteText"/>
      </w:pPr>
      <w:r>
        <w:rPr>
          <w:rStyle w:val="FootnoteReference"/>
        </w:rPr>
        <w:footnoteRef/>
      </w:r>
      <w:r>
        <w:t xml:space="preserve"> Response rates based upon results from 2013 CHTS.</w:t>
      </w:r>
    </w:p>
  </w:footnote>
  <w:footnote w:id="3">
    <w:p w:rsidR="002F2C68" w:rsidRDefault="002F2C68" w:rsidP="00FD138E">
      <w:pPr>
        <w:pStyle w:val="FootnoteText"/>
        <w:spacing w:line="240" w:lineRule="auto"/>
      </w:pPr>
      <w:r>
        <w:rPr>
          <w:rStyle w:val="FootnoteReference"/>
        </w:rPr>
        <w:footnoteRef/>
      </w:r>
      <w:r>
        <w:t xml:space="preserve"> The target population for the CHTS is full-time occupied households in coastal counties.  Because the CHTS is an RDD survey, the sample frame excludes households without landline telephone service.  The CHTS assumes that landline and non-landline households are similar in terms of recreational fishing activity.  </w:t>
      </w:r>
      <w:r w:rsidR="00A050B2">
        <w:t xml:space="preserve">This assumption is being evaluated by the MRIP Fishing Effort Survey (OMB Control No. 0648-0652).  </w:t>
      </w:r>
      <w:r>
        <w:t>CHTS sample weights are post-stratified to the</w:t>
      </w:r>
      <w:r w:rsidR="005502D1">
        <w:t xml:space="preserve"> estimated</w:t>
      </w:r>
      <w:r>
        <w:t xml:space="preserve"> total number of occupied households </w:t>
      </w:r>
      <w:r w:rsidR="005502D1">
        <w:t xml:space="preserve">within coastal counties </w:t>
      </w:r>
      <w:r>
        <w:t>to account for this source of under-coverage.</w:t>
      </w:r>
      <w:r w:rsidR="003C537D">
        <w:t xml:space="preserve">  </w:t>
      </w:r>
      <w:r>
        <w:t xml:space="preserve">  </w:t>
      </w:r>
    </w:p>
  </w:footnote>
  <w:footnote w:id="4">
    <w:p w:rsidR="00673E3E" w:rsidRDefault="00673E3E">
      <w:pPr>
        <w:pStyle w:val="FootnoteText"/>
      </w:pPr>
      <w:r>
        <w:rPr>
          <w:rStyle w:val="FootnoteReference"/>
        </w:rPr>
        <w:footnoteRef/>
      </w:r>
      <w:r>
        <w:t xml:space="preserve"> Estimates provided by Nielsen Company,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CF" w:rsidRDefault="009340CF">
    <w:pPr>
      <w:pStyle w:val="Header"/>
      <w:jc w:val="center"/>
    </w:pPr>
  </w:p>
  <w:p w:rsidR="009340CF" w:rsidRDefault="0093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7">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0D09451A"/>
    <w:multiLevelType w:val="hybridMultilevel"/>
    <w:tmpl w:val="A4D4FA0C"/>
    <w:lvl w:ilvl="0" w:tplc="5762D6F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D2C7C"/>
    <w:multiLevelType w:val="hybridMultilevel"/>
    <w:tmpl w:val="B42224FA"/>
    <w:lvl w:ilvl="0" w:tplc="0F74148E">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9"/>
  </w:num>
  <w:num w:numId="6">
    <w:abstractNumId w:val="4"/>
  </w:num>
  <w:num w:numId="7">
    <w:abstractNumId w:val="1"/>
  </w:num>
  <w:num w:numId="8">
    <w:abstractNumId w:val="8"/>
  </w:num>
  <w:num w:numId="9">
    <w:abstractNumId w:val="13"/>
  </w:num>
  <w:num w:numId="10">
    <w:abstractNumId w:val="11"/>
  </w:num>
  <w:num w:numId="11">
    <w:abstractNumId w:val="19"/>
  </w:num>
  <w:num w:numId="12">
    <w:abstractNumId w:val="10"/>
  </w:num>
  <w:num w:numId="13">
    <w:abstractNumId w:val="16"/>
  </w:num>
  <w:num w:numId="14">
    <w:abstractNumId w:val="20"/>
  </w:num>
  <w:num w:numId="15">
    <w:abstractNumId w:val="14"/>
  </w:num>
  <w:num w:numId="16">
    <w:abstractNumId w:val="15"/>
  </w:num>
  <w:num w:numId="17">
    <w:abstractNumId w:val="17"/>
  </w:num>
  <w:num w:numId="18">
    <w:abstractNumId w:val="7"/>
  </w:num>
  <w:num w:numId="19">
    <w:abstractNumId w:val="6"/>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071AB"/>
    <w:rsid w:val="00023DE9"/>
    <w:rsid w:val="0002427F"/>
    <w:rsid w:val="00026C06"/>
    <w:rsid w:val="0003021F"/>
    <w:rsid w:val="00031684"/>
    <w:rsid w:val="000317CA"/>
    <w:rsid w:val="00034F4C"/>
    <w:rsid w:val="0003571E"/>
    <w:rsid w:val="00035B71"/>
    <w:rsid w:val="00036C03"/>
    <w:rsid w:val="00037201"/>
    <w:rsid w:val="00037DB2"/>
    <w:rsid w:val="00037EDA"/>
    <w:rsid w:val="0004003B"/>
    <w:rsid w:val="0004436D"/>
    <w:rsid w:val="00051231"/>
    <w:rsid w:val="0005404E"/>
    <w:rsid w:val="000550B2"/>
    <w:rsid w:val="00055B09"/>
    <w:rsid w:val="00057DBE"/>
    <w:rsid w:val="000604CE"/>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09F2"/>
    <w:rsid w:val="000A44F9"/>
    <w:rsid w:val="000A5BB4"/>
    <w:rsid w:val="000A70DE"/>
    <w:rsid w:val="000B0DAE"/>
    <w:rsid w:val="000B1501"/>
    <w:rsid w:val="000B1963"/>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D7B4F"/>
    <w:rsid w:val="000E1037"/>
    <w:rsid w:val="000E139A"/>
    <w:rsid w:val="000E1758"/>
    <w:rsid w:val="000E23C3"/>
    <w:rsid w:val="000E7024"/>
    <w:rsid w:val="000F12E7"/>
    <w:rsid w:val="000F43A7"/>
    <w:rsid w:val="001018FF"/>
    <w:rsid w:val="001028F2"/>
    <w:rsid w:val="00106752"/>
    <w:rsid w:val="00107A02"/>
    <w:rsid w:val="001107A8"/>
    <w:rsid w:val="00112F7D"/>
    <w:rsid w:val="00113482"/>
    <w:rsid w:val="00113646"/>
    <w:rsid w:val="00114E7B"/>
    <w:rsid w:val="001158A9"/>
    <w:rsid w:val="0012002A"/>
    <w:rsid w:val="001219E7"/>
    <w:rsid w:val="00125816"/>
    <w:rsid w:val="001311AA"/>
    <w:rsid w:val="00133448"/>
    <w:rsid w:val="00134B26"/>
    <w:rsid w:val="00140BF3"/>
    <w:rsid w:val="00141F8E"/>
    <w:rsid w:val="0014484A"/>
    <w:rsid w:val="00146058"/>
    <w:rsid w:val="001463B5"/>
    <w:rsid w:val="00152130"/>
    <w:rsid w:val="0015273E"/>
    <w:rsid w:val="00155680"/>
    <w:rsid w:val="00155EBD"/>
    <w:rsid w:val="00156E3E"/>
    <w:rsid w:val="00156FA8"/>
    <w:rsid w:val="001573D6"/>
    <w:rsid w:val="00160BC3"/>
    <w:rsid w:val="00165BAC"/>
    <w:rsid w:val="00167E58"/>
    <w:rsid w:val="00172F48"/>
    <w:rsid w:val="00173A63"/>
    <w:rsid w:val="00173F93"/>
    <w:rsid w:val="00174172"/>
    <w:rsid w:val="00176D16"/>
    <w:rsid w:val="00182B98"/>
    <w:rsid w:val="0018522F"/>
    <w:rsid w:val="001870BE"/>
    <w:rsid w:val="0019338A"/>
    <w:rsid w:val="0019613F"/>
    <w:rsid w:val="0019620B"/>
    <w:rsid w:val="001A14D9"/>
    <w:rsid w:val="001A4948"/>
    <w:rsid w:val="001A4B34"/>
    <w:rsid w:val="001A5818"/>
    <w:rsid w:val="001A7075"/>
    <w:rsid w:val="001A7165"/>
    <w:rsid w:val="001B0D90"/>
    <w:rsid w:val="001B3141"/>
    <w:rsid w:val="001B73C8"/>
    <w:rsid w:val="001B7DDF"/>
    <w:rsid w:val="001C0B5B"/>
    <w:rsid w:val="001C4A9B"/>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3655"/>
    <w:rsid w:val="002047C1"/>
    <w:rsid w:val="00205701"/>
    <w:rsid w:val="00207CA9"/>
    <w:rsid w:val="00210CAC"/>
    <w:rsid w:val="00214B19"/>
    <w:rsid w:val="002168E6"/>
    <w:rsid w:val="00217FBD"/>
    <w:rsid w:val="0022053A"/>
    <w:rsid w:val="00223EBC"/>
    <w:rsid w:val="002247A4"/>
    <w:rsid w:val="002247D7"/>
    <w:rsid w:val="00227F4B"/>
    <w:rsid w:val="00230A4C"/>
    <w:rsid w:val="00232455"/>
    <w:rsid w:val="00234477"/>
    <w:rsid w:val="00234EE8"/>
    <w:rsid w:val="0023617C"/>
    <w:rsid w:val="00237423"/>
    <w:rsid w:val="00240A96"/>
    <w:rsid w:val="00241FB7"/>
    <w:rsid w:val="00243590"/>
    <w:rsid w:val="00243E4B"/>
    <w:rsid w:val="00245C87"/>
    <w:rsid w:val="002462F5"/>
    <w:rsid w:val="00251A5B"/>
    <w:rsid w:val="002524A0"/>
    <w:rsid w:val="00256391"/>
    <w:rsid w:val="00263B66"/>
    <w:rsid w:val="0026581E"/>
    <w:rsid w:val="00270DD1"/>
    <w:rsid w:val="00272912"/>
    <w:rsid w:val="00273D4F"/>
    <w:rsid w:val="00275C65"/>
    <w:rsid w:val="00277DE0"/>
    <w:rsid w:val="00280D30"/>
    <w:rsid w:val="002830A9"/>
    <w:rsid w:val="002860A4"/>
    <w:rsid w:val="002905CE"/>
    <w:rsid w:val="00291AF3"/>
    <w:rsid w:val="0029263A"/>
    <w:rsid w:val="00293BB4"/>
    <w:rsid w:val="00294B83"/>
    <w:rsid w:val="0029593C"/>
    <w:rsid w:val="00296715"/>
    <w:rsid w:val="00296F21"/>
    <w:rsid w:val="002A0601"/>
    <w:rsid w:val="002A120D"/>
    <w:rsid w:val="002A2154"/>
    <w:rsid w:val="002A261B"/>
    <w:rsid w:val="002A3F35"/>
    <w:rsid w:val="002A4167"/>
    <w:rsid w:val="002A4C1B"/>
    <w:rsid w:val="002B0B7E"/>
    <w:rsid w:val="002B169D"/>
    <w:rsid w:val="002B21DE"/>
    <w:rsid w:val="002B258B"/>
    <w:rsid w:val="002B6042"/>
    <w:rsid w:val="002B61F6"/>
    <w:rsid w:val="002B72A1"/>
    <w:rsid w:val="002C6900"/>
    <w:rsid w:val="002D527D"/>
    <w:rsid w:val="002D7601"/>
    <w:rsid w:val="002D7C55"/>
    <w:rsid w:val="002E026A"/>
    <w:rsid w:val="002E0939"/>
    <w:rsid w:val="002E191E"/>
    <w:rsid w:val="002E1D70"/>
    <w:rsid w:val="002E1EE7"/>
    <w:rsid w:val="002E3081"/>
    <w:rsid w:val="002E4D41"/>
    <w:rsid w:val="002E6295"/>
    <w:rsid w:val="002E69D8"/>
    <w:rsid w:val="002E7126"/>
    <w:rsid w:val="002F1D40"/>
    <w:rsid w:val="002F2C68"/>
    <w:rsid w:val="002F305A"/>
    <w:rsid w:val="002F37B6"/>
    <w:rsid w:val="002F5105"/>
    <w:rsid w:val="002F70EC"/>
    <w:rsid w:val="00300690"/>
    <w:rsid w:val="00300FD4"/>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39CD"/>
    <w:rsid w:val="003343C2"/>
    <w:rsid w:val="00334CBE"/>
    <w:rsid w:val="00336322"/>
    <w:rsid w:val="00337F5B"/>
    <w:rsid w:val="003409E8"/>
    <w:rsid w:val="00340CAC"/>
    <w:rsid w:val="00341063"/>
    <w:rsid w:val="00341B7F"/>
    <w:rsid w:val="00341F44"/>
    <w:rsid w:val="00342D44"/>
    <w:rsid w:val="00343EC7"/>
    <w:rsid w:val="00344492"/>
    <w:rsid w:val="003505D2"/>
    <w:rsid w:val="0035142D"/>
    <w:rsid w:val="00355C30"/>
    <w:rsid w:val="00356DAE"/>
    <w:rsid w:val="00356EAD"/>
    <w:rsid w:val="003571EF"/>
    <w:rsid w:val="00357483"/>
    <w:rsid w:val="00357F1E"/>
    <w:rsid w:val="00362D11"/>
    <w:rsid w:val="00363254"/>
    <w:rsid w:val="00363449"/>
    <w:rsid w:val="003638C0"/>
    <w:rsid w:val="00366D16"/>
    <w:rsid w:val="00371B4F"/>
    <w:rsid w:val="003776C5"/>
    <w:rsid w:val="00380C86"/>
    <w:rsid w:val="00384306"/>
    <w:rsid w:val="003875BC"/>
    <w:rsid w:val="00387C8F"/>
    <w:rsid w:val="00394FB8"/>
    <w:rsid w:val="003956B8"/>
    <w:rsid w:val="00395F44"/>
    <w:rsid w:val="00396763"/>
    <w:rsid w:val="003974A4"/>
    <w:rsid w:val="003A3ECB"/>
    <w:rsid w:val="003A5B61"/>
    <w:rsid w:val="003B0392"/>
    <w:rsid w:val="003B0EB6"/>
    <w:rsid w:val="003B180C"/>
    <w:rsid w:val="003B4604"/>
    <w:rsid w:val="003B52FD"/>
    <w:rsid w:val="003B53C2"/>
    <w:rsid w:val="003C0E98"/>
    <w:rsid w:val="003C1517"/>
    <w:rsid w:val="003C3D57"/>
    <w:rsid w:val="003C4F3D"/>
    <w:rsid w:val="003C537D"/>
    <w:rsid w:val="003C5C3B"/>
    <w:rsid w:val="003C5C4F"/>
    <w:rsid w:val="003C6185"/>
    <w:rsid w:val="003C619B"/>
    <w:rsid w:val="003C75FB"/>
    <w:rsid w:val="003D1CB8"/>
    <w:rsid w:val="003D1E5A"/>
    <w:rsid w:val="003D3119"/>
    <w:rsid w:val="003D5324"/>
    <w:rsid w:val="003D603E"/>
    <w:rsid w:val="003D6DF7"/>
    <w:rsid w:val="003E075E"/>
    <w:rsid w:val="003E333E"/>
    <w:rsid w:val="003E68EF"/>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479"/>
    <w:rsid w:val="004066D2"/>
    <w:rsid w:val="004075FF"/>
    <w:rsid w:val="0041398B"/>
    <w:rsid w:val="0041577D"/>
    <w:rsid w:val="004174CF"/>
    <w:rsid w:val="004217B8"/>
    <w:rsid w:val="004241AC"/>
    <w:rsid w:val="00425897"/>
    <w:rsid w:val="004261E3"/>
    <w:rsid w:val="00427B97"/>
    <w:rsid w:val="004300A5"/>
    <w:rsid w:val="00430499"/>
    <w:rsid w:val="00430790"/>
    <w:rsid w:val="00431543"/>
    <w:rsid w:val="004352D0"/>
    <w:rsid w:val="0044117E"/>
    <w:rsid w:val="004419A9"/>
    <w:rsid w:val="00441F12"/>
    <w:rsid w:val="00442981"/>
    <w:rsid w:val="004449FA"/>
    <w:rsid w:val="00445317"/>
    <w:rsid w:val="00445F2C"/>
    <w:rsid w:val="0045034F"/>
    <w:rsid w:val="004525D1"/>
    <w:rsid w:val="00453A07"/>
    <w:rsid w:val="00455068"/>
    <w:rsid w:val="004568C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84"/>
    <w:rsid w:val="00487FF5"/>
    <w:rsid w:val="0049053E"/>
    <w:rsid w:val="004929E1"/>
    <w:rsid w:val="0049766B"/>
    <w:rsid w:val="004A15B1"/>
    <w:rsid w:val="004A36C7"/>
    <w:rsid w:val="004A5FC4"/>
    <w:rsid w:val="004A61E1"/>
    <w:rsid w:val="004A67A2"/>
    <w:rsid w:val="004A6C87"/>
    <w:rsid w:val="004B65B5"/>
    <w:rsid w:val="004B71B9"/>
    <w:rsid w:val="004C0A69"/>
    <w:rsid w:val="004C1372"/>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4B07"/>
    <w:rsid w:val="005003AC"/>
    <w:rsid w:val="00502CBD"/>
    <w:rsid w:val="00506FB1"/>
    <w:rsid w:val="005122FF"/>
    <w:rsid w:val="00513413"/>
    <w:rsid w:val="00515875"/>
    <w:rsid w:val="0051709E"/>
    <w:rsid w:val="005177F3"/>
    <w:rsid w:val="00524B90"/>
    <w:rsid w:val="00532841"/>
    <w:rsid w:val="005335FF"/>
    <w:rsid w:val="00534694"/>
    <w:rsid w:val="00537CAD"/>
    <w:rsid w:val="00541CDB"/>
    <w:rsid w:val="00542689"/>
    <w:rsid w:val="00543FC0"/>
    <w:rsid w:val="0054432C"/>
    <w:rsid w:val="005454ED"/>
    <w:rsid w:val="00546488"/>
    <w:rsid w:val="005502D1"/>
    <w:rsid w:val="00556ACD"/>
    <w:rsid w:val="005647D5"/>
    <w:rsid w:val="00564D7A"/>
    <w:rsid w:val="00565DE9"/>
    <w:rsid w:val="00567973"/>
    <w:rsid w:val="00570768"/>
    <w:rsid w:val="00571157"/>
    <w:rsid w:val="00573C8E"/>
    <w:rsid w:val="00574181"/>
    <w:rsid w:val="00574D59"/>
    <w:rsid w:val="005773C5"/>
    <w:rsid w:val="00580122"/>
    <w:rsid w:val="00584E96"/>
    <w:rsid w:val="00585EB8"/>
    <w:rsid w:val="00585F8C"/>
    <w:rsid w:val="00587B8F"/>
    <w:rsid w:val="005908B6"/>
    <w:rsid w:val="00593336"/>
    <w:rsid w:val="005934D2"/>
    <w:rsid w:val="00594576"/>
    <w:rsid w:val="00594669"/>
    <w:rsid w:val="005949F7"/>
    <w:rsid w:val="0059687E"/>
    <w:rsid w:val="00596A94"/>
    <w:rsid w:val="005A2F0B"/>
    <w:rsid w:val="005A55A8"/>
    <w:rsid w:val="005A5894"/>
    <w:rsid w:val="005A6BA7"/>
    <w:rsid w:val="005B009D"/>
    <w:rsid w:val="005B038A"/>
    <w:rsid w:val="005B2836"/>
    <w:rsid w:val="005B45A6"/>
    <w:rsid w:val="005B6AB0"/>
    <w:rsid w:val="005B729E"/>
    <w:rsid w:val="005C1887"/>
    <w:rsid w:val="005C20C1"/>
    <w:rsid w:val="005C2228"/>
    <w:rsid w:val="005C3764"/>
    <w:rsid w:val="005C645B"/>
    <w:rsid w:val="005C659A"/>
    <w:rsid w:val="005C725D"/>
    <w:rsid w:val="005C7315"/>
    <w:rsid w:val="005C74EB"/>
    <w:rsid w:val="005D0B8D"/>
    <w:rsid w:val="005D2DEA"/>
    <w:rsid w:val="005D35AB"/>
    <w:rsid w:val="005D4E16"/>
    <w:rsid w:val="005D7772"/>
    <w:rsid w:val="005D7E56"/>
    <w:rsid w:val="005E070A"/>
    <w:rsid w:val="005E3790"/>
    <w:rsid w:val="005E7704"/>
    <w:rsid w:val="005F07D3"/>
    <w:rsid w:val="005F1C93"/>
    <w:rsid w:val="005F1D33"/>
    <w:rsid w:val="005F2171"/>
    <w:rsid w:val="005F3569"/>
    <w:rsid w:val="005F74D5"/>
    <w:rsid w:val="0060321F"/>
    <w:rsid w:val="0060504E"/>
    <w:rsid w:val="0061116B"/>
    <w:rsid w:val="00613B51"/>
    <w:rsid w:val="00615799"/>
    <w:rsid w:val="00616369"/>
    <w:rsid w:val="00616B5A"/>
    <w:rsid w:val="00617D6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391"/>
    <w:rsid w:val="006575C7"/>
    <w:rsid w:val="00660577"/>
    <w:rsid w:val="00660D4E"/>
    <w:rsid w:val="0066136B"/>
    <w:rsid w:val="006657AE"/>
    <w:rsid w:val="00670EC2"/>
    <w:rsid w:val="00673C65"/>
    <w:rsid w:val="00673E3E"/>
    <w:rsid w:val="0067432E"/>
    <w:rsid w:val="0067436E"/>
    <w:rsid w:val="00675141"/>
    <w:rsid w:val="0067695B"/>
    <w:rsid w:val="006810D0"/>
    <w:rsid w:val="006813B1"/>
    <w:rsid w:val="00682914"/>
    <w:rsid w:val="0068368E"/>
    <w:rsid w:val="00684A5E"/>
    <w:rsid w:val="006850F5"/>
    <w:rsid w:val="00690982"/>
    <w:rsid w:val="00690C39"/>
    <w:rsid w:val="00693399"/>
    <w:rsid w:val="00697A22"/>
    <w:rsid w:val="006A1838"/>
    <w:rsid w:val="006A1904"/>
    <w:rsid w:val="006A5306"/>
    <w:rsid w:val="006A540B"/>
    <w:rsid w:val="006A5738"/>
    <w:rsid w:val="006A5E4F"/>
    <w:rsid w:val="006A647F"/>
    <w:rsid w:val="006A73AD"/>
    <w:rsid w:val="006B11C2"/>
    <w:rsid w:val="006B313C"/>
    <w:rsid w:val="006B6EE5"/>
    <w:rsid w:val="006B7606"/>
    <w:rsid w:val="006C4B1F"/>
    <w:rsid w:val="006C5544"/>
    <w:rsid w:val="006D0359"/>
    <w:rsid w:val="006D2F7F"/>
    <w:rsid w:val="006D37E0"/>
    <w:rsid w:val="006D5166"/>
    <w:rsid w:val="006D517B"/>
    <w:rsid w:val="006D560F"/>
    <w:rsid w:val="006E07EE"/>
    <w:rsid w:val="006E126A"/>
    <w:rsid w:val="006E1D63"/>
    <w:rsid w:val="006E545F"/>
    <w:rsid w:val="006E6D07"/>
    <w:rsid w:val="006E6DB9"/>
    <w:rsid w:val="006F020C"/>
    <w:rsid w:val="006F4860"/>
    <w:rsid w:val="006F4A8B"/>
    <w:rsid w:val="006F4C46"/>
    <w:rsid w:val="006F5C04"/>
    <w:rsid w:val="006F6C8C"/>
    <w:rsid w:val="006F7014"/>
    <w:rsid w:val="00701EE7"/>
    <w:rsid w:val="00703623"/>
    <w:rsid w:val="00710845"/>
    <w:rsid w:val="00712A25"/>
    <w:rsid w:val="00713CE0"/>
    <w:rsid w:val="00714A39"/>
    <w:rsid w:val="00717AEE"/>
    <w:rsid w:val="00717E76"/>
    <w:rsid w:val="00724BE4"/>
    <w:rsid w:val="00724E2F"/>
    <w:rsid w:val="00725CBA"/>
    <w:rsid w:val="007320E9"/>
    <w:rsid w:val="00733E8C"/>
    <w:rsid w:val="00734039"/>
    <w:rsid w:val="007343F0"/>
    <w:rsid w:val="00735F85"/>
    <w:rsid w:val="00741C2E"/>
    <w:rsid w:val="00742991"/>
    <w:rsid w:val="007471CE"/>
    <w:rsid w:val="0074744D"/>
    <w:rsid w:val="00751F83"/>
    <w:rsid w:val="00753798"/>
    <w:rsid w:val="00753E71"/>
    <w:rsid w:val="00754D4A"/>
    <w:rsid w:val="007562BF"/>
    <w:rsid w:val="00757FCF"/>
    <w:rsid w:val="00763068"/>
    <w:rsid w:val="00763DE2"/>
    <w:rsid w:val="0076412D"/>
    <w:rsid w:val="00765182"/>
    <w:rsid w:val="0076557F"/>
    <w:rsid w:val="0076672E"/>
    <w:rsid w:val="00770FDA"/>
    <w:rsid w:val="007713B3"/>
    <w:rsid w:val="00772BA5"/>
    <w:rsid w:val="00775C66"/>
    <w:rsid w:val="00775E93"/>
    <w:rsid w:val="0077668C"/>
    <w:rsid w:val="00777964"/>
    <w:rsid w:val="00777A2A"/>
    <w:rsid w:val="00780263"/>
    <w:rsid w:val="0078093C"/>
    <w:rsid w:val="00782EA7"/>
    <w:rsid w:val="00785EBF"/>
    <w:rsid w:val="007863F0"/>
    <w:rsid w:val="007900D7"/>
    <w:rsid w:val="0079141A"/>
    <w:rsid w:val="00792B1A"/>
    <w:rsid w:val="0079366B"/>
    <w:rsid w:val="00796858"/>
    <w:rsid w:val="0079740C"/>
    <w:rsid w:val="007A0276"/>
    <w:rsid w:val="007A299E"/>
    <w:rsid w:val="007A2BD3"/>
    <w:rsid w:val="007A4D25"/>
    <w:rsid w:val="007A7794"/>
    <w:rsid w:val="007B0EB1"/>
    <w:rsid w:val="007B12BD"/>
    <w:rsid w:val="007B2826"/>
    <w:rsid w:val="007B3877"/>
    <w:rsid w:val="007B5917"/>
    <w:rsid w:val="007B6A4C"/>
    <w:rsid w:val="007B7976"/>
    <w:rsid w:val="007B7BDD"/>
    <w:rsid w:val="007B7D44"/>
    <w:rsid w:val="007C2361"/>
    <w:rsid w:val="007C3D4D"/>
    <w:rsid w:val="007C3D95"/>
    <w:rsid w:val="007C44EA"/>
    <w:rsid w:val="007C557F"/>
    <w:rsid w:val="007C6B19"/>
    <w:rsid w:val="007D19E3"/>
    <w:rsid w:val="007D1B89"/>
    <w:rsid w:val="007D348B"/>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23882"/>
    <w:rsid w:val="00825E20"/>
    <w:rsid w:val="008276D4"/>
    <w:rsid w:val="008318FC"/>
    <w:rsid w:val="00831BB3"/>
    <w:rsid w:val="00831BC6"/>
    <w:rsid w:val="00834BBF"/>
    <w:rsid w:val="008367F3"/>
    <w:rsid w:val="00840BE8"/>
    <w:rsid w:val="00841DEB"/>
    <w:rsid w:val="00843995"/>
    <w:rsid w:val="00843ED4"/>
    <w:rsid w:val="00846389"/>
    <w:rsid w:val="00847178"/>
    <w:rsid w:val="00850B0A"/>
    <w:rsid w:val="00851414"/>
    <w:rsid w:val="00851E6F"/>
    <w:rsid w:val="00854D1D"/>
    <w:rsid w:val="008553B9"/>
    <w:rsid w:val="00856940"/>
    <w:rsid w:val="0086087E"/>
    <w:rsid w:val="00861A53"/>
    <w:rsid w:val="00862DDF"/>
    <w:rsid w:val="008677AD"/>
    <w:rsid w:val="00871E58"/>
    <w:rsid w:val="00873A30"/>
    <w:rsid w:val="00875824"/>
    <w:rsid w:val="00882EBA"/>
    <w:rsid w:val="0088410E"/>
    <w:rsid w:val="00884F11"/>
    <w:rsid w:val="0088613C"/>
    <w:rsid w:val="00886FB9"/>
    <w:rsid w:val="00890E5E"/>
    <w:rsid w:val="00891605"/>
    <w:rsid w:val="00892451"/>
    <w:rsid w:val="00895C4A"/>
    <w:rsid w:val="0089605E"/>
    <w:rsid w:val="0089621D"/>
    <w:rsid w:val="0089691D"/>
    <w:rsid w:val="008A191B"/>
    <w:rsid w:val="008A1A9B"/>
    <w:rsid w:val="008A1D0F"/>
    <w:rsid w:val="008A2F1C"/>
    <w:rsid w:val="008A3D68"/>
    <w:rsid w:val="008A4806"/>
    <w:rsid w:val="008A53AE"/>
    <w:rsid w:val="008A5AF9"/>
    <w:rsid w:val="008A755C"/>
    <w:rsid w:val="008B0E3C"/>
    <w:rsid w:val="008B2BCE"/>
    <w:rsid w:val="008B4A80"/>
    <w:rsid w:val="008B62D6"/>
    <w:rsid w:val="008B6811"/>
    <w:rsid w:val="008C0BF0"/>
    <w:rsid w:val="008C0CDB"/>
    <w:rsid w:val="008C0ED1"/>
    <w:rsid w:val="008C3B4B"/>
    <w:rsid w:val="008C4CEA"/>
    <w:rsid w:val="008C5965"/>
    <w:rsid w:val="008C5E3E"/>
    <w:rsid w:val="008C7618"/>
    <w:rsid w:val="008D15A0"/>
    <w:rsid w:val="008D5C4A"/>
    <w:rsid w:val="008D6A31"/>
    <w:rsid w:val="008E1441"/>
    <w:rsid w:val="008E22E3"/>
    <w:rsid w:val="008E3D22"/>
    <w:rsid w:val="008E52A6"/>
    <w:rsid w:val="008E5A07"/>
    <w:rsid w:val="008E5DB9"/>
    <w:rsid w:val="008E7140"/>
    <w:rsid w:val="008F223A"/>
    <w:rsid w:val="008F39D1"/>
    <w:rsid w:val="008F3C91"/>
    <w:rsid w:val="008F4979"/>
    <w:rsid w:val="008F4CF4"/>
    <w:rsid w:val="008F5145"/>
    <w:rsid w:val="008F6F36"/>
    <w:rsid w:val="009007D6"/>
    <w:rsid w:val="00902F47"/>
    <w:rsid w:val="009056A3"/>
    <w:rsid w:val="00911155"/>
    <w:rsid w:val="009151BB"/>
    <w:rsid w:val="0091579D"/>
    <w:rsid w:val="0091634E"/>
    <w:rsid w:val="00916CE0"/>
    <w:rsid w:val="009211FA"/>
    <w:rsid w:val="00921830"/>
    <w:rsid w:val="00921B32"/>
    <w:rsid w:val="00922543"/>
    <w:rsid w:val="00923B92"/>
    <w:rsid w:val="00933120"/>
    <w:rsid w:val="009340CF"/>
    <w:rsid w:val="00934AC1"/>
    <w:rsid w:val="00935839"/>
    <w:rsid w:val="009364D7"/>
    <w:rsid w:val="00936A25"/>
    <w:rsid w:val="0094262E"/>
    <w:rsid w:val="00942F84"/>
    <w:rsid w:val="00944671"/>
    <w:rsid w:val="00952659"/>
    <w:rsid w:val="0095361F"/>
    <w:rsid w:val="009551A8"/>
    <w:rsid w:val="009600E5"/>
    <w:rsid w:val="00961A00"/>
    <w:rsid w:val="00962A75"/>
    <w:rsid w:val="00963183"/>
    <w:rsid w:val="00964F59"/>
    <w:rsid w:val="0096508C"/>
    <w:rsid w:val="00965C0A"/>
    <w:rsid w:val="0097164A"/>
    <w:rsid w:val="0097223C"/>
    <w:rsid w:val="00976E53"/>
    <w:rsid w:val="00977748"/>
    <w:rsid w:val="00977BA2"/>
    <w:rsid w:val="00981BF9"/>
    <w:rsid w:val="00981CA4"/>
    <w:rsid w:val="009832E5"/>
    <w:rsid w:val="0098482F"/>
    <w:rsid w:val="00985C56"/>
    <w:rsid w:val="00990892"/>
    <w:rsid w:val="009919A9"/>
    <w:rsid w:val="00991A65"/>
    <w:rsid w:val="00992CED"/>
    <w:rsid w:val="00992E02"/>
    <w:rsid w:val="0099674F"/>
    <w:rsid w:val="009A2775"/>
    <w:rsid w:val="009A5D2D"/>
    <w:rsid w:val="009A7516"/>
    <w:rsid w:val="009A7B0B"/>
    <w:rsid w:val="009B0507"/>
    <w:rsid w:val="009B0C95"/>
    <w:rsid w:val="009B14BF"/>
    <w:rsid w:val="009B15E9"/>
    <w:rsid w:val="009B1F10"/>
    <w:rsid w:val="009B21A5"/>
    <w:rsid w:val="009B30B8"/>
    <w:rsid w:val="009B693B"/>
    <w:rsid w:val="009B7406"/>
    <w:rsid w:val="009C1B9A"/>
    <w:rsid w:val="009C1CD0"/>
    <w:rsid w:val="009C375F"/>
    <w:rsid w:val="009C49DC"/>
    <w:rsid w:val="009C5344"/>
    <w:rsid w:val="009C58D2"/>
    <w:rsid w:val="009C6EF2"/>
    <w:rsid w:val="009C7207"/>
    <w:rsid w:val="009C7F78"/>
    <w:rsid w:val="009D032E"/>
    <w:rsid w:val="009D19EF"/>
    <w:rsid w:val="009D5BE2"/>
    <w:rsid w:val="009E0285"/>
    <w:rsid w:val="009E1F96"/>
    <w:rsid w:val="009E349E"/>
    <w:rsid w:val="009E36FD"/>
    <w:rsid w:val="009E4751"/>
    <w:rsid w:val="009E4D89"/>
    <w:rsid w:val="009E5C7E"/>
    <w:rsid w:val="009E62C3"/>
    <w:rsid w:val="009E7675"/>
    <w:rsid w:val="009E769B"/>
    <w:rsid w:val="009F0DA9"/>
    <w:rsid w:val="009F3B8B"/>
    <w:rsid w:val="009F7A88"/>
    <w:rsid w:val="009F7DE9"/>
    <w:rsid w:val="00A01ABB"/>
    <w:rsid w:val="00A02BEE"/>
    <w:rsid w:val="00A0453C"/>
    <w:rsid w:val="00A050B2"/>
    <w:rsid w:val="00A05B7D"/>
    <w:rsid w:val="00A07C4F"/>
    <w:rsid w:val="00A1320E"/>
    <w:rsid w:val="00A136B2"/>
    <w:rsid w:val="00A158D3"/>
    <w:rsid w:val="00A160C7"/>
    <w:rsid w:val="00A16C77"/>
    <w:rsid w:val="00A172D3"/>
    <w:rsid w:val="00A205D7"/>
    <w:rsid w:val="00A226E3"/>
    <w:rsid w:val="00A25B41"/>
    <w:rsid w:val="00A26B77"/>
    <w:rsid w:val="00A26CC9"/>
    <w:rsid w:val="00A277A2"/>
    <w:rsid w:val="00A30D9B"/>
    <w:rsid w:val="00A31882"/>
    <w:rsid w:val="00A3257B"/>
    <w:rsid w:val="00A3398F"/>
    <w:rsid w:val="00A363D1"/>
    <w:rsid w:val="00A36988"/>
    <w:rsid w:val="00A41FCD"/>
    <w:rsid w:val="00A4258C"/>
    <w:rsid w:val="00A42D73"/>
    <w:rsid w:val="00A4338E"/>
    <w:rsid w:val="00A4497E"/>
    <w:rsid w:val="00A46A49"/>
    <w:rsid w:val="00A47A69"/>
    <w:rsid w:val="00A50362"/>
    <w:rsid w:val="00A523CE"/>
    <w:rsid w:val="00A52544"/>
    <w:rsid w:val="00A5330B"/>
    <w:rsid w:val="00A53B11"/>
    <w:rsid w:val="00A5616F"/>
    <w:rsid w:val="00A569AE"/>
    <w:rsid w:val="00A609C2"/>
    <w:rsid w:val="00A6239A"/>
    <w:rsid w:val="00A62B31"/>
    <w:rsid w:val="00A633E7"/>
    <w:rsid w:val="00A64C65"/>
    <w:rsid w:val="00A707B7"/>
    <w:rsid w:val="00A721F9"/>
    <w:rsid w:val="00A74D6E"/>
    <w:rsid w:val="00A75131"/>
    <w:rsid w:val="00A75575"/>
    <w:rsid w:val="00A76FF3"/>
    <w:rsid w:val="00A807BF"/>
    <w:rsid w:val="00A82A1F"/>
    <w:rsid w:val="00A84678"/>
    <w:rsid w:val="00A905FC"/>
    <w:rsid w:val="00A90DA3"/>
    <w:rsid w:val="00A92ED6"/>
    <w:rsid w:val="00A931AA"/>
    <w:rsid w:val="00A931BE"/>
    <w:rsid w:val="00A938C7"/>
    <w:rsid w:val="00A93F02"/>
    <w:rsid w:val="00A978F9"/>
    <w:rsid w:val="00AA5FB1"/>
    <w:rsid w:val="00AA6CC9"/>
    <w:rsid w:val="00AA7658"/>
    <w:rsid w:val="00AB13B2"/>
    <w:rsid w:val="00AB1D47"/>
    <w:rsid w:val="00AB3252"/>
    <w:rsid w:val="00AB4F9F"/>
    <w:rsid w:val="00AC0672"/>
    <w:rsid w:val="00AC0DA2"/>
    <w:rsid w:val="00AC13CC"/>
    <w:rsid w:val="00AC468C"/>
    <w:rsid w:val="00AC6541"/>
    <w:rsid w:val="00AC7DC6"/>
    <w:rsid w:val="00AD140C"/>
    <w:rsid w:val="00AD146B"/>
    <w:rsid w:val="00AD2AB9"/>
    <w:rsid w:val="00AD330A"/>
    <w:rsid w:val="00AD43EC"/>
    <w:rsid w:val="00AD4443"/>
    <w:rsid w:val="00AD7460"/>
    <w:rsid w:val="00AD7BFB"/>
    <w:rsid w:val="00AE5BAB"/>
    <w:rsid w:val="00AE7795"/>
    <w:rsid w:val="00AE7A8E"/>
    <w:rsid w:val="00AE7C1E"/>
    <w:rsid w:val="00AF1336"/>
    <w:rsid w:val="00AF1AE3"/>
    <w:rsid w:val="00AF284A"/>
    <w:rsid w:val="00AF662A"/>
    <w:rsid w:val="00AF7CA4"/>
    <w:rsid w:val="00B00220"/>
    <w:rsid w:val="00B005E6"/>
    <w:rsid w:val="00B01738"/>
    <w:rsid w:val="00B01837"/>
    <w:rsid w:val="00B037EE"/>
    <w:rsid w:val="00B03931"/>
    <w:rsid w:val="00B04835"/>
    <w:rsid w:val="00B05CE3"/>
    <w:rsid w:val="00B0799B"/>
    <w:rsid w:val="00B11734"/>
    <w:rsid w:val="00B119CD"/>
    <w:rsid w:val="00B11BD4"/>
    <w:rsid w:val="00B11FC0"/>
    <w:rsid w:val="00B12707"/>
    <w:rsid w:val="00B17A23"/>
    <w:rsid w:val="00B17B12"/>
    <w:rsid w:val="00B20F50"/>
    <w:rsid w:val="00B22EA2"/>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3AB"/>
    <w:rsid w:val="00B4268D"/>
    <w:rsid w:val="00B42F76"/>
    <w:rsid w:val="00B45DAC"/>
    <w:rsid w:val="00B45EA7"/>
    <w:rsid w:val="00B47519"/>
    <w:rsid w:val="00B503CD"/>
    <w:rsid w:val="00B52BDB"/>
    <w:rsid w:val="00B53F5B"/>
    <w:rsid w:val="00B566A0"/>
    <w:rsid w:val="00B5777D"/>
    <w:rsid w:val="00B61062"/>
    <w:rsid w:val="00B6167C"/>
    <w:rsid w:val="00B62209"/>
    <w:rsid w:val="00B63A24"/>
    <w:rsid w:val="00B644D2"/>
    <w:rsid w:val="00B64521"/>
    <w:rsid w:val="00B646E9"/>
    <w:rsid w:val="00B66B09"/>
    <w:rsid w:val="00B67103"/>
    <w:rsid w:val="00B67A2D"/>
    <w:rsid w:val="00B70979"/>
    <w:rsid w:val="00B71A6C"/>
    <w:rsid w:val="00B722FB"/>
    <w:rsid w:val="00B72BDA"/>
    <w:rsid w:val="00B74257"/>
    <w:rsid w:val="00B7635F"/>
    <w:rsid w:val="00B763A7"/>
    <w:rsid w:val="00B8514B"/>
    <w:rsid w:val="00B8588C"/>
    <w:rsid w:val="00B928F9"/>
    <w:rsid w:val="00BA10D3"/>
    <w:rsid w:val="00BA11DD"/>
    <w:rsid w:val="00BA1D1D"/>
    <w:rsid w:val="00BA3CF1"/>
    <w:rsid w:val="00BA589D"/>
    <w:rsid w:val="00BA6266"/>
    <w:rsid w:val="00BB26BF"/>
    <w:rsid w:val="00BB2AC4"/>
    <w:rsid w:val="00BB2B73"/>
    <w:rsid w:val="00BB2BF0"/>
    <w:rsid w:val="00BB3C15"/>
    <w:rsid w:val="00BB46F3"/>
    <w:rsid w:val="00BB4BA0"/>
    <w:rsid w:val="00BB6F0F"/>
    <w:rsid w:val="00BC1870"/>
    <w:rsid w:val="00BC2278"/>
    <w:rsid w:val="00BC399A"/>
    <w:rsid w:val="00BC4023"/>
    <w:rsid w:val="00BC45AB"/>
    <w:rsid w:val="00BC58C2"/>
    <w:rsid w:val="00BC5996"/>
    <w:rsid w:val="00BD1297"/>
    <w:rsid w:val="00BD14BD"/>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346"/>
    <w:rsid w:val="00C03949"/>
    <w:rsid w:val="00C04A65"/>
    <w:rsid w:val="00C04BF0"/>
    <w:rsid w:val="00C05A35"/>
    <w:rsid w:val="00C0714A"/>
    <w:rsid w:val="00C10414"/>
    <w:rsid w:val="00C13FB7"/>
    <w:rsid w:val="00C14D2B"/>
    <w:rsid w:val="00C1575C"/>
    <w:rsid w:val="00C15CA2"/>
    <w:rsid w:val="00C20CF5"/>
    <w:rsid w:val="00C2186F"/>
    <w:rsid w:val="00C21E0F"/>
    <w:rsid w:val="00C2249E"/>
    <w:rsid w:val="00C248EF"/>
    <w:rsid w:val="00C256B7"/>
    <w:rsid w:val="00C261A9"/>
    <w:rsid w:val="00C26231"/>
    <w:rsid w:val="00C269C5"/>
    <w:rsid w:val="00C30386"/>
    <w:rsid w:val="00C304CC"/>
    <w:rsid w:val="00C31952"/>
    <w:rsid w:val="00C33E3D"/>
    <w:rsid w:val="00C34C07"/>
    <w:rsid w:val="00C35DF2"/>
    <w:rsid w:val="00C36271"/>
    <w:rsid w:val="00C36A8E"/>
    <w:rsid w:val="00C40574"/>
    <w:rsid w:val="00C40A99"/>
    <w:rsid w:val="00C429C3"/>
    <w:rsid w:val="00C432B6"/>
    <w:rsid w:val="00C4560A"/>
    <w:rsid w:val="00C535C8"/>
    <w:rsid w:val="00C5410E"/>
    <w:rsid w:val="00C60827"/>
    <w:rsid w:val="00C60A3E"/>
    <w:rsid w:val="00C653C0"/>
    <w:rsid w:val="00C65CCC"/>
    <w:rsid w:val="00C678FB"/>
    <w:rsid w:val="00C70232"/>
    <w:rsid w:val="00C7072D"/>
    <w:rsid w:val="00C725AF"/>
    <w:rsid w:val="00C72946"/>
    <w:rsid w:val="00C74DBF"/>
    <w:rsid w:val="00C762C0"/>
    <w:rsid w:val="00C77A25"/>
    <w:rsid w:val="00C81D26"/>
    <w:rsid w:val="00C857E9"/>
    <w:rsid w:val="00C85D52"/>
    <w:rsid w:val="00C86CA8"/>
    <w:rsid w:val="00C9094B"/>
    <w:rsid w:val="00C91D49"/>
    <w:rsid w:val="00C9213E"/>
    <w:rsid w:val="00C92987"/>
    <w:rsid w:val="00C92C24"/>
    <w:rsid w:val="00C9539C"/>
    <w:rsid w:val="00C96C7E"/>
    <w:rsid w:val="00C978ED"/>
    <w:rsid w:val="00C97DA2"/>
    <w:rsid w:val="00CA4795"/>
    <w:rsid w:val="00CA4E26"/>
    <w:rsid w:val="00CA561A"/>
    <w:rsid w:val="00CA5FA3"/>
    <w:rsid w:val="00CB4CC0"/>
    <w:rsid w:val="00CC14A2"/>
    <w:rsid w:val="00CC189F"/>
    <w:rsid w:val="00CC3EC2"/>
    <w:rsid w:val="00CC478A"/>
    <w:rsid w:val="00CC5D6E"/>
    <w:rsid w:val="00CC6959"/>
    <w:rsid w:val="00CD2DA0"/>
    <w:rsid w:val="00CD38CC"/>
    <w:rsid w:val="00CD4B53"/>
    <w:rsid w:val="00CD7650"/>
    <w:rsid w:val="00CE06A8"/>
    <w:rsid w:val="00CE214D"/>
    <w:rsid w:val="00CE33F4"/>
    <w:rsid w:val="00CE3B9E"/>
    <w:rsid w:val="00CE619E"/>
    <w:rsid w:val="00CE6302"/>
    <w:rsid w:val="00CE6663"/>
    <w:rsid w:val="00CF0449"/>
    <w:rsid w:val="00CF107F"/>
    <w:rsid w:val="00CF5AED"/>
    <w:rsid w:val="00CF5C33"/>
    <w:rsid w:val="00D007A6"/>
    <w:rsid w:val="00D01A61"/>
    <w:rsid w:val="00D02500"/>
    <w:rsid w:val="00D026D1"/>
    <w:rsid w:val="00D038B6"/>
    <w:rsid w:val="00D039CA"/>
    <w:rsid w:val="00D04CE7"/>
    <w:rsid w:val="00D11989"/>
    <w:rsid w:val="00D13FF7"/>
    <w:rsid w:val="00D15227"/>
    <w:rsid w:val="00D15588"/>
    <w:rsid w:val="00D224E0"/>
    <w:rsid w:val="00D22F05"/>
    <w:rsid w:val="00D25280"/>
    <w:rsid w:val="00D268AF"/>
    <w:rsid w:val="00D27B89"/>
    <w:rsid w:val="00D335E6"/>
    <w:rsid w:val="00D347BA"/>
    <w:rsid w:val="00D40955"/>
    <w:rsid w:val="00D46A62"/>
    <w:rsid w:val="00D47228"/>
    <w:rsid w:val="00D503B5"/>
    <w:rsid w:val="00D528C1"/>
    <w:rsid w:val="00D538A6"/>
    <w:rsid w:val="00D54285"/>
    <w:rsid w:val="00D55658"/>
    <w:rsid w:val="00D55D4E"/>
    <w:rsid w:val="00D56EDA"/>
    <w:rsid w:val="00D61D8F"/>
    <w:rsid w:val="00D62350"/>
    <w:rsid w:val="00D63B65"/>
    <w:rsid w:val="00D65DBE"/>
    <w:rsid w:val="00D712B8"/>
    <w:rsid w:val="00D728AB"/>
    <w:rsid w:val="00D72ED0"/>
    <w:rsid w:val="00D73147"/>
    <w:rsid w:val="00D73A32"/>
    <w:rsid w:val="00D76EC2"/>
    <w:rsid w:val="00D82AD1"/>
    <w:rsid w:val="00D833E6"/>
    <w:rsid w:val="00D834C5"/>
    <w:rsid w:val="00D83E91"/>
    <w:rsid w:val="00D842F4"/>
    <w:rsid w:val="00D84970"/>
    <w:rsid w:val="00D8556E"/>
    <w:rsid w:val="00D920E2"/>
    <w:rsid w:val="00D94576"/>
    <w:rsid w:val="00D97D67"/>
    <w:rsid w:val="00DA15F1"/>
    <w:rsid w:val="00DA2FA6"/>
    <w:rsid w:val="00DA307C"/>
    <w:rsid w:val="00DA4430"/>
    <w:rsid w:val="00DA55EC"/>
    <w:rsid w:val="00DA7CD2"/>
    <w:rsid w:val="00DB0030"/>
    <w:rsid w:val="00DB18EB"/>
    <w:rsid w:val="00DB3184"/>
    <w:rsid w:val="00DB5DA6"/>
    <w:rsid w:val="00DC05A1"/>
    <w:rsid w:val="00DC18EF"/>
    <w:rsid w:val="00DC3702"/>
    <w:rsid w:val="00DC4632"/>
    <w:rsid w:val="00DC625E"/>
    <w:rsid w:val="00DD1729"/>
    <w:rsid w:val="00DD18AF"/>
    <w:rsid w:val="00DD2EF1"/>
    <w:rsid w:val="00DD632D"/>
    <w:rsid w:val="00DD7D5A"/>
    <w:rsid w:val="00DE1394"/>
    <w:rsid w:val="00DE563E"/>
    <w:rsid w:val="00DE58FA"/>
    <w:rsid w:val="00DF013D"/>
    <w:rsid w:val="00DF02F6"/>
    <w:rsid w:val="00DF3A63"/>
    <w:rsid w:val="00DF4625"/>
    <w:rsid w:val="00DF547C"/>
    <w:rsid w:val="00DF6FBE"/>
    <w:rsid w:val="00DF70F9"/>
    <w:rsid w:val="00E02917"/>
    <w:rsid w:val="00E0314E"/>
    <w:rsid w:val="00E03D4F"/>
    <w:rsid w:val="00E042A8"/>
    <w:rsid w:val="00E05F86"/>
    <w:rsid w:val="00E1231B"/>
    <w:rsid w:val="00E1509B"/>
    <w:rsid w:val="00E16ABA"/>
    <w:rsid w:val="00E17A0A"/>
    <w:rsid w:val="00E17D30"/>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091F"/>
    <w:rsid w:val="00E618BF"/>
    <w:rsid w:val="00E631B6"/>
    <w:rsid w:val="00E63EE6"/>
    <w:rsid w:val="00E64530"/>
    <w:rsid w:val="00E64F2A"/>
    <w:rsid w:val="00E65916"/>
    <w:rsid w:val="00E70E2B"/>
    <w:rsid w:val="00E711F9"/>
    <w:rsid w:val="00E753F5"/>
    <w:rsid w:val="00E75C9D"/>
    <w:rsid w:val="00E81BDD"/>
    <w:rsid w:val="00E86808"/>
    <w:rsid w:val="00E87599"/>
    <w:rsid w:val="00E93D42"/>
    <w:rsid w:val="00E940DE"/>
    <w:rsid w:val="00E940ED"/>
    <w:rsid w:val="00E94B8B"/>
    <w:rsid w:val="00E95589"/>
    <w:rsid w:val="00E96EB2"/>
    <w:rsid w:val="00E97EC3"/>
    <w:rsid w:val="00EA0FEB"/>
    <w:rsid w:val="00EA2587"/>
    <w:rsid w:val="00EA2B3C"/>
    <w:rsid w:val="00EA51E5"/>
    <w:rsid w:val="00EA74D4"/>
    <w:rsid w:val="00EB5034"/>
    <w:rsid w:val="00EC09BA"/>
    <w:rsid w:val="00EC2096"/>
    <w:rsid w:val="00EC4023"/>
    <w:rsid w:val="00EC7933"/>
    <w:rsid w:val="00ED2780"/>
    <w:rsid w:val="00ED3C3C"/>
    <w:rsid w:val="00ED5201"/>
    <w:rsid w:val="00ED58B1"/>
    <w:rsid w:val="00ED7B03"/>
    <w:rsid w:val="00EE4698"/>
    <w:rsid w:val="00EE4FD8"/>
    <w:rsid w:val="00EE5C7A"/>
    <w:rsid w:val="00EE6114"/>
    <w:rsid w:val="00EE629B"/>
    <w:rsid w:val="00EF35C3"/>
    <w:rsid w:val="00EF7589"/>
    <w:rsid w:val="00F0008B"/>
    <w:rsid w:val="00F00AD9"/>
    <w:rsid w:val="00F00BE3"/>
    <w:rsid w:val="00F0165A"/>
    <w:rsid w:val="00F02EFE"/>
    <w:rsid w:val="00F05DCA"/>
    <w:rsid w:val="00F0692E"/>
    <w:rsid w:val="00F10AA5"/>
    <w:rsid w:val="00F1128C"/>
    <w:rsid w:val="00F11AFA"/>
    <w:rsid w:val="00F13E8C"/>
    <w:rsid w:val="00F16005"/>
    <w:rsid w:val="00F1601C"/>
    <w:rsid w:val="00F161CD"/>
    <w:rsid w:val="00F226E1"/>
    <w:rsid w:val="00F23C93"/>
    <w:rsid w:val="00F30A7D"/>
    <w:rsid w:val="00F3143D"/>
    <w:rsid w:val="00F37419"/>
    <w:rsid w:val="00F41850"/>
    <w:rsid w:val="00F4540C"/>
    <w:rsid w:val="00F46EB7"/>
    <w:rsid w:val="00F47612"/>
    <w:rsid w:val="00F476AD"/>
    <w:rsid w:val="00F47E9E"/>
    <w:rsid w:val="00F51140"/>
    <w:rsid w:val="00F52F53"/>
    <w:rsid w:val="00F605DB"/>
    <w:rsid w:val="00F60DCE"/>
    <w:rsid w:val="00F61AB7"/>
    <w:rsid w:val="00F634E9"/>
    <w:rsid w:val="00F6677A"/>
    <w:rsid w:val="00F70C3C"/>
    <w:rsid w:val="00F71741"/>
    <w:rsid w:val="00F7179A"/>
    <w:rsid w:val="00F72D7F"/>
    <w:rsid w:val="00F74DF5"/>
    <w:rsid w:val="00F765A2"/>
    <w:rsid w:val="00F807A4"/>
    <w:rsid w:val="00F807CC"/>
    <w:rsid w:val="00F80EF6"/>
    <w:rsid w:val="00F82D6A"/>
    <w:rsid w:val="00F83343"/>
    <w:rsid w:val="00F87035"/>
    <w:rsid w:val="00F87226"/>
    <w:rsid w:val="00F87424"/>
    <w:rsid w:val="00F91B3A"/>
    <w:rsid w:val="00F92C6A"/>
    <w:rsid w:val="00F94479"/>
    <w:rsid w:val="00FA11DD"/>
    <w:rsid w:val="00FA2B95"/>
    <w:rsid w:val="00FA7280"/>
    <w:rsid w:val="00FB01E6"/>
    <w:rsid w:val="00FB2106"/>
    <w:rsid w:val="00FB2D99"/>
    <w:rsid w:val="00FB39B6"/>
    <w:rsid w:val="00FB493B"/>
    <w:rsid w:val="00FB4FA6"/>
    <w:rsid w:val="00FB5F1A"/>
    <w:rsid w:val="00FB7072"/>
    <w:rsid w:val="00FC09B2"/>
    <w:rsid w:val="00FC1A83"/>
    <w:rsid w:val="00FC3294"/>
    <w:rsid w:val="00FC3EEC"/>
    <w:rsid w:val="00FC52BB"/>
    <w:rsid w:val="00FC62C2"/>
    <w:rsid w:val="00FC6A0F"/>
    <w:rsid w:val="00FC6C51"/>
    <w:rsid w:val="00FC6D73"/>
    <w:rsid w:val="00FD0E68"/>
    <w:rsid w:val="00FD138E"/>
    <w:rsid w:val="00FD282E"/>
    <w:rsid w:val="00FD4542"/>
    <w:rsid w:val="00FD467D"/>
    <w:rsid w:val="00FD56AA"/>
    <w:rsid w:val="00FD5B7A"/>
    <w:rsid w:val="00FE2167"/>
    <w:rsid w:val="00FE34CF"/>
    <w:rsid w:val="00FE4BE3"/>
    <w:rsid w:val="00FE7A62"/>
    <w:rsid w:val="00FF0FE4"/>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99"/>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customStyle="1" w:styleId="Level1">
    <w:name w:val="Level 1"/>
    <w:basedOn w:val="Normal"/>
    <w:rsid w:val="00EB5034"/>
    <w:pPr>
      <w:widowControl w:val="0"/>
      <w:spacing w:line="240" w:lineRule="auto"/>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99"/>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customStyle="1" w:styleId="Level1">
    <w:name w:val="Level 1"/>
    <w:basedOn w:val="Normal"/>
    <w:rsid w:val="00EB5034"/>
    <w:pPr>
      <w:widowControl w:val="0"/>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268">
      <w:bodyDiv w:val="1"/>
      <w:marLeft w:val="0"/>
      <w:marRight w:val="0"/>
      <w:marTop w:val="0"/>
      <w:marBottom w:val="0"/>
      <w:divBdr>
        <w:top w:val="none" w:sz="0" w:space="0" w:color="auto"/>
        <w:left w:val="none" w:sz="0" w:space="0" w:color="auto"/>
        <w:bottom w:val="none" w:sz="0" w:space="0" w:color="auto"/>
        <w:right w:val="none" w:sz="0" w:space="0" w:color="auto"/>
      </w:divBdr>
    </w:div>
    <w:div w:id="65152418">
      <w:bodyDiv w:val="1"/>
      <w:marLeft w:val="0"/>
      <w:marRight w:val="0"/>
      <w:marTop w:val="0"/>
      <w:marBottom w:val="0"/>
      <w:divBdr>
        <w:top w:val="none" w:sz="0" w:space="0" w:color="auto"/>
        <w:left w:val="none" w:sz="0" w:space="0" w:color="auto"/>
        <w:bottom w:val="none" w:sz="0" w:space="0" w:color="auto"/>
        <w:right w:val="none" w:sz="0" w:space="0" w:color="auto"/>
      </w:divBdr>
    </w:div>
    <w:div w:id="102113577">
      <w:bodyDiv w:val="1"/>
      <w:marLeft w:val="0"/>
      <w:marRight w:val="0"/>
      <w:marTop w:val="0"/>
      <w:marBottom w:val="0"/>
      <w:divBdr>
        <w:top w:val="none" w:sz="0" w:space="0" w:color="auto"/>
        <w:left w:val="none" w:sz="0" w:space="0" w:color="auto"/>
        <w:bottom w:val="none" w:sz="0" w:space="0" w:color="auto"/>
        <w:right w:val="none" w:sz="0" w:space="0" w:color="auto"/>
      </w:divBdr>
    </w:div>
    <w:div w:id="153641665">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69897905">
      <w:bodyDiv w:val="1"/>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388192489">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34083657">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701633244">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1074164271">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43258232">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3665684">
      <w:bodyDiv w:val="1"/>
      <w:marLeft w:val="0"/>
      <w:marRight w:val="0"/>
      <w:marTop w:val="0"/>
      <w:marBottom w:val="0"/>
      <w:divBdr>
        <w:top w:val="none" w:sz="0" w:space="0" w:color="auto"/>
        <w:left w:val="none" w:sz="0" w:space="0" w:color="auto"/>
        <w:bottom w:val="none" w:sz="0" w:space="0" w:color="auto"/>
        <w:right w:val="none" w:sz="0" w:space="0" w:color="auto"/>
      </w:divBdr>
    </w:div>
    <w:div w:id="1634823638">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03553067">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48990719">
      <w:bodyDiv w:val="1"/>
      <w:marLeft w:val="0"/>
      <w:marRight w:val="0"/>
      <w:marTop w:val="0"/>
      <w:marBottom w:val="0"/>
      <w:divBdr>
        <w:top w:val="none" w:sz="0" w:space="0" w:color="auto"/>
        <w:left w:val="none" w:sz="0" w:space="0" w:color="auto"/>
        <w:bottom w:val="none" w:sz="0" w:space="0" w:color="auto"/>
        <w:right w:val="none" w:sz="0" w:space="0" w:color="auto"/>
      </w:divBdr>
    </w:div>
    <w:div w:id="1788112590">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79397158">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5010E-79AE-41D6-9689-2E43AB4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16</cp:revision>
  <cp:lastPrinted>2014-08-20T18:53:00Z</cp:lastPrinted>
  <dcterms:created xsi:type="dcterms:W3CDTF">2014-08-15T16:09:00Z</dcterms:created>
  <dcterms:modified xsi:type="dcterms:W3CDTF">2014-09-03T16:39:00Z</dcterms:modified>
</cp:coreProperties>
</file>