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485" w:rsidRDefault="00C53485" w:rsidP="006059BD">
      <w:pPr>
        <w:pStyle w:val="Title"/>
      </w:pPr>
      <w:r>
        <w:t xml:space="preserve">SUPPORTING </w:t>
      </w:r>
      <w:r w:rsidRPr="00565D1D">
        <w:t>STATEMENT</w:t>
      </w:r>
    </w:p>
    <w:p w:rsidR="006059BD" w:rsidRPr="006059BD" w:rsidRDefault="00277755" w:rsidP="00FF1FAD">
      <w:pPr>
        <w:pStyle w:val="Subtitle"/>
        <w:spacing w:after="240"/>
      </w:pPr>
      <w:r>
        <w:t>Rule 30b1-</w:t>
      </w:r>
      <w:r w:rsidR="00A75DF4">
        <w:t>7</w:t>
      </w:r>
      <w:r w:rsidR="006059BD">
        <w:t xml:space="preserve"> and Form N-MFP</w:t>
      </w:r>
    </w:p>
    <w:p w:rsidR="00860500" w:rsidRDefault="00C53485" w:rsidP="006059BD">
      <w:pPr>
        <w:pStyle w:val="Heading10"/>
      </w:pPr>
      <w:r>
        <w:t>A.</w:t>
      </w:r>
      <w:r>
        <w:tab/>
      </w:r>
      <w:r w:rsidRPr="006059BD">
        <w:t>JUSTIFICATION</w:t>
      </w:r>
    </w:p>
    <w:p w:rsidR="00C53485" w:rsidRDefault="00860500" w:rsidP="00BB33E2">
      <w:pPr>
        <w:pStyle w:val="Heading2"/>
      </w:pPr>
      <w:r>
        <w:t>1.</w:t>
      </w:r>
      <w:r>
        <w:tab/>
      </w:r>
      <w:r w:rsidR="00C53485">
        <w:t xml:space="preserve">Necessity for the </w:t>
      </w:r>
      <w:r w:rsidR="00C53485" w:rsidRPr="00565D1D">
        <w:t>Information</w:t>
      </w:r>
      <w:r w:rsidR="00C53485">
        <w:t xml:space="preserve"> Collection</w:t>
      </w:r>
    </w:p>
    <w:p w:rsidR="00C53485" w:rsidRDefault="00726694" w:rsidP="00BB33E2">
      <w:pPr>
        <w:pStyle w:val="DoubleSpacePar"/>
      </w:pPr>
      <w:r>
        <w:t xml:space="preserve">Section </w:t>
      </w:r>
      <w:r w:rsidR="00722F9A">
        <w:t>30(b)</w:t>
      </w:r>
      <w:r>
        <w:t xml:space="preserve"> of the </w:t>
      </w:r>
      <w:r w:rsidR="00CB2474">
        <w:t xml:space="preserve">Investment Company </w:t>
      </w:r>
      <w:r>
        <w:t>Act</w:t>
      </w:r>
      <w:r w:rsidR="00CB2474">
        <w:t xml:space="preserve"> of 1940 </w:t>
      </w:r>
      <w:r w:rsidR="00722F9A">
        <w:t>[</w:t>
      </w:r>
      <w:r>
        <w:t>15 U.S.C. 80a-</w:t>
      </w:r>
      <w:r w:rsidR="00722F9A">
        <w:t>30(b)]</w:t>
      </w:r>
      <w:r w:rsidR="00C53485">
        <w:t xml:space="preserve"> </w:t>
      </w:r>
      <w:r w:rsidR="00722F9A">
        <w:t xml:space="preserve">(“Act”) </w:t>
      </w:r>
      <w:r w:rsidR="00C53485">
        <w:t>provides that</w:t>
      </w:r>
      <w:r w:rsidR="00722F9A">
        <w:t xml:space="preserve"> </w:t>
      </w:r>
      <w:r w:rsidR="00C53485">
        <w:t>“[</w:t>
      </w:r>
      <w:r w:rsidR="00722F9A">
        <w:t>e</w:t>
      </w:r>
      <w:r w:rsidR="00C53485">
        <w:t>]</w:t>
      </w:r>
      <w:r w:rsidR="00722F9A">
        <w:t xml:space="preserve">very registered investment company shall file with the Commission…such information, documents, and reports (other than financial statements), as the Commission may require </w:t>
      </w:r>
      <w:proofErr w:type="gramStart"/>
      <w:r w:rsidR="00722F9A">
        <w:t>to keep</w:t>
      </w:r>
      <w:proofErr w:type="gramEnd"/>
      <w:r w:rsidR="00722F9A">
        <w:t xml:space="preserve"> reasonably current the information and documents contained in the registration statement of such company…</w:t>
      </w:r>
      <w:r w:rsidR="001014A3">
        <w:t>.</w:t>
      </w:r>
      <w:r w:rsidR="00722F9A">
        <w:t xml:space="preserve">”  </w:t>
      </w:r>
      <w:r w:rsidR="00A75DF4">
        <w:t>R</w:t>
      </w:r>
      <w:r w:rsidR="00722F9A">
        <w:t>ule 30b1-</w:t>
      </w:r>
      <w:r w:rsidR="00A75DF4">
        <w:t>7</w:t>
      </w:r>
      <w:r w:rsidR="00722F9A">
        <w:t xml:space="preserve"> under the Act [17 CFR 270.30b1-</w:t>
      </w:r>
      <w:r w:rsidR="00A75DF4">
        <w:t>7</w:t>
      </w:r>
      <w:r w:rsidR="00722F9A">
        <w:t xml:space="preserve">], entitled “Monthly Report for Money Market Funds,” provides that every registered investment company, or series thereof, that is regulated as a money market fund under rule 2a-7 [17 CFR 270.2a-7] must file with the Commission a monthly report of portfolio holdings on Form N-MFP </w:t>
      </w:r>
      <w:r w:rsidR="00B458DB">
        <w:t xml:space="preserve">[17 CFR 274.201] </w:t>
      </w:r>
      <w:r w:rsidR="00722F9A">
        <w:t xml:space="preserve">no later than the </w:t>
      </w:r>
      <w:r w:rsidR="00A75DF4">
        <w:t>fifth</w:t>
      </w:r>
      <w:r w:rsidR="00722F9A">
        <w:t xml:space="preserve"> busines</w:t>
      </w:r>
      <w:r w:rsidR="001146E9">
        <w:t>s day of each month.  F</w:t>
      </w:r>
      <w:r w:rsidR="00722F9A">
        <w:t xml:space="preserve">orm N-MFP </w:t>
      </w:r>
      <w:r w:rsidR="00C53485">
        <w:t>sets forth</w:t>
      </w:r>
      <w:r w:rsidR="001146E9">
        <w:t xml:space="preserve"> the specific disclosure items that money market funds must provide.  </w:t>
      </w:r>
      <w:r w:rsidR="007433D6">
        <w:t>Filers must submit this</w:t>
      </w:r>
      <w:r w:rsidR="00C53485">
        <w:t xml:space="preserve"> </w:t>
      </w:r>
      <w:r w:rsidR="00B90DC2">
        <w:t>report</w:t>
      </w:r>
      <w:r w:rsidR="00C53485">
        <w:t xml:space="preserve"> </w:t>
      </w:r>
      <w:r w:rsidR="001146E9">
        <w:t>electronically using the Commission’s</w:t>
      </w:r>
      <w:r w:rsidR="008C45E2">
        <w:t xml:space="preserve"> electronic filing system (“</w:t>
      </w:r>
      <w:r w:rsidR="001146E9">
        <w:t>EDGAR</w:t>
      </w:r>
      <w:r w:rsidR="008C45E2">
        <w:t xml:space="preserve">”) </w:t>
      </w:r>
      <w:r w:rsidR="001146E9">
        <w:t xml:space="preserve">in </w:t>
      </w:r>
      <w:proofErr w:type="spellStart"/>
      <w:r w:rsidR="004249E3">
        <w:t>eXtensible</w:t>
      </w:r>
      <w:proofErr w:type="spellEnd"/>
      <w:r w:rsidR="004249E3">
        <w:t xml:space="preserve"> Markup Language (“XML”)</w:t>
      </w:r>
      <w:r w:rsidR="001146E9">
        <w:t xml:space="preserve"> format.</w:t>
      </w:r>
    </w:p>
    <w:p w:rsidR="00860500" w:rsidRDefault="00EB1426" w:rsidP="00BB33E2">
      <w:r>
        <w:t>Form N</w:t>
      </w:r>
      <w:r>
        <w:noBreakHyphen/>
        <w:t>MFP require</w:t>
      </w:r>
      <w:r w:rsidR="0062523A">
        <w:t>s</w:t>
      </w:r>
      <w:r>
        <w:t xml:space="preserve"> money market funds to report certain information that </w:t>
      </w:r>
      <w:r w:rsidR="002778A7">
        <w:t xml:space="preserve">is </w:t>
      </w:r>
      <w:r>
        <w:t xml:space="preserve">relevant to an evaluation of the risk characteristics of the fund and its portfolio holdings.  </w:t>
      </w:r>
      <w:r w:rsidR="002778A7">
        <w:t>Specifically, t</w:t>
      </w:r>
      <w:r>
        <w:t>he form require</w:t>
      </w:r>
      <w:r w:rsidR="0062523A">
        <w:t>s</w:t>
      </w:r>
      <w:r>
        <w:t xml:space="preserve"> funds to disclose, with respect to each portfolio </w:t>
      </w:r>
      <w:r w:rsidR="001F4F64">
        <w:t>security</w:t>
      </w:r>
      <w:r>
        <w:t xml:space="preserve"> held on the last business day of the prior month, </w:t>
      </w:r>
      <w:r w:rsidR="00506AAB">
        <w:t>a</w:t>
      </w:r>
      <w:r>
        <w:t>mong other thing</w:t>
      </w:r>
      <w:r w:rsidR="0062523A">
        <w:t>s</w:t>
      </w:r>
      <w:r w:rsidR="00506AAB">
        <w:t xml:space="preserve">:  </w:t>
      </w:r>
      <w:r w:rsidR="00C83C21">
        <w:t>(i) </w:t>
      </w:r>
      <w:r w:rsidR="000D4307">
        <w:t>name of the issuer; (ii) </w:t>
      </w:r>
      <w:r w:rsidR="00506AAB">
        <w:t>the title of the issue</w:t>
      </w:r>
      <w:r w:rsidR="000D4307">
        <w:t>, including the coupon or yield</w:t>
      </w:r>
      <w:r w:rsidR="00506AAB">
        <w:t>;</w:t>
      </w:r>
      <w:r w:rsidR="00C83C21">
        <w:t xml:space="preserve"> (</w:t>
      </w:r>
      <w:r w:rsidR="000D4307">
        <w:t>ii</w:t>
      </w:r>
      <w:r w:rsidR="00C83C21">
        <w:t>i)</w:t>
      </w:r>
      <w:r>
        <w:t> </w:t>
      </w:r>
      <w:r w:rsidR="000D4307">
        <w:t>the CUSIP number; (iv) </w:t>
      </w:r>
      <w:r>
        <w:t>the category of investment (</w:t>
      </w:r>
      <w:r w:rsidRPr="00556766">
        <w:rPr>
          <w:i/>
        </w:rPr>
        <w:t>e.g</w:t>
      </w:r>
      <w:r>
        <w:t xml:space="preserve">., Treasury debt, government agency debt, </w:t>
      </w:r>
      <w:r w:rsidR="000D4307">
        <w:t>asset backed</w:t>
      </w:r>
      <w:r>
        <w:t xml:space="preserve"> commercial paper, structured </w:t>
      </w:r>
      <w:r w:rsidR="00506AAB">
        <w:t>investment vehicle notes, etc.);</w:t>
      </w:r>
      <w:r w:rsidR="001F4F64">
        <w:t xml:space="preserve"> (</w:t>
      </w:r>
      <w:r w:rsidR="000D4307">
        <w:t>v</w:t>
      </w:r>
      <w:r w:rsidR="001F4F64">
        <w:t>) </w:t>
      </w:r>
      <w:r w:rsidR="000D4307">
        <w:t xml:space="preserve">NRSROs designated by the fund, </w:t>
      </w:r>
      <w:r>
        <w:t>the credit rating</w:t>
      </w:r>
      <w:r w:rsidR="000D4307">
        <w:t>s</w:t>
      </w:r>
      <w:r>
        <w:t xml:space="preserve"> </w:t>
      </w:r>
      <w:r w:rsidR="000D4307">
        <w:t>given by each NRSRO, and whether each security is first tier, second tier, unrated, or no longer eligible</w:t>
      </w:r>
      <w:r w:rsidR="00506AAB">
        <w:t xml:space="preserve">; </w:t>
      </w:r>
      <w:r w:rsidR="001F4F64">
        <w:lastRenderedPageBreak/>
        <w:t>(v</w:t>
      </w:r>
      <w:r w:rsidR="000D4307">
        <w:t>i</w:t>
      </w:r>
      <w:r w:rsidR="001F4F64">
        <w:t>) </w:t>
      </w:r>
      <w:r>
        <w:t xml:space="preserve">the </w:t>
      </w:r>
      <w:r w:rsidR="000D4307">
        <w:t>maturity date as determined under rule 2a</w:t>
      </w:r>
      <w:r w:rsidR="000D4307">
        <w:noBreakHyphen/>
        <w:t>7, taking into account the maturity shortening provisions of rule 2a</w:t>
      </w:r>
      <w:r w:rsidR="000D4307">
        <w:noBreakHyphen/>
        <w:t xml:space="preserve">7(d); (vii) the </w:t>
      </w:r>
      <w:r>
        <w:t xml:space="preserve">principal </w:t>
      </w:r>
      <w:r w:rsidR="00506AAB">
        <w:t xml:space="preserve">amount; </w:t>
      </w:r>
      <w:r w:rsidR="001F4F64">
        <w:t>(v</w:t>
      </w:r>
      <w:r w:rsidR="000D4307">
        <w:t>iii</w:t>
      </w:r>
      <w:r w:rsidR="001F4F64">
        <w:t>) </w:t>
      </w:r>
      <w:r>
        <w:t xml:space="preserve">the current amortized cost value; </w:t>
      </w:r>
      <w:r w:rsidR="001F4F64">
        <w:t>(i</w:t>
      </w:r>
      <w:r w:rsidR="000D4307">
        <w:t>x</w:t>
      </w:r>
      <w:r w:rsidR="001F4F64">
        <w:t>) </w:t>
      </w:r>
      <w:r w:rsidR="000D4307">
        <w:t xml:space="preserve">whether the instrument has certain </w:t>
      </w:r>
      <w:r w:rsidR="00506AAB">
        <w:t xml:space="preserve">enhancement </w:t>
      </w:r>
      <w:r w:rsidR="000D4307">
        <w:t>features; (x) whether the security is an illiquid security (as defined in rule 2a</w:t>
      </w:r>
      <w:r w:rsidR="000D4307">
        <w:noBreakHyphen/>
        <w:t>7); and (xi) the market-based value of each security</w:t>
      </w:r>
      <w:r w:rsidR="00506AAB">
        <w:t xml:space="preserve">.  </w:t>
      </w:r>
      <w:r>
        <w:t xml:space="preserve">In addition, </w:t>
      </w:r>
      <w:r w:rsidR="00506AAB">
        <w:t xml:space="preserve">the form </w:t>
      </w:r>
      <w:r>
        <w:t>require</w:t>
      </w:r>
      <w:r w:rsidR="001F27EF">
        <w:t>s</w:t>
      </w:r>
      <w:r>
        <w:t xml:space="preserve"> funds to</w:t>
      </w:r>
      <w:r w:rsidR="00506AAB">
        <w:t xml:space="preserve"> disclose </w:t>
      </w:r>
      <w:r>
        <w:t>information about the fund</w:t>
      </w:r>
      <w:r w:rsidR="00506AAB">
        <w:t xml:space="preserve"> itself</w:t>
      </w:r>
      <w:r>
        <w:t>, such as the fund’s dollar weighted average maturity of its portfolio and its 7-day gross yield.</w:t>
      </w:r>
      <w:r w:rsidR="00506AAB">
        <w:t xml:space="preserve">  </w:t>
      </w:r>
      <w:r w:rsidR="00942210">
        <w:t>The rule improve</w:t>
      </w:r>
      <w:r w:rsidR="001014A3">
        <w:t>s</w:t>
      </w:r>
      <w:r w:rsidR="00942210">
        <w:t xml:space="preserve"> transparency of information about money market funds’ portfolio holdings and facilitate</w:t>
      </w:r>
      <w:r w:rsidR="001014A3">
        <w:t>s</w:t>
      </w:r>
      <w:r w:rsidR="00942210">
        <w:t xml:space="preserve"> oversight of money market funds.  Compliance with rule 30b1-</w:t>
      </w:r>
      <w:r w:rsidR="001F27EF">
        <w:t>7</w:t>
      </w:r>
      <w:r w:rsidR="00942210">
        <w:t xml:space="preserve"> </w:t>
      </w:r>
      <w:r w:rsidR="001F27EF">
        <w:t>is</w:t>
      </w:r>
      <w:r w:rsidR="00942210">
        <w:t xml:space="preserve"> mandatory for any fund that holds itself out as a money market fund in reliance on rule 2a</w:t>
      </w:r>
      <w:r w:rsidR="00942210">
        <w:noBreakHyphen/>
        <w:t>7.  Responses to the disclosure requirements w</w:t>
      </w:r>
      <w:r w:rsidR="001F27EF">
        <w:t>ill</w:t>
      </w:r>
      <w:r w:rsidR="00942210">
        <w:t xml:space="preserve"> not be kept confidential.</w:t>
      </w:r>
    </w:p>
    <w:p w:rsidR="00BB33E2" w:rsidRDefault="00624B1A" w:rsidP="00BB33E2">
      <w:r>
        <w:t xml:space="preserve">On </w:t>
      </w:r>
      <w:r w:rsidR="00BB33E2" w:rsidRPr="00BB33E2">
        <w:t xml:space="preserve">July 23, 2014, the Commission adopted amendments to rule </w:t>
      </w:r>
      <w:r w:rsidR="00A00F79">
        <w:t>30b1-7 and Form N-MFP</w:t>
      </w:r>
      <w:r w:rsidR="00BB33E2" w:rsidRPr="00BB33E2">
        <w:t xml:space="preserve"> under the Act.  Under the reforms, all money market funds whose weekly liquid assets fall below 30% of total assets will have the ability to impose a liquidity fee of up to 2%, or to suspend redemptions temporarily (i.e., “gate” the fund) for up to 10 calendar days in a 90-day period, provided the fund’s board of directors (including a majority of its independent directors) determines that imposing a fee or gate is in the fund’s best interest.   All non-government money market funds will be required to impose a fee of 1% on all redemptions if weekly liquid assets fall below 10% of its total assets, unless the board of directors (including a majority of its independent directors) determines that imposing such a fee would not be in the fund’s best interest.  In addition, all institutional prime money markets will be required to sell and redeem shares based on the current market-based value of the securities in their underlying portfolios, rounded to four decimal places (e.g., $1.0000), i.e., transact at a floating NAV.  Finally, the amendments require that money market funds adopt other amendments designed to make money </w:t>
      </w:r>
      <w:r w:rsidR="00BB33E2" w:rsidRPr="00BB33E2">
        <w:lastRenderedPageBreak/>
        <w:t>market funds more resilient, including increasing diversification of their portfolios, enhancing their stress testing, and improving transparency through enhanced disclosure.</w:t>
      </w:r>
      <w:r w:rsidR="00BB33E2">
        <w:t xml:space="preserve">  </w:t>
      </w:r>
    </w:p>
    <w:p w:rsidR="00E16E36" w:rsidRDefault="00496F91" w:rsidP="00BB33E2">
      <w:r>
        <w:t xml:space="preserve">The amendments to Form N-MFP </w:t>
      </w:r>
      <w:r w:rsidR="009C275D">
        <w:t>will</w:t>
      </w:r>
      <w:r>
        <w:t xml:space="preserve"> make structural changes (</w:t>
      </w:r>
      <w:r w:rsidRPr="00496F91">
        <w:rPr>
          <w:i/>
        </w:rPr>
        <w:t>e.g.</w:t>
      </w:r>
      <w:r>
        <w:t xml:space="preserve">, renumbering Form N-MFP into four separate sections), delete or modify items related to amortized cost and shadow prices that </w:t>
      </w:r>
      <w:r w:rsidR="009C275D">
        <w:t>will</w:t>
      </w:r>
      <w:r>
        <w:t xml:space="preserve"> no longer be relevant under our amendments, add new reporting requirements designed to improve the Commission’s and others ability to monitor money market funds</w:t>
      </w:r>
      <w:r w:rsidR="00FA7B89">
        <w:t xml:space="preserve"> (</w:t>
      </w:r>
      <w:r w:rsidR="00FA7B89" w:rsidRPr="00FA7B89">
        <w:rPr>
          <w:i/>
        </w:rPr>
        <w:t>e.g.</w:t>
      </w:r>
      <w:r w:rsidR="00FA7B89">
        <w:t>, level measurements for security valuations</w:t>
      </w:r>
      <w:r>
        <w:t xml:space="preserve">, </w:t>
      </w:r>
      <w:r w:rsidR="00FA7B89">
        <w:t xml:space="preserve">shareholder flow, and amounts of daily and weekly liquid assets) and clarify current instructions </w:t>
      </w:r>
      <w:r w:rsidR="008F6460">
        <w:t>a</w:t>
      </w:r>
      <w:r w:rsidR="00FA7B89">
        <w:t>nd other items in Form N-MFP.</w:t>
      </w:r>
    </w:p>
    <w:p w:rsidR="00C53485" w:rsidRPr="00860500" w:rsidRDefault="00860500" w:rsidP="00BB33E2">
      <w:pPr>
        <w:pStyle w:val="Heading2"/>
      </w:pPr>
      <w:r w:rsidRPr="00860500">
        <w:t>2.</w:t>
      </w:r>
      <w:r w:rsidRPr="00860500">
        <w:tab/>
      </w:r>
      <w:r w:rsidR="00A73623" w:rsidRPr="00860500">
        <w:t>Purpose</w:t>
      </w:r>
      <w:r w:rsidR="00726694" w:rsidRPr="00860500">
        <w:t xml:space="preserve"> of </w:t>
      </w:r>
      <w:r w:rsidR="00C53485" w:rsidRPr="00860500">
        <w:t>the Information Collection</w:t>
      </w:r>
    </w:p>
    <w:p w:rsidR="00FA7B89" w:rsidRDefault="00E94CF0" w:rsidP="00BB33E2">
      <w:r>
        <w:t xml:space="preserve">Certain provisions of the </w:t>
      </w:r>
      <w:r w:rsidR="008C28D5">
        <w:t>rule and form</w:t>
      </w:r>
      <w:r>
        <w:t xml:space="preserve"> contain “collection of information” requirements within the meaning of the Paperwork Reduction Act of 1995 [44 U.S.C. 3501, </w:t>
      </w:r>
      <w:r>
        <w:rPr>
          <w:iCs/>
          <w:u w:val="single"/>
        </w:rPr>
        <w:t>et</w:t>
      </w:r>
      <w:r w:rsidRPr="005B7F79">
        <w:rPr>
          <w:iCs/>
        </w:rPr>
        <w:t xml:space="preserve"> </w:t>
      </w:r>
      <w:r>
        <w:rPr>
          <w:iCs/>
          <w:u w:val="single"/>
        </w:rPr>
        <w:t>seq.</w:t>
      </w:r>
      <w:r>
        <w:t xml:space="preserve">], and the Commission is submitting the collection of information to the Office of Management and Budget (“OMB”) for review in accordance with 44 U.S.C. 3507(d) and 5 CFR 1320.11.  </w:t>
      </w:r>
      <w:r w:rsidR="002778A7">
        <w:t xml:space="preserve">The information collection requirements of </w:t>
      </w:r>
      <w:r w:rsidR="002778A7" w:rsidRPr="002778A7">
        <w:t>rule 30b1</w:t>
      </w:r>
      <w:r w:rsidR="002778A7" w:rsidRPr="002778A7">
        <w:noBreakHyphen/>
      </w:r>
      <w:r w:rsidR="006C5C50">
        <w:t xml:space="preserve">7 </w:t>
      </w:r>
      <w:r w:rsidR="002778A7">
        <w:t xml:space="preserve">and </w:t>
      </w:r>
      <w:r w:rsidR="00B90DC2">
        <w:t xml:space="preserve">reports on </w:t>
      </w:r>
      <w:r w:rsidR="002778A7">
        <w:t>Form N-MFP are designed to</w:t>
      </w:r>
      <w:r w:rsidR="002778A7" w:rsidRPr="002778A7">
        <w:t xml:space="preserve"> assist </w:t>
      </w:r>
      <w:r w:rsidR="00BB33E2">
        <w:t xml:space="preserve">the </w:t>
      </w:r>
      <w:r w:rsidR="002778A7">
        <w:t>Commission</w:t>
      </w:r>
      <w:r w:rsidR="002778A7" w:rsidRPr="002778A7">
        <w:t xml:space="preserve"> in analyzing the portfolio holdings of money market funds, and </w:t>
      </w:r>
      <w:r w:rsidR="008C28D5">
        <w:t>thereby</w:t>
      </w:r>
      <w:r w:rsidR="002778A7" w:rsidRPr="002778A7">
        <w:t xml:space="preserve"> </w:t>
      </w:r>
      <w:r w:rsidR="008C45E2">
        <w:t>augment</w:t>
      </w:r>
      <w:r w:rsidR="002778A7" w:rsidRPr="002778A7">
        <w:t xml:space="preserve"> our understanding of the risk characteristics of individual money market funds and money market funds as a group and industry trends.  </w:t>
      </w:r>
      <w:r w:rsidR="002778A7">
        <w:t xml:space="preserve">This information collection </w:t>
      </w:r>
      <w:r w:rsidR="002778A7" w:rsidRPr="002778A7">
        <w:t>enhance</w:t>
      </w:r>
      <w:r w:rsidR="00B220C0">
        <w:t>s</w:t>
      </w:r>
      <w:r w:rsidR="002778A7" w:rsidRPr="002778A7">
        <w:t xml:space="preserve"> our oversight of money market funds and our ability to respond to market events.  </w:t>
      </w:r>
      <w:r w:rsidR="002778A7">
        <w:t>In addition, although</w:t>
      </w:r>
      <w:r w:rsidR="002778A7" w:rsidRPr="002778A7">
        <w:t xml:space="preserve"> the portfolio reports to the Commission are not primarily designed for individual investors, the information</w:t>
      </w:r>
      <w:r w:rsidR="00340D1D">
        <w:t xml:space="preserve"> w</w:t>
      </w:r>
      <w:r w:rsidR="006C5C50">
        <w:t>ill</w:t>
      </w:r>
      <w:r w:rsidR="00340D1D">
        <w:t xml:space="preserve"> be</w:t>
      </w:r>
      <w:r w:rsidR="002778A7" w:rsidRPr="002778A7">
        <w:t xml:space="preserve"> available to the public.  </w:t>
      </w:r>
      <w:r w:rsidR="002778A7">
        <w:t xml:space="preserve">Academic </w:t>
      </w:r>
      <w:r w:rsidR="002778A7" w:rsidRPr="002778A7">
        <w:t xml:space="preserve">researchers, financial analysts and economic research firms </w:t>
      </w:r>
      <w:r w:rsidR="002778A7">
        <w:t xml:space="preserve">may </w:t>
      </w:r>
      <w:r w:rsidR="002778A7" w:rsidRPr="002778A7">
        <w:t>use this information to study money market fund holdings and evaluate their risk information</w:t>
      </w:r>
      <w:r w:rsidR="002778A7">
        <w:t xml:space="preserve">, and their </w:t>
      </w:r>
      <w:r w:rsidR="002778A7" w:rsidRPr="002778A7">
        <w:t>analyses may further help investors and regulators better understand risks in money market funds.</w:t>
      </w:r>
    </w:p>
    <w:p w:rsidR="00FA7B89" w:rsidRDefault="00860500" w:rsidP="00BB33E2">
      <w:pPr>
        <w:pStyle w:val="Heading2"/>
      </w:pPr>
      <w:r w:rsidRPr="00860500">
        <w:t>3.</w:t>
      </w:r>
      <w:r w:rsidRPr="00860500">
        <w:tab/>
      </w:r>
      <w:r w:rsidR="002778A7" w:rsidRPr="00860500">
        <w:t>Role of Improved Information Technology</w:t>
      </w:r>
      <w:r w:rsidR="005C3A46" w:rsidRPr="00860500">
        <w:tab/>
      </w:r>
    </w:p>
    <w:p w:rsidR="008C45E2" w:rsidRPr="00FA7B89" w:rsidRDefault="00BB33E2" w:rsidP="00BB33E2">
      <w:pPr>
        <w:rPr>
          <w:b/>
        </w:rPr>
      </w:pPr>
      <w:r w:rsidRPr="008F4CFD">
        <w:lastRenderedPageBreak/>
        <w:t>The Commission's Electronic Data Gathering, Analysis and Retrieval System (“EDGAR”) is designed to automate the filing, processing and dissemination of full disclosure filings.  The system permits publicly-held companies</w:t>
      </w:r>
      <w:r>
        <w:t xml:space="preserve"> to transmit their filings to the Commission electronically.  EDGAR has increased the speed, accuracy and availability of information, generating benefits to investors and financial markets.  All funds have been required to use EDGAR for their disclosure filings since November 6, 1995.  </w:t>
      </w:r>
      <w:r w:rsidR="008C45E2">
        <w:t>In addition, the XML-tagged format facilitate</w:t>
      </w:r>
      <w:r w:rsidR="00365E98">
        <w:t>s</w:t>
      </w:r>
      <w:r w:rsidR="008C45E2">
        <w:t xml:space="preserve"> efficient and expeditious analysis of portfolio holdings information by </w:t>
      </w:r>
      <w:r>
        <w:t xml:space="preserve">the </w:t>
      </w:r>
      <w:r w:rsidR="008C45E2">
        <w:t xml:space="preserve">Commission and other interested persons.  </w:t>
      </w:r>
    </w:p>
    <w:p w:rsidR="00C53485" w:rsidRPr="00860500" w:rsidRDefault="00860500" w:rsidP="00BB33E2">
      <w:pPr>
        <w:pStyle w:val="Heading2"/>
      </w:pPr>
      <w:r w:rsidRPr="00860500">
        <w:t>4.</w:t>
      </w:r>
      <w:r w:rsidRPr="00860500">
        <w:tab/>
      </w:r>
      <w:r w:rsidR="00C53485" w:rsidRPr="00860500">
        <w:t>Efforts to Identify Duplication</w:t>
      </w:r>
    </w:p>
    <w:p w:rsidR="00860500" w:rsidRPr="002124AB" w:rsidRDefault="00C53485" w:rsidP="00BB33E2">
      <w:pPr>
        <w:rPr>
          <w:u w:val="single"/>
        </w:rPr>
      </w:pPr>
      <w:r w:rsidRPr="00603DBD">
        <w:t xml:space="preserve">The information provided under </w:t>
      </w:r>
      <w:r w:rsidR="00772A11" w:rsidRPr="00603DBD">
        <w:t>rule 30b1</w:t>
      </w:r>
      <w:r w:rsidR="00CD5746">
        <w:noBreakHyphen/>
        <w:t>7</w:t>
      </w:r>
      <w:r w:rsidR="00772A11" w:rsidRPr="00603DBD">
        <w:t xml:space="preserve"> and </w:t>
      </w:r>
      <w:r w:rsidR="00B90DC2">
        <w:t xml:space="preserve">reports on </w:t>
      </w:r>
      <w:r w:rsidR="00772A11" w:rsidRPr="00603DBD">
        <w:t>Form N</w:t>
      </w:r>
      <w:r w:rsidR="00CD5746">
        <w:noBreakHyphen/>
      </w:r>
      <w:r w:rsidR="00772A11" w:rsidRPr="00603DBD">
        <w:t xml:space="preserve">MFP may duplicate some information included in </w:t>
      </w:r>
      <w:r w:rsidR="00B47632" w:rsidRPr="00603DBD">
        <w:t>other filings with the Commission</w:t>
      </w:r>
      <w:r w:rsidR="0022064E" w:rsidRPr="00603DBD">
        <w:t xml:space="preserve"> and/or information required to be disclosed on fund websites</w:t>
      </w:r>
      <w:r w:rsidR="00772A11" w:rsidRPr="00603DBD">
        <w:t>.</w:t>
      </w:r>
      <w:r w:rsidRPr="00603DBD">
        <w:t xml:space="preserve">  </w:t>
      </w:r>
      <w:r w:rsidR="008C28D5">
        <w:t xml:space="preserve">Unlike other filings, however, </w:t>
      </w:r>
      <w:r w:rsidR="00B90DC2">
        <w:t xml:space="preserve">reports on </w:t>
      </w:r>
      <w:r w:rsidR="00F728C4" w:rsidRPr="00603DBD">
        <w:t xml:space="preserve">Form N-MFP </w:t>
      </w:r>
      <w:r w:rsidR="00C111CF">
        <w:t xml:space="preserve">must be filed </w:t>
      </w:r>
      <w:r w:rsidR="00F728C4" w:rsidRPr="00603DBD">
        <w:t xml:space="preserve">in </w:t>
      </w:r>
      <w:r w:rsidR="00B47632" w:rsidRPr="00603DBD">
        <w:t>XML-tagged format</w:t>
      </w:r>
      <w:r w:rsidR="00603DBD">
        <w:t>, which facilitate</w:t>
      </w:r>
      <w:r w:rsidR="00365E98">
        <w:t>s</w:t>
      </w:r>
      <w:r w:rsidR="00603DBD">
        <w:t xml:space="preserve"> staff analysis of portfolio holdings information and enhance</w:t>
      </w:r>
      <w:r w:rsidR="00365E98">
        <w:t>s</w:t>
      </w:r>
      <w:r w:rsidR="00603DBD">
        <w:t xml:space="preserve"> Commission oversight of money market funds</w:t>
      </w:r>
      <w:r w:rsidRPr="00603DBD">
        <w:t xml:space="preserve">. </w:t>
      </w:r>
      <w:r w:rsidR="00603DBD">
        <w:t xml:space="preserve"> </w:t>
      </w:r>
    </w:p>
    <w:p w:rsidR="00C53485" w:rsidRPr="00860500" w:rsidRDefault="00860500" w:rsidP="00BB33E2">
      <w:pPr>
        <w:pStyle w:val="Heading2"/>
      </w:pPr>
      <w:r w:rsidRPr="00860500">
        <w:t>5.</w:t>
      </w:r>
      <w:r w:rsidRPr="00860500">
        <w:tab/>
      </w:r>
      <w:r w:rsidR="00C53485" w:rsidRPr="00860500">
        <w:t>Effect on Small Entities</w:t>
      </w:r>
    </w:p>
    <w:p w:rsidR="00BD4D60" w:rsidRDefault="00365E98" w:rsidP="00BB33E2">
      <w:r>
        <w:t xml:space="preserve">The current disclosure </w:t>
      </w:r>
      <w:r w:rsidRPr="006A0E59">
        <w:rPr>
          <w:color w:val="000000"/>
        </w:rPr>
        <w:t xml:space="preserve">requirements for </w:t>
      </w:r>
      <w:r w:rsidR="00B90DC2">
        <w:rPr>
          <w:color w:val="000000"/>
        </w:rPr>
        <w:t xml:space="preserve">reports filed on </w:t>
      </w:r>
      <w:r w:rsidRPr="006A0E59">
        <w:rPr>
          <w:color w:val="000000"/>
        </w:rPr>
        <w:t>Form N-</w:t>
      </w:r>
      <w:r>
        <w:rPr>
          <w:color w:val="000000"/>
        </w:rPr>
        <w:t>MFP</w:t>
      </w:r>
      <w:r w:rsidRPr="006A0E59">
        <w:rPr>
          <w:color w:val="000000"/>
        </w:rPr>
        <w:t xml:space="preserve"> do not distinguish</w:t>
      </w:r>
      <w:r>
        <w:t xml:space="preserve"> between small entities and other funds.  The burden on smaller funds, however, to prepare and file the </w:t>
      </w:r>
      <w:r w:rsidR="00B90DC2">
        <w:t>report</w:t>
      </w:r>
      <w:r>
        <w:t xml:space="preserve"> may be greater than for larger funds.  This burden includes the cost of producing and filing the reports.  The Commission believes, however, that imposing different requirements on smaller </w:t>
      </w:r>
      <w:r w:rsidR="0066003A">
        <w:t>money market funds</w:t>
      </w:r>
      <w:r>
        <w:t xml:space="preserve"> </w:t>
      </w:r>
      <w:r w:rsidR="00376A5C">
        <w:t>would</w:t>
      </w:r>
      <w:r>
        <w:t xml:space="preserve"> not be consistent with investor protection.</w:t>
      </w:r>
      <w:r w:rsidRPr="004B6E59">
        <w:t xml:space="preserve"> </w:t>
      </w:r>
      <w:r>
        <w:t xml:space="preserve"> The Commission reviews all rules periodically, as required by the Regulatory Flexibility Act, to identify methods to minimize recordkeeping or reporting requirements affecting small businesses.</w:t>
      </w:r>
    </w:p>
    <w:p w:rsidR="00860500" w:rsidRDefault="00BD4D60" w:rsidP="00BB33E2">
      <w:r>
        <w:lastRenderedPageBreak/>
        <w:t xml:space="preserve">With respect to the </w:t>
      </w:r>
      <w:r w:rsidR="009C275D">
        <w:t>final</w:t>
      </w:r>
      <w:r>
        <w:t xml:space="preserve"> amendments, pursuant to 5 U.S.C. </w:t>
      </w:r>
      <w:proofErr w:type="gramStart"/>
      <w:r>
        <w:t>section</w:t>
      </w:r>
      <w:proofErr w:type="gramEnd"/>
      <w:r>
        <w:t xml:space="preserve"> 605(b), the Commission certified that the amendments to rule 30b-7 and Form N-MFP </w:t>
      </w:r>
      <w:r w:rsidR="009C275D">
        <w:t xml:space="preserve">will not </w:t>
      </w:r>
      <w:r>
        <w:t>have a significant impact on a substantial number of small entities.</w:t>
      </w:r>
      <w:r w:rsidR="00C53485">
        <w:t xml:space="preserve">  </w:t>
      </w:r>
    </w:p>
    <w:p w:rsidR="00C53485" w:rsidRPr="00860500" w:rsidRDefault="00860500" w:rsidP="00BB33E2">
      <w:pPr>
        <w:pStyle w:val="Heading2"/>
      </w:pPr>
      <w:r w:rsidRPr="00860500">
        <w:t>6.</w:t>
      </w:r>
      <w:r w:rsidRPr="00860500">
        <w:tab/>
      </w:r>
      <w:r w:rsidR="00C53485" w:rsidRPr="00860500">
        <w:t>Consequences of Less Frequent Collection</w:t>
      </w:r>
    </w:p>
    <w:p w:rsidR="00860500" w:rsidRDefault="0022064E" w:rsidP="00BB33E2">
      <w:r>
        <w:t>Rule 30b1</w:t>
      </w:r>
      <w:r w:rsidR="00DE69AB">
        <w:noBreakHyphen/>
        <w:t>7</w:t>
      </w:r>
      <w:r>
        <w:t xml:space="preserve"> provides that money market funds must file a </w:t>
      </w:r>
      <w:r w:rsidR="00B90DC2">
        <w:t xml:space="preserve">report on </w:t>
      </w:r>
      <w:r>
        <w:t>Form N-MFP each month.  G</w:t>
      </w:r>
      <w:r w:rsidRPr="00E05B23">
        <w:t xml:space="preserve">iven the </w:t>
      </w:r>
      <w:r>
        <w:t>rapidly changing composition of money market f</w:t>
      </w:r>
      <w:r w:rsidR="002124AB">
        <w:t xml:space="preserve">und portfolios, which consist of </w:t>
      </w:r>
      <w:r w:rsidR="00942210">
        <w:t xml:space="preserve">only </w:t>
      </w:r>
      <w:r w:rsidR="002124AB">
        <w:t>short-term securities</w:t>
      </w:r>
      <w:r w:rsidRPr="00E05B23">
        <w:t>, we believe that</w:t>
      </w:r>
      <w:r>
        <w:t xml:space="preserve"> </w:t>
      </w:r>
      <w:r w:rsidR="002124AB">
        <w:t xml:space="preserve">less frequent collections </w:t>
      </w:r>
      <w:r w:rsidR="00376A5C">
        <w:t>would</w:t>
      </w:r>
      <w:r w:rsidR="002124AB">
        <w:t xml:space="preserve"> render the portfolio information less </w:t>
      </w:r>
      <w:r>
        <w:t>timel</w:t>
      </w:r>
      <w:r w:rsidR="002124AB">
        <w:t>y and relevant</w:t>
      </w:r>
      <w:r>
        <w:t xml:space="preserve">.  </w:t>
      </w:r>
    </w:p>
    <w:p w:rsidR="00C53485" w:rsidRPr="00860500" w:rsidRDefault="00860500" w:rsidP="00BB33E2">
      <w:pPr>
        <w:pStyle w:val="Heading2"/>
      </w:pPr>
      <w:r w:rsidRPr="00860500">
        <w:t>7.</w:t>
      </w:r>
      <w:r w:rsidRPr="00860500">
        <w:tab/>
      </w:r>
      <w:r w:rsidR="00C53485" w:rsidRPr="00860500">
        <w:t xml:space="preserve">Inconsistencies with </w:t>
      </w:r>
      <w:bookmarkStart w:id="0" w:name="OLE_LINK1"/>
      <w:bookmarkStart w:id="1" w:name="OLE_LINK2"/>
      <w:r w:rsidR="00C53485" w:rsidRPr="00860500">
        <w:t>Guidelines in 5 CFR 1320.5(d</w:t>
      </w:r>
      <w:proofErr w:type="gramStart"/>
      <w:r w:rsidR="00C53485" w:rsidRPr="00860500">
        <w:t>)(</w:t>
      </w:r>
      <w:proofErr w:type="gramEnd"/>
      <w:r w:rsidR="00C53485" w:rsidRPr="00860500">
        <w:t>2)</w:t>
      </w:r>
      <w:bookmarkEnd w:id="0"/>
      <w:bookmarkEnd w:id="1"/>
    </w:p>
    <w:p w:rsidR="0053671D" w:rsidRDefault="0017687E" w:rsidP="00BB33E2">
      <w:r>
        <w:t>R</w:t>
      </w:r>
      <w:r w:rsidR="004724EC" w:rsidRPr="00603DBD">
        <w:t>ule 30b1-</w:t>
      </w:r>
      <w:r>
        <w:t>7</w:t>
      </w:r>
      <w:r w:rsidR="004724EC" w:rsidRPr="00603DBD">
        <w:t xml:space="preserve"> </w:t>
      </w:r>
      <w:r w:rsidR="0053671D">
        <w:t>require</w:t>
      </w:r>
      <w:r>
        <w:t>s</w:t>
      </w:r>
      <w:r w:rsidR="0053671D">
        <w:t xml:space="preserve"> funds to submit reports on Form N-MFP on a monthly basis.  G</w:t>
      </w:r>
      <w:r w:rsidR="0053671D" w:rsidRPr="00E05B23">
        <w:t xml:space="preserve">iven the </w:t>
      </w:r>
      <w:r w:rsidR="0053671D">
        <w:t xml:space="preserve">rapidly changing composition of </w:t>
      </w:r>
      <w:r w:rsidR="0053671D" w:rsidRPr="00BB33E2">
        <w:t>money</w:t>
      </w:r>
      <w:r w:rsidR="0053671D">
        <w:t xml:space="preserve"> market fund portfolios, monthly reports are necessary to ensure that the Commission receives more timely and accurate portfolio holdings information. </w:t>
      </w:r>
    </w:p>
    <w:p w:rsidR="00860500" w:rsidRPr="00860500" w:rsidRDefault="00860500" w:rsidP="00BB33E2">
      <w:pPr>
        <w:pStyle w:val="Heading2"/>
      </w:pPr>
      <w:r w:rsidRPr="00860500">
        <w:t>8.</w:t>
      </w:r>
      <w:r w:rsidRPr="00860500">
        <w:tab/>
      </w:r>
      <w:r w:rsidR="00A73623" w:rsidRPr="00860500">
        <w:t>Consultation</w:t>
      </w:r>
      <w:r w:rsidR="00C53485" w:rsidRPr="00860500">
        <w:t xml:space="preserve"> </w:t>
      </w:r>
      <w:proofErr w:type="gramStart"/>
      <w:r w:rsidR="00C53485" w:rsidRPr="00860500">
        <w:t>Outside</w:t>
      </w:r>
      <w:proofErr w:type="gramEnd"/>
      <w:r w:rsidR="00C53485" w:rsidRPr="00860500">
        <w:t xml:space="preserve"> the Agency</w:t>
      </w:r>
    </w:p>
    <w:p w:rsidR="00860500" w:rsidRDefault="00BB33E2" w:rsidP="00BB33E2">
      <w:r>
        <w:t xml:space="preserve">The Commission and the staff of the Division of Investment Management participate in an ongoing dialogue with representatives of the investment company industry through public conferences, meetings and informal exchanges.  These various forums provide the Commission and the staff with a means of ascertaining and acting upon paperwork burdens confronting the industry.  The Commission requested public comment on the collection requirements in </w:t>
      </w:r>
      <w:r w:rsidR="00242A3E">
        <w:t xml:space="preserve">rule 30b1-7 and </w:t>
      </w:r>
      <w:r w:rsidR="00A157F4">
        <w:t>Form N-MFP</w:t>
      </w:r>
      <w:r>
        <w:t xml:space="preserve"> before it submitted this request for revision and approval to the Office of Management and Budget.  The Commission received no comments in response to its request.</w:t>
      </w:r>
    </w:p>
    <w:p w:rsidR="00C53485" w:rsidRPr="00860500" w:rsidRDefault="00860500" w:rsidP="00BB33E2">
      <w:pPr>
        <w:pStyle w:val="Heading2"/>
      </w:pPr>
      <w:r w:rsidRPr="00860500">
        <w:t>9.</w:t>
      </w:r>
      <w:r w:rsidRPr="00860500">
        <w:tab/>
      </w:r>
      <w:r w:rsidR="00C53485" w:rsidRPr="00860500">
        <w:t>Payment or Gift to Respondents</w:t>
      </w:r>
    </w:p>
    <w:p w:rsidR="00860500" w:rsidRDefault="00C53485" w:rsidP="00BB33E2">
      <w:r>
        <w:t>Not applicable.</w:t>
      </w:r>
    </w:p>
    <w:p w:rsidR="00C53485" w:rsidRPr="00860500" w:rsidRDefault="00860500" w:rsidP="00BB33E2">
      <w:pPr>
        <w:pStyle w:val="Heading2"/>
      </w:pPr>
      <w:r w:rsidRPr="00860500">
        <w:t>10.</w:t>
      </w:r>
      <w:r w:rsidRPr="00860500">
        <w:tab/>
      </w:r>
      <w:r w:rsidR="00C53485" w:rsidRPr="00860500">
        <w:t>Assurance of Confidentiality</w:t>
      </w:r>
    </w:p>
    <w:p w:rsidR="00860500" w:rsidRDefault="00242B5F" w:rsidP="00BB33E2">
      <w:bookmarkStart w:id="2" w:name="_GoBack"/>
      <w:bookmarkEnd w:id="2"/>
      <w:r>
        <w:lastRenderedPageBreak/>
        <w:t>Information received pursuant to this collection of information</w:t>
      </w:r>
      <w:r>
        <w:rPr>
          <w:sz w:val="23"/>
          <w:szCs w:val="23"/>
        </w:rPr>
        <w:t xml:space="preserve"> will be kept private to the extent permitted by law.</w:t>
      </w:r>
    </w:p>
    <w:p w:rsidR="00C53485" w:rsidRPr="00860500" w:rsidRDefault="00860500" w:rsidP="00BB33E2">
      <w:pPr>
        <w:pStyle w:val="Heading2"/>
      </w:pPr>
      <w:r w:rsidRPr="00860500">
        <w:t>11.</w:t>
      </w:r>
      <w:r w:rsidRPr="00860500">
        <w:tab/>
      </w:r>
      <w:r w:rsidR="00C53485" w:rsidRPr="00860500">
        <w:t>Sensitive Questions</w:t>
      </w:r>
    </w:p>
    <w:p w:rsidR="00860500" w:rsidRDefault="00005003" w:rsidP="00BB33E2">
      <w:r>
        <w:t xml:space="preserve">Form N-MFP collects information that is relevant to an evaluation of the risk characteristics of the fund and its portfolio holdings.  The form does not request </w:t>
      </w:r>
      <w:r w:rsidR="00624B1A" w:rsidRPr="00624B1A">
        <w:t xml:space="preserve">Social Security Numbers.  A System of Records Notice has been published in the Federal Register and can also be found at </w:t>
      </w:r>
      <w:hyperlink r:id="rId13" w:history="1">
        <w:r w:rsidRPr="001A143A">
          <w:rPr>
            <w:rStyle w:val="Hyperlink"/>
          </w:rPr>
          <w:t>http://www.sec.gov/about/privacy/sorn/secsorn6.pdf</w:t>
        </w:r>
      </w:hyperlink>
      <w:r>
        <w:t>.</w:t>
      </w:r>
    </w:p>
    <w:p w:rsidR="00C53485" w:rsidRPr="00860500" w:rsidRDefault="00860500" w:rsidP="00BB33E2">
      <w:pPr>
        <w:pStyle w:val="Heading2"/>
      </w:pPr>
      <w:r w:rsidRPr="00860500">
        <w:t>12.</w:t>
      </w:r>
      <w:r w:rsidRPr="00860500">
        <w:tab/>
      </w:r>
      <w:r w:rsidR="00726694" w:rsidRPr="00860500">
        <w:t>Estimate</w:t>
      </w:r>
      <w:r w:rsidR="00C53485" w:rsidRPr="00860500">
        <w:t xml:space="preserve"> of Hour Burden</w:t>
      </w:r>
    </w:p>
    <w:p w:rsidR="009D7FD0" w:rsidRDefault="009D7FD0" w:rsidP="00BB33E2">
      <w:r>
        <w:t xml:space="preserve">In our most recent Paperwork Reduction Act submission for rule 30b1-7, </w:t>
      </w:r>
      <w:r w:rsidR="00490038">
        <w:t xml:space="preserve">the </w:t>
      </w:r>
      <w:r>
        <w:t>Commission estimated</w:t>
      </w:r>
      <w:r w:rsidR="00BB33E2">
        <w:t xml:space="preserve"> that</w:t>
      </w:r>
      <w:r>
        <w:t xml:space="preserve"> the annual compliance burden to comply with the collection of information requirement of rule 30b1-7</w:t>
      </w:r>
      <w:r w:rsidR="00BB33E2">
        <w:t>,</w:t>
      </w:r>
      <w:r>
        <w:t xml:space="preserve"> </w:t>
      </w:r>
      <w:r w:rsidR="00BB33E2">
        <w:t>and Form N-MFP,</w:t>
      </w:r>
      <w:r>
        <w:t xml:space="preserve"> is </w:t>
      </w:r>
      <w:r w:rsidR="00203683">
        <w:t>45,214</w:t>
      </w:r>
      <w:r>
        <w:t xml:space="preserve"> hours.  The </w:t>
      </w:r>
      <w:r w:rsidR="00BB33E2">
        <w:t>final</w:t>
      </w:r>
      <w:r>
        <w:t xml:space="preserve"> amendments </w:t>
      </w:r>
      <w:r w:rsidR="00BB33E2">
        <w:t>to rule 30b1-7 will</w:t>
      </w:r>
      <w:r>
        <w:t xml:space="preserve"> affect the </w:t>
      </w:r>
      <w:r w:rsidR="00490038">
        <w:t>Commission’s</w:t>
      </w:r>
      <w:r>
        <w:t xml:space="preserve"> estimates of the hour burden as described below.</w:t>
      </w:r>
    </w:p>
    <w:p w:rsidR="002927DF" w:rsidRPr="002927DF" w:rsidRDefault="00BB33E2" w:rsidP="00BB33E2">
      <w:r>
        <w:t>The Commission</w:t>
      </w:r>
      <w:r w:rsidR="002927DF" w:rsidRPr="002927DF">
        <w:t xml:space="preserve"> understands that approximately 35% of the </w:t>
      </w:r>
      <w:bookmarkStart w:id="3" w:name="_Ref355009040"/>
      <w:r w:rsidR="00BD4FEA">
        <w:t>559</w:t>
      </w:r>
      <w:r w:rsidR="002927DF" w:rsidRPr="002927DF">
        <w:rPr>
          <w:rStyle w:val="FootnoteReference"/>
          <w:color w:val="000000"/>
        </w:rPr>
        <w:footnoteReference w:id="1"/>
      </w:r>
      <w:bookmarkEnd w:id="3"/>
      <w:r w:rsidR="002927DF" w:rsidRPr="002927DF">
        <w:t xml:space="preserve"> (for a total of </w:t>
      </w:r>
      <w:r w:rsidR="00B5428C">
        <w:t>196</w:t>
      </w:r>
      <w:r w:rsidR="002927DF" w:rsidRPr="002927DF">
        <w:rPr>
          <w:rStyle w:val="FootnoteReference"/>
          <w:color w:val="000000"/>
        </w:rPr>
        <w:footnoteReference w:id="2"/>
      </w:r>
      <w:r w:rsidR="002927DF" w:rsidRPr="002927DF">
        <w:t xml:space="preserve">) money market funds that report information on Form N-MFP license a software solution from a third party that is used to assist the funds to prepare and file the required information.  </w:t>
      </w:r>
      <w:r>
        <w:t>The Commission</w:t>
      </w:r>
      <w:r w:rsidR="002927DF" w:rsidRPr="002927DF">
        <w:t xml:space="preserve"> also understands that approximately 65% of the </w:t>
      </w:r>
      <w:r w:rsidR="00BD4FEA">
        <w:t>559</w:t>
      </w:r>
      <w:r w:rsidR="002927DF" w:rsidRPr="002927DF">
        <w:rPr>
          <w:rStyle w:val="FootnoteReference"/>
          <w:color w:val="000000"/>
        </w:rPr>
        <w:footnoteReference w:id="3"/>
      </w:r>
      <w:r w:rsidR="002927DF" w:rsidRPr="002927DF">
        <w:t xml:space="preserve"> (for a total of </w:t>
      </w:r>
      <w:r w:rsidR="00BD4FEA">
        <w:t>363</w:t>
      </w:r>
      <w:r w:rsidR="002927DF" w:rsidRPr="002927DF">
        <w:t xml:space="preserve">) money market funds that report information on Form N-MFP retain the services of a third party to provide data aggregation and validation services as part of the preparation and filing of reports on Form N-MFP on behalf of the fund.  </w:t>
      </w:r>
      <w:r>
        <w:t>The Commission</w:t>
      </w:r>
      <w:r w:rsidR="002927DF" w:rsidRPr="002927DF">
        <w:t xml:space="preserve"> estimates that, in the first year, each </w:t>
      </w:r>
      <w:r w:rsidR="002927DF" w:rsidRPr="002927DF">
        <w:lastRenderedPageBreak/>
        <w:t>fund (regardless of whether the fund licenses the software or uses a third-party service provider) will incur an additional average annual burden of 85 hours, at a time cost of $22,0</w:t>
      </w:r>
      <w:r w:rsidR="00E7765E">
        <w:t>69</w:t>
      </w:r>
      <w:r w:rsidR="002927DF" w:rsidRPr="002927DF">
        <w:t xml:space="preserve"> per fund,</w:t>
      </w:r>
      <w:bookmarkStart w:id="4" w:name="_Ref355799066"/>
      <w:r w:rsidR="002927DF" w:rsidRPr="002927DF">
        <w:rPr>
          <w:rStyle w:val="FootnoteReference"/>
          <w:color w:val="000000"/>
        </w:rPr>
        <w:footnoteReference w:id="4"/>
      </w:r>
      <w:bookmarkEnd w:id="4"/>
      <w:r w:rsidR="002927DF" w:rsidRPr="002927DF">
        <w:t xml:space="preserve"> to prepare and file the report on Form N-MFP</w:t>
      </w:r>
      <w:r>
        <w:t>,</w:t>
      </w:r>
      <w:r w:rsidR="002927DF" w:rsidRPr="002927DF">
        <w:t xml:space="preserve"> and an average of approximately 60 additional burden hours (five hours per fund, per filing), at a time cost of $15,56</w:t>
      </w:r>
      <w:r w:rsidR="00E7765E">
        <w:t>9</w:t>
      </w:r>
      <w:r w:rsidR="002927DF" w:rsidRPr="002927DF">
        <w:t xml:space="preserve"> per fund</w:t>
      </w:r>
      <w:bookmarkStart w:id="5" w:name="_Ref332182943"/>
      <w:r w:rsidR="002927DF" w:rsidRPr="002927DF">
        <w:rPr>
          <w:rStyle w:val="FootnoteReference"/>
          <w:color w:val="000000"/>
        </w:rPr>
        <w:footnoteReference w:id="5"/>
      </w:r>
      <w:bookmarkEnd w:id="5"/>
      <w:r w:rsidR="002927DF" w:rsidRPr="002927DF">
        <w:t xml:space="preserve"> each year thereafter.    </w:t>
      </w:r>
    </w:p>
    <w:p w:rsidR="008A27A6" w:rsidRDefault="00BB33E2" w:rsidP="00BB33E2">
      <w:r>
        <w:t>The Commission</w:t>
      </w:r>
      <w:r w:rsidR="002927DF" w:rsidRPr="002927DF">
        <w:t xml:space="preserve"> therefore estimates that our amendments to Form N-MFP </w:t>
      </w:r>
      <w:r>
        <w:t>will</w:t>
      </w:r>
      <w:r w:rsidR="002927DF" w:rsidRPr="002927DF">
        <w:t xml:space="preserve"> result in a first-year aggregate additional </w:t>
      </w:r>
      <w:r w:rsidR="00600156">
        <w:t>47,515</w:t>
      </w:r>
      <w:r w:rsidR="002927DF" w:rsidRPr="002927DF">
        <w:t xml:space="preserve"> burden hours</w:t>
      </w:r>
      <w:r w:rsidR="002927DF" w:rsidRPr="002927DF">
        <w:rPr>
          <w:rStyle w:val="FootnoteReference"/>
          <w:color w:val="000000"/>
        </w:rPr>
        <w:footnoteReference w:id="6"/>
      </w:r>
      <w:r w:rsidR="002927DF" w:rsidRPr="002927DF">
        <w:t xml:space="preserve"> at a total time cost of $</w:t>
      </w:r>
      <w:r w:rsidR="00600156">
        <w:t>12,336,571</w:t>
      </w:r>
      <w:r w:rsidR="002927DF" w:rsidRPr="002927DF">
        <w:rPr>
          <w:rStyle w:val="FootnoteReference"/>
          <w:color w:val="000000"/>
        </w:rPr>
        <w:footnoteReference w:id="7"/>
      </w:r>
      <w:r w:rsidR="002927DF" w:rsidRPr="002927DF">
        <w:t xml:space="preserve"> for all funds, and </w:t>
      </w:r>
      <w:r w:rsidR="00600156">
        <w:t>33,540</w:t>
      </w:r>
      <w:r w:rsidR="002927DF" w:rsidRPr="002927DF">
        <w:t xml:space="preserve"> burden hours</w:t>
      </w:r>
      <w:r w:rsidR="002927DF" w:rsidRPr="002927DF">
        <w:rPr>
          <w:rStyle w:val="FootnoteReference"/>
          <w:color w:val="000000"/>
        </w:rPr>
        <w:footnoteReference w:id="8"/>
      </w:r>
      <w:r w:rsidR="002927DF" w:rsidRPr="002927DF">
        <w:t xml:space="preserve"> at a total time cost of $</w:t>
      </w:r>
      <w:r w:rsidR="00600156">
        <w:t>8,703,071</w:t>
      </w:r>
      <w:r w:rsidR="002927DF" w:rsidRPr="002927DF">
        <w:rPr>
          <w:rStyle w:val="FootnoteReference"/>
          <w:color w:val="000000"/>
        </w:rPr>
        <w:footnoteReference w:id="9"/>
      </w:r>
      <w:r w:rsidR="002927DF" w:rsidRPr="002927DF">
        <w:t xml:space="preserve"> for all funds each </w:t>
      </w:r>
      <w:r w:rsidR="002927DF" w:rsidRPr="00961CF9">
        <w:t xml:space="preserve">year </w:t>
      </w:r>
      <w:r>
        <w:t>t</w:t>
      </w:r>
      <w:r w:rsidR="002927DF" w:rsidRPr="00961CF9">
        <w:t xml:space="preserve">hereafter.  Amortizing these additional hourly burdens over three years results in an average annual aggregate burden of approximately </w:t>
      </w:r>
      <w:r w:rsidR="00600156">
        <w:t>38,198</w:t>
      </w:r>
      <w:r w:rsidR="002927DF" w:rsidRPr="00961CF9">
        <w:t xml:space="preserve"> hours at a total time cost of $</w:t>
      </w:r>
      <w:r w:rsidR="00600156">
        <w:t>9,914,238</w:t>
      </w:r>
      <w:r w:rsidR="002927DF" w:rsidRPr="00961CF9">
        <w:t xml:space="preserve"> for all </w:t>
      </w:r>
      <w:r w:rsidR="002927DF" w:rsidRPr="00961CF9">
        <w:lastRenderedPageBreak/>
        <w:t>funds.</w:t>
      </w:r>
      <w:bookmarkStart w:id="6" w:name="_Ref355767588"/>
      <w:r w:rsidR="002927DF" w:rsidRPr="00961CF9">
        <w:rPr>
          <w:rStyle w:val="FootnoteReference"/>
        </w:rPr>
        <w:footnoteReference w:id="10"/>
      </w:r>
      <w:bookmarkEnd w:id="6"/>
      <w:r w:rsidR="002927DF" w:rsidRPr="00961CF9">
        <w:t xml:space="preserve">  Finally, </w:t>
      </w:r>
      <w:r>
        <w:t>the Commission</w:t>
      </w:r>
      <w:r w:rsidR="002927DF" w:rsidRPr="00961CF9">
        <w:t xml:space="preserve"> estimates that our amendments to Form N-MFP </w:t>
      </w:r>
      <w:r w:rsidR="009C275D">
        <w:t>will</w:t>
      </w:r>
      <w:r w:rsidR="002927DF" w:rsidRPr="00961CF9">
        <w:t xml:space="preserve"> result in a total aggregate annual collection of information burden of </w:t>
      </w:r>
      <w:r w:rsidR="00600156">
        <w:t>83,412</w:t>
      </w:r>
      <w:r w:rsidR="002927DF" w:rsidRPr="00961CF9">
        <w:t xml:space="preserve"> hours</w:t>
      </w:r>
      <w:bookmarkStart w:id="7" w:name="_Ref355767713"/>
      <w:r w:rsidR="002C143B">
        <w:t>.</w:t>
      </w:r>
      <w:r w:rsidR="002927DF" w:rsidRPr="00961CF9">
        <w:rPr>
          <w:rStyle w:val="FootnoteReference"/>
        </w:rPr>
        <w:footnoteReference w:id="11"/>
      </w:r>
      <w:bookmarkEnd w:id="7"/>
      <w:r w:rsidR="00D17A4C">
        <w:t xml:space="preserve">  </w:t>
      </w:r>
    </w:p>
    <w:p w:rsidR="00C53485" w:rsidRDefault="00860500" w:rsidP="00BB33E2">
      <w:pPr>
        <w:pStyle w:val="Heading2"/>
      </w:pPr>
      <w:r w:rsidRPr="00860500">
        <w:t>13.</w:t>
      </w:r>
      <w:r w:rsidRPr="00860500">
        <w:tab/>
      </w:r>
      <w:r w:rsidR="00726694" w:rsidRPr="00860500">
        <w:t>Estimate of Total Annual</w:t>
      </w:r>
      <w:r w:rsidR="00C53485" w:rsidRPr="00860500">
        <w:t xml:space="preserve"> Cost Burden</w:t>
      </w:r>
    </w:p>
    <w:p w:rsidR="00D62E91" w:rsidRDefault="003F7A86" w:rsidP="00BB33E2">
      <w:r>
        <w:t>In addition to the</w:t>
      </w:r>
      <w:r w:rsidR="006203D3">
        <w:t xml:space="preserve"> </w:t>
      </w:r>
      <w:r>
        <w:t xml:space="preserve">costs associated with the hour burdens discussed in Item 12 above, </w:t>
      </w:r>
      <w:r w:rsidR="00CE0C05">
        <w:t xml:space="preserve">money market funds incur other external costs.  </w:t>
      </w:r>
      <w:r w:rsidR="00D62E91">
        <w:t>In our most recent Paperwork Reduction Act submiss</w:t>
      </w:r>
      <w:r w:rsidR="00490038">
        <w:t>ion for rule 30b1-7, the Commission</w:t>
      </w:r>
      <w:r w:rsidR="00D62E91">
        <w:t xml:space="preserve"> estimated the annual cost burden to comply with the collection of information requirement of rule 30b1-7 (and Form N-MFP) is $4,424,480.  The </w:t>
      </w:r>
      <w:r w:rsidR="00BB33E2">
        <w:t xml:space="preserve">final </w:t>
      </w:r>
      <w:r w:rsidR="00D62E91">
        <w:t>amendments</w:t>
      </w:r>
      <w:r w:rsidR="00BB33E2">
        <w:t xml:space="preserve"> to rule 30b1-7 will</w:t>
      </w:r>
      <w:r w:rsidR="00D62E91">
        <w:t xml:space="preserve"> affect the </w:t>
      </w:r>
      <w:r w:rsidR="00490038">
        <w:t>Commission’s</w:t>
      </w:r>
      <w:r w:rsidR="00D62E91">
        <w:t xml:space="preserve"> estimates of the cost burden as described below.</w:t>
      </w:r>
    </w:p>
    <w:p w:rsidR="00D62E91" w:rsidRPr="002C143B" w:rsidRDefault="009C275D" w:rsidP="00BB33E2">
      <w:pPr>
        <w:rPr>
          <w:rFonts w:ascii="CG Times" w:hAnsi="CG Times"/>
          <w:color w:val="FF0000"/>
        </w:rPr>
      </w:pPr>
      <w:r>
        <w:t>The Commission</w:t>
      </w:r>
      <w:r w:rsidR="002C143B" w:rsidRPr="002927DF">
        <w:t xml:space="preserve"> understands that software service providers (whether provided by a licensor or third-party service provider) are likely to incur additional external costs to modify their software and may pass those costs down to money market funds in the form of higher annual licensing fees.  Although we do not have the information necessary to provide a point estimate of the external costs or the extent to which the software service providers will pass down any external costs to funds, we can estimate a range of costs, from 5% to 10% of current annual licensing fees.  Accordingly, </w:t>
      </w:r>
      <w:r w:rsidR="00BB33E2">
        <w:t>the Commission</w:t>
      </w:r>
      <w:r w:rsidR="002C143B" w:rsidRPr="002927DF">
        <w:t xml:space="preserve"> estimates that 35% of funds (</w:t>
      </w:r>
      <w:r w:rsidR="00B5428C">
        <w:t>196</w:t>
      </w:r>
      <w:r w:rsidR="002C143B" w:rsidRPr="002927DF">
        <w:t xml:space="preserve"> funds) </w:t>
      </w:r>
      <w:r>
        <w:t>will</w:t>
      </w:r>
      <w:r w:rsidR="002C143B" w:rsidRPr="002927DF">
        <w:t xml:space="preserve"> pay $336 in additional external licensing costs each year and 65% of funds (</w:t>
      </w:r>
      <w:r w:rsidR="00B5428C">
        <w:t>363</w:t>
      </w:r>
      <w:r w:rsidR="002C143B" w:rsidRPr="002927DF">
        <w:t xml:space="preserve"> funds) </w:t>
      </w:r>
      <w:r>
        <w:t>will</w:t>
      </w:r>
      <w:r w:rsidR="002C143B" w:rsidRPr="00993A41">
        <w:t xml:space="preserve"> pay $800 in additional external licensing costs each year because of our amendments.</w:t>
      </w:r>
      <w:r w:rsidR="002C143B" w:rsidRPr="00993A41">
        <w:rPr>
          <w:rStyle w:val="FootnoteReference"/>
        </w:rPr>
        <w:footnoteReference w:id="12"/>
      </w:r>
      <w:r w:rsidR="00993A41" w:rsidRPr="00993A41">
        <w:t xml:space="preserve">  </w:t>
      </w:r>
      <w:r w:rsidR="00BB33E2">
        <w:t>The Commission</w:t>
      </w:r>
      <w:r w:rsidR="002C143B" w:rsidRPr="00993A41">
        <w:t xml:space="preserve"> therefore estimates that our amendments to Form N-MFP </w:t>
      </w:r>
      <w:r>
        <w:t>will</w:t>
      </w:r>
      <w:r w:rsidR="002C143B" w:rsidRPr="00993A41">
        <w:t xml:space="preserve"> result in </w:t>
      </w:r>
      <w:r w:rsidR="00544DB0" w:rsidRPr="00993A41">
        <w:t xml:space="preserve">an </w:t>
      </w:r>
      <w:r w:rsidR="002C143B" w:rsidRPr="00993A41">
        <w:t xml:space="preserve">aggregate </w:t>
      </w:r>
      <w:r w:rsidR="002C143B" w:rsidRPr="00993A41">
        <w:lastRenderedPageBreak/>
        <w:t>additional $</w:t>
      </w:r>
      <w:r w:rsidR="00600156">
        <w:t>356,256</w:t>
      </w:r>
      <w:r w:rsidR="002C143B" w:rsidRPr="00993A41">
        <w:t xml:space="preserve"> in total external costs for all funds </w:t>
      </w:r>
      <w:r w:rsidR="00544DB0" w:rsidRPr="00993A41">
        <w:t xml:space="preserve">in the first year and each year </w:t>
      </w:r>
      <w:r w:rsidR="002C143B" w:rsidRPr="00993A41">
        <w:t>hereafter.</w:t>
      </w:r>
      <w:r w:rsidR="00544DB0" w:rsidRPr="00993A41">
        <w:rPr>
          <w:rStyle w:val="FootnoteReference"/>
        </w:rPr>
        <w:footnoteReference w:id="13"/>
      </w:r>
      <w:r w:rsidR="002C143B" w:rsidRPr="00993A41">
        <w:t xml:space="preserve">  Finally, </w:t>
      </w:r>
      <w:r w:rsidR="00BB33E2">
        <w:t>the Commission</w:t>
      </w:r>
      <w:r w:rsidR="002C143B" w:rsidRPr="00993A41">
        <w:t xml:space="preserve"> estimates that our amendments to Form N-MFP </w:t>
      </w:r>
      <w:r>
        <w:t>will</w:t>
      </w:r>
      <w:r w:rsidR="002C143B" w:rsidRPr="00993A41">
        <w:t xml:space="preserve"> result in a total aggregate annual collection of information </w:t>
      </w:r>
      <w:r w:rsidR="00993A41" w:rsidRPr="00993A41">
        <w:t xml:space="preserve">cost </w:t>
      </w:r>
      <w:r w:rsidR="002C143B" w:rsidRPr="00993A41">
        <w:t>burden of $4,</w:t>
      </w:r>
      <w:r w:rsidR="00600156">
        <w:t>780,736</w:t>
      </w:r>
      <w:r w:rsidR="002C143B" w:rsidRPr="00993A41">
        <w:t>.</w:t>
      </w:r>
      <w:r w:rsidR="002C143B" w:rsidRPr="00993A41">
        <w:rPr>
          <w:rStyle w:val="FootnoteReference"/>
        </w:rPr>
        <w:footnoteReference w:id="14"/>
      </w:r>
      <w:r w:rsidR="002C143B" w:rsidRPr="002C143B">
        <w:rPr>
          <w:color w:val="FF0000"/>
        </w:rPr>
        <w:t xml:space="preserve">  </w:t>
      </w:r>
    </w:p>
    <w:p w:rsidR="00C53485" w:rsidRPr="00860500" w:rsidRDefault="00860500" w:rsidP="00BB33E2">
      <w:pPr>
        <w:pStyle w:val="Heading2"/>
      </w:pPr>
      <w:r w:rsidRPr="00860500">
        <w:t>14.</w:t>
      </w:r>
      <w:r w:rsidRPr="00860500">
        <w:tab/>
      </w:r>
      <w:r w:rsidR="00C53485" w:rsidRPr="00860500">
        <w:t>Estimate of Cost to the Federal Government</w:t>
      </w:r>
    </w:p>
    <w:p w:rsidR="00340D1D" w:rsidRDefault="00286230" w:rsidP="00BB33E2">
      <w:pPr>
        <w:pStyle w:val="DoubleSpacePar"/>
        <w:rPr>
          <w:bCs/>
        </w:rPr>
      </w:pPr>
      <w:r>
        <w:t>The annual cost of reviewing and processing registration statements, post-effective amendments, proxy statements, shareholder reports, and other filings of investment companies amounted to approximately $</w:t>
      </w:r>
      <w:r w:rsidR="003729CC">
        <w:t>18.6 million in fiscal year 2013</w:t>
      </w:r>
      <w:r>
        <w:t xml:space="preserve">, based on the Commission’s computation of the value of staff time devoted to this activity and related overhead.  A portion of those costs relate to processing and reviewing Form N-MFP filings submitted to the Commission for compliance with rule </w:t>
      </w:r>
      <w:r w:rsidR="00854B33">
        <w:t>30b1-7</w:t>
      </w:r>
      <w:r>
        <w:t>.</w:t>
      </w:r>
      <w:r w:rsidR="00340D1D" w:rsidRPr="00CF1827">
        <w:rPr>
          <w:bCs/>
        </w:rPr>
        <w:t xml:space="preserve">  </w:t>
      </w:r>
    </w:p>
    <w:p w:rsidR="00C53485" w:rsidRPr="00860500" w:rsidRDefault="00860500" w:rsidP="00BB33E2">
      <w:pPr>
        <w:pStyle w:val="Heading2"/>
      </w:pPr>
      <w:r w:rsidRPr="00860500">
        <w:t>15.</w:t>
      </w:r>
      <w:r w:rsidRPr="00860500">
        <w:tab/>
      </w:r>
      <w:r w:rsidR="00C53485" w:rsidRPr="00860500">
        <w:t>Explanation of Changes in Burden</w:t>
      </w:r>
    </w:p>
    <w:p w:rsidR="00860500" w:rsidRPr="00A514F1" w:rsidRDefault="000E6937" w:rsidP="00BB33E2">
      <w:r w:rsidRPr="00A514F1">
        <w:t xml:space="preserve">The total annual hour burden of </w:t>
      </w:r>
      <w:r w:rsidR="00600156">
        <w:t>83,412</w:t>
      </w:r>
      <w:r w:rsidRPr="00A514F1">
        <w:t xml:space="preserve"> hours represents a</w:t>
      </w:r>
      <w:r w:rsidR="00993A41">
        <w:t>n</w:t>
      </w:r>
      <w:r w:rsidRPr="00A514F1">
        <w:t xml:space="preserve"> </w:t>
      </w:r>
      <w:r w:rsidR="00993A41">
        <w:t>in</w:t>
      </w:r>
      <w:r w:rsidR="00626047" w:rsidRPr="00A514F1">
        <w:t xml:space="preserve">crease of </w:t>
      </w:r>
      <w:r w:rsidR="00600156">
        <w:t>38,198</w:t>
      </w:r>
      <w:r w:rsidRPr="00A514F1">
        <w:t xml:space="preserve"> hours over the previous burden hour estimate of </w:t>
      </w:r>
      <w:r w:rsidR="00993A41">
        <w:t>45</w:t>
      </w:r>
      <w:r w:rsidR="00A514F1" w:rsidRPr="00A514F1">
        <w:t>,</w:t>
      </w:r>
      <w:r w:rsidR="00993A41">
        <w:t>214</w:t>
      </w:r>
      <w:r w:rsidR="00A514F1" w:rsidRPr="00A514F1">
        <w:t xml:space="preserve"> </w:t>
      </w:r>
      <w:r w:rsidRPr="00A514F1">
        <w:t xml:space="preserve">hours. </w:t>
      </w:r>
      <w:r w:rsidR="00A514F1" w:rsidRPr="00A514F1">
        <w:t xml:space="preserve"> In addition, </w:t>
      </w:r>
      <w:r w:rsidR="00993A41">
        <w:t>the annual external cost burden of $</w:t>
      </w:r>
      <w:r w:rsidR="00600156" w:rsidRPr="00993A41">
        <w:t>4,</w:t>
      </w:r>
      <w:r w:rsidR="00600156">
        <w:t>780,736</w:t>
      </w:r>
      <w:r w:rsidR="00993A41">
        <w:t xml:space="preserve"> represents an increase of $</w:t>
      </w:r>
      <w:r w:rsidR="00600156">
        <w:t>356,256</w:t>
      </w:r>
      <w:r w:rsidR="00600156" w:rsidRPr="00993A41">
        <w:t xml:space="preserve"> </w:t>
      </w:r>
      <w:r w:rsidR="00993A41">
        <w:t>over the previous annual external cost burden estimate of $</w:t>
      </w:r>
      <w:r w:rsidR="00A514F1" w:rsidRPr="00A514F1">
        <w:t>4,4</w:t>
      </w:r>
      <w:r w:rsidR="0068002B">
        <w:t>24</w:t>
      </w:r>
      <w:r w:rsidR="00A514F1" w:rsidRPr="00A514F1">
        <w:t>,</w:t>
      </w:r>
      <w:r w:rsidR="0068002B">
        <w:t>48</w:t>
      </w:r>
      <w:r w:rsidR="00A514F1" w:rsidRPr="00A514F1">
        <w:t xml:space="preserve">0.  </w:t>
      </w:r>
      <w:r w:rsidRPr="00A514F1">
        <w:t xml:space="preserve">The changes in </w:t>
      </w:r>
      <w:r w:rsidR="00A514F1" w:rsidRPr="00A514F1">
        <w:t xml:space="preserve">burden hours and </w:t>
      </w:r>
      <w:r w:rsidR="00093E1F">
        <w:t xml:space="preserve">external </w:t>
      </w:r>
      <w:r w:rsidR="00A514F1" w:rsidRPr="00A514F1">
        <w:t xml:space="preserve">cost </w:t>
      </w:r>
      <w:r w:rsidRPr="00A514F1">
        <w:t>burden</w:t>
      </w:r>
      <w:r w:rsidR="00A514F1" w:rsidRPr="00A514F1">
        <w:t>s</w:t>
      </w:r>
      <w:r w:rsidRPr="00A514F1">
        <w:t xml:space="preserve"> are due to </w:t>
      </w:r>
      <w:r w:rsidR="00093E1F">
        <w:t xml:space="preserve">the </w:t>
      </w:r>
      <w:r w:rsidR="00BB33E2">
        <w:t>Commission’s</w:t>
      </w:r>
      <w:r w:rsidR="00093E1F">
        <w:t xml:space="preserve"> estimates of the time costs and external costs that </w:t>
      </w:r>
      <w:r w:rsidR="009C275D">
        <w:t>will</w:t>
      </w:r>
      <w:r w:rsidR="00093E1F">
        <w:t xml:space="preserve"> result from our amendments.</w:t>
      </w:r>
      <w:r w:rsidR="00BD4248" w:rsidRPr="00BD4248">
        <w:t xml:space="preserve"> </w:t>
      </w:r>
    </w:p>
    <w:p w:rsidR="00C53485" w:rsidRPr="00860500" w:rsidRDefault="00860500" w:rsidP="00BB33E2">
      <w:pPr>
        <w:pStyle w:val="Heading2"/>
      </w:pPr>
      <w:r w:rsidRPr="00860500">
        <w:t>16.</w:t>
      </w:r>
      <w:r w:rsidRPr="00860500">
        <w:tab/>
      </w:r>
      <w:r w:rsidR="00726694" w:rsidRPr="00860500">
        <w:t>Information Collection Planned for Statistical Purposes</w:t>
      </w:r>
    </w:p>
    <w:p w:rsidR="00860500" w:rsidRDefault="00C53485" w:rsidP="00BB33E2">
      <w:pPr>
        <w:pStyle w:val="DoubleSpacePar"/>
      </w:pPr>
      <w:r>
        <w:t>Not applicable.</w:t>
      </w:r>
    </w:p>
    <w:p w:rsidR="00C53485" w:rsidRPr="00860500" w:rsidRDefault="00860500" w:rsidP="00BB33E2">
      <w:pPr>
        <w:pStyle w:val="Heading2"/>
      </w:pPr>
      <w:r w:rsidRPr="00860500">
        <w:t>17.</w:t>
      </w:r>
      <w:r w:rsidRPr="00860500">
        <w:tab/>
      </w:r>
      <w:r w:rsidR="00726694" w:rsidRPr="00860500">
        <w:t xml:space="preserve">Approval </w:t>
      </w:r>
      <w:r w:rsidR="00C53485" w:rsidRPr="00860500">
        <w:t xml:space="preserve">not </w:t>
      </w:r>
      <w:r w:rsidR="00726694" w:rsidRPr="00860500">
        <w:t>to Display Expiration Date</w:t>
      </w:r>
    </w:p>
    <w:p w:rsidR="00860500" w:rsidRDefault="00BD4248" w:rsidP="00BB33E2">
      <w:pPr>
        <w:pStyle w:val="DoubleSpacePar"/>
      </w:pPr>
      <w:r>
        <w:lastRenderedPageBreak/>
        <w:t xml:space="preserve">We request authorization to omit the expiration date on the electronic version of the form.   </w:t>
      </w:r>
      <w:r>
        <w:rPr>
          <w:color w:val="000000"/>
        </w:rPr>
        <w:t>Including the expiration date on the electronic version of the form will result in increased costs, because the need to make changes to the form may not follow the application’s scheduled version release dates</w:t>
      </w:r>
      <w:r>
        <w:t>.  The OMB control number will be displayed.</w:t>
      </w:r>
    </w:p>
    <w:p w:rsidR="00C53485" w:rsidRPr="00860500" w:rsidRDefault="00860500" w:rsidP="00BB33E2">
      <w:pPr>
        <w:pStyle w:val="Heading2"/>
      </w:pPr>
      <w:r w:rsidRPr="00860500">
        <w:t>18.</w:t>
      </w:r>
      <w:r w:rsidRPr="00860500">
        <w:tab/>
      </w:r>
      <w:r w:rsidR="00C53485" w:rsidRPr="00860500">
        <w:t>Exceptions to Certification</w:t>
      </w:r>
      <w:r w:rsidR="006059BD">
        <w:t xml:space="preserve"> Statement</w:t>
      </w:r>
    </w:p>
    <w:p w:rsidR="00C53485" w:rsidRDefault="00C53485" w:rsidP="00BB33E2">
      <w:r>
        <w:t>Not applicable.</w:t>
      </w:r>
    </w:p>
    <w:p w:rsidR="00C53485" w:rsidRDefault="00C53485" w:rsidP="006059BD">
      <w:pPr>
        <w:pStyle w:val="Heading10"/>
      </w:pPr>
      <w:r>
        <w:t>B.</w:t>
      </w:r>
      <w:r>
        <w:tab/>
        <w:t>COLLECTIONS OF INFORMATION EMPLOYING STATISTICAL METHODS</w:t>
      </w:r>
    </w:p>
    <w:p w:rsidR="00C53485" w:rsidRDefault="00C53485" w:rsidP="00BB33E2">
      <w:r>
        <w:t>Not applicable.</w:t>
      </w:r>
    </w:p>
    <w:p w:rsidR="00C53485" w:rsidRDefault="00C53485" w:rsidP="00BB33E2">
      <w:pPr>
        <w:pStyle w:val="DoubleSpacePar"/>
      </w:pPr>
    </w:p>
    <w:p w:rsidR="00C53485" w:rsidRDefault="00C53485" w:rsidP="00BB33E2"/>
    <w:sectPr w:rsidR="00C53485" w:rsidSect="00580FA1">
      <w:headerReference w:type="even" r:id="rId14"/>
      <w:headerReference w:type="default" r:id="rId15"/>
      <w:footerReference w:type="default" r:id="rId16"/>
      <w:headerReference w:type="first" r:id="rId17"/>
      <w:footerReference w:type="firs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346" w:rsidRDefault="00391346" w:rsidP="00BB33E2">
      <w:r>
        <w:separator/>
      </w:r>
    </w:p>
  </w:endnote>
  <w:endnote w:type="continuationSeparator" w:id="0">
    <w:p w:rsidR="00391346" w:rsidRDefault="00391346" w:rsidP="00BB3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94365"/>
      <w:docPartObj>
        <w:docPartGallery w:val="Page Numbers (Bottom of Page)"/>
        <w:docPartUnique/>
      </w:docPartObj>
    </w:sdtPr>
    <w:sdtEndPr>
      <w:rPr>
        <w:noProof/>
      </w:rPr>
    </w:sdtEndPr>
    <w:sdtContent>
      <w:p w:rsidR="00490038" w:rsidRDefault="00490038" w:rsidP="00490038">
        <w:pPr>
          <w:pStyle w:val="Footer"/>
          <w:ind w:firstLine="0"/>
          <w:jc w:val="center"/>
        </w:pPr>
        <w:r>
          <w:fldChar w:fldCharType="begin"/>
        </w:r>
        <w:r>
          <w:instrText xml:space="preserve"> PAGE   \* MERGEFORMAT </w:instrText>
        </w:r>
        <w:r>
          <w:fldChar w:fldCharType="separate"/>
        </w:r>
        <w:r w:rsidR="00242B5F">
          <w:rPr>
            <w:noProof/>
          </w:rPr>
          <w:t>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648542"/>
      <w:docPartObj>
        <w:docPartGallery w:val="Page Numbers (Bottom of Page)"/>
        <w:docPartUnique/>
      </w:docPartObj>
    </w:sdtPr>
    <w:sdtEndPr>
      <w:rPr>
        <w:noProof/>
      </w:rPr>
    </w:sdtEndPr>
    <w:sdtContent>
      <w:p w:rsidR="00490038" w:rsidRDefault="00490038" w:rsidP="00490038">
        <w:pPr>
          <w:pStyle w:val="Footer"/>
          <w:ind w:firstLine="0"/>
          <w:jc w:val="center"/>
        </w:pPr>
        <w:r>
          <w:fldChar w:fldCharType="begin"/>
        </w:r>
        <w:r>
          <w:instrText xml:space="preserve"> PAGE   \* MERGEFORMAT </w:instrText>
        </w:r>
        <w:r>
          <w:fldChar w:fldCharType="separate"/>
        </w:r>
        <w:r w:rsidR="00AC68F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346" w:rsidRDefault="00391346" w:rsidP="00BB33E2">
      <w:r>
        <w:separator/>
      </w:r>
    </w:p>
  </w:footnote>
  <w:footnote w:type="continuationSeparator" w:id="0">
    <w:p w:rsidR="00391346" w:rsidRDefault="00391346" w:rsidP="00BB33E2">
      <w:r>
        <w:continuationSeparator/>
      </w:r>
    </w:p>
  </w:footnote>
  <w:footnote w:id="1">
    <w:p w:rsidR="002927DF" w:rsidRPr="002927DF" w:rsidRDefault="002927DF" w:rsidP="00BB33E2">
      <w:pPr>
        <w:pStyle w:val="FootnoteText1"/>
      </w:pPr>
      <w:r w:rsidRPr="002927DF">
        <w:rPr>
          <w:rStyle w:val="FootnoteReference"/>
          <w:color w:val="000000"/>
        </w:rPr>
        <w:footnoteRef/>
      </w:r>
      <w:r w:rsidRPr="002927DF">
        <w:t xml:space="preserve"> </w:t>
      </w:r>
      <w:r w:rsidRPr="002927DF">
        <w:tab/>
        <w:t>This estimate is based on staff review of reports on Form N-MFP filed with the Commission for t</w:t>
      </w:r>
      <w:r w:rsidR="00BD4FEA">
        <w:t>he month ended February 28, 2014</w:t>
      </w:r>
      <w:r w:rsidRPr="002927DF">
        <w:t>.</w:t>
      </w:r>
    </w:p>
  </w:footnote>
  <w:footnote w:id="2">
    <w:p w:rsidR="002927DF" w:rsidRPr="002927DF" w:rsidRDefault="002927DF" w:rsidP="00BB33E2">
      <w:pPr>
        <w:pStyle w:val="FootnoteText1"/>
      </w:pPr>
      <w:r w:rsidRPr="002927DF">
        <w:rPr>
          <w:rStyle w:val="FootnoteReference"/>
          <w:color w:val="000000"/>
        </w:rPr>
        <w:footnoteRef/>
      </w:r>
      <w:r w:rsidRPr="002927DF">
        <w:t xml:space="preserve"> </w:t>
      </w:r>
      <w:r w:rsidRPr="002927DF">
        <w:tab/>
        <w:t xml:space="preserve">The </w:t>
      </w:r>
      <w:r w:rsidR="000D25FA">
        <w:t>Commission</w:t>
      </w:r>
      <w:r w:rsidRPr="002927DF">
        <w:t xml:space="preserve"> estimated this 35% in the current burden.  This estimate is based on the following calculation:  </w:t>
      </w:r>
      <w:r w:rsidR="00BD4FEA">
        <w:t>559</w:t>
      </w:r>
      <w:r w:rsidRPr="002927DF">
        <w:t xml:space="preserve"> funds x 35% = </w:t>
      </w:r>
      <w:r w:rsidR="00BD4FEA">
        <w:t>196</w:t>
      </w:r>
      <w:r w:rsidRPr="002927DF">
        <w:t xml:space="preserve"> funds.</w:t>
      </w:r>
    </w:p>
  </w:footnote>
  <w:footnote w:id="3">
    <w:p w:rsidR="002927DF" w:rsidRPr="002927DF" w:rsidRDefault="002927DF" w:rsidP="00BB33E2">
      <w:pPr>
        <w:pStyle w:val="FootnoteText1"/>
      </w:pPr>
      <w:r w:rsidRPr="002927DF">
        <w:rPr>
          <w:rStyle w:val="FootnoteReference"/>
          <w:color w:val="000000"/>
        </w:rPr>
        <w:footnoteRef/>
      </w:r>
      <w:r w:rsidRPr="002927DF">
        <w:t xml:space="preserve"> </w:t>
      </w:r>
      <w:r w:rsidRPr="002927DF">
        <w:tab/>
        <w:t xml:space="preserve">The </w:t>
      </w:r>
      <w:r w:rsidR="000D25FA">
        <w:t>Commission</w:t>
      </w:r>
      <w:r w:rsidRPr="002927DF">
        <w:t xml:space="preserve"> estimated this 65% in the current burden.  This estimate is based on the following calculation:  </w:t>
      </w:r>
      <w:r w:rsidR="00BD4FEA">
        <w:t>559</w:t>
      </w:r>
      <w:r w:rsidRPr="002927DF">
        <w:t xml:space="preserve"> funds x 65% = </w:t>
      </w:r>
      <w:r w:rsidR="00BD4FEA">
        <w:t>363</w:t>
      </w:r>
      <w:r w:rsidRPr="002927DF">
        <w:t xml:space="preserve"> funds.</w:t>
      </w:r>
    </w:p>
  </w:footnote>
  <w:footnote w:id="4">
    <w:p w:rsidR="002927DF" w:rsidRPr="002927DF" w:rsidRDefault="002927DF" w:rsidP="00BB33E2">
      <w:pPr>
        <w:pStyle w:val="FootnoteText1"/>
      </w:pPr>
      <w:r w:rsidRPr="002927DF">
        <w:rPr>
          <w:rStyle w:val="FootnoteReference"/>
          <w:color w:val="000000"/>
        </w:rPr>
        <w:footnoteRef/>
      </w:r>
      <w:r w:rsidRPr="002927DF">
        <w:t xml:space="preserve"> </w:t>
      </w:r>
      <w:r w:rsidRPr="002927DF">
        <w:tab/>
      </w:r>
      <w:r w:rsidR="00BD4FEA" w:rsidRPr="00633E2E">
        <w:t xml:space="preserve">This estimate is based on the following calculations:  [30 hours for the initial monthly filing at a total cost of $7,824 per fund (8 hours x $232 blended average hourly rate for a financial </w:t>
      </w:r>
      <w:r w:rsidR="00BD4FEA">
        <w:t>reporting manager ($266</w:t>
      </w:r>
      <w:r w:rsidR="00BD4FEA" w:rsidRPr="00633E2E">
        <w:t>) and fund senior accountant ($198) = $1,856) + (4 hours x $157 for an intermediate accountant = $628) + (6 hours x $312 for a senior database administrator = $1872) + (4 hours x $301 for a senior portfolio manager = $1204) + (8 hours x $283 for a compliance manager = $2,264)] + [55 hours (5 hours per fund x 11 monthly filings) at a total cost of $14,245 per fund ($259 average cost per fund per burden hour x 55 hours)].  The additional average annual burden per fund for the first year is 85 hours (30 hours (initial monthly filing) + 55 hours (remaining 11 monthly filings)) and the additional average cost burden per fund for the first year is $22,069 ($7,824 (initial monthly filing) + $14,245 (remaining 11 monthly filings = $22,069).</w:t>
      </w:r>
      <w:r w:rsidR="000064C1">
        <w:t xml:space="preserve">  </w:t>
      </w:r>
      <w:r w:rsidR="000064C1">
        <w:rPr>
          <w:color w:val="000000"/>
        </w:rPr>
        <w:t>E</w:t>
      </w:r>
      <w:r w:rsidR="000064C1" w:rsidRPr="00633E2E">
        <w:t xml:space="preserve">stimated wage figures are based on published rates taken from SIFMA’s Management &amp; Professional Earnings in the Securities Industry 2013, </w:t>
      </w:r>
      <w:r w:rsidR="000064C1" w:rsidRPr="00633E2E">
        <w:rPr>
          <w:i/>
        </w:rPr>
        <w:t>available at</w:t>
      </w:r>
      <w:r w:rsidR="000064C1" w:rsidRPr="00633E2E">
        <w:t xml:space="preserve"> </w:t>
      </w:r>
      <w:hyperlink r:id="rId1" w:history="1">
        <w:r w:rsidR="000064C1" w:rsidRPr="002F50E5">
          <w:rPr>
            <w:rStyle w:val="Hyperlink"/>
            <w:color w:val="000000"/>
          </w:rPr>
          <w:t>http://www.sifma.org/research/item.aspx?id=8589940603</w:t>
        </w:r>
      </w:hyperlink>
      <w:r w:rsidR="000064C1" w:rsidRPr="00633E2E">
        <w:t>, modified by Commission staff to account for an 1800</w:t>
      </w:r>
      <w:r w:rsidR="000064C1" w:rsidRPr="00633E2E">
        <w:noBreakHyphen/>
        <w:t>hour work-year and multiplied by 5.35 to account for bonuses, firm size, employee benefits, and overhead.</w:t>
      </w:r>
    </w:p>
  </w:footnote>
  <w:footnote w:id="5">
    <w:p w:rsidR="002927DF" w:rsidRPr="002927DF" w:rsidRDefault="002927DF" w:rsidP="00BB33E2">
      <w:pPr>
        <w:pStyle w:val="FootnoteText1"/>
      </w:pPr>
      <w:r w:rsidRPr="002927DF">
        <w:rPr>
          <w:rStyle w:val="FootnoteReference"/>
          <w:color w:val="000000"/>
        </w:rPr>
        <w:footnoteRef/>
      </w:r>
      <w:r w:rsidRPr="002927DF">
        <w:t xml:space="preserve"> </w:t>
      </w:r>
      <w:r w:rsidRPr="002927DF">
        <w:tab/>
      </w:r>
      <w:r w:rsidR="00E7765E" w:rsidRPr="00633E2E">
        <w:t xml:space="preserve">This estimate is based on the following calculations:  (16 hours </w:t>
      </w:r>
      <w:r w:rsidR="00E7765E">
        <w:t>x</w:t>
      </w:r>
      <w:r w:rsidR="00E7765E" w:rsidRPr="00633E2E">
        <w:t xml:space="preserve"> $232 blended average hourly rate for a financial reporting manager ($266) and fund senior accountant ($198) = $3,712) + (9 hours x $157 for an intermediate accountant = $1,413) + (13 hours x $312 for a senior database administrator = $4,056) + (9 hours x $301 for a senior portfolio manager = $2,709) + (13 hours x $283 for a compliance manager = $3,679) = 60 hours (16 + 9 + 13 + 9 + 13) at a total cost of $15,569 per fund ($3,712 + $1,413 + $4,056 + $2,709 + $3,679).  Therefore, the additional average cost per fund per burden hour is approximately $259 ($15,569 /60 burden hours).</w:t>
      </w:r>
    </w:p>
  </w:footnote>
  <w:footnote w:id="6">
    <w:p w:rsidR="002927DF" w:rsidRPr="002927DF" w:rsidRDefault="002927DF" w:rsidP="00BB33E2">
      <w:pPr>
        <w:pStyle w:val="FootnoteText1"/>
      </w:pPr>
      <w:r w:rsidRPr="002927DF">
        <w:rPr>
          <w:rStyle w:val="FootnoteReference"/>
          <w:color w:val="000000"/>
        </w:rPr>
        <w:footnoteRef/>
      </w:r>
      <w:r w:rsidRPr="002927DF">
        <w:t xml:space="preserve"> </w:t>
      </w:r>
      <w:r w:rsidRPr="002927DF">
        <w:tab/>
        <w:t xml:space="preserve">This estimate is based on the following calculation:  </w:t>
      </w:r>
      <w:r w:rsidR="00E7765E">
        <w:t>559</w:t>
      </w:r>
      <w:r w:rsidRPr="002927DF">
        <w:t xml:space="preserve"> funds x 85 hours = </w:t>
      </w:r>
      <w:r w:rsidR="00E7765E">
        <w:t xml:space="preserve">47,515 </w:t>
      </w:r>
      <w:r w:rsidRPr="002927DF">
        <w:t>burden hours in year 1.</w:t>
      </w:r>
    </w:p>
  </w:footnote>
  <w:footnote w:id="7">
    <w:p w:rsidR="002927DF" w:rsidRPr="002927DF" w:rsidRDefault="002927DF" w:rsidP="00BB33E2">
      <w:pPr>
        <w:pStyle w:val="FootnoteText1"/>
      </w:pPr>
      <w:r w:rsidRPr="002927DF">
        <w:rPr>
          <w:rStyle w:val="FootnoteReference"/>
          <w:color w:val="000000"/>
        </w:rPr>
        <w:footnoteRef/>
      </w:r>
      <w:r w:rsidRPr="002927DF">
        <w:t xml:space="preserve"> </w:t>
      </w:r>
      <w:r w:rsidRPr="002927DF">
        <w:tab/>
        <w:t xml:space="preserve">This estimate is based on the following calculation:  </w:t>
      </w:r>
      <w:r w:rsidR="00E7765E">
        <w:t>559 funds x $22,069</w:t>
      </w:r>
      <w:r w:rsidRPr="002927DF">
        <w:t xml:space="preserve"> </w:t>
      </w:r>
      <w:r w:rsidR="00B5428C">
        <w:t>in year 1</w:t>
      </w:r>
      <w:r w:rsidRPr="002927DF">
        <w:t>= $</w:t>
      </w:r>
      <w:r w:rsidR="00E7765E">
        <w:t>12,336,571</w:t>
      </w:r>
      <w:r w:rsidRPr="002927DF">
        <w:t>.</w:t>
      </w:r>
    </w:p>
  </w:footnote>
  <w:footnote w:id="8">
    <w:p w:rsidR="002927DF" w:rsidRPr="002927DF" w:rsidRDefault="002927DF" w:rsidP="00BB33E2">
      <w:pPr>
        <w:pStyle w:val="FootnoteText1"/>
      </w:pPr>
      <w:r w:rsidRPr="002927DF">
        <w:rPr>
          <w:rStyle w:val="FootnoteReference"/>
          <w:color w:val="000000"/>
        </w:rPr>
        <w:footnoteRef/>
      </w:r>
      <w:r w:rsidRPr="002927DF">
        <w:t xml:space="preserve"> </w:t>
      </w:r>
      <w:r w:rsidRPr="002927DF">
        <w:tab/>
        <w:t xml:space="preserve">This estimate is based on the following calculation:  </w:t>
      </w:r>
      <w:r w:rsidR="00E7765E">
        <w:t>559</w:t>
      </w:r>
      <w:r w:rsidRPr="002927DF">
        <w:t xml:space="preserve"> funds x 60 hours per fund = </w:t>
      </w:r>
      <w:r w:rsidR="00E7765E">
        <w:t xml:space="preserve">33,540 </w:t>
      </w:r>
      <w:r w:rsidRPr="002927DF">
        <w:t>hours</w:t>
      </w:r>
      <w:r w:rsidR="00B5428C">
        <w:t xml:space="preserve"> in subsequent years</w:t>
      </w:r>
      <w:r w:rsidRPr="002927DF">
        <w:t>.</w:t>
      </w:r>
    </w:p>
  </w:footnote>
  <w:footnote w:id="9">
    <w:p w:rsidR="002927DF" w:rsidRPr="002927DF" w:rsidRDefault="002927DF" w:rsidP="00BB33E2">
      <w:pPr>
        <w:pStyle w:val="FootnoteText1"/>
      </w:pPr>
      <w:r w:rsidRPr="002927DF">
        <w:rPr>
          <w:rStyle w:val="FootnoteReference"/>
          <w:color w:val="000000"/>
        </w:rPr>
        <w:footnoteRef/>
      </w:r>
      <w:r w:rsidRPr="002927DF">
        <w:t xml:space="preserve"> </w:t>
      </w:r>
      <w:r w:rsidRPr="002927DF">
        <w:tab/>
        <w:t xml:space="preserve">This estimate is based on the following calculation:  </w:t>
      </w:r>
      <w:r w:rsidR="00B5428C">
        <w:t>559</w:t>
      </w:r>
      <w:r w:rsidRPr="002927DF">
        <w:t xml:space="preserve"> funds x $15,56</w:t>
      </w:r>
      <w:r w:rsidR="00B5428C">
        <w:t>9</w:t>
      </w:r>
      <w:r w:rsidRPr="002927DF">
        <w:t xml:space="preserve"> in subsequent years = $</w:t>
      </w:r>
      <w:r w:rsidR="00B5428C">
        <w:t>8,703,071</w:t>
      </w:r>
      <w:r w:rsidRPr="002927DF">
        <w:t>.</w:t>
      </w:r>
    </w:p>
  </w:footnote>
  <w:footnote w:id="10">
    <w:p w:rsidR="002927DF" w:rsidRPr="002927DF" w:rsidRDefault="002927DF" w:rsidP="00BB33E2">
      <w:pPr>
        <w:pStyle w:val="FootnoteText1"/>
      </w:pPr>
      <w:r w:rsidRPr="002927DF">
        <w:rPr>
          <w:rStyle w:val="FootnoteReference"/>
          <w:color w:val="000000"/>
        </w:rPr>
        <w:footnoteRef/>
      </w:r>
      <w:r w:rsidRPr="002927DF">
        <w:t xml:space="preserve"> </w:t>
      </w:r>
      <w:r w:rsidRPr="002927DF">
        <w:tab/>
        <w:t>This estimate is based on the following calculation: (</w:t>
      </w:r>
      <w:r w:rsidR="00B5428C">
        <w:t>47,515</w:t>
      </w:r>
      <w:r w:rsidRPr="002927DF">
        <w:t xml:space="preserve"> hours </w:t>
      </w:r>
      <w:r w:rsidR="00B5428C">
        <w:t xml:space="preserve">in </w:t>
      </w:r>
      <w:r w:rsidRPr="002927DF">
        <w:t>year 1</w:t>
      </w:r>
      <w:r w:rsidR="00B5428C">
        <w:t xml:space="preserve"> + 33,540 hours in </w:t>
      </w:r>
      <w:r w:rsidRPr="002927DF">
        <w:t>year 2</w:t>
      </w:r>
      <w:r w:rsidR="00B5428C">
        <w:t xml:space="preserve"> + 33,540</w:t>
      </w:r>
      <w:r w:rsidRPr="002927DF">
        <w:t xml:space="preserve"> hours </w:t>
      </w:r>
      <w:r w:rsidR="00B5428C">
        <w:t xml:space="preserve">in </w:t>
      </w:r>
      <w:r w:rsidRPr="002927DF">
        <w:t xml:space="preserve">year 3) </w:t>
      </w:r>
      <w:r w:rsidRPr="002927DF">
        <w:rPr>
          <w:rFonts w:eastAsia="MS Gothic"/>
        </w:rPr>
        <w:t xml:space="preserve">÷ 3 = </w:t>
      </w:r>
      <w:r w:rsidR="00A20870">
        <w:rPr>
          <w:rFonts w:eastAsia="MS Gothic"/>
        </w:rPr>
        <w:t>38,198 average annual burden</w:t>
      </w:r>
      <w:r w:rsidRPr="002927DF">
        <w:rPr>
          <w:rFonts w:eastAsia="MS Gothic"/>
        </w:rPr>
        <w:t xml:space="preserve"> hours; (</w:t>
      </w:r>
      <w:r w:rsidR="00B5428C" w:rsidRPr="002927DF">
        <w:t>$</w:t>
      </w:r>
      <w:r w:rsidR="00B5428C">
        <w:t>12,336,571</w:t>
      </w:r>
      <w:r w:rsidR="00B5428C" w:rsidRPr="002927DF">
        <w:rPr>
          <w:rFonts w:eastAsia="MS Gothic"/>
        </w:rPr>
        <w:t xml:space="preserve"> </w:t>
      </w:r>
      <w:r w:rsidR="00B5428C">
        <w:rPr>
          <w:rFonts w:eastAsia="MS Gothic"/>
        </w:rPr>
        <w:t xml:space="preserve">in </w:t>
      </w:r>
      <w:r w:rsidRPr="002927DF">
        <w:rPr>
          <w:rFonts w:eastAsia="MS Gothic"/>
        </w:rPr>
        <w:t xml:space="preserve">year 1 + </w:t>
      </w:r>
      <w:r w:rsidR="00B5428C" w:rsidRPr="002927DF">
        <w:t>$</w:t>
      </w:r>
      <w:r w:rsidR="00B5428C">
        <w:t>8,703,071</w:t>
      </w:r>
      <w:r w:rsidR="00B5428C" w:rsidRPr="002927DF">
        <w:rPr>
          <w:rFonts w:eastAsia="MS Gothic"/>
        </w:rPr>
        <w:t xml:space="preserve"> </w:t>
      </w:r>
      <w:r w:rsidR="00B5428C">
        <w:rPr>
          <w:rFonts w:eastAsia="MS Gothic"/>
        </w:rPr>
        <w:t xml:space="preserve">in </w:t>
      </w:r>
      <w:r w:rsidRPr="002927DF">
        <w:rPr>
          <w:rFonts w:eastAsia="MS Gothic"/>
        </w:rPr>
        <w:t xml:space="preserve">year 2 + </w:t>
      </w:r>
      <w:r w:rsidR="00B5428C" w:rsidRPr="002927DF">
        <w:t>$</w:t>
      </w:r>
      <w:r w:rsidR="00B5428C">
        <w:t>8,703,071</w:t>
      </w:r>
      <w:r w:rsidR="00B5428C">
        <w:rPr>
          <w:rFonts w:eastAsia="MS Gothic"/>
        </w:rPr>
        <w:t xml:space="preserve"> in </w:t>
      </w:r>
      <w:r w:rsidRPr="002927DF">
        <w:rPr>
          <w:rFonts w:eastAsia="MS Gothic"/>
        </w:rPr>
        <w:t>year 3) ÷ 3 = $</w:t>
      </w:r>
      <w:r w:rsidR="00B5428C">
        <w:rPr>
          <w:rFonts w:eastAsia="MS Gothic"/>
        </w:rPr>
        <w:t>9,914,238</w:t>
      </w:r>
      <w:r w:rsidR="00A20870">
        <w:rPr>
          <w:rFonts w:eastAsia="MS Gothic"/>
        </w:rPr>
        <w:t xml:space="preserve"> average annual burden costs</w:t>
      </w:r>
      <w:r w:rsidRPr="002927DF">
        <w:rPr>
          <w:rFonts w:eastAsia="MS Gothic"/>
        </w:rPr>
        <w:t>.</w:t>
      </w:r>
    </w:p>
  </w:footnote>
  <w:footnote w:id="11">
    <w:p w:rsidR="002927DF" w:rsidRPr="002927DF" w:rsidRDefault="002927DF" w:rsidP="00BB33E2">
      <w:pPr>
        <w:pStyle w:val="FootnoteText1"/>
      </w:pPr>
      <w:r w:rsidRPr="002927DF">
        <w:rPr>
          <w:rStyle w:val="FootnoteReference"/>
          <w:color w:val="000000"/>
        </w:rPr>
        <w:footnoteRef/>
      </w:r>
      <w:r w:rsidRPr="002927DF">
        <w:t xml:space="preserve"> </w:t>
      </w:r>
      <w:r w:rsidRPr="002927DF">
        <w:tab/>
        <w:t xml:space="preserve">This estimate is based on the following calculation:  current approved burden of 45,214 hours + </w:t>
      </w:r>
      <w:r w:rsidR="00B5428C">
        <w:t>38,198</w:t>
      </w:r>
      <w:r w:rsidRPr="002927DF">
        <w:t xml:space="preserve"> in additional burden hours as a result of our amendments = </w:t>
      </w:r>
      <w:r w:rsidR="00B5428C">
        <w:t>83,412</w:t>
      </w:r>
      <w:r w:rsidRPr="002927DF">
        <w:t xml:space="preserve"> hours.</w:t>
      </w:r>
    </w:p>
  </w:footnote>
  <w:footnote w:id="12">
    <w:p w:rsidR="002C143B" w:rsidRPr="002927DF" w:rsidRDefault="002C143B" w:rsidP="00BB33E2">
      <w:pPr>
        <w:pStyle w:val="FootnoteText1"/>
      </w:pPr>
      <w:r w:rsidRPr="002927DF">
        <w:rPr>
          <w:rStyle w:val="FootnoteReference"/>
          <w:color w:val="000000"/>
        </w:rPr>
        <w:footnoteRef/>
      </w:r>
      <w:r w:rsidRPr="002927DF">
        <w:t xml:space="preserve"> </w:t>
      </w:r>
      <w:r w:rsidRPr="002927DF">
        <w:tab/>
      </w:r>
      <w:r w:rsidR="009C275D">
        <w:t>The Commission</w:t>
      </w:r>
      <w:r w:rsidRPr="002927DF">
        <w:t xml:space="preserve"> estimates that the annual licensing fee for 35% of money market funds is $3,360:  a 5% to 10% increase = $168 - $336 in increased costs; </w:t>
      </w:r>
      <w:r w:rsidR="009C275D">
        <w:t>the Commission</w:t>
      </w:r>
      <w:r w:rsidRPr="002927DF">
        <w:t xml:space="preserve"> estimates that the annual licensing fee for 65% of money market funds is $8,000:  a 5% to 10% increase = $400 - $800 in increased costs.  </w:t>
      </w:r>
    </w:p>
  </w:footnote>
  <w:footnote w:id="13">
    <w:p w:rsidR="00544DB0" w:rsidRPr="002927DF" w:rsidRDefault="00544DB0" w:rsidP="00BB33E2">
      <w:pPr>
        <w:pStyle w:val="FootnoteText1"/>
      </w:pPr>
      <w:r w:rsidRPr="002927DF">
        <w:rPr>
          <w:rStyle w:val="FootnoteReference"/>
          <w:color w:val="000000"/>
        </w:rPr>
        <w:footnoteRef/>
      </w:r>
      <w:r w:rsidRPr="002927DF">
        <w:t xml:space="preserve"> </w:t>
      </w:r>
      <w:r w:rsidRPr="002927DF">
        <w:tab/>
        <w:t>This estimate is based on the following calculation:  (</w:t>
      </w:r>
      <w:r w:rsidR="00B5428C">
        <w:t>196</w:t>
      </w:r>
      <w:r w:rsidRPr="002927DF">
        <w:t xml:space="preserve"> funds x $336 additional external costs</w:t>
      </w:r>
      <w:r w:rsidR="00B5428C">
        <w:t xml:space="preserve"> = $</w:t>
      </w:r>
      <w:r w:rsidR="00600156">
        <w:t>65,856</w:t>
      </w:r>
      <w:r w:rsidRPr="002927DF">
        <w:t>) + (</w:t>
      </w:r>
      <w:r w:rsidR="00B5428C">
        <w:t>363</w:t>
      </w:r>
      <w:r w:rsidRPr="002927DF">
        <w:t xml:space="preserve"> funds x $800 additional external costs</w:t>
      </w:r>
      <w:r w:rsidR="00B5428C">
        <w:t xml:space="preserve"> = </w:t>
      </w:r>
      <w:r w:rsidR="00600156">
        <w:t>$290,400</w:t>
      </w:r>
      <w:r w:rsidRPr="002927DF">
        <w:t>) = $</w:t>
      </w:r>
      <w:r w:rsidR="00600156">
        <w:t>356,256</w:t>
      </w:r>
      <w:r w:rsidRPr="002927DF">
        <w:t>.</w:t>
      </w:r>
    </w:p>
  </w:footnote>
  <w:footnote w:id="14">
    <w:p w:rsidR="002C143B" w:rsidRPr="002927DF" w:rsidRDefault="002C143B" w:rsidP="00BB33E2">
      <w:pPr>
        <w:pStyle w:val="FootnoteText1"/>
      </w:pPr>
      <w:r w:rsidRPr="002927DF">
        <w:rPr>
          <w:rStyle w:val="FootnoteReference"/>
          <w:color w:val="000000"/>
        </w:rPr>
        <w:footnoteRef/>
      </w:r>
      <w:r w:rsidRPr="002927DF">
        <w:t xml:space="preserve"> </w:t>
      </w:r>
      <w:r w:rsidRPr="002927DF">
        <w:tab/>
        <w:t>This estimate is based on the following calculation:  current approved burden of $4,424,480 in external costs + $</w:t>
      </w:r>
      <w:r w:rsidR="00600156">
        <w:t>356,256</w:t>
      </w:r>
      <w:r w:rsidRPr="002927DF">
        <w:t xml:space="preserve"> in additional external costs as a result of our amendments = $4,</w:t>
      </w:r>
      <w:r w:rsidR="00600156">
        <w:t>780,736</w:t>
      </w:r>
      <w:r w:rsidRPr="002927D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E79" w:rsidRDefault="00894E79" w:rsidP="00BB33E2">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rsidR="00894E79" w:rsidRDefault="00894E79" w:rsidP="00BB33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E79" w:rsidRDefault="00894E79" w:rsidP="00580FA1">
    <w:pPr>
      <w:pStyle w:val="Header"/>
      <w:tabs>
        <w:tab w:val="clear" w:pos="4320"/>
        <w:tab w:val="clear" w:pos="8640"/>
      </w:tabs>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038" w:rsidRDefault="00490038" w:rsidP="00490038">
    <w:pPr>
      <w:pStyle w:val="Header"/>
      <w:tabs>
        <w:tab w:val="clear" w:pos="4320"/>
        <w:tab w:val="clear"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762F"/>
    <w:multiLevelType w:val="hybridMultilevel"/>
    <w:tmpl w:val="554221B8"/>
    <w:lvl w:ilvl="0" w:tplc="7936B01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8DB1AA3"/>
    <w:multiLevelType w:val="hybridMultilevel"/>
    <w:tmpl w:val="0DA4A7C6"/>
    <w:lvl w:ilvl="0" w:tplc="B8005C10">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nsid w:val="29AA0E87"/>
    <w:multiLevelType w:val="hybridMultilevel"/>
    <w:tmpl w:val="FB20C2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6B80AFD"/>
    <w:multiLevelType w:val="hybridMultilevel"/>
    <w:tmpl w:val="12E413C4"/>
    <w:lvl w:ilvl="0" w:tplc="95F426DC">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58F326E7"/>
    <w:multiLevelType w:val="hybridMultilevel"/>
    <w:tmpl w:val="4A7AB568"/>
    <w:lvl w:ilvl="0" w:tplc="15163752">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1CD4573"/>
    <w:multiLevelType w:val="hybridMultilevel"/>
    <w:tmpl w:val="11AA15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64A40C5"/>
    <w:multiLevelType w:val="hybridMultilevel"/>
    <w:tmpl w:val="8282470E"/>
    <w:lvl w:ilvl="0" w:tplc="F5627516">
      <w:start w:val="1"/>
      <w:numFmt w:val="decimal"/>
      <w:pStyle w:val="Heading1"/>
      <w:lvlText w:val="%1."/>
      <w:lvlJc w:val="left"/>
      <w:pPr>
        <w:tabs>
          <w:tab w:val="num" w:pos="1260"/>
        </w:tabs>
        <w:ind w:left="1260" w:hanging="720"/>
      </w:pPr>
      <w:rPr>
        <w:rFonts w:hint="default"/>
      </w:rPr>
    </w:lvl>
    <w:lvl w:ilvl="1" w:tplc="78DC0518">
      <w:start w:val="1"/>
      <w:numFmt w:val="decimal"/>
      <w:pStyle w:val="Heading1"/>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3"/>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694"/>
    <w:rsid w:val="00005003"/>
    <w:rsid w:val="000064C1"/>
    <w:rsid w:val="00041672"/>
    <w:rsid w:val="00056851"/>
    <w:rsid w:val="00070EA1"/>
    <w:rsid w:val="00093E1F"/>
    <w:rsid w:val="000B2D8D"/>
    <w:rsid w:val="000C275A"/>
    <w:rsid w:val="000D25FA"/>
    <w:rsid w:val="000D4307"/>
    <w:rsid w:val="000E6937"/>
    <w:rsid w:val="000F1B74"/>
    <w:rsid w:val="001014A3"/>
    <w:rsid w:val="00106935"/>
    <w:rsid w:val="001146E9"/>
    <w:rsid w:val="00117021"/>
    <w:rsid w:val="00127D09"/>
    <w:rsid w:val="00156407"/>
    <w:rsid w:val="001658A5"/>
    <w:rsid w:val="00172268"/>
    <w:rsid w:val="0017687E"/>
    <w:rsid w:val="00187904"/>
    <w:rsid w:val="0019642E"/>
    <w:rsid w:val="001D170D"/>
    <w:rsid w:val="001D5439"/>
    <w:rsid w:val="001F27EF"/>
    <w:rsid w:val="001F4F64"/>
    <w:rsid w:val="00200F70"/>
    <w:rsid w:val="00203683"/>
    <w:rsid w:val="002124AB"/>
    <w:rsid w:val="002170E4"/>
    <w:rsid w:val="0022064E"/>
    <w:rsid w:val="00242A3E"/>
    <w:rsid w:val="00242B5F"/>
    <w:rsid w:val="00243763"/>
    <w:rsid w:val="00253633"/>
    <w:rsid w:val="00266C6D"/>
    <w:rsid w:val="00277755"/>
    <w:rsid w:val="002778A7"/>
    <w:rsid w:val="00286230"/>
    <w:rsid w:val="002927DF"/>
    <w:rsid w:val="002A6704"/>
    <w:rsid w:val="002B00F4"/>
    <w:rsid w:val="002C143B"/>
    <w:rsid w:val="002F24E4"/>
    <w:rsid w:val="00316620"/>
    <w:rsid w:val="00327588"/>
    <w:rsid w:val="00340D1D"/>
    <w:rsid w:val="00346BFE"/>
    <w:rsid w:val="003613FB"/>
    <w:rsid w:val="00365E98"/>
    <w:rsid w:val="003729CC"/>
    <w:rsid w:val="003769CE"/>
    <w:rsid w:val="00376A5C"/>
    <w:rsid w:val="00377D35"/>
    <w:rsid w:val="00385A90"/>
    <w:rsid w:val="00391346"/>
    <w:rsid w:val="00396E30"/>
    <w:rsid w:val="003A2376"/>
    <w:rsid w:val="003A2A3F"/>
    <w:rsid w:val="003B7708"/>
    <w:rsid w:val="003C45D5"/>
    <w:rsid w:val="003F7A86"/>
    <w:rsid w:val="00411D4D"/>
    <w:rsid w:val="004249E3"/>
    <w:rsid w:val="004404E0"/>
    <w:rsid w:val="004438AC"/>
    <w:rsid w:val="004574C8"/>
    <w:rsid w:val="00465C29"/>
    <w:rsid w:val="004724EC"/>
    <w:rsid w:val="004751FA"/>
    <w:rsid w:val="00487398"/>
    <w:rsid w:val="00490038"/>
    <w:rsid w:val="00496F91"/>
    <w:rsid w:val="004A7E93"/>
    <w:rsid w:val="004B3EC8"/>
    <w:rsid w:val="005067B3"/>
    <w:rsid w:val="00506AAB"/>
    <w:rsid w:val="00517B8A"/>
    <w:rsid w:val="0053671D"/>
    <w:rsid w:val="00544DB0"/>
    <w:rsid w:val="00552C6D"/>
    <w:rsid w:val="00565D1D"/>
    <w:rsid w:val="00580FA1"/>
    <w:rsid w:val="005905BC"/>
    <w:rsid w:val="005C3A46"/>
    <w:rsid w:val="005E5802"/>
    <w:rsid w:val="005F3132"/>
    <w:rsid w:val="005F3D30"/>
    <w:rsid w:val="00600156"/>
    <w:rsid w:val="00602ADB"/>
    <w:rsid w:val="00603DBD"/>
    <w:rsid w:val="006059BD"/>
    <w:rsid w:val="00605BAF"/>
    <w:rsid w:val="00613598"/>
    <w:rsid w:val="006203D3"/>
    <w:rsid w:val="00620643"/>
    <w:rsid w:val="00624B1A"/>
    <w:rsid w:val="0062523A"/>
    <w:rsid w:val="00626047"/>
    <w:rsid w:val="00641B3F"/>
    <w:rsid w:val="00654C26"/>
    <w:rsid w:val="0066003A"/>
    <w:rsid w:val="0068002B"/>
    <w:rsid w:val="006A3678"/>
    <w:rsid w:val="006C19D2"/>
    <w:rsid w:val="006C5C50"/>
    <w:rsid w:val="006D0718"/>
    <w:rsid w:val="006D5347"/>
    <w:rsid w:val="006D75AF"/>
    <w:rsid w:val="006E1956"/>
    <w:rsid w:val="006E4F23"/>
    <w:rsid w:val="007220B1"/>
    <w:rsid w:val="00722F9A"/>
    <w:rsid w:val="00726694"/>
    <w:rsid w:val="007433D6"/>
    <w:rsid w:val="00745A5D"/>
    <w:rsid w:val="00755172"/>
    <w:rsid w:val="00761141"/>
    <w:rsid w:val="00766C01"/>
    <w:rsid w:val="00772A11"/>
    <w:rsid w:val="00791D35"/>
    <w:rsid w:val="007B12A8"/>
    <w:rsid w:val="007F43E6"/>
    <w:rsid w:val="007F78F0"/>
    <w:rsid w:val="00801EA8"/>
    <w:rsid w:val="00802BF4"/>
    <w:rsid w:val="00835C6D"/>
    <w:rsid w:val="00845474"/>
    <w:rsid w:val="00851049"/>
    <w:rsid w:val="00854B33"/>
    <w:rsid w:val="00860500"/>
    <w:rsid w:val="008726BC"/>
    <w:rsid w:val="00894E79"/>
    <w:rsid w:val="008A27A6"/>
    <w:rsid w:val="008C28D5"/>
    <w:rsid w:val="008C45E2"/>
    <w:rsid w:val="008E6841"/>
    <w:rsid w:val="008F1427"/>
    <w:rsid w:val="008F6460"/>
    <w:rsid w:val="0090107A"/>
    <w:rsid w:val="00920080"/>
    <w:rsid w:val="00942210"/>
    <w:rsid w:val="0094476B"/>
    <w:rsid w:val="009524ED"/>
    <w:rsid w:val="00955B02"/>
    <w:rsid w:val="00993A41"/>
    <w:rsid w:val="009A3CC1"/>
    <w:rsid w:val="009B4D37"/>
    <w:rsid w:val="009C275D"/>
    <w:rsid w:val="009C76B6"/>
    <w:rsid w:val="009D2C4C"/>
    <w:rsid w:val="009D7FD0"/>
    <w:rsid w:val="009E62B1"/>
    <w:rsid w:val="00A00F79"/>
    <w:rsid w:val="00A115FB"/>
    <w:rsid w:val="00A157F4"/>
    <w:rsid w:val="00A20870"/>
    <w:rsid w:val="00A37035"/>
    <w:rsid w:val="00A514F1"/>
    <w:rsid w:val="00A60184"/>
    <w:rsid w:val="00A65B9E"/>
    <w:rsid w:val="00A67518"/>
    <w:rsid w:val="00A73623"/>
    <w:rsid w:val="00A75DF4"/>
    <w:rsid w:val="00A87D86"/>
    <w:rsid w:val="00A95C2B"/>
    <w:rsid w:val="00A95F4D"/>
    <w:rsid w:val="00AB2ABB"/>
    <w:rsid w:val="00AC68FA"/>
    <w:rsid w:val="00AD0184"/>
    <w:rsid w:val="00B1530C"/>
    <w:rsid w:val="00B16D47"/>
    <w:rsid w:val="00B220C0"/>
    <w:rsid w:val="00B36333"/>
    <w:rsid w:val="00B458DB"/>
    <w:rsid w:val="00B47632"/>
    <w:rsid w:val="00B5428C"/>
    <w:rsid w:val="00B63045"/>
    <w:rsid w:val="00B703E3"/>
    <w:rsid w:val="00B900E7"/>
    <w:rsid w:val="00B90DC2"/>
    <w:rsid w:val="00B930D4"/>
    <w:rsid w:val="00BA7CFC"/>
    <w:rsid w:val="00BB33E2"/>
    <w:rsid w:val="00BB3C4F"/>
    <w:rsid w:val="00BC3AEB"/>
    <w:rsid w:val="00BD3085"/>
    <w:rsid w:val="00BD4248"/>
    <w:rsid w:val="00BD4D60"/>
    <w:rsid w:val="00BD4FEA"/>
    <w:rsid w:val="00BE337C"/>
    <w:rsid w:val="00BF34F2"/>
    <w:rsid w:val="00C111B8"/>
    <w:rsid w:val="00C111CF"/>
    <w:rsid w:val="00C154C5"/>
    <w:rsid w:val="00C50C2D"/>
    <w:rsid w:val="00C53485"/>
    <w:rsid w:val="00C739C7"/>
    <w:rsid w:val="00C83C21"/>
    <w:rsid w:val="00C85DB8"/>
    <w:rsid w:val="00C85F3C"/>
    <w:rsid w:val="00CB1E6C"/>
    <w:rsid w:val="00CB2474"/>
    <w:rsid w:val="00CC0A57"/>
    <w:rsid w:val="00CD5746"/>
    <w:rsid w:val="00CE0C05"/>
    <w:rsid w:val="00CE47B0"/>
    <w:rsid w:val="00CF35E7"/>
    <w:rsid w:val="00CF3D60"/>
    <w:rsid w:val="00D03ED5"/>
    <w:rsid w:val="00D13DA4"/>
    <w:rsid w:val="00D17A4C"/>
    <w:rsid w:val="00D26049"/>
    <w:rsid w:val="00D51126"/>
    <w:rsid w:val="00D542DD"/>
    <w:rsid w:val="00D5716E"/>
    <w:rsid w:val="00D5746C"/>
    <w:rsid w:val="00D62E91"/>
    <w:rsid w:val="00D65AD0"/>
    <w:rsid w:val="00D72112"/>
    <w:rsid w:val="00D8204A"/>
    <w:rsid w:val="00D83FCF"/>
    <w:rsid w:val="00DB11C7"/>
    <w:rsid w:val="00DE69AB"/>
    <w:rsid w:val="00DF5981"/>
    <w:rsid w:val="00E16E36"/>
    <w:rsid w:val="00E603F2"/>
    <w:rsid w:val="00E7572B"/>
    <w:rsid w:val="00E7765E"/>
    <w:rsid w:val="00E94CF0"/>
    <w:rsid w:val="00EB1426"/>
    <w:rsid w:val="00EC4263"/>
    <w:rsid w:val="00EE4E4E"/>
    <w:rsid w:val="00EF5488"/>
    <w:rsid w:val="00EF6A33"/>
    <w:rsid w:val="00EF6F56"/>
    <w:rsid w:val="00EF7DCD"/>
    <w:rsid w:val="00F421E8"/>
    <w:rsid w:val="00F728C4"/>
    <w:rsid w:val="00F746EC"/>
    <w:rsid w:val="00F814D3"/>
    <w:rsid w:val="00FA1458"/>
    <w:rsid w:val="00FA2061"/>
    <w:rsid w:val="00FA7B89"/>
    <w:rsid w:val="00FC473B"/>
    <w:rsid w:val="00FF1FAD"/>
    <w:rsid w:val="00FF6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9BD"/>
    <w:pPr>
      <w:keepNext/>
      <w:spacing w:line="480" w:lineRule="auto"/>
      <w:ind w:firstLine="720"/>
    </w:pPr>
    <w:rPr>
      <w:sz w:val="24"/>
      <w:szCs w:val="24"/>
    </w:rPr>
  </w:style>
  <w:style w:type="paragraph" w:styleId="Heading10">
    <w:name w:val="heading 1"/>
    <w:basedOn w:val="Normal"/>
    <w:next w:val="Normal"/>
    <w:link w:val="Heading1Char"/>
    <w:qFormat/>
    <w:rsid w:val="00AC68FA"/>
    <w:pPr>
      <w:spacing w:after="240" w:line="240" w:lineRule="auto"/>
      <w:ind w:left="720" w:hanging="720"/>
      <w:outlineLvl w:val="0"/>
    </w:pPr>
    <w:rPr>
      <w:b/>
    </w:rPr>
  </w:style>
  <w:style w:type="paragraph" w:styleId="Heading2">
    <w:name w:val="heading 2"/>
    <w:basedOn w:val="Normal"/>
    <w:next w:val="Normal"/>
    <w:link w:val="Heading2Char"/>
    <w:qFormat/>
    <w:rsid w:val="00AC68FA"/>
    <w:pPr>
      <w:spacing w:after="240" w:line="240" w:lineRule="auto"/>
      <w:ind w:left="1440" w:hanging="720"/>
      <w:outlineLvl w:val="1"/>
    </w:pPr>
    <w:rPr>
      <w:b/>
    </w:rPr>
  </w:style>
  <w:style w:type="paragraph" w:styleId="Heading3">
    <w:name w:val="heading 3"/>
    <w:basedOn w:val="Normal"/>
    <w:next w:val="Normal"/>
    <w:qFormat/>
    <w:rsid w:val="00772A11"/>
    <w:p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A">
    <w:name w:val="HEADING A."/>
    <w:basedOn w:val="Normal"/>
    <w:pPr>
      <w:spacing w:after="180"/>
    </w:pPr>
    <w:rPr>
      <w:b/>
      <w:bCs/>
    </w:rPr>
  </w:style>
  <w:style w:type="paragraph" w:customStyle="1" w:styleId="Heading">
    <w:name w:val="Heading"/>
    <w:basedOn w:val="HEADINGA"/>
    <w:pPr>
      <w:ind w:left="1080"/>
    </w:pPr>
  </w:style>
  <w:style w:type="paragraph" w:customStyle="1" w:styleId="Heading1">
    <w:name w:val="Heading 1."/>
    <w:basedOn w:val="Heading"/>
    <w:pPr>
      <w:numPr>
        <w:numId w:val="1"/>
      </w:numPr>
    </w:pPr>
  </w:style>
  <w:style w:type="paragraph" w:customStyle="1" w:styleId="IndentedParagraph">
    <w:name w:val="Indented Paragraph"/>
    <w:basedOn w:val="Heading1"/>
    <w:rPr>
      <w:b w:val="0"/>
      <w:bCs w:val="0"/>
    </w:rPr>
  </w:style>
  <w:style w:type="paragraph" w:customStyle="1" w:styleId="RegularDoubleSpaced">
    <w:name w:val="Regular Double Spaced"/>
    <w:basedOn w:val="Normal"/>
  </w:style>
  <w:style w:type="paragraph" w:customStyle="1" w:styleId="DoubleSpacePar">
    <w:name w:val="Double Space Par"/>
    <w:basedOn w:val="Normal"/>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aliases w:val="fn,ft"/>
    <w:basedOn w:val="Normal"/>
    <w:link w:val="FootnoteTextChar"/>
    <w:semiHidden/>
    <w:pPr>
      <w:spacing w:after="120"/>
      <w:ind w:left="720" w:hanging="720"/>
    </w:pPr>
    <w:rPr>
      <w:sz w:val="20"/>
      <w:szCs w:val="20"/>
    </w:rPr>
  </w:style>
  <w:style w:type="character" w:styleId="FootnoteReference">
    <w:name w:val="footnote reference"/>
    <w:aliases w:val="fr,Style 19,Style 16"/>
    <w:uiPriority w:val="99"/>
    <w:qFormat/>
    <w:rPr>
      <w:vertAlign w:val="superscript"/>
    </w:rPr>
  </w:style>
  <w:style w:type="character" w:customStyle="1" w:styleId="FootnoteTextChar">
    <w:name w:val="Footnote Text Char"/>
    <w:aliases w:val="fn Char,ft Char"/>
    <w:link w:val="FootnoteText"/>
    <w:rsid w:val="00EB1426"/>
    <w:rPr>
      <w:lang w:val="en-US" w:eastAsia="en-US" w:bidi="ar-SA"/>
    </w:rPr>
  </w:style>
  <w:style w:type="character" w:styleId="Hyperlink">
    <w:name w:val="Hyperlink"/>
    <w:uiPriority w:val="99"/>
    <w:rsid w:val="00EB1426"/>
    <w:rPr>
      <w:color w:val="0000FF"/>
      <w:u w:val="single"/>
    </w:rPr>
  </w:style>
  <w:style w:type="paragraph" w:styleId="BalloonText">
    <w:name w:val="Balloon Text"/>
    <w:basedOn w:val="Normal"/>
    <w:semiHidden/>
    <w:rsid w:val="00845474"/>
    <w:rPr>
      <w:rFonts w:ascii="Tahoma" w:hAnsi="Tahoma" w:cs="Tahoma"/>
      <w:sz w:val="16"/>
      <w:szCs w:val="16"/>
    </w:rPr>
  </w:style>
  <w:style w:type="character" w:styleId="CommentReference">
    <w:name w:val="annotation reference"/>
    <w:rsid w:val="007433D6"/>
    <w:rPr>
      <w:sz w:val="16"/>
      <w:szCs w:val="16"/>
    </w:rPr>
  </w:style>
  <w:style w:type="paragraph" w:styleId="CommentText">
    <w:name w:val="annotation text"/>
    <w:basedOn w:val="Normal"/>
    <w:link w:val="CommentTextChar"/>
    <w:rsid w:val="007433D6"/>
    <w:rPr>
      <w:sz w:val="20"/>
      <w:szCs w:val="20"/>
    </w:rPr>
  </w:style>
  <w:style w:type="character" w:customStyle="1" w:styleId="CommentTextChar">
    <w:name w:val="Comment Text Char"/>
    <w:basedOn w:val="DefaultParagraphFont"/>
    <w:link w:val="CommentText"/>
    <w:rsid w:val="007433D6"/>
  </w:style>
  <w:style w:type="paragraph" w:styleId="CommentSubject">
    <w:name w:val="annotation subject"/>
    <w:basedOn w:val="CommentText"/>
    <w:next w:val="CommentText"/>
    <w:link w:val="CommentSubjectChar"/>
    <w:rsid w:val="007433D6"/>
    <w:rPr>
      <w:b/>
      <w:bCs/>
    </w:rPr>
  </w:style>
  <w:style w:type="character" w:customStyle="1" w:styleId="CommentSubjectChar">
    <w:name w:val="Comment Subject Char"/>
    <w:link w:val="CommentSubject"/>
    <w:rsid w:val="007433D6"/>
    <w:rPr>
      <w:b/>
      <w:bCs/>
    </w:rPr>
  </w:style>
  <w:style w:type="paragraph" w:customStyle="1" w:styleId="FootnoteText1">
    <w:name w:val="Footnote Text1"/>
    <w:basedOn w:val="FootnoteText"/>
    <w:link w:val="FootnotetextChar0"/>
    <w:qFormat/>
    <w:rsid w:val="00BB33E2"/>
    <w:pPr>
      <w:spacing w:line="240" w:lineRule="auto"/>
    </w:pPr>
  </w:style>
  <w:style w:type="character" w:customStyle="1" w:styleId="FootnotetextChar0">
    <w:name w:val="Footnote text Char"/>
    <w:link w:val="FootnoteText1"/>
    <w:rsid w:val="00BB33E2"/>
  </w:style>
  <w:style w:type="paragraph" w:styleId="Title">
    <w:name w:val="Title"/>
    <w:basedOn w:val="Heading10"/>
    <w:next w:val="Normal"/>
    <w:link w:val="TitleChar"/>
    <w:qFormat/>
    <w:rsid w:val="00AC68FA"/>
    <w:pPr>
      <w:spacing w:after="0"/>
      <w:ind w:left="0" w:firstLine="0"/>
      <w:jc w:val="center"/>
    </w:pPr>
  </w:style>
  <w:style w:type="character" w:customStyle="1" w:styleId="TitleChar">
    <w:name w:val="Title Char"/>
    <w:basedOn w:val="DefaultParagraphFont"/>
    <w:link w:val="Title"/>
    <w:rsid w:val="00AC68FA"/>
    <w:rPr>
      <w:b/>
      <w:sz w:val="24"/>
      <w:szCs w:val="24"/>
    </w:rPr>
  </w:style>
  <w:style w:type="character" w:customStyle="1" w:styleId="Heading2Char">
    <w:name w:val="Heading 2 Char"/>
    <w:basedOn w:val="DefaultParagraphFont"/>
    <w:link w:val="Heading2"/>
    <w:rsid w:val="00AC68FA"/>
    <w:rPr>
      <w:b/>
      <w:sz w:val="24"/>
      <w:szCs w:val="24"/>
    </w:rPr>
  </w:style>
  <w:style w:type="character" w:customStyle="1" w:styleId="Heading1Char">
    <w:name w:val="Heading 1 Char"/>
    <w:basedOn w:val="DefaultParagraphFont"/>
    <w:link w:val="Heading10"/>
    <w:rsid w:val="00AC68FA"/>
    <w:rPr>
      <w:b/>
      <w:sz w:val="24"/>
      <w:szCs w:val="24"/>
    </w:rPr>
  </w:style>
  <w:style w:type="paragraph" w:styleId="Subtitle">
    <w:name w:val="Subtitle"/>
    <w:basedOn w:val="Normal"/>
    <w:next w:val="Normal"/>
    <w:link w:val="SubtitleChar"/>
    <w:qFormat/>
    <w:rsid w:val="00AC68FA"/>
    <w:pPr>
      <w:spacing w:line="240" w:lineRule="auto"/>
      <w:ind w:firstLine="0"/>
      <w:jc w:val="center"/>
    </w:pPr>
    <w:rPr>
      <w:b/>
    </w:rPr>
  </w:style>
  <w:style w:type="character" w:customStyle="1" w:styleId="SubtitleChar">
    <w:name w:val="Subtitle Char"/>
    <w:basedOn w:val="DefaultParagraphFont"/>
    <w:link w:val="Subtitle"/>
    <w:rsid w:val="00AC68FA"/>
    <w:rPr>
      <w:b/>
      <w:sz w:val="24"/>
      <w:szCs w:val="24"/>
    </w:rPr>
  </w:style>
  <w:style w:type="character" w:customStyle="1" w:styleId="FooterChar">
    <w:name w:val="Footer Char"/>
    <w:basedOn w:val="DefaultParagraphFont"/>
    <w:link w:val="Footer"/>
    <w:uiPriority w:val="99"/>
    <w:rsid w:val="0049003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9BD"/>
    <w:pPr>
      <w:keepNext/>
      <w:spacing w:line="480" w:lineRule="auto"/>
      <w:ind w:firstLine="720"/>
    </w:pPr>
    <w:rPr>
      <w:sz w:val="24"/>
      <w:szCs w:val="24"/>
    </w:rPr>
  </w:style>
  <w:style w:type="paragraph" w:styleId="Heading10">
    <w:name w:val="heading 1"/>
    <w:basedOn w:val="Normal"/>
    <w:next w:val="Normal"/>
    <w:link w:val="Heading1Char"/>
    <w:qFormat/>
    <w:rsid w:val="00AC68FA"/>
    <w:pPr>
      <w:spacing w:after="240" w:line="240" w:lineRule="auto"/>
      <w:ind w:left="720" w:hanging="720"/>
      <w:outlineLvl w:val="0"/>
    </w:pPr>
    <w:rPr>
      <w:b/>
    </w:rPr>
  </w:style>
  <w:style w:type="paragraph" w:styleId="Heading2">
    <w:name w:val="heading 2"/>
    <w:basedOn w:val="Normal"/>
    <w:next w:val="Normal"/>
    <w:link w:val="Heading2Char"/>
    <w:qFormat/>
    <w:rsid w:val="00AC68FA"/>
    <w:pPr>
      <w:spacing w:after="240" w:line="240" w:lineRule="auto"/>
      <w:ind w:left="1440" w:hanging="720"/>
      <w:outlineLvl w:val="1"/>
    </w:pPr>
    <w:rPr>
      <w:b/>
    </w:rPr>
  </w:style>
  <w:style w:type="paragraph" w:styleId="Heading3">
    <w:name w:val="heading 3"/>
    <w:basedOn w:val="Normal"/>
    <w:next w:val="Normal"/>
    <w:qFormat/>
    <w:rsid w:val="00772A11"/>
    <w:p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A">
    <w:name w:val="HEADING A."/>
    <w:basedOn w:val="Normal"/>
    <w:pPr>
      <w:spacing w:after="180"/>
    </w:pPr>
    <w:rPr>
      <w:b/>
      <w:bCs/>
    </w:rPr>
  </w:style>
  <w:style w:type="paragraph" w:customStyle="1" w:styleId="Heading">
    <w:name w:val="Heading"/>
    <w:basedOn w:val="HEADINGA"/>
    <w:pPr>
      <w:ind w:left="1080"/>
    </w:pPr>
  </w:style>
  <w:style w:type="paragraph" w:customStyle="1" w:styleId="Heading1">
    <w:name w:val="Heading 1."/>
    <w:basedOn w:val="Heading"/>
    <w:pPr>
      <w:numPr>
        <w:numId w:val="1"/>
      </w:numPr>
    </w:pPr>
  </w:style>
  <w:style w:type="paragraph" w:customStyle="1" w:styleId="IndentedParagraph">
    <w:name w:val="Indented Paragraph"/>
    <w:basedOn w:val="Heading1"/>
    <w:rPr>
      <w:b w:val="0"/>
      <w:bCs w:val="0"/>
    </w:rPr>
  </w:style>
  <w:style w:type="paragraph" w:customStyle="1" w:styleId="RegularDoubleSpaced">
    <w:name w:val="Regular Double Spaced"/>
    <w:basedOn w:val="Normal"/>
  </w:style>
  <w:style w:type="paragraph" w:customStyle="1" w:styleId="DoubleSpacePar">
    <w:name w:val="Double Space Par"/>
    <w:basedOn w:val="Normal"/>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aliases w:val="fn,ft"/>
    <w:basedOn w:val="Normal"/>
    <w:link w:val="FootnoteTextChar"/>
    <w:semiHidden/>
    <w:pPr>
      <w:spacing w:after="120"/>
      <w:ind w:left="720" w:hanging="720"/>
    </w:pPr>
    <w:rPr>
      <w:sz w:val="20"/>
      <w:szCs w:val="20"/>
    </w:rPr>
  </w:style>
  <w:style w:type="character" w:styleId="FootnoteReference">
    <w:name w:val="footnote reference"/>
    <w:aliases w:val="fr,Style 19,Style 16"/>
    <w:uiPriority w:val="99"/>
    <w:qFormat/>
    <w:rPr>
      <w:vertAlign w:val="superscript"/>
    </w:rPr>
  </w:style>
  <w:style w:type="character" w:customStyle="1" w:styleId="FootnoteTextChar">
    <w:name w:val="Footnote Text Char"/>
    <w:aliases w:val="fn Char,ft Char"/>
    <w:link w:val="FootnoteText"/>
    <w:rsid w:val="00EB1426"/>
    <w:rPr>
      <w:lang w:val="en-US" w:eastAsia="en-US" w:bidi="ar-SA"/>
    </w:rPr>
  </w:style>
  <w:style w:type="character" w:styleId="Hyperlink">
    <w:name w:val="Hyperlink"/>
    <w:uiPriority w:val="99"/>
    <w:rsid w:val="00EB1426"/>
    <w:rPr>
      <w:color w:val="0000FF"/>
      <w:u w:val="single"/>
    </w:rPr>
  </w:style>
  <w:style w:type="paragraph" w:styleId="BalloonText">
    <w:name w:val="Balloon Text"/>
    <w:basedOn w:val="Normal"/>
    <w:semiHidden/>
    <w:rsid w:val="00845474"/>
    <w:rPr>
      <w:rFonts w:ascii="Tahoma" w:hAnsi="Tahoma" w:cs="Tahoma"/>
      <w:sz w:val="16"/>
      <w:szCs w:val="16"/>
    </w:rPr>
  </w:style>
  <w:style w:type="character" w:styleId="CommentReference">
    <w:name w:val="annotation reference"/>
    <w:rsid w:val="007433D6"/>
    <w:rPr>
      <w:sz w:val="16"/>
      <w:szCs w:val="16"/>
    </w:rPr>
  </w:style>
  <w:style w:type="paragraph" w:styleId="CommentText">
    <w:name w:val="annotation text"/>
    <w:basedOn w:val="Normal"/>
    <w:link w:val="CommentTextChar"/>
    <w:rsid w:val="007433D6"/>
    <w:rPr>
      <w:sz w:val="20"/>
      <w:szCs w:val="20"/>
    </w:rPr>
  </w:style>
  <w:style w:type="character" w:customStyle="1" w:styleId="CommentTextChar">
    <w:name w:val="Comment Text Char"/>
    <w:basedOn w:val="DefaultParagraphFont"/>
    <w:link w:val="CommentText"/>
    <w:rsid w:val="007433D6"/>
  </w:style>
  <w:style w:type="paragraph" w:styleId="CommentSubject">
    <w:name w:val="annotation subject"/>
    <w:basedOn w:val="CommentText"/>
    <w:next w:val="CommentText"/>
    <w:link w:val="CommentSubjectChar"/>
    <w:rsid w:val="007433D6"/>
    <w:rPr>
      <w:b/>
      <w:bCs/>
    </w:rPr>
  </w:style>
  <w:style w:type="character" w:customStyle="1" w:styleId="CommentSubjectChar">
    <w:name w:val="Comment Subject Char"/>
    <w:link w:val="CommentSubject"/>
    <w:rsid w:val="007433D6"/>
    <w:rPr>
      <w:b/>
      <w:bCs/>
    </w:rPr>
  </w:style>
  <w:style w:type="paragraph" w:customStyle="1" w:styleId="FootnoteText1">
    <w:name w:val="Footnote Text1"/>
    <w:basedOn w:val="FootnoteText"/>
    <w:link w:val="FootnotetextChar0"/>
    <w:qFormat/>
    <w:rsid w:val="00BB33E2"/>
    <w:pPr>
      <w:spacing w:line="240" w:lineRule="auto"/>
    </w:pPr>
  </w:style>
  <w:style w:type="character" w:customStyle="1" w:styleId="FootnotetextChar0">
    <w:name w:val="Footnote text Char"/>
    <w:link w:val="FootnoteText1"/>
    <w:rsid w:val="00BB33E2"/>
  </w:style>
  <w:style w:type="paragraph" w:styleId="Title">
    <w:name w:val="Title"/>
    <w:basedOn w:val="Heading10"/>
    <w:next w:val="Normal"/>
    <w:link w:val="TitleChar"/>
    <w:qFormat/>
    <w:rsid w:val="00AC68FA"/>
    <w:pPr>
      <w:spacing w:after="0"/>
      <w:ind w:left="0" w:firstLine="0"/>
      <w:jc w:val="center"/>
    </w:pPr>
  </w:style>
  <w:style w:type="character" w:customStyle="1" w:styleId="TitleChar">
    <w:name w:val="Title Char"/>
    <w:basedOn w:val="DefaultParagraphFont"/>
    <w:link w:val="Title"/>
    <w:rsid w:val="00AC68FA"/>
    <w:rPr>
      <w:b/>
      <w:sz w:val="24"/>
      <w:szCs w:val="24"/>
    </w:rPr>
  </w:style>
  <w:style w:type="character" w:customStyle="1" w:styleId="Heading2Char">
    <w:name w:val="Heading 2 Char"/>
    <w:basedOn w:val="DefaultParagraphFont"/>
    <w:link w:val="Heading2"/>
    <w:rsid w:val="00AC68FA"/>
    <w:rPr>
      <w:b/>
      <w:sz w:val="24"/>
      <w:szCs w:val="24"/>
    </w:rPr>
  </w:style>
  <w:style w:type="character" w:customStyle="1" w:styleId="Heading1Char">
    <w:name w:val="Heading 1 Char"/>
    <w:basedOn w:val="DefaultParagraphFont"/>
    <w:link w:val="Heading10"/>
    <w:rsid w:val="00AC68FA"/>
    <w:rPr>
      <w:b/>
      <w:sz w:val="24"/>
      <w:szCs w:val="24"/>
    </w:rPr>
  </w:style>
  <w:style w:type="paragraph" w:styleId="Subtitle">
    <w:name w:val="Subtitle"/>
    <w:basedOn w:val="Normal"/>
    <w:next w:val="Normal"/>
    <w:link w:val="SubtitleChar"/>
    <w:qFormat/>
    <w:rsid w:val="00AC68FA"/>
    <w:pPr>
      <w:spacing w:line="240" w:lineRule="auto"/>
      <w:ind w:firstLine="0"/>
      <w:jc w:val="center"/>
    </w:pPr>
    <w:rPr>
      <w:b/>
    </w:rPr>
  </w:style>
  <w:style w:type="character" w:customStyle="1" w:styleId="SubtitleChar">
    <w:name w:val="Subtitle Char"/>
    <w:basedOn w:val="DefaultParagraphFont"/>
    <w:link w:val="Subtitle"/>
    <w:rsid w:val="00AC68FA"/>
    <w:rPr>
      <w:b/>
      <w:sz w:val="24"/>
      <w:szCs w:val="24"/>
    </w:rPr>
  </w:style>
  <w:style w:type="character" w:customStyle="1" w:styleId="FooterChar">
    <w:name w:val="Footer Char"/>
    <w:basedOn w:val="DefaultParagraphFont"/>
    <w:link w:val="Footer"/>
    <w:uiPriority w:val="99"/>
    <w:rsid w:val="004900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sec.gov/about/privacy/sorn/secsorn6.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sifma.org/research/item.aspx?id=85899406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upporting Statement" ma:contentTypeID="0x0101008CE57A305FE3344E8586358791CCFB2000F6A1F1ACD4F9BD4CB5CD562D39E5E4D2" ma:contentTypeVersion="2" ma:contentTypeDescription="" ma:contentTypeScope="" ma:versionID="42df8016ff3d0e1acf3a6e093e5a3dd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B2247-2CA7-4F3C-AEB4-B6F9B2C645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497BE2-24BD-4CC9-9020-84AF162810AE}">
  <ds:schemaRefs>
    <ds:schemaRef ds:uri="http://schemas.microsoft.com/sharepoint/events"/>
  </ds:schemaRefs>
</ds:datastoreItem>
</file>

<file path=customXml/itemProps3.xml><?xml version="1.0" encoding="utf-8"?>
<ds:datastoreItem xmlns:ds="http://schemas.openxmlformats.org/officeDocument/2006/customXml" ds:itemID="{52CB8FE3-1D40-4C34-9673-6A2E638AD1F7}">
  <ds:schemaRefs>
    <ds:schemaRef ds:uri="http://schemas.microsoft.com/sharepoint/v3/contenttype/forms"/>
  </ds:schemaRefs>
</ds:datastoreItem>
</file>

<file path=customXml/itemProps4.xml><?xml version="1.0" encoding="utf-8"?>
<ds:datastoreItem xmlns:ds="http://schemas.openxmlformats.org/officeDocument/2006/customXml" ds:itemID="{8BA1CCD1-5716-4C1D-94A8-A2CEA574D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121468D-6162-495B-B2C8-70B3326C7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2314</Words>
  <Characters>13191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Securities and Exhange Commission</Company>
  <LinksUpToDate>false</LinksUpToDate>
  <CharactersWithSpaces>15475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dc:creator>
  <cp:lastModifiedBy>Fernandezh</cp:lastModifiedBy>
  <cp:revision>3</cp:revision>
  <cp:lastPrinted>2012-10-10T14:48:00Z</cp:lastPrinted>
  <dcterms:created xsi:type="dcterms:W3CDTF">2015-01-27T19:38:00Z</dcterms:created>
  <dcterms:modified xsi:type="dcterms:W3CDTF">2015-01-27T19:38:00Z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0x0101008CE57A305FE3344E8586358791CCFB2000F6A1F1ACD4F9BD4CB5CD562D39E5E4D2</vt:lpwstr>
  </property>
  <property fmtid="{D5CDD505-2E9C-101B-9397-08002B2CF9AE}" pid="3" name="_dlc_DocIdItemGuid">
    <vt:lpwstr>fcb8883f-c439-4a87-98f9-bb8cb7b34654</vt:lpwstr>
  </property>
  <property fmtid="{D5CDD505-2E9C-101B-9397-08002B2CF9AE}" pid="4" name="_dlc_DocId">
    <vt:lpwstr>KKE47E4U7XZ3-2108-1479</vt:lpwstr>
  </property>
  <property fmtid="{D5CDD505-2E9C-101B-9397-08002B2CF9AE}" pid="5" name="_dlc_DocIdUrl">
    <vt:lpwstr>https://collaboration/sites/OIT/pra/_layouts/DocIdRedir.aspx?ID=KKE47E4U7XZ3-2108-1479, KKE47E4U7XZ3-2108-1479</vt:lpwstr>
  </property>
  <property fmtid="{D5CDD505-2E9C-101B-9397-08002B2CF9AE}" pid="6" name="Previously Modified By">
    <vt:lpwstr/>
  </property>
</Properties>
</file>