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3A9" w:rsidRDefault="00F533A9" w:rsidP="00B36B15"/>
    <w:p w:rsidR="00F533A9" w:rsidRDefault="00F533A9">
      <w:pPr>
        <w:sectPr w:rsidR="00F533A9" w:rsidSect="00B36B15">
          <w:headerReference w:type="default" r:id="rId7"/>
          <w:pgSz w:w="12240" w:h="15840"/>
          <w:pgMar w:top="360" w:right="1440" w:bottom="1440" w:left="1440" w:header="1440" w:footer="1440" w:gutter="0"/>
          <w:cols w:space="720"/>
          <w:noEndnote/>
        </w:sectPr>
      </w:pPr>
    </w:p>
    <w:p w:rsidR="00F533A9" w:rsidRDefault="00F50781" w:rsidP="00BA4887">
      <w:pPr>
        <w:tabs>
          <w:tab w:val="center" w:pos="4680"/>
        </w:tabs>
        <w:jc w:val="center"/>
        <w:rPr>
          <w:b/>
          <w:bCs/>
        </w:rPr>
      </w:pPr>
      <w:r>
        <w:rPr>
          <w:b/>
          <w:bCs/>
        </w:rPr>
        <w:lastRenderedPageBreak/>
        <w:fldChar w:fldCharType="begin"/>
      </w:r>
      <w:r w:rsidR="00F533A9">
        <w:rPr>
          <w:b/>
          <w:bCs/>
        </w:rPr>
        <w:instrText>tc  \l 2 "SF"</w:instrText>
      </w:r>
      <w:r>
        <w:rPr>
          <w:b/>
          <w:bCs/>
        </w:rPr>
        <w:fldChar w:fldCharType="end"/>
      </w:r>
      <w:r w:rsidR="00F533A9">
        <w:rPr>
          <w:b/>
          <w:bCs/>
        </w:rPr>
        <w:t>SUPPORTING STATEMENT</w:t>
      </w:r>
    </w:p>
    <w:p w:rsidR="00F533A9" w:rsidRDefault="00F533A9">
      <w:pPr>
        <w:tabs>
          <w:tab w:val="center" w:pos="4680"/>
        </w:tabs>
      </w:pPr>
      <w:r>
        <w:rPr>
          <w:b/>
          <w:bCs/>
        </w:rPr>
        <w:tab/>
        <w:t>ENVIRONMENTAL PROTECTION AGENCY</w:t>
      </w:r>
    </w:p>
    <w:p w:rsidR="00F533A9" w:rsidRDefault="00F533A9">
      <w:pPr>
        <w:tabs>
          <w:tab w:val="center" w:pos="4680"/>
        </w:tabs>
      </w:pPr>
      <w:r>
        <w:tab/>
      </w:r>
    </w:p>
    <w:p w:rsidR="00F533A9" w:rsidRDefault="00F533A9">
      <w:pPr>
        <w:rPr>
          <w:b/>
          <w:bCs/>
        </w:rPr>
      </w:pPr>
      <w:r>
        <w:rPr>
          <w:b/>
          <w:bCs/>
        </w:rPr>
        <w:t>NESHAP for Industrial, Commercial, and Institutional Boilers Area Sources</w:t>
      </w:r>
    </w:p>
    <w:p w:rsidR="00F533A9" w:rsidRDefault="00F533A9">
      <w:pPr>
        <w:rPr>
          <w:color w:val="000000"/>
        </w:rPr>
      </w:pPr>
    </w:p>
    <w:p w:rsidR="00F533A9" w:rsidRDefault="00F533A9">
      <w:pPr>
        <w:rPr>
          <w:b/>
          <w:bCs/>
          <w:color w:val="000000"/>
        </w:rPr>
      </w:pPr>
      <w:r>
        <w:rPr>
          <w:b/>
          <w:bCs/>
          <w:color w:val="000000"/>
        </w:rPr>
        <w:t>1.  Identification of the Information Collection</w:t>
      </w:r>
    </w:p>
    <w:p w:rsidR="00F533A9" w:rsidRDefault="00F533A9">
      <w:pPr>
        <w:rPr>
          <w:b/>
          <w:bCs/>
          <w:color w:val="000000"/>
        </w:rPr>
      </w:pPr>
    </w:p>
    <w:p w:rsidR="00F533A9" w:rsidRDefault="00F533A9">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F533A9" w:rsidRDefault="00F533A9">
      <w:pPr>
        <w:rPr>
          <w:b/>
          <w:bCs/>
          <w:color w:val="000000"/>
        </w:rPr>
      </w:pPr>
    </w:p>
    <w:p w:rsidR="00F533A9" w:rsidRDefault="00F533A9">
      <w:r>
        <w:t>NESHAP for Industrial, Commercial, and Institutional Boilers Area Sources (40 CFR part 63, Subpart JJJJJJ)</w:t>
      </w:r>
    </w:p>
    <w:p w:rsidR="00F533A9" w:rsidRDefault="00F533A9">
      <w:pPr>
        <w:rPr>
          <w:b/>
          <w:bCs/>
          <w:color w:val="000000"/>
        </w:rPr>
      </w:pPr>
    </w:p>
    <w:p w:rsidR="00F533A9" w:rsidRDefault="00F533A9">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F533A9" w:rsidRDefault="00F533A9">
      <w:pPr>
        <w:rPr>
          <w:color w:val="000000"/>
        </w:rPr>
      </w:pPr>
    </w:p>
    <w:p w:rsidR="00F533A9" w:rsidRDefault="00F533A9" w:rsidP="00364364">
      <w:pPr>
        <w:ind w:firstLine="720"/>
      </w:pPr>
      <w:r w:rsidRPr="00364364">
        <w:t xml:space="preserve">This supporting statement addresses information collection activities that will be imposed by the National Emission Standards for Hazardous Air Pollutants (NESHAP) for Industrial, Commercial, and Institutional Boilers Area Sources, </w:t>
      </w:r>
      <w:r w:rsidR="008D02FE">
        <w:t>at</w:t>
      </w:r>
      <w:r w:rsidRPr="00364364">
        <w:t xml:space="preserve"> 40 CFR part 63 subpart JJJJJ</w:t>
      </w:r>
      <w:r w:rsidR="00145723">
        <w:t>J</w:t>
      </w:r>
      <w:r w:rsidRPr="00364364">
        <w:t xml:space="preserve"> (</w:t>
      </w:r>
      <w:r w:rsidR="00C64317">
        <w:t xml:space="preserve">Area </w:t>
      </w:r>
      <w:r w:rsidRPr="00364364">
        <w:t>Boilers NESHAP).</w:t>
      </w:r>
    </w:p>
    <w:p w:rsidR="00F533A9" w:rsidRPr="00364364" w:rsidRDefault="00F533A9" w:rsidP="00364364">
      <w:pPr>
        <w:ind w:firstLine="720"/>
      </w:pPr>
      <w:r w:rsidRPr="00364364">
        <w:t xml:space="preserve">  </w:t>
      </w:r>
    </w:p>
    <w:p w:rsidR="00F533A9" w:rsidRPr="00364364" w:rsidRDefault="00F533A9" w:rsidP="00364364">
      <w:pPr>
        <w:ind w:firstLine="720"/>
      </w:pPr>
      <w:r w:rsidRPr="00364364">
        <w:t xml:space="preserve">The </w:t>
      </w:r>
      <w:r w:rsidR="00A97DDB">
        <w:t xml:space="preserve">Area </w:t>
      </w:r>
      <w:r w:rsidRPr="00364364">
        <w:t xml:space="preserve">Boilers NESHAP fulfills the requirements of section 112 of the Clean Air Act (CAA), which requires </w:t>
      </w:r>
      <w:r w:rsidR="000A5FDD">
        <w:t>the United States Environmental Protection Agency (</w:t>
      </w:r>
      <w:r w:rsidRPr="00364364">
        <w:t>EPA</w:t>
      </w:r>
      <w:r w:rsidR="000A5FDD">
        <w:t>)</w:t>
      </w:r>
      <w:r w:rsidRPr="00364364">
        <w:t xml:space="preserve"> to promulgate national emission standards for industrial, commercial, and institutional boilers.</w:t>
      </w:r>
    </w:p>
    <w:p w:rsidR="00F533A9" w:rsidRDefault="00F533A9" w:rsidP="00364364"/>
    <w:p w:rsidR="00F533A9" w:rsidRPr="00364364" w:rsidRDefault="00F533A9" w:rsidP="00364364">
      <w:pPr>
        <w:sectPr w:rsidR="00F533A9" w:rsidRPr="00364364" w:rsidSect="00B36B15">
          <w:footerReference w:type="default" r:id="rId8"/>
          <w:type w:val="continuous"/>
          <w:pgSz w:w="12240" w:h="15840"/>
          <w:pgMar w:top="360" w:right="1440" w:bottom="1080" w:left="1440" w:header="1440" w:footer="1080" w:gutter="0"/>
          <w:pgNumType w:start="1"/>
          <w:cols w:space="720"/>
          <w:noEndnote/>
        </w:sectPr>
      </w:pPr>
    </w:p>
    <w:p w:rsidR="00F533A9" w:rsidRDefault="00F533A9" w:rsidP="00364364">
      <w:pPr>
        <w:ind w:firstLine="720"/>
      </w:pPr>
      <w:r w:rsidRPr="00364364">
        <w:lastRenderedPageBreak/>
        <w:t xml:space="preserve">The information collection activities in this information collection request (ICR) include initial and annual stack tests, fuel analyses, operating parameter monitoring, </w:t>
      </w:r>
      <w:r w:rsidR="008D02FE">
        <w:t>biennial</w:t>
      </w:r>
      <w:r w:rsidRPr="00364364">
        <w:t xml:space="preserve"> tune-ups, </w:t>
      </w:r>
      <w:r w:rsidR="008D02FE">
        <w:t xml:space="preserve">one-time </w:t>
      </w:r>
      <w:r w:rsidRPr="00364364">
        <w:t xml:space="preserve">energy audits, one-time and periodic reports, and maintenance of records.  Varying levels of requirements apply to each subcategory.  The </w:t>
      </w:r>
      <w:r w:rsidR="00A97DDB">
        <w:t xml:space="preserve">Area </w:t>
      </w:r>
      <w:r w:rsidRPr="00364364">
        <w:t xml:space="preserve">Boilers NESHAP contains </w:t>
      </w:r>
      <w:r>
        <w:t>six</w:t>
      </w:r>
      <w:r w:rsidRPr="00364364">
        <w:t xml:space="preserve"> subcategories: </w:t>
      </w:r>
      <w:r>
        <w:t>existing boilers designed to burn</w:t>
      </w:r>
      <w:r w:rsidRPr="00364364">
        <w:t xml:space="preserve"> </w:t>
      </w:r>
      <w:r>
        <w:t xml:space="preserve">biomass, coal, or liquid fuels and new boilers designed to burn biomass, coal, or liquid fuels. </w:t>
      </w:r>
      <w:r w:rsidRPr="00364364">
        <w:t>The information collection activities will enable EPA to determine initial and continuous compliance with emission standards for regulated pollutants, and ensure that facilities conduct proper planning, operation, and unit maintenance.</w:t>
      </w:r>
    </w:p>
    <w:p w:rsidR="00F533A9" w:rsidRDefault="00F533A9" w:rsidP="00364364">
      <w:pPr>
        <w:ind w:firstLine="720"/>
      </w:pPr>
    </w:p>
    <w:p w:rsidR="00F533A9" w:rsidRDefault="00F533A9" w:rsidP="00364364">
      <w:pPr>
        <w:ind w:firstLine="720"/>
      </w:pPr>
      <w:r>
        <w:t>Records and reports required by the NESHAP for industrial, commercial, and institutional boilers area sources are necessary to enable EPA to identify sources subject to the standards and to ensure that the standards are being achieved.  Records and reports must be maintained at the facility and/or submitted to EPA.  All reports are sent to the delegated state or local authority.  In the event that there is no such delegated authority, the reports are sent directly to the EPA regional office.</w:t>
      </w:r>
    </w:p>
    <w:p w:rsidR="00F533A9" w:rsidRDefault="00F533A9" w:rsidP="00364364"/>
    <w:p w:rsidR="00F533A9" w:rsidRDefault="00F533A9" w:rsidP="00364364">
      <w:pPr>
        <w:ind w:firstLine="720"/>
      </w:pPr>
      <w:r>
        <w:t xml:space="preserve">Approximately 182,671 existing boilers at 91,336 facilities are anticipated to be subject to the regulation, and an additional 6,779 new boilers at 3,390 facilities are </w:t>
      </w:r>
      <w:r w:rsidRPr="00F870F5">
        <w:t>expected to become subject to the standard in the next three years.  The cost of this ICR will be $</w:t>
      </w:r>
      <w:r w:rsidR="0008383B">
        <w:t>153</w:t>
      </w:r>
      <w:r w:rsidR="00F870F5" w:rsidRPr="00F870F5">
        <w:t xml:space="preserve"> million per year in annualized capital and start-up and O&amp;M costs and </w:t>
      </w:r>
      <w:r w:rsidR="0008383B">
        <w:t>2.7</w:t>
      </w:r>
      <w:r w:rsidR="00F17090">
        <w:t xml:space="preserve"> million </w:t>
      </w:r>
      <w:r w:rsidR="00F870F5" w:rsidRPr="00F870F5">
        <w:t xml:space="preserve">burden hours (rounded) per year during the first three years after the rule is promulgated. </w:t>
      </w:r>
      <w:r w:rsidRPr="00F870F5">
        <w:t xml:space="preserve"> </w:t>
      </w:r>
    </w:p>
    <w:p w:rsidR="00F533A9" w:rsidRDefault="00F533A9" w:rsidP="00AA4EC6"/>
    <w:p w:rsidR="00F533A9" w:rsidRDefault="00F533A9" w:rsidP="00364364">
      <w:pPr>
        <w:ind w:firstLine="720"/>
        <w:rPr>
          <w:bCs/>
        </w:rPr>
      </w:pPr>
      <w:r w:rsidRPr="003674E0">
        <w:t xml:space="preserve">The burden to the “Affected Public” </w:t>
      </w:r>
      <w:r>
        <w:t xml:space="preserve">for each boiler subcategory </w:t>
      </w:r>
      <w:r w:rsidRPr="003674E0">
        <w:t xml:space="preserve">may be found in </w:t>
      </w:r>
      <w:r>
        <w:rPr>
          <w:bCs/>
        </w:rPr>
        <w:t>Tables 1.A-8.C in Attachment A</w:t>
      </w:r>
      <w:r w:rsidRPr="003674E0">
        <w:rPr>
          <w:bCs/>
        </w:rPr>
        <w:t xml:space="preserve">.  The burden to the “Federal Government” is attributed entirely to work performed by federal employees or government contractors; this burden may be found in </w:t>
      </w:r>
      <w:r>
        <w:rPr>
          <w:bCs/>
        </w:rPr>
        <w:t>Tables 9.A-9.C of Attachment B</w:t>
      </w:r>
      <w:r w:rsidRPr="003674E0">
        <w:rPr>
          <w:bCs/>
        </w:rPr>
        <w:t>.</w:t>
      </w:r>
    </w:p>
    <w:p w:rsidR="00F533A9" w:rsidRPr="00B36B15" w:rsidRDefault="00F533A9" w:rsidP="00B36B15">
      <w:pPr>
        <w:rPr>
          <w:color w:val="000000"/>
        </w:rPr>
      </w:pPr>
    </w:p>
    <w:p w:rsidR="00F533A9" w:rsidRDefault="00F533A9">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C64317" w:rsidRDefault="00C64317" w:rsidP="00C643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Section 112(d) of the CAA requires us to establish NESHAP for both major and area sources of hazardous air pollutants (HAP) that are listed for regulation under CAA section 112(c).  A </w:t>
      </w:r>
      <w:r w:rsidRPr="00FA48D3">
        <w:t>major source</w:t>
      </w:r>
      <w:r>
        <w:t xml:space="preserve"> </w:t>
      </w:r>
      <w:r w:rsidRPr="00FA48D3">
        <w:t>emits or has</w:t>
      </w:r>
      <w:r>
        <w:t xml:space="preserve"> </w:t>
      </w:r>
      <w:r w:rsidRPr="00FA48D3">
        <w:t>the potential</w:t>
      </w:r>
      <w:r>
        <w:t xml:space="preserve"> </w:t>
      </w:r>
      <w:r w:rsidRPr="00FA48D3">
        <w:t>to emit 10 tons per year</w:t>
      </w:r>
      <w:r>
        <w:t xml:space="preserve"> (tpy)</w:t>
      </w:r>
      <w:r w:rsidRPr="00FA48D3">
        <w:t xml:space="preserve"> or more of any </w:t>
      </w:r>
      <w:r>
        <w:t>single HAP</w:t>
      </w:r>
      <w:r w:rsidRPr="00FA48D3">
        <w:t xml:space="preserve"> or 25</w:t>
      </w:r>
      <w:r>
        <w:t xml:space="preserve"> </w:t>
      </w:r>
      <w:r w:rsidRPr="00FA48D3">
        <w:t>t</w:t>
      </w:r>
      <w:r>
        <w:t xml:space="preserve">py </w:t>
      </w:r>
      <w:r w:rsidRPr="00FA48D3">
        <w:t xml:space="preserve">or more of any combination of </w:t>
      </w:r>
      <w:r>
        <w:t xml:space="preserve">HAP. </w:t>
      </w:r>
      <w:r w:rsidRPr="00FA48D3">
        <w:t xml:space="preserve"> </w:t>
      </w:r>
      <w:r>
        <w:t xml:space="preserve">An area source is a HAP-emitting stationary source that is not a major source.  Mercury </w:t>
      </w:r>
      <w:r w:rsidR="00F17574">
        <w:t xml:space="preserve">(Hg) </w:t>
      </w:r>
      <w:r>
        <w:t xml:space="preserve">and </w:t>
      </w:r>
      <w:r w:rsidR="00F17574">
        <w:t>polycyclic organic matter (</w:t>
      </w:r>
      <w:r>
        <w:t>POM</w:t>
      </w:r>
      <w:r w:rsidR="00F17574">
        <w:t>)</w:t>
      </w:r>
      <w:r>
        <w:t xml:space="preserve"> are the 112(c</w:t>
      </w:r>
      <w:proofErr w:type="gramStart"/>
      <w:r>
        <w:t>)(</w:t>
      </w:r>
      <w:proofErr w:type="gramEnd"/>
      <w:r>
        <w:t xml:space="preserve">6) pollutants listed for the industrial, commercial and institutional area source boiler source category. </w:t>
      </w:r>
    </w:p>
    <w:p w:rsidR="00145723" w:rsidRDefault="00145723" w:rsidP="00C643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45723" w:rsidRDefault="00C64317" w:rsidP="00C643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CAA section 112(k)(3)(B) calls for EPA to identify a</w:t>
      </w:r>
      <w:r w:rsidRPr="000A56A8">
        <w:t xml:space="preserve">t least 30 </w:t>
      </w:r>
      <w:r>
        <w:t>HAP</w:t>
      </w:r>
      <w:r w:rsidRPr="000A56A8">
        <w:t xml:space="preserve"> </w:t>
      </w:r>
      <w:r>
        <w:t>which, as the result of emissions from area sources,</w:t>
      </w:r>
      <w:r w:rsidRPr="000A56A8">
        <w:t xml:space="preserve"> pose the greatest </w:t>
      </w:r>
      <w:r>
        <w:t xml:space="preserve">threat to public health in the largest number of urban areas.  EPA implemented this provision in 1999 in the Integrated Urban Air Toxics Strategy (Strategy), (64 FR 38715, </w:t>
      </w:r>
      <w:smartTag w:uri="urn:schemas-microsoft-com:office:smarttags" w:element="date">
        <w:smartTagPr>
          <w:attr w:name="Year" w:val="1999"/>
          <w:attr w:name="Day" w:val="19"/>
          <w:attr w:name="Month" w:val="7"/>
        </w:smartTagPr>
        <w:r>
          <w:t>July 19, 1999</w:t>
        </w:r>
      </w:smartTag>
      <w:r>
        <w:t xml:space="preserve">).  Specifically, in the Strategy, EPA identified 30 HAP that pose the greatest potential health threat in urban areas, and these HAP are referred to as the “30 urban HAP.”  CAA section 112(c)(3) requires EPA to list sufficient </w:t>
      </w:r>
      <w:r w:rsidRPr="000A56A8">
        <w:t>categories</w:t>
      </w:r>
      <w:r>
        <w:t xml:space="preserve"> or subcategories of area sources to ensure that area sources</w:t>
      </w:r>
      <w:r w:rsidRPr="000A56A8">
        <w:t xml:space="preserve"> represent</w:t>
      </w:r>
      <w:r>
        <w:t>ing</w:t>
      </w:r>
      <w:r w:rsidRPr="000A56A8">
        <w:t xml:space="preserve"> 90 percent of the emissions of the 30 </w:t>
      </w:r>
      <w:r>
        <w:t xml:space="preserve">urban HAP are subject to regulation.  </w:t>
      </w:r>
    </w:p>
    <w:p w:rsidR="00C64317" w:rsidRDefault="00C64317" w:rsidP="00C643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p>
    <w:p w:rsidR="00C64317" w:rsidRDefault="00C64317" w:rsidP="00C643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Under CAA section 112(d</w:t>
      </w:r>
      <w:proofErr w:type="gramStart"/>
      <w:r>
        <w:t>)(</w:t>
      </w:r>
      <w:proofErr w:type="gramEnd"/>
      <w:r>
        <w:t>5), we may elect to promulgate standards or requirements for area sources "which provide for the use of generally available control technologies or management practices (“GACT”) by such sources to reduce emissions of hazardous air pollutants."  Additional information on GACT is found in the Senate report on the legislation (Senate Report Number 101-228, December 20, 1989), which describes GACT as:</w:t>
      </w:r>
    </w:p>
    <w:p w:rsidR="00C64317" w:rsidRDefault="00C64317" w:rsidP="00C6431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64317" w:rsidRDefault="00C64317" w:rsidP="00C64317">
      <w:pPr>
        <w:ind w:left="720" w:right="720"/>
      </w:pPr>
      <w:r>
        <w:t xml:space="preserve">. . . </w:t>
      </w:r>
      <w:proofErr w:type="gramStart"/>
      <w:r>
        <w:t>methods</w:t>
      </w:r>
      <w:proofErr w:type="gramEnd"/>
      <w:r>
        <w:t>, practices and techniques which are commercially available and appropriate for application by the sources in the category considering economic impacts and the technical capabilities of the firms to operate and maintain the emissions control systems.</w:t>
      </w:r>
    </w:p>
    <w:p w:rsidR="00C64317" w:rsidRDefault="00C64317" w:rsidP="00C64317">
      <w:pPr>
        <w:ind w:left="720" w:right="720"/>
      </w:pPr>
    </w:p>
    <w:p w:rsidR="00C64317" w:rsidRPr="00E66451" w:rsidRDefault="00C64317" w:rsidP="00C64317">
      <w:pPr>
        <w:rPr>
          <w:rFonts w:cs="Courier New"/>
        </w:rPr>
      </w:pPr>
      <w:r>
        <w:tab/>
        <w:t xml:space="preserve">Consistent with the legislative history, we can consider costs and economic impacts in determining GACT, </w:t>
      </w:r>
      <w:r w:rsidRPr="00FE530E">
        <w:t xml:space="preserve">which is particularly important when developing regulations for source categories that </w:t>
      </w:r>
      <w:r>
        <w:t xml:space="preserve">may </w:t>
      </w:r>
      <w:r w:rsidRPr="00FE530E">
        <w:t xml:space="preserve">have </w:t>
      </w:r>
      <w:r>
        <w:t>many sm</w:t>
      </w:r>
      <w:r w:rsidRPr="00E66451">
        <w:rPr>
          <w:rFonts w:cs="Courier New"/>
        </w:rPr>
        <w:t>all businesses</w:t>
      </w:r>
      <w:r>
        <w:rPr>
          <w:rFonts w:cs="Courier New"/>
        </w:rPr>
        <w:t xml:space="preserve"> such as these</w:t>
      </w:r>
      <w:r w:rsidRPr="00E66451">
        <w:rPr>
          <w:rFonts w:cs="Courier New"/>
        </w:rPr>
        <w:t>.</w:t>
      </w:r>
    </w:p>
    <w:p w:rsidR="00C64317" w:rsidRDefault="00C64317">
      <w:pPr>
        <w:pBdr>
          <w:top w:val="single" w:sz="6" w:space="0" w:color="FFFFFF"/>
          <w:left w:val="single" w:sz="6" w:space="0" w:color="FFFFFF"/>
          <w:bottom w:val="single" w:sz="6" w:space="0" w:color="FFFFFF"/>
          <w:right w:val="single" w:sz="6" w:space="0" w:color="FFFFFF"/>
        </w:pBdr>
        <w:ind w:firstLine="720"/>
        <w:rPr>
          <w:color w:val="000000"/>
        </w:rPr>
      </w:pPr>
    </w:p>
    <w:p w:rsidR="00C64317"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Pr="000038B5">
        <w:rPr>
          <w:color w:val="000000"/>
        </w:rPr>
        <w:t>pollutant</w:t>
      </w:r>
      <w:r>
        <w:rPr>
          <w:color w:val="000000"/>
        </w:rPr>
        <w:t xml:space="preserve"> emissions </w:t>
      </w:r>
      <w:r w:rsidRPr="000038B5">
        <w:rPr>
          <w:color w:val="000000"/>
        </w:rPr>
        <w:t xml:space="preserve">from industrial, commercial, and institutional boilers </w:t>
      </w:r>
      <w:r>
        <w:rPr>
          <w:color w:val="000000"/>
        </w:rPr>
        <w:t xml:space="preserve">at </w:t>
      </w:r>
      <w:r w:rsidRPr="000038B5">
        <w:rPr>
          <w:color w:val="000000"/>
        </w:rPr>
        <w:t>area sources</w:t>
      </w:r>
      <w:r>
        <w:rPr>
          <w:color w:val="000000"/>
        </w:rPr>
        <w:t xml:space="preserve"> of HAP cause or contribute to air pollution that may </w:t>
      </w:r>
      <w:r>
        <w:rPr>
          <w:color w:val="000000"/>
        </w:rPr>
        <w:lastRenderedPageBreak/>
        <w:t xml:space="preserve">reasonably be anticipated to endanger public health or welfare.  Therefore, </w:t>
      </w:r>
      <w:r w:rsidRPr="000038B5">
        <w:rPr>
          <w:color w:val="000000"/>
        </w:rPr>
        <w:t>NESHAP</w:t>
      </w:r>
      <w:r>
        <w:rPr>
          <w:color w:val="000000"/>
        </w:rPr>
        <w:t xml:space="preserve"> are being proposed for this source category at 40 CFR </w:t>
      </w:r>
      <w:proofErr w:type="gramStart"/>
      <w:r>
        <w:rPr>
          <w:color w:val="000000"/>
        </w:rPr>
        <w:t>part</w:t>
      </w:r>
      <w:proofErr w:type="gramEnd"/>
      <w:r>
        <w:rPr>
          <w:color w:val="000000"/>
        </w:rPr>
        <w:t xml:space="preserve"> 63,</w:t>
      </w:r>
      <w:r>
        <w:rPr>
          <w:b/>
          <w:bCs/>
          <w:i/>
          <w:iCs/>
          <w:color w:val="000000"/>
        </w:rPr>
        <w:t xml:space="preserve"> </w:t>
      </w:r>
      <w:r>
        <w:rPr>
          <w:color w:val="000000"/>
        </w:rPr>
        <w:t xml:space="preserve">subpart </w:t>
      </w:r>
      <w:r w:rsidRPr="000038B5">
        <w:rPr>
          <w:color w:val="000000"/>
        </w:rPr>
        <w:t>JJJJJJ</w:t>
      </w:r>
      <w:r>
        <w:rPr>
          <w:color w:val="000000"/>
        </w:rPr>
        <w:t>.</w:t>
      </w:r>
      <w:r w:rsidR="00C64317">
        <w:rPr>
          <w:color w:val="000000"/>
        </w:rPr>
        <w:t xml:space="preserve"> The NESHAP will propose MACT floor control for </w:t>
      </w:r>
      <w:r w:rsidR="00F17574">
        <w:rPr>
          <w:color w:val="000000"/>
        </w:rPr>
        <w:t>Hg</w:t>
      </w:r>
      <w:r w:rsidR="00C64317">
        <w:rPr>
          <w:color w:val="000000"/>
        </w:rPr>
        <w:t xml:space="preserve"> from </w:t>
      </w:r>
      <w:r w:rsidR="00531E31">
        <w:rPr>
          <w:color w:val="000000"/>
        </w:rPr>
        <w:t>existing</w:t>
      </w:r>
      <w:r w:rsidR="00BD154B">
        <w:rPr>
          <w:color w:val="000000"/>
        </w:rPr>
        <w:t xml:space="preserve"> and new</w:t>
      </w:r>
      <w:r w:rsidR="00531E31">
        <w:rPr>
          <w:color w:val="000000"/>
        </w:rPr>
        <w:t xml:space="preserve"> </w:t>
      </w:r>
      <w:r w:rsidR="00C64317">
        <w:rPr>
          <w:color w:val="000000"/>
        </w:rPr>
        <w:t xml:space="preserve">coal-fired boilers and </w:t>
      </w:r>
      <w:r w:rsidR="00BD154B">
        <w:rPr>
          <w:color w:val="000000"/>
        </w:rPr>
        <w:t>carbon monoxide (</w:t>
      </w:r>
      <w:r w:rsidR="00C64317">
        <w:rPr>
          <w:color w:val="000000"/>
        </w:rPr>
        <w:t>CO</w:t>
      </w:r>
      <w:r w:rsidR="00BD154B">
        <w:rPr>
          <w:color w:val="000000"/>
        </w:rPr>
        <w:t>)</w:t>
      </w:r>
      <w:r w:rsidR="00C64317">
        <w:rPr>
          <w:color w:val="000000"/>
        </w:rPr>
        <w:t xml:space="preserve"> MACT floo</w:t>
      </w:r>
      <w:r w:rsidR="002A13E3">
        <w:rPr>
          <w:color w:val="000000"/>
        </w:rPr>
        <w:t xml:space="preserve">r control, as a surrogate to POM, </w:t>
      </w:r>
      <w:r w:rsidR="00C64317">
        <w:rPr>
          <w:color w:val="000000"/>
        </w:rPr>
        <w:t xml:space="preserve">for </w:t>
      </w:r>
      <w:r w:rsidR="00531E31">
        <w:rPr>
          <w:color w:val="000000"/>
        </w:rPr>
        <w:t>existing</w:t>
      </w:r>
      <w:r w:rsidR="00BD154B">
        <w:rPr>
          <w:color w:val="000000"/>
        </w:rPr>
        <w:t xml:space="preserve"> and new</w:t>
      </w:r>
      <w:r w:rsidR="00531E31">
        <w:rPr>
          <w:color w:val="000000"/>
        </w:rPr>
        <w:t xml:space="preserve"> </w:t>
      </w:r>
      <w:r w:rsidR="00C64317">
        <w:rPr>
          <w:color w:val="000000"/>
        </w:rPr>
        <w:t xml:space="preserve">coal, biomass, and liquid fuel boilers. In addition, this NESHAP will propose GACT level of control for filterable particulate matter </w:t>
      </w:r>
      <w:r w:rsidR="00F17574">
        <w:rPr>
          <w:color w:val="000000"/>
        </w:rPr>
        <w:t xml:space="preserve">(PM) </w:t>
      </w:r>
      <w:r w:rsidR="00C64317">
        <w:rPr>
          <w:color w:val="000000"/>
        </w:rPr>
        <w:t>from new units, based on the technologies identified in the New Source Performance Standards for Industrial, Commercial, and Institutional Boilers and Process Heaters (40 CFR part 60, subparts Db, Dc).</w:t>
      </w:r>
    </w:p>
    <w:p w:rsidR="00F533A9" w:rsidRDefault="00F533A9" w:rsidP="000038B5">
      <w:pPr>
        <w:pBdr>
          <w:top w:val="single" w:sz="6" w:space="0" w:color="FFFFFF"/>
          <w:left w:val="single" w:sz="6" w:space="0" w:color="FFFFFF"/>
          <w:bottom w:val="single" w:sz="6" w:space="0" w:color="FFFFFF"/>
          <w:right w:val="single" w:sz="6" w:space="0" w:color="FFFFFF"/>
        </w:pBdr>
        <w:rPr>
          <w:color w:val="000000"/>
        </w:rPr>
      </w:pPr>
    </w:p>
    <w:p w:rsidR="00F533A9" w:rsidRDefault="00F533A9" w:rsidP="000038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F533A9" w:rsidRDefault="00F533A9" w:rsidP="000038B5">
      <w:pPr>
        <w:pBdr>
          <w:top w:val="single" w:sz="6" w:space="0" w:color="FFFFFF"/>
          <w:left w:val="single" w:sz="6" w:space="0" w:color="FFFFFF"/>
          <w:bottom w:val="single" w:sz="6" w:space="0" w:color="FFFFFF"/>
          <w:right w:val="single" w:sz="6" w:space="0" w:color="FFFFFF"/>
        </w:pBdr>
        <w:ind w:firstLine="720"/>
        <w:rPr>
          <w:color w:val="000000"/>
        </w:rPr>
      </w:pPr>
    </w:p>
    <w:p w:rsidR="00F533A9" w:rsidRDefault="00F533A9" w:rsidP="000038B5">
      <w:pPr>
        <w:widowControl/>
        <w:ind w:firstLine="720"/>
      </w:pPr>
      <w:r w:rsidRPr="002231BF">
        <w:t xml:space="preserve">The information will be used by EPA to: (1) Identify new, modified, reconstructed and existing sources subject to the Area </w:t>
      </w:r>
      <w:r w:rsidR="00FC2C1A">
        <w:t xml:space="preserve">Boilers </w:t>
      </w:r>
      <w:r w:rsidRPr="002231BF">
        <w:t xml:space="preserve">NESHAP; (2) ensure that the Area </w:t>
      </w:r>
      <w:r w:rsidR="00FC2C1A">
        <w:t>Boilers</w:t>
      </w:r>
      <w:r w:rsidRPr="002231BF">
        <w:t xml:space="preserve"> NESHAP is being properly applied; (3) ensure that the Boilers Area Source NESHAP is being complied with; (4) ensure, on a continuous basis, that the operating parameters established during the initial performance test are not exceeded.</w:t>
      </w:r>
    </w:p>
    <w:p w:rsidR="00F533A9" w:rsidRPr="002231BF" w:rsidRDefault="00F533A9" w:rsidP="000038B5">
      <w:pPr>
        <w:widowControl/>
        <w:ind w:firstLine="720"/>
      </w:pPr>
    </w:p>
    <w:p w:rsidR="00F533A9" w:rsidRDefault="00F533A9" w:rsidP="00C64317">
      <w:pPr>
        <w:pBdr>
          <w:top w:val="single" w:sz="6" w:space="0" w:color="FFFFFF"/>
          <w:left w:val="single" w:sz="6" w:space="0" w:color="FFFFFF"/>
          <w:bottom w:val="single" w:sz="6" w:space="0" w:color="FFFFFF"/>
          <w:right w:val="single" w:sz="6" w:space="0" w:color="FFFFFF"/>
        </w:pBdr>
        <w:ind w:firstLine="720"/>
      </w:pPr>
      <w:r w:rsidRPr="002231BF">
        <w:t>In addition, records and reports are necessary to enable EPA to identify facilities that may not be in compliance with the</w:t>
      </w:r>
      <w:r>
        <w:t xml:space="preserve"> Area </w:t>
      </w:r>
      <w:r w:rsidRPr="002231BF">
        <w:t>Boilers NESHAP.  Based on reported information, EPA will decide which facilities should be inspected and what records or units should be inspected at the facilities.  The records that facilities maintain will indicate to EPA whether facility personnel are properly operating and maintaining the boiler and associated control equipment.</w:t>
      </w:r>
    </w:p>
    <w:p w:rsidR="00F533A9" w:rsidRDefault="00F533A9" w:rsidP="000038B5">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rPr>
          <w:b/>
          <w:bCs/>
          <w:color w:val="000000"/>
        </w:rPr>
      </w:pPr>
      <w:r>
        <w:rPr>
          <w:b/>
          <w:bCs/>
          <w:color w:val="000000"/>
        </w:rPr>
        <w:t>3.  Nonduplication, Consultations, and Other Collection Criteria</w:t>
      </w:r>
    </w:p>
    <w:p w:rsidR="00F533A9" w:rsidRDefault="00F533A9">
      <w:pPr>
        <w:pBdr>
          <w:top w:val="single" w:sz="6" w:space="0" w:color="FFFFFF"/>
          <w:left w:val="single" w:sz="6" w:space="0" w:color="FFFFFF"/>
          <w:bottom w:val="single" w:sz="6" w:space="0" w:color="FFFFFF"/>
          <w:right w:val="single" w:sz="6" w:space="0" w:color="FFFFFF"/>
        </w:pBdr>
        <w:rPr>
          <w:b/>
          <w:bCs/>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proofErr w:type="gramStart"/>
      <w:r>
        <w:rPr>
          <w:color w:val="000000"/>
        </w:rPr>
        <w:t>part</w:t>
      </w:r>
      <w:proofErr w:type="gramEnd"/>
      <w:r>
        <w:rPr>
          <w:color w:val="000000"/>
        </w:rPr>
        <w:t xml:space="preserve"> 63, subpart JJJJJJ).</w:t>
      </w:r>
      <w:r w:rsidR="00531E31">
        <w:rPr>
          <w:color w:val="000000"/>
        </w:rPr>
        <w:t xml:space="preserve"> </w:t>
      </w:r>
    </w:p>
    <w:p w:rsidR="00F533A9" w:rsidRDefault="00F533A9">
      <w:pPr>
        <w:pBdr>
          <w:top w:val="single" w:sz="6" w:space="0" w:color="FFFFFF"/>
          <w:left w:val="single" w:sz="6" w:space="0" w:color="FFFFFF"/>
          <w:bottom w:val="single" w:sz="6" w:space="0" w:color="FFFFFF"/>
          <w:right w:val="single" w:sz="6" w:space="0" w:color="FFFFFF"/>
        </w:pBdr>
        <w:rPr>
          <w:b/>
          <w:bCs/>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Nonduplication</w:t>
      </w:r>
      <w:proofErr w:type="gramEnd"/>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sidRPr="002231BF">
        <w:t xml:space="preserve">A public notice of this collection was provided in the notice of </w:t>
      </w:r>
      <w:r w:rsidR="00EF6B7D">
        <w:t>proposed</w:t>
      </w:r>
      <w:r w:rsidR="00EF6B7D" w:rsidRPr="002231BF">
        <w:t xml:space="preserve"> </w:t>
      </w:r>
      <w:r w:rsidRPr="002231BF">
        <w:t>rulemaking for the Boilers Area Source NESHAP</w:t>
      </w:r>
      <w:r w:rsidR="00F17090">
        <w:t>.</w:t>
      </w:r>
      <w:r w:rsidRPr="002231BF">
        <w:t xml:space="preserve"> </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F533A9" w:rsidRDefault="00F533A9" w:rsidP="00123889">
      <w:pPr>
        <w:pBdr>
          <w:top w:val="single" w:sz="6" w:space="0" w:color="FFFFFF"/>
          <w:left w:val="single" w:sz="6" w:space="0" w:color="FFFFFF"/>
          <w:bottom w:val="single" w:sz="6" w:space="0" w:color="FFFFFF"/>
          <w:right w:val="single" w:sz="6" w:space="0" w:color="FFFFFF"/>
        </w:pBdr>
        <w:rPr>
          <w:color w:val="000000"/>
        </w:rPr>
      </w:pPr>
    </w:p>
    <w:p w:rsidR="00F533A9" w:rsidRDefault="00F533A9" w:rsidP="000038B5">
      <w:pPr>
        <w:widowControl/>
        <w:ind w:firstLine="720"/>
      </w:pPr>
      <w:r w:rsidRPr="002231BF">
        <w:lastRenderedPageBreak/>
        <w:t xml:space="preserve">The burden estimates were </w:t>
      </w:r>
      <w:r>
        <w:t xml:space="preserve">based on </w:t>
      </w:r>
      <w:r w:rsidRPr="002231BF">
        <w:t xml:space="preserve">Agency experience from similar notification, recordkeeping, and reporting requirements from the </w:t>
      </w:r>
      <w:r>
        <w:t xml:space="preserve">vacated </w:t>
      </w:r>
      <w:r w:rsidRPr="002231BF">
        <w:t xml:space="preserve">NESHAP for Boilers and Process Heaters </w:t>
      </w:r>
      <w:r w:rsidR="00FC2C1A">
        <w:t>at</w:t>
      </w:r>
      <w:r w:rsidRPr="002231BF">
        <w:t xml:space="preserve"> Major Sources (</w:t>
      </w:r>
      <w:r w:rsidR="00F50781" w:rsidRPr="002231BF">
        <w:rPr>
          <w:lang w:val="en-CA"/>
        </w:rPr>
        <w:fldChar w:fldCharType="begin"/>
      </w:r>
      <w:r w:rsidRPr="002231BF">
        <w:rPr>
          <w:lang w:val="en-CA"/>
        </w:rPr>
        <w:instrText xml:space="preserve"> SEQ CHAPTER \h \r 1</w:instrText>
      </w:r>
      <w:r w:rsidR="00F50781" w:rsidRPr="002231BF">
        <w:rPr>
          <w:lang w:val="en-CA"/>
        </w:rPr>
        <w:fldChar w:fldCharType="end"/>
      </w:r>
      <w:r w:rsidRPr="002231BF">
        <w:t xml:space="preserve">40 CFR PART 63, SUBPART DDDDD). Additionally, some limited recordkeeping and reporting requirements were made using estimates from other area source rules that sought to reduce recordkeeping and reporting burden. </w:t>
      </w:r>
    </w:p>
    <w:p w:rsidR="00F533A9" w:rsidRPr="002231BF" w:rsidRDefault="00F533A9" w:rsidP="000038B5">
      <w:pPr>
        <w:widowControl/>
        <w:ind w:firstLine="720"/>
      </w:pPr>
    </w:p>
    <w:p w:rsidR="00F533A9" w:rsidRDefault="00F533A9" w:rsidP="000038B5">
      <w:pPr>
        <w:widowControl/>
        <w:ind w:firstLine="720"/>
      </w:pPr>
      <w:r w:rsidRPr="002231BF">
        <w:t xml:space="preserve">The estimated </w:t>
      </w:r>
      <w:proofErr w:type="gramStart"/>
      <w:r w:rsidRPr="002231BF">
        <w:t xml:space="preserve">burden for reports related </w:t>
      </w:r>
      <w:r w:rsidR="00FC2C1A">
        <w:t xml:space="preserve">to </w:t>
      </w:r>
      <w:r w:rsidRPr="002231BF">
        <w:t>energy audits were</w:t>
      </w:r>
      <w:proofErr w:type="gramEnd"/>
      <w:r w:rsidRPr="002231BF">
        <w:t xml:space="preserve"> estimated based on comparable audit programs that exist for smaller commercial and institutional entities at two utilities: Pacific Gas and Electric, and CenterPoint Energy.  These audits were estimated to consist of a brief pre-screening activity over the phone, a 2 to 4 hour site visit for the audit, and an additional 2 to 4 hours for follow-up calculations and preparation of a report summarizing recommendations and findings from the audit.</w:t>
      </w:r>
      <w:r>
        <w:t xml:space="preserve"> </w:t>
      </w:r>
      <w:r w:rsidR="00FC2C1A">
        <w:t xml:space="preserve"> </w:t>
      </w:r>
      <w:r>
        <w:t>Since energy audits at industrial facilities tend to require additional time to assess</w:t>
      </w:r>
      <w:r w:rsidR="00FC2C1A">
        <w:t>,</w:t>
      </w:r>
      <w:r>
        <w:t xml:space="preserve"> an alternative estimate for industrial energy audits was provided by Port Townsend Paper Corporation during the 2009 Small Business Regulatory </w:t>
      </w:r>
      <w:r w:rsidR="00FC2C1A">
        <w:t xml:space="preserve">Enforcement </w:t>
      </w:r>
      <w:r>
        <w:t>Fairness Act (SBREFA) panel for this proposed rulemaking.</w:t>
      </w:r>
    </w:p>
    <w:p w:rsidR="00F533A9" w:rsidRPr="002231BF" w:rsidRDefault="00F533A9" w:rsidP="000038B5">
      <w:pPr>
        <w:widowControl/>
        <w:ind w:firstLine="720"/>
      </w:pPr>
    </w:p>
    <w:p w:rsidR="00F533A9" w:rsidRDefault="00F533A9" w:rsidP="000038B5">
      <w:pPr>
        <w:ind w:firstLine="720"/>
        <w:rPr>
          <w:color w:val="000000"/>
        </w:rPr>
      </w:pPr>
      <w:r w:rsidRPr="002231BF">
        <w:t xml:space="preserve">The public </w:t>
      </w:r>
      <w:r w:rsidR="0008383B">
        <w:t>was also</w:t>
      </w:r>
      <w:r>
        <w:t xml:space="preserve"> </w:t>
      </w:r>
      <w:r w:rsidRPr="002231BF">
        <w:t xml:space="preserve">provided </w:t>
      </w:r>
      <w:r>
        <w:t xml:space="preserve">with </w:t>
      </w:r>
      <w:r w:rsidRPr="002231BF">
        <w:t xml:space="preserve">the opportunity to review and comment on the proposed </w:t>
      </w:r>
      <w:r w:rsidR="00A97DDB">
        <w:t xml:space="preserve">Area </w:t>
      </w:r>
      <w:r w:rsidRPr="002231BF">
        <w:t>Boilers NESHAP and this ICR during the comment period.</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rsidP="00483186">
      <w:pPr>
        <w:widowControl/>
        <w:ind w:firstLine="720"/>
      </w:pPr>
      <w:r w:rsidRPr="002231BF">
        <w:t xml:space="preserve">For sources with applicable emission limits, the </w:t>
      </w:r>
      <w:r w:rsidR="00A97DDB">
        <w:t xml:space="preserve">Area </w:t>
      </w:r>
      <w:r w:rsidRPr="002231BF">
        <w:t xml:space="preserve">Boilers NESHAP provides the option of demonstrating compliance through initial and periodic fuel analysis (for sources that burn fuels with pollutant contents lower than the emission limits) or through initial and annual stack testing.  If a source can demonstrate that the fuel(s) burned in the boiler has a pollutant content that is less than the applicable emission limit, then the </w:t>
      </w:r>
      <w:r w:rsidR="00A97DDB">
        <w:t xml:space="preserve">Area </w:t>
      </w:r>
      <w:r w:rsidRPr="002231BF">
        <w:t xml:space="preserve">Boilers NESHAP requires that the source conduct initial fuel analyses, periodic fuel analysis, and initial and semiannual reporting. </w:t>
      </w:r>
    </w:p>
    <w:p w:rsidR="00F533A9" w:rsidRPr="002231BF" w:rsidRDefault="00F533A9" w:rsidP="00483186">
      <w:pPr>
        <w:widowControl/>
        <w:ind w:firstLine="720"/>
      </w:pPr>
    </w:p>
    <w:p w:rsidR="00F533A9" w:rsidRDefault="00A97DDB" w:rsidP="00483186">
      <w:pPr>
        <w:widowControl/>
        <w:ind w:firstLine="720"/>
      </w:pPr>
      <w:r>
        <w:t xml:space="preserve">For </w:t>
      </w:r>
      <w:r w:rsidR="0008383B">
        <w:t xml:space="preserve">new and existing </w:t>
      </w:r>
      <w:r>
        <w:t xml:space="preserve">small sources </w:t>
      </w:r>
      <w:r w:rsidR="00FC2C1A">
        <w:t>(i.e., boilers with heat input capacity of less than 10 million Btu per hour (</w:t>
      </w:r>
      <w:proofErr w:type="spellStart"/>
      <w:r w:rsidR="00FC2C1A">
        <w:t>mmBtu</w:t>
      </w:r>
      <w:proofErr w:type="spellEnd"/>
      <w:r w:rsidR="00FC2C1A">
        <w:t>/h)</w:t>
      </w:r>
      <w:r w:rsidR="0008383B">
        <w:t>), existing large biomass units, and existing large liquid units</w:t>
      </w:r>
      <w:r w:rsidR="00FC2C1A">
        <w:t xml:space="preserve"> </w:t>
      </w:r>
      <w:r>
        <w:t xml:space="preserve">that </w:t>
      </w:r>
      <w:r w:rsidR="00F533A9" w:rsidRPr="002231BF">
        <w:t xml:space="preserve">demonstrate compliance through </w:t>
      </w:r>
      <w:r w:rsidR="000178BA">
        <w:t>bie</w:t>
      </w:r>
      <w:r w:rsidR="000178BA" w:rsidRPr="002231BF">
        <w:t>nnial</w:t>
      </w:r>
      <w:r w:rsidR="00F533A9" w:rsidRPr="002231BF">
        <w:t xml:space="preserve"> tune-ups, the </w:t>
      </w:r>
      <w:r>
        <w:t xml:space="preserve">Area </w:t>
      </w:r>
      <w:r w:rsidR="00F533A9" w:rsidRPr="002231BF">
        <w:t xml:space="preserve">Boilers NESHAP requires that the source </w:t>
      </w:r>
      <w:r>
        <w:t>maintain records of the tune-up including notes on the inspection of the burner, flame patter</w:t>
      </w:r>
      <w:r w:rsidR="00F17574">
        <w:t>n</w:t>
      </w:r>
      <w:r>
        <w:t>, air-to-fuel ratio,</w:t>
      </w:r>
      <w:r w:rsidR="00E5160B">
        <w:t xml:space="preserve"> and the measured CO concentrations before and after the tune-up</w:t>
      </w:r>
      <w:r>
        <w:t xml:space="preserve"> </w:t>
      </w:r>
      <w:r w:rsidR="00E5160B">
        <w:t xml:space="preserve">was completed. </w:t>
      </w:r>
      <w:r w:rsidR="00F17574">
        <w:t xml:space="preserve"> </w:t>
      </w:r>
      <w:r w:rsidR="00E5160B">
        <w:t xml:space="preserve">These reports do not need to be submitted unless requested by the Administrator.  </w:t>
      </w:r>
      <w:r w:rsidR="00F533A9" w:rsidRPr="002231BF">
        <w:t xml:space="preserve">The EPA chose a </w:t>
      </w:r>
      <w:r w:rsidR="00E5160B">
        <w:t>biennial recordkeeping fr</w:t>
      </w:r>
      <w:r w:rsidR="00F533A9" w:rsidRPr="002231BF">
        <w:t xml:space="preserve">equency to be consistent with the frequency of each tune-up. </w:t>
      </w:r>
    </w:p>
    <w:p w:rsidR="00F870F5" w:rsidRDefault="00F870F5" w:rsidP="00E5160B">
      <w:pPr>
        <w:widowControl/>
        <w:ind w:firstLine="720"/>
      </w:pPr>
    </w:p>
    <w:p w:rsidR="00F533A9" w:rsidRDefault="00F870F5" w:rsidP="00F870F5">
      <w:pPr>
        <w:widowControl/>
      </w:pPr>
      <w:r>
        <w:tab/>
      </w:r>
      <w:r w:rsidR="00F533A9" w:rsidRPr="002231BF">
        <w:t xml:space="preserve">If a source demonstrates compliance with an emission limit, during the initial stack tests (for </w:t>
      </w:r>
      <w:r w:rsidR="00F17574">
        <w:t xml:space="preserve">PM </w:t>
      </w:r>
      <w:r w:rsidR="00F533A9" w:rsidRPr="002231BF">
        <w:t xml:space="preserve">or </w:t>
      </w:r>
      <w:r w:rsidR="00F17574">
        <w:t>Hg</w:t>
      </w:r>
      <w:r w:rsidR="00F533A9" w:rsidRPr="002231BF">
        <w:t xml:space="preserve">), or performance tests (for </w:t>
      </w:r>
      <w:r w:rsidR="00F17574">
        <w:t>CO</w:t>
      </w:r>
      <w:r w:rsidR="00F533A9" w:rsidRPr="002231BF">
        <w:t xml:space="preserve">), the owner or operator must establish maximum or minimum values for each applicable operating parameter.  Thereafter, the owner or operator must, in some cases, conduct annual tests for </w:t>
      </w:r>
      <w:r w:rsidR="00F533A9">
        <w:t>filterable PM</w:t>
      </w:r>
      <w:r w:rsidR="00F17090">
        <w:t xml:space="preserve">, </w:t>
      </w:r>
      <w:r w:rsidR="00F533A9">
        <w:t>Hg</w:t>
      </w:r>
      <w:r w:rsidR="00F17090">
        <w:t>, and CO</w:t>
      </w:r>
      <w:r w:rsidR="00F533A9" w:rsidRPr="002231BF">
        <w:t xml:space="preserve"> </w:t>
      </w:r>
      <w:r w:rsidR="00F17574">
        <w:t xml:space="preserve">and </w:t>
      </w:r>
      <w:r w:rsidR="00F533A9" w:rsidRPr="002231BF">
        <w:t>must always continuously monitor the operating parameters</w:t>
      </w:r>
      <w:r w:rsidR="00F533A9">
        <w:t xml:space="preserve"> of control devices installed to reduce emissions of PM, CO, or </w:t>
      </w:r>
      <w:r w:rsidR="00F17574">
        <w:t>Hg</w:t>
      </w:r>
      <w:r w:rsidR="00F533A9" w:rsidRPr="002231BF">
        <w:t>.</w:t>
      </w:r>
      <w:r w:rsidR="00F533A9" w:rsidRPr="002231BF">
        <w:rPr>
          <w:b/>
          <w:bCs/>
        </w:rPr>
        <w:t xml:space="preserve"> </w:t>
      </w:r>
      <w:r w:rsidR="00F533A9" w:rsidRPr="002231BF">
        <w:t xml:space="preserve">The activities associated with setting these site-specific operating limits include </w:t>
      </w:r>
      <w:r w:rsidR="00F533A9" w:rsidRPr="002231BF">
        <w:lastRenderedPageBreak/>
        <w:t xml:space="preserve">monitoring of the parameters during the performance test, reviewing and averaging the monitoring data, and, if necessary, calculating average values for fuel pollutant content. </w:t>
      </w:r>
      <w:r w:rsidR="00F17574">
        <w:t xml:space="preserve"> </w:t>
      </w:r>
      <w:r w:rsidR="00F533A9" w:rsidRPr="002231BF">
        <w:t xml:space="preserve">The annual performance testing, where applicable, will ensure, on an ongoing basis, that the air pollution control device is operating properly and its performance has not deteriorated. </w:t>
      </w:r>
      <w:r w:rsidR="00F17574">
        <w:t xml:space="preserve"> </w:t>
      </w:r>
      <w:r w:rsidR="00F533A9" w:rsidRPr="002231BF">
        <w:t xml:space="preserve">Sources that demonstrate compliance through performance testing must continuously monitor </w:t>
      </w:r>
      <w:r w:rsidR="00F533A9">
        <w:t xml:space="preserve">control device </w:t>
      </w:r>
      <w:r w:rsidR="00F533A9" w:rsidRPr="002231BF">
        <w:t>operating parameters and conduct periodic fuel analyses, and complete initial and semiannual reporting.  The EPA chose the frequency of these activities to provide an adequate margin of assurance that affected facilities will not operate for extended periods in violation of the regulations.</w:t>
      </w:r>
    </w:p>
    <w:p w:rsidR="00F533A9" w:rsidRPr="002231BF" w:rsidRDefault="00F533A9" w:rsidP="00483186">
      <w:pPr>
        <w:widowControl/>
        <w:ind w:firstLine="720"/>
      </w:pPr>
    </w:p>
    <w:p w:rsidR="00F533A9" w:rsidRDefault="00F533A9" w:rsidP="00483186">
      <w:pPr>
        <w:pBdr>
          <w:top w:val="single" w:sz="6" w:space="0" w:color="FFFFFF"/>
          <w:left w:val="single" w:sz="6" w:space="0" w:color="FFFFFF"/>
          <w:bottom w:val="single" w:sz="6" w:space="0" w:color="FFFFFF"/>
          <w:right w:val="single" w:sz="6" w:space="0" w:color="FFFFFF"/>
        </w:pBdr>
        <w:ind w:firstLine="720"/>
        <w:rPr>
          <w:color w:val="000000"/>
        </w:rPr>
      </w:pPr>
      <w:r w:rsidRPr="002231BF">
        <w:t xml:space="preserve">Although continuous monitoring of operating parameters cannot provide a direct measurement of emissions, it is less expensive than continuous emission monitoring systems (CEMS) and the collected information can ensure that the boiler and associated air pollution control equipment are operated properly on a continuous basis. </w:t>
      </w:r>
      <w:r w:rsidR="00F17574">
        <w:t xml:space="preserve"> </w:t>
      </w:r>
      <w:r w:rsidRPr="002231BF">
        <w:t xml:space="preserve">This information assures EPA and the public that the reductions envisioned by the </w:t>
      </w:r>
      <w:r w:rsidR="00F17574">
        <w:t xml:space="preserve">Area </w:t>
      </w:r>
      <w:r w:rsidRPr="002231BF">
        <w:t>Boilers NESHAP are being achieved.  Less frequent monitoring would not ensure continuous compliance. The semiannual reporting requirement allows submission of required information and data on established operating parameters so that any potential problems can be identified in a timely fashion.</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reporting or recordkeeping requirements do not violate any of the </w:t>
      </w:r>
      <w:proofErr w:type="gramStart"/>
      <w:r>
        <w:rPr>
          <w:color w:val="000000"/>
        </w:rPr>
        <w:t>regulations  promulgated</w:t>
      </w:r>
      <w:proofErr w:type="gramEnd"/>
      <w:r>
        <w:rPr>
          <w:color w:val="000000"/>
        </w:rPr>
        <w:t xml:space="preserve"> by OMB under 5 CFR part 1320, section 1320.5.</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Pr="00483186" w:rsidRDefault="00F533A9" w:rsidP="00483186">
      <w:pPr>
        <w:pBdr>
          <w:top w:val="single" w:sz="6" w:space="0" w:color="FFFFFF"/>
          <w:left w:val="single" w:sz="6" w:space="0" w:color="FFFFFF"/>
          <w:bottom w:val="single" w:sz="6" w:space="0" w:color="FFFFFF"/>
          <w:right w:val="single" w:sz="6" w:space="0" w:color="FFFFFF"/>
        </w:pBdr>
        <w:ind w:firstLine="720"/>
        <w:rPr>
          <w:color w:val="000000"/>
        </w:rPr>
      </w:pPr>
      <w:r w:rsidRPr="00483186">
        <w:rPr>
          <w:color w:val="000000"/>
        </w:rPr>
        <w:t xml:space="preserve">The </w:t>
      </w:r>
      <w:r w:rsidR="00F17574">
        <w:rPr>
          <w:color w:val="000000"/>
        </w:rPr>
        <w:t xml:space="preserve">Area </w:t>
      </w:r>
      <w:r w:rsidRPr="00483186">
        <w:rPr>
          <w:color w:val="000000"/>
        </w:rPr>
        <w:t xml:space="preserve">Boilers NESHAP requires the respondents to maintain all records, including reports and notifications for at least five years.  This is consistent with the General Provisions as applied to the standards.  EPA believes that the five year records retention requirement is consistent </w:t>
      </w:r>
      <w:r w:rsidR="00F17574">
        <w:rPr>
          <w:color w:val="000000"/>
        </w:rPr>
        <w:t xml:space="preserve">with </w:t>
      </w:r>
      <w:r w:rsidRPr="00483186">
        <w:rPr>
          <w:color w:val="000000"/>
        </w:rPr>
        <w:t xml:space="preserve">the Part 70 permit program and the five year statute of limitations on which the permit program is based.  The retention of records for five years allows EPA to establish the compliance history of a source, </w:t>
      </w:r>
      <w:r w:rsidR="00CC4398">
        <w:rPr>
          <w:color w:val="000000"/>
        </w:rPr>
        <w:t xml:space="preserve">to identify </w:t>
      </w:r>
      <w:r w:rsidRPr="00483186">
        <w:rPr>
          <w:color w:val="000000"/>
        </w:rPr>
        <w:t>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r>
        <w:rPr>
          <w:color w:val="000000"/>
        </w:rPr>
        <w:t>.</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reporting or recordkeeping requirements in the standard do not include sensitive questions.</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F533A9" w:rsidRDefault="00F533A9">
      <w:pPr>
        <w:pBdr>
          <w:top w:val="single" w:sz="6" w:space="0" w:color="FFFFFF"/>
          <w:left w:val="single" w:sz="6" w:space="0" w:color="FFFFFF"/>
          <w:bottom w:val="single" w:sz="6" w:space="0" w:color="FFFFFF"/>
          <w:right w:val="single" w:sz="6" w:space="0" w:color="FFFFFF"/>
        </w:pBdr>
        <w:rPr>
          <w:b/>
          <w:bCs/>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/NAICS Codes</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Pr="002231BF">
        <w:t>owners or operators of new or existing industrial, commercial, or institutional boilers</w:t>
      </w:r>
      <w:r>
        <w:rPr>
          <w:color w:val="000000"/>
        </w:rPr>
        <w:t xml:space="preserve">.  </w:t>
      </w:r>
      <w:r w:rsidRPr="002231BF">
        <w:t xml:space="preserve">The </w:t>
      </w:r>
      <w:r w:rsidR="00CC4398">
        <w:t xml:space="preserve">Area </w:t>
      </w:r>
      <w:r w:rsidRPr="002231BF">
        <w:t xml:space="preserve">Boilers NESHAP affects any industry, </w:t>
      </w:r>
      <w:r>
        <w:t xml:space="preserve">federal, </w:t>
      </w:r>
      <w:r w:rsidRPr="002231BF">
        <w:t>state, local, or tribal government, or any institution (e.g., university) using a boiler as defined in the regulation.</w:t>
      </w:r>
      <w:r>
        <w:t xml:space="preserve">  </w:t>
      </w:r>
      <w:r w:rsidRPr="002231BF">
        <w:t>This includes, but is not limited to, the following North American Industry Classification System (NAICS)</w:t>
      </w:r>
      <w:r>
        <w:t xml:space="preserve"> codes</w:t>
      </w:r>
      <w:r w:rsidRPr="002231BF">
        <w:t xml:space="preserve"> listed in Table 1 below.</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870F5" w:rsidRPr="006D4BAC" w:rsidRDefault="00F870F5" w:rsidP="00F870F5">
      <w:pPr>
        <w:pStyle w:val="Caption"/>
        <w:keepNext/>
        <w:rPr>
          <w:rFonts w:ascii="Times New Roman" w:hAnsi="Times New Roman"/>
          <w:sz w:val="24"/>
          <w:szCs w:val="24"/>
        </w:rPr>
      </w:pPr>
      <w:r w:rsidRPr="006D4BAC">
        <w:rPr>
          <w:rFonts w:ascii="Times New Roman" w:hAnsi="Times New Roman"/>
          <w:sz w:val="24"/>
          <w:szCs w:val="24"/>
        </w:rPr>
        <w:t xml:space="preserve">Table </w:t>
      </w:r>
      <w:r w:rsidR="00F50781" w:rsidRPr="006D4BAC">
        <w:rPr>
          <w:rFonts w:ascii="Times New Roman" w:hAnsi="Times New Roman"/>
          <w:sz w:val="24"/>
          <w:szCs w:val="24"/>
        </w:rPr>
        <w:fldChar w:fldCharType="begin"/>
      </w:r>
      <w:r w:rsidRPr="006D4BAC">
        <w:rPr>
          <w:rFonts w:ascii="Times New Roman" w:hAnsi="Times New Roman"/>
          <w:sz w:val="24"/>
          <w:szCs w:val="24"/>
        </w:rPr>
        <w:instrText xml:space="preserve"> SEQ Table \* ARABIC </w:instrText>
      </w:r>
      <w:r w:rsidR="00F50781" w:rsidRPr="006D4BAC">
        <w:rPr>
          <w:rFonts w:ascii="Times New Roman" w:hAnsi="Times New Roman"/>
          <w:sz w:val="24"/>
          <w:szCs w:val="24"/>
        </w:rPr>
        <w:fldChar w:fldCharType="separate"/>
      </w:r>
      <w:r w:rsidR="005A1B50">
        <w:rPr>
          <w:rFonts w:ascii="Times New Roman" w:hAnsi="Times New Roman"/>
          <w:noProof/>
          <w:sz w:val="24"/>
          <w:szCs w:val="24"/>
        </w:rPr>
        <w:t>1</w:t>
      </w:r>
      <w:r w:rsidR="00F50781" w:rsidRPr="006D4BAC">
        <w:rPr>
          <w:rFonts w:ascii="Times New Roman" w:hAnsi="Times New Roman"/>
          <w:sz w:val="24"/>
          <w:szCs w:val="24"/>
        </w:rPr>
        <w:fldChar w:fldCharType="end"/>
      </w:r>
      <w:r>
        <w:rPr>
          <w:rFonts w:ascii="Times New Roman" w:hAnsi="Times New Roman"/>
          <w:sz w:val="24"/>
          <w:szCs w:val="24"/>
        </w:rPr>
        <w:t xml:space="preserve">: </w:t>
      </w:r>
      <w:r w:rsidR="00693FAB">
        <w:rPr>
          <w:rFonts w:ascii="Times New Roman" w:hAnsi="Times New Roman"/>
          <w:sz w:val="24"/>
          <w:szCs w:val="24"/>
        </w:rPr>
        <w:t xml:space="preserve"> </w:t>
      </w:r>
      <w:r>
        <w:rPr>
          <w:rFonts w:ascii="Times New Roman" w:hAnsi="Times New Roman"/>
          <w:sz w:val="24"/>
          <w:szCs w:val="24"/>
        </w:rPr>
        <w:t xml:space="preserve">NAICS </w:t>
      </w:r>
      <w:r w:rsidRPr="006D4BAC">
        <w:rPr>
          <w:rFonts w:ascii="Times New Roman" w:hAnsi="Times New Roman"/>
          <w:sz w:val="24"/>
          <w:szCs w:val="24"/>
        </w:rPr>
        <w:t>Categories for Various Affected Sources</w:t>
      </w:r>
    </w:p>
    <w:tbl>
      <w:tblPr>
        <w:tblW w:w="0" w:type="auto"/>
        <w:tblInd w:w="112" w:type="dxa"/>
        <w:tblLayout w:type="fixed"/>
        <w:tblCellMar>
          <w:left w:w="112" w:type="dxa"/>
          <w:right w:w="112" w:type="dxa"/>
        </w:tblCellMar>
        <w:tblLook w:val="0000"/>
      </w:tblPr>
      <w:tblGrid>
        <w:gridCol w:w="3120"/>
        <w:gridCol w:w="3120"/>
        <w:gridCol w:w="3120"/>
      </w:tblGrid>
      <w:tr w:rsidR="00F870F5" w:rsidTr="00E90DBD">
        <w:tc>
          <w:tcPr>
            <w:tcW w:w="3120" w:type="dxa"/>
            <w:tcBorders>
              <w:top w:val="single" w:sz="7" w:space="0" w:color="000000"/>
              <w:left w:val="single" w:sz="7" w:space="0" w:color="000000"/>
              <w:bottom w:val="single" w:sz="6" w:space="0" w:color="FFFFFF"/>
              <w:right w:val="single" w:sz="6" w:space="0" w:color="FFFFFF"/>
            </w:tcBorders>
          </w:tcPr>
          <w:p w:rsidR="00F870F5" w:rsidRDefault="00F870F5" w:rsidP="00E90DBD">
            <w:pPr>
              <w:spacing w:line="120" w:lineRule="exact"/>
              <w:jc w:val="center"/>
              <w:rPr>
                <w:color w:val="000000"/>
              </w:rPr>
            </w:pPr>
          </w:p>
          <w:p w:rsidR="00F870F5" w:rsidRDefault="00F870F5" w:rsidP="00E90DB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w:t>
            </w:r>
          </w:p>
        </w:tc>
        <w:tc>
          <w:tcPr>
            <w:tcW w:w="3120" w:type="dxa"/>
            <w:tcBorders>
              <w:top w:val="single" w:sz="7" w:space="0" w:color="000000"/>
              <w:left w:val="single" w:sz="7" w:space="0" w:color="000000"/>
              <w:bottom w:val="single" w:sz="6" w:space="0" w:color="FFFFFF"/>
              <w:right w:val="single" w:sz="6" w:space="0" w:color="FFFFFF"/>
            </w:tcBorders>
          </w:tcPr>
          <w:p w:rsidR="00F870F5" w:rsidRDefault="00F870F5" w:rsidP="00E90DBD">
            <w:pPr>
              <w:spacing w:line="120" w:lineRule="exact"/>
              <w:jc w:val="center"/>
              <w:rPr>
                <w:b/>
                <w:bCs/>
                <w:color w:val="000000"/>
              </w:rPr>
            </w:pPr>
          </w:p>
          <w:p w:rsidR="00F870F5" w:rsidRDefault="00F870F5" w:rsidP="00E90DB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c>
          <w:tcPr>
            <w:tcW w:w="3120" w:type="dxa"/>
            <w:tcBorders>
              <w:top w:val="single" w:sz="7" w:space="0" w:color="000000"/>
              <w:left w:val="single" w:sz="7" w:space="0" w:color="000000"/>
              <w:bottom w:val="single" w:sz="6" w:space="0" w:color="FFFFFF"/>
              <w:right w:val="single" w:sz="7" w:space="0" w:color="000000"/>
            </w:tcBorders>
          </w:tcPr>
          <w:p w:rsidR="00F870F5" w:rsidRDefault="00F870F5" w:rsidP="00E90DBD">
            <w:pPr>
              <w:spacing w:line="120" w:lineRule="exact"/>
              <w:jc w:val="center"/>
              <w:rPr>
                <w:b/>
                <w:bCs/>
                <w:color w:val="000000"/>
              </w:rPr>
            </w:pPr>
          </w:p>
          <w:p w:rsidR="00F870F5" w:rsidRDefault="00F870F5" w:rsidP="00E90DBD">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F870F5" w:rsidTr="00E90DBD">
        <w:tc>
          <w:tcPr>
            <w:tcW w:w="3120" w:type="dxa"/>
            <w:vMerge w:val="restart"/>
            <w:tcBorders>
              <w:top w:val="single" w:sz="7" w:space="0" w:color="000000"/>
              <w:left w:val="single" w:sz="7" w:space="0" w:color="000000"/>
              <w:right w:val="single" w:sz="6" w:space="0" w:color="FFFFFF"/>
            </w:tcBorders>
          </w:tcPr>
          <w:p w:rsidR="00F870F5" w:rsidRPr="002231BF" w:rsidRDefault="00F870F5" w:rsidP="00E90DBD">
            <w:pPr>
              <w:keepNext/>
              <w:numPr>
                <w:ilvl w:val="12"/>
                <w:numId w:val="0"/>
              </w:numPr>
              <w:tabs>
                <w:tab w:val="left" w:pos="0"/>
                <w:tab w:val="left" w:pos="720"/>
                <w:tab w:val="left" w:pos="1440"/>
                <w:tab w:val="left" w:pos="2160"/>
                <w:tab w:val="left" w:pos="2880"/>
              </w:tabs>
              <w:spacing w:after="28"/>
            </w:pPr>
            <w:r w:rsidRPr="002231BF">
              <w:t>Any area source facility using a boiler as defined in the proposed rule.</w:t>
            </w:r>
          </w:p>
          <w:p w:rsidR="00F870F5" w:rsidRPr="002231BF" w:rsidRDefault="00F870F5" w:rsidP="00E90DBD">
            <w:pPr>
              <w:keepNext/>
              <w:numPr>
                <w:ilvl w:val="12"/>
                <w:numId w:val="0"/>
              </w:numPr>
              <w:tabs>
                <w:tab w:val="left" w:pos="0"/>
                <w:tab w:val="left" w:pos="720"/>
                <w:tab w:val="left" w:pos="1440"/>
                <w:tab w:val="left" w:pos="2160"/>
                <w:tab w:val="left" w:pos="2880"/>
              </w:tabs>
              <w:spacing w:before="105"/>
              <w:ind w:left="432"/>
            </w:pPr>
            <w:r w:rsidRPr="002231BF">
              <w:t xml:space="preserve"> </w:t>
            </w:r>
          </w:p>
        </w:tc>
        <w:tc>
          <w:tcPr>
            <w:tcW w:w="3120" w:type="dxa"/>
            <w:tcBorders>
              <w:top w:val="single" w:sz="7" w:space="0" w:color="000000"/>
              <w:left w:val="single" w:sz="7" w:space="0" w:color="000000"/>
              <w:bottom w:val="single" w:sz="6" w:space="0" w:color="FFFFFF"/>
              <w:right w:val="single" w:sz="6" w:space="0" w:color="FFFFFF"/>
            </w:tcBorders>
          </w:tcPr>
          <w:p w:rsidR="00F870F5" w:rsidRPr="002231BF" w:rsidRDefault="00F870F5" w:rsidP="00E90DBD">
            <w:pPr>
              <w:keepNext/>
              <w:numPr>
                <w:ilvl w:val="12"/>
                <w:numId w:val="0"/>
              </w:numPr>
              <w:tabs>
                <w:tab w:val="left" w:pos="0"/>
                <w:tab w:val="left" w:pos="720"/>
              </w:tabs>
              <w:spacing w:after="28"/>
            </w:pPr>
            <w:r w:rsidRPr="002231BF">
              <w:t>321</w:t>
            </w:r>
          </w:p>
        </w:tc>
        <w:tc>
          <w:tcPr>
            <w:tcW w:w="3120" w:type="dxa"/>
            <w:tcBorders>
              <w:top w:val="single" w:sz="7" w:space="0" w:color="000000"/>
              <w:left w:val="single" w:sz="7" w:space="0" w:color="000000"/>
              <w:bottom w:val="single" w:sz="6" w:space="0" w:color="FFFFFF"/>
              <w:right w:val="single" w:sz="7" w:space="0" w:color="000000"/>
            </w:tcBorders>
          </w:tcPr>
          <w:p w:rsidR="00F870F5" w:rsidRPr="002231BF" w:rsidRDefault="00F870F5" w:rsidP="00E90DBD">
            <w:pPr>
              <w:keepNext/>
              <w:numPr>
                <w:ilvl w:val="12"/>
                <w:numId w:val="0"/>
              </w:numPr>
              <w:tabs>
                <w:tab w:val="left" w:pos="0"/>
                <w:tab w:val="left" w:pos="720"/>
                <w:tab w:val="left" w:pos="1440"/>
                <w:tab w:val="left" w:pos="2160"/>
                <w:tab w:val="left" w:pos="2880"/>
                <w:tab w:val="left" w:pos="3600"/>
                <w:tab w:val="left" w:pos="4320"/>
              </w:tabs>
              <w:spacing w:before="105" w:after="28"/>
            </w:pPr>
            <w:r w:rsidRPr="002231BF">
              <w:t>Wood product manufacturing.</w:t>
            </w:r>
          </w:p>
        </w:tc>
      </w:tr>
      <w:tr w:rsidR="00F870F5" w:rsidTr="00E90DBD">
        <w:tc>
          <w:tcPr>
            <w:tcW w:w="3120" w:type="dxa"/>
            <w:vMerge/>
            <w:tcBorders>
              <w:left w:val="single" w:sz="7" w:space="0" w:color="000000"/>
              <w:right w:val="single" w:sz="6" w:space="0" w:color="FFFFFF"/>
            </w:tcBorders>
          </w:tcPr>
          <w:p w:rsidR="00F870F5" w:rsidRPr="002231BF" w:rsidRDefault="00F870F5" w:rsidP="00E90DBD">
            <w:pPr>
              <w:keepNext/>
              <w:numPr>
                <w:ilvl w:val="12"/>
                <w:numId w:val="0"/>
              </w:numPr>
              <w:tabs>
                <w:tab w:val="left" w:pos="0"/>
                <w:tab w:val="left" w:pos="720"/>
                <w:tab w:val="left" w:pos="1440"/>
                <w:tab w:val="left" w:pos="2160"/>
                <w:tab w:val="left" w:pos="2880"/>
              </w:tabs>
              <w:spacing w:before="105"/>
              <w:ind w:left="432"/>
            </w:pPr>
          </w:p>
        </w:tc>
        <w:tc>
          <w:tcPr>
            <w:tcW w:w="3120" w:type="dxa"/>
            <w:tcBorders>
              <w:top w:val="single" w:sz="7" w:space="0" w:color="000000"/>
              <w:left w:val="single" w:sz="7" w:space="0" w:color="000000"/>
              <w:bottom w:val="single" w:sz="6" w:space="0" w:color="FFFFFF"/>
              <w:right w:val="single" w:sz="6" w:space="0" w:color="FFFFFF"/>
            </w:tcBorders>
          </w:tcPr>
          <w:p w:rsidR="00F870F5" w:rsidRPr="002231BF" w:rsidRDefault="00F870F5" w:rsidP="00E90DBD">
            <w:pPr>
              <w:keepNext/>
              <w:numPr>
                <w:ilvl w:val="12"/>
                <w:numId w:val="0"/>
              </w:numPr>
              <w:tabs>
                <w:tab w:val="left" w:pos="0"/>
                <w:tab w:val="left" w:pos="720"/>
              </w:tabs>
              <w:spacing w:before="105"/>
            </w:pPr>
            <w:r w:rsidRPr="002231BF">
              <w:t>311</w:t>
            </w:r>
          </w:p>
        </w:tc>
        <w:tc>
          <w:tcPr>
            <w:tcW w:w="3120" w:type="dxa"/>
            <w:tcBorders>
              <w:top w:val="single" w:sz="7" w:space="0" w:color="000000"/>
              <w:left w:val="single" w:sz="7" w:space="0" w:color="000000"/>
              <w:bottom w:val="single" w:sz="6" w:space="0" w:color="FFFFFF"/>
              <w:right w:val="single" w:sz="7" w:space="0" w:color="000000"/>
            </w:tcBorders>
          </w:tcPr>
          <w:p w:rsidR="00F870F5" w:rsidRPr="002231BF" w:rsidRDefault="00F870F5" w:rsidP="00E90DBD">
            <w:pPr>
              <w:keepNext/>
              <w:numPr>
                <w:ilvl w:val="12"/>
                <w:numId w:val="0"/>
              </w:numPr>
              <w:tabs>
                <w:tab w:val="left" w:pos="0"/>
                <w:tab w:val="left" w:pos="720"/>
                <w:tab w:val="left" w:pos="1440"/>
                <w:tab w:val="left" w:pos="2160"/>
                <w:tab w:val="left" w:pos="2880"/>
                <w:tab w:val="left" w:pos="3600"/>
                <w:tab w:val="left" w:pos="4320"/>
              </w:tabs>
              <w:spacing w:before="105" w:after="28"/>
            </w:pPr>
            <w:r w:rsidRPr="002231BF">
              <w:t>Food manufacturing.</w:t>
            </w:r>
          </w:p>
        </w:tc>
      </w:tr>
      <w:tr w:rsidR="00F870F5" w:rsidTr="00E90DBD">
        <w:tc>
          <w:tcPr>
            <w:tcW w:w="3120" w:type="dxa"/>
            <w:vMerge/>
            <w:tcBorders>
              <w:left w:val="single" w:sz="7" w:space="0" w:color="000000"/>
              <w:right w:val="single" w:sz="6" w:space="0" w:color="FFFFFF"/>
            </w:tcBorders>
          </w:tcPr>
          <w:p w:rsidR="00F870F5" w:rsidRPr="002231BF" w:rsidRDefault="00F870F5" w:rsidP="00E90DBD">
            <w:pPr>
              <w:keepNext/>
              <w:numPr>
                <w:ilvl w:val="12"/>
                <w:numId w:val="0"/>
              </w:numPr>
              <w:tabs>
                <w:tab w:val="left" w:pos="0"/>
                <w:tab w:val="left" w:pos="720"/>
                <w:tab w:val="left" w:pos="1440"/>
                <w:tab w:val="left" w:pos="2160"/>
                <w:tab w:val="left" w:pos="2880"/>
              </w:tabs>
              <w:spacing w:before="105"/>
            </w:pPr>
          </w:p>
        </w:tc>
        <w:tc>
          <w:tcPr>
            <w:tcW w:w="3120" w:type="dxa"/>
            <w:tcBorders>
              <w:top w:val="single" w:sz="7" w:space="0" w:color="000000"/>
              <w:left w:val="single" w:sz="7" w:space="0" w:color="000000"/>
              <w:bottom w:val="single" w:sz="6" w:space="0" w:color="FFFFFF"/>
              <w:right w:val="single" w:sz="6" w:space="0" w:color="FFFFFF"/>
            </w:tcBorders>
          </w:tcPr>
          <w:p w:rsidR="00F870F5" w:rsidRPr="002231BF" w:rsidRDefault="00F870F5" w:rsidP="00E90DBD">
            <w:pPr>
              <w:keepNext/>
              <w:numPr>
                <w:ilvl w:val="12"/>
                <w:numId w:val="0"/>
              </w:numPr>
              <w:tabs>
                <w:tab w:val="left" w:pos="0"/>
                <w:tab w:val="left" w:pos="720"/>
              </w:tabs>
              <w:spacing w:before="105"/>
            </w:pPr>
            <w:r w:rsidRPr="002231BF">
              <w:t>327</w:t>
            </w:r>
          </w:p>
        </w:tc>
        <w:tc>
          <w:tcPr>
            <w:tcW w:w="3120" w:type="dxa"/>
            <w:tcBorders>
              <w:top w:val="single" w:sz="7" w:space="0" w:color="000000"/>
              <w:left w:val="single" w:sz="7" w:space="0" w:color="000000"/>
              <w:bottom w:val="single" w:sz="6" w:space="0" w:color="FFFFFF"/>
              <w:right w:val="single" w:sz="7" w:space="0" w:color="000000"/>
            </w:tcBorders>
          </w:tcPr>
          <w:p w:rsidR="00F870F5" w:rsidRPr="002231BF" w:rsidRDefault="00F870F5" w:rsidP="00E90DBD">
            <w:pPr>
              <w:keepNext/>
              <w:numPr>
                <w:ilvl w:val="12"/>
                <w:numId w:val="0"/>
              </w:numPr>
              <w:tabs>
                <w:tab w:val="left" w:pos="0"/>
                <w:tab w:val="left" w:pos="720"/>
                <w:tab w:val="left" w:pos="1440"/>
                <w:tab w:val="left" w:pos="2160"/>
                <w:tab w:val="left" w:pos="2880"/>
                <w:tab w:val="left" w:pos="3600"/>
                <w:tab w:val="left" w:pos="4320"/>
              </w:tabs>
              <w:spacing w:before="105" w:after="28"/>
            </w:pPr>
            <w:r w:rsidRPr="002231BF">
              <w:t>Nonmetallic mineral product manufacturing.</w:t>
            </w:r>
          </w:p>
        </w:tc>
      </w:tr>
      <w:tr w:rsidR="00F870F5" w:rsidTr="00E90DBD">
        <w:tc>
          <w:tcPr>
            <w:tcW w:w="3120" w:type="dxa"/>
            <w:vMerge/>
            <w:tcBorders>
              <w:left w:val="single" w:sz="7" w:space="0" w:color="000000"/>
              <w:right w:val="single" w:sz="6" w:space="0" w:color="FFFFFF"/>
            </w:tcBorders>
          </w:tcPr>
          <w:p w:rsidR="00F870F5" w:rsidRPr="002231BF" w:rsidRDefault="00F870F5" w:rsidP="00E90DBD">
            <w:pPr>
              <w:keepNext/>
              <w:numPr>
                <w:ilvl w:val="12"/>
                <w:numId w:val="0"/>
              </w:numPr>
              <w:tabs>
                <w:tab w:val="left" w:pos="0"/>
                <w:tab w:val="left" w:pos="720"/>
                <w:tab w:val="left" w:pos="1440"/>
                <w:tab w:val="left" w:pos="2160"/>
                <w:tab w:val="left" w:pos="2880"/>
              </w:tabs>
              <w:spacing w:before="105"/>
            </w:pPr>
          </w:p>
        </w:tc>
        <w:tc>
          <w:tcPr>
            <w:tcW w:w="3120" w:type="dxa"/>
            <w:tcBorders>
              <w:top w:val="single" w:sz="7" w:space="0" w:color="000000"/>
              <w:left w:val="single" w:sz="7" w:space="0" w:color="000000"/>
              <w:bottom w:val="single" w:sz="6" w:space="0" w:color="FFFFFF"/>
              <w:right w:val="single" w:sz="6" w:space="0" w:color="FFFFFF"/>
            </w:tcBorders>
          </w:tcPr>
          <w:p w:rsidR="00F870F5" w:rsidRPr="002231BF" w:rsidRDefault="00F870F5" w:rsidP="00E90DBD">
            <w:pPr>
              <w:keepNext/>
              <w:numPr>
                <w:ilvl w:val="12"/>
                <w:numId w:val="0"/>
              </w:numPr>
              <w:tabs>
                <w:tab w:val="left" w:pos="0"/>
                <w:tab w:val="left" w:pos="720"/>
              </w:tabs>
              <w:spacing w:before="105"/>
            </w:pPr>
            <w:r w:rsidRPr="002231BF">
              <w:t>422</w:t>
            </w:r>
          </w:p>
        </w:tc>
        <w:tc>
          <w:tcPr>
            <w:tcW w:w="3120" w:type="dxa"/>
            <w:tcBorders>
              <w:top w:val="single" w:sz="7" w:space="0" w:color="000000"/>
              <w:left w:val="single" w:sz="7" w:space="0" w:color="000000"/>
              <w:bottom w:val="single" w:sz="6" w:space="0" w:color="FFFFFF"/>
              <w:right w:val="single" w:sz="7" w:space="0" w:color="000000"/>
            </w:tcBorders>
          </w:tcPr>
          <w:p w:rsidR="00F870F5" w:rsidRPr="002231BF" w:rsidRDefault="00F870F5" w:rsidP="00E90DBD">
            <w:pPr>
              <w:keepNext/>
              <w:numPr>
                <w:ilvl w:val="12"/>
                <w:numId w:val="0"/>
              </w:numPr>
              <w:tabs>
                <w:tab w:val="left" w:pos="0"/>
                <w:tab w:val="left" w:pos="720"/>
                <w:tab w:val="left" w:pos="1440"/>
                <w:tab w:val="left" w:pos="2160"/>
                <w:tab w:val="left" w:pos="2880"/>
                <w:tab w:val="left" w:pos="3600"/>
                <w:tab w:val="left" w:pos="4320"/>
              </w:tabs>
              <w:spacing w:before="105" w:after="28"/>
            </w:pPr>
            <w:r w:rsidRPr="002231BF">
              <w:t>Wholesale trade, nondurable goods.</w:t>
            </w:r>
          </w:p>
        </w:tc>
      </w:tr>
      <w:tr w:rsidR="00F870F5" w:rsidTr="00E90DBD">
        <w:tc>
          <w:tcPr>
            <w:tcW w:w="3120" w:type="dxa"/>
            <w:vMerge/>
            <w:tcBorders>
              <w:left w:val="single" w:sz="7" w:space="0" w:color="000000"/>
              <w:right w:val="single" w:sz="6" w:space="0" w:color="FFFFFF"/>
            </w:tcBorders>
          </w:tcPr>
          <w:p w:rsidR="00F870F5" w:rsidRPr="002231BF" w:rsidRDefault="00F870F5" w:rsidP="00E90DBD">
            <w:pPr>
              <w:keepNext/>
              <w:numPr>
                <w:ilvl w:val="12"/>
                <w:numId w:val="0"/>
              </w:numPr>
              <w:tabs>
                <w:tab w:val="left" w:pos="0"/>
                <w:tab w:val="left" w:pos="720"/>
                <w:tab w:val="left" w:pos="1440"/>
                <w:tab w:val="left" w:pos="2160"/>
                <w:tab w:val="left" w:pos="2880"/>
              </w:tabs>
              <w:spacing w:before="105"/>
            </w:pPr>
          </w:p>
        </w:tc>
        <w:tc>
          <w:tcPr>
            <w:tcW w:w="3120" w:type="dxa"/>
            <w:tcBorders>
              <w:top w:val="single" w:sz="7" w:space="0" w:color="000000"/>
              <w:left w:val="single" w:sz="7" w:space="0" w:color="000000"/>
              <w:bottom w:val="single" w:sz="7" w:space="0" w:color="000000"/>
              <w:right w:val="single" w:sz="6" w:space="0" w:color="FFFFFF"/>
            </w:tcBorders>
          </w:tcPr>
          <w:p w:rsidR="00F870F5" w:rsidRPr="002231BF" w:rsidRDefault="00F870F5" w:rsidP="00E90DBD">
            <w:pPr>
              <w:keepNext/>
              <w:numPr>
                <w:ilvl w:val="12"/>
                <w:numId w:val="0"/>
              </w:numPr>
              <w:tabs>
                <w:tab w:val="left" w:pos="0"/>
                <w:tab w:val="left" w:pos="720"/>
              </w:tabs>
              <w:spacing w:before="105"/>
            </w:pPr>
            <w:r w:rsidRPr="002231BF">
              <w:t>531</w:t>
            </w:r>
          </w:p>
        </w:tc>
        <w:tc>
          <w:tcPr>
            <w:tcW w:w="3120" w:type="dxa"/>
            <w:tcBorders>
              <w:top w:val="single" w:sz="7" w:space="0" w:color="000000"/>
              <w:left w:val="single" w:sz="7" w:space="0" w:color="000000"/>
              <w:bottom w:val="single" w:sz="7" w:space="0" w:color="000000"/>
              <w:right w:val="single" w:sz="7" w:space="0" w:color="000000"/>
            </w:tcBorders>
          </w:tcPr>
          <w:p w:rsidR="00F870F5" w:rsidRPr="002231BF" w:rsidRDefault="00F870F5" w:rsidP="00E90DBD">
            <w:pPr>
              <w:keepNext/>
              <w:numPr>
                <w:ilvl w:val="12"/>
                <w:numId w:val="0"/>
              </w:numPr>
              <w:tabs>
                <w:tab w:val="left" w:pos="0"/>
                <w:tab w:val="left" w:pos="720"/>
                <w:tab w:val="left" w:pos="1440"/>
                <w:tab w:val="left" w:pos="2160"/>
                <w:tab w:val="left" w:pos="2880"/>
                <w:tab w:val="left" w:pos="3600"/>
                <w:tab w:val="left" w:pos="4320"/>
              </w:tabs>
              <w:spacing w:before="105" w:after="28"/>
            </w:pPr>
            <w:r w:rsidRPr="002231BF">
              <w:t xml:space="preserve">Real estate. </w:t>
            </w:r>
          </w:p>
        </w:tc>
      </w:tr>
      <w:tr w:rsidR="00F870F5" w:rsidRPr="00504E6E" w:rsidTr="00E90DBD">
        <w:tc>
          <w:tcPr>
            <w:tcW w:w="3120" w:type="dxa"/>
            <w:vMerge/>
            <w:tcBorders>
              <w:left w:val="single" w:sz="7" w:space="0" w:color="000000"/>
              <w:right w:val="single" w:sz="6" w:space="0" w:color="FFFFFF"/>
            </w:tcBorders>
          </w:tcPr>
          <w:p w:rsidR="00F870F5" w:rsidRPr="002231BF" w:rsidRDefault="00F870F5" w:rsidP="00E90DBD">
            <w:pPr>
              <w:keepNext/>
              <w:numPr>
                <w:ilvl w:val="12"/>
                <w:numId w:val="0"/>
              </w:numPr>
              <w:tabs>
                <w:tab w:val="left" w:pos="0"/>
                <w:tab w:val="left" w:pos="720"/>
                <w:tab w:val="left" w:pos="1440"/>
                <w:tab w:val="left" w:pos="2160"/>
                <w:tab w:val="left" w:pos="2880"/>
              </w:tabs>
              <w:spacing w:before="105"/>
            </w:pPr>
          </w:p>
        </w:tc>
        <w:tc>
          <w:tcPr>
            <w:tcW w:w="3120" w:type="dxa"/>
            <w:tcBorders>
              <w:top w:val="single" w:sz="7" w:space="0" w:color="000000"/>
              <w:left w:val="single" w:sz="7" w:space="0" w:color="000000"/>
              <w:bottom w:val="single" w:sz="7" w:space="0" w:color="000000"/>
              <w:right w:val="single" w:sz="6" w:space="0" w:color="FFFFFF"/>
            </w:tcBorders>
          </w:tcPr>
          <w:p w:rsidR="00F870F5" w:rsidRPr="002231BF" w:rsidRDefault="00F870F5" w:rsidP="00E90DBD">
            <w:pPr>
              <w:keepNext/>
              <w:numPr>
                <w:ilvl w:val="12"/>
                <w:numId w:val="0"/>
              </w:numPr>
              <w:tabs>
                <w:tab w:val="left" w:pos="0"/>
                <w:tab w:val="left" w:pos="720"/>
              </w:tabs>
              <w:spacing w:before="105"/>
            </w:pPr>
            <w:r w:rsidRPr="002231BF">
              <w:t>611</w:t>
            </w:r>
          </w:p>
        </w:tc>
        <w:tc>
          <w:tcPr>
            <w:tcW w:w="3120" w:type="dxa"/>
            <w:tcBorders>
              <w:top w:val="single" w:sz="7" w:space="0" w:color="000000"/>
              <w:left w:val="single" w:sz="7" w:space="0" w:color="000000"/>
              <w:bottom w:val="single" w:sz="7" w:space="0" w:color="000000"/>
              <w:right w:val="single" w:sz="7" w:space="0" w:color="000000"/>
            </w:tcBorders>
          </w:tcPr>
          <w:p w:rsidR="00F870F5" w:rsidRPr="002231BF" w:rsidRDefault="00F870F5" w:rsidP="00E90DBD">
            <w:pPr>
              <w:keepNext/>
              <w:numPr>
                <w:ilvl w:val="12"/>
                <w:numId w:val="0"/>
              </w:numPr>
              <w:tabs>
                <w:tab w:val="left" w:pos="0"/>
                <w:tab w:val="left" w:pos="720"/>
                <w:tab w:val="left" w:pos="1440"/>
                <w:tab w:val="left" w:pos="2160"/>
                <w:tab w:val="left" w:pos="2880"/>
                <w:tab w:val="left" w:pos="3600"/>
                <w:tab w:val="left" w:pos="4320"/>
              </w:tabs>
              <w:spacing w:before="105" w:after="28"/>
            </w:pPr>
            <w:r w:rsidRPr="002231BF">
              <w:t>Educational services.</w:t>
            </w:r>
          </w:p>
        </w:tc>
      </w:tr>
      <w:tr w:rsidR="00F870F5" w:rsidRPr="00504E6E" w:rsidTr="00E90DBD">
        <w:tc>
          <w:tcPr>
            <w:tcW w:w="3120" w:type="dxa"/>
            <w:vMerge/>
            <w:tcBorders>
              <w:left w:val="single" w:sz="7" w:space="0" w:color="000000"/>
              <w:right w:val="single" w:sz="6" w:space="0" w:color="FFFFFF"/>
            </w:tcBorders>
          </w:tcPr>
          <w:p w:rsidR="00F870F5" w:rsidRPr="002231BF" w:rsidRDefault="00F870F5" w:rsidP="00E90DBD">
            <w:pPr>
              <w:keepNext/>
              <w:numPr>
                <w:ilvl w:val="12"/>
                <w:numId w:val="0"/>
              </w:numPr>
              <w:tabs>
                <w:tab w:val="left" w:pos="0"/>
                <w:tab w:val="left" w:pos="720"/>
                <w:tab w:val="left" w:pos="1440"/>
                <w:tab w:val="left" w:pos="2160"/>
                <w:tab w:val="left" w:pos="2880"/>
              </w:tabs>
              <w:spacing w:before="105"/>
            </w:pPr>
          </w:p>
        </w:tc>
        <w:tc>
          <w:tcPr>
            <w:tcW w:w="3120" w:type="dxa"/>
            <w:tcBorders>
              <w:top w:val="single" w:sz="7" w:space="0" w:color="000000"/>
              <w:left w:val="single" w:sz="7" w:space="0" w:color="000000"/>
              <w:bottom w:val="single" w:sz="7" w:space="0" w:color="000000"/>
              <w:right w:val="single" w:sz="6" w:space="0" w:color="FFFFFF"/>
            </w:tcBorders>
          </w:tcPr>
          <w:p w:rsidR="00F870F5" w:rsidRPr="002231BF" w:rsidRDefault="00F870F5" w:rsidP="00E90DBD">
            <w:pPr>
              <w:keepNext/>
              <w:numPr>
                <w:ilvl w:val="12"/>
                <w:numId w:val="0"/>
              </w:numPr>
              <w:tabs>
                <w:tab w:val="left" w:pos="0"/>
                <w:tab w:val="left" w:pos="720"/>
              </w:tabs>
              <w:spacing w:before="105"/>
            </w:pPr>
            <w:r w:rsidRPr="002231BF">
              <w:t>813</w:t>
            </w:r>
          </w:p>
        </w:tc>
        <w:tc>
          <w:tcPr>
            <w:tcW w:w="3120" w:type="dxa"/>
            <w:tcBorders>
              <w:top w:val="single" w:sz="7" w:space="0" w:color="000000"/>
              <w:left w:val="single" w:sz="7" w:space="0" w:color="000000"/>
              <w:bottom w:val="single" w:sz="7" w:space="0" w:color="000000"/>
              <w:right w:val="single" w:sz="7" w:space="0" w:color="000000"/>
            </w:tcBorders>
          </w:tcPr>
          <w:p w:rsidR="00F870F5" w:rsidRPr="002231BF" w:rsidRDefault="00F870F5" w:rsidP="00E90DBD">
            <w:pPr>
              <w:keepNext/>
              <w:numPr>
                <w:ilvl w:val="12"/>
                <w:numId w:val="0"/>
              </w:numPr>
              <w:tabs>
                <w:tab w:val="left" w:pos="0"/>
                <w:tab w:val="left" w:pos="720"/>
                <w:tab w:val="left" w:pos="1440"/>
                <w:tab w:val="left" w:pos="2160"/>
                <w:tab w:val="left" w:pos="2880"/>
                <w:tab w:val="left" w:pos="3600"/>
                <w:tab w:val="left" w:pos="4320"/>
              </w:tabs>
              <w:spacing w:before="105" w:after="28"/>
            </w:pPr>
            <w:r w:rsidRPr="002231BF">
              <w:t xml:space="preserve">Religious, </w:t>
            </w:r>
            <w:r w:rsidR="000178BA" w:rsidRPr="002231BF">
              <w:t>grant making</w:t>
            </w:r>
            <w:r w:rsidRPr="002231BF">
              <w:t>, civic, professional, and similar organizations.</w:t>
            </w:r>
          </w:p>
        </w:tc>
      </w:tr>
      <w:tr w:rsidR="00F870F5" w:rsidRPr="00504E6E" w:rsidTr="00E90DBD">
        <w:tc>
          <w:tcPr>
            <w:tcW w:w="3120" w:type="dxa"/>
            <w:vMerge/>
            <w:tcBorders>
              <w:left w:val="single" w:sz="7" w:space="0" w:color="000000"/>
              <w:right w:val="single" w:sz="6" w:space="0" w:color="FFFFFF"/>
            </w:tcBorders>
          </w:tcPr>
          <w:p w:rsidR="00F870F5" w:rsidRPr="002231BF" w:rsidRDefault="00F870F5" w:rsidP="00E90DBD">
            <w:pPr>
              <w:numPr>
                <w:ilvl w:val="12"/>
                <w:numId w:val="0"/>
              </w:numPr>
              <w:tabs>
                <w:tab w:val="left" w:pos="0"/>
                <w:tab w:val="left" w:pos="720"/>
                <w:tab w:val="left" w:pos="1440"/>
                <w:tab w:val="left" w:pos="2160"/>
                <w:tab w:val="left" w:pos="2880"/>
              </w:tabs>
              <w:spacing w:before="105" w:after="28"/>
            </w:pPr>
          </w:p>
        </w:tc>
        <w:tc>
          <w:tcPr>
            <w:tcW w:w="3120" w:type="dxa"/>
            <w:tcBorders>
              <w:top w:val="single" w:sz="7" w:space="0" w:color="000000"/>
              <w:left w:val="single" w:sz="7" w:space="0" w:color="000000"/>
              <w:bottom w:val="single" w:sz="7" w:space="0" w:color="000000"/>
              <w:right w:val="single" w:sz="6" w:space="0" w:color="FFFFFF"/>
            </w:tcBorders>
          </w:tcPr>
          <w:p w:rsidR="00F870F5" w:rsidRPr="002231BF" w:rsidRDefault="00F870F5" w:rsidP="00E90DBD">
            <w:pPr>
              <w:numPr>
                <w:ilvl w:val="12"/>
                <w:numId w:val="0"/>
              </w:numPr>
              <w:tabs>
                <w:tab w:val="left" w:pos="0"/>
                <w:tab w:val="left" w:pos="720"/>
              </w:tabs>
              <w:spacing w:before="105" w:after="28"/>
            </w:pPr>
            <w:r w:rsidRPr="002231BF">
              <w:t>92</w:t>
            </w:r>
          </w:p>
        </w:tc>
        <w:tc>
          <w:tcPr>
            <w:tcW w:w="3120" w:type="dxa"/>
            <w:tcBorders>
              <w:top w:val="single" w:sz="7" w:space="0" w:color="000000"/>
              <w:left w:val="single" w:sz="7" w:space="0" w:color="000000"/>
              <w:bottom w:val="single" w:sz="7" w:space="0" w:color="000000"/>
              <w:right w:val="single" w:sz="7" w:space="0" w:color="000000"/>
            </w:tcBorders>
          </w:tcPr>
          <w:p w:rsidR="00F870F5" w:rsidRPr="002231BF" w:rsidRDefault="00F870F5" w:rsidP="00E90DBD">
            <w:pPr>
              <w:numPr>
                <w:ilvl w:val="12"/>
                <w:numId w:val="0"/>
              </w:numPr>
              <w:tabs>
                <w:tab w:val="left" w:pos="0"/>
                <w:tab w:val="left" w:pos="720"/>
                <w:tab w:val="left" w:pos="1440"/>
                <w:tab w:val="left" w:pos="2160"/>
                <w:tab w:val="left" w:pos="2880"/>
                <w:tab w:val="left" w:pos="3600"/>
                <w:tab w:val="left" w:pos="4320"/>
              </w:tabs>
              <w:spacing w:before="105" w:after="28"/>
            </w:pPr>
            <w:r w:rsidRPr="002231BF">
              <w:t>Public administration.</w:t>
            </w:r>
          </w:p>
        </w:tc>
      </w:tr>
      <w:tr w:rsidR="00F870F5" w:rsidRPr="00504E6E" w:rsidTr="00E90DBD">
        <w:tc>
          <w:tcPr>
            <w:tcW w:w="3120" w:type="dxa"/>
            <w:vMerge/>
            <w:tcBorders>
              <w:left w:val="single" w:sz="7" w:space="0" w:color="000000"/>
              <w:right w:val="single" w:sz="6" w:space="0" w:color="FFFFFF"/>
            </w:tcBorders>
          </w:tcPr>
          <w:p w:rsidR="00F870F5" w:rsidRPr="002231BF" w:rsidRDefault="00F870F5" w:rsidP="00E90DBD">
            <w:pPr>
              <w:numPr>
                <w:ilvl w:val="12"/>
                <w:numId w:val="0"/>
              </w:numPr>
              <w:tabs>
                <w:tab w:val="left" w:pos="0"/>
                <w:tab w:val="left" w:pos="720"/>
                <w:tab w:val="left" w:pos="1440"/>
                <w:tab w:val="left" w:pos="2160"/>
                <w:tab w:val="left" w:pos="2880"/>
              </w:tabs>
              <w:spacing w:before="105" w:after="28"/>
            </w:pPr>
          </w:p>
        </w:tc>
        <w:tc>
          <w:tcPr>
            <w:tcW w:w="3120" w:type="dxa"/>
            <w:tcBorders>
              <w:top w:val="single" w:sz="7" w:space="0" w:color="000000"/>
              <w:left w:val="single" w:sz="7" w:space="0" w:color="000000"/>
              <w:bottom w:val="single" w:sz="7" w:space="0" w:color="000000"/>
              <w:right w:val="single" w:sz="6" w:space="0" w:color="FFFFFF"/>
            </w:tcBorders>
          </w:tcPr>
          <w:p w:rsidR="00F870F5" w:rsidRPr="002231BF" w:rsidRDefault="00F870F5" w:rsidP="00E90DBD">
            <w:pPr>
              <w:numPr>
                <w:ilvl w:val="12"/>
                <w:numId w:val="0"/>
              </w:numPr>
              <w:tabs>
                <w:tab w:val="left" w:pos="0"/>
                <w:tab w:val="left" w:pos="720"/>
              </w:tabs>
              <w:spacing w:before="105" w:after="28"/>
            </w:pPr>
            <w:r w:rsidRPr="002231BF">
              <w:t>722</w:t>
            </w:r>
          </w:p>
        </w:tc>
        <w:tc>
          <w:tcPr>
            <w:tcW w:w="3120" w:type="dxa"/>
            <w:tcBorders>
              <w:top w:val="single" w:sz="7" w:space="0" w:color="000000"/>
              <w:left w:val="single" w:sz="7" w:space="0" w:color="000000"/>
              <w:bottom w:val="single" w:sz="7" w:space="0" w:color="000000"/>
              <w:right w:val="single" w:sz="7" w:space="0" w:color="000000"/>
            </w:tcBorders>
          </w:tcPr>
          <w:p w:rsidR="00F870F5" w:rsidRPr="002231BF" w:rsidRDefault="00F870F5" w:rsidP="00E90DBD">
            <w:pPr>
              <w:numPr>
                <w:ilvl w:val="12"/>
                <w:numId w:val="0"/>
              </w:numPr>
              <w:tabs>
                <w:tab w:val="left" w:pos="0"/>
                <w:tab w:val="left" w:pos="720"/>
                <w:tab w:val="left" w:pos="1440"/>
                <w:tab w:val="left" w:pos="2160"/>
                <w:tab w:val="left" w:pos="2880"/>
                <w:tab w:val="left" w:pos="3600"/>
                <w:tab w:val="left" w:pos="4320"/>
              </w:tabs>
              <w:spacing w:before="105" w:after="28"/>
            </w:pPr>
            <w:r w:rsidRPr="002231BF">
              <w:t>Food services and drinking places.</w:t>
            </w:r>
          </w:p>
        </w:tc>
      </w:tr>
      <w:tr w:rsidR="00F870F5" w:rsidRPr="00504E6E" w:rsidTr="00E90DBD">
        <w:tc>
          <w:tcPr>
            <w:tcW w:w="3120" w:type="dxa"/>
            <w:vMerge/>
            <w:tcBorders>
              <w:left w:val="single" w:sz="7" w:space="0" w:color="000000"/>
              <w:bottom w:val="single" w:sz="7" w:space="0" w:color="000000"/>
              <w:right w:val="single" w:sz="6" w:space="0" w:color="FFFFFF"/>
            </w:tcBorders>
          </w:tcPr>
          <w:p w:rsidR="00F870F5" w:rsidRPr="002231BF" w:rsidRDefault="00F870F5" w:rsidP="00E90DBD">
            <w:pPr>
              <w:numPr>
                <w:ilvl w:val="12"/>
                <w:numId w:val="0"/>
              </w:numPr>
              <w:tabs>
                <w:tab w:val="left" w:pos="0"/>
                <w:tab w:val="left" w:pos="720"/>
                <w:tab w:val="left" w:pos="1440"/>
                <w:tab w:val="left" w:pos="2160"/>
                <w:tab w:val="left" w:pos="2880"/>
              </w:tabs>
              <w:spacing w:before="105" w:after="28"/>
            </w:pPr>
          </w:p>
        </w:tc>
        <w:tc>
          <w:tcPr>
            <w:tcW w:w="3120" w:type="dxa"/>
            <w:tcBorders>
              <w:top w:val="single" w:sz="7" w:space="0" w:color="000000"/>
              <w:left w:val="single" w:sz="7" w:space="0" w:color="000000"/>
              <w:bottom w:val="single" w:sz="7" w:space="0" w:color="000000"/>
              <w:right w:val="single" w:sz="6" w:space="0" w:color="FFFFFF"/>
            </w:tcBorders>
          </w:tcPr>
          <w:p w:rsidR="00F870F5" w:rsidRPr="002231BF" w:rsidRDefault="00F870F5" w:rsidP="00E90DBD">
            <w:pPr>
              <w:numPr>
                <w:ilvl w:val="12"/>
                <w:numId w:val="0"/>
              </w:numPr>
              <w:tabs>
                <w:tab w:val="left" w:pos="0"/>
                <w:tab w:val="left" w:pos="720"/>
              </w:tabs>
              <w:spacing w:before="105" w:after="28"/>
            </w:pPr>
            <w:r w:rsidRPr="002231BF">
              <w:t>62</w:t>
            </w:r>
          </w:p>
        </w:tc>
        <w:tc>
          <w:tcPr>
            <w:tcW w:w="3120" w:type="dxa"/>
            <w:tcBorders>
              <w:top w:val="single" w:sz="7" w:space="0" w:color="000000"/>
              <w:left w:val="single" w:sz="7" w:space="0" w:color="000000"/>
              <w:bottom w:val="single" w:sz="7" w:space="0" w:color="000000"/>
              <w:right w:val="single" w:sz="7" w:space="0" w:color="000000"/>
            </w:tcBorders>
          </w:tcPr>
          <w:p w:rsidR="00F870F5" w:rsidRPr="002231BF" w:rsidRDefault="00F870F5" w:rsidP="00E90DBD">
            <w:pPr>
              <w:numPr>
                <w:ilvl w:val="12"/>
                <w:numId w:val="0"/>
              </w:numPr>
              <w:tabs>
                <w:tab w:val="left" w:pos="0"/>
                <w:tab w:val="left" w:pos="720"/>
                <w:tab w:val="left" w:pos="1440"/>
                <w:tab w:val="left" w:pos="2160"/>
                <w:tab w:val="left" w:pos="2880"/>
                <w:tab w:val="left" w:pos="3600"/>
                <w:tab w:val="left" w:pos="4320"/>
              </w:tabs>
              <w:spacing w:before="105" w:after="28"/>
            </w:pPr>
            <w:r w:rsidRPr="002231BF">
              <w:t>Health care and social assistance.</w:t>
            </w:r>
          </w:p>
        </w:tc>
      </w:tr>
    </w:tbl>
    <w:p w:rsidR="00531E31" w:rsidRDefault="00F533A9" w:rsidP="00504E6E">
      <w:r w:rsidRPr="00504E6E">
        <w:t xml:space="preserve">  </w:t>
      </w:r>
    </w:p>
    <w:p w:rsidR="00F533A9" w:rsidRDefault="00F533A9" w:rsidP="00531E31">
      <w:pPr>
        <w:ind w:firstLine="720"/>
      </w:pPr>
      <w:r>
        <w:t xml:space="preserve">Based on the </w:t>
      </w:r>
      <w:r w:rsidRPr="00531E31">
        <w:t>distribution of facilities in the boiler inspector inventory for thirteen states, the EPA estimates that 49% of units are located in the private sector and 51 % of units are located in the public sector.</w:t>
      </w:r>
    </w:p>
    <w:p w:rsidR="00F870F5" w:rsidRPr="00504E6E" w:rsidRDefault="00F870F5" w:rsidP="00531E31">
      <w:pPr>
        <w:ind w:firstLine="720"/>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4(b</w:t>
      </w:r>
      <w:proofErr w:type="gramStart"/>
      <w:r>
        <w:rPr>
          <w:b/>
          <w:bCs/>
          <w:color w:val="000000"/>
        </w:rPr>
        <w:t>)  Information</w:t>
      </w:r>
      <w:proofErr w:type="gramEnd"/>
      <w:r>
        <w:rPr>
          <w:b/>
          <w:bCs/>
          <w:color w:val="000000"/>
        </w:rPr>
        <w:t xml:space="preserve"> Requested</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 xml:space="preserve"> (i)  Data Items</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this ICR, all the data that is recorded or reported is required by</w:t>
      </w:r>
      <w:r>
        <w:rPr>
          <w:color w:val="FF0000"/>
        </w:rPr>
        <w:t xml:space="preserve"> </w:t>
      </w:r>
      <w:r>
        <w:t xml:space="preserve">40 CFR </w:t>
      </w:r>
      <w:proofErr w:type="gramStart"/>
      <w:r>
        <w:t>part</w:t>
      </w:r>
      <w:proofErr w:type="gramEnd"/>
      <w:r>
        <w:t xml:space="preserve"> 63, Subpart JJJJJJ.</w:t>
      </w:r>
      <w:r>
        <w:rPr>
          <w:color w:val="000000"/>
        </w:rPr>
        <w:t xml:space="preserve">  </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rsidP="00087DCA">
      <w:pPr>
        <w:widowControl/>
        <w:ind w:firstLine="720"/>
      </w:pPr>
      <w:r w:rsidRPr="002231BF">
        <w:t xml:space="preserve">In Attachment B, </w:t>
      </w:r>
      <w:proofErr w:type="gramStart"/>
      <w:r w:rsidRPr="002231BF">
        <w:t>tables</w:t>
      </w:r>
      <w:proofErr w:type="gramEnd"/>
      <w:r w:rsidRPr="002231BF">
        <w:t xml:space="preserve"> 1.A-C, 2.A-C, 3.A-C, 4.A-C, 5.A-C, 6.A-C, 7.A-C, </w:t>
      </w:r>
      <w:r>
        <w:t xml:space="preserve">and 8.A-C </w:t>
      </w:r>
      <w:r w:rsidRPr="002231BF">
        <w:t xml:space="preserve">present a summary of the testing, monitoring, recordkeeping and reporting requirements of the </w:t>
      </w:r>
      <w:r w:rsidR="00CC4398">
        <w:t xml:space="preserve">Area </w:t>
      </w:r>
      <w:r w:rsidRPr="002231BF">
        <w:t>Boilers NESHAP for each affected subcategory.</w:t>
      </w:r>
    </w:p>
    <w:p w:rsidR="00F533A9" w:rsidRDefault="00F533A9" w:rsidP="00087DCA">
      <w:pPr>
        <w:widowControl/>
        <w:ind w:firstLine="720"/>
      </w:pPr>
    </w:p>
    <w:p w:rsidR="00F533A9" w:rsidRPr="00087DCA" w:rsidRDefault="00F533A9" w:rsidP="00087DCA">
      <w:pPr>
        <w:widowControl/>
        <w:ind w:firstLine="720"/>
      </w:pPr>
    </w:p>
    <w:p w:rsidR="00F533A9" w:rsidRDefault="00F533A9">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rsidP="00B471CD">
      <w:pPr>
        <w:pBdr>
          <w:top w:val="single" w:sz="6" w:space="0" w:color="FFFFFF"/>
          <w:left w:val="single" w:sz="6" w:space="0" w:color="FFFFFF"/>
          <w:bottom w:val="single" w:sz="6" w:space="0" w:color="FFFFFF"/>
          <w:right w:val="single" w:sz="6" w:space="0" w:color="FFFFFF"/>
        </w:pBdr>
        <w:ind w:firstLine="720"/>
      </w:pPr>
      <w:r w:rsidRPr="002231BF">
        <w:t xml:space="preserve">The respondent activities required by the </w:t>
      </w:r>
      <w:r w:rsidR="00CC4398">
        <w:t xml:space="preserve">Area </w:t>
      </w:r>
      <w:r w:rsidRPr="002231BF">
        <w:t xml:space="preserve">Boilers NESHAP are provided under the first column of </w:t>
      </w:r>
      <w:proofErr w:type="gramStart"/>
      <w:r w:rsidRPr="002231BF">
        <w:t>tables</w:t>
      </w:r>
      <w:proofErr w:type="gramEnd"/>
      <w:r w:rsidRPr="002231BF">
        <w:t xml:space="preserve"> 1</w:t>
      </w:r>
      <w:r>
        <w:t>.A-8.C</w:t>
      </w:r>
      <w:r w:rsidRPr="002231BF">
        <w:t xml:space="preserve">.  All respondent burden items are included in </w:t>
      </w:r>
      <w:proofErr w:type="gramStart"/>
      <w:r w:rsidRPr="002231BF">
        <w:t>tables</w:t>
      </w:r>
      <w:proofErr w:type="gramEnd"/>
      <w:r w:rsidRPr="002231BF">
        <w:t xml:space="preserve"> 1</w:t>
      </w:r>
      <w:r>
        <w:t>.A-8.C</w:t>
      </w:r>
      <w:r w:rsidRPr="002231BF">
        <w:t>.</w:t>
      </w:r>
    </w:p>
    <w:p w:rsidR="00F533A9" w:rsidRDefault="00F533A9" w:rsidP="00B471CD">
      <w:pPr>
        <w:pBdr>
          <w:top w:val="single" w:sz="6" w:space="0" w:color="FFFFFF"/>
          <w:left w:val="single" w:sz="6" w:space="0" w:color="FFFFFF"/>
          <w:bottom w:val="single" w:sz="6" w:space="0" w:color="FFFFFF"/>
          <w:right w:val="single" w:sz="6" w:space="0" w:color="FFFFFF"/>
        </w:pBdr>
        <w:ind w:firstLine="720"/>
      </w:pPr>
    </w:p>
    <w:p w:rsidR="00F533A9" w:rsidRDefault="00F533A9" w:rsidP="00906D49">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(iii)  Summary of Requirements</w:t>
      </w:r>
    </w:p>
    <w:p w:rsidR="00F533A9" w:rsidRDefault="00F533A9" w:rsidP="00B471CD">
      <w:pPr>
        <w:pBdr>
          <w:top w:val="single" w:sz="6" w:space="0" w:color="FFFFFF"/>
          <w:left w:val="single" w:sz="6" w:space="0" w:color="FFFFFF"/>
          <w:bottom w:val="single" w:sz="6" w:space="0" w:color="FFFFFF"/>
          <w:right w:val="single" w:sz="6" w:space="0" w:color="FFFFFF"/>
        </w:pBdr>
        <w:ind w:firstLine="720"/>
        <w:rPr>
          <w:color w:val="000000"/>
        </w:rPr>
      </w:pPr>
    </w:p>
    <w:p w:rsidR="00F533A9" w:rsidRPr="002231BF" w:rsidRDefault="00F533A9" w:rsidP="00906D49">
      <w:pPr>
        <w:widowControl/>
        <w:ind w:firstLine="720"/>
      </w:pPr>
      <w:r w:rsidRPr="002231BF">
        <w:t xml:space="preserve">The information collection activities in this ICR include initial and annual stack tests, fuel analyses, </w:t>
      </w:r>
      <w:r w:rsidR="0046645B">
        <w:t xml:space="preserve">one-time </w:t>
      </w:r>
      <w:r w:rsidRPr="002231BF">
        <w:t xml:space="preserve">energy audits, </w:t>
      </w:r>
      <w:r w:rsidR="002A13E3">
        <w:rPr>
          <w:rFonts w:cs="Courier New"/>
        </w:rPr>
        <w:t>biennial tune-ups</w:t>
      </w:r>
      <w:r w:rsidRPr="002231BF">
        <w:t xml:space="preserve">, </w:t>
      </w:r>
      <w:r>
        <w:t xml:space="preserve">control device </w:t>
      </w:r>
      <w:r w:rsidRPr="002231BF">
        <w:t>operating parameter monitoring, preparation of a site-specific monitoring plan, one-time and periodic reports, and the maintenance of records.</w:t>
      </w:r>
    </w:p>
    <w:p w:rsidR="00F533A9" w:rsidRDefault="00F533A9" w:rsidP="00906D49">
      <w:pPr>
        <w:widowControl/>
        <w:ind w:firstLine="720"/>
      </w:pPr>
    </w:p>
    <w:p w:rsidR="00F533A9" w:rsidRPr="002231BF" w:rsidRDefault="00F533A9" w:rsidP="00906D49">
      <w:pPr>
        <w:widowControl/>
        <w:ind w:firstLine="720"/>
        <w:sectPr w:rsidR="00F533A9" w:rsidRPr="002231BF">
          <w:type w:val="continuous"/>
          <w:pgSz w:w="12240" w:h="15840"/>
          <w:pgMar w:top="1440" w:right="1440" w:bottom="1080" w:left="1440" w:header="1440" w:footer="1080" w:gutter="0"/>
          <w:cols w:space="720"/>
          <w:noEndnote/>
          <w:rtlGutter/>
        </w:sectPr>
      </w:pPr>
    </w:p>
    <w:p w:rsidR="00F533A9" w:rsidRDefault="00F533A9" w:rsidP="00906D49">
      <w:pPr>
        <w:widowControl/>
        <w:ind w:firstLine="720"/>
      </w:pPr>
      <w:r w:rsidRPr="002231BF">
        <w:lastRenderedPageBreak/>
        <w:t xml:space="preserve">For sources that can demonstrate compliance through fuel analysis, the regulation requires an initial fuel analysis and </w:t>
      </w:r>
      <w:r w:rsidR="002B7204">
        <w:t>monthly</w:t>
      </w:r>
      <w:r w:rsidR="002B7204" w:rsidRPr="002231BF">
        <w:t xml:space="preserve"> </w:t>
      </w:r>
      <w:r w:rsidRPr="002231BF">
        <w:t xml:space="preserve">fuel analyses </w:t>
      </w:r>
      <w:r w:rsidR="002B7204">
        <w:t>thereafter</w:t>
      </w:r>
      <w:r w:rsidRPr="002231BF">
        <w:t xml:space="preserve">.  Sources must conduct additional fuel analyses if they burn a new type of fuel.  </w:t>
      </w:r>
    </w:p>
    <w:p w:rsidR="00F533A9" w:rsidRPr="002231BF" w:rsidRDefault="00F533A9" w:rsidP="00906D49">
      <w:pPr>
        <w:widowControl/>
        <w:ind w:firstLine="720"/>
      </w:pPr>
    </w:p>
    <w:p w:rsidR="00F533A9" w:rsidRDefault="00F533A9" w:rsidP="00906D49">
      <w:pPr>
        <w:widowControl/>
        <w:ind w:firstLine="720"/>
      </w:pPr>
      <w:r w:rsidRPr="002231BF">
        <w:t xml:space="preserve">For sources that </w:t>
      </w:r>
      <w:r w:rsidR="0046645B">
        <w:t xml:space="preserve">are required to </w:t>
      </w:r>
      <w:r w:rsidR="006A5F45">
        <w:t>perform</w:t>
      </w:r>
      <w:r w:rsidR="002A13E3">
        <w:t xml:space="preserve"> an energy audit, </w:t>
      </w:r>
      <w:r w:rsidRPr="002231BF">
        <w:t xml:space="preserve">the regulation requires an initial report to be submitted to document the energy audit, detail the ways to improve efficiency, list the cost and benefits of specific improvements, and the time frame for recouping those investments. </w:t>
      </w:r>
    </w:p>
    <w:p w:rsidR="00F533A9" w:rsidRPr="002231BF" w:rsidRDefault="00F533A9" w:rsidP="00906D49">
      <w:pPr>
        <w:widowControl/>
        <w:ind w:firstLine="720"/>
      </w:pPr>
    </w:p>
    <w:p w:rsidR="00F533A9" w:rsidRDefault="00F533A9" w:rsidP="00906D49">
      <w:pPr>
        <w:tabs>
          <w:tab w:val="left" w:pos="720"/>
        </w:tabs>
      </w:pPr>
      <w:r w:rsidRPr="002231BF">
        <w:tab/>
        <w:t xml:space="preserve">For sources that can demonstrate compliance through </w:t>
      </w:r>
      <w:r w:rsidR="002A13E3">
        <w:t xml:space="preserve">biennial </w:t>
      </w:r>
      <w:r w:rsidRPr="002231BF">
        <w:t xml:space="preserve">tune-ups, the regulation requires </w:t>
      </w:r>
      <w:r w:rsidR="00F870F5">
        <w:t xml:space="preserve">the source to keep records of the tune-up. </w:t>
      </w:r>
      <w:r w:rsidR="006A5F45">
        <w:t xml:space="preserve"> </w:t>
      </w:r>
      <w:r w:rsidRPr="002231BF">
        <w:t>Th</w:t>
      </w:r>
      <w:r w:rsidR="00F870F5">
        <w:t>e</w:t>
      </w:r>
      <w:r w:rsidRPr="002231BF">
        <w:t>s</w:t>
      </w:r>
      <w:r w:rsidR="00F870F5">
        <w:t>e</w:t>
      </w:r>
      <w:r w:rsidRPr="002231BF">
        <w:t xml:space="preserve"> re</w:t>
      </w:r>
      <w:r w:rsidR="00F870F5">
        <w:t>cords</w:t>
      </w:r>
      <w:r w:rsidRPr="002231BF">
        <w:t xml:space="preserve"> shall include the concentrations of CO (ppmvd), percent oxygen (dry basis) before and after the tune-up adjustments, </w:t>
      </w:r>
      <w:r w:rsidR="00F870F5">
        <w:t xml:space="preserve">and </w:t>
      </w:r>
      <w:r w:rsidRPr="002231BF">
        <w:t>a description of any corrective actions taken as part of the tune-up</w:t>
      </w:r>
      <w:r w:rsidR="00F870F5">
        <w:t>.</w:t>
      </w:r>
      <w:r w:rsidR="003335A0">
        <w:t xml:space="preserve">  These sources must provide a biennial compliance report and not semiannual compliance reports.</w:t>
      </w:r>
    </w:p>
    <w:p w:rsidR="00F533A9" w:rsidRPr="002231BF" w:rsidRDefault="00F533A9" w:rsidP="00906D49">
      <w:pPr>
        <w:tabs>
          <w:tab w:val="left" w:pos="720"/>
        </w:tabs>
      </w:pPr>
    </w:p>
    <w:p w:rsidR="00F533A9" w:rsidRDefault="00F870F5" w:rsidP="00906D49">
      <w:pPr>
        <w:widowControl/>
        <w:ind w:firstLine="720"/>
      </w:pPr>
      <w:r>
        <w:t>For existing sources, a</w:t>
      </w:r>
      <w:r w:rsidR="00F533A9" w:rsidRPr="002231BF">
        <w:t xml:space="preserve">n initial </w:t>
      </w:r>
      <w:r>
        <w:t xml:space="preserve">and annual </w:t>
      </w:r>
      <w:r w:rsidR="00F533A9" w:rsidRPr="002231BF">
        <w:t xml:space="preserve">performance test must be completed for </w:t>
      </w:r>
      <w:r w:rsidR="006A5F45">
        <w:t>Hg</w:t>
      </w:r>
      <w:r>
        <w:t xml:space="preserve"> </w:t>
      </w:r>
      <w:r w:rsidR="002B7204">
        <w:t>and CO at</w:t>
      </w:r>
      <w:r>
        <w:t xml:space="preserve"> coal units</w:t>
      </w:r>
      <w:r w:rsidR="00F533A9" w:rsidRPr="002231BF">
        <w:t xml:space="preserve">. </w:t>
      </w:r>
      <w:r w:rsidR="006A5F45">
        <w:t xml:space="preserve"> </w:t>
      </w:r>
      <w:r>
        <w:t xml:space="preserve">For new units, an initial and annual performance test </w:t>
      </w:r>
      <w:r w:rsidRPr="002231BF">
        <w:t xml:space="preserve">must be completed for </w:t>
      </w:r>
      <w:r w:rsidR="006A5F45">
        <w:t>Hg</w:t>
      </w:r>
      <w:r w:rsidR="002B7204">
        <w:t xml:space="preserve"> and CO</w:t>
      </w:r>
      <w:r>
        <w:t xml:space="preserve"> at coal units and </w:t>
      </w:r>
      <w:r w:rsidR="006A5F45">
        <w:t>PM</w:t>
      </w:r>
      <w:r>
        <w:t xml:space="preserve"> for coal, biomass and liquid units</w:t>
      </w:r>
      <w:r w:rsidRPr="002231BF">
        <w:t xml:space="preserve"> with applicable emission limits.</w:t>
      </w:r>
      <w:r>
        <w:t xml:space="preserve"> </w:t>
      </w:r>
      <w:r w:rsidR="006A5F45">
        <w:t xml:space="preserve"> </w:t>
      </w:r>
      <w:r w:rsidR="00F533A9" w:rsidRPr="002231BF">
        <w:t xml:space="preserve">During the initial performance test, the owner or operator must establish maximum or minimum values for each operating parameter. </w:t>
      </w:r>
      <w:r w:rsidR="006A5F45">
        <w:t xml:space="preserve"> </w:t>
      </w:r>
      <w:r w:rsidR="00F533A9" w:rsidRPr="002231BF">
        <w:t xml:space="preserve">Thereafter, the owner or operator must, in some </w:t>
      </w:r>
      <w:r w:rsidR="00F533A9" w:rsidRPr="002231BF">
        <w:lastRenderedPageBreak/>
        <w:t xml:space="preserve">cases, conduct annual stack tests for </w:t>
      </w:r>
      <w:r w:rsidR="006A5F45">
        <w:t>PM</w:t>
      </w:r>
      <w:r w:rsidR="00F533A9">
        <w:t xml:space="preserve">, </w:t>
      </w:r>
      <w:r w:rsidR="006A5F45">
        <w:t>CO</w:t>
      </w:r>
      <w:r w:rsidR="00F533A9">
        <w:t xml:space="preserve">, </w:t>
      </w:r>
      <w:r w:rsidR="00F533A9" w:rsidRPr="002231BF">
        <w:t xml:space="preserve">and </w:t>
      </w:r>
      <w:proofErr w:type="gramStart"/>
      <w:r w:rsidR="006A5F45">
        <w:t>Hg</w:t>
      </w:r>
      <w:r w:rsidR="00F533A9" w:rsidRPr="002231BF">
        <w:t>,</w:t>
      </w:r>
      <w:proofErr w:type="gramEnd"/>
      <w:r w:rsidR="00F533A9" w:rsidRPr="002231BF">
        <w:t xml:space="preserve"> and must continuously monitor the </w:t>
      </w:r>
      <w:r w:rsidR="00F533A9">
        <w:t xml:space="preserve">control device </w:t>
      </w:r>
      <w:r w:rsidR="00F533A9" w:rsidRPr="002231BF">
        <w:t xml:space="preserve">operating parameters. </w:t>
      </w:r>
      <w:r w:rsidR="006A5F45">
        <w:t xml:space="preserve"> </w:t>
      </w:r>
      <w:r w:rsidR="00F533A9" w:rsidRPr="002231BF">
        <w:t>Following the initial performance test, the owner or operator must submit a report that documents the performance test results and the values for their required operating parameters.</w:t>
      </w:r>
    </w:p>
    <w:p w:rsidR="00F533A9" w:rsidRPr="002231BF" w:rsidRDefault="00F533A9" w:rsidP="00906D49">
      <w:pPr>
        <w:widowControl/>
        <w:ind w:firstLine="720"/>
      </w:pPr>
    </w:p>
    <w:p w:rsidR="00F533A9" w:rsidRDefault="00F533A9" w:rsidP="00906D49">
      <w:pPr>
        <w:widowControl/>
        <w:ind w:firstLine="720"/>
      </w:pPr>
      <w:r w:rsidRPr="002231BF">
        <w:t>A semiannual report is required that documents the values for the operating parameters; any deviation; the results of any annual stack tests; the results of any fuel analysis and emissions calculations; fuel usage, and if no deviation occurred, a statement that no deviations occurred.</w:t>
      </w:r>
    </w:p>
    <w:p w:rsidR="00F533A9" w:rsidRPr="002231BF" w:rsidRDefault="00F533A9" w:rsidP="00906D49">
      <w:pPr>
        <w:widowControl/>
        <w:ind w:firstLine="720"/>
      </w:pPr>
    </w:p>
    <w:p w:rsidR="00F533A9" w:rsidRDefault="00F533A9" w:rsidP="00906D49">
      <w:pPr>
        <w:widowControl/>
        <w:ind w:firstLine="720"/>
      </w:pPr>
      <w:r w:rsidRPr="002231BF">
        <w:t xml:space="preserve">As specified in the </w:t>
      </w:r>
      <w:r w:rsidR="006A5F45">
        <w:t xml:space="preserve">Area </w:t>
      </w:r>
      <w:r w:rsidRPr="002231BF">
        <w:t>Boilers NESHAP, owners or operators of boilers keep records of certain parameters and information for a period of five years.  Owners or operators must maintain records of the initial performance test, audits, tune-ups, annual stack tests, fuel analyses, and any subsequent stack tests or fuel analyses.  Owners or operators must also maintain records of the monitoring data for the operating parameters and daily fuel usage.</w:t>
      </w:r>
    </w:p>
    <w:p w:rsidR="00F533A9" w:rsidRPr="002231BF" w:rsidRDefault="00F533A9" w:rsidP="00906D49">
      <w:pPr>
        <w:widowControl/>
        <w:ind w:firstLine="720"/>
      </w:pPr>
    </w:p>
    <w:p w:rsidR="00F533A9" w:rsidRDefault="00F533A9" w:rsidP="00906D49">
      <w:pPr>
        <w:pBdr>
          <w:top w:val="single" w:sz="6" w:space="0" w:color="FFFFFF"/>
          <w:left w:val="single" w:sz="6" w:space="0" w:color="FFFFFF"/>
          <w:bottom w:val="single" w:sz="6" w:space="0" w:color="FFFFFF"/>
          <w:right w:val="single" w:sz="6" w:space="0" w:color="FFFFFF"/>
        </w:pBdr>
        <w:ind w:firstLine="720"/>
      </w:pPr>
      <w:r w:rsidRPr="002231BF">
        <w:t xml:space="preserve">Owners or operators must also maintain records for boiler malfunctions and any deviations from the operating parameters. </w:t>
      </w:r>
      <w:r w:rsidR="000445FC">
        <w:t xml:space="preserve"> </w:t>
      </w:r>
      <w:r w:rsidRPr="002231BF">
        <w:t>Records must also be maintained of all monitoring device calibration data.</w:t>
      </w:r>
    </w:p>
    <w:p w:rsidR="00EF6B7D" w:rsidRPr="00EF6B7D" w:rsidRDefault="00EF6B7D" w:rsidP="00906D49">
      <w:pPr>
        <w:pBdr>
          <w:top w:val="single" w:sz="6" w:space="0" w:color="FFFFFF"/>
          <w:left w:val="single" w:sz="6" w:space="0" w:color="FFFFFF"/>
          <w:bottom w:val="single" w:sz="6" w:space="0" w:color="FFFFFF"/>
          <w:right w:val="single" w:sz="6" w:space="0" w:color="FFFFFF"/>
        </w:pBdr>
        <w:ind w:firstLine="720"/>
      </w:pPr>
    </w:p>
    <w:p w:rsidR="00EF6B7D" w:rsidRPr="00EF6B7D" w:rsidRDefault="00EF6B7D" w:rsidP="00247223">
      <w:pPr>
        <w:ind w:firstLine="720"/>
      </w:pPr>
      <w:r w:rsidRPr="00EF6B7D">
        <w:t xml:space="preserve">As an administrative addition to this ICR, EPA is also including an illustrative estimate of the burden associated with performing a Root Cause Analysis (RCA) associated with affirmative defense of malfunctions if the source elects to avail </w:t>
      </w:r>
      <w:proofErr w:type="gramStart"/>
      <w:r w:rsidRPr="00EF6B7D">
        <w:t>themselves</w:t>
      </w:r>
      <w:proofErr w:type="gramEnd"/>
      <w:r w:rsidRPr="00EF6B7D">
        <w:t xml:space="preserve"> to this defense in court. EPA is providing this as an illustrative example of the potential additional administrative burden a source may incur to assert an affirmative defense in response to an action to enforce the standards set forth in the applicable subpart.   If a source is in compliance and does not encounter malfunctions that cause a violation of the standard, EPA does not expect this activity to be routinely performed by a source.</w:t>
      </w:r>
      <w:r w:rsidR="00247223">
        <w:t xml:space="preserve">  </w:t>
      </w:r>
      <w:r w:rsidRPr="00EF6B7D">
        <w:t xml:space="preserve">Our decision to include this record keeping and reporting in the ICR burden is not to assert that EPA assumes less than full compliance.  EPA cannot estimate whether an affirmative defense would be necessary for any source or class of sources.  It is not an enforceable requirement of compliance.  </w:t>
      </w:r>
    </w:p>
    <w:p w:rsidR="00F533A9" w:rsidRPr="00EF6B7D" w:rsidRDefault="00F533A9">
      <w:pPr>
        <w:pBdr>
          <w:top w:val="single" w:sz="6" w:space="0" w:color="FFFFFF"/>
          <w:left w:val="single" w:sz="6" w:space="0" w:color="FFFFFF"/>
          <w:bottom w:val="single" w:sz="6" w:space="0" w:color="FFFFFF"/>
          <w:right w:val="single" w:sz="6" w:space="0" w:color="FFFFFF"/>
        </w:pBdr>
        <w:rPr>
          <w:b/>
          <w:bCs/>
        </w:rPr>
      </w:pPr>
    </w:p>
    <w:p w:rsidR="00F533A9" w:rsidRDefault="00F533A9">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F533A9" w:rsidRDefault="00F533A9">
      <w:pPr>
        <w:pBdr>
          <w:top w:val="single" w:sz="6" w:space="0" w:color="FFFFFF"/>
          <w:left w:val="single" w:sz="6" w:space="0" w:color="FFFFFF"/>
          <w:bottom w:val="single" w:sz="6" w:space="0" w:color="FFFFFF"/>
          <w:right w:val="single" w:sz="6" w:space="0" w:color="FFFFFF"/>
        </w:pBdr>
        <w:rPr>
          <w:b/>
          <w:bCs/>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pPr>
      <w:r w:rsidRPr="002231BF">
        <w:t xml:space="preserve">A list of agency activities is provided in section 6(c) and in </w:t>
      </w:r>
      <w:proofErr w:type="gramStart"/>
      <w:r w:rsidRPr="002231BF">
        <w:t>tables</w:t>
      </w:r>
      <w:proofErr w:type="gramEnd"/>
      <w:r w:rsidRPr="002231BF">
        <w:t xml:space="preserve"> </w:t>
      </w:r>
      <w:r>
        <w:t>9A-C (see Attachment B</w:t>
      </w:r>
      <w:r w:rsidRPr="002231BF">
        <w:t>).</w:t>
      </w:r>
    </w:p>
    <w:p w:rsidR="00F533A9" w:rsidRDefault="00F533A9">
      <w:pPr>
        <w:pBdr>
          <w:top w:val="single" w:sz="6" w:space="0" w:color="FFFFFF"/>
          <w:left w:val="single" w:sz="6" w:space="0" w:color="FFFFFF"/>
          <w:bottom w:val="single" w:sz="6" w:space="0" w:color="FFFFFF"/>
          <w:right w:val="single" w:sz="6" w:space="0" w:color="FFFFFF"/>
        </w:pBdr>
        <w:rPr>
          <w:b/>
          <w:bCs/>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Pr="002231BF" w:rsidRDefault="00F533A9" w:rsidP="00906D49">
      <w:pPr>
        <w:keepLines/>
        <w:widowControl/>
        <w:ind w:firstLine="720"/>
      </w:pPr>
      <w:r w:rsidRPr="002231BF">
        <w:lastRenderedPageBreak/>
        <w:t xml:space="preserve">Data obtained during periodic visits by EPA personnel, from records maintained by the respondents, and from information provided in initial notifications and semiannual reports will be tabulated and published for internal EPA use in compliance and enforcement programs.  The </w:t>
      </w:r>
      <w:r w:rsidR="000445FC">
        <w:t xml:space="preserve">Area </w:t>
      </w:r>
      <w:r w:rsidRPr="002231BF">
        <w:t>Boilers NESHAP allows records to be retained in hardcopy or electronic format to allow flexibility and minimize burden.</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entered into the AFS which is operated and maintained by EPA's Office of Compliance.  AFS is EPA</w:t>
      </w:r>
      <w:r w:rsidR="000445FC">
        <w:rPr>
          <w:color w:val="000000"/>
        </w:rPr>
        <w:t>’</w:t>
      </w:r>
      <w:r>
        <w:rPr>
          <w:color w:val="000000"/>
        </w:rPr>
        <w:t>s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906D49">
        <w:rPr>
          <w:color w:val="000000"/>
        </w:rPr>
        <w:t>five</w:t>
      </w:r>
      <w:r>
        <w:rPr>
          <w:color w:val="000000"/>
        </w:rPr>
        <w:t xml:space="preserve"> years.</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F533A9" w:rsidRDefault="00F533A9" w:rsidP="006E4A6E">
      <w:pPr>
        <w:pBdr>
          <w:top w:val="single" w:sz="6" w:space="0" w:color="FFFFFF"/>
          <w:left w:val="single" w:sz="6" w:space="0" w:color="FFFFFF"/>
          <w:bottom w:val="single" w:sz="6" w:space="0" w:color="FFFFFF"/>
          <w:right w:val="single" w:sz="6" w:space="0" w:color="FFFFFF"/>
        </w:pBdr>
        <w:rPr>
          <w:color w:val="000000"/>
        </w:rPr>
      </w:pPr>
    </w:p>
    <w:p w:rsidR="00F533A9" w:rsidRDefault="00F533A9" w:rsidP="00906D49">
      <w:pPr>
        <w:widowControl/>
        <w:ind w:firstLine="720"/>
      </w:pPr>
      <w:r w:rsidRPr="002231BF">
        <w:t>The EPA expect</w:t>
      </w:r>
      <w:r w:rsidR="000445FC">
        <w:t>s</w:t>
      </w:r>
      <w:r w:rsidRPr="002231BF">
        <w:t xml:space="preserve"> the </w:t>
      </w:r>
      <w:r w:rsidR="000445FC">
        <w:t xml:space="preserve">Area </w:t>
      </w:r>
      <w:r w:rsidRPr="002231BF">
        <w:t xml:space="preserve">Boilers NESHAP to adversely affect small entities.  In developing the regulation, small entity is defined as: (1) A small business according to Small Business Administration size standards by the NAICS category of the owning entity.  The small business size standard for manufacturing sectors in the expected industries potentially affected by this rule is less than 500 employees. </w:t>
      </w:r>
      <w:r w:rsidR="000445FC">
        <w:t xml:space="preserve"> </w:t>
      </w:r>
      <w:r w:rsidRPr="002231BF">
        <w:t xml:space="preserve">For trade sectors, the size standard is less than 100 employees; (2) A small organization that is any not-for-profit enterprise that is independently owned and operated and is not dominant in its field. </w:t>
      </w:r>
      <w:r w:rsidR="000445FC">
        <w:t xml:space="preserve"> </w:t>
      </w:r>
      <w:r w:rsidRPr="002231BF">
        <w:t xml:space="preserve">For non-profit and service industries the small business size range for potentially affected sources is based on total sales of the entity, which range from sales less than $10 </w:t>
      </w:r>
      <w:r w:rsidR="000445FC">
        <w:t>to</w:t>
      </w:r>
      <w:r w:rsidRPr="002231BF">
        <w:t xml:space="preserve"> $50 million dollars; (3) A small governmental jurisdiction that is a government of a city, county, town, school district or special district with a population of less than 50,000.</w:t>
      </w:r>
    </w:p>
    <w:p w:rsidR="00F533A9" w:rsidRPr="002231BF" w:rsidRDefault="00F533A9" w:rsidP="00906D49">
      <w:pPr>
        <w:widowControl/>
        <w:ind w:firstLine="720"/>
      </w:pPr>
    </w:p>
    <w:p w:rsidR="00F533A9" w:rsidRDefault="00F533A9" w:rsidP="000445FC">
      <w:pPr>
        <w:widowControl/>
        <w:ind w:firstLine="720"/>
      </w:pPr>
      <w:r w:rsidRPr="002231BF">
        <w:t>The EPA has determined that there are approximately 1</w:t>
      </w:r>
      <w:r>
        <w:t xml:space="preserve">82,671 </w:t>
      </w:r>
      <w:r w:rsidRPr="002231BF">
        <w:t>existing affected sources</w:t>
      </w:r>
      <w:r>
        <w:t xml:space="preserve"> at 91,336 facilities. </w:t>
      </w:r>
      <w:r w:rsidR="000445FC">
        <w:t xml:space="preserve"> </w:t>
      </w:r>
      <w:r>
        <w:t>O</w:t>
      </w:r>
      <w:r w:rsidRPr="002231BF">
        <w:t xml:space="preserve">f </w:t>
      </w:r>
      <w:r>
        <w:t xml:space="preserve">these affected units, the EPA has reduced testing, monitoring, recordkeeping and reporting requirements for 169,403 units with design </w:t>
      </w:r>
      <w:r w:rsidR="000445FC">
        <w:t xml:space="preserve">heat </w:t>
      </w:r>
      <w:r>
        <w:t xml:space="preserve">capacities less than 10  </w:t>
      </w:r>
      <w:proofErr w:type="spellStart"/>
      <w:r w:rsidR="000445FC">
        <w:t>mm</w:t>
      </w:r>
      <w:r>
        <w:t>Btu</w:t>
      </w:r>
      <w:proofErr w:type="spellEnd"/>
      <w:r>
        <w:t xml:space="preserve">/hr because the Agency found </w:t>
      </w:r>
      <w:r w:rsidRPr="00EE17EE">
        <w:t>it is impracticable to enforce the</w:t>
      </w:r>
      <w:r>
        <w:t xml:space="preserve"> </w:t>
      </w:r>
      <w:r w:rsidRPr="00EE17EE">
        <w:t xml:space="preserve">emission standards </w:t>
      </w:r>
      <w:r>
        <w:t xml:space="preserve">for these small units </w:t>
      </w:r>
      <w:r w:rsidRPr="00EE17EE">
        <w:t xml:space="preserve">due to technical or economic limitations.  </w:t>
      </w:r>
      <w:r>
        <w:t>Instead of requiring small sources to conduct and submit stack test reports, the proposed rule requ</w:t>
      </w:r>
      <w:r w:rsidR="000445FC">
        <w:t>ires</w:t>
      </w:r>
      <w:r>
        <w:t xml:space="preserve"> small units to comply with the rule by conducting a </w:t>
      </w:r>
      <w:r w:rsidR="002A13E3">
        <w:t>bienni</w:t>
      </w:r>
      <w:r>
        <w:t xml:space="preserve">al tune-up and preparing a summary report of the procedures followed during the tune-up. </w:t>
      </w:r>
      <w:r w:rsidR="000445FC">
        <w:t xml:space="preserve"> </w:t>
      </w:r>
      <w:r w:rsidRPr="002231BF">
        <w:t xml:space="preserve">Based on the definition for </w:t>
      </w:r>
      <w:r w:rsidRPr="00357C31">
        <w:t xml:space="preserve">sectors potentially affected by this rule, EPA computed the overall share of small entities to the overall number of affected entities.  The overall share of small entities from manufacturing, trading, service, not-for-profit, and state, local, and tribal governments is estimated to be 97 percent, or 177,191 existing units subject to recordkeeping and reporting requirements.  By reducing the requirements for small sources, the EPA has substantially reduced the burden on small entities. </w:t>
      </w:r>
      <w:r w:rsidR="000445FC">
        <w:t xml:space="preserve"> </w:t>
      </w:r>
      <w:r w:rsidR="002A13E3" w:rsidRPr="00357C31">
        <w:t xml:space="preserve">Further, EPA is not requiring MACT floor control for mercury from biomass and liquid units. </w:t>
      </w:r>
      <w:r w:rsidR="000445FC">
        <w:t xml:space="preserve"> </w:t>
      </w:r>
      <w:r w:rsidR="002A13E3" w:rsidRPr="00357C31">
        <w:t>This reduces the compliance</w:t>
      </w:r>
      <w:r w:rsidR="002A13E3">
        <w:t xml:space="preserve">, </w:t>
      </w:r>
      <w:r w:rsidR="002A13E3">
        <w:lastRenderedPageBreak/>
        <w:t xml:space="preserve">testing, monitoring, recordkeeping and reporting requirements on nearly all units. </w:t>
      </w:r>
      <w:r w:rsidR="00492E90">
        <w:t>Mercury control testing and monitoring will be required at 573 large coal</w:t>
      </w:r>
      <w:r w:rsidR="000445FC">
        <w:t>-fired</w:t>
      </w:r>
      <w:r w:rsidR="00492E90">
        <w:t xml:space="preserve"> boilers out of the 182,671 total boilers</w:t>
      </w:r>
      <w:r w:rsidR="000445FC">
        <w:t>,</w:t>
      </w:r>
      <w:r w:rsidR="00492E90">
        <w:t xml:space="preserve"> but will be achieving 95 percent </w:t>
      </w:r>
      <w:r w:rsidR="000445FC">
        <w:t xml:space="preserve">reduction </w:t>
      </w:r>
      <w:r w:rsidR="00492E90">
        <w:t xml:space="preserve">of the estimated mercury emissions from the entire source category. </w:t>
      </w:r>
      <w:r w:rsidR="000445FC">
        <w:t xml:space="preserve"> </w:t>
      </w:r>
      <w:r w:rsidR="00492E90">
        <w:t xml:space="preserve">By not requiring MACT control for mercury </w:t>
      </w:r>
      <w:r w:rsidR="000445FC">
        <w:t>from biomass and liquid-fired units</w:t>
      </w:r>
      <w:r w:rsidR="00492E90">
        <w:t xml:space="preserve"> we are providing flexibility to over 99 percent of affected units, including the small entities.</w:t>
      </w:r>
    </w:p>
    <w:p w:rsidR="00F533A9" w:rsidRDefault="00F533A9" w:rsidP="00906D49">
      <w:pPr>
        <w:widowControl/>
        <w:ind w:firstLine="720"/>
      </w:pPr>
    </w:p>
    <w:p w:rsidR="00F533A9" w:rsidRPr="002231BF" w:rsidRDefault="00F533A9" w:rsidP="00906D49">
      <w:pPr>
        <w:widowControl/>
        <w:ind w:firstLine="720"/>
        <w:sectPr w:rsidR="00F533A9" w:rsidRPr="002231BF">
          <w:type w:val="continuous"/>
          <w:pgSz w:w="12240" w:h="15840"/>
          <w:pgMar w:top="1440" w:right="1440" w:bottom="1080" w:left="1440" w:header="1440" w:footer="1080" w:gutter="0"/>
          <w:cols w:space="720"/>
          <w:noEndnote/>
          <w:rtlGutter/>
        </w:sectPr>
      </w:pPr>
    </w:p>
    <w:p w:rsidR="00F533A9" w:rsidRDefault="00F533A9" w:rsidP="00F533A9">
      <w:pPr>
        <w:widowControl/>
        <w:rPr>
          <w:b/>
          <w:bCs/>
          <w:color w:val="000000"/>
        </w:rPr>
      </w:pPr>
      <w:r w:rsidRPr="002231BF">
        <w:lastRenderedPageBreak/>
        <w:t xml:space="preserve"> </w:t>
      </w:r>
      <w:r w:rsidRPr="002231BF">
        <w:tab/>
        <w:t xml:space="preserve">The </w:t>
      </w:r>
      <w:r w:rsidR="001C021D">
        <w:t xml:space="preserve">Area </w:t>
      </w:r>
      <w:r w:rsidRPr="002231BF">
        <w:t xml:space="preserve">Boilers NESHAP does not contain any provisions reserved exclusively for the benefit of small entities.  However, the regulation does contain several provisions that reduce the impact on all regulated entities, which include small entities.  </w:t>
      </w:r>
      <w:r w:rsidR="003335A0">
        <w:t>T</w:t>
      </w:r>
      <w:r w:rsidRPr="002231BF">
        <w:t xml:space="preserve">he alternative work practice standards provide for enhanced compliance flexibility and reduced recordkeeping and reporting requirements for affected sources with </w:t>
      </w:r>
      <w:r>
        <w:t>small boiler</w:t>
      </w:r>
      <w:r w:rsidRPr="002231BF">
        <w:t xml:space="preserve">s.  </w:t>
      </w:r>
    </w:p>
    <w:p w:rsidR="00F533A9" w:rsidRDefault="00F533A9">
      <w:pPr>
        <w:pBdr>
          <w:top w:val="single" w:sz="6" w:space="0" w:color="FFFFFF"/>
          <w:left w:val="single" w:sz="6" w:space="0" w:color="FFFFFF"/>
          <w:bottom w:val="single" w:sz="6" w:space="0" w:color="FFFFFF"/>
          <w:right w:val="single" w:sz="6" w:space="0" w:color="FFFFFF"/>
        </w:pBdr>
        <w:rPr>
          <w:b/>
          <w:bCs/>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rsidP="00D87516">
      <w:pPr>
        <w:widowControl/>
        <w:ind w:firstLine="720"/>
        <w:rPr>
          <w:rFonts w:cs="Courier New"/>
        </w:rPr>
      </w:pPr>
      <w:r>
        <w:rPr>
          <w:rFonts w:cs="Courier New"/>
        </w:rPr>
        <w:t xml:space="preserve">Information collected includes the following one-time-only activities: reading the regulation, initial performance tests (for </w:t>
      </w:r>
      <w:r w:rsidR="004F7BBD">
        <w:rPr>
          <w:rFonts w:cs="Courier New"/>
        </w:rPr>
        <w:t>PM</w:t>
      </w:r>
      <w:r w:rsidR="00031B40">
        <w:rPr>
          <w:rFonts w:cs="Courier New"/>
        </w:rPr>
        <w:t>,</w:t>
      </w:r>
      <w:r>
        <w:rPr>
          <w:rFonts w:cs="Courier New"/>
        </w:rPr>
        <w:t xml:space="preserve"> </w:t>
      </w:r>
      <w:r w:rsidR="004F7BBD">
        <w:rPr>
          <w:rFonts w:cs="Courier New"/>
        </w:rPr>
        <w:t>Hg</w:t>
      </w:r>
      <w:r w:rsidR="00031B40">
        <w:rPr>
          <w:rFonts w:cs="Courier New"/>
        </w:rPr>
        <w:t>, and CO</w:t>
      </w:r>
      <w:r>
        <w:rPr>
          <w:rFonts w:cs="Courier New"/>
        </w:rPr>
        <w:t xml:space="preserve"> for units with applicable emission limits), initial fuel analyses, setting of operating parameter values, report following initial stack tests (includes operating parameter values), development of a site-specific monitoring plan</w:t>
      </w:r>
      <w:r w:rsidR="004F7BBD">
        <w:rPr>
          <w:rFonts w:cs="Courier New"/>
        </w:rPr>
        <w:t>,</w:t>
      </w:r>
      <w:r>
        <w:rPr>
          <w:rFonts w:cs="Courier New"/>
        </w:rPr>
        <w:t xml:space="preserve"> and conducting an energy audit.  Compliance is not required until year 3 for existing facilities.  In order to ensure compliance by the compliance date, EPA assumed that half of the existing facilities will conduct necessary compliance activities such as energy audits in year 2 and the other half will conduct such activities in year 3.  </w:t>
      </w:r>
    </w:p>
    <w:p w:rsidR="00F533A9" w:rsidRDefault="00F533A9" w:rsidP="00D87516">
      <w:pPr>
        <w:widowControl/>
        <w:ind w:firstLine="720"/>
        <w:rPr>
          <w:rFonts w:cs="Courier New"/>
        </w:rPr>
      </w:pPr>
    </w:p>
    <w:p w:rsidR="00F533A9" w:rsidRDefault="00F533A9" w:rsidP="00D87516">
      <w:pPr>
        <w:widowControl/>
        <w:ind w:firstLine="720"/>
        <w:rPr>
          <w:rFonts w:cs="Courier New"/>
        </w:rPr>
      </w:pPr>
      <w:r>
        <w:rPr>
          <w:rFonts w:cs="Courier New"/>
        </w:rPr>
        <w:t xml:space="preserve">Year 1 for new and existing sources includes the one-time activity of reading the regulation and submitting the initial notification that the source is subject to the regulation.  The burden associated with this activity is estimated on a facility basis.  The database of sources used in the development of the </w:t>
      </w:r>
      <w:r w:rsidR="004F7BBD">
        <w:rPr>
          <w:rFonts w:cs="Courier New"/>
        </w:rPr>
        <w:t xml:space="preserve">Area </w:t>
      </w:r>
      <w:r>
        <w:rPr>
          <w:rFonts w:cs="Courier New"/>
        </w:rPr>
        <w:t xml:space="preserve">Boilers NESHAP indicates that each affected facility has, on average, two boilers.  This is a conservative estimate of recordkeeping and reporting burden, as EPA knows that some of the affected facilities have more than two sources and will be able to benefit from consolidated reporting. </w:t>
      </w:r>
      <w:r w:rsidR="004F7BBD">
        <w:rPr>
          <w:rFonts w:cs="Courier New"/>
        </w:rPr>
        <w:t xml:space="preserve"> </w:t>
      </w:r>
      <w:r>
        <w:rPr>
          <w:rFonts w:cs="Courier New"/>
        </w:rPr>
        <w:t xml:space="preserve">During year 1, new sources would also submit a one-time notification of compliance status.  </w:t>
      </w:r>
    </w:p>
    <w:p w:rsidR="00F533A9" w:rsidRDefault="00F533A9" w:rsidP="00D87516">
      <w:pPr>
        <w:widowControl/>
        <w:ind w:firstLine="720"/>
        <w:rPr>
          <w:rFonts w:cs="Courier New"/>
        </w:rPr>
      </w:pPr>
    </w:p>
    <w:p w:rsidR="00F533A9" w:rsidRDefault="00F533A9" w:rsidP="00D87516">
      <w:pPr>
        <w:widowControl/>
        <w:ind w:firstLine="720"/>
        <w:rPr>
          <w:rFonts w:cs="Courier New"/>
        </w:rPr>
      </w:pPr>
      <w:r>
        <w:rPr>
          <w:rFonts w:cs="Courier New"/>
        </w:rPr>
        <w:t>Also in year 1, new facilities will begin activities to comply with the subpart such as conducting performance tests, setting operating limits, developing a site-specific monitoring plan</w:t>
      </w:r>
      <w:r w:rsidR="000477E5">
        <w:rPr>
          <w:rFonts w:cs="Courier New"/>
        </w:rPr>
        <w:t>,</w:t>
      </w:r>
      <w:r>
        <w:rPr>
          <w:rFonts w:cs="Courier New"/>
        </w:rPr>
        <w:t xml:space="preserve"> installing and operating applicable monitoring equipment, and submitting the notification of compliance status.  New facilities will also submit semiannual compliance reports and begin keeping records of all compliance activities.</w:t>
      </w:r>
    </w:p>
    <w:p w:rsidR="00F533A9" w:rsidRDefault="00F533A9" w:rsidP="00D87516">
      <w:pPr>
        <w:widowControl/>
        <w:ind w:firstLine="720"/>
        <w:rPr>
          <w:rFonts w:cs="Courier New"/>
        </w:rPr>
      </w:pPr>
    </w:p>
    <w:p w:rsidR="00F533A9" w:rsidRDefault="00F533A9" w:rsidP="00D87516">
      <w:pPr>
        <w:widowControl/>
        <w:ind w:firstLine="720"/>
        <w:rPr>
          <w:rFonts w:cs="Courier New"/>
        </w:rPr>
      </w:pPr>
      <w:r>
        <w:rPr>
          <w:rFonts w:cs="Courier New"/>
        </w:rPr>
        <w:t>In year 2, the new sources from year 1 will conduct annual performance tests</w:t>
      </w:r>
      <w:r w:rsidR="00031B40">
        <w:rPr>
          <w:rFonts w:cs="Courier New"/>
        </w:rPr>
        <w:t>,</w:t>
      </w:r>
      <w:r>
        <w:rPr>
          <w:rFonts w:cs="Courier New"/>
        </w:rPr>
        <w:t xml:space="preserve"> if applicable, and submit semiannual compliance reports</w:t>
      </w:r>
      <w:r w:rsidR="004F7BBD">
        <w:rPr>
          <w:rFonts w:cs="Courier New"/>
        </w:rPr>
        <w:t>,</w:t>
      </w:r>
      <w:r>
        <w:rPr>
          <w:rFonts w:cs="Courier New"/>
        </w:rPr>
        <w:t xml:space="preserve"> and the new sources in year 2 will conduct initial performance tests </w:t>
      </w:r>
      <w:r w:rsidR="004F7BBD">
        <w:rPr>
          <w:rFonts w:cs="Courier New"/>
        </w:rPr>
        <w:t xml:space="preserve">and </w:t>
      </w:r>
      <w:r>
        <w:rPr>
          <w:rFonts w:cs="Courier New"/>
        </w:rPr>
        <w:t xml:space="preserve">fuel analyses, and submit all initial notifications and semiannual compliance reports.  Also in year 2, half of the existing affected sources will conduct an energy audit, boiler tune-up, and initial performance tests, as applicable to each subcategory.  </w:t>
      </w:r>
    </w:p>
    <w:p w:rsidR="00F533A9" w:rsidRDefault="00F533A9" w:rsidP="00D87516">
      <w:pPr>
        <w:widowControl/>
        <w:ind w:firstLine="720"/>
        <w:rPr>
          <w:rFonts w:cs="Courier New"/>
        </w:rPr>
      </w:pPr>
    </w:p>
    <w:p w:rsidR="00F533A9" w:rsidRDefault="00F533A9" w:rsidP="00D87516">
      <w:pPr>
        <w:widowControl/>
        <w:ind w:firstLine="720"/>
        <w:rPr>
          <w:rFonts w:cs="Courier New"/>
        </w:rPr>
        <w:sectPr w:rsidR="00F533A9">
          <w:type w:val="continuous"/>
          <w:pgSz w:w="12240" w:h="15840"/>
          <w:pgMar w:top="1440" w:right="1440" w:bottom="1080" w:left="1440" w:header="1440" w:footer="1080" w:gutter="0"/>
          <w:cols w:space="720"/>
          <w:noEndnote/>
          <w:rtlGutter/>
        </w:sectPr>
      </w:pPr>
    </w:p>
    <w:p w:rsidR="00F533A9" w:rsidRDefault="00F533A9" w:rsidP="00D87516">
      <w:pPr>
        <w:widowControl/>
        <w:ind w:firstLine="720"/>
        <w:rPr>
          <w:rFonts w:cs="Courier New"/>
        </w:rPr>
      </w:pPr>
      <w:r>
        <w:rPr>
          <w:rFonts w:cs="Courier New"/>
        </w:rPr>
        <w:lastRenderedPageBreak/>
        <w:t xml:space="preserve">In year 3, the new sources from year 1 and from year 2 will conduct annual performance tests, if applicable, and will submit semiannual compliance reports. The new sources from year 3 will conduct initial performance tests, fuel analyses, and submit all initial notifications and semiannual compliance reports.  Also in year 3, the remaining half of existing affected sources will conduct an energy audit, initial compliance tests, and tune-ups. </w:t>
      </w:r>
      <w:r w:rsidR="0095051C">
        <w:rPr>
          <w:rFonts w:cs="Courier New"/>
        </w:rPr>
        <w:t xml:space="preserve"> </w:t>
      </w:r>
      <w:r>
        <w:rPr>
          <w:rFonts w:cs="Courier New"/>
        </w:rPr>
        <w:t>For all existing sources for which an energy audit is required, the report from the energy audit and/or tune-up</w:t>
      </w:r>
      <w:r w:rsidR="0095051C">
        <w:rPr>
          <w:rFonts w:cs="Courier New"/>
        </w:rPr>
        <w:t>,</w:t>
      </w:r>
      <w:r>
        <w:rPr>
          <w:rFonts w:cs="Courier New"/>
        </w:rPr>
        <w:t xml:space="preserve"> and the initial notification of compliance status will be submitted. </w:t>
      </w:r>
    </w:p>
    <w:p w:rsidR="00F533A9" w:rsidRDefault="00F533A9" w:rsidP="00D87516">
      <w:pPr>
        <w:widowControl/>
        <w:ind w:firstLine="720"/>
        <w:rPr>
          <w:rFonts w:cs="Courier New"/>
        </w:rPr>
      </w:pPr>
      <w:r>
        <w:rPr>
          <w:rFonts w:cs="Courier New"/>
        </w:rPr>
        <w:t xml:space="preserve">  </w:t>
      </w:r>
    </w:p>
    <w:p w:rsidR="00F533A9" w:rsidRDefault="00F533A9" w:rsidP="00D87516">
      <w:pPr>
        <w:widowControl/>
        <w:ind w:firstLine="720"/>
        <w:rPr>
          <w:rFonts w:cs="Courier New"/>
        </w:rPr>
      </w:pPr>
      <w:r>
        <w:rPr>
          <w:rFonts w:cs="Courier New"/>
        </w:rPr>
        <w:t>In year 1, new sources will begin keeping records of data such as operating limits, fuel usage, and any reports submitted to EPA.  In year 2, the new sources from years 1 and 2 will keep records of such data.  In year 3, all new and existing affected facilities that are subject to recordkeeping requirements will keep records of such data.</w:t>
      </w:r>
    </w:p>
    <w:p w:rsidR="00F533A9" w:rsidRDefault="00F533A9">
      <w:pPr>
        <w:pBdr>
          <w:top w:val="single" w:sz="6" w:space="0" w:color="FFFFFF"/>
          <w:left w:val="single" w:sz="6" w:space="0" w:color="FFFFFF"/>
          <w:bottom w:val="single" w:sz="6" w:space="0" w:color="FFFFFF"/>
          <w:right w:val="single" w:sz="6" w:space="0" w:color="FFFFFF"/>
        </w:pBdr>
        <w:rPr>
          <w:b/>
          <w:bCs/>
          <w:color w:val="000000"/>
        </w:rPr>
      </w:pPr>
    </w:p>
    <w:p w:rsidR="00F533A9" w:rsidRDefault="00F533A9">
      <w:pPr>
        <w:pBdr>
          <w:top w:val="single" w:sz="6" w:space="0"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F533A9" w:rsidRDefault="00F533A9">
      <w:pPr>
        <w:pBdr>
          <w:top w:val="single" w:sz="6" w:space="0" w:color="FFFFFF"/>
          <w:left w:val="single" w:sz="6" w:space="0" w:color="FFFFFF"/>
          <w:bottom w:val="single" w:sz="6" w:space="0" w:color="FFFFFF"/>
          <w:right w:val="single" w:sz="6" w:space="0" w:color="FFFFFF"/>
        </w:pBdr>
        <w:rPr>
          <w:b/>
          <w:bCs/>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proofErr w:type="gramStart"/>
      <w:r>
        <w:rPr>
          <w:color w:val="000000"/>
        </w:rPr>
        <w:t>Tables</w:t>
      </w:r>
      <w:proofErr w:type="gramEnd"/>
      <w:r>
        <w:rPr>
          <w:color w:val="000000"/>
        </w:rPr>
        <w:t xml:space="preserve"> 1.A-8.A 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t>
      </w:r>
      <w:proofErr w:type="gramStart"/>
      <w:r>
        <w:rPr>
          <w:color w:val="000000"/>
        </w:rPr>
        <w:t>Where appropriate, specific tasks and major assumptions have been identified.</w:t>
      </w:r>
      <w:proofErr w:type="gramEnd"/>
      <w:r>
        <w:rPr>
          <w:color w:val="000000"/>
        </w:rPr>
        <w:t xml:space="preserve">  Responses to this information collection are mandatory.</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8C13B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requirements is estimated to be $</w:t>
      </w:r>
      <w:r w:rsidRPr="008C13BA">
        <w:rPr>
          <w:color w:val="000000"/>
        </w:rPr>
        <w:t>406.8</w:t>
      </w:r>
      <w:r>
        <w:rPr>
          <w:color w:val="000000"/>
        </w:rPr>
        <w:t xml:space="preserve"> million, including $</w:t>
      </w:r>
      <w:r w:rsidRPr="008C13BA">
        <w:rPr>
          <w:color w:val="000000"/>
        </w:rPr>
        <w:t>253.7</w:t>
      </w:r>
      <w:r>
        <w:rPr>
          <w:color w:val="000000"/>
        </w:rPr>
        <w:t xml:space="preserve"> million in labor costs and $</w:t>
      </w:r>
      <w:r w:rsidRPr="008C13BA">
        <w:rPr>
          <w:color w:val="000000"/>
        </w:rPr>
        <w:t>153.1</w:t>
      </w:r>
      <w:r>
        <w:rPr>
          <w:color w:val="000000"/>
        </w:rPr>
        <w:t xml:space="preserve"> million in non-labor capital/start-up and operation and maintenance (O&amp;M) costs.  The average annual recordkeeping hours shown in Tables 1.A-8.C is 201,400.  The average annual reporting requirement hours shown in Tables 1.A-8.C is 2.5 million.  These hours are based on Agency studies and background documents from the development</w:t>
      </w:r>
      <w:r w:rsidR="00F533A9">
        <w:rPr>
          <w:color w:val="000000"/>
        </w:rPr>
        <w:t xml:space="preserve"> of the regulation, Agency knowledge and experience with the </w:t>
      </w:r>
      <w:r w:rsidR="00F533A9" w:rsidRPr="00000FA6">
        <w:t>NESHAP</w:t>
      </w:r>
      <w:r w:rsidR="00F533A9">
        <w:rPr>
          <w:color w:val="000000"/>
        </w:rPr>
        <w:t xml:space="preserve"> program, and any comments received.</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rsidP="002712EB">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F533A9" w:rsidRDefault="00F533A9" w:rsidP="002712EB">
      <w:pPr>
        <w:pBdr>
          <w:top w:val="single" w:sz="6" w:space="0" w:color="FFFFFF"/>
          <w:left w:val="single" w:sz="6" w:space="0" w:color="FFFFFF"/>
          <w:bottom w:val="single" w:sz="6" w:space="0" w:color="FFFFFF"/>
          <w:right w:val="single" w:sz="6" w:space="0" w:color="FFFFFF"/>
        </w:pBdr>
        <w:rPr>
          <w:b/>
          <w:bCs/>
          <w:color w:val="000000"/>
        </w:rPr>
      </w:pPr>
    </w:p>
    <w:p w:rsidR="00F533A9" w:rsidRDefault="00F533A9" w:rsidP="002712EB">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F533A9" w:rsidRDefault="00F533A9"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F533A9" w:rsidRDefault="00F533A9" w:rsidP="002712E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F533A9" w:rsidRDefault="00F533A9" w:rsidP="002712EB">
      <w:pPr>
        <w:pBdr>
          <w:top w:val="single" w:sz="6" w:space="0" w:color="FFFFFF"/>
          <w:left w:val="single" w:sz="6" w:space="0" w:color="FFFFFF"/>
          <w:bottom w:val="single" w:sz="6" w:space="0" w:color="FFFFFF"/>
          <w:right w:val="single" w:sz="6" w:space="0" w:color="FFFFFF"/>
        </w:pBdr>
        <w:rPr>
          <w:color w:val="000000"/>
        </w:rPr>
      </w:pPr>
    </w:p>
    <w:p w:rsidR="00F533A9" w:rsidRDefault="00F533A9"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$114.49 ($54.52 + 110%)   </w:t>
      </w:r>
    </w:p>
    <w:p w:rsidR="00F533A9" w:rsidRDefault="00F533A9"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$98.20 ($46.76 + 110%)</w:t>
      </w:r>
    </w:p>
    <w:p w:rsidR="00F533A9" w:rsidRDefault="00F533A9"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$48.53 ($23.11 + 110%)</w:t>
      </w:r>
    </w:p>
    <w:p w:rsidR="00F533A9" w:rsidRDefault="00F533A9" w:rsidP="002712EB">
      <w:pPr>
        <w:pBdr>
          <w:top w:val="single" w:sz="6" w:space="0" w:color="FFFFFF"/>
          <w:left w:val="single" w:sz="6" w:space="0" w:color="FFFFFF"/>
          <w:bottom w:val="single" w:sz="6" w:space="0" w:color="FFFFFF"/>
          <w:right w:val="single" w:sz="6" w:space="0" w:color="FFFFFF"/>
        </w:pBdr>
        <w:rPr>
          <w:color w:val="000000"/>
        </w:rPr>
      </w:pPr>
    </w:p>
    <w:p w:rsidR="00F533A9" w:rsidRDefault="00F533A9"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September 2009, Table 2. </w:t>
      </w:r>
      <w:proofErr w:type="gramStart"/>
      <w:r>
        <w:rPr>
          <w:color w:val="000000"/>
        </w:rPr>
        <w:t>Civilian Workers, by occupational and industry group.</w:t>
      </w:r>
      <w:proofErr w:type="gramEnd"/>
      <w:r>
        <w:rPr>
          <w:color w:val="000000"/>
        </w:rPr>
        <w:t xml:space="preserve">  The rates are from column 1, Total compensation.  The rates have been increased by 110 percent to account for the benefit packages available to those employed by private industry.</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standard(s) are both labor costs which are addressed elsewhere in this ICR and the costs associated with continuous monitoring devices, hiring third party contractors to perform stack tests, energy audits, and/or boiler tune-ups.  The capital/startup costs are one time costs when a facility becomes subject to the regulation.  The annual operation and maintenance costs are the ongoing costs to maintain the monitor(s), conduct subsequent tests or tune-ups, and other costs such as photocopying and postage.</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rsidP="00097D35">
      <w:pPr>
        <w:widowControl/>
        <w:ind w:firstLine="720"/>
        <w:rPr>
          <w:rFonts w:cs="Courier New"/>
        </w:rPr>
      </w:pPr>
      <w:r>
        <w:rPr>
          <w:rFonts w:cs="Courier New"/>
        </w:rPr>
        <w:t xml:space="preserve">Costs associated with O&amp;M include the annual operation and maintenance costs associated with the continuous parameter monitoring equipment, initial and annual stack and performance testing and/or fuel analysis, and certified energy audits and/or tune-ups.  Below </w:t>
      </w:r>
      <w:proofErr w:type="gramStart"/>
      <w:r>
        <w:rPr>
          <w:rFonts w:cs="Courier New"/>
        </w:rPr>
        <w:t>is</w:t>
      </w:r>
      <w:proofErr w:type="gramEnd"/>
      <w:r>
        <w:rPr>
          <w:rFonts w:cs="Courier New"/>
        </w:rPr>
        <w:t xml:space="preserve"> the estimated total annualized capital and startup costs and O&amp;M costs for the affected units for the first 3 years after promulgation. </w:t>
      </w:r>
    </w:p>
    <w:p w:rsidR="00884D40" w:rsidRDefault="00884D40" w:rsidP="00097D35">
      <w:pPr>
        <w:widowControl/>
        <w:ind w:firstLine="720"/>
        <w:rPr>
          <w:rFonts w:cs="Courier New"/>
        </w:rPr>
      </w:pPr>
    </w:p>
    <w:p w:rsidR="00884D40" w:rsidRDefault="00884D40" w:rsidP="00884D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5735B1">
        <w:rPr>
          <w:color w:val="000000"/>
        </w:rPr>
        <w:t>22.7</w:t>
      </w:r>
      <w:r>
        <w:rPr>
          <w:color w:val="000000"/>
        </w:rPr>
        <w:t xml:space="preserve"> million for the three years following promulgation.  This is the total of column D in the table below.  This reflects the initial costs to purchase monitoring equipment.</w:t>
      </w:r>
    </w:p>
    <w:p w:rsidR="00884D40" w:rsidRDefault="00884D40" w:rsidP="00884D40">
      <w:pPr>
        <w:pBdr>
          <w:top w:val="single" w:sz="6" w:space="0" w:color="FFFFFF"/>
          <w:left w:val="single" w:sz="6" w:space="0" w:color="FFFFFF"/>
          <w:bottom w:val="single" w:sz="6" w:space="0" w:color="FFFFFF"/>
          <w:right w:val="single" w:sz="6" w:space="0" w:color="FFFFFF"/>
        </w:pBdr>
        <w:rPr>
          <w:color w:val="000000"/>
        </w:rPr>
      </w:pPr>
    </w:p>
    <w:p w:rsidR="00884D40" w:rsidRDefault="00884D40" w:rsidP="004E34C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w:t>
      </w:r>
      <w:r w:rsidR="004E34C8">
        <w:rPr>
          <w:color w:val="000000"/>
        </w:rPr>
        <w:t>annualized capital</w:t>
      </w:r>
      <w:r w:rsidR="00031B40">
        <w:rPr>
          <w:color w:val="000000"/>
        </w:rPr>
        <w:t>/startup</w:t>
      </w:r>
      <w:r w:rsidR="004E34C8">
        <w:rPr>
          <w:color w:val="000000"/>
        </w:rPr>
        <w:t xml:space="preserve"> and </w:t>
      </w:r>
      <w:r>
        <w:rPr>
          <w:color w:val="000000"/>
        </w:rPr>
        <w:t>O&amp;M costs for this ICR are $</w:t>
      </w:r>
      <w:r w:rsidR="005735B1">
        <w:rPr>
          <w:color w:val="000000"/>
        </w:rPr>
        <w:t>459.4</w:t>
      </w:r>
      <w:r>
        <w:rPr>
          <w:color w:val="000000"/>
        </w:rPr>
        <w:t xml:space="preserve"> million, or an average of $</w:t>
      </w:r>
      <w:r w:rsidR="005735B1">
        <w:rPr>
          <w:color w:val="000000"/>
        </w:rPr>
        <w:t xml:space="preserve">153.1 </w:t>
      </w:r>
      <w:r>
        <w:rPr>
          <w:color w:val="000000"/>
        </w:rPr>
        <w:t xml:space="preserve">million per year. </w:t>
      </w:r>
      <w:r w:rsidR="00031B40">
        <w:rPr>
          <w:color w:val="000000"/>
        </w:rPr>
        <w:t>These are recordkeeping costs.</w:t>
      </w:r>
      <w:r>
        <w:rPr>
          <w:color w:val="000000"/>
        </w:rPr>
        <w:t xml:space="preserve"> This reflects the capital recovery of purchasing the monitoring equipment, costs to operate the monitoring equipment, and fees paid to third parties to conduct initial and annual stack testing, biennial tune-ups, and one-time energy audits at facilities with large boilers.</w:t>
      </w:r>
      <w:r w:rsidR="004E34C8">
        <w:rPr>
          <w:color w:val="000000"/>
        </w:rPr>
        <w:t xml:space="preserve"> </w:t>
      </w:r>
    </w:p>
    <w:p w:rsidR="004E34C8" w:rsidRDefault="004E34C8" w:rsidP="004E34C8">
      <w:pPr>
        <w:pBdr>
          <w:top w:val="single" w:sz="6" w:space="0" w:color="FFFFFF"/>
          <w:left w:val="single" w:sz="6" w:space="0" w:color="FFFFFF"/>
          <w:bottom w:val="single" w:sz="6" w:space="0" w:color="FFFFFF"/>
          <w:right w:val="single" w:sz="6" w:space="0" w:color="FFFFFF"/>
        </w:pBdr>
        <w:ind w:firstLine="720"/>
        <w:rPr>
          <w:color w:val="000000"/>
        </w:rPr>
      </w:pPr>
    </w:p>
    <w:p w:rsidR="00884D40" w:rsidRPr="00884D40" w:rsidRDefault="008C13BA" w:rsidP="00884D40">
      <w:pPr>
        <w:pStyle w:val="Caption"/>
        <w:keepNext/>
        <w:rPr>
          <w:rFonts w:ascii="Times New Roman" w:hAnsi="Times New Roman"/>
          <w:sz w:val="24"/>
          <w:szCs w:val="24"/>
        </w:rPr>
      </w:pPr>
      <w:r>
        <w:rPr>
          <w:rFonts w:ascii="Times New Roman" w:hAnsi="Times New Roman"/>
          <w:sz w:val="24"/>
          <w:szCs w:val="24"/>
        </w:rPr>
        <w:t xml:space="preserve">Table </w:t>
      </w:r>
      <w:r w:rsidR="00F50781" w:rsidRPr="005735B1">
        <w:rPr>
          <w:rFonts w:ascii="Times New Roman" w:hAnsi="Times New Roman"/>
          <w:sz w:val="24"/>
          <w:szCs w:val="24"/>
        </w:rPr>
        <w:fldChar w:fldCharType="begin"/>
      </w:r>
      <w:r>
        <w:rPr>
          <w:rFonts w:ascii="Times New Roman" w:hAnsi="Times New Roman"/>
          <w:sz w:val="24"/>
          <w:szCs w:val="24"/>
        </w:rPr>
        <w:instrText xml:space="preserve"> SEQ Table \* ARABIC </w:instrText>
      </w:r>
      <w:r w:rsidR="00F50781" w:rsidRPr="005735B1">
        <w:rPr>
          <w:rFonts w:ascii="Times New Roman" w:hAnsi="Times New Roman"/>
          <w:sz w:val="24"/>
          <w:szCs w:val="24"/>
        </w:rPr>
        <w:fldChar w:fldCharType="separate"/>
      </w:r>
      <w:r>
        <w:rPr>
          <w:rFonts w:ascii="Times New Roman" w:hAnsi="Times New Roman"/>
          <w:noProof/>
          <w:sz w:val="24"/>
          <w:szCs w:val="24"/>
        </w:rPr>
        <w:t>2</w:t>
      </w:r>
      <w:r w:rsidR="00F50781" w:rsidRPr="005735B1">
        <w:rPr>
          <w:rFonts w:ascii="Times New Roman" w:hAnsi="Times New Roman"/>
          <w:sz w:val="24"/>
          <w:szCs w:val="24"/>
        </w:rPr>
        <w:fldChar w:fldCharType="end"/>
      </w:r>
      <w:r>
        <w:rPr>
          <w:rFonts w:ascii="Times New Roman" w:hAnsi="Times New Roman"/>
          <w:sz w:val="24"/>
          <w:szCs w:val="24"/>
        </w:rPr>
        <w:t>:  Capital/Start-up vs. O&amp;M Costs</w:t>
      </w:r>
    </w:p>
    <w:tbl>
      <w:tblPr>
        <w:tblW w:w="8931" w:type="dxa"/>
        <w:tblInd w:w="293" w:type="dxa"/>
        <w:tblLayout w:type="fixed"/>
        <w:tblLook w:val="04A0"/>
      </w:tblPr>
      <w:tblGrid>
        <w:gridCol w:w="1345"/>
        <w:gridCol w:w="1595"/>
        <w:gridCol w:w="2111"/>
        <w:gridCol w:w="1674"/>
        <w:gridCol w:w="2206"/>
      </w:tblGrid>
      <w:tr w:rsidR="004B0F4A" w:rsidRPr="004B0F4A" w:rsidTr="005735B1">
        <w:trPr>
          <w:trHeight w:val="270"/>
        </w:trPr>
        <w:tc>
          <w:tcPr>
            <w:tcW w:w="1345" w:type="dxa"/>
            <w:tcBorders>
              <w:top w:val="single" w:sz="8" w:space="0" w:color="auto"/>
              <w:left w:val="single" w:sz="8" w:space="0" w:color="auto"/>
              <w:bottom w:val="nil"/>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(A)</w:t>
            </w:r>
          </w:p>
        </w:tc>
        <w:tc>
          <w:tcPr>
            <w:tcW w:w="1595" w:type="dxa"/>
            <w:tcBorders>
              <w:top w:val="single" w:sz="8" w:space="0" w:color="auto"/>
              <w:left w:val="nil"/>
              <w:bottom w:val="nil"/>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(B)</w:t>
            </w:r>
          </w:p>
        </w:tc>
        <w:tc>
          <w:tcPr>
            <w:tcW w:w="2111" w:type="dxa"/>
            <w:tcBorders>
              <w:top w:val="single" w:sz="8" w:space="0" w:color="auto"/>
              <w:left w:val="nil"/>
              <w:bottom w:val="nil"/>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(C)</w:t>
            </w:r>
          </w:p>
        </w:tc>
        <w:tc>
          <w:tcPr>
            <w:tcW w:w="1674" w:type="dxa"/>
            <w:tcBorders>
              <w:top w:val="single" w:sz="8" w:space="0" w:color="auto"/>
              <w:left w:val="nil"/>
              <w:bottom w:val="nil"/>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(D)</w:t>
            </w:r>
          </w:p>
        </w:tc>
        <w:tc>
          <w:tcPr>
            <w:tcW w:w="2206" w:type="dxa"/>
            <w:tcBorders>
              <w:top w:val="single" w:sz="8" w:space="0" w:color="auto"/>
              <w:left w:val="nil"/>
              <w:bottom w:val="nil"/>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(E)</w:t>
            </w:r>
          </w:p>
        </w:tc>
      </w:tr>
      <w:tr w:rsidR="004B0F4A" w:rsidRPr="004B0F4A" w:rsidTr="005735B1">
        <w:trPr>
          <w:trHeight w:val="835"/>
        </w:trPr>
        <w:tc>
          <w:tcPr>
            <w:tcW w:w="134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Boiler Type</w:t>
            </w:r>
          </w:p>
        </w:tc>
        <w:tc>
          <w:tcPr>
            <w:tcW w:w="1595" w:type="dxa"/>
            <w:tcBorders>
              <w:top w:val="single" w:sz="8" w:space="0" w:color="auto"/>
              <w:left w:val="nil"/>
              <w:bottom w:val="single" w:sz="8"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Number of Respondents (facilities)</w:t>
            </w:r>
          </w:p>
        </w:tc>
        <w:tc>
          <w:tcPr>
            <w:tcW w:w="2111" w:type="dxa"/>
            <w:tcBorders>
              <w:top w:val="single" w:sz="8" w:space="0" w:color="auto"/>
              <w:left w:val="nil"/>
              <w:bottom w:val="single" w:sz="8"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Total Annualized Capital and O&amp;M over 3 years</w:t>
            </w:r>
          </w:p>
        </w:tc>
        <w:tc>
          <w:tcPr>
            <w:tcW w:w="1674" w:type="dxa"/>
            <w:tcBorders>
              <w:top w:val="single" w:sz="8" w:space="0" w:color="auto"/>
              <w:left w:val="nil"/>
              <w:bottom w:val="single" w:sz="8"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Total Capital/Startup Cost over 3 years</w:t>
            </w:r>
          </w:p>
        </w:tc>
        <w:tc>
          <w:tcPr>
            <w:tcW w:w="2206" w:type="dxa"/>
            <w:tcBorders>
              <w:top w:val="single" w:sz="8" w:space="0" w:color="auto"/>
              <w:left w:val="nil"/>
              <w:bottom w:val="single" w:sz="8"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Average Annual O&amp;M and Annualized Capital Costs per year</w:t>
            </w:r>
          </w:p>
        </w:tc>
      </w:tr>
      <w:tr w:rsidR="004B0F4A" w:rsidRPr="004B0F4A" w:rsidTr="005735B1">
        <w:trPr>
          <w:trHeight w:val="510"/>
        </w:trPr>
        <w:tc>
          <w:tcPr>
            <w:tcW w:w="1345" w:type="dxa"/>
            <w:tcBorders>
              <w:top w:val="nil"/>
              <w:left w:val="single" w:sz="8" w:space="0" w:color="auto"/>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Existing Large Solid Units</w:t>
            </w:r>
          </w:p>
        </w:tc>
        <w:tc>
          <w:tcPr>
            <w:tcW w:w="1595"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2,020</w:t>
            </w:r>
          </w:p>
        </w:tc>
        <w:tc>
          <w:tcPr>
            <w:tcW w:w="2111"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 xml:space="preserve"> $               20,730,258 </w:t>
            </w:r>
          </w:p>
        </w:tc>
        <w:tc>
          <w:tcPr>
            <w:tcW w:w="1674"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 xml:space="preserve"> $        2,040,000 </w:t>
            </w:r>
          </w:p>
        </w:tc>
        <w:tc>
          <w:tcPr>
            <w:tcW w:w="2206" w:type="dxa"/>
            <w:tcBorders>
              <w:top w:val="nil"/>
              <w:left w:val="nil"/>
              <w:bottom w:val="single" w:sz="4"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rPr>
                <w:sz w:val="20"/>
                <w:szCs w:val="20"/>
              </w:rPr>
            </w:pPr>
            <w:r w:rsidRPr="004B0F4A">
              <w:rPr>
                <w:sz w:val="20"/>
                <w:szCs w:val="20"/>
              </w:rPr>
              <w:t xml:space="preserve"> $                  6,910,086 </w:t>
            </w:r>
          </w:p>
        </w:tc>
      </w:tr>
      <w:tr w:rsidR="004B0F4A" w:rsidRPr="004B0F4A" w:rsidTr="005735B1">
        <w:trPr>
          <w:trHeight w:val="510"/>
        </w:trPr>
        <w:tc>
          <w:tcPr>
            <w:tcW w:w="1345" w:type="dxa"/>
            <w:tcBorders>
              <w:top w:val="nil"/>
              <w:left w:val="single" w:sz="8" w:space="0" w:color="auto"/>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lastRenderedPageBreak/>
              <w:t>New Large Solid Units</w:t>
            </w:r>
          </w:p>
        </w:tc>
        <w:tc>
          <w:tcPr>
            <w:tcW w:w="1595"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30</w:t>
            </w:r>
          </w:p>
        </w:tc>
        <w:tc>
          <w:tcPr>
            <w:tcW w:w="2111"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 xml:space="preserve"> $                    313,700 </w:t>
            </w:r>
          </w:p>
        </w:tc>
        <w:tc>
          <w:tcPr>
            <w:tcW w:w="1674"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 xml:space="preserve"> $           474,100 </w:t>
            </w:r>
          </w:p>
        </w:tc>
        <w:tc>
          <w:tcPr>
            <w:tcW w:w="2206" w:type="dxa"/>
            <w:tcBorders>
              <w:top w:val="nil"/>
              <w:left w:val="nil"/>
              <w:bottom w:val="single" w:sz="4"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rPr>
                <w:sz w:val="20"/>
                <w:szCs w:val="20"/>
              </w:rPr>
            </w:pPr>
            <w:r w:rsidRPr="004B0F4A">
              <w:rPr>
                <w:sz w:val="20"/>
                <w:szCs w:val="20"/>
              </w:rPr>
              <w:t xml:space="preserve"> $                     104,567 </w:t>
            </w:r>
          </w:p>
        </w:tc>
      </w:tr>
      <w:tr w:rsidR="004B0F4A" w:rsidRPr="004B0F4A" w:rsidTr="005735B1">
        <w:trPr>
          <w:trHeight w:val="510"/>
        </w:trPr>
        <w:tc>
          <w:tcPr>
            <w:tcW w:w="1345" w:type="dxa"/>
            <w:tcBorders>
              <w:top w:val="nil"/>
              <w:left w:val="single" w:sz="8" w:space="0" w:color="auto"/>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Existing Small Solid Units</w:t>
            </w:r>
          </w:p>
        </w:tc>
        <w:tc>
          <w:tcPr>
            <w:tcW w:w="1595"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5,314</w:t>
            </w:r>
          </w:p>
        </w:tc>
        <w:tc>
          <w:tcPr>
            <w:tcW w:w="2111"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 xml:space="preserve"> $               11,840,706 </w:t>
            </w:r>
          </w:p>
        </w:tc>
        <w:tc>
          <w:tcPr>
            <w:tcW w:w="1674" w:type="dxa"/>
            <w:tcBorders>
              <w:top w:val="nil"/>
              <w:left w:val="nil"/>
              <w:bottom w:val="single" w:sz="4" w:space="0" w:color="auto"/>
              <w:right w:val="single" w:sz="8" w:space="0" w:color="auto"/>
            </w:tcBorders>
            <w:shd w:val="clear" w:color="auto" w:fill="auto"/>
            <w:vAlign w:val="bottom"/>
            <w:hideMark/>
          </w:tcPr>
          <w:p w:rsidR="00EF6B7D" w:rsidRDefault="005735B1">
            <w:pPr>
              <w:widowControl/>
              <w:autoSpaceDE/>
              <w:autoSpaceDN/>
              <w:adjustRightInd/>
              <w:rPr>
                <w:color w:val="000000"/>
                <w:sz w:val="20"/>
                <w:szCs w:val="20"/>
              </w:rPr>
            </w:pPr>
            <w:r>
              <w:rPr>
                <w:color w:val="000000"/>
                <w:sz w:val="20"/>
                <w:szCs w:val="20"/>
              </w:rPr>
              <w:t xml:space="preserve">  </w:t>
            </w:r>
            <w:r w:rsidR="004B0F4A" w:rsidRPr="004B0F4A">
              <w:rPr>
                <w:color w:val="000000"/>
                <w:sz w:val="20"/>
                <w:szCs w:val="20"/>
              </w:rPr>
              <w:t xml:space="preserve">$                    -   </w:t>
            </w:r>
          </w:p>
        </w:tc>
        <w:tc>
          <w:tcPr>
            <w:tcW w:w="2206" w:type="dxa"/>
            <w:tcBorders>
              <w:top w:val="nil"/>
              <w:left w:val="nil"/>
              <w:bottom w:val="single" w:sz="4"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rPr>
                <w:sz w:val="20"/>
                <w:szCs w:val="20"/>
              </w:rPr>
            </w:pPr>
            <w:r w:rsidRPr="004B0F4A">
              <w:rPr>
                <w:sz w:val="20"/>
                <w:szCs w:val="20"/>
              </w:rPr>
              <w:t xml:space="preserve"> $                  3,946,902 </w:t>
            </w:r>
          </w:p>
        </w:tc>
      </w:tr>
      <w:tr w:rsidR="004B0F4A" w:rsidRPr="004B0F4A" w:rsidTr="005735B1">
        <w:trPr>
          <w:trHeight w:val="510"/>
        </w:trPr>
        <w:tc>
          <w:tcPr>
            <w:tcW w:w="1345" w:type="dxa"/>
            <w:tcBorders>
              <w:top w:val="nil"/>
              <w:left w:val="single" w:sz="8" w:space="0" w:color="auto"/>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New Small Solid Units</w:t>
            </w:r>
          </w:p>
        </w:tc>
        <w:tc>
          <w:tcPr>
            <w:tcW w:w="1595"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148</w:t>
            </w:r>
          </w:p>
        </w:tc>
        <w:tc>
          <w:tcPr>
            <w:tcW w:w="2111"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 xml:space="preserve"> $                    657,260 </w:t>
            </w:r>
          </w:p>
        </w:tc>
        <w:tc>
          <w:tcPr>
            <w:tcW w:w="1674" w:type="dxa"/>
            <w:tcBorders>
              <w:top w:val="nil"/>
              <w:left w:val="nil"/>
              <w:bottom w:val="single" w:sz="4" w:space="0" w:color="auto"/>
              <w:right w:val="single" w:sz="8" w:space="0" w:color="auto"/>
            </w:tcBorders>
            <w:shd w:val="clear" w:color="auto" w:fill="auto"/>
            <w:vAlign w:val="bottom"/>
            <w:hideMark/>
          </w:tcPr>
          <w:p w:rsidR="00EF6B7D" w:rsidRDefault="005735B1">
            <w:pPr>
              <w:widowControl/>
              <w:autoSpaceDE/>
              <w:autoSpaceDN/>
              <w:adjustRightInd/>
              <w:rPr>
                <w:sz w:val="20"/>
                <w:szCs w:val="20"/>
              </w:rPr>
            </w:pPr>
            <w:r>
              <w:rPr>
                <w:sz w:val="20"/>
                <w:szCs w:val="20"/>
              </w:rPr>
              <w:t xml:space="preserve">  </w:t>
            </w:r>
            <w:r w:rsidR="004B0F4A" w:rsidRPr="004B0F4A">
              <w:rPr>
                <w:sz w:val="20"/>
                <w:szCs w:val="20"/>
              </w:rPr>
              <w:t xml:space="preserve">$                    -   </w:t>
            </w:r>
          </w:p>
        </w:tc>
        <w:tc>
          <w:tcPr>
            <w:tcW w:w="2206" w:type="dxa"/>
            <w:tcBorders>
              <w:top w:val="nil"/>
              <w:left w:val="nil"/>
              <w:bottom w:val="single" w:sz="4"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rPr>
                <w:sz w:val="20"/>
                <w:szCs w:val="20"/>
              </w:rPr>
            </w:pPr>
            <w:r w:rsidRPr="004B0F4A">
              <w:rPr>
                <w:sz w:val="20"/>
                <w:szCs w:val="20"/>
              </w:rPr>
              <w:t xml:space="preserve"> $                     219,087 </w:t>
            </w:r>
          </w:p>
        </w:tc>
      </w:tr>
      <w:tr w:rsidR="004B0F4A" w:rsidRPr="004B0F4A" w:rsidTr="005735B1">
        <w:trPr>
          <w:trHeight w:val="585"/>
        </w:trPr>
        <w:tc>
          <w:tcPr>
            <w:tcW w:w="1345" w:type="dxa"/>
            <w:tcBorders>
              <w:top w:val="nil"/>
              <w:left w:val="single" w:sz="8" w:space="0" w:color="auto"/>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Existing Large Liquid Units</w:t>
            </w:r>
          </w:p>
        </w:tc>
        <w:tc>
          <w:tcPr>
            <w:tcW w:w="1595"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4,615</w:t>
            </w:r>
          </w:p>
        </w:tc>
        <w:tc>
          <w:tcPr>
            <w:tcW w:w="2111"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 xml:space="preserve"> $               37,226,090 </w:t>
            </w:r>
          </w:p>
        </w:tc>
        <w:tc>
          <w:tcPr>
            <w:tcW w:w="1674" w:type="dxa"/>
            <w:tcBorders>
              <w:top w:val="nil"/>
              <w:left w:val="nil"/>
              <w:bottom w:val="single" w:sz="4" w:space="0" w:color="auto"/>
              <w:right w:val="single" w:sz="8" w:space="0" w:color="auto"/>
            </w:tcBorders>
            <w:shd w:val="clear" w:color="auto" w:fill="auto"/>
            <w:vAlign w:val="bottom"/>
            <w:hideMark/>
          </w:tcPr>
          <w:p w:rsidR="00EF6B7D" w:rsidRDefault="005735B1">
            <w:pPr>
              <w:widowControl/>
              <w:autoSpaceDE/>
              <w:autoSpaceDN/>
              <w:adjustRightInd/>
              <w:rPr>
                <w:sz w:val="20"/>
                <w:szCs w:val="20"/>
              </w:rPr>
            </w:pPr>
            <w:r>
              <w:rPr>
                <w:sz w:val="20"/>
                <w:szCs w:val="20"/>
              </w:rPr>
              <w:t xml:space="preserve">  </w:t>
            </w:r>
            <w:r w:rsidR="004B0F4A" w:rsidRPr="004B0F4A">
              <w:rPr>
                <w:sz w:val="20"/>
                <w:szCs w:val="20"/>
              </w:rPr>
              <w:t xml:space="preserve">$                    -   </w:t>
            </w:r>
          </w:p>
        </w:tc>
        <w:tc>
          <w:tcPr>
            <w:tcW w:w="2206" w:type="dxa"/>
            <w:tcBorders>
              <w:top w:val="nil"/>
              <w:left w:val="nil"/>
              <w:bottom w:val="single" w:sz="4"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rPr>
                <w:sz w:val="20"/>
                <w:szCs w:val="20"/>
              </w:rPr>
            </w:pPr>
            <w:r w:rsidRPr="004B0F4A">
              <w:rPr>
                <w:sz w:val="20"/>
                <w:szCs w:val="20"/>
              </w:rPr>
              <w:t xml:space="preserve"> $                12,408,697 </w:t>
            </w:r>
          </w:p>
        </w:tc>
      </w:tr>
      <w:tr w:rsidR="004B0F4A" w:rsidRPr="004B0F4A" w:rsidTr="005735B1">
        <w:trPr>
          <w:trHeight w:val="510"/>
        </w:trPr>
        <w:tc>
          <w:tcPr>
            <w:tcW w:w="1345" w:type="dxa"/>
            <w:tcBorders>
              <w:top w:val="nil"/>
              <w:left w:val="single" w:sz="8" w:space="0" w:color="auto"/>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New Large Liquid Units</w:t>
            </w:r>
          </w:p>
        </w:tc>
        <w:tc>
          <w:tcPr>
            <w:tcW w:w="1595"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244</w:t>
            </w:r>
          </w:p>
        </w:tc>
        <w:tc>
          <w:tcPr>
            <w:tcW w:w="2111"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 xml:space="preserve"> $               21,622,400 </w:t>
            </w:r>
          </w:p>
        </w:tc>
        <w:tc>
          <w:tcPr>
            <w:tcW w:w="1674"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 xml:space="preserve"> $      20,154,600 </w:t>
            </w:r>
          </w:p>
        </w:tc>
        <w:tc>
          <w:tcPr>
            <w:tcW w:w="2206" w:type="dxa"/>
            <w:tcBorders>
              <w:top w:val="nil"/>
              <w:left w:val="nil"/>
              <w:bottom w:val="single" w:sz="4"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rPr>
                <w:sz w:val="20"/>
                <w:szCs w:val="20"/>
              </w:rPr>
            </w:pPr>
            <w:r w:rsidRPr="004B0F4A">
              <w:rPr>
                <w:sz w:val="20"/>
                <w:szCs w:val="20"/>
              </w:rPr>
              <w:t xml:space="preserve"> $                  7,207,467 </w:t>
            </w:r>
          </w:p>
        </w:tc>
      </w:tr>
      <w:tr w:rsidR="004B0F4A" w:rsidRPr="004B0F4A" w:rsidTr="005735B1">
        <w:trPr>
          <w:trHeight w:val="630"/>
        </w:trPr>
        <w:tc>
          <w:tcPr>
            <w:tcW w:w="1345" w:type="dxa"/>
            <w:tcBorders>
              <w:top w:val="nil"/>
              <w:left w:val="single" w:sz="8" w:space="0" w:color="auto"/>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Existing Small Liquid Units</w:t>
            </w:r>
          </w:p>
        </w:tc>
        <w:tc>
          <w:tcPr>
            <w:tcW w:w="1595"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79,387</w:t>
            </w:r>
          </w:p>
        </w:tc>
        <w:tc>
          <w:tcPr>
            <w:tcW w:w="2111" w:type="dxa"/>
            <w:tcBorders>
              <w:top w:val="nil"/>
              <w:left w:val="nil"/>
              <w:bottom w:val="single" w:sz="4"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 xml:space="preserve"> $             353,748,472 </w:t>
            </w:r>
          </w:p>
        </w:tc>
        <w:tc>
          <w:tcPr>
            <w:tcW w:w="1674" w:type="dxa"/>
            <w:tcBorders>
              <w:top w:val="nil"/>
              <w:left w:val="nil"/>
              <w:bottom w:val="single" w:sz="4" w:space="0" w:color="auto"/>
              <w:right w:val="single" w:sz="8" w:space="0" w:color="auto"/>
            </w:tcBorders>
            <w:shd w:val="clear" w:color="auto" w:fill="auto"/>
            <w:vAlign w:val="bottom"/>
            <w:hideMark/>
          </w:tcPr>
          <w:p w:rsidR="00EF6B7D" w:rsidRDefault="005735B1">
            <w:pPr>
              <w:widowControl/>
              <w:autoSpaceDE/>
              <w:autoSpaceDN/>
              <w:adjustRightInd/>
              <w:rPr>
                <w:sz w:val="20"/>
                <w:szCs w:val="20"/>
              </w:rPr>
            </w:pPr>
            <w:r>
              <w:rPr>
                <w:sz w:val="20"/>
                <w:szCs w:val="20"/>
              </w:rPr>
              <w:t xml:space="preserve">  </w:t>
            </w:r>
            <w:r w:rsidR="004B0F4A" w:rsidRPr="004B0F4A">
              <w:rPr>
                <w:sz w:val="20"/>
                <w:szCs w:val="20"/>
              </w:rPr>
              <w:t xml:space="preserve">$                    -   </w:t>
            </w:r>
          </w:p>
        </w:tc>
        <w:tc>
          <w:tcPr>
            <w:tcW w:w="2206" w:type="dxa"/>
            <w:tcBorders>
              <w:top w:val="nil"/>
              <w:left w:val="nil"/>
              <w:bottom w:val="single" w:sz="4"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rPr>
                <w:sz w:val="20"/>
                <w:szCs w:val="20"/>
              </w:rPr>
            </w:pPr>
            <w:r w:rsidRPr="004B0F4A">
              <w:rPr>
                <w:sz w:val="20"/>
                <w:szCs w:val="20"/>
              </w:rPr>
              <w:t xml:space="preserve"> $              117,916,157 </w:t>
            </w:r>
          </w:p>
        </w:tc>
      </w:tr>
      <w:tr w:rsidR="004B0F4A" w:rsidRPr="004B0F4A" w:rsidTr="005735B1">
        <w:trPr>
          <w:trHeight w:val="525"/>
        </w:trPr>
        <w:tc>
          <w:tcPr>
            <w:tcW w:w="1345" w:type="dxa"/>
            <w:tcBorders>
              <w:top w:val="nil"/>
              <w:left w:val="single" w:sz="8" w:space="0" w:color="auto"/>
              <w:bottom w:val="single" w:sz="8"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New Small Liquid Units</w:t>
            </w:r>
          </w:p>
        </w:tc>
        <w:tc>
          <w:tcPr>
            <w:tcW w:w="1595" w:type="dxa"/>
            <w:tcBorders>
              <w:top w:val="nil"/>
              <w:left w:val="nil"/>
              <w:bottom w:val="single" w:sz="8"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2,968</w:t>
            </w:r>
          </w:p>
        </w:tc>
        <w:tc>
          <w:tcPr>
            <w:tcW w:w="2111" w:type="dxa"/>
            <w:tcBorders>
              <w:top w:val="nil"/>
              <w:left w:val="nil"/>
              <w:bottom w:val="single" w:sz="8"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sz w:val="20"/>
                <w:szCs w:val="20"/>
              </w:rPr>
            </w:pPr>
            <w:r w:rsidRPr="004B0F4A">
              <w:rPr>
                <w:sz w:val="20"/>
                <w:szCs w:val="20"/>
              </w:rPr>
              <w:t xml:space="preserve"> $               13,227,636 </w:t>
            </w:r>
          </w:p>
        </w:tc>
        <w:tc>
          <w:tcPr>
            <w:tcW w:w="1674" w:type="dxa"/>
            <w:tcBorders>
              <w:top w:val="nil"/>
              <w:left w:val="nil"/>
              <w:bottom w:val="single" w:sz="8" w:space="0" w:color="auto"/>
              <w:right w:val="single" w:sz="8" w:space="0" w:color="auto"/>
            </w:tcBorders>
            <w:shd w:val="clear" w:color="auto" w:fill="auto"/>
            <w:vAlign w:val="bottom"/>
            <w:hideMark/>
          </w:tcPr>
          <w:p w:rsidR="00EF6B7D" w:rsidRDefault="005735B1">
            <w:pPr>
              <w:widowControl/>
              <w:autoSpaceDE/>
              <w:autoSpaceDN/>
              <w:adjustRightInd/>
              <w:rPr>
                <w:sz w:val="20"/>
                <w:szCs w:val="20"/>
              </w:rPr>
            </w:pPr>
            <w:r>
              <w:rPr>
                <w:sz w:val="20"/>
                <w:szCs w:val="20"/>
              </w:rPr>
              <w:t xml:space="preserve">  </w:t>
            </w:r>
            <w:r w:rsidR="004B0F4A" w:rsidRPr="004B0F4A">
              <w:rPr>
                <w:sz w:val="20"/>
                <w:szCs w:val="20"/>
              </w:rPr>
              <w:t xml:space="preserve">$                    -   </w:t>
            </w:r>
          </w:p>
        </w:tc>
        <w:tc>
          <w:tcPr>
            <w:tcW w:w="2206" w:type="dxa"/>
            <w:tcBorders>
              <w:top w:val="nil"/>
              <w:left w:val="nil"/>
              <w:bottom w:val="single" w:sz="8"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rPr>
                <w:sz w:val="20"/>
                <w:szCs w:val="20"/>
              </w:rPr>
            </w:pPr>
            <w:r w:rsidRPr="004B0F4A">
              <w:rPr>
                <w:sz w:val="20"/>
                <w:szCs w:val="20"/>
              </w:rPr>
              <w:t xml:space="preserve"> $                  4,409,212 </w:t>
            </w:r>
          </w:p>
        </w:tc>
      </w:tr>
      <w:tr w:rsidR="004B0F4A" w:rsidRPr="004B0F4A" w:rsidTr="005735B1">
        <w:trPr>
          <w:trHeight w:val="270"/>
        </w:trPr>
        <w:tc>
          <w:tcPr>
            <w:tcW w:w="1345" w:type="dxa"/>
            <w:tcBorders>
              <w:top w:val="nil"/>
              <w:left w:val="single" w:sz="8" w:space="0" w:color="auto"/>
              <w:bottom w:val="single" w:sz="8" w:space="0" w:color="auto"/>
              <w:right w:val="single" w:sz="8" w:space="0" w:color="auto"/>
            </w:tcBorders>
            <w:shd w:val="clear" w:color="auto" w:fill="auto"/>
            <w:vAlign w:val="bottom"/>
            <w:hideMark/>
          </w:tcPr>
          <w:p w:rsidR="004B0F4A" w:rsidRPr="004B0F4A" w:rsidRDefault="004B0F4A" w:rsidP="004B0F4A">
            <w:pPr>
              <w:widowControl/>
              <w:autoSpaceDE/>
              <w:autoSpaceDN/>
              <w:adjustRightInd/>
              <w:jc w:val="center"/>
              <w:rPr>
                <w:color w:val="000000"/>
                <w:sz w:val="20"/>
                <w:szCs w:val="20"/>
              </w:rPr>
            </w:pPr>
            <w:r w:rsidRPr="004B0F4A">
              <w:rPr>
                <w:color w:val="000000"/>
                <w:sz w:val="20"/>
                <w:szCs w:val="20"/>
              </w:rPr>
              <w:t>TOTAL</w:t>
            </w:r>
          </w:p>
        </w:tc>
        <w:tc>
          <w:tcPr>
            <w:tcW w:w="1595" w:type="dxa"/>
            <w:tcBorders>
              <w:top w:val="nil"/>
              <w:left w:val="nil"/>
              <w:bottom w:val="single" w:sz="8"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jc w:val="center"/>
              <w:rPr>
                <w:sz w:val="20"/>
                <w:szCs w:val="20"/>
              </w:rPr>
            </w:pPr>
            <w:r w:rsidRPr="004B0F4A">
              <w:rPr>
                <w:sz w:val="20"/>
                <w:szCs w:val="20"/>
              </w:rPr>
              <w:t>94,726</w:t>
            </w:r>
          </w:p>
        </w:tc>
        <w:tc>
          <w:tcPr>
            <w:tcW w:w="2111" w:type="dxa"/>
            <w:tcBorders>
              <w:top w:val="nil"/>
              <w:left w:val="nil"/>
              <w:bottom w:val="single" w:sz="8"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rPr>
                <w:sz w:val="20"/>
                <w:szCs w:val="20"/>
              </w:rPr>
            </w:pPr>
            <w:r w:rsidRPr="004B0F4A">
              <w:rPr>
                <w:sz w:val="20"/>
                <w:szCs w:val="20"/>
              </w:rPr>
              <w:t xml:space="preserve"> </w:t>
            </w:r>
            <w:r w:rsidR="005735B1">
              <w:rPr>
                <w:sz w:val="20"/>
                <w:szCs w:val="20"/>
              </w:rPr>
              <w:t xml:space="preserve"> </w:t>
            </w:r>
            <w:r w:rsidRPr="004B0F4A">
              <w:rPr>
                <w:sz w:val="20"/>
                <w:szCs w:val="20"/>
              </w:rPr>
              <w:t xml:space="preserve">$             459,366,522 </w:t>
            </w:r>
          </w:p>
        </w:tc>
        <w:tc>
          <w:tcPr>
            <w:tcW w:w="1674" w:type="dxa"/>
            <w:tcBorders>
              <w:top w:val="nil"/>
              <w:left w:val="nil"/>
              <w:bottom w:val="single" w:sz="8"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rPr>
                <w:sz w:val="20"/>
                <w:szCs w:val="20"/>
              </w:rPr>
            </w:pPr>
            <w:r w:rsidRPr="004B0F4A">
              <w:rPr>
                <w:sz w:val="20"/>
                <w:szCs w:val="20"/>
              </w:rPr>
              <w:t xml:space="preserve"> </w:t>
            </w:r>
            <w:r w:rsidR="005735B1">
              <w:rPr>
                <w:sz w:val="20"/>
                <w:szCs w:val="20"/>
              </w:rPr>
              <w:t xml:space="preserve"> </w:t>
            </w:r>
            <w:r w:rsidRPr="004B0F4A">
              <w:rPr>
                <w:sz w:val="20"/>
                <w:szCs w:val="20"/>
              </w:rPr>
              <w:t xml:space="preserve">$      22,668,700 </w:t>
            </w:r>
          </w:p>
        </w:tc>
        <w:tc>
          <w:tcPr>
            <w:tcW w:w="2206" w:type="dxa"/>
            <w:tcBorders>
              <w:top w:val="nil"/>
              <w:left w:val="nil"/>
              <w:bottom w:val="single" w:sz="8" w:space="0" w:color="auto"/>
              <w:right w:val="single" w:sz="8" w:space="0" w:color="auto"/>
            </w:tcBorders>
            <w:shd w:val="clear" w:color="auto" w:fill="auto"/>
            <w:noWrap/>
            <w:vAlign w:val="bottom"/>
            <w:hideMark/>
          </w:tcPr>
          <w:p w:rsidR="004B0F4A" w:rsidRPr="004B0F4A" w:rsidRDefault="004B0F4A" w:rsidP="004B0F4A">
            <w:pPr>
              <w:widowControl/>
              <w:autoSpaceDE/>
              <w:autoSpaceDN/>
              <w:adjustRightInd/>
              <w:rPr>
                <w:sz w:val="20"/>
                <w:szCs w:val="20"/>
              </w:rPr>
            </w:pPr>
            <w:r w:rsidRPr="004B0F4A">
              <w:rPr>
                <w:sz w:val="20"/>
                <w:szCs w:val="20"/>
              </w:rPr>
              <w:t xml:space="preserve"> $              153,122,174 </w:t>
            </w:r>
          </w:p>
        </w:tc>
      </w:tr>
    </w:tbl>
    <w:p w:rsidR="004B0F4A" w:rsidRDefault="004B0F4A">
      <w:pPr>
        <w:pBdr>
          <w:top w:val="single" w:sz="6" w:space="0" w:color="FFFFFF"/>
          <w:left w:val="single" w:sz="6" w:space="0" w:color="FFFFFF"/>
          <w:bottom w:val="single" w:sz="6" w:space="0" w:color="FFFFFF"/>
          <w:right w:val="single" w:sz="6" w:space="0" w:color="FFFFFF"/>
        </w:pBdr>
        <w:rPr>
          <w:color w:val="000000"/>
        </w:rPr>
      </w:pPr>
    </w:p>
    <w:p w:rsidR="00247223" w:rsidRPr="004E6F13" w:rsidRDefault="00247223" w:rsidP="00247223">
      <w:pPr>
        <w:pBdr>
          <w:top w:val="single" w:sz="6" w:space="0" w:color="FFFFFF"/>
          <w:left w:val="single" w:sz="6" w:space="0" w:color="FFFFFF"/>
          <w:bottom w:val="single" w:sz="6" w:space="0" w:color="FFFFFF"/>
          <w:right w:val="single" w:sz="6" w:space="0" w:color="FFFFFF"/>
        </w:pBdr>
        <w:ind w:firstLine="1440"/>
      </w:pPr>
      <w:proofErr w:type="gramStart"/>
      <w:r w:rsidRPr="004E6F13">
        <w:rPr>
          <w:b/>
          <w:bCs/>
        </w:rPr>
        <w:t>iv)  Potential</w:t>
      </w:r>
      <w:proofErr w:type="gramEnd"/>
      <w:r w:rsidRPr="004E6F13">
        <w:rPr>
          <w:b/>
          <w:bCs/>
        </w:rPr>
        <w:t xml:space="preserve"> Burden under Affirmative Defense </w:t>
      </w:r>
    </w:p>
    <w:p w:rsidR="00247223" w:rsidRPr="004E6F13" w:rsidRDefault="00247223" w:rsidP="00247223">
      <w:pPr>
        <w:pBdr>
          <w:top w:val="single" w:sz="6" w:space="0" w:color="FFFFFF"/>
          <w:left w:val="single" w:sz="6" w:space="0" w:color="FFFFFF"/>
          <w:bottom w:val="single" w:sz="6" w:space="0" w:color="FFFFFF"/>
          <w:right w:val="single" w:sz="6" w:space="0" w:color="FFFFFF"/>
        </w:pBdr>
        <w:ind w:firstLine="720"/>
      </w:pPr>
    </w:p>
    <w:p w:rsidR="00247223" w:rsidRPr="004E6F13" w:rsidRDefault="00247223" w:rsidP="00247223">
      <w:pPr>
        <w:ind w:firstLine="720"/>
      </w:pPr>
      <w:r w:rsidRPr="004E6F13">
        <w:t xml:space="preserve">When a malfunction occurs, sources must report them according to the applicable reporting requirements of this Subpart.  An affirmative defense to civil penalties for </w:t>
      </w:r>
      <w:proofErr w:type="spellStart"/>
      <w:r w:rsidRPr="004E6F13">
        <w:t>exceedances</w:t>
      </w:r>
      <w:proofErr w:type="spellEnd"/>
      <w:r w:rsidRPr="004E6F13">
        <w:t xml:space="preserve"> of emission limits that are caused by malfunctions is available to a source if it can demonstrate that certain criteria and requirements are satisfied.  The criteria ensure that the affirmative defense is available only where the event that causes an </w:t>
      </w:r>
      <w:proofErr w:type="spellStart"/>
      <w:r w:rsidRPr="004E6F13">
        <w:t>exceedance</w:t>
      </w:r>
      <w:proofErr w:type="spellEnd"/>
      <w:r w:rsidRPr="004E6F13">
        <w:t xml:space="preserve"> of the emission limit meets the narrow definition of malfunction in 40 C.F.R. 63.2 (sudden, infrequent, not reasonable preventable and not caused by poor maintenance and or careless operation) and where the source  took necessary actions to minimize emissions.   In addition, the source must meet certain notification and reporting requirements.  For example, the source must prepare a written root cause analysis and submit a written report to the Administrator documenting that it has met the conditions and requirements for assertion of the affirmative defense.  </w:t>
      </w:r>
    </w:p>
    <w:p w:rsidR="00247223" w:rsidRPr="004E6F13" w:rsidRDefault="00247223" w:rsidP="00247223"/>
    <w:p w:rsidR="00247223" w:rsidRPr="004E6F13" w:rsidRDefault="00247223" w:rsidP="00247223">
      <w:pPr>
        <w:ind w:firstLine="720"/>
      </w:pPr>
      <w:r w:rsidRPr="004E6F13">
        <w:t xml:space="preserve">To provide the public with an estimate of the relative magnitude of the burden associated with an assertion of the affirmative defense position adopted by a source, EPA provides an administrative adjustment to this ICR that shows the notification, recordkeeping and reporting requirements associated with the assertion of the affirmative defense might entail.  EPA’s estimate for the required notification, reports and records, including the root cause analysis, totals $3,141 and is based on the time and effort required of a source to review relevant data, interview plant employees, and document the events surrounding a malfunction that has caused an </w:t>
      </w:r>
      <w:proofErr w:type="spellStart"/>
      <w:r w:rsidRPr="004E6F13">
        <w:t>exceedance</w:t>
      </w:r>
      <w:proofErr w:type="spellEnd"/>
      <w:r w:rsidRPr="004E6F13">
        <w:t xml:space="preserve"> of an emission limit. The estimate also includes time to produce and retain the record and reports for submission to EPA.  EPA provides this illustrative estimate of this burden because these costs are only incurred if there has been a violation and a source chooses to take advantage of the affirmative defense.  </w:t>
      </w:r>
    </w:p>
    <w:p w:rsidR="00247223" w:rsidRDefault="00247223" w:rsidP="00247223"/>
    <w:tbl>
      <w:tblPr>
        <w:tblW w:w="9555" w:type="dxa"/>
        <w:tblInd w:w="93" w:type="dxa"/>
        <w:tblLook w:val="04A0"/>
      </w:tblPr>
      <w:tblGrid>
        <w:gridCol w:w="2161"/>
        <w:gridCol w:w="1454"/>
        <w:gridCol w:w="1649"/>
        <w:gridCol w:w="1231"/>
        <w:gridCol w:w="1620"/>
        <w:gridCol w:w="1440"/>
      </w:tblGrid>
      <w:tr w:rsidR="00247223" w:rsidRPr="004E6F13" w:rsidTr="00247223">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7223" w:rsidRPr="004E6F13" w:rsidRDefault="00247223" w:rsidP="00247223">
            <w:pPr>
              <w:rPr>
                <w:b/>
                <w:bCs/>
                <w:color w:val="000000"/>
                <w:sz w:val="20"/>
                <w:szCs w:val="22"/>
              </w:rPr>
            </w:pPr>
            <w:r w:rsidRPr="004E6F13">
              <w:rPr>
                <w:b/>
                <w:bCs/>
                <w:color w:val="000000"/>
                <w:sz w:val="20"/>
                <w:szCs w:val="22"/>
              </w:rPr>
              <w:lastRenderedPageBreak/>
              <w:t xml:space="preserve">Personnel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b/>
                <w:bCs/>
                <w:color w:val="000000"/>
                <w:sz w:val="20"/>
                <w:szCs w:val="22"/>
              </w:rPr>
            </w:pPr>
            <w:r w:rsidRPr="004E6F13">
              <w:rPr>
                <w:b/>
                <w:bCs/>
                <w:color w:val="000000"/>
                <w:sz w:val="20"/>
                <w:szCs w:val="22"/>
              </w:rPr>
              <w:t xml:space="preserve">Number of Personnel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b/>
                <w:bCs/>
                <w:color w:val="000000"/>
                <w:sz w:val="20"/>
                <w:szCs w:val="22"/>
              </w:rPr>
            </w:pPr>
            <w:r w:rsidRPr="004E6F13">
              <w:rPr>
                <w:b/>
                <w:bCs/>
                <w:color w:val="000000"/>
                <w:sz w:val="20"/>
                <w:szCs w:val="22"/>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b/>
                <w:bCs/>
                <w:color w:val="000000"/>
                <w:sz w:val="20"/>
                <w:szCs w:val="22"/>
              </w:rPr>
            </w:pPr>
            <w:r w:rsidRPr="004E6F13">
              <w:rPr>
                <w:b/>
                <w:bCs/>
                <w:color w:val="000000"/>
                <w:sz w:val="20"/>
                <w:szCs w:val="22"/>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b/>
                <w:bCs/>
                <w:color w:val="000000"/>
                <w:sz w:val="20"/>
                <w:szCs w:val="22"/>
              </w:rPr>
            </w:pPr>
            <w:r w:rsidRPr="004E6F13">
              <w:rPr>
                <w:b/>
                <w:bCs/>
                <w:color w:val="000000"/>
                <w:sz w:val="20"/>
                <w:szCs w:val="22"/>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b/>
                <w:bCs/>
                <w:color w:val="000000"/>
                <w:sz w:val="20"/>
                <w:szCs w:val="22"/>
              </w:rPr>
            </w:pPr>
            <w:r w:rsidRPr="004E6F13">
              <w:rPr>
                <w:b/>
                <w:bCs/>
                <w:color w:val="000000"/>
                <w:sz w:val="20"/>
                <w:szCs w:val="22"/>
              </w:rPr>
              <w:t>Total</w:t>
            </w:r>
          </w:p>
        </w:tc>
      </w:tr>
      <w:tr w:rsidR="00247223" w:rsidRPr="004E6F13" w:rsidTr="00247223">
        <w:trPr>
          <w:trHeight w:val="324"/>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rPr>
                <w:color w:val="000000"/>
                <w:sz w:val="20"/>
                <w:szCs w:val="22"/>
              </w:rPr>
            </w:pPr>
            <w:r w:rsidRPr="004E6F13">
              <w:rPr>
                <w:color w:val="000000"/>
                <w:sz w:val="20"/>
                <w:szCs w:val="22"/>
              </w:rPr>
              <w:t>Technical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color w:val="000000"/>
                <w:sz w:val="20"/>
                <w:szCs w:val="22"/>
              </w:rPr>
            </w:pPr>
            <w:r w:rsidRPr="004E6F13">
              <w:rPr>
                <w:color w:val="000000"/>
                <w:sz w:val="20"/>
                <w:szCs w:val="22"/>
              </w:rPr>
              <w:t>3</w:t>
            </w:r>
          </w:p>
        </w:tc>
        <w:tc>
          <w:tcPr>
            <w:tcW w:w="1649"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color w:val="000000"/>
                <w:sz w:val="20"/>
                <w:szCs w:val="22"/>
              </w:rPr>
            </w:pPr>
            <w:r w:rsidRPr="004E6F13">
              <w:rPr>
                <w:color w:val="000000"/>
                <w:sz w:val="20"/>
                <w:szCs w:val="22"/>
              </w:rPr>
              <w:t>6</w:t>
            </w:r>
          </w:p>
        </w:tc>
        <w:tc>
          <w:tcPr>
            <w:tcW w:w="1231"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color w:val="000000"/>
                <w:sz w:val="20"/>
                <w:szCs w:val="22"/>
              </w:rPr>
            </w:pPr>
            <w:r w:rsidRPr="004E6F13">
              <w:rPr>
                <w:color w:val="000000"/>
                <w:sz w:val="20"/>
                <w:szCs w:val="22"/>
              </w:rPr>
              <w:t>18</w:t>
            </w:r>
          </w:p>
        </w:tc>
        <w:tc>
          <w:tcPr>
            <w:tcW w:w="1620" w:type="dxa"/>
            <w:tcBorders>
              <w:top w:val="nil"/>
              <w:left w:val="nil"/>
              <w:bottom w:val="single" w:sz="4" w:space="0" w:color="auto"/>
              <w:right w:val="single" w:sz="4" w:space="0" w:color="auto"/>
            </w:tcBorders>
            <w:shd w:val="clear" w:color="auto" w:fill="auto"/>
            <w:noWrap/>
            <w:vAlign w:val="center"/>
            <w:hideMark/>
          </w:tcPr>
          <w:p w:rsidR="00247223" w:rsidRPr="004E6F13" w:rsidRDefault="00247223" w:rsidP="00247223">
            <w:pPr>
              <w:jc w:val="center"/>
              <w:rPr>
                <w:color w:val="000000"/>
                <w:sz w:val="20"/>
                <w:szCs w:val="22"/>
              </w:rPr>
            </w:pPr>
            <w:r w:rsidRPr="004E6F13">
              <w:rPr>
                <w:color w:val="000000"/>
                <w:sz w:val="20"/>
                <w:szCs w:val="22"/>
              </w:rPr>
              <w:t>98.20</w:t>
            </w:r>
          </w:p>
        </w:tc>
        <w:tc>
          <w:tcPr>
            <w:tcW w:w="1440"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rPr>
                <w:color w:val="000000"/>
                <w:sz w:val="20"/>
                <w:szCs w:val="22"/>
              </w:rPr>
            </w:pPr>
            <w:r w:rsidRPr="004E6F13">
              <w:rPr>
                <w:color w:val="000000"/>
                <w:sz w:val="22"/>
                <w:szCs w:val="22"/>
              </w:rPr>
              <w:t>$   1,768</w:t>
            </w:r>
          </w:p>
        </w:tc>
      </w:tr>
      <w:tr w:rsidR="00247223" w:rsidRPr="004E6F13" w:rsidTr="00247223">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rPr>
                <w:color w:val="000000"/>
                <w:sz w:val="20"/>
                <w:szCs w:val="22"/>
              </w:rPr>
            </w:pPr>
            <w:r w:rsidRPr="004E6F13">
              <w:rPr>
                <w:color w:val="000000"/>
                <w:sz w:val="20"/>
                <w:szCs w:val="22"/>
              </w:rPr>
              <w:t>Managerial Personnel</w:t>
            </w:r>
          </w:p>
        </w:tc>
        <w:tc>
          <w:tcPr>
            <w:tcW w:w="1454"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color w:val="000000"/>
                <w:sz w:val="20"/>
                <w:szCs w:val="22"/>
              </w:rPr>
            </w:pPr>
            <w:r w:rsidRPr="004E6F13">
              <w:rPr>
                <w:color w:val="000000"/>
                <w:sz w:val="20"/>
                <w:szCs w:val="22"/>
              </w:rPr>
              <w:t>2</w:t>
            </w:r>
          </w:p>
        </w:tc>
        <w:tc>
          <w:tcPr>
            <w:tcW w:w="1649"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color w:val="000000"/>
                <w:sz w:val="20"/>
                <w:szCs w:val="22"/>
              </w:rPr>
            </w:pPr>
            <w:r w:rsidRPr="004E6F13">
              <w:rPr>
                <w:color w:val="000000"/>
                <w:sz w:val="20"/>
                <w:szCs w:val="22"/>
              </w:rPr>
              <w:t>6</w:t>
            </w:r>
          </w:p>
        </w:tc>
        <w:tc>
          <w:tcPr>
            <w:tcW w:w="1231"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color w:val="000000"/>
                <w:sz w:val="20"/>
                <w:szCs w:val="22"/>
              </w:rPr>
            </w:pPr>
            <w:r w:rsidRPr="004E6F13">
              <w:rPr>
                <w:color w:val="000000"/>
                <w:sz w:val="20"/>
                <w:szCs w:val="22"/>
              </w:rPr>
              <w:t>12</w:t>
            </w:r>
          </w:p>
        </w:tc>
        <w:tc>
          <w:tcPr>
            <w:tcW w:w="1620" w:type="dxa"/>
            <w:tcBorders>
              <w:top w:val="nil"/>
              <w:left w:val="nil"/>
              <w:bottom w:val="single" w:sz="4" w:space="0" w:color="auto"/>
              <w:right w:val="single" w:sz="4" w:space="0" w:color="auto"/>
            </w:tcBorders>
            <w:shd w:val="clear" w:color="auto" w:fill="auto"/>
            <w:noWrap/>
            <w:vAlign w:val="center"/>
            <w:hideMark/>
          </w:tcPr>
          <w:p w:rsidR="00247223" w:rsidRPr="004E6F13" w:rsidRDefault="00247223" w:rsidP="00247223">
            <w:pPr>
              <w:widowControl/>
              <w:autoSpaceDE/>
              <w:autoSpaceDN/>
              <w:adjustRightInd/>
              <w:jc w:val="center"/>
              <w:rPr>
                <w:color w:val="000000"/>
                <w:sz w:val="20"/>
                <w:szCs w:val="22"/>
              </w:rPr>
            </w:pPr>
            <w:r w:rsidRPr="004E6F13">
              <w:rPr>
                <w:color w:val="000000"/>
                <w:sz w:val="20"/>
                <w:szCs w:val="22"/>
              </w:rPr>
              <w:t>114.49</w:t>
            </w:r>
          </w:p>
        </w:tc>
        <w:tc>
          <w:tcPr>
            <w:tcW w:w="1440"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rPr>
                <w:color w:val="000000"/>
                <w:sz w:val="20"/>
                <w:szCs w:val="22"/>
              </w:rPr>
            </w:pPr>
            <w:r w:rsidRPr="004E6F13">
              <w:rPr>
                <w:color w:val="000000"/>
                <w:sz w:val="22"/>
                <w:szCs w:val="22"/>
              </w:rPr>
              <w:t>$   1,374</w:t>
            </w:r>
          </w:p>
        </w:tc>
      </w:tr>
      <w:tr w:rsidR="00247223" w:rsidRPr="004E6F13" w:rsidTr="00247223">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rPr>
                <w:color w:val="000000"/>
                <w:sz w:val="20"/>
                <w:szCs w:val="22"/>
              </w:rPr>
            </w:pPr>
            <w:r w:rsidRPr="004E6F13">
              <w:rPr>
                <w:color w:val="000000"/>
                <w:sz w:val="20"/>
                <w:szCs w:val="22"/>
              </w:rPr>
              <w:t>Total</w:t>
            </w:r>
          </w:p>
        </w:tc>
        <w:tc>
          <w:tcPr>
            <w:tcW w:w="1454"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color w:val="000000"/>
                <w:sz w:val="20"/>
                <w:szCs w:val="22"/>
              </w:rPr>
            </w:pPr>
            <w:r w:rsidRPr="004E6F13">
              <w:rPr>
                <w:color w:val="000000"/>
                <w:sz w:val="20"/>
                <w:szCs w:val="22"/>
              </w:rPr>
              <w:t>5</w:t>
            </w:r>
          </w:p>
        </w:tc>
        <w:tc>
          <w:tcPr>
            <w:tcW w:w="1649"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rPr>
                <w:color w:val="000000"/>
                <w:sz w:val="20"/>
                <w:szCs w:val="22"/>
              </w:rPr>
            </w:pPr>
            <w:r w:rsidRPr="004E6F13">
              <w:rPr>
                <w:color w:val="000000"/>
                <w:sz w:val="20"/>
                <w:szCs w:val="22"/>
              </w:rPr>
              <w:t> </w:t>
            </w:r>
          </w:p>
        </w:tc>
        <w:tc>
          <w:tcPr>
            <w:tcW w:w="1231"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widowControl/>
              <w:autoSpaceDE/>
              <w:autoSpaceDN/>
              <w:adjustRightInd/>
              <w:jc w:val="center"/>
              <w:rPr>
                <w:color w:val="000000"/>
                <w:sz w:val="20"/>
                <w:szCs w:val="22"/>
              </w:rPr>
            </w:pPr>
            <w:r w:rsidRPr="004E6F13">
              <w:rPr>
                <w:color w:val="000000"/>
                <w:sz w:val="20"/>
                <w:szCs w:val="22"/>
              </w:rPr>
              <w:t>30</w:t>
            </w:r>
          </w:p>
        </w:tc>
        <w:tc>
          <w:tcPr>
            <w:tcW w:w="1620" w:type="dxa"/>
            <w:tcBorders>
              <w:top w:val="nil"/>
              <w:left w:val="nil"/>
              <w:bottom w:val="single" w:sz="4" w:space="0" w:color="auto"/>
              <w:right w:val="single" w:sz="4" w:space="0" w:color="auto"/>
            </w:tcBorders>
            <w:shd w:val="clear" w:color="auto" w:fill="auto"/>
            <w:noWrap/>
            <w:vAlign w:val="center"/>
            <w:hideMark/>
          </w:tcPr>
          <w:p w:rsidR="00247223" w:rsidRPr="004E6F13" w:rsidRDefault="00247223" w:rsidP="00247223">
            <w:pPr>
              <w:widowControl/>
              <w:autoSpaceDE/>
              <w:autoSpaceDN/>
              <w:adjustRightInd/>
              <w:jc w:val="center"/>
              <w:rPr>
                <w:color w:val="000000"/>
                <w:sz w:val="20"/>
                <w:szCs w:val="22"/>
              </w:rPr>
            </w:pPr>
          </w:p>
        </w:tc>
        <w:tc>
          <w:tcPr>
            <w:tcW w:w="1440" w:type="dxa"/>
            <w:tcBorders>
              <w:top w:val="nil"/>
              <w:left w:val="nil"/>
              <w:bottom w:val="single" w:sz="4" w:space="0" w:color="auto"/>
              <w:right w:val="single" w:sz="4" w:space="0" w:color="auto"/>
            </w:tcBorders>
            <w:shd w:val="clear" w:color="auto" w:fill="auto"/>
            <w:noWrap/>
            <w:vAlign w:val="bottom"/>
            <w:hideMark/>
          </w:tcPr>
          <w:p w:rsidR="00247223" w:rsidRPr="004E6F13" w:rsidRDefault="00247223" w:rsidP="00247223">
            <w:pPr>
              <w:rPr>
                <w:color w:val="000000"/>
                <w:sz w:val="20"/>
                <w:szCs w:val="22"/>
              </w:rPr>
            </w:pPr>
            <w:r w:rsidRPr="004E6F13">
              <w:rPr>
                <w:color w:val="000000"/>
                <w:sz w:val="20"/>
                <w:szCs w:val="22"/>
              </w:rPr>
              <w:t xml:space="preserve"> </w:t>
            </w:r>
            <w:r w:rsidRPr="004E6F13">
              <w:rPr>
                <w:color w:val="000000"/>
                <w:sz w:val="22"/>
                <w:szCs w:val="22"/>
              </w:rPr>
              <w:t>$   3,141</w:t>
            </w:r>
          </w:p>
        </w:tc>
      </w:tr>
    </w:tbl>
    <w:p w:rsidR="00247223" w:rsidRPr="009769D3" w:rsidRDefault="00247223" w:rsidP="00247223">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includes activities such as the examination of records maintained by the respondents</w:t>
      </w:r>
      <w:proofErr w:type="gramStart"/>
      <w:r>
        <w:rPr>
          <w:color w:val="000000"/>
        </w:rPr>
        <w:t>,  periodic</w:t>
      </w:r>
      <w:proofErr w:type="gramEnd"/>
      <w:r>
        <w:rPr>
          <w:color w:val="000000"/>
        </w:rPr>
        <w:t xml:space="preserve"> inspection of sources of emissions, and the publication and distribution of collected information. </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sidRPr="00357C31">
        <w:rPr>
          <w:color w:val="000000"/>
        </w:rPr>
        <w:t>The average annual Agency cost during the three years of the ICR is estimated to be $</w:t>
      </w:r>
      <w:r w:rsidR="005735B1">
        <w:rPr>
          <w:color w:val="000000"/>
        </w:rPr>
        <w:t>13.1</w:t>
      </w:r>
      <w:r w:rsidR="008B4628" w:rsidRPr="00357C31">
        <w:rPr>
          <w:color w:val="000000"/>
        </w:rPr>
        <w:t xml:space="preserve"> million</w:t>
      </w:r>
      <w:r>
        <w:rPr>
          <w:color w:val="000000"/>
        </w:rPr>
        <w:t>.</w:t>
      </w:r>
    </w:p>
    <w:p w:rsidR="00884D40" w:rsidRDefault="00884D40">
      <w:pPr>
        <w:pBdr>
          <w:top w:val="single" w:sz="6" w:space="0" w:color="FFFFFF"/>
          <w:left w:val="single" w:sz="6" w:space="0" w:color="FFFFFF"/>
          <w:bottom w:val="single" w:sz="6" w:space="0" w:color="FFFFFF"/>
          <w:right w:val="single" w:sz="6" w:space="0" w:color="FFFFFF"/>
        </w:pBdr>
        <w:ind w:firstLine="720"/>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F533A9" w:rsidRPr="00D2273E" w:rsidRDefault="00F533A9" w:rsidP="00D2273E"/>
    <w:p w:rsidR="00F533A9" w:rsidRPr="00D2273E" w:rsidRDefault="00F533A9" w:rsidP="00D2273E">
      <w:r>
        <w:tab/>
      </w:r>
      <w:r w:rsidRPr="00D2273E">
        <w:tab/>
        <w:t>Managerial</w:t>
      </w:r>
      <w:r w:rsidRPr="00D2273E">
        <w:tab/>
        <w:t>$6</w:t>
      </w:r>
      <w:r>
        <w:t>2.27</w:t>
      </w:r>
      <w:r w:rsidRPr="00D2273E">
        <w:t xml:space="preserve"> (GS-13, Step 5, $38.</w:t>
      </w:r>
      <w:r>
        <w:t>92</w:t>
      </w:r>
      <w:r w:rsidRPr="00D2273E">
        <w:t xml:space="preserve"> + 60%) </w:t>
      </w:r>
    </w:p>
    <w:p w:rsidR="00F533A9" w:rsidRPr="00D2273E" w:rsidRDefault="00F533A9" w:rsidP="00D2273E">
      <w:r>
        <w:tab/>
      </w:r>
      <w:r w:rsidRPr="00D2273E">
        <w:tab/>
        <w:t>Technical</w:t>
      </w:r>
      <w:r w:rsidRPr="00D2273E">
        <w:tab/>
        <w:t>$4</w:t>
      </w:r>
      <w:r>
        <w:t>6</w:t>
      </w:r>
      <w:r w:rsidRPr="00D2273E">
        <w:t>.</w:t>
      </w:r>
      <w:r>
        <w:t>21</w:t>
      </w:r>
      <w:r w:rsidRPr="00D2273E">
        <w:t xml:space="preserve"> (GS-12, Step 1, $28.</w:t>
      </w:r>
      <w:r>
        <w:t>88</w:t>
      </w:r>
      <w:r w:rsidRPr="00D2273E">
        <w:t xml:space="preserve"> + 60%)</w:t>
      </w:r>
    </w:p>
    <w:p w:rsidR="00F533A9" w:rsidRPr="00D2273E" w:rsidRDefault="00F533A9" w:rsidP="00D2273E">
      <w:r>
        <w:tab/>
      </w:r>
      <w:r w:rsidRPr="00D2273E">
        <w:tab/>
        <w:t>Clerical</w:t>
      </w:r>
      <w:r w:rsidRPr="00D2273E">
        <w:tab/>
        <w:t>$2</w:t>
      </w:r>
      <w:r>
        <w:t>5.01</w:t>
      </w:r>
      <w:r w:rsidRPr="00D2273E">
        <w:t xml:space="preserve"> (GS-6, Step 3, $15.</w:t>
      </w:r>
      <w:r>
        <w:t>63</w:t>
      </w:r>
      <w:r w:rsidRPr="00D2273E">
        <w:t xml:space="preserve"> + 60%)</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Office of Personnel Management (OPM), 2010 General Schedule, which excludes </w:t>
      </w:r>
      <w:proofErr w:type="gramStart"/>
      <w:r>
        <w:rPr>
          <w:color w:val="000000"/>
        </w:rPr>
        <w:t>locality</w:t>
      </w:r>
      <w:proofErr w:type="gramEnd"/>
      <w:r>
        <w:rPr>
          <w:color w:val="000000"/>
        </w:rPr>
        <w:t xml:space="preserve"> rates of pay.  The rates have been increased by 60 percent to account for the benefit packages available to government employees</w:t>
      </w:r>
      <w:r>
        <w:t>.</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F533A9" w:rsidRDefault="00F533A9">
      <w:pPr>
        <w:pBdr>
          <w:top w:val="single" w:sz="6" w:space="0" w:color="FFFFFF"/>
          <w:left w:val="single" w:sz="6" w:space="0" w:color="FFFFFF"/>
          <w:bottom w:val="single" w:sz="6" w:space="0" w:color="FFFFFF"/>
          <w:right w:val="single" w:sz="6" w:space="0" w:color="FFFFFF"/>
        </w:pBdr>
        <w:rPr>
          <w:b/>
          <w:bCs/>
          <w:color w:val="000000"/>
        </w:rPr>
      </w:pPr>
    </w:p>
    <w:p w:rsidR="00F533A9" w:rsidRDefault="00F533A9" w:rsidP="00236676">
      <w:pPr>
        <w:widowControl/>
        <w:ind w:firstLine="720"/>
        <w:rPr>
          <w:rFonts w:cs="Courier New"/>
        </w:rPr>
      </w:pPr>
      <w:r>
        <w:rPr>
          <w:rFonts w:cs="Courier New"/>
        </w:rPr>
        <w:t>The total number of respondents is referred to as the respondent universe.  The respondent universe for this ICR is based on the EPA</w:t>
      </w:r>
      <w:r w:rsidR="00693FAB">
        <w:rPr>
          <w:rFonts w:cs="Courier New"/>
        </w:rPr>
        <w:t>’</w:t>
      </w:r>
      <w:r>
        <w:rPr>
          <w:rFonts w:cs="Courier New"/>
        </w:rPr>
        <w:t>s database of industrial, commercial, and institutional boilers at area source facilities.  For a description of how EPA estimated the number of affected sources, see memorandum entitled “Development of Model Units for the Area Source Industrial/Commercial/Institutional Boilers National Emissions Standards for Hazardous Air Pollutants.”</w:t>
      </w:r>
    </w:p>
    <w:p w:rsidR="00F533A9" w:rsidRDefault="00F533A9" w:rsidP="00236676">
      <w:pPr>
        <w:widowControl/>
        <w:ind w:firstLine="720"/>
        <w:rPr>
          <w:rFonts w:cs="Courier New"/>
        </w:rPr>
      </w:pPr>
    </w:p>
    <w:p w:rsidR="00F533A9" w:rsidRPr="005735B1" w:rsidRDefault="00F533A9" w:rsidP="00236676">
      <w:pPr>
        <w:widowControl/>
        <w:ind w:firstLine="720"/>
        <w:rPr>
          <w:rFonts w:cs="Courier New"/>
        </w:rPr>
      </w:pPr>
      <w:r>
        <w:rPr>
          <w:rFonts w:cs="Courier New"/>
        </w:rPr>
        <w:t xml:space="preserve">Based on data available from state boiler inspector databases, the EPA estimates there are approximately 21.97 million existing boilers at area source </w:t>
      </w:r>
      <w:r w:rsidR="008C13BA">
        <w:rPr>
          <w:rFonts w:cs="Courier New"/>
        </w:rPr>
        <w:t>facilities nationwide.  Further, the EPA estimates the Area Boilers NESHAP to affect approximately 182,671 of these units.  The remaining boilers at area sources of HAP are gas-fired boilers and not covered under the proposed rulemaking. The industry burden for existing units is based on these 182,671 units.</w:t>
      </w:r>
    </w:p>
    <w:p w:rsidR="00F533A9" w:rsidRPr="005735B1" w:rsidRDefault="00F533A9" w:rsidP="00236676">
      <w:pPr>
        <w:widowControl/>
        <w:ind w:firstLine="720"/>
        <w:rPr>
          <w:rFonts w:cs="Courier New"/>
        </w:rPr>
      </w:pPr>
    </w:p>
    <w:p w:rsidR="00F533A9" w:rsidRPr="005735B1" w:rsidRDefault="008C13BA" w:rsidP="00236676">
      <w:pPr>
        <w:widowControl/>
        <w:ind w:firstLine="720"/>
        <w:rPr>
          <w:rFonts w:cs="Courier New"/>
        </w:rPr>
      </w:pPr>
      <w:r>
        <w:rPr>
          <w:rFonts w:cs="Courier New"/>
        </w:rPr>
        <w:lastRenderedPageBreak/>
        <w:t>An additional 6,779 solid and liquid fuel boilers at area source facilities are expected to be constructed in the 3 years after promulgation of this rule, or 2,260 new boilers per year.</w:t>
      </w:r>
    </w:p>
    <w:p w:rsidR="00F533A9" w:rsidRPr="005735B1" w:rsidRDefault="00F533A9" w:rsidP="00236676">
      <w:pPr>
        <w:widowControl/>
        <w:ind w:firstLine="720"/>
        <w:rPr>
          <w:rFonts w:cs="Courier New"/>
        </w:rPr>
      </w:pPr>
    </w:p>
    <w:p w:rsidR="00E469B9" w:rsidRPr="00693FAB" w:rsidRDefault="008C13BA" w:rsidP="00693FAB">
      <w:pPr>
        <w:widowControl/>
        <w:ind w:firstLine="720"/>
        <w:rPr>
          <w:rFonts w:cs="Courier New"/>
        </w:rPr>
      </w:pPr>
      <w:r>
        <w:rPr>
          <w:rFonts w:cs="Courier New"/>
        </w:rPr>
        <w:t>The respondent universe is 189,450 units, which is the total of all existing and new units through the first three years after promulgations</w:t>
      </w:r>
      <w:r w:rsidR="00F533A9">
        <w:rPr>
          <w:rFonts w:cs="Courier New"/>
        </w:rPr>
        <w:t xml:space="preserve"> of this rule. </w:t>
      </w:r>
      <w:r w:rsidR="00693FAB">
        <w:rPr>
          <w:rFonts w:cs="Courier New"/>
        </w:rPr>
        <w:t xml:space="preserve"> </w:t>
      </w:r>
      <w:r w:rsidR="00F533A9">
        <w:rPr>
          <w:rFonts w:cs="Courier New"/>
        </w:rPr>
        <w:t>Many of these units have</w:t>
      </w:r>
      <w:r w:rsidR="008B4628">
        <w:rPr>
          <w:rFonts w:cs="Courier New"/>
        </w:rPr>
        <w:t xml:space="preserve"> reduced </w:t>
      </w:r>
      <w:r w:rsidR="00F533A9">
        <w:rPr>
          <w:rFonts w:cs="Courier New"/>
        </w:rPr>
        <w:t xml:space="preserve">reporting requirements (i.e., </w:t>
      </w:r>
      <w:r w:rsidR="008B4628">
        <w:rPr>
          <w:rFonts w:cs="Courier New"/>
        </w:rPr>
        <w:t>biennial records and reports to the Administrator upon request</w:t>
      </w:r>
      <w:r w:rsidR="00F533A9">
        <w:rPr>
          <w:rFonts w:cs="Courier New"/>
        </w:rPr>
        <w:t xml:space="preserve">). </w:t>
      </w:r>
      <w:r w:rsidR="00693FAB">
        <w:rPr>
          <w:rFonts w:cs="Courier New"/>
        </w:rPr>
        <w:t xml:space="preserve"> </w:t>
      </w:r>
      <w:r w:rsidR="00F533A9">
        <w:rPr>
          <w:rFonts w:cs="Courier New"/>
        </w:rPr>
        <w:t>A table showing the estimated number of sources for each category is shown below.</w:t>
      </w:r>
    </w:p>
    <w:p w:rsidR="00E469B9" w:rsidRPr="00E469B9" w:rsidRDefault="00E469B9" w:rsidP="00E469B9"/>
    <w:p w:rsidR="00531F28" w:rsidRDefault="008C13BA" w:rsidP="00531F28">
      <w:pPr>
        <w:pStyle w:val="Caption"/>
        <w:keepNext/>
        <w:rPr>
          <w:rFonts w:ascii="Times New Roman" w:hAnsi="Times New Roman"/>
          <w:sz w:val="24"/>
          <w:szCs w:val="24"/>
        </w:rPr>
      </w:pPr>
      <w:r>
        <w:rPr>
          <w:rFonts w:ascii="Times New Roman" w:hAnsi="Times New Roman"/>
          <w:sz w:val="24"/>
          <w:szCs w:val="24"/>
        </w:rPr>
        <w:t xml:space="preserve">Table </w:t>
      </w:r>
      <w:r w:rsidR="00F50781" w:rsidRPr="00472360">
        <w:rPr>
          <w:rFonts w:ascii="Times New Roman" w:hAnsi="Times New Roman"/>
          <w:sz w:val="24"/>
          <w:szCs w:val="24"/>
        </w:rPr>
        <w:fldChar w:fldCharType="begin"/>
      </w:r>
      <w:r>
        <w:rPr>
          <w:rFonts w:ascii="Times New Roman" w:hAnsi="Times New Roman"/>
          <w:sz w:val="24"/>
          <w:szCs w:val="24"/>
        </w:rPr>
        <w:instrText xml:space="preserve"> SEQ Table \* ARABIC </w:instrText>
      </w:r>
      <w:r w:rsidR="00F50781" w:rsidRPr="00472360">
        <w:rPr>
          <w:rFonts w:ascii="Times New Roman" w:hAnsi="Times New Roman"/>
          <w:sz w:val="24"/>
          <w:szCs w:val="24"/>
        </w:rPr>
        <w:fldChar w:fldCharType="separate"/>
      </w:r>
      <w:r>
        <w:rPr>
          <w:rFonts w:ascii="Times New Roman" w:hAnsi="Times New Roman"/>
          <w:noProof/>
          <w:sz w:val="24"/>
          <w:szCs w:val="24"/>
        </w:rPr>
        <w:t>3</w:t>
      </w:r>
      <w:r w:rsidR="00F50781" w:rsidRPr="00472360">
        <w:rPr>
          <w:rFonts w:ascii="Times New Roman" w:hAnsi="Times New Roman"/>
          <w:sz w:val="24"/>
          <w:szCs w:val="24"/>
        </w:rPr>
        <w:fldChar w:fldCharType="end"/>
      </w:r>
      <w:r>
        <w:rPr>
          <w:rFonts w:ascii="Times New Roman" w:hAnsi="Times New Roman"/>
          <w:sz w:val="24"/>
          <w:szCs w:val="24"/>
        </w:rPr>
        <w:t>:  Number of Responses for New and Existing Units</w:t>
      </w:r>
    </w:p>
    <w:tbl>
      <w:tblPr>
        <w:tblW w:w="7215" w:type="dxa"/>
        <w:tblInd w:w="198" w:type="dxa"/>
        <w:tblLook w:val="04A0"/>
      </w:tblPr>
      <w:tblGrid>
        <w:gridCol w:w="1455"/>
        <w:gridCol w:w="1830"/>
        <w:gridCol w:w="2310"/>
        <w:gridCol w:w="1620"/>
      </w:tblGrid>
      <w:tr w:rsidR="005735B1" w:rsidRPr="00C021B0" w:rsidTr="005735B1">
        <w:trPr>
          <w:trHeight w:val="270"/>
        </w:trPr>
        <w:tc>
          <w:tcPr>
            <w:tcW w:w="1455" w:type="dxa"/>
            <w:tcBorders>
              <w:top w:val="single" w:sz="8" w:space="0" w:color="auto"/>
              <w:left w:val="single" w:sz="8" w:space="0" w:color="auto"/>
              <w:bottom w:val="nil"/>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(A)</w:t>
            </w:r>
          </w:p>
        </w:tc>
        <w:tc>
          <w:tcPr>
            <w:tcW w:w="1830" w:type="dxa"/>
            <w:tcBorders>
              <w:top w:val="single" w:sz="8" w:space="0" w:color="auto"/>
              <w:left w:val="nil"/>
              <w:bottom w:val="nil"/>
              <w:right w:val="single" w:sz="4"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(B)</w:t>
            </w:r>
          </w:p>
        </w:tc>
        <w:tc>
          <w:tcPr>
            <w:tcW w:w="2310" w:type="dxa"/>
            <w:tcBorders>
              <w:top w:val="single" w:sz="8" w:space="0" w:color="auto"/>
              <w:left w:val="nil"/>
              <w:bottom w:val="nil"/>
              <w:right w:val="single" w:sz="4"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(C)</w:t>
            </w:r>
          </w:p>
        </w:tc>
        <w:tc>
          <w:tcPr>
            <w:tcW w:w="1620" w:type="dxa"/>
            <w:tcBorders>
              <w:top w:val="single" w:sz="8" w:space="0" w:color="auto"/>
              <w:left w:val="nil"/>
              <w:bottom w:val="nil"/>
              <w:right w:val="single" w:sz="8"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(D)*</w:t>
            </w:r>
          </w:p>
        </w:tc>
      </w:tr>
      <w:tr w:rsidR="005735B1" w:rsidRPr="00C021B0" w:rsidTr="005735B1">
        <w:trPr>
          <w:trHeight w:val="763"/>
        </w:trPr>
        <w:tc>
          <w:tcPr>
            <w:tcW w:w="1455"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Boiler Type</w:t>
            </w:r>
          </w:p>
        </w:tc>
        <w:tc>
          <w:tcPr>
            <w:tcW w:w="1830" w:type="dxa"/>
            <w:tcBorders>
              <w:top w:val="single" w:sz="8" w:space="0" w:color="auto"/>
              <w:left w:val="nil"/>
              <w:bottom w:val="single" w:sz="8"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Number of Respondents (facilities)</w:t>
            </w:r>
          </w:p>
        </w:tc>
        <w:tc>
          <w:tcPr>
            <w:tcW w:w="2310" w:type="dxa"/>
            <w:tcBorders>
              <w:top w:val="single" w:sz="8" w:space="0" w:color="auto"/>
              <w:left w:val="nil"/>
              <w:bottom w:val="single" w:sz="8"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Total Number Responses for 3-year Period</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Average Annual Number of Responses</w:t>
            </w:r>
          </w:p>
        </w:tc>
      </w:tr>
      <w:tr w:rsidR="005735B1" w:rsidRPr="00C021B0" w:rsidTr="005735B1">
        <w:trPr>
          <w:trHeight w:val="510"/>
        </w:trPr>
        <w:tc>
          <w:tcPr>
            <w:tcW w:w="1455" w:type="dxa"/>
            <w:tcBorders>
              <w:top w:val="nil"/>
              <w:left w:val="single" w:sz="8" w:space="0" w:color="auto"/>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Existing Large Solid Units</w:t>
            </w:r>
          </w:p>
        </w:tc>
        <w:tc>
          <w:tcPr>
            <w:tcW w:w="1830" w:type="dxa"/>
            <w:tcBorders>
              <w:top w:val="nil"/>
              <w:left w:val="nil"/>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 xml:space="preserve">                           2,020 </w:t>
            </w:r>
          </w:p>
        </w:tc>
        <w:tc>
          <w:tcPr>
            <w:tcW w:w="2310" w:type="dxa"/>
            <w:tcBorders>
              <w:top w:val="nil"/>
              <w:left w:val="nil"/>
              <w:bottom w:val="single" w:sz="4" w:space="0" w:color="auto"/>
              <w:right w:val="single" w:sz="4" w:space="0" w:color="auto"/>
            </w:tcBorders>
            <w:shd w:val="clear" w:color="auto" w:fill="auto"/>
            <w:noWrap/>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6,347 </w:t>
            </w:r>
          </w:p>
        </w:tc>
        <w:tc>
          <w:tcPr>
            <w:tcW w:w="162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Pr>
                <w:sz w:val="20"/>
                <w:szCs w:val="20"/>
              </w:rPr>
              <w:t>2,116</w:t>
            </w:r>
          </w:p>
        </w:tc>
      </w:tr>
      <w:tr w:rsidR="005735B1" w:rsidRPr="00C021B0" w:rsidTr="005735B1">
        <w:trPr>
          <w:trHeight w:val="510"/>
        </w:trPr>
        <w:tc>
          <w:tcPr>
            <w:tcW w:w="1455" w:type="dxa"/>
            <w:tcBorders>
              <w:top w:val="nil"/>
              <w:left w:val="single" w:sz="8" w:space="0" w:color="auto"/>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New Large Solid Units</w:t>
            </w:r>
          </w:p>
        </w:tc>
        <w:tc>
          <w:tcPr>
            <w:tcW w:w="1830" w:type="dxa"/>
            <w:tcBorders>
              <w:top w:val="nil"/>
              <w:left w:val="nil"/>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 xml:space="preserve">                                30 </w:t>
            </w:r>
          </w:p>
        </w:tc>
        <w:tc>
          <w:tcPr>
            <w:tcW w:w="2310" w:type="dxa"/>
            <w:tcBorders>
              <w:top w:val="nil"/>
              <w:left w:val="nil"/>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120 </w:t>
            </w:r>
          </w:p>
        </w:tc>
        <w:tc>
          <w:tcPr>
            <w:tcW w:w="162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Pr>
                <w:sz w:val="20"/>
                <w:szCs w:val="20"/>
              </w:rPr>
              <w:t>40</w:t>
            </w:r>
          </w:p>
        </w:tc>
      </w:tr>
      <w:tr w:rsidR="005735B1" w:rsidRPr="00C021B0" w:rsidTr="005735B1">
        <w:trPr>
          <w:trHeight w:val="510"/>
        </w:trPr>
        <w:tc>
          <w:tcPr>
            <w:tcW w:w="1455" w:type="dxa"/>
            <w:tcBorders>
              <w:top w:val="nil"/>
              <w:left w:val="single" w:sz="8" w:space="0" w:color="auto"/>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Existing Small Solid Units</w:t>
            </w:r>
          </w:p>
        </w:tc>
        <w:tc>
          <w:tcPr>
            <w:tcW w:w="1830" w:type="dxa"/>
            <w:tcBorders>
              <w:top w:val="nil"/>
              <w:left w:val="nil"/>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 xml:space="preserve">                           5,314 </w:t>
            </w:r>
          </w:p>
        </w:tc>
        <w:tc>
          <w:tcPr>
            <w:tcW w:w="2310" w:type="dxa"/>
            <w:tcBorders>
              <w:top w:val="nil"/>
              <w:left w:val="nil"/>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13,285 </w:t>
            </w:r>
          </w:p>
        </w:tc>
        <w:tc>
          <w:tcPr>
            <w:tcW w:w="162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Pr>
                <w:sz w:val="20"/>
                <w:szCs w:val="20"/>
              </w:rPr>
              <w:t>4,428</w:t>
            </w:r>
          </w:p>
        </w:tc>
      </w:tr>
      <w:tr w:rsidR="005735B1" w:rsidRPr="00C021B0" w:rsidTr="005735B1">
        <w:trPr>
          <w:trHeight w:val="510"/>
        </w:trPr>
        <w:tc>
          <w:tcPr>
            <w:tcW w:w="1455" w:type="dxa"/>
            <w:tcBorders>
              <w:top w:val="nil"/>
              <w:left w:val="single" w:sz="8" w:space="0" w:color="auto"/>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New Small Solid Units</w:t>
            </w:r>
          </w:p>
        </w:tc>
        <w:tc>
          <w:tcPr>
            <w:tcW w:w="1830" w:type="dxa"/>
            <w:tcBorders>
              <w:top w:val="nil"/>
              <w:left w:val="nil"/>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148 </w:t>
            </w:r>
          </w:p>
        </w:tc>
        <w:tc>
          <w:tcPr>
            <w:tcW w:w="2310" w:type="dxa"/>
            <w:tcBorders>
              <w:top w:val="nil"/>
              <w:left w:val="nil"/>
              <w:bottom w:val="single" w:sz="4" w:space="0" w:color="auto"/>
              <w:right w:val="single" w:sz="4" w:space="0" w:color="auto"/>
            </w:tcBorders>
            <w:shd w:val="clear" w:color="auto" w:fill="auto"/>
            <w:noWrap/>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444 </w:t>
            </w:r>
          </w:p>
        </w:tc>
        <w:tc>
          <w:tcPr>
            <w:tcW w:w="162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Pr>
                <w:sz w:val="20"/>
                <w:szCs w:val="20"/>
              </w:rPr>
              <w:t>148</w:t>
            </w:r>
          </w:p>
        </w:tc>
      </w:tr>
      <w:tr w:rsidR="005735B1" w:rsidRPr="00C021B0" w:rsidTr="005735B1">
        <w:trPr>
          <w:trHeight w:val="585"/>
        </w:trPr>
        <w:tc>
          <w:tcPr>
            <w:tcW w:w="1455" w:type="dxa"/>
            <w:tcBorders>
              <w:top w:val="nil"/>
              <w:left w:val="single" w:sz="8" w:space="0" w:color="auto"/>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Existing Large Liquid Units</w:t>
            </w:r>
          </w:p>
        </w:tc>
        <w:tc>
          <w:tcPr>
            <w:tcW w:w="1830" w:type="dxa"/>
            <w:tcBorders>
              <w:top w:val="nil"/>
              <w:left w:val="nil"/>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4,615 </w:t>
            </w:r>
          </w:p>
        </w:tc>
        <w:tc>
          <w:tcPr>
            <w:tcW w:w="2310" w:type="dxa"/>
            <w:tcBorders>
              <w:top w:val="nil"/>
              <w:left w:val="nil"/>
              <w:bottom w:val="single" w:sz="4" w:space="0" w:color="auto"/>
              <w:right w:val="single" w:sz="4" w:space="0" w:color="auto"/>
            </w:tcBorders>
            <w:shd w:val="clear" w:color="auto" w:fill="auto"/>
            <w:noWrap/>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11,538 </w:t>
            </w:r>
          </w:p>
        </w:tc>
        <w:tc>
          <w:tcPr>
            <w:tcW w:w="162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Pr>
                <w:sz w:val="20"/>
                <w:szCs w:val="20"/>
              </w:rPr>
              <w:t>3,846</w:t>
            </w:r>
          </w:p>
        </w:tc>
      </w:tr>
      <w:tr w:rsidR="005735B1" w:rsidRPr="00C021B0" w:rsidTr="005735B1">
        <w:trPr>
          <w:trHeight w:val="510"/>
        </w:trPr>
        <w:tc>
          <w:tcPr>
            <w:tcW w:w="1455" w:type="dxa"/>
            <w:tcBorders>
              <w:top w:val="nil"/>
              <w:left w:val="single" w:sz="8" w:space="0" w:color="auto"/>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New Large Liquid Units</w:t>
            </w:r>
          </w:p>
        </w:tc>
        <w:tc>
          <w:tcPr>
            <w:tcW w:w="1830" w:type="dxa"/>
            <w:tcBorders>
              <w:top w:val="nil"/>
              <w:left w:val="nil"/>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244 </w:t>
            </w:r>
          </w:p>
        </w:tc>
        <w:tc>
          <w:tcPr>
            <w:tcW w:w="2310" w:type="dxa"/>
            <w:tcBorders>
              <w:top w:val="nil"/>
              <w:left w:val="nil"/>
              <w:bottom w:val="single" w:sz="4" w:space="0" w:color="auto"/>
              <w:right w:val="single" w:sz="4" w:space="0" w:color="auto"/>
            </w:tcBorders>
            <w:shd w:val="clear" w:color="auto" w:fill="auto"/>
            <w:noWrap/>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975 </w:t>
            </w:r>
          </w:p>
        </w:tc>
        <w:tc>
          <w:tcPr>
            <w:tcW w:w="162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Pr>
                <w:sz w:val="20"/>
                <w:szCs w:val="20"/>
              </w:rPr>
              <w:t>325</w:t>
            </w:r>
          </w:p>
        </w:tc>
      </w:tr>
      <w:tr w:rsidR="005735B1" w:rsidRPr="00C021B0" w:rsidTr="005735B1">
        <w:trPr>
          <w:trHeight w:val="630"/>
        </w:trPr>
        <w:tc>
          <w:tcPr>
            <w:tcW w:w="1455" w:type="dxa"/>
            <w:tcBorders>
              <w:top w:val="nil"/>
              <w:left w:val="single" w:sz="8" w:space="0" w:color="auto"/>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Existing Small Liquid Units</w:t>
            </w:r>
          </w:p>
        </w:tc>
        <w:tc>
          <w:tcPr>
            <w:tcW w:w="1830" w:type="dxa"/>
            <w:tcBorders>
              <w:top w:val="nil"/>
              <w:left w:val="nil"/>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79,387 </w:t>
            </w:r>
          </w:p>
        </w:tc>
        <w:tc>
          <w:tcPr>
            <w:tcW w:w="2310" w:type="dxa"/>
            <w:tcBorders>
              <w:top w:val="nil"/>
              <w:left w:val="nil"/>
              <w:bottom w:val="single" w:sz="4" w:space="0" w:color="auto"/>
              <w:right w:val="single" w:sz="4" w:space="0" w:color="auto"/>
            </w:tcBorders>
            <w:shd w:val="clear" w:color="auto" w:fill="auto"/>
            <w:noWrap/>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198,468 </w:t>
            </w:r>
          </w:p>
        </w:tc>
        <w:tc>
          <w:tcPr>
            <w:tcW w:w="162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Pr>
                <w:sz w:val="20"/>
                <w:szCs w:val="20"/>
              </w:rPr>
              <w:t>66,156</w:t>
            </w:r>
          </w:p>
        </w:tc>
      </w:tr>
      <w:tr w:rsidR="005735B1" w:rsidRPr="00C021B0" w:rsidTr="005735B1">
        <w:trPr>
          <w:trHeight w:val="510"/>
        </w:trPr>
        <w:tc>
          <w:tcPr>
            <w:tcW w:w="1455" w:type="dxa"/>
            <w:tcBorders>
              <w:top w:val="nil"/>
              <w:left w:val="single" w:sz="8" w:space="0" w:color="auto"/>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New Small Liquid Units</w:t>
            </w:r>
          </w:p>
        </w:tc>
        <w:tc>
          <w:tcPr>
            <w:tcW w:w="1830" w:type="dxa"/>
            <w:tcBorders>
              <w:top w:val="nil"/>
              <w:left w:val="nil"/>
              <w:bottom w:val="single" w:sz="4"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2,968 </w:t>
            </w:r>
          </w:p>
        </w:tc>
        <w:tc>
          <w:tcPr>
            <w:tcW w:w="2310" w:type="dxa"/>
            <w:tcBorders>
              <w:top w:val="nil"/>
              <w:left w:val="nil"/>
              <w:bottom w:val="single" w:sz="4" w:space="0" w:color="auto"/>
              <w:right w:val="single" w:sz="4" w:space="0" w:color="auto"/>
            </w:tcBorders>
            <w:shd w:val="clear" w:color="auto" w:fill="auto"/>
            <w:noWrap/>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8,904 </w:t>
            </w:r>
          </w:p>
        </w:tc>
        <w:tc>
          <w:tcPr>
            <w:tcW w:w="162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Pr>
                <w:sz w:val="20"/>
                <w:szCs w:val="20"/>
              </w:rPr>
              <w:t>2,968</w:t>
            </w:r>
          </w:p>
        </w:tc>
      </w:tr>
      <w:tr w:rsidR="00247223" w:rsidRPr="00C021B0" w:rsidTr="00247223">
        <w:trPr>
          <w:trHeight w:val="485"/>
        </w:trPr>
        <w:tc>
          <w:tcPr>
            <w:tcW w:w="1455" w:type="dxa"/>
            <w:tcBorders>
              <w:top w:val="nil"/>
              <w:left w:val="single" w:sz="8" w:space="0" w:color="auto"/>
              <w:bottom w:val="single" w:sz="8" w:space="0" w:color="auto"/>
              <w:right w:val="single" w:sz="4" w:space="0" w:color="auto"/>
            </w:tcBorders>
            <w:shd w:val="clear" w:color="auto" w:fill="auto"/>
            <w:vAlign w:val="bottom"/>
            <w:hideMark/>
          </w:tcPr>
          <w:p w:rsidR="00247223" w:rsidRDefault="00247223" w:rsidP="005735B1">
            <w:pPr>
              <w:widowControl/>
              <w:autoSpaceDE/>
              <w:autoSpaceDN/>
              <w:adjustRightInd/>
              <w:jc w:val="center"/>
              <w:rPr>
                <w:color w:val="000000"/>
                <w:sz w:val="20"/>
                <w:szCs w:val="20"/>
              </w:rPr>
            </w:pPr>
            <w:r>
              <w:rPr>
                <w:color w:val="000000"/>
                <w:sz w:val="20"/>
                <w:szCs w:val="20"/>
              </w:rPr>
              <w:t>Affirmative Defense</w:t>
            </w:r>
          </w:p>
        </w:tc>
        <w:tc>
          <w:tcPr>
            <w:tcW w:w="1830" w:type="dxa"/>
            <w:tcBorders>
              <w:top w:val="nil"/>
              <w:left w:val="nil"/>
              <w:bottom w:val="single" w:sz="8" w:space="0" w:color="auto"/>
              <w:right w:val="single" w:sz="4" w:space="0" w:color="auto"/>
            </w:tcBorders>
            <w:shd w:val="clear" w:color="auto" w:fill="auto"/>
            <w:noWrap/>
            <w:vAlign w:val="bottom"/>
            <w:hideMark/>
          </w:tcPr>
          <w:p w:rsidR="00247223" w:rsidRDefault="009060D6" w:rsidP="005735B1">
            <w:pPr>
              <w:widowControl/>
              <w:autoSpaceDE/>
              <w:autoSpaceDN/>
              <w:adjustRightInd/>
              <w:jc w:val="center"/>
              <w:rPr>
                <w:sz w:val="20"/>
                <w:szCs w:val="20"/>
              </w:rPr>
            </w:pPr>
            <w:r>
              <w:rPr>
                <w:sz w:val="20"/>
                <w:szCs w:val="20"/>
              </w:rPr>
              <w:t>0</w:t>
            </w:r>
          </w:p>
        </w:tc>
        <w:tc>
          <w:tcPr>
            <w:tcW w:w="2310" w:type="dxa"/>
            <w:tcBorders>
              <w:top w:val="nil"/>
              <w:left w:val="nil"/>
              <w:bottom w:val="single" w:sz="8" w:space="0" w:color="auto"/>
              <w:right w:val="single" w:sz="4" w:space="0" w:color="auto"/>
            </w:tcBorders>
            <w:shd w:val="clear" w:color="auto" w:fill="auto"/>
            <w:noWrap/>
            <w:vAlign w:val="bottom"/>
            <w:hideMark/>
          </w:tcPr>
          <w:p w:rsidR="00247223" w:rsidRDefault="009060D6" w:rsidP="005735B1">
            <w:pPr>
              <w:widowControl/>
              <w:autoSpaceDE/>
              <w:autoSpaceDN/>
              <w:adjustRightInd/>
              <w:jc w:val="center"/>
              <w:rPr>
                <w:sz w:val="20"/>
                <w:szCs w:val="20"/>
              </w:rPr>
            </w:pPr>
            <w:r>
              <w:rPr>
                <w:sz w:val="20"/>
                <w:szCs w:val="20"/>
              </w:rPr>
              <w:t>0</w:t>
            </w:r>
          </w:p>
        </w:tc>
        <w:tc>
          <w:tcPr>
            <w:tcW w:w="1620" w:type="dxa"/>
            <w:tcBorders>
              <w:top w:val="nil"/>
              <w:left w:val="nil"/>
              <w:bottom w:val="single" w:sz="8" w:space="0" w:color="auto"/>
              <w:right w:val="single" w:sz="8" w:space="0" w:color="auto"/>
            </w:tcBorders>
            <w:shd w:val="clear" w:color="auto" w:fill="auto"/>
            <w:noWrap/>
            <w:vAlign w:val="bottom"/>
            <w:hideMark/>
          </w:tcPr>
          <w:p w:rsidR="00247223" w:rsidRDefault="009060D6">
            <w:pPr>
              <w:widowControl/>
              <w:autoSpaceDE/>
              <w:autoSpaceDN/>
              <w:adjustRightInd/>
              <w:jc w:val="center"/>
              <w:rPr>
                <w:sz w:val="20"/>
                <w:szCs w:val="20"/>
              </w:rPr>
            </w:pPr>
            <w:r>
              <w:rPr>
                <w:sz w:val="20"/>
                <w:szCs w:val="20"/>
              </w:rPr>
              <w:t>0</w:t>
            </w:r>
          </w:p>
        </w:tc>
      </w:tr>
      <w:tr w:rsidR="005735B1" w:rsidRPr="00C021B0" w:rsidTr="005735B1">
        <w:trPr>
          <w:trHeight w:val="270"/>
        </w:trPr>
        <w:tc>
          <w:tcPr>
            <w:tcW w:w="1455" w:type="dxa"/>
            <w:tcBorders>
              <w:top w:val="nil"/>
              <w:left w:val="single" w:sz="8" w:space="0" w:color="auto"/>
              <w:bottom w:val="single" w:sz="8" w:space="0" w:color="auto"/>
              <w:right w:val="single" w:sz="4" w:space="0" w:color="auto"/>
            </w:tcBorders>
            <w:shd w:val="clear" w:color="auto" w:fill="auto"/>
            <w:vAlign w:val="bottom"/>
            <w:hideMark/>
          </w:tcPr>
          <w:p w:rsidR="005735B1" w:rsidRPr="00C021B0" w:rsidRDefault="008C13BA" w:rsidP="005735B1">
            <w:pPr>
              <w:widowControl/>
              <w:autoSpaceDE/>
              <w:autoSpaceDN/>
              <w:adjustRightInd/>
              <w:jc w:val="center"/>
              <w:rPr>
                <w:color w:val="000000"/>
                <w:sz w:val="20"/>
                <w:szCs w:val="20"/>
              </w:rPr>
            </w:pPr>
            <w:r>
              <w:rPr>
                <w:color w:val="000000"/>
                <w:sz w:val="20"/>
                <w:szCs w:val="20"/>
              </w:rPr>
              <w:t>TOTAL</w:t>
            </w:r>
          </w:p>
        </w:tc>
        <w:tc>
          <w:tcPr>
            <w:tcW w:w="1830" w:type="dxa"/>
            <w:tcBorders>
              <w:top w:val="nil"/>
              <w:left w:val="nil"/>
              <w:bottom w:val="single" w:sz="8" w:space="0" w:color="auto"/>
              <w:right w:val="single" w:sz="4" w:space="0" w:color="auto"/>
            </w:tcBorders>
            <w:shd w:val="clear" w:color="auto" w:fill="auto"/>
            <w:noWrap/>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94,726 </w:t>
            </w:r>
          </w:p>
        </w:tc>
        <w:tc>
          <w:tcPr>
            <w:tcW w:w="2310" w:type="dxa"/>
            <w:tcBorders>
              <w:top w:val="nil"/>
              <w:left w:val="nil"/>
              <w:bottom w:val="single" w:sz="8" w:space="0" w:color="auto"/>
              <w:right w:val="single" w:sz="4" w:space="0" w:color="auto"/>
            </w:tcBorders>
            <w:shd w:val="clear" w:color="auto" w:fill="auto"/>
            <w:noWrap/>
            <w:vAlign w:val="bottom"/>
            <w:hideMark/>
          </w:tcPr>
          <w:p w:rsidR="005735B1" w:rsidRPr="00C021B0" w:rsidRDefault="008C13BA" w:rsidP="005735B1">
            <w:pPr>
              <w:widowControl/>
              <w:autoSpaceDE/>
              <w:autoSpaceDN/>
              <w:adjustRightInd/>
              <w:jc w:val="center"/>
              <w:rPr>
                <w:sz w:val="20"/>
                <w:szCs w:val="20"/>
              </w:rPr>
            </w:pPr>
            <w:r>
              <w:rPr>
                <w:sz w:val="20"/>
                <w:szCs w:val="20"/>
              </w:rPr>
              <w:t xml:space="preserve">                                               240,079 </w:t>
            </w:r>
          </w:p>
        </w:tc>
        <w:tc>
          <w:tcPr>
            <w:tcW w:w="1620" w:type="dxa"/>
            <w:tcBorders>
              <w:top w:val="nil"/>
              <w:left w:val="nil"/>
              <w:bottom w:val="single" w:sz="8"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Pr>
                <w:sz w:val="20"/>
                <w:szCs w:val="20"/>
              </w:rPr>
              <w:t>80,026</w:t>
            </w:r>
          </w:p>
        </w:tc>
      </w:tr>
    </w:tbl>
    <w:p w:rsidR="00F533A9" w:rsidRDefault="00F533A9" w:rsidP="00796D3A">
      <w:pPr>
        <w:rPr>
          <w:sz w:val="20"/>
          <w:szCs w:val="20"/>
        </w:rPr>
      </w:pPr>
      <w:r>
        <w:rPr>
          <w:sz w:val="20"/>
          <w:szCs w:val="20"/>
        </w:rPr>
        <w:t>* Some responses are one-time only requirements and do not occur each year.</w:t>
      </w:r>
      <w:r w:rsidR="00796D3A">
        <w:rPr>
          <w:sz w:val="20"/>
          <w:szCs w:val="20"/>
        </w:rPr>
        <w:t xml:space="preserve"> </w:t>
      </w:r>
      <w:r w:rsidR="00E469B9">
        <w:rPr>
          <w:sz w:val="20"/>
          <w:szCs w:val="20"/>
        </w:rPr>
        <w:t xml:space="preserve"> Initial one-time requirements are included in the annual average for this intial 3-year ICR period.</w:t>
      </w:r>
    </w:p>
    <w:p w:rsidR="00F533A9" w:rsidRDefault="00F533A9">
      <w:pPr>
        <w:pBdr>
          <w:top w:val="single" w:sz="6" w:space="0" w:color="FFFFFF"/>
          <w:left w:val="single" w:sz="6" w:space="0" w:color="FFFFFF"/>
          <w:bottom w:val="single" w:sz="6" w:space="0" w:color="FFFFFF"/>
          <w:right w:val="single" w:sz="6" w:space="0" w:color="FFFFFF"/>
        </w:pBdr>
        <w:rPr>
          <w:color w:val="FF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1.A-8.C and 9.A-9.C </w:t>
      </w:r>
      <w:r>
        <w:t>in Appendix A and B</w:t>
      </w:r>
      <w:r>
        <w:rPr>
          <w:color w:val="000000"/>
        </w:rPr>
        <w:t xml:space="preserve"> respectively, and summarized below.  </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rsidP="00A777B6">
      <w:pPr>
        <w:widowControl/>
        <w:ind w:firstLine="720"/>
      </w:pPr>
      <w:r>
        <w:t xml:space="preserve">A breakdown for each of the collection, reporting, and recordkeeping activities required by the </w:t>
      </w:r>
      <w:r w:rsidR="005148CE">
        <w:t xml:space="preserve">Area </w:t>
      </w:r>
      <w:r>
        <w:t xml:space="preserve">Boilers NESHAP is presented in tables 1.A-8.C.  The estimate of total annual hours requested from the respondents is based on the assumptions outlined in section 6(d) of this supporting statement.  The EPA estimates the respondent burden by totaling the hours for the first 3 years after the implementation of the </w:t>
      </w:r>
      <w:r w:rsidR="005148CE">
        <w:t xml:space="preserve">Area </w:t>
      </w:r>
      <w:r>
        <w:t xml:space="preserve">Boilers NESHAP for technical, managerial, and clerical staff at the facility, and for the labor hours of the contractors doing the performance testing.  This total is </w:t>
      </w:r>
      <w:r w:rsidR="008C13BA">
        <w:t xml:space="preserve">divided by three to arrive at the average annualized burden (see ICRAS summary table 10).  A similar approach is taken for estimating average annual labor and non-labor costs.  For the first 3 years after the implementation of the Area Boilers NESHAP, EPA estimates that industry would expend </w:t>
      </w:r>
      <w:r w:rsidR="008C13BA" w:rsidRPr="008C13BA">
        <w:t>2.7</w:t>
      </w:r>
      <w:r w:rsidR="008C13BA">
        <w:t xml:space="preserve"> million hours annually at a cost of $</w:t>
      </w:r>
      <w:r w:rsidR="008C13BA" w:rsidRPr="008C13BA">
        <w:t>406.8</w:t>
      </w:r>
      <w:r w:rsidR="008C13BA">
        <w:t xml:space="preserve"> million per year to meet the monitoring, recordkeeping, and reporting requirements.  Excluding labor costs, the annualized capital/startup and O&amp;M is expected to be $</w:t>
      </w:r>
      <w:r w:rsidR="008C13BA" w:rsidRPr="008C13BA">
        <w:t>153.1</w:t>
      </w:r>
      <w:r w:rsidR="008C13BA">
        <w:t xml:space="preserve"> million. The annualized capital/startup and O&amp;M costs for the respondents includes the cost of monitoring equipment, and cost to hire third parties to conduct audits, testing</w:t>
      </w:r>
      <w:r>
        <w:t xml:space="preserve">, and tune-ups. These testing, monitoring, audit, and tune-up costs are also included in the total control cost impacts estimated for the </w:t>
      </w:r>
      <w:r w:rsidR="005148CE">
        <w:t xml:space="preserve">Area </w:t>
      </w:r>
      <w:r>
        <w:t>Boilers NESHAP such that adding these burden estimates to the total cost of the regulation would overestimate the total costs incurred by affected sources.</w:t>
      </w:r>
    </w:p>
    <w:p w:rsidR="00E469B9" w:rsidRDefault="00E469B9" w:rsidP="00A777B6">
      <w:pPr>
        <w:widowControl/>
        <w:ind w:firstLine="720"/>
      </w:pPr>
    </w:p>
    <w:p w:rsidR="00E469B9" w:rsidRDefault="008C13BA" w:rsidP="00705BE2">
      <w:pPr>
        <w:pStyle w:val="Caption"/>
        <w:keepNext/>
        <w:rPr>
          <w:rFonts w:ascii="Times New Roman" w:hAnsi="Times New Roman"/>
          <w:sz w:val="24"/>
          <w:szCs w:val="24"/>
        </w:rPr>
      </w:pPr>
      <w:r>
        <w:rPr>
          <w:rFonts w:ascii="Times New Roman" w:hAnsi="Times New Roman"/>
          <w:sz w:val="24"/>
          <w:szCs w:val="24"/>
        </w:rPr>
        <w:t xml:space="preserve">Table </w:t>
      </w:r>
      <w:r w:rsidR="00F50781" w:rsidRPr="00472360">
        <w:rPr>
          <w:rFonts w:ascii="Times New Roman" w:hAnsi="Times New Roman"/>
          <w:sz w:val="24"/>
          <w:szCs w:val="24"/>
        </w:rPr>
        <w:fldChar w:fldCharType="begin"/>
      </w:r>
      <w:r>
        <w:rPr>
          <w:rFonts w:ascii="Times New Roman" w:hAnsi="Times New Roman"/>
          <w:sz w:val="24"/>
          <w:szCs w:val="24"/>
        </w:rPr>
        <w:instrText xml:space="preserve"> SEQ Table \* ARABIC </w:instrText>
      </w:r>
      <w:r w:rsidR="00F50781" w:rsidRPr="00472360">
        <w:rPr>
          <w:rFonts w:ascii="Times New Roman" w:hAnsi="Times New Roman"/>
          <w:sz w:val="24"/>
          <w:szCs w:val="24"/>
        </w:rPr>
        <w:fldChar w:fldCharType="separate"/>
      </w:r>
      <w:r>
        <w:rPr>
          <w:rFonts w:ascii="Times New Roman" w:hAnsi="Times New Roman"/>
          <w:noProof/>
          <w:sz w:val="24"/>
          <w:szCs w:val="24"/>
        </w:rPr>
        <w:t>4</w:t>
      </w:r>
      <w:r w:rsidR="00F50781" w:rsidRPr="00472360">
        <w:rPr>
          <w:rFonts w:ascii="Times New Roman" w:hAnsi="Times New Roman"/>
          <w:sz w:val="24"/>
          <w:szCs w:val="24"/>
        </w:rPr>
        <w:fldChar w:fldCharType="end"/>
      </w:r>
      <w:r>
        <w:rPr>
          <w:rFonts w:ascii="Times New Roman" w:hAnsi="Times New Roman"/>
          <w:sz w:val="24"/>
          <w:szCs w:val="24"/>
        </w:rPr>
        <w:t>:  Annual Average Burden for all Affected Boilers</w:t>
      </w:r>
    </w:p>
    <w:tbl>
      <w:tblPr>
        <w:tblW w:w="7650" w:type="dxa"/>
        <w:tblInd w:w="198" w:type="dxa"/>
        <w:tblLook w:val="04A0"/>
      </w:tblPr>
      <w:tblGrid>
        <w:gridCol w:w="2520"/>
        <w:gridCol w:w="1220"/>
        <w:gridCol w:w="1480"/>
        <w:gridCol w:w="2430"/>
      </w:tblGrid>
      <w:tr w:rsidR="00C021B0" w:rsidRPr="00C021B0" w:rsidTr="00C021B0">
        <w:trPr>
          <w:trHeight w:val="24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jc w:val="center"/>
              <w:rPr>
                <w:sz w:val="20"/>
                <w:szCs w:val="20"/>
              </w:rPr>
            </w:pPr>
            <w:r w:rsidRPr="008C13BA">
              <w:rPr>
                <w:sz w:val="20"/>
                <w:szCs w:val="20"/>
              </w:rPr>
              <w:t> </w:t>
            </w:r>
          </w:p>
        </w:tc>
        <w:tc>
          <w:tcPr>
            <w:tcW w:w="513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jc w:val="center"/>
              <w:rPr>
                <w:sz w:val="20"/>
                <w:szCs w:val="20"/>
              </w:rPr>
            </w:pPr>
            <w:r w:rsidRPr="008C13BA">
              <w:rPr>
                <w:sz w:val="20"/>
                <w:szCs w:val="20"/>
              </w:rPr>
              <w:t>Total Recordkeeping and Reporting Costs</w:t>
            </w:r>
          </w:p>
        </w:tc>
      </w:tr>
      <w:tr w:rsidR="00C021B0" w:rsidRPr="00C021B0" w:rsidTr="00C021B0">
        <w:trPr>
          <w:trHeight w:val="54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rPr>
                <w:sz w:val="20"/>
                <w:szCs w:val="20"/>
              </w:rPr>
            </w:pPr>
            <w:r w:rsidRPr="008C13BA">
              <w:rPr>
                <w:sz w:val="20"/>
                <w:szCs w:val="20"/>
              </w:rPr>
              <w:t> </w:t>
            </w:r>
          </w:p>
        </w:tc>
        <w:tc>
          <w:tcPr>
            <w:tcW w:w="1220" w:type="dxa"/>
            <w:tcBorders>
              <w:top w:val="nil"/>
              <w:left w:val="nil"/>
              <w:bottom w:val="single" w:sz="4" w:space="0" w:color="auto"/>
              <w:right w:val="single" w:sz="4" w:space="0" w:color="auto"/>
            </w:tcBorders>
            <w:shd w:val="clear" w:color="auto" w:fill="auto"/>
            <w:vAlign w:val="bottom"/>
            <w:hideMark/>
          </w:tcPr>
          <w:p w:rsidR="00EF6B7D" w:rsidRDefault="008C13BA">
            <w:pPr>
              <w:widowControl/>
              <w:autoSpaceDE/>
              <w:autoSpaceDN/>
              <w:adjustRightInd/>
              <w:jc w:val="center"/>
              <w:rPr>
                <w:sz w:val="20"/>
                <w:szCs w:val="20"/>
              </w:rPr>
            </w:pPr>
            <w:r w:rsidRPr="008C13BA">
              <w:rPr>
                <w:sz w:val="20"/>
                <w:szCs w:val="20"/>
              </w:rPr>
              <w:t>Number of Responses</w:t>
            </w:r>
          </w:p>
        </w:tc>
        <w:tc>
          <w:tcPr>
            <w:tcW w:w="1480" w:type="dxa"/>
            <w:tcBorders>
              <w:top w:val="nil"/>
              <w:left w:val="nil"/>
              <w:bottom w:val="single" w:sz="4" w:space="0" w:color="auto"/>
              <w:right w:val="single" w:sz="4" w:space="0" w:color="auto"/>
            </w:tcBorders>
            <w:shd w:val="clear" w:color="auto" w:fill="auto"/>
            <w:vAlign w:val="bottom"/>
            <w:hideMark/>
          </w:tcPr>
          <w:p w:rsidR="00EF6B7D" w:rsidRDefault="008C13BA">
            <w:pPr>
              <w:widowControl/>
              <w:autoSpaceDE/>
              <w:autoSpaceDN/>
              <w:adjustRightInd/>
              <w:jc w:val="center"/>
              <w:rPr>
                <w:sz w:val="20"/>
                <w:szCs w:val="20"/>
              </w:rPr>
            </w:pPr>
            <w:r w:rsidRPr="008C13BA">
              <w:rPr>
                <w:sz w:val="20"/>
                <w:szCs w:val="20"/>
              </w:rPr>
              <w:t>Annual Burden Hours</w:t>
            </w:r>
          </w:p>
        </w:tc>
        <w:tc>
          <w:tcPr>
            <w:tcW w:w="2430" w:type="dxa"/>
            <w:tcBorders>
              <w:top w:val="nil"/>
              <w:left w:val="nil"/>
              <w:bottom w:val="single" w:sz="4" w:space="0" w:color="auto"/>
              <w:right w:val="single" w:sz="4" w:space="0" w:color="auto"/>
            </w:tcBorders>
            <w:shd w:val="clear" w:color="auto" w:fill="auto"/>
            <w:vAlign w:val="bottom"/>
            <w:hideMark/>
          </w:tcPr>
          <w:p w:rsidR="00EF6B7D" w:rsidRDefault="008C13BA">
            <w:pPr>
              <w:widowControl/>
              <w:autoSpaceDE/>
              <w:autoSpaceDN/>
              <w:adjustRightInd/>
              <w:jc w:val="center"/>
              <w:rPr>
                <w:sz w:val="20"/>
                <w:szCs w:val="20"/>
              </w:rPr>
            </w:pPr>
            <w:r w:rsidRPr="008C13BA">
              <w:rPr>
                <w:sz w:val="20"/>
                <w:szCs w:val="20"/>
              </w:rPr>
              <w:t>Annualized Capital/Start-up and O&amp;M</w:t>
            </w:r>
          </w:p>
        </w:tc>
      </w:tr>
      <w:tr w:rsidR="00C021B0" w:rsidRPr="00C021B0" w:rsidTr="00C021B0">
        <w:trPr>
          <w:trHeight w:val="22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rPr>
                <w:sz w:val="20"/>
                <w:szCs w:val="20"/>
              </w:rPr>
            </w:pPr>
            <w:r w:rsidRPr="008C13BA">
              <w:rPr>
                <w:sz w:val="20"/>
                <w:szCs w:val="20"/>
              </w:rPr>
              <w:t>Year 1</w:t>
            </w:r>
          </w:p>
        </w:tc>
        <w:tc>
          <w:tcPr>
            <w:tcW w:w="122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94,204</w:t>
            </w:r>
          </w:p>
        </w:tc>
        <w:tc>
          <w:tcPr>
            <w:tcW w:w="148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4,520,641</w:t>
            </w:r>
          </w:p>
        </w:tc>
        <w:tc>
          <w:tcPr>
            <w:tcW w:w="243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                 8,288,756</w:t>
            </w:r>
          </w:p>
        </w:tc>
      </w:tr>
      <w:tr w:rsidR="00C021B0" w:rsidRPr="00C021B0" w:rsidTr="00C021B0">
        <w:trPr>
          <w:trHeight w:val="22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rPr>
                <w:sz w:val="20"/>
                <w:szCs w:val="20"/>
              </w:rPr>
            </w:pPr>
            <w:r w:rsidRPr="008C13BA">
              <w:rPr>
                <w:sz w:val="20"/>
                <w:szCs w:val="20"/>
              </w:rPr>
              <w:t>Year 2</w:t>
            </w:r>
          </w:p>
        </w:tc>
        <w:tc>
          <w:tcPr>
            <w:tcW w:w="122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3,478</w:t>
            </w:r>
          </w:p>
        </w:tc>
        <w:tc>
          <w:tcPr>
            <w:tcW w:w="148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930,921</w:t>
            </w:r>
          </w:p>
        </w:tc>
        <w:tc>
          <w:tcPr>
            <w:tcW w:w="243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             222,157,049</w:t>
            </w:r>
          </w:p>
        </w:tc>
      </w:tr>
      <w:tr w:rsidR="00C021B0" w:rsidRPr="00C021B0" w:rsidTr="00C021B0">
        <w:trPr>
          <w:trHeight w:val="22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rPr>
                <w:sz w:val="20"/>
                <w:szCs w:val="20"/>
              </w:rPr>
            </w:pPr>
            <w:r w:rsidRPr="008C13BA">
              <w:rPr>
                <w:sz w:val="20"/>
                <w:szCs w:val="20"/>
              </w:rPr>
              <w:t>Year 3</w:t>
            </w:r>
          </w:p>
        </w:tc>
        <w:tc>
          <w:tcPr>
            <w:tcW w:w="122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142,397</w:t>
            </w:r>
          </w:p>
        </w:tc>
        <w:tc>
          <w:tcPr>
            <w:tcW w:w="148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2,593,917</w:t>
            </w:r>
          </w:p>
        </w:tc>
        <w:tc>
          <w:tcPr>
            <w:tcW w:w="243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             228,920,717</w:t>
            </w:r>
          </w:p>
        </w:tc>
      </w:tr>
      <w:tr w:rsidR="00C021B0" w:rsidRPr="00C021B0" w:rsidTr="00C021B0">
        <w:trPr>
          <w:trHeight w:val="24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rPr>
                <w:sz w:val="20"/>
                <w:szCs w:val="20"/>
              </w:rPr>
            </w:pPr>
            <w:r w:rsidRPr="008C13BA">
              <w:rPr>
                <w:sz w:val="20"/>
                <w:szCs w:val="20"/>
              </w:rPr>
              <w:t>Overall Average Annual Estimates</w:t>
            </w:r>
          </w:p>
        </w:tc>
        <w:tc>
          <w:tcPr>
            <w:tcW w:w="122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80,026</w:t>
            </w:r>
          </w:p>
        </w:tc>
        <w:tc>
          <w:tcPr>
            <w:tcW w:w="148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2,681,826</w:t>
            </w:r>
          </w:p>
        </w:tc>
        <w:tc>
          <w:tcPr>
            <w:tcW w:w="243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             153,122,174</w:t>
            </w:r>
          </w:p>
        </w:tc>
      </w:tr>
    </w:tbl>
    <w:p w:rsidR="00E469B9" w:rsidRPr="00A777B6" w:rsidRDefault="00E469B9" w:rsidP="00A777B6">
      <w:pPr>
        <w:widowControl/>
        <w:ind w:firstLine="720"/>
        <w:rPr>
          <w:rFonts w:cs="Courier New"/>
        </w:rPr>
      </w:pPr>
    </w:p>
    <w:p w:rsidR="00F533A9" w:rsidRDefault="00F533A9">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F533A9" w:rsidRDefault="00F533A9">
      <w:pPr>
        <w:pBdr>
          <w:top w:val="single" w:sz="6" w:space="0" w:color="FFFFFF"/>
          <w:left w:val="single" w:sz="6" w:space="0" w:color="FFFFFF"/>
          <w:bottom w:val="single" w:sz="6" w:space="0" w:color="FFFFFF"/>
          <w:right w:val="single" w:sz="6" w:space="0" w:color="FFFFFF"/>
        </w:pBdr>
        <w:rPr>
          <w:color w:val="FF0000"/>
        </w:rPr>
      </w:pPr>
    </w:p>
    <w:p w:rsidR="00F533A9" w:rsidRDefault="00F533A9" w:rsidP="00CB5A3B">
      <w:pPr>
        <w:widowControl/>
        <w:ind w:firstLine="720"/>
        <w:rPr>
          <w:rFonts w:cs="Courier New"/>
        </w:rPr>
      </w:pPr>
      <w:r>
        <w:rPr>
          <w:rFonts w:cs="Courier New"/>
        </w:rPr>
        <w:t xml:space="preserve">The bottom line agency burden hours and costs, presented in table 5 below and in Attachments </w:t>
      </w:r>
      <w:r w:rsidR="00357C31">
        <w:rPr>
          <w:rFonts w:cs="Courier New"/>
        </w:rPr>
        <w:t>9A</w:t>
      </w:r>
      <w:r>
        <w:rPr>
          <w:rFonts w:cs="Courier New"/>
        </w:rPr>
        <w:t>-</w:t>
      </w:r>
      <w:r w:rsidR="00357C31">
        <w:rPr>
          <w:rFonts w:cs="Courier New"/>
        </w:rPr>
        <w:t>9C</w:t>
      </w:r>
      <w:r>
        <w:rPr>
          <w:rFonts w:cs="Courier New"/>
        </w:rPr>
        <w:t xml:space="preserve">, are calculated by totaling the hours per year for technical, managerial, and clerical staff, and by totaling the cost column.  The table summarizes the agency burden for each of the first 3 years and calculates the average annual burden by dividing the 3-year total by three.  The estimated average annual burden over the first 3 years for the agency is </w:t>
      </w:r>
      <w:r w:rsidR="00472360">
        <w:rPr>
          <w:rFonts w:cs="Courier New"/>
        </w:rPr>
        <w:t>285,900</w:t>
      </w:r>
      <w:r>
        <w:rPr>
          <w:rFonts w:cs="Courier New"/>
        </w:rPr>
        <w:t xml:space="preserve"> hours at a cost of $</w:t>
      </w:r>
      <w:r w:rsidR="00472360">
        <w:rPr>
          <w:rFonts w:cs="Courier New"/>
        </w:rPr>
        <w:t>13.1</w:t>
      </w:r>
      <w:r w:rsidR="00357C31">
        <w:rPr>
          <w:rFonts w:cs="Courier New"/>
        </w:rPr>
        <w:t xml:space="preserve"> million </w:t>
      </w:r>
      <w:r>
        <w:rPr>
          <w:rFonts w:cs="Courier New"/>
        </w:rPr>
        <w:t>(including travel expenses for observing stack tests) per year.</w:t>
      </w:r>
    </w:p>
    <w:p w:rsidR="00705BE2" w:rsidRDefault="00705BE2" w:rsidP="00705BE2">
      <w:pPr>
        <w:widowControl/>
        <w:rPr>
          <w:rFonts w:cs="Courier New"/>
        </w:rPr>
      </w:pPr>
    </w:p>
    <w:p w:rsidR="002B51CC" w:rsidRDefault="008C13BA" w:rsidP="00705BE2">
      <w:pPr>
        <w:widowControl/>
        <w:rPr>
          <w:b/>
        </w:rPr>
      </w:pPr>
      <w:r>
        <w:rPr>
          <w:b/>
        </w:rPr>
        <w:t>Table 5:  Annual Average Burden for the Federal Government</w:t>
      </w:r>
    </w:p>
    <w:p w:rsidR="00C021B0" w:rsidRDefault="00C021B0" w:rsidP="00705BE2">
      <w:pPr>
        <w:widowControl/>
        <w:rPr>
          <w:b/>
        </w:rPr>
      </w:pPr>
    </w:p>
    <w:tbl>
      <w:tblPr>
        <w:tblW w:w="6030" w:type="dxa"/>
        <w:tblInd w:w="198" w:type="dxa"/>
        <w:tblLook w:val="04A0"/>
      </w:tblPr>
      <w:tblGrid>
        <w:gridCol w:w="2520"/>
        <w:gridCol w:w="1460"/>
        <w:gridCol w:w="2050"/>
      </w:tblGrid>
      <w:tr w:rsidR="00C021B0" w:rsidRPr="00C021B0" w:rsidTr="00C021B0">
        <w:trPr>
          <w:trHeight w:val="225"/>
        </w:trPr>
        <w:tc>
          <w:tcPr>
            <w:tcW w:w="2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rPr>
                <w:sz w:val="20"/>
                <w:szCs w:val="20"/>
              </w:rPr>
            </w:pPr>
            <w:r w:rsidRPr="008C13BA">
              <w:rPr>
                <w:sz w:val="20"/>
                <w:szCs w:val="20"/>
              </w:rPr>
              <w:t>AGENCY Burden</w:t>
            </w:r>
          </w:p>
        </w:tc>
        <w:tc>
          <w:tcPr>
            <w:tcW w:w="1460" w:type="dxa"/>
            <w:tcBorders>
              <w:top w:val="single" w:sz="8" w:space="0" w:color="auto"/>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Hours</w:t>
            </w:r>
          </w:p>
        </w:tc>
        <w:tc>
          <w:tcPr>
            <w:tcW w:w="2050" w:type="dxa"/>
            <w:tcBorders>
              <w:top w:val="single" w:sz="8" w:space="0" w:color="auto"/>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Costs (labor + travel)</w:t>
            </w:r>
          </w:p>
        </w:tc>
      </w:tr>
      <w:tr w:rsidR="00C021B0" w:rsidRPr="00C021B0" w:rsidTr="00C021B0">
        <w:trPr>
          <w:trHeight w:val="225"/>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rPr>
                <w:sz w:val="20"/>
                <w:szCs w:val="20"/>
              </w:rPr>
            </w:pPr>
            <w:r w:rsidRPr="008C13BA">
              <w:rPr>
                <w:sz w:val="20"/>
                <w:szCs w:val="20"/>
              </w:rPr>
              <w:t>Year 1</w:t>
            </w:r>
          </w:p>
        </w:tc>
        <w:tc>
          <w:tcPr>
            <w:tcW w:w="146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439,226</w:t>
            </w:r>
          </w:p>
        </w:tc>
        <w:tc>
          <w:tcPr>
            <w:tcW w:w="205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              19,848,842</w:t>
            </w:r>
          </w:p>
        </w:tc>
      </w:tr>
      <w:tr w:rsidR="00C021B0" w:rsidRPr="00C021B0" w:rsidTr="00C021B0">
        <w:trPr>
          <w:trHeight w:val="225"/>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rPr>
                <w:sz w:val="20"/>
                <w:szCs w:val="20"/>
              </w:rPr>
            </w:pPr>
            <w:r w:rsidRPr="008C13BA">
              <w:rPr>
                <w:sz w:val="20"/>
                <w:szCs w:val="20"/>
              </w:rPr>
              <w:t>Year 2</w:t>
            </w:r>
          </w:p>
        </w:tc>
        <w:tc>
          <w:tcPr>
            <w:tcW w:w="146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49,445</w:t>
            </w:r>
          </w:p>
        </w:tc>
        <w:tc>
          <w:tcPr>
            <w:tcW w:w="205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                2,473,334</w:t>
            </w:r>
          </w:p>
        </w:tc>
      </w:tr>
      <w:tr w:rsidR="00C021B0" w:rsidRPr="00C021B0" w:rsidTr="00C021B0">
        <w:trPr>
          <w:trHeight w:val="225"/>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rPr>
                <w:sz w:val="20"/>
                <w:szCs w:val="20"/>
              </w:rPr>
            </w:pPr>
            <w:r w:rsidRPr="008C13BA">
              <w:rPr>
                <w:sz w:val="20"/>
                <w:szCs w:val="20"/>
              </w:rPr>
              <w:lastRenderedPageBreak/>
              <w:t>Year 3</w:t>
            </w:r>
          </w:p>
        </w:tc>
        <w:tc>
          <w:tcPr>
            <w:tcW w:w="146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368,891</w:t>
            </w:r>
          </w:p>
        </w:tc>
        <w:tc>
          <w:tcPr>
            <w:tcW w:w="205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              16,869,092</w:t>
            </w:r>
          </w:p>
        </w:tc>
      </w:tr>
      <w:tr w:rsidR="00C021B0" w:rsidRPr="00C021B0" w:rsidTr="00C021B0">
        <w:trPr>
          <w:trHeight w:val="260"/>
        </w:trPr>
        <w:tc>
          <w:tcPr>
            <w:tcW w:w="2520" w:type="dxa"/>
            <w:tcBorders>
              <w:top w:val="nil"/>
              <w:left w:val="single" w:sz="8" w:space="0" w:color="auto"/>
              <w:bottom w:val="single" w:sz="4"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rPr>
                <w:sz w:val="20"/>
                <w:szCs w:val="20"/>
              </w:rPr>
            </w:pPr>
            <w:r w:rsidRPr="008C13BA">
              <w:rPr>
                <w:sz w:val="20"/>
                <w:szCs w:val="20"/>
              </w:rPr>
              <w:t>Total</w:t>
            </w:r>
          </w:p>
        </w:tc>
        <w:tc>
          <w:tcPr>
            <w:tcW w:w="1460" w:type="dxa"/>
            <w:tcBorders>
              <w:top w:val="nil"/>
              <w:left w:val="nil"/>
              <w:bottom w:val="single" w:sz="4"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857,563</w:t>
            </w:r>
          </w:p>
        </w:tc>
        <w:tc>
          <w:tcPr>
            <w:tcW w:w="2050" w:type="dxa"/>
            <w:tcBorders>
              <w:top w:val="nil"/>
              <w:left w:val="nil"/>
              <w:bottom w:val="single" w:sz="4"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              39,191,268</w:t>
            </w:r>
          </w:p>
        </w:tc>
      </w:tr>
      <w:tr w:rsidR="00C021B0" w:rsidRPr="00C021B0" w:rsidTr="00C021B0">
        <w:trPr>
          <w:trHeight w:val="332"/>
        </w:trPr>
        <w:tc>
          <w:tcPr>
            <w:tcW w:w="2520" w:type="dxa"/>
            <w:tcBorders>
              <w:top w:val="nil"/>
              <w:left w:val="single" w:sz="8" w:space="0" w:color="auto"/>
              <w:bottom w:val="single" w:sz="8" w:space="0" w:color="auto"/>
              <w:right w:val="single" w:sz="4" w:space="0" w:color="auto"/>
            </w:tcBorders>
            <w:shd w:val="clear" w:color="auto" w:fill="auto"/>
            <w:noWrap/>
            <w:vAlign w:val="bottom"/>
            <w:hideMark/>
          </w:tcPr>
          <w:p w:rsidR="00C021B0" w:rsidRPr="00C021B0" w:rsidRDefault="008C13BA" w:rsidP="00C021B0">
            <w:pPr>
              <w:widowControl/>
              <w:autoSpaceDE/>
              <w:autoSpaceDN/>
              <w:adjustRightInd/>
              <w:rPr>
                <w:sz w:val="20"/>
                <w:szCs w:val="20"/>
              </w:rPr>
            </w:pPr>
            <w:r w:rsidRPr="008C13BA">
              <w:rPr>
                <w:sz w:val="20"/>
                <w:szCs w:val="20"/>
              </w:rPr>
              <w:t>Annual Average</w:t>
            </w:r>
          </w:p>
        </w:tc>
        <w:tc>
          <w:tcPr>
            <w:tcW w:w="1460" w:type="dxa"/>
            <w:tcBorders>
              <w:top w:val="nil"/>
              <w:left w:val="nil"/>
              <w:bottom w:val="single" w:sz="8" w:space="0" w:color="auto"/>
              <w:right w:val="single" w:sz="4"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285,854</w:t>
            </w:r>
          </w:p>
        </w:tc>
        <w:tc>
          <w:tcPr>
            <w:tcW w:w="2050" w:type="dxa"/>
            <w:tcBorders>
              <w:top w:val="nil"/>
              <w:left w:val="nil"/>
              <w:bottom w:val="single" w:sz="8" w:space="0" w:color="auto"/>
              <w:right w:val="single" w:sz="8" w:space="0" w:color="auto"/>
            </w:tcBorders>
            <w:shd w:val="clear" w:color="auto" w:fill="auto"/>
            <w:noWrap/>
            <w:vAlign w:val="bottom"/>
            <w:hideMark/>
          </w:tcPr>
          <w:p w:rsidR="00EF6B7D" w:rsidRDefault="008C13BA">
            <w:pPr>
              <w:widowControl/>
              <w:autoSpaceDE/>
              <w:autoSpaceDN/>
              <w:adjustRightInd/>
              <w:jc w:val="center"/>
              <w:rPr>
                <w:sz w:val="20"/>
                <w:szCs w:val="20"/>
              </w:rPr>
            </w:pPr>
            <w:r w:rsidRPr="008C13BA">
              <w:rPr>
                <w:sz w:val="20"/>
                <w:szCs w:val="20"/>
              </w:rPr>
              <w:t>$              13,063,756</w:t>
            </w:r>
          </w:p>
        </w:tc>
      </w:tr>
    </w:tbl>
    <w:p w:rsidR="00C021B0" w:rsidRPr="00705BE2" w:rsidRDefault="00C021B0" w:rsidP="00705BE2">
      <w:pPr>
        <w:widowControl/>
        <w:rPr>
          <w:b/>
        </w:rPr>
      </w:pPr>
    </w:p>
    <w:p w:rsidR="00EF6B7D" w:rsidRDefault="00F533A9">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F533A9" w:rsidRDefault="00F533A9">
      <w:pPr>
        <w:pBdr>
          <w:top w:val="single" w:sz="6" w:space="0" w:color="FFFFFF"/>
          <w:left w:val="single" w:sz="6" w:space="0" w:color="FFFFFF"/>
          <w:bottom w:val="single" w:sz="6" w:space="0" w:color="FFFFFF"/>
          <w:right w:val="single" w:sz="6" w:space="0" w:color="FFFFFF"/>
        </w:pBdr>
        <w:rPr>
          <w:color w:val="FF0000"/>
        </w:rPr>
      </w:pPr>
    </w:p>
    <w:p w:rsidR="00FB4A79" w:rsidRDefault="00FB4A79" w:rsidP="00FB4A79">
      <w:pPr>
        <w:pBdr>
          <w:top w:val="single" w:sz="6" w:space="0" w:color="FFFFFF"/>
          <w:left w:val="single" w:sz="6" w:space="0" w:color="FFFFFF"/>
          <w:bottom w:val="single" w:sz="6" w:space="0" w:color="FFFFFF"/>
          <w:right w:val="single" w:sz="6" w:space="0" w:color="FFFFFF"/>
        </w:pBdr>
        <w:ind w:firstLine="720"/>
        <w:rPr>
          <w:rFonts w:cs="Courier New"/>
        </w:rPr>
      </w:pPr>
      <w:r w:rsidRPr="009769D3">
        <w:rPr>
          <w:rFonts w:cs="Courier New"/>
        </w:rPr>
        <w:t xml:space="preserve">The </w:t>
      </w:r>
      <w:r w:rsidR="00472360">
        <w:rPr>
          <w:rFonts w:cs="Courier New"/>
        </w:rPr>
        <w:t>decrease</w:t>
      </w:r>
      <w:r w:rsidRPr="009769D3">
        <w:rPr>
          <w:rFonts w:cs="Courier New"/>
        </w:rPr>
        <w:t xml:space="preserve"> in burden from the proposal ICR to this final ICR is due to changes in the rule.  </w:t>
      </w:r>
      <w:r w:rsidR="00472360">
        <w:rPr>
          <w:rFonts w:cs="Courier New"/>
        </w:rPr>
        <w:t>The most substantial change was the elimination of floor limits for several subcategories; the limits were replaced with a work practice standard of biennial tune-ups.</w:t>
      </w:r>
      <w:r w:rsidRPr="009769D3">
        <w:rPr>
          <w:rFonts w:cs="Courier New"/>
        </w:rPr>
        <w:t xml:space="preserve"> </w:t>
      </w:r>
      <w:r w:rsidR="00472360">
        <w:rPr>
          <w:rFonts w:cs="Courier New"/>
        </w:rPr>
        <w:t xml:space="preserve"> Additionally, t</w:t>
      </w:r>
      <w:r w:rsidRPr="009769D3">
        <w:rPr>
          <w:rFonts w:cs="Courier New"/>
        </w:rPr>
        <w:t>he use of CO CEMS for un</w:t>
      </w:r>
      <w:r w:rsidR="00894CCE">
        <w:rPr>
          <w:rFonts w:cs="Courier New"/>
        </w:rPr>
        <w:t xml:space="preserve">its &gt;100 </w:t>
      </w:r>
      <w:proofErr w:type="spellStart"/>
      <w:r w:rsidR="00894CCE">
        <w:rPr>
          <w:rFonts w:cs="Courier New"/>
        </w:rPr>
        <w:t>mmBtu</w:t>
      </w:r>
      <w:proofErr w:type="spellEnd"/>
      <w:r w:rsidR="00894CCE">
        <w:rPr>
          <w:rFonts w:cs="Courier New"/>
        </w:rPr>
        <w:t>/hr was removed</w:t>
      </w:r>
      <w:r w:rsidRPr="009769D3">
        <w:rPr>
          <w:rFonts w:cs="Courier New"/>
        </w:rPr>
        <w:t xml:space="preserve">.  </w:t>
      </w:r>
    </w:p>
    <w:p w:rsidR="009060D6" w:rsidRDefault="009060D6" w:rsidP="009060D6">
      <w:pPr>
        <w:pBdr>
          <w:top w:val="single" w:sz="6" w:space="0" w:color="FFFFFF"/>
          <w:left w:val="single" w:sz="6" w:space="0" w:color="FFFFFF"/>
          <w:bottom w:val="single" w:sz="6" w:space="0" w:color="FFFFFF"/>
          <w:right w:val="single" w:sz="6" w:space="0" w:color="FFFFFF"/>
        </w:pBdr>
        <w:ind w:firstLine="720"/>
      </w:pPr>
    </w:p>
    <w:p w:rsidR="009060D6" w:rsidRPr="004E6F13" w:rsidRDefault="009060D6" w:rsidP="009060D6">
      <w:pPr>
        <w:pBdr>
          <w:top w:val="single" w:sz="6" w:space="0" w:color="FFFFFF"/>
          <w:left w:val="single" w:sz="6" w:space="0" w:color="FFFFFF"/>
          <w:bottom w:val="single" w:sz="6" w:space="0" w:color="FFFFFF"/>
          <w:right w:val="single" w:sz="6" w:space="0" w:color="FFFFFF"/>
        </w:pBdr>
        <w:ind w:firstLine="720"/>
      </w:pPr>
      <w:r w:rsidRPr="004E6F13">
        <w:t xml:space="preserve">To provide the public with an estimate of the relative magnitude of the burden associated with a source asserting the affirmative defense position, EPA is providing an administrative adjustment to this ICR.  The adjustment shows the notification, recordkeeping and reporting requirements associated with the assertion of the affirmative defense.  This illustrative example does not result in an increase in the burden for this rule. EPA provides this estimate of the burden because these costs are only incurred if the source believes that there has been a violation, and chooses to take advantage of the affirmative defense. </w:t>
      </w:r>
    </w:p>
    <w:p w:rsidR="00357C31" w:rsidRDefault="00357C31">
      <w:pPr>
        <w:pBdr>
          <w:top w:val="single" w:sz="6" w:space="0" w:color="FFFFFF"/>
          <w:left w:val="single" w:sz="6" w:space="0" w:color="FFFFFF"/>
          <w:bottom w:val="single" w:sz="6" w:space="0" w:color="FFFFFF"/>
          <w:right w:val="single" w:sz="6" w:space="0" w:color="FFFFFF"/>
        </w:pBdr>
        <w:ind w:firstLine="720"/>
        <w:rPr>
          <w:b/>
          <w:bCs/>
          <w:color w:val="000000"/>
        </w:rPr>
      </w:pPr>
    </w:p>
    <w:p w:rsidR="00F533A9" w:rsidRDefault="00F533A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F533A9" w:rsidRDefault="00F533A9">
      <w:pPr>
        <w:pBdr>
          <w:top w:val="single" w:sz="6" w:space="0" w:color="FFFFFF"/>
          <w:left w:val="single" w:sz="6" w:space="0" w:color="FFFFFF"/>
          <w:bottom w:val="single" w:sz="6" w:space="0" w:color="FFFFFF"/>
          <w:right w:val="single" w:sz="6" w:space="0" w:color="FFFFFF"/>
        </w:pBdr>
        <w:rPr>
          <w:color w:val="000000"/>
        </w:rPr>
      </w:pPr>
    </w:p>
    <w:p w:rsidR="00F533A9" w:rsidRDefault="00F533A9" w:rsidP="003855A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w:t>
      </w:r>
      <w:r w:rsidR="008C13BA">
        <w:rPr>
          <w:color w:val="000000"/>
        </w:rPr>
        <w:t>public reporting and recordkeeping burden for this collection of information is estimated to average 34</w:t>
      </w:r>
      <w:r w:rsidR="008C13BA">
        <w:rPr>
          <w:color w:val="FF0000"/>
        </w:rPr>
        <w:t xml:space="preserve"> </w:t>
      </w:r>
      <w:r w:rsidR="008C13BA">
        <w:rPr>
          <w:color w:val="000000"/>
        </w:rPr>
        <w:t>hours per response.  Burden means the total time, effort, or financial resources expended by persons to generate, maintain, retain, or disclose or provide information to or for a Federal agency.  This</w:t>
      </w:r>
      <w:r>
        <w:rPr>
          <w:color w:val="000000"/>
        </w:rPr>
        <w:t xml:space="preserve">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533A9" w:rsidRDefault="00F533A9" w:rsidP="003855AA">
      <w:pPr>
        <w:pBdr>
          <w:top w:val="single" w:sz="6" w:space="0" w:color="FFFFFF"/>
          <w:left w:val="single" w:sz="6" w:space="0" w:color="FFFFFF"/>
          <w:bottom w:val="single" w:sz="6" w:space="0" w:color="FFFFFF"/>
          <w:right w:val="single" w:sz="6" w:space="0" w:color="FFFFFF"/>
        </w:pBdr>
        <w:rPr>
          <w:color w:val="000000"/>
        </w:rPr>
      </w:pPr>
    </w:p>
    <w:p w:rsidR="00F533A9" w:rsidRPr="00FB0650" w:rsidRDefault="00F533A9" w:rsidP="003855AA">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p>
    <w:p w:rsidR="00F533A9" w:rsidRPr="00354C15" w:rsidRDefault="00F533A9" w:rsidP="003855AA"/>
    <w:p w:rsidR="00F533A9" w:rsidRDefault="00F533A9" w:rsidP="003855AA">
      <w:r w:rsidRPr="00354C15">
        <w:tab/>
        <w:t xml:space="preserve">To comment on the Agency's need for this information, the accuracy of the provided burden estimates, and any suggested methods for minimizing respondent burden, including the use of automated collection </w:t>
      </w:r>
      <w:r w:rsidRPr="00357C31">
        <w:t>techniques, EPA has established a public docket for this ICR under Docket ID Number EPA-HQ-OAR-2006-0790.  An electronic version of the public docket is available at http://www.regulations.gov/ which may</w:t>
      </w:r>
      <w:r>
        <w:t xml:space="preserve"> be used </w:t>
      </w:r>
      <w:r w:rsidRPr="00354C15">
        <w:t xml:space="preserve">to obtain a copy of the draft collection of information, submit or view public comments, access the index listing of the contents of the docket, and to access those documents in the public docket that are available </w:t>
      </w:r>
      <w:r w:rsidRPr="00354C15">
        <w:lastRenderedPageBreak/>
        <w:t>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w:t>
      </w:r>
      <w:smartTag w:uri="urn:schemas-microsoft-com:office:smarttags" w:element="PlaceName">
        <w:r w:rsidRPr="00354C15">
          <w:t>Information</w:t>
        </w:r>
      </w:smartTag>
      <w:r w:rsidRPr="00354C15">
        <w:t xml:space="preserve"> </w:t>
      </w:r>
      <w:smartTag w:uri="urn:schemas-microsoft-com:office:smarttags" w:element="PlaceType">
        <w:r w:rsidRPr="00354C15">
          <w:t>Center</w:t>
        </w:r>
      </w:smartTag>
      <w:r w:rsidRPr="00354C15">
        <w:t xml:space="preserve"> in the </w:t>
      </w:r>
      <w:smartTag w:uri="urn:schemas-microsoft-com:office:smarttags" w:element="place">
        <w:smartTag w:uri="urn:schemas-microsoft-com:office:smarttags" w:element="PlaceName">
          <w:r w:rsidRPr="00354C15">
            <w:t>EPA</w:t>
          </w:r>
        </w:smartTag>
        <w:r w:rsidRPr="00354C15">
          <w:t xml:space="preserve"> </w:t>
        </w:r>
        <w:smartTag w:uri="urn:schemas-microsoft-com:office:smarttags" w:element="PlaceName">
          <w:r w:rsidRPr="00354C15">
            <w:t>Docket</w:t>
          </w:r>
        </w:smartTag>
        <w:r w:rsidRPr="00354C15">
          <w:t xml:space="preserve"> </w:t>
        </w:r>
        <w:smartTag w:uri="urn:schemas-microsoft-com:office:smarttags" w:element="PlaceType">
          <w:r w:rsidRPr="00354C15">
            <w:t>Center</w:t>
          </w:r>
        </w:smartTag>
      </w:smartTag>
      <w:r w:rsidRPr="00354C15">
        <w:t xml:space="preserve"> (EPA/DC), </w:t>
      </w:r>
      <w:r w:rsidRPr="000E187E">
        <w:t xml:space="preserve">EPA West, Room </w:t>
      </w:r>
      <w:r>
        <w:t>3334</w:t>
      </w:r>
      <w:r w:rsidRPr="00354C15">
        <w:t xml:space="preserve">, </w:t>
      </w:r>
      <w:smartTag w:uri="urn:schemas-microsoft-com:office:smarttags" w:element="address">
        <w:smartTag w:uri="urn:schemas-microsoft-com:office:smarttags" w:element="Street">
          <w:r w:rsidRPr="00354C15">
            <w:t>1301 Constitution Ave., NW</w:t>
          </w:r>
        </w:smartTag>
        <w:r w:rsidRPr="00354C15">
          <w:t xml:space="preserve">, </w:t>
        </w:r>
        <w:smartTag w:uri="urn:schemas-microsoft-com:office:smarttags" w:element="City">
          <w:r w:rsidRPr="00354C15">
            <w:t>Washington</w:t>
          </w:r>
        </w:smartTag>
        <w:r w:rsidRPr="00354C15">
          <w:t xml:space="preserve">, </w:t>
        </w:r>
        <w:smartTag w:uri="urn:schemas-microsoft-com:office:smarttags" w:element="State">
          <w:r w:rsidRPr="00354C15">
            <w:t>DC</w:t>
          </w:r>
        </w:smartTag>
      </w:smartTag>
      <w:r w:rsidRPr="00354C15">
        <w:t xml:space="preserve">.  The EPA Docket Center Public Reading Room is open from </w:t>
      </w:r>
      <w:smartTag w:uri="urn:schemas-microsoft-com:office:smarttags" w:element="time">
        <w:smartTagPr>
          <w:attr w:name="Minute" w:val="30"/>
          <w:attr w:name="Hour" w:val="8"/>
        </w:smartTagPr>
        <w:r w:rsidRPr="00354C15">
          <w:t>8:30 a.m.</w:t>
        </w:r>
      </w:smartTag>
      <w:r w:rsidRPr="00354C15">
        <w:t xml:space="preserve"> to </w:t>
      </w:r>
      <w:smartTag w:uri="urn:schemas-microsoft-com:office:smarttags" w:element="time">
        <w:smartTagPr>
          <w:attr w:name="Minute" w:val="30"/>
          <w:attr w:name="Hour" w:val="16"/>
        </w:smartTagPr>
        <w:r w:rsidRPr="00354C15">
          <w:t>4:30 p.m.</w:t>
        </w:r>
      </w:smartTag>
      <w:r w:rsidRPr="00354C15">
        <w:t xml:space="preserve">, Monday through Friday, excluding legal holidays.  The telephone number for the Reading Room is (202) 566-1744, and the telephone number </w:t>
      </w:r>
      <w:r>
        <w:t>for the docket center i</w:t>
      </w:r>
      <w:r w:rsidRPr="00354C15">
        <w:t>s (202) 566-</w:t>
      </w:r>
      <w:r>
        <w:t xml:space="preserve">1927.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xml:space="preserve">, </w:t>
      </w:r>
      <w:r w:rsidRPr="00357C31">
        <w:t>Attention: Desk Officer for EPA.  Please include the EPA Docket ID Number EPA-HQ-OAR-2006-0790 in</w:t>
      </w:r>
      <w:r>
        <w:t xml:space="preserve"> any correspondence. </w:t>
      </w:r>
    </w:p>
    <w:p w:rsidR="00F533A9" w:rsidRDefault="00F533A9" w:rsidP="00F340DF">
      <w:pPr>
        <w:rPr>
          <w:rStyle w:val="1"/>
          <w:rFonts w:ascii="WP TypographicSymbols" w:hAnsi="WP TypographicSymbols" w:cs="WP TypographicSymbols"/>
          <w:color w:val="000000"/>
        </w:rPr>
      </w:pPr>
    </w:p>
    <w:p w:rsidR="002B51CC" w:rsidRDefault="002B51CC" w:rsidP="00F340DF">
      <w:pPr>
        <w:rPr>
          <w:b/>
          <w:bCs/>
          <w:color w:val="000000"/>
        </w:rPr>
      </w:pPr>
    </w:p>
    <w:p w:rsidR="002B51CC" w:rsidRDefault="002B51CC" w:rsidP="00F340DF">
      <w:pPr>
        <w:rPr>
          <w:b/>
          <w:bCs/>
          <w:color w:val="000000"/>
        </w:rPr>
      </w:pPr>
    </w:p>
    <w:p w:rsidR="00F533A9" w:rsidRDefault="00F533A9" w:rsidP="00F340DF">
      <w:pPr>
        <w:rPr>
          <w:b/>
          <w:bCs/>
          <w:color w:val="000000"/>
        </w:rPr>
      </w:pPr>
      <w:r>
        <w:rPr>
          <w:b/>
          <w:bCs/>
          <w:color w:val="000000"/>
        </w:rPr>
        <w:t>Part B of the Supporting Statement</w:t>
      </w:r>
    </w:p>
    <w:p w:rsidR="00F533A9" w:rsidRDefault="00F533A9" w:rsidP="00F340DF">
      <w:pPr>
        <w:rPr>
          <w:b/>
          <w:bCs/>
          <w:color w:val="000000"/>
        </w:rPr>
      </w:pPr>
    </w:p>
    <w:p w:rsidR="00F533A9" w:rsidRDefault="00F533A9" w:rsidP="00F340DF">
      <w:pPr>
        <w:rPr>
          <w:color w:val="000000"/>
        </w:rPr>
      </w:pPr>
      <w:r>
        <w:rPr>
          <w:color w:val="000000"/>
        </w:rPr>
        <w:t>This part is not applicable because no statistical methods were used in collecting this information.</w:t>
      </w:r>
    </w:p>
    <w:sectPr w:rsidR="00F533A9" w:rsidSect="00CA4CD6">
      <w:headerReference w:type="default" r:id="rId9"/>
      <w:type w:val="continuous"/>
      <w:pgSz w:w="12240" w:h="15840"/>
      <w:pgMar w:top="1350" w:right="1440" w:bottom="1440" w:left="1440" w:header="1350" w:footer="144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9B2" w:rsidRDefault="005059B2">
      <w:r>
        <w:separator/>
      </w:r>
    </w:p>
  </w:endnote>
  <w:endnote w:type="continuationSeparator" w:id="0">
    <w:p w:rsidR="005059B2" w:rsidRDefault="00505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23" w:rsidRDefault="00247223">
    <w:pPr>
      <w:spacing w:line="240" w:lineRule="exact"/>
    </w:pPr>
  </w:p>
  <w:p w:rsidR="00247223" w:rsidRDefault="00F50781">
    <w:pPr>
      <w:framePr w:w="9361" w:wrap="notBeside" w:vAnchor="text" w:hAnchor="text" w:x="1" w:y="1"/>
      <w:jc w:val="center"/>
      <w:rPr>
        <w:rFonts w:ascii="Courier" w:hAnsi="Courier" w:cs="Courier"/>
      </w:rPr>
    </w:pPr>
    <w:r>
      <w:rPr>
        <w:rFonts w:ascii="Courier" w:hAnsi="Courier" w:cs="Courier"/>
      </w:rPr>
      <w:fldChar w:fldCharType="begin"/>
    </w:r>
    <w:r w:rsidR="00247223">
      <w:rPr>
        <w:rFonts w:ascii="Courier" w:hAnsi="Courier" w:cs="Courier"/>
      </w:rPr>
      <w:instrText xml:space="preserve">PAGE </w:instrText>
    </w:r>
    <w:r>
      <w:rPr>
        <w:rFonts w:ascii="Courier" w:hAnsi="Courier" w:cs="Courier"/>
      </w:rPr>
      <w:fldChar w:fldCharType="separate"/>
    </w:r>
    <w:r w:rsidR="00DC73D3">
      <w:rPr>
        <w:rFonts w:ascii="Courier" w:hAnsi="Courier" w:cs="Courier"/>
        <w:noProof/>
      </w:rPr>
      <w:t>18</w:t>
    </w:r>
    <w:r>
      <w:rPr>
        <w:rFonts w:ascii="Courier" w:hAnsi="Courier" w:cs="Courier"/>
      </w:rPr>
      <w:fldChar w:fldCharType="end"/>
    </w:r>
  </w:p>
  <w:p w:rsidR="00247223" w:rsidRDefault="002472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9B2" w:rsidRDefault="005059B2">
      <w:r>
        <w:separator/>
      </w:r>
    </w:p>
  </w:footnote>
  <w:footnote w:type="continuationSeparator" w:id="0">
    <w:p w:rsidR="005059B2" w:rsidRDefault="00505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23" w:rsidRDefault="00247223"/>
  <w:p w:rsidR="00247223" w:rsidRDefault="00247223">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23" w:rsidRDefault="00247223"/>
  <w:p w:rsidR="00247223" w:rsidRDefault="00247223">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AutoList1"/>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2"/>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3"/>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AutoList4"/>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nsid w:val="00000006"/>
    <w:multiLevelType w:val="multilevel"/>
    <w:tmpl w:val="00000000"/>
    <w:name w:val="AutoList5"/>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7">
    <w:nsid w:val="00000007"/>
    <w:multiLevelType w:val="multilevel"/>
    <w:tmpl w:val="00000000"/>
    <w:name w:val="AutoList6"/>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8">
    <w:nsid w:val="00000008"/>
    <w:multiLevelType w:val="multilevel"/>
    <w:tmpl w:val="00000000"/>
    <w:name w:val="AutoList7"/>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9">
    <w:nsid w:val="00000009"/>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nsid w:val="3BA72FFB"/>
    <w:multiLevelType w:val="hybridMultilevel"/>
    <w:tmpl w:val="A22C175E"/>
    <w:lvl w:ilvl="0" w:tplc="8A2E6C92">
      <w:start w:val="1"/>
      <w:numFmt w:val="lowerRoman"/>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CA4CD6"/>
    <w:rsid w:val="00000E64"/>
    <w:rsid w:val="00000FA6"/>
    <w:rsid w:val="00001704"/>
    <w:rsid w:val="000038B5"/>
    <w:rsid w:val="0000687D"/>
    <w:rsid w:val="000178BA"/>
    <w:rsid w:val="00031B40"/>
    <w:rsid w:val="0003619B"/>
    <w:rsid w:val="00042A86"/>
    <w:rsid w:val="000445FC"/>
    <w:rsid w:val="000477E5"/>
    <w:rsid w:val="00055BDF"/>
    <w:rsid w:val="00055DC5"/>
    <w:rsid w:val="0007622D"/>
    <w:rsid w:val="0008383B"/>
    <w:rsid w:val="00087DCA"/>
    <w:rsid w:val="00097D35"/>
    <w:rsid w:val="000A1FBB"/>
    <w:rsid w:val="000A3D0C"/>
    <w:rsid w:val="000A5FDD"/>
    <w:rsid w:val="000A687C"/>
    <w:rsid w:val="000C31C5"/>
    <w:rsid w:val="000D2272"/>
    <w:rsid w:val="000E187E"/>
    <w:rsid w:val="000F772C"/>
    <w:rsid w:val="00101B40"/>
    <w:rsid w:val="0010697C"/>
    <w:rsid w:val="00123889"/>
    <w:rsid w:val="00126A7C"/>
    <w:rsid w:val="00132BA2"/>
    <w:rsid w:val="0014079D"/>
    <w:rsid w:val="00144978"/>
    <w:rsid w:val="00144A82"/>
    <w:rsid w:val="00145723"/>
    <w:rsid w:val="0015433E"/>
    <w:rsid w:val="00170040"/>
    <w:rsid w:val="00186DA3"/>
    <w:rsid w:val="00195753"/>
    <w:rsid w:val="001A0B41"/>
    <w:rsid w:val="001B0B9A"/>
    <w:rsid w:val="001B2E6D"/>
    <w:rsid w:val="001B35F2"/>
    <w:rsid w:val="001C021D"/>
    <w:rsid w:val="001C5991"/>
    <w:rsid w:val="001D762C"/>
    <w:rsid w:val="001F19FF"/>
    <w:rsid w:val="001F7839"/>
    <w:rsid w:val="002041C5"/>
    <w:rsid w:val="002063FE"/>
    <w:rsid w:val="00206932"/>
    <w:rsid w:val="0021722B"/>
    <w:rsid w:val="00217DA2"/>
    <w:rsid w:val="002231BF"/>
    <w:rsid w:val="0022738C"/>
    <w:rsid w:val="00234A28"/>
    <w:rsid w:val="00234D18"/>
    <w:rsid w:val="00236676"/>
    <w:rsid w:val="002431D9"/>
    <w:rsid w:val="00247223"/>
    <w:rsid w:val="00254F75"/>
    <w:rsid w:val="002638A0"/>
    <w:rsid w:val="002712EB"/>
    <w:rsid w:val="0027222A"/>
    <w:rsid w:val="002743D2"/>
    <w:rsid w:val="00275AE6"/>
    <w:rsid w:val="00277F42"/>
    <w:rsid w:val="0029006A"/>
    <w:rsid w:val="002904E7"/>
    <w:rsid w:val="002976E9"/>
    <w:rsid w:val="002A13E3"/>
    <w:rsid w:val="002A363B"/>
    <w:rsid w:val="002A689B"/>
    <w:rsid w:val="002B29A7"/>
    <w:rsid w:val="002B517F"/>
    <w:rsid w:val="002B51CC"/>
    <w:rsid w:val="002B6993"/>
    <w:rsid w:val="002B7204"/>
    <w:rsid w:val="002C1F95"/>
    <w:rsid w:val="002C416A"/>
    <w:rsid w:val="002C77DF"/>
    <w:rsid w:val="002D7683"/>
    <w:rsid w:val="002F10E5"/>
    <w:rsid w:val="002F674B"/>
    <w:rsid w:val="002F6DB3"/>
    <w:rsid w:val="003025A1"/>
    <w:rsid w:val="003139FC"/>
    <w:rsid w:val="003335A0"/>
    <w:rsid w:val="00341540"/>
    <w:rsid w:val="003511C6"/>
    <w:rsid w:val="00351262"/>
    <w:rsid w:val="00354C15"/>
    <w:rsid w:val="00357C31"/>
    <w:rsid w:val="00364364"/>
    <w:rsid w:val="00366384"/>
    <w:rsid w:val="003674E0"/>
    <w:rsid w:val="003855AA"/>
    <w:rsid w:val="003A4FAC"/>
    <w:rsid w:val="003B2305"/>
    <w:rsid w:val="003C05F4"/>
    <w:rsid w:val="003C4B46"/>
    <w:rsid w:val="003C5023"/>
    <w:rsid w:val="003E30B5"/>
    <w:rsid w:val="003E4C18"/>
    <w:rsid w:val="003E7BC9"/>
    <w:rsid w:val="003F2607"/>
    <w:rsid w:val="0040391F"/>
    <w:rsid w:val="004330DB"/>
    <w:rsid w:val="0044133C"/>
    <w:rsid w:val="00455557"/>
    <w:rsid w:val="0046645B"/>
    <w:rsid w:val="00472360"/>
    <w:rsid w:val="00480A44"/>
    <w:rsid w:val="00483186"/>
    <w:rsid w:val="00484A45"/>
    <w:rsid w:val="00492E90"/>
    <w:rsid w:val="00495560"/>
    <w:rsid w:val="004A4B25"/>
    <w:rsid w:val="004B0F4A"/>
    <w:rsid w:val="004E34C8"/>
    <w:rsid w:val="004F1469"/>
    <w:rsid w:val="004F58FB"/>
    <w:rsid w:val="004F7BBD"/>
    <w:rsid w:val="00504E6E"/>
    <w:rsid w:val="005059B2"/>
    <w:rsid w:val="00507EC5"/>
    <w:rsid w:val="005148CE"/>
    <w:rsid w:val="00516952"/>
    <w:rsid w:val="005173D3"/>
    <w:rsid w:val="005253D4"/>
    <w:rsid w:val="00531E31"/>
    <w:rsid w:val="00531F28"/>
    <w:rsid w:val="0054363C"/>
    <w:rsid w:val="00547BDD"/>
    <w:rsid w:val="00551815"/>
    <w:rsid w:val="00565A51"/>
    <w:rsid w:val="00571260"/>
    <w:rsid w:val="005735B1"/>
    <w:rsid w:val="005800EA"/>
    <w:rsid w:val="00583626"/>
    <w:rsid w:val="00593490"/>
    <w:rsid w:val="005A1986"/>
    <w:rsid w:val="005A1B50"/>
    <w:rsid w:val="005B38CC"/>
    <w:rsid w:val="005B5DE8"/>
    <w:rsid w:val="005C3665"/>
    <w:rsid w:val="005D385C"/>
    <w:rsid w:val="005E194B"/>
    <w:rsid w:val="005E2EC9"/>
    <w:rsid w:val="005F42F8"/>
    <w:rsid w:val="00601205"/>
    <w:rsid w:val="00606DEF"/>
    <w:rsid w:val="00615EC5"/>
    <w:rsid w:val="00622405"/>
    <w:rsid w:val="00631517"/>
    <w:rsid w:val="00635DBD"/>
    <w:rsid w:val="00665969"/>
    <w:rsid w:val="006741F7"/>
    <w:rsid w:val="00693FAB"/>
    <w:rsid w:val="00694B55"/>
    <w:rsid w:val="006A5F45"/>
    <w:rsid w:val="006D101F"/>
    <w:rsid w:val="006D4BAC"/>
    <w:rsid w:val="006E49A1"/>
    <w:rsid w:val="006E4A6E"/>
    <w:rsid w:val="006E642B"/>
    <w:rsid w:val="006E7351"/>
    <w:rsid w:val="00705BE2"/>
    <w:rsid w:val="007213E6"/>
    <w:rsid w:val="0072609B"/>
    <w:rsid w:val="007458B0"/>
    <w:rsid w:val="00763160"/>
    <w:rsid w:val="00780612"/>
    <w:rsid w:val="00786A20"/>
    <w:rsid w:val="0079134B"/>
    <w:rsid w:val="0079242D"/>
    <w:rsid w:val="0079252C"/>
    <w:rsid w:val="00796D3A"/>
    <w:rsid w:val="007A0634"/>
    <w:rsid w:val="007A16F4"/>
    <w:rsid w:val="007A458D"/>
    <w:rsid w:val="007B0B0B"/>
    <w:rsid w:val="007C0FAA"/>
    <w:rsid w:val="007E3103"/>
    <w:rsid w:val="007F07FB"/>
    <w:rsid w:val="00800B4D"/>
    <w:rsid w:val="00810507"/>
    <w:rsid w:val="00813E69"/>
    <w:rsid w:val="00814F58"/>
    <w:rsid w:val="00817E8B"/>
    <w:rsid w:val="008338D4"/>
    <w:rsid w:val="0084255D"/>
    <w:rsid w:val="00850ACF"/>
    <w:rsid w:val="00852038"/>
    <w:rsid w:val="008630A6"/>
    <w:rsid w:val="00884D40"/>
    <w:rsid w:val="0088639E"/>
    <w:rsid w:val="00894CCE"/>
    <w:rsid w:val="008A06B1"/>
    <w:rsid w:val="008B407C"/>
    <w:rsid w:val="008B4628"/>
    <w:rsid w:val="008C13BA"/>
    <w:rsid w:val="008D02FE"/>
    <w:rsid w:val="008D473F"/>
    <w:rsid w:val="008E65E6"/>
    <w:rsid w:val="009018EC"/>
    <w:rsid w:val="009060D6"/>
    <w:rsid w:val="00906D49"/>
    <w:rsid w:val="00906EDB"/>
    <w:rsid w:val="00912E00"/>
    <w:rsid w:val="00923C46"/>
    <w:rsid w:val="0095051C"/>
    <w:rsid w:val="009711DB"/>
    <w:rsid w:val="009A0F50"/>
    <w:rsid w:val="009A16CD"/>
    <w:rsid w:val="009B1B19"/>
    <w:rsid w:val="009B79EE"/>
    <w:rsid w:val="009C06F5"/>
    <w:rsid w:val="009D6567"/>
    <w:rsid w:val="009E0F31"/>
    <w:rsid w:val="00A007F5"/>
    <w:rsid w:val="00A038EC"/>
    <w:rsid w:val="00A145B0"/>
    <w:rsid w:val="00A15172"/>
    <w:rsid w:val="00A26EF7"/>
    <w:rsid w:val="00A379F8"/>
    <w:rsid w:val="00A54EEA"/>
    <w:rsid w:val="00A56BFF"/>
    <w:rsid w:val="00A73600"/>
    <w:rsid w:val="00A74C1E"/>
    <w:rsid w:val="00A777B6"/>
    <w:rsid w:val="00A962DF"/>
    <w:rsid w:val="00A97DDB"/>
    <w:rsid w:val="00AA1C30"/>
    <w:rsid w:val="00AA4EC6"/>
    <w:rsid w:val="00AC7F4C"/>
    <w:rsid w:val="00AD0B33"/>
    <w:rsid w:val="00B07F79"/>
    <w:rsid w:val="00B107BC"/>
    <w:rsid w:val="00B16C07"/>
    <w:rsid w:val="00B36B15"/>
    <w:rsid w:val="00B46A57"/>
    <w:rsid w:val="00B471CD"/>
    <w:rsid w:val="00B65754"/>
    <w:rsid w:val="00B66231"/>
    <w:rsid w:val="00B728FE"/>
    <w:rsid w:val="00B769F1"/>
    <w:rsid w:val="00B82025"/>
    <w:rsid w:val="00BA0A91"/>
    <w:rsid w:val="00BA4887"/>
    <w:rsid w:val="00BB3C1A"/>
    <w:rsid w:val="00BC26A9"/>
    <w:rsid w:val="00BC6DEF"/>
    <w:rsid w:val="00BD154B"/>
    <w:rsid w:val="00BE2989"/>
    <w:rsid w:val="00BE7A11"/>
    <w:rsid w:val="00BF722F"/>
    <w:rsid w:val="00C01D3D"/>
    <w:rsid w:val="00C021B0"/>
    <w:rsid w:val="00C07901"/>
    <w:rsid w:val="00C13FE8"/>
    <w:rsid w:val="00C30A60"/>
    <w:rsid w:val="00C33ABA"/>
    <w:rsid w:val="00C37BB6"/>
    <w:rsid w:val="00C52EFD"/>
    <w:rsid w:val="00C64317"/>
    <w:rsid w:val="00C64378"/>
    <w:rsid w:val="00C66DD8"/>
    <w:rsid w:val="00C75CF0"/>
    <w:rsid w:val="00C808B5"/>
    <w:rsid w:val="00C82DB6"/>
    <w:rsid w:val="00CA4CD6"/>
    <w:rsid w:val="00CB5A3B"/>
    <w:rsid w:val="00CC2A1C"/>
    <w:rsid w:val="00CC4398"/>
    <w:rsid w:val="00CC48AB"/>
    <w:rsid w:val="00CD2069"/>
    <w:rsid w:val="00CD280D"/>
    <w:rsid w:val="00D13D9A"/>
    <w:rsid w:val="00D14A8D"/>
    <w:rsid w:val="00D21198"/>
    <w:rsid w:val="00D2273E"/>
    <w:rsid w:val="00D41611"/>
    <w:rsid w:val="00D42D52"/>
    <w:rsid w:val="00D46FA2"/>
    <w:rsid w:val="00D5080D"/>
    <w:rsid w:val="00D55F5F"/>
    <w:rsid w:val="00D56F5F"/>
    <w:rsid w:val="00D61B37"/>
    <w:rsid w:val="00D63B96"/>
    <w:rsid w:val="00D87516"/>
    <w:rsid w:val="00D905C4"/>
    <w:rsid w:val="00D92F66"/>
    <w:rsid w:val="00D95819"/>
    <w:rsid w:val="00DA7285"/>
    <w:rsid w:val="00DB59E1"/>
    <w:rsid w:val="00DB74DE"/>
    <w:rsid w:val="00DC73D3"/>
    <w:rsid w:val="00DD1AC1"/>
    <w:rsid w:val="00DD442A"/>
    <w:rsid w:val="00DD7D49"/>
    <w:rsid w:val="00DE432F"/>
    <w:rsid w:val="00DF5C4E"/>
    <w:rsid w:val="00E0655F"/>
    <w:rsid w:val="00E10DA7"/>
    <w:rsid w:val="00E10DBD"/>
    <w:rsid w:val="00E1538C"/>
    <w:rsid w:val="00E20758"/>
    <w:rsid w:val="00E25DB6"/>
    <w:rsid w:val="00E276CD"/>
    <w:rsid w:val="00E32EDA"/>
    <w:rsid w:val="00E36330"/>
    <w:rsid w:val="00E469B9"/>
    <w:rsid w:val="00E47D77"/>
    <w:rsid w:val="00E5160B"/>
    <w:rsid w:val="00E53137"/>
    <w:rsid w:val="00E61522"/>
    <w:rsid w:val="00E702F6"/>
    <w:rsid w:val="00E77D5E"/>
    <w:rsid w:val="00E842CB"/>
    <w:rsid w:val="00E868BB"/>
    <w:rsid w:val="00E9088C"/>
    <w:rsid w:val="00E90DBD"/>
    <w:rsid w:val="00EA37A9"/>
    <w:rsid w:val="00EA7026"/>
    <w:rsid w:val="00EC4074"/>
    <w:rsid w:val="00ED7B3D"/>
    <w:rsid w:val="00EE17EE"/>
    <w:rsid w:val="00EE4731"/>
    <w:rsid w:val="00EF113F"/>
    <w:rsid w:val="00EF6B7D"/>
    <w:rsid w:val="00EF7388"/>
    <w:rsid w:val="00F066C9"/>
    <w:rsid w:val="00F17090"/>
    <w:rsid w:val="00F17574"/>
    <w:rsid w:val="00F20822"/>
    <w:rsid w:val="00F21FFD"/>
    <w:rsid w:val="00F27B8A"/>
    <w:rsid w:val="00F340DF"/>
    <w:rsid w:val="00F50781"/>
    <w:rsid w:val="00F533A9"/>
    <w:rsid w:val="00F538BC"/>
    <w:rsid w:val="00F870F5"/>
    <w:rsid w:val="00F9092B"/>
    <w:rsid w:val="00F92D22"/>
    <w:rsid w:val="00FB0650"/>
    <w:rsid w:val="00FB4A79"/>
    <w:rsid w:val="00FB4D98"/>
    <w:rsid w:val="00FB7BCE"/>
    <w:rsid w:val="00FC2C1A"/>
    <w:rsid w:val="00FC4E09"/>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tim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10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E3103"/>
    <w:rPr>
      <w:rFonts w:cs="Times New Roman"/>
    </w:rPr>
  </w:style>
  <w:style w:type="character" w:customStyle="1" w:styleId="Hypertext">
    <w:name w:val="Hypertext"/>
    <w:rsid w:val="007E3103"/>
    <w:rPr>
      <w:color w:val="0000FF"/>
      <w:u w:val="single"/>
    </w:rPr>
  </w:style>
  <w:style w:type="paragraph" w:customStyle="1" w:styleId="Level1">
    <w:name w:val="Level 1"/>
    <w:basedOn w:val="Normal"/>
    <w:rsid w:val="007E3103"/>
    <w:pPr>
      <w:ind w:left="1440" w:hanging="720"/>
    </w:pPr>
  </w:style>
  <w:style w:type="character" w:customStyle="1" w:styleId="1">
    <w:name w:val="1"/>
    <w:rsid w:val="007E3103"/>
  </w:style>
  <w:style w:type="paragraph" w:styleId="Header">
    <w:name w:val="header"/>
    <w:basedOn w:val="Normal"/>
    <w:link w:val="HeaderChar"/>
    <w:rsid w:val="00B36B15"/>
    <w:pPr>
      <w:tabs>
        <w:tab w:val="center" w:pos="4320"/>
        <w:tab w:val="right" w:pos="8640"/>
      </w:tabs>
    </w:pPr>
  </w:style>
  <w:style w:type="character" w:customStyle="1" w:styleId="HeaderChar">
    <w:name w:val="Header Char"/>
    <w:basedOn w:val="DefaultParagraphFont"/>
    <w:link w:val="Header"/>
    <w:semiHidden/>
    <w:locked/>
    <w:rsid w:val="00366384"/>
    <w:rPr>
      <w:rFonts w:cs="Times New Roman"/>
      <w:sz w:val="24"/>
      <w:szCs w:val="24"/>
    </w:rPr>
  </w:style>
  <w:style w:type="paragraph" w:styleId="Footer">
    <w:name w:val="footer"/>
    <w:basedOn w:val="Normal"/>
    <w:link w:val="FooterChar"/>
    <w:rsid w:val="00B36B15"/>
    <w:pPr>
      <w:tabs>
        <w:tab w:val="center" w:pos="4320"/>
        <w:tab w:val="right" w:pos="8640"/>
      </w:tabs>
    </w:pPr>
  </w:style>
  <w:style w:type="character" w:customStyle="1" w:styleId="FooterChar">
    <w:name w:val="Footer Char"/>
    <w:basedOn w:val="DefaultParagraphFont"/>
    <w:link w:val="Footer"/>
    <w:semiHidden/>
    <w:locked/>
    <w:rsid w:val="00366384"/>
    <w:rPr>
      <w:rFonts w:cs="Times New Roman"/>
      <w:sz w:val="24"/>
      <w:szCs w:val="24"/>
    </w:rPr>
  </w:style>
  <w:style w:type="paragraph" w:styleId="Caption">
    <w:name w:val="caption"/>
    <w:basedOn w:val="Normal"/>
    <w:next w:val="Normal"/>
    <w:qFormat/>
    <w:rsid w:val="006D4BAC"/>
    <w:pPr>
      <w:spacing w:before="120" w:after="120"/>
    </w:pPr>
    <w:rPr>
      <w:rFonts w:ascii="Courier New" w:hAnsi="Courier New"/>
      <w:b/>
      <w:bCs/>
      <w:sz w:val="20"/>
      <w:szCs w:val="20"/>
    </w:rPr>
  </w:style>
  <w:style w:type="character" w:styleId="CommentReference">
    <w:name w:val="annotation reference"/>
    <w:basedOn w:val="DefaultParagraphFont"/>
    <w:semiHidden/>
    <w:rsid w:val="00DD442A"/>
    <w:rPr>
      <w:rFonts w:cs="Times New Roman"/>
      <w:sz w:val="16"/>
      <w:szCs w:val="16"/>
    </w:rPr>
  </w:style>
  <w:style w:type="paragraph" w:styleId="CommentText">
    <w:name w:val="annotation text"/>
    <w:basedOn w:val="Normal"/>
    <w:link w:val="CommentTextChar"/>
    <w:semiHidden/>
    <w:rsid w:val="00DD442A"/>
    <w:rPr>
      <w:sz w:val="20"/>
      <w:szCs w:val="20"/>
    </w:rPr>
  </w:style>
  <w:style w:type="character" w:customStyle="1" w:styleId="CommentTextChar">
    <w:name w:val="Comment Text Char"/>
    <w:basedOn w:val="DefaultParagraphFont"/>
    <w:link w:val="CommentText"/>
    <w:semiHidden/>
    <w:locked/>
    <w:rsid w:val="00366384"/>
    <w:rPr>
      <w:rFonts w:cs="Times New Roman"/>
    </w:rPr>
  </w:style>
  <w:style w:type="paragraph" w:styleId="CommentSubject">
    <w:name w:val="annotation subject"/>
    <w:basedOn w:val="CommentText"/>
    <w:next w:val="CommentText"/>
    <w:link w:val="CommentSubjectChar"/>
    <w:semiHidden/>
    <w:rsid w:val="00DD442A"/>
    <w:rPr>
      <w:b/>
      <w:bCs/>
    </w:rPr>
  </w:style>
  <w:style w:type="character" w:customStyle="1" w:styleId="CommentSubjectChar">
    <w:name w:val="Comment Subject Char"/>
    <w:basedOn w:val="CommentTextChar"/>
    <w:link w:val="CommentSubject"/>
    <w:semiHidden/>
    <w:locked/>
    <w:rsid w:val="00366384"/>
    <w:rPr>
      <w:b/>
      <w:bCs/>
    </w:rPr>
  </w:style>
  <w:style w:type="paragraph" w:styleId="BalloonText">
    <w:name w:val="Balloon Text"/>
    <w:basedOn w:val="Normal"/>
    <w:link w:val="BalloonTextChar"/>
    <w:semiHidden/>
    <w:rsid w:val="00DD442A"/>
    <w:rPr>
      <w:rFonts w:ascii="Tahoma" w:hAnsi="Tahoma" w:cs="Tahoma"/>
      <w:sz w:val="16"/>
      <w:szCs w:val="16"/>
    </w:rPr>
  </w:style>
  <w:style w:type="character" w:customStyle="1" w:styleId="BalloonTextChar">
    <w:name w:val="Balloon Text Char"/>
    <w:basedOn w:val="DefaultParagraphFont"/>
    <w:link w:val="BalloonText"/>
    <w:semiHidden/>
    <w:locked/>
    <w:rsid w:val="00366384"/>
    <w:rPr>
      <w:rFonts w:cs="Times New Roman"/>
      <w:sz w:val="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00178802">
      <w:bodyDiv w:val="1"/>
      <w:marLeft w:val="0"/>
      <w:marRight w:val="0"/>
      <w:marTop w:val="0"/>
      <w:marBottom w:val="0"/>
      <w:divBdr>
        <w:top w:val="none" w:sz="0" w:space="0" w:color="auto"/>
        <w:left w:val="none" w:sz="0" w:space="0" w:color="auto"/>
        <w:bottom w:val="none" w:sz="0" w:space="0" w:color="auto"/>
        <w:right w:val="none" w:sz="0" w:space="0" w:color="auto"/>
      </w:divBdr>
    </w:div>
    <w:div w:id="473717785">
      <w:bodyDiv w:val="1"/>
      <w:marLeft w:val="0"/>
      <w:marRight w:val="0"/>
      <w:marTop w:val="0"/>
      <w:marBottom w:val="0"/>
      <w:divBdr>
        <w:top w:val="none" w:sz="0" w:space="0" w:color="auto"/>
        <w:left w:val="none" w:sz="0" w:space="0" w:color="auto"/>
        <w:bottom w:val="none" w:sz="0" w:space="0" w:color="auto"/>
        <w:right w:val="none" w:sz="0" w:space="0" w:color="auto"/>
      </w:divBdr>
    </w:div>
    <w:div w:id="815683777">
      <w:bodyDiv w:val="1"/>
      <w:marLeft w:val="0"/>
      <w:marRight w:val="0"/>
      <w:marTop w:val="0"/>
      <w:marBottom w:val="0"/>
      <w:divBdr>
        <w:top w:val="none" w:sz="0" w:space="0" w:color="auto"/>
        <w:left w:val="none" w:sz="0" w:space="0" w:color="auto"/>
        <w:bottom w:val="none" w:sz="0" w:space="0" w:color="auto"/>
        <w:right w:val="none" w:sz="0" w:space="0" w:color="auto"/>
      </w:divBdr>
    </w:div>
    <w:div w:id="1151561302">
      <w:bodyDiv w:val="1"/>
      <w:marLeft w:val="0"/>
      <w:marRight w:val="0"/>
      <w:marTop w:val="0"/>
      <w:marBottom w:val="0"/>
      <w:divBdr>
        <w:top w:val="none" w:sz="0" w:space="0" w:color="auto"/>
        <w:left w:val="none" w:sz="0" w:space="0" w:color="auto"/>
        <w:bottom w:val="none" w:sz="0" w:space="0" w:color="auto"/>
        <w:right w:val="none" w:sz="0" w:space="0" w:color="auto"/>
      </w:divBdr>
    </w:div>
    <w:div w:id="1347094203">
      <w:bodyDiv w:val="1"/>
      <w:marLeft w:val="0"/>
      <w:marRight w:val="0"/>
      <w:marTop w:val="0"/>
      <w:marBottom w:val="0"/>
      <w:divBdr>
        <w:top w:val="none" w:sz="0" w:space="0" w:color="auto"/>
        <w:left w:val="none" w:sz="0" w:space="0" w:color="auto"/>
        <w:bottom w:val="none" w:sz="0" w:space="0" w:color="auto"/>
        <w:right w:val="none" w:sz="0" w:space="0" w:color="auto"/>
      </w:divBdr>
    </w:div>
    <w:div w:id="1544369756">
      <w:bodyDiv w:val="1"/>
      <w:marLeft w:val="0"/>
      <w:marRight w:val="0"/>
      <w:marTop w:val="0"/>
      <w:marBottom w:val="0"/>
      <w:divBdr>
        <w:top w:val="none" w:sz="0" w:space="0" w:color="auto"/>
        <w:left w:val="none" w:sz="0" w:space="0" w:color="auto"/>
        <w:bottom w:val="none" w:sz="0" w:space="0" w:color="auto"/>
        <w:right w:val="none" w:sz="0" w:space="0" w:color="auto"/>
      </w:divBdr>
    </w:div>
    <w:div w:id="1607732379">
      <w:bodyDiv w:val="1"/>
      <w:marLeft w:val="0"/>
      <w:marRight w:val="0"/>
      <w:marTop w:val="0"/>
      <w:marBottom w:val="0"/>
      <w:divBdr>
        <w:top w:val="none" w:sz="0" w:space="0" w:color="auto"/>
        <w:left w:val="none" w:sz="0" w:space="0" w:color="auto"/>
        <w:bottom w:val="none" w:sz="0" w:space="0" w:color="auto"/>
        <w:right w:val="none" w:sz="0" w:space="0" w:color="auto"/>
      </w:divBdr>
    </w:div>
    <w:div w:id="1731343907">
      <w:bodyDiv w:val="1"/>
      <w:marLeft w:val="0"/>
      <w:marRight w:val="0"/>
      <w:marTop w:val="0"/>
      <w:marBottom w:val="0"/>
      <w:divBdr>
        <w:top w:val="none" w:sz="0" w:space="0" w:color="auto"/>
        <w:left w:val="none" w:sz="0" w:space="0" w:color="auto"/>
        <w:bottom w:val="none" w:sz="0" w:space="0" w:color="auto"/>
        <w:right w:val="none" w:sz="0" w:space="0" w:color="auto"/>
      </w:divBdr>
    </w:div>
    <w:div w:id="1797984053">
      <w:bodyDiv w:val="1"/>
      <w:marLeft w:val="0"/>
      <w:marRight w:val="0"/>
      <w:marTop w:val="0"/>
      <w:marBottom w:val="0"/>
      <w:divBdr>
        <w:top w:val="none" w:sz="0" w:space="0" w:color="auto"/>
        <w:left w:val="none" w:sz="0" w:space="0" w:color="auto"/>
        <w:bottom w:val="none" w:sz="0" w:space="0" w:color="auto"/>
        <w:right w:val="none" w:sz="0" w:space="0" w:color="auto"/>
      </w:divBdr>
    </w:div>
    <w:div w:id="212653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6902</Words>
  <Characters>39347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46157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EPA</cp:lastModifiedBy>
  <cp:revision>2</cp:revision>
  <dcterms:created xsi:type="dcterms:W3CDTF">2011-02-18T21:45:00Z</dcterms:created>
  <dcterms:modified xsi:type="dcterms:W3CDTF">2011-02-18T21:45:00Z</dcterms:modified>
</cp:coreProperties>
</file>