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0" w:name="_GoBack"/>
    <w:bookmarkEnd w:id="0"/>
    <w:p w:rsidR="00077ABC" w:rsidRDefault="00F83171" w:rsidP="00F46122">
      <w:pPr>
        <w:pStyle w:val="DocumentTitle"/>
      </w:pPr>
      <w:r w:rsidRPr="009769D3">
        <w:fldChar w:fldCharType="begin"/>
      </w:r>
      <w:r w:rsidR="00077ABC" w:rsidRPr="009769D3">
        <w:instrText>tc \l2 "SF</w:instrText>
      </w:r>
      <w:r w:rsidRPr="009769D3">
        <w:fldChar w:fldCharType="end"/>
      </w:r>
      <w:r w:rsidR="00077ABC" w:rsidRPr="009769D3">
        <w:t>SUPPORTING STATEMENT</w:t>
      </w:r>
    </w:p>
    <w:p w:rsidR="00E63037" w:rsidRPr="009769D3" w:rsidRDefault="00E63037" w:rsidP="00F46122">
      <w:pPr>
        <w:pStyle w:val="DocumentTitle"/>
      </w:pPr>
    </w:p>
    <w:p w:rsidR="00077ABC" w:rsidRDefault="00077ABC" w:rsidP="00F46122">
      <w:pPr>
        <w:pStyle w:val="DocumentTitle"/>
      </w:pPr>
      <w:r w:rsidRPr="009769D3">
        <w:t>ENVIRONMENTAL PROTECTION AGENCY</w:t>
      </w:r>
    </w:p>
    <w:p w:rsidR="00E63037" w:rsidRPr="009769D3" w:rsidRDefault="00E63037" w:rsidP="00F46122">
      <w:pPr>
        <w:pStyle w:val="DocumentTitle"/>
      </w:pPr>
    </w:p>
    <w:p w:rsidR="00626756" w:rsidRDefault="00C14140" w:rsidP="00F46122">
      <w:pPr>
        <w:pStyle w:val="DocumentTitle"/>
      </w:pPr>
      <w:r>
        <w:t xml:space="preserve">NESHAP </w:t>
      </w:r>
      <w:r w:rsidR="00E102B8">
        <w:t>FOR HAZARDOUS AIR POLLUTANTS FROM PETROLEUM REFINERIES</w:t>
      </w:r>
      <w:r w:rsidR="00E63037">
        <w:t xml:space="preserve"> (</w:t>
      </w:r>
      <w:r w:rsidR="00626756">
        <w:t>40 CFR PART 63</w:t>
      </w:r>
      <w:r w:rsidR="00205C04">
        <w:t>,</w:t>
      </w:r>
      <w:r w:rsidR="00626756">
        <w:t xml:space="preserve"> SUBPART CC</w:t>
      </w:r>
      <w:r w:rsidR="00E63037">
        <w:t>) (PROPOSED RULE)</w:t>
      </w:r>
    </w:p>
    <w:p w:rsidR="00077ABC" w:rsidRPr="009769D3" w:rsidRDefault="00077ABC" w:rsidP="00F46122">
      <w:pPr>
        <w:pStyle w:val="DocumentTitle"/>
      </w:pPr>
    </w:p>
    <w:p w:rsidR="004D5F2C" w:rsidRPr="00B54DC3" w:rsidRDefault="004D5F2C" w:rsidP="004D5F2C">
      <w:pPr>
        <w:pStyle w:val="SectionHeading"/>
      </w:pPr>
      <w:r w:rsidRPr="00B54DC3">
        <w:t>1.</w:t>
      </w:r>
      <w:r>
        <w:t xml:space="preserve"> </w:t>
      </w:r>
      <w:r w:rsidRPr="00B54DC3">
        <w:t>Identificatio</w:t>
      </w:r>
      <w:r w:rsidR="00B50B26">
        <w:t>n of the Information Collection</w:t>
      </w:r>
    </w:p>
    <w:p w:rsidR="004D5F2C" w:rsidRPr="00B54DC3" w:rsidRDefault="004D5F2C" w:rsidP="004D5F2C">
      <w:pPr>
        <w:pStyle w:val="SectionSubheading"/>
      </w:pPr>
      <w:r w:rsidRPr="00B54DC3">
        <w:t>1(a)</w:t>
      </w:r>
      <w:r>
        <w:t xml:space="preserve"> </w:t>
      </w:r>
      <w:r w:rsidRPr="00B54DC3">
        <w:t>Title of the Information</w:t>
      </w:r>
      <w:r w:rsidR="00B50B26">
        <w:t xml:space="preserve"> collection</w:t>
      </w:r>
    </w:p>
    <w:p w:rsidR="00227CF8" w:rsidRDefault="00227CF8" w:rsidP="00ED4539">
      <w:pPr>
        <w:pStyle w:val="BodyFirstline05After12pt"/>
      </w:pPr>
      <w:r w:rsidRPr="00D52B0E">
        <w:t>“National Emission Standards for Petroleum Refineries” (40 CFR Part 63, Subpart CC).</w:t>
      </w:r>
      <w:r w:rsidR="00F47C05">
        <w:t xml:space="preserve"> </w:t>
      </w:r>
      <w:r w:rsidRPr="00D52B0E">
        <w:t xml:space="preserve">This is a </w:t>
      </w:r>
      <w:r w:rsidR="00ED4539" w:rsidRPr="00B54DC3">
        <w:t>revision of an existing</w:t>
      </w:r>
      <w:r w:rsidRPr="00D52B0E">
        <w:t xml:space="preserve"> information collection request (ICR); the OMB Control Number is </w:t>
      </w:r>
      <w:r w:rsidR="00D52B0E" w:rsidRPr="00D52B0E">
        <w:t>2060-0340</w:t>
      </w:r>
      <w:r w:rsidRPr="00D52B0E">
        <w:t xml:space="preserve"> and the EPA tracking number is </w:t>
      </w:r>
      <w:r w:rsidR="00D52B0E" w:rsidRPr="00D52B0E">
        <w:t>1692.08</w:t>
      </w:r>
      <w:r w:rsidRPr="00D52B0E">
        <w:t>.</w:t>
      </w:r>
    </w:p>
    <w:p w:rsidR="004D5F2C" w:rsidRDefault="004D5F2C" w:rsidP="004D5F2C">
      <w:pPr>
        <w:pStyle w:val="SectionSubheading"/>
      </w:pPr>
      <w:r>
        <w:t>1(b) Short Characterization/Abstract</w:t>
      </w:r>
    </w:p>
    <w:p w:rsidR="00B50B26" w:rsidRDefault="00932301" w:rsidP="00B50B26">
      <w:pPr>
        <w:pStyle w:val="BodyFirstline05After12pt"/>
      </w:pPr>
      <w:r w:rsidRPr="00B54DC3">
        <w:t xml:space="preserve">The EPA is </w:t>
      </w:r>
      <w:r w:rsidR="00BB0FD0">
        <w:t xml:space="preserve">proposing to </w:t>
      </w:r>
      <w:r w:rsidRPr="00B54DC3">
        <w:t>revis</w:t>
      </w:r>
      <w:r w:rsidR="00BB0FD0">
        <w:t>e</w:t>
      </w:r>
      <w:r>
        <w:t xml:space="preserve"> </w:t>
      </w:r>
      <w:r w:rsidRPr="00B54DC3">
        <w:t xml:space="preserve">40 CFR </w:t>
      </w:r>
      <w:r>
        <w:t>part 63</w:t>
      </w:r>
      <w:r w:rsidRPr="00B54DC3">
        <w:t xml:space="preserve">, </w:t>
      </w:r>
      <w:r>
        <w:t>subpart CC</w:t>
      </w:r>
      <w:r w:rsidRPr="00B54DC3">
        <w:t xml:space="preserve"> as it applies to </w:t>
      </w:r>
      <w:r>
        <w:t>existing and new petroleum refining process units and emission points located at refineries that are major sources of hazardous</w:t>
      </w:r>
      <w:r w:rsidR="005518B8">
        <w:t xml:space="preserve"> air pollutants (HAP) emissions.</w:t>
      </w:r>
      <w:r w:rsidR="00F47C05">
        <w:t xml:space="preserve"> </w:t>
      </w:r>
      <w:r w:rsidR="005B0A12">
        <w:t xml:space="preserve">Emission points </w:t>
      </w:r>
      <w:r w:rsidR="005518B8">
        <w:t>affected</w:t>
      </w:r>
      <w:r w:rsidR="005B0A12">
        <w:t xml:space="preserve"> by the revisions are miscellaneous process vents, storage vessels, </w:t>
      </w:r>
      <w:r w:rsidR="005518B8">
        <w:t>and</w:t>
      </w:r>
      <w:r w:rsidR="005B0A12">
        <w:t xml:space="preserve"> equipment leaks.</w:t>
      </w:r>
      <w:r w:rsidR="00F47C05">
        <w:t xml:space="preserve"> </w:t>
      </w:r>
      <w:r w:rsidR="00F81860">
        <w:t>There are new provisions for delayed coking unit vents</w:t>
      </w:r>
      <w:r w:rsidR="00F47C05">
        <w:t xml:space="preserve"> and for</w:t>
      </w:r>
      <w:r w:rsidR="005518B8">
        <w:t xml:space="preserve"> </w:t>
      </w:r>
      <w:r w:rsidR="005B0A12">
        <w:t>fenceline monitoring</w:t>
      </w:r>
      <w:r w:rsidR="00F47C05">
        <w:t>, which include</w:t>
      </w:r>
      <w:r w:rsidR="005B0A12">
        <w:t xml:space="preserve"> </w:t>
      </w:r>
      <w:r w:rsidR="00F47C05">
        <w:t>new</w:t>
      </w:r>
      <w:r w:rsidR="00137FF4">
        <w:t xml:space="preserve"> recordke</w:t>
      </w:r>
      <w:r w:rsidR="00641761">
        <w:t>eping and reporting</w:t>
      </w:r>
      <w:r w:rsidR="00F47C05">
        <w:t xml:space="preserve"> requirements</w:t>
      </w:r>
      <w:r w:rsidR="00BB0FD0">
        <w:t>. There are also additional requirements and clarifications for storage vessels, which include revisions to the inspection, recordkeeping, and reporting requirements</w:t>
      </w:r>
      <w:r w:rsidR="00137FF4">
        <w:t>.</w:t>
      </w:r>
      <w:r w:rsidR="00641761">
        <w:t xml:space="preserve"> </w:t>
      </w:r>
      <w:r w:rsidR="00EE0E27">
        <w:t>In addition, e</w:t>
      </w:r>
      <w:r w:rsidR="00641761">
        <w:t>lectronic reporting is now required for fenceline monitoring and performance testing.</w:t>
      </w:r>
      <w:r w:rsidR="00F47C05">
        <w:t xml:space="preserve"> </w:t>
      </w:r>
      <w:r w:rsidR="005518B8">
        <w:t>An overarching change to all NESHAP regulations</w:t>
      </w:r>
      <w:r w:rsidR="005B0A12">
        <w:t xml:space="preserve"> </w:t>
      </w:r>
      <w:r w:rsidR="005518B8">
        <w:t xml:space="preserve">is a change in </w:t>
      </w:r>
      <w:r w:rsidR="008D40DD">
        <w:t xml:space="preserve">EPA </w:t>
      </w:r>
      <w:r w:rsidR="005518B8">
        <w:t xml:space="preserve">policy with regards to emission requirements </w:t>
      </w:r>
      <w:r w:rsidR="007C163A">
        <w:t xml:space="preserve">and associated monitoring, recordkeeping and reporting </w:t>
      </w:r>
      <w:r w:rsidR="005518B8">
        <w:t>during startup, shutdown, and malfunctions.</w:t>
      </w:r>
    </w:p>
    <w:p w:rsidR="00932301" w:rsidRPr="00B54DC3" w:rsidRDefault="005518B8" w:rsidP="00ED4539">
      <w:pPr>
        <w:pStyle w:val="BodyFirstline05After12pt"/>
      </w:pPr>
      <w:r>
        <w:t xml:space="preserve">This information is being collected to assure compliance with 40 CFR part 63, subpart </w:t>
      </w:r>
      <w:r w:rsidRPr="00EE0E27">
        <w:t>CC.</w:t>
      </w:r>
      <w:r w:rsidR="00F47C05">
        <w:t xml:space="preserve"> </w:t>
      </w:r>
      <w:r w:rsidR="00932301" w:rsidRPr="00EE0E27">
        <w:t>The previo</w:t>
      </w:r>
      <w:r w:rsidRPr="00EE0E27">
        <w:t xml:space="preserve">us </w:t>
      </w:r>
      <w:r w:rsidR="00BB0FD0" w:rsidRPr="00BB0FD0">
        <w:t xml:space="preserve">approved </w:t>
      </w:r>
      <w:r w:rsidRPr="00BB0FD0">
        <w:t>I</w:t>
      </w:r>
      <w:r w:rsidRPr="00EE0E27">
        <w:t>CR for this subpart (1692.06</w:t>
      </w:r>
      <w:r w:rsidR="00932301" w:rsidRPr="00EE0E27">
        <w:t>) included estimates of the monitoring, recordkeeping, and reporting</w:t>
      </w:r>
      <w:r w:rsidR="009B56B8" w:rsidRPr="00EE0E27">
        <w:t xml:space="preserve"> burden for 134 refineries</w:t>
      </w:r>
      <w:r w:rsidR="00932301" w:rsidRPr="00EE0E27">
        <w:t>, in</w:t>
      </w:r>
      <w:r w:rsidR="009B56B8" w:rsidRPr="00EE0E27">
        <w:t>cluding process vents, storage vessels, and process units subject to leak detection and repair (LDAR).</w:t>
      </w:r>
      <w:r w:rsidR="00F47C05">
        <w:t xml:space="preserve"> </w:t>
      </w:r>
      <w:r w:rsidR="00932301" w:rsidRPr="00EE0E27">
        <w:t xml:space="preserve">This ICR estimates burden </w:t>
      </w:r>
      <w:r w:rsidR="00EE0E27">
        <w:t xml:space="preserve">due to </w:t>
      </w:r>
      <w:r w:rsidR="00BB0FD0">
        <w:t xml:space="preserve">proposed </w:t>
      </w:r>
      <w:r w:rsidR="00EE0E27">
        <w:t xml:space="preserve">rule changes </w:t>
      </w:r>
      <w:r w:rsidR="00932301" w:rsidRPr="00EE0E27">
        <w:t xml:space="preserve">for </w:t>
      </w:r>
      <w:r w:rsidR="0010280B" w:rsidRPr="00EE0E27">
        <w:t>14</w:t>
      </w:r>
      <w:r w:rsidR="00ED4539">
        <w:t>2</w:t>
      </w:r>
      <w:r w:rsidR="0010280B" w:rsidRPr="00EE0E27">
        <w:t xml:space="preserve"> </w:t>
      </w:r>
      <w:r w:rsidR="00ED4539">
        <w:t xml:space="preserve">major source </w:t>
      </w:r>
      <w:r w:rsidR="0010280B" w:rsidRPr="00EE0E27">
        <w:t>refineries for process vents, storage vessels, and process units subject to LDAR.</w:t>
      </w:r>
      <w:r w:rsidR="00F47C05">
        <w:t xml:space="preserve"> </w:t>
      </w:r>
      <w:r w:rsidR="00F81860">
        <w:t>This ICR also estimates t</w:t>
      </w:r>
      <w:r w:rsidR="0010280B" w:rsidRPr="00EE0E27">
        <w:t xml:space="preserve">he additional burden </w:t>
      </w:r>
      <w:r w:rsidR="00F81860">
        <w:t>associated with the new</w:t>
      </w:r>
      <w:r w:rsidR="00F81860" w:rsidRPr="00EE0E27">
        <w:t xml:space="preserve"> </w:t>
      </w:r>
      <w:r w:rsidR="0010280B" w:rsidRPr="00EE0E27">
        <w:t>fenceline monitoring</w:t>
      </w:r>
      <w:r w:rsidR="00B54AD8" w:rsidRPr="00EE0E27">
        <w:t xml:space="preserve"> </w:t>
      </w:r>
      <w:r w:rsidR="00F81860">
        <w:t xml:space="preserve">requirements </w:t>
      </w:r>
      <w:r w:rsidR="00B54AD8" w:rsidRPr="00EE0E27">
        <w:t>for the 14</w:t>
      </w:r>
      <w:r w:rsidR="00ED4539">
        <w:t>2</w:t>
      </w:r>
      <w:r w:rsidR="00B54AD8" w:rsidRPr="00EE0E27">
        <w:t xml:space="preserve"> </w:t>
      </w:r>
      <w:r w:rsidR="00ED4539">
        <w:t xml:space="preserve">major source </w:t>
      </w:r>
      <w:r w:rsidR="00B54AD8" w:rsidRPr="00EE0E27">
        <w:t>refineries.</w:t>
      </w:r>
      <w:r w:rsidR="00F47C05">
        <w:t xml:space="preserve"> </w:t>
      </w:r>
      <w:r w:rsidR="00F06AFB" w:rsidRPr="00EE0E27">
        <w:t>The burden associated with startups, shutdowns and malfunctions did not change.</w:t>
      </w:r>
      <w:r w:rsidR="00F47C05">
        <w:t xml:space="preserve"> </w:t>
      </w:r>
      <w:r w:rsidR="00F06AFB" w:rsidRPr="00EE0E27">
        <w:t>The original ICR did not include burden estimates for wastewater operations or transfer operations because the recordkeeping and reporting requirements for these emission points are covered under other rules.</w:t>
      </w:r>
      <w:r w:rsidR="00F47C05">
        <w:t xml:space="preserve"> </w:t>
      </w:r>
      <w:r w:rsidR="008D40DD">
        <w:t>This ICR also does not contain burden estimates for wastewater operations or transfer operations</w:t>
      </w:r>
      <w:r w:rsidR="00020BAE">
        <w:t xml:space="preserve"> because there were no changes in the provisions for these emission points.</w:t>
      </w:r>
    </w:p>
    <w:p w:rsidR="00BB0FD0" w:rsidRDefault="00BB0FD0" w:rsidP="00BB0FD0">
      <w:pPr>
        <w:pStyle w:val="SectionHeading"/>
      </w:pPr>
      <w:r>
        <w:t>2. Need for and Use of the Collection</w:t>
      </w:r>
    </w:p>
    <w:p w:rsidR="00BB0FD0" w:rsidRDefault="00BB0FD0" w:rsidP="00BB0FD0">
      <w:pPr>
        <w:pStyle w:val="SectionSubheading"/>
      </w:pPr>
      <w:r>
        <w:t>2(a) Need/Authority for the Collection</w:t>
      </w:r>
    </w:p>
    <w:p w:rsidR="00396056" w:rsidRDefault="00396056" w:rsidP="00ED4539">
      <w:pPr>
        <w:pStyle w:val="BodyFirstline05After12pt"/>
      </w:pPr>
      <w:r>
        <w:t>The EPA is charged under section 112 of the Clean Air Act, as amended, to establish standards</w:t>
      </w:r>
      <w:r w:rsidR="00F47C05">
        <w:t xml:space="preserve"> </w:t>
      </w:r>
      <w:r>
        <w:t xml:space="preserve">of performance for each category or subcategory of major sources and area sources of </w:t>
      </w:r>
      <w:r>
        <w:lastRenderedPageBreak/>
        <w:t>hazardous air pollutants.</w:t>
      </w:r>
      <w:r w:rsidR="00F47C05">
        <w:t xml:space="preserve"> </w:t>
      </w:r>
      <w:r>
        <w:t>These standards are applicable to new or existing sources of hazardous air pollutants and shall require the maximum degree of emission reduction.</w:t>
      </w:r>
      <w:r w:rsidR="00F47C05">
        <w:t xml:space="preserve"> </w:t>
      </w:r>
      <w:r w:rsidR="00CB38EF">
        <w:t>Section 112</w:t>
      </w:r>
      <w:r w:rsidR="00CB38EF" w:rsidRPr="00B54DC3">
        <w:t xml:space="preserve"> also requires that the Administrator review and, if appropriate, revise such standards every </w:t>
      </w:r>
      <w:r w:rsidR="00ED4539">
        <w:t>8</w:t>
      </w:r>
      <w:r w:rsidR="00CB38EF">
        <w:t xml:space="preserve"> years.</w:t>
      </w:r>
      <w:r w:rsidR="00F47C05">
        <w:t xml:space="preserve"> </w:t>
      </w:r>
      <w:r>
        <w:t xml:space="preserve">In addition, section 114(a) states that the Administrator may require any owner or operator subject to </w:t>
      </w:r>
      <w:r w:rsidR="00B50B26">
        <w:t>any requirement of this Act to:</w:t>
      </w:r>
    </w:p>
    <w:p w:rsidR="00BB0FD0" w:rsidRDefault="00BB0FD0" w:rsidP="00BB0FD0">
      <w:pPr>
        <w:pStyle w:val="QuoteOffset"/>
      </w:pPr>
      <w:r>
        <w:t>(A)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Administrator may reasonably require.</w:t>
      </w:r>
    </w:p>
    <w:p w:rsidR="00CB38EF" w:rsidRDefault="00141832" w:rsidP="00BB0FD0">
      <w:pPr>
        <w:pStyle w:val="BodyFirstline05After12pt"/>
      </w:pPr>
      <w:r w:rsidRPr="007C40B4">
        <w:t>Certain records and reports are necessary for the Administrator to confirm the compliance status of sources</w:t>
      </w:r>
      <w:r>
        <w:t xml:space="preserve"> subject to NESHAP</w:t>
      </w:r>
      <w:r w:rsidRPr="007C40B4">
        <w:t>, identify any new or reconstructed sources subject to the standards, and confirm that the standards are being achieved on a continuous basis.</w:t>
      </w:r>
      <w:r w:rsidR="00F47C05">
        <w:t xml:space="preserve"> </w:t>
      </w:r>
      <w:r w:rsidRPr="007C40B4">
        <w:t>These recordkeeping and reporting requirements are specifically authorized by section 114 of the Clean Air Act (42 U.S.C. 7414) and set out in the part 63 NESHAP General Provisions.</w:t>
      </w:r>
      <w:r w:rsidR="00F47C05">
        <w:t xml:space="preserve"> </w:t>
      </w:r>
      <w:r w:rsidRPr="007C40B4">
        <w:t>The recordkeeping and reporting requirements for title V permits are contained in 40 CFR 70.6 and 40 CFR 71.6.</w:t>
      </w:r>
      <w:r w:rsidR="00F47C05">
        <w:t xml:space="preserve"> </w:t>
      </w:r>
      <w:r w:rsidRPr="007C40B4">
        <w:t>Under parts 63 and 70 or 71, the owner or operator must keep each record for 5</w:t>
      </w:r>
      <w:r>
        <w:t> </w:t>
      </w:r>
      <w:r w:rsidRPr="007C40B4">
        <w:t>years following the date of each occurrence, measurement, maintenance, corrective action, report, or record</w:t>
      </w:r>
      <w:r w:rsidR="00BB0FD0">
        <w:t>.</w:t>
      </w:r>
    </w:p>
    <w:p w:rsidR="00BB0FD0" w:rsidRDefault="00BB0FD0" w:rsidP="00BB0FD0">
      <w:pPr>
        <w:pStyle w:val="SectionSubheading"/>
      </w:pPr>
      <w:r>
        <w:t xml:space="preserve">2(b) </w:t>
      </w:r>
      <w:r w:rsidRPr="00330F8F">
        <w:t>Practical Utility/Users of the Data</w:t>
      </w:r>
    </w:p>
    <w:p w:rsidR="001A5746" w:rsidRDefault="00CB38EF" w:rsidP="00BB0FD0">
      <w:pPr>
        <w:pStyle w:val="BodyFirstline05After12pt"/>
      </w:pPr>
      <w:r>
        <w:t>The control of emissions of HAP from petroleum refineries requires not only the installation of properly designed equipment, but also the operation and maintenance of that equipment.</w:t>
      </w:r>
      <w:r w:rsidR="00F47C05">
        <w:t xml:space="preserve"> </w:t>
      </w:r>
      <w:r>
        <w:t>Emissions of HAP from petroleum refineries are the result of the operation of the affected facilities.</w:t>
      </w:r>
      <w:r w:rsidR="00F47C05">
        <w:t xml:space="preserve"> </w:t>
      </w:r>
      <w:r>
        <w:t>The subject standards are achieved by the capture of HAP emissions using control devices and the reduction of emissions through leak detection and repair procedures.</w:t>
      </w:r>
      <w:r w:rsidR="00F47C05">
        <w:t xml:space="preserve"> </w:t>
      </w:r>
      <w:r>
        <w:t>Depending on the emission point being controlled, affected sources may use flares, carbon adsorbers, combustion devices (including incinerators, boilers and process heaters), or other control devices that meet minimum control requirements.</w:t>
      </w:r>
      <w:r w:rsidR="00F47C05">
        <w:t xml:space="preserve"> </w:t>
      </w:r>
      <w:r>
        <w:t>The notifications required in the applicable regulations are used to inform the Agency or delegated authority when a source becomes subject to the requirements of the regulations.</w:t>
      </w:r>
      <w:r w:rsidR="00F47C05">
        <w:t xml:space="preserve"> </w:t>
      </w:r>
      <w:r>
        <w:t>The reviewing authority may then inspect the source to check if the pollution control devices are properly installed and operated, leaks are being detected and repaired, and the regulations are being met.</w:t>
      </w:r>
      <w:r w:rsidR="00F47C05">
        <w:t xml:space="preserve"> </w:t>
      </w:r>
      <w:r>
        <w:t>Performance test reports are needed as these are the Agency's record of a source's initial capability to comply with the emission standards, and serve as a record of the operating conditions under which compliance was achieved.</w:t>
      </w:r>
    </w:p>
    <w:p w:rsidR="000B0764" w:rsidRPr="008E7FA6" w:rsidRDefault="001A5746" w:rsidP="00BB0FD0">
      <w:pPr>
        <w:pStyle w:val="BodyFirstline05After12pt"/>
      </w:pPr>
      <w:r w:rsidRPr="008E7FA6">
        <w:t>R</w:t>
      </w:r>
      <w:r w:rsidR="00CB38EF" w:rsidRPr="008E7FA6">
        <w:t>eports are used for problem identification, as a check on source operation and maintenance, and for compliance determinations.</w:t>
      </w:r>
      <w:r w:rsidR="00F47C05">
        <w:t xml:space="preserve"> </w:t>
      </w:r>
      <w:r w:rsidRPr="008E7FA6">
        <w:t>The reporting frequency is semiannual</w:t>
      </w:r>
      <w:r w:rsidR="00BB0FD0">
        <w:t xml:space="preserve"> except </w:t>
      </w:r>
      <w:r w:rsidR="00BB0FD0">
        <w:lastRenderedPageBreak/>
        <w:t>for fenceline monitoring results, which would be reported quarterly</w:t>
      </w:r>
      <w:r w:rsidR="0092302B">
        <w:t>.</w:t>
      </w:r>
      <w:r w:rsidR="00F47C05">
        <w:t xml:space="preserve"> </w:t>
      </w:r>
      <w:r w:rsidR="0092302B">
        <w:t>The EPA is proposing electronic reporting for fenceline monitoring and performance testing</w:t>
      </w:r>
      <w:r w:rsidRPr="008E7FA6">
        <w:t>.</w:t>
      </w:r>
    </w:p>
    <w:p w:rsidR="00CB38EF" w:rsidRDefault="00CB38EF" w:rsidP="00BB0FD0">
      <w:pPr>
        <w:pStyle w:val="BodyFirstline05After12pt"/>
      </w:pPr>
      <w:r w:rsidRPr="000B0764">
        <w:t>The information generated by the monitoring, recordkeeping and reporting requirements described in this ICR is used by the Agency to ensure that sources affected by the NESHAP continue to operate the control equipment in compliance with the regulation.</w:t>
      </w:r>
      <w:r w:rsidR="00F47C05">
        <w:t xml:space="preserve"> </w:t>
      </w:r>
      <w:r w:rsidRPr="000B0764">
        <w:t>Adequate monitoring, recordkeeping, and reporting are necessary to ensure compliance with the applicable regulations, as required by the Clean Air Act.</w:t>
      </w:r>
      <w:r w:rsidR="00F47C05">
        <w:t xml:space="preserve"> </w:t>
      </w:r>
      <w:r w:rsidRPr="000B0764">
        <w:t>The information collected from recordkeeping and reporting requirements is also used for targeting inspections and is of sufficient quality to be used as evidence in court.</w:t>
      </w:r>
    </w:p>
    <w:p w:rsidR="00BB0FD0" w:rsidRDefault="00BB0FD0" w:rsidP="00BB0FD0">
      <w:pPr>
        <w:pStyle w:val="SectionHeading"/>
      </w:pPr>
      <w:r>
        <w:t>3. Non-duplication, Consultations, and Other Collection Criteria</w:t>
      </w:r>
    </w:p>
    <w:p w:rsidR="00FE7777" w:rsidRDefault="00FE7777" w:rsidP="00BB0FD0">
      <w:pPr>
        <w:pStyle w:val="BodyFirstline05After12pt"/>
      </w:pPr>
      <w:r>
        <w:t>The requested recordkeeping and reporting are required under 40 CFR part 63, subpart</w:t>
      </w:r>
      <w:r w:rsidR="00F47C05">
        <w:t> </w:t>
      </w:r>
      <w:r>
        <w:t>CC.</w:t>
      </w:r>
    </w:p>
    <w:p w:rsidR="00BB0FD0" w:rsidRDefault="00BB0FD0" w:rsidP="00BB0FD0">
      <w:pPr>
        <w:pStyle w:val="SectionSubheading"/>
      </w:pPr>
      <w:r>
        <w:t>3(a) Non-duplication</w:t>
      </w:r>
    </w:p>
    <w:p w:rsidR="00141832" w:rsidRDefault="00141832" w:rsidP="00BB0FD0">
      <w:pPr>
        <w:pStyle w:val="BodyFirstline05After12pt"/>
      </w:pPr>
      <w:r>
        <w:t>For notifications and reporting not required to be submitted electronically, if the subject standards have not been delegated, the information is sent directly to the appropriate EPA regional office.</w:t>
      </w:r>
      <w:r w:rsidR="00F47C05">
        <w:t xml:space="preserve"> </w:t>
      </w:r>
      <w:r>
        <w:t>Otherwise, the information is sent directly to the delegated state or local agency.</w:t>
      </w:r>
      <w:r w:rsidR="00F47C05">
        <w:t xml:space="preserve"> </w:t>
      </w:r>
      <w:r>
        <w:t>If a state or local agency has adopted its own similar standards to implement the Federal standards, a copy of the report submitted to the state or local agency can be sent to the Administrator in lieu of the report required by the Federal standards.</w:t>
      </w:r>
      <w:r w:rsidR="00F47C05">
        <w:t xml:space="preserve"> </w:t>
      </w:r>
      <w:r>
        <w:t>Therefore, no duplication exists.</w:t>
      </w:r>
    </w:p>
    <w:p w:rsidR="00FE7777" w:rsidRDefault="00FE7777" w:rsidP="00ED4539">
      <w:pPr>
        <w:pStyle w:val="BodyFirstline05After12pt"/>
      </w:pPr>
      <w:r w:rsidRPr="00B37009">
        <w:t xml:space="preserve">Some of the petroleum refinery </w:t>
      </w:r>
      <w:r w:rsidR="008E7FA6">
        <w:t xml:space="preserve">facilities </w:t>
      </w:r>
      <w:r w:rsidRPr="00B37009">
        <w:t xml:space="preserve">subject to subpart CC will also be subject to requirements under the following regulations: New Source Performance Standards (NSPS) subparts J, </w:t>
      </w:r>
      <w:r w:rsidR="008E7FA6">
        <w:t xml:space="preserve">Ja, </w:t>
      </w:r>
      <w:r w:rsidRPr="00B37009">
        <w:t>K, Ka, Kb, VV, and QQQ, NESHAP (part 61) subpart FF, and NESHAP (part 63) subparts G, H, J, R, Y</w:t>
      </w:r>
      <w:r w:rsidR="007D5243">
        <w:t>, and UUU.</w:t>
      </w:r>
      <w:r w:rsidR="00F47C05">
        <w:t xml:space="preserve"> </w:t>
      </w:r>
      <w:r w:rsidRPr="00B37009">
        <w:t xml:space="preserve">The burden requested in this NESHAP does not </w:t>
      </w:r>
      <w:r w:rsidRPr="007D5243">
        <w:t>duplicate any of the industry burden accounted for under those regulations.</w:t>
      </w:r>
      <w:r w:rsidR="00F47C05">
        <w:t xml:space="preserve"> </w:t>
      </w:r>
      <w:r w:rsidRPr="007D5243">
        <w:t>The applicability section of this NESHAP delineates requirements where there are overlapping rules.</w:t>
      </w:r>
    </w:p>
    <w:p w:rsidR="00FE7777" w:rsidRDefault="00ED6086" w:rsidP="00BB0FD0">
      <w:pPr>
        <w:pStyle w:val="BodyFirstline05After12pt"/>
      </w:pPr>
      <w:r w:rsidRPr="00CD13E6">
        <w:t>As stated in Section 1(b) of this ICR, the</w:t>
      </w:r>
      <w:r w:rsidR="00FE7777" w:rsidRPr="00CD13E6">
        <w:t xml:space="preserve"> </w:t>
      </w:r>
      <w:r w:rsidR="00CB16F3" w:rsidRPr="00CD13E6">
        <w:t xml:space="preserve">changes to this </w:t>
      </w:r>
      <w:r w:rsidR="00FE7777" w:rsidRPr="00CD13E6">
        <w:t xml:space="preserve">NESHAP do not </w:t>
      </w:r>
      <w:r w:rsidR="00CB16F3" w:rsidRPr="00CD13E6">
        <w:t xml:space="preserve">affect the </w:t>
      </w:r>
      <w:r w:rsidR="00FE7777" w:rsidRPr="00CD13E6">
        <w:t>recordkeeping or reporting for marine vessel tank loading and unloading operations, bulk gasoline loading racks, and wastewater sources.</w:t>
      </w:r>
      <w:r w:rsidR="00F47C05">
        <w:t xml:space="preserve"> </w:t>
      </w:r>
      <w:r w:rsidR="00CB16F3" w:rsidRPr="00CD13E6">
        <w:t>Reporting and recordkeeping requirements for these sources are covered under other rules</w:t>
      </w:r>
      <w:r w:rsidRPr="00CD13E6">
        <w:t xml:space="preserve"> and are not duplicated in subpart CC.</w:t>
      </w:r>
    </w:p>
    <w:p w:rsidR="00BB0FD0" w:rsidRDefault="00BB0FD0" w:rsidP="00BB0FD0">
      <w:pPr>
        <w:pStyle w:val="SectionSubheading"/>
      </w:pPr>
      <w:r>
        <w:t xml:space="preserve">3(b) </w:t>
      </w:r>
      <w:r w:rsidRPr="0059518A">
        <w:t>Public Notice Required Prior to ICR Submission to OMB</w:t>
      </w:r>
    </w:p>
    <w:p w:rsidR="00E63037" w:rsidRPr="00E63037" w:rsidRDefault="00E63037" w:rsidP="00BB0FD0">
      <w:pPr>
        <w:pStyle w:val="SectionSubheading"/>
        <w:rPr>
          <w:b w:val="0"/>
        </w:rPr>
      </w:pPr>
      <w:r>
        <w:rPr>
          <w:b w:val="0"/>
        </w:rPr>
        <w:t>The preamble to the proposed rule will give public notice of and solicit public comment on this ICR.</w:t>
      </w:r>
    </w:p>
    <w:p w:rsidR="00BB0FD0" w:rsidRDefault="00BB0FD0" w:rsidP="00BB0FD0">
      <w:pPr>
        <w:pStyle w:val="SectionSubheading"/>
      </w:pPr>
      <w:r>
        <w:t xml:space="preserve">3(c) </w:t>
      </w:r>
      <w:r w:rsidRPr="00832738">
        <w:t>Consultations</w:t>
      </w:r>
    </w:p>
    <w:p w:rsidR="00706DE0" w:rsidRDefault="00BB0FD0" w:rsidP="00680451">
      <w:pPr>
        <w:pStyle w:val="BodyFirstline05After12pt"/>
      </w:pPr>
      <w:r>
        <w:t xml:space="preserve">The proposed amendments are based upon the data provided by each individual refinery in response to an EPA survey of the petroleum refinery industry in 2011 (data from calendar year 2010); these responses were compiled into a Petroleum Refinery Database. </w:t>
      </w:r>
      <w:r w:rsidR="00141832">
        <w:t xml:space="preserve">The proposed </w:t>
      </w:r>
      <w:r w:rsidR="00141832">
        <w:lastRenderedPageBreak/>
        <w:t xml:space="preserve">amendments were </w:t>
      </w:r>
      <w:r>
        <w:t xml:space="preserve">also </w:t>
      </w:r>
      <w:r w:rsidR="00141832">
        <w:t xml:space="preserve">developed in consultation with trade associations, including </w:t>
      </w:r>
      <w:r>
        <w:t xml:space="preserve">Matt Todd of </w:t>
      </w:r>
      <w:r w:rsidR="00141832">
        <w:t xml:space="preserve">the </w:t>
      </w:r>
      <w:r w:rsidR="00141832" w:rsidRPr="00BB0FD0">
        <w:t>American</w:t>
      </w:r>
      <w:r w:rsidR="00141832">
        <w:t xml:space="preserve"> Petroleum Institute (API) and </w:t>
      </w:r>
      <w:r>
        <w:t xml:space="preserve">David Freidman of </w:t>
      </w:r>
      <w:r w:rsidR="00141832">
        <w:t xml:space="preserve">the </w:t>
      </w:r>
      <w:r w:rsidR="00141832" w:rsidRPr="00D80D5B">
        <w:t xml:space="preserve">American Fuel and Petrochemical Manufacturers </w:t>
      </w:r>
      <w:r w:rsidR="00141832">
        <w:t>(AFPM).</w:t>
      </w:r>
      <w:r w:rsidR="00F47C05">
        <w:t xml:space="preserve"> </w:t>
      </w:r>
      <w:r w:rsidR="00141832">
        <w:t>The assumptions made in the development of this ICR, including the estimate o</w:t>
      </w:r>
      <w:r w:rsidR="00496A30">
        <w:t>f</w:t>
      </w:r>
      <w:r w:rsidR="00141832">
        <w:t xml:space="preserve"> the number of petroleum refineries subject to the standard, were updated by reviewing the</w:t>
      </w:r>
      <w:r w:rsidR="00F47C05">
        <w:t xml:space="preserve"> </w:t>
      </w:r>
      <w:r w:rsidR="00141832">
        <w:t xml:space="preserve">EPA’s Petroleum Refinery Database, </w:t>
      </w:r>
      <w:r>
        <w:t>as well as</w:t>
      </w:r>
      <w:r w:rsidR="00F47C05">
        <w:t xml:space="preserve"> </w:t>
      </w:r>
      <w:r w:rsidR="00141832">
        <w:t xml:space="preserve">the Agency’s internal data sources, </w:t>
      </w:r>
      <w:r>
        <w:t>such as</w:t>
      </w:r>
      <w:r w:rsidR="00141832">
        <w:t xml:space="preserve"> our own industry experts and the Air Facility System (AFS), which is the EPA database for the collection, maintenance, and retrieval of all compliance data.</w:t>
      </w:r>
      <w:r w:rsidR="00F47C05">
        <w:t xml:space="preserve"> </w:t>
      </w:r>
      <w:r w:rsidR="00141832">
        <w:t>The information in AFS is reported by industry as required in the recordkeeping and reporting provisions of the standard.</w:t>
      </w:r>
      <w:r w:rsidR="00F47C05">
        <w:t xml:space="preserve"> </w:t>
      </w:r>
      <w:r w:rsidR="00141832">
        <w:t>AFS is operated and maintained by the EPA Office of Compliance.</w:t>
      </w:r>
      <w:r w:rsidR="00F47C05">
        <w:t xml:space="preserve"> </w:t>
      </w:r>
      <w:r w:rsidR="00141832">
        <w:t>We have estimated that there are approximately 14</w:t>
      </w:r>
      <w:r w:rsidR="00ED4539">
        <w:t>2</w:t>
      </w:r>
      <w:r w:rsidR="00141832">
        <w:t xml:space="preserve"> existing respondents subject to the standard, and no new sources will become subject to the standard over the </w:t>
      </w:r>
      <w:r w:rsidR="00ED4539">
        <w:t>3</w:t>
      </w:r>
      <w:r w:rsidR="00141832">
        <w:t>-year period covered by this ICR.</w:t>
      </w:r>
      <w:r w:rsidR="00F47C05">
        <w:t xml:space="preserve"> </w:t>
      </w:r>
      <w:r w:rsidR="00CB6009">
        <w:t xml:space="preserve">The </w:t>
      </w:r>
      <w:r>
        <w:t>Petroleum Refinery Database</w:t>
      </w:r>
      <w:r w:rsidDel="00BB0FD0">
        <w:t xml:space="preserve"> </w:t>
      </w:r>
      <w:r w:rsidR="00CB6009">
        <w:t>also provided information on process unit counts</w:t>
      </w:r>
      <w:r w:rsidR="00252A35">
        <w:t xml:space="preserve"> and equipment counts (</w:t>
      </w:r>
      <w:r w:rsidR="00252A35" w:rsidRPr="00BB0FD0">
        <w:rPr>
          <w:rStyle w:val="Italic"/>
        </w:rPr>
        <w:t>e.g</w:t>
      </w:r>
      <w:r w:rsidR="00CB6009" w:rsidRPr="00BB0FD0">
        <w:rPr>
          <w:rStyle w:val="Italic"/>
        </w:rPr>
        <w:t>.</w:t>
      </w:r>
      <w:r w:rsidR="00CB6009">
        <w:t xml:space="preserve">, the number of delayed cokers and number of relief </w:t>
      </w:r>
      <w:r w:rsidR="00680451">
        <w:t>valves</w:t>
      </w:r>
      <w:r w:rsidR="00CB6009">
        <w:t>).</w:t>
      </w:r>
    </w:p>
    <w:p w:rsidR="00510ED3" w:rsidRDefault="00510ED3" w:rsidP="00510ED3">
      <w:pPr>
        <w:pStyle w:val="BodyFirstline05After12pt"/>
      </w:pPr>
      <w:r w:rsidRPr="00DE2FBA">
        <w:t>The EPA</w:t>
      </w:r>
      <w:r w:rsidRPr="00B0380C">
        <w:t xml:space="preserve"> will provide a 60-day public comment period after proposal of the amendments to </w:t>
      </w:r>
      <w:r>
        <w:t>subpart CC</w:t>
      </w:r>
      <w:r w:rsidRPr="00B0380C">
        <w:t>.</w:t>
      </w:r>
      <w:r>
        <w:t xml:space="preserve"> </w:t>
      </w:r>
      <w:r w:rsidRPr="00B0380C">
        <w:t>All affected parties will be given the opportunity to comment on the proposed amendments during this period.</w:t>
      </w:r>
      <w:r>
        <w:t xml:space="preserve"> </w:t>
      </w:r>
      <w:r w:rsidRPr="00B0380C">
        <w:t>The EPA will consider all of the comments received and may incorporate them in developing the final amendments.</w:t>
      </w:r>
    </w:p>
    <w:p w:rsidR="000A19D3" w:rsidRDefault="000A19D3" w:rsidP="000A19D3">
      <w:pPr>
        <w:pStyle w:val="SectionSubheading"/>
      </w:pPr>
      <w:r>
        <w:t>3(d) Effects of Less Frequent Collection</w:t>
      </w:r>
    </w:p>
    <w:p w:rsidR="00FE7777" w:rsidRDefault="00FE7777" w:rsidP="000A19D3">
      <w:pPr>
        <w:pStyle w:val="BodyFirstline05After12pt"/>
      </w:pPr>
      <w:r>
        <w:t>Less frequent information collection would decrease the margin of assurance that facilities are continuing to meet the standards.</w:t>
      </w:r>
      <w:r w:rsidR="00F47C05">
        <w:t xml:space="preserve"> </w:t>
      </w:r>
      <w:r>
        <w:t>Requirements for information gathering and recordkeeping are useful techniques to ensure that good operation and maintenance practices are applied and emission limitations are met.</w:t>
      </w:r>
      <w:r w:rsidR="00F47C05">
        <w:t xml:space="preserve"> </w:t>
      </w:r>
      <w:r>
        <w:t>If the information required by these standards was collected less frequently, the likelihood of detecting poor operation and maintenance of control equipment and noncompliance would decrease.</w:t>
      </w:r>
    </w:p>
    <w:p w:rsidR="000A19D3" w:rsidRDefault="000A19D3" w:rsidP="000A19D3">
      <w:pPr>
        <w:pStyle w:val="SectionSubheading"/>
      </w:pPr>
      <w:r>
        <w:t>3(e) General Guidelines</w:t>
      </w:r>
    </w:p>
    <w:p w:rsidR="00FE7777" w:rsidRDefault="00FE7777" w:rsidP="000A19D3">
      <w:pPr>
        <w:pStyle w:val="BodyFirstline05After12pt"/>
      </w:pPr>
      <w:r>
        <w:t>None of these reporting or recordkeeping requirements violate any of the regulations established by OMB at 5 CFR 1320.5.</w:t>
      </w:r>
    </w:p>
    <w:p w:rsidR="00FE7777" w:rsidRDefault="00FE7777" w:rsidP="00ED4539">
      <w:pPr>
        <w:pStyle w:val="BodyFirstline05After12pt"/>
      </w:pPr>
      <w:r>
        <w:t xml:space="preserve">These standards require respondents to maintain all records, including reports and notifications, for at least </w:t>
      </w:r>
      <w:r w:rsidR="00ED4539">
        <w:t>5</w:t>
      </w:r>
      <w:r w:rsidRPr="00462E8C">
        <w:t xml:space="preserve"> years.</w:t>
      </w:r>
      <w:r w:rsidR="00F47C05">
        <w:t xml:space="preserve"> </w:t>
      </w:r>
      <w:r w:rsidR="00462E8C">
        <w:t>This is consistent with the General Provisions in 40 CFR part 63 subpart A as applied to the standards.</w:t>
      </w:r>
      <w:r w:rsidR="00F47C05">
        <w:t xml:space="preserve"> </w:t>
      </w:r>
      <w:r w:rsidR="000A19D3">
        <w:t xml:space="preserve">The </w:t>
      </w:r>
      <w:r>
        <w:t xml:space="preserve">EPA believes that the </w:t>
      </w:r>
      <w:r w:rsidR="00ED4539">
        <w:t>5</w:t>
      </w:r>
      <w:r>
        <w:t xml:space="preserve">-year records retention requirement is consistent </w:t>
      </w:r>
      <w:r w:rsidR="00363070">
        <w:t xml:space="preserve">with </w:t>
      </w:r>
      <w:r>
        <w:t xml:space="preserve">the Part 70 permit program and the </w:t>
      </w:r>
      <w:r w:rsidR="00ED4539">
        <w:t>5</w:t>
      </w:r>
      <w:r>
        <w:t>-year statute of limitations on which the permit program is based.</w:t>
      </w:r>
      <w:r w:rsidR="00F47C05">
        <w:t xml:space="preserve"> </w:t>
      </w:r>
      <w:r>
        <w:t xml:space="preserve">Also, the retention of records for </w:t>
      </w:r>
      <w:r w:rsidR="00ED4539">
        <w:t>5</w:t>
      </w:r>
      <w:r>
        <w:t xml:space="preserve"> years would allow </w:t>
      </w:r>
      <w:r w:rsidR="000A19D3">
        <w:t xml:space="preserve">the </w:t>
      </w:r>
      <w:r>
        <w:t>EPA to establish the compliance history of a source and any pattern of compliance for purposes of determining the appropriate level of enforcement action.</w:t>
      </w:r>
      <w:r w:rsidR="00F47C05">
        <w:t xml:space="preserve"> </w:t>
      </w:r>
      <w:r>
        <w:t xml:space="preserve">Historically, </w:t>
      </w:r>
      <w:r w:rsidR="000A19D3">
        <w:t xml:space="preserve">the </w:t>
      </w:r>
      <w:r>
        <w:t xml:space="preserve">EPA has found that the most flagrant violators frequently have violations extending beyond the </w:t>
      </w:r>
      <w:r w:rsidR="00ED4539">
        <w:t>5</w:t>
      </w:r>
      <w:r>
        <w:t xml:space="preserve"> years.</w:t>
      </w:r>
      <w:r w:rsidR="00F47C05">
        <w:t xml:space="preserve"> </w:t>
      </w:r>
      <w:r w:rsidR="000A19D3">
        <w:t xml:space="preserve">The </w:t>
      </w:r>
      <w:r>
        <w:t xml:space="preserve">EPA would be prevented from pursuing the worst violators due to the destruction or nonexistence of records if records were retained for less than </w:t>
      </w:r>
      <w:r w:rsidR="00ED4539">
        <w:t>5</w:t>
      </w:r>
      <w:r>
        <w:t xml:space="preserve"> years.</w:t>
      </w:r>
    </w:p>
    <w:p w:rsidR="000A19D3" w:rsidRDefault="000A19D3" w:rsidP="000A19D3">
      <w:pPr>
        <w:pStyle w:val="SectionSubheading"/>
      </w:pPr>
      <w:r>
        <w:t>3(f) Confidentiality</w:t>
      </w:r>
    </w:p>
    <w:p w:rsidR="00BB0FD0" w:rsidRDefault="00141832" w:rsidP="000A19D3">
      <w:pPr>
        <w:pStyle w:val="BodyFirstline05After12pt"/>
      </w:pPr>
      <w:r>
        <w:t xml:space="preserve">All information submitted to the Agency for which a claim of confidentiality is made will be safeguarded according to the Agency policies set forth in title 40, chapter 1, part 2, subpart B </w:t>
      </w:r>
      <w:r>
        <w:lastRenderedPageBreak/>
        <w:t xml:space="preserve">- Confidentiality of Business Information (CBI) (see 40 CFR 2; 41 </w:t>
      </w:r>
      <w:r w:rsidRPr="00F46122">
        <w:rPr>
          <w:rStyle w:val="Underline"/>
        </w:rPr>
        <w:t>FR</w:t>
      </w:r>
      <w:r>
        <w:t xml:space="preserve"> 36902, September 1, </w:t>
      </w:r>
      <w:r w:rsidRPr="00C249BB">
        <w:t xml:space="preserve">1976; amended by 43 </w:t>
      </w:r>
      <w:r w:rsidRPr="00C249BB">
        <w:rPr>
          <w:rStyle w:val="Underline"/>
        </w:rPr>
        <w:t>FR</w:t>
      </w:r>
      <w:r w:rsidRPr="00C249BB">
        <w:t xml:space="preserve"> </w:t>
      </w:r>
      <w:r w:rsidR="00D769E2" w:rsidRPr="00D769E2">
        <w:t>39999</w:t>
      </w:r>
      <w:r w:rsidRPr="00C249BB">
        <w:t xml:space="preserve">, September 8, 1978; 43 </w:t>
      </w:r>
      <w:r w:rsidRPr="00C249BB">
        <w:rPr>
          <w:rStyle w:val="Underline"/>
        </w:rPr>
        <w:t>FR</w:t>
      </w:r>
      <w:r w:rsidRPr="00C249BB">
        <w:t xml:space="preserve"> 42251, </w:t>
      </w:r>
      <w:r w:rsidR="00D769E2" w:rsidRPr="00D769E2">
        <w:t>September 28</w:t>
      </w:r>
      <w:r w:rsidRPr="00C249BB">
        <w:t xml:space="preserve">, 1978; 44 </w:t>
      </w:r>
      <w:r w:rsidRPr="00C249BB">
        <w:rPr>
          <w:rStyle w:val="Underline"/>
        </w:rPr>
        <w:t>FR</w:t>
      </w:r>
      <w:r>
        <w:t xml:space="preserve"> 17674, March 23, 1979).</w:t>
      </w:r>
    </w:p>
    <w:p w:rsidR="000A19D3" w:rsidRDefault="000A19D3" w:rsidP="000A19D3">
      <w:pPr>
        <w:pStyle w:val="SectionSubheading"/>
      </w:pPr>
      <w:r>
        <w:t>3(g) Sensitive Questions</w:t>
      </w:r>
    </w:p>
    <w:p w:rsidR="00141832" w:rsidRPr="00F46122" w:rsidRDefault="00141832" w:rsidP="000A19D3">
      <w:pPr>
        <w:pStyle w:val="BodyFirstline05After12pt"/>
      </w:pPr>
      <w:r w:rsidRPr="007C40B4">
        <w:t>This section is not applicable because this ICR does not involve matters of a sensitive nature.</w:t>
      </w:r>
    </w:p>
    <w:p w:rsidR="000A19D3" w:rsidRDefault="000A19D3" w:rsidP="000A19D3">
      <w:pPr>
        <w:pStyle w:val="SectionHeading"/>
      </w:pPr>
      <w:r>
        <w:t>4. The Respondents and the Information Requested</w:t>
      </w:r>
    </w:p>
    <w:p w:rsidR="00F47C05" w:rsidRPr="009769D3" w:rsidRDefault="00F47C05" w:rsidP="000A19D3">
      <w:pPr>
        <w:pStyle w:val="SectionSubheading"/>
      </w:pPr>
      <w:r>
        <w:t>4(a) Respondents/NAICS Codes</w:t>
      </w:r>
    </w:p>
    <w:p w:rsidR="003A4F1E" w:rsidRPr="00F46122" w:rsidRDefault="003A4F1E" w:rsidP="000A19D3">
      <w:pPr>
        <w:pStyle w:val="BodyFirstline05After12pt"/>
      </w:pPr>
      <w:r>
        <w:t>The potential respondents to the recordkeeping and reporting requirements under subpart CC are owners or operators of existing or new major source petroleum refineries that are major sources of HAP emissions.</w:t>
      </w:r>
      <w:r w:rsidR="00F47C05">
        <w:t xml:space="preserve"> </w:t>
      </w:r>
      <w:r>
        <w:t>The North American Industry Classification System (NAICS) code is 324110 for petroleum refineries.</w:t>
      </w:r>
    </w:p>
    <w:p w:rsidR="000A19D3" w:rsidRDefault="00B50B26" w:rsidP="000A19D3">
      <w:pPr>
        <w:pStyle w:val="SectionSubheading"/>
      </w:pPr>
      <w:r>
        <w:t>4(b) Information Requested</w:t>
      </w:r>
    </w:p>
    <w:p w:rsidR="000A19D3" w:rsidRPr="00B54DC3" w:rsidRDefault="000A19D3" w:rsidP="000A19D3">
      <w:pPr>
        <w:pStyle w:val="SectionLevel3Heading"/>
      </w:pPr>
      <w:r w:rsidRPr="00B54DC3">
        <w:t>(i)</w:t>
      </w:r>
      <w:r>
        <w:t xml:space="preserve"> </w:t>
      </w:r>
      <w:r w:rsidRPr="00B54DC3">
        <w:rPr>
          <w:rStyle w:val="Underline"/>
        </w:rPr>
        <w:t>Data Items</w:t>
      </w:r>
    </w:p>
    <w:p w:rsidR="00C37C81" w:rsidRDefault="00C37C81" w:rsidP="000A19D3">
      <w:pPr>
        <w:pStyle w:val="BodyFirstline05After12pt"/>
      </w:pPr>
      <w:r>
        <w:t xml:space="preserve">All data in this ICR that are recorded and/or reported are required by </w:t>
      </w:r>
      <w:r w:rsidR="00B10896">
        <w:t xml:space="preserve">the proposed amendments to </w:t>
      </w:r>
      <w:r>
        <w:t>40 CFR part 63, subpart CC - National Emission Standards for Hazardous Air Pollutants for Petroleum Refineries.</w:t>
      </w:r>
    </w:p>
    <w:p w:rsidR="00C37C81" w:rsidRDefault="00C37C81" w:rsidP="000A19D3">
      <w:pPr>
        <w:pStyle w:val="BodyFirstline05After12pt"/>
        <w:keepNext/>
      </w:pPr>
      <w:r>
        <w:t>A source must make the following reports:</w:t>
      </w:r>
    </w:p>
    <w:tbl>
      <w:tblPr>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20" w:type="dxa"/>
          <w:right w:w="120" w:type="dxa"/>
        </w:tblCellMar>
        <w:tblLook w:val="0000"/>
      </w:tblPr>
      <w:tblGrid>
        <w:gridCol w:w="6930"/>
        <w:gridCol w:w="2430"/>
      </w:tblGrid>
      <w:tr w:rsidR="00C37C81" w:rsidTr="00C61FD3">
        <w:trPr>
          <w:cantSplit/>
          <w:tblHeader/>
          <w:jc w:val="center"/>
        </w:trPr>
        <w:tc>
          <w:tcPr>
            <w:tcW w:w="9360" w:type="dxa"/>
            <w:gridSpan w:val="2"/>
            <w:shd w:val="clear" w:color="auto" w:fill="auto"/>
            <w:vAlign w:val="center"/>
          </w:tcPr>
          <w:p w:rsidR="00BB0FD0" w:rsidRDefault="000A19D3" w:rsidP="000A19D3">
            <w:pPr>
              <w:pStyle w:val="TableColumnHeading"/>
            </w:pPr>
            <w:r w:rsidRPr="000A19D3">
              <w:t>N</w:t>
            </w:r>
            <w:r w:rsidRPr="00FE67FB">
              <w:rPr>
                <w:rStyle w:val="Bold"/>
              </w:rPr>
              <w:t>otification Reports</w:t>
            </w:r>
          </w:p>
        </w:tc>
      </w:tr>
      <w:tr w:rsidR="00C37C81" w:rsidTr="000A19D3">
        <w:trPr>
          <w:cantSplit/>
          <w:jc w:val="center"/>
        </w:trPr>
        <w:tc>
          <w:tcPr>
            <w:tcW w:w="6930" w:type="dxa"/>
            <w:shd w:val="clear" w:color="auto" w:fill="auto"/>
            <w:vAlign w:val="center"/>
          </w:tcPr>
          <w:p w:rsidR="00BB0FD0" w:rsidRDefault="00C37C81" w:rsidP="00680451">
            <w:pPr>
              <w:pStyle w:val="TableTextLeft"/>
            </w:pPr>
            <w:r>
              <w:t>Notification of compliance status</w:t>
            </w:r>
            <w:r w:rsidR="007C12F3">
              <w:t xml:space="preserve"> for storage vessels, </w:t>
            </w:r>
            <w:r w:rsidR="000C59D0">
              <w:t xml:space="preserve">control device bypass valves, </w:t>
            </w:r>
            <w:r w:rsidR="007C12F3">
              <w:t xml:space="preserve">delayed cokers, </w:t>
            </w:r>
            <w:r w:rsidR="000C59D0">
              <w:t xml:space="preserve">and </w:t>
            </w:r>
            <w:r w:rsidR="000A19D3">
              <w:t xml:space="preserve">relief </w:t>
            </w:r>
            <w:r w:rsidR="00680451">
              <w:t>valves</w:t>
            </w:r>
          </w:p>
        </w:tc>
        <w:tc>
          <w:tcPr>
            <w:tcW w:w="2430" w:type="dxa"/>
            <w:shd w:val="clear" w:color="auto" w:fill="auto"/>
            <w:vAlign w:val="center"/>
          </w:tcPr>
          <w:p w:rsidR="00BB0FD0" w:rsidRPr="000A19D3" w:rsidRDefault="007C12F3" w:rsidP="000A19D3">
            <w:pPr>
              <w:pStyle w:val="TableTextLeft"/>
            </w:pPr>
            <w:r w:rsidRPr="000A19D3">
              <w:t>63.</w:t>
            </w:r>
            <w:r w:rsidR="0034433F" w:rsidRPr="000A19D3">
              <w:t>655(f)</w:t>
            </w:r>
            <w:r w:rsidR="009301C2" w:rsidRPr="000A19D3">
              <w:t>, 63.655(f)(1)(i), 63.655(f)(1)(vii), 63.655(f)(4)</w:t>
            </w:r>
          </w:p>
        </w:tc>
      </w:tr>
      <w:tr w:rsidR="00C37C81" w:rsidTr="000A19D3">
        <w:trPr>
          <w:cantSplit/>
          <w:jc w:val="center"/>
        </w:trPr>
        <w:tc>
          <w:tcPr>
            <w:tcW w:w="6930" w:type="dxa"/>
            <w:shd w:val="clear" w:color="auto" w:fill="auto"/>
            <w:vAlign w:val="center"/>
          </w:tcPr>
          <w:p w:rsidR="00BB0FD0" w:rsidRDefault="00C37C81" w:rsidP="000A19D3">
            <w:pPr>
              <w:pStyle w:val="TableTextLeft"/>
            </w:pPr>
            <w:r>
              <w:t>Notifications of inspections of storage vessels</w:t>
            </w:r>
          </w:p>
        </w:tc>
        <w:tc>
          <w:tcPr>
            <w:tcW w:w="2430" w:type="dxa"/>
            <w:shd w:val="clear" w:color="auto" w:fill="auto"/>
            <w:vAlign w:val="center"/>
          </w:tcPr>
          <w:p w:rsidR="00BB0FD0" w:rsidRPr="000A19D3" w:rsidRDefault="009301C2" w:rsidP="000A19D3">
            <w:pPr>
              <w:pStyle w:val="TableTextLeft"/>
            </w:pPr>
            <w:r w:rsidRPr="000A19D3">
              <w:t>63.655</w:t>
            </w:r>
            <w:r w:rsidR="007C12F3" w:rsidRPr="000A19D3">
              <w:t>(h)(2)</w:t>
            </w:r>
          </w:p>
        </w:tc>
      </w:tr>
    </w:tbl>
    <w:p w:rsidR="00C37C81" w:rsidRDefault="00C37C81" w:rsidP="005F5FDC"/>
    <w:tbl>
      <w:tblPr>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20" w:type="dxa"/>
          <w:right w:w="120" w:type="dxa"/>
        </w:tblCellMar>
        <w:tblLook w:val="0000"/>
      </w:tblPr>
      <w:tblGrid>
        <w:gridCol w:w="6930"/>
        <w:gridCol w:w="2430"/>
      </w:tblGrid>
      <w:tr w:rsidR="00C37C81" w:rsidRPr="000A19D3" w:rsidTr="00C61FD3">
        <w:trPr>
          <w:cantSplit/>
          <w:tblHeader/>
          <w:jc w:val="center"/>
        </w:trPr>
        <w:tc>
          <w:tcPr>
            <w:tcW w:w="9360" w:type="dxa"/>
            <w:gridSpan w:val="2"/>
            <w:shd w:val="clear" w:color="auto" w:fill="auto"/>
            <w:vAlign w:val="center"/>
          </w:tcPr>
          <w:p w:rsidR="00BB0FD0" w:rsidRPr="000A19D3" w:rsidRDefault="00C37C81" w:rsidP="000A19D3">
            <w:pPr>
              <w:pStyle w:val="TableColumnHeading"/>
              <w:rPr>
                <w:rStyle w:val="Bold"/>
              </w:rPr>
            </w:pPr>
            <w:r w:rsidRPr="000A19D3">
              <w:rPr>
                <w:rStyle w:val="Bold"/>
              </w:rPr>
              <w:t>Reports</w:t>
            </w:r>
          </w:p>
        </w:tc>
      </w:tr>
      <w:tr w:rsidR="00C37C81" w:rsidTr="000A19D3">
        <w:trPr>
          <w:cantSplit/>
          <w:jc w:val="center"/>
        </w:trPr>
        <w:tc>
          <w:tcPr>
            <w:tcW w:w="6930" w:type="dxa"/>
            <w:shd w:val="clear" w:color="auto" w:fill="auto"/>
            <w:vAlign w:val="center"/>
          </w:tcPr>
          <w:p w:rsidR="00F15E9C" w:rsidRDefault="000C59D0">
            <w:pPr>
              <w:pStyle w:val="TableTextLeft"/>
            </w:pPr>
            <w:r>
              <w:t>Malfunction reports</w:t>
            </w:r>
          </w:p>
        </w:tc>
        <w:tc>
          <w:tcPr>
            <w:tcW w:w="2430" w:type="dxa"/>
            <w:shd w:val="clear" w:color="auto" w:fill="auto"/>
            <w:vAlign w:val="center"/>
          </w:tcPr>
          <w:p w:rsidR="00F15E9C" w:rsidRDefault="000C59D0">
            <w:pPr>
              <w:pStyle w:val="TableTextLeft"/>
            </w:pPr>
            <w:r>
              <w:t>63.655(g)(11)</w:t>
            </w:r>
          </w:p>
        </w:tc>
      </w:tr>
      <w:tr w:rsidR="001233C2" w:rsidTr="000A19D3">
        <w:trPr>
          <w:cantSplit/>
          <w:jc w:val="center"/>
        </w:trPr>
        <w:tc>
          <w:tcPr>
            <w:tcW w:w="6930" w:type="dxa"/>
            <w:shd w:val="clear" w:color="auto" w:fill="auto"/>
            <w:vAlign w:val="center"/>
          </w:tcPr>
          <w:p w:rsidR="00F15E9C" w:rsidRDefault="001233C2" w:rsidP="00680451">
            <w:pPr>
              <w:pStyle w:val="TableTextLeft"/>
            </w:pPr>
            <w:r>
              <w:t xml:space="preserve">Semiannual </w:t>
            </w:r>
            <w:r w:rsidR="00E57021">
              <w:t>reports</w:t>
            </w:r>
            <w:r w:rsidR="008D43BD">
              <w:t xml:space="preserve"> for storage vessels, </w:t>
            </w:r>
            <w:r w:rsidR="000C59D0">
              <w:t xml:space="preserve">control device bypass valves, </w:t>
            </w:r>
            <w:r w:rsidR="008D43BD">
              <w:t xml:space="preserve">delayed cokers, </w:t>
            </w:r>
            <w:r w:rsidR="000A19D3">
              <w:t xml:space="preserve">relief </w:t>
            </w:r>
            <w:r w:rsidR="00680451">
              <w:t>valves, and flares</w:t>
            </w:r>
          </w:p>
        </w:tc>
        <w:tc>
          <w:tcPr>
            <w:tcW w:w="2430" w:type="dxa"/>
            <w:shd w:val="clear" w:color="auto" w:fill="auto"/>
            <w:vAlign w:val="center"/>
          </w:tcPr>
          <w:p w:rsidR="00F15E9C" w:rsidRDefault="008D43BD">
            <w:pPr>
              <w:pStyle w:val="TableTextLeft"/>
            </w:pPr>
            <w:r>
              <w:t>63.655(g)(1) to (g)(5), 63.655(g)(6)(iii), 63.655(g)(10), 63.655(g)(11)</w:t>
            </w:r>
          </w:p>
        </w:tc>
      </w:tr>
      <w:tr w:rsidR="001010D3" w:rsidTr="000A19D3">
        <w:trPr>
          <w:cantSplit/>
          <w:jc w:val="center"/>
        </w:trPr>
        <w:tc>
          <w:tcPr>
            <w:tcW w:w="6930" w:type="dxa"/>
            <w:shd w:val="clear" w:color="auto" w:fill="auto"/>
            <w:vAlign w:val="center"/>
          </w:tcPr>
          <w:p w:rsidR="00F15E9C" w:rsidRDefault="001010D3">
            <w:pPr>
              <w:pStyle w:val="TableTextLeft"/>
            </w:pPr>
            <w:r>
              <w:t>Quarterly r</w:t>
            </w:r>
            <w:r w:rsidR="00D21937">
              <w:t>eports for fenceline monitoring - electronic</w:t>
            </w:r>
          </w:p>
        </w:tc>
        <w:tc>
          <w:tcPr>
            <w:tcW w:w="2430" w:type="dxa"/>
            <w:shd w:val="clear" w:color="auto" w:fill="auto"/>
            <w:vAlign w:val="center"/>
          </w:tcPr>
          <w:p w:rsidR="00F15E9C" w:rsidRDefault="001010D3">
            <w:pPr>
              <w:pStyle w:val="TableTextLeft"/>
            </w:pPr>
            <w:r>
              <w:t>63.65</w:t>
            </w:r>
            <w:r w:rsidR="008D43BD">
              <w:t>5</w:t>
            </w:r>
            <w:r>
              <w:t>(</w:t>
            </w:r>
            <w:r w:rsidR="008D43BD">
              <w:t>h</w:t>
            </w:r>
            <w:r>
              <w:t>)</w:t>
            </w:r>
            <w:r w:rsidR="008D43BD">
              <w:t>(7)</w:t>
            </w:r>
          </w:p>
        </w:tc>
      </w:tr>
    </w:tbl>
    <w:p w:rsidR="000A19D3" w:rsidRDefault="000A19D3" w:rsidP="000A19D3">
      <w:pPr>
        <w:pStyle w:val="AfterTable"/>
      </w:pPr>
    </w:p>
    <w:p w:rsidR="000A19D3" w:rsidRDefault="000A19D3" w:rsidP="000A19D3">
      <w:pPr>
        <w:pStyle w:val="BodyFirstline05After12pt"/>
        <w:keepNext/>
      </w:pPr>
      <w:r>
        <w:lastRenderedPageBreak/>
        <w:t>A source must keep the following records:</w:t>
      </w:r>
    </w:p>
    <w:tbl>
      <w:tblPr>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20" w:type="dxa"/>
          <w:right w:w="120" w:type="dxa"/>
        </w:tblCellMar>
        <w:tblLook w:val="0000"/>
      </w:tblPr>
      <w:tblGrid>
        <w:gridCol w:w="7110"/>
        <w:gridCol w:w="2250"/>
      </w:tblGrid>
      <w:tr w:rsidR="00C37C81" w:rsidTr="00C61FD3">
        <w:trPr>
          <w:cantSplit/>
          <w:tblHeader/>
          <w:jc w:val="center"/>
        </w:trPr>
        <w:tc>
          <w:tcPr>
            <w:tcW w:w="9360" w:type="dxa"/>
            <w:gridSpan w:val="2"/>
            <w:shd w:val="clear" w:color="auto" w:fill="auto"/>
            <w:vAlign w:val="center"/>
          </w:tcPr>
          <w:p w:rsidR="00C37C81" w:rsidRPr="000A19D3" w:rsidRDefault="00C37C81" w:rsidP="000A19D3">
            <w:pPr>
              <w:pStyle w:val="TableColumnHeading"/>
              <w:rPr>
                <w:rStyle w:val="Bold"/>
              </w:rPr>
            </w:pPr>
            <w:r w:rsidRPr="000A19D3">
              <w:rPr>
                <w:rStyle w:val="Bold"/>
              </w:rPr>
              <w:t>Recordkeeping</w:t>
            </w:r>
          </w:p>
        </w:tc>
      </w:tr>
      <w:tr w:rsidR="00680451" w:rsidTr="00C61FD3">
        <w:trPr>
          <w:cantSplit/>
          <w:jc w:val="center"/>
        </w:trPr>
        <w:tc>
          <w:tcPr>
            <w:tcW w:w="7110" w:type="dxa"/>
            <w:shd w:val="clear" w:color="auto" w:fill="auto"/>
            <w:vAlign w:val="center"/>
          </w:tcPr>
          <w:p w:rsidR="00680451" w:rsidRDefault="00680451" w:rsidP="00F46122">
            <w:pPr>
              <w:pStyle w:val="TableTextLeft"/>
            </w:pPr>
            <w:r>
              <w:t>Records of information in semiannual reports.</w:t>
            </w:r>
          </w:p>
        </w:tc>
        <w:tc>
          <w:tcPr>
            <w:tcW w:w="2250" w:type="dxa"/>
            <w:shd w:val="clear" w:color="auto" w:fill="auto"/>
            <w:vAlign w:val="center"/>
          </w:tcPr>
          <w:p w:rsidR="00680451" w:rsidRDefault="00680451" w:rsidP="00680451">
            <w:pPr>
              <w:pStyle w:val="TableTextLeft"/>
            </w:pPr>
            <w:r>
              <w:t>63.655(i)</w:t>
            </w:r>
          </w:p>
        </w:tc>
      </w:tr>
      <w:tr w:rsidR="00C37C81" w:rsidTr="00C61FD3">
        <w:trPr>
          <w:cantSplit/>
          <w:jc w:val="center"/>
        </w:trPr>
        <w:tc>
          <w:tcPr>
            <w:tcW w:w="7110" w:type="dxa"/>
            <w:shd w:val="clear" w:color="auto" w:fill="auto"/>
            <w:vAlign w:val="center"/>
          </w:tcPr>
          <w:p w:rsidR="00C37C81" w:rsidRDefault="00C37C81" w:rsidP="00680451">
            <w:pPr>
              <w:pStyle w:val="TableTextLeft"/>
            </w:pPr>
            <w:r>
              <w:t>Records for storage vessels</w:t>
            </w:r>
            <w:r w:rsidR="00AD5E79">
              <w:t xml:space="preserve">, control device bypass valves, delayed cokers, and </w:t>
            </w:r>
            <w:r w:rsidR="00680451">
              <w:t>flares</w:t>
            </w:r>
            <w:r>
              <w:t>.</w:t>
            </w:r>
          </w:p>
        </w:tc>
        <w:tc>
          <w:tcPr>
            <w:tcW w:w="2250" w:type="dxa"/>
            <w:shd w:val="clear" w:color="auto" w:fill="auto"/>
            <w:vAlign w:val="center"/>
          </w:tcPr>
          <w:p w:rsidR="00C37C81" w:rsidRDefault="007365AF" w:rsidP="00680451">
            <w:pPr>
              <w:pStyle w:val="TableTextLeft"/>
            </w:pPr>
            <w:r>
              <w:t>63.655(i)(1)</w:t>
            </w:r>
            <w:r w:rsidR="00AD5E79">
              <w:t>, 63.655(i)(4), 63.655(i)(7), 63.655(i)(</w:t>
            </w:r>
            <w:r w:rsidR="00680451">
              <w:t>9</w:t>
            </w:r>
            <w:r w:rsidR="00AD5E79">
              <w:t>)</w:t>
            </w:r>
          </w:p>
        </w:tc>
      </w:tr>
      <w:tr w:rsidR="00C37C81" w:rsidTr="00C61FD3">
        <w:trPr>
          <w:cantSplit/>
          <w:jc w:val="center"/>
        </w:trPr>
        <w:tc>
          <w:tcPr>
            <w:tcW w:w="7110" w:type="dxa"/>
            <w:shd w:val="clear" w:color="auto" w:fill="auto"/>
            <w:vAlign w:val="center"/>
          </w:tcPr>
          <w:p w:rsidR="00C37C81" w:rsidRDefault="00F94764" w:rsidP="000A19D3">
            <w:pPr>
              <w:pStyle w:val="TableTextLeft"/>
            </w:pPr>
            <w:r>
              <w:t>Records of occurrence of malfunction for process equipment, control equipment or monitoring equipment.</w:t>
            </w:r>
            <w:r w:rsidR="00F47C05">
              <w:t xml:space="preserve"> </w:t>
            </w:r>
            <w:r w:rsidR="00C37C81">
              <w:t>Records of corrective actions taken during malfunction.</w:t>
            </w:r>
          </w:p>
        </w:tc>
        <w:tc>
          <w:tcPr>
            <w:tcW w:w="2250" w:type="dxa"/>
            <w:shd w:val="clear" w:color="auto" w:fill="auto"/>
            <w:vAlign w:val="center"/>
          </w:tcPr>
          <w:p w:rsidR="00C37C81" w:rsidRDefault="00F94764" w:rsidP="00680451">
            <w:pPr>
              <w:pStyle w:val="TableTextLeft"/>
            </w:pPr>
            <w:r>
              <w:t>63.655(i)(</w:t>
            </w:r>
            <w:r w:rsidR="00680451">
              <w:t>11</w:t>
            </w:r>
            <w:r>
              <w:t>)</w:t>
            </w:r>
          </w:p>
        </w:tc>
      </w:tr>
      <w:tr w:rsidR="001010D3" w:rsidTr="00C61FD3">
        <w:trPr>
          <w:cantSplit/>
          <w:jc w:val="center"/>
        </w:trPr>
        <w:tc>
          <w:tcPr>
            <w:tcW w:w="7110" w:type="dxa"/>
            <w:shd w:val="clear" w:color="auto" w:fill="auto"/>
            <w:vAlign w:val="center"/>
          </w:tcPr>
          <w:p w:rsidR="001010D3" w:rsidDel="00F71117" w:rsidRDefault="001010D3" w:rsidP="000A19D3">
            <w:pPr>
              <w:pStyle w:val="TableTextLeft"/>
            </w:pPr>
            <w:r>
              <w:t>Fenceline monitoring records.</w:t>
            </w:r>
          </w:p>
        </w:tc>
        <w:tc>
          <w:tcPr>
            <w:tcW w:w="2250" w:type="dxa"/>
            <w:shd w:val="clear" w:color="auto" w:fill="auto"/>
            <w:vAlign w:val="center"/>
          </w:tcPr>
          <w:p w:rsidR="001010D3" w:rsidDel="00F71117" w:rsidRDefault="001010D3" w:rsidP="000A19D3">
            <w:pPr>
              <w:pStyle w:val="TableTextLeft"/>
            </w:pPr>
            <w:r>
              <w:t>63.</w:t>
            </w:r>
            <w:r w:rsidR="007365AF">
              <w:t>655(i)(8)</w:t>
            </w:r>
          </w:p>
        </w:tc>
      </w:tr>
    </w:tbl>
    <w:p w:rsidR="000A19D3" w:rsidRDefault="000A19D3" w:rsidP="00F46122">
      <w:pPr>
        <w:pStyle w:val="TableTextLeft"/>
      </w:pPr>
    </w:p>
    <w:p w:rsidR="00C37C81" w:rsidRDefault="00C37C81" w:rsidP="000A19D3">
      <w:pPr>
        <w:pStyle w:val="BodyFirstline05After12pt"/>
      </w:pPr>
      <w:r w:rsidRPr="000A19D3">
        <w:rPr>
          <w:rStyle w:val="Underline"/>
        </w:rPr>
        <w:t>Electronic Reporting</w:t>
      </w:r>
      <w:r w:rsidR="000A19D3">
        <w:t xml:space="preserve">. </w:t>
      </w:r>
      <w:r w:rsidR="00CD1A3A">
        <w:t>As part of the pro</w:t>
      </w:r>
      <w:r w:rsidR="009F3F8E">
        <w:t xml:space="preserve">posed changes to this rule, </w:t>
      </w:r>
      <w:r w:rsidR="005F527D">
        <w:t>all performance test reports</w:t>
      </w:r>
      <w:r w:rsidR="00CD1A3A">
        <w:t xml:space="preserve"> are required to be submitted electronically</w:t>
      </w:r>
      <w:r w:rsidR="00D21937">
        <w:t>.</w:t>
      </w:r>
      <w:r w:rsidR="00F47C05">
        <w:t xml:space="preserve"> </w:t>
      </w:r>
      <w:r w:rsidR="000A19D3">
        <w:t xml:space="preserve">The </w:t>
      </w:r>
      <w:r w:rsidR="000065ED">
        <w:t>EPA believes that the standardization achieved through electronic reporting will reduce the b</w:t>
      </w:r>
      <w:r w:rsidR="00DA5B57">
        <w:t>urden both to industry and the A</w:t>
      </w:r>
      <w:r w:rsidR="000065ED">
        <w:t>gency.</w:t>
      </w:r>
      <w:r w:rsidR="00F47C05">
        <w:t xml:space="preserve"> </w:t>
      </w:r>
      <w:r w:rsidR="00517640">
        <w:t>In addition, fenceline monitoring reports w</w:t>
      </w:r>
      <w:r w:rsidR="008C212B">
        <w:t xml:space="preserve">ill be submitted to </w:t>
      </w:r>
      <w:r w:rsidR="008C212B" w:rsidRPr="0081485D">
        <w:t>the EPA’s Compliance and Emissions Data Reporting Interface (CEDRI) that is accessed through the EPA’s Central Data Exchange (CDX)</w:t>
      </w:r>
      <w:r w:rsidR="008C212B">
        <w:t>.</w:t>
      </w:r>
      <w:r w:rsidR="00F47C05">
        <w:t xml:space="preserve"> </w:t>
      </w:r>
      <w:r w:rsidR="000065ED">
        <w:t xml:space="preserve">All other reports will continue to be submitted </w:t>
      </w:r>
      <w:r w:rsidR="008C212B">
        <w:t>as required currently</w:t>
      </w:r>
      <w:r w:rsidR="000065ED">
        <w:t>.</w:t>
      </w:r>
    </w:p>
    <w:p w:rsidR="000A19D3" w:rsidRDefault="000A19D3" w:rsidP="000A19D3">
      <w:pPr>
        <w:pStyle w:val="SectionLevel3Heading"/>
      </w:pPr>
      <w:r>
        <w:t xml:space="preserve">(ii) </w:t>
      </w:r>
      <w:r w:rsidRPr="00FE67FB">
        <w:rPr>
          <w:rStyle w:val="Underline"/>
        </w:rPr>
        <w:t>Respondent Activities</w:t>
      </w:r>
    </w:p>
    <w:p w:rsidR="00C37C81" w:rsidRPr="00F46122" w:rsidRDefault="005D2013" w:rsidP="000A19D3">
      <w:pPr>
        <w:pStyle w:val="BodyFirstline05After12pt"/>
      </w:pPr>
      <w:r w:rsidRPr="00C7625A">
        <w:t xml:space="preserve">The respondent activities that will be required by the proposed </w:t>
      </w:r>
      <w:r>
        <w:t xml:space="preserve">amendments to subpart </w:t>
      </w:r>
      <w:r w:rsidR="008C212B">
        <w:t>CC</w:t>
      </w:r>
      <w:r>
        <w:t xml:space="preserve"> include the following activities:</w:t>
      </w:r>
    </w:p>
    <w:tbl>
      <w:tblPr>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20" w:type="dxa"/>
          <w:right w:w="120" w:type="dxa"/>
        </w:tblCellMar>
        <w:tblLook w:val="0000"/>
      </w:tblPr>
      <w:tblGrid>
        <w:gridCol w:w="9360"/>
      </w:tblGrid>
      <w:tr w:rsidR="00C37C81" w:rsidTr="00C61FD3">
        <w:trPr>
          <w:cantSplit/>
          <w:tblHeader/>
          <w:jc w:val="center"/>
        </w:trPr>
        <w:tc>
          <w:tcPr>
            <w:tcW w:w="9360" w:type="dxa"/>
            <w:shd w:val="clear" w:color="auto" w:fill="auto"/>
            <w:vAlign w:val="center"/>
          </w:tcPr>
          <w:p w:rsidR="00BB0FD0" w:rsidRPr="000A19D3" w:rsidRDefault="00C37C81" w:rsidP="000A19D3">
            <w:pPr>
              <w:pStyle w:val="TableColumnHeading"/>
              <w:rPr>
                <w:rStyle w:val="Bold"/>
              </w:rPr>
            </w:pPr>
            <w:r w:rsidRPr="000A19D3">
              <w:rPr>
                <w:rStyle w:val="Bold"/>
              </w:rPr>
              <w:t>Respondent Activities</w:t>
            </w:r>
          </w:p>
        </w:tc>
      </w:tr>
      <w:tr w:rsidR="00C37C81" w:rsidTr="00C61FD3">
        <w:trPr>
          <w:cantSplit/>
          <w:jc w:val="center"/>
        </w:trPr>
        <w:tc>
          <w:tcPr>
            <w:tcW w:w="9360" w:type="dxa"/>
            <w:shd w:val="clear" w:color="auto" w:fill="auto"/>
          </w:tcPr>
          <w:p w:rsidR="00BB0FD0" w:rsidRDefault="00C37C81" w:rsidP="000A19D3">
            <w:pPr>
              <w:pStyle w:val="TableTextLeft"/>
            </w:pPr>
            <w:r>
              <w:t>Read instructions.</w:t>
            </w:r>
          </w:p>
        </w:tc>
      </w:tr>
      <w:tr w:rsidR="00C37C81" w:rsidTr="00C61FD3">
        <w:trPr>
          <w:cantSplit/>
          <w:jc w:val="center"/>
        </w:trPr>
        <w:tc>
          <w:tcPr>
            <w:tcW w:w="9360" w:type="dxa"/>
            <w:shd w:val="clear" w:color="auto" w:fill="auto"/>
          </w:tcPr>
          <w:p w:rsidR="00BB0FD0" w:rsidRDefault="00C37C81" w:rsidP="000A19D3">
            <w:pPr>
              <w:pStyle w:val="TableTextLeft"/>
            </w:pPr>
            <w:r>
              <w:t>Install, calibrate, maintain, and operate continuous temperature monitors or other monitoring devices for HAP control devices.</w:t>
            </w:r>
          </w:p>
        </w:tc>
      </w:tr>
      <w:tr w:rsidR="00C37C81" w:rsidTr="00C61FD3">
        <w:trPr>
          <w:cantSplit/>
          <w:jc w:val="center"/>
        </w:trPr>
        <w:tc>
          <w:tcPr>
            <w:tcW w:w="9360" w:type="dxa"/>
            <w:shd w:val="clear" w:color="auto" w:fill="auto"/>
          </w:tcPr>
          <w:p w:rsidR="00BB0FD0" w:rsidRDefault="00C37C81" w:rsidP="000A19D3">
            <w:pPr>
              <w:pStyle w:val="TableTextLeft"/>
            </w:pPr>
            <w:r>
              <w:t>Write the notifications and reports listed above.</w:t>
            </w:r>
          </w:p>
        </w:tc>
      </w:tr>
      <w:tr w:rsidR="00C37C81" w:rsidTr="00C61FD3">
        <w:trPr>
          <w:cantSplit/>
          <w:jc w:val="center"/>
        </w:trPr>
        <w:tc>
          <w:tcPr>
            <w:tcW w:w="9360" w:type="dxa"/>
            <w:shd w:val="clear" w:color="auto" w:fill="auto"/>
          </w:tcPr>
          <w:p w:rsidR="00C37C81" w:rsidRDefault="00C37C81" w:rsidP="000A19D3">
            <w:pPr>
              <w:pStyle w:val="TableTextLeft"/>
            </w:pPr>
            <w:r>
              <w:t>Enter information required to be recorded above.</w:t>
            </w:r>
          </w:p>
        </w:tc>
      </w:tr>
      <w:tr w:rsidR="00C37C81" w:rsidTr="00C61FD3">
        <w:trPr>
          <w:cantSplit/>
          <w:jc w:val="center"/>
        </w:trPr>
        <w:tc>
          <w:tcPr>
            <w:tcW w:w="9360" w:type="dxa"/>
            <w:shd w:val="clear" w:color="auto" w:fill="auto"/>
          </w:tcPr>
          <w:p w:rsidR="00C37C81" w:rsidRDefault="00C37C81" w:rsidP="000A19D3">
            <w:pPr>
              <w:pStyle w:val="TableTextLeft"/>
            </w:pPr>
            <w:r>
              <w:t>Submit the required reports developing, acquiring, installing, and utilizing technology and systems for the purpose of collecting, validating, and verifying information.</w:t>
            </w:r>
          </w:p>
        </w:tc>
      </w:tr>
      <w:tr w:rsidR="00C37C81" w:rsidTr="00C61FD3">
        <w:trPr>
          <w:cantSplit/>
          <w:jc w:val="center"/>
        </w:trPr>
        <w:tc>
          <w:tcPr>
            <w:tcW w:w="9360" w:type="dxa"/>
            <w:shd w:val="clear" w:color="auto" w:fill="auto"/>
          </w:tcPr>
          <w:p w:rsidR="00C37C81" w:rsidRDefault="00C37C81" w:rsidP="000A19D3">
            <w:pPr>
              <w:pStyle w:val="TableTextLeft"/>
            </w:pPr>
            <w:r>
              <w:t>Develop, acquire, install, and utilize technology and systems for the purpose of processing and maintaining information.</w:t>
            </w:r>
          </w:p>
        </w:tc>
      </w:tr>
      <w:tr w:rsidR="00C37C81" w:rsidTr="00C61FD3">
        <w:trPr>
          <w:cantSplit/>
          <w:jc w:val="center"/>
        </w:trPr>
        <w:tc>
          <w:tcPr>
            <w:tcW w:w="9360" w:type="dxa"/>
            <w:shd w:val="clear" w:color="auto" w:fill="auto"/>
          </w:tcPr>
          <w:p w:rsidR="00C37C81" w:rsidRDefault="00C37C81" w:rsidP="000A19D3">
            <w:pPr>
              <w:pStyle w:val="TableTextLeft"/>
            </w:pPr>
            <w:r>
              <w:t>Develop, acquire, install, and utilize technology and systems for the purpose of disclosing and providing information.</w:t>
            </w:r>
          </w:p>
        </w:tc>
      </w:tr>
      <w:tr w:rsidR="00C37C81" w:rsidTr="00C61FD3">
        <w:trPr>
          <w:cantSplit/>
          <w:jc w:val="center"/>
        </w:trPr>
        <w:tc>
          <w:tcPr>
            <w:tcW w:w="9360" w:type="dxa"/>
            <w:shd w:val="clear" w:color="auto" w:fill="auto"/>
          </w:tcPr>
          <w:p w:rsidR="00C37C81" w:rsidRDefault="00C37C81" w:rsidP="000A19D3">
            <w:pPr>
              <w:pStyle w:val="TableTextLeft"/>
            </w:pPr>
            <w:r>
              <w:t>Train personnel to be able to respond to a collection of information.</w:t>
            </w:r>
          </w:p>
        </w:tc>
      </w:tr>
      <w:tr w:rsidR="00C37C81" w:rsidTr="00C61FD3">
        <w:trPr>
          <w:cantSplit/>
          <w:jc w:val="center"/>
        </w:trPr>
        <w:tc>
          <w:tcPr>
            <w:tcW w:w="9360" w:type="dxa"/>
            <w:shd w:val="clear" w:color="auto" w:fill="auto"/>
          </w:tcPr>
          <w:p w:rsidR="00C37C81" w:rsidRDefault="00C37C81" w:rsidP="000A19D3">
            <w:pPr>
              <w:pStyle w:val="TableTextLeft"/>
            </w:pPr>
            <w:r>
              <w:t>Transmit, or otherwise disclose the information.</w:t>
            </w:r>
          </w:p>
        </w:tc>
      </w:tr>
    </w:tbl>
    <w:p w:rsidR="000A19D3" w:rsidRDefault="000A19D3" w:rsidP="000A19D3">
      <w:pPr>
        <w:pStyle w:val="AfterTable"/>
      </w:pPr>
    </w:p>
    <w:p w:rsidR="000A19D3" w:rsidRDefault="000A19D3" w:rsidP="000A19D3">
      <w:pPr>
        <w:pStyle w:val="SectionHeading"/>
      </w:pPr>
      <w:r>
        <w:lastRenderedPageBreak/>
        <w:t>5. The Information Collected: Agency Activities, Collection Methodology, and Information Management</w:t>
      </w:r>
    </w:p>
    <w:p w:rsidR="000A19D3" w:rsidRDefault="00B50B26" w:rsidP="000A19D3">
      <w:pPr>
        <w:pStyle w:val="SectionSubheading"/>
      </w:pPr>
      <w:r>
        <w:t>5(a) Agency Activities</w:t>
      </w:r>
    </w:p>
    <w:p w:rsidR="00BB0FD0" w:rsidRDefault="00AF79C7" w:rsidP="000A19D3">
      <w:pPr>
        <w:pStyle w:val="BodyFirstline05After12pt"/>
        <w:keepNext/>
      </w:pPr>
      <w:r>
        <w:t xml:space="preserve">The </w:t>
      </w:r>
      <w:r w:rsidRPr="00B54DC3">
        <w:t xml:space="preserve">EPA conducts the </w:t>
      </w:r>
      <w:r w:rsidRPr="000A19D3">
        <w:t>following</w:t>
      </w:r>
      <w:r w:rsidRPr="00B54DC3">
        <w:t xml:space="preserve"> activities in connection with the acquisition, analysis, storage, and distributi</w:t>
      </w:r>
      <w:r w:rsidR="00B50B26">
        <w:t>on of the required information.</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tblPr>
      <w:tblGrid>
        <w:gridCol w:w="9360"/>
      </w:tblGrid>
      <w:tr w:rsidR="00AA606A" w:rsidTr="000A19D3">
        <w:tc>
          <w:tcPr>
            <w:tcW w:w="9360" w:type="dxa"/>
            <w:tcBorders>
              <w:top w:val="single" w:sz="4" w:space="0" w:color="auto"/>
              <w:left w:val="single" w:sz="4" w:space="0" w:color="auto"/>
              <w:bottom w:val="single" w:sz="4" w:space="0" w:color="auto"/>
              <w:right w:val="single" w:sz="4" w:space="0" w:color="auto"/>
            </w:tcBorders>
          </w:tcPr>
          <w:p w:rsidR="00AA606A" w:rsidRPr="000A19D3" w:rsidRDefault="005F6B94" w:rsidP="000A19D3">
            <w:pPr>
              <w:pStyle w:val="TableColumnHeading"/>
              <w:rPr>
                <w:rStyle w:val="Bold"/>
              </w:rPr>
            </w:pPr>
            <w:r w:rsidRPr="000A19D3">
              <w:rPr>
                <w:rStyle w:val="Bold"/>
              </w:rPr>
              <w:t>Agency Activities</w:t>
            </w:r>
          </w:p>
        </w:tc>
      </w:tr>
      <w:tr w:rsidR="00AA606A" w:rsidTr="000A19D3">
        <w:tc>
          <w:tcPr>
            <w:tcW w:w="9360" w:type="dxa"/>
            <w:tcBorders>
              <w:top w:val="single" w:sz="4" w:space="0" w:color="auto"/>
              <w:left w:val="single" w:sz="4" w:space="0" w:color="auto"/>
              <w:bottom w:val="single" w:sz="4" w:space="0" w:color="auto"/>
              <w:right w:val="single" w:sz="4" w:space="0" w:color="auto"/>
            </w:tcBorders>
          </w:tcPr>
          <w:p w:rsidR="00AA606A" w:rsidRPr="00F47C05" w:rsidRDefault="005F6B94" w:rsidP="00733DD9">
            <w:pPr>
              <w:pStyle w:val="TableTextLeft"/>
            </w:pPr>
            <w:r w:rsidRPr="005F6B94">
              <w:t xml:space="preserve">Review notifications and reports, </w:t>
            </w:r>
            <w:r w:rsidR="00F15E9C">
              <w:t>periodic reports,</w:t>
            </w:r>
            <w:r w:rsidR="00D769E2" w:rsidRPr="00D769E2">
              <w:t xml:space="preserve"> and quarterly fenceline monitoring reports, required to be submitted by industry.</w:t>
            </w:r>
          </w:p>
        </w:tc>
      </w:tr>
      <w:tr w:rsidR="00AA606A" w:rsidTr="000A19D3">
        <w:tc>
          <w:tcPr>
            <w:tcW w:w="9360" w:type="dxa"/>
            <w:tcBorders>
              <w:top w:val="single" w:sz="4" w:space="0" w:color="auto"/>
              <w:left w:val="single" w:sz="4" w:space="0" w:color="auto"/>
              <w:bottom w:val="single" w:sz="4" w:space="0" w:color="auto"/>
              <w:right w:val="single" w:sz="4" w:space="0" w:color="auto"/>
            </w:tcBorders>
          </w:tcPr>
          <w:p w:rsidR="00AA606A" w:rsidRPr="00F47C05" w:rsidRDefault="00D769E2" w:rsidP="000A19D3">
            <w:pPr>
              <w:pStyle w:val="TableTextLeft"/>
            </w:pPr>
            <w:r w:rsidRPr="00D769E2">
              <w:t>Audit facility records.</w:t>
            </w:r>
          </w:p>
        </w:tc>
      </w:tr>
      <w:tr w:rsidR="00AA606A" w:rsidTr="000A19D3">
        <w:tc>
          <w:tcPr>
            <w:tcW w:w="9360" w:type="dxa"/>
            <w:tcBorders>
              <w:top w:val="single" w:sz="4" w:space="0" w:color="auto"/>
              <w:left w:val="single" w:sz="4" w:space="0" w:color="auto"/>
              <w:bottom w:val="single" w:sz="4" w:space="0" w:color="auto"/>
              <w:right w:val="single" w:sz="4" w:space="0" w:color="auto"/>
            </w:tcBorders>
          </w:tcPr>
          <w:p w:rsidR="00AA606A" w:rsidRPr="00F47C05" w:rsidRDefault="00D769E2" w:rsidP="000A19D3">
            <w:pPr>
              <w:pStyle w:val="TableTextLeft"/>
            </w:pPr>
            <w:r w:rsidRPr="00D769E2">
              <w:t>Input, analyze, and maintain data in the Air Facility System (AFS).</w:t>
            </w:r>
          </w:p>
        </w:tc>
      </w:tr>
      <w:tr w:rsidR="00134BB0" w:rsidTr="000A19D3">
        <w:tc>
          <w:tcPr>
            <w:tcW w:w="9360" w:type="dxa"/>
            <w:tcBorders>
              <w:top w:val="single" w:sz="4" w:space="0" w:color="auto"/>
              <w:left w:val="single" w:sz="4" w:space="0" w:color="auto"/>
              <w:bottom w:val="single" w:sz="4" w:space="0" w:color="auto"/>
              <w:right w:val="single" w:sz="4" w:space="0" w:color="auto"/>
            </w:tcBorders>
          </w:tcPr>
          <w:p w:rsidR="00134BB0" w:rsidRPr="00F47C05" w:rsidRDefault="00D769E2" w:rsidP="000A19D3">
            <w:pPr>
              <w:pStyle w:val="TableTextLeft"/>
              <w:rPr>
                <w:highlight w:val="yellow"/>
              </w:rPr>
            </w:pPr>
            <w:r w:rsidRPr="00D769E2">
              <w:t>Input, analyze, and maintain data in the Compliance and Emissions Data Reporting Interface (CEDRI).</w:t>
            </w:r>
          </w:p>
        </w:tc>
      </w:tr>
    </w:tbl>
    <w:p w:rsidR="000A19D3" w:rsidRDefault="000A19D3" w:rsidP="000A19D3">
      <w:pPr>
        <w:pStyle w:val="AfterTable"/>
      </w:pPr>
    </w:p>
    <w:p w:rsidR="000A19D3" w:rsidRDefault="000A19D3" w:rsidP="000A19D3">
      <w:pPr>
        <w:pStyle w:val="SectionSubheading"/>
      </w:pPr>
      <w:r>
        <w:t>5(b) Collection Methodology and Management</w:t>
      </w:r>
    </w:p>
    <w:p w:rsidR="00AF79C7" w:rsidRPr="00B54DC3" w:rsidRDefault="00AF79C7" w:rsidP="00A44A93">
      <w:pPr>
        <w:pStyle w:val="BodyFirstline05After12pt"/>
      </w:pPr>
      <w:r w:rsidRPr="00B54DC3">
        <w:t>Performance test reports are used by the Agency to discern a source’s capability to comply with the emission standard.</w:t>
      </w:r>
      <w:r>
        <w:t xml:space="preserve"> </w:t>
      </w:r>
      <w:r w:rsidRPr="00B54DC3">
        <w:t>Data obtained during periodic visits by Agency personnel from records maintained by the respondents are tabulated and published for internal Agency use in compliance and enforcement programs.</w:t>
      </w:r>
      <w:r>
        <w:t xml:space="preserve"> </w:t>
      </w:r>
      <w:r w:rsidRPr="00B54DC3">
        <w:t xml:space="preserve">The </w:t>
      </w:r>
      <w:r>
        <w:t>semiannual</w:t>
      </w:r>
      <w:r w:rsidRPr="00B54DC3">
        <w:t xml:space="preserve"> </w:t>
      </w:r>
      <w:r w:rsidR="00AC2805">
        <w:t xml:space="preserve">and annual </w:t>
      </w:r>
      <w:r w:rsidRPr="00B54DC3">
        <w:t>reports are used for problem identification, as a check on source operation and maintenance, and</w:t>
      </w:r>
      <w:r w:rsidR="00B50B26">
        <w:t xml:space="preserve"> for compliance determinations.</w:t>
      </w:r>
    </w:p>
    <w:p w:rsidR="00AF79C7" w:rsidRDefault="00134BB0" w:rsidP="000A19D3">
      <w:pPr>
        <w:pStyle w:val="BodyFirstline05After12pt"/>
      </w:pPr>
      <w:r w:rsidRPr="00B837F0">
        <w:t>Some of the i</w:t>
      </w:r>
      <w:r w:rsidR="002E505B" w:rsidRPr="00B837F0">
        <w:t xml:space="preserve">nformation contained in the reports is entered into AFS, which is operated and maintained by </w:t>
      </w:r>
      <w:r w:rsidR="000A19D3">
        <w:t xml:space="preserve">the </w:t>
      </w:r>
      <w:r w:rsidR="002E505B" w:rsidRPr="00B837F0">
        <w:t xml:space="preserve">EPA’s Office of </w:t>
      </w:r>
      <w:r w:rsidR="000A19D3">
        <w:t>Compliance and Enforcement</w:t>
      </w:r>
      <w:r w:rsidR="002E505B" w:rsidRPr="00B837F0">
        <w:t xml:space="preserve">. AFS is </w:t>
      </w:r>
      <w:r w:rsidR="000A19D3">
        <w:t xml:space="preserve">the </w:t>
      </w:r>
      <w:r w:rsidR="002E505B" w:rsidRPr="00B837F0">
        <w:t xml:space="preserve">EPA’s database for the collection, maintenance, and retrieval of compliance and annual emission inventory data for over 100,000 industrial and government-owned facilities. </w:t>
      </w:r>
      <w:r w:rsidR="006E0B1F" w:rsidRPr="00B837F0">
        <w:t>The data entered into AFS is focused on compliance inspections, enforcement actions, and issuance of permits.</w:t>
      </w:r>
      <w:r w:rsidR="00F47C05">
        <w:t xml:space="preserve"> </w:t>
      </w:r>
      <w:r w:rsidR="002E505B" w:rsidRPr="00B837F0">
        <w:t xml:space="preserve">The EPA uses AFS for tracking air pollution compliance and enforcement by </w:t>
      </w:r>
      <w:r w:rsidR="000A19D3">
        <w:t>s</w:t>
      </w:r>
      <w:r w:rsidR="002E505B" w:rsidRPr="00B837F0">
        <w:t>tate and local regulatory agencies, EPA Regio</w:t>
      </w:r>
      <w:r w:rsidR="00A55D06">
        <w:t xml:space="preserve">nal Offices and EPA Headquarters. The EPA and its delegated </w:t>
      </w:r>
      <w:r w:rsidR="000A19D3">
        <w:t>a</w:t>
      </w:r>
      <w:r w:rsidR="00A55D06">
        <w:t>uthorities can edit, store, retrieve and analyze the data.</w:t>
      </w:r>
    </w:p>
    <w:p w:rsidR="006E0B1F" w:rsidRDefault="006E0B1F" w:rsidP="000A19D3">
      <w:pPr>
        <w:pStyle w:val="BodyFirstline05After12pt"/>
      </w:pPr>
      <w:r>
        <w:t xml:space="preserve">As part of the </w:t>
      </w:r>
      <w:r w:rsidR="000A19D3">
        <w:t xml:space="preserve">proposed </w:t>
      </w:r>
      <w:r>
        <w:t xml:space="preserve">revisions to this rule, all data that </w:t>
      </w:r>
      <w:r w:rsidR="000A19D3">
        <w:t>are</w:t>
      </w:r>
      <w:r>
        <w:t xml:space="preserve"> required to be reported electronically will be collected through </w:t>
      </w:r>
      <w:r w:rsidR="000A19D3">
        <w:t xml:space="preserve">the </w:t>
      </w:r>
      <w:r>
        <w:t>EPA’s Compliance and Emissions Data Reporting Interface (CEDRI)</w:t>
      </w:r>
      <w:r w:rsidR="000A19D3">
        <w:t>, which is part of the EPA’s Central Data Exchange</w:t>
      </w:r>
      <w:r>
        <w:t>.</w:t>
      </w:r>
      <w:r w:rsidR="00F47C05">
        <w:t xml:space="preserve"> </w:t>
      </w:r>
      <w:r>
        <w:t>The data collected via CEDRI will be more extensive than the data collected through AFS and will be visible to the public through WebFIRE.</w:t>
      </w:r>
    </w:p>
    <w:p w:rsidR="00BB0FD0" w:rsidRDefault="00AC2805" w:rsidP="00ED4539">
      <w:pPr>
        <w:pStyle w:val="BodyFirstline05After12pt"/>
      </w:pPr>
      <w:r>
        <w:t xml:space="preserve">The records required by this regulation must be retained by the owner or operator for </w:t>
      </w:r>
      <w:r w:rsidR="00ED4539">
        <w:t>5 </w:t>
      </w:r>
      <w:r>
        <w:t>years.</w:t>
      </w:r>
    </w:p>
    <w:p w:rsidR="000A19D3" w:rsidRDefault="000A19D3" w:rsidP="000A19D3">
      <w:pPr>
        <w:pStyle w:val="SectionSubheading"/>
      </w:pPr>
      <w:r>
        <w:lastRenderedPageBreak/>
        <w:t>5(c) Small Entity Flexibility</w:t>
      </w:r>
    </w:p>
    <w:p w:rsidR="00AF79C7" w:rsidRPr="00B54DC3" w:rsidRDefault="00AC2805" w:rsidP="00BB0FD0">
      <w:pPr>
        <w:pStyle w:val="BodyFirstline05After12pt"/>
      </w:pPr>
      <w:r w:rsidRPr="00F46122">
        <w:t>A majority of the respondents are large entities (</w:t>
      </w:r>
      <w:r w:rsidRPr="00BB0FD0">
        <w:rPr>
          <w:rStyle w:val="Italic"/>
        </w:rPr>
        <w:t>i.e.</w:t>
      </w:r>
      <w:r w:rsidRPr="00F46122">
        <w:t>, large businesses).</w:t>
      </w:r>
      <w:r w:rsidR="00F47C05" w:rsidRPr="00F46122">
        <w:t xml:space="preserve"> </w:t>
      </w:r>
      <w:r w:rsidRPr="00F46122">
        <w:t>However, the impact on small entities (</w:t>
      </w:r>
      <w:r w:rsidRPr="00BB0FD0">
        <w:rPr>
          <w:rStyle w:val="Italic"/>
        </w:rPr>
        <w:t>i.e.</w:t>
      </w:r>
      <w:r w:rsidRPr="00F46122">
        <w:t>, small businesses) was taken into consideration during the development of the regulation.</w:t>
      </w:r>
      <w:r w:rsidR="00F47C05" w:rsidRPr="00F46122">
        <w:t xml:space="preserve"> </w:t>
      </w:r>
      <w:r>
        <w:t>A small entity for petroleum refineries is defined as a firm having no more than 1,500 employees</w:t>
      </w:r>
      <w:r w:rsidR="00927413">
        <w:t>.</w:t>
      </w:r>
      <w:r w:rsidR="00F47C05">
        <w:t xml:space="preserve"> </w:t>
      </w:r>
      <w:r w:rsidR="00927413" w:rsidRPr="00B54DC3">
        <w:t>Due to technical considerations involving the process operations and the types of control equipment employed, the recordkeeping and reporting requirements are the same for both small and large entities.</w:t>
      </w:r>
      <w:r w:rsidR="00927413">
        <w:t xml:space="preserve"> </w:t>
      </w:r>
      <w:r w:rsidR="00927413" w:rsidRPr="00B54DC3">
        <w:t xml:space="preserve">The </w:t>
      </w:r>
      <w:r w:rsidR="00927413">
        <w:t>EPA</w:t>
      </w:r>
      <w:r w:rsidR="00927413" w:rsidRPr="00B54DC3">
        <w:t xml:space="preserve"> considers these requirements the minimum needed to ensure compliance and, therefore, cannot reduce them further for small entities.</w:t>
      </w:r>
      <w:r w:rsidR="00927413">
        <w:t xml:space="preserve"> </w:t>
      </w:r>
      <w:r w:rsidR="00927413" w:rsidRPr="00B54DC3">
        <w:t>To the extent that larger businesses can use economies of scale to reduce their burden, the overall burden will be reduced.</w:t>
      </w:r>
    </w:p>
    <w:p w:rsidR="000A19D3" w:rsidRDefault="000A19D3" w:rsidP="000A19D3">
      <w:pPr>
        <w:pStyle w:val="SectionSubheading"/>
      </w:pPr>
      <w:r>
        <w:t>5(d) Collection Schedule</w:t>
      </w:r>
    </w:p>
    <w:p w:rsidR="00E72401" w:rsidRDefault="00927413" w:rsidP="000A19D3">
      <w:pPr>
        <w:pStyle w:val="BodyFirstline05After12pt"/>
      </w:pPr>
      <w:r w:rsidRPr="00F46122">
        <w:t xml:space="preserve">The specific frequency for each information collection activity within this request is shown below in </w:t>
      </w:r>
      <w:r w:rsidR="00AF79C7" w:rsidRPr="00E8169A">
        <w:t xml:space="preserve">Table </w:t>
      </w:r>
      <w:r w:rsidR="00976C8F">
        <w:t>1</w:t>
      </w:r>
      <w:r w:rsidR="00AF79C7" w:rsidRPr="00E8169A">
        <w:t xml:space="preserve">: </w:t>
      </w:r>
      <w:r w:rsidR="00E72401" w:rsidRPr="00E72401">
        <w:t>Annual Respondent Burden and Cost: Proposed Amendments to NESHAP for Petroleum Refineries</w:t>
      </w:r>
      <w:r w:rsidR="00E72401">
        <w:t xml:space="preserve"> (40 CFR Part 63, Subpart CC</w:t>
      </w:r>
      <w:r w:rsidR="00E72401" w:rsidRPr="00E72401">
        <w:t>)</w:t>
      </w:r>
      <w:r w:rsidR="00E72401">
        <w:t>.</w:t>
      </w:r>
    </w:p>
    <w:p w:rsidR="000A19D3" w:rsidRDefault="000A19D3" w:rsidP="000A19D3">
      <w:pPr>
        <w:pStyle w:val="SectionHeading"/>
      </w:pPr>
      <w:r>
        <w:t>6. Estimating the Burden and Cost of the Collection</w:t>
      </w:r>
    </w:p>
    <w:p w:rsidR="00077ABC" w:rsidRPr="009769D3" w:rsidRDefault="00077ABC" w:rsidP="000A19D3">
      <w:pPr>
        <w:pStyle w:val="BodyFirstline05After12pt"/>
      </w:pPr>
      <w:r w:rsidRPr="00E8169A">
        <w:t xml:space="preserve">Table </w:t>
      </w:r>
      <w:r w:rsidR="00E72401">
        <w:t>1</w:t>
      </w:r>
      <w:r w:rsidRPr="00E8169A">
        <w:t xml:space="preserve"> document</w:t>
      </w:r>
      <w:r w:rsidR="00E72401">
        <w:t>s</w:t>
      </w:r>
      <w:r w:rsidRPr="009769D3">
        <w:t xml:space="preserve"> the computation of individual burdens for the recordkeeping and reporting requirements applicable to the industry for each year for the subpart included in this ICR.</w:t>
      </w:r>
      <w:r w:rsidR="00F47C05">
        <w:t xml:space="preserve"> </w:t>
      </w:r>
      <w:r w:rsidRPr="009769D3">
        <w:t>The individual burdens are expressed under standardized headings believed to be consistent with the concept of burden under the Paperwork Reduction Act.</w:t>
      </w:r>
      <w:r w:rsidR="00F47C05">
        <w:t xml:space="preserve"> </w:t>
      </w:r>
      <w:r w:rsidRPr="009769D3">
        <w:t>Where appropriate, specific tasks and major assumptions have been identified.</w:t>
      </w:r>
      <w:r w:rsidR="00F47C05">
        <w:t xml:space="preserve"> </w:t>
      </w:r>
      <w:r w:rsidRPr="009769D3">
        <w:t>Responses to this information collection are mandatory.</w:t>
      </w:r>
    </w:p>
    <w:p w:rsidR="00077ABC" w:rsidRPr="009769D3" w:rsidRDefault="00077ABC" w:rsidP="000A19D3">
      <w:pPr>
        <w:pStyle w:val="BodyFirstline05After12pt"/>
      </w:pPr>
      <w:r w:rsidRPr="009769D3">
        <w:t>The Agency may not conduct or sponsor, and a person is not required to respond to, a collection of information unless it displays a currently valid OMB Control Number.</w:t>
      </w:r>
    </w:p>
    <w:p w:rsidR="000A19D3" w:rsidRDefault="000A19D3" w:rsidP="000A19D3">
      <w:pPr>
        <w:pStyle w:val="SectionSubheading"/>
      </w:pPr>
      <w:r>
        <w:t>6(a) Estimating Respondent Burden</w:t>
      </w:r>
    </w:p>
    <w:p w:rsidR="00AA606A" w:rsidRDefault="00AA606A" w:rsidP="0064288A">
      <w:pPr>
        <w:pStyle w:val="BodyFirstline05After12pt"/>
      </w:pPr>
      <w:r>
        <w:t xml:space="preserve">The average </w:t>
      </w:r>
      <w:r w:rsidRPr="00D96404">
        <w:t xml:space="preserve">annual burden to industry over the next </w:t>
      </w:r>
      <w:r w:rsidR="00ED4539">
        <w:t>3</w:t>
      </w:r>
      <w:r w:rsidRPr="00D96404">
        <w:t xml:space="preserve"> years from these recordkeeping and reporting requirements is estimated to be </w:t>
      </w:r>
      <w:r w:rsidR="00ED4539">
        <w:t>53,</w:t>
      </w:r>
      <w:r w:rsidR="0064288A">
        <w:t>619</w:t>
      </w:r>
      <w:r w:rsidRPr="00D96404">
        <w:t xml:space="preserve"> </w:t>
      </w:r>
      <w:r w:rsidR="00433BF1" w:rsidRPr="00D96404">
        <w:t xml:space="preserve">(Total Labor Hours from Table </w:t>
      </w:r>
      <w:r w:rsidR="00E72401" w:rsidRPr="00D96404">
        <w:t>1</w:t>
      </w:r>
      <w:r w:rsidRPr="00D96404">
        <w:t>).</w:t>
      </w:r>
      <w:r w:rsidR="00F47C05">
        <w:t xml:space="preserve"> </w:t>
      </w:r>
      <w:r w:rsidRPr="00D96404">
        <w:t xml:space="preserve">The recordkeeping hours shown below </w:t>
      </w:r>
      <w:r w:rsidR="00A55D06">
        <w:t xml:space="preserve">in Table 1 are </w:t>
      </w:r>
      <w:r w:rsidR="00ED4539">
        <w:t>5</w:t>
      </w:r>
      <w:r w:rsidR="00CF66A5">
        <w:t>1,627</w:t>
      </w:r>
      <w:r w:rsidRPr="00D96404">
        <w:t>.</w:t>
      </w:r>
      <w:r w:rsidR="00F47C05">
        <w:t xml:space="preserve"> </w:t>
      </w:r>
      <w:r w:rsidRPr="00D96404">
        <w:t xml:space="preserve">The reporting requirement hours shown below </w:t>
      </w:r>
      <w:r w:rsidR="00AE160F" w:rsidRPr="00D96404">
        <w:t xml:space="preserve">in Table </w:t>
      </w:r>
      <w:r w:rsidR="00E72401" w:rsidRPr="00D96404">
        <w:t>1</w:t>
      </w:r>
      <w:r w:rsidRPr="00D96404">
        <w:t xml:space="preserve"> are </w:t>
      </w:r>
      <w:r w:rsidR="00D63C0C">
        <w:t>1</w:t>
      </w:r>
      <w:r w:rsidR="00AE06D7">
        <w:t>,</w:t>
      </w:r>
      <w:r w:rsidR="00ED4539">
        <w:t>99</w:t>
      </w:r>
      <w:r w:rsidR="00CF66A5">
        <w:t>2</w:t>
      </w:r>
      <w:r w:rsidR="00AE06D7">
        <w:t>.</w:t>
      </w:r>
      <w:r w:rsidRPr="00D96404">
        <w:t xml:space="preserve"> These hours are based on Agency studies and background documents from the development of the regulation and Agency knowledge and expe</w:t>
      </w:r>
      <w:r w:rsidR="00A55D06">
        <w:t>rience with the NESHAP program, the previously approved ICR for this subpart, and any comments received on previous ICRs and regulations.</w:t>
      </w:r>
      <w:r w:rsidR="00F47C05">
        <w:t xml:space="preserve"> </w:t>
      </w:r>
      <w:r w:rsidR="00A55D06">
        <w:t xml:space="preserve">The average annual burden over the next </w:t>
      </w:r>
      <w:r w:rsidR="00ED4539">
        <w:t>3</w:t>
      </w:r>
      <w:r w:rsidR="00A55D06">
        <w:t xml:space="preserve"> years was estimated using the number of facilities that would be in compliance in year two (9</w:t>
      </w:r>
      <w:r w:rsidR="00ED4539">
        <w:t>4.7</w:t>
      </w:r>
      <w:r w:rsidR="00A55D06">
        <w:t>)</w:t>
      </w:r>
      <w:r w:rsidR="006F2054">
        <w:t>,</w:t>
      </w:r>
      <w:r w:rsidR="00A55D06">
        <w:t xml:space="preserve"> assuming one-third of all facilities would become compliant each year for </w:t>
      </w:r>
      <w:r w:rsidR="00ED4539">
        <w:t>3</w:t>
      </w:r>
      <w:r w:rsidR="00A55D06">
        <w:t xml:space="preserve"> years.</w:t>
      </w:r>
    </w:p>
    <w:p w:rsidR="000A19D3" w:rsidRDefault="000A19D3" w:rsidP="000A19D3">
      <w:pPr>
        <w:pStyle w:val="SectionSubheading"/>
      </w:pPr>
      <w:r>
        <w:lastRenderedPageBreak/>
        <w:t>6(b) Estimating Respondent Costs</w:t>
      </w:r>
    </w:p>
    <w:p w:rsidR="000A19D3" w:rsidRDefault="000A19D3" w:rsidP="000A19D3">
      <w:pPr>
        <w:pStyle w:val="SectionLevel3Heading"/>
      </w:pPr>
      <w:r>
        <w:t xml:space="preserve">(i) </w:t>
      </w:r>
      <w:r w:rsidRPr="00FE67FB">
        <w:rPr>
          <w:rStyle w:val="Underline"/>
        </w:rPr>
        <w:t>Estimating Labor Costs</w:t>
      </w:r>
    </w:p>
    <w:p w:rsidR="000A19D3" w:rsidRDefault="000A19D3" w:rsidP="00680451">
      <w:pPr>
        <w:pStyle w:val="BodyFirstline05After12pt"/>
        <w:keepNext/>
      </w:pPr>
      <w:r>
        <w:t xml:space="preserve">This ICR </w:t>
      </w:r>
      <w:r w:rsidR="00B50B26">
        <w:t>uses the following labor rates:</w:t>
      </w:r>
    </w:p>
    <w:tbl>
      <w:tblPr>
        <w:tblStyle w:val="TableGrid"/>
        <w:tblW w:w="0" w:type="auto"/>
        <w:tblInd w:w="12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512"/>
        <w:gridCol w:w="1170"/>
        <w:gridCol w:w="2160"/>
      </w:tblGrid>
      <w:tr w:rsidR="000A19D3" w:rsidTr="000A19D3">
        <w:tc>
          <w:tcPr>
            <w:tcW w:w="1512" w:type="dxa"/>
          </w:tcPr>
          <w:p w:rsidR="000A19D3" w:rsidRPr="00AD5F72" w:rsidRDefault="000A19D3" w:rsidP="000A19D3">
            <w:pPr>
              <w:pStyle w:val="LaborRateTable"/>
            </w:pPr>
            <w:r w:rsidRPr="00AD5F72">
              <w:t>Managerial</w:t>
            </w:r>
          </w:p>
        </w:tc>
        <w:tc>
          <w:tcPr>
            <w:tcW w:w="1170" w:type="dxa"/>
          </w:tcPr>
          <w:p w:rsidR="000A19D3" w:rsidRPr="00AD5F72" w:rsidRDefault="000A19D3" w:rsidP="000A19D3">
            <w:pPr>
              <w:pStyle w:val="LaborRateTableCenterColumn"/>
            </w:pPr>
            <w:r w:rsidRPr="00AD5F72">
              <w:t>$130.26</w:t>
            </w:r>
          </w:p>
        </w:tc>
        <w:tc>
          <w:tcPr>
            <w:tcW w:w="2160" w:type="dxa"/>
          </w:tcPr>
          <w:p w:rsidR="000A19D3" w:rsidRDefault="000A19D3" w:rsidP="000A19D3">
            <w:pPr>
              <w:pStyle w:val="LaborRateTable"/>
            </w:pPr>
            <w:r>
              <w:t>($62.03 + 110%)</w:t>
            </w:r>
          </w:p>
        </w:tc>
      </w:tr>
      <w:tr w:rsidR="000A19D3" w:rsidTr="000A19D3">
        <w:tc>
          <w:tcPr>
            <w:tcW w:w="1512" w:type="dxa"/>
          </w:tcPr>
          <w:p w:rsidR="000A19D3" w:rsidRPr="00AD5F72" w:rsidRDefault="000A19D3" w:rsidP="000A19D3">
            <w:pPr>
              <w:pStyle w:val="LaborRateTable"/>
            </w:pPr>
            <w:r w:rsidRPr="00AD5F72">
              <w:t>Technical</w:t>
            </w:r>
          </w:p>
        </w:tc>
        <w:tc>
          <w:tcPr>
            <w:tcW w:w="1170" w:type="dxa"/>
          </w:tcPr>
          <w:p w:rsidR="000A19D3" w:rsidRPr="00AD5F72" w:rsidRDefault="000A19D3" w:rsidP="000A19D3">
            <w:pPr>
              <w:pStyle w:val="LaborRateTableCenterColumn"/>
            </w:pPr>
            <w:r w:rsidRPr="00AD5F72">
              <w:t>$84.95</w:t>
            </w:r>
          </w:p>
        </w:tc>
        <w:tc>
          <w:tcPr>
            <w:tcW w:w="2160" w:type="dxa"/>
          </w:tcPr>
          <w:p w:rsidR="000A19D3" w:rsidRDefault="000A19D3" w:rsidP="000A19D3">
            <w:pPr>
              <w:pStyle w:val="LaborRateTable"/>
            </w:pPr>
            <w:r>
              <w:t>($40.45 + 110%)</w:t>
            </w:r>
          </w:p>
        </w:tc>
      </w:tr>
      <w:tr w:rsidR="000A19D3" w:rsidTr="000A19D3">
        <w:tc>
          <w:tcPr>
            <w:tcW w:w="1512" w:type="dxa"/>
          </w:tcPr>
          <w:p w:rsidR="000A19D3" w:rsidRPr="00AD5F72" w:rsidRDefault="000A19D3" w:rsidP="000A19D3">
            <w:pPr>
              <w:pStyle w:val="LaborRateTable"/>
            </w:pPr>
            <w:r w:rsidRPr="00AD5F72">
              <w:t>Clerical</w:t>
            </w:r>
          </w:p>
        </w:tc>
        <w:tc>
          <w:tcPr>
            <w:tcW w:w="1170" w:type="dxa"/>
          </w:tcPr>
          <w:p w:rsidR="000A19D3" w:rsidRPr="00AD5F72" w:rsidRDefault="000A19D3" w:rsidP="000A19D3">
            <w:pPr>
              <w:pStyle w:val="LaborRateTableCenterColumn"/>
            </w:pPr>
            <w:r w:rsidRPr="00AD5F72">
              <w:t>$41.18</w:t>
            </w:r>
          </w:p>
        </w:tc>
        <w:tc>
          <w:tcPr>
            <w:tcW w:w="2160" w:type="dxa"/>
          </w:tcPr>
          <w:p w:rsidR="000A19D3" w:rsidRDefault="000A19D3" w:rsidP="000A19D3">
            <w:pPr>
              <w:pStyle w:val="LaborRateTable"/>
            </w:pPr>
            <w:r w:rsidRPr="00FE67FB">
              <w:t>($19.61 + 110%)</w:t>
            </w:r>
          </w:p>
        </w:tc>
      </w:tr>
    </w:tbl>
    <w:p w:rsidR="000A19D3" w:rsidRDefault="000A19D3" w:rsidP="000A19D3"/>
    <w:p w:rsidR="00BB0FD0" w:rsidRDefault="00B45A0D" w:rsidP="000A19D3">
      <w:pPr>
        <w:pStyle w:val="BodyFirstline0After12pt"/>
      </w:pPr>
      <w:r w:rsidRPr="00DF0C4A">
        <w:t>Labor rates</w:t>
      </w:r>
      <w:r>
        <w:t xml:space="preserve"> and associated costs</w:t>
      </w:r>
      <w:r w:rsidRPr="00DF0C4A">
        <w:t xml:space="preserve"> are</w:t>
      </w:r>
      <w:r>
        <w:t xml:space="preserve"> based on </w:t>
      </w:r>
      <w:r w:rsidRPr="00DF0C4A">
        <w:t>the Bureau of Labor Statistics</w:t>
      </w:r>
      <w:r>
        <w:t xml:space="preserve"> (BLS) data.</w:t>
      </w:r>
      <w:r w:rsidR="00F47C05">
        <w:t xml:space="preserve"> </w:t>
      </w:r>
      <w:r>
        <w:t>Technical, management, and clerical average hourly rates for private industry workers were taken from the</w:t>
      </w:r>
      <w:r w:rsidRPr="00DF0C4A">
        <w:t xml:space="preserve"> Occupational Employment Statistics: NAICS 324 (Petroleum and Coal Products Manufacturing),</w:t>
      </w:r>
      <w:r>
        <w:t xml:space="preserve"> </w:t>
      </w:r>
      <w:r w:rsidRPr="00DF0C4A">
        <w:t>May 200</w:t>
      </w:r>
      <w:r w:rsidR="00FF7293">
        <w:t>9</w:t>
      </w:r>
      <w:r w:rsidRPr="00DF0C4A">
        <w:t xml:space="preserve"> Employment and Wage Estimates</w:t>
      </w:r>
      <w:r>
        <w:t>.</w:t>
      </w:r>
      <w:r w:rsidR="00F47C05">
        <w:t xml:space="preserve"> </w:t>
      </w:r>
      <w:r>
        <w:t>These BLS rates represent salaries plus fringe benefits and do not include the cost of overhead.</w:t>
      </w:r>
      <w:r w:rsidR="00F47C05">
        <w:t xml:space="preserve"> </w:t>
      </w:r>
      <w:r>
        <w:t>The rates have been increased by 110 percent to account for the benefit packages available to those employed by private industry.</w:t>
      </w:r>
    </w:p>
    <w:p w:rsidR="000A19D3" w:rsidRDefault="000A19D3" w:rsidP="000A19D3">
      <w:pPr>
        <w:pStyle w:val="SectionLevel3Heading"/>
      </w:pPr>
      <w:r>
        <w:t xml:space="preserve">(ii) </w:t>
      </w:r>
      <w:r w:rsidRPr="00FE67FB">
        <w:rPr>
          <w:rStyle w:val="Underline"/>
        </w:rPr>
        <w:t>Estimating Capital and Operation and Maintenance Costs</w:t>
      </w:r>
    </w:p>
    <w:p w:rsidR="006C036A" w:rsidRDefault="0055536A" w:rsidP="00680451">
      <w:pPr>
        <w:pStyle w:val="BodyFirstline05After12pt"/>
      </w:pPr>
      <w:r w:rsidRPr="00B54DC3">
        <w:t>The capital/</w:t>
      </w:r>
      <w:r w:rsidRPr="000A19D3">
        <w:t>startup</w:t>
      </w:r>
      <w:r w:rsidRPr="00B54DC3">
        <w:t xml:space="preserve"> costs are one-time costs when a facility becomes subject to the </w:t>
      </w:r>
      <w:r w:rsidR="006C036A">
        <w:t xml:space="preserve">revised portion of the </w:t>
      </w:r>
      <w:r w:rsidRPr="00B54DC3">
        <w:t>standards</w:t>
      </w:r>
      <w:r w:rsidR="006C036A">
        <w:t xml:space="preserve"> or when a facility becomes subject to the standard as a result of reconstruction</w:t>
      </w:r>
      <w:r w:rsidRPr="00B54DC3">
        <w:t>.</w:t>
      </w:r>
      <w:r>
        <w:t xml:space="preserve"> </w:t>
      </w:r>
      <w:r w:rsidR="0088415A">
        <w:t>(Capital costs due to reconstruction are not addressed in this ICR</w:t>
      </w:r>
      <w:r w:rsidR="00A44A93">
        <w:t xml:space="preserve">; only capital costs that are </w:t>
      </w:r>
      <w:r w:rsidR="00105CDD">
        <w:t xml:space="preserve">the </w:t>
      </w:r>
      <w:r w:rsidR="00A44A93">
        <w:t>result of rule changes are addressed here.)</w:t>
      </w:r>
      <w:r w:rsidR="00F47C05">
        <w:t xml:space="preserve"> </w:t>
      </w:r>
      <w:r w:rsidR="006C036A">
        <w:t xml:space="preserve">The </w:t>
      </w:r>
      <w:r w:rsidR="00FF7293">
        <w:t xml:space="preserve">capital </w:t>
      </w:r>
      <w:r w:rsidR="006C036A">
        <w:t>costs include the costs for</w:t>
      </w:r>
      <w:r w:rsidR="00AE06D7">
        <w:t xml:space="preserve"> fenceline monitoring equipment</w:t>
      </w:r>
      <w:r w:rsidR="00A93712">
        <w:t>, costs for flare monitoring equipment,</w:t>
      </w:r>
      <w:r w:rsidR="006C036A">
        <w:t xml:space="preserve"> </w:t>
      </w:r>
      <w:r w:rsidR="00F15E9C">
        <w:t xml:space="preserve">and </w:t>
      </w:r>
      <w:r w:rsidR="006C036A">
        <w:t xml:space="preserve">the cost for relief </w:t>
      </w:r>
      <w:r w:rsidR="00680451">
        <w:t xml:space="preserve">valve </w:t>
      </w:r>
      <w:r w:rsidR="00C249BB">
        <w:t xml:space="preserve">and bypass line </w:t>
      </w:r>
      <w:r w:rsidR="006C036A">
        <w:t>monitoring equipment</w:t>
      </w:r>
      <w:r w:rsidR="00F15E9C">
        <w:t>.</w:t>
      </w:r>
      <w:r w:rsidR="00874C9A">
        <w:t xml:space="preserve"> </w:t>
      </w:r>
      <w:r w:rsidR="00F15E9C">
        <w:t>T</w:t>
      </w:r>
      <w:r w:rsidR="00874C9A">
        <w:t>he cost for delayed coker monitoring equipment</w:t>
      </w:r>
      <w:r w:rsidR="00F15E9C">
        <w:t xml:space="preserve"> (</w:t>
      </w:r>
      <w:r w:rsidR="00F15E9C" w:rsidRPr="00AE06D7">
        <w:rPr>
          <w:rStyle w:val="Italic"/>
        </w:rPr>
        <w:t>i.e.</w:t>
      </w:r>
      <w:r w:rsidR="00F15E9C">
        <w:t>, temperature and pressure monitors) are not included, as it is assumed that each coke drum already has at least one of those monitors as part of normal operation</w:t>
      </w:r>
      <w:r w:rsidR="00874C9A">
        <w:t>.</w:t>
      </w:r>
    </w:p>
    <w:p w:rsidR="00645CD0" w:rsidRDefault="00C249BB" w:rsidP="006F2054">
      <w:pPr>
        <w:pStyle w:val="BodyFirstline05After12pt"/>
        <w:tabs>
          <w:tab w:val="left" w:pos="1440"/>
          <w:tab w:val="left" w:pos="1530"/>
        </w:tabs>
      </w:pPr>
      <w:r w:rsidRPr="00B54DC3">
        <w:t>The annual operation and maintenance costs are the ongoing costs to maintain monitor</w:t>
      </w:r>
      <w:r>
        <w:t>s</w:t>
      </w:r>
      <w:r w:rsidRPr="00B54DC3">
        <w:t xml:space="preserve"> and other costs such as</w:t>
      </w:r>
      <w:r>
        <w:t xml:space="preserve"> performance testing. </w:t>
      </w:r>
      <w:r w:rsidR="00BD6703">
        <w:t xml:space="preserve">For fenceline monitoring, costs will vary depending on the </w:t>
      </w:r>
      <w:r w:rsidR="00105CDD">
        <w:t xml:space="preserve">physical </w:t>
      </w:r>
      <w:r w:rsidR="00BD6703">
        <w:t xml:space="preserve">size </w:t>
      </w:r>
      <w:r w:rsidR="00105CDD">
        <w:t xml:space="preserve">(not capacity) </w:t>
      </w:r>
      <w:r w:rsidR="00BD6703">
        <w:t>of the refinery</w:t>
      </w:r>
      <w:r w:rsidR="00A6141D">
        <w:t xml:space="preserve"> where a small refinery is less than 750 acres, a medium refinery is between 750 acres and 1</w:t>
      </w:r>
      <w:r w:rsidR="00ED4539">
        <w:t>,</w:t>
      </w:r>
      <w:r w:rsidR="00A6141D">
        <w:t>500 acres, and a large refinery is greater than 1</w:t>
      </w:r>
      <w:r w:rsidR="00ED4539">
        <w:t>,</w:t>
      </w:r>
      <w:r w:rsidR="00A6141D">
        <w:t>500</w:t>
      </w:r>
      <w:r w:rsidR="006F2054">
        <w:t> </w:t>
      </w:r>
      <w:r w:rsidR="00A6141D">
        <w:t>acres.</w:t>
      </w:r>
      <w:r w:rsidR="00F47C05">
        <w:t xml:space="preserve"> </w:t>
      </w:r>
      <w:r w:rsidR="00A6141D">
        <w:t xml:space="preserve">It was assumed </w:t>
      </w:r>
      <w:r w:rsidR="00645CD0">
        <w:t xml:space="preserve">that all refineries would use in-house labor to collect samples and </w:t>
      </w:r>
      <w:r w:rsidR="00322D7F">
        <w:t xml:space="preserve">would conduct sample analysis </w:t>
      </w:r>
      <w:r w:rsidR="005D2013">
        <w:t>in-house</w:t>
      </w:r>
      <w:r w:rsidR="00322D7F">
        <w:t>.</w:t>
      </w:r>
      <w:r w:rsidR="00F47C05">
        <w:t xml:space="preserve"> </w:t>
      </w:r>
      <w:r w:rsidR="00ED4539">
        <w:t>T</w:t>
      </w:r>
      <w:r w:rsidR="00645CD0">
        <w:t>he</w:t>
      </w:r>
      <w:r w:rsidR="00645CD0" w:rsidRPr="00B54DC3">
        <w:t xml:space="preserve"> operation and maintenance costs for this ICR are </w:t>
      </w:r>
      <w:r w:rsidR="00ED4539">
        <w:t>assumed to be 10 percent of the capital cost for fenceline monitoring equipment</w:t>
      </w:r>
      <w:r w:rsidR="00645CD0">
        <w:t>.</w:t>
      </w:r>
    </w:p>
    <w:p w:rsidR="00BD6703" w:rsidRDefault="00322D7F" w:rsidP="00A93712">
      <w:pPr>
        <w:pStyle w:val="BodyFirstline05After12pt"/>
        <w:tabs>
          <w:tab w:val="left" w:pos="1440"/>
          <w:tab w:val="left" w:pos="1530"/>
        </w:tabs>
      </w:pPr>
      <w:r>
        <w:t>T</w:t>
      </w:r>
      <w:r w:rsidR="00303349">
        <w:t xml:space="preserve">here are </w:t>
      </w:r>
      <w:r w:rsidR="00ED4539">
        <w:t>84</w:t>
      </w:r>
      <w:r w:rsidR="00303349">
        <w:t xml:space="preserve"> small refineries, 2</w:t>
      </w:r>
      <w:r w:rsidR="00ED4539">
        <w:t>7</w:t>
      </w:r>
      <w:r w:rsidR="00303349">
        <w:t xml:space="preserve"> medium refineries and </w:t>
      </w:r>
      <w:r w:rsidR="00ED4539">
        <w:t>31</w:t>
      </w:r>
      <w:r w:rsidR="00303349">
        <w:t xml:space="preserve"> large refineries</w:t>
      </w:r>
      <w:r w:rsidR="00645CD0">
        <w:t>,</w:t>
      </w:r>
      <w:r w:rsidR="0088062B">
        <w:t xml:space="preserve"> for a total of 14</w:t>
      </w:r>
      <w:r w:rsidR="00ED4539">
        <w:t>2</w:t>
      </w:r>
      <w:r w:rsidR="0088062B">
        <w:t xml:space="preserve"> refineries</w:t>
      </w:r>
      <w:r w:rsidR="00A6141D">
        <w:t>.</w:t>
      </w:r>
      <w:r w:rsidR="00F47C05">
        <w:t xml:space="preserve"> </w:t>
      </w:r>
      <w:r w:rsidR="00A6141D">
        <w:t xml:space="preserve">The </w:t>
      </w:r>
      <w:r w:rsidR="001A5E1C">
        <w:t xml:space="preserve">total </w:t>
      </w:r>
      <w:r w:rsidR="00A6141D">
        <w:t xml:space="preserve">capital and annual </w:t>
      </w:r>
      <w:r w:rsidR="00645CD0" w:rsidRPr="00B54DC3">
        <w:t xml:space="preserve">operation and maintenance </w:t>
      </w:r>
      <w:r w:rsidR="00A6141D">
        <w:t xml:space="preserve">costs </w:t>
      </w:r>
      <w:r w:rsidR="00556DF9">
        <w:t xml:space="preserve">for fenceline monitoring </w:t>
      </w:r>
      <w:r w:rsidR="001A5E1C">
        <w:t xml:space="preserve">for the </w:t>
      </w:r>
      <w:r w:rsidR="00ED4539">
        <w:t>3-</w:t>
      </w:r>
      <w:r w:rsidR="00F96E62">
        <w:t>year initial compliance period</w:t>
      </w:r>
      <w:r w:rsidR="001A5E1C">
        <w:t xml:space="preserve"> </w:t>
      </w:r>
      <w:r w:rsidR="00556DF9">
        <w:t xml:space="preserve">are </w:t>
      </w:r>
      <w:r w:rsidR="00556DF9" w:rsidRPr="00556DF9">
        <w:t xml:space="preserve">shown in </w:t>
      </w:r>
      <w:r>
        <w:t xml:space="preserve">the table </w:t>
      </w:r>
      <w:r w:rsidR="00556DF9" w:rsidRPr="00556DF9">
        <w:t>below.</w:t>
      </w:r>
      <w:r w:rsidR="00F47C05">
        <w:t xml:space="preserve"> </w:t>
      </w:r>
      <w:r w:rsidR="00C5150C">
        <w:t>The cost</w:t>
      </w:r>
      <w:r w:rsidR="00A93712">
        <w:t>s</w:t>
      </w:r>
      <w:r w:rsidR="00C5150C">
        <w:t xml:space="preserve"> shown in the table </w:t>
      </w:r>
      <w:r w:rsidR="00A93712">
        <w:t>are</w:t>
      </w:r>
      <w:r w:rsidR="00D4464D">
        <w:t xml:space="preserve"> the total</w:t>
      </w:r>
      <w:r w:rsidR="00A93712">
        <w:t>s</w:t>
      </w:r>
      <w:r w:rsidR="00D4464D">
        <w:t xml:space="preserve"> for the </w:t>
      </w:r>
      <w:r w:rsidR="00ED4539">
        <w:t>3-</w:t>
      </w:r>
      <w:r w:rsidR="00D4464D">
        <w:t>year period for all 14</w:t>
      </w:r>
      <w:r w:rsidR="00ED4539">
        <w:t>2</w:t>
      </w:r>
      <w:r w:rsidR="00D4464D">
        <w:t xml:space="preserve"> </w:t>
      </w:r>
      <w:r w:rsidR="00ED4539">
        <w:t xml:space="preserve">major source </w:t>
      </w:r>
      <w:r w:rsidR="00D4464D">
        <w:t>refineries.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1" w:type="dxa"/>
          <w:right w:w="111" w:type="dxa"/>
        </w:tblCellMar>
        <w:tblLook w:val="0000"/>
      </w:tblPr>
      <w:tblGrid>
        <w:gridCol w:w="1170"/>
        <w:gridCol w:w="1620"/>
        <w:gridCol w:w="1350"/>
        <w:gridCol w:w="1620"/>
        <w:gridCol w:w="1710"/>
        <w:gridCol w:w="1890"/>
      </w:tblGrid>
      <w:tr w:rsidR="00B84A5C" w:rsidTr="00557EEE">
        <w:trPr>
          <w:cantSplit/>
          <w:tblHeader/>
          <w:jc w:val="center"/>
        </w:trPr>
        <w:tc>
          <w:tcPr>
            <w:tcW w:w="9360" w:type="dxa"/>
            <w:gridSpan w:val="6"/>
          </w:tcPr>
          <w:p w:rsidR="00BB0FD0" w:rsidRPr="000A19D3" w:rsidRDefault="00B84A5C" w:rsidP="000A19D3">
            <w:pPr>
              <w:pStyle w:val="TableColumnHeading"/>
              <w:rPr>
                <w:rStyle w:val="Bold"/>
              </w:rPr>
            </w:pPr>
            <w:r w:rsidRPr="000A19D3">
              <w:rPr>
                <w:rStyle w:val="Bold"/>
              </w:rPr>
              <w:lastRenderedPageBreak/>
              <w:t>Capital vs. Operation and Maintenance (O&amp;M) Costs</w:t>
            </w:r>
            <w:r w:rsidR="00556DF9" w:rsidRPr="000A19D3">
              <w:rPr>
                <w:rStyle w:val="Bold"/>
              </w:rPr>
              <w:t xml:space="preserve"> for Fenceline Monitoring</w:t>
            </w:r>
          </w:p>
        </w:tc>
      </w:tr>
      <w:tr w:rsidR="001A5E1C" w:rsidTr="00557EEE">
        <w:trPr>
          <w:cantSplit/>
          <w:tblHeader/>
          <w:jc w:val="center"/>
        </w:trPr>
        <w:tc>
          <w:tcPr>
            <w:tcW w:w="1170" w:type="dxa"/>
          </w:tcPr>
          <w:p w:rsidR="00BB0FD0" w:rsidRDefault="00BB0FD0" w:rsidP="000A19D3">
            <w:pPr>
              <w:pStyle w:val="TableColumnHeading"/>
            </w:pPr>
          </w:p>
        </w:tc>
        <w:tc>
          <w:tcPr>
            <w:tcW w:w="1620" w:type="dxa"/>
          </w:tcPr>
          <w:p w:rsidR="00BB0FD0" w:rsidRDefault="005F6B94" w:rsidP="000A19D3">
            <w:pPr>
              <w:pStyle w:val="TableColumnHeading"/>
            </w:pPr>
            <w:r w:rsidRPr="005F6B94">
              <w:t>(A)</w:t>
            </w:r>
          </w:p>
          <w:p w:rsidR="00BB0FD0" w:rsidRDefault="005F6B94" w:rsidP="000A19D3">
            <w:pPr>
              <w:pStyle w:val="TableColumnHeading"/>
            </w:pPr>
            <w:r w:rsidRPr="005F6B94">
              <w:t>Capital Cost for One Affected Facility</w:t>
            </w:r>
          </w:p>
        </w:tc>
        <w:tc>
          <w:tcPr>
            <w:tcW w:w="1350" w:type="dxa"/>
          </w:tcPr>
          <w:p w:rsidR="00BB0FD0" w:rsidRDefault="005F6B94" w:rsidP="000A19D3">
            <w:pPr>
              <w:pStyle w:val="TableColumnHeading"/>
            </w:pPr>
            <w:r w:rsidRPr="005F6B94">
              <w:t>(B)</w:t>
            </w:r>
          </w:p>
          <w:p w:rsidR="00BB0FD0" w:rsidRDefault="005F6B94" w:rsidP="000A19D3">
            <w:pPr>
              <w:pStyle w:val="TableColumnHeading"/>
            </w:pPr>
            <w:r w:rsidRPr="005F6B94">
              <w:t>Number of Affected Facilities</w:t>
            </w:r>
          </w:p>
        </w:tc>
        <w:tc>
          <w:tcPr>
            <w:tcW w:w="1620" w:type="dxa"/>
          </w:tcPr>
          <w:p w:rsidR="00BB0FD0" w:rsidRDefault="005F6B94" w:rsidP="000A19D3">
            <w:pPr>
              <w:pStyle w:val="TableColumnHeading"/>
            </w:pPr>
            <w:r w:rsidRPr="005F6B94">
              <w:t>(C)</w:t>
            </w:r>
          </w:p>
          <w:p w:rsidR="00BB0FD0" w:rsidRDefault="005F6B94" w:rsidP="000A19D3">
            <w:pPr>
              <w:pStyle w:val="TableColumnHeading"/>
            </w:pPr>
            <w:r w:rsidRPr="005F6B94">
              <w:t>Total Capital Cost</w:t>
            </w:r>
          </w:p>
          <w:p w:rsidR="00BB0FD0" w:rsidRDefault="005F6B94" w:rsidP="000A19D3">
            <w:pPr>
              <w:pStyle w:val="TableColumnHeading"/>
            </w:pPr>
            <w:r w:rsidRPr="005F6B94">
              <w:t xml:space="preserve">(A </w:t>
            </w:r>
            <w:r w:rsidR="000A19D3">
              <w:t>×</w:t>
            </w:r>
            <w:r w:rsidRPr="005F6B94">
              <w:t xml:space="preserve"> B)</w:t>
            </w:r>
          </w:p>
        </w:tc>
        <w:tc>
          <w:tcPr>
            <w:tcW w:w="1710" w:type="dxa"/>
          </w:tcPr>
          <w:p w:rsidR="00BB0FD0" w:rsidRDefault="005F6B94" w:rsidP="000A19D3">
            <w:pPr>
              <w:pStyle w:val="TableColumnHeading"/>
            </w:pPr>
            <w:r w:rsidRPr="005F6B94">
              <w:t>(D)</w:t>
            </w:r>
          </w:p>
          <w:p w:rsidR="00BB0FD0" w:rsidRDefault="005F6B94" w:rsidP="000A19D3">
            <w:pPr>
              <w:pStyle w:val="TableColumnHeading"/>
            </w:pPr>
            <w:r w:rsidRPr="005F6B94">
              <w:t>Annual O&amp;M Costs for One Affected Facility</w:t>
            </w:r>
            <w:r w:rsidR="00D769E2" w:rsidRPr="00D769E2">
              <w:rPr>
                <w:rStyle w:val="Superscript"/>
              </w:rPr>
              <w:t>a</w:t>
            </w:r>
          </w:p>
        </w:tc>
        <w:tc>
          <w:tcPr>
            <w:tcW w:w="1890" w:type="dxa"/>
          </w:tcPr>
          <w:p w:rsidR="00BB0FD0" w:rsidRDefault="005F6B94" w:rsidP="000A19D3">
            <w:pPr>
              <w:pStyle w:val="TableColumnHeading"/>
            </w:pPr>
            <w:r w:rsidRPr="005F6B94">
              <w:t>(E)</w:t>
            </w:r>
          </w:p>
          <w:p w:rsidR="00BB0FD0" w:rsidRDefault="005F6B94" w:rsidP="003A53EF">
            <w:pPr>
              <w:pStyle w:val="TableColumnHeading"/>
            </w:pPr>
            <w:r w:rsidRPr="005F6B94">
              <w:t>Total Annual O&amp;M Cost</w:t>
            </w:r>
          </w:p>
          <w:p w:rsidR="00BB0FD0" w:rsidRDefault="005F6B94" w:rsidP="000A19D3">
            <w:pPr>
              <w:pStyle w:val="TableColumnHeading"/>
            </w:pPr>
            <w:r w:rsidRPr="005F6B94">
              <w:t xml:space="preserve">(D </w:t>
            </w:r>
            <w:r w:rsidR="000A19D3">
              <w:t>×</w:t>
            </w:r>
            <w:r w:rsidRPr="005F6B94">
              <w:t xml:space="preserve"> B)</w:t>
            </w:r>
          </w:p>
        </w:tc>
      </w:tr>
      <w:tr w:rsidR="001A5E1C" w:rsidDel="00F43171" w:rsidTr="00557EEE">
        <w:trPr>
          <w:cantSplit/>
          <w:jc w:val="center"/>
        </w:trPr>
        <w:tc>
          <w:tcPr>
            <w:tcW w:w="1170" w:type="dxa"/>
          </w:tcPr>
          <w:p w:rsidR="00BB0FD0" w:rsidRDefault="005F6B94" w:rsidP="000A19D3">
            <w:pPr>
              <w:pStyle w:val="TableTextLeft"/>
            </w:pPr>
            <w:r w:rsidRPr="005F6B94">
              <w:t>Small</w:t>
            </w:r>
          </w:p>
        </w:tc>
        <w:tc>
          <w:tcPr>
            <w:tcW w:w="1620" w:type="dxa"/>
          </w:tcPr>
          <w:p w:rsidR="00BB0FD0" w:rsidRDefault="005F6B94" w:rsidP="00ED4539">
            <w:pPr>
              <w:pStyle w:val="TableTextCenter"/>
            </w:pPr>
            <w:r w:rsidRPr="005F6B94">
              <w:t>$</w:t>
            </w:r>
            <w:r w:rsidR="00ED4539">
              <w:t>85</w:t>
            </w:r>
            <w:r w:rsidRPr="005F6B94">
              <w:t>,</w:t>
            </w:r>
            <w:r w:rsidR="00ED4539">
              <w:t>440</w:t>
            </w:r>
          </w:p>
        </w:tc>
        <w:tc>
          <w:tcPr>
            <w:tcW w:w="1350" w:type="dxa"/>
          </w:tcPr>
          <w:p w:rsidR="00BB0FD0" w:rsidRDefault="00ED4539" w:rsidP="00ED4539">
            <w:pPr>
              <w:pStyle w:val="TableTextCenter"/>
            </w:pPr>
            <w:r>
              <w:t>84</w:t>
            </w:r>
          </w:p>
        </w:tc>
        <w:tc>
          <w:tcPr>
            <w:tcW w:w="1620" w:type="dxa"/>
          </w:tcPr>
          <w:p w:rsidR="00BB0FD0" w:rsidRDefault="005F6B94" w:rsidP="00ED4539">
            <w:pPr>
              <w:pStyle w:val="TableTextCenter"/>
            </w:pPr>
            <w:r w:rsidRPr="00446CA1">
              <w:t>$</w:t>
            </w:r>
            <w:r w:rsidR="00ED4539">
              <w:t>7</w:t>
            </w:r>
            <w:r w:rsidRPr="00446CA1">
              <w:t>,</w:t>
            </w:r>
            <w:r w:rsidR="00ED4539">
              <w:t>177</w:t>
            </w:r>
            <w:r w:rsidRPr="00446CA1">
              <w:t>,000</w:t>
            </w:r>
          </w:p>
        </w:tc>
        <w:tc>
          <w:tcPr>
            <w:tcW w:w="1710" w:type="dxa"/>
          </w:tcPr>
          <w:p w:rsidR="00BB0FD0" w:rsidRPr="00446CA1" w:rsidRDefault="005F6B94" w:rsidP="00ED4539">
            <w:pPr>
              <w:pStyle w:val="TableTextCenter"/>
            </w:pPr>
            <w:r w:rsidRPr="00446CA1">
              <w:t>$</w:t>
            </w:r>
            <w:r w:rsidR="00ED4539">
              <w:t>8</w:t>
            </w:r>
            <w:r w:rsidR="00645CD0">
              <w:t>,</w:t>
            </w:r>
            <w:r w:rsidR="00ED4539">
              <w:t>544</w:t>
            </w:r>
          </w:p>
        </w:tc>
        <w:tc>
          <w:tcPr>
            <w:tcW w:w="1890" w:type="dxa"/>
          </w:tcPr>
          <w:p w:rsidR="00BB0FD0" w:rsidRDefault="005F6B94" w:rsidP="00ED4539">
            <w:pPr>
              <w:pStyle w:val="TableTextCenter"/>
            </w:pPr>
            <w:r w:rsidRPr="00446CA1">
              <w:t>$</w:t>
            </w:r>
            <w:r w:rsidR="00ED4539">
              <w:t>717</w:t>
            </w:r>
            <w:r w:rsidRPr="00446CA1">
              <w:t>,</w:t>
            </w:r>
            <w:r w:rsidR="00ED4539">
              <w:t>7</w:t>
            </w:r>
            <w:r w:rsidRPr="00446CA1">
              <w:t>00</w:t>
            </w:r>
          </w:p>
        </w:tc>
      </w:tr>
      <w:tr w:rsidR="001A5E1C" w:rsidDel="00F43171" w:rsidTr="00557EEE">
        <w:trPr>
          <w:cantSplit/>
          <w:jc w:val="center"/>
        </w:trPr>
        <w:tc>
          <w:tcPr>
            <w:tcW w:w="1170" w:type="dxa"/>
          </w:tcPr>
          <w:p w:rsidR="00BB0FD0" w:rsidRDefault="005F6B94" w:rsidP="000A19D3">
            <w:pPr>
              <w:pStyle w:val="TableTextLeft"/>
            </w:pPr>
            <w:r w:rsidRPr="005F6B94">
              <w:t>Medium</w:t>
            </w:r>
          </w:p>
        </w:tc>
        <w:tc>
          <w:tcPr>
            <w:tcW w:w="1620" w:type="dxa"/>
          </w:tcPr>
          <w:p w:rsidR="00BB0FD0" w:rsidRDefault="005F6B94" w:rsidP="00ED4539">
            <w:pPr>
              <w:pStyle w:val="TableTextCenter"/>
            </w:pPr>
            <w:r w:rsidRPr="005F6B94">
              <w:t>$86,6</w:t>
            </w:r>
            <w:r w:rsidR="00ED4539">
              <w:t>5</w:t>
            </w:r>
            <w:r w:rsidRPr="005F6B94">
              <w:t>0</w:t>
            </w:r>
          </w:p>
        </w:tc>
        <w:tc>
          <w:tcPr>
            <w:tcW w:w="1350" w:type="dxa"/>
          </w:tcPr>
          <w:p w:rsidR="00BB0FD0" w:rsidRDefault="005F6B94" w:rsidP="00ED4539">
            <w:pPr>
              <w:pStyle w:val="TableTextCenter"/>
            </w:pPr>
            <w:r w:rsidRPr="005F6B94">
              <w:t>2</w:t>
            </w:r>
            <w:r w:rsidR="00ED4539">
              <w:t>7</w:t>
            </w:r>
          </w:p>
        </w:tc>
        <w:tc>
          <w:tcPr>
            <w:tcW w:w="1620" w:type="dxa"/>
          </w:tcPr>
          <w:p w:rsidR="00BB0FD0" w:rsidRDefault="005F6B94" w:rsidP="00ED4539">
            <w:pPr>
              <w:pStyle w:val="TableTextCenter"/>
            </w:pPr>
            <w:r w:rsidRPr="00446CA1">
              <w:t>$2,</w:t>
            </w:r>
            <w:r w:rsidR="00ED4539">
              <w:t>34</w:t>
            </w:r>
            <w:r w:rsidRPr="00446CA1">
              <w:t>0,000</w:t>
            </w:r>
          </w:p>
        </w:tc>
        <w:tc>
          <w:tcPr>
            <w:tcW w:w="1710" w:type="dxa"/>
          </w:tcPr>
          <w:p w:rsidR="00BB0FD0" w:rsidRDefault="00ED4539" w:rsidP="00ED4539">
            <w:pPr>
              <w:pStyle w:val="TableTextCenter"/>
            </w:pPr>
            <w:r w:rsidRPr="00446CA1">
              <w:t>$</w:t>
            </w:r>
            <w:r>
              <w:t>8,665</w:t>
            </w:r>
          </w:p>
        </w:tc>
        <w:tc>
          <w:tcPr>
            <w:tcW w:w="1890" w:type="dxa"/>
          </w:tcPr>
          <w:p w:rsidR="00BB0FD0" w:rsidRDefault="00ED4539" w:rsidP="00ED4539">
            <w:pPr>
              <w:pStyle w:val="TableTextCenter"/>
            </w:pPr>
            <w:r w:rsidRPr="00446CA1">
              <w:t>$</w:t>
            </w:r>
            <w:r>
              <w:t>234</w:t>
            </w:r>
            <w:r w:rsidRPr="00446CA1">
              <w:t>,</w:t>
            </w:r>
            <w:r>
              <w:t>0</w:t>
            </w:r>
            <w:r w:rsidRPr="00446CA1">
              <w:t>00</w:t>
            </w:r>
          </w:p>
        </w:tc>
      </w:tr>
      <w:tr w:rsidR="001A5E1C" w:rsidDel="00F43171" w:rsidTr="00557EEE">
        <w:trPr>
          <w:cantSplit/>
          <w:jc w:val="center"/>
        </w:trPr>
        <w:tc>
          <w:tcPr>
            <w:tcW w:w="1170" w:type="dxa"/>
          </w:tcPr>
          <w:p w:rsidR="00BB0FD0" w:rsidRDefault="005F6B94" w:rsidP="000A19D3">
            <w:pPr>
              <w:pStyle w:val="TableTextLeft"/>
            </w:pPr>
            <w:r w:rsidRPr="005F6B94">
              <w:t>Large</w:t>
            </w:r>
          </w:p>
        </w:tc>
        <w:tc>
          <w:tcPr>
            <w:tcW w:w="1620" w:type="dxa"/>
          </w:tcPr>
          <w:p w:rsidR="00BB0FD0" w:rsidRDefault="005F6B94" w:rsidP="00ED4539">
            <w:pPr>
              <w:pStyle w:val="TableTextCenter"/>
            </w:pPr>
            <w:r w:rsidRPr="005F6B94">
              <w:t>$88,2</w:t>
            </w:r>
            <w:r w:rsidR="00ED4539">
              <w:t>7</w:t>
            </w:r>
            <w:r w:rsidRPr="005F6B94">
              <w:t>0</w:t>
            </w:r>
          </w:p>
        </w:tc>
        <w:tc>
          <w:tcPr>
            <w:tcW w:w="1350" w:type="dxa"/>
          </w:tcPr>
          <w:p w:rsidR="00BB0FD0" w:rsidRDefault="00ED4539" w:rsidP="000A19D3">
            <w:pPr>
              <w:pStyle w:val="TableTextCenter"/>
            </w:pPr>
            <w:r>
              <w:t>31</w:t>
            </w:r>
          </w:p>
        </w:tc>
        <w:tc>
          <w:tcPr>
            <w:tcW w:w="1620" w:type="dxa"/>
          </w:tcPr>
          <w:p w:rsidR="00BB0FD0" w:rsidRDefault="005F6B94" w:rsidP="00ED4539">
            <w:pPr>
              <w:pStyle w:val="TableTextCenter"/>
            </w:pPr>
            <w:r w:rsidRPr="00446CA1">
              <w:t>$2,</w:t>
            </w:r>
            <w:r w:rsidR="00ED4539">
              <w:t>736</w:t>
            </w:r>
            <w:r w:rsidRPr="00446CA1">
              <w:t>,000</w:t>
            </w:r>
          </w:p>
        </w:tc>
        <w:tc>
          <w:tcPr>
            <w:tcW w:w="1710" w:type="dxa"/>
          </w:tcPr>
          <w:p w:rsidR="00BB0FD0" w:rsidRDefault="00ED4539" w:rsidP="00ED4539">
            <w:pPr>
              <w:pStyle w:val="TableTextCenter"/>
            </w:pPr>
            <w:r w:rsidRPr="00446CA1">
              <w:t>$</w:t>
            </w:r>
            <w:r>
              <w:t>8,827</w:t>
            </w:r>
          </w:p>
        </w:tc>
        <w:tc>
          <w:tcPr>
            <w:tcW w:w="1890" w:type="dxa"/>
          </w:tcPr>
          <w:p w:rsidR="00BB0FD0" w:rsidRDefault="00ED4539" w:rsidP="00ED4539">
            <w:pPr>
              <w:pStyle w:val="TableTextCenter"/>
            </w:pPr>
            <w:r w:rsidRPr="00446CA1">
              <w:t>$</w:t>
            </w:r>
            <w:r>
              <w:t>273</w:t>
            </w:r>
            <w:r w:rsidRPr="00446CA1">
              <w:t>,</w:t>
            </w:r>
            <w:r>
              <w:t>6</w:t>
            </w:r>
            <w:r w:rsidRPr="00446CA1">
              <w:t>00</w:t>
            </w:r>
          </w:p>
        </w:tc>
      </w:tr>
      <w:tr w:rsidR="001A5E1C" w:rsidTr="00557EEE">
        <w:trPr>
          <w:cantSplit/>
          <w:jc w:val="center"/>
        </w:trPr>
        <w:tc>
          <w:tcPr>
            <w:tcW w:w="1170" w:type="dxa"/>
          </w:tcPr>
          <w:p w:rsidR="00BB0FD0" w:rsidRDefault="005F6B94" w:rsidP="000A19D3">
            <w:pPr>
              <w:pStyle w:val="TableTextLeft"/>
            </w:pPr>
            <w:r w:rsidRPr="005F6B94">
              <w:t>TOTAL</w:t>
            </w:r>
          </w:p>
        </w:tc>
        <w:tc>
          <w:tcPr>
            <w:tcW w:w="1620" w:type="dxa"/>
          </w:tcPr>
          <w:p w:rsidR="00BB0FD0" w:rsidRDefault="00BB0FD0" w:rsidP="000A19D3">
            <w:pPr>
              <w:pStyle w:val="TableTextCenter"/>
            </w:pPr>
          </w:p>
        </w:tc>
        <w:tc>
          <w:tcPr>
            <w:tcW w:w="1350" w:type="dxa"/>
          </w:tcPr>
          <w:p w:rsidR="00BB0FD0" w:rsidRDefault="005F6B94" w:rsidP="00ED4539">
            <w:pPr>
              <w:pStyle w:val="TableTextCenter"/>
            </w:pPr>
            <w:r w:rsidRPr="005F6B94">
              <w:t>14</w:t>
            </w:r>
            <w:r w:rsidR="00ED4539">
              <w:t>2</w:t>
            </w:r>
          </w:p>
        </w:tc>
        <w:tc>
          <w:tcPr>
            <w:tcW w:w="1620" w:type="dxa"/>
          </w:tcPr>
          <w:p w:rsidR="00BB0FD0" w:rsidRDefault="005F6B94" w:rsidP="00ED4539">
            <w:pPr>
              <w:pStyle w:val="TableTextCenter"/>
            </w:pPr>
            <w:r w:rsidRPr="00446CA1">
              <w:t>$</w:t>
            </w:r>
            <w:r w:rsidR="00ED4539">
              <w:t>12</w:t>
            </w:r>
            <w:r w:rsidRPr="00446CA1">
              <w:t>,</w:t>
            </w:r>
            <w:r w:rsidR="00ED4539">
              <w:t>253</w:t>
            </w:r>
            <w:r w:rsidRPr="00446CA1">
              <w:t>,000</w:t>
            </w:r>
          </w:p>
        </w:tc>
        <w:tc>
          <w:tcPr>
            <w:tcW w:w="1710" w:type="dxa"/>
          </w:tcPr>
          <w:p w:rsidR="00BB0FD0" w:rsidRDefault="00BB0FD0" w:rsidP="000A19D3">
            <w:pPr>
              <w:pStyle w:val="TableTextCenter"/>
            </w:pPr>
          </w:p>
        </w:tc>
        <w:tc>
          <w:tcPr>
            <w:tcW w:w="1890" w:type="dxa"/>
          </w:tcPr>
          <w:p w:rsidR="00BB0FD0" w:rsidRDefault="005F6B94" w:rsidP="00ED4539">
            <w:pPr>
              <w:pStyle w:val="TableTextCenter"/>
            </w:pPr>
            <w:r w:rsidRPr="00446CA1">
              <w:t>$</w:t>
            </w:r>
            <w:r w:rsidR="00ED4539">
              <w:t>1</w:t>
            </w:r>
            <w:r w:rsidRPr="00446CA1">
              <w:t>,</w:t>
            </w:r>
            <w:r w:rsidR="00ED4539">
              <w:t>225</w:t>
            </w:r>
            <w:r w:rsidRPr="00446CA1">
              <w:t>,</w:t>
            </w:r>
            <w:r w:rsidR="00645CD0">
              <w:t>6</w:t>
            </w:r>
            <w:r w:rsidRPr="00446CA1">
              <w:t>00</w:t>
            </w:r>
            <w:r w:rsidR="00510ED3" w:rsidRPr="00510ED3">
              <w:rPr>
                <w:rStyle w:val="Superscript"/>
              </w:rPr>
              <w:t>b</w:t>
            </w:r>
          </w:p>
        </w:tc>
      </w:tr>
    </w:tbl>
    <w:p w:rsidR="00B84A5C" w:rsidRDefault="00645CD0" w:rsidP="00ED4539">
      <w:pPr>
        <w:pStyle w:val="TableFootnote"/>
      </w:pPr>
      <w:r w:rsidRPr="00645CD0">
        <w:rPr>
          <w:rStyle w:val="Superscript"/>
        </w:rPr>
        <w:t>a</w:t>
      </w:r>
      <w:r>
        <w:t xml:space="preserve"> </w:t>
      </w:r>
      <w:r w:rsidR="00ED4539">
        <w:t>Assumed to be 10 percent of capital c</w:t>
      </w:r>
      <w:r>
        <w:t>ost.</w:t>
      </w:r>
    </w:p>
    <w:p w:rsidR="00510ED3" w:rsidRDefault="00510ED3" w:rsidP="00ED4539">
      <w:pPr>
        <w:pStyle w:val="TableFootnote"/>
      </w:pPr>
      <w:r>
        <w:rPr>
          <w:rStyle w:val="Superscript"/>
        </w:rPr>
        <w:t>b</w:t>
      </w:r>
      <w:r>
        <w:t xml:space="preserve"> Note: This cost does not match the O&amp;M cost in Table 1 because this value represents the cost to all refineries, and the value in Table 1 represents the annual cost for the average number of refineries subject to </w:t>
      </w:r>
      <w:r w:rsidR="00ED4539">
        <w:t>subpart CC</w:t>
      </w:r>
      <w:r>
        <w:t xml:space="preserve"> in the second year (9</w:t>
      </w:r>
      <w:r w:rsidR="00ED4539">
        <w:t>4.7</w:t>
      </w:r>
      <w:r>
        <w:t>).</w:t>
      </w:r>
    </w:p>
    <w:p w:rsidR="00645CD0" w:rsidRDefault="00645CD0" w:rsidP="00645CD0">
      <w:pPr>
        <w:pStyle w:val="AfterTable"/>
      </w:pPr>
    </w:p>
    <w:p w:rsidR="00A93712" w:rsidRDefault="00A93712" w:rsidP="006F2054">
      <w:pPr>
        <w:pStyle w:val="BodyFirstline05After12pt"/>
      </w:pPr>
      <w:r>
        <w:t>There are 510 flares that would be subject to the flare monitoring requirements at the 142</w:t>
      </w:r>
      <w:r w:rsidR="006F2054">
        <w:t> </w:t>
      </w:r>
      <w:r>
        <w:t xml:space="preserve">major source refineries. The total capital and annual </w:t>
      </w:r>
      <w:r w:rsidRPr="00B54DC3">
        <w:t xml:space="preserve">operation and maintenance </w:t>
      </w:r>
      <w:r>
        <w:t xml:space="preserve">costs for flare monitoring for the 3-year initial compliance period are </w:t>
      </w:r>
      <w:r w:rsidRPr="00556DF9">
        <w:t xml:space="preserve">shown in </w:t>
      </w:r>
      <w:r>
        <w:t xml:space="preserve">the table </w:t>
      </w:r>
      <w:r w:rsidRPr="00556DF9">
        <w:t>below.</w:t>
      </w:r>
      <w:r>
        <w:t xml:space="preserve"> The costs shown in the table are the totals for the 3-year period for all 142 major source refineries.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538"/>
        <w:gridCol w:w="1350"/>
        <w:gridCol w:w="1080"/>
        <w:gridCol w:w="1620"/>
        <w:gridCol w:w="1392"/>
        <w:gridCol w:w="1596"/>
      </w:tblGrid>
      <w:tr w:rsidR="00A93712" w:rsidRPr="00A93712" w:rsidTr="00A70531">
        <w:tc>
          <w:tcPr>
            <w:tcW w:w="9576" w:type="dxa"/>
            <w:gridSpan w:val="6"/>
            <w:shd w:val="clear" w:color="000000" w:fill="auto"/>
            <w:vAlign w:val="bottom"/>
          </w:tcPr>
          <w:p w:rsidR="00A93712" w:rsidRPr="00A93712" w:rsidRDefault="00A93712" w:rsidP="00863928">
            <w:pPr>
              <w:pStyle w:val="TableColumnHeading"/>
              <w:rPr>
                <w:rFonts w:ascii="Arial" w:hAnsi="Arial" w:cs="Arial"/>
                <w:bCs/>
                <w:color w:val="000000"/>
                <w:sz w:val="20"/>
                <w:szCs w:val="20"/>
              </w:rPr>
            </w:pPr>
            <w:r w:rsidRPr="000A19D3">
              <w:rPr>
                <w:rStyle w:val="Bold"/>
              </w:rPr>
              <w:t xml:space="preserve">Capital vs. Operation and Maintenance (O&amp;M) Costs for </w:t>
            </w:r>
            <w:r w:rsidR="00863928">
              <w:rPr>
                <w:rStyle w:val="Bold"/>
              </w:rPr>
              <w:t>Flare</w:t>
            </w:r>
            <w:r w:rsidRPr="000A19D3">
              <w:rPr>
                <w:rStyle w:val="Bold"/>
              </w:rPr>
              <w:t xml:space="preserve"> Monitoring</w:t>
            </w:r>
          </w:p>
        </w:tc>
      </w:tr>
      <w:tr w:rsidR="00A93712" w:rsidRPr="00A93712" w:rsidTr="00A70531">
        <w:tc>
          <w:tcPr>
            <w:tcW w:w="2538" w:type="dxa"/>
            <w:shd w:val="clear" w:color="000000" w:fill="auto"/>
            <w:vAlign w:val="bottom"/>
            <w:hideMark/>
          </w:tcPr>
          <w:p w:rsidR="00A93712" w:rsidRPr="00A93712" w:rsidRDefault="00A93712" w:rsidP="00A93712">
            <w:pPr>
              <w:pStyle w:val="TableColumnHeading"/>
            </w:pPr>
            <w:r w:rsidRPr="00A93712">
              <w:t>Monitoring Equip</w:t>
            </w:r>
            <w:r>
              <w:t>ment</w:t>
            </w:r>
            <w:r w:rsidRPr="00A93712">
              <w:t xml:space="preserve"> or Material</w:t>
            </w:r>
          </w:p>
        </w:tc>
        <w:tc>
          <w:tcPr>
            <w:tcW w:w="1350" w:type="dxa"/>
            <w:shd w:val="clear" w:color="000000" w:fill="auto"/>
            <w:vAlign w:val="bottom"/>
            <w:hideMark/>
          </w:tcPr>
          <w:p w:rsidR="00A93712" w:rsidRDefault="00A93712" w:rsidP="00A93712">
            <w:pPr>
              <w:pStyle w:val="TableColumnHeading"/>
            </w:pPr>
            <w:r w:rsidRPr="005F6B94">
              <w:t>(A)</w:t>
            </w:r>
          </w:p>
          <w:p w:rsidR="00A93712" w:rsidRPr="00A93712" w:rsidRDefault="00A93712" w:rsidP="00A93712">
            <w:pPr>
              <w:pStyle w:val="TableColumnHeading"/>
            </w:pPr>
            <w:r w:rsidRPr="005F6B94">
              <w:t xml:space="preserve">Capital Cost for One Affected </w:t>
            </w:r>
            <w:r>
              <w:t>Flare</w:t>
            </w:r>
          </w:p>
        </w:tc>
        <w:tc>
          <w:tcPr>
            <w:tcW w:w="1080" w:type="dxa"/>
            <w:shd w:val="clear" w:color="000000" w:fill="auto"/>
            <w:vAlign w:val="bottom"/>
          </w:tcPr>
          <w:p w:rsidR="00A93712" w:rsidRDefault="00A93712" w:rsidP="00A93712">
            <w:pPr>
              <w:pStyle w:val="TableColumnHeading"/>
            </w:pPr>
            <w:r w:rsidRPr="005F6B94">
              <w:t>(B)</w:t>
            </w:r>
          </w:p>
          <w:p w:rsidR="00A93712" w:rsidRPr="00A93712" w:rsidRDefault="00A93712" w:rsidP="00A93712">
            <w:pPr>
              <w:pStyle w:val="TableColumnHeading"/>
            </w:pPr>
            <w:r w:rsidRPr="005F6B94">
              <w:t xml:space="preserve">Number of Affected </w:t>
            </w:r>
            <w:r>
              <w:t>Flares</w:t>
            </w:r>
          </w:p>
        </w:tc>
        <w:tc>
          <w:tcPr>
            <w:tcW w:w="1620" w:type="dxa"/>
            <w:shd w:val="clear" w:color="000000" w:fill="auto"/>
            <w:vAlign w:val="bottom"/>
          </w:tcPr>
          <w:p w:rsidR="00A93712" w:rsidRDefault="00A93712" w:rsidP="00A93712">
            <w:pPr>
              <w:pStyle w:val="TableColumnHeading"/>
            </w:pPr>
            <w:r w:rsidRPr="00A93712">
              <w:t xml:space="preserve"> </w:t>
            </w:r>
            <w:r w:rsidRPr="005F6B94">
              <w:t>(C)</w:t>
            </w:r>
          </w:p>
          <w:p w:rsidR="00A93712" w:rsidRDefault="00A93712" w:rsidP="00A93712">
            <w:pPr>
              <w:pStyle w:val="TableColumnHeading"/>
            </w:pPr>
            <w:r w:rsidRPr="005F6B94">
              <w:t>Total Capital Cost</w:t>
            </w:r>
          </w:p>
          <w:p w:rsidR="00A93712" w:rsidRPr="00A93712" w:rsidRDefault="00A93712" w:rsidP="00A93712">
            <w:pPr>
              <w:pStyle w:val="TableColumnHeading"/>
            </w:pPr>
            <w:r w:rsidRPr="005F6B94">
              <w:t xml:space="preserve">(A </w:t>
            </w:r>
            <w:r>
              <w:t>×</w:t>
            </w:r>
            <w:r w:rsidRPr="005F6B94">
              <w:t xml:space="preserve"> B)</w:t>
            </w:r>
          </w:p>
        </w:tc>
        <w:tc>
          <w:tcPr>
            <w:tcW w:w="1392" w:type="dxa"/>
            <w:shd w:val="clear" w:color="000000" w:fill="auto"/>
            <w:vAlign w:val="bottom"/>
          </w:tcPr>
          <w:p w:rsidR="00A93712" w:rsidRDefault="00A93712" w:rsidP="00A93712">
            <w:pPr>
              <w:pStyle w:val="TableColumnHeading"/>
            </w:pPr>
            <w:r w:rsidRPr="005F6B94">
              <w:t>(D)</w:t>
            </w:r>
          </w:p>
          <w:p w:rsidR="00A93712" w:rsidRPr="00A93712" w:rsidRDefault="00A93712" w:rsidP="00A93712">
            <w:pPr>
              <w:pStyle w:val="TableColumnHeading"/>
            </w:pPr>
            <w:r w:rsidRPr="005F6B94">
              <w:t>Annual O&amp;M Costs for One Affected F</w:t>
            </w:r>
            <w:r>
              <w:t>lare</w:t>
            </w:r>
          </w:p>
        </w:tc>
        <w:tc>
          <w:tcPr>
            <w:tcW w:w="1596" w:type="dxa"/>
            <w:shd w:val="clear" w:color="000000" w:fill="auto"/>
            <w:vAlign w:val="bottom"/>
            <w:hideMark/>
          </w:tcPr>
          <w:p w:rsidR="00A93712" w:rsidRDefault="00A93712" w:rsidP="00A93712">
            <w:pPr>
              <w:pStyle w:val="TableColumnHeading"/>
            </w:pPr>
            <w:r w:rsidRPr="005F6B94">
              <w:t>(E)</w:t>
            </w:r>
          </w:p>
          <w:p w:rsidR="00A93712" w:rsidRDefault="00A93712" w:rsidP="00A93712">
            <w:pPr>
              <w:pStyle w:val="TableColumnHeading"/>
            </w:pPr>
            <w:r w:rsidRPr="005F6B94">
              <w:t>Total Annual O&amp;M Cost</w:t>
            </w:r>
          </w:p>
          <w:p w:rsidR="00A93712" w:rsidRPr="00A93712" w:rsidRDefault="00A93712" w:rsidP="00A93712">
            <w:pPr>
              <w:pStyle w:val="TableColumnHeading"/>
            </w:pPr>
            <w:r w:rsidRPr="005F6B94">
              <w:t xml:space="preserve">(D </w:t>
            </w:r>
            <w:r>
              <w:t>×</w:t>
            </w:r>
            <w:r w:rsidRPr="005F6B94">
              <w:t xml:space="preserve"> B)</w:t>
            </w:r>
          </w:p>
        </w:tc>
      </w:tr>
      <w:tr w:rsidR="00A93712" w:rsidRPr="00A93712" w:rsidTr="00A93712">
        <w:tc>
          <w:tcPr>
            <w:tcW w:w="2538" w:type="dxa"/>
            <w:shd w:val="clear" w:color="auto" w:fill="auto"/>
            <w:vAlign w:val="bottom"/>
            <w:hideMark/>
          </w:tcPr>
          <w:p w:rsidR="00A93712" w:rsidRPr="00A93712" w:rsidRDefault="00A93712" w:rsidP="00680451">
            <w:pPr>
              <w:pStyle w:val="TableTextLeft10pt"/>
            </w:pPr>
            <w:r w:rsidRPr="00A93712">
              <w:t>Calorimeter</w:t>
            </w:r>
          </w:p>
        </w:tc>
        <w:tc>
          <w:tcPr>
            <w:tcW w:w="1350" w:type="dxa"/>
            <w:shd w:val="clear" w:color="auto" w:fill="auto"/>
            <w:vAlign w:val="center"/>
            <w:hideMark/>
          </w:tcPr>
          <w:p w:rsidR="00A93712" w:rsidRPr="00A93712" w:rsidRDefault="00A93712" w:rsidP="00680451">
            <w:pPr>
              <w:pStyle w:val="TableTextCenter10pt"/>
            </w:pPr>
            <w:r>
              <w:t>$</w:t>
            </w:r>
            <w:r w:rsidRPr="00A93712">
              <w:t>105,000</w:t>
            </w:r>
          </w:p>
        </w:tc>
        <w:tc>
          <w:tcPr>
            <w:tcW w:w="1080" w:type="dxa"/>
            <w:vAlign w:val="center"/>
          </w:tcPr>
          <w:p w:rsidR="00A93712" w:rsidRPr="00A93712" w:rsidRDefault="00A93712" w:rsidP="00680451">
            <w:pPr>
              <w:pStyle w:val="TableTextCenter10pt"/>
            </w:pPr>
            <w:r w:rsidRPr="00A93712">
              <w:t>85</w:t>
            </w:r>
          </w:p>
        </w:tc>
        <w:tc>
          <w:tcPr>
            <w:tcW w:w="1620" w:type="dxa"/>
            <w:shd w:val="clear" w:color="auto" w:fill="auto"/>
            <w:vAlign w:val="center"/>
          </w:tcPr>
          <w:p w:rsidR="00A93712" w:rsidRPr="00A93712" w:rsidRDefault="00A93712" w:rsidP="00680451">
            <w:pPr>
              <w:pStyle w:val="TableTextCenter10pt"/>
            </w:pPr>
            <w:r w:rsidRPr="00A93712">
              <w:t>$8,925,000</w:t>
            </w:r>
          </w:p>
        </w:tc>
        <w:tc>
          <w:tcPr>
            <w:tcW w:w="1392" w:type="dxa"/>
            <w:vAlign w:val="center"/>
          </w:tcPr>
          <w:p w:rsidR="00A93712" w:rsidRPr="00A93712" w:rsidRDefault="00A93712" w:rsidP="00680451">
            <w:pPr>
              <w:pStyle w:val="TableTextCenter10pt"/>
            </w:pPr>
            <w:r>
              <w:t>$</w:t>
            </w:r>
            <w:r w:rsidRPr="00A93712">
              <w:t>20,100</w:t>
            </w:r>
          </w:p>
        </w:tc>
        <w:tc>
          <w:tcPr>
            <w:tcW w:w="1596" w:type="dxa"/>
            <w:shd w:val="clear" w:color="auto" w:fill="auto"/>
            <w:vAlign w:val="center"/>
            <w:hideMark/>
          </w:tcPr>
          <w:p w:rsidR="00A93712" w:rsidRPr="00A93712" w:rsidRDefault="00A93712" w:rsidP="00680451">
            <w:pPr>
              <w:pStyle w:val="TableTextCenter10pt"/>
            </w:pPr>
            <w:r w:rsidRPr="00A93712">
              <w:t>$1,708,500</w:t>
            </w:r>
          </w:p>
        </w:tc>
      </w:tr>
      <w:tr w:rsidR="00A93712" w:rsidRPr="00A93712" w:rsidTr="00A93712">
        <w:tc>
          <w:tcPr>
            <w:tcW w:w="2538" w:type="dxa"/>
            <w:shd w:val="clear" w:color="auto" w:fill="auto"/>
            <w:vAlign w:val="bottom"/>
            <w:hideMark/>
          </w:tcPr>
          <w:p w:rsidR="00A93712" w:rsidRPr="00A93712" w:rsidRDefault="00A93712" w:rsidP="00680451">
            <w:pPr>
              <w:pStyle w:val="TableTextLeft10pt"/>
            </w:pPr>
            <w:r w:rsidRPr="00A93712">
              <w:t>Steam Controls/Flow Monitor</w:t>
            </w:r>
          </w:p>
        </w:tc>
        <w:tc>
          <w:tcPr>
            <w:tcW w:w="1350" w:type="dxa"/>
            <w:shd w:val="clear" w:color="auto" w:fill="auto"/>
            <w:vAlign w:val="center"/>
            <w:hideMark/>
          </w:tcPr>
          <w:p w:rsidR="00A93712" w:rsidRPr="00A93712" w:rsidRDefault="00A93712" w:rsidP="00680451">
            <w:pPr>
              <w:pStyle w:val="TableTextCenter10pt"/>
            </w:pPr>
            <w:r>
              <w:t>$</w:t>
            </w:r>
            <w:r w:rsidRPr="00A93712">
              <w:t>684,000</w:t>
            </w:r>
          </w:p>
        </w:tc>
        <w:tc>
          <w:tcPr>
            <w:tcW w:w="1080" w:type="dxa"/>
            <w:vAlign w:val="center"/>
          </w:tcPr>
          <w:p w:rsidR="00A93712" w:rsidRPr="00A93712" w:rsidRDefault="00A93712" w:rsidP="00680451">
            <w:pPr>
              <w:pStyle w:val="TableTextCenter10pt"/>
            </w:pPr>
            <w:r w:rsidRPr="00A93712">
              <w:t>190</w:t>
            </w:r>
          </w:p>
        </w:tc>
        <w:tc>
          <w:tcPr>
            <w:tcW w:w="1620" w:type="dxa"/>
            <w:shd w:val="clear" w:color="auto" w:fill="auto"/>
            <w:vAlign w:val="center"/>
          </w:tcPr>
          <w:p w:rsidR="00A93712" w:rsidRPr="00A93712" w:rsidRDefault="00A93712" w:rsidP="00680451">
            <w:pPr>
              <w:pStyle w:val="TableTextCenter10pt"/>
            </w:pPr>
            <w:r w:rsidRPr="00A93712">
              <w:t>$129,960,000</w:t>
            </w:r>
          </w:p>
        </w:tc>
        <w:tc>
          <w:tcPr>
            <w:tcW w:w="1392" w:type="dxa"/>
            <w:vAlign w:val="center"/>
          </w:tcPr>
          <w:p w:rsidR="00A93712" w:rsidRPr="00A93712" w:rsidRDefault="00A93712" w:rsidP="00680451">
            <w:pPr>
              <w:pStyle w:val="TableTextCenter10pt"/>
            </w:pPr>
            <w:r>
              <w:t>$</w:t>
            </w:r>
            <w:r w:rsidRPr="00A93712">
              <w:t>59,730</w:t>
            </w:r>
          </w:p>
        </w:tc>
        <w:tc>
          <w:tcPr>
            <w:tcW w:w="1596" w:type="dxa"/>
            <w:shd w:val="clear" w:color="auto" w:fill="auto"/>
            <w:vAlign w:val="center"/>
            <w:hideMark/>
          </w:tcPr>
          <w:p w:rsidR="00A93712" w:rsidRPr="00A93712" w:rsidRDefault="00A93712" w:rsidP="00680451">
            <w:pPr>
              <w:pStyle w:val="TableTextCenter10pt"/>
            </w:pPr>
            <w:r w:rsidRPr="00A93712">
              <w:t>$11,348,700</w:t>
            </w:r>
          </w:p>
        </w:tc>
      </w:tr>
      <w:tr w:rsidR="00A93712" w:rsidRPr="00A93712" w:rsidTr="00A93712">
        <w:tc>
          <w:tcPr>
            <w:tcW w:w="2538" w:type="dxa"/>
            <w:shd w:val="clear" w:color="auto" w:fill="auto"/>
            <w:vAlign w:val="bottom"/>
            <w:hideMark/>
          </w:tcPr>
          <w:p w:rsidR="00A93712" w:rsidRPr="00A93712" w:rsidRDefault="00A93712" w:rsidP="00680451">
            <w:pPr>
              <w:pStyle w:val="TableTextLeft10pt"/>
            </w:pPr>
            <w:r w:rsidRPr="00A93712">
              <w:t>Air Controls/ Flow Monitor</w:t>
            </w:r>
          </w:p>
        </w:tc>
        <w:tc>
          <w:tcPr>
            <w:tcW w:w="1350" w:type="dxa"/>
            <w:shd w:val="clear" w:color="auto" w:fill="auto"/>
            <w:vAlign w:val="center"/>
            <w:hideMark/>
          </w:tcPr>
          <w:p w:rsidR="00A93712" w:rsidRPr="00A93712" w:rsidRDefault="00A93712" w:rsidP="00680451">
            <w:pPr>
              <w:pStyle w:val="TableTextCenter10pt"/>
            </w:pPr>
            <w:r>
              <w:t>$</w:t>
            </w:r>
            <w:r w:rsidRPr="00A93712">
              <w:t>164,000</w:t>
            </w:r>
          </w:p>
        </w:tc>
        <w:tc>
          <w:tcPr>
            <w:tcW w:w="1080" w:type="dxa"/>
            <w:vAlign w:val="center"/>
          </w:tcPr>
          <w:p w:rsidR="00A93712" w:rsidRPr="00A93712" w:rsidRDefault="00A93712" w:rsidP="00680451">
            <w:pPr>
              <w:pStyle w:val="TableTextCenter10pt"/>
            </w:pPr>
            <w:r w:rsidRPr="00A93712">
              <w:t>37</w:t>
            </w:r>
          </w:p>
        </w:tc>
        <w:tc>
          <w:tcPr>
            <w:tcW w:w="1620" w:type="dxa"/>
            <w:shd w:val="clear" w:color="auto" w:fill="auto"/>
            <w:vAlign w:val="center"/>
          </w:tcPr>
          <w:p w:rsidR="00A93712" w:rsidRPr="00A93712" w:rsidRDefault="00A93712" w:rsidP="00680451">
            <w:pPr>
              <w:pStyle w:val="TableTextCenter10pt"/>
            </w:pPr>
            <w:r w:rsidRPr="00A93712">
              <w:t>$6,068,000</w:t>
            </w:r>
          </w:p>
        </w:tc>
        <w:tc>
          <w:tcPr>
            <w:tcW w:w="1392" w:type="dxa"/>
            <w:vAlign w:val="center"/>
          </w:tcPr>
          <w:p w:rsidR="00A93712" w:rsidRPr="00A93712" w:rsidRDefault="00A93712" w:rsidP="00680451">
            <w:pPr>
              <w:pStyle w:val="TableTextCenter10pt"/>
            </w:pPr>
            <w:r>
              <w:t>$</w:t>
            </w:r>
            <w:r w:rsidRPr="00A93712">
              <w:t>36,520</w:t>
            </w:r>
          </w:p>
        </w:tc>
        <w:tc>
          <w:tcPr>
            <w:tcW w:w="1596" w:type="dxa"/>
            <w:shd w:val="clear" w:color="auto" w:fill="auto"/>
            <w:vAlign w:val="center"/>
            <w:hideMark/>
          </w:tcPr>
          <w:p w:rsidR="00A93712" w:rsidRPr="00A93712" w:rsidRDefault="00A93712" w:rsidP="00680451">
            <w:pPr>
              <w:pStyle w:val="TableTextCenter10pt"/>
            </w:pPr>
            <w:r w:rsidRPr="00A93712">
              <w:t>$1,351,240</w:t>
            </w:r>
          </w:p>
        </w:tc>
      </w:tr>
      <w:tr w:rsidR="00A93712" w:rsidRPr="00A93712" w:rsidTr="00A93712">
        <w:tc>
          <w:tcPr>
            <w:tcW w:w="2538" w:type="dxa"/>
            <w:shd w:val="clear" w:color="auto" w:fill="auto"/>
            <w:vAlign w:val="bottom"/>
            <w:hideMark/>
          </w:tcPr>
          <w:p w:rsidR="00A93712" w:rsidRPr="00A93712" w:rsidRDefault="00A93712" w:rsidP="00680451">
            <w:pPr>
              <w:pStyle w:val="TableTextLeft10pt"/>
            </w:pPr>
            <w:r w:rsidRPr="00A93712">
              <w:t>Average Natural Gas (NG) Costs per Flare to Meet NHV</w:t>
            </w:r>
            <w:r w:rsidRPr="000A3A2F">
              <w:rPr>
                <w:rStyle w:val="Subscript"/>
              </w:rPr>
              <w:t>cz</w:t>
            </w:r>
            <w:r w:rsidRPr="00A93712">
              <w:t xml:space="preserve"> Targets</w:t>
            </w:r>
          </w:p>
        </w:tc>
        <w:tc>
          <w:tcPr>
            <w:tcW w:w="1350" w:type="dxa"/>
            <w:shd w:val="clear" w:color="auto" w:fill="auto"/>
            <w:vAlign w:val="center"/>
            <w:hideMark/>
          </w:tcPr>
          <w:p w:rsidR="00A93712" w:rsidRPr="00A93712" w:rsidRDefault="00A93712" w:rsidP="00680451">
            <w:pPr>
              <w:pStyle w:val="TableTextCenter10pt"/>
            </w:pPr>
            <w:r>
              <w:t>$</w:t>
            </w:r>
            <w:r w:rsidRPr="00A93712">
              <w:t>0</w:t>
            </w:r>
          </w:p>
        </w:tc>
        <w:tc>
          <w:tcPr>
            <w:tcW w:w="1080" w:type="dxa"/>
            <w:vAlign w:val="center"/>
          </w:tcPr>
          <w:p w:rsidR="00A93712" w:rsidRPr="00A93712" w:rsidRDefault="00A93712" w:rsidP="00680451">
            <w:pPr>
              <w:pStyle w:val="TableTextCenter10pt"/>
            </w:pPr>
            <w:r w:rsidRPr="00A93712">
              <w:t>190</w:t>
            </w:r>
          </w:p>
        </w:tc>
        <w:tc>
          <w:tcPr>
            <w:tcW w:w="1620" w:type="dxa"/>
            <w:shd w:val="clear" w:color="auto" w:fill="auto"/>
            <w:vAlign w:val="center"/>
          </w:tcPr>
          <w:p w:rsidR="00A93712" w:rsidRPr="00A93712" w:rsidRDefault="00A93712" w:rsidP="00680451">
            <w:pPr>
              <w:pStyle w:val="TableTextCenter10pt"/>
            </w:pPr>
            <w:r w:rsidRPr="00A93712">
              <w:t>$</w:t>
            </w:r>
            <w:r>
              <w:t>0</w:t>
            </w:r>
          </w:p>
        </w:tc>
        <w:tc>
          <w:tcPr>
            <w:tcW w:w="1392" w:type="dxa"/>
            <w:vAlign w:val="center"/>
          </w:tcPr>
          <w:p w:rsidR="00A93712" w:rsidRPr="00A93712" w:rsidRDefault="00A93712" w:rsidP="00680451">
            <w:pPr>
              <w:pStyle w:val="TableTextCenter10pt"/>
            </w:pPr>
            <w:r>
              <w:t>$</w:t>
            </w:r>
            <w:r w:rsidRPr="00A93712">
              <w:t>98,660</w:t>
            </w:r>
          </w:p>
        </w:tc>
        <w:tc>
          <w:tcPr>
            <w:tcW w:w="1596" w:type="dxa"/>
            <w:shd w:val="clear" w:color="auto" w:fill="auto"/>
            <w:vAlign w:val="center"/>
            <w:hideMark/>
          </w:tcPr>
          <w:p w:rsidR="00A93712" w:rsidRPr="00A93712" w:rsidRDefault="00A93712" w:rsidP="00680451">
            <w:pPr>
              <w:pStyle w:val="TableTextCenter10pt"/>
            </w:pPr>
            <w:r w:rsidRPr="00A93712">
              <w:t>$18,745,400</w:t>
            </w:r>
          </w:p>
        </w:tc>
      </w:tr>
      <w:tr w:rsidR="00A93712" w:rsidRPr="00A93712" w:rsidTr="00A93712">
        <w:tc>
          <w:tcPr>
            <w:tcW w:w="2538" w:type="dxa"/>
            <w:shd w:val="clear" w:color="auto" w:fill="auto"/>
            <w:vAlign w:val="bottom"/>
            <w:hideMark/>
          </w:tcPr>
          <w:p w:rsidR="00A93712" w:rsidRPr="00A93712" w:rsidRDefault="00A93712" w:rsidP="00680451">
            <w:pPr>
              <w:pStyle w:val="TableTextLeft10pt"/>
            </w:pPr>
            <w:r w:rsidRPr="00A93712">
              <w:t>Steam Costs (Savings) per Flare for Steam Controls to Meet NHV</w:t>
            </w:r>
            <w:r w:rsidRPr="000A3A2F">
              <w:rPr>
                <w:rStyle w:val="Subscript"/>
              </w:rPr>
              <w:t>cz</w:t>
            </w:r>
            <w:r w:rsidRPr="00A93712">
              <w:t xml:space="preserve"> Targets</w:t>
            </w:r>
          </w:p>
        </w:tc>
        <w:tc>
          <w:tcPr>
            <w:tcW w:w="1350" w:type="dxa"/>
            <w:shd w:val="clear" w:color="auto" w:fill="auto"/>
            <w:vAlign w:val="center"/>
            <w:hideMark/>
          </w:tcPr>
          <w:p w:rsidR="00A93712" w:rsidRPr="00A93712" w:rsidRDefault="00A93712" w:rsidP="00680451">
            <w:pPr>
              <w:pStyle w:val="TableTextCenter10pt"/>
            </w:pPr>
            <w:r>
              <w:t>$</w:t>
            </w:r>
            <w:r w:rsidRPr="00A93712">
              <w:t>0</w:t>
            </w:r>
          </w:p>
        </w:tc>
        <w:tc>
          <w:tcPr>
            <w:tcW w:w="1080" w:type="dxa"/>
            <w:vAlign w:val="center"/>
          </w:tcPr>
          <w:p w:rsidR="00A93712" w:rsidRPr="00A93712" w:rsidRDefault="00A93712" w:rsidP="00680451">
            <w:pPr>
              <w:pStyle w:val="TableTextCenter10pt"/>
            </w:pPr>
            <w:r w:rsidRPr="00A93712">
              <w:t>190</w:t>
            </w:r>
          </w:p>
        </w:tc>
        <w:tc>
          <w:tcPr>
            <w:tcW w:w="1620" w:type="dxa"/>
            <w:shd w:val="clear" w:color="auto" w:fill="auto"/>
            <w:vAlign w:val="center"/>
          </w:tcPr>
          <w:p w:rsidR="00A93712" w:rsidRPr="00A93712" w:rsidRDefault="00A93712" w:rsidP="00680451">
            <w:pPr>
              <w:pStyle w:val="TableTextCenter10pt"/>
            </w:pPr>
            <w:r w:rsidRPr="00A93712">
              <w:t>$</w:t>
            </w:r>
            <w:r>
              <w:t>0</w:t>
            </w:r>
          </w:p>
        </w:tc>
        <w:tc>
          <w:tcPr>
            <w:tcW w:w="1392" w:type="dxa"/>
            <w:vAlign w:val="center"/>
          </w:tcPr>
          <w:p w:rsidR="00A93712" w:rsidRPr="00A93712" w:rsidRDefault="00A93712" w:rsidP="00680451">
            <w:pPr>
              <w:pStyle w:val="TableTextCenter10pt"/>
            </w:pPr>
            <w:r>
              <w:t>($</w:t>
            </w:r>
            <w:r w:rsidRPr="00A93712">
              <w:t>73,770</w:t>
            </w:r>
            <w:r>
              <w:t>)</w:t>
            </w:r>
          </w:p>
        </w:tc>
        <w:tc>
          <w:tcPr>
            <w:tcW w:w="1596" w:type="dxa"/>
            <w:shd w:val="clear" w:color="auto" w:fill="auto"/>
            <w:vAlign w:val="center"/>
            <w:hideMark/>
          </w:tcPr>
          <w:p w:rsidR="00A93712" w:rsidRPr="00A93712" w:rsidRDefault="00A93712" w:rsidP="00680451">
            <w:pPr>
              <w:pStyle w:val="TableTextCenter10pt"/>
            </w:pPr>
            <w:r w:rsidRPr="00A93712">
              <w:t>$(14,016,300)</w:t>
            </w:r>
          </w:p>
        </w:tc>
      </w:tr>
      <w:tr w:rsidR="00A93712" w:rsidRPr="00A93712" w:rsidTr="00A93712">
        <w:tc>
          <w:tcPr>
            <w:tcW w:w="2538" w:type="dxa"/>
            <w:shd w:val="clear" w:color="auto" w:fill="auto"/>
            <w:vAlign w:val="bottom"/>
            <w:hideMark/>
          </w:tcPr>
          <w:p w:rsidR="00A93712" w:rsidRPr="00A93712" w:rsidRDefault="00A93712" w:rsidP="00680451">
            <w:pPr>
              <w:pStyle w:val="TableTextLeft10pt"/>
            </w:pPr>
            <w:r w:rsidRPr="00A93712">
              <w:t>Engineering Calculation Costs</w:t>
            </w:r>
          </w:p>
        </w:tc>
        <w:tc>
          <w:tcPr>
            <w:tcW w:w="1350" w:type="dxa"/>
            <w:shd w:val="clear" w:color="auto" w:fill="auto"/>
            <w:vAlign w:val="center"/>
            <w:hideMark/>
          </w:tcPr>
          <w:p w:rsidR="00A93712" w:rsidRPr="00A93712" w:rsidRDefault="00A93712" w:rsidP="00680451">
            <w:pPr>
              <w:pStyle w:val="TableTextCenter10pt"/>
            </w:pPr>
            <w:r>
              <w:t>$</w:t>
            </w:r>
            <w:r w:rsidRPr="00A93712">
              <w:t>7,000</w:t>
            </w:r>
          </w:p>
        </w:tc>
        <w:tc>
          <w:tcPr>
            <w:tcW w:w="1080" w:type="dxa"/>
            <w:vAlign w:val="center"/>
          </w:tcPr>
          <w:p w:rsidR="00A93712" w:rsidRPr="00A93712" w:rsidRDefault="00A93712" w:rsidP="00680451">
            <w:pPr>
              <w:pStyle w:val="TableTextCenter10pt"/>
            </w:pPr>
            <w:r w:rsidRPr="00A93712">
              <w:t>267</w:t>
            </w:r>
          </w:p>
        </w:tc>
        <w:tc>
          <w:tcPr>
            <w:tcW w:w="1620" w:type="dxa"/>
            <w:shd w:val="clear" w:color="auto" w:fill="auto"/>
            <w:vAlign w:val="center"/>
          </w:tcPr>
          <w:p w:rsidR="00A93712" w:rsidRPr="00A93712" w:rsidRDefault="00A93712" w:rsidP="00680451">
            <w:pPr>
              <w:pStyle w:val="TableTextCenter10pt"/>
            </w:pPr>
            <w:r w:rsidRPr="00A93712">
              <w:t>$1,869,000</w:t>
            </w:r>
          </w:p>
        </w:tc>
        <w:tc>
          <w:tcPr>
            <w:tcW w:w="1392" w:type="dxa"/>
            <w:vAlign w:val="center"/>
          </w:tcPr>
          <w:p w:rsidR="00A93712" w:rsidRPr="00A93712" w:rsidRDefault="00A93712" w:rsidP="00680451">
            <w:pPr>
              <w:pStyle w:val="TableTextCenter10pt"/>
            </w:pPr>
            <w:r>
              <w:t>$</w:t>
            </w:r>
            <w:r w:rsidRPr="00A93712">
              <w:t>12,500</w:t>
            </w:r>
          </w:p>
        </w:tc>
        <w:tc>
          <w:tcPr>
            <w:tcW w:w="1596" w:type="dxa"/>
            <w:shd w:val="clear" w:color="auto" w:fill="auto"/>
            <w:vAlign w:val="center"/>
            <w:hideMark/>
          </w:tcPr>
          <w:p w:rsidR="00A93712" w:rsidRPr="00A93712" w:rsidRDefault="00A93712" w:rsidP="00680451">
            <w:pPr>
              <w:pStyle w:val="TableTextCenter10pt"/>
            </w:pPr>
            <w:r w:rsidRPr="00A93712">
              <w:t>$3,337,500</w:t>
            </w:r>
          </w:p>
        </w:tc>
      </w:tr>
      <w:tr w:rsidR="00A93712" w:rsidRPr="00A93712" w:rsidTr="00A93712">
        <w:tc>
          <w:tcPr>
            <w:tcW w:w="2538" w:type="dxa"/>
            <w:shd w:val="clear" w:color="auto" w:fill="auto"/>
            <w:vAlign w:val="bottom"/>
          </w:tcPr>
          <w:p w:rsidR="00A93712" w:rsidRPr="00A93712" w:rsidRDefault="00A93712" w:rsidP="00680451">
            <w:pPr>
              <w:pStyle w:val="TableTextLeft10pt"/>
              <w:rPr>
                <w:rFonts w:ascii="Arial" w:hAnsi="Arial" w:cs="Arial"/>
                <w:color w:val="000000"/>
                <w:sz w:val="19"/>
                <w:szCs w:val="19"/>
              </w:rPr>
            </w:pPr>
            <w:r w:rsidRPr="005F6B94">
              <w:t>TOTAL</w:t>
            </w:r>
          </w:p>
        </w:tc>
        <w:tc>
          <w:tcPr>
            <w:tcW w:w="1350" w:type="dxa"/>
            <w:shd w:val="clear" w:color="auto" w:fill="auto"/>
            <w:vAlign w:val="center"/>
          </w:tcPr>
          <w:p w:rsidR="00A93712" w:rsidRPr="00A93712" w:rsidRDefault="00A93712" w:rsidP="00680451">
            <w:pPr>
              <w:pStyle w:val="TableTextCenter10pt"/>
            </w:pPr>
          </w:p>
        </w:tc>
        <w:tc>
          <w:tcPr>
            <w:tcW w:w="1080" w:type="dxa"/>
            <w:vAlign w:val="center"/>
          </w:tcPr>
          <w:p w:rsidR="00A93712" w:rsidRPr="00A93712" w:rsidRDefault="00A93712" w:rsidP="00680451">
            <w:pPr>
              <w:pStyle w:val="TableTextCenter10pt"/>
            </w:pPr>
            <w:r w:rsidRPr="00A93712">
              <w:t>510</w:t>
            </w:r>
          </w:p>
        </w:tc>
        <w:tc>
          <w:tcPr>
            <w:tcW w:w="1620" w:type="dxa"/>
            <w:shd w:val="clear" w:color="auto" w:fill="auto"/>
            <w:vAlign w:val="center"/>
          </w:tcPr>
          <w:p w:rsidR="00A93712" w:rsidRPr="00A93712" w:rsidRDefault="00A93712" w:rsidP="00680451">
            <w:pPr>
              <w:pStyle w:val="TableTextCenter10pt"/>
            </w:pPr>
            <w:r w:rsidRPr="00A93712">
              <w:t>$146,822,000</w:t>
            </w:r>
          </w:p>
        </w:tc>
        <w:tc>
          <w:tcPr>
            <w:tcW w:w="1392" w:type="dxa"/>
            <w:vAlign w:val="center"/>
          </w:tcPr>
          <w:p w:rsidR="00A93712" w:rsidRPr="00A93712" w:rsidRDefault="00A93712" w:rsidP="00680451">
            <w:pPr>
              <w:pStyle w:val="TableTextCenter10pt"/>
            </w:pPr>
          </w:p>
        </w:tc>
        <w:tc>
          <w:tcPr>
            <w:tcW w:w="1596" w:type="dxa"/>
            <w:shd w:val="clear" w:color="auto" w:fill="auto"/>
            <w:vAlign w:val="center"/>
          </w:tcPr>
          <w:p w:rsidR="00A93712" w:rsidRPr="00A93712" w:rsidRDefault="00A93712" w:rsidP="00680451">
            <w:pPr>
              <w:pStyle w:val="TableTextCenter10pt"/>
            </w:pPr>
            <w:r w:rsidRPr="00A93712">
              <w:t>$</w:t>
            </w:r>
            <w:r w:rsidR="00CF66A5">
              <w:t>22</w:t>
            </w:r>
            <w:r w:rsidRPr="00A93712">
              <w:t>,</w:t>
            </w:r>
            <w:r w:rsidR="00CF66A5">
              <w:t>475</w:t>
            </w:r>
            <w:r w:rsidRPr="00A93712">
              <w:t>,</w:t>
            </w:r>
            <w:r w:rsidR="00CF66A5">
              <w:t>04</w:t>
            </w:r>
            <w:r w:rsidRPr="00A93712">
              <w:t>0</w:t>
            </w:r>
          </w:p>
        </w:tc>
      </w:tr>
    </w:tbl>
    <w:p w:rsidR="00A93712" w:rsidRDefault="00A93712" w:rsidP="00ED4539">
      <w:pPr>
        <w:pStyle w:val="BodyFirstline05After12pt"/>
      </w:pPr>
    </w:p>
    <w:p w:rsidR="000A19D3" w:rsidRPr="005F5FDC" w:rsidRDefault="00AC0716" w:rsidP="00680451">
      <w:pPr>
        <w:pStyle w:val="BodyFirstline05After12pt"/>
      </w:pPr>
      <w:r w:rsidRPr="005F5FDC">
        <w:t xml:space="preserve">For </w:t>
      </w:r>
      <w:r w:rsidR="000A19D3" w:rsidRPr="005F5FDC">
        <w:t xml:space="preserve">relief </w:t>
      </w:r>
      <w:r w:rsidR="00680451">
        <w:t>valves</w:t>
      </w:r>
      <w:r w:rsidRPr="005F5FDC">
        <w:t xml:space="preserve">, it was </w:t>
      </w:r>
      <w:r w:rsidR="00645CD0" w:rsidRPr="005F5FDC">
        <w:t xml:space="preserve">estimated </w:t>
      </w:r>
      <w:r w:rsidRPr="005F5FDC">
        <w:t xml:space="preserve">that the total capital cost </w:t>
      </w:r>
      <w:r w:rsidR="00645CD0" w:rsidRPr="005F5FDC">
        <w:t xml:space="preserve">to </w:t>
      </w:r>
      <w:r w:rsidRPr="005F5FDC">
        <w:t xml:space="preserve">install </w:t>
      </w:r>
      <w:r w:rsidR="00645CD0" w:rsidRPr="005F5FDC">
        <w:t xml:space="preserve">a </w:t>
      </w:r>
      <w:r w:rsidRPr="005F5FDC">
        <w:t xml:space="preserve">monitor on </w:t>
      </w:r>
      <w:r w:rsidR="00645CD0" w:rsidRPr="005F5FDC">
        <w:t xml:space="preserve">each </w:t>
      </w:r>
      <w:r w:rsidRPr="005F5FDC">
        <w:t xml:space="preserve">relief </w:t>
      </w:r>
      <w:r w:rsidR="00680451">
        <w:t>valve</w:t>
      </w:r>
      <w:r w:rsidR="00680451" w:rsidRPr="005F5FDC">
        <w:t xml:space="preserve"> </w:t>
      </w:r>
      <w:r w:rsidRPr="005F5FDC">
        <w:t>is $</w:t>
      </w:r>
      <w:r w:rsidR="005E5DCF" w:rsidRPr="005F5FDC">
        <w:t>9,</w:t>
      </w:r>
      <w:r w:rsidR="00ED4539">
        <w:t>5</w:t>
      </w:r>
      <w:r w:rsidR="00AE06D7">
        <w:t>4</w:t>
      </w:r>
      <w:r w:rsidR="005E5DCF" w:rsidRPr="005F5FDC">
        <w:t>0,000</w:t>
      </w:r>
      <w:r w:rsidRPr="005F5FDC">
        <w:t xml:space="preserve"> for an estimated </w:t>
      </w:r>
      <w:r w:rsidR="005E5DCF" w:rsidRPr="005F5FDC">
        <w:t>1</w:t>
      </w:r>
      <w:r w:rsidR="00ED4539">
        <w:t>0</w:t>
      </w:r>
      <w:r w:rsidR="005E5DCF" w:rsidRPr="005F5FDC">
        <w:t>,</w:t>
      </w:r>
      <w:r w:rsidR="00ED4539">
        <w:t>7</w:t>
      </w:r>
      <w:r w:rsidR="005E5DCF" w:rsidRPr="005F5FDC">
        <w:t>00</w:t>
      </w:r>
      <w:r w:rsidRPr="005F5FDC">
        <w:t xml:space="preserve"> </w:t>
      </w:r>
      <w:r w:rsidR="000A19D3" w:rsidRPr="005F5FDC">
        <w:t xml:space="preserve">relief </w:t>
      </w:r>
      <w:r w:rsidR="00680451">
        <w:t>valves</w:t>
      </w:r>
      <w:r w:rsidRPr="005F5FDC">
        <w:t xml:space="preserve"> over the next </w:t>
      </w:r>
      <w:r w:rsidR="00ED4539">
        <w:t>3</w:t>
      </w:r>
      <w:r w:rsidRPr="005F5FDC">
        <w:t xml:space="preserve"> years.</w:t>
      </w:r>
      <w:r w:rsidR="000A3A2F">
        <w:t xml:space="preserve"> It was also </w:t>
      </w:r>
      <w:r w:rsidR="000A3A2F">
        <w:lastRenderedPageBreak/>
        <w:t>assumed that there is one bypass line per refinery that would need a continuous flow monitor, and the cost of one flow monitor is estimated at $9,100, for a total capital cost of $1,292,200.</w:t>
      </w:r>
    </w:p>
    <w:p w:rsidR="000A19D3" w:rsidRDefault="000A19D3" w:rsidP="000A19D3">
      <w:pPr>
        <w:pStyle w:val="SectionLevel3Heading"/>
      </w:pPr>
      <w:r w:rsidRPr="00E7527E">
        <w:t>(i</w:t>
      </w:r>
      <w:r>
        <w:t xml:space="preserve">ii) </w:t>
      </w:r>
      <w:r w:rsidRPr="00FE67FB">
        <w:rPr>
          <w:rStyle w:val="Underline"/>
        </w:rPr>
        <w:t>Annualizing Capital Costs</w:t>
      </w:r>
    </w:p>
    <w:p w:rsidR="00B84A5C" w:rsidRDefault="00B84A5C" w:rsidP="00863928">
      <w:pPr>
        <w:pStyle w:val="BodyFirstline05After12pt"/>
      </w:pPr>
      <w:r>
        <w:t xml:space="preserve">The annualized capital costs associated with the information collection requirements of the proposed </w:t>
      </w:r>
      <w:r w:rsidRPr="005E5DCF">
        <w:t>amendments is $</w:t>
      </w:r>
      <w:r w:rsidR="00863928">
        <w:t>17,10</w:t>
      </w:r>
      <w:r w:rsidR="005E5DCF" w:rsidRPr="005E5DCF">
        <w:t>0,000</w:t>
      </w:r>
      <w:r w:rsidRPr="005E5DCF">
        <w:t xml:space="preserve"> per year</w:t>
      </w:r>
      <w:r>
        <w:t>.</w:t>
      </w:r>
      <w:r w:rsidR="00F47C05">
        <w:t xml:space="preserve"> </w:t>
      </w:r>
      <w:r w:rsidR="00D4464D">
        <w:t>Capital costs were annualized using a capital recovery factor (CRF) of 0.1424, representing an interest rate of 7</w:t>
      </w:r>
      <w:r w:rsidR="006F2054">
        <w:t xml:space="preserve"> percent</w:t>
      </w:r>
      <w:r w:rsidR="00D4464D">
        <w:t xml:space="preserve"> over a 10</w:t>
      </w:r>
      <w:r w:rsidR="000A3A2F">
        <w:t>-</w:t>
      </w:r>
      <w:r w:rsidR="00D4464D">
        <w:t>year period</w:t>
      </w:r>
      <w:r w:rsidR="00645CD0">
        <w:t>,</w:t>
      </w:r>
      <w:r w:rsidR="00D4464D">
        <w:t xml:space="preserve"> except that </w:t>
      </w:r>
      <w:r w:rsidR="000A3A2F">
        <w:t xml:space="preserve">flare </w:t>
      </w:r>
      <w:r w:rsidR="00D4464D">
        <w:t>monitoring costs were annualized using a CRF of 0.</w:t>
      </w:r>
      <w:r w:rsidR="000A3A2F">
        <w:t>094</w:t>
      </w:r>
      <w:r w:rsidR="00D4464D">
        <w:t xml:space="preserve"> representing an interest rate of 7</w:t>
      </w:r>
      <w:r w:rsidR="006F2054">
        <w:t xml:space="preserve"> percent</w:t>
      </w:r>
      <w:r w:rsidR="00D4464D">
        <w:t xml:space="preserve"> over </w:t>
      </w:r>
      <w:r w:rsidR="000A3A2F">
        <w:t>20</w:t>
      </w:r>
      <w:r w:rsidR="00D4464D">
        <w:t xml:space="preserve"> years.</w:t>
      </w:r>
    </w:p>
    <w:p w:rsidR="00B50B26" w:rsidRDefault="0055536A" w:rsidP="0055536A">
      <w:pPr>
        <w:pStyle w:val="SectionSubheading"/>
      </w:pPr>
      <w:r w:rsidRPr="00B54DC3">
        <w:t>6(c)</w:t>
      </w:r>
      <w:r>
        <w:t xml:space="preserve"> </w:t>
      </w:r>
      <w:r w:rsidRPr="00B54DC3">
        <w:t>Estimating Agency Burden and Cost</w:t>
      </w:r>
    </w:p>
    <w:p w:rsidR="00B50B26" w:rsidRDefault="00030D15" w:rsidP="000A19D3">
      <w:pPr>
        <w:pStyle w:val="BodyFirstline05After12pt"/>
      </w:pPr>
      <w:r>
        <w:t>The only costs to the Agency are those costs associated with analysis of the reported information.</w:t>
      </w:r>
      <w:r w:rsidR="00F47C05">
        <w:t xml:space="preserve"> </w:t>
      </w:r>
      <w:r>
        <w:t>The EPA compliance and enforcement program includes activities such as: the examination of records maintained by the respondents; periodic inspection of sources of emissions; and the publication and distribution of collected information.</w:t>
      </w:r>
    </w:p>
    <w:p w:rsidR="00030D15" w:rsidRDefault="00030D15" w:rsidP="00D95C01">
      <w:pPr>
        <w:pStyle w:val="BodyFirstline05After12pt"/>
      </w:pPr>
      <w:r>
        <w:t xml:space="preserve">The average annual Agency cost during the </w:t>
      </w:r>
      <w:r w:rsidR="00ED4539">
        <w:t>3</w:t>
      </w:r>
      <w:r>
        <w:t xml:space="preserve"> years of the ICR is estimated to be </w:t>
      </w:r>
      <w:r w:rsidR="00E8169A" w:rsidRPr="00105CDD">
        <w:t>$</w:t>
      </w:r>
      <w:r w:rsidR="00D95C01">
        <w:t>65,244</w:t>
      </w:r>
      <w:r w:rsidRPr="00105CDD">
        <w:t xml:space="preserve"> (</w:t>
      </w:r>
      <w:r w:rsidRPr="00E8169A">
        <w:t xml:space="preserve">see Table </w:t>
      </w:r>
      <w:r w:rsidR="00E72401">
        <w:t>2</w:t>
      </w:r>
      <w:r w:rsidRPr="00E8169A">
        <w:t xml:space="preserve"> below.)</w:t>
      </w:r>
    </w:p>
    <w:p w:rsidR="00030D15" w:rsidRDefault="00030D15" w:rsidP="000A19D3">
      <w:pPr>
        <w:pStyle w:val="BodyFirstline05After12pt"/>
      </w:pPr>
      <w:r>
        <w:t>This cost is based on the average hourly labor rate as follows:</w:t>
      </w:r>
    </w:p>
    <w:tbl>
      <w:tblPr>
        <w:tblStyle w:val="TableGrid"/>
        <w:tblW w:w="0" w:type="auto"/>
        <w:tblInd w:w="12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512"/>
        <w:gridCol w:w="1170"/>
        <w:gridCol w:w="3510"/>
      </w:tblGrid>
      <w:tr w:rsidR="000A19D3" w:rsidTr="000A19D3">
        <w:tc>
          <w:tcPr>
            <w:tcW w:w="1512" w:type="dxa"/>
          </w:tcPr>
          <w:p w:rsidR="000A19D3" w:rsidRDefault="000A19D3" w:rsidP="000A19D3">
            <w:pPr>
              <w:pStyle w:val="LaborRateTable"/>
            </w:pPr>
            <w:r>
              <w:t>Managerial</w:t>
            </w:r>
          </w:p>
        </w:tc>
        <w:tc>
          <w:tcPr>
            <w:tcW w:w="1170" w:type="dxa"/>
          </w:tcPr>
          <w:p w:rsidR="000A19D3" w:rsidRPr="00AD5F72" w:rsidRDefault="000A19D3" w:rsidP="000A19D3">
            <w:pPr>
              <w:pStyle w:val="LaborRateTableCenterColumn"/>
            </w:pPr>
            <w:r w:rsidRPr="00AD5F72">
              <w:t>$61.36</w:t>
            </w:r>
          </w:p>
        </w:tc>
        <w:tc>
          <w:tcPr>
            <w:tcW w:w="3510" w:type="dxa"/>
          </w:tcPr>
          <w:p w:rsidR="000A19D3" w:rsidRDefault="000A19D3" w:rsidP="000A19D3">
            <w:pPr>
              <w:pStyle w:val="LaborRateTable"/>
            </w:pPr>
            <w:r>
              <w:t>(GS-13, Step 5, $38.35 + 60%)</w:t>
            </w:r>
          </w:p>
        </w:tc>
      </w:tr>
      <w:tr w:rsidR="000A19D3" w:rsidTr="000A19D3">
        <w:tc>
          <w:tcPr>
            <w:tcW w:w="1512" w:type="dxa"/>
          </w:tcPr>
          <w:p w:rsidR="000A19D3" w:rsidRDefault="000A19D3" w:rsidP="000A19D3">
            <w:pPr>
              <w:pStyle w:val="LaborRateTable"/>
            </w:pPr>
            <w:r>
              <w:t>Technical</w:t>
            </w:r>
          </w:p>
        </w:tc>
        <w:tc>
          <w:tcPr>
            <w:tcW w:w="1170" w:type="dxa"/>
          </w:tcPr>
          <w:p w:rsidR="000A19D3" w:rsidRPr="00AD5F72" w:rsidRDefault="000A19D3" w:rsidP="000A19D3">
            <w:pPr>
              <w:pStyle w:val="LaborRateTableCenterColumn"/>
            </w:pPr>
            <w:r w:rsidRPr="00AD5F72">
              <w:t>$45.52</w:t>
            </w:r>
          </w:p>
        </w:tc>
        <w:tc>
          <w:tcPr>
            <w:tcW w:w="3510" w:type="dxa"/>
          </w:tcPr>
          <w:p w:rsidR="000A19D3" w:rsidRDefault="000A19D3" w:rsidP="000A19D3">
            <w:pPr>
              <w:pStyle w:val="LaborRateTable"/>
            </w:pPr>
            <w:r>
              <w:t>(GS-12, Step 1, $28.45 + 60%)</w:t>
            </w:r>
          </w:p>
        </w:tc>
      </w:tr>
      <w:tr w:rsidR="000A19D3" w:rsidTr="000A19D3">
        <w:tc>
          <w:tcPr>
            <w:tcW w:w="1512" w:type="dxa"/>
          </w:tcPr>
          <w:p w:rsidR="000A19D3" w:rsidRDefault="000A19D3" w:rsidP="000A19D3">
            <w:pPr>
              <w:pStyle w:val="LaborRateTable"/>
            </w:pPr>
            <w:r w:rsidRPr="00FE67FB">
              <w:t>Clerical</w:t>
            </w:r>
          </w:p>
        </w:tc>
        <w:tc>
          <w:tcPr>
            <w:tcW w:w="1170" w:type="dxa"/>
          </w:tcPr>
          <w:p w:rsidR="000A19D3" w:rsidRPr="00AD5F72" w:rsidRDefault="000A19D3" w:rsidP="000A19D3">
            <w:pPr>
              <w:pStyle w:val="LaborRateTableCenterColumn"/>
            </w:pPr>
            <w:r w:rsidRPr="00AD5F72">
              <w:t>$24.64</w:t>
            </w:r>
          </w:p>
        </w:tc>
        <w:tc>
          <w:tcPr>
            <w:tcW w:w="3510" w:type="dxa"/>
          </w:tcPr>
          <w:p w:rsidR="000A19D3" w:rsidRDefault="000A19D3" w:rsidP="000A19D3">
            <w:pPr>
              <w:pStyle w:val="LaborRateTable"/>
            </w:pPr>
            <w:r>
              <w:t>(GS-6, Step 3, $15.40 + 60%)</w:t>
            </w:r>
          </w:p>
        </w:tc>
      </w:tr>
    </w:tbl>
    <w:p w:rsidR="00030D15" w:rsidRPr="00446CA1" w:rsidRDefault="00030D15" w:rsidP="00446CA1"/>
    <w:p w:rsidR="00E72401" w:rsidRPr="00F46122" w:rsidRDefault="00030D15" w:rsidP="00446CA1">
      <w:pPr>
        <w:pStyle w:val="BodyFirstline0After12pt"/>
      </w:pPr>
      <w:r>
        <w:t>These rates are from the Office of Personnel Management (OPM) 200</w:t>
      </w:r>
      <w:r w:rsidR="00C255FB">
        <w:t>9</w:t>
      </w:r>
      <w:r>
        <w:t xml:space="preserve"> General Schedule, which excludes locality rates of pay.</w:t>
      </w:r>
      <w:r w:rsidR="00F47C05">
        <w:t xml:space="preserve"> </w:t>
      </w:r>
      <w:r>
        <w:t>The rates have been increased by 60 percent to account for the benefit packages available to government employees.</w:t>
      </w:r>
      <w:r w:rsidR="00F47C05">
        <w:t xml:space="preserve"> </w:t>
      </w:r>
      <w:r>
        <w:t xml:space="preserve">Details upon which </w:t>
      </w:r>
      <w:r w:rsidR="00C255FB">
        <w:t xml:space="preserve">the Agency cost </w:t>
      </w:r>
      <w:r>
        <w:t xml:space="preserve">is based appear </w:t>
      </w:r>
      <w:r w:rsidRPr="00E8169A">
        <w:t xml:space="preserve">below in </w:t>
      </w:r>
      <w:r w:rsidRPr="00EC0F16">
        <w:t>Table 2</w:t>
      </w:r>
      <w:r w:rsidRPr="00E8169A">
        <w:t xml:space="preserve">: </w:t>
      </w:r>
      <w:r w:rsidR="00E72401" w:rsidRPr="00F46122">
        <w:t>Annual Burden and Cost to the Federal/State Government: Proposed Amendments to NESHAP for Petroleum Refineries (40 CFR Part 63, Subpart CC).</w:t>
      </w:r>
    </w:p>
    <w:p w:rsidR="00077ABC" w:rsidRDefault="00077ABC" w:rsidP="00446CA1">
      <w:pPr>
        <w:pStyle w:val="SectionSubheading"/>
      </w:pPr>
      <w:r w:rsidRPr="009769D3">
        <w:t>6(d)</w:t>
      </w:r>
      <w:r w:rsidR="00F47C05">
        <w:t xml:space="preserve"> </w:t>
      </w:r>
      <w:r w:rsidRPr="009769D3">
        <w:t>Estimating the Respondent Universe and Total Burden and Costs</w:t>
      </w:r>
    </w:p>
    <w:p w:rsidR="00C255FB" w:rsidRDefault="00C255FB" w:rsidP="00680451">
      <w:pPr>
        <w:pStyle w:val="BodyFirstline05After12pt"/>
      </w:pPr>
      <w:r>
        <w:t>There are currently 14</w:t>
      </w:r>
      <w:r w:rsidR="00ED4539">
        <w:t>2</w:t>
      </w:r>
      <w:r>
        <w:t xml:space="preserve"> </w:t>
      </w:r>
      <w:r w:rsidR="00ED4539">
        <w:t xml:space="preserve">major source </w:t>
      </w:r>
      <w:r>
        <w:t xml:space="preserve">refineries in the United States and no new refineries are expected to be built during the next </w:t>
      </w:r>
      <w:r w:rsidR="00ED4539">
        <w:t>3-</w:t>
      </w:r>
      <w:r>
        <w:t>year period.</w:t>
      </w:r>
      <w:r w:rsidR="00F47C05">
        <w:t xml:space="preserve"> </w:t>
      </w:r>
      <w:r>
        <w:t xml:space="preserve">For </w:t>
      </w:r>
      <w:r w:rsidR="00D85328">
        <w:t xml:space="preserve">the </w:t>
      </w:r>
      <w:r>
        <w:t>fenceline monitoring</w:t>
      </w:r>
      <w:r w:rsidR="00D85328">
        <w:t xml:space="preserve"> requirements</w:t>
      </w:r>
      <w:r>
        <w:t xml:space="preserve">, and </w:t>
      </w:r>
      <w:r w:rsidR="00D85328">
        <w:t xml:space="preserve">the </w:t>
      </w:r>
      <w:r>
        <w:t xml:space="preserve">new monitoring requirements for </w:t>
      </w:r>
      <w:r w:rsidR="000A19D3">
        <w:t xml:space="preserve">relief </w:t>
      </w:r>
      <w:r w:rsidR="00680451">
        <w:t>valves</w:t>
      </w:r>
      <w:r>
        <w:t xml:space="preserve">, it was assumed that one-third of all refineries would come into compliance with requirements each year over the next </w:t>
      </w:r>
      <w:r w:rsidR="00ED4539">
        <w:t>3</w:t>
      </w:r>
      <w:r>
        <w:t xml:space="preserve"> years</w:t>
      </w:r>
      <w:r w:rsidR="00D85328">
        <w:t>. This means that by the end of year one, 4</w:t>
      </w:r>
      <w:r w:rsidR="00EE75A6">
        <w:t>7.3</w:t>
      </w:r>
      <w:r w:rsidR="00D85328">
        <w:t xml:space="preserve"> refineries would be in compliance; </w:t>
      </w:r>
      <w:r>
        <w:t>by the end</w:t>
      </w:r>
      <w:r w:rsidR="00D85328">
        <w:t xml:space="preserve"> of year two, 9</w:t>
      </w:r>
      <w:r w:rsidR="00EE75A6">
        <w:t>4.7</w:t>
      </w:r>
      <w:r w:rsidR="00D85328">
        <w:t xml:space="preserve"> refineries would be in compliance; and by the end of year three, </w:t>
      </w:r>
      <w:r>
        <w:t>all 14</w:t>
      </w:r>
      <w:r w:rsidR="00ED4539">
        <w:t>2</w:t>
      </w:r>
      <w:r>
        <w:t xml:space="preserve"> refineries would be in compliance with the </w:t>
      </w:r>
      <w:r w:rsidR="00D85328">
        <w:t>updated rule</w:t>
      </w:r>
      <w:r w:rsidR="0084637E">
        <w:t>.</w:t>
      </w:r>
      <w:r w:rsidR="00C249BB">
        <w:t xml:space="preserve"> </w:t>
      </w:r>
      <w:r w:rsidR="0084637E">
        <w:t xml:space="preserve">Over the </w:t>
      </w:r>
      <w:r w:rsidR="00ED4539">
        <w:t>3-</w:t>
      </w:r>
      <w:r w:rsidR="0084637E">
        <w:t>year period, an average of 9</w:t>
      </w:r>
      <w:r w:rsidR="00EE75A6">
        <w:t>4.7</w:t>
      </w:r>
      <w:r w:rsidR="0084637E">
        <w:t xml:space="preserve"> refineries will be reporting under the new requirements ((4</w:t>
      </w:r>
      <w:r w:rsidR="00EE75A6">
        <w:t>7.3</w:t>
      </w:r>
      <w:r w:rsidR="0084637E">
        <w:t>+9</w:t>
      </w:r>
      <w:r w:rsidR="00EE75A6">
        <w:t>4.7</w:t>
      </w:r>
      <w:r w:rsidR="0084637E">
        <w:t>+14</w:t>
      </w:r>
      <w:r w:rsidR="00ED4539">
        <w:t>2</w:t>
      </w:r>
      <w:r w:rsidR="00F55A20">
        <w:t>)</w:t>
      </w:r>
      <w:r w:rsidR="0084637E">
        <w:t>/3).</w:t>
      </w:r>
    </w:p>
    <w:tbl>
      <w:tblPr>
        <w:tblW w:w="0" w:type="auto"/>
        <w:jc w:val="center"/>
        <w:tblBorders>
          <w:top w:val="single" w:sz="2" w:space="0" w:color="000000"/>
          <w:left w:val="single" w:sz="2" w:space="0" w:color="000000"/>
          <w:bottom w:val="single" w:sz="2" w:space="0" w:color="000000"/>
          <w:right w:val="single" w:sz="2" w:space="0" w:color="000000"/>
          <w:insideH w:val="single" w:sz="6" w:space="0" w:color="000000"/>
          <w:insideV w:val="single" w:sz="6" w:space="0" w:color="000000"/>
        </w:tblBorders>
        <w:tblLayout w:type="fixed"/>
        <w:tblCellMar>
          <w:left w:w="110" w:type="dxa"/>
          <w:right w:w="110" w:type="dxa"/>
        </w:tblCellMar>
        <w:tblLook w:val="0000"/>
      </w:tblPr>
      <w:tblGrid>
        <w:gridCol w:w="900"/>
        <w:gridCol w:w="1597"/>
        <w:gridCol w:w="1282"/>
        <w:gridCol w:w="2070"/>
        <w:gridCol w:w="1891"/>
        <w:gridCol w:w="1619"/>
      </w:tblGrid>
      <w:tr w:rsidR="00446CA1" w:rsidTr="00446CA1">
        <w:trPr>
          <w:cantSplit/>
          <w:tblHeader/>
          <w:jc w:val="center"/>
        </w:trPr>
        <w:tc>
          <w:tcPr>
            <w:tcW w:w="9359" w:type="dxa"/>
            <w:gridSpan w:val="6"/>
          </w:tcPr>
          <w:p w:rsidR="00446CA1" w:rsidRPr="00F672CC" w:rsidRDefault="00446CA1" w:rsidP="00446CA1">
            <w:pPr>
              <w:pStyle w:val="TableColumnHeading"/>
              <w:rPr>
                <w:rStyle w:val="Bold"/>
              </w:rPr>
            </w:pPr>
            <w:r w:rsidRPr="00F672CC">
              <w:rPr>
                <w:rStyle w:val="Bold"/>
              </w:rPr>
              <w:lastRenderedPageBreak/>
              <w:t>Number of Respondents</w:t>
            </w:r>
          </w:p>
        </w:tc>
      </w:tr>
      <w:tr w:rsidR="00446CA1" w:rsidTr="00446CA1">
        <w:trPr>
          <w:cantSplit/>
          <w:tblHeader/>
          <w:jc w:val="center"/>
        </w:trPr>
        <w:tc>
          <w:tcPr>
            <w:tcW w:w="900" w:type="dxa"/>
          </w:tcPr>
          <w:p w:rsidR="00446CA1" w:rsidRPr="00F672CC" w:rsidRDefault="00446CA1" w:rsidP="00510ED3">
            <w:pPr>
              <w:pStyle w:val="TableColumnHeading10pt"/>
            </w:pPr>
          </w:p>
        </w:tc>
        <w:tc>
          <w:tcPr>
            <w:tcW w:w="2879" w:type="dxa"/>
            <w:gridSpan w:val="2"/>
          </w:tcPr>
          <w:p w:rsidR="00446CA1" w:rsidRPr="00F672CC" w:rsidRDefault="00446CA1" w:rsidP="00510ED3">
            <w:pPr>
              <w:pStyle w:val="TableColumnHeading10pt"/>
            </w:pPr>
            <w:r w:rsidRPr="00F672CC">
              <w:t>Respondents That Submit Reports</w:t>
            </w:r>
          </w:p>
        </w:tc>
        <w:tc>
          <w:tcPr>
            <w:tcW w:w="2070" w:type="dxa"/>
          </w:tcPr>
          <w:p w:rsidR="00446CA1" w:rsidRPr="00F672CC" w:rsidRDefault="00446CA1" w:rsidP="00510ED3">
            <w:pPr>
              <w:pStyle w:val="TableColumnHeading10pt"/>
            </w:pPr>
            <w:r w:rsidRPr="00F672CC">
              <w:t>Respondents That Do Not Submit Any Reports</w:t>
            </w:r>
          </w:p>
        </w:tc>
        <w:tc>
          <w:tcPr>
            <w:tcW w:w="3510" w:type="dxa"/>
            <w:gridSpan w:val="2"/>
          </w:tcPr>
          <w:p w:rsidR="00446CA1" w:rsidRPr="00F672CC" w:rsidRDefault="00446CA1" w:rsidP="00510ED3">
            <w:pPr>
              <w:pStyle w:val="TableColumnHeading10pt"/>
            </w:pPr>
          </w:p>
        </w:tc>
      </w:tr>
      <w:tr w:rsidR="00446CA1" w:rsidTr="00510ED3">
        <w:trPr>
          <w:cantSplit/>
          <w:tblHeader/>
          <w:jc w:val="center"/>
        </w:trPr>
        <w:tc>
          <w:tcPr>
            <w:tcW w:w="900" w:type="dxa"/>
          </w:tcPr>
          <w:p w:rsidR="00446CA1" w:rsidRDefault="00446CA1" w:rsidP="00446CA1">
            <w:pPr>
              <w:pStyle w:val="TableTextCenter10pt"/>
            </w:pPr>
            <w:r>
              <w:t>Year</w:t>
            </w:r>
          </w:p>
        </w:tc>
        <w:tc>
          <w:tcPr>
            <w:tcW w:w="1597" w:type="dxa"/>
          </w:tcPr>
          <w:p w:rsidR="00446CA1" w:rsidRDefault="00446CA1" w:rsidP="00446CA1">
            <w:pPr>
              <w:pStyle w:val="TableTextCenter10pt"/>
            </w:pPr>
            <w:r>
              <w:t>(A)</w:t>
            </w:r>
          </w:p>
          <w:p w:rsidR="00446CA1" w:rsidRDefault="00446CA1" w:rsidP="00446CA1">
            <w:pPr>
              <w:pStyle w:val="TableTextCenter10pt"/>
            </w:pPr>
            <w:r>
              <w:t>Number of New Respondents</w:t>
            </w:r>
            <w:r w:rsidRPr="00F672CC">
              <w:t xml:space="preserve"> </w:t>
            </w:r>
            <w:r>
              <w:rPr>
                <w:rStyle w:val="Superscript"/>
              </w:rPr>
              <w:t>a</w:t>
            </w:r>
          </w:p>
        </w:tc>
        <w:tc>
          <w:tcPr>
            <w:tcW w:w="1282" w:type="dxa"/>
          </w:tcPr>
          <w:p w:rsidR="00446CA1" w:rsidRDefault="00446CA1" w:rsidP="00446CA1">
            <w:pPr>
              <w:pStyle w:val="TableTextCenter10pt"/>
            </w:pPr>
            <w:r>
              <w:t>(B)</w:t>
            </w:r>
          </w:p>
          <w:p w:rsidR="00446CA1" w:rsidRDefault="00446CA1" w:rsidP="00446CA1">
            <w:pPr>
              <w:pStyle w:val="TableTextCenter10pt"/>
            </w:pPr>
            <w:r>
              <w:t>Number of Existing Respondents</w:t>
            </w:r>
          </w:p>
        </w:tc>
        <w:tc>
          <w:tcPr>
            <w:tcW w:w="2070" w:type="dxa"/>
          </w:tcPr>
          <w:p w:rsidR="00446CA1" w:rsidRDefault="00446CA1" w:rsidP="00446CA1">
            <w:pPr>
              <w:pStyle w:val="TableTextCenter10pt"/>
            </w:pPr>
            <w:r>
              <w:t>(C)</w:t>
            </w:r>
          </w:p>
          <w:p w:rsidR="00446CA1" w:rsidRDefault="00446CA1" w:rsidP="00446CA1">
            <w:pPr>
              <w:pStyle w:val="TableTextCenter10pt"/>
            </w:pPr>
            <w:r>
              <w:t>Number of Existing Respondents that keep records but do not submit reports</w:t>
            </w:r>
          </w:p>
        </w:tc>
        <w:tc>
          <w:tcPr>
            <w:tcW w:w="1891" w:type="dxa"/>
          </w:tcPr>
          <w:p w:rsidR="00446CA1" w:rsidRDefault="00446CA1" w:rsidP="00446CA1">
            <w:pPr>
              <w:pStyle w:val="TableTextCenter10pt"/>
            </w:pPr>
            <w:r>
              <w:t>(D)</w:t>
            </w:r>
          </w:p>
          <w:p w:rsidR="00446CA1" w:rsidRDefault="00446CA1" w:rsidP="00446CA1">
            <w:pPr>
              <w:pStyle w:val="TableTextCenter10pt"/>
            </w:pPr>
            <w:r>
              <w:t>Number of Existing Respondents That Are Also New Respondents</w:t>
            </w:r>
          </w:p>
        </w:tc>
        <w:tc>
          <w:tcPr>
            <w:tcW w:w="1619" w:type="dxa"/>
          </w:tcPr>
          <w:p w:rsidR="00446CA1" w:rsidRDefault="00446CA1" w:rsidP="00446CA1">
            <w:pPr>
              <w:pStyle w:val="TableTextCenter10pt"/>
            </w:pPr>
            <w:r>
              <w:t>(E)</w:t>
            </w:r>
          </w:p>
          <w:p w:rsidR="00446CA1" w:rsidRDefault="00446CA1" w:rsidP="00446CA1">
            <w:pPr>
              <w:pStyle w:val="TableTextCenter10pt"/>
            </w:pPr>
            <w:r>
              <w:t>Number of Respondents</w:t>
            </w:r>
          </w:p>
          <w:p w:rsidR="00446CA1" w:rsidRDefault="00446CA1" w:rsidP="00446CA1">
            <w:pPr>
              <w:pStyle w:val="TableTextCenter10pt"/>
            </w:pPr>
            <w:r>
              <w:t>(E=A+B+C-D)</w:t>
            </w:r>
          </w:p>
        </w:tc>
      </w:tr>
      <w:tr w:rsidR="00446CA1" w:rsidTr="00510ED3">
        <w:trPr>
          <w:cantSplit/>
          <w:jc w:val="center"/>
        </w:trPr>
        <w:tc>
          <w:tcPr>
            <w:tcW w:w="900" w:type="dxa"/>
          </w:tcPr>
          <w:p w:rsidR="00446CA1" w:rsidRDefault="00446CA1" w:rsidP="00446CA1">
            <w:pPr>
              <w:pStyle w:val="TableTextCenter10pt"/>
            </w:pPr>
            <w:r>
              <w:t>1</w:t>
            </w:r>
          </w:p>
        </w:tc>
        <w:tc>
          <w:tcPr>
            <w:tcW w:w="1597" w:type="dxa"/>
          </w:tcPr>
          <w:p w:rsidR="00446CA1" w:rsidRDefault="00446CA1" w:rsidP="00446CA1">
            <w:pPr>
              <w:pStyle w:val="TableTextCenter10pt"/>
            </w:pPr>
            <w:r>
              <w:t>0</w:t>
            </w:r>
          </w:p>
        </w:tc>
        <w:tc>
          <w:tcPr>
            <w:tcW w:w="1282" w:type="dxa"/>
          </w:tcPr>
          <w:p w:rsidR="00446CA1" w:rsidRDefault="00446CA1" w:rsidP="00EE75A6">
            <w:pPr>
              <w:pStyle w:val="TableTextCenter10pt"/>
            </w:pPr>
            <w:r>
              <w:t>4</w:t>
            </w:r>
            <w:r w:rsidR="00EE75A6">
              <w:t>7</w:t>
            </w:r>
            <w:r>
              <w:t>.3</w:t>
            </w:r>
          </w:p>
        </w:tc>
        <w:tc>
          <w:tcPr>
            <w:tcW w:w="2070" w:type="dxa"/>
          </w:tcPr>
          <w:p w:rsidR="00446CA1" w:rsidRDefault="00446CA1" w:rsidP="00446CA1">
            <w:pPr>
              <w:pStyle w:val="TableTextCenter10pt"/>
            </w:pPr>
            <w:r>
              <w:t>0</w:t>
            </w:r>
          </w:p>
        </w:tc>
        <w:tc>
          <w:tcPr>
            <w:tcW w:w="1891" w:type="dxa"/>
          </w:tcPr>
          <w:p w:rsidR="00446CA1" w:rsidRDefault="00AE06D7" w:rsidP="00446CA1">
            <w:pPr>
              <w:pStyle w:val="TableTextCenter10pt"/>
            </w:pPr>
            <w:r>
              <w:t>0</w:t>
            </w:r>
          </w:p>
        </w:tc>
        <w:tc>
          <w:tcPr>
            <w:tcW w:w="1619" w:type="dxa"/>
          </w:tcPr>
          <w:p w:rsidR="00446CA1" w:rsidRDefault="00446CA1" w:rsidP="00EE75A6">
            <w:pPr>
              <w:pStyle w:val="TableTextCenter10pt"/>
            </w:pPr>
            <w:r>
              <w:t>4</w:t>
            </w:r>
            <w:r w:rsidR="00EE75A6">
              <w:t>7</w:t>
            </w:r>
            <w:r>
              <w:t>.3</w:t>
            </w:r>
          </w:p>
        </w:tc>
      </w:tr>
      <w:tr w:rsidR="00446CA1" w:rsidTr="00510ED3">
        <w:trPr>
          <w:cantSplit/>
          <w:jc w:val="center"/>
        </w:trPr>
        <w:tc>
          <w:tcPr>
            <w:tcW w:w="900" w:type="dxa"/>
          </w:tcPr>
          <w:p w:rsidR="00446CA1" w:rsidRDefault="00446CA1" w:rsidP="00446CA1">
            <w:pPr>
              <w:pStyle w:val="TableTextCenter10pt"/>
            </w:pPr>
            <w:r>
              <w:t>2</w:t>
            </w:r>
          </w:p>
        </w:tc>
        <w:tc>
          <w:tcPr>
            <w:tcW w:w="1597" w:type="dxa"/>
            <w:vAlign w:val="center"/>
          </w:tcPr>
          <w:p w:rsidR="00446CA1" w:rsidRDefault="00446CA1" w:rsidP="00446CA1">
            <w:pPr>
              <w:pStyle w:val="TableTextCenter10pt"/>
            </w:pPr>
            <w:r>
              <w:t>0</w:t>
            </w:r>
          </w:p>
        </w:tc>
        <w:tc>
          <w:tcPr>
            <w:tcW w:w="1282" w:type="dxa"/>
          </w:tcPr>
          <w:p w:rsidR="00446CA1" w:rsidRDefault="00446CA1" w:rsidP="00EE75A6">
            <w:pPr>
              <w:pStyle w:val="TableTextCenter10pt"/>
            </w:pPr>
            <w:r>
              <w:t>9</w:t>
            </w:r>
            <w:r w:rsidR="00EE75A6">
              <w:t>4.7</w:t>
            </w:r>
          </w:p>
        </w:tc>
        <w:tc>
          <w:tcPr>
            <w:tcW w:w="2070" w:type="dxa"/>
          </w:tcPr>
          <w:p w:rsidR="00446CA1" w:rsidRDefault="00446CA1" w:rsidP="00446CA1">
            <w:pPr>
              <w:pStyle w:val="TableTextCenter10pt"/>
            </w:pPr>
            <w:r>
              <w:t>0</w:t>
            </w:r>
          </w:p>
        </w:tc>
        <w:tc>
          <w:tcPr>
            <w:tcW w:w="1891" w:type="dxa"/>
            <w:vAlign w:val="center"/>
          </w:tcPr>
          <w:p w:rsidR="00446CA1" w:rsidRDefault="00AE06D7" w:rsidP="00446CA1">
            <w:pPr>
              <w:pStyle w:val="TableTextCenter10pt"/>
            </w:pPr>
            <w:r>
              <w:t>0</w:t>
            </w:r>
          </w:p>
        </w:tc>
        <w:tc>
          <w:tcPr>
            <w:tcW w:w="1619" w:type="dxa"/>
          </w:tcPr>
          <w:p w:rsidR="00446CA1" w:rsidRDefault="00446CA1" w:rsidP="00EE75A6">
            <w:pPr>
              <w:pStyle w:val="TableTextCenter10pt"/>
            </w:pPr>
            <w:r>
              <w:t>9</w:t>
            </w:r>
            <w:r w:rsidR="00EE75A6">
              <w:t>4.7</w:t>
            </w:r>
          </w:p>
        </w:tc>
      </w:tr>
      <w:tr w:rsidR="00446CA1" w:rsidTr="00510ED3">
        <w:trPr>
          <w:cantSplit/>
          <w:jc w:val="center"/>
        </w:trPr>
        <w:tc>
          <w:tcPr>
            <w:tcW w:w="900" w:type="dxa"/>
          </w:tcPr>
          <w:p w:rsidR="00446CA1" w:rsidRDefault="00446CA1" w:rsidP="00446CA1">
            <w:pPr>
              <w:pStyle w:val="TableTextCenter10pt"/>
            </w:pPr>
            <w:r>
              <w:t>3</w:t>
            </w:r>
          </w:p>
        </w:tc>
        <w:tc>
          <w:tcPr>
            <w:tcW w:w="1597" w:type="dxa"/>
          </w:tcPr>
          <w:p w:rsidR="00446CA1" w:rsidRDefault="00446CA1" w:rsidP="00446CA1">
            <w:pPr>
              <w:pStyle w:val="TableTextCenter10pt"/>
            </w:pPr>
            <w:r>
              <w:t>0</w:t>
            </w:r>
          </w:p>
        </w:tc>
        <w:tc>
          <w:tcPr>
            <w:tcW w:w="1282" w:type="dxa"/>
          </w:tcPr>
          <w:p w:rsidR="00446CA1" w:rsidRDefault="00446CA1" w:rsidP="00ED4539">
            <w:pPr>
              <w:pStyle w:val="TableTextCenter10pt"/>
            </w:pPr>
            <w:r>
              <w:t>14</w:t>
            </w:r>
            <w:r w:rsidR="00ED4539">
              <w:t>2</w:t>
            </w:r>
          </w:p>
        </w:tc>
        <w:tc>
          <w:tcPr>
            <w:tcW w:w="2070" w:type="dxa"/>
          </w:tcPr>
          <w:p w:rsidR="00446CA1" w:rsidRDefault="00446CA1" w:rsidP="00446CA1">
            <w:pPr>
              <w:pStyle w:val="TableTextCenter10pt"/>
            </w:pPr>
            <w:r>
              <w:t>0</w:t>
            </w:r>
          </w:p>
        </w:tc>
        <w:tc>
          <w:tcPr>
            <w:tcW w:w="1891" w:type="dxa"/>
          </w:tcPr>
          <w:p w:rsidR="00446CA1" w:rsidRDefault="00AE06D7" w:rsidP="00446CA1">
            <w:pPr>
              <w:pStyle w:val="TableTextCenter10pt"/>
            </w:pPr>
            <w:r>
              <w:t>0</w:t>
            </w:r>
          </w:p>
        </w:tc>
        <w:tc>
          <w:tcPr>
            <w:tcW w:w="1619" w:type="dxa"/>
          </w:tcPr>
          <w:p w:rsidR="00446CA1" w:rsidRDefault="00446CA1" w:rsidP="00ED4539">
            <w:pPr>
              <w:pStyle w:val="TableTextCenter10pt"/>
            </w:pPr>
            <w:r>
              <w:t>14</w:t>
            </w:r>
            <w:r w:rsidR="00ED4539">
              <w:t>2</w:t>
            </w:r>
          </w:p>
        </w:tc>
      </w:tr>
      <w:tr w:rsidR="00446CA1" w:rsidTr="00510ED3">
        <w:trPr>
          <w:cantSplit/>
          <w:jc w:val="center"/>
        </w:trPr>
        <w:tc>
          <w:tcPr>
            <w:tcW w:w="900" w:type="dxa"/>
          </w:tcPr>
          <w:p w:rsidR="00446CA1" w:rsidRDefault="00446CA1" w:rsidP="00446CA1">
            <w:pPr>
              <w:pStyle w:val="TableTextCenter10pt"/>
            </w:pPr>
            <w:r>
              <w:t>Average</w:t>
            </w:r>
          </w:p>
        </w:tc>
        <w:tc>
          <w:tcPr>
            <w:tcW w:w="1597" w:type="dxa"/>
          </w:tcPr>
          <w:p w:rsidR="00446CA1" w:rsidRDefault="00446CA1" w:rsidP="00446CA1">
            <w:pPr>
              <w:pStyle w:val="TableTextCenter10pt"/>
            </w:pPr>
            <w:r>
              <w:t>0</w:t>
            </w:r>
          </w:p>
        </w:tc>
        <w:tc>
          <w:tcPr>
            <w:tcW w:w="1282" w:type="dxa"/>
          </w:tcPr>
          <w:p w:rsidR="00446CA1" w:rsidRDefault="00446CA1" w:rsidP="00EE75A6">
            <w:pPr>
              <w:pStyle w:val="TableTextCenter10pt"/>
            </w:pPr>
            <w:r>
              <w:t>9</w:t>
            </w:r>
            <w:r w:rsidR="00EE75A6">
              <w:t>4.7</w:t>
            </w:r>
          </w:p>
        </w:tc>
        <w:tc>
          <w:tcPr>
            <w:tcW w:w="2070" w:type="dxa"/>
          </w:tcPr>
          <w:p w:rsidR="00446CA1" w:rsidRDefault="00446CA1" w:rsidP="00446CA1">
            <w:pPr>
              <w:pStyle w:val="TableTextCenter10pt"/>
            </w:pPr>
            <w:r>
              <w:t>0</w:t>
            </w:r>
          </w:p>
        </w:tc>
        <w:tc>
          <w:tcPr>
            <w:tcW w:w="1891" w:type="dxa"/>
          </w:tcPr>
          <w:p w:rsidR="00446CA1" w:rsidRDefault="00AE06D7" w:rsidP="00446CA1">
            <w:pPr>
              <w:pStyle w:val="TableTextCenter10pt"/>
            </w:pPr>
            <w:r>
              <w:t>0</w:t>
            </w:r>
          </w:p>
        </w:tc>
        <w:tc>
          <w:tcPr>
            <w:tcW w:w="1619" w:type="dxa"/>
          </w:tcPr>
          <w:p w:rsidR="00446CA1" w:rsidRDefault="00446CA1" w:rsidP="00EE75A6">
            <w:pPr>
              <w:pStyle w:val="TableTextCenter10pt"/>
            </w:pPr>
            <w:r>
              <w:t>9</w:t>
            </w:r>
            <w:r w:rsidR="00EE75A6">
              <w:t>4.7</w:t>
            </w:r>
          </w:p>
        </w:tc>
      </w:tr>
    </w:tbl>
    <w:p w:rsidR="00446CA1" w:rsidRPr="00F672CC" w:rsidRDefault="00446CA1" w:rsidP="00446CA1">
      <w:pPr>
        <w:pStyle w:val="TableFootnote"/>
      </w:pPr>
      <w:r>
        <w:rPr>
          <w:rStyle w:val="Superscript"/>
        </w:rPr>
        <w:t>a</w:t>
      </w:r>
      <w:r w:rsidRPr="00F672CC">
        <w:t xml:space="preserve"> New respondents include sources with constructed, reconstructed, and modified affected facilities.</w:t>
      </w:r>
    </w:p>
    <w:p w:rsidR="00446CA1" w:rsidRDefault="00446CA1" w:rsidP="00446CA1">
      <w:pPr>
        <w:pStyle w:val="AfterTable"/>
      </w:pPr>
    </w:p>
    <w:p w:rsidR="00F4088B" w:rsidRDefault="00F4088B" w:rsidP="00EE75A6">
      <w:pPr>
        <w:pStyle w:val="BodyFirstline05After12pt"/>
      </w:pPr>
      <w:r>
        <w:t>Column D is subtracted to avoid double-counting respondents.</w:t>
      </w:r>
      <w:r w:rsidR="00F47C05">
        <w:t xml:space="preserve"> </w:t>
      </w:r>
      <w:r>
        <w:t xml:space="preserve">As shown above, the average Number of Respondents over the </w:t>
      </w:r>
      <w:r w:rsidR="00ED4539">
        <w:t>3</w:t>
      </w:r>
      <w:r>
        <w:t>-year period of this ICR is 9</w:t>
      </w:r>
      <w:r w:rsidR="00E63037">
        <w:t>5</w:t>
      </w:r>
      <w:r>
        <w:t>.</w:t>
      </w:r>
    </w:p>
    <w:p w:rsidR="00A823E7" w:rsidRDefault="00A823E7" w:rsidP="00446CA1">
      <w:pPr>
        <w:pStyle w:val="BodyFirstline05After12pt"/>
      </w:pPr>
      <w:r>
        <w:t>The total number of annual responses per year is calcul</w:t>
      </w:r>
      <w:r w:rsidR="00B50B26">
        <w:t>ated using the following table:</w:t>
      </w:r>
    </w:p>
    <w:tbl>
      <w:tblPr>
        <w:tblW w:w="9359" w:type="dxa"/>
        <w:jc w:val="center"/>
        <w:tblBorders>
          <w:top w:val="single" w:sz="2" w:space="0" w:color="000000"/>
          <w:left w:val="single" w:sz="2" w:space="0" w:color="000000"/>
          <w:bottom w:val="single" w:sz="2" w:space="0" w:color="000000"/>
          <w:right w:val="single" w:sz="2" w:space="0" w:color="000000"/>
          <w:insideH w:val="single" w:sz="6" w:space="0" w:color="000000"/>
          <w:insideV w:val="single" w:sz="6" w:space="0" w:color="000000"/>
        </w:tblBorders>
        <w:tblLayout w:type="fixed"/>
        <w:tblCellMar>
          <w:left w:w="111" w:type="dxa"/>
          <w:right w:w="111" w:type="dxa"/>
        </w:tblCellMar>
        <w:tblLook w:val="0000"/>
      </w:tblPr>
      <w:tblGrid>
        <w:gridCol w:w="3150"/>
        <w:gridCol w:w="1350"/>
        <w:gridCol w:w="1260"/>
        <w:gridCol w:w="2250"/>
        <w:gridCol w:w="1349"/>
      </w:tblGrid>
      <w:tr w:rsidR="00A823E7" w:rsidTr="00446CA1">
        <w:trPr>
          <w:cantSplit/>
          <w:tblHeader/>
          <w:jc w:val="center"/>
        </w:trPr>
        <w:tc>
          <w:tcPr>
            <w:tcW w:w="9359" w:type="dxa"/>
            <w:gridSpan w:val="5"/>
          </w:tcPr>
          <w:p w:rsidR="00A823E7" w:rsidRPr="00F46122" w:rsidRDefault="00A823E7" w:rsidP="00F46122">
            <w:pPr>
              <w:pStyle w:val="TableColumnHeading"/>
              <w:rPr>
                <w:rStyle w:val="Bold"/>
              </w:rPr>
            </w:pPr>
            <w:r w:rsidRPr="00F46122">
              <w:rPr>
                <w:rStyle w:val="Bold"/>
              </w:rPr>
              <w:t>Total Annual Responses</w:t>
            </w:r>
          </w:p>
        </w:tc>
      </w:tr>
      <w:tr w:rsidR="00A823E7" w:rsidTr="00680451">
        <w:trPr>
          <w:cantSplit/>
          <w:tblHeader/>
          <w:jc w:val="center"/>
        </w:trPr>
        <w:tc>
          <w:tcPr>
            <w:tcW w:w="3150" w:type="dxa"/>
          </w:tcPr>
          <w:p w:rsidR="00A823E7" w:rsidRDefault="00A823E7" w:rsidP="00446CA1">
            <w:pPr>
              <w:pStyle w:val="TableTextCenter10pt"/>
            </w:pPr>
            <w:r>
              <w:t>(A)</w:t>
            </w:r>
          </w:p>
          <w:p w:rsidR="00A823E7" w:rsidRDefault="00A823E7" w:rsidP="00446CA1">
            <w:pPr>
              <w:pStyle w:val="TableTextCenter10pt"/>
            </w:pPr>
            <w:r>
              <w:t>Information Collection Activity</w:t>
            </w:r>
          </w:p>
        </w:tc>
        <w:tc>
          <w:tcPr>
            <w:tcW w:w="1350" w:type="dxa"/>
          </w:tcPr>
          <w:p w:rsidR="00A823E7" w:rsidRDefault="00A823E7" w:rsidP="00446CA1">
            <w:pPr>
              <w:pStyle w:val="TableTextCenter10pt"/>
            </w:pPr>
            <w:r>
              <w:t>(B)</w:t>
            </w:r>
          </w:p>
          <w:p w:rsidR="00A823E7" w:rsidRDefault="00A823E7" w:rsidP="00446CA1">
            <w:pPr>
              <w:pStyle w:val="TableTextCenter10pt"/>
            </w:pPr>
            <w:r>
              <w:t>Number of Respondents</w:t>
            </w:r>
            <w:r w:rsidRPr="00446CA1">
              <w:rPr>
                <w:rStyle w:val="Superscript"/>
              </w:rPr>
              <w:t>a</w:t>
            </w:r>
          </w:p>
        </w:tc>
        <w:tc>
          <w:tcPr>
            <w:tcW w:w="1260" w:type="dxa"/>
          </w:tcPr>
          <w:p w:rsidR="00A823E7" w:rsidRDefault="00A823E7" w:rsidP="00446CA1">
            <w:pPr>
              <w:pStyle w:val="TableTextCenter10pt"/>
            </w:pPr>
            <w:r>
              <w:t>(C)</w:t>
            </w:r>
          </w:p>
          <w:p w:rsidR="00A823E7" w:rsidRDefault="00A823E7" w:rsidP="00446CA1">
            <w:pPr>
              <w:pStyle w:val="TableTextCenter10pt"/>
            </w:pPr>
            <w:r>
              <w:t>Number of Responses</w:t>
            </w:r>
          </w:p>
        </w:tc>
        <w:tc>
          <w:tcPr>
            <w:tcW w:w="2250" w:type="dxa"/>
          </w:tcPr>
          <w:p w:rsidR="00A823E7" w:rsidRDefault="00A823E7" w:rsidP="00446CA1">
            <w:pPr>
              <w:pStyle w:val="TableTextCenter10pt"/>
            </w:pPr>
            <w:r>
              <w:t>(D)</w:t>
            </w:r>
          </w:p>
          <w:p w:rsidR="00A823E7" w:rsidRDefault="00A823E7" w:rsidP="00446CA1">
            <w:pPr>
              <w:pStyle w:val="TableTextCenter10pt"/>
            </w:pPr>
            <w:r>
              <w:t>Number of Existing Respondents That Keep Records But Do Not Submit Reports</w:t>
            </w:r>
          </w:p>
        </w:tc>
        <w:tc>
          <w:tcPr>
            <w:tcW w:w="1349" w:type="dxa"/>
          </w:tcPr>
          <w:p w:rsidR="00A823E7" w:rsidRDefault="00A823E7" w:rsidP="00446CA1">
            <w:pPr>
              <w:pStyle w:val="TableTextCenter10pt"/>
            </w:pPr>
            <w:r>
              <w:t>(E)</w:t>
            </w:r>
          </w:p>
          <w:p w:rsidR="00A823E7" w:rsidRDefault="00A823E7" w:rsidP="00446CA1">
            <w:pPr>
              <w:pStyle w:val="TableTextCenter10pt"/>
            </w:pPr>
            <w:r>
              <w:t>Total Annual Responses</w:t>
            </w:r>
          </w:p>
          <w:p w:rsidR="00A823E7" w:rsidRDefault="00A823E7" w:rsidP="00446CA1">
            <w:pPr>
              <w:pStyle w:val="TableTextCenter10pt"/>
            </w:pPr>
            <w:r>
              <w:t>E=(B</w:t>
            </w:r>
            <w:r w:rsidR="00446CA1">
              <w:t>×</w:t>
            </w:r>
            <w:r>
              <w:t>C)+D</w:t>
            </w:r>
          </w:p>
        </w:tc>
      </w:tr>
      <w:tr w:rsidR="00B55054" w:rsidTr="00680451">
        <w:trPr>
          <w:cantSplit/>
          <w:jc w:val="center"/>
        </w:trPr>
        <w:tc>
          <w:tcPr>
            <w:tcW w:w="3150" w:type="dxa"/>
          </w:tcPr>
          <w:p w:rsidR="00B55054" w:rsidRDefault="00510ED3" w:rsidP="00510ED3">
            <w:pPr>
              <w:pStyle w:val="TableTextLeft10pt"/>
            </w:pPr>
            <w:r>
              <w:t>Notification of s</w:t>
            </w:r>
            <w:r w:rsidR="00B55054">
              <w:t>torage vessel inspections</w:t>
            </w:r>
            <w:r w:rsidR="004D7DED">
              <w:rPr>
                <w:rStyle w:val="Superscript"/>
              </w:rPr>
              <w:t>b</w:t>
            </w:r>
          </w:p>
        </w:tc>
        <w:tc>
          <w:tcPr>
            <w:tcW w:w="1350" w:type="dxa"/>
            <w:vAlign w:val="center"/>
          </w:tcPr>
          <w:p w:rsidR="00B55054" w:rsidRDefault="00B55054" w:rsidP="00EE75A6">
            <w:pPr>
              <w:pStyle w:val="TableTextCenter10pt"/>
            </w:pPr>
            <w:r>
              <w:t>9</w:t>
            </w:r>
            <w:r w:rsidR="00EE75A6">
              <w:t>4.7</w:t>
            </w:r>
          </w:p>
        </w:tc>
        <w:tc>
          <w:tcPr>
            <w:tcW w:w="1260" w:type="dxa"/>
            <w:vAlign w:val="center"/>
          </w:tcPr>
          <w:p w:rsidR="00B55054" w:rsidRDefault="004D7DED" w:rsidP="002F3426">
            <w:pPr>
              <w:pStyle w:val="TableTextCenter10pt"/>
            </w:pPr>
            <w:r>
              <w:t>1</w:t>
            </w:r>
          </w:p>
        </w:tc>
        <w:tc>
          <w:tcPr>
            <w:tcW w:w="2250" w:type="dxa"/>
            <w:vAlign w:val="center"/>
          </w:tcPr>
          <w:p w:rsidR="00B55054" w:rsidRDefault="00B55054" w:rsidP="002F3426">
            <w:pPr>
              <w:pStyle w:val="TableTextCenter10pt"/>
            </w:pPr>
            <w:r>
              <w:t>0</w:t>
            </w:r>
          </w:p>
        </w:tc>
        <w:tc>
          <w:tcPr>
            <w:tcW w:w="1349" w:type="dxa"/>
            <w:vAlign w:val="center"/>
          </w:tcPr>
          <w:p w:rsidR="00B55054" w:rsidRDefault="004D7DED" w:rsidP="002F3426">
            <w:pPr>
              <w:pStyle w:val="TableTextCenter10pt"/>
            </w:pPr>
            <w:r>
              <w:t>9</w:t>
            </w:r>
            <w:r w:rsidR="00EE75A6">
              <w:t>4.7</w:t>
            </w:r>
          </w:p>
        </w:tc>
      </w:tr>
      <w:tr w:rsidR="00B55054" w:rsidTr="00680451">
        <w:trPr>
          <w:cantSplit/>
          <w:jc w:val="center"/>
        </w:trPr>
        <w:tc>
          <w:tcPr>
            <w:tcW w:w="3150" w:type="dxa"/>
          </w:tcPr>
          <w:p w:rsidR="00B55054" w:rsidRDefault="00B55054" w:rsidP="00446CA1">
            <w:pPr>
              <w:pStyle w:val="TableTextLeft10pt"/>
            </w:pPr>
            <w:r>
              <w:t>Fenceline monitoring data transmission</w:t>
            </w:r>
            <w:r w:rsidR="004D7DED">
              <w:rPr>
                <w:rStyle w:val="Superscript"/>
              </w:rPr>
              <w:t>c</w:t>
            </w:r>
          </w:p>
        </w:tc>
        <w:tc>
          <w:tcPr>
            <w:tcW w:w="1350" w:type="dxa"/>
            <w:vAlign w:val="center"/>
          </w:tcPr>
          <w:p w:rsidR="00B55054" w:rsidRDefault="00B55054" w:rsidP="00EE75A6">
            <w:pPr>
              <w:pStyle w:val="TableTextCenter10pt"/>
            </w:pPr>
            <w:r>
              <w:t>9</w:t>
            </w:r>
            <w:r w:rsidR="00EE75A6">
              <w:t>4.7</w:t>
            </w:r>
          </w:p>
        </w:tc>
        <w:tc>
          <w:tcPr>
            <w:tcW w:w="1260" w:type="dxa"/>
            <w:vAlign w:val="center"/>
          </w:tcPr>
          <w:p w:rsidR="00B55054" w:rsidRDefault="00EE75A6" w:rsidP="00EE75A6">
            <w:pPr>
              <w:pStyle w:val="TableTextCenter10pt"/>
            </w:pPr>
            <w:r>
              <w:t>2</w:t>
            </w:r>
          </w:p>
        </w:tc>
        <w:tc>
          <w:tcPr>
            <w:tcW w:w="2250" w:type="dxa"/>
            <w:vAlign w:val="center"/>
          </w:tcPr>
          <w:p w:rsidR="00B55054" w:rsidRDefault="00B55054" w:rsidP="002F3426">
            <w:pPr>
              <w:pStyle w:val="TableTextCenter10pt"/>
            </w:pPr>
            <w:r>
              <w:t>0</w:t>
            </w:r>
          </w:p>
        </w:tc>
        <w:tc>
          <w:tcPr>
            <w:tcW w:w="1349" w:type="dxa"/>
            <w:vAlign w:val="center"/>
          </w:tcPr>
          <w:p w:rsidR="00B55054" w:rsidRDefault="00EE75A6" w:rsidP="002F3426">
            <w:pPr>
              <w:pStyle w:val="TableTextCenter10pt"/>
            </w:pPr>
            <w:r>
              <w:t>189.3</w:t>
            </w:r>
          </w:p>
        </w:tc>
      </w:tr>
      <w:tr w:rsidR="00EE75A6" w:rsidTr="00680451">
        <w:trPr>
          <w:cantSplit/>
          <w:jc w:val="center"/>
        </w:trPr>
        <w:tc>
          <w:tcPr>
            <w:tcW w:w="3150" w:type="dxa"/>
          </w:tcPr>
          <w:p w:rsidR="00EE75A6" w:rsidRDefault="00EE75A6" w:rsidP="00C6237C">
            <w:pPr>
              <w:pStyle w:val="TableTextLeft10pt"/>
            </w:pPr>
            <w:r>
              <w:t>Notification of compliance status</w:t>
            </w:r>
            <w:r>
              <w:rPr>
                <w:rStyle w:val="Superscript"/>
              </w:rPr>
              <w:t>d</w:t>
            </w:r>
          </w:p>
        </w:tc>
        <w:tc>
          <w:tcPr>
            <w:tcW w:w="1350" w:type="dxa"/>
            <w:vAlign w:val="center"/>
          </w:tcPr>
          <w:p w:rsidR="00EE75A6" w:rsidRPr="00A823E7" w:rsidRDefault="00EE75A6" w:rsidP="00EE75A6">
            <w:pPr>
              <w:pStyle w:val="TableTextCenter10pt"/>
            </w:pPr>
            <w:r>
              <w:t>47.3</w:t>
            </w:r>
          </w:p>
        </w:tc>
        <w:tc>
          <w:tcPr>
            <w:tcW w:w="1260" w:type="dxa"/>
            <w:vAlign w:val="center"/>
          </w:tcPr>
          <w:p w:rsidR="00EE75A6" w:rsidRDefault="00EE75A6" w:rsidP="00EE75A6">
            <w:pPr>
              <w:pStyle w:val="TableTextCenter10pt"/>
            </w:pPr>
            <w:r>
              <w:t>2.7</w:t>
            </w:r>
          </w:p>
        </w:tc>
        <w:tc>
          <w:tcPr>
            <w:tcW w:w="2250" w:type="dxa"/>
            <w:vAlign w:val="center"/>
          </w:tcPr>
          <w:p w:rsidR="00EE75A6" w:rsidRDefault="00EE75A6" w:rsidP="00EE75A6">
            <w:pPr>
              <w:pStyle w:val="TableTextCenter10pt"/>
            </w:pPr>
            <w:r>
              <w:t>0</w:t>
            </w:r>
          </w:p>
        </w:tc>
        <w:tc>
          <w:tcPr>
            <w:tcW w:w="1349" w:type="dxa"/>
            <w:vAlign w:val="center"/>
          </w:tcPr>
          <w:p w:rsidR="00EE75A6" w:rsidRDefault="00EE75A6" w:rsidP="00EE75A6">
            <w:pPr>
              <w:pStyle w:val="TableTextCenter10pt"/>
            </w:pPr>
            <w:r>
              <w:t>126.3</w:t>
            </w:r>
          </w:p>
        </w:tc>
      </w:tr>
      <w:tr w:rsidR="00B55054" w:rsidTr="00680451">
        <w:trPr>
          <w:cantSplit/>
          <w:jc w:val="center"/>
        </w:trPr>
        <w:tc>
          <w:tcPr>
            <w:tcW w:w="3150" w:type="dxa"/>
          </w:tcPr>
          <w:p w:rsidR="00B55054" w:rsidRDefault="00B55054" w:rsidP="00446CA1">
            <w:pPr>
              <w:pStyle w:val="TableTextLeft10pt"/>
            </w:pPr>
            <w:r>
              <w:t>Notification of compliance status</w:t>
            </w:r>
            <w:r w:rsidR="00EE75A6">
              <w:rPr>
                <w:rStyle w:val="Superscript"/>
              </w:rPr>
              <w:t>e</w:t>
            </w:r>
          </w:p>
        </w:tc>
        <w:tc>
          <w:tcPr>
            <w:tcW w:w="1350" w:type="dxa"/>
            <w:vAlign w:val="center"/>
          </w:tcPr>
          <w:p w:rsidR="00B55054" w:rsidRDefault="00B55054" w:rsidP="00EE75A6">
            <w:pPr>
              <w:pStyle w:val="TableTextCenter10pt"/>
            </w:pPr>
            <w:r w:rsidRPr="00A823E7">
              <w:t>9</w:t>
            </w:r>
            <w:r w:rsidR="00EE75A6">
              <w:t>4.7</w:t>
            </w:r>
          </w:p>
        </w:tc>
        <w:tc>
          <w:tcPr>
            <w:tcW w:w="1260" w:type="dxa"/>
            <w:vAlign w:val="center"/>
          </w:tcPr>
          <w:p w:rsidR="00B55054" w:rsidRDefault="00EE75A6" w:rsidP="00EE75A6">
            <w:pPr>
              <w:pStyle w:val="TableTextCenter10pt"/>
            </w:pPr>
            <w:r>
              <w:t>3</w:t>
            </w:r>
          </w:p>
        </w:tc>
        <w:tc>
          <w:tcPr>
            <w:tcW w:w="2250" w:type="dxa"/>
            <w:vAlign w:val="center"/>
          </w:tcPr>
          <w:p w:rsidR="00B55054" w:rsidRDefault="00467204" w:rsidP="002F3426">
            <w:pPr>
              <w:pStyle w:val="TableTextCenter10pt"/>
            </w:pPr>
            <w:r>
              <w:t>0</w:t>
            </w:r>
          </w:p>
        </w:tc>
        <w:tc>
          <w:tcPr>
            <w:tcW w:w="1349" w:type="dxa"/>
            <w:vAlign w:val="center"/>
          </w:tcPr>
          <w:p w:rsidR="00B55054" w:rsidRDefault="00EE75A6" w:rsidP="002F3426">
            <w:pPr>
              <w:pStyle w:val="TableTextCenter10pt"/>
            </w:pPr>
            <w:r>
              <w:t>284</w:t>
            </w:r>
          </w:p>
        </w:tc>
      </w:tr>
      <w:tr w:rsidR="00B55054" w:rsidTr="00680451">
        <w:trPr>
          <w:cantSplit/>
          <w:jc w:val="center"/>
        </w:trPr>
        <w:tc>
          <w:tcPr>
            <w:tcW w:w="3150" w:type="dxa"/>
          </w:tcPr>
          <w:p w:rsidR="00B55054" w:rsidRDefault="00B55054" w:rsidP="00446CA1">
            <w:pPr>
              <w:pStyle w:val="TableTextLeft10pt"/>
            </w:pPr>
            <w:r>
              <w:t>Semiannual reports</w:t>
            </w:r>
            <w:r w:rsidR="00EE75A6">
              <w:rPr>
                <w:rStyle w:val="Superscript"/>
              </w:rPr>
              <w:t>f</w:t>
            </w:r>
          </w:p>
        </w:tc>
        <w:tc>
          <w:tcPr>
            <w:tcW w:w="1350" w:type="dxa"/>
            <w:vAlign w:val="center"/>
          </w:tcPr>
          <w:p w:rsidR="00B55054" w:rsidRDefault="00B55054" w:rsidP="00EE75A6">
            <w:pPr>
              <w:pStyle w:val="TableTextCenter10pt"/>
            </w:pPr>
            <w:r w:rsidRPr="00A823E7">
              <w:t>9</w:t>
            </w:r>
            <w:r w:rsidR="00EE75A6">
              <w:t>4.7</w:t>
            </w:r>
          </w:p>
        </w:tc>
        <w:tc>
          <w:tcPr>
            <w:tcW w:w="1260" w:type="dxa"/>
            <w:vAlign w:val="center"/>
          </w:tcPr>
          <w:p w:rsidR="00B55054" w:rsidRDefault="00EE75A6" w:rsidP="00EE75A6">
            <w:pPr>
              <w:pStyle w:val="TableTextCenter10pt"/>
            </w:pPr>
            <w:r>
              <w:t>8.2</w:t>
            </w:r>
          </w:p>
        </w:tc>
        <w:tc>
          <w:tcPr>
            <w:tcW w:w="2250" w:type="dxa"/>
            <w:vAlign w:val="center"/>
          </w:tcPr>
          <w:p w:rsidR="00B55054" w:rsidRDefault="00467204" w:rsidP="002F3426">
            <w:pPr>
              <w:pStyle w:val="TableTextCenter10pt"/>
            </w:pPr>
            <w:r>
              <w:t>0</w:t>
            </w:r>
          </w:p>
        </w:tc>
        <w:tc>
          <w:tcPr>
            <w:tcW w:w="1349" w:type="dxa"/>
            <w:vAlign w:val="center"/>
          </w:tcPr>
          <w:p w:rsidR="00B55054" w:rsidRDefault="00EE75A6" w:rsidP="002F3426">
            <w:pPr>
              <w:pStyle w:val="TableTextCenter10pt"/>
            </w:pPr>
            <w:r>
              <w:t>773.1</w:t>
            </w:r>
          </w:p>
        </w:tc>
      </w:tr>
      <w:tr w:rsidR="00467204" w:rsidTr="00680451">
        <w:trPr>
          <w:cantSplit/>
          <w:jc w:val="center"/>
        </w:trPr>
        <w:tc>
          <w:tcPr>
            <w:tcW w:w="3150" w:type="dxa"/>
          </w:tcPr>
          <w:p w:rsidR="00467204" w:rsidRDefault="00467204" w:rsidP="00446CA1">
            <w:pPr>
              <w:pStyle w:val="TableTextLeft10pt"/>
            </w:pPr>
          </w:p>
        </w:tc>
        <w:tc>
          <w:tcPr>
            <w:tcW w:w="1350" w:type="dxa"/>
            <w:vAlign w:val="center"/>
          </w:tcPr>
          <w:p w:rsidR="00467204" w:rsidRPr="00A823E7" w:rsidRDefault="00467204" w:rsidP="00EE75A6">
            <w:pPr>
              <w:pStyle w:val="TableTextCenter10pt"/>
            </w:pPr>
          </w:p>
        </w:tc>
        <w:tc>
          <w:tcPr>
            <w:tcW w:w="1260" w:type="dxa"/>
            <w:vAlign w:val="center"/>
          </w:tcPr>
          <w:p w:rsidR="00467204" w:rsidRDefault="00467204" w:rsidP="002F3426">
            <w:pPr>
              <w:pStyle w:val="TableTextCenter10pt"/>
            </w:pPr>
          </w:p>
        </w:tc>
        <w:tc>
          <w:tcPr>
            <w:tcW w:w="2250" w:type="dxa"/>
            <w:vAlign w:val="center"/>
          </w:tcPr>
          <w:p w:rsidR="00467204" w:rsidRDefault="00467204" w:rsidP="002F3426">
            <w:pPr>
              <w:pStyle w:val="TableTextCenter10pt"/>
            </w:pPr>
            <w:r>
              <w:t>Total</w:t>
            </w:r>
          </w:p>
        </w:tc>
        <w:tc>
          <w:tcPr>
            <w:tcW w:w="1349" w:type="dxa"/>
            <w:vAlign w:val="center"/>
          </w:tcPr>
          <w:p w:rsidR="00467204" w:rsidRDefault="00EE75A6" w:rsidP="002F3426">
            <w:pPr>
              <w:pStyle w:val="TableTextCenter10pt"/>
            </w:pPr>
            <w:r>
              <w:t>1,467</w:t>
            </w:r>
          </w:p>
        </w:tc>
      </w:tr>
    </w:tbl>
    <w:p w:rsidR="00446CA1" w:rsidRDefault="00446CA1" w:rsidP="00EE75A6">
      <w:pPr>
        <w:pStyle w:val="TableFootnote"/>
      </w:pPr>
      <w:r w:rsidRPr="00446CA1">
        <w:rPr>
          <w:rStyle w:val="Superscript"/>
        </w:rPr>
        <w:t>a</w:t>
      </w:r>
      <w:r w:rsidR="00C249BB" w:rsidRPr="00C249BB">
        <w:t xml:space="preserve"> </w:t>
      </w:r>
      <w:r>
        <w:t>T</w:t>
      </w:r>
      <w:r w:rsidRPr="00C10BBF">
        <w:t>here are 14</w:t>
      </w:r>
      <w:r w:rsidR="00ED4539">
        <w:t>2</w:t>
      </w:r>
      <w:r w:rsidRPr="00C10BBF">
        <w:t xml:space="preserve"> major </w:t>
      </w:r>
      <w:r w:rsidR="00ED4539">
        <w:t xml:space="preserve">source </w:t>
      </w:r>
      <w:r w:rsidRPr="00C10BBF">
        <w:t xml:space="preserve">petroleum refineries that have one or more affected </w:t>
      </w:r>
      <w:r>
        <w:t>sources</w:t>
      </w:r>
      <w:r w:rsidRPr="00C10BBF">
        <w:t xml:space="preserve"> subject to the standard.</w:t>
      </w:r>
      <w:r>
        <w:t xml:space="preserve"> </w:t>
      </w:r>
      <w:r w:rsidRPr="00C10BBF">
        <w:t>No new or reconstructed facilities are expected over the next 3 years.</w:t>
      </w:r>
      <w:r>
        <w:t xml:space="preserve"> </w:t>
      </w:r>
      <w:r w:rsidRPr="00C10BBF">
        <w:t>We assumed that approximately one-third of facilities would comply with the amended rule in each of the 3 years following promulgation, so that 4</w:t>
      </w:r>
      <w:r w:rsidR="00EE75A6">
        <w:t>7</w:t>
      </w:r>
      <w:r w:rsidRPr="00C10BBF">
        <w:t>.3 facilities would comply and be subject the first year, 9</w:t>
      </w:r>
      <w:r w:rsidR="00EE75A6">
        <w:t>4.7</w:t>
      </w:r>
      <w:r w:rsidRPr="00C10BBF">
        <w:t xml:space="preserve"> facilities would be subject the second year, and 14</w:t>
      </w:r>
      <w:r w:rsidR="00ED4539">
        <w:t>2</w:t>
      </w:r>
      <w:r w:rsidRPr="00C10BBF">
        <w:t xml:space="preserve"> facilities would be subject the third year.</w:t>
      </w:r>
      <w:r>
        <w:t xml:space="preserve"> </w:t>
      </w:r>
      <w:r w:rsidRPr="00C10BBF">
        <w:t>We assumed costs based on the second year, with 9</w:t>
      </w:r>
      <w:r w:rsidR="00EE75A6">
        <w:t>4.7</w:t>
      </w:r>
      <w:r w:rsidRPr="00C10BBF">
        <w:t xml:space="preserve"> facilities subject to the rule.</w:t>
      </w:r>
    </w:p>
    <w:p w:rsidR="004D7DED" w:rsidRDefault="004D7DED" w:rsidP="00EE75A6">
      <w:pPr>
        <w:pStyle w:val="TableFootnote"/>
      </w:pPr>
      <w:r w:rsidRPr="00534C20">
        <w:rPr>
          <w:rStyle w:val="Superscript"/>
        </w:rPr>
        <w:t>b</w:t>
      </w:r>
      <w:r>
        <w:t xml:space="preserve"> 11</w:t>
      </w:r>
      <w:r w:rsidR="00EE75A6">
        <w:t>3</w:t>
      </w:r>
      <w:r>
        <w:t xml:space="preserve"> new tanks will be subject to tank inspection requirements under subpart CC.</w:t>
      </w:r>
    </w:p>
    <w:p w:rsidR="00446CA1" w:rsidRDefault="004D7DED" w:rsidP="00EE75A6">
      <w:pPr>
        <w:pStyle w:val="TableFootnote"/>
      </w:pPr>
      <w:r>
        <w:rPr>
          <w:rStyle w:val="Superscript"/>
        </w:rPr>
        <w:t>c</w:t>
      </w:r>
      <w:r w:rsidR="00446CA1" w:rsidRPr="00446CA1">
        <w:t xml:space="preserve"> </w:t>
      </w:r>
      <w:r w:rsidR="00EE75A6">
        <w:t>Semiannual</w:t>
      </w:r>
      <w:r w:rsidR="00446CA1">
        <w:t xml:space="preserve"> reports required.</w:t>
      </w:r>
    </w:p>
    <w:p w:rsidR="00EE75A6" w:rsidRDefault="004D7DED" w:rsidP="00EE75A6">
      <w:pPr>
        <w:pStyle w:val="TableFootnote"/>
      </w:pPr>
      <w:r>
        <w:rPr>
          <w:rStyle w:val="Superscript"/>
        </w:rPr>
        <w:t>d</w:t>
      </w:r>
      <w:r w:rsidR="00446CA1">
        <w:t xml:space="preserve"> </w:t>
      </w:r>
      <w:r w:rsidR="00EE75A6">
        <w:t>Notification of compliance status is a one-time response, so used number of facilities subject per year for storage vessels and delayed coking units.</w:t>
      </w:r>
    </w:p>
    <w:p w:rsidR="00446CA1" w:rsidRDefault="00EE75A6" w:rsidP="00680451">
      <w:pPr>
        <w:pStyle w:val="TableFootnote"/>
      </w:pPr>
      <w:r w:rsidRPr="00534C20">
        <w:rPr>
          <w:rStyle w:val="Superscript"/>
        </w:rPr>
        <w:t>e</w:t>
      </w:r>
      <w:r>
        <w:t xml:space="preserve"> Assumed that there are so many relief </w:t>
      </w:r>
      <w:r w:rsidR="00680451">
        <w:t>valves</w:t>
      </w:r>
      <w:r>
        <w:t>, bypass lines, and flares, that facilities will not bring all units into compliance in the same year. Instead, used number of facilities in the second year</w:t>
      </w:r>
      <w:r w:rsidR="00534C20">
        <w:t>.</w:t>
      </w:r>
    </w:p>
    <w:p w:rsidR="00446CA1" w:rsidRDefault="00EE75A6" w:rsidP="00680451">
      <w:pPr>
        <w:pStyle w:val="TableFootnote"/>
      </w:pPr>
      <w:r>
        <w:rPr>
          <w:rStyle w:val="Superscript"/>
        </w:rPr>
        <w:t>f</w:t>
      </w:r>
      <w:r w:rsidR="003F3F52">
        <w:t xml:space="preserve"> Semiannual reports are already required under subpart CC but additional information will be reported due to newly added requirements.</w:t>
      </w:r>
    </w:p>
    <w:p w:rsidR="002D1346" w:rsidRPr="00F46122" w:rsidRDefault="00A823E7" w:rsidP="00D95C01">
      <w:pPr>
        <w:pStyle w:val="BodyFirstline05After12pt"/>
      </w:pPr>
      <w:r>
        <w:lastRenderedPageBreak/>
        <w:t xml:space="preserve">The number </w:t>
      </w:r>
      <w:r w:rsidR="00C16ED3">
        <w:t xml:space="preserve">of Total Annual Responses is </w:t>
      </w:r>
      <w:r w:rsidR="003E4BCB">
        <w:t xml:space="preserve">approximately </w:t>
      </w:r>
      <w:r w:rsidR="003F3F52">
        <w:t>1</w:t>
      </w:r>
      <w:r w:rsidR="00AE06D7">
        <w:t>,</w:t>
      </w:r>
      <w:r w:rsidR="00CF66A5">
        <w:t>47</w:t>
      </w:r>
      <w:r w:rsidR="003F3F52">
        <w:t>0</w:t>
      </w:r>
      <w:r w:rsidR="00C16ED3">
        <w:t>.</w:t>
      </w:r>
      <w:r w:rsidR="00F47C05">
        <w:t xml:space="preserve"> </w:t>
      </w:r>
      <w:r>
        <w:t>The total annual la</w:t>
      </w:r>
      <w:r w:rsidR="002D1346">
        <w:t xml:space="preserve">bor costs are </w:t>
      </w:r>
      <w:r w:rsidR="00AE06D7">
        <w:t xml:space="preserve">approximately </w:t>
      </w:r>
      <w:r w:rsidR="002D1346" w:rsidRPr="00AF7C42">
        <w:t>$</w:t>
      </w:r>
      <w:r w:rsidR="00CF66A5">
        <w:t>4</w:t>
      </w:r>
      <w:r w:rsidR="00AF7C42" w:rsidRPr="00AF7C42">
        <w:t>,</w:t>
      </w:r>
      <w:r w:rsidR="00CF66A5">
        <w:t>4</w:t>
      </w:r>
      <w:r w:rsidR="00D95C01">
        <w:t>6</w:t>
      </w:r>
      <w:r w:rsidR="00AF7C42" w:rsidRPr="00AF7C42">
        <w:t>0,000</w:t>
      </w:r>
      <w:r w:rsidRPr="00AF7C42">
        <w:t>.</w:t>
      </w:r>
      <w:r w:rsidR="00F47C05">
        <w:t xml:space="preserve"> </w:t>
      </w:r>
      <w:r w:rsidRPr="00AF7C42">
        <w:t xml:space="preserve">Details regarding these estimates may be found below in Table 1: </w:t>
      </w:r>
      <w:r w:rsidR="00E72401" w:rsidRPr="00AF7C42">
        <w:t>Annual Respondent Burden and Cost: Proposed Amendments to NESHAP for Petroleum Refineries</w:t>
      </w:r>
      <w:r w:rsidR="00E72401" w:rsidRPr="00F46122">
        <w:t xml:space="preserve"> </w:t>
      </w:r>
      <w:r w:rsidR="00E72401" w:rsidRPr="00AF7C42">
        <w:t>(40 CFR Part 63, Subpart CC).</w:t>
      </w:r>
    </w:p>
    <w:p w:rsidR="00446CA1" w:rsidRDefault="00446CA1" w:rsidP="00446CA1">
      <w:pPr>
        <w:pStyle w:val="SectionSubheading"/>
      </w:pPr>
      <w:r>
        <w:t>6(e) Bottom Line Burden Hours Burden Hours and Cost Tables</w:t>
      </w:r>
    </w:p>
    <w:p w:rsidR="00B50B26" w:rsidRDefault="002D1346" w:rsidP="00446CA1">
      <w:pPr>
        <w:pStyle w:val="BodyFirstline0After12pt"/>
      </w:pPr>
      <w:r>
        <w:t>The detailed bottom line burden hours and cost calculations for the respondents and the Agency are shown in Tables 1 and 2, respectively, and summarized below.</w:t>
      </w:r>
    </w:p>
    <w:p w:rsidR="00446CA1" w:rsidRDefault="00446CA1" w:rsidP="00446CA1">
      <w:pPr>
        <w:pStyle w:val="SectionLevel3Heading"/>
      </w:pPr>
      <w:r>
        <w:t xml:space="preserve">(i) </w:t>
      </w:r>
      <w:r w:rsidRPr="00F672CC">
        <w:rPr>
          <w:rStyle w:val="Underline"/>
        </w:rPr>
        <w:t>Respondent Tally</w:t>
      </w:r>
    </w:p>
    <w:p w:rsidR="00B50B26" w:rsidRDefault="002D1346" w:rsidP="0064288A">
      <w:pPr>
        <w:pStyle w:val="BodyFirstline05After12pt"/>
      </w:pPr>
      <w:r w:rsidRPr="00457BE5">
        <w:t>The bottom line respondent burden hours and costs, presented in Table 1, are calculated by adding person-hours per year down each column for technical, managerial, and</w:t>
      </w:r>
      <w:r w:rsidR="00A55D06">
        <w:t xml:space="preserve"> clerical staff, and by adding down the cost column.</w:t>
      </w:r>
      <w:r w:rsidR="00F47C05">
        <w:t xml:space="preserve"> </w:t>
      </w:r>
      <w:r w:rsidR="00A55D06">
        <w:t>The average annual burden in the second year for the recordkeeping and reporting requirements in the proposed amendments to subpart CC for the 14</w:t>
      </w:r>
      <w:r w:rsidR="00ED4539">
        <w:t>2</w:t>
      </w:r>
      <w:r w:rsidR="006F2054">
        <w:t> </w:t>
      </w:r>
      <w:r w:rsidR="00A55D06">
        <w:t xml:space="preserve">facilities that are subject is </w:t>
      </w:r>
      <w:r w:rsidR="00CF66A5">
        <w:t>53,</w:t>
      </w:r>
      <w:r w:rsidR="0064288A">
        <w:t>619</w:t>
      </w:r>
      <w:r w:rsidR="00AE06D7">
        <w:t xml:space="preserve"> </w:t>
      </w:r>
      <w:r w:rsidRPr="00457BE5">
        <w:t xml:space="preserve">person-hours, with an annual average cost of </w:t>
      </w:r>
      <w:r w:rsidR="00AE06D7">
        <w:t xml:space="preserve">approximately </w:t>
      </w:r>
      <w:r w:rsidR="006E318C" w:rsidRPr="00457BE5">
        <w:t>$</w:t>
      </w:r>
      <w:r w:rsidR="00CF66A5">
        <w:t>4</w:t>
      </w:r>
      <w:r w:rsidR="003F3F52">
        <w:t>,</w:t>
      </w:r>
      <w:r w:rsidR="00CF66A5">
        <w:t>4</w:t>
      </w:r>
      <w:r w:rsidR="00863928">
        <w:t>6</w:t>
      </w:r>
      <w:r w:rsidR="003F3F52">
        <w:t>0,000</w:t>
      </w:r>
      <w:r w:rsidR="00AE06D7">
        <w:t>.</w:t>
      </w:r>
      <w:r w:rsidR="00F47C05">
        <w:t xml:space="preserve"> </w:t>
      </w:r>
      <w:r w:rsidRPr="00457BE5">
        <w:t xml:space="preserve">Details regarding these estimates may be found below in Table 1: </w:t>
      </w:r>
      <w:r w:rsidR="00E72401" w:rsidRPr="00457BE5">
        <w:t>Annual Respondent Burden and Cost: Proposed Amendments to NESHAP for Petroleum Refineries</w:t>
      </w:r>
      <w:r w:rsidR="00E72401" w:rsidRPr="00F46122">
        <w:t xml:space="preserve"> </w:t>
      </w:r>
      <w:r w:rsidR="00E72401" w:rsidRPr="00457BE5">
        <w:t>(40</w:t>
      </w:r>
      <w:r w:rsidR="00CF66A5">
        <w:t> </w:t>
      </w:r>
      <w:r w:rsidR="00E72401" w:rsidRPr="00457BE5">
        <w:t>CFR Part 63, Subpart CC).</w:t>
      </w:r>
    </w:p>
    <w:p w:rsidR="002D1346" w:rsidRDefault="00A55D06" w:rsidP="00863928">
      <w:pPr>
        <w:pStyle w:val="BodyFirstline05After12pt"/>
      </w:pPr>
      <w:r>
        <w:t xml:space="preserve">The annualized capital costs associated with the proposed amendments are </w:t>
      </w:r>
      <w:r w:rsidR="00AE06D7">
        <w:t xml:space="preserve">approximately </w:t>
      </w:r>
      <w:r w:rsidR="0025407B" w:rsidRPr="00457BE5">
        <w:t>$</w:t>
      </w:r>
      <w:r w:rsidR="00CF66A5">
        <w:t>17</w:t>
      </w:r>
      <w:r w:rsidR="00457BE5" w:rsidRPr="00457BE5">
        <w:t>,</w:t>
      </w:r>
      <w:r w:rsidR="00CF66A5">
        <w:t>1</w:t>
      </w:r>
      <w:r w:rsidR="00863928">
        <w:t>0</w:t>
      </w:r>
      <w:r w:rsidR="00457BE5" w:rsidRPr="00457BE5">
        <w:t>0,000</w:t>
      </w:r>
      <w:r w:rsidR="0025407B" w:rsidRPr="00457BE5">
        <w:t>. T</w:t>
      </w:r>
      <w:r w:rsidR="002D1346" w:rsidRPr="00457BE5">
        <w:t>he operation and maintenance costs associated</w:t>
      </w:r>
      <w:r w:rsidR="0025407B" w:rsidRPr="00457BE5">
        <w:t xml:space="preserve"> with the proposed amendments are </w:t>
      </w:r>
      <w:r w:rsidR="00AE06D7">
        <w:t xml:space="preserve">approximately </w:t>
      </w:r>
      <w:r w:rsidR="00CF66A5">
        <w:t>$23,700,000 for all facilities (</w:t>
      </w:r>
      <w:r w:rsidR="0025407B" w:rsidRPr="00457BE5">
        <w:t>$</w:t>
      </w:r>
      <w:r w:rsidR="00CF66A5">
        <w:t>15</w:t>
      </w:r>
      <w:r w:rsidR="003F3F52">
        <w:t>,</w:t>
      </w:r>
      <w:r w:rsidR="00CF66A5">
        <w:t>80</w:t>
      </w:r>
      <w:r w:rsidR="003F3F52">
        <w:t>0,000</w:t>
      </w:r>
      <w:r w:rsidR="00CF66A5">
        <w:t xml:space="preserve"> in the second year)</w:t>
      </w:r>
      <w:r w:rsidR="003F3F52">
        <w:t>.</w:t>
      </w:r>
      <w:r w:rsidR="00F47C05">
        <w:t xml:space="preserve"> </w:t>
      </w:r>
      <w:r w:rsidR="002D1346" w:rsidRPr="00457BE5">
        <w:t>The cost calculations are detailed in Section 6(b)(ii), Capital vs. Operat</w:t>
      </w:r>
      <w:r>
        <w:t>ion and Maintenance (O&amp;M) Costs and 6(b)(iii), Annualizing Capital Cost.</w:t>
      </w:r>
    </w:p>
    <w:p w:rsidR="00446CA1" w:rsidRDefault="00446CA1" w:rsidP="00446CA1">
      <w:pPr>
        <w:pStyle w:val="SectionLevel3Heading"/>
      </w:pPr>
      <w:r>
        <w:t xml:space="preserve">(ii) </w:t>
      </w:r>
      <w:r w:rsidRPr="003A67DB">
        <w:rPr>
          <w:rStyle w:val="Underline"/>
        </w:rPr>
        <w:t>The Agency Tally</w:t>
      </w:r>
    </w:p>
    <w:p w:rsidR="0025407B" w:rsidRDefault="0025407B" w:rsidP="00D95C01">
      <w:pPr>
        <w:pStyle w:val="BodyFirstline05After12pt"/>
      </w:pPr>
      <w:r w:rsidRPr="008373FD">
        <w:t xml:space="preserve">The average annual Agency burden and cost over next </w:t>
      </w:r>
      <w:r w:rsidR="00ED4539">
        <w:t>3</w:t>
      </w:r>
      <w:r w:rsidRPr="008373FD">
        <w:t xml:space="preserve"> years is estimated to be </w:t>
      </w:r>
      <w:r w:rsidR="008373FD" w:rsidRPr="008373FD">
        <w:t>1</w:t>
      </w:r>
      <w:r w:rsidRPr="008373FD">
        <w:t>,</w:t>
      </w:r>
      <w:r w:rsidR="00D95C01">
        <w:t>470</w:t>
      </w:r>
      <w:r w:rsidR="00CF66A5">
        <w:t> </w:t>
      </w:r>
      <w:r w:rsidRPr="008373FD">
        <w:t xml:space="preserve">labor hours at a cost of </w:t>
      </w:r>
      <w:r w:rsidR="00AE06D7">
        <w:t xml:space="preserve">approximately </w:t>
      </w:r>
      <w:r w:rsidRPr="008373FD">
        <w:t>$</w:t>
      </w:r>
      <w:r w:rsidR="00D95C01">
        <w:t>65</w:t>
      </w:r>
      <w:r w:rsidRPr="008373FD">
        <w:t>,</w:t>
      </w:r>
      <w:r w:rsidR="00D95C01">
        <w:t>2</w:t>
      </w:r>
      <w:r w:rsidRPr="008373FD">
        <w:t>00.</w:t>
      </w:r>
      <w:r w:rsidR="00F47C05">
        <w:t xml:space="preserve"> </w:t>
      </w:r>
      <w:r w:rsidRPr="008373FD">
        <w:t xml:space="preserve">See below Table 2: </w:t>
      </w:r>
      <w:r w:rsidR="00E72401" w:rsidRPr="00F46122">
        <w:t xml:space="preserve">Annual Burden and Cost to the Federal/State Government: Proposed </w:t>
      </w:r>
      <w:r w:rsidR="00E72401" w:rsidRPr="00446CA1">
        <w:t>Amendments</w:t>
      </w:r>
      <w:r w:rsidR="00E72401" w:rsidRPr="00F46122">
        <w:t xml:space="preserve"> to NES</w:t>
      </w:r>
      <w:r w:rsidR="00A55D06" w:rsidRPr="00F46122">
        <w:t>HAP for Petroleum Refineries (40</w:t>
      </w:r>
      <w:r w:rsidR="00CF66A5">
        <w:t> </w:t>
      </w:r>
      <w:r w:rsidR="00A55D06" w:rsidRPr="00F46122">
        <w:t>CFR Part 63, Subpart CC).</w:t>
      </w:r>
    </w:p>
    <w:p w:rsidR="00446CA1" w:rsidRDefault="00446CA1" w:rsidP="00446CA1">
      <w:pPr>
        <w:pStyle w:val="SectionSubheading"/>
      </w:pPr>
      <w:r>
        <w:t>6(f) Reasons for Change in Burden</w:t>
      </w:r>
    </w:p>
    <w:p w:rsidR="0025407B" w:rsidRPr="00F46122" w:rsidRDefault="00F839DE" w:rsidP="00F839DE">
      <w:pPr>
        <w:pStyle w:val="BodyFirstline05After12pt"/>
      </w:pPr>
      <w:r>
        <w:t>The change in burden estimate reflects the additional requirements of the</w:t>
      </w:r>
      <w:r w:rsidRPr="009D0C20">
        <w:t xml:space="preserve"> </w:t>
      </w:r>
      <w:r>
        <w:t>proposed amendments to 40 CFR part 63, subpart CC</w:t>
      </w:r>
      <w:r w:rsidR="0025407B" w:rsidRPr="00F46122">
        <w:t>.</w:t>
      </w:r>
    </w:p>
    <w:p w:rsidR="00446CA1" w:rsidRDefault="00446CA1" w:rsidP="00446CA1">
      <w:pPr>
        <w:pStyle w:val="SectionSubheading"/>
      </w:pPr>
      <w:r>
        <w:t>6(g) Burden Statement</w:t>
      </w:r>
    </w:p>
    <w:p w:rsidR="0025407B" w:rsidRDefault="0025407B" w:rsidP="0064288A">
      <w:pPr>
        <w:pStyle w:val="BodyFirstline05After12pt"/>
      </w:pPr>
      <w:r w:rsidRPr="008373FD">
        <w:t xml:space="preserve">The average annual respondent burden for the proposed amendments for subpart CC is estimated at </w:t>
      </w:r>
      <w:r w:rsidR="00CF66A5">
        <w:t>53,</w:t>
      </w:r>
      <w:r w:rsidR="0064288A">
        <w:t>619</w:t>
      </w:r>
      <w:r w:rsidR="003F3F52">
        <w:t xml:space="preserve"> </w:t>
      </w:r>
      <w:r w:rsidRPr="008373FD">
        <w:t>hours.</w:t>
      </w:r>
      <w:r w:rsidR="00F47C05">
        <w:t xml:space="preserve"> </w:t>
      </w:r>
      <w:r>
        <w:t>Burden means the total time, effort, or financial resources expended by persons to generate, maintain, retain, or disclose or provide information to or for a Federal agency.</w:t>
      </w:r>
      <w:r w:rsidR="00F47C05">
        <w:t xml:space="preserve"> </w:t>
      </w:r>
      <w:r>
        <w:t xml:space="preserve">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w:t>
      </w:r>
      <w:r>
        <w:lastRenderedPageBreak/>
        <w:t>personnel to be able to respond to a collection of information; search data sources; complete and review the collection of information; and transmit or otherwise disclose the information.</w:t>
      </w:r>
    </w:p>
    <w:p w:rsidR="0025407B" w:rsidRDefault="0025407B" w:rsidP="00446CA1">
      <w:pPr>
        <w:pStyle w:val="BodyFirstline05After12pt"/>
      </w:pPr>
      <w:r>
        <w:t>An agency may not conduct or sponsor, and a person is not required to respond to, a collection of information unless it displays a valid OMB Control Number.</w:t>
      </w:r>
      <w:r w:rsidR="00F47C05">
        <w:t xml:space="preserve"> </w:t>
      </w:r>
      <w:r>
        <w:t xml:space="preserve">The OMB Control Numbers for EPA regulations are listed at 40 CFR part 9 </w:t>
      </w:r>
      <w:r w:rsidRPr="003A53EF">
        <w:t xml:space="preserve">and </w:t>
      </w:r>
      <w:r w:rsidR="00D769E2" w:rsidRPr="00D769E2">
        <w:t>48 CFR chapter 15</w:t>
      </w:r>
      <w:r w:rsidRPr="003A53EF">
        <w:t>.</w:t>
      </w:r>
    </w:p>
    <w:p w:rsidR="0025407B" w:rsidRDefault="0025407B" w:rsidP="00446CA1">
      <w:pPr>
        <w:pStyle w:val="BodyFirstline05After12pt"/>
      </w:pPr>
      <w:r>
        <w:t xml:space="preserve">To comment on the Agency's need for this information, the accuracy of the provided burden estimates, and any suggested methods for minimizing respondent burden, including the use of automated collection techniques, </w:t>
      </w:r>
      <w:r w:rsidR="000A19D3">
        <w:t xml:space="preserve">the </w:t>
      </w:r>
      <w:r>
        <w:t xml:space="preserve">EPA has established a public docket for this ICR under Docket ID </w:t>
      </w:r>
      <w:r w:rsidRPr="003A53EF">
        <w:t xml:space="preserve">Number </w:t>
      </w:r>
      <w:r w:rsidR="00D769E2" w:rsidRPr="00D769E2">
        <w:t>EPA-HQ-OAR-2010-0682</w:t>
      </w:r>
      <w:r w:rsidRPr="003A53EF">
        <w:t>, which is</w:t>
      </w:r>
      <w:r>
        <w:t xml:space="preserve"> available for on-line viewing at </w:t>
      </w:r>
      <w:r w:rsidRPr="00F46122">
        <w:rPr>
          <w:rStyle w:val="Underline"/>
        </w:rPr>
        <w:t>www.regulations.gov</w:t>
      </w:r>
      <w:r w:rsidRPr="00F46122">
        <w:t>, or i</w:t>
      </w:r>
      <w:r w:rsidRPr="007C7E34">
        <w:t>n person viewing at the Air and Radiation Docket and Information Center in the EPA Docket Center (EPA/DC), EPA West, Room B102, 1301 Constitution Avenue, NW, Washington, D.C. The EPA Docket Center Public Reading Room is open from 8:30 a.m. to 4:30 p.m., Monday through Friday, excluding legal holidays</w:t>
      </w:r>
      <w:r>
        <w:t xml:space="preserve">. </w:t>
      </w:r>
      <w:r w:rsidRPr="007C7E34">
        <w:t>The telephone number for the Reading Room is (202) 566-1744, and the telephone number for the Air and Radiation Docket and Information Center is (202) 566-1742</w:t>
      </w:r>
      <w:r>
        <w:t xml:space="preserve">. </w:t>
      </w:r>
      <w:r w:rsidRPr="007C7E34">
        <w:t>An electronic version of the public docket is available at www.regulations.gov</w:t>
      </w:r>
      <w:r>
        <w:t xml:space="preserve">. </w:t>
      </w:r>
      <w:r w:rsidRPr="007C7E34">
        <w:t>This site can be used to submit or view public comments, access the index listing of the contents of the public docket, and to access those documents in the public docket that are available electronically</w:t>
      </w:r>
      <w:r>
        <w:t xml:space="preserve">. </w:t>
      </w:r>
      <w:r w:rsidRPr="007C7E34">
        <w:t>When in the system, select “search,” then key in the Docket ID Number identified above</w:t>
      </w:r>
      <w:r>
        <w:t xml:space="preserve">. </w:t>
      </w:r>
      <w:r w:rsidRPr="007C7E34">
        <w:t>Also, you can send comments to the Office of Information and Regulatory Affairs, Office of Management and Budget, 725 17th Street, NW, Washington, D.C. 20503, Attention: Desk Officer for EPA</w:t>
      </w:r>
      <w:r>
        <w:t xml:space="preserve">. </w:t>
      </w:r>
      <w:r w:rsidRPr="007C7E34">
        <w:t>Please include the EPA Docket ID Number EPA-HQ-OAR-</w:t>
      </w:r>
      <w:r w:rsidRPr="00F543E7">
        <w:t>2010-0682</w:t>
      </w:r>
      <w:r>
        <w:t xml:space="preserve"> </w:t>
      </w:r>
      <w:r w:rsidRPr="007C7E34">
        <w:t>in any correspondence.</w:t>
      </w:r>
    </w:p>
    <w:p w:rsidR="00077ABC" w:rsidRPr="009769D3" w:rsidRDefault="00077ABC" w:rsidP="00446CA1">
      <w:pPr>
        <w:pStyle w:val="SectionHeading"/>
      </w:pPr>
      <w:r w:rsidRPr="009769D3">
        <w:t>Part B of the Supporting Statement</w:t>
      </w:r>
    </w:p>
    <w:p w:rsidR="00077ABC" w:rsidRDefault="00077ABC" w:rsidP="00446CA1">
      <w:pPr>
        <w:pStyle w:val="BodyFirstline05After12pt"/>
      </w:pPr>
      <w:r w:rsidRPr="009769D3">
        <w:t>This part is not applicable because no statistical methods were used in collecting this information.</w:t>
      </w:r>
    </w:p>
    <w:p w:rsidR="00F85C65" w:rsidRDefault="00F85C65" w:rsidP="00446CA1">
      <w:pPr>
        <w:pStyle w:val="BodyFirstline05After12pt"/>
      </w:pPr>
    </w:p>
    <w:p w:rsidR="00B4246B" w:rsidRPr="00F46122" w:rsidRDefault="00B4246B" w:rsidP="00F46122">
      <w:pPr>
        <w:sectPr w:rsidR="00B4246B" w:rsidRPr="00F46122" w:rsidSect="004D5F2C">
          <w:headerReference w:type="default" r:id="rId8"/>
          <w:type w:val="continuous"/>
          <w:pgSz w:w="12240" w:h="15840" w:code="1"/>
          <w:pgMar w:top="1440" w:right="1440" w:bottom="1440" w:left="1440" w:header="864" w:footer="1440" w:gutter="0"/>
          <w:cols w:space="720"/>
          <w:noEndnote/>
          <w:titlePg/>
        </w:sectPr>
      </w:pPr>
    </w:p>
    <w:p w:rsidR="0087236F" w:rsidRPr="007523FA" w:rsidRDefault="0087236F" w:rsidP="00446CA1">
      <w:pPr>
        <w:pStyle w:val="TableTitle"/>
      </w:pPr>
      <w:r w:rsidRPr="0087236F">
        <w:lastRenderedPageBreak/>
        <w:t>Table 1.</w:t>
      </w:r>
      <w:r w:rsidR="00F47C05">
        <w:t xml:space="preserve"> </w:t>
      </w:r>
      <w:r w:rsidRPr="0087236F">
        <w:t>Annual Respondent Burden and Cost: Proposed Amendments to NESHAP for Petroleum Refineries (40 CFR Part 63, Subpart CC).</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4" w:type="dxa"/>
          <w:right w:w="134" w:type="dxa"/>
        </w:tblCellMar>
        <w:tblLook w:val="0000"/>
      </w:tblPr>
      <w:tblGrid>
        <w:gridCol w:w="3426"/>
        <w:gridCol w:w="1160"/>
        <w:gridCol w:w="1516"/>
        <w:gridCol w:w="1160"/>
        <w:gridCol w:w="1338"/>
        <w:gridCol w:w="1071"/>
        <w:gridCol w:w="1338"/>
        <w:gridCol w:w="982"/>
        <w:gridCol w:w="1327"/>
      </w:tblGrid>
      <w:tr w:rsidR="00446CA1" w:rsidTr="00557EEE">
        <w:trPr>
          <w:cantSplit/>
          <w:tblHeader/>
        </w:trPr>
        <w:tc>
          <w:tcPr>
            <w:tcW w:w="3464" w:type="dxa"/>
            <w:vMerge w:val="restart"/>
            <w:tcBorders>
              <w:top w:val="single" w:sz="2" w:space="0" w:color="000000"/>
              <w:left w:val="single" w:sz="2" w:space="0" w:color="000000"/>
              <w:right w:val="single" w:sz="2" w:space="0" w:color="000000"/>
            </w:tcBorders>
            <w:vAlign w:val="center"/>
          </w:tcPr>
          <w:p w:rsidR="00446CA1" w:rsidRDefault="00446CA1" w:rsidP="00205C04">
            <w:pPr>
              <w:pStyle w:val="TableTextCenter10pt"/>
            </w:pPr>
            <w:r>
              <w:t>Burden item</w:t>
            </w:r>
          </w:p>
        </w:tc>
        <w:tc>
          <w:tcPr>
            <w:tcW w:w="1170" w:type="dxa"/>
            <w:tcBorders>
              <w:top w:val="single" w:sz="2" w:space="0" w:color="000000"/>
              <w:left w:val="single" w:sz="2" w:space="0" w:color="000000"/>
              <w:bottom w:val="nil"/>
              <w:right w:val="single" w:sz="2" w:space="0" w:color="000000"/>
            </w:tcBorders>
            <w:vAlign w:val="bottom"/>
          </w:tcPr>
          <w:p w:rsidR="00446CA1" w:rsidRPr="004B7307" w:rsidRDefault="00446CA1" w:rsidP="00205C04">
            <w:pPr>
              <w:pStyle w:val="TableTextCenter10pt"/>
            </w:pPr>
            <w:r w:rsidRPr="004B7307">
              <w:t>(A)</w:t>
            </w:r>
          </w:p>
        </w:tc>
        <w:tc>
          <w:tcPr>
            <w:tcW w:w="1530" w:type="dxa"/>
            <w:tcBorders>
              <w:top w:val="single" w:sz="2" w:space="0" w:color="000000"/>
              <w:left w:val="single" w:sz="2" w:space="0" w:color="000000"/>
              <w:bottom w:val="nil"/>
              <w:right w:val="single" w:sz="2" w:space="0" w:color="000000"/>
            </w:tcBorders>
            <w:vAlign w:val="bottom"/>
          </w:tcPr>
          <w:p w:rsidR="00446CA1" w:rsidRPr="004B7307" w:rsidRDefault="00446CA1" w:rsidP="00205C04">
            <w:pPr>
              <w:pStyle w:val="TableTextCenter10pt"/>
            </w:pPr>
            <w:r w:rsidRPr="004B7307">
              <w:t>(B)</w:t>
            </w:r>
          </w:p>
        </w:tc>
        <w:tc>
          <w:tcPr>
            <w:tcW w:w="1170" w:type="dxa"/>
            <w:tcBorders>
              <w:top w:val="single" w:sz="2" w:space="0" w:color="000000"/>
              <w:left w:val="single" w:sz="2" w:space="0" w:color="000000"/>
              <w:bottom w:val="nil"/>
              <w:right w:val="single" w:sz="2" w:space="0" w:color="000000"/>
            </w:tcBorders>
            <w:vAlign w:val="bottom"/>
          </w:tcPr>
          <w:p w:rsidR="00446CA1" w:rsidRPr="004B7307" w:rsidRDefault="00446CA1" w:rsidP="00205C04">
            <w:pPr>
              <w:pStyle w:val="TableTextCenter10pt"/>
            </w:pPr>
            <w:r w:rsidRPr="004B7307">
              <w:t>(C)</w:t>
            </w:r>
          </w:p>
        </w:tc>
        <w:tc>
          <w:tcPr>
            <w:tcW w:w="1350" w:type="dxa"/>
            <w:tcBorders>
              <w:top w:val="single" w:sz="2" w:space="0" w:color="000000"/>
              <w:left w:val="single" w:sz="2" w:space="0" w:color="000000"/>
              <w:bottom w:val="nil"/>
              <w:right w:val="single" w:sz="2" w:space="0" w:color="000000"/>
            </w:tcBorders>
            <w:vAlign w:val="bottom"/>
          </w:tcPr>
          <w:p w:rsidR="00446CA1" w:rsidRPr="004B7307" w:rsidRDefault="00446CA1" w:rsidP="00205C04">
            <w:pPr>
              <w:pStyle w:val="TableTextCenter10pt"/>
            </w:pPr>
            <w:r w:rsidRPr="004B7307">
              <w:t>(D)</w:t>
            </w:r>
          </w:p>
        </w:tc>
        <w:tc>
          <w:tcPr>
            <w:tcW w:w="1080" w:type="dxa"/>
            <w:tcBorders>
              <w:top w:val="single" w:sz="2" w:space="0" w:color="000000"/>
              <w:left w:val="single" w:sz="2" w:space="0" w:color="000000"/>
              <w:bottom w:val="nil"/>
              <w:right w:val="single" w:sz="2" w:space="0" w:color="000000"/>
            </w:tcBorders>
            <w:vAlign w:val="bottom"/>
          </w:tcPr>
          <w:p w:rsidR="00446CA1" w:rsidRPr="004B7307" w:rsidRDefault="00446CA1" w:rsidP="00205C04">
            <w:pPr>
              <w:pStyle w:val="TableTextCenter10pt"/>
            </w:pPr>
            <w:r w:rsidRPr="004B7307">
              <w:t>(E)</w:t>
            </w:r>
          </w:p>
        </w:tc>
        <w:tc>
          <w:tcPr>
            <w:tcW w:w="1350" w:type="dxa"/>
            <w:tcBorders>
              <w:top w:val="single" w:sz="2" w:space="0" w:color="000000"/>
              <w:left w:val="single" w:sz="2" w:space="0" w:color="000000"/>
              <w:bottom w:val="nil"/>
              <w:right w:val="single" w:sz="2" w:space="0" w:color="000000"/>
            </w:tcBorders>
            <w:vAlign w:val="bottom"/>
          </w:tcPr>
          <w:p w:rsidR="00446CA1" w:rsidRPr="004B7307" w:rsidRDefault="00446CA1" w:rsidP="00205C04">
            <w:pPr>
              <w:pStyle w:val="TableTextCenter10pt"/>
            </w:pPr>
            <w:r w:rsidRPr="004B7307">
              <w:t>(F)</w:t>
            </w:r>
          </w:p>
        </w:tc>
        <w:tc>
          <w:tcPr>
            <w:tcW w:w="990" w:type="dxa"/>
            <w:tcBorders>
              <w:top w:val="single" w:sz="2" w:space="0" w:color="000000"/>
              <w:left w:val="single" w:sz="2" w:space="0" w:color="000000"/>
              <w:bottom w:val="nil"/>
              <w:right w:val="single" w:sz="2" w:space="0" w:color="000000"/>
            </w:tcBorders>
            <w:vAlign w:val="bottom"/>
          </w:tcPr>
          <w:p w:rsidR="00446CA1" w:rsidRPr="004B7307" w:rsidRDefault="00446CA1" w:rsidP="00205C04">
            <w:pPr>
              <w:pStyle w:val="TableTextCenter10pt"/>
            </w:pPr>
            <w:r w:rsidRPr="004B7307">
              <w:t>(G)</w:t>
            </w:r>
          </w:p>
        </w:tc>
        <w:tc>
          <w:tcPr>
            <w:tcW w:w="1214" w:type="dxa"/>
            <w:tcBorders>
              <w:top w:val="single" w:sz="2" w:space="0" w:color="000000"/>
              <w:left w:val="single" w:sz="2" w:space="0" w:color="000000"/>
              <w:bottom w:val="nil"/>
              <w:right w:val="single" w:sz="2" w:space="0" w:color="000000"/>
            </w:tcBorders>
            <w:vAlign w:val="bottom"/>
          </w:tcPr>
          <w:p w:rsidR="00446CA1" w:rsidRPr="004B7307" w:rsidRDefault="00446CA1" w:rsidP="00205C04">
            <w:pPr>
              <w:pStyle w:val="TableTextCenter10pt"/>
            </w:pPr>
            <w:r w:rsidRPr="004B7307">
              <w:t>(H)</w:t>
            </w:r>
          </w:p>
        </w:tc>
      </w:tr>
      <w:tr w:rsidR="00446CA1" w:rsidTr="00557EEE">
        <w:trPr>
          <w:cantSplit/>
          <w:tblHeader/>
        </w:trPr>
        <w:tc>
          <w:tcPr>
            <w:tcW w:w="3464" w:type="dxa"/>
            <w:vMerge/>
            <w:tcBorders>
              <w:left w:val="single" w:sz="2" w:space="0" w:color="000000"/>
              <w:right w:val="single" w:sz="2" w:space="0" w:color="000000"/>
            </w:tcBorders>
            <w:vAlign w:val="center"/>
          </w:tcPr>
          <w:p w:rsidR="00446CA1" w:rsidRDefault="00446CA1" w:rsidP="00205C04">
            <w:pPr>
              <w:pStyle w:val="TableTextCenter10pt"/>
              <w:rPr>
                <w:rFonts w:cs="Arial"/>
                <w:szCs w:val="16"/>
              </w:rPr>
            </w:pPr>
          </w:p>
        </w:tc>
        <w:tc>
          <w:tcPr>
            <w:tcW w:w="1170" w:type="dxa"/>
            <w:tcBorders>
              <w:top w:val="nil"/>
              <w:left w:val="single" w:sz="2" w:space="0" w:color="000000"/>
              <w:bottom w:val="nil"/>
              <w:right w:val="single" w:sz="2" w:space="0" w:color="000000"/>
            </w:tcBorders>
            <w:vAlign w:val="bottom"/>
          </w:tcPr>
          <w:p w:rsidR="00446CA1" w:rsidRPr="004B7307" w:rsidRDefault="00446CA1" w:rsidP="00205C04">
            <w:pPr>
              <w:pStyle w:val="TableTextCenter10pt"/>
            </w:pPr>
            <w:r w:rsidRPr="004B7307">
              <w:t>Person-hours per occurrence</w:t>
            </w:r>
          </w:p>
        </w:tc>
        <w:tc>
          <w:tcPr>
            <w:tcW w:w="1530" w:type="dxa"/>
            <w:tcBorders>
              <w:top w:val="nil"/>
              <w:left w:val="single" w:sz="2" w:space="0" w:color="000000"/>
              <w:bottom w:val="nil"/>
              <w:right w:val="single" w:sz="2" w:space="0" w:color="000000"/>
            </w:tcBorders>
            <w:vAlign w:val="bottom"/>
          </w:tcPr>
          <w:p w:rsidR="00446CA1" w:rsidRPr="004B7307" w:rsidRDefault="00446CA1" w:rsidP="00205C04">
            <w:pPr>
              <w:pStyle w:val="TableTextCenter10pt"/>
            </w:pPr>
            <w:r w:rsidRPr="004B7307">
              <w:t>No. of occurrences per respondent per year</w:t>
            </w:r>
          </w:p>
        </w:tc>
        <w:tc>
          <w:tcPr>
            <w:tcW w:w="1170" w:type="dxa"/>
            <w:tcBorders>
              <w:top w:val="nil"/>
              <w:left w:val="single" w:sz="2" w:space="0" w:color="000000"/>
              <w:bottom w:val="nil"/>
              <w:right w:val="single" w:sz="2" w:space="0" w:color="000000"/>
            </w:tcBorders>
            <w:vAlign w:val="bottom"/>
          </w:tcPr>
          <w:p w:rsidR="00446CA1" w:rsidRPr="004B7307" w:rsidRDefault="00446CA1" w:rsidP="00205C04">
            <w:pPr>
              <w:pStyle w:val="TableTextCenter10pt"/>
            </w:pPr>
            <w:r w:rsidRPr="004B7307">
              <w:t>Person-hours per respondent per year</w:t>
            </w:r>
          </w:p>
        </w:tc>
        <w:tc>
          <w:tcPr>
            <w:tcW w:w="1350" w:type="dxa"/>
            <w:tcBorders>
              <w:top w:val="nil"/>
              <w:left w:val="single" w:sz="2" w:space="0" w:color="000000"/>
              <w:bottom w:val="nil"/>
              <w:right w:val="single" w:sz="2" w:space="0" w:color="000000"/>
            </w:tcBorders>
            <w:vAlign w:val="bottom"/>
          </w:tcPr>
          <w:p w:rsidR="00446CA1" w:rsidRPr="004B7307" w:rsidRDefault="00446CA1" w:rsidP="00205C04">
            <w:pPr>
              <w:pStyle w:val="TableTextCenter10pt"/>
            </w:pPr>
            <w:r w:rsidRPr="00205C04">
              <w:t>Respondents</w:t>
            </w:r>
            <w:r w:rsidRPr="004B7307">
              <w:t xml:space="preserve"> per year</w:t>
            </w:r>
            <w:r w:rsidRPr="00F33C16">
              <w:rPr>
                <w:rStyle w:val="Superscript"/>
              </w:rPr>
              <w:t>a</w:t>
            </w:r>
          </w:p>
        </w:tc>
        <w:tc>
          <w:tcPr>
            <w:tcW w:w="1080" w:type="dxa"/>
            <w:tcBorders>
              <w:top w:val="nil"/>
              <w:left w:val="single" w:sz="2" w:space="0" w:color="000000"/>
              <w:bottom w:val="nil"/>
              <w:right w:val="single" w:sz="2" w:space="0" w:color="000000"/>
            </w:tcBorders>
            <w:vAlign w:val="bottom"/>
          </w:tcPr>
          <w:p w:rsidR="00446CA1" w:rsidRPr="004B7307" w:rsidRDefault="00446CA1" w:rsidP="00205C04">
            <w:pPr>
              <w:pStyle w:val="TableTextCenter10pt"/>
            </w:pPr>
            <w:r w:rsidRPr="004B7307">
              <w:t>Technical person-hours per year</w:t>
            </w:r>
          </w:p>
        </w:tc>
        <w:tc>
          <w:tcPr>
            <w:tcW w:w="1350" w:type="dxa"/>
            <w:tcBorders>
              <w:top w:val="nil"/>
              <w:left w:val="single" w:sz="2" w:space="0" w:color="000000"/>
              <w:bottom w:val="nil"/>
              <w:right w:val="single" w:sz="2" w:space="0" w:color="000000"/>
            </w:tcBorders>
            <w:vAlign w:val="bottom"/>
          </w:tcPr>
          <w:p w:rsidR="00446CA1" w:rsidRPr="004B7307" w:rsidRDefault="00446CA1" w:rsidP="00205C04">
            <w:pPr>
              <w:pStyle w:val="TableTextCenter10pt"/>
            </w:pPr>
            <w:r w:rsidRPr="004B7307">
              <w:t>Management person-hours per year</w:t>
            </w:r>
          </w:p>
        </w:tc>
        <w:tc>
          <w:tcPr>
            <w:tcW w:w="990" w:type="dxa"/>
            <w:tcBorders>
              <w:top w:val="nil"/>
              <w:left w:val="single" w:sz="2" w:space="0" w:color="000000"/>
              <w:bottom w:val="nil"/>
              <w:right w:val="single" w:sz="2" w:space="0" w:color="000000"/>
            </w:tcBorders>
            <w:vAlign w:val="bottom"/>
          </w:tcPr>
          <w:p w:rsidR="00446CA1" w:rsidRPr="004B7307" w:rsidRDefault="00446CA1" w:rsidP="00205C04">
            <w:pPr>
              <w:pStyle w:val="TableTextCenter10pt"/>
            </w:pPr>
            <w:r w:rsidRPr="004B7307">
              <w:t>Clerical person- hours per year</w:t>
            </w:r>
          </w:p>
        </w:tc>
        <w:tc>
          <w:tcPr>
            <w:tcW w:w="1214" w:type="dxa"/>
            <w:tcBorders>
              <w:top w:val="nil"/>
              <w:left w:val="single" w:sz="2" w:space="0" w:color="000000"/>
              <w:bottom w:val="nil"/>
              <w:right w:val="single" w:sz="2" w:space="0" w:color="000000"/>
            </w:tcBorders>
            <w:vAlign w:val="bottom"/>
          </w:tcPr>
          <w:p w:rsidR="00446CA1" w:rsidRPr="004B7307" w:rsidRDefault="00446CA1" w:rsidP="00205C04">
            <w:pPr>
              <w:pStyle w:val="TableTextCenter10pt"/>
            </w:pPr>
            <w:r w:rsidRPr="004B7307">
              <w:t>Cost,$</w:t>
            </w:r>
            <w:r w:rsidRPr="00F33C16">
              <w:rPr>
                <w:rStyle w:val="Superscript"/>
              </w:rPr>
              <w:t>b</w:t>
            </w:r>
          </w:p>
        </w:tc>
      </w:tr>
      <w:tr w:rsidR="00446CA1" w:rsidTr="00557EEE">
        <w:trPr>
          <w:cantSplit/>
          <w:tblHeader/>
        </w:trPr>
        <w:tc>
          <w:tcPr>
            <w:tcW w:w="3464" w:type="dxa"/>
            <w:vMerge/>
            <w:tcBorders>
              <w:left w:val="single" w:sz="2" w:space="0" w:color="000000"/>
              <w:bottom w:val="single" w:sz="2" w:space="0" w:color="000000"/>
              <w:right w:val="single" w:sz="2" w:space="0" w:color="000000"/>
            </w:tcBorders>
            <w:vAlign w:val="center"/>
          </w:tcPr>
          <w:p w:rsidR="00446CA1" w:rsidRDefault="00446CA1" w:rsidP="00205C04">
            <w:pPr>
              <w:pStyle w:val="TableTextCenter10pt"/>
              <w:rPr>
                <w:rFonts w:cs="Arial"/>
                <w:szCs w:val="16"/>
              </w:rPr>
            </w:pPr>
          </w:p>
        </w:tc>
        <w:tc>
          <w:tcPr>
            <w:tcW w:w="1170" w:type="dxa"/>
            <w:tcBorders>
              <w:top w:val="nil"/>
              <w:left w:val="single" w:sz="2" w:space="0" w:color="000000"/>
              <w:bottom w:val="single" w:sz="2" w:space="0" w:color="000000"/>
              <w:right w:val="single" w:sz="2" w:space="0" w:color="000000"/>
            </w:tcBorders>
            <w:vAlign w:val="bottom"/>
          </w:tcPr>
          <w:p w:rsidR="00446CA1" w:rsidRPr="00F46122" w:rsidRDefault="00446CA1" w:rsidP="00205C04">
            <w:pPr>
              <w:pStyle w:val="TableTextCenter10pt"/>
            </w:pPr>
          </w:p>
        </w:tc>
        <w:tc>
          <w:tcPr>
            <w:tcW w:w="1530" w:type="dxa"/>
            <w:tcBorders>
              <w:top w:val="nil"/>
              <w:left w:val="single" w:sz="2" w:space="0" w:color="000000"/>
              <w:bottom w:val="single" w:sz="2" w:space="0" w:color="000000"/>
              <w:right w:val="single" w:sz="2" w:space="0" w:color="000000"/>
            </w:tcBorders>
            <w:vAlign w:val="bottom"/>
          </w:tcPr>
          <w:p w:rsidR="00446CA1" w:rsidRPr="00F46122" w:rsidRDefault="00446CA1" w:rsidP="00205C04">
            <w:pPr>
              <w:pStyle w:val="TableTextCenter10pt"/>
              <w:rPr>
                <w:szCs w:val="22"/>
              </w:rPr>
            </w:pPr>
          </w:p>
        </w:tc>
        <w:tc>
          <w:tcPr>
            <w:tcW w:w="1170" w:type="dxa"/>
            <w:tcBorders>
              <w:top w:val="nil"/>
              <w:left w:val="single" w:sz="2" w:space="0" w:color="000000"/>
              <w:bottom w:val="single" w:sz="2" w:space="0" w:color="000000"/>
              <w:right w:val="single" w:sz="2" w:space="0" w:color="000000"/>
            </w:tcBorders>
            <w:vAlign w:val="bottom"/>
          </w:tcPr>
          <w:p w:rsidR="00446CA1" w:rsidRPr="004B7307" w:rsidRDefault="00446CA1" w:rsidP="00205C04">
            <w:pPr>
              <w:pStyle w:val="TableTextCenter10pt"/>
            </w:pPr>
            <w:r w:rsidRPr="004B7307">
              <w:t>(C=A</w:t>
            </w:r>
            <w:r>
              <w:t>×</w:t>
            </w:r>
            <w:r w:rsidRPr="004B7307">
              <w:t>B)</w:t>
            </w:r>
          </w:p>
        </w:tc>
        <w:tc>
          <w:tcPr>
            <w:tcW w:w="1350" w:type="dxa"/>
            <w:tcBorders>
              <w:top w:val="nil"/>
              <w:left w:val="single" w:sz="2" w:space="0" w:color="000000"/>
              <w:bottom w:val="single" w:sz="2" w:space="0" w:color="000000"/>
              <w:right w:val="single" w:sz="2" w:space="0" w:color="000000"/>
            </w:tcBorders>
            <w:vAlign w:val="bottom"/>
          </w:tcPr>
          <w:p w:rsidR="00446CA1" w:rsidRPr="00F46122" w:rsidRDefault="00446CA1" w:rsidP="00205C04">
            <w:pPr>
              <w:pStyle w:val="TableTextCenter10pt"/>
            </w:pPr>
          </w:p>
        </w:tc>
        <w:tc>
          <w:tcPr>
            <w:tcW w:w="1080" w:type="dxa"/>
            <w:tcBorders>
              <w:top w:val="nil"/>
              <w:left w:val="single" w:sz="2" w:space="0" w:color="000000"/>
              <w:bottom w:val="single" w:sz="2" w:space="0" w:color="000000"/>
              <w:right w:val="single" w:sz="2" w:space="0" w:color="000000"/>
            </w:tcBorders>
            <w:vAlign w:val="bottom"/>
          </w:tcPr>
          <w:p w:rsidR="00446CA1" w:rsidRPr="004B7307" w:rsidRDefault="00446CA1" w:rsidP="00205C04">
            <w:pPr>
              <w:pStyle w:val="TableTextCenter10pt"/>
            </w:pPr>
            <w:r w:rsidRPr="004B7307">
              <w:t>(E=C</w:t>
            </w:r>
            <w:r>
              <w:t>×</w:t>
            </w:r>
            <w:r w:rsidRPr="004B7307">
              <w:t>D)</w:t>
            </w:r>
          </w:p>
        </w:tc>
        <w:tc>
          <w:tcPr>
            <w:tcW w:w="1350" w:type="dxa"/>
            <w:tcBorders>
              <w:top w:val="nil"/>
              <w:left w:val="single" w:sz="2" w:space="0" w:color="000000"/>
              <w:bottom w:val="single" w:sz="2" w:space="0" w:color="000000"/>
              <w:right w:val="single" w:sz="2" w:space="0" w:color="000000"/>
            </w:tcBorders>
            <w:vAlign w:val="bottom"/>
          </w:tcPr>
          <w:p w:rsidR="00446CA1" w:rsidRPr="004B7307" w:rsidRDefault="00446CA1" w:rsidP="00205C04">
            <w:pPr>
              <w:pStyle w:val="TableTextCenter10pt"/>
            </w:pPr>
            <w:r w:rsidRPr="004B7307">
              <w:t>(E</w:t>
            </w:r>
            <w:r>
              <w:t>×</w:t>
            </w:r>
            <w:r w:rsidRPr="004B7307">
              <w:t>0.05)</w:t>
            </w:r>
          </w:p>
        </w:tc>
        <w:tc>
          <w:tcPr>
            <w:tcW w:w="990" w:type="dxa"/>
            <w:tcBorders>
              <w:top w:val="nil"/>
              <w:left w:val="single" w:sz="2" w:space="0" w:color="000000"/>
              <w:bottom w:val="single" w:sz="2" w:space="0" w:color="000000"/>
              <w:right w:val="single" w:sz="2" w:space="0" w:color="000000"/>
            </w:tcBorders>
            <w:vAlign w:val="bottom"/>
          </w:tcPr>
          <w:p w:rsidR="00446CA1" w:rsidRPr="004B7307" w:rsidRDefault="00446CA1" w:rsidP="00205C04">
            <w:pPr>
              <w:pStyle w:val="TableTextCenter10pt"/>
            </w:pPr>
            <w:r w:rsidRPr="004B7307">
              <w:t>(E</w:t>
            </w:r>
            <w:r>
              <w:t>×</w:t>
            </w:r>
            <w:r w:rsidRPr="004B7307">
              <w:t>0.1)</w:t>
            </w:r>
          </w:p>
        </w:tc>
        <w:tc>
          <w:tcPr>
            <w:tcW w:w="1214" w:type="dxa"/>
            <w:tcBorders>
              <w:top w:val="nil"/>
              <w:left w:val="single" w:sz="2" w:space="0" w:color="000000"/>
              <w:bottom w:val="single" w:sz="2" w:space="0" w:color="000000"/>
              <w:right w:val="single" w:sz="2" w:space="0" w:color="000000"/>
            </w:tcBorders>
            <w:vAlign w:val="bottom"/>
          </w:tcPr>
          <w:p w:rsidR="00446CA1" w:rsidRPr="00F46122" w:rsidRDefault="00446CA1" w:rsidP="00205C04">
            <w:pPr>
              <w:pStyle w:val="TableTextCenter10pt"/>
            </w:pPr>
          </w:p>
        </w:tc>
      </w:tr>
      <w:tr w:rsidR="0087236F" w:rsidTr="00557EEE">
        <w:trPr>
          <w:cantSplit/>
        </w:trPr>
        <w:tc>
          <w:tcPr>
            <w:tcW w:w="3464" w:type="dxa"/>
            <w:tcBorders>
              <w:top w:val="single" w:sz="2" w:space="0" w:color="000000"/>
              <w:left w:val="single" w:sz="2" w:space="0" w:color="000000"/>
              <w:bottom w:val="single" w:sz="2" w:space="0" w:color="000000"/>
              <w:right w:val="single" w:sz="2" w:space="0" w:color="000000"/>
            </w:tcBorders>
          </w:tcPr>
          <w:p w:rsidR="0087236F" w:rsidRDefault="0087236F" w:rsidP="00F46122">
            <w:pPr>
              <w:pStyle w:val="TableTextLeft10pt"/>
            </w:pPr>
            <w:r>
              <w:t>1. Applications</w:t>
            </w:r>
          </w:p>
        </w:tc>
        <w:tc>
          <w:tcPr>
            <w:tcW w:w="1170" w:type="dxa"/>
            <w:tcBorders>
              <w:top w:val="single" w:sz="2" w:space="0" w:color="000000"/>
              <w:left w:val="single" w:sz="2" w:space="0" w:color="000000"/>
              <w:bottom w:val="single" w:sz="2" w:space="0" w:color="000000"/>
              <w:right w:val="single" w:sz="2" w:space="0" w:color="000000"/>
            </w:tcBorders>
          </w:tcPr>
          <w:p w:rsidR="0087236F" w:rsidRDefault="0087236F" w:rsidP="00F46122">
            <w:pPr>
              <w:pStyle w:val="TableTextCenter10pt"/>
            </w:pPr>
            <w:r>
              <w:t>N/A</w:t>
            </w:r>
          </w:p>
        </w:tc>
        <w:tc>
          <w:tcPr>
            <w:tcW w:w="1530" w:type="dxa"/>
            <w:tcBorders>
              <w:top w:val="single" w:sz="2" w:space="0" w:color="000000"/>
              <w:left w:val="single" w:sz="2" w:space="0" w:color="000000"/>
              <w:bottom w:val="single" w:sz="2" w:space="0" w:color="000000"/>
              <w:right w:val="single" w:sz="2" w:space="0" w:color="000000"/>
            </w:tcBorders>
          </w:tcPr>
          <w:p w:rsidR="0087236F" w:rsidRDefault="0087236F" w:rsidP="00F46122">
            <w:pPr>
              <w:pStyle w:val="TableTextCenter10pt"/>
            </w:pPr>
          </w:p>
        </w:tc>
        <w:tc>
          <w:tcPr>
            <w:tcW w:w="1170" w:type="dxa"/>
            <w:tcBorders>
              <w:top w:val="single" w:sz="2" w:space="0" w:color="000000"/>
              <w:left w:val="single" w:sz="2" w:space="0" w:color="000000"/>
              <w:bottom w:val="single" w:sz="2" w:space="0" w:color="000000"/>
              <w:right w:val="single" w:sz="2" w:space="0" w:color="000000"/>
            </w:tcBorders>
          </w:tcPr>
          <w:p w:rsidR="0087236F" w:rsidRDefault="0087236F" w:rsidP="00F46122">
            <w:pPr>
              <w:pStyle w:val="TableTextCenter10pt"/>
            </w:pPr>
          </w:p>
        </w:tc>
        <w:tc>
          <w:tcPr>
            <w:tcW w:w="1350" w:type="dxa"/>
            <w:tcBorders>
              <w:top w:val="single" w:sz="2" w:space="0" w:color="000000"/>
              <w:left w:val="single" w:sz="2" w:space="0" w:color="000000"/>
              <w:bottom w:val="single" w:sz="2" w:space="0" w:color="000000"/>
              <w:right w:val="single" w:sz="2" w:space="0" w:color="000000"/>
            </w:tcBorders>
          </w:tcPr>
          <w:p w:rsidR="0087236F" w:rsidRDefault="0087236F" w:rsidP="00F46122">
            <w:pPr>
              <w:pStyle w:val="TableTextCenter10pt"/>
            </w:pPr>
          </w:p>
        </w:tc>
        <w:tc>
          <w:tcPr>
            <w:tcW w:w="1080" w:type="dxa"/>
            <w:tcBorders>
              <w:top w:val="single" w:sz="2" w:space="0" w:color="000000"/>
              <w:left w:val="single" w:sz="2" w:space="0" w:color="000000"/>
              <w:bottom w:val="single" w:sz="2" w:space="0" w:color="000000"/>
              <w:right w:val="single" w:sz="2" w:space="0" w:color="000000"/>
            </w:tcBorders>
          </w:tcPr>
          <w:p w:rsidR="0087236F" w:rsidRDefault="0087236F" w:rsidP="00F46122">
            <w:pPr>
              <w:pStyle w:val="TableTextCenter10pt"/>
            </w:pPr>
          </w:p>
        </w:tc>
        <w:tc>
          <w:tcPr>
            <w:tcW w:w="1350" w:type="dxa"/>
            <w:tcBorders>
              <w:top w:val="single" w:sz="2" w:space="0" w:color="000000"/>
              <w:left w:val="single" w:sz="2" w:space="0" w:color="000000"/>
              <w:bottom w:val="single" w:sz="2" w:space="0" w:color="000000"/>
              <w:right w:val="single" w:sz="2" w:space="0" w:color="000000"/>
            </w:tcBorders>
          </w:tcPr>
          <w:p w:rsidR="0087236F" w:rsidRDefault="0087236F" w:rsidP="00F46122">
            <w:pPr>
              <w:pStyle w:val="TableTextCenter10pt"/>
            </w:pPr>
          </w:p>
        </w:tc>
        <w:tc>
          <w:tcPr>
            <w:tcW w:w="990" w:type="dxa"/>
            <w:tcBorders>
              <w:top w:val="single" w:sz="2" w:space="0" w:color="000000"/>
              <w:left w:val="single" w:sz="2" w:space="0" w:color="000000"/>
              <w:bottom w:val="single" w:sz="2" w:space="0" w:color="000000"/>
              <w:right w:val="single" w:sz="2" w:space="0" w:color="000000"/>
            </w:tcBorders>
          </w:tcPr>
          <w:p w:rsidR="0087236F" w:rsidRDefault="0087236F" w:rsidP="00F46122">
            <w:pPr>
              <w:pStyle w:val="TableTextCenter10pt"/>
            </w:pPr>
          </w:p>
        </w:tc>
        <w:tc>
          <w:tcPr>
            <w:tcW w:w="1214" w:type="dxa"/>
            <w:tcBorders>
              <w:top w:val="single" w:sz="2" w:space="0" w:color="000000"/>
              <w:left w:val="single" w:sz="2" w:space="0" w:color="000000"/>
              <w:bottom w:val="single" w:sz="2" w:space="0" w:color="000000"/>
              <w:right w:val="single" w:sz="2" w:space="0" w:color="000000"/>
            </w:tcBorders>
          </w:tcPr>
          <w:p w:rsidR="0087236F" w:rsidRDefault="0087236F" w:rsidP="00F46122">
            <w:pPr>
              <w:pStyle w:val="TableTextRight10pt"/>
            </w:pPr>
          </w:p>
        </w:tc>
      </w:tr>
      <w:tr w:rsidR="0087236F" w:rsidTr="00557EEE">
        <w:trPr>
          <w:cantSplit/>
        </w:trPr>
        <w:tc>
          <w:tcPr>
            <w:tcW w:w="3464" w:type="dxa"/>
            <w:tcBorders>
              <w:top w:val="single" w:sz="2" w:space="0" w:color="000000"/>
              <w:left w:val="single" w:sz="2" w:space="0" w:color="000000"/>
              <w:bottom w:val="single" w:sz="2" w:space="0" w:color="000000"/>
              <w:right w:val="single" w:sz="2" w:space="0" w:color="000000"/>
            </w:tcBorders>
          </w:tcPr>
          <w:p w:rsidR="0087236F" w:rsidRDefault="0087236F" w:rsidP="00F46122">
            <w:pPr>
              <w:pStyle w:val="TableTextLeft10pt"/>
            </w:pPr>
            <w:r>
              <w:t>2. Survey and Studies</w:t>
            </w:r>
          </w:p>
        </w:tc>
        <w:tc>
          <w:tcPr>
            <w:tcW w:w="1170" w:type="dxa"/>
            <w:tcBorders>
              <w:top w:val="single" w:sz="2" w:space="0" w:color="000000"/>
              <w:left w:val="single" w:sz="2" w:space="0" w:color="000000"/>
              <w:bottom w:val="single" w:sz="2" w:space="0" w:color="000000"/>
              <w:right w:val="single" w:sz="2" w:space="0" w:color="000000"/>
            </w:tcBorders>
          </w:tcPr>
          <w:p w:rsidR="0087236F" w:rsidRDefault="0087236F" w:rsidP="00F46122">
            <w:pPr>
              <w:pStyle w:val="TableTextCenter10pt"/>
            </w:pPr>
            <w:r>
              <w:t>N/A</w:t>
            </w:r>
          </w:p>
        </w:tc>
        <w:tc>
          <w:tcPr>
            <w:tcW w:w="1530" w:type="dxa"/>
            <w:tcBorders>
              <w:top w:val="single" w:sz="2" w:space="0" w:color="000000"/>
              <w:left w:val="single" w:sz="2" w:space="0" w:color="000000"/>
              <w:bottom w:val="single" w:sz="2" w:space="0" w:color="000000"/>
              <w:right w:val="single" w:sz="2" w:space="0" w:color="000000"/>
            </w:tcBorders>
          </w:tcPr>
          <w:p w:rsidR="0087236F" w:rsidRDefault="0087236F" w:rsidP="00F46122">
            <w:pPr>
              <w:pStyle w:val="TableTextCenter10pt"/>
            </w:pPr>
          </w:p>
        </w:tc>
        <w:tc>
          <w:tcPr>
            <w:tcW w:w="1170" w:type="dxa"/>
            <w:tcBorders>
              <w:top w:val="single" w:sz="2" w:space="0" w:color="000000"/>
              <w:left w:val="single" w:sz="2" w:space="0" w:color="000000"/>
              <w:bottom w:val="single" w:sz="2" w:space="0" w:color="000000"/>
              <w:right w:val="single" w:sz="2" w:space="0" w:color="000000"/>
            </w:tcBorders>
          </w:tcPr>
          <w:p w:rsidR="0087236F" w:rsidRDefault="0087236F" w:rsidP="00F46122">
            <w:pPr>
              <w:pStyle w:val="TableTextCenter10pt"/>
            </w:pPr>
          </w:p>
        </w:tc>
        <w:tc>
          <w:tcPr>
            <w:tcW w:w="1350" w:type="dxa"/>
            <w:tcBorders>
              <w:top w:val="single" w:sz="2" w:space="0" w:color="000000"/>
              <w:left w:val="single" w:sz="2" w:space="0" w:color="000000"/>
              <w:bottom w:val="single" w:sz="2" w:space="0" w:color="000000"/>
              <w:right w:val="single" w:sz="2" w:space="0" w:color="000000"/>
            </w:tcBorders>
          </w:tcPr>
          <w:p w:rsidR="0087236F" w:rsidRDefault="0087236F" w:rsidP="00F46122">
            <w:pPr>
              <w:pStyle w:val="TableTextCenter10pt"/>
            </w:pPr>
          </w:p>
        </w:tc>
        <w:tc>
          <w:tcPr>
            <w:tcW w:w="1080" w:type="dxa"/>
            <w:tcBorders>
              <w:top w:val="single" w:sz="2" w:space="0" w:color="000000"/>
              <w:left w:val="single" w:sz="2" w:space="0" w:color="000000"/>
              <w:bottom w:val="single" w:sz="2" w:space="0" w:color="000000"/>
              <w:right w:val="single" w:sz="2" w:space="0" w:color="000000"/>
            </w:tcBorders>
          </w:tcPr>
          <w:p w:rsidR="0087236F" w:rsidRDefault="0087236F" w:rsidP="00F46122">
            <w:pPr>
              <w:pStyle w:val="TableTextCenter10pt"/>
            </w:pPr>
          </w:p>
        </w:tc>
        <w:tc>
          <w:tcPr>
            <w:tcW w:w="1350" w:type="dxa"/>
            <w:tcBorders>
              <w:top w:val="single" w:sz="2" w:space="0" w:color="000000"/>
              <w:left w:val="single" w:sz="2" w:space="0" w:color="000000"/>
              <w:bottom w:val="single" w:sz="2" w:space="0" w:color="000000"/>
              <w:right w:val="single" w:sz="2" w:space="0" w:color="000000"/>
            </w:tcBorders>
          </w:tcPr>
          <w:p w:rsidR="0087236F" w:rsidRDefault="0087236F" w:rsidP="00F46122">
            <w:pPr>
              <w:pStyle w:val="TableTextCenter10pt"/>
            </w:pPr>
          </w:p>
        </w:tc>
        <w:tc>
          <w:tcPr>
            <w:tcW w:w="990" w:type="dxa"/>
            <w:tcBorders>
              <w:top w:val="single" w:sz="2" w:space="0" w:color="000000"/>
              <w:left w:val="single" w:sz="2" w:space="0" w:color="000000"/>
              <w:bottom w:val="single" w:sz="2" w:space="0" w:color="000000"/>
              <w:right w:val="single" w:sz="2" w:space="0" w:color="000000"/>
            </w:tcBorders>
          </w:tcPr>
          <w:p w:rsidR="0087236F" w:rsidRDefault="0087236F" w:rsidP="00F46122">
            <w:pPr>
              <w:pStyle w:val="TableTextCenter10pt"/>
            </w:pPr>
          </w:p>
        </w:tc>
        <w:tc>
          <w:tcPr>
            <w:tcW w:w="1214" w:type="dxa"/>
            <w:tcBorders>
              <w:top w:val="single" w:sz="2" w:space="0" w:color="000000"/>
              <w:left w:val="single" w:sz="2" w:space="0" w:color="000000"/>
              <w:bottom w:val="single" w:sz="2" w:space="0" w:color="000000"/>
              <w:right w:val="single" w:sz="2" w:space="0" w:color="000000"/>
            </w:tcBorders>
          </w:tcPr>
          <w:p w:rsidR="0087236F" w:rsidRDefault="0087236F" w:rsidP="00F46122">
            <w:pPr>
              <w:pStyle w:val="TableTextRight10pt"/>
            </w:pPr>
          </w:p>
        </w:tc>
      </w:tr>
      <w:tr w:rsidR="0087236F" w:rsidTr="00557EEE">
        <w:trPr>
          <w:cantSplit/>
        </w:trPr>
        <w:tc>
          <w:tcPr>
            <w:tcW w:w="3464" w:type="dxa"/>
            <w:tcBorders>
              <w:top w:val="single" w:sz="2" w:space="0" w:color="000000"/>
              <w:left w:val="single" w:sz="2" w:space="0" w:color="000000"/>
              <w:bottom w:val="single" w:sz="2" w:space="0" w:color="000000"/>
              <w:right w:val="single" w:sz="2" w:space="0" w:color="000000"/>
            </w:tcBorders>
          </w:tcPr>
          <w:p w:rsidR="0087236F" w:rsidRDefault="0087236F" w:rsidP="00C249BB">
            <w:pPr>
              <w:pStyle w:val="TableTextLeft10pt"/>
            </w:pPr>
            <w:r>
              <w:t>3. Acquisition, Installation, and</w:t>
            </w:r>
            <w:r w:rsidR="00C249BB">
              <w:t xml:space="preserve"> </w:t>
            </w:r>
            <w:r>
              <w:t>Utilization of Technology and</w:t>
            </w:r>
            <w:r w:rsidR="00C249BB">
              <w:t xml:space="preserve"> </w:t>
            </w:r>
            <w:r>
              <w:t>Systems</w:t>
            </w:r>
            <w:r w:rsidR="00F47C05">
              <w:t xml:space="preserve"> </w:t>
            </w:r>
          </w:p>
        </w:tc>
        <w:tc>
          <w:tcPr>
            <w:tcW w:w="1170" w:type="dxa"/>
            <w:tcBorders>
              <w:top w:val="single" w:sz="2" w:space="0" w:color="000000"/>
              <w:left w:val="single" w:sz="2" w:space="0" w:color="000000"/>
              <w:bottom w:val="single" w:sz="2" w:space="0" w:color="000000"/>
              <w:right w:val="single" w:sz="2" w:space="0" w:color="000000"/>
            </w:tcBorders>
            <w:vAlign w:val="center"/>
          </w:tcPr>
          <w:p w:rsidR="0087236F" w:rsidRDefault="0087236F" w:rsidP="00F46122">
            <w:pPr>
              <w:pStyle w:val="TableTextCenter10pt"/>
            </w:pPr>
            <w:r>
              <w:t>N/A</w:t>
            </w:r>
          </w:p>
        </w:tc>
        <w:tc>
          <w:tcPr>
            <w:tcW w:w="1530" w:type="dxa"/>
            <w:tcBorders>
              <w:top w:val="single" w:sz="2" w:space="0" w:color="000000"/>
              <w:left w:val="single" w:sz="2" w:space="0" w:color="000000"/>
              <w:bottom w:val="single" w:sz="2" w:space="0" w:color="000000"/>
              <w:right w:val="single" w:sz="2" w:space="0" w:color="000000"/>
            </w:tcBorders>
            <w:vAlign w:val="center"/>
          </w:tcPr>
          <w:p w:rsidR="0087236F" w:rsidRDefault="0087236F" w:rsidP="00F46122">
            <w:pPr>
              <w:pStyle w:val="TableTextCenter10pt"/>
            </w:pPr>
          </w:p>
        </w:tc>
        <w:tc>
          <w:tcPr>
            <w:tcW w:w="1170" w:type="dxa"/>
            <w:tcBorders>
              <w:top w:val="single" w:sz="2" w:space="0" w:color="000000"/>
              <w:left w:val="single" w:sz="2" w:space="0" w:color="000000"/>
              <w:bottom w:val="single" w:sz="2" w:space="0" w:color="000000"/>
              <w:right w:val="single" w:sz="2" w:space="0" w:color="000000"/>
            </w:tcBorders>
            <w:vAlign w:val="center"/>
          </w:tcPr>
          <w:p w:rsidR="0087236F" w:rsidRDefault="0087236F" w:rsidP="00F46122">
            <w:pPr>
              <w:pStyle w:val="TableTextCenter10pt"/>
            </w:pPr>
          </w:p>
        </w:tc>
        <w:tc>
          <w:tcPr>
            <w:tcW w:w="1350" w:type="dxa"/>
            <w:tcBorders>
              <w:top w:val="single" w:sz="2" w:space="0" w:color="000000"/>
              <w:left w:val="single" w:sz="2" w:space="0" w:color="000000"/>
              <w:bottom w:val="single" w:sz="2" w:space="0" w:color="000000"/>
              <w:right w:val="single" w:sz="2" w:space="0" w:color="000000"/>
            </w:tcBorders>
            <w:vAlign w:val="center"/>
          </w:tcPr>
          <w:p w:rsidR="0087236F" w:rsidRDefault="0087236F" w:rsidP="00F46122">
            <w:pPr>
              <w:pStyle w:val="TableTextCenter10pt"/>
            </w:pPr>
          </w:p>
        </w:tc>
        <w:tc>
          <w:tcPr>
            <w:tcW w:w="1080" w:type="dxa"/>
            <w:tcBorders>
              <w:top w:val="single" w:sz="2" w:space="0" w:color="000000"/>
              <w:left w:val="single" w:sz="2" w:space="0" w:color="000000"/>
              <w:bottom w:val="single" w:sz="2" w:space="0" w:color="000000"/>
              <w:right w:val="single" w:sz="2" w:space="0" w:color="000000"/>
            </w:tcBorders>
            <w:vAlign w:val="center"/>
          </w:tcPr>
          <w:p w:rsidR="0087236F" w:rsidRDefault="0087236F" w:rsidP="00F46122">
            <w:pPr>
              <w:pStyle w:val="TableTextCenter10pt"/>
            </w:pPr>
          </w:p>
        </w:tc>
        <w:tc>
          <w:tcPr>
            <w:tcW w:w="1350" w:type="dxa"/>
            <w:tcBorders>
              <w:top w:val="single" w:sz="2" w:space="0" w:color="000000"/>
              <w:left w:val="single" w:sz="2" w:space="0" w:color="000000"/>
              <w:bottom w:val="single" w:sz="2" w:space="0" w:color="000000"/>
              <w:right w:val="single" w:sz="2" w:space="0" w:color="000000"/>
            </w:tcBorders>
            <w:vAlign w:val="center"/>
          </w:tcPr>
          <w:p w:rsidR="0087236F" w:rsidRDefault="0087236F" w:rsidP="00F46122">
            <w:pPr>
              <w:pStyle w:val="TableTextCenter10pt"/>
            </w:pPr>
          </w:p>
        </w:tc>
        <w:tc>
          <w:tcPr>
            <w:tcW w:w="990" w:type="dxa"/>
            <w:tcBorders>
              <w:top w:val="single" w:sz="2" w:space="0" w:color="000000"/>
              <w:left w:val="single" w:sz="2" w:space="0" w:color="000000"/>
              <w:bottom w:val="single" w:sz="2" w:space="0" w:color="000000"/>
              <w:right w:val="single" w:sz="2" w:space="0" w:color="000000"/>
            </w:tcBorders>
            <w:vAlign w:val="center"/>
          </w:tcPr>
          <w:p w:rsidR="0087236F" w:rsidRDefault="0087236F" w:rsidP="00F46122">
            <w:pPr>
              <w:pStyle w:val="TableTextCenter10pt"/>
            </w:pPr>
          </w:p>
        </w:tc>
        <w:tc>
          <w:tcPr>
            <w:tcW w:w="1214" w:type="dxa"/>
            <w:tcBorders>
              <w:top w:val="single" w:sz="2" w:space="0" w:color="000000"/>
              <w:left w:val="single" w:sz="2" w:space="0" w:color="000000"/>
              <w:bottom w:val="single" w:sz="2" w:space="0" w:color="000000"/>
              <w:right w:val="single" w:sz="2" w:space="0" w:color="000000"/>
            </w:tcBorders>
            <w:vAlign w:val="center"/>
          </w:tcPr>
          <w:p w:rsidR="0087236F" w:rsidRDefault="0087236F" w:rsidP="00F46122">
            <w:pPr>
              <w:pStyle w:val="TableTextRight10pt"/>
            </w:pPr>
          </w:p>
        </w:tc>
      </w:tr>
      <w:tr w:rsidR="0087236F" w:rsidTr="00557EEE">
        <w:trPr>
          <w:cantSplit/>
        </w:trPr>
        <w:tc>
          <w:tcPr>
            <w:tcW w:w="3464" w:type="dxa"/>
            <w:tcBorders>
              <w:top w:val="single" w:sz="2" w:space="0" w:color="000000"/>
              <w:left w:val="single" w:sz="2" w:space="0" w:color="000000"/>
              <w:bottom w:val="single" w:sz="2" w:space="0" w:color="000000"/>
              <w:right w:val="single" w:sz="2" w:space="0" w:color="000000"/>
            </w:tcBorders>
          </w:tcPr>
          <w:p w:rsidR="0087236F" w:rsidRDefault="0087236F" w:rsidP="00F46122">
            <w:pPr>
              <w:pStyle w:val="TableTextLeft10pt"/>
            </w:pPr>
            <w:r>
              <w:t>4. Reporting Requirements</w:t>
            </w:r>
          </w:p>
        </w:tc>
        <w:tc>
          <w:tcPr>
            <w:tcW w:w="1170" w:type="dxa"/>
            <w:tcBorders>
              <w:top w:val="single" w:sz="2" w:space="0" w:color="000000"/>
              <w:left w:val="single" w:sz="2" w:space="0" w:color="000000"/>
              <w:bottom w:val="single" w:sz="2" w:space="0" w:color="000000"/>
              <w:right w:val="single" w:sz="2" w:space="0" w:color="000000"/>
            </w:tcBorders>
          </w:tcPr>
          <w:p w:rsidR="0087236F" w:rsidRDefault="0087236F" w:rsidP="00F46122">
            <w:pPr>
              <w:pStyle w:val="TableTextCenter10pt"/>
            </w:pPr>
          </w:p>
        </w:tc>
        <w:tc>
          <w:tcPr>
            <w:tcW w:w="1530" w:type="dxa"/>
            <w:tcBorders>
              <w:top w:val="single" w:sz="2" w:space="0" w:color="000000"/>
              <w:left w:val="single" w:sz="2" w:space="0" w:color="000000"/>
              <w:bottom w:val="single" w:sz="2" w:space="0" w:color="000000"/>
              <w:right w:val="single" w:sz="2" w:space="0" w:color="000000"/>
            </w:tcBorders>
          </w:tcPr>
          <w:p w:rsidR="0087236F" w:rsidRDefault="0087236F" w:rsidP="00F46122">
            <w:pPr>
              <w:pStyle w:val="TableTextCenter10pt"/>
            </w:pPr>
          </w:p>
        </w:tc>
        <w:tc>
          <w:tcPr>
            <w:tcW w:w="1170" w:type="dxa"/>
            <w:tcBorders>
              <w:top w:val="single" w:sz="2" w:space="0" w:color="000000"/>
              <w:left w:val="single" w:sz="2" w:space="0" w:color="000000"/>
              <w:bottom w:val="single" w:sz="2" w:space="0" w:color="000000"/>
              <w:right w:val="single" w:sz="2" w:space="0" w:color="000000"/>
            </w:tcBorders>
          </w:tcPr>
          <w:p w:rsidR="0087236F" w:rsidRDefault="0087236F" w:rsidP="00F46122">
            <w:pPr>
              <w:pStyle w:val="TableTextCenter10pt"/>
            </w:pPr>
          </w:p>
        </w:tc>
        <w:tc>
          <w:tcPr>
            <w:tcW w:w="1350" w:type="dxa"/>
            <w:tcBorders>
              <w:top w:val="single" w:sz="2" w:space="0" w:color="000000"/>
              <w:left w:val="single" w:sz="2" w:space="0" w:color="000000"/>
              <w:bottom w:val="single" w:sz="2" w:space="0" w:color="000000"/>
              <w:right w:val="single" w:sz="2" w:space="0" w:color="000000"/>
            </w:tcBorders>
          </w:tcPr>
          <w:p w:rsidR="0087236F" w:rsidRDefault="0087236F" w:rsidP="00F46122">
            <w:pPr>
              <w:pStyle w:val="TableTextCenter10pt"/>
            </w:pPr>
          </w:p>
        </w:tc>
        <w:tc>
          <w:tcPr>
            <w:tcW w:w="1080" w:type="dxa"/>
            <w:tcBorders>
              <w:top w:val="single" w:sz="2" w:space="0" w:color="000000"/>
              <w:left w:val="single" w:sz="2" w:space="0" w:color="000000"/>
              <w:bottom w:val="single" w:sz="2" w:space="0" w:color="000000"/>
              <w:right w:val="single" w:sz="2" w:space="0" w:color="000000"/>
            </w:tcBorders>
          </w:tcPr>
          <w:p w:rsidR="0087236F" w:rsidRDefault="0087236F" w:rsidP="00F46122">
            <w:pPr>
              <w:pStyle w:val="TableTextCenter10pt"/>
            </w:pPr>
          </w:p>
        </w:tc>
        <w:tc>
          <w:tcPr>
            <w:tcW w:w="1350" w:type="dxa"/>
            <w:tcBorders>
              <w:top w:val="single" w:sz="2" w:space="0" w:color="000000"/>
              <w:left w:val="single" w:sz="2" w:space="0" w:color="000000"/>
              <w:bottom w:val="single" w:sz="2" w:space="0" w:color="000000"/>
              <w:right w:val="single" w:sz="2" w:space="0" w:color="000000"/>
            </w:tcBorders>
          </w:tcPr>
          <w:p w:rsidR="0087236F" w:rsidRDefault="0087236F" w:rsidP="00F46122">
            <w:pPr>
              <w:pStyle w:val="TableTextCenter10pt"/>
            </w:pPr>
          </w:p>
        </w:tc>
        <w:tc>
          <w:tcPr>
            <w:tcW w:w="990" w:type="dxa"/>
            <w:tcBorders>
              <w:top w:val="single" w:sz="2" w:space="0" w:color="000000"/>
              <w:left w:val="single" w:sz="2" w:space="0" w:color="000000"/>
              <w:bottom w:val="single" w:sz="2" w:space="0" w:color="000000"/>
              <w:right w:val="single" w:sz="2" w:space="0" w:color="000000"/>
            </w:tcBorders>
          </w:tcPr>
          <w:p w:rsidR="0087236F" w:rsidRDefault="0087236F" w:rsidP="00F46122">
            <w:pPr>
              <w:pStyle w:val="TableTextCenter10pt"/>
            </w:pPr>
          </w:p>
        </w:tc>
        <w:tc>
          <w:tcPr>
            <w:tcW w:w="1214" w:type="dxa"/>
            <w:tcBorders>
              <w:top w:val="single" w:sz="2" w:space="0" w:color="000000"/>
              <w:left w:val="single" w:sz="2" w:space="0" w:color="000000"/>
              <w:bottom w:val="single" w:sz="2" w:space="0" w:color="000000"/>
              <w:right w:val="single" w:sz="2" w:space="0" w:color="000000"/>
            </w:tcBorders>
          </w:tcPr>
          <w:p w:rsidR="0087236F" w:rsidRDefault="0087236F" w:rsidP="00F46122">
            <w:pPr>
              <w:pStyle w:val="TableTextRight10pt"/>
            </w:pPr>
          </w:p>
        </w:tc>
      </w:tr>
      <w:tr w:rsidR="0087236F" w:rsidTr="00557EEE">
        <w:trPr>
          <w:cantSplit/>
        </w:trPr>
        <w:tc>
          <w:tcPr>
            <w:tcW w:w="3464" w:type="dxa"/>
            <w:tcBorders>
              <w:top w:val="single" w:sz="2" w:space="0" w:color="000000"/>
              <w:left w:val="single" w:sz="2" w:space="0" w:color="000000"/>
              <w:bottom w:val="single" w:sz="2" w:space="0" w:color="000000"/>
              <w:right w:val="single" w:sz="2" w:space="0" w:color="000000"/>
            </w:tcBorders>
          </w:tcPr>
          <w:p w:rsidR="0087236F" w:rsidRDefault="00590D7B" w:rsidP="00F46122">
            <w:pPr>
              <w:pStyle w:val="TableTextLeft10pt"/>
            </w:pPr>
            <w:r>
              <w:t>A. Read I</w:t>
            </w:r>
            <w:r w:rsidR="0087236F">
              <w:t>nstructions</w:t>
            </w:r>
            <w:r w:rsidR="00F47C05">
              <w:t xml:space="preserve"> </w:t>
            </w:r>
          </w:p>
        </w:tc>
        <w:tc>
          <w:tcPr>
            <w:tcW w:w="1170" w:type="dxa"/>
            <w:tcBorders>
              <w:top w:val="single" w:sz="2" w:space="0" w:color="000000"/>
              <w:left w:val="single" w:sz="2" w:space="0" w:color="000000"/>
              <w:bottom w:val="single" w:sz="2" w:space="0" w:color="000000"/>
              <w:right w:val="single" w:sz="2" w:space="0" w:color="000000"/>
            </w:tcBorders>
          </w:tcPr>
          <w:p w:rsidR="0087236F" w:rsidRDefault="00CF66A5" w:rsidP="00CF66A5">
            <w:pPr>
              <w:pStyle w:val="TableTextCenter10pt"/>
            </w:pPr>
            <w:r>
              <w:t>10</w:t>
            </w:r>
            <w:r w:rsidR="008F3C4D">
              <w:t>0</w:t>
            </w:r>
          </w:p>
        </w:tc>
        <w:tc>
          <w:tcPr>
            <w:tcW w:w="1530" w:type="dxa"/>
            <w:tcBorders>
              <w:top w:val="single" w:sz="2" w:space="0" w:color="000000"/>
              <w:left w:val="single" w:sz="2" w:space="0" w:color="000000"/>
              <w:bottom w:val="single" w:sz="2" w:space="0" w:color="000000"/>
              <w:right w:val="single" w:sz="2" w:space="0" w:color="000000"/>
            </w:tcBorders>
          </w:tcPr>
          <w:p w:rsidR="0087236F" w:rsidRDefault="008F3C4D" w:rsidP="00F46122">
            <w:pPr>
              <w:pStyle w:val="TableTextCenter10pt"/>
            </w:pPr>
            <w:r>
              <w:t>1</w:t>
            </w:r>
          </w:p>
        </w:tc>
        <w:tc>
          <w:tcPr>
            <w:tcW w:w="1170" w:type="dxa"/>
            <w:tcBorders>
              <w:top w:val="single" w:sz="2" w:space="0" w:color="000000"/>
              <w:left w:val="single" w:sz="2" w:space="0" w:color="000000"/>
              <w:bottom w:val="single" w:sz="2" w:space="0" w:color="000000"/>
              <w:right w:val="single" w:sz="2" w:space="0" w:color="000000"/>
            </w:tcBorders>
          </w:tcPr>
          <w:p w:rsidR="0087236F" w:rsidRDefault="00CF66A5" w:rsidP="00CF66A5">
            <w:pPr>
              <w:pStyle w:val="TableTextCenter10pt"/>
            </w:pPr>
            <w:r>
              <w:t>10</w:t>
            </w:r>
            <w:r w:rsidR="008F3C4D">
              <w:t>0</w:t>
            </w:r>
          </w:p>
        </w:tc>
        <w:tc>
          <w:tcPr>
            <w:tcW w:w="1350" w:type="dxa"/>
            <w:tcBorders>
              <w:top w:val="single" w:sz="2" w:space="0" w:color="000000"/>
              <w:left w:val="single" w:sz="2" w:space="0" w:color="000000"/>
              <w:bottom w:val="single" w:sz="2" w:space="0" w:color="000000"/>
              <w:right w:val="single" w:sz="2" w:space="0" w:color="000000"/>
            </w:tcBorders>
          </w:tcPr>
          <w:p w:rsidR="0087236F" w:rsidRDefault="008F3C4D" w:rsidP="00CF66A5">
            <w:pPr>
              <w:pStyle w:val="TableTextCenter10pt"/>
            </w:pPr>
            <w:r>
              <w:t>9</w:t>
            </w:r>
            <w:r w:rsidR="00CF66A5">
              <w:t>4.7</w:t>
            </w:r>
          </w:p>
        </w:tc>
        <w:tc>
          <w:tcPr>
            <w:tcW w:w="1080" w:type="dxa"/>
            <w:tcBorders>
              <w:top w:val="single" w:sz="2" w:space="0" w:color="000000"/>
              <w:left w:val="single" w:sz="2" w:space="0" w:color="000000"/>
              <w:bottom w:val="single" w:sz="2" w:space="0" w:color="000000"/>
              <w:right w:val="single" w:sz="2" w:space="0" w:color="000000"/>
            </w:tcBorders>
          </w:tcPr>
          <w:p w:rsidR="0087236F" w:rsidRDefault="00CF66A5" w:rsidP="00CF66A5">
            <w:pPr>
              <w:pStyle w:val="TableTextCenter10pt"/>
            </w:pPr>
            <w:r>
              <w:t>9,467</w:t>
            </w:r>
          </w:p>
        </w:tc>
        <w:tc>
          <w:tcPr>
            <w:tcW w:w="1350" w:type="dxa"/>
            <w:tcBorders>
              <w:top w:val="single" w:sz="2" w:space="0" w:color="000000"/>
              <w:left w:val="single" w:sz="2" w:space="0" w:color="000000"/>
              <w:bottom w:val="single" w:sz="2" w:space="0" w:color="000000"/>
              <w:right w:val="single" w:sz="2" w:space="0" w:color="000000"/>
            </w:tcBorders>
          </w:tcPr>
          <w:p w:rsidR="0087236F" w:rsidRDefault="00CF66A5" w:rsidP="00CF66A5">
            <w:pPr>
              <w:pStyle w:val="TableTextCenter10pt"/>
            </w:pPr>
            <w:r>
              <w:t>473</w:t>
            </w:r>
          </w:p>
        </w:tc>
        <w:tc>
          <w:tcPr>
            <w:tcW w:w="990" w:type="dxa"/>
            <w:tcBorders>
              <w:top w:val="single" w:sz="2" w:space="0" w:color="000000"/>
              <w:left w:val="single" w:sz="2" w:space="0" w:color="000000"/>
              <w:bottom w:val="single" w:sz="2" w:space="0" w:color="000000"/>
              <w:right w:val="single" w:sz="2" w:space="0" w:color="000000"/>
            </w:tcBorders>
          </w:tcPr>
          <w:p w:rsidR="0087236F" w:rsidRDefault="00CF66A5" w:rsidP="00CF66A5">
            <w:pPr>
              <w:pStyle w:val="TableTextCenter10pt"/>
            </w:pPr>
            <w:r>
              <w:t>947</w:t>
            </w:r>
          </w:p>
        </w:tc>
        <w:tc>
          <w:tcPr>
            <w:tcW w:w="1214" w:type="dxa"/>
            <w:tcBorders>
              <w:top w:val="single" w:sz="2" w:space="0" w:color="000000"/>
              <w:left w:val="single" w:sz="2" w:space="0" w:color="000000"/>
              <w:bottom w:val="single" w:sz="2" w:space="0" w:color="000000"/>
              <w:right w:val="single" w:sz="2" w:space="0" w:color="000000"/>
            </w:tcBorders>
            <w:vAlign w:val="center"/>
          </w:tcPr>
          <w:p w:rsidR="0087236F" w:rsidRDefault="00316627" w:rsidP="00CF66A5">
            <w:pPr>
              <w:pStyle w:val="TableTextRight10pt"/>
            </w:pPr>
            <w:r>
              <w:t>$</w:t>
            </w:r>
            <w:r w:rsidR="00CF66A5">
              <w:t>904,866</w:t>
            </w:r>
          </w:p>
        </w:tc>
      </w:tr>
      <w:tr w:rsidR="0087236F" w:rsidTr="00557EEE">
        <w:trPr>
          <w:cantSplit/>
        </w:trPr>
        <w:tc>
          <w:tcPr>
            <w:tcW w:w="3464" w:type="dxa"/>
            <w:tcBorders>
              <w:top w:val="single" w:sz="2" w:space="0" w:color="000000"/>
              <w:left w:val="single" w:sz="2" w:space="0" w:color="000000"/>
              <w:bottom w:val="single" w:sz="2" w:space="0" w:color="000000"/>
              <w:right w:val="single" w:sz="2" w:space="0" w:color="000000"/>
            </w:tcBorders>
          </w:tcPr>
          <w:p w:rsidR="0087236F" w:rsidRDefault="00590D7B" w:rsidP="00F46122">
            <w:pPr>
              <w:pStyle w:val="TableTextLeft10pt"/>
            </w:pPr>
            <w:r>
              <w:t>B. Required A</w:t>
            </w:r>
            <w:r w:rsidR="0087236F">
              <w:t>ctivities</w:t>
            </w:r>
            <w:r w:rsidR="00F47C05">
              <w:t xml:space="preserve"> </w:t>
            </w:r>
          </w:p>
        </w:tc>
        <w:tc>
          <w:tcPr>
            <w:tcW w:w="1170" w:type="dxa"/>
            <w:tcBorders>
              <w:top w:val="single" w:sz="2" w:space="0" w:color="000000"/>
              <w:left w:val="single" w:sz="2" w:space="0" w:color="000000"/>
              <w:bottom w:val="single" w:sz="2" w:space="0" w:color="000000"/>
              <w:right w:val="single" w:sz="2" w:space="0" w:color="000000"/>
            </w:tcBorders>
          </w:tcPr>
          <w:p w:rsidR="0087236F" w:rsidRDefault="0087236F" w:rsidP="00F46122">
            <w:pPr>
              <w:pStyle w:val="TableTextCenter10pt"/>
            </w:pPr>
          </w:p>
        </w:tc>
        <w:tc>
          <w:tcPr>
            <w:tcW w:w="1530" w:type="dxa"/>
            <w:tcBorders>
              <w:top w:val="single" w:sz="2" w:space="0" w:color="000000"/>
              <w:left w:val="single" w:sz="2" w:space="0" w:color="000000"/>
              <w:bottom w:val="single" w:sz="2" w:space="0" w:color="000000"/>
              <w:right w:val="single" w:sz="2" w:space="0" w:color="000000"/>
            </w:tcBorders>
          </w:tcPr>
          <w:p w:rsidR="0087236F" w:rsidRDefault="0087236F" w:rsidP="00F46122">
            <w:pPr>
              <w:pStyle w:val="TableTextCenter10pt"/>
            </w:pPr>
          </w:p>
        </w:tc>
        <w:tc>
          <w:tcPr>
            <w:tcW w:w="1170" w:type="dxa"/>
            <w:tcBorders>
              <w:top w:val="single" w:sz="2" w:space="0" w:color="000000"/>
              <w:left w:val="single" w:sz="2" w:space="0" w:color="000000"/>
              <w:bottom w:val="single" w:sz="2" w:space="0" w:color="000000"/>
              <w:right w:val="single" w:sz="2" w:space="0" w:color="000000"/>
            </w:tcBorders>
          </w:tcPr>
          <w:p w:rsidR="0087236F" w:rsidRDefault="0087236F" w:rsidP="00F46122">
            <w:pPr>
              <w:pStyle w:val="TableTextCenter10pt"/>
            </w:pPr>
          </w:p>
        </w:tc>
        <w:tc>
          <w:tcPr>
            <w:tcW w:w="1350" w:type="dxa"/>
            <w:tcBorders>
              <w:top w:val="single" w:sz="2" w:space="0" w:color="000000"/>
              <w:left w:val="single" w:sz="2" w:space="0" w:color="000000"/>
              <w:bottom w:val="single" w:sz="2" w:space="0" w:color="000000"/>
              <w:right w:val="single" w:sz="2" w:space="0" w:color="000000"/>
            </w:tcBorders>
          </w:tcPr>
          <w:p w:rsidR="0087236F" w:rsidRDefault="0087236F" w:rsidP="00F46122">
            <w:pPr>
              <w:pStyle w:val="TableTextCenter10pt"/>
            </w:pPr>
          </w:p>
        </w:tc>
        <w:tc>
          <w:tcPr>
            <w:tcW w:w="1080" w:type="dxa"/>
            <w:tcBorders>
              <w:top w:val="single" w:sz="2" w:space="0" w:color="000000"/>
              <w:left w:val="single" w:sz="2" w:space="0" w:color="000000"/>
              <w:bottom w:val="single" w:sz="2" w:space="0" w:color="000000"/>
              <w:right w:val="single" w:sz="2" w:space="0" w:color="000000"/>
            </w:tcBorders>
          </w:tcPr>
          <w:p w:rsidR="0087236F" w:rsidRDefault="0087236F" w:rsidP="00F46122">
            <w:pPr>
              <w:pStyle w:val="TableTextCenter10pt"/>
            </w:pPr>
          </w:p>
        </w:tc>
        <w:tc>
          <w:tcPr>
            <w:tcW w:w="1350" w:type="dxa"/>
            <w:tcBorders>
              <w:top w:val="single" w:sz="2" w:space="0" w:color="000000"/>
              <w:left w:val="single" w:sz="2" w:space="0" w:color="000000"/>
              <w:bottom w:val="single" w:sz="2" w:space="0" w:color="000000"/>
              <w:right w:val="single" w:sz="2" w:space="0" w:color="000000"/>
            </w:tcBorders>
          </w:tcPr>
          <w:p w:rsidR="0087236F" w:rsidRDefault="0087236F" w:rsidP="00F46122">
            <w:pPr>
              <w:pStyle w:val="TableTextCenter10pt"/>
            </w:pPr>
          </w:p>
        </w:tc>
        <w:tc>
          <w:tcPr>
            <w:tcW w:w="990" w:type="dxa"/>
            <w:tcBorders>
              <w:top w:val="single" w:sz="2" w:space="0" w:color="000000"/>
              <w:left w:val="single" w:sz="2" w:space="0" w:color="000000"/>
              <w:bottom w:val="single" w:sz="2" w:space="0" w:color="000000"/>
              <w:right w:val="single" w:sz="2" w:space="0" w:color="000000"/>
            </w:tcBorders>
          </w:tcPr>
          <w:p w:rsidR="0087236F" w:rsidRDefault="0087236F" w:rsidP="00F46122">
            <w:pPr>
              <w:pStyle w:val="TableTextCenter10pt"/>
            </w:pPr>
          </w:p>
        </w:tc>
        <w:tc>
          <w:tcPr>
            <w:tcW w:w="1214" w:type="dxa"/>
            <w:tcBorders>
              <w:top w:val="single" w:sz="2" w:space="0" w:color="000000"/>
              <w:left w:val="single" w:sz="2" w:space="0" w:color="000000"/>
              <w:bottom w:val="single" w:sz="2" w:space="0" w:color="000000"/>
              <w:right w:val="single" w:sz="2" w:space="0" w:color="000000"/>
            </w:tcBorders>
            <w:vAlign w:val="center"/>
          </w:tcPr>
          <w:p w:rsidR="0087236F" w:rsidRDefault="0087236F" w:rsidP="00F46122">
            <w:pPr>
              <w:pStyle w:val="TableTextRight10pt"/>
            </w:pPr>
          </w:p>
        </w:tc>
      </w:tr>
      <w:tr w:rsidR="00316627" w:rsidTr="00557EEE">
        <w:trPr>
          <w:cantSplit/>
        </w:trPr>
        <w:tc>
          <w:tcPr>
            <w:tcW w:w="3464" w:type="dxa"/>
            <w:tcBorders>
              <w:top w:val="single" w:sz="2" w:space="0" w:color="000000"/>
              <w:left w:val="single" w:sz="2" w:space="0" w:color="000000"/>
              <w:bottom w:val="single" w:sz="2" w:space="0" w:color="000000"/>
              <w:right w:val="single" w:sz="2" w:space="0" w:color="000000"/>
            </w:tcBorders>
          </w:tcPr>
          <w:p w:rsidR="00316627" w:rsidRDefault="008B6837" w:rsidP="00F46122">
            <w:pPr>
              <w:pStyle w:val="TableTextLeft10ptIndent"/>
            </w:pPr>
            <w:r>
              <w:t xml:space="preserve">Fenceline monitoring sample collection </w:t>
            </w:r>
            <w:r w:rsidR="00CF66A5">
              <w:t xml:space="preserve">and analysis </w:t>
            </w:r>
            <w:r>
              <w:t>small facility</w:t>
            </w:r>
            <w:r w:rsidR="003A53EF" w:rsidRPr="003A53EF">
              <w:rPr>
                <w:rStyle w:val="Superscript"/>
              </w:rPr>
              <w:t>c</w:t>
            </w:r>
          </w:p>
        </w:tc>
        <w:tc>
          <w:tcPr>
            <w:tcW w:w="1170" w:type="dxa"/>
            <w:tcBorders>
              <w:top w:val="single" w:sz="2" w:space="0" w:color="000000"/>
              <w:left w:val="single" w:sz="2" w:space="0" w:color="000000"/>
              <w:bottom w:val="single" w:sz="2" w:space="0" w:color="000000"/>
              <w:right w:val="single" w:sz="2" w:space="0" w:color="000000"/>
            </w:tcBorders>
            <w:vAlign w:val="center"/>
          </w:tcPr>
          <w:p w:rsidR="00316627" w:rsidRDefault="00CF66A5" w:rsidP="005F5FDC">
            <w:pPr>
              <w:pStyle w:val="TableTextCenter10pt"/>
            </w:pPr>
            <w:r>
              <w:t>5.6</w:t>
            </w:r>
          </w:p>
        </w:tc>
        <w:tc>
          <w:tcPr>
            <w:tcW w:w="1530" w:type="dxa"/>
            <w:tcBorders>
              <w:top w:val="single" w:sz="2" w:space="0" w:color="000000"/>
              <w:left w:val="single" w:sz="2" w:space="0" w:color="000000"/>
              <w:bottom w:val="single" w:sz="2" w:space="0" w:color="000000"/>
              <w:right w:val="single" w:sz="2" w:space="0" w:color="000000"/>
            </w:tcBorders>
            <w:vAlign w:val="center"/>
          </w:tcPr>
          <w:p w:rsidR="00316627" w:rsidRDefault="008B6837" w:rsidP="005F5FDC">
            <w:pPr>
              <w:pStyle w:val="TableTextCenter10pt"/>
            </w:pPr>
            <w:r>
              <w:t>26</w:t>
            </w:r>
          </w:p>
        </w:tc>
        <w:tc>
          <w:tcPr>
            <w:tcW w:w="1170" w:type="dxa"/>
            <w:tcBorders>
              <w:top w:val="single" w:sz="2" w:space="0" w:color="000000"/>
              <w:left w:val="single" w:sz="2" w:space="0" w:color="000000"/>
              <w:bottom w:val="single" w:sz="2" w:space="0" w:color="000000"/>
              <w:right w:val="single" w:sz="2" w:space="0" w:color="000000"/>
            </w:tcBorders>
            <w:vAlign w:val="center"/>
          </w:tcPr>
          <w:p w:rsidR="00316627" w:rsidRDefault="00CF66A5" w:rsidP="00CF66A5">
            <w:pPr>
              <w:pStyle w:val="TableTextCenter10pt"/>
            </w:pPr>
            <w:r>
              <w:t>146</w:t>
            </w:r>
          </w:p>
        </w:tc>
        <w:tc>
          <w:tcPr>
            <w:tcW w:w="1350" w:type="dxa"/>
            <w:tcBorders>
              <w:top w:val="single" w:sz="2" w:space="0" w:color="000000"/>
              <w:left w:val="single" w:sz="2" w:space="0" w:color="000000"/>
              <w:bottom w:val="single" w:sz="2" w:space="0" w:color="000000"/>
              <w:right w:val="single" w:sz="2" w:space="0" w:color="000000"/>
            </w:tcBorders>
            <w:vAlign w:val="center"/>
          </w:tcPr>
          <w:p w:rsidR="00316627" w:rsidRDefault="00CF66A5" w:rsidP="00CF66A5">
            <w:pPr>
              <w:pStyle w:val="TableTextCenter10pt"/>
            </w:pPr>
            <w:r>
              <w:t>56.0</w:t>
            </w:r>
          </w:p>
        </w:tc>
        <w:tc>
          <w:tcPr>
            <w:tcW w:w="1080" w:type="dxa"/>
            <w:tcBorders>
              <w:top w:val="single" w:sz="2" w:space="0" w:color="000000"/>
              <w:left w:val="single" w:sz="2" w:space="0" w:color="000000"/>
              <w:bottom w:val="single" w:sz="2" w:space="0" w:color="000000"/>
              <w:right w:val="single" w:sz="2" w:space="0" w:color="000000"/>
            </w:tcBorders>
            <w:vAlign w:val="center"/>
          </w:tcPr>
          <w:p w:rsidR="00316627" w:rsidRDefault="00CF66A5" w:rsidP="00CF66A5">
            <w:pPr>
              <w:pStyle w:val="TableTextCenter10pt"/>
            </w:pPr>
            <w:r>
              <w:t>8,154</w:t>
            </w:r>
          </w:p>
        </w:tc>
        <w:tc>
          <w:tcPr>
            <w:tcW w:w="1350" w:type="dxa"/>
            <w:tcBorders>
              <w:top w:val="single" w:sz="2" w:space="0" w:color="000000"/>
              <w:left w:val="single" w:sz="2" w:space="0" w:color="000000"/>
              <w:bottom w:val="single" w:sz="2" w:space="0" w:color="000000"/>
              <w:right w:val="single" w:sz="2" w:space="0" w:color="000000"/>
            </w:tcBorders>
            <w:vAlign w:val="center"/>
          </w:tcPr>
          <w:p w:rsidR="00316627" w:rsidRDefault="00CF66A5" w:rsidP="00CF66A5">
            <w:pPr>
              <w:pStyle w:val="TableTextCenter10pt"/>
            </w:pPr>
            <w:r>
              <w:t>408</w:t>
            </w:r>
          </w:p>
        </w:tc>
        <w:tc>
          <w:tcPr>
            <w:tcW w:w="990" w:type="dxa"/>
            <w:tcBorders>
              <w:top w:val="single" w:sz="2" w:space="0" w:color="000000"/>
              <w:left w:val="single" w:sz="2" w:space="0" w:color="000000"/>
              <w:bottom w:val="single" w:sz="2" w:space="0" w:color="000000"/>
              <w:right w:val="single" w:sz="2" w:space="0" w:color="000000"/>
            </w:tcBorders>
            <w:vAlign w:val="center"/>
          </w:tcPr>
          <w:p w:rsidR="00316627" w:rsidRDefault="00CF66A5" w:rsidP="00CF66A5">
            <w:pPr>
              <w:pStyle w:val="TableTextCenter10pt"/>
            </w:pPr>
            <w:r>
              <w:t>815</w:t>
            </w:r>
          </w:p>
        </w:tc>
        <w:tc>
          <w:tcPr>
            <w:tcW w:w="1214" w:type="dxa"/>
            <w:tcBorders>
              <w:top w:val="single" w:sz="2" w:space="0" w:color="000000"/>
              <w:left w:val="single" w:sz="2" w:space="0" w:color="000000"/>
              <w:bottom w:val="single" w:sz="2" w:space="0" w:color="000000"/>
              <w:right w:val="single" w:sz="2" w:space="0" w:color="000000"/>
            </w:tcBorders>
            <w:vAlign w:val="center"/>
          </w:tcPr>
          <w:p w:rsidR="00316627" w:rsidRPr="00AE06D7" w:rsidRDefault="008B6837" w:rsidP="00CF66A5">
            <w:pPr>
              <w:pStyle w:val="TableTextRight10pt"/>
            </w:pPr>
            <w:r w:rsidRPr="00AE06D7">
              <w:t>$</w:t>
            </w:r>
            <w:r w:rsidR="00CF66A5">
              <w:t>779,329</w:t>
            </w:r>
          </w:p>
        </w:tc>
      </w:tr>
      <w:tr w:rsidR="00316627" w:rsidTr="00557EEE">
        <w:trPr>
          <w:cantSplit/>
        </w:trPr>
        <w:tc>
          <w:tcPr>
            <w:tcW w:w="3464" w:type="dxa"/>
            <w:tcBorders>
              <w:top w:val="single" w:sz="2" w:space="0" w:color="000000"/>
              <w:left w:val="single" w:sz="2" w:space="0" w:color="000000"/>
              <w:bottom w:val="single" w:sz="2" w:space="0" w:color="000000"/>
              <w:right w:val="single" w:sz="2" w:space="0" w:color="000000"/>
            </w:tcBorders>
          </w:tcPr>
          <w:p w:rsidR="00316627" w:rsidRDefault="008B6837" w:rsidP="007523FA">
            <w:pPr>
              <w:pStyle w:val="TableTextLeft10ptIndent"/>
            </w:pPr>
            <w:r>
              <w:t xml:space="preserve">Fenceline monitoring sample collection and analysis </w:t>
            </w:r>
            <w:r w:rsidRPr="007523FA">
              <w:t>medium</w:t>
            </w:r>
            <w:r>
              <w:t xml:space="preserve"> facility</w:t>
            </w:r>
            <w:r w:rsidR="003A53EF" w:rsidRPr="003A53EF">
              <w:rPr>
                <w:rStyle w:val="Superscript"/>
              </w:rPr>
              <w:t>c</w:t>
            </w:r>
          </w:p>
        </w:tc>
        <w:tc>
          <w:tcPr>
            <w:tcW w:w="1170" w:type="dxa"/>
            <w:tcBorders>
              <w:top w:val="single" w:sz="2" w:space="0" w:color="000000"/>
              <w:left w:val="single" w:sz="2" w:space="0" w:color="000000"/>
              <w:bottom w:val="single" w:sz="2" w:space="0" w:color="000000"/>
              <w:right w:val="single" w:sz="2" w:space="0" w:color="000000"/>
            </w:tcBorders>
            <w:vAlign w:val="center"/>
          </w:tcPr>
          <w:p w:rsidR="00316627" w:rsidRDefault="00CF66A5" w:rsidP="00CF66A5">
            <w:pPr>
              <w:pStyle w:val="TableTextCenter10pt"/>
            </w:pPr>
            <w:r>
              <w:t>7.4</w:t>
            </w:r>
          </w:p>
        </w:tc>
        <w:tc>
          <w:tcPr>
            <w:tcW w:w="1530" w:type="dxa"/>
            <w:tcBorders>
              <w:top w:val="single" w:sz="2" w:space="0" w:color="000000"/>
              <w:left w:val="single" w:sz="2" w:space="0" w:color="000000"/>
              <w:bottom w:val="single" w:sz="2" w:space="0" w:color="000000"/>
              <w:right w:val="single" w:sz="2" w:space="0" w:color="000000"/>
            </w:tcBorders>
            <w:vAlign w:val="center"/>
          </w:tcPr>
          <w:p w:rsidR="00316627" w:rsidRDefault="008B6837" w:rsidP="005F5FDC">
            <w:pPr>
              <w:pStyle w:val="TableTextCenter10pt"/>
            </w:pPr>
            <w:r>
              <w:t>26</w:t>
            </w:r>
          </w:p>
        </w:tc>
        <w:tc>
          <w:tcPr>
            <w:tcW w:w="1170" w:type="dxa"/>
            <w:tcBorders>
              <w:top w:val="single" w:sz="2" w:space="0" w:color="000000"/>
              <w:left w:val="single" w:sz="2" w:space="0" w:color="000000"/>
              <w:bottom w:val="single" w:sz="2" w:space="0" w:color="000000"/>
              <w:right w:val="single" w:sz="2" w:space="0" w:color="000000"/>
            </w:tcBorders>
            <w:vAlign w:val="center"/>
          </w:tcPr>
          <w:p w:rsidR="00316627" w:rsidRDefault="00CF66A5" w:rsidP="00CF66A5">
            <w:pPr>
              <w:pStyle w:val="TableTextCenter10pt"/>
            </w:pPr>
            <w:r>
              <w:t>192</w:t>
            </w:r>
          </w:p>
        </w:tc>
        <w:tc>
          <w:tcPr>
            <w:tcW w:w="1350" w:type="dxa"/>
            <w:tcBorders>
              <w:top w:val="single" w:sz="2" w:space="0" w:color="000000"/>
              <w:left w:val="single" w:sz="2" w:space="0" w:color="000000"/>
              <w:bottom w:val="single" w:sz="2" w:space="0" w:color="000000"/>
              <w:right w:val="single" w:sz="2" w:space="0" w:color="000000"/>
            </w:tcBorders>
            <w:vAlign w:val="center"/>
          </w:tcPr>
          <w:p w:rsidR="00316627" w:rsidRDefault="008B6837" w:rsidP="00CF66A5">
            <w:pPr>
              <w:pStyle w:val="TableTextCenter10pt"/>
            </w:pPr>
            <w:r>
              <w:t>1</w:t>
            </w:r>
            <w:r w:rsidR="00CF66A5">
              <w:t>8.0</w:t>
            </w:r>
          </w:p>
        </w:tc>
        <w:tc>
          <w:tcPr>
            <w:tcW w:w="1080" w:type="dxa"/>
            <w:tcBorders>
              <w:top w:val="single" w:sz="2" w:space="0" w:color="000000"/>
              <w:left w:val="single" w:sz="2" w:space="0" w:color="000000"/>
              <w:bottom w:val="single" w:sz="2" w:space="0" w:color="000000"/>
              <w:right w:val="single" w:sz="2" w:space="0" w:color="000000"/>
            </w:tcBorders>
            <w:vAlign w:val="center"/>
          </w:tcPr>
          <w:p w:rsidR="00316627" w:rsidRDefault="008B6837" w:rsidP="00CF66A5">
            <w:pPr>
              <w:pStyle w:val="TableTextCenter10pt"/>
            </w:pPr>
            <w:r>
              <w:t>3,</w:t>
            </w:r>
            <w:r w:rsidR="00CF66A5">
              <w:t>463</w:t>
            </w:r>
          </w:p>
        </w:tc>
        <w:tc>
          <w:tcPr>
            <w:tcW w:w="1350" w:type="dxa"/>
            <w:tcBorders>
              <w:top w:val="single" w:sz="2" w:space="0" w:color="000000"/>
              <w:left w:val="single" w:sz="2" w:space="0" w:color="000000"/>
              <w:bottom w:val="single" w:sz="2" w:space="0" w:color="000000"/>
              <w:right w:val="single" w:sz="2" w:space="0" w:color="000000"/>
            </w:tcBorders>
            <w:vAlign w:val="center"/>
          </w:tcPr>
          <w:p w:rsidR="00316627" w:rsidRDefault="008B6837" w:rsidP="00CF66A5">
            <w:pPr>
              <w:pStyle w:val="TableTextCenter10pt"/>
            </w:pPr>
            <w:r>
              <w:t>1</w:t>
            </w:r>
            <w:r w:rsidR="00CF66A5">
              <w:t>73</w:t>
            </w:r>
          </w:p>
        </w:tc>
        <w:tc>
          <w:tcPr>
            <w:tcW w:w="990" w:type="dxa"/>
            <w:tcBorders>
              <w:top w:val="single" w:sz="2" w:space="0" w:color="000000"/>
              <w:left w:val="single" w:sz="2" w:space="0" w:color="000000"/>
              <w:bottom w:val="single" w:sz="2" w:space="0" w:color="000000"/>
              <w:right w:val="single" w:sz="2" w:space="0" w:color="000000"/>
            </w:tcBorders>
            <w:vAlign w:val="center"/>
          </w:tcPr>
          <w:p w:rsidR="00316627" w:rsidRDefault="008B6837" w:rsidP="00CF66A5">
            <w:pPr>
              <w:pStyle w:val="TableTextCenter10pt"/>
            </w:pPr>
            <w:r>
              <w:t>3</w:t>
            </w:r>
            <w:r w:rsidR="00CF66A5">
              <w:t>4</w:t>
            </w:r>
            <w:r>
              <w:t>6</w:t>
            </w:r>
          </w:p>
        </w:tc>
        <w:tc>
          <w:tcPr>
            <w:tcW w:w="1214" w:type="dxa"/>
            <w:tcBorders>
              <w:top w:val="single" w:sz="2" w:space="0" w:color="000000"/>
              <w:left w:val="single" w:sz="2" w:space="0" w:color="000000"/>
              <w:bottom w:val="single" w:sz="2" w:space="0" w:color="000000"/>
              <w:right w:val="single" w:sz="2" w:space="0" w:color="000000"/>
            </w:tcBorders>
            <w:vAlign w:val="center"/>
          </w:tcPr>
          <w:p w:rsidR="00316627" w:rsidRPr="00AE06D7" w:rsidRDefault="008B6837" w:rsidP="00CF66A5">
            <w:pPr>
              <w:pStyle w:val="TableTextRight10pt"/>
            </w:pPr>
            <w:r w:rsidRPr="00AE06D7">
              <w:t>$</w:t>
            </w:r>
            <w:r w:rsidR="00AE06D7" w:rsidRPr="00AE06D7">
              <w:t>33</w:t>
            </w:r>
            <w:r w:rsidR="00CF66A5">
              <w:t>1</w:t>
            </w:r>
            <w:r w:rsidR="00AE06D7" w:rsidRPr="00AE06D7">
              <w:t>,</w:t>
            </w:r>
            <w:r w:rsidR="00CF66A5">
              <w:t>016</w:t>
            </w:r>
          </w:p>
        </w:tc>
      </w:tr>
      <w:tr w:rsidR="00316627" w:rsidTr="00557EEE">
        <w:trPr>
          <w:cantSplit/>
        </w:trPr>
        <w:tc>
          <w:tcPr>
            <w:tcW w:w="3464" w:type="dxa"/>
            <w:tcBorders>
              <w:top w:val="single" w:sz="2" w:space="0" w:color="000000"/>
              <w:left w:val="single" w:sz="2" w:space="0" w:color="000000"/>
              <w:bottom w:val="single" w:sz="2" w:space="0" w:color="000000"/>
              <w:right w:val="single" w:sz="2" w:space="0" w:color="000000"/>
            </w:tcBorders>
          </w:tcPr>
          <w:p w:rsidR="00316627" w:rsidRDefault="008B6837" w:rsidP="00CF66A5">
            <w:pPr>
              <w:pStyle w:val="TableTextLeft10ptIndent"/>
            </w:pPr>
            <w:r>
              <w:t xml:space="preserve">Fenceline monitoring sample collection and analysis </w:t>
            </w:r>
            <w:r w:rsidR="00CF66A5">
              <w:t xml:space="preserve">large </w:t>
            </w:r>
            <w:r>
              <w:t>facility</w:t>
            </w:r>
            <w:r w:rsidR="003A53EF" w:rsidRPr="003A53EF">
              <w:rPr>
                <w:rStyle w:val="Superscript"/>
              </w:rPr>
              <w:t>c</w:t>
            </w:r>
          </w:p>
        </w:tc>
        <w:tc>
          <w:tcPr>
            <w:tcW w:w="1170" w:type="dxa"/>
            <w:tcBorders>
              <w:top w:val="single" w:sz="2" w:space="0" w:color="000000"/>
              <w:left w:val="single" w:sz="2" w:space="0" w:color="000000"/>
              <w:bottom w:val="single" w:sz="2" w:space="0" w:color="000000"/>
              <w:right w:val="single" w:sz="2" w:space="0" w:color="000000"/>
            </w:tcBorders>
            <w:vAlign w:val="center"/>
          </w:tcPr>
          <w:p w:rsidR="00316627" w:rsidRDefault="00CF66A5" w:rsidP="00CF66A5">
            <w:pPr>
              <w:pStyle w:val="TableTextCenter10pt"/>
            </w:pPr>
            <w:r>
              <w:t>9.2</w:t>
            </w:r>
          </w:p>
        </w:tc>
        <w:tc>
          <w:tcPr>
            <w:tcW w:w="1530" w:type="dxa"/>
            <w:tcBorders>
              <w:top w:val="single" w:sz="2" w:space="0" w:color="000000"/>
              <w:left w:val="single" w:sz="2" w:space="0" w:color="000000"/>
              <w:bottom w:val="single" w:sz="2" w:space="0" w:color="000000"/>
              <w:right w:val="single" w:sz="2" w:space="0" w:color="000000"/>
            </w:tcBorders>
            <w:vAlign w:val="center"/>
          </w:tcPr>
          <w:p w:rsidR="00316627" w:rsidRDefault="008B6837" w:rsidP="005F5FDC">
            <w:pPr>
              <w:pStyle w:val="TableTextCenter10pt"/>
            </w:pPr>
            <w:r>
              <w:t>26</w:t>
            </w:r>
          </w:p>
        </w:tc>
        <w:tc>
          <w:tcPr>
            <w:tcW w:w="1170" w:type="dxa"/>
            <w:tcBorders>
              <w:top w:val="single" w:sz="2" w:space="0" w:color="000000"/>
              <w:left w:val="single" w:sz="2" w:space="0" w:color="000000"/>
              <w:bottom w:val="single" w:sz="2" w:space="0" w:color="000000"/>
              <w:right w:val="single" w:sz="2" w:space="0" w:color="000000"/>
            </w:tcBorders>
            <w:vAlign w:val="center"/>
          </w:tcPr>
          <w:p w:rsidR="00316627" w:rsidRDefault="00CF66A5" w:rsidP="00CF66A5">
            <w:pPr>
              <w:pStyle w:val="TableTextCenter10pt"/>
            </w:pPr>
            <w:r>
              <w:t>239</w:t>
            </w:r>
          </w:p>
        </w:tc>
        <w:tc>
          <w:tcPr>
            <w:tcW w:w="1350" w:type="dxa"/>
            <w:tcBorders>
              <w:top w:val="single" w:sz="2" w:space="0" w:color="000000"/>
              <w:left w:val="single" w:sz="2" w:space="0" w:color="000000"/>
              <w:bottom w:val="single" w:sz="2" w:space="0" w:color="000000"/>
              <w:right w:val="single" w:sz="2" w:space="0" w:color="000000"/>
            </w:tcBorders>
            <w:vAlign w:val="center"/>
          </w:tcPr>
          <w:p w:rsidR="00316627" w:rsidRDefault="00CF66A5" w:rsidP="00CF66A5">
            <w:pPr>
              <w:pStyle w:val="TableTextCenter10pt"/>
            </w:pPr>
            <w:r>
              <w:t>20.7</w:t>
            </w:r>
          </w:p>
        </w:tc>
        <w:tc>
          <w:tcPr>
            <w:tcW w:w="1080" w:type="dxa"/>
            <w:tcBorders>
              <w:top w:val="single" w:sz="2" w:space="0" w:color="000000"/>
              <w:left w:val="single" w:sz="2" w:space="0" w:color="000000"/>
              <w:bottom w:val="single" w:sz="2" w:space="0" w:color="000000"/>
              <w:right w:val="single" w:sz="2" w:space="0" w:color="000000"/>
            </w:tcBorders>
            <w:vAlign w:val="center"/>
          </w:tcPr>
          <w:p w:rsidR="00316627" w:rsidRDefault="00CF66A5" w:rsidP="00CF66A5">
            <w:pPr>
              <w:pStyle w:val="TableTextCenter10pt"/>
            </w:pPr>
            <w:r>
              <w:t>4,943</w:t>
            </w:r>
          </w:p>
        </w:tc>
        <w:tc>
          <w:tcPr>
            <w:tcW w:w="1350" w:type="dxa"/>
            <w:tcBorders>
              <w:top w:val="single" w:sz="2" w:space="0" w:color="000000"/>
              <w:left w:val="single" w:sz="2" w:space="0" w:color="000000"/>
              <w:bottom w:val="single" w:sz="2" w:space="0" w:color="000000"/>
              <w:right w:val="single" w:sz="2" w:space="0" w:color="000000"/>
            </w:tcBorders>
            <w:vAlign w:val="center"/>
          </w:tcPr>
          <w:p w:rsidR="00316627" w:rsidRDefault="008B6837" w:rsidP="00CF66A5">
            <w:pPr>
              <w:pStyle w:val="TableTextCenter10pt"/>
            </w:pPr>
            <w:r>
              <w:t>2</w:t>
            </w:r>
            <w:r w:rsidR="00CF66A5">
              <w:t>4</w:t>
            </w:r>
            <w:r>
              <w:t>7</w:t>
            </w:r>
          </w:p>
        </w:tc>
        <w:tc>
          <w:tcPr>
            <w:tcW w:w="990" w:type="dxa"/>
            <w:tcBorders>
              <w:top w:val="single" w:sz="2" w:space="0" w:color="000000"/>
              <w:left w:val="single" w:sz="2" w:space="0" w:color="000000"/>
              <w:bottom w:val="single" w:sz="2" w:space="0" w:color="000000"/>
              <w:right w:val="single" w:sz="2" w:space="0" w:color="000000"/>
            </w:tcBorders>
            <w:vAlign w:val="center"/>
          </w:tcPr>
          <w:p w:rsidR="00316627" w:rsidRDefault="00CF66A5" w:rsidP="00CF66A5">
            <w:pPr>
              <w:pStyle w:val="TableTextCenter10pt"/>
            </w:pPr>
            <w:r>
              <w:t>494</w:t>
            </w:r>
          </w:p>
        </w:tc>
        <w:tc>
          <w:tcPr>
            <w:tcW w:w="1214" w:type="dxa"/>
            <w:tcBorders>
              <w:top w:val="single" w:sz="2" w:space="0" w:color="000000"/>
              <w:left w:val="single" w:sz="2" w:space="0" w:color="000000"/>
              <w:bottom w:val="single" w:sz="2" w:space="0" w:color="000000"/>
              <w:right w:val="single" w:sz="2" w:space="0" w:color="000000"/>
            </w:tcBorders>
            <w:vAlign w:val="center"/>
          </w:tcPr>
          <w:p w:rsidR="00316627" w:rsidRPr="00AE06D7" w:rsidRDefault="008B6837" w:rsidP="00CF66A5">
            <w:pPr>
              <w:pStyle w:val="TableTextRight10pt"/>
            </w:pPr>
            <w:r w:rsidRPr="00AE06D7">
              <w:t>$</w:t>
            </w:r>
            <w:r w:rsidR="00AE06D7" w:rsidRPr="00AE06D7">
              <w:t>4</w:t>
            </w:r>
            <w:r w:rsidR="00CF66A5">
              <w:t>72,501</w:t>
            </w:r>
          </w:p>
        </w:tc>
      </w:tr>
      <w:tr w:rsidR="00316627" w:rsidTr="00557EEE">
        <w:trPr>
          <w:cantSplit/>
        </w:trPr>
        <w:tc>
          <w:tcPr>
            <w:tcW w:w="3464" w:type="dxa"/>
            <w:tcBorders>
              <w:top w:val="single" w:sz="2" w:space="0" w:color="000000"/>
              <w:left w:val="single" w:sz="2" w:space="0" w:color="000000"/>
              <w:bottom w:val="single" w:sz="2" w:space="0" w:color="000000"/>
              <w:right w:val="single" w:sz="2" w:space="0" w:color="000000"/>
            </w:tcBorders>
          </w:tcPr>
          <w:p w:rsidR="00316627" w:rsidRDefault="008B6837" w:rsidP="007523FA">
            <w:pPr>
              <w:pStyle w:val="TableTextLeft10ptIndent"/>
            </w:pPr>
            <w:r>
              <w:t xml:space="preserve">Storage vessel </w:t>
            </w:r>
            <w:r w:rsidRPr="007523FA">
              <w:t>inspections</w:t>
            </w:r>
            <w:r>
              <w:t xml:space="preserve"> </w:t>
            </w:r>
          </w:p>
        </w:tc>
        <w:tc>
          <w:tcPr>
            <w:tcW w:w="1170" w:type="dxa"/>
            <w:tcBorders>
              <w:top w:val="single" w:sz="2" w:space="0" w:color="000000"/>
              <w:left w:val="single" w:sz="2" w:space="0" w:color="000000"/>
              <w:bottom w:val="single" w:sz="2" w:space="0" w:color="000000"/>
              <w:right w:val="single" w:sz="2" w:space="0" w:color="000000"/>
            </w:tcBorders>
            <w:vAlign w:val="center"/>
          </w:tcPr>
          <w:p w:rsidR="00316627" w:rsidRDefault="00590D7B" w:rsidP="005F5FDC">
            <w:pPr>
              <w:pStyle w:val="TableTextCenter10pt"/>
            </w:pPr>
            <w:r>
              <w:t>variable</w:t>
            </w:r>
          </w:p>
        </w:tc>
        <w:tc>
          <w:tcPr>
            <w:tcW w:w="1530" w:type="dxa"/>
            <w:tcBorders>
              <w:top w:val="single" w:sz="2" w:space="0" w:color="000000"/>
              <w:left w:val="single" w:sz="2" w:space="0" w:color="000000"/>
              <w:bottom w:val="single" w:sz="2" w:space="0" w:color="000000"/>
              <w:right w:val="single" w:sz="2" w:space="0" w:color="000000"/>
            </w:tcBorders>
            <w:vAlign w:val="center"/>
          </w:tcPr>
          <w:p w:rsidR="00316627" w:rsidRDefault="00590D7B" w:rsidP="005F5FDC">
            <w:pPr>
              <w:pStyle w:val="TableTextCenter10pt"/>
            </w:pPr>
            <w:r>
              <w:t>variable</w:t>
            </w:r>
          </w:p>
        </w:tc>
        <w:tc>
          <w:tcPr>
            <w:tcW w:w="1170" w:type="dxa"/>
            <w:tcBorders>
              <w:top w:val="single" w:sz="2" w:space="0" w:color="000000"/>
              <w:left w:val="single" w:sz="2" w:space="0" w:color="000000"/>
              <w:bottom w:val="single" w:sz="2" w:space="0" w:color="000000"/>
              <w:right w:val="single" w:sz="2" w:space="0" w:color="000000"/>
            </w:tcBorders>
            <w:vAlign w:val="center"/>
          </w:tcPr>
          <w:p w:rsidR="00316627" w:rsidRDefault="001D7B6B" w:rsidP="00CF66A5">
            <w:pPr>
              <w:pStyle w:val="TableTextCenter10pt"/>
            </w:pPr>
            <w:r>
              <w:t>2.</w:t>
            </w:r>
            <w:r w:rsidR="00CF66A5">
              <w:t>66</w:t>
            </w:r>
          </w:p>
        </w:tc>
        <w:tc>
          <w:tcPr>
            <w:tcW w:w="1350" w:type="dxa"/>
            <w:tcBorders>
              <w:top w:val="single" w:sz="2" w:space="0" w:color="000000"/>
              <w:left w:val="single" w:sz="2" w:space="0" w:color="000000"/>
              <w:bottom w:val="single" w:sz="2" w:space="0" w:color="000000"/>
              <w:right w:val="single" w:sz="2" w:space="0" w:color="000000"/>
            </w:tcBorders>
            <w:vAlign w:val="center"/>
          </w:tcPr>
          <w:p w:rsidR="00316627" w:rsidRDefault="00590D7B" w:rsidP="00CF66A5">
            <w:pPr>
              <w:pStyle w:val="TableTextCenter10pt"/>
            </w:pPr>
            <w:r>
              <w:t>9</w:t>
            </w:r>
            <w:r w:rsidR="00CF66A5">
              <w:t>4.7</w:t>
            </w:r>
          </w:p>
        </w:tc>
        <w:tc>
          <w:tcPr>
            <w:tcW w:w="1080" w:type="dxa"/>
            <w:tcBorders>
              <w:top w:val="single" w:sz="2" w:space="0" w:color="000000"/>
              <w:left w:val="single" w:sz="2" w:space="0" w:color="000000"/>
              <w:bottom w:val="single" w:sz="2" w:space="0" w:color="000000"/>
              <w:right w:val="single" w:sz="2" w:space="0" w:color="000000"/>
            </w:tcBorders>
            <w:vAlign w:val="center"/>
          </w:tcPr>
          <w:p w:rsidR="00316627" w:rsidRDefault="001D7B6B" w:rsidP="00CF66A5">
            <w:pPr>
              <w:pStyle w:val="TableTextCenter10pt"/>
            </w:pPr>
            <w:r>
              <w:t>2</w:t>
            </w:r>
            <w:r w:rsidR="00CF66A5">
              <w:t>51</w:t>
            </w:r>
          </w:p>
        </w:tc>
        <w:tc>
          <w:tcPr>
            <w:tcW w:w="1350" w:type="dxa"/>
            <w:tcBorders>
              <w:top w:val="single" w:sz="2" w:space="0" w:color="000000"/>
              <w:left w:val="single" w:sz="2" w:space="0" w:color="000000"/>
              <w:bottom w:val="single" w:sz="2" w:space="0" w:color="000000"/>
              <w:right w:val="single" w:sz="2" w:space="0" w:color="000000"/>
            </w:tcBorders>
            <w:vAlign w:val="center"/>
          </w:tcPr>
          <w:p w:rsidR="00316627" w:rsidRDefault="001D7B6B" w:rsidP="00CF66A5">
            <w:pPr>
              <w:pStyle w:val="TableTextCenter10pt"/>
            </w:pPr>
            <w:r>
              <w:t>12</w:t>
            </w:r>
            <w:r w:rsidR="00AE06D7">
              <w:t>.</w:t>
            </w:r>
            <w:r w:rsidR="00CF66A5">
              <w:t>6</w:t>
            </w:r>
          </w:p>
        </w:tc>
        <w:tc>
          <w:tcPr>
            <w:tcW w:w="990" w:type="dxa"/>
            <w:tcBorders>
              <w:top w:val="single" w:sz="2" w:space="0" w:color="000000"/>
              <w:left w:val="single" w:sz="2" w:space="0" w:color="000000"/>
              <w:bottom w:val="single" w:sz="2" w:space="0" w:color="000000"/>
              <w:right w:val="single" w:sz="2" w:space="0" w:color="000000"/>
            </w:tcBorders>
            <w:vAlign w:val="center"/>
          </w:tcPr>
          <w:p w:rsidR="00316627" w:rsidRDefault="001D7B6B" w:rsidP="00CF66A5">
            <w:pPr>
              <w:pStyle w:val="TableTextCenter10pt"/>
            </w:pPr>
            <w:r>
              <w:t>2</w:t>
            </w:r>
            <w:r w:rsidR="00CF66A5">
              <w:t>5.1</w:t>
            </w:r>
          </w:p>
        </w:tc>
        <w:tc>
          <w:tcPr>
            <w:tcW w:w="1214" w:type="dxa"/>
            <w:tcBorders>
              <w:top w:val="single" w:sz="2" w:space="0" w:color="000000"/>
              <w:left w:val="single" w:sz="2" w:space="0" w:color="000000"/>
              <w:bottom w:val="single" w:sz="2" w:space="0" w:color="000000"/>
              <w:right w:val="single" w:sz="2" w:space="0" w:color="000000"/>
            </w:tcBorders>
            <w:vAlign w:val="center"/>
          </w:tcPr>
          <w:p w:rsidR="00316627" w:rsidRPr="00AE06D7" w:rsidRDefault="00590D7B" w:rsidP="00CF66A5">
            <w:pPr>
              <w:pStyle w:val="TableTextRight10pt"/>
            </w:pPr>
            <w:r>
              <w:t>$</w:t>
            </w:r>
            <w:r w:rsidR="00AE06D7" w:rsidRPr="00AE06D7">
              <w:t>2</w:t>
            </w:r>
            <w:r w:rsidR="00CF66A5">
              <w:t>4,028</w:t>
            </w:r>
          </w:p>
        </w:tc>
      </w:tr>
      <w:tr w:rsidR="00CF66A5" w:rsidTr="00557EEE">
        <w:trPr>
          <w:cantSplit/>
        </w:trPr>
        <w:tc>
          <w:tcPr>
            <w:tcW w:w="3464" w:type="dxa"/>
            <w:tcBorders>
              <w:top w:val="single" w:sz="2" w:space="0" w:color="000000"/>
              <w:left w:val="single" w:sz="2" w:space="0" w:color="000000"/>
              <w:bottom w:val="single" w:sz="2" w:space="0" w:color="000000"/>
              <w:right w:val="single" w:sz="2" w:space="0" w:color="000000"/>
            </w:tcBorders>
          </w:tcPr>
          <w:p w:rsidR="00CF66A5" w:rsidRDefault="00CF66A5" w:rsidP="007523FA">
            <w:pPr>
              <w:pStyle w:val="TableTextLeft10ptIndent"/>
            </w:pPr>
            <w:r>
              <w:t>Flares</w:t>
            </w:r>
          </w:p>
        </w:tc>
        <w:tc>
          <w:tcPr>
            <w:tcW w:w="1170" w:type="dxa"/>
            <w:tcBorders>
              <w:top w:val="single" w:sz="2" w:space="0" w:color="000000"/>
              <w:left w:val="single" w:sz="2" w:space="0" w:color="000000"/>
              <w:bottom w:val="single" w:sz="2" w:space="0" w:color="000000"/>
              <w:right w:val="single" w:sz="2" w:space="0" w:color="000000"/>
            </w:tcBorders>
            <w:vAlign w:val="center"/>
          </w:tcPr>
          <w:p w:rsidR="00CF66A5" w:rsidRDefault="00CF66A5" w:rsidP="005F5FDC">
            <w:pPr>
              <w:pStyle w:val="TableTextCenter10pt"/>
            </w:pPr>
            <w:r>
              <w:t>0.4</w:t>
            </w:r>
          </w:p>
        </w:tc>
        <w:tc>
          <w:tcPr>
            <w:tcW w:w="1530" w:type="dxa"/>
            <w:tcBorders>
              <w:top w:val="single" w:sz="2" w:space="0" w:color="000000"/>
              <w:left w:val="single" w:sz="2" w:space="0" w:color="000000"/>
              <w:bottom w:val="single" w:sz="2" w:space="0" w:color="000000"/>
              <w:right w:val="single" w:sz="2" w:space="0" w:color="000000"/>
            </w:tcBorders>
            <w:vAlign w:val="center"/>
          </w:tcPr>
          <w:p w:rsidR="00CF66A5" w:rsidRDefault="00CF66A5" w:rsidP="005F5FDC">
            <w:pPr>
              <w:pStyle w:val="TableTextCenter10pt"/>
            </w:pPr>
            <w:r>
              <w:t>365</w:t>
            </w:r>
          </w:p>
        </w:tc>
        <w:tc>
          <w:tcPr>
            <w:tcW w:w="1170" w:type="dxa"/>
            <w:tcBorders>
              <w:top w:val="single" w:sz="2" w:space="0" w:color="000000"/>
              <w:left w:val="single" w:sz="2" w:space="0" w:color="000000"/>
              <w:bottom w:val="single" w:sz="2" w:space="0" w:color="000000"/>
              <w:right w:val="single" w:sz="2" w:space="0" w:color="000000"/>
            </w:tcBorders>
            <w:vAlign w:val="center"/>
          </w:tcPr>
          <w:p w:rsidR="00CF66A5" w:rsidRDefault="00CF66A5" w:rsidP="00CF66A5">
            <w:pPr>
              <w:pStyle w:val="TableTextCenter10pt"/>
            </w:pPr>
            <w:r>
              <w:t>146</w:t>
            </w:r>
          </w:p>
        </w:tc>
        <w:tc>
          <w:tcPr>
            <w:tcW w:w="1350" w:type="dxa"/>
            <w:tcBorders>
              <w:top w:val="single" w:sz="2" w:space="0" w:color="000000"/>
              <w:left w:val="single" w:sz="2" w:space="0" w:color="000000"/>
              <w:bottom w:val="single" w:sz="2" w:space="0" w:color="000000"/>
              <w:right w:val="single" w:sz="2" w:space="0" w:color="000000"/>
            </w:tcBorders>
            <w:vAlign w:val="center"/>
          </w:tcPr>
          <w:p w:rsidR="00CF66A5" w:rsidRDefault="00CF66A5" w:rsidP="00CF66A5">
            <w:pPr>
              <w:pStyle w:val="TableTextCenter10pt"/>
            </w:pPr>
            <w:r>
              <w:t>94.7</w:t>
            </w:r>
          </w:p>
        </w:tc>
        <w:tc>
          <w:tcPr>
            <w:tcW w:w="1080" w:type="dxa"/>
            <w:tcBorders>
              <w:top w:val="single" w:sz="2" w:space="0" w:color="000000"/>
              <w:left w:val="single" w:sz="2" w:space="0" w:color="000000"/>
              <w:bottom w:val="single" w:sz="2" w:space="0" w:color="000000"/>
              <w:right w:val="single" w:sz="2" w:space="0" w:color="000000"/>
            </w:tcBorders>
            <w:vAlign w:val="center"/>
          </w:tcPr>
          <w:p w:rsidR="00CF66A5" w:rsidRDefault="00CF66A5" w:rsidP="00CF66A5">
            <w:pPr>
              <w:pStyle w:val="TableTextCenter10pt"/>
            </w:pPr>
            <w:r>
              <w:t>13,821</w:t>
            </w:r>
          </w:p>
        </w:tc>
        <w:tc>
          <w:tcPr>
            <w:tcW w:w="1350" w:type="dxa"/>
            <w:tcBorders>
              <w:top w:val="single" w:sz="2" w:space="0" w:color="000000"/>
              <w:left w:val="single" w:sz="2" w:space="0" w:color="000000"/>
              <w:bottom w:val="single" w:sz="2" w:space="0" w:color="000000"/>
              <w:right w:val="single" w:sz="2" w:space="0" w:color="000000"/>
            </w:tcBorders>
            <w:vAlign w:val="center"/>
          </w:tcPr>
          <w:p w:rsidR="00CF66A5" w:rsidRDefault="00CF66A5" w:rsidP="00CF66A5">
            <w:pPr>
              <w:pStyle w:val="TableTextCenter10pt"/>
            </w:pPr>
            <w:r>
              <w:t>961</w:t>
            </w:r>
          </w:p>
        </w:tc>
        <w:tc>
          <w:tcPr>
            <w:tcW w:w="990" w:type="dxa"/>
            <w:tcBorders>
              <w:top w:val="single" w:sz="2" w:space="0" w:color="000000"/>
              <w:left w:val="single" w:sz="2" w:space="0" w:color="000000"/>
              <w:bottom w:val="single" w:sz="2" w:space="0" w:color="000000"/>
              <w:right w:val="single" w:sz="2" w:space="0" w:color="000000"/>
            </w:tcBorders>
            <w:vAlign w:val="center"/>
          </w:tcPr>
          <w:p w:rsidR="00CF66A5" w:rsidRDefault="00CF66A5" w:rsidP="00CF66A5">
            <w:pPr>
              <w:pStyle w:val="TableTextCenter10pt"/>
            </w:pPr>
            <w:r>
              <w:t>1,382</w:t>
            </w:r>
          </w:p>
        </w:tc>
        <w:tc>
          <w:tcPr>
            <w:tcW w:w="1214" w:type="dxa"/>
            <w:tcBorders>
              <w:top w:val="single" w:sz="2" w:space="0" w:color="000000"/>
              <w:left w:val="single" w:sz="2" w:space="0" w:color="000000"/>
              <w:bottom w:val="single" w:sz="2" w:space="0" w:color="000000"/>
              <w:right w:val="single" w:sz="2" w:space="0" w:color="000000"/>
            </w:tcBorders>
            <w:vAlign w:val="center"/>
          </w:tcPr>
          <w:p w:rsidR="00CF66A5" w:rsidRDefault="00CF66A5" w:rsidP="00CF66A5">
            <w:pPr>
              <w:pStyle w:val="TableTextRight10pt"/>
            </w:pPr>
            <w:r>
              <w:t>$1,321,057</w:t>
            </w:r>
          </w:p>
        </w:tc>
      </w:tr>
      <w:tr w:rsidR="0087236F" w:rsidTr="00557EEE">
        <w:trPr>
          <w:cantSplit/>
        </w:trPr>
        <w:tc>
          <w:tcPr>
            <w:tcW w:w="3464" w:type="dxa"/>
            <w:tcBorders>
              <w:top w:val="single" w:sz="2" w:space="0" w:color="000000"/>
              <w:left w:val="single" w:sz="2" w:space="0" w:color="000000"/>
              <w:bottom w:val="single" w:sz="2" w:space="0" w:color="000000"/>
              <w:right w:val="single" w:sz="2" w:space="0" w:color="000000"/>
            </w:tcBorders>
          </w:tcPr>
          <w:p w:rsidR="0087236F" w:rsidRPr="00F46122" w:rsidRDefault="0087236F" w:rsidP="00F46122">
            <w:pPr>
              <w:pStyle w:val="TableTextLeft10pt"/>
            </w:pPr>
            <w:r w:rsidRPr="00F46122">
              <w:t>C. Create information</w:t>
            </w:r>
          </w:p>
        </w:tc>
        <w:tc>
          <w:tcPr>
            <w:tcW w:w="1170" w:type="dxa"/>
            <w:tcBorders>
              <w:top w:val="single" w:sz="2" w:space="0" w:color="000000"/>
              <w:left w:val="single" w:sz="2" w:space="0" w:color="000000"/>
              <w:bottom w:val="single" w:sz="2" w:space="0" w:color="000000"/>
              <w:right w:val="single" w:sz="2" w:space="0" w:color="000000"/>
            </w:tcBorders>
          </w:tcPr>
          <w:p w:rsidR="0087236F" w:rsidRDefault="0087236F" w:rsidP="005F5FDC">
            <w:pPr>
              <w:pStyle w:val="TableTextCenter10pt"/>
            </w:pPr>
            <w:r>
              <w:t>See 4B</w:t>
            </w:r>
          </w:p>
        </w:tc>
        <w:tc>
          <w:tcPr>
            <w:tcW w:w="1530" w:type="dxa"/>
            <w:tcBorders>
              <w:top w:val="single" w:sz="2" w:space="0" w:color="000000"/>
              <w:left w:val="single" w:sz="2" w:space="0" w:color="000000"/>
              <w:bottom w:val="single" w:sz="2" w:space="0" w:color="000000"/>
              <w:right w:val="single" w:sz="2" w:space="0" w:color="000000"/>
            </w:tcBorders>
          </w:tcPr>
          <w:p w:rsidR="0087236F" w:rsidRDefault="0087236F" w:rsidP="00F46122">
            <w:pPr>
              <w:pStyle w:val="TableTextCenter10pt"/>
              <w:rPr>
                <w:rFonts w:cs="Arial"/>
                <w:szCs w:val="16"/>
              </w:rPr>
            </w:pPr>
          </w:p>
        </w:tc>
        <w:tc>
          <w:tcPr>
            <w:tcW w:w="1170" w:type="dxa"/>
            <w:tcBorders>
              <w:top w:val="single" w:sz="2" w:space="0" w:color="000000"/>
              <w:left w:val="single" w:sz="2" w:space="0" w:color="000000"/>
              <w:bottom w:val="single" w:sz="2" w:space="0" w:color="000000"/>
              <w:right w:val="single" w:sz="2" w:space="0" w:color="000000"/>
            </w:tcBorders>
          </w:tcPr>
          <w:p w:rsidR="0087236F" w:rsidRDefault="0087236F" w:rsidP="00F46122">
            <w:pPr>
              <w:pStyle w:val="TableTextCenter10pt"/>
              <w:rPr>
                <w:rFonts w:cs="Arial"/>
                <w:szCs w:val="16"/>
              </w:rPr>
            </w:pPr>
          </w:p>
        </w:tc>
        <w:tc>
          <w:tcPr>
            <w:tcW w:w="1350" w:type="dxa"/>
            <w:tcBorders>
              <w:top w:val="single" w:sz="2" w:space="0" w:color="000000"/>
              <w:left w:val="single" w:sz="2" w:space="0" w:color="000000"/>
              <w:bottom w:val="single" w:sz="2" w:space="0" w:color="000000"/>
              <w:right w:val="single" w:sz="2" w:space="0" w:color="000000"/>
            </w:tcBorders>
          </w:tcPr>
          <w:p w:rsidR="0087236F" w:rsidRDefault="0087236F" w:rsidP="00F46122">
            <w:pPr>
              <w:pStyle w:val="TableTextCenter10pt"/>
              <w:rPr>
                <w:rFonts w:cs="Arial"/>
                <w:szCs w:val="16"/>
              </w:rPr>
            </w:pPr>
          </w:p>
        </w:tc>
        <w:tc>
          <w:tcPr>
            <w:tcW w:w="1080" w:type="dxa"/>
            <w:tcBorders>
              <w:top w:val="single" w:sz="2" w:space="0" w:color="000000"/>
              <w:left w:val="single" w:sz="2" w:space="0" w:color="000000"/>
              <w:bottom w:val="single" w:sz="2" w:space="0" w:color="000000"/>
              <w:right w:val="single" w:sz="2" w:space="0" w:color="000000"/>
            </w:tcBorders>
          </w:tcPr>
          <w:p w:rsidR="0087236F" w:rsidRDefault="0087236F" w:rsidP="00F46122">
            <w:pPr>
              <w:pStyle w:val="TableTextCenter10pt"/>
              <w:rPr>
                <w:rFonts w:cs="Arial"/>
                <w:szCs w:val="16"/>
              </w:rPr>
            </w:pPr>
          </w:p>
        </w:tc>
        <w:tc>
          <w:tcPr>
            <w:tcW w:w="1350" w:type="dxa"/>
            <w:tcBorders>
              <w:top w:val="single" w:sz="2" w:space="0" w:color="000000"/>
              <w:left w:val="single" w:sz="2" w:space="0" w:color="000000"/>
              <w:bottom w:val="single" w:sz="2" w:space="0" w:color="000000"/>
              <w:right w:val="single" w:sz="2" w:space="0" w:color="000000"/>
            </w:tcBorders>
          </w:tcPr>
          <w:p w:rsidR="0087236F" w:rsidRDefault="0087236F" w:rsidP="00F46122">
            <w:pPr>
              <w:pStyle w:val="TableTextCenter10pt"/>
              <w:rPr>
                <w:rFonts w:cs="Arial"/>
                <w:szCs w:val="16"/>
              </w:rPr>
            </w:pPr>
          </w:p>
        </w:tc>
        <w:tc>
          <w:tcPr>
            <w:tcW w:w="990" w:type="dxa"/>
            <w:tcBorders>
              <w:top w:val="single" w:sz="2" w:space="0" w:color="000000"/>
              <w:left w:val="single" w:sz="2" w:space="0" w:color="000000"/>
              <w:bottom w:val="single" w:sz="2" w:space="0" w:color="000000"/>
              <w:right w:val="single" w:sz="2" w:space="0" w:color="000000"/>
            </w:tcBorders>
          </w:tcPr>
          <w:p w:rsidR="0087236F" w:rsidRDefault="0087236F" w:rsidP="00F46122">
            <w:pPr>
              <w:pStyle w:val="TableTextCenter10pt"/>
              <w:rPr>
                <w:rFonts w:cs="Arial"/>
                <w:szCs w:val="16"/>
              </w:rPr>
            </w:pPr>
          </w:p>
        </w:tc>
        <w:tc>
          <w:tcPr>
            <w:tcW w:w="1214" w:type="dxa"/>
            <w:tcBorders>
              <w:top w:val="single" w:sz="2" w:space="0" w:color="000000"/>
              <w:left w:val="single" w:sz="2" w:space="0" w:color="000000"/>
              <w:bottom w:val="single" w:sz="2" w:space="0" w:color="000000"/>
              <w:right w:val="single" w:sz="2" w:space="0" w:color="000000"/>
            </w:tcBorders>
          </w:tcPr>
          <w:p w:rsidR="0087236F" w:rsidRDefault="0087236F" w:rsidP="00F46122">
            <w:pPr>
              <w:pStyle w:val="TableTextRight10pt"/>
            </w:pPr>
          </w:p>
        </w:tc>
      </w:tr>
      <w:tr w:rsidR="0087236F" w:rsidTr="00557EEE">
        <w:trPr>
          <w:cantSplit/>
        </w:trPr>
        <w:tc>
          <w:tcPr>
            <w:tcW w:w="3464" w:type="dxa"/>
            <w:tcBorders>
              <w:top w:val="single" w:sz="2" w:space="0" w:color="000000"/>
              <w:left w:val="single" w:sz="2" w:space="0" w:color="000000"/>
              <w:bottom w:val="single" w:sz="2" w:space="0" w:color="000000"/>
              <w:right w:val="single" w:sz="2" w:space="0" w:color="000000"/>
            </w:tcBorders>
          </w:tcPr>
          <w:p w:rsidR="0087236F" w:rsidRPr="00F46122" w:rsidRDefault="0087236F" w:rsidP="00F46122">
            <w:pPr>
              <w:pStyle w:val="TableTextLeft10pt"/>
            </w:pPr>
            <w:r w:rsidRPr="00F46122">
              <w:t>D. Gather existing information</w:t>
            </w:r>
          </w:p>
        </w:tc>
        <w:tc>
          <w:tcPr>
            <w:tcW w:w="1170" w:type="dxa"/>
            <w:tcBorders>
              <w:top w:val="single" w:sz="2" w:space="0" w:color="000000"/>
              <w:left w:val="single" w:sz="2" w:space="0" w:color="000000"/>
              <w:bottom w:val="single" w:sz="2" w:space="0" w:color="000000"/>
              <w:right w:val="single" w:sz="2" w:space="0" w:color="000000"/>
            </w:tcBorders>
          </w:tcPr>
          <w:p w:rsidR="0087236F" w:rsidRDefault="0087236F" w:rsidP="005F5FDC">
            <w:pPr>
              <w:pStyle w:val="TableTextCenter10pt"/>
            </w:pPr>
            <w:r>
              <w:t>See 4B</w:t>
            </w:r>
          </w:p>
        </w:tc>
        <w:tc>
          <w:tcPr>
            <w:tcW w:w="1530" w:type="dxa"/>
            <w:tcBorders>
              <w:top w:val="single" w:sz="2" w:space="0" w:color="000000"/>
              <w:left w:val="single" w:sz="2" w:space="0" w:color="000000"/>
              <w:bottom w:val="single" w:sz="2" w:space="0" w:color="000000"/>
              <w:right w:val="single" w:sz="2" w:space="0" w:color="000000"/>
            </w:tcBorders>
          </w:tcPr>
          <w:p w:rsidR="0087236F" w:rsidRDefault="0087236F" w:rsidP="00F46122">
            <w:pPr>
              <w:pStyle w:val="TableTextCenter10pt"/>
              <w:rPr>
                <w:rFonts w:cs="Arial"/>
                <w:szCs w:val="16"/>
              </w:rPr>
            </w:pPr>
          </w:p>
        </w:tc>
        <w:tc>
          <w:tcPr>
            <w:tcW w:w="1170" w:type="dxa"/>
            <w:tcBorders>
              <w:top w:val="single" w:sz="2" w:space="0" w:color="000000"/>
              <w:left w:val="single" w:sz="2" w:space="0" w:color="000000"/>
              <w:bottom w:val="single" w:sz="2" w:space="0" w:color="000000"/>
              <w:right w:val="single" w:sz="2" w:space="0" w:color="000000"/>
            </w:tcBorders>
          </w:tcPr>
          <w:p w:rsidR="0087236F" w:rsidRDefault="0087236F" w:rsidP="00F46122">
            <w:pPr>
              <w:pStyle w:val="TableTextCenter10pt"/>
              <w:rPr>
                <w:rFonts w:cs="Arial"/>
                <w:szCs w:val="16"/>
              </w:rPr>
            </w:pPr>
          </w:p>
        </w:tc>
        <w:tc>
          <w:tcPr>
            <w:tcW w:w="1350" w:type="dxa"/>
            <w:tcBorders>
              <w:top w:val="single" w:sz="2" w:space="0" w:color="000000"/>
              <w:left w:val="single" w:sz="2" w:space="0" w:color="000000"/>
              <w:bottom w:val="single" w:sz="2" w:space="0" w:color="000000"/>
              <w:right w:val="single" w:sz="2" w:space="0" w:color="000000"/>
            </w:tcBorders>
          </w:tcPr>
          <w:p w:rsidR="0087236F" w:rsidRDefault="0087236F" w:rsidP="00F46122">
            <w:pPr>
              <w:pStyle w:val="TableTextCenter10pt"/>
              <w:rPr>
                <w:rFonts w:cs="Arial"/>
                <w:szCs w:val="16"/>
              </w:rPr>
            </w:pPr>
          </w:p>
        </w:tc>
        <w:tc>
          <w:tcPr>
            <w:tcW w:w="1080" w:type="dxa"/>
            <w:tcBorders>
              <w:top w:val="single" w:sz="2" w:space="0" w:color="000000"/>
              <w:left w:val="single" w:sz="2" w:space="0" w:color="000000"/>
              <w:bottom w:val="single" w:sz="2" w:space="0" w:color="000000"/>
              <w:right w:val="single" w:sz="2" w:space="0" w:color="000000"/>
            </w:tcBorders>
          </w:tcPr>
          <w:p w:rsidR="0087236F" w:rsidRDefault="0087236F" w:rsidP="00F46122">
            <w:pPr>
              <w:pStyle w:val="TableTextCenter10pt"/>
              <w:rPr>
                <w:rFonts w:cs="Arial"/>
                <w:szCs w:val="16"/>
              </w:rPr>
            </w:pPr>
          </w:p>
        </w:tc>
        <w:tc>
          <w:tcPr>
            <w:tcW w:w="1350" w:type="dxa"/>
            <w:tcBorders>
              <w:top w:val="single" w:sz="2" w:space="0" w:color="000000"/>
              <w:left w:val="single" w:sz="2" w:space="0" w:color="000000"/>
              <w:bottom w:val="single" w:sz="2" w:space="0" w:color="000000"/>
              <w:right w:val="single" w:sz="2" w:space="0" w:color="000000"/>
            </w:tcBorders>
          </w:tcPr>
          <w:p w:rsidR="0087236F" w:rsidRDefault="0087236F" w:rsidP="00F46122">
            <w:pPr>
              <w:pStyle w:val="TableTextCenter10pt"/>
              <w:rPr>
                <w:rFonts w:cs="Arial"/>
                <w:szCs w:val="16"/>
              </w:rPr>
            </w:pPr>
          </w:p>
        </w:tc>
        <w:tc>
          <w:tcPr>
            <w:tcW w:w="990" w:type="dxa"/>
            <w:tcBorders>
              <w:top w:val="single" w:sz="2" w:space="0" w:color="000000"/>
              <w:left w:val="single" w:sz="2" w:space="0" w:color="000000"/>
              <w:bottom w:val="single" w:sz="2" w:space="0" w:color="000000"/>
              <w:right w:val="single" w:sz="2" w:space="0" w:color="000000"/>
            </w:tcBorders>
          </w:tcPr>
          <w:p w:rsidR="0087236F" w:rsidRDefault="0087236F" w:rsidP="00F46122">
            <w:pPr>
              <w:pStyle w:val="TableTextCenter10pt"/>
              <w:rPr>
                <w:rFonts w:cs="Arial"/>
                <w:szCs w:val="16"/>
              </w:rPr>
            </w:pPr>
          </w:p>
        </w:tc>
        <w:tc>
          <w:tcPr>
            <w:tcW w:w="1214" w:type="dxa"/>
            <w:tcBorders>
              <w:top w:val="single" w:sz="2" w:space="0" w:color="000000"/>
              <w:left w:val="single" w:sz="2" w:space="0" w:color="000000"/>
              <w:bottom w:val="single" w:sz="2" w:space="0" w:color="000000"/>
              <w:right w:val="single" w:sz="2" w:space="0" w:color="000000"/>
            </w:tcBorders>
          </w:tcPr>
          <w:p w:rsidR="0087236F" w:rsidRDefault="0087236F" w:rsidP="00F46122">
            <w:pPr>
              <w:pStyle w:val="TableTextRight10pt"/>
            </w:pPr>
          </w:p>
        </w:tc>
      </w:tr>
      <w:tr w:rsidR="0087236F" w:rsidTr="00557EEE">
        <w:trPr>
          <w:cantSplit/>
        </w:trPr>
        <w:tc>
          <w:tcPr>
            <w:tcW w:w="3464" w:type="dxa"/>
            <w:tcBorders>
              <w:top w:val="single" w:sz="2" w:space="0" w:color="000000"/>
              <w:left w:val="single" w:sz="2" w:space="0" w:color="000000"/>
              <w:bottom w:val="single" w:sz="2" w:space="0" w:color="000000"/>
              <w:right w:val="single" w:sz="2" w:space="0" w:color="000000"/>
            </w:tcBorders>
          </w:tcPr>
          <w:p w:rsidR="0087236F" w:rsidRPr="00F46122" w:rsidRDefault="0087236F" w:rsidP="00F46122">
            <w:pPr>
              <w:pStyle w:val="TableTextLeft10pt"/>
            </w:pPr>
            <w:r w:rsidRPr="00F46122">
              <w:t>E. Write report</w:t>
            </w:r>
          </w:p>
        </w:tc>
        <w:tc>
          <w:tcPr>
            <w:tcW w:w="1170" w:type="dxa"/>
            <w:tcBorders>
              <w:top w:val="single" w:sz="2" w:space="0" w:color="000000"/>
              <w:left w:val="single" w:sz="2" w:space="0" w:color="000000"/>
              <w:bottom w:val="single" w:sz="2" w:space="0" w:color="000000"/>
              <w:right w:val="single" w:sz="2" w:space="0" w:color="000000"/>
            </w:tcBorders>
          </w:tcPr>
          <w:p w:rsidR="0087236F" w:rsidRDefault="0087236F" w:rsidP="00F46122">
            <w:pPr>
              <w:pStyle w:val="TableTextCenter10pt"/>
              <w:rPr>
                <w:rFonts w:cs="Arial"/>
                <w:szCs w:val="16"/>
              </w:rPr>
            </w:pPr>
          </w:p>
        </w:tc>
        <w:tc>
          <w:tcPr>
            <w:tcW w:w="1530" w:type="dxa"/>
            <w:tcBorders>
              <w:top w:val="single" w:sz="2" w:space="0" w:color="000000"/>
              <w:left w:val="single" w:sz="2" w:space="0" w:color="000000"/>
              <w:bottom w:val="single" w:sz="2" w:space="0" w:color="000000"/>
              <w:right w:val="single" w:sz="2" w:space="0" w:color="000000"/>
            </w:tcBorders>
          </w:tcPr>
          <w:p w:rsidR="0087236F" w:rsidRDefault="0087236F" w:rsidP="00F46122">
            <w:pPr>
              <w:pStyle w:val="TableTextCenter10pt"/>
              <w:rPr>
                <w:rFonts w:cs="Arial"/>
                <w:szCs w:val="16"/>
              </w:rPr>
            </w:pPr>
          </w:p>
        </w:tc>
        <w:tc>
          <w:tcPr>
            <w:tcW w:w="1170" w:type="dxa"/>
            <w:tcBorders>
              <w:top w:val="single" w:sz="2" w:space="0" w:color="000000"/>
              <w:left w:val="single" w:sz="2" w:space="0" w:color="000000"/>
              <w:bottom w:val="single" w:sz="2" w:space="0" w:color="000000"/>
              <w:right w:val="single" w:sz="2" w:space="0" w:color="000000"/>
            </w:tcBorders>
          </w:tcPr>
          <w:p w:rsidR="0087236F" w:rsidRDefault="0087236F" w:rsidP="00F46122">
            <w:pPr>
              <w:pStyle w:val="TableTextCenter10pt"/>
              <w:rPr>
                <w:rFonts w:cs="Arial"/>
                <w:szCs w:val="16"/>
              </w:rPr>
            </w:pPr>
          </w:p>
        </w:tc>
        <w:tc>
          <w:tcPr>
            <w:tcW w:w="1350" w:type="dxa"/>
            <w:tcBorders>
              <w:top w:val="single" w:sz="2" w:space="0" w:color="000000"/>
              <w:left w:val="single" w:sz="2" w:space="0" w:color="000000"/>
              <w:bottom w:val="single" w:sz="2" w:space="0" w:color="000000"/>
              <w:right w:val="single" w:sz="2" w:space="0" w:color="000000"/>
            </w:tcBorders>
          </w:tcPr>
          <w:p w:rsidR="0087236F" w:rsidRDefault="0087236F" w:rsidP="00F46122">
            <w:pPr>
              <w:pStyle w:val="TableTextCenter10pt"/>
              <w:rPr>
                <w:rFonts w:cs="Arial"/>
                <w:szCs w:val="16"/>
              </w:rPr>
            </w:pPr>
          </w:p>
        </w:tc>
        <w:tc>
          <w:tcPr>
            <w:tcW w:w="1080" w:type="dxa"/>
            <w:tcBorders>
              <w:top w:val="single" w:sz="2" w:space="0" w:color="000000"/>
              <w:left w:val="single" w:sz="2" w:space="0" w:color="000000"/>
              <w:bottom w:val="single" w:sz="2" w:space="0" w:color="000000"/>
              <w:right w:val="single" w:sz="2" w:space="0" w:color="000000"/>
            </w:tcBorders>
          </w:tcPr>
          <w:p w:rsidR="0087236F" w:rsidRDefault="0087236F" w:rsidP="00F46122">
            <w:pPr>
              <w:pStyle w:val="TableTextCenter10pt"/>
              <w:rPr>
                <w:rFonts w:cs="Arial"/>
                <w:szCs w:val="16"/>
              </w:rPr>
            </w:pPr>
          </w:p>
        </w:tc>
        <w:tc>
          <w:tcPr>
            <w:tcW w:w="1350" w:type="dxa"/>
            <w:tcBorders>
              <w:top w:val="single" w:sz="2" w:space="0" w:color="000000"/>
              <w:left w:val="single" w:sz="2" w:space="0" w:color="000000"/>
              <w:bottom w:val="single" w:sz="2" w:space="0" w:color="000000"/>
              <w:right w:val="single" w:sz="2" w:space="0" w:color="000000"/>
            </w:tcBorders>
          </w:tcPr>
          <w:p w:rsidR="0087236F" w:rsidRDefault="0087236F" w:rsidP="00F46122">
            <w:pPr>
              <w:pStyle w:val="TableTextCenter10pt"/>
              <w:rPr>
                <w:rFonts w:cs="Arial"/>
                <w:szCs w:val="16"/>
              </w:rPr>
            </w:pPr>
          </w:p>
        </w:tc>
        <w:tc>
          <w:tcPr>
            <w:tcW w:w="990" w:type="dxa"/>
            <w:tcBorders>
              <w:top w:val="single" w:sz="2" w:space="0" w:color="000000"/>
              <w:left w:val="single" w:sz="2" w:space="0" w:color="000000"/>
              <w:bottom w:val="single" w:sz="2" w:space="0" w:color="000000"/>
              <w:right w:val="single" w:sz="2" w:space="0" w:color="000000"/>
            </w:tcBorders>
          </w:tcPr>
          <w:p w:rsidR="0087236F" w:rsidRDefault="0087236F" w:rsidP="00F46122">
            <w:pPr>
              <w:pStyle w:val="TableTextCenter10pt"/>
              <w:rPr>
                <w:rFonts w:cs="Arial"/>
                <w:szCs w:val="16"/>
              </w:rPr>
            </w:pPr>
          </w:p>
        </w:tc>
        <w:tc>
          <w:tcPr>
            <w:tcW w:w="1214" w:type="dxa"/>
            <w:tcBorders>
              <w:top w:val="single" w:sz="2" w:space="0" w:color="000000"/>
              <w:left w:val="single" w:sz="2" w:space="0" w:color="000000"/>
              <w:bottom w:val="single" w:sz="2" w:space="0" w:color="000000"/>
              <w:right w:val="single" w:sz="2" w:space="0" w:color="000000"/>
            </w:tcBorders>
          </w:tcPr>
          <w:p w:rsidR="0087236F" w:rsidRDefault="0087236F" w:rsidP="00F46122">
            <w:pPr>
              <w:pStyle w:val="TableTextRight10pt"/>
            </w:pPr>
          </w:p>
        </w:tc>
      </w:tr>
      <w:tr w:rsidR="00AE06D7" w:rsidTr="00557EEE">
        <w:trPr>
          <w:cantSplit/>
        </w:trPr>
        <w:tc>
          <w:tcPr>
            <w:tcW w:w="3464" w:type="dxa"/>
            <w:tcBorders>
              <w:top w:val="single" w:sz="2" w:space="0" w:color="000000"/>
              <w:left w:val="single" w:sz="2" w:space="0" w:color="000000"/>
              <w:bottom w:val="single" w:sz="2" w:space="0" w:color="000000"/>
              <w:right w:val="single" w:sz="2" w:space="0" w:color="000000"/>
            </w:tcBorders>
          </w:tcPr>
          <w:p w:rsidR="00AE06D7" w:rsidRDefault="00AE06D7" w:rsidP="00F46122">
            <w:pPr>
              <w:pStyle w:val="TableTextLeft10ptIndent"/>
            </w:pPr>
            <w:r>
              <w:t>Fenceline monitoring data transmission</w:t>
            </w:r>
          </w:p>
        </w:tc>
        <w:tc>
          <w:tcPr>
            <w:tcW w:w="1170" w:type="dxa"/>
            <w:tcBorders>
              <w:top w:val="single" w:sz="2" w:space="0" w:color="000000"/>
              <w:left w:val="single" w:sz="2" w:space="0" w:color="000000"/>
              <w:bottom w:val="single" w:sz="2" w:space="0" w:color="000000"/>
              <w:right w:val="single" w:sz="2" w:space="0" w:color="000000"/>
            </w:tcBorders>
            <w:vAlign w:val="center"/>
          </w:tcPr>
          <w:p w:rsidR="00AE06D7" w:rsidRDefault="00CF66A5" w:rsidP="00CF66A5">
            <w:pPr>
              <w:pStyle w:val="TableTextCenter10pt"/>
            </w:pPr>
            <w:r>
              <w:t>2</w:t>
            </w:r>
          </w:p>
        </w:tc>
        <w:tc>
          <w:tcPr>
            <w:tcW w:w="1530" w:type="dxa"/>
            <w:tcBorders>
              <w:top w:val="single" w:sz="2" w:space="0" w:color="000000"/>
              <w:left w:val="single" w:sz="2" w:space="0" w:color="000000"/>
              <w:bottom w:val="single" w:sz="2" w:space="0" w:color="000000"/>
              <w:right w:val="single" w:sz="2" w:space="0" w:color="000000"/>
            </w:tcBorders>
            <w:vAlign w:val="center"/>
          </w:tcPr>
          <w:p w:rsidR="00AE06D7" w:rsidRDefault="00CF66A5" w:rsidP="00CF66A5">
            <w:pPr>
              <w:pStyle w:val="TableTextCenter10pt"/>
            </w:pPr>
            <w:r>
              <w:t>2</w:t>
            </w:r>
          </w:p>
        </w:tc>
        <w:tc>
          <w:tcPr>
            <w:tcW w:w="1170" w:type="dxa"/>
            <w:tcBorders>
              <w:top w:val="single" w:sz="2" w:space="0" w:color="000000"/>
              <w:left w:val="single" w:sz="2" w:space="0" w:color="000000"/>
              <w:bottom w:val="single" w:sz="2" w:space="0" w:color="000000"/>
              <w:right w:val="single" w:sz="2" w:space="0" w:color="000000"/>
            </w:tcBorders>
            <w:vAlign w:val="center"/>
          </w:tcPr>
          <w:p w:rsidR="00AE06D7" w:rsidRDefault="00AE06D7" w:rsidP="00F46122">
            <w:pPr>
              <w:pStyle w:val="TableTextCenter10pt"/>
            </w:pPr>
            <w:r>
              <w:t>4</w:t>
            </w:r>
          </w:p>
        </w:tc>
        <w:tc>
          <w:tcPr>
            <w:tcW w:w="1350" w:type="dxa"/>
            <w:tcBorders>
              <w:top w:val="single" w:sz="2" w:space="0" w:color="000000"/>
              <w:left w:val="single" w:sz="2" w:space="0" w:color="000000"/>
              <w:bottom w:val="single" w:sz="2" w:space="0" w:color="000000"/>
              <w:right w:val="single" w:sz="2" w:space="0" w:color="000000"/>
            </w:tcBorders>
            <w:vAlign w:val="center"/>
          </w:tcPr>
          <w:p w:rsidR="00AE06D7" w:rsidRDefault="00AE06D7" w:rsidP="00CF66A5">
            <w:pPr>
              <w:pStyle w:val="TableTextCenter10pt"/>
            </w:pPr>
            <w:r>
              <w:t>9</w:t>
            </w:r>
            <w:r w:rsidR="00CF66A5">
              <w:t>4.7</w:t>
            </w:r>
          </w:p>
        </w:tc>
        <w:tc>
          <w:tcPr>
            <w:tcW w:w="1080" w:type="dxa"/>
            <w:tcBorders>
              <w:top w:val="single" w:sz="2" w:space="0" w:color="000000"/>
              <w:left w:val="single" w:sz="2" w:space="0" w:color="000000"/>
              <w:bottom w:val="single" w:sz="2" w:space="0" w:color="000000"/>
              <w:right w:val="single" w:sz="2" w:space="0" w:color="000000"/>
            </w:tcBorders>
            <w:vAlign w:val="center"/>
          </w:tcPr>
          <w:p w:rsidR="00AE06D7" w:rsidRDefault="00AE06D7" w:rsidP="00CF66A5">
            <w:pPr>
              <w:pStyle w:val="TableTextCenter10pt"/>
            </w:pPr>
            <w:r>
              <w:t>3</w:t>
            </w:r>
            <w:r w:rsidR="00CF66A5">
              <w:t>79</w:t>
            </w:r>
          </w:p>
        </w:tc>
        <w:tc>
          <w:tcPr>
            <w:tcW w:w="1350" w:type="dxa"/>
            <w:tcBorders>
              <w:top w:val="single" w:sz="2" w:space="0" w:color="000000"/>
              <w:left w:val="single" w:sz="2" w:space="0" w:color="000000"/>
              <w:bottom w:val="single" w:sz="2" w:space="0" w:color="000000"/>
              <w:right w:val="single" w:sz="2" w:space="0" w:color="000000"/>
            </w:tcBorders>
            <w:vAlign w:val="center"/>
          </w:tcPr>
          <w:p w:rsidR="00AE06D7" w:rsidRDefault="00AE06D7" w:rsidP="00CF66A5">
            <w:pPr>
              <w:pStyle w:val="TableTextCenter10pt"/>
            </w:pPr>
            <w:r>
              <w:t>1</w:t>
            </w:r>
            <w:r w:rsidR="00CF66A5">
              <w:t>8.</w:t>
            </w:r>
            <w:r>
              <w:t>9</w:t>
            </w:r>
          </w:p>
        </w:tc>
        <w:tc>
          <w:tcPr>
            <w:tcW w:w="990" w:type="dxa"/>
            <w:tcBorders>
              <w:top w:val="single" w:sz="2" w:space="0" w:color="000000"/>
              <w:left w:val="single" w:sz="2" w:space="0" w:color="000000"/>
              <w:bottom w:val="single" w:sz="2" w:space="0" w:color="000000"/>
              <w:right w:val="single" w:sz="2" w:space="0" w:color="000000"/>
            </w:tcBorders>
            <w:vAlign w:val="center"/>
          </w:tcPr>
          <w:p w:rsidR="00AE06D7" w:rsidRDefault="00AE06D7" w:rsidP="00CF66A5">
            <w:pPr>
              <w:pStyle w:val="TableTextCenter10pt"/>
            </w:pPr>
            <w:r>
              <w:t>3</w:t>
            </w:r>
            <w:r w:rsidR="00CF66A5">
              <w:t>7.</w:t>
            </w:r>
            <w:r>
              <w:t>9</w:t>
            </w:r>
          </w:p>
        </w:tc>
        <w:tc>
          <w:tcPr>
            <w:tcW w:w="1214" w:type="dxa"/>
            <w:tcBorders>
              <w:top w:val="single" w:sz="2" w:space="0" w:color="000000"/>
              <w:left w:val="single" w:sz="2" w:space="0" w:color="000000"/>
              <w:bottom w:val="single" w:sz="2" w:space="0" w:color="000000"/>
              <w:right w:val="single" w:sz="2" w:space="0" w:color="000000"/>
            </w:tcBorders>
            <w:vAlign w:val="center"/>
          </w:tcPr>
          <w:p w:rsidR="00AE06D7" w:rsidRDefault="00AE06D7" w:rsidP="00CF66A5">
            <w:pPr>
              <w:pStyle w:val="TableTextRight10pt"/>
            </w:pPr>
            <w:r>
              <w:t>$3</w:t>
            </w:r>
            <w:r w:rsidR="00CF66A5">
              <w:t>6</w:t>
            </w:r>
            <w:r>
              <w:t>,</w:t>
            </w:r>
            <w:r w:rsidR="00CF66A5">
              <w:t>193</w:t>
            </w:r>
          </w:p>
        </w:tc>
      </w:tr>
      <w:tr w:rsidR="00590D7B" w:rsidTr="00557EEE">
        <w:trPr>
          <w:cantSplit/>
        </w:trPr>
        <w:tc>
          <w:tcPr>
            <w:tcW w:w="3464" w:type="dxa"/>
            <w:tcBorders>
              <w:top w:val="single" w:sz="2" w:space="0" w:color="000000"/>
              <w:left w:val="single" w:sz="2" w:space="0" w:color="000000"/>
              <w:bottom w:val="single" w:sz="2" w:space="0" w:color="000000"/>
              <w:right w:val="single" w:sz="2" w:space="0" w:color="000000"/>
            </w:tcBorders>
          </w:tcPr>
          <w:p w:rsidR="00590D7B" w:rsidRDefault="00590D7B" w:rsidP="00D95C01">
            <w:pPr>
              <w:pStyle w:val="TableTextLeft10ptIndent"/>
            </w:pPr>
            <w:r>
              <w:t>Notification of compliance status</w:t>
            </w:r>
            <w:r w:rsidR="00D95C01" w:rsidRPr="00557EEE">
              <w:rPr>
                <w:rStyle w:val="Superscript"/>
              </w:rPr>
              <w:t>d</w:t>
            </w:r>
          </w:p>
        </w:tc>
        <w:tc>
          <w:tcPr>
            <w:tcW w:w="1170" w:type="dxa"/>
            <w:tcBorders>
              <w:top w:val="single" w:sz="2" w:space="0" w:color="000000"/>
              <w:left w:val="single" w:sz="2" w:space="0" w:color="000000"/>
              <w:bottom w:val="single" w:sz="2" w:space="0" w:color="000000"/>
              <w:right w:val="single" w:sz="2" w:space="0" w:color="000000"/>
            </w:tcBorders>
            <w:vAlign w:val="center"/>
          </w:tcPr>
          <w:p w:rsidR="00590D7B" w:rsidRDefault="00590D7B" w:rsidP="00F46122">
            <w:pPr>
              <w:pStyle w:val="TableTextCenter10pt"/>
            </w:pPr>
          </w:p>
        </w:tc>
        <w:tc>
          <w:tcPr>
            <w:tcW w:w="1530" w:type="dxa"/>
            <w:tcBorders>
              <w:top w:val="single" w:sz="2" w:space="0" w:color="000000"/>
              <w:left w:val="single" w:sz="2" w:space="0" w:color="000000"/>
              <w:bottom w:val="single" w:sz="2" w:space="0" w:color="000000"/>
              <w:right w:val="single" w:sz="2" w:space="0" w:color="000000"/>
            </w:tcBorders>
            <w:vAlign w:val="center"/>
          </w:tcPr>
          <w:p w:rsidR="00590D7B" w:rsidRDefault="00590D7B" w:rsidP="00F46122">
            <w:pPr>
              <w:pStyle w:val="TableTextCenter10pt"/>
            </w:pPr>
          </w:p>
        </w:tc>
        <w:tc>
          <w:tcPr>
            <w:tcW w:w="1170" w:type="dxa"/>
            <w:tcBorders>
              <w:top w:val="single" w:sz="2" w:space="0" w:color="000000"/>
              <w:left w:val="single" w:sz="2" w:space="0" w:color="000000"/>
              <w:bottom w:val="single" w:sz="2" w:space="0" w:color="000000"/>
              <w:right w:val="single" w:sz="2" w:space="0" w:color="000000"/>
            </w:tcBorders>
            <w:vAlign w:val="center"/>
          </w:tcPr>
          <w:p w:rsidR="00590D7B" w:rsidRDefault="00590D7B" w:rsidP="00F46122">
            <w:pPr>
              <w:pStyle w:val="TableTextCenter10pt"/>
            </w:pPr>
          </w:p>
        </w:tc>
        <w:tc>
          <w:tcPr>
            <w:tcW w:w="1350" w:type="dxa"/>
            <w:tcBorders>
              <w:top w:val="single" w:sz="2" w:space="0" w:color="000000"/>
              <w:left w:val="single" w:sz="2" w:space="0" w:color="000000"/>
              <w:bottom w:val="single" w:sz="2" w:space="0" w:color="000000"/>
              <w:right w:val="single" w:sz="2" w:space="0" w:color="000000"/>
            </w:tcBorders>
            <w:vAlign w:val="center"/>
          </w:tcPr>
          <w:p w:rsidR="00590D7B" w:rsidRDefault="00590D7B" w:rsidP="00F46122">
            <w:pPr>
              <w:pStyle w:val="TableTextCenter10pt"/>
            </w:pPr>
          </w:p>
        </w:tc>
        <w:tc>
          <w:tcPr>
            <w:tcW w:w="1080" w:type="dxa"/>
            <w:tcBorders>
              <w:top w:val="single" w:sz="2" w:space="0" w:color="000000"/>
              <w:left w:val="single" w:sz="2" w:space="0" w:color="000000"/>
              <w:bottom w:val="single" w:sz="2" w:space="0" w:color="000000"/>
              <w:right w:val="single" w:sz="2" w:space="0" w:color="000000"/>
            </w:tcBorders>
            <w:vAlign w:val="center"/>
          </w:tcPr>
          <w:p w:rsidR="00590D7B" w:rsidRDefault="00590D7B" w:rsidP="00AE06D7">
            <w:pPr>
              <w:pStyle w:val="TableTextCenter10pt"/>
            </w:pPr>
          </w:p>
        </w:tc>
        <w:tc>
          <w:tcPr>
            <w:tcW w:w="1350" w:type="dxa"/>
            <w:tcBorders>
              <w:top w:val="single" w:sz="2" w:space="0" w:color="000000"/>
              <w:left w:val="single" w:sz="2" w:space="0" w:color="000000"/>
              <w:bottom w:val="single" w:sz="2" w:space="0" w:color="000000"/>
              <w:right w:val="single" w:sz="2" w:space="0" w:color="000000"/>
            </w:tcBorders>
            <w:vAlign w:val="center"/>
          </w:tcPr>
          <w:p w:rsidR="00590D7B" w:rsidRDefault="00590D7B" w:rsidP="00AE06D7">
            <w:pPr>
              <w:pStyle w:val="TableTextCenter10pt"/>
            </w:pPr>
          </w:p>
        </w:tc>
        <w:tc>
          <w:tcPr>
            <w:tcW w:w="990" w:type="dxa"/>
            <w:tcBorders>
              <w:top w:val="single" w:sz="2" w:space="0" w:color="000000"/>
              <w:left w:val="single" w:sz="2" w:space="0" w:color="000000"/>
              <w:bottom w:val="single" w:sz="2" w:space="0" w:color="000000"/>
              <w:right w:val="single" w:sz="2" w:space="0" w:color="000000"/>
            </w:tcBorders>
            <w:vAlign w:val="center"/>
          </w:tcPr>
          <w:p w:rsidR="00590D7B" w:rsidRDefault="00590D7B" w:rsidP="00AE06D7">
            <w:pPr>
              <w:pStyle w:val="TableTextCenter10pt"/>
            </w:pPr>
          </w:p>
        </w:tc>
        <w:tc>
          <w:tcPr>
            <w:tcW w:w="1214" w:type="dxa"/>
            <w:tcBorders>
              <w:top w:val="single" w:sz="2" w:space="0" w:color="000000"/>
              <w:left w:val="single" w:sz="2" w:space="0" w:color="000000"/>
              <w:bottom w:val="single" w:sz="2" w:space="0" w:color="000000"/>
              <w:right w:val="single" w:sz="2" w:space="0" w:color="000000"/>
            </w:tcBorders>
            <w:vAlign w:val="center"/>
          </w:tcPr>
          <w:p w:rsidR="00590D7B" w:rsidRDefault="00590D7B" w:rsidP="00AE06D7">
            <w:pPr>
              <w:pStyle w:val="TableTextRight10pt"/>
            </w:pPr>
          </w:p>
        </w:tc>
      </w:tr>
      <w:tr w:rsidR="00CF66A5" w:rsidTr="00557EEE">
        <w:trPr>
          <w:cantSplit/>
        </w:trPr>
        <w:tc>
          <w:tcPr>
            <w:tcW w:w="3464" w:type="dxa"/>
            <w:tcBorders>
              <w:top w:val="single" w:sz="2" w:space="0" w:color="000000"/>
              <w:left w:val="single" w:sz="2" w:space="0" w:color="000000"/>
              <w:bottom w:val="single" w:sz="2" w:space="0" w:color="000000"/>
              <w:right w:val="single" w:sz="2" w:space="0" w:color="000000"/>
            </w:tcBorders>
          </w:tcPr>
          <w:p w:rsidR="00CF66A5" w:rsidRDefault="00CF66A5" w:rsidP="00557EEE">
            <w:pPr>
              <w:pStyle w:val="TableTextLeft10ptIndent"/>
              <w:ind w:left="360"/>
            </w:pPr>
            <w:r>
              <w:t>Storage vessels, delayed cokers</w:t>
            </w:r>
          </w:p>
        </w:tc>
        <w:tc>
          <w:tcPr>
            <w:tcW w:w="1170" w:type="dxa"/>
            <w:tcBorders>
              <w:top w:val="single" w:sz="2" w:space="0" w:color="000000"/>
              <w:left w:val="single" w:sz="2" w:space="0" w:color="000000"/>
              <w:bottom w:val="single" w:sz="2" w:space="0" w:color="000000"/>
              <w:right w:val="single" w:sz="2" w:space="0" w:color="000000"/>
            </w:tcBorders>
            <w:vAlign w:val="center"/>
          </w:tcPr>
          <w:p w:rsidR="00CF66A5" w:rsidRDefault="00CF66A5" w:rsidP="00F46122">
            <w:pPr>
              <w:pStyle w:val="TableTextCenter10pt"/>
            </w:pPr>
            <w:r>
              <w:t>1</w:t>
            </w:r>
          </w:p>
        </w:tc>
        <w:tc>
          <w:tcPr>
            <w:tcW w:w="1530" w:type="dxa"/>
            <w:tcBorders>
              <w:top w:val="single" w:sz="2" w:space="0" w:color="000000"/>
              <w:left w:val="single" w:sz="2" w:space="0" w:color="000000"/>
              <w:bottom w:val="single" w:sz="2" w:space="0" w:color="000000"/>
              <w:right w:val="single" w:sz="2" w:space="0" w:color="000000"/>
            </w:tcBorders>
            <w:vAlign w:val="center"/>
          </w:tcPr>
          <w:p w:rsidR="00CF66A5" w:rsidRDefault="00CF66A5" w:rsidP="00F46122">
            <w:pPr>
              <w:pStyle w:val="TableTextCenter10pt"/>
            </w:pPr>
            <w:r>
              <w:t>2.67</w:t>
            </w:r>
          </w:p>
        </w:tc>
        <w:tc>
          <w:tcPr>
            <w:tcW w:w="1170" w:type="dxa"/>
            <w:tcBorders>
              <w:top w:val="single" w:sz="2" w:space="0" w:color="000000"/>
              <w:left w:val="single" w:sz="2" w:space="0" w:color="000000"/>
              <w:bottom w:val="single" w:sz="2" w:space="0" w:color="000000"/>
              <w:right w:val="single" w:sz="2" w:space="0" w:color="000000"/>
            </w:tcBorders>
            <w:vAlign w:val="center"/>
          </w:tcPr>
          <w:p w:rsidR="00CF66A5" w:rsidRDefault="00CF66A5" w:rsidP="00F46122">
            <w:pPr>
              <w:pStyle w:val="TableTextCenter10pt"/>
            </w:pPr>
            <w:r>
              <w:t>2.67</w:t>
            </w:r>
          </w:p>
        </w:tc>
        <w:tc>
          <w:tcPr>
            <w:tcW w:w="1350" w:type="dxa"/>
            <w:tcBorders>
              <w:top w:val="single" w:sz="2" w:space="0" w:color="000000"/>
              <w:left w:val="single" w:sz="2" w:space="0" w:color="000000"/>
              <w:bottom w:val="single" w:sz="2" w:space="0" w:color="000000"/>
              <w:right w:val="single" w:sz="2" w:space="0" w:color="000000"/>
            </w:tcBorders>
            <w:vAlign w:val="center"/>
          </w:tcPr>
          <w:p w:rsidR="00CF66A5" w:rsidRDefault="00CF66A5" w:rsidP="00F46122">
            <w:pPr>
              <w:pStyle w:val="TableTextCenter10pt"/>
            </w:pPr>
            <w:r>
              <w:t>47.3</w:t>
            </w:r>
          </w:p>
        </w:tc>
        <w:tc>
          <w:tcPr>
            <w:tcW w:w="1080" w:type="dxa"/>
            <w:tcBorders>
              <w:top w:val="single" w:sz="2" w:space="0" w:color="000000"/>
              <w:left w:val="single" w:sz="2" w:space="0" w:color="000000"/>
              <w:bottom w:val="single" w:sz="2" w:space="0" w:color="000000"/>
              <w:right w:val="single" w:sz="2" w:space="0" w:color="000000"/>
            </w:tcBorders>
            <w:vAlign w:val="center"/>
          </w:tcPr>
          <w:p w:rsidR="00CF66A5" w:rsidRDefault="00CF66A5" w:rsidP="00AE06D7">
            <w:pPr>
              <w:pStyle w:val="TableTextCenter10pt"/>
            </w:pPr>
            <w:r>
              <w:t>126</w:t>
            </w:r>
          </w:p>
        </w:tc>
        <w:tc>
          <w:tcPr>
            <w:tcW w:w="1350" w:type="dxa"/>
            <w:tcBorders>
              <w:top w:val="single" w:sz="2" w:space="0" w:color="000000"/>
              <w:left w:val="single" w:sz="2" w:space="0" w:color="000000"/>
              <w:bottom w:val="single" w:sz="2" w:space="0" w:color="000000"/>
              <w:right w:val="single" w:sz="2" w:space="0" w:color="000000"/>
            </w:tcBorders>
            <w:vAlign w:val="center"/>
          </w:tcPr>
          <w:p w:rsidR="00CF66A5" w:rsidRDefault="00CF66A5" w:rsidP="00AE06D7">
            <w:pPr>
              <w:pStyle w:val="TableTextCenter10pt"/>
            </w:pPr>
            <w:r>
              <w:t>6.32</w:t>
            </w:r>
          </w:p>
        </w:tc>
        <w:tc>
          <w:tcPr>
            <w:tcW w:w="990" w:type="dxa"/>
            <w:tcBorders>
              <w:top w:val="single" w:sz="2" w:space="0" w:color="000000"/>
              <w:left w:val="single" w:sz="2" w:space="0" w:color="000000"/>
              <w:bottom w:val="single" w:sz="2" w:space="0" w:color="000000"/>
              <w:right w:val="single" w:sz="2" w:space="0" w:color="000000"/>
            </w:tcBorders>
            <w:vAlign w:val="center"/>
          </w:tcPr>
          <w:p w:rsidR="00CF66A5" w:rsidRDefault="00CF66A5" w:rsidP="00AE06D7">
            <w:pPr>
              <w:pStyle w:val="TableTextCenter10pt"/>
            </w:pPr>
            <w:r>
              <w:t>12.6</w:t>
            </w:r>
          </w:p>
        </w:tc>
        <w:tc>
          <w:tcPr>
            <w:tcW w:w="1214" w:type="dxa"/>
            <w:tcBorders>
              <w:top w:val="single" w:sz="2" w:space="0" w:color="000000"/>
              <w:left w:val="single" w:sz="2" w:space="0" w:color="000000"/>
              <w:bottom w:val="single" w:sz="2" w:space="0" w:color="000000"/>
              <w:right w:val="single" w:sz="2" w:space="0" w:color="000000"/>
            </w:tcBorders>
            <w:vAlign w:val="center"/>
          </w:tcPr>
          <w:p w:rsidR="00CF66A5" w:rsidRDefault="00CF66A5" w:rsidP="00AE06D7">
            <w:pPr>
              <w:pStyle w:val="TableTextRight10pt"/>
            </w:pPr>
            <w:r>
              <w:t>$12,075</w:t>
            </w:r>
          </w:p>
        </w:tc>
      </w:tr>
      <w:tr w:rsidR="00CF66A5" w:rsidTr="00557EEE">
        <w:trPr>
          <w:cantSplit/>
        </w:trPr>
        <w:tc>
          <w:tcPr>
            <w:tcW w:w="3464" w:type="dxa"/>
            <w:tcBorders>
              <w:top w:val="single" w:sz="2" w:space="0" w:color="000000"/>
              <w:left w:val="single" w:sz="2" w:space="0" w:color="000000"/>
              <w:bottom w:val="single" w:sz="2" w:space="0" w:color="000000"/>
              <w:right w:val="single" w:sz="2" w:space="0" w:color="000000"/>
            </w:tcBorders>
          </w:tcPr>
          <w:p w:rsidR="00CF66A5" w:rsidRDefault="00680451" w:rsidP="00CF66A5">
            <w:pPr>
              <w:pStyle w:val="TableTextLeft10ptIndent"/>
              <w:ind w:left="360"/>
            </w:pPr>
            <w:r>
              <w:t>R</w:t>
            </w:r>
            <w:r w:rsidR="00CF66A5">
              <w:t>elief</w:t>
            </w:r>
            <w:r>
              <w:t xml:space="preserve"> valves</w:t>
            </w:r>
            <w:r w:rsidR="00CF66A5">
              <w:t>, bypass lines, flares</w:t>
            </w:r>
          </w:p>
        </w:tc>
        <w:tc>
          <w:tcPr>
            <w:tcW w:w="1170" w:type="dxa"/>
            <w:tcBorders>
              <w:top w:val="single" w:sz="2" w:space="0" w:color="000000"/>
              <w:left w:val="single" w:sz="2" w:space="0" w:color="000000"/>
              <w:bottom w:val="single" w:sz="2" w:space="0" w:color="000000"/>
              <w:right w:val="single" w:sz="2" w:space="0" w:color="000000"/>
            </w:tcBorders>
            <w:vAlign w:val="center"/>
          </w:tcPr>
          <w:p w:rsidR="00CF66A5" w:rsidRDefault="00CF66A5" w:rsidP="00F46122">
            <w:pPr>
              <w:pStyle w:val="TableTextCenter10pt"/>
            </w:pPr>
            <w:r>
              <w:t>1</w:t>
            </w:r>
          </w:p>
        </w:tc>
        <w:tc>
          <w:tcPr>
            <w:tcW w:w="1530" w:type="dxa"/>
            <w:tcBorders>
              <w:top w:val="single" w:sz="2" w:space="0" w:color="000000"/>
              <w:left w:val="single" w:sz="2" w:space="0" w:color="000000"/>
              <w:bottom w:val="single" w:sz="2" w:space="0" w:color="000000"/>
              <w:right w:val="single" w:sz="2" w:space="0" w:color="000000"/>
            </w:tcBorders>
            <w:vAlign w:val="center"/>
          </w:tcPr>
          <w:p w:rsidR="00CF66A5" w:rsidRDefault="00CF66A5" w:rsidP="00F46122">
            <w:pPr>
              <w:pStyle w:val="TableTextCenter10pt"/>
            </w:pPr>
            <w:r>
              <w:t>3</w:t>
            </w:r>
          </w:p>
        </w:tc>
        <w:tc>
          <w:tcPr>
            <w:tcW w:w="1170" w:type="dxa"/>
            <w:tcBorders>
              <w:top w:val="single" w:sz="2" w:space="0" w:color="000000"/>
              <w:left w:val="single" w:sz="2" w:space="0" w:color="000000"/>
              <w:bottom w:val="single" w:sz="2" w:space="0" w:color="000000"/>
              <w:right w:val="single" w:sz="2" w:space="0" w:color="000000"/>
            </w:tcBorders>
            <w:vAlign w:val="center"/>
          </w:tcPr>
          <w:p w:rsidR="00CF66A5" w:rsidRDefault="00CF66A5" w:rsidP="00F46122">
            <w:pPr>
              <w:pStyle w:val="TableTextCenter10pt"/>
            </w:pPr>
            <w:r>
              <w:t>3</w:t>
            </w:r>
          </w:p>
        </w:tc>
        <w:tc>
          <w:tcPr>
            <w:tcW w:w="1350" w:type="dxa"/>
            <w:tcBorders>
              <w:top w:val="single" w:sz="2" w:space="0" w:color="000000"/>
              <w:left w:val="single" w:sz="2" w:space="0" w:color="000000"/>
              <w:bottom w:val="single" w:sz="2" w:space="0" w:color="000000"/>
              <w:right w:val="single" w:sz="2" w:space="0" w:color="000000"/>
            </w:tcBorders>
            <w:vAlign w:val="center"/>
          </w:tcPr>
          <w:p w:rsidR="00CF66A5" w:rsidRDefault="00CF66A5" w:rsidP="00F46122">
            <w:pPr>
              <w:pStyle w:val="TableTextCenter10pt"/>
            </w:pPr>
            <w:r>
              <w:t>94.7</w:t>
            </w:r>
          </w:p>
        </w:tc>
        <w:tc>
          <w:tcPr>
            <w:tcW w:w="1080" w:type="dxa"/>
            <w:tcBorders>
              <w:top w:val="single" w:sz="2" w:space="0" w:color="000000"/>
              <w:left w:val="single" w:sz="2" w:space="0" w:color="000000"/>
              <w:bottom w:val="single" w:sz="2" w:space="0" w:color="000000"/>
              <w:right w:val="single" w:sz="2" w:space="0" w:color="000000"/>
            </w:tcBorders>
            <w:vAlign w:val="center"/>
          </w:tcPr>
          <w:p w:rsidR="00CF66A5" w:rsidRDefault="00CF66A5" w:rsidP="00AE06D7">
            <w:pPr>
              <w:pStyle w:val="TableTextCenter10pt"/>
            </w:pPr>
            <w:r>
              <w:t>284</w:t>
            </w:r>
          </w:p>
        </w:tc>
        <w:tc>
          <w:tcPr>
            <w:tcW w:w="1350" w:type="dxa"/>
            <w:tcBorders>
              <w:top w:val="single" w:sz="2" w:space="0" w:color="000000"/>
              <w:left w:val="single" w:sz="2" w:space="0" w:color="000000"/>
              <w:bottom w:val="single" w:sz="2" w:space="0" w:color="000000"/>
              <w:right w:val="single" w:sz="2" w:space="0" w:color="000000"/>
            </w:tcBorders>
            <w:vAlign w:val="center"/>
          </w:tcPr>
          <w:p w:rsidR="00CF66A5" w:rsidRDefault="00CF66A5" w:rsidP="00AE06D7">
            <w:pPr>
              <w:pStyle w:val="TableTextCenter10pt"/>
            </w:pPr>
            <w:r>
              <w:t>14.2</w:t>
            </w:r>
          </w:p>
        </w:tc>
        <w:tc>
          <w:tcPr>
            <w:tcW w:w="990" w:type="dxa"/>
            <w:tcBorders>
              <w:top w:val="single" w:sz="2" w:space="0" w:color="000000"/>
              <w:left w:val="single" w:sz="2" w:space="0" w:color="000000"/>
              <w:bottom w:val="single" w:sz="2" w:space="0" w:color="000000"/>
              <w:right w:val="single" w:sz="2" w:space="0" w:color="000000"/>
            </w:tcBorders>
            <w:vAlign w:val="center"/>
          </w:tcPr>
          <w:p w:rsidR="00CF66A5" w:rsidRDefault="00CF66A5" w:rsidP="00AE06D7">
            <w:pPr>
              <w:pStyle w:val="TableTextCenter10pt"/>
            </w:pPr>
            <w:r>
              <w:t>28.4</w:t>
            </w:r>
          </w:p>
        </w:tc>
        <w:tc>
          <w:tcPr>
            <w:tcW w:w="1214" w:type="dxa"/>
            <w:tcBorders>
              <w:top w:val="single" w:sz="2" w:space="0" w:color="000000"/>
              <w:left w:val="single" w:sz="2" w:space="0" w:color="000000"/>
              <w:bottom w:val="single" w:sz="2" w:space="0" w:color="000000"/>
              <w:right w:val="single" w:sz="2" w:space="0" w:color="000000"/>
            </w:tcBorders>
            <w:vAlign w:val="center"/>
          </w:tcPr>
          <w:p w:rsidR="00CF66A5" w:rsidRDefault="00CF66A5" w:rsidP="00AE06D7">
            <w:pPr>
              <w:pStyle w:val="TableTextRight10pt"/>
            </w:pPr>
            <w:r>
              <w:t>$27,145</w:t>
            </w:r>
          </w:p>
        </w:tc>
      </w:tr>
      <w:tr w:rsidR="00AE06D7" w:rsidTr="00557EEE">
        <w:trPr>
          <w:cantSplit/>
          <w:trHeight w:val="427"/>
        </w:trPr>
        <w:tc>
          <w:tcPr>
            <w:tcW w:w="3464" w:type="dxa"/>
            <w:tcBorders>
              <w:top w:val="single" w:sz="2" w:space="0" w:color="000000"/>
              <w:left w:val="single" w:sz="2" w:space="0" w:color="000000"/>
              <w:bottom w:val="single" w:sz="2" w:space="0" w:color="000000"/>
              <w:right w:val="single" w:sz="2" w:space="0" w:color="000000"/>
            </w:tcBorders>
          </w:tcPr>
          <w:p w:rsidR="00AE06D7" w:rsidRDefault="00AE06D7" w:rsidP="00F46122">
            <w:pPr>
              <w:pStyle w:val="TableTextLeft10ptIndent"/>
            </w:pPr>
            <w:r>
              <w:lastRenderedPageBreak/>
              <w:t>Notification of storage vessel inspection</w:t>
            </w:r>
          </w:p>
        </w:tc>
        <w:tc>
          <w:tcPr>
            <w:tcW w:w="1170" w:type="dxa"/>
            <w:tcBorders>
              <w:top w:val="single" w:sz="2" w:space="0" w:color="000000"/>
              <w:left w:val="single" w:sz="2" w:space="0" w:color="000000"/>
              <w:bottom w:val="single" w:sz="2" w:space="0" w:color="000000"/>
              <w:right w:val="single" w:sz="2" w:space="0" w:color="000000"/>
            </w:tcBorders>
            <w:vAlign w:val="center"/>
          </w:tcPr>
          <w:p w:rsidR="00AE06D7" w:rsidRDefault="00AE06D7" w:rsidP="00F46122">
            <w:pPr>
              <w:pStyle w:val="TableTextCenter10pt"/>
            </w:pPr>
            <w:r>
              <w:t>0.5</w:t>
            </w:r>
          </w:p>
        </w:tc>
        <w:tc>
          <w:tcPr>
            <w:tcW w:w="1530" w:type="dxa"/>
            <w:tcBorders>
              <w:top w:val="single" w:sz="2" w:space="0" w:color="000000"/>
              <w:left w:val="single" w:sz="2" w:space="0" w:color="000000"/>
              <w:bottom w:val="single" w:sz="2" w:space="0" w:color="000000"/>
              <w:right w:val="single" w:sz="2" w:space="0" w:color="000000"/>
            </w:tcBorders>
            <w:vAlign w:val="center"/>
          </w:tcPr>
          <w:p w:rsidR="00AE06D7" w:rsidRDefault="00AE06D7" w:rsidP="00F46122">
            <w:pPr>
              <w:pStyle w:val="TableTextCenter10pt"/>
            </w:pPr>
            <w:r>
              <w:t>1</w:t>
            </w:r>
          </w:p>
        </w:tc>
        <w:tc>
          <w:tcPr>
            <w:tcW w:w="1170" w:type="dxa"/>
            <w:tcBorders>
              <w:top w:val="single" w:sz="2" w:space="0" w:color="000000"/>
              <w:left w:val="single" w:sz="2" w:space="0" w:color="000000"/>
              <w:bottom w:val="single" w:sz="2" w:space="0" w:color="000000"/>
              <w:right w:val="single" w:sz="2" w:space="0" w:color="000000"/>
            </w:tcBorders>
            <w:vAlign w:val="center"/>
          </w:tcPr>
          <w:p w:rsidR="00AE06D7" w:rsidRDefault="00AE06D7" w:rsidP="00F46122">
            <w:pPr>
              <w:pStyle w:val="TableTextCenter10pt"/>
            </w:pPr>
            <w:r>
              <w:t>0.5</w:t>
            </w:r>
          </w:p>
        </w:tc>
        <w:tc>
          <w:tcPr>
            <w:tcW w:w="1350" w:type="dxa"/>
            <w:tcBorders>
              <w:top w:val="single" w:sz="2" w:space="0" w:color="000000"/>
              <w:left w:val="single" w:sz="2" w:space="0" w:color="000000"/>
              <w:bottom w:val="single" w:sz="2" w:space="0" w:color="000000"/>
              <w:right w:val="single" w:sz="2" w:space="0" w:color="000000"/>
            </w:tcBorders>
            <w:vAlign w:val="center"/>
          </w:tcPr>
          <w:p w:rsidR="00AE06D7" w:rsidRDefault="00AE06D7" w:rsidP="00CF66A5">
            <w:pPr>
              <w:pStyle w:val="TableTextCenter10pt"/>
            </w:pPr>
            <w:r>
              <w:t>9</w:t>
            </w:r>
            <w:r w:rsidR="00CF66A5">
              <w:t>4.7</w:t>
            </w:r>
          </w:p>
        </w:tc>
        <w:tc>
          <w:tcPr>
            <w:tcW w:w="1080" w:type="dxa"/>
            <w:tcBorders>
              <w:top w:val="single" w:sz="2" w:space="0" w:color="000000"/>
              <w:left w:val="single" w:sz="2" w:space="0" w:color="000000"/>
              <w:bottom w:val="single" w:sz="2" w:space="0" w:color="000000"/>
              <w:right w:val="single" w:sz="2" w:space="0" w:color="000000"/>
            </w:tcBorders>
            <w:vAlign w:val="center"/>
          </w:tcPr>
          <w:p w:rsidR="00AE06D7" w:rsidRDefault="00AE06D7" w:rsidP="00CF66A5">
            <w:pPr>
              <w:pStyle w:val="TableTextCenter10pt"/>
            </w:pPr>
            <w:r>
              <w:t>4</w:t>
            </w:r>
            <w:r w:rsidR="00CF66A5">
              <w:t>7</w:t>
            </w:r>
            <w:r>
              <w:t>.3</w:t>
            </w:r>
          </w:p>
        </w:tc>
        <w:tc>
          <w:tcPr>
            <w:tcW w:w="1350" w:type="dxa"/>
            <w:tcBorders>
              <w:top w:val="single" w:sz="2" w:space="0" w:color="000000"/>
              <w:left w:val="single" w:sz="2" w:space="0" w:color="000000"/>
              <w:bottom w:val="single" w:sz="2" w:space="0" w:color="000000"/>
              <w:right w:val="single" w:sz="2" w:space="0" w:color="000000"/>
            </w:tcBorders>
            <w:vAlign w:val="center"/>
          </w:tcPr>
          <w:p w:rsidR="00AE06D7" w:rsidRDefault="00AE06D7" w:rsidP="00CF66A5">
            <w:pPr>
              <w:pStyle w:val="TableTextCenter10pt"/>
            </w:pPr>
            <w:r>
              <w:t>2.</w:t>
            </w:r>
            <w:r w:rsidR="00CF66A5">
              <w:t>37</w:t>
            </w:r>
          </w:p>
        </w:tc>
        <w:tc>
          <w:tcPr>
            <w:tcW w:w="990" w:type="dxa"/>
            <w:tcBorders>
              <w:top w:val="single" w:sz="2" w:space="0" w:color="000000"/>
              <w:left w:val="single" w:sz="2" w:space="0" w:color="000000"/>
              <w:bottom w:val="single" w:sz="2" w:space="0" w:color="000000"/>
              <w:right w:val="single" w:sz="2" w:space="0" w:color="000000"/>
            </w:tcBorders>
            <w:vAlign w:val="center"/>
          </w:tcPr>
          <w:p w:rsidR="00AE06D7" w:rsidRDefault="00AE06D7" w:rsidP="00CF66A5">
            <w:pPr>
              <w:pStyle w:val="TableTextCenter10pt"/>
            </w:pPr>
            <w:r>
              <w:t>4.</w:t>
            </w:r>
            <w:r w:rsidR="00CF66A5">
              <w:t>73</w:t>
            </w:r>
          </w:p>
        </w:tc>
        <w:tc>
          <w:tcPr>
            <w:tcW w:w="1214" w:type="dxa"/>
            <w:tcBorders>
              <w:top w:val="single" w:sz="2" w:space="0" w:color="000000"/>
              <w:left w:val="single" w:sz="2" w:space="0" w:color="000000"/>
              <w:bottom w:val="single" w:sz="2" w:space="0" w:color="000000"/>
              <w:right w:val="single" w:sz="2" w:space="0" w:color="000000"/>
            </w:tcBorders>
            <w:vAlign w:val="center"/>
          </w:tcPr>
          <w:p w:rsidR="00AE06D7" w:rsidRPr="00AE06D7" w:rsidRDefault="00AE06D7" w:rsidP="00CF66A5">
            <w:pPr>
              <w:pStyle w:val="TableTextRight10pt"/>
            </w:pPr>
            <w:r>
              <w:t>$4,</w:t>
            </w:r>
            <w:r w:rsidR="00CF66A5">
              <w:t>524</w:t>
            </w:r>
          </w:p>
        </w:tc>
      </w:tr>
      <w:tr w:rsidR="00590D7B" w:rsidTr="00557EEE">
        <w:trPr>
          <w:cantSplit/>
          <w:trHeight w:val="288"/>
        </w:trPr>
        <w:tc>
          <w:tcPr>
            <w:tcW w:w="3464" w:type="dxa"/>
            <w:tcBorders>
              <w:top w:val="single" w:sz="2" w:space="0" w:color="000000"/>
              <w:left w:val="single" w:sz="2" w:space="0" w:color="000000"/>
              <w:bottom w:val="single" w:sz="2" w:space="0" w:color="000000"/>
              <w:right w:val="single" w:sz="2" w:space="0" w:color="000000"/>
            </w:tcBorders>
          </w:tcPr>
          <w:p w:rsidR="00590D7B" w:rsidRDefault="00B4246B" w:rsidP="00F46122">
            <w:pPr>
              <w:pStyle w:val="TableTextLeft10ptIndent"/>
            </w:pPr>
            <w:r>
              <w:t>C</w:t>
            </w:r>
            <w:r w:rsidR="00590D7B">
              <w:t>ompliance reports</w:t>
            </w:r>
            <w:r w:rsidR="00D95C01" w:rsidRPr="00557EEE">
              <w:rPr>
                <w:rStyle w:val="Superscript"/>
              </w:rPr>
              <w:t>e</w:t>
            </w:r>
          </w:p>
        </w:tc>
        <w:tc>
          <w:tcPr>
            <w:tcW w:w="1170" w:type="dxa"/>
            <w:tcBorders>
              <w:top w:val="single" w:sz="2" w:space="0" w:color="000000"/>
              <w:left w:val="single" w:sz="2" w:space="0" w:color="000000"/>
              <w:bottom w:val="single" w:sz="2" w:space="0" w:color="000000"/>
              <w:right w:val="single" w:sz="2" w:space="0" w:color="000000"/>
            </w:tcBorders>
            <w:vAlign w:val="center"/>
          </w:tcPr>
          <w:p w:rsidR="00590D7B" w:rsidRDefault="003E58D2" w:rsidP="00F46122">
            <w:pPr>
              <w:pStyle w:val="TableTextCenter10pt"/>
            </w:pPr>
            <w:r>
              <w:t>3</w:t>
            </w:r>
          </w:p>
        </w:tc>
        <w:tc>
          <w:tcPr>
            <w:tcW w:w="1530" w:type="dxa"/>
            <w:tcBorders>
              <w:top w:val="single" w:sz="2" w:space="0" w:color="000000"/>
              <w:left w:val="single" w:sz="2" w:space="0" w:color="000000"/>
              <w:bottom w:val="single" w:sz="2" w:space="0" w:color="000000"/>
              <w:right w:val="single" w:sz="2" w:space="0" w:color="000000"/>
            </w:tcBorders>
            <w:vAlign w:val="center"/>
          </w:tcPr>
          <w:p w:rsidR="00590D7B" w:rsidRDefault="003E58D2" w:rsidP="00F46122">
            <w:pPr>
              <w:pStyle w:val="TableTextCenter10pt"/>
            </w:pPr>
            <w:r>
              <w:t>2</w:t>
            </w:r>
          </w:p>
        </w:tc>
        <w:tc>
          <w:tcPr>
            <w:tcW w:w="1170" w:type="dxa"/>
            <w:tcBorders>
              <w:top w:val="single" w:sz="2" w:space="0" w:color="000000"/>
              <w:left w:val="single" w:sz="2" w:space="0" w:color="000000"/>
              <w:bottom w:val="single" w:sz="2" w:space="0" w:color="000000"/>
              <w:right w:val="single" w:sz="2" w:space="0" w:color="000000"/>
            </w:tcBorders>
            <w:vAlign w:val="center"/>
          </w:tcPr>
          <w:p w:rsidR="00590D7B" w:rsidRDefault="003E58D2" w:rsidP="00F46122">
            <w:pPr>
              <w:pStyle w:val="TableTextCenter10pt"/>
            </w:pPr>
            <w:r>
              <w:t>6</w:t>
            </w:r>
            <w:r w:rsidR="00AE06D7">
              <w:t>.1</w:t>
            </w:r>
          </w:p>
        </w:tc>
        <w:tc>
          <w:tcPr>
            <w:tcW w:w="1350" w:type="dxa"/>
            <w:tcBorders>
              <w:top w:val="single" w:sz="2" w:space="0" w:color="000000"/>
              <w:left w:val="single" w:sz="2" w:space="0" w:color="000000"/>
              <w:bottom w:val="single" w:sz="2" w:space="0" w:color="000000"/>
              <w:right w:val="single" w:sz="2" w:space="0" w:color="000000"/>
            </w:tcBorders>
            <w:vAlign w:val="center"/>
          </w:tcPr>
          <w:p w:rsidR="00590D7B" w:rsidRDefault="003E58D2" w:rsidP="00F46122">
            <w:pPr>
              <w:pStyle w:val="TableTextCenter10pt"/>
            </w:pPr>
            <w:r>
              <w:t>98.6</w:t>
            </w:r>
          </w:p>
        </w:tc>
        <w:tc>
          <w:tcPr>
            <w:tcW w:w="1080" w:type="dxa"/>
            <w:tcBorders>
              <w:top w:val="single" w:sz="2" w:space="0" w:color="000000"/>
              <w:left w:val="single" w:sz="2" w:space="0" w:color="000000"/>
              <w:bottom w:val="single" w:sz="2" w:space="0" w:color="000000"/>
              <w:right w:val="single" w:sz="2" w:space="0" w:color="000000"/>
            </w:tcBorders>
            <w:vAlign w:val="center"/>
          </w:tcPr>
          <w:p w:rsidR="00590D7B" w:rsidRDefault="003E58D2" w:rsidP="00AE06D7">
            <w:pPr>
              <w:pStyle w:val="TableTextCenter10pt"/>
            </w:pPr>
            <w:r>
              <w:t>600</w:t>
            </w:r>
          </w:p>
        </w:tc>
        <w:tc>
          <w:tcPr>
            <w:tcW w:w="1350" w:type="dxa"/>
            <w:tcBorders>
              <w:top w:val="single" w:sz="2" w:space="0" w:color="000000"/>
              <w:left w:val="single" w:sz="2" w:space="0" w:color="000000"/>
              <w:bottom w:val="single" w:sz="2" w:space="0" w:color="000000"/>
              <w:right w:val="single" w:sz="2" w:space="0" w:color="000000"/>
            </w:tcBorders>
            <w:vAlign w:val="center"/>
          </w:tcPr>
          <w:p w:rsidR="00590D7B" w:rsidRDefault="003E58D2" w:rsidP="00AE06D7">
            <w:pPr>
              <w:pStyle w:val="TableTextCenter10pt"/>
            </w:pPr>
            <w:r>
              <w:t>30</w:t>
            </w:r>
          </w:p>
        </w:tc>
        <w:tc>
          <w:tcPr>
            <w:tcW w:w="990" w:type="dxa"/>
            <w:tcBorders>
              <w:top w:val="single" w:sz="2" w:space="0" w:color="000000"/>
              <w:left w:val="single" w:sz="2" w:space="0" w:color="000000"/>
              <w:bottom w:val="single" w:sz="2" w:space="0" w:color="000000"/>
              <w:right w:val="single" w:sz="2" w:space="0" w:color="000000"/>
            </w:tcBorders>
            <w:vAlign w:val="center"/>
          </w:tcPr>
          <w:p w:rsidR="00590D7B" w:rsidRDefault="00AE06D7" w:rsidP="00AE06D7">
            <w:pPr>
              <w:pStyle w:val="TableTextCenter10pt"/>
            </w:pPr>
            <w:r>
              <w:t>60</w:t>
            </w:r>
          </w:p>
        </w:tc>
        <w:tc>
          <w:tcPr>
            <w:tcW w:w="1214" w:type="dxa"/>
            <w:tcBorders>
              <w:top w:val="single" w:sz="2" w:space="0" w:color="000000"/>
              <w:left w:val="single" w:sz="2" w:space="0" w:color="000000"/>
              <w:bottom w:val="single" w:sz="2" w:space="0" w:color="000000"/>
              <w:right w:val="single" w:sz="2" w:space="0" w:color="000000"/>
            </w:tcBorders>
            <w:vAlign w:val="center"/>
          </w:tcPr>
          <w:p w:rsidR="00590D7B" w:rsidRDefault="00A161C1" w:rsidP="00AE06D7">
            <w:pPr>
              <w:pStyle w:val="TableTextRight10pt"/>
            </w:pPr>
            <w:r>
              <w:t>$</w:t>
            </w:r>
            <w:r w:rsidR="003E58D2">
              <w:t>57,30</w:t>
            </w:r>
            <w:r w:rsidR="00AE06D7">
              <w:t>6</w:t>
            </w:r>
          </w:p>
        </w:tc>
      </w:tr>
      <w:tr w:rsidR="002F3426" w:rsidTr="00557EEE">
        <w:trPr>
          <w:cantSplit/>
        </w:trPr>
        <w:tc>
          <w:tcPr>
            <w:tcW w:w="3464" w:type="dxa"/>
            <w:tcBorders>
              <w:top w:val="single" w:sz="2" w:space="0" w:color="000000"/>
              <w:left w:val="single" w:sz="2" w:space="0" w:color="000000"/>
              <w:bottom w:val="single" w:sz="2" w:space="0" w:color="000000"/>
              <w:right w:val="single" w:sz="2" w:space="0" w:color="000000"/>
            </w:tcBorders>
          </w:tcPr>
          <w:p w:rsidR="002F3426" w:rsidRDefault="002F3426" w:rsidP="00557EEE">
            <w:pPr>
              <w:pStyle w:val="TableTextLeft10ptIndent"/>
              <w:ind w:left="360"/>
            </w:pPr>
            <w:r>
              <w:t>Storage vessels</w:t>
            </w:r>
          </w:p>
        </w:tc>
        <w:tc>
          <w:tcPr>
            <w:tcW w:w="1170" w:type="dxa"/>
            <w:tcBorders>
              <w:top w:val="single" w:sz="2" w:space="0" w:color="000000"/>
              <w:left w:val="single" w:sz="2" w:space="0" w:color="000000"/>
              <w:bottom w:val="single" w:sz="2" w:space="0" w:color="000000"/>
              <w:right w:val="single" w:sz="2" w:space="0" w:color="000000"/>
            </w:tcBorders>
            <w:vAlign w:val="center"/>
          </w:tcPr>
          <w:p w:rsidR="002F3426" w:rsidRDefault="002F3426" w:rsidP="00F46122">
            <w:pPr>
              <w:pStyle w:val="TableTextCenter10pt"/>
            </w:pPr>
            <w:r>
              <w:t>0.00511</w:t>
            </w:r>
          </w:p>
        </w:tc>
        <w:tc>
          <w:tcPr>
            <w:tcW w:w="1530" w:type="dxa"/>
            <w:tcBorders>
              <w:top w:val="single" w:sz="2" w:space="0" w:color="000000"/>
              <w:left w:val="single" w:sz="2" w:space="0" w:color="000000"/>
              <w:bottom w:val="single" w:sz="2" w:space="0" w:color="000000"/>
              <w:right w:val="single" w:sz="2" w:space="0" w:color="000000"/>
            </w:tcBorders>
            <w:vAlign w:val="center"/>
          </w:tcPr>
          <w:p w:rsidR="002F3426" w:rsidRDefault="002F3426" w:rsidP="00F46122">
            <w:pPr>
              <w:pStyle w:val="TableTextCenter10pt"/>
            </w:pPr>
            <w:r>
              <w:t>2</w:t>
            </w:r>
          </w:p>
        </w:tc>
        <w:tc>
          <w:tcPr>
            <w:tcW w:w="1170" w:type="dxa"/>
            <w:tcBorders>
              <w:top w:val="single" w:sz="2" w:space="0" w:color="000000"/>
              <w:left w:val="single" w:sz="2" w:space="0" w:color="000000"/>
              <w:bottom w:val="single" w:sz="2" w:space="0" w:color="000000"/>
              <w:right w:val="single" w:sz="2" w:space="0" w:color="000000"/>
            </w:tcBorders>
            <w:vAlign w:val="center"/>
          </w:tcPr>
          <w:p w:rsidR="002F3426" w:rsidRDefault="002F3426" w:rsidP="00F46122">
            <w:pPr>
              <w:pStyle w:val="TableTextCenter10pt"/>
            </w:pPr>
            <w:r>
              <w:t>0.0102</w:t>
            </w:r>
          </w:p>
        </w:tc>
        <w:tc>
          <w:tcPr>
            <w:tcW w:w="1350" w:type="dxa"/>
            <w:tcBorders>
              <w:top w:val="single" w:sz="2" w:space="0" w:color="000000"/>
              <w:left w:val="single" w:sz="2" w:space="0" w:color="000000"/>
              <w:bottom w:val="single" w:sz="2" w:space="0" w:color="000000"/>
              <w:right w:val="single" w:sz="2" w:space="0" w:color="000000"/>
            </w:tcBorders>
            <w:vAlign w:val="center"/>
          </w:tcPr>
          <w:p w:rsidR="002F3426" w:rsidRDefault="002F3426" w:rsidP="00F46122">
            <w:pPr>
              <w:pStyle w:val="TableTextCenter10pt"/>
            </w:pPr>
            <w:r>
              <w:t>94.7</w:t>
            </w:r>
          </w:p>
        </w:tc>
        <w:tc>
          <w:tcPr>
            <w:tcW w:w="1080" w:type="dxa"/>
            <w:tcBorders>
              <w:top w:val="single" w:sz="2" w:space="0" w:color="000000"/>
              <w:left w:val="single" w:sz="2" w:space="0" w:color="000000"/>
              <w:bottom w:val="single" w:sz="2" w:space="0" w:color="000000"/>
              <w:right w:val="single" w:sz="2" w:space="0" w:color="000000"/>
            </w:tcBorders>
            <w:vAlign w:val="bottom"/>
          </w:tcPr>
          <w:p w:rsidR="002F3426" w:rsidRDefault="002F3426" w:rsidP="002F3426">
            <w:pPr>
              <w:pStyle w:val="TableTextCenter10pt"/>
            </w:pPr>
            <w:r>
              <w:t>0.967</w:t>
            </w:r>
          </w:p>
        </w:tc>
        <w:tc>
          <w:tcPr>
            <w:tcW w:w="1350" w:type="dxa"/>
            <w:tcBorders>
              <w:top w:val="single" w:sz="2" w:space="0" w:color="000000"/>
              <w:left w:val="single" w:sz="2" w:space="0" w:color="000000"/>
              <w:bottom w:val="single" w:sz="2" w:space="0" w:color="000000"/>
              <w:right w:val="single" w:sz="2" w:space="0" w:color="000000"/>
            </w:tcBorders>
            <w:vAlign w:val="bottom"/>
          </w:tcPr>
          <w:p w:rsidR="002F3426" w:rsidRDefault="002F3426" w:rsidP="002F3426">
            <w:pPr>
              <w:pStyle w:val="TableTextCenter10pt"/>
            </w:pPr>
            <w:r>
              <w:t>0.0483</w:t>
            </w:r>
          </w:p>
        </w:tc>
        <w:tc>
          <w:tcPr>
            <w:tcW w:w="990" w:type="dxa"/>
            <w:tcBorders>
              <w:top w:val="single" w:sz="2" w:space="0" w:color="000000"/>
              <w:left w:val="single" w:sz="2" w:space="0" w:color="000000"/>
              <w:bottom w:val="single" w:sz="2" w:space="0" w:color="000000"/>
              <w:right w:val="single" w:sz="2" w:space="0" w:color="000000"/>
            </w:tcBorders>
            <w:vAlign w:val="bottom"/>
          </w:tcPr>
          <w:p w:rsidR="002F3426" w:rsidRDefault="002F3426" w:rsidP="002F3426">
            <w:pPr>
              <w:pStyle w:val="TableTextCenter10pt"/>
            </w:pPr>
            <w:r>
              <w:t>0.0967</w:t>
            </w:r>
          </w:p>
        </w:tc>
        <w:tc>
          <w:tcPr>
            <w:tcW w:w="1214" w:type="dxa"/>
            <w:tcBorders>
              <w:top w:val="single" w:sz="2" w:space="0" w:color="000000"/>
              <w:left w:val="single" w:sz="2" w:space="0" w:color="000000"/>
              <w:bottom w:val="single" w:sz="2" w:space="0" w:color="000000"/>
              <w:right w:val="single" w:sz="2" w:space="0" w:color="000000"/>
            </w:tcBorders>
            <w:vAlign w:val="bottom"/>
          </w:tcPr>
          <w:p w:rsidR="002F3426" w:rsidRPr="002F3426" w:rsidRDefault="002F3426" w:rsidP="002F3426">
            <w:pPr>
              <w:pStyle w:val="TableTextRight10pt"/>
            </w:pPr>
            <w:r w:rsidRPr="00557EEE">
              <w:t>$92</w:t>
            </w:r>
          </w:p>
        </w:tc>
      </w:tr>
      <w:tr w:rsidR="002F3426" w:rsidTr="00557EEE">
        <w:trPr>
          <w:cantSplit/>
        </w:trPr>
        <w:tc>
          <w:tcPr>
            <w:tcW w:w="3464" w:type="dxa"/>
            <w:tcBorders>
              <w:top w:val="single" w:sz="2" w:space="0" w:color="000000"/>
              <w:left w:val="single" w:sz="2" w:space="0" w:color="000000"/>
              <w:bottom w:val="single" w:sz="2" w:space="0" w:color="000000"/>
              <w:right w:val="single" w:sz="2" w:space="0" w:color="000000"/>
            </w:tcBorders>
          </w:tcPr>
          <w:p w:rsidR="002F3426" w:rsidRDefault="00680451" w:rsidP="00557EEE">
            <w:pPr>
              <w:pStyle w:val="TableTextLeft10ptIndent"/>
              <w:ind w:left="360"/>
            </w:pPr>
            <w:r>
              <w:t>R</w:t>
            </w:r>
            <w:r w:rsidR="002F3426">
              <w:t>elief</w:t>
            </w:r>
            <w:r>
              <w:t xml:space="preserve"> valves</w:t>
            </w:r>
          </w:p>
        </w:tc>
        <w:tc>
          <w:tcPr>
            <w:tcW w:w="1170" w:type="dxa"/>
            <w:tcBorders>
              <w:top w:val="single" w:sz="2" w:space="0" w:color="000000"/>
              <w:left w:val="single" w:sz="2" w:space="0" w:color="000000"/>
              <w:bottom w:val="single" w:sz="2" w:space="0" w:color="000000"/>
              <w:right w:val="single" w:sz="2" w:space="0" w:color="000000"/>
            </w:tcBorders>
            <w:vAlign w:val="center"/>
          </w:tcPr>
          <w:p w:rsidR="002F3426" w:rsidRDefault="002F3426" w:rsidP="00F46122">
            <w:pPr>
              <w:pStyle w:val="TableTextCenter10pt"/>
            </w:pPr>
            <w:r>
              <w:t>3.13</w:t>
            </w:r>
          </w:p>
        </w:tc>
        <w:tc>
          <w:tcPr>
            <w:tcW w:w="1530" w:type="dxa"/>
            <w:tcBorders>
              <w:top w:val="single" w:sz="2" w:space="0" w:color="000000"/>
              <w:left w:val="single" w:sz="2" w:space="0" w:color="000000"/>
              <w:bottom w:val="single" w:sz="2" w:space="0" w:color="000000"/>
              <w:right w:val="single" w:sz="2" w:space="0" w:color="000000"/>
            </w:tcBorders>
            <w:vAlign w:val="center"/>
          </w:tcPr>
          <w:p w:rsidR="002F3426" w:rsidRDefault="002F3426" w:rsidP="00F46122">
            <w:pPr>
              <w:pStyle w:val="TableTextCenter10pt"/>
            </w:pPr>
            <w:r>
              <w:t>2</w:t>
            </w:r>
          </w:p>
        </w:tc>
        <w:tc>
          <w:tcPr>
            <w:tcW w:w="1170" w:type="dxa"/>
            <w:tcBorders>
              <w:top w:val="single" w:sz="2" w:space="0" w:color="000000"/>
              <w:left w:val="single" w:sz="2" w:space="0" w:color="000000"/>
              <w:bottom w:val="single" w:sz="2" w:space="0" w:color="000000"/>
              <w:right w:val="single" w:sz="2" w:space="0" w:color="000000"/>
            </w:tcBorders>
            <w:vAlign w:val="center"/>
          </w:tcPr>
          <w:p w:rsidR="002F3426" w:rsidRDefault="002F3426" w:rsidP="00F46122">
            <w:pPr>
              <w:pStyle w:val="TableTextCenter10pt"/>
            </w:pPr>
            <w:r>
              <w:t>6.26</w:t>
            </w:r>
          </w:p>
        </w:tc>
        <w:tc>
          <w:tcPr>
            <w:tcW w:w="1350" w:type="dxa"/>
            <w:tcBorders>
              <w:top w:val="single" w:sz="2" w:space="0" w:color="000000"/>
              <w:left w:val="single" w:sz="2" w:space="0" w:color="000000"/>
              <w:bottom w:val="single" w:sz="2" w:space="0" w:color="000000"/>
              <w:right w:val="single" w:sz="2" w:space="0" w:color="000000"/>
            </w:tcBorders>
            <w:vAlign w:val="center"/>
          </w:tcPr>
          <w:p w:rsidR="002F3426" w:rsidRDefault="002F3426" w:rsidP="00F46122">
            <w:pPr>
              <w:pStyle w:val="TableTextCenter10pt"/>
            </w:pPr>
            <w:r>
              <w:t>94.7</w:t>
            </w:r>
          </w:p>
        </w:tc>
        <w:tc>
          <w:tcPr>
            <w:tcW w:w="1080" w:type="dxa"/>
            <w:tcBorders>
              <w:top w:val="single" w:sz="2" w:space="0" w:color="000000"/>
              <w:left w:val="single" w:sz="2" w:space="0" w:color="000000"/>
              <w:bottom w:val="single" w:sz="2" w:space="0" w:color="000000"/>
              <w:right w:val="single" w:sz="2" w:space="0" w:color="000000"/>
            </w:tcBorders>
            <w:vAlign w:val="bottom"/>
          </w:tcPr>
          <w:p w:rsidR="002F3426" w:rsidRDefault="002F3426" w:rsidP="002F3426">
            <w:pPr>
              <w:pStyle w:val="TableTextCenter10pt"/>
            </w:pPr>
            <w:r>
              <w:t>593</w:t>
            </w:r>
          </w:p>
        </w:tc>
        <w:tc>
          <w:tcPr>
            <w:tcW w:w="1350" w:type="dxa"/>
            <w:tcBorders>
              <w:top w:val="single" w:sz="2" w:space="0" w:color="000000"/>
              <w:left w:val="single" w:sz="2" w:space="0" w:color="000000"/>
              <w:bottom w:val="single" w:sz="2" w:space="0" w:color="000000"/>
              <w:right w:val="single" w:sz="2" w:space="0" w:color="000000"/>
            </w:tcBorders>
            <w:vAlign w:val="bottom"/>
          </w:tcPr>
          <w:p w:rsidR="002F3426" w:rsidRDefault="002F3426" w:rsidP="002F3426">
            <w:pPr>
              <w:pStyle w:val="TableTextCenter10pt"/>
            </w:pPr>
            <w:r>
              <w:t>29.6</w:t>
            </w:r>
          </w:p>
        </w:tc>
        <w:tc>
          <w:tcPr>
            <w:tcW w:w="990" w:type="dxa"/>
            <w:tcBorders>
              <w:top w:val="single" w:sz="2" w:space="0" w:color="000000"/>
              <w:left w:val="single" w:sz="2" w:space="0" w:color="000000"/>
              <w:bottom w:val="single" w:sz="2" w:space="0" w:color="000000"/>
              <w:right w:val="single" w:sz="2" w:space="0" w:color="000000"/>
            </w:tcBorders>
            <w:vAlign w:val="bottom"/>
          </w:tcPr>
          <w:p w:rsidR="002F3426" w:rsidRDefault="002F3426" w:rsidP="002F3426">
            <w:pPr>
              <w:pStyle w:val="TableTextCenter10pt"/>
            </w:pPr>
            <w:r>
              <w:t>59.3</w:t>
            </w:r>
          </w:p>
        </w:tc>
        <w:tc>
          <w:tcPr>
            <w:tcW w:w="1214" w:type="dxa"/>
            <w:tcBorders>
              <w:top w:val="single" w:sz="2" w:space="0" w:color="000000"/>
              <w:left w:val="single" w:sz="2" w:space="0" w:color="000000"/>
              <w:bottom w:val="single" w:sz="2" w:space="0" w:color="000000"/>
              <w:right w:val="single" w:sz="2" w:space="0" w:color="000000"/>
            </w:tcBorders>
            <w:vAlign w:val="bottom"/>
          </w:tcPr>
          <w:p w:rsidR="002F3426" w:rsidRPr="002F3426" w:rsidRDefault="002F3426" w:rsidP="002F3426">
            <w:pPr>
              <w:pStyle w:val="TableTextRight10pt"/>
            </w:pPr>
            <w:r w:rsidRPr="00557EEE">
              <w:t>$56,651</w:t>
            </w:r>
          </w:p>
        </w:tc>
      </w:tr>
      <w:tr w:rsidR="002F3426" w:rsidTr="00557EEE">
        <w:trPr>
          <w:cantSplit/>
        </w:trPr>
        <w:tc>
          <w:tcPr>
            <w:tcW w:w="3464" w:type="dxa"/>
            <w:tcBorders>
              <w:top w:val="single" w:sz="2" w:space="0" w:color="000000"/>
              <w:left w:val="single" w:sz="2" w:space="0" w:color="000000"/>
              <w:bottom w:val="single" w:sz="2" w:space="0" w:color="000000"/>
              <w:right w:val="single" w:sz="2" w:space="0" w:color="000000"/>
            </w:tcBorders>
          </w:tcPr>
          <w:p w:rsidR="002F3426" w:rsidRDefault="002F3426" w:rsidP="00557EEE">
            <w:pPr>
              <w:pStyle w:val="TableTextLeft10ptIndent"/>
              <w:ind w:left="360"/>
            </w:pPr>
            <w:r>
              <w:t>Bypass lines</w:t>
            </w:r>
          </w:p>
        </w:tc>
        <w:tc>
          <w:tcPr>
            <w:tcW w:w="1170" w:type="dxa"/>
            <w:tcBorders>
              <w:top w:val="single" w:sz="2" w:space="0" w:color="000000"/>
              <w:left w:val="single" w:sz="2" w:space="0" w:color="000000"/>
              <w:bottom w:val="single" w:sz="2" w:space="0" w:color="000000"/>
              <w:right w:val="single" w:sz="2" w:space="0" w:color="000000"/>
            </w:tcBorders>
            <w:vAlign w:val="center"/>
          </w:tcPr>
          <w:p w:rsidR="002F3426" w:rsidRDefault="002F3426" w:rsidP="00F46122">
            <w:pPr>
              <w:pStyle w:val="TableTextCenter10pt"/>
            </w:pPr>
            <w:r>
              <w:t>0.075</w:t>
            </w:r>
          </w:p>
        </w:tc>
        <w:tc>
          <w:tcPr>
            <w:tcW w:w="1530" w:type="dxa"/>
            <w:tcBorders>
              <w:top w:val="single" w:sz="2" w:space="0" w:color="000000"/>
              <w:left w:val="single" w:sz="2" w:space="0" w:color="000000"/>
              <w:bottom w:val="single" w:sz="2" w:space="0" w:color="000000"/>
              <w:right w:val="single" w:sz="2" w:space="0" w:color="000000"/>
            </w:tcBorders>
            <w:vAlign w:val="center"/>
          </w:tcPr>
          <w:p w:rsidR="002F3426" w:rsidRDefault="002F3426" w:rsidP="00F46122">
            <w:pPr>
              <w:pStyle w:val="TableTextCenter10pt"/>
            </w:pPr>
            <w:r>
              <w:t>2</w:t>
            </w:r>
          </w:p>
        </w:tc>
        <w:tc>
          <w:tcPr>
            <w:tcW w:w="1170" w:type="dxa"/>
            <w:tcBorders>
              <w:top w:val="single" w:sz="2" w:space="0" w:color="000000"/>
              <w:left w:val="single" w:sz="2" w:space="0" w:color="000000"/>
              <w:bottom w:val="single" w:sz="2" w:space="0" w:color="000000"/>
              <w:right w:val="single" w:sz="2" w:space="0" w:color="000000"/>
            </w:tcBorders>
            <w:vAlign w:val="center"/>
          </w:tcPr>
          <w:p w:rsidR="002F3426" w:rsidRDefault="002F3426" w:rsidP="00F46122">
            <w:pPr>
              <w:pStyle w:val="TableTextCenter10pt"/>
            </w:pPr>
            <w:r>
              <w:t>0.15</w:t>
            </w:r>
          </w:p>
        </w:tc>
        <w:tc>
          <w:tcPr>
            <w:tcW w:w="1350" w:type="dxa"/>
            <w:tcBorders>
              <w:top w:val="single" w:sz="2" w:space="0" w:color="000000"/>
              <w:left w:val="single" w:sz="2" w:space="0" w:color="000000"/>
              <w:bottom w:val="single" w:sz="2" w:space="0" w:color="000000"/>
              <w:right w:val="single" w:sz="2" w:space="0" w:color="000000"/>
            </w:tcBorders>
            <w:vAlign w:val="center"/>
          </w:tcPr>
          <w:p w:rsidR="002F3426" w:rsidRDefault="002F3426" w:rsidP="00F46122">
            <w:pPr>
              <w:pStyle w:val="TableTextCenter10pt"/>
            </w:pPr>
            <w:r>
              <w:t>94.7</w:t>
            </w:r>
          </w:p>
        </w:tc>
        <w:tc>
          <w:tcPr>
            <w:tcW w:w="1080" w:type="dxa"/>
            <w:tcBorders>
              <w:top w:val="single" w:sz="2" w:space="0" w:color="000000"/>
              <w:left w:val="single" w:sz="2" w:space="0" w:color="000000"/>
              <w:bottom w:val="single" w:sz="2" w:space="0" w:color="000000"/>
              <w:right w:val="single" w:sz="2" w:space="0" w:color="000000"/>
            </w:tcBorders>
            <w:vAlign w:val="bottom"/>
          </w:tcPr>
          <w:p w:rsidR="002F3426" w:rsidRDefault="002F3426" w:rsidP="002F3426">
            <w:pPr>
              <w:pStyle w:val="TableTextCenter10pt"/>
            </w:pPr>
            <w:r>
              <w:t>14.2</w:t>
            </w:r>
          </w:p>
        </w:tc>
        <w:tc>
          <w:tcPr>
            <w:tcW w:w="1350" w:type="dxa"/>
            <w:tcBorders>
              <w:top w:val="single" w:sz="2" w:space="0" w:color="000000"/>
              <w:left w:val="single" w:sz="2" w:space="0" w:color="000000"/>
              <w:bottom w:val="single" w:sz="2" w:space="0" w:color="000000"/>
              <w:right w:val="single" w:sz="2" w:space="0" w:color="000000"/>
            </w:tcBorders>
            <w:vAlign w:val="bottom"/>
          </w:tcPr>
          <w:p w:rsidR="002F3426" w:rsidRDefault="002F3426" w:rsidP="002F3426">
            <w:pPr>
              <w:pStyle w:val="TableTextCenter10pt"/>
            </w:pPr>
            <w:r>
              <w:t>0.710</w:t>
            </w:r>
          </w:p>
        </w:tc>
        <w:tc>
          <w:tcPr>
            <w:tcW w:w="990" w:type="dxa"/>
            <w:tcBorders>
              <w:top w:val="single" w:sz="2" w:space="0" w:color="000000"/>
              <w:left w:val="single" w:sz="2" w:space="0" w:color="000000"/>
              <w:bottom w:val="single" w:sz="2" w:space="0" w:color="000000"/>
              <w:right w:val="single" w:sz="2" w:space="0" w:color="000000"/>
            </w:tcBorders>
            <w:vAlign w:val="bottom"/>
          </w:tcPr>
          <w:p w:rsidR="002F3426" w:rsidRDefault="002F3426" w:rsidP="002F3426">
            <w:pPr>
              <w:pStyle w:val="TableTextCenter10pt"/>
            </w:pPr>
            <w:r>
              <w:t>1.42</w:t>
            </w:r>
          </w:p>
        </w:tc>
        <w:tc>
          <w:tcPr>
            <w:tcW w:w="1214" w:type="dxa"/>
            <w:tcBorders>
              <w:top w:val="single" w:sz="2" w:space="0" w:color="000000"/>
              <w:left w:val="single" w:sz="2" w:space="0" w:color="000000"/>
              <w:bottom w:val="single" w:sz="2" w:space="0" w:color="000000"/>
              <w:right w:val="single" w:sz="2" w:space="0" w:color="000000"/>
            </w:tcBorders>
            <w:vAlign w:val="bottom"/>
          </w:tcPr>
          <w:p w:rsidR="002F3426" w:rsidRPr="002F3426" w:rsidRDefault="002F3426" w:rsidP="002F3426">
            <w:pPr>
              <w:pStyle w:val="TableTextRight10pt"/>
            </w:pPr>
            <w:r w:rsidRPr="00557EEE">
              <w:t>$1,357</w:t>
            </w:r>
          </w:p>
        </w:tc>
      </w:tr>
      <w:tr w:rsidR="00AE06D7" w:rsidTr="00557EEE">
        <w:trPr>
          <w:cantSplit/>
        </w:trPr>
        <w:tc>
          <w:tcPr>
            <w:tcW w:w="3464" w:type="dxa"/>
            <w:tcBorders>
              <w:top w:val="single" w:sz="2" w:space="0" w:color="000000"/>
              <w:left w:val="single" w:sz="2" w:space="0" w:color="000000"/>
              <w:bottom w:val="single" w:sz="2" w:space="0" w:color="000000"/>
              <w:right w:val="single" w:sz="2" w:space="0" w:color="000000"/>
            </w:tcBorders>
          </w:tcPr>
          <w:p w:rsidR="00AE06D7" w:rsidDel="00B4246B" w:rsidRDefault="00CF66A5" w:rsidP="00557EEE">
            <w:pPr>
              <w:pStyle w:val="TableTextLeft10ptIndent"/>
              <w:ind w:left="360"/>
            </w:pPr>
            <w:r>
              <w:t>D</w:t>
            </w:r>
            <w:r w:rsidR="00AE06D7">
              <w:t>elayed cokers</w:t>
            </w:r>
          </w:p>
        </w:tc>
        <w:tc>
          <w:tcPr>
            <w:tcW w:w="1170" w:type="dxa"/>
            <w:tcBorders>
              <w:top w:val="single" w:sz="2" w:space="0" w:color="000000"/>
              <w:left w:val="single" w:sz="2" w:space="0" w:color="000000"/>
              <w:bottom w:val="single" w:sz="2" w:space="0" w:color="000000"/>
              <w:right w:val="single" w:sz="2" w:space="0" w:color="000000"/>
            </w:tcBorders>
            <w:vAlign w:val="center"/>
          </w:tcPr>
          <w:p w:rsidR="00AE06D7" w:rsidRDefault="00AE06D7" w:rsidP="00F46122">
            <w:pPr>
              <w:pStyle w:val="TableTextCenter10pt"/>
            </w:pPr>
            <w:r>
              <w:t>0.25</w:t>
            </w:r>
          </w:p>
        </w:tc>
        <w:tc>
          <w:tcPr>
            <w:tcW w:w="1530" w:type="dxa"/>
            <w:tcBorders>
              <w:top w:val="single" w:sz="2" w:space="0" w:color="000000"/>
              <w:left w:val="single" w:sz="2" w:space="0" w:color="000000"/>
              <w:bottom w:val="single" w:sz="2" w:space="0" w:color="000000"/>
              <w:right w:val="single" w:sz="2" w:space="0" w:color="000000"/>
            </w:tcBorders>
            <w:vAlign w:val="center"/>
          </w:tcPr>
          <w:p w:rsidR="00AE06D7" w:rsidRDefault="00AE06D7" w:rsidP="00F46122">
            <w:pPr>
              <w:pStyle w:val="TableTextCenter10pt"/>
            </w:pPr>
            <w:r>
              <w:t>0.1</w:t>
            </w:r>
            <w:r w:rsidR="00CF66A5">
              <w:t>67</w:t>
            </w:r>
          </w:p>
        </w:tc>
        <w:tc>
          <w:tcPr>
            <w:tcW w:w="1170" w:type="dxa"/>
            <w:tcBorders>
              <w:top w:val="single" w:sz="2" w:space="0" w:color="000000"/>
              <w:left w:val="single" w:sz="2" w:space="0" w:color="000000"/>
              <w:bottom w:val="single" w:sz="2" w:space="0" w:color="000000"/>
              <w:right w:val="single" w:sz="2" w:space="0" w:color="000000"/>
            </w:tcBorders>
            <w:vAlign w:val="center"/>
          </w:tcPr>
          <w:p w:rsidR="00AE06D7" w:rsidRDefault="00AE06D7" w:rsidP="00CF66A5">
            <w:pPr>
              <w:pStyle w:val="TableTextCenter10pt"/>
            </w:pPr>
            <w:r>
              <w:t>0.0</w:t>
            </w:r>
            <w:r w:rsidR="00CF66A5">
              <w:t>417</w:t>
            </w:r>
          </w:p>
        </w:tc>
        <w:tc>
          <w:tcPr>
            <w:tcW w:w="1350" w:type="dxa"/>
            <w:tcBorders>
              <w:top w:val="single" w:sz="2" w:space="0" w:color="000000"/>
              <w:left w:val="single" w:sz="2" w:space="0" w:color="000000"/>
              <w:bottom w:val="single" w:sz="2" w:space="0" w:color="000000"/>
              <w:right w:val="single" w:sz="2" w:space="0" w:color="000000"/>
            </w:tcBorders>
            <w:vAlign w:val="center"/>
          </w:tcPr>
          <w:p w:rsidR="00AE06D7" w:rsidRDefault="002F3426" w:rsidP="00F46122">
            <w:pPr>
              <w:pStyle w:val="TableTextCenter10pt"/>
            </w:pPr>
            <w:r>
              <w:t>94.7</w:t>
            </w:r>
          </w:p>
        </w:tc>
        <w:tc>
          <w:tcPr>
            <w:tcW w:w="1080" w:type="dxa"/>
            <w:tcBorders>
              <w:top w:val="single" w:sz="2" w:space="0" w:color="000000"/>
              <w:left w:val="single" w:sz="2" w:space="0" w:color="000000"/>
              <w:bottom w:val="single" w:sz="2" w:space="0" w:color="000000"/>
              <w:right w:val="single" w:sz="2" w:space="0" w:color="000000"/>
            </w:tcBorders>
            <w:vAlign w:val="center"/>
          </w:tcPr>
          <w:p w:rsidR="00AE06D7" w:rsidRDefault="002F3426" w:rsidP="002F3426">
            <w:pPr>
              <w:pStyle w:val="TableTextCenter10pt"/>
            </w:pPr>
            <w:r>
              <w:t>3.95</w:t>
            </w:r>
          </w:p>
        </w:tc>
        <w:tc>
          <w:tcPr>
            <w:tcW w:w="1350" w:type="dxa"/>
            <w:tcBorders>
              <w:top w:val="single" w:sz="2" w:space="0" w:color="000000"/>
              <w:left w:val="single" w:sz="2" w:space="0" w:color="000000"/>
              <w:bottom w:val="single" w:sz="2" w:space="0" w:color="000000"/>
              <w:right w:val="single" w:sz="2" w:space="0" w:color="000000"/>
            </w:tcBorders>
            <w:vAlign w:val="center"/>
          </w:tcPr>
          <w:p w:rsidR="00AE06D7" w:rsidRDefault="002F3426" w:rsidP="002F3426">
            <w:pPr>
              <w:pStyle w:val="TableTextCenter10pt"/>
            </w:pPr>
            <w:r>
              <w:t>0.198</w:t>
            </w:r>
          </w:p>
        </w:tc>
        <w:tc>
          <w:tcPr>
            <w:tcW w:w="990" w:type="dxa"/>
            <w:tcBorders>
              <w:top w:val="single" w:sz="2" w:space="0" w:color="000000"/>
              <w:left w:val="single" w:sz="2" w:space="0" w:color="000000"/>
              <w:bottom w:val="single" w:sz="2" w:space="0" w:color="000000"/>
              <w:right w:val="single" w:sz="2" w:space="0" w:color="000000"/>
            </w:tcBorders>
            <w:vAlign w:val="center"/>
          </w:tcPr>
          <w:p w:rsidR="00AE06D7" w:rsidRDefault="002F3426" w:rsidP="002F3426">
            <w:pPr>
              <w:pStyle w:val="TableTextCenter10pt"/>
            </w:pPr>
            <w:r>
              <w:t>0.395</w:t>
            </w:r>
          </w:p>
        </w:tc>
        <w:tc>
          <w:tcPr>
            <w:tcW w:w="1214" w:type="dxa"/>
            <w:tcBorders>
              <w:top w:val="single" w:sz="2" w:space="0" w:color="000000"/>
              <w:left w:val="single" w:sz="2" w:space="0" w:color="000000"/>
              <w:bottom w:val="single" w:sz="2" w:space="0" w:color="000000"/>
              <w:right w:val="single" w:sz="2" w:space="0" w:color="000000"/>
            </w:tcBorders>
            <w:vAlign w:val="center"/>
          </w:tcPr>
          <w:p w:rsidR="00AE06D7" w:rsidRDefault="00AE06D7" w:rsidP="002F3426">
            <w:pPr>
              <w:pStyle w:val="TableTextRight10pt"/>
            </w:pPr>
            <w:r>
              <w:t>$</w:t>
            </w:r>
            <w:r w:rsidR="002F3426">
              <w:t>378</w:t>
            </w:r>
          </w:p>
        </w:tc>
      </w:tr>
      <w:tr w:rsidR="002F3426" w:rsidTr="00557EEE">
        <w:trPr>
          <w:cantSplit/>
        </w:trPr>
        <w:tc>
          <w:tcPr>
            <w:tcW w:w="3464" w:type="dxa"/>
            <w:tcBorders>
              <w:top w:val="single" w:sz="2" w:space="0" w:color="000000"/>
              <w:left w:val="single" w:sz="2" w:space="0" w:color="000000"/>
              <w:bottom w:val="single" w:sz="2" w:space="0" w:color="000000"/>
              <w:right w:val="single" w:sz="2" w:space="0" w:color="000000"/>
            </w:tcBorders>
          </w:tcPr>
          <w:p w:rsidR="002F3426" w:rsidRDefault="002F3426" w:rsidP="00557EEE">
            <w:pPr>
              <w:pStyle w:val="TableTextLeft10ptIndent"/>
              <w:ind w:left="360"/>
            </w:pPr>
            <w:r>
              <w:t>Flares</w:t>
            </w:r>
          </w:p>
        </w:tc>
        <w:tc>
          <w:tcPr>
            <w:tcW w:w="1170" w:type="dxa"/>
            <w:tcBorders>
              <w:top w:val="single" w:sz="2" w:space="0" w:color="000000"/>
              <w:left w:val="single" w:sz="2" w:space="0" w:color="000000"/>
              <w:bottom w:val="single" w:sz="2" w:space="0" w:color="000000"/>
              <w:right w:val="single" w:sz="2" w:space="0" w:color="000000"/>
            </w:tcBorders>
            <w:vAlign w:val="center"/>
          </w:tcPr>
          <w:p w:rsidR="002F3426" w:rsidRDefault="002F3426" w:rsidP="00F46122">
            <w:pPr>
              <w:pStyle w:val="TableTextCenter10pt"/>
            </w:pPr>
            <w:r>
              <w:t>1.5</w:t>
            </w:r>
          </w:p>
        </w:tc>
        <w:tc>
          <w:tcPr>
            <w:tcW w:w="1530" w:type="dxa"/>
            <w:tcBorders>
              <w:top w:val="single" w:sz="2" w:space="0" w:color="000000"/>
              <w:left w:val="single" w:sz="2" w:space="0" w:color="000000"/>
              <w:bottom w:val="single" w:sz="2" w:space="0" w:color="000000"/>
              <w:right w:val="single" w:sz="2" w:space="0" w:color="000000"/>
            </w:tcBorders>
            <w:vAlign w:val="center"/>
          </w:tcPr>
          <w:p w:rsidR="002F3426" w:rsidRDefault="002F3426" w:rsidP="00F46122">
            <w:pPr>
              <w:pStyle w:val="TableTextCenter10pt"/>
            </w:pPr>
            <w:r>
              <w:t>2</w:t>
            </w:r>
          </w:p>
        </w:tc>
        <w:tc>
          <w:tcPr>
            <w:tcW w:w="1170" w:type="dxa"/>
            <w:tcBorders>
              <w:top w:val="single" w:sz="2" w:space="0" w:color="000000"/>
              <w:left w:val="single" w:sz="2" w:space="0" w:color="000000"/>
              <w:bottom w:val="single" w:sz="2" w:space="0" w:color="000000"/>
              <w:right w:val="single" w:sz="2" w:space="0" w:color="000000"/>
            </w:tcBorders>
            <w:vAlign w:val="center"/>
          </w:tcPr>
          <w:p w:rsidR="002F3426" w:rsidRDefault="002F3426" w:rsidP="00F46122">
            <w:pPr>
              <w:pStyle w:val="TableTextCenter10pt"/>
            </w:pPr>
            <w:r>
              <w:t>3</w:t>
            </w:r>
          </w:p>
        </w:tc>
        <w:tc>
          <w:tcPr>
            <w:tcW w:w="1350" w:type="dxa"/>
            <w:tcBorders>
              <w:top w:val="single" w:sz="2" w:space="0" w:color="000000"/>
              <w:left w:val="single" w:sz="2" w:space="0" w:color="000000"/>
              <w:bottom w:val="single" w:sz="2" w:space="0" w:color="000000"/>
              <w:right w:val="single" w:sz="2" w:space="0" w:color="000000"/>
            </w:tcBorders>
            <w:vAlign w:val="center"/>
          </w:tcPr>
          <w:p w:rsidR="002F3426" w:rsidRDefault="002F3426" w:rsidP="00F46122">
            <w:pPr>
              <w:pStyle w:val="TableTextCenter10pt"/>
            </w:pPr>
            <w:r>
              <w:t>94.7</w:t>
            </w:r>
          </w:p>
        </w:tc>
        <w:tc>
          <w:tcPr>
            <w:tcW w:w="1080" w:type="dxa"/>
            <w:tcBorders>
              <w:top w:val="single" w:sz="2" w:space="0" w:color="000000"/>
              <w:left w:val="single" w:sz="2" w:space="0" w:color="000000"/>
              <w:bottom w:val="single" w:sz="2" w:space="0" w:color="000000"/>
              <w:right w:val="single" w:sz="2" w:space="0" w:color="000000"/>
            </w:tcBorders>
            <w:vAlign w:val="bottom"/>
          </w:tcPr>
          <w:p w:rsidR="002F3426" w:rsidRPr="002F3426" w:rsidRDefault="002F3426" w:rsidP="002F3426">
            <w:pPr>
              <w:pStyle w:val="TableTextCenter10pt"/>
            </w:pPr>
            <w:r w:rsidRPr="00557EEE">
              <w:t>284</w:t>
            </w:r>
          </w:p>
        </w:tc>
        <w:tc>
          <w:tcPr>
            <w:tcW w:w="1350" w:type="dxa"/>
            <w:tcBorders>
              <w:top w:val="single" w:sz="2" w:space="0" w:color="000000"/>
              <w:left w:val="single" w:sz="2" w:space="0" w:color="000000"/>
              <w:bottom w:val="single" w:sz="2" w:space="0" w:color="000000"/>
              <w:right w:val="single" w:sz="2" w:space="0" w:color="000000"/>
            </w:tcBorders>
            <w:vAlign w:val="bottom"/>
          </w:tcPr>
          <w:p w:rsidR="002F3426" w:rsidRPr="002F3426" w:rsidRDefault="002F3426" w:rsidP="002F3426">
            <w:pPr>
              <w:pStyle w:val="TableTextCenter10pt"/>
            </w:pPr>
            <w:r w:rsidRPr="00557EEE">
              <w:t>14.2</w:t>
            </w:r>
          </w:p>
        </w:tc>
        <w:tc>
          <w:tcPr>
            <w:tcW w:w="990" w:type="dxa"/>
            <w:tcBorders>
              <w:top w:val="single" w:sz="2" w:space="0" w:color="000000"/>
              <w:left w:val="single" w:sz="2" w:space="0" w:color="000000"/>
              <w:bottom w:val="single" w:sz="2" w:space="0" w:color="000000"/>
              <w:right w:val="single" w:sz="2" w:space="0" w:color="000000"/>
            </w:tcBorders>
            <w:vAlign w:val="bottom"/>
          </w:tcPr>
          <w:p w:rsidR="002F3426" w:rsidRPr="002F3426" w:rsidRDefault="002F3426" w:rsidP="002F3426">
            <w:pPr>
              <w:pStyle w:val="TableTextCenter10pt"/>
            </w:pPr>
            <w:r w:rsidRPr="00557EEE">
              <w:t>28.4</w:t>
            </w:r>
          </w:p>
        </w:tc>
        <w:tc>
          <w:tcPr>
            <w:tcW w:w="1214" w:type="dxa"/>
            <w:tcBorders>
              <w:top w:val="single" w:sz="2" w:space="0" w:color="000000"/>
              <w:left w:val="single" w:sz="2" w:space="0" w:color="000000"/>
              <w:bottom w:val="single" w:sz="2" w:space="0" w:color="000000"/>
              <w:right w:val="single" w:sz="2" w:space="0" w:color="000000"/>
            </w:tcBorders>
            <w:vAlign w:val="center"/>
          </w:tcPr>
          <w:p w:rsidR="002F3426" w:rsidRDefault="002F3426" w:rsidP="002F3426">
            <w:pPr>
              <w:pStyle w:val="TableTextRight10pt"/>
            </w:pPr>
            <w:r>
              <w:t>$27,145</w:t>
            </w:r>
          </w:p>
        </w:tc>
      </w:tr>
      <w:tr w:rsidR="0087236F" w:rsidTr="00557EEE">
        <w:trPr>
          <w:cantSplit/>
        </w:trPr>
        <w:tc>
          <w:tcPr>
            <w:tcW w:w="3464" w:type="dxa"/>
            <w:tcBorders>
              <w:top w:val="single" w:sz="2" w:space="0" w:color="000000"/>
              <w:left w:val="single" w:sz="2" w:space="0" w:color="000000"/>
              <w:bottom w:val="single" w:sz="2" w:space="0" w:color="000000"/>
              <w:right w:val="single" w:sz="2" w:space="0" w:color="000000"/>
            </w:tcBorders>
          </w:tcPr>
          <w:p w:rsidR="0087236F" w:rsidRPr="00F46122" w:rsidRDefault="0087236F" w:rsidP="00F46122">
            <w:pPr>
              <w:pStyle w:val="TableTextLeft10pt"/>
            </w:pPr>
            <w:r w:rsidRPr="00F46122">
              <w:t>5. Recordkeeping Requirements</w:t>
            </w:r>
          </w:p>
        </w:tc>
        <w:tc>
          <w:tcPr>
            <w:tcW w:w="1170" w:type="dxa"/>
            <w:tcBorders>
              <w:top w:val="single" w:sz="2" w:space="0" w:color="000000"/>
              <w:left w:val="single" w:sz="2" w:space="0" w:color="000000"/>
              <w:bottom w:val="single" w:sz="2" w:space="0" w:color="000000"/>
              <w:right w:val="single" w:sz="2" w:space="0" w:color="000000"/>
            </w:tcBorders>
          </w:tcPr>
          <w:p w:rsidR="0087236F" w:rsidRDefault="0087236F" w:rsidP="00F46122">
            <w:pPr>
              <w:pStyle w:val="TableTextCenter10pt"/>
              <w:rPr>
                <w:rFonts w:cs="Arial"/>
                <w:szCs w:val="16"/>
              </w:rPr>
            </w:pPr>
          </w:p>
        </w:tc>
        <w:tc>
          <w:tcPr>
            <w:tcW w:w="1530" w:type="dxa"/>
            <w:tcBorders>
              <w:top w:val="single" w:sz="2" w:space="0" w:color="000000"/>
              <w:left w:val="single" w:sz="2" w:space="0" w:color="000000"/>
              <w:bottom w:val="single" w:sz="2" w:space="0" w:color="000000"/>
              <w:right w:val="single" w:sz="2" w:space="0" w:color="000000"/>
            </w:tcBorders>
          </w:tcPr>
          <w:p w:rsidR="0087236F" w:rsidRDefault="0087236F" w:rsidP="00F46122">
            <w:pPr>
              <w:pStyle w:val="TableTextCenter10pt"/>
              <w:rPr>
                <w:rFonts w:cs="Arial"/>
                <w:szCs w:val="16"/>
              </w:rPr>
            </w:pPr>
          </w:p>
        </w:tc>
        <w:tc>
          <w:tcPr>
            <w:tcW w:w="1170" w:type="dxa"/>
            <w:tcBorders>
              <w:top w:val="single" w:sz="2" w:space="0" w:color="000000"/>
              <w:left w:val="single" w:sz="2" w:space="0" w:color="000000"/>
              <w:bottom w:val="single" w:sz="2" w:space="0" w:color="000000"/>
              <w:right w:val="single" w:sz="2" w:space="0" w:color="000000"/>
            </w:tcBorders>
          </w:tcPr>
          <w:p w:rsidR="0087236F" w:rsidRDefault="0087236F" w:rsidP="00F46122">
            <w:pPr>
              <w:pStyle w:val="TableTextCenter10pt"/>
              <w:rPr>
                <w:rFonts w:cs="Arial"/>
                <w:szCs w:val="16"/>
              </w:rPr>
            </w:pPr>
          </w:p>
        </w:tc>
        <w:tc>
          <w:tcPr>
            <w:tcW w:w="1350" w:type="dxa"/>
            <w:tcBorders>
              <w:top w:val="single" w:sz="2" w:space="0" w:color="000000"/>
              <w:left w:val="single" w:sz="2" w:space="0" w:color="000000"/>
              <w:bottom w:val="single" w:sz="2" w:space="0" w:color="000000"/>
              <w:right w:val="single" w:sz="2" w:space="0" w:color="000000"/>
            </w:tcBorders>
          </w:tcPr>
          <w:p w:rsidR="0087236F" w:rsidRDefault="0087236F" w:rsidP="00F46122">
            <w:pPr>
              <w:pStyle w:val="TableTextCenter10pt"/>
              <w:rPr>
                <w:rFonts w:cs="Arial"/>
                <w:szCs w:val="16"/>
              </w:rPr>
            </w:pPr>
          </w:p>
        </w:tc>
        <w:tc>
          <w:tcPr>
            <w:tcW w:w="1080" w:type="dxa"/>
            <w:tcBorders>
              <w:top w:val="single" w:sz="2" w:space="0" w:color="000000"/>
              <w:left w:val="single" w:sz="2" w:space="0" w:color="000000"/>
              <w:bottom w:val="single" w:sz="2" w:space="0" w:color="000000"/>
              <w:right w:val="single" w:sz="2" w:space="0" w:color="000000"/>
            </w:tcBorders>
          </w:tcPr>
          <w:p w:rsidR="0087236F" w:rsidRDefault="0087236F" w:rsidP="00F46122">
            <w:pPr>
              <w:pStyle w:val="TableTextCenter10pt"/>
              <w:rPr>
                <w:rFonts w:cs="Arial"/>
                <w:szCs w:val="16"/>
              </w:rPr>
            </w:pPr>
          </w:p>
        </w:tc>
        <w:tc>
          <w:tcPr>
            <w:tcW w:w="1339" w:type="dxa"/>
            <w:tcBorders>
              <w:top w:val="single" w:sz="2" w:space="0" w:color="000000"/>
              <w:left w:val="single" w:sz="2" w:space="0" w:color="000000"/>
              <w:bottom w:val="single" w:sz="2" w:space="0" w:color="000000"/>
              <w:right w:val="single" w:sz="2" w:space="0" w:color="000000"/>
            </w:tcBorders>
          </w:tcPr>
          <w:p w:rsidR="0087236F" w:rsidRDefault="0087236F" w:rsidP="00F46122">
            <w:pPr>
              <w:pStyle w:val="TableTextCenter10pt"/>
              <w:rPr>
                <w:rFonts w:cs="Arial"/>
                <w:szCs w:val="16"/>
              </w:rPr>
            </w:pPr>
          </w:p>
        </w:tc>
        <w:tc>
          <w:tcPr>
            <w:tcW w:w="990" w:type="dxa"/>
            <w:tcBorders>
              <w:top w:val="single" w:sz="2" w:space="0" w:color="000000"/>
              <w:left w:val="single" w:sz="2" w:space="0" w:color="000000"/>
              <w:bottom w:val="single" w:sz="2" w:space="0" w:color="000000"/>
              <w:right w:val="single" w:sz="2" w:space="0" w:color="000000"/>
            </w:tcBorders>
          </w:tcPr>
          <w:p w:rsidR="0087236F" w:rsidRDefault="0087236F" w:rsidP="00F46122">
            <w:pPr>
              <w:pStyle w:val="TableTextCenter10pt"/>
              <w:rPr>
                <w:rFonts w:cs="Arial"/>
                <w:szCs w:val="16"/>
              </w:rPr>
            </w:pPr>
          </w:p>
        </w:tc>
        <w:tc>
          <w:tcPr>
            <w:tcW w:w="1214" w:type="dxa"/>
            <w:tcBorders>
              <w:top w:val="single" w:sz="2" w:space="0" w:color="000000"/>
              <w:left w:val="single" w:sz="2" w:space="0" w:color="000000"/>
              <w:bottom w:val="single" w:sz="2" w:space="0" w:color="000000"/>
              <w:right w:val="single" w:sz="2" w:space="0" w:color="000000"/>
            </w:tcBorders>
          </w:tcPr>
          <w:p w:rsidR="0087236F" w:rsidRDefault="0087236F" w:rsidP="00F46122">
            <w:pPr>
              <w:pStyle w:val="TableTextRight10pt"/>
            </w:pPr>
          </w:p>
        </w:tc>
      </w:tr>
      <w:tr w:rsidR="0087236F" w:rsidTr="00557EEE">
        <w:trPr>
          <w:cantSplit/>
        </w:trPr>
        <w:tc>
          <w:tcPr>
            <w:tcW w:w="3464" w:type="dxa"/>
            <w:tcBorders>
              <w:top w:val="single" w:sz="2" w:space="0" w:color="000000"/>
              <w:left w:val="single" w:sz="2" w:space="0" w:color="000000"/>
              <w:bottom w:val="single" w:sz="2" w:space="0" w:color="000000"/>
              <w:right w:val="single" w:sz="2" w:space="0" w:color="000000"/>
            </w:tcBorders>
          </w:tcPr>
          <w:p w:rsidR="0087236F" w:rsidRPr="00F46122" w:rsidRDefault="0087236F" w:rsidP="00F46122">
            <w:pPr>
              <w:pStyle w:val="TableTextLeft10pt"/>
            </w:pPr>
            <w:r w:rsidRPr="00F46122">
              <w:t>A. Read instructions</w:t>
            </w:r>
          </w:p>
        </w:tc>
        <w:tc>
          <w:tcPr>
            <w:tcW w:w="1170" w:type="dxa"/>
            <w:tcBorders>
              <w:top w:val="single" w:sz="2" w:space="0" w:color="000000"/>
              <w:left w:val="single" w:sz="2" w:space="0" w:color="000000"/>
              <w:bottom w:val="single" w:sz="2" w:space="0" w:color="000000"/>
              <w:right w:val="single" w:sz="2" w:space="0" w:color="000000"/>
            </w:tcBorders>
          </w:tcPr>
          <w:p w:rsidR="0087236F" w:rsidRDefault="0087236F" w:rsidP="005F5FDC">
            <w:pPr>
              <w:pStyle w:val="TableTextCenter10pt"/>
            </w:pPr>
            <w:r>
              <w:t>See 4A</w:t>
            </w:r>
          </w:p>
        </w:tc>
        <w:tc>
          <w:tcPr>
            <w:tcW w:w="1530" w:type="dxa"/>
            <w:tcBorders>
              <w:top w:val="single" w:sz="2" w:space="0" w:color="000000"/>
              <w:left w:val="single" w:sz="2" w:space="0" w:color="000000"/>
              <w:bottom w:val="single" w:sz="2" w:space="0" w:color="000000"/>
              <w:right w:val="single" w:sz="2" w:space="0" w:color="000000"/>
            </w:tcBorders>
          </w:tcPr>
          <w:p w:rsidR="0087236F" w:rsidRDefault="0087236F" w:rsidP="00F46122">
            <w:pPr>
              <w:pStyle w:val="TableTextCenter10pt"/>
              <w:rPr>
                <w:rFonts w:cs="Arial"/>
                <w:szCs w:val="16"/>
              </w:rPr>
            </w:pPr>
          </w:p>
        </w:tc>
        <w:tc>
          <w:tcPr>
            <w:tcW w:w="1170" w:type="dxa"/>
            <w:tcBorders>
              <w:top w:val="single" w:sz="2" w:space="0" w:color="000000"/>
              <w:left w:val="single" w:sz="2" w:space="0" w:color="000000"/>
              <w:bottom w:val="single" w:sz="2" w:space="0" w:color="000000"/>
              <w:right w:val="single" w:sz="2" w:space="0" w:color="000000"/>
            </w:tcBorders>
          </w:tcPr>
          <w:p w:rsidR="0087236F" w:rsidRDefault="0087236F" w:rsidP="00F46122">
            <w:pPr>
              <w:pStyle w:val="TableTextCenter10pt"/>
              <w:rPr>
                <w:rFonts w:cs="Arial"/>
                <w:szCs w:val="16"/>
              </w:rPr>
            </w:pPr>
          </w:p>
        </w:tc>
        <w:tc>
          <w:tcPr>
            <w:tcW w:w="1350" w:type="dxa"/>
            <w:tcBorders>
              <w:top w:val="single" w:sz="2" w:space="0" w:color="000000"/>
              <w:left w:val="single" w:sz="2" w:space="0" w:color="000000"/>
              <w:bottom w:val="single" w:sz="2" w:space="0" w:color="000000"/>
              <w:right w:val="single" w:sz="2" w:space="0" w:color="000000"/>
            </w:tcBorders>
          </w:tcPr>
          <w:p w:rsidR="0087236F" w:rsidRDefault="0087236F" w:rsidP="00F46122">
            <w:pPr>
              <w:pStyle w:val="TableTextCenter10pt"/>
              <w:rPr>
                <w:rFonts w:cs="Arial"/>
                <w:szCs w:val="16"/>
              </w:rPr>
            </w:pPr>
          </w:p>
        </w:tc>
        <w:tc>
          <w:tcPr>
            <w:tcW w:w="1080" w:type="dxa"/>
            <w:tcBorders>
              <w:top w:val="single" w:sz="2" w:space="0" w:color="000000"/>
              <w:left w:val="single" w:sz="2" w:space="0" w:color="000000"/>
              <w:bottom w:val="single" w:sz="2" w:space="0" w:color="000000"/>
              <w:right w:val="single" w:sz="2" w:space="0" w:color="000000"/>
            </w:tcBorders>
          </w:tcPr>
          <w:p w:rsidR="0087236F" w:rsidRDefault="0087236F" w:rsidP="00F46122">
            <w:pPr>
              <w:pStyle w:val="TableTextCenter10pt"/>
              <w:rPr>
                <w:rFonts w:cs="Arial"/>
                <w:szCs w:val="16"/>
              </w:rPr>
            </w:pPr>
          </w:p>
        </w:tc>
        <w:tc>
          <w:tcPr>
            <w:tcW w:w="1339" w:type="dxa"/>
            <w:tcBorders>
              <w:top w:val="single" w:sz="2" w:space="0" w:color="000000"/>
              <w:left w:val="single" w:sz="2" w:space="0" w:color="000000"/>
              <w:bottom w:val="single" w:sz="2" w:space="0" w:color="000000"/>
              <w:right w:val="single" w:sz="2" w:space="0" w:color="000000"/>
            </w:tcBorders>
          </w:tcPr>
          <w:p w:rsidR="0087236F" w:rsidRDefault="0087236F" w:rsidP="00F46122">
            <w:pPr>
              <w:pStyle w:val="TableTextCenter10pt"/>
              <w:rPr>
                <w:rFonts w:cs="Arial"/>
                <w:szCs w:val="16"/>
              </w:rPr>
            </w:pPr>
          </w:p>
        </w:tc>
        <w:tc>
          <w:tcPr>
            <w:tcW w:w="990" w:type="dxa"/>
            <w:tcBorders>
              <w:top w:val="single" w:sz="2" w:space="0" w:color="000000"/>
              <w:left w:val="single" w:sz="2" w:space="0" w:color="000000"/>
              <w:bottom w:val="single" w:sz="2" w:space="0" w:color="000000"/>
              <w:right w:val="single" w:sz="2" w:space="0" w:color="000000"/>
            </w:tcBorders>
          </w:tcPr>
          <w:p w:rsidR="0087236F" w:rsidRDefault="0087236F" w:rsidP="00F46122">
            <w:pPr>
              <w:pStyle w:val="TableTextCenter10pt"/>
              <w:rPr>
                <w:rFonts w:cs="Arial"/>
                <w:szCs w:val="16"/>
              </w:rPr>
            </w:pPr>
          </w:p>
        </w:tc>
        <w:tc>
          <w:tcPr>
            <w:tcW w:w="1214" w:type="dxa"/>
            <w:tcBorders>
              <w:top w:val="single" w:sz="2" w:space="0" w:color="000000"/>
              <w:left w:val="single" w:sz="2" w:space="0" w:color="000000"/>
              <w:bottom w:val="single" w:sz="2" w:space="0" w:color="000000"/>
              <w:right w:val="single" w:sz="2" w:space="0" w:color="000000"/>
            </w:tcBorders>
          </w:tcPr>
          <w:p w:rsidR="0087236F" w:rsidRDefault="0087236F" w:rsidP="00F46122">
            <w:pPr>
              <w:pStyle w:val="TableTextRight10pt"/>
            </w:pPr>
          </w:p>
        </w:tc>
      </w:tr>
      <w:tr w:rsidR="0087236F" w:rsidTr="00557EEE">
        <w:trPr>
          <w:cantSplit/>
        </w:trPr>
        <w:tc>
          <w:tcPr>
            <w:tcW w:w="3464" w:type="dxa"/>
            <w:tcBorders>
              <w:top w:val="single" w:sz="2" w:space="0" w:color="000000"/>
              <w:left w:val="single" w:sz="2" w:space="0" w:color="000000"/>
              <w:bottom w:val="single" w:sz="2" w:space="0" w:color="000000"/>
              <w:right w:val="single" w:sz="2" w:space="0" w:color="000000"/>
            </w:tcBorders>
          </w:tcPr>
          <w:p w:rsidR="0087236F" w:rsidRPr="00F46122" w:rsidRDefault="0087236F" w:rsidP="00F46122">
            <w:pPr>
              <w:pStyle w:val="TableTextLeft10pt"/>
            </w:pPr>
            <w:r w:rsidRPr="00F46122">
              <w:t>B. Plan activities</w:t>
            </w:r>
            <w:r w:rsidR="00F47C05" w:rsidRPr="00F46122">
              <w:t xml:space="preserve"> </w:t>
            </w:r>
          </w:p>
        </w:tc>
        <w:tc>
          <w:tcPr>
            <w:tcW w:w="1170" w:type="dxa"/>
            <w:tcBorders>
              <w:top w:val="single" w:sz="2" w:space="0" w:color="000000"/>
              <w:left w:val="single" w:sz="2" w:space="0" w:color="000000"/>
              <w:bottom w:val="single" w:sz="2" w:space="0" w:color="000000"/>
              <w:right w:val="single" w:sz="2" w:space="0" w:color="000000"/>
            </w:tcBorders>
          </w:tcPr>
          <w:p w:rsidR="0087236F" w:rsidRDefault="00FB73D5" w:rsidP="005F5FDC">
            <w:pPr>
              <w:pStyle w:val="TableTextCenter10pt"/>
            </w:pPr>
            <w:r>
              <w:t>See 4A</w:t>
            </w:r>
          </w:p>
        </w:tc>
        <w:tc>
          <w:tcPr>
            <w:tcW w:w="1530" w:type="dxa"/>
            <w:tcBorders>
              <w:top w:val="single" w:sz="2" w:space="0" w:color="000000"/>
              <w:left w:val="single" w:sz="2" w:space="0" w:color="000000"/>
              <w:bottom w:val="single" w:sz="2" w:space="0" w:color="000000"/>
              <w:right w:val="single" w:sz="2" w:space="0" w:color="000000"/>
            </w:tcBorders>
          </w:tcPr>
          <w:p w:rsidR="0087236F" w:rsidRDefault="0087236F" w:rsidP="00F46122">
            <w:pPr>
              <w:pStyle w:val="TableTextCenter10pt"/>
              <w:rPr>
                <w:rFonts w:cs="Arial"/>
                <w:szCs w:val="16"/>
              </w:rPr>
            </w:pPr>
          </w:p>
        </w:tc>
        <w:tc>
          <w:tcPr>
            <w:tcW w:w="1170" w:type="dxa"/>
            <w:tcBorders>
              <w:top w:val="single" w:sz="2" w:space="0" w:color="000000"/>
              <w:left w:val="single" w:sz="2" w:space="0" w:color="000000"/>
              <w:bottom w:val="single" w:sz="2" w:space="0" w:color="000000"/>
              <w:right w:val="single" w:sz="2" w:space="0" w:color="000000"/>
            </w:tcBorders>
          </w:tcPr>
          <w:p w:rsidR="0087236F" w:rsidRDefault="0087236F" w:rsidP="00F46122">
            <w:pPr>
              <w:pStyle w:val="TableTextCenter10pt"/>
              <w:rPr>
                <w:rFonts w:cs="Arial"/>
                <w:szCs w:val="16"/>
              </w:rPr>
            </w:pPr>
          </w:p>
        </w:tc>
        <w:tc>
          <w:tcPr>
            <w:tcW w:w="1350" w:type="dxa"/>
            <w:tcBorders>
              <w:top w:val="single" w:sz="2" w:space="0" w:color="000000"/>
              <w:left w:val="single" w:sz="2" w:space="0" w:color="000000"/>
              <w:bottom w:val="single" w:sz="2" w:space="0" w:color="000000"/>
              <w:right w:val="single" w:sz="2" w:space="0" w:color="000000"/>
            </w:tcBorders>
          </w:tcPr>
          <w:p w:rsidR="0087236F" w:rsidRDefault="0087236F" w:rsidP="00F46122">
            <w:pPr>
              <w:pStyle w:val="TableTextCenter10pt"/>
              <w:rPr>
                <w:rFonts w:cs="Arial"/>
                <w:szCs w:val="16"/>
              </w:rPr>
            </w:pPr>
          </w:p>
        </w:tc>
        <w:tc>
          <w:tcPr>
            <w:tcW w:w="1080" w:type="dxa"/>
            <w:tcBorders>
              <w:top w:val="single" w:sz="2" w:space="0" w:color="000000"/>
              <w:left w:val="single" w:sz="2" w:space="0" w:color="000000"/>
              <w:bottom w:val="single" w:sz="2" w:space="0" w:color="000000"/>
              <w:right w:val="single" w:sz="2" w:space="0" w:color="000000"/>
            </w:tcBorders>
          </w:tcPr>
          <w:p w:rsidR="0087236F" w:rsidRDefault="0087236F" w:rsidP="00F46122">
            <w:pPr>
              <w:pStyle w:val="TableTextCenter10pt"/>
              <w:rPr>
                <w:rFonts w:cs="Arial"/>
                <w:szCs w:val="16"/>
              </w:rPr>
            </w:pPr>
          </w:p>
        </w:tc>
        <w:tc>
          <w:tcPr>
            <w:tcW w:w="1339" w:type="dxa"/>
            <w:tcBorders>
              <w:top w:val="single" w:sz="2" w:space="0" w:color="000000"/>
              <w:left w:val="single" w:sz="2" w:space="0" w:color="000000"/>
              <w:bottom w:val="single" w:sz="2" w:space="0" w:color="000000"/>
              <w:right w:val="single" w:sz="2" w:space="0" w:color="000000"/>
            </w:tcBorders>
          </w:tcPr>
          <w:p w:rsidR="0087236F" w:rsidRDefault="0087236F" w:rsidP="00F46122">
            <w:pPr>
              <w:pStyle w:val="TableTextCenter10pt"/>
              <w:rPr>
                <w:rFonts w:cs="Arial"/>
                <w:szCs w:val="16"/>
              </w:rPr>
            </w:pPr>
          </w:p>
        </w:tc>
        <w:tc>
          <w:tcPr>
            <w:tcW w:w="990" w:type="dxa"/>
            <w:tcBorders>
              <w:top w:val="single" w:sz="2" w:space="0" w:color="000000"/>
              <w:left w:val="single" w:sz="2" w:space="0" w:color="000000"/>
              <w:bottom w:val="single" w:sz="2" w:space="0" w:color="000000"/>
              <w:right w:val="single" w:sz="2" w:space="0" w:color="000000"/>
            </w:tcBorders>
          </w:tcPr>
          <w:p w:rsidR="0087236F" w:rsidRDefault="0087236F" w:rsidP="00F46122">
            <w:pPr>
              <w:pStyle w:val="TableTextCenter10pt"/>
              <w:rPr>
                <w:rFonts w:cs="Arial"/>
                <w:szCs w:val="16"/>
              </w:rPr>
            </w:pPr>
          </w:p>
        </w:tc>
        <w:tc>
          <w:tcPr>
            <w:tcW w:w="1214" w:type="dxa"/>
            <w:tcBorders>
              <w:top w:val="single" w:sz="2" w:space="0" w:color="000000"/>
              <w:left w:val="single" w:sz="2" w:space="0" w:color="000000"/>
              <w:bottom w:val="single" w:sz="2" w:space="0" w:color="000000"/>
              <w:right w:val="single" w:sz="2" w:space="0" w:color="000000"/>
            </w:tcBorders>
          </w:tcPr>
          <w:p w:rsidR="0087236F" w:rsidRDefault="0087236F" w:rsidP="00F46122">
            <w:pPr>
              <w:pStyle w:val="TableTextRight10pt"/>
            </w:pPr>
          </w:p>
        </w:tc>
      </w:tr>
      <w:tr w:rsidR="0087236F" w:rsidTr="00557EEE">
        <w:trPr>
          <w:cantSplit/>
        </w:trPr>
        <w:tc>
          <w:tcPr>
            <w:tcW w:w="3464" w:type="dxa"/>
            <w:tcBorders>
              <w:top w:val="single" w:sz="2" w:space="0" w:color="000000"/>
              <w:left w:val="single" w:sz="2" w:space="0" w:color="000000"/>
              <w:bottom w:val="single" w:sz="2" w:space="0" w:color="000000"/>
              <w:right w:val="single" w:sz="2" w:space="0" w:color="000000"/>
            </w:tcBorders>
          </w:tcPr>
          <w:p w:rsidR="0087236F" w:rsidRPr="00F46122" w:rsidRDefault="0087236F" w:rsidP="00F46122">
            <w:pPr>
              <w:pStyle w:val="TableTextLeft10pt"/>
            </w:pPr>
            <w:r w:rsidRPr="00F46122">
              <w:t>C. Implement activities</w:t>
            </w:r>
            <w:r w:rsidR="00F47C05" w:rsidRPr="00F46122">
              <w:t xml:space="preserve"> </w:t>
            </w:r>
          </w:p>
        </w:tc>
        <w:tc>
          <w:tcPr>
            <w:tcW w:w="1170" w:type="dxa"/>
            <w:tcBorders>
              <w:top w:val="single" w:sz="2" w:space="0" w:color="000000"/>
              <w:left w:val="single" w:sz="2" w:space="0" w:color="000000"/>
              <w:bottom w:val="single" w:sz="2" w:space="0" w:color="000000"/>
              <w:right w:val="single" w:sz="2" w:space="0" w:color="000000"/>
            </w:tcBorders>
          </w:tcPr>
          <w:p w:rsidR="0087236F" w:rsidRDefault="0087236F" w:rsidP="005F5FDC">
            <w:pPr>
              <w:pStyle w:val="TableTextCenter10pt"/>
            </w:pPr>
            <w:r>
              <w:t>See 4B</w:t>
            </w:r>
          </w:p>
        </w:tc>
        <w:tc>
          <w:tcPr>
            <w:tcW w:w="1530" w:type="dxa"/>
            <w:tcBorders>
              <w:top w:val="single" w:sz="2" w:space="0" w:color="000000"/>
              <w:left w:val="single" w:sz="2" w:space="0" w:color="000000"/>
              <w:bottom w:val="single" w:sz="2" w:space="0" w:color="000000"/>
              <w:right w:val="single" w:sz="2" w:space="0" w:color="000000"/>
            </w:tcBorders>
          </w:tcPr>
          <w:p w:rsidR="0087236F" w:rsidRDefault="0087236F" w:rsidP="00F46122">
            <w:pPr>
              <w:pStyle w:val="TableTextCenter10pt"/>
              <w:rPr>
                <w:rFonts w:cs="Arial"/>
                <w:szCs w:val="16"/>
              </w:rPr>
            </w:pPr>
          </w:p>
        </w:tc>
        <w:tc>
          <w:tcPr>
            <w:tcW w:w="1170" w:type="dxa"/>
            <w:tcBorders>
              <w:top w:val="single" w:sz="2" w:space="0" w:color="000000"/>
              <w:left w:val="single" w:sz="2" w:space="0" w:color="000000"/>
              <w:bottom w:val="single" w:sz="2" w:space="0" w:color="000000"/>
              <w:right w:val="single" w:sz="2" w:space="0" w:color="000000"/>
            </w:tcBorders>
          </w:tcPr>
          <w:p w:rsidR="0087236F" w:rsidRDefault="0087236F" w:rsidP="00F46122">
            <w:pPr>
              <w:pStyle w:val="TableTextCenter10pt"/>
              <w:rPr>
                <w:rFonts w:cs="Arial"/>
                <w:szCs w:val="16"/>
              </w:rPr>
            </w:pPr>
          </w:p>
        </w:tc>
        <w:tc>
          <w:tcPr>
            <w:tcW w:w="1350" w:type="dxa"/>
            <w:tcBorders>
              <w:top w:val="single" w:sz="2" w:space="0" w:color="000000"/>
              <w:left w:val="single" w:sz="2" w:space="0" w:color="000000"/>
              <w:bottom w:val="single" w:sz="2" w:space="0" w:color="000000"/>
              <w:right w:val="single" w:sz="2" w:space="0" w:color="000000"/>
            </w:tcBorders>
          </w:tcPr>
          <w:p w:rsidR="0087236F" w:rsidRDefault="0087236F" w:rsidP="00F46122">
            <w:pPr>
              <w:pStyle w:val="TableTextCenter10pt"/>
              <w:rPr>
                <w:rFonts w:cs="Arial"/>
                <w:szCs w:val="16"/>
              </w:rPr>
            </w:pPr>
          </w:p>
        </w:tc>
        <w:tc>
          <w:tcPr>
            <w:tcW w:w="1080" w:type="dxa"/>
            <w:tcBorders>
              <w:top w:val="single" w:sz="2" w:space="0" w:color="000000"/>
              <w:left w:val="single" w:sz="2" w:space="0" w:color="000000"/>
              <w:bottom w:val="single" w:sz="2" w:space="0" w:color="000000"/>
              <w:right w:val="single" w:sz="2" w:space="0" w:color="000000"/>
            </w:tcBorders>
          </w:tcPr>
          <w:p w:rsidR="0087236F" w:rsidRDefault="0087236F" w:rsidP="00F46122">
            <w:pPr>
              <w:pStyle w:val="TableTextCenter10pt"/>
              <w:rPr>
                <w:rFonts w:cs="Arial"/>
                <w:szCs w:val="16"/>
              </w:rPr>
            </w:pPr>
          </w:p>
        </w:tc>
        <w:tc>
          <w:tcPr>
            <w:tcW w:w="1339" w:type="dxa"/>
            <w:tcBorders>
              <w:top w:val="single" w:sz="2" w:space="0" w:color="000000"/>
              <w:left w:val="single" w:sz="2" w:space="0" w:color="000000"/>
              <w:bottom w:val="single" w:sz="2" w:space="0" w:color="000000"/>
              <w:right w:val="single" w:sz="2" w:space="0" w:color="000000"/>
            </w:tcBorders>
          </w:tcPr>
          <w:p w:rsidR="0087236F" w:rsidRDefault="0087236F" w:rsidP="00F46122">
            <w:pPr>
              <w:pStyle w:val="TableTextCenter10pt"/>
              <w:rPr>
                <w:rFonts w:cs="Arial"/>
                <w:szCs w:val="16"/>
              </w:rPr>
            </w:pPr>
          </w:p>
        </w:tc>
        <w:tc>
          <w:tcPr>
            <w:tcW w:w="990" w:type="dxa"/>
            <w:tcBorders>
              <w:top w:val="single" w:sz="2" w:space="0" w:color="000000"/>
              <w:left w:val="single" w:sz="2" w:space="0" w:color="000000"/>
              <w:bottom w:val="single" w:sz="2" w:space="0" w:color="000000"/>
              <w:right w:val="single" w:sz="2" w:space="0" w:color="000000"/>
            </w:tcBorders>
          </w:tcPr>
          <w:p w:rsidR="0087236F" w:rsidRDefault="0087236F" w:rsidP="00F46122">
            <w:pPr>
              <w:pStyle w:val="TableTextCenter10pt"/>
              <w:rPr>
                <w:rFonts w:cs="Arial"/>
                <w:szCs w:val="16"/>
              </w:rPr>
            </w:pPr>
          </w:p>
        </w:tc>
        <w:tc>
          <w:tcPr>
            <w:tcW w:w="1214" w:type="dxa"/>
            <w:tcBorders>
              <w:top w:val="single" w:sz="2" w:space="0" w:color="000000"/>
              <w:left w:val="single" w:sz="2" w:space="0" w:color="000000"/>
              <w:bottom w:val="single" w:sz="2" w:space="0" w:color="000000"/>
              <w:right w:val="single" w:sz="2" w:space="0" w:color="000000"/>
            </w:tcBorders>
          </w:tcPr>
          <w:p w:rsidR="0087236F" w:rsidRDefault="0087236F" w:rsidP="00F46122">
            <w:pPr>
              <w:pStyle w:val="TableTextRight10pt"/>
            </w:pPr>
          </w:p>
        </w:tc>
      </w:tr>
      <w:tr w:rsidR="0087236F" w:rsidTr="00557EEE">
        <w:trPr>
          <w:cantSplit/>
        </w:trPr>
        <w:tc>
          <w:tcPr>
            <w:tcW w:w="3464" w:type="dxa"/>
            <w:tcBorders>
              <w:top w:val="single" w:sz="2" w:space="0" w:color="000000"/>
              <w:left w:val="single" w:sz="2" w:space="0" w:color="000000"/>
              <w:bottom w:val="single" w:sz="2" w:space="0" w:color="000000"/>
              <w:right w:val="single" w:sz="2" w:space="0" w:color="000000"/>
            </w:tcBorders>
          </w:tcPr>
          <w:p w:rsidR="0087236F" w:rsidRPr="00F46122" w:rsidRDefault="0087236F" w:rsidP="00F46122">
            <w:pPr>
              <w:pStyle w:val="TableTextLeft10pt"/>
            </w:pPr>
            <w:r w:rsidRPr="00F46122">
              <w:t>D. Develop record system</w:t>
            </w:r>
            <w:r w:rsidR="00F47C05" w:rsidRPr="00F46122">
              <w:t xml:space="preserve"> </w:t>
            </w:r>
          </w:p>
        </w:tc>
        <w:tc>
          <w:tcPr>
            <w:tcW w:w="1170" w:type="dxa"/>
            <w:tcBorders>
              <w:top w:val="single" w:sz="2" w:space="0" w:color="000000"/>
              <w:left w:val="single" w:sz="2" w:space="0" w:color="000000"/>
              <w:bottom w:val="single" w:sz="2" w:space="0" w:color="000000"/>
              <w:right w:val="single" w:sz="2" w:space="0" w:color="000000"/>
            </w:tcBorders>
          </w:tcPr>
          <w:p w:rsidR="0087236F" w:rsidRDefault="0087236F" w:rsidP="005F5FDC">
            <w:pPr>
              <w:pStyle w:val="TableTextCenter10pt"/>
            </w:pPr>
            <w:r>
              <w:t>N/A</w:t>
            </w:r>
          </w:p>
        </w:tc>
        <w:tc>
          <w:tcPr>
            <w:tcW w:w="1530" w:type="dxa"/>
            <w:tcBorders>
              <w:top w:val="single" w:sz="2" w:space="0" w:color="000000"/>
              <w:left w:val="single" w:sz="2" w:space="0" w:color="000000"/>
              <w:bottom w:val="single" w:sz="2" w:space="0" w:color="000000"/>
              <w:right w:val="single" w:sz="2" w:space="0" w:color="000000"/>
            </w:tcBorders>
          </w:tcPr>
          <w:p w:rsidR="0087236F" w:rsidRDefault="0087236F" w:rsidP="00F46122">
            <w:pPr>
              <w:pStyle w:val="TableTextCenter10pt"/>
              <w:rPr>
                <w:rFonts w:cs="Arial"/>
                <w:szCs w:val="16"/>
              </w:rPr>
            </w:pPr>
          </w:p>
        </w:tc>
        <w:tc>
          <w:tcPr>
            <w:tcW w:w="1170" w:type="dxa"/>
            <w:tcBorders>
              <w:top w:val="single" w:sz="2" w:space="0" w:color="000000"/>
              <w:left w:val="single" w:sz="2" w:space="0" w:color="000000"/>
              <w:bottom w:val="single" w:sz="2" w:space="0" w:color="000000"/>
              <w:right w:val="single" w:sz="2" w:space="0" w:color="000000"/>
            </w:tcBorders>
          </w:tcPr>
          <w:p w:rsidR="0087236F" w:rsidRDefault="0087236F" w:rsidP="00F46122">
            <w:pPr>
              <w:pStyle w:val="TableTextCenter10pt"/>
              <w:rPr>
                <w:rFonts w:cs="Arial"/>
                <w:szCs w:val="16"/>
              </w:rPr>
            </w:pPr>
          </w:p>
        </w:tc>
        <w:tc>
          <w:tcPr>
            <w:tcW w:w="1350" w:type="dxa"/>
            <w:tcBorders>
              <w:top w:val="single" w:sz="2" w:space="0" w:color="000000"/>
              <w:left w:val="single" w:sz="2" w:space="0" w:color="000000"/>
              <w:bottom w:val="single" w:sz="2" w:space="0" w:color="000000"/>
              <w:right w:val="single" w:sz="2" w:space="0" w:color="000000"/>
            </w:tcBorders>
          </w:tcPr>
          <w:p w:rsidR="0087236F" w:rsidRDefault="0087236F" w:rsidP="00F46122">
            <w:pPr>
              <w:pStyle w:val="TableTextCenter10pt"/>
              <w:rPr>
                <w:rFonts w:cs="Arial"/>
                <w:szCs w:val="16"/>
              </w:rPr>
            </w:pPr>
          </w:p>
        </w:tc>
        <w:tc>
          <w:tcPr>
            <w:tcW w:w="1080" w:type="dxa"/>
            <w:tcBorders>
              <w:top w:val="single" w:sz="2" w:space="0" w:color="000000"/>
              <w:left w:val="single" w:sz="2" w:space="0" w:color="000000"/>
              <w:bottom w:val="single" w:sz="2" w:space="0" w:color="000000"/>
              <w:right w:val="single" w:sz="2" w:space="0" w:color="000000"/>
            </w:tcBorders>
          </w:tcPr>
          <w:p w:rsidR="0087236F" w:rsidRDefault="0087236F" w:rsidP="00F46122">
            <w:pPr>
              <w:pStyle w:val="TableTextCenter10pt"/>
              <w:rPr>
                <w:rFonts w:cs="Arial"/>
                <w:szCs w:val="16"/>
              </w:rPr>
            </w:pPr>
          </w:p>
        </w:tc>
        <w:tc>
          <w:tcPr>
            <w:tcW w:w="1339" w:type="dxa"/>
            <w:tcBorders>
              <w:top w:val="single" w:sz="2" w:space="0" w:color="000000"/>
              <w:left w:val="single" w:sz="2" w:space="0" w:color="000000"/>
              <w:bottom w:val="single" w:sz="2" w:space="0" w:color="000000"/>
              <w:right w:val="single" w:sz="2" w:space="0" w:color="000000"/>
            </w:tcBorders>
          </w:tcPr>
          <w:p w:rsidR="0087236F" w:rsidRDefault="0087236F" w:rsidP="00F46122">
            <w:pPr>
              <w:pStyle w:val="TableTextCenter10pt"/>
              <w:rPr>
                <w:rFonts w:cs="Arial"/>
                <w:szCs w:val="16"/>
              </w:rPr>
            </w:pPr>
          </w:p>
        </w:tc>
        <w:tc>
          <w:tcPr>
            <w:tcW w:w="990" w:type="dxa"/>
            <w:tcBorders>
              <w:top w:val="single" w:sz="2" w:space="0" w:color="000000"/>
              <w:left w:val="single" w:sz="2" w:space="0" w:color="000000"/>
              <w:bottom w:val="single" w:sz="2" w:space="0" w:color="000000"/>
              <w:right w:val="single" w:sz="2" w:space="0" w:color="000000"/>
            </w:tcBorders>
          </w:tcPr>
          <w:p w:rsidR="0087236F" w:rsidRDefault="0087236F" w:rsidP="00F46122">
            <w:pPr>
              <w:pStyle w:val="TableTextCenter10pt"/>
              <w:rPr>
                <w:rFonts w:cs="Arial"/>
                <w:szCs w:val="16"/>
              </w:rPr>
            </w:pPr>
          </w:p>
        </w:tc>
        <w:tc>
          <w:tcPr>
            <w:tcW w:w="1214" w:type="dxa"/>
            <w:tcBorders>
              <w:top w:val="single" w:sz="2" w:space="0" w:color="000000"/>
              <w:left w:val="single" w:sz="2" w:space="0" w:color="000000"/>
              <w:bottom w:val="single" w:sz="2" w:space="0" w:color="000000"/>
              <w:right w:val="single" w:sz="2" w:space="0" w:color="000000"/>
            </w:tcBorders>
          </w:tcPr>
          <w:p w:rsidR="0087236F" w:rsidRDefault="0087236F" w:rsidP="00F46122">
            <w:pPr>
              <w:pStyle w:val="TableTextRight10pt"/>
            </w:pPr>
          </w:p>
        </w:tc>
      </w:tr>
      <w:tr w:rsidR="0087236F" w:rsidTr="00557EEE">
        <w:trPr>
          <w:cantSplit/>
        </w:trPr>
        <w:tc>
          <w:tcPr>
            <w:tcW w:w="3464" w:type="dxa"/>
            <w:tcBorders>
              <w:top w:val="single" w:sz="2" w:space="0" w:color="000000"/>
              <w:left w:val="single" w:sz="2" w:space="0" w:color="000000"/>
              <w:bottom w:val="single" w:sz="2" w:space="0" w:color="000000"/>
              <w:right w:val="single" w:sz="2" w:space="0" w:color="000000"/>
            </w:tcBorders>
          </w:tcPr>
          <w:p w:rsidR="0087236F" w:rsidRPr="00F46122" w:rsidRDefault="0087236F" w:rsidP="00F46122">
            <w:pPr>
              <w:pStyle w:val="TableTextLeft10pt"/>
            </w:pPr>
            <w:r w:rsidRPr="00F46122">
              <w:t>E. Time to enter information</w:t>
            </w:r>
          </w:p>
        </w:tc>
        <w:tc>
          <w:tcPr>
            <w:tcW w:w="1170" w:type="dxa"/>
            <w:tcBorders>
              <w:top w:val="single" w:sz="2" w:space="0" w:color="000000"/>
              <w:left w:val="single" w:sz="2" w:space="0" w:color="000000"/>
              <w:bottom w:val="single" w:sz="2" w:space="0" w:color="000000"/>
              <w:right w:val="single" w:sz="2" w:space="0" w:color="000000"/>
            </w:tcBorders>
          </w:tcPr>
          <w:p w:rsidR="0087236F" w:rsidRDefault="0087236F" w:rsidP="00F46122">
            <w:pPr>
              <w:pStyle w:val="TableTextCenter10pt"/>
              <w:rPr>
                <w:rFonts w:cs="Arial"/>
                <w:szCs w:val="16"/>
              </w:rPr>
            </w:pPr>
          </w:p>
        </w:tc>
        <w:tc>
          <w:tcPr>
            <w:tcW w:w="1530" w:type="dxa"/>
            <w:tcBorders>
              <w:top w:val="single" w:sz="2" w:space="0" w:color="000000"/>
              <w:left w:val="single" w:sz="2" w:space="0" w:color="000000"/>
              <w:bottom w:val="single" w:sz="2" w:space="0" w:color="000000"/>
              <w:right w:val="single" w:sz="2" w:space="0" w:color="000000"/>
            </w:tcBorders>
          </w:tcPr>
          <w:p w:rsidR="0087236F" w:rsidRDefault="0087236F" w:rsidP="00F46122">
            <w:pPr>
              <w:pStyle w:val="TableTextCenter10pt"/>
              <w:rPr>
                <w:rFonts w:cs="Arial"/>
                <w:szCs w:val="16"/>
              </w:rPr>
            </w:pPr>
          </w:p>
        </w:tc>
        <w:tc>
          <w:tcPr>
            <w:tcW w:w="1170" w:type="dxa"/>
            <w:tcBorders>
              <w:top w:val="single" w:sz="2" w:space="0" w:color="000000"/>
              <w:left w:val="single" w:sz="2" w:space="0" w:color="000000"/>
              <w:bottom w:val="single" w:sz="2" w:space="0" w:color="000000"/>
              <w:right w:val="single" w:sz="2" w:space="0" w:color="000000"/>
            </w:tcBorders>
          </w:tcPr>
          <w:p w:rsidR="0087236F" w:rsidRDefault="0087236F" w:rsidP="00F46122">
            <w:pPr>
              <w:pStyle w:val="TableTextCenter10pt"/>
              <w:rPr>
                <w:rFonts w:cs="Arial"/>
                <w:szCs w:val="16"/>
              </w:rPr>
            </w:pPr>
          </w:p>
        </w:tc>
        <w:tc>
          <w:tcPr>
            <w:tcW w:w="1350" w:type="dxa"/>
            <w:tcBorders>
              <w:top w:val="single" w:sz="2" w:space="0" w:color="000000"/>
              <w:left w:val="single" w:sz="2" w:space="0" w:color="000000"/>
              <w:bottom w:val="single" w:sz="2" w:space="0" w:color="000000"/>
              <w:right w:val="single" w:sz="2" w:space="0" w:color="000000"/>
            </w:tcBorders>
          </w:tcPr>
          <w:p w:rsidR="0087236F" w:rsidRDefault="0087236F" w:rsidP="00F46122">
            <w:pPr>
              <w:pStyle w:val="TableTextCenter10pt"/>
              <w:rPr>
                <w:rFonts w:cs="Arial"/>
                <w:szCs w:val="16"/>
              </w:rPr>
            </w:pPr>
          </w:p>
        </w:tc>
        <w:tc>
          <w:tcPr>
            <w:tcW w:w="1080" w:type="dxa"/>
            <w:tcBorders>
              <w:top w:val="single" w:sz="2" w:space="0" w:color="000000"/>
              <w:left w:val="single" w:sz="2" w:space="0" w:color="000000"/>
              <w:bottom w:val="single" w:sz="2" w:space="0" w:color="000000"/>
              <w:right w:val="single" w:sz="2" w:space="0" w:color="000000"/>
            </w:tcBorders>
          </w:tcPr>
          <w:p w:rsidR="0087236F" w:rsidRDefault="0087236F" w:rsidP="00F46122">
            <w:pPr>
              <w:pStyle w:val="TableTextCenter10pt"/>
              <w:rPr>
                <w:rFonts w:cs="Arial"/>
                <w:szCs w:val="16"/>
              </w:rPr>
            </w:pPr>
          </w:p>
        </w:tc>
        <w:tc>
          <w:tcPr>
            <w:tcW w:w="1339" w:type="dxa"/>
            <w:tcBorders>
              <w:top w:val="single" w:sz="2" w:space="0" w:color="000000"/>
              <w:left w:val="single" w:sz="2" w:space="0" w:color="000000"/>
              <w:bottom w:val="single" w:sz="2" w:space="0" w:color="000000"/>
              <w:right w:val="single" w:sz="2" w:space="0" w:color="000000"/>
            </w:tcBorders>
          </w:tcPr>
          <w:p w:rsidR="0087236F" w:rsidRDefault="0087236F" w:rsidP="00F46122">
            <w:pPr>
              <w:pStyle w:val="TableTextCenter10pt"/>
              <w:rPr>
                <w:rFonts w:cs="Arial"/>
                <w:szCs w:val="16"/>
              </w:rPr>
            </w:pPr>
          </w:p>
        </w:tc>
        <w:tc>
          <w:tcPr>
            <w:tcW w:w="990" w:type="dxa"/>
            <w:tcBorders>
              <w:top w:val="single" w:sz="2" w:space="0" w:color="000000"/>
              <w:left w:val="single" w:sz="2" w:space="0" w:color="000000"/>
              <w:bottom w:val="single" w:sz="2" w:space="0" w:color="000000"/>
              <w:right w:val="single" w:sz="2" w:space="0" w:color="000000"/>
            </w:tcBorders>
          </w:tcPr>
          <w:p w:rsidR="0087236F" w:rsidRDefault="0087236F" w:rsidP="00F46122">
            <w:pPr>
              <w:pStyle w:val="TableTextCenter10pt"/>
              <w:rPr>
                <w:rFonts w:cs="Arial"/>
                <w:szCs w:val="16"/>
              </w:rPr>
            </w:pPr>
          </w:p>
        </w:tc>
        <w:tc>
          <w:tcPr>
            <w:tcW w:w="1214" w:type="dxa"/>
            <w:tcBorders>
              <w:top w:val="single" w:sz="2" w:space="0" w:color="000000"/>
              <w:left w:val="single" w:sz="2" w:space="0" w:color="000000"/>
              <w:bottom w:val="single" w:sz="2" w:space="0" w:color="000000"/>
              <w:right w:val="single" w:sz="2" w:space="0" w:color="000000"/>
            </w:tcBorders>
          </w:tcPr>
          <w:p w:rsidR="0087236F" w:rsidRDefault="0087236F" w:rsidP="00F46122">
            <w:pPr>
              <w:pStyle w:val="TableTextRight10pt"/>
            </w:pPr>
          </w:p>
        </w:tc>
      </w:tr>
      <w:tr w:rsidR="00AE06D7" w:rsidTr="00557EEE">
        <w:trPr>
          <w:cantSplit/>
        </w:trPr>
        <w:tc>
          <w:tcPr>
            <w:tcW w:w="3464" w:type="dxa"/>
            <w:tcBorders>
              <w:top w:val="single" w:sz="2" w:space="0" w:color="000000"/>
              <w:left w:val="single" w:sz="2" w:space="0" w:color="000000"/>
              <w:bottom w:val="single" w:sz="2" w:space="0" w:color="000000"/>
              <w:right w:val="single" w:sz="2" w:space="0" w:color="000000"/>
            </w:tcBorders>
          </w:tcPr>
          <w:p w:rsidR="00AE06D7" w:rsidRDefault="002F3426" w:rsidP="00F46122">
            <w:pPr>
              <w:pStyle w:val="TableTextLeft10ptIndent"/>
            </w:pPr>
            <w:r>
              <w:t>Storage vessels</w:t>
            </w:r>
          </w:p>
        </w:tc>
        <w:tc>
          <w:tcPr>
            <w:tcW w:w="1170" w:type="dxa"/>
            <w:tcBorders>
              <w:top w:val="single" w:sz="2" w:space="0" w:color="000000"/>
              <w:left w:val="single" w:sz="2" w:space="0" w:color="000000"/>
              <w:bottom w:val="single" w:sz="2" w:space="0" w:color="000000"/>
              <w:right w:val="single" w:sz="2" w:space="0" w:color="000000"/>
            </w:tcBorders>
            <w:vAlign w:val="bottom"/>
          </w:tcPr>
          <w:p w:rsidR="00AE06D7" w:rsidRDefault="00AE06D7" w:rsidP="00F46122">
            <w:pPr>
              <w:pStyle w:val="TableTextCenter10pt"/>
            </w:pPr>
            <w:r>
              <w:t>variable</w:t>
            </w:r>
          </w:p>
        </w:tc>
        <w:tc>
          <w:tcPr>
            <w:tcW w:w="1530" w:type="dxa"/>
            <w:tcBorders>
              <w:top w:val="single" w:sz="2" w:space="0" w:color="000000"/>
              <w:left w:val="single" w:sz="2" w:space="0" w:color="000000"/>
              <w:bottom w:val="single" w:sz="2" w:space="0" w:color="000000"/>
              <w:right w:val="single" w:sz="2" w:space="0" w:color="000000"/>
            </w:tcBorders>
            <w:vAlign w:val="bottom"/>
          </w:tcPr>
          <w:p w:rsidR="00AE06D7" w:rsidRDefault="00AE06D7" w:rsidP="00F46122">
            <w:pPr>
              <w:pStyle w:val="TableTextCenter10pt"/>
            </w:pPr>
            <w:r>
              <w:t>variable</w:t>
            </w:r>
          </w:p>
        </w:tc>
        <w:tc>
          <w:tcPr>
            <w:tcW w:w="1170" w:type="dxa"/>
            <w:tcBorders>
              <w:top w:val="single" w:sz="2" w:space="0" w:color="000000"/>
              <w:left w:val="single" w:sz="2" w:space="0" w:color="000000"/>
              <w:bottom w:val="single" w:sz="2" w:space="0" w:color="000000"/>
              <w:right w:val="single" w:sz="2" w:space="0" w:color="000000"/>
            </w:tcBorders>
            <w:vAlign w:val="center"/>
          </w:tcPr>
          <w:p w:rsidR="00AE06D7" w:rsidRDefault="002F3426" w:rsidP="002F3426">
            <w:pPr>
              <w:pStyle w:val="TableTextCenter10pt"/>
            </w:pPr>
            <w:r>
              <w:t>4.0</w:t>
            </w:r>
            <w:r w:rsidR="00AE06D7">
              <w:t>9</w:t>
            </w:r>
          </w:p>
        </w:tc>
        <w:tc>
          <w:tcPr>
            <w:tcW w:w="1350" w:type="dxa"/>
            <w:tcBorders>
              <w:top w:val="single" w:sz="2" w:space="0" w:color="000000"/>
              <w:left w:val="single" w:sz="2" w:space="0" w:color="000000"/>
              <w:bottom w:val="single" w:sz="2" w:space="0" w:color="000000"/>
              <w:right w:val="single" w:sz="2" w:space="0" w:color="000000"/>
            </w:tcBorders>
            <w:vAlign w:val="center"/>
          </w:tcPr>
          <w:p w:rsidR="00AE06D7" w:rsidRDefault="00AE06D7" w:rsidP="002F3426">
            <w:pPr>
              <w:pStyle w:val="TableTextCenter10pt"/>
            </w:pPr>
            <w:r>
              <w:t>9</w:t>
            </w:r>
            <w:r w:rsidR="002F3426">
              <w:t>4.7</w:t>
            </w:r>
          </w:p>
        </w:tc>
        <w:tc>
          <w:tcPr>
            <w:tcW w:w="1080" w:type="dxa"/>
            <w:tcBorders>
              <w:top w:val="single" w:sz="2" w:space="0" w:color="000000"/>
              <w:left w:val="single" w:sz="2" w:space="0" w:color="000000"/>
              <w:bottom w:val="single" w:sz="2" w:space="0" w:color="000000"/>
              <w:right w:val="single" w:sz="2" w:space="0" w:color="000000"/>
            </w:tcBorders>
            <w:vAlign w:val="center"/>
          </w:tcPr>
          <w:p w:rsidR="00AE06D7" w:rsidRDefault="00AE06D7" w:rsidP="002F3426">
            <w:pPr>
              <w:pStyle w:val="TableTextCenter10pt"/>
            </w:pPr>
            <w:r>
              <w:t>3</w:t>
            </w:r>
            <w:r w:rsidR="002F3426">
              <w:t>8</w:t>
            </w:r>
            <w:r>
              <w:t>7</w:t>
            </w:r>
          </w:p>
        </w:tc>
        <w:tc>
          <w:tcPr>
            <w:tcW w:w="1339" w:type="dxa"/>
            <w:tcBorders>
              <w:top w:val="single" w:sz="2" w:space="0" w:color="000000"/>
              <w:left w:val="single" w:sz="2" w:space="0" w:color="000000"/>
              <w:bottom w:val="single" w:sz="2" w:space="0" w:color="000000"/>
              <w:right w:val="single" w:sz="2" w:space="0" w:color="000000"/>
            </w:tcBorders>
            <w:vAlign w:val="center"/>
          </w:tcPr>
          <w:p w:rsidR="00AE06D7" w:rsidRDefault="00AE06D7" w:rsidP="002F3426">
            <w:pPr>
              <w:pStyle w:val="TableTextCenter10pt"/>
            </w:pPr>
            <w:r>
              <w:t>19.</w:t>
            </w:r>
            <w:r w:rsidR="002F3426">
              <w:t>3</w:t>
            </w:r>
          </w:p>
        </w:tc>
        <w:tc>
          <w:tcPr>
            <w:tcW w:w="990" w:type="dxa"/>
            <w:tcBorders>
              <w:top w:val="single" w:sz="2" w:space="0" w:color="000000"/>
              <w:left w:val="single" w:sz="2" w:space="0" w:color="000000"/>
              <w:bottom w:val="single" w:sz="2" w:space="0" w:color="000000"/>
              <w:right w:val="single" w:sz="2" w:space="0" w:color="000000"/>
            </w:tcBorders>
            <w:vAlign w:val="center"/>
          </w:tcPr>
          <w:p w:rsidR="00AE06D7" w:rsidRDefault="00AE06D7" w:rsidP="002F3426">
            <w:pPr>
              <w:pStyle w:val="TableTextCenter10pt"/>
            </w:pPr>
            <w:r>
              <w:t>38.</w:t>
            </w:r>
            <w:r w:rsidR="002F3426">
              <w:t>7</w:t>
            </w:r>
          </w:p>
        </w:tc>
        <w:tc>
          <w:tcPr>
            <w:tcW w:w="1214" w:type="dxa"/>
            <w:tcBorders>
              <w:top w:val="single" w:sz="2" w:space="0" w:color="000000"/>
              <w:left w:val="single" w:sz="2" w:space="0" w:color="000000"/>
              <w:bottom w:val="single" w:sz="2" w:space="0" w:color="000000"/>
              <w:right w:val="single" w:sz="2" w:space="0" w:color="000000"/>
            </w:tcBorders>
            <w:vAlign w:val="center"/>
          </w:tcPr>
          <w:p w:rsidR="00AE06D7" w:rsidRDefault="00AE06D7" w:rsidP="002F3426">
            <w:pPr>
              <w:pStyle w:val="TableTextRight10pt"/>
            </w:pPr>
            <w:r>
              <w:t>$36,</w:t>
            </w:r>
            <w:r w:rsidR="002F3426">
              <w:t>967</w:t>
            </w:r>
          </w:p>
        </w:tc>
      </w:tr>
      <w:tr w:rsidR="00AE06D7" w:rsidTr="00557EEE">
        <w:trPr>
          <w:cantSplit/>
        </w:trPr>
        <w:tc>
          <w:tcPr>
            <w:tcW w:w="3464" w:type="dxa"/>
            <w:tcBorders>
              <w:top w:val="single" w:sz="2" w:space="0" w:color="000000"/>
              <w:left w:val="single" w:sz="2" w:space="0" w:color="000000"/>
              <w:bottom w:val="single" w:sz="2" w:space="0" w:color="000000"/>
              <w:right w:val="single" w:sz="2" w:space="0" w:color="000000"/>
            </w:tcBorders>
          </w:tcPr>
          <w:p w:rsidR="00AE06D7" w:rsidRDefault="00680451" w:rsidP="00F46122">
            <w:pPr>
              <w:pStyle w:val="TableTextLeft10ptIndent"/>
            </w:pPr>
            <w:r>
              <w:t>R</w:t>
            </w:r>
            <w:r w:rsidR="002F3426">
              <w:t>elief</w:t>
            </w:r>
            <w:r>
              <w:t xml:space="preserve"> valves</w:t>
            </w:r>
          </w:p>
        </w:tc>
        <w:tc>
          <w:tcPr>
            <w:tcW w:w="1170" w:type="dxa"/>
            <w:tcBorders>
              <w:top w:val="single" w:sz="2" w:space="0" w:color="000000"/>
              <w:left w:val="single" w:sz="2" w:space="0" w:color="000000"/>
              <w:bottom w:val="single" w:sz="2" w:space="0" w:color="000000"/>
              <w:right w:val="single" w:sz="2" w:space="0" w:color="000000"/>
            </w:tcBorders>
            <w:vAlign w:val="bottom"/>
          </w:tcPr>
          <w:p w:rsidR="00AE06D7" w:rsidRDefault="00AE06D7" w:rsidP="002F3426">
            <w:pPr>
              <w:pStyle w:val="TableTextCenter10pt"/>
            </w:pPr>
            <w:r>
              <w:t>0.3</w:t>
            </w:r>
            <w:r w:rsidR="002F3426">
              <w:t>57</w:t>
            </w:r>
          </w:p>
        </w:tc>
        <w:tc>
          <w:tcPr>
            <w:tcW w:w="1530" w:type="dxa"/>
            <w:tcBorders>
              <w:top w:val="single" w:sz="2" w:space="0" w:color="000000"/>
              <w:left w:val="single" w:sz="2" w:space="0" w:color="000000"/>
              <w:bottom w:val="single" w:sz="2" w:space="0" w:color="000000"/>
              <w:right w:val="single" w:sz="2" w:space="0" w:color="000000"/>
            </w:tcBorders>
            <w:vAlign w:val="bottom"/>
          </w:tcPr>
          <w:p w:rsidR="00AE06D7" w:rsidRDefault="002F3426" w:rsidP="00F46122">
            <w:pPr>
              <w:pStyle w:val="TableTextCenter10pt"/>
            </w:pPr>
            <w:r>
              <w:t>8.35</w:t>
            </w:r>
          </w:p>
        </w:tc>
        <w:tc>
          <w:tcPr>
            <w:tcW w:w="1170" w:type="dxa"/>
            <w:tcBorders>
              <w:top w:val="single" w:sz="2" w:space="0" w:color="000000"/>
              <w:left w:val="single" w:sz="2" w:space="0" w:color="000000"/>
              <w:bottom w:val="single" w:sz="2" w:space="0" w:color="000000"/>
              <w:right w:val="single" w:sz="2" w:space="0" w:color="000000"/>
            </w:tcBorders>
            <w:vAlign w:val="center"/>
          </w:tcPr>
          <w:p w:rsidR="00AE06D7" w:rsidRDefault="00AE06D7" w:rsidP="002F3426">
            <w:pPr>
              <w:pStyle w:val="TableTextCenter10pt"/>
            </w:pPr>
            <w:r>
              <w:t>3.</w:t>
            </w:r>
            <w:r w:rsidR="002F3426">
              <w:t>13</w:t>
            </w:r>
          </w:p>
        </w:tc>
        <w:tc>
          <w:tcPr>
            <w:tcW w:w="1350" w:type="dxa"/>
            <w:tcBorders>
              <w:top w:val="single" w:sz="2" w:space="0" w:color="000000"/>
              <w:left w:val="single" w:sz="2" w:space="0" w:color="000000"/>
              <w:bottom w:val="single" w:sz="2" w:space="0" w:color="000000"/>
              <w:right w:val="single" w:sz="2" w:space="0" w:color="000000"/>
            </w:tcBorders>
            <w:vAlign w:val="center"/>
          </w:tcPr>
          <w:p w:rsidR="00AE06D7" w:rsidRDefault="00AE06D7" w:rsidP="002F3426">
            <w:pPr>
              <w:pStyle w:val="TableTextCenter10pt"/>
            </w:pPr>
            <w:r>
              <w:t>9</w:t>
            </w:r>
            <w:r w:rsidR="002F3426">
              <w:t>4.7</w:t>
            </w:r>
          </w:p>
        </w:tc>
        <w:tc>
          <w:tcPr>
            <w:tcW w:w="1080" w:type="dxa"/>
            <w:tcBorders>
              <w:top w:val="single" w:sz="2" w:space="0" w:color="000000"/>
              <w:left w:val="single" w:sz="2" w:space="0" w:color="000000"/>
              <w:bottom w:val="single" w:sz="2" w:space="0" w:color="000000"/>
              <w:right w:val="single" w:sz="2" w:space="0" w:color="000000"/>
            </w:tcBorders>
            <w:vAlign w:val="center"/>
          </w:tcPr>
          <w:p w:rsidR="00AE06D7" w:rsidRDefault="00AE06D7" w:rsidP="002F3426">
            <w:pPr>
              <w:pStyle w:val="TableTextCenter10pt"/>
            </w:pPr>
            <w:r>
              <w:t>29</w:t>
            </w:r>
            <w:r w:rsidR="002F3426">
              <w:t>6</w:t>
            </w:r>
          </w:p>
        </w:tc>
        <w:tc>
          <w:tcPr>
            <w:tcW w:w="1339" w:type="dxa"/>
            <w:tcBorders>
              <w:top w:val="single" w:sz="2" w:space="0" w:color="000000"/>
              <w:left w:val="single" w:sz="2" w:space="0" w:color="000000"/>
              <w:bottom w:val="single" w:sz="2" w:space="0" w:color="000000"/>
              <w:right w:val="single" w:sz="2" w:space="0" w:color="000000"/>
            </w:tcBorders>
            <w:vAlign w:val="center"/>
          </w:tcPr>
          <w:p w:rsidR="00AE06D7" w:rsidRDefault="00AE06D7" w:rsidP="002F3426">
            <w:pPr>
              <w:pStyle w:val="TableTextCenter10pt"/>
            </w:pPr>
            <w:r>
              <w:t>14.</w:t>
            </w:r>
            <w:r w:rsidR="002F3426">
              <w:t>8</w:t>
            </w:r>
          </w:p>
        </w:tc>
        <w:tc>
          <w:tcPr>
            <w:tcW w:w="990" w:type="dxa"/>
            <w:tcBorders>
              <w:top w:val="single" w:sz="2" w:space="0" w:color="000000"/>
              <w:left w:val="single" w:sz="2" w:space="0" w:color="000000"/>
              <w:bottom w:val="single" w:sz="2" w:space="0" w:color="000000"/>
              <w:right w:val="single" w:sz="2" w:space="0" w:color="000000"/>
            </w:tcBorders>
            <w:vAlign w:val="center"/>
          </w:tcPr>
          <w:p w:rsidR="00AE06D7" w:rsidRDefault="00AE06D7" w:rsidP="002F3426">
            <w:pPr>
              <w:pStyle w:val="TableTextCenter10pt"/>
            </w:pPr>
            <w:r>
              <w:t>29.</w:t>
            </w:r>
            <w:r w:rsidR="002F3426">
              <w:t>6</w:t>
            </w:r>
          </w:p>
        </w:tc>
        <w:tc>
          <w:tcPr>
            <w:tcW w:w="1214" w:type="dxa"/>
            <w:tcBorders>
              <w:top w:val="single" w:sz="2" w:space="0" w:color="000000"/>
              <w:left w:val="single" w:sz="2" w:space="0" w:color="000000"/>
              <w:bottom w:val="single" w:sz="2" w:space="0" w:color="000000"/>
              <w:right w:val="single" w:sz="2" w:space="0" w:color="000000"/>
            </w:tcBorders>
            <w:vAlign w:val="center"/>
          </w:tcPr>
          <w:p w:rsidR="00AE06D7" w:rsidRDefault="00AE06D7" w:rsidP="002F3426">
            <w:pPr>
              <w:pStyle w:val="TableTextRight10pt"/>
            </w:pPr>
            <w:r>
              <w:t>$2</w:t>
            </w:r>
            <w:r w:rsidR="002F3426">
              <w:t>8,325</w:t>
            </w:r>
          </w:p>
        </w:tc>
      </w:tr>
      <w:tr w:rsidR="00AE06D7" w:rsidTr="00557EEE">
        <w:trPr>
          <w:cantSplit/>
        </w:trPr>
        <w:tc>
          <w:tcPr>
            <w:tcW w:w="3464" w:type="dxa"/>
            <w:tcBorders>
              <w:top w:val="single" w:sz="2" w:space="0" w:color="000000"/>
              <w:left w:val="single" w:sz="2" w:space="0" w:color="000000"/>
              <w:bottom w:val="single" w:sz="2" w:space="0" w:color="000000"/>
              <w:right w:val="single" w:sz="2" w:space="0" w:color="000000"/>
            </w:tcBorders>
          </w:tcPr>
          <w:p w:rsidR="00AE06D7" w:rsidRDefault="002F3426" w:rsidP="00F46122">
            <w:pPr>
              <w:pStyle w:val="TableTextLeft10ptIndent"/>
            </w:pPr>
            <w:r>
              <w:t>Bypass lines</w:t>
            </w:r>
          </w:p>
        </w:tc>
        <w:tc>
          <w:tcPr>
            <w:tcW w:w="1170" w:type="dxa"/>
            <w:tcBorders>
              <w:top w:val="single" w:sz="2" w:space="0" w:color="000000"/>
              <w:left w:val="single" w:sz="2" w:space="0" w:color="000000"/>
              <w:bottom w:val="single" w:sz="2" w:space="0" w:color="000000"/>
              <w:right w:val="single" w:sz="2" w:space="0" w:color="000000"/>
            </w:tcBorders>
            <w:vAlign w:val="bottom"/>
          </w:tcPr>
          <w:p w:rsidR="00AE06D7" w:rsidRDefault="00AE06D7" w:rsidP="002F3426">
            <w:pPr>
              <w:pStyle w:val="TableTextCenter10pt"/>
            </w:pPr>
            <w:r>
              <w:t>0.3</w:t>
            </w:r>
            <w:r w:rsidR="002F3426">
              <w:t>55</w:t>
            </w:r>
          </w:p>
        </w:tc>
        <w:tc>
          <w:tcPr>
            <w:tcW w:w="1530" w:type="dxa"/>
            <w:tcBorders>
              <w:top w:val="single" w:sz="2" w:space="0" w:color="000000"/>
              <w:left w:val="single" w:sz="2" w:space="0" w:color="000000"/>
              <w:bottom w:val="single" w:sz="2" w:space="0" w:color="000000"/>
              <w:right w:val="single" w:sz="2" w:space="0" w:color="000000"/>
            </w:tcBorders>
            <w:vAlign w:val="bottom"/>
          </w:tcPr>
          <w:p w:rsidR="00AE06D7" w:rsidRDefault="00AE06D7" w:rsidP="00F46122">
            <w:pPr>
              <w:pStyle w:val="TableTextCenter10pt"/>
            </w:pPr>
            <w:r>
              <w:t>0.2</w:t>
            </w:r>
            <w:r w:rsidR="002F3426">
              <w:t>11</w:t>
            </w:r>
          </w:p>
        </w:tc>
        <w:tc>
          <w:tcPr>
            <w:tcW w:w="1170" w:type="dxa"/>
            <w:tcBorders>
              <w:top w:val="single" w:sz="2" w:space="0" w:color="000000"/>
              <w:left w:val="single" w:sz="2" w:space="0" w:color="000000"/>
              <w:bottom w:val="single" w:sz="2" w:space="0" w:color="000000"/>
              <w:right w:val="single" w:sz="2" w:space="0" w:color="000000"/>
            </w:tcBorders>
            <w:vAlign w:val="center"/>
          </w:tcPr>
          <w:p w:rsidR="00AE06D7" w:rsidRDefault="00AE06D7" w:rsidP="00AE06D7">
            <w:pPr>
              <w:pStyle w:val="TableTextCenter10pt"/>
            </w:pPr>
            <w:r>
              <w:t>0.075</w:t>
            </w:r>
          </w:p>
        </w:tc>
        <w:tc>
          <w:tcPr>
            <w:tcW w:w="1350" w:type="dxa"/>
            <w:tcBorders>
              <w:top w:val="single" w:sz="2" w:space="0" w:color="000000"/>
              <w:left w:val="single" w:sz="2" w:space="0" w:color="000000"/>
              <w:bottom w:val="single" w:sz="2" w:space="0" w:color="000000"/>
              <w:right w:val="single" w:sz="2" w:space="0" w:color="000000"/>
            </w:tcBorders>
            <w:vAlign w:val="center"/>
          </w:tcPr>
          <w:p w:rsidR="00AE06D7" w:rsidRDefault="00AE06D7" w:rsidP="002F3426">
            <w:pPr>
              <w:pStyle w:val="TableTextCenter10pt"/>
            </w:pPr>
            <w:r>
              <w:t>9</w:t>
            </w:r>
            <w:r w:rsidR="002F3426">
              <w:t>4.7</w:t>
            </w:r>
          </w:p>
        </w:tc>
        <w:tc>
          <w:tcPr>
            <w:tcW w:w="1080" w:type="dxa"/>
            <w:tcBorders>
              <w:top w:val="single" w:sz="2" w:space="0" w:color="000000"/>
              <w:left w:val="single" w:sz="2" w:space="0" w:color="000000"/>
              <w:bottom w:val="single" w:sz="2" w:space="0" w:color="000000"/>
              <w:right w:val="single" w:sz="2" w:space="0" w:color="000000"/>
            </w:tcBorders>
            <w:vAlign w:val="center"/>
          </w:tcPr>
          <w:p w:rsidR="00AE06D7" w:rsidRDefault="00AE06D7" w:rsidP="002F3426">
            <w:pPr>
              <w:pStyle w:val="TableTextCenter10pt"/>
            </w:pPr>
            <w:r>
              <w:t>7.</w:t>
            </w:r>
            <w:r w:rsidR="002F3426">
              <w:t>10</w:t>
            </w:r>
          </w:p>
        </w:tc>
        <w:tc>
          <w:tcPr>
            <w:tcW w:w="1339" w:type="dxa"/>
            <w:tcBorders>
              <w:top w:val="single" w:sz="2" w:space="0" w:color="000000"/>
              <w:left w:val="single" w:sz="2" w:space="0" w:color="000000"/>
              <w:bottom w:val="single" w:sz="2" w:space="0" w:color="000000"/>
              <w:right w:val="single" w:sz="2" w:space="0" w:color="000000"/>
            </w:tcBorders>
            <w:vAlign w:val="center"/>
          </w:tcPr>
          <w:p w:rsidR="00AE06D7" w:rsidRDefault="00AE06D7" w:rsidP="002F3426">
            <w:pPr>
              <w:pStyle w:val="TableTextCenter10pt"/>
            </w:pPr>
            <w:r>
              <w:t>0.</w:t>
            </w:r>
            <w:r w:rsidR="002F3426">
              <w:t>355</w:t>
            </w:r>
          </w:p>
        </w:tc>
        <w:tc>
          <w:tcPr>
            <w:tcW w:w="990" w:type="dxa"/>
            <w:tcBorders>
              <w:top w:val="single" w:sz="2" w:space="0" w:color="000000"/>
              <w:left w:val="single" w:sz="2" w:space="0" w:color="000000"/>
              <w:bottom w:val="single" w:sz="2" w:space="0" w:color="000000"/>
              <w:right w:val="single" w:sz="2" w:space="0" w:color="000000"/>
            </w:tcBorders>
            <w:vAlign w:val="center"/>
          </w:tcPr>
          <w:p w:rsidR="00AE06D7" w:rsidRDefault="00AE06D7" w:rsidP="00AE06D7">
            <w:pPr>
              <w:pStyle w:val="TableTextCenter10pt"/>
            </w:pPr>
            <w:r>
              <w:t>0.7</w:t>
            </w:r>
            <w:r w:rsidR="002F3426">
              <w:t>10</w:t>
            </w:r>
          </w:p>
        </w:tc>
        <w:tc>
          <w:tcPr>
            <w:tcW w:w="1214" w:type="dxa"/>
            <w:tcBorders>
              <w:top w:val="single" w:sz="2" w:space="0" w:color="000000"/>
              <w:left w:val="single" w:sz="2" w:space="0" w:color="000000"/>
              <w:bottom w:val="single" w:sz="2" w:space="0" w:color="000000"/>
              <w:right w:val="single" w:sz="2" w:space="0" w:color="000000"/>
            </w:tcBorders>
            <w:vAlign w:val="center"/>
          </w:tcPr>
          <w:p w:rsidR="00AE06D7" w:rsidRDefault="00AE06D7" w:rsidP="002F3426">
            <w:pPr>
              <w:pStyle w:val="TableTextRight10pt"/>
            </w:pPr>
            <w:r>
              <w:t>$</w:t>
            </w:r>
            <w:r w:rsidR="002F3426">
              <w:t>679</w:t>
            </w:r>
          </w:p>
        </w:tc>
      </w:tr>
      <w:tr w:rsidR="00AE06D7" w:rsidTr="00557EEE">
        <w:trPr>
          <w:cantSplit/>
        </w:trPr>
        <w:tc>
          <w:tcPr>
            <w:tcW w:w="3464" w:type="dxa"/>
            <w:tcBorders>
              <w:top w:val="single" w:sz="2" w:space="0" w:color="000000"/>
              <w:left w:val="single" w:sz="2" w:space="0" w:color="000000"/>
              <w:bottom w:val="single" w:sz="2" w:space="0" w:color="000000"/>
              <w:right w:val="single" w:sz="2" w:space="0" w:color="000000"/>
            </w:tcBorders>
          </w:tcPr>
          <w:p w:rsidR="00AE06D7" w:rsidRDefault="00AE06D7" w:rsidP="00F46122">
            <w:pPr>
              <w:pStyle w:val="TableTextLeft10ptIndent"/>
            </w:pPr>
            <w:r>
              <w:t>Fenceline monitoring</w:t>
            </w:r>
          </w:p>
        </w:tc>
        <w:tc>
          <w:tcPr>
            <w:tcW w:w="1170" w:type="dxa"/>
            <w:tcBorders>
              <w:top w:val="single" w:sz="2" w:space="0" w:color="000000"/>
              <w:left w:val="single" w:sz="2" w:space="0" w:color="000000"/>
              <w:bottom w:val="single" w:sz="2" w:space="0" w:color="000000"/>
              <w:right w:val="single" w:sz="2" w:space="0" w:color="000000"/>
            </w:tcBorders>
            <w:vAlign w:val="bottom"/>
          </w:tcPr>
          <w:p w:rsidR="00AE06D7" w:rsidRDefault="00AE06D7" w:rsidP="00F46122">
            <w:pPr>
              <w:pStyle w:val="TableTextCenter10pt"/>
            </w:pPr>
            <w:r>
              <w:t>0.5</w:t>
            </w:r>
          </w:p>
        </w:tc>
        <w:tc>
          <w:tcPr>
            <w:tcW w:w="1530" w:type="dxa"/>
            <w:tcBorders>
              <w:top w:val="single" w:sz="2" w:space="0" w:color="000000"/>
              <w:left w:val="single" w:sz="2" w:space="0" w:color="000000"/>
              <w:bottom w:val="single" w:sz="2" w:space="0" w:color="000000"/>
              <w:right w:val="single" w:sz="2" w:space="0" w:color="000000"/>
            </w:tcBorders>
            <w:vAlign w:val="bottom"/>
          </w:tcPr>
          <w:p w:rsidR="00AE06D7" w:rsidRDefault="00AE06D7" w:rsidP="00F46122">
            <w:pPr>
              <w:pStyle w:val="TableTextCenter10pt"/>
            </w:pPr>
            <w:r>
              <w:t>26</w:t>
            </w:r>
          </w:p>
        </w:tc>
        <w:tc>
          <w:tcPr>
            <w:tcW w:w="1170" w:type="dxa"/>
            <w:tcBorders>
              <w:top w:val="single" w:sz="2" w:space="0" w:color="000000"/>
              <w:left w:val="single" w:sz="2" w:space="0" w:color="000000"/>
              <w:bottom w:val="single" w:sz="2" w:space="0" w:color="000000"/>
              <w:right w:val="single" w:sz="2" w:space="0" w:color="000000"/>
            </w:tcBorders>
            <w:vAlign w:val="center"/>
          </w:tcPr>
          <w:p w:rsidR="00AE06D7" w:rsidRDefault="002F3426" w:rsidP="002F3426">
            <w:pPr>
              <w:pStyle w:val="TableTextCenter10pt"/>
            </w:pPr>
            <w:r>
              <w:t>13.0</w:t>
            </w:r>
          </w:p>
        </w:tc>
        <w:tc>
          <w:tcPr>
            <w:tcW w:w="1350" w:type="dxa"/>
            <w:tcBorders>
              <w:top w:val="single" w:sz="2" w:space="0" w:color="000000"/>
              <w:left w:val="single" w:sz="2" w:space="0" w:color="000000"/>
              <w:bottom w:val="single" w:sz="2" w:space="0" w:color="000000"/>
              <w:right w:val="single" w:sz="2" w:space="0" w:color="000000"/>
            </w:tcBorders>
            <w:vAlign w:val="center"/>
          </w:tcPr>
          <w:p w:rsidR="00AE06D7" w:rsidRDefault="00AE06D7" w:rsidP="002F3426">
            <w:pPr>
              <w:pStyle w:val="TableTextCenter10pt"/>
            </w:pPr>
            <w:r>
              <w:t>9</w:t>
            </w:r>
            <w:r w:rsidR="002F3426">
              <w:t>4.7</w:t>
            </w:r>
          </w:p>
        </w:tc>
        <w:tc>
          <w:tcPr>
            <w:tcW w:w="1080" w:type="dxa"/>
            <w:tcBorders>
              <w:top w:val="single" w:sz="2" w:space="0" w:color="000000"/>
              <w:left w:val="single" w:sz="2" w:space="0" w:color="000000"/>
              <w:bottom w:val="single" w:sz="2" w:space="0" w:color="000000"/>
              <w:right w:val="single" w:sz="2" w:space="0" w:color="000000"/>
            </w:tcBorders>
            <w:vAlign w:val="center"/>
          </w:tcPr>
          <w:p w:rsidR="00AE06D7" w:rsidRDefault="002F3426" w:rsidP="002F3426">
            <w:pPr>
              <w:pStyle w:val="TableTextCenter10pt"/>
            </w:pPr>
            <w:r>
              <w:t>1,231</w:t>
            </w:r>
          </w:p>
        </w:tc>
        <w:tc>
          <w:tcPr>
            <w:tcW w:w="1339" w:type="dxa"/>
            <w:tcBorders>
              <w:top w:val="single" w:sz="2" w:space="0" w:color="000000"/>
              <w:left w:val="single" w:sz="2" w:space="0" w:color="000000"/>
              <w:bottom w:val="single" w:sz="2" w:space="0" w:color="000000"/>
              <w:right w:val="single" w:sz="2" w:space="0" w:color="000000"/>
            </w:tcBorders>
            <w:vAlign w:val="center"/>
          </w:tcPr>
          <w:p w:rsidR="00AE06D7" w:rsidRDefault="002F3426" w:rsidP="002F3426">
            <w:pPr>
              <w:pStyle w:val="TableTextCenter10pt"/>
            </w:pPr>
            <w:r>
              <w:t>61.5</w:t>
            </w:r>
          </w:p>
        </w:tc>
        <w:tc>
          <w:tcPr>
            <w:tcW w:w="990" w:type="dxa"/>
            <w:tcBorders>
              <w:top w:val="single" w:sz="2" w:space="0" w:color="000000"/>
              <w:left w:val="single" w:sz="2" w:space="0" w:color="000000"/>
              <w:bottom w:val="single" w:sz="2" w:space="0" w:color="000000"/>
              <w:right w:val="single" w:sz="2" w:space="0" w:color="000000"/>
            </w:tcBorders>
            <w:vAlign w:val="center"/>
          </w:tcPr>
          <w:p w:rsidR="00AE06D7" w:rsidRDefault="002F3426" w:rsidP="002F3426">
            <w:pPr>
              <w:pStyle w:val="TableTextCenter10pt"/>
            </w:pPr>
            <w:r>
              <w:t>123</w:t>
            </w:r>
          </w:p>
        </w:tc>
        <w:tc>
          <w:tcPr>
            <w:tcW w:w="1214" w:type="dxa"/>
            <w:tcBorders>
              <w:top w:val="single" w:sz="2" w:space="0" w:color="000000"/>
              <w:left w:val="single" w:sz="2" w:space="0" w:color="000000"/>
              <w:bottom w:val="single" w:sz="2" w:space="0" w:color="000000"/>
              <w:right w:val="single" w:sz="2" w:space="0" w:color="000000"/>
            </w:tcBorders>
            <w:vAlign w:val="center"/>
          </w:tcPr>
          <w:p w:rsidR="00AE06D7" w:rsidRDefault="00AE06D7" w:rsidP="002F3426">
            <w:pPr>
              <w:pStyle w:val="TableTextRight10pt"/>
            </w:pPr>
            <w:r>
              <w:t>$</w:t>
            </w:r>
            <w:r w:rsidR="002F3426">
              <w:t>117,628</w:t>
            </w:r>
          </w:p>
        </w:tc>
      </w:tr>
      <w:tr w:rsidR="00AE06D7" w:rsidTr="00557EEE">
        <w:trPr>
          <w:cantSplit/>
        </w:trPr>
        <w:tc>
          <w:tcPr>
            <w:tcW w:w="3464" w:type="dxa"/>
            <w:tcBorders>
              <w:top w:val="single" w:sz="2" w:space="0" w:color="000000"/>
              <w:left w:val="single" w:sz="2" w:space="0" w:color="000000"/>
              <w:bottom w:val="single" w:sz="2" w:space="0" w:color="000000"/>
              <w:right w:val="single" w:sz="2" w:space="0" w:color="000000"/>
            </w:tcBorders>
          </w:tcPr>
          <w:p w:rsidR="00AE06D7" w:rsidRDefault="00AE06D7" w:rsidP="00F46122">
            <w:pPr>
              <w:pStyle w:val="TableTextLeft10ptIndent"/>
            </w:pPr>
            <w:r>
              <w:t>Delayed cokers</w:t>
            </w:r>
          </w:p>
        </w:tc>
        <w:tc>
          <w:tcPr>
            <w:tcW w:w="1170" w:type="dxa"/>
            <w:tcBorders>
              <w:top w:val="single" w:sz="2" w:space="0" w:color="000000"/>
              <w:left w:val="single" w:sz="2" w:space="0" w:color="000000"/>
              <w:bottom w:val="single" w:sz="2" w:space="0" w:color="000000"/>
              <w:right w:val="single" w:sz="2" w:space="0" w:color="000000"/>
            </w:tcBorders>
            <w:vAlign w:val="bottom"/>
          </w:tcPr>
          <w:p w:rsidR="00AE06D7" w:rsidRDefault="00AE06D7" w:rsidP="00F46122">
            <w:pPr>
              <w:pStyle w:val="TableTextCenter10pt"/>
            </w:pPr>
            <w:r>
              <w:t>0.01</w:t>
            </w:r>
            <w:r w:rsidR="002F3426">
              <w:t>6</w:t>
            </w:r>
            <w:r>
              <w:t>7</w:t>
            </w:r>
          </w:p>
        </w:tc>
        <w:tc>
          <w:tcPr>
            <w:tcW w:w="1530" w:type="dxa"/>
            <w:tcBorders>
              <w:top w:val="single" w:sz="2" w:space="0" w:color="000000"/>
              <w:left w:val="single" w:sz="2" w:space="0" w:color="000000"/>
              <w:bottom w:val="single" w:sz="2" w:space="0" w:color="000000"/>
              <w:right w:val="single" w:sz="2" w:space="0" w:color="000000"/>
            </w:tcBorders>
            <w:vAlign w:val="bottom"/>
          </w:tcPr>
          <w:p w:rsidR="00AE06D7" w:rsidRDefault="002F3426" w:rsidP="002F3426">
            <w:pPr>
              <w:pStyle w:val="TableTextCenter10pt"/>
            </w:pPr>
            <w:r>
              <w:t>501</w:t>
            </w:r>
          </w:p>
        </w:tc>
        <w:tc>
          <w:tcPr>
            <w:tcW w:w="1170" w:type="dxa"/>
            <w:tcBorders>
              <w:top w:val="single" w:sz="2" w:space="0" w:color="000000"/>
              <w:left w:val="single" w:sz="2" w:space="0" w:color="000000"/>
              <w:bottom w:val="single" w:sz="2" w:space="0" w:color="000000"/>
              <w:right w:val="single" w:sz="2" w:space="0" w:color="000000"/>
            </w:tcBorders>
            <w:vAlign w:val="center"/>
          </w:tcPr>
          <w:p w:rsidR="00AE06D7" w:rsidRDefault="002F3426" w:rsidP="002F3426">
            <w:pPr>
              <w:pStyle w:val="TableTextCenter10pt"/>
            </w:pPr>
            <w:r>
              <w:t>8.35</w:t>
            </w:r>
          </w:p>
        </w:tc>
        <w:tc>
          <w:tcPr>
            <w:tcW w:w="1350" w:type="dxa"/>
            <w:tcBorders>
              <w:top w:val="single" w:sz="2" w:space="0" w:color="000000"/>
              <w:left w:val="single" w:sz="2" w:space="0" w:color="000000"/>
              <w:bottom w:val="single" w:sz="2" w:space="0" w:color="000000"/>
              <w:right w:val="single" w:sz="2" w:space="0" w:color="000000"/>
            </w:tcBorders>
            <w:vAlign w:val="center"/>
          </w:tcPr>
          <w:p w:rsidR="00AE06D7" w:rsidRDefault="002F3426" w:rsidP="002F3426">
            <w:pPr>
              <w:pStyle w:val="TableTextCenter10pt"/>
            </w:pPr>
            <w:r>
              <w:t>94.7</w:t>
            </w:r>
          </w:p>
        </w:tc>
        <w:tc>
          <w:tcPr>
            <w:tcW w:w="1080" w:type="dxa"/>
            <w:tcBorders>
              <w:top w:val="single" w:sz="2" w:space="0" w:color="000000"/>
              <w:left w:val="single" w:sz="2" w:space="0" w:color="000000"/>
              <w:bottom w:val="single" w:sz="2" w:space="0" w:color="000000"/>
              <w:right w:val="single" w:sz="2" w:space="0" w:color="000000"/>
            </w:tcBorders>
            <w:vAlign w:val="center"/>
          </w:tcPr>
          <w:p w:rsidR="00AE06D7" w:rsidRDefault="002F3426" w:rsidP="002F3426">
            <w:pPr>
              <w:pStyle w:val="TableTextCenter10pt"/>
            </w:pPr>
            <w:r>
              <w:t>790</w:t>
            </w:r>
          </w:p>
        </w:tc>
        <w:tc>
          <w:tcPr>
            <w:tcW w:w="1339" w:type="dxa"/>
            <w:tcBorders>
              <w:top w:val="single" w:sz="2" w:space="0" w:color="000000"/>
              <w:left w:val="single" w:sz="2" w:space="0" w:color="000000"/>
              <w:bottom w:val="single" w:sz="2" w:space="0" w:color="000000"/>
              <w:right w:val="single" w:sz="2" w:space="0" w:color="000000"/>
            </w:tcBorders>
            <w:vAlign w:val="center"/>
          </w:tcPr>
          <w:p w:rsidR="00AE06D7" w:rsidRDefault="002F3426" w:rsidP="002F3426">
            <w:pPr>
              <w:pStyle w:val="TableTextCenter10pt"/>
            </w:pPr>
            <w:r>
              <w:t>39.5</w:t>
            </w:r>
          </w:p>
        </w:tc>
        <w:tc>
          <w:tcPr>
            <w:tcW w:w="990" w:type="dxa"/>
            <w:tcBorders>
              <w:top w:val="single" w:sz="2" w:space="0" w:color="000000"/>
              <w:left w:val="single" w:sz="2" w:space="0" w:color="000000"/>
              <w:bottom w:val="single" w:sz="2" w:space="0" w:color="000000"/>
              <w:right w:val="single" w:sz="2" w:space="0" w:color="000000"/>
            </w:tcBorders>
            <w:vAlign w:val="center"/>
          </w:tcPr>
          <w:p w:rsidR="00AE06D7" w:rsidRDefault="002F3426" w:rsidP="002F3426">
            <w:pPr>
              <w:pStyle w:val="TableTextCenter10pt"/>
            </w:pPr>
            <w:r>
              <w:t>79.0</w:t>
            </w:r>
          </w:p>
        </w:tc>
        <w:tc>
          <w:tcPr>
            <w:tcW w:w="1214" w:type="dxa"/>
            <w:tcBorders>
              <w:top w:val="single" w:sz="2" w:space="0" w:color="000000"/>
              <w:left w:val="single" w:sz="2" w:space="0" w:color="000000"/>
              <w:bottom w:val="single" w:sz="2" w:space="0" w:color="000000"/>
              <w:right w:val="single" w:sz="2" w:space="0" w:color="000000"/>
            </w:tcBorders>
            <w:vAlign w:val="center"/>
          </w:tcPr>
          <w:p w:rsidR="00AE06D7" w:rsidRDefault="00AE06D7" w:rsidP="002F3426">
            <w:pPr>
              <w:pStyle w:val="TableTextRight10pt"/>
            </w:pPr>
            <w:r>
              <w:t>$</w:t>
            </w:r>
            <w:r w:rsidR="002F3426">
              <w:t>75,509</w:t>
            </w:r>
          </w:p>
        </w:tc>
      </w:tr>
      <w:tr w:rsidR="002F3426" w:rsidTr="00557EEE">
        <w:trPr>
          <w:cantSplit/>
        </w:trPr>
        <w:tc>
          <w:tcPr>
            <w:tcW w:w="3464" w:type="dxa"/>
            <w:tcBorders>
              <w:top w:val="single" w:sz="2" w:space="0" w:color="000000"/>
              <w:left w:val="single" w:sz="2" w:space="0" w:color="000000"/>
              <w:bottom w:val="single" w:sz="2" w:space="0" w:color="000000"/>
              <w:right w:val="single" w:sz="2" w:space="0" w:color="000000"/>
            </w:tcBorders>
          </w:tcPr>
          <w:p w:rsidR="002F3426" w:rsidRDefault="002F3426" w:rsidP="00F46122">
            <w:pPr>
              <w:pStyle w:val="TableTextLeft10ptIndent"/>
            </w:pPr>
            <w:r>
              <w:t>Flares</w:t>
            </w:r>
          </w:p>
        </w:tc>
        <w:tc>
          <w:tcPr>
            <w:tcW w:w="1170" w:type="dxa"/>
            <w:tcBorders>
              <w:top w:val="single" w:sz="2" w:space="0" w:color="000000"/>
              <w:left w:val="single" w:sz="2" w:space="0" w:color="000000"/>
              <w:bottom w:val="single" w:sz="2" w:space="0" w:color="000000"/>
              <w:right w:val="single" w:sz="2" w:space="0" w:color="000000"/>
            </w:tcBorders>
            <w:vAlign w:val="bottom"/>
          </w:tcPr>
          <w:p w:rsidR="002F3426" w:rsidRPr="002F3426" w:rsidRDefault="002F3426" w:rsidP="002F3426">
            <w:pPr>
              <w:pStyle w:val="TableTextCenter10pt"/>
            </w:pPr>
            <w:r w:rsidRPr="00557EEE">
              <w:t>0.05</w:t>
            </w:r>
          </w:p>
        </w:tc>
        <w:tc>
          <w:tcPr>
            <w:tcW w:w="1530" w:type="dxa"/>
            <w:tcBorders>
              <w:top w:val="single" w:sz="2" w:space="0" w:color="000000"/>
              <w:left w:val="single" w:sz="2" w:space="0" w:color="000000"/>
              <w:bottom w:val="single" w:sz="2" w:space="0" w:color="000000"/>
              <w:right w:val="single" w:sz="2" w:space="0" w:color="000000"/>
            </w:tcBorders>
            <w:vAlign w:val="bottom"/>
          </w:tcPr>
          <w:p w:rsidR="002F3426" w:rsidRPr="002F3426" w:rsidRDefault="002F3426" w:rsidP="002F3426">
            <w:pPr>
              <w:pStyle w:val="TableTextCenter10pt"/>
            </w:pPr>
            <w:r w:rsidRPr="00557EEE">
              <w:t>365</w:t>
            </w:r>
          </w:p>
        </w:tc>
        <w:tc>
          <w:tcPr>
            <w:tcW w:w="1170" w:type="dxa"/>
            <w:tcBorders>
              <w:top w:val="single" w:sz="2" w:space="0" w:color="000000"/>
              <w:left w:val="single" w:sz="2" w:space="0" w:color="000000"/>
              <w:bottom w:val="single" w:sz="2" w:space="0" w:color="000000"/>
              <w:right w:val="single" w:sz="2" w:space="0" w:color="000000"/>
            </w:tcBorders>
            <w:vAlign w:val="bottom"/>
          </w:tcPr>
          <w:p w:rsidR="002F3426" w:rsidRPr="002F3426" w:rsidRDefault="002F3426" w:rsidP="002F3426">
            <w:pPr>
              <w:pStyle w:val="TableTextCenter10pt"/>
            </w:pPr>
            <w:r w:rsidRPr="00557EEE">
              <w:t>18.3</w:t>
            </w:r>
          </w:p>
        </w:tc>
        <w:tc>
          <w:tcPr>
            <w:tcW w:w="1350" w:type="dxa"/>
            <w:tcBorders>
              <w:top w:val="single" w:sz="2" w:space="0" w:color="000000"/>
              <w:left w:val="single" w:sz="2" w:space="0" w:color="000000"/>
              <w:bottom w:val="single" w:sz="2" w:space="0" w:color="000000"/>
              <w:right w:val="single" w:sz="2" w:space="0" w:color="000000"/>
            </w:tcBorders>
            <w:vAlign w:val="bottom"/>
          </w:tcPr>
          <w:p w:rsidR="002F3426" w:rsidRPr="002F3426" w:rsidRDefault="002F3426" w:rsidP="002F3426">
            <w:pPr>
              <w:pStyle w:val="TableTextCenter10pt"/>
            </w:pPr>
            <w:r w:rsidRPr="00557EEE">
              <w:t>94.7</w:t>
            </w:r>
          </w:p>
        </w:tc>
        <w:tc>
          <w:tcPr>
            <w:tcW w:w="1080" w:type="dxa"/>
            <w:tcBorders>
              <w:top w:val="single" w:sz="2" w:space="0" w:color="000000"/>
              <w:left w:val="single" w:sz="2" w:space="0" w:color="000000"/>
              <w:bottom w:val="single" w:sz="2" w:space="0" w:color="000000"/>
              <w:right w:val="single" w:sz="2" w:space="0" w:color="000000"/>
            </w:tcBorders>
            <w:vAlign w:val="bottom"/>
          </w:tcPr>
          <w:p w:rsidR="002F3426" w:rsidRPr="002F3426" w:rsidRDefault="002F3426" w:rsidP="002F3426">
            <w:pPr>
              <w:pStyle w:val="TableTextCenter10pt"/>
            </w:pPr>
            <w:r w:rsidRPr="00557EEE">
              <w:t>1,728</w:t>
            </w:r>
          </w:p>
        </w:tc>
        <w:tc>
          <w:tcPr>
            <w:tcW w:w="1339" w:type="dxa"/>
            <w:tcBorders>
              <w:top w:val="single" w:sz="2" w:space="0" w:color="000000"/>
              <w:left w:val="single" w:sz="2" w:space="0" w:color="000000"/>
              <w:bottom w:val="single" w:sz="2" w:space="0" w:color="000000"/>
              <w:right w:val="single" w:sz="2" w:space="0" w:color="000000"/>
            </w:tcBorders>
            <w:vAlign w:val="bottom"/>
          </w:tcPr>
          <w:p w:rsidR="002F3426" w:rsidRPr="002F3426" w:rsidRDefault="002F3426" w:rsidP="002F3426">
            <w:pPr>
              <w:pStyle w:val="TableTextCenter10pt"/>
            </w:pPr>
            <w:r w:rsidRPr="00557EEE">
              <w:t>86.4</w:t>
            </w:r>
          </w:p>
        </w:tc>
        <w:tc>
          <w:tcPr>
            <w:tcW w:w="990" w:type="dxa"/>
            <w:tcBorders>
              <w:top w:val="single" w:sz="2" w:space="0" w:color="000000"/>
              <w:left w:val="single" w:sz="2" w:space="0" w:color="000000"/>
              <w:bottom w:val="single" w:sz="2" w:space="0" w:color="000000"/>
              <w:right w:val="single" w:sz="2" w:space="0" w:color="000000"/>
            </w:tcBorders>
            <w:vAlign w:val="bottom"/>
          </w:tcPr>
          <w:p w:rsidR="002F3426" w:rsidRPr="002F3426" w:rsidRDefault="002F3426" w:rsidP="002F3426">
            <w:pPr>
              <w:pStyle w:val="TableTextCenter10pt"/>
            </w:pPr>
            <w:r w:rsidRPr="00557EEE">
              <w:t>173</w:t>
            </w:r>
          </w:p>
        </w:tc>
        <w:tc>
          <w:tcPr>
            <w:tcW w:w="1214" w:type="dxa"/>
            <w:tcBorders>
              <w:top w:val="single" w:sz="2" w:space="0" w:color="000000"/>
              <w:left w:val="single" w:sz="2" w:space="0" w:color="000000"/>
              <w:bottom w:val="single" w:sz="2" w:space="0" w:color="000000"/>
              <w:right w:val="single" w:sz="2" w:space="0" w:color="000000"/>
            </w:tcBorders>
            <w:vAlign w:val="center"/>
          </w:tcPr>
          <w:p w:rsidR="002F3426" w:rsidRPr="002F3426" w:rsidRDefault="002F3426" w:rsidP="002F3426">
            <w:pPr>
              <w:pStyle w:val="TableTextRight10pt"/>
            </w:pPr>
            <w:r w:rsidRPr="002F3426">
              <w:t>$165,132</w:t>
            </w:r>
          </w:p>
        </w:tc>
      </w:tr>
      <w:tr w:rsidR="00EE4D24" w:rsidTr="00557EEE">
        <w:trPr>
          <w:cantSplit/>
        </w:trPr>
        <w:tc>
          <w:tcPr>
            <w:tcW w:w="3464" w:type="dxa"/>
            <w:tcBorders>
              <w:top w:val="single" w:sz="2" w:space="0" w:color="000000"/>
              <w:left w:val="single" w:sz="2" w:space="0" w:color="000000"/>
              <w:bottom w:val="single" w:sz="2" w:space="0" w:color="000000"/>
              <w:right w:val="single" w:sz="2" w:space="0" w:color="000000"/>
            </w:tcBorders>
          </w:tcPr>
          <w:p w:rsidR="00EE4D24" w:rsidRDefault="00EE4D24" w:rsidP="00F46122">
            <w:pPr>
              <w:pStyle w:val="TableTextLeft10pt"/>
            </w:pPr>
            <w:r>
              <w:t>F.</w:t>
            </w:r>
            <w:r w:rsidR="00F47C05">
              <w:t xml:space="preserve"> </w:t>
            </w:r>
            <w:r>
              <w:t>Training</w:t>
            </w:r>
          </w:p>
        </w:tc>
        <w:tc>
          <w:tcPr>
            <w:tcW w:w="1170" w:type="dxa"/>
            <w:tcBorders>
              <w:top w:val="single" w:sz="2" w:space="0" w:color="000000"/>
              <w:left w:val="single" w:sz="2" w:space="0" w:color="000000"/>
              <w:bottom w:val="single" w:sz="2" w:space="0" w:color="000000"/>
              <w:right w:val="single" w:sz="2" w:space="0" w:color="000000"/>
            </w:tcBorders>
          </w:tcPr>
          <w:p w:rsidR="00EE4D24" w:rsidRDefault="002F3426" w:rsidP="002F3426">
            <w:pPr>
              <w:pStyle w:val="TableTextCenter10pt"/>
            </w:pPr>
            <w:r>
              <w:t>7</w:t>
            </w:r>
            <w:r w:rsidR="00EE4D24">
              <w:t>.5</w:t>
            </w:r>
          </w:p>
        </w:tc>
        <w:tc>
          <w:tcPr>
            <w:tcW w:w="1530" w:type="dxa"/>
            <w:tcBorders>
              <w:top w:val="single" w:sz="2" w:space="0" w:color="000000"/>
              <w:left w:val="single" w:sz="2" w:space="0" w:color="000000"/>
              <w:bottom w:val="single" w:sz="2" w:space="0" w:color="000000"/>
              <w:right w:val="single" w:sz="2" w:space="0" w:color="000000"/>
            </w:tcBorders>
          </w:tcPr>
          <w:p w:rsidR="00EE4D24" w:rsidRDefault="00EE4D24" w:rsidP="005F5FDC">
            <w:pPr>
              <w:pStyle w:val="TableTextCenter10pt"/>
            </w:pPr>
            <w:r>
              <w:t>1</w:t>
            </w:r>
          </w:p>
        </w:tc>
        <w:tc>
          <w:tcPr>
            <w:tcW w:w="1170" w:type="dxa"/>
            <w:tcBorders>
              <w:top w:val="single" w:sz="2" w:space="0" w:color="000000"/>
              <w:left w:val="single" w:sz="2" w:space="0" w:color="000000"/>
              <w:bottom w:val="single" w:sz="2" w:space="0" w:color="000000"/>
              <w:right w:val="single" w:sz="2" w:space="0" w:color="000000"/>
            </w:tcBorders>
          </w:tcPr>
          <w:p w:rsidR="00EE4D24" w:rsidRDefault="002F3426" w:rsidP="002F3426">
            <w:pPr>
              <w:pStyle w:val="TableTextCenter10pt"/>
            </w:pPr>
            <w:r>
              <w:t>7</w:t>
            </w:r>
            <w:r w:rsidR="00EE4D24">
              <w:t>.5</w:t>
            </w:r>
          </w:p>
        </w:tc>
        <w:tc>
          <w:tcPr>
            <w:tcW w:w="1350" w:type="dxa"/>
            <w:tcBorders>
              <w:top w:val="single" w:sz="2" w:space="0" w:color="000000"/>
              <w:left w:val="single" w:sz="2" w:space="0" w:color="000000"/>
              <w:bottom w:val="single" w:sz="2" w:space="0" w:color="000000"/>
              <w:right w:val="single" w:sz="2" w:space="0" w:color="000000"/>
            </w:tcBorders>
          </w:tcPr>
          <w:p w:rsidR="00EE4D24" w:rsidRDefault="002F3426" w:rsidP="002F3426">
            <w:pPr>
              <w:pStyle w:val="TableTextCenter10pt"/>
            </w:pPr>
            <w:r>
              <w:t>47.3</w:t>
            </w:r>
          </w:p>
        </w:tc>
        <w:tc>
          <w:tcPr>
            <w:tcW w:w="1080" w:type="dxa"/>
            <w:tcBorders>
              <w:top w:val="single" w:sz="2" w:space="0" w:color="000000"/>
              <w:left w:val="single" w:sz="2" w:space="0" w:color="000000"/>
              <w:bottom w:val="single" w:sz="2" w:space="0" w:color="000000"/>
              <w:right w:val="single" w:sz="2" w:space="0" w:color="000000"/>
            </w:tcBorders>
          </w:tcPr>
          <w:p w:rsidR="00EE4D24" w:rsidRDefault="002F3426" w:rsidP="002F3426">
            <w:pPr>
              <w:pStyle w:val="TableTextCenter10pt"/>
            </w:pPr>
            <w:r>
              <w:t>355</w:t>
            </w:r>
          </w:p>
        </w:tc>
        <w:tc>
          <w:tcPr>
            <w:tcW w:w="1339" w:type="dxa"/>
            <w:tcBorders>
              <w:top w:val="single" w:sz="2" w:space="0" w:color="000000"/>
              <w:left w:val="single" w:sz="2" w:space="0" w:color="000000"/>
              <w:bottom w:val="single" w:sz="2" w:space="0" w:color="000000"/>
              <w:right w:val="single" w:sz="2" w:space="0" w:color="000000"/>
            </w:tcBorders>
          </w:tcPr>
          <w:p w:rsidR="00EE4D24" w:rsidRDefault="002F3426" w:rsidP="002F3426">
            <w:pPr>
              <w:pStyle w:val="TableTextCenter10pt"/>
            </w:pPr>
            <w:r>
              <w:t>17.8</w:t>
            </w:r>
          </w:p>
        </w:tc>
        <w:tc>
          <w:tcPr>
            <w:tcW w:w="990" w:type="dxa"/>
            <w:tcBorders>
              <w:top w:val="single" w:sz="2" w:space="0" w:color="000000"/>
              <w:left w:val="single" w:sz="2" w:space="0" w:color="000000"/>
              <w:bottom w:val="single" w:sz="2" w:space="0" w:color="000000"/>
              <w:right w:val="single" w:sz="2" w:space="0" w:color="000000"/>
            </w:tcBorders>
          </w:tcPr>
          <w:p w:rsidR="00EE4D24" w:rsidRDefault="002F3426" w:rsidP="002F3426">
            <w:pPr>
              <w:pStyle w:val="TableTextCenter10pt"/>
            </w:pPr>
            <w:r>
              <w:t>35.5</w:t>
            </w:r>
          </w:p>
        </w:tc>
        <w:tc>
          <w:tcPr>
            <w:tcW w:w="1214" w:type="dxa"/>
            <w:tcBorders>
              <w:top w:val="single" w:sz="2" w:space="0" w:color="000000"/>
              <w:left w:val="single" w:sz="2" w:space="0" w:color="000000"/>
              <w:bottom w:val="single" w:sz="2" w:space="0" w:color="000000"/>
              <w:right w:val="single" w:sz="2" w:space="0" w:color="000000"/>
            </w:tcBorders>
            <w:vAlign w:val="bottom"/>
          </w:tcPr>
          <w:p w:rsidR="00EE4D24" w:rsidRDefault="00EE4D24" w:rsidP="002F3426">
            <w:pPr>
              <w:pStyle w:val="TableTextRight10pt"/>
            </w:pPr>
            <w:r>
              <w:t>$</w:t>
            </w:r>
            <w:r w:rsidR="002F3426">
              <w:t>33,931</w:t>
            </w:r>
          </w:p>
        </w:tc>
      </w:tr>
      <w:tr w:rsidR="00F46122" w:rsidTr="00557EEE">
        <w:trPr>
          <w:cantSplit/>
        </w:trPr>
        <w:tc>
          <w:tcPr>
            <w:tcW w:w="3464" w:type="dxa"/>
            <w:tcBorders>
              <w:top w:val="single" w:sz="2" w:space="0" w:color="000000"/>
              <w:left w:val="single" w:sz="2" w:space="0" w:color="000000"/>
              <w:bottom w:val="nil"/>
              <w:right w:val="single" w:sz="2" w:space="0" w:color="000000"/>
            </w:tcBorders>
          </w:tcPr>
          <w:p w:rsidR="00F46122" w:rsidRDefault="00F46122" w:rsidP="00F46122">
            <w:pPr>
              <w:pStyle w:val="TableTextLeft10ptIndent"/>
            </w:pPr>
            <w:r>
              <w:t xml:space="preserve"> Subtotal Labor Burden</w:t>
            </w:r>
          </w:p>
        </w:tc>
        <w:tc>
          <w:tcPr>
            <w:tcW w:w="1170" w:type="dxa"/>
            <w:tcBorders>
              <w:top w:val="single" w:sz="2" w:space="0" w:color="000000"/>
              <w:left w:val="single" w:sz="2" w:space="0" w:color="000000"/>
              <w:bottom w:val="nil"/>
              <w:right w:val="single" w:sz="2" w:space="0" w:color="000000"/>
            </w:tcBorders>
          </w:tcPr>
          <w:p w:rsidR="00F46122" w:rsidRDefault="00F46122" w:rsidP="00F46122">
            <w:pPr>
              <w:pStyle w:val="TableTextCenter10pt"/>
              <w:rPr>
                <w:rFonts w:cs="Arial"/>
                <w:szCs w:val="16"/>
              </w:rPr>
            </w:pPr>
          </w:p>
        </w:tc>
        <w:tc>
          <w:tcPr>
            <w:tcW w:w="1530" w:type="dxa"/>
            <w:tcBorders>
              <w:top w:val="single" w:sz="2" w:space="0" w:color="000000"/>
              <w:left w:val="single" w:sz="2" w:space="0" w:color="000000"/>
              <w:bottom w:val="nil"/>
              <w:right w:val="single" w:sz="2" w:space="0" w:color="000000"/>
            </w:tcBorders>
          </w:tcPr>
          <w:p w:rsidR="00F46122" w:rsidRDefault="00F46122" w:rsidP="00F46122">
            <w:pPr>
              <w:pStyle w:val="TableTextCenter10pt"/>
              <w:rPr>
                <w:rFonts w:cs="Arial"/>
                <w:szCs w:val="16"/>
              </w:rPr>
            </w:pPr>
          </w:p>
        </w:tc>
        <w:tc>
          <w:tcPr>
            <w:tcW w:w="1170" w:type="dxa"/>
            <w:tcBorders>
              <w:top w:val="single" w:sz="2" w:space="0" w:color="000000"/>
              <w:left w:val="single" w:sz="2" w:space="0" w:color="000000"/>
              <w:bottom w:val="nil"/>
              <w:right w:val="single" w:sz="2" w:space="0" w:color="000000"/>
            </w:tcBorders>
          </w:tcPr>
          <w:p w:rsidR="00F46122" w:rsidRDefault="00F46122" w:rsidP="00F46122">
            <w:pPr>
              <w:pStyle w:val="TableTextCenter10pt"/>
              <w:rPr>
                <w:rFonts w:cs="Arial"/>
                <w:szCs w:val="16"/>
              </w:rPr>
            </w:pPr>
          </w:p>
        </w:tc>
        <w:tc>
          <w:tcPr>
            <w:tcW w:w="1350" w:type="dxa"/>
            <w:tcBorders>
              <w:top w:val="single" w:sz="2" w:space="0" w:color="000000"/>
              <w:left w:val="single" w:sz="2" w:space="0" w:color="000000"/>
              <w:bottom w:val="nil"/>
              <w:right w:val="single" w:sz="2" w:space="0" w:color="000000"/>
            </w:tcBorders>
          </w:tcPr>
          <w:p w:rsidR="00F46122" w:rsidRDefault="00F46122" w:rsidP="00F46122">
            <w:pPr>
              <w:pStyle w:val="TableTextCenter10pt"/>
              <w:rPr>
                <w:rFonts w:cs="Arial"/>
                <w:szCs w:val="16"/>
              </w:rPr>
            </w:pPr>
          </w:p>
        </w:tc>
        <w:tc>
          <w:tcPr>
            <w:tcW w:w="1080" w:type="dxa"/>
            <w:tcBorders>
              <w:top w:val="single" w:sz="2" w:space="0" w:color="000000"/>
              <w:left w:val="single" w:sz="2" w:space="0" w:color="000000"/>
              <w:bottom w:val="single" w:sz="2" w:space="0" w:color="000000"/>
              <w:right w:val="single" w:sz="2" w:space="0" w:color="000000"/>
            </w:tcBorders>
          </w:tcPr>
          <w:p w:rsidR="00F46122" w:rsidRDefault="002F3426" w:rsidP="0064288A">
            <w:pPr>
              <w:pStyle w:val="TableTextCenter10pt"/>
            </w:pPr>
            <w:r>
              <w:t>46,</w:t>
            </w:r>
            <w:r w:rsidR="0064288A">
              <w:t>625</w:t>
            </w:r>
          </w:p>
        </w:tc>
        <w:tc>
          <w:tcPr>
            <w:tcW w:w="1339" w:type="dxa"/>
            <w:tcBorders>
              <w:top w:val="single" w:sz="2" w:space="0" w:color="000000"/>
              <w:left w:val="single" w:sz="2" w:space="0" w:color="000000"/>
              <w:bottom w:val="single" w:sz="2" w:space="0" w:color="000000"/>
              <w:right w:val="single" w:sz="2" w:space="0" w:color="000000"/>
            </w:tcBorders>
          </w:tcPr>
          <w:p w:rsidR="00F46122" w:rsidRDefault="002F3426" w:rsidP="0064288A">
            <w:pPr>
              <w:pStyle w:val="TableTextCenter10pt"/>
            </w:pPr>
            <w:r>
              <w:t>2,3</w:t>
            </w:r>
            <w:r w:rsidR="0064288A">
              <w:t>31</w:t>
            </w:r>
          </w:p>
        </w:tc>
        <w:tc>
          <w:tcPr>
            <w:tcW w:w="990" w:type="dxa"/>
            <w:tcBorders>
              <w:top w:val="single" w:sz="2" w:space="0" w:color="000000"/>
              <w:left w:val="single" w:sz="2" w:space="0" w:color="000000"/>
              <w:bottom w:val="single" w:sz="2" w:space="0" w:color="000000"/>
              <w:right w:val="single" w:sz="2" w:space="0" w:color="000000"/>
            </w:tcBorders>
          </w:tcPr>
          <w:p w:rsidR="00F46122" w:rsidRDefault="002F3426" w:rsidP="0064288A">
            <w:pPr>
              <w:pStyle w:val="TableTextCenter10pt"/>
            </w:pPr>
            <w:r>
              <w:t>4,6</w:t>
            </w:r>
            <w:r w:rsidR="0064288A">
              <w:t>63</w:t>
            </w:r>
          </w:p>
        </w:tc>
        <w:tc>
          <w:tcPr>
            <w:tcW w:w="1214" w:type="dxa"/>
            <w:vMerge w:val="restart"/>
            <w:tcBorders>
              <w:top w:val="single" w:sz="2" w:space="0" w:color="000000"/>
              <w:left w:val="single" w:sz="2" w:space="0" w:color="000000"/>
              <w:right w:val="single" w:sz="2" w:space="0" w:color="000000"/>
            </w:tcBorders>
            <w:vAlign w:val="center"/>
          </w:tcPr>
          <w:p w:rsidR="00F46122" w:rsidRDefault="00AE06D7" w:rsidP="002F3426">
            <w:pPr>
              <w:pStyle w:val="TableTextRight10pt"/>
            </w:pPr>
            <w:r>
              <w:t>$</w:t>
            </w:r>
            <w:r w:rsidR="002F3426">
              <w:t>4,456,498</w:t>
            </w:r>
          </w:p>
        </w:tc>
      </w:tr>
      <w:tr w:rsidR="00F46122" w:rsidTr="00557EEE">
        <w:trPr>
          <w:cantSplit/>
        </w:trPr>
        <w:tc>
          <w:tcPr>
            <w:tcW w:w="3464" w:type="dxa"/>
            <w:tcBorders>
              <w:top w:val="nil"/>
              <w:left w:val="single" w:sz="2" w:space="0" w:color="000000"/>
              <w:bottom w:val="single" w:sz="2" w:space="0" w:color="000000"/>
              <w:right w:val="single" w:sz="2" w:space="0" w:color="000000"/>
            </w:tcBorders>
          </w:tcPr>
          <w:p w:rsidR="00F46122" w:rsidRDefault="00F46122" w:rsidP="00F46122">
            <w:pPr>
              <w:pStyle w:val="TableTextLeft10ptIndent"/>
            </w:pPr>
          </w:p>
        </w:tc>
        <w:tc>
          <w:tcPr>
            <w:tcW w:w="1170" w:type="dxa"/>
            <w:tcBorders>
              <w:top w:val="nil"/>
              <w:left w:val="single" w:sz="2" w:space="0" w:color="000000"/>
              <w:bottom w:val="single" w:sz="2" w:space="0" w:color="000000"/>
              <w:right w:val="single" w:sz="2" w:space="0" w:color="000000"/>
            </w:tcBorders>
          </w:tcPr>
          <w:p w:rsidR="00F46122" w:rsidRDefault="00F46122" w:rsidP="00F46122">
            <w:pPr>
              <w:pStyle w:val="TableTextCenter10pt"/>
              <w:rPr>
                <w:rFonts w:cs="Arial"/>
                <w:szCs w:val="16"/>
              </w:rPr>
            </w:pPr>
          </w:p>
        </w:tc>
        <w:tc>
          <w:tcPr>
            <w:tcW w:w="1530" w:type="dxa"/>
            <w:tcBorders>
              <w:top w:val="nil"/>
              <w:left w:val="single" w:sz="2" w:space="0" w:color="000000"/>
              <w:bottom w:val="single" w:sz="2" w:space="0" w:color="000000"/>
              <w:right w:val="single" w:sz="2" w:space="0" w:color="000000"/>
            </w:tcBorders>
          </w:tcPr>
          <w:p w:rsidR="00F46122" w:rsidRDefault="00F46122" w:rsidP="00F46122">
            <w:pPr>
              <w:pStyle w:val="TableTextCenter10pt"/>
              <w:rPr>
                <w:rFonts w:cs="Arial"/>
                <w:szCs w:val="16"/>
              </w:rPr>
            </w:pPr>
          </w:p>
        </w:tc>
        <w:tc>
          <w:tcPr>
            <w:tcW w:w="1170" w:type="dxa"/>
            <w:tcBorders>
              <w:top w:val="nil"/>
              <w:left w:val="single" w:sz="2" w:space="0" w:color="000000"/>
              <w:bottom w:val="single" w:sz="2" w:space="0" w:color="000000"/>
              <w:right w:val="single" w:sz="2" w:space="0" w:color="000000"/>
            </w:tcBorders>
          </w:tcPr>
          <w:p w:rsidR="00F46122" w:rsidRDefault="00F46122" w:rsidP="00F46122">
            <w:pPr>
              <w:pStyle w:val="TableTextCenter10pt"/>
              <w:rPr>
                <w:rFonts w:cs="Arial"/>
                <w:szCs w:val="16"/>
              </w:rPr>
            </w:pPr>
          </w:p>
        </w:tc>
        <w:tc>
          <w:tcPr>
            <w:tcW w:w="1350" w:type="dxa"/>
            <w:tcBorders>
              <w:top w:val="nil"/>
              <w:left w:val="single" w:sz="2" w:space="0" w:color="000000"/>
              <w:bottom w:val="single" w:sz="2" w:space="0" w:color="000000"/>
              <w:right w:val="single" w:sz="2" w:space="0" w:color="000000"/>
            </w:tcBorders>
          </w:tcPr>
          <w:p w:rsidR="00F46122" w:rsidRDefault="00F46122" w:rsidP="00F46122">
            <w:pPr>
              <w:pStyle w:val="TableTextCenter10pt"/>
              <w:rPr>
                <w:rFonts w:cs="Arial"/>
                <w:szCs w:val="16"/>
              </w:rPr>
            </w:pPr>
          </w:p>
        </w:tc>
        <w:tc>
          <w:tcPr>
            <w:tcW w:w="3420" w:type="dxa"/>
            <w:gridSpan w:val="3"/>
            <w:tcBorders>
              <w:top w:val="single" w:sz="2" w:space="0" w:color="000000"/>
              <w:left w:val="single" w:sz="2" w:space="0" w:color="000000"/>
              <w:bottom w:val="single" w:sz="2" w:space="0" w:color="000000"/>
              <w:right w:val="single" w:sz="2" w:space="0" w:color="000000"/>
            </w:tcBorders>
          </w:tcPr>
          <w:p w:rsidR="00F46122" w:rsidRDefault="002F3426" w:rsidP="0064288A">
            <w:pPr>
              <w:pStyle w:val="TableTextCenter10pt"/>
            </w:pPr>
            <w:r>
              <w:t>53,</w:t>
            </w:r>
            <w:r w:rsidR="0064288A">
              <w:t>619</w:t>
            </w:r>
          </w:p>
        </w:tc>
        <w:tc>
          <w:tcPr>
            <w:tcW w:w="1339" w:type="dxa"/>
            <w:vMerge/>
            <w:tcBorders>
              <w:left w:val="single" w:sz="2" w:space="0" w:color="000000"/>
              <w:bottom w:val="single" w:sz="2" w:space="0" w:color="000000"/>
              <w:right w:val="single" w:sz="2" w:space="0" w:color="000000"/>
            </w:tcBorders>
          </w:tcPr>
          <w:p w:rsidR="00F46122" w:rsidRDefault="00F46122" w:rsidP="00F46122">
            <w:pPr>
              <w:pStyle w:val="TableTextRight10pt"/>
            </w:pPr>
          </w:p>
        </w:tc>
      </w:tr>
      <w:tr w:rsidR="002F3426" w:rsidTr="00557EEE">
        <w:trPr>
          <w:cantSplit/>
        </w:trPr>
        <w:tc>
          <w:tcPr>
            <w:tcW w:w="3464" w:type="dxa"/>
            <w:tcBorders>
              <w:top w:val="single" w:sz="2" w:space="0" w:color="000000"/>
              <w:left w:val="single" w:sz="2" w:space="0" w:color="000000"/>
              <w:bottom w:val="single" w:sz="2" w:space="0" w:color="000000"/>
              <w:right w:val="single" w:sz="2" w:space="0" w:color="000000"/>
            </w:tcBorders>
          </w:tcPr>
          <w:p w:rsidR="002F3426" w:rsidRDefault="002F3426" w:rsidP="005F5FDC">
            <w:pPr>
              <w:pStyle w:val="TableTextLeft10pt"/>
            </w:pPr>
            <w:r>
              <w:t>Annualized Capital Cost</w:t>
            </w:r>
          </w:p>
        </w:tc>
        <w:tc>
          <w:tcPr>
            <w:tcW w:w="1170" w:type="dxa"/>
            <w:tcBorders>
              <w:top w:val="single" w:sz="2" w:space="0" w:color="000000"/>
              <w:left w:val="single" w:sz="2" w:space="0" w:color="000000"/>
              <w:bottom w:val="single" w:sz="2" w:space="0" w:color="000000"/>
              <w:right w:val="nil"/>
            </w:tcBorders>
          </w:tcPr>
          <w:p w:rsidR="002F3426" w:rsidRDefault="002F3426" w:rsidP="00F46122">
            <w:pPr>
              <w:pStyle w:val="TableTextCenter10pt"/>
              <w:rPr>
                <w:rFonts w:cs="Arial"/>
                <w:szCs w:val="16"/>
              </w:rPr>
            </w:pPr>
          </w:p>
        </w:tc>
        <w:tc>
          <w:tcPr>
            <w:tcW w:w="1530" w:type="dxa"/>
            <w:tcBorders>
              <w:top w:val="single" w:sz="2" w:space="0" w:color="000000"/>
              <w:left w:val="nil"/>
              <w:bottom w:val="single" w:sz="2" w:space="0" w:color="000000"/>
              <w:right w:val="nil"/>
            </w:tcBorders>
          </w:tcPr>
          <w:p w:rsidR="002F3426" w:rsidRDefault="002F3426" w:rsidP="00F46122">
            <w:pPr>
              <w:pStyle w:val="TableTextCenter10pt"/>
              <w:rPr>
                <w:rFonts w:cs="Arial"/>
                <w:szCs w:val="16"/>
              </w:rPr>
            </w:pPr>
          </w:p>
        </w:tc>
        <w:tc>
          <w:tcPr>
            <w:tcW w:w="1170" w:type="dxa"/>
            <w:tcBorders>
              <w:top w:val="single" w:sz="2" w:space="0" w:color="000000"/>
              <w:left w:val="nil"/>
              <w:bottom w:val="single" w:sz="2" w:space="0" w:color="000000"/>
              <w:right w:val="nil"/>
            </w:tcBorders>
          </w:tcPr>
          <w:p w:rsidR="002F3426" w:rsidRDefault="002F3426" w:rsidP="00F46122">
            <w:pPr>
              <w:pStyle w:val="TableTextCenter10pt"/>
              <w:rPr>
                <w:rFonts w:cs="Arial"/>
                <w:szCs w:val="16"/>
              </w:rPr>
            </w:pPr>
          </w:p>
        </w:tc>
        <w:tc>
          <w:tcPr>
            <w:tcW w:w="1350" w:type="dxa"/>
            <w:tcBorders>
              <w:top w:val="single" w:sz="2" w:space="0" w:color="000000"/>
              <w:left w:val="nil"/>
              <w:bottom w:val="single" w:sz="2" w:space="0" w:color="000000"/>
              <w:right w:val="nil"/>
            </w:tcBorders>
          </w:tcPr>
          <w:p w:rsidR="002F3426" w:rsidRDefault="002F3426" w:rsidP="00F46122">
            <w:pPr>
              <w:pStyle w:val="TableTextCenter10pt"/>
              <w:rPr>
                <w:rFonts w:cs="Arial"/>
                <w:szCs w:val="16"/>
              </w:rPr>
            </w:pPr>
          </w:p>
        </w:tc>
        <w:tc>
          <w:tcPr>
            <w:tcW w:w="3420" w:type="dxa"/>
            <w:gridSpan w:val="3"/>
            <w:tcBorders>
              <w:top w:val="single" w:sz="2" w:space="0" w:color="000000"/>
              <w:left w:val="nil"/>
              <w:bottom w:val="single" w:sz="2" w:space="0" w:color="000000"/>
              <w:right w:val="single" w:sz="2" w:space="0" w:color="000000"/>
            </w:tcBorders>
          </w:tcPr>
          <w:p w:rsidR="002F3426" w:rsidRDefault="002F3426" w:rsidP="005F5FDC">
            <w:pPr>
              <w:pStyle w:val="TableTextCenter10pt"/>
            </w:pPr>
          </w:p>
        </w:tc>
        <w:tc>
          <w:tcPr>
            <w:tcW w:w="1339" w:type="dxa"/>
            <w:tcBorders>
              <w:top w:val="single" w:sz="2" w:space="0" w:color="000000"/>
              <w:left w:val="single" w:sz="2" w:space="0" w:color="000000"/>
              <w:bottom w:val="single" w:sz="2" w:space="0" w:color="000000"/>
              <w:right w:val="single" w:sz="2" w:space="0" w:color="000000"/>
            </w:tcBorders>
          </w:tcPr>
          <w:p w:rsidR="002F3426" w:rsidRPr="002F3426" w:rsidRDefault="002F3426" w:rsidP="002F3426">
            <w:pPr>
              <w:pStyle w:val="TableTextRight10pt"/>
            </w:pPr>
            <w:r w:rsidRPr="002F3426">
              <w:t>$17,145,672</w:t>
            </w:r>
          </w:p>
        </w:tc>
      </w:tr>
      <w:tr w:rsidR="002F3426" w:rsidTr="00557EEE">
        <w:trPr>
          <w:cantSplit/>
        </w:trPr>
        <w:tc>
          <w:tcPr>
            <w:tcW w:w="3464" w:type="dxa"/>
            <w:tcBorders>
              <w:top w:val="single" w:sz="2" w:space="0" w:color="000000"/>
              <w:left w:val="single" w:sz="2" w:space="0" w:color="000000"/>
              <w:bottom w:val="single" w:sz="2" w:space="0" w:color="000000"/>
              <w:right w:val="single" w:sz="2" w:space="0" w:color="000000"/>
            </w:tcBorders>
          </w:tcPr>
          <w:p w:rsidR="002F3426" w:rsidRDefault="002F3426" w:rsidP="002F3426">
            <w:pPr>
              <w:pStyle w:val="TableTextLeft10pt"/>
            </w:pPr>
            <w:r w:rsidRPr="00F33C16">
              <w:t xml:space="preserve">Operation </w:t>
            </w:r>
            <w:r>
              <w:t>a</w:t>
            </w:r>
            <w:r w:rsidRPr="00F33C16">
              <w:t>nd Maintenance Cost</w:t>
            </w:r>
            <w:r>
              <w:t>s</w:t>
            </w:r>
            <w:r w:rsidR="00D95C01" w:rsidRPr="00557EEE">
              <w:rPr>
                <w:rStyle w:val="Superscript"/>
              </w:rPr>
              <w:t>f</w:t>
            </w:r>
          </w:p>
        </w:tc>
        <w:tc>
          <w:tcPr>
            <w:tcW w:w="1170" w:type="dxa"/>
            <w:tcBorders>
              <w:top w:val="single" w:sz="2" w:space="0" w:color="000000"/>
              <w:left w:val="single" w:sz="2" w:space="0" w:color="000000"/>
              <w:bottom w:val="single" w:sz="2" w:space="0" w:color="000000"/>
              <w:right w:val="nil"/>
            </w:tcBorders>
          </w:tcPr>
          <w:p w:rsidR="002F3426" w:rsidRDefault="002F3426" w:rsidP="00F46122">
            <w:pPr>
              <w:pStyle w:val="TableTextCenter10pt"/>
              <w:rPr>
                <w:rFonts w:cs="Arial"/>
                <w:szCs w:val="16"/>
              </w:rPr>
            </w:pPr>
          </w:p>
        </w:tc>
        <w:tc>
          <w:tcPr>
            <w:tcW w:w="1530" w:type="dxa"/>
            <w:tcBorders>
              <w:top w:val="single" w:sz="2" w:space="0" w:color="000000"/>
              <w:left w:val="nil"/>
              <w:bottom w:val="single" w:sz="2" w:space="0" w:color="000000"/>
              <w:right w:val="nil"/>
            </w:tcBorders>
          </w:tcPr>
          <w:p w:rsidR="002F3426" w:rsidRDefault="002F3426" w:rsidP="00F46122">
            <w:pPr>
              <w:pStyle w:val="TableTextCenter10pt"/>
              <w:rPr>
                <w:rFonts w:cs="Arial"/>
                <w:szCs w:val="16"/>
              </w:rPr>
            </w:pPr>
          </w:p>
        </w:tc>
        <w:tc>
          <w:tcPr>
            <w:tcW w:w="1170" w:type="dxa"/>
            <w:tcBorders>
              <w:top w:val="single" w:sz="2" w:space="0" w:color="000000"/>
              <w:left w:val="nil"/>
              <w:bottom w:val="single" w:sz="2" w:space="0" w:color="000000"/>
              <w:right w:val="nil"/>
            </w:tcBorders>
          </w:tcPr>
          <w:p w:rsidR="002F3426" w:rsidRDefault="002F3426" w:rsidP="00F46122">
            <w:pPr>
              <w:pStyle w:val="TableTextCenter10pt"/>
              <w:rPr>
                <w:rFonts w:cs="Arial"/>
                <w:szCs w:val="16"/>
              </w:rPr>
            </w:pPr>
          </w:p>
        </w:tc>
        <w:tc>
          <w:tcPr>
            <w:tcW w:w="1350" w:type="dxa"/>
            <w:tcBorders>
              <w:top w:val="single" w:sz="2" w:space="0" w:color="000000"/>
              <w:left w:val="nil"/>
              <w:bottom w:val="single" w:sz="2" w:space="0" w:color="000000"/>
              <w:right w:val="nil"/>
            </w:tcBorders>
          </w:tcPr>
          <w:p w:rsidR="002F3426" w:rsidRDefault="002F3426" w:rsidP="00F46122">
            <w:pPr>
              <w:pStyle w:val="TableTextCenter10pt"/>
              <w:rPr>
                <w:rFonts w:cs="Arial"/>
                <w:szCs w:val="16"/>
              </w:rPr>
            </w:pPr>
          </w:p>
        </w:tc>
        <w:tc>
          <w:tcPr>
            <w:tcW w:w="3420" w:type="dxa"/>
            <w:gridSpan w:val="3"/>
            <w:tcBorders>
              <w:top w:val="single" w:sz="2" w:space="0" w:color="000000"/>
              <w:left w:val="nil"/>
              <w:bottom w:val="single" w:sz="2" w:space="0" w:color="000000"/>
              <w:right w:val="single" w:sz="2" w:space="0" w:color="000000"/>
            </w:tcBorders>
          </w:tcPr>
          <w:p w:rsidR="002F3426" w:rsidRDefault="002F3426" w:rsidP="005F5FDC">
            <w:pPr>
              <w:pStyle w:val="TableTextCenter10pt"/>
            </w:pPr>
          </w:p>
        </w:tc>
        <w:tc>
          <w:tcPr>
            <w:tcW w:w="1339" w:type="dxa"/>
            <w:tcBorders>
              <w:top w:val="single" w:sz="2" w:space="0" w:color="000000"/>
              <w:left w:val="single" w:sz="2" w:space="0" w:color="000000"/>
              <w:bottom w:val="single" w:sz="2" w:space="0" w:color="000000"/>
              <w:right w:val="single" w:sz="2" w:space="0" w:color="000000"/>
            </w:tcBorders>
          </w:tcPr>
          <w:p w:rsidR="002F3426" w:rsidRPr="002F3426" w:rsidRDefault="002F3426" w:rsidP="002F3426">
            <w:pPr>
              <w:pStyle w:val="TableTextRight10pt"/>
            </w:pPr>
            <w:r w:rsidRPr="002F3426">
              <w:t>$15,800,21</w:t>
            </w:r>
            <w:r>
              <w:t>9</w:t>
            </w:r>
          </w:p>
        </w:tc>
      </w:tr>
      <w:tr w:rsidR="0087236F" w:rsidTr="00557EEE">
        <w:trPr>
          <w:cantSplit/>
        </w:trPr>
        <w:tc>
          <w:tcPr>
            <w:tcW w:w="3464" w:type="dxa"/>
            <w:tcBorders>
              <w:top w:val="single" w:sz="2" w:space="0" w:color="000000"/>
              <w:left w:val="single" w:sz="2" w:space="0" w:color="000000"/>
              <w:bottom w:val="single" w:sz="2" w:space="0" w:color="000000"/>
              <w:right w:val="single" w:sz="2" w:space="0" w:color="000000"/>
            </w:tcBorders>
          </w:tcPr>
          <w:p w:rsidR="0087236F" w:rsidRDefault="0087236F" w:rsidP="005F5FDC">
            <w:pPr>
              <w:pStyle w:val="TableTextLeft10pt"/>
            </w:pPr>
            <w:r>
              <w:t>TOTAL LABOR BURDEN AND COST</w:t>
            </w:r>
            <w:r w:rsidR="00D95C01">
              <w:rPr>
                <w:rStyle w:val="Superscript"/>
              </w:rPr>
              <w:t>g</w:t>
            </w:r>
          </w:p>
        </w:tc>
        <w:tc>
          <w:tcPr>
            <w:tcW w:w="1170" w:type="dxa"/>
            <w:tcBorders>
              <w:top w:val="single" w:sz="2" w:space="0" w:color="000000"/>
              <w:left w:val="single" w:sz="2" w:space="0" w:color="000000"/>
              <w:bottom w:val="single" w:sz="2" w:space="0" w:color="000000"/>
              <w:right w:val="nil"/>
            </w:tcBorders>
          </w:tcPr>
          <w:p w:rsidR="0087236F" w:rsidRDefault="0087236F" w:rsidP="00F46122">
            <w:pPr>
              <w:pStyle w:val="TableTextCenter10pt"/>
              <w:rPr>
                <w:rFonts w:cs="Arial"/>
                <w:szCs w:val="16"/>
              </w:rPr>
            </w:pPr>
          </w:p>
        </w:tc>
        <w:tc>
          <w:tcPr>
            <w:tcW w:w="1530" w:type="dxa"/>
            <w:tcBorders>
              <w:top w:val="single" w:sz="2" w:space="0" w:color="000000"/>
              <w:left w:val="nil"/>
              <w:bottom w:val="single" w:sz="2" w:space="0" w:color="000000"/>
              <w:right w:val="nil"/>
            </w:tcBorders>
          </w:tcPr>
          <w:p w:rsidR="0087236F" w:rsidRDefault="0087236F" w:rsidP="00F46122">
            <w:pPr>
              <w:pStyle w:val="TableTextCenter10pt"/>
              <w:rPr>
                <w:rFonts w:cs="Arial"/>
                <w:szCs w:val="16"/>
              </w:rPr>
            </w:pPr>
          </w:p>
        </w:tc>
        <w:tc>
          <w:tcPr>
            <w:tcW w:w="1170" w:type="dxa"/>
            <w:tcBorders>
              <w:top w:val="single" w:sz="2" w:space="0" w:color="000000"/>
              <w:left w:val="nil"/>
              <w:bottom w:val="single" w:sz="2" w:space="0" w:color="000000"/>
              <w:right w:val="nil"/>
            </w:tcBorders>
          </w:tcPr>
          <w:p w:rsidR="0087236F" w:rsidRDefault="0087236F" w:rsidP="00F46122">
            <w:pPr>
              <w:pStyle w:val="TableTextCenter10pt"/>
              <w:rPr>
                <w:rFonts w:cs="Arial"/>
                <w:szCs w:val="16"/>
              </w:rPr>
            </w:pPr>
          </w:p>
        </w:tc>
        <w:tc>
          <w:tcPr>
            <w:tcW w:w="1350" w:type="dxa"/>
            <w:tcBorders>
              <w:top w:val="single" w:sz="2" w:space="0" w:color="000000"/>
              <w:left w:val="nil"/>
              <w:bottom w:val="single" w:sz="2" w:space="0" w:color="000000"/>
              <w:right w:val="nil"/>
            </w:tcBorders>
          </w:tcPr>
          <w:p w:rsidR="0087236F" w:rsidRDefault="0087236F" w:rsidP="00F46122">
            <w:pPr>
              <w:pStyle w:val="TableTextCenter10pt"/>
              <w:rPr>
                <w:rFonts w:cs="Arial"/>
                <w:szCs w:val="16"/>
              </w:rPr>
            </w:pPr>
          </w:p>
        </w:tc>
        <w:tc>
          <w:tcPr>
            <w:tcW w:w="3420" w:type="dxa"/>
            <w:gridSpan w:val="3"/>
            <w:tcBorders>
              <w:top w:val="single" w:sz="2" w:space="0" w:color="000000"/>
              <w:left w:val="nil"/>
              <w:bottom w:val="single" w:sz="2" w:space="0" w:color="000000"/>
              <w:right w:val="single" w:sz="2" w:space="0" w:color="000000"/>
            </w:tcBorders>
          </w:tcPr>
          <w:p w:rsidR="0087236F" w:rsidRDefault="0087236F" w:rsidP="005F5FDC">
            <w:pPr>
              <w:pStyle w:val="TableTextCenter10pt"/>
            </w:pPr>
          </w:p>
        </w:tc>
        <w:tc>
          <w:tcPr>
            <w:tcW w:w="1339" w:type="dxa"/>
            <w:tcBorders>
              <w:top w:val="single" w:sz="2" w:space="0" w:color="000000"/>
              <w:left w:val="single" w:sz="2" w:space="0" w:color="000000"/>
              <w:bottom w:val="single" w:sz="2" w:space="0" w:color="000000"/>
              <w:right w:val="single" w:sz="2" w:space="0" w:color="000000"/>
            </w:tcBorders>
          </w:tcPr>
          <w:p w:rsidR="0087236F" w:rsidRDefault="00AE06D7" w:rsidP="002F3426">
            <w:pPr>
              <w:pStyle w:val="TableTextRight10pt"/>
            </w:pPr>
            <w:r>
              <w:t>$</w:t>
            </w:r>
            <w:r w:rsidR="002F3426">
              <w:t>37,402,388</w:t>
            </w:r>
          </w:p>
        </w:tc>
      </w:tr>
    </w:tbl>
    <w:p w:rsidR="0087236F" w:rsidRPr="007523FA" w:rsidRDefault="0087236F" w:rsidP="00ED4539">
      <w:pPr>
        <w:pStyle w:val="TableFootnote"/>
      </w:pPr>
      <w:r w:rsidRPr="007523FA">
        <w:rPr>
          <w:rStyle w:val="Superscript"/>
        </w:rPr>
        <w:lastRenderedPageBreak/>
        <w:t>a</w:t>
      </w:r>
      <w:r w:rsidR="00F47C05" w:rsidRPr="007523FA">
        <w:t xml:space="preserve"> </w:t>
      </w:r>
      <w:r w:rsidRPr="007523FA">
        <w:t>W</w:t>
      </w:r>
      <w:r w:rsidR="005A6FD4">
        <w:t>e have determined that 14</w:t>
      </w:r>
      <w:r w:rsidR="00ED4539">
        <w:t>2</w:t>
      </w:r>
      <w:r>
        <w:t xml:space="preserve"> ma</w:t>
      </w:r>
      <w:r w:rsidR="005A6FD4">
        <w:t xml:space="preserve">jor </w:t>
      </w:r>
      <w:r w:rsidR="00ED4539">
        <w:t xml:space="preserve">source </w:t>
      </w:r>
      <w:r w:rsidR="005A6FD4">
        <w:t>petroleum refineries currently operate in the US.</w:t>
      </w:r>
      <w:r w:rsidR="00F47C05">
        <w:t xml:space="preserve"> </w:t>
      </w:r>
      <w:r>
        <w:t xml:space="preserve">No new or reconstructed facilities are expected over the next 3 years. </w:t>
      </w:r>
      <w:r w:rsidR="00D95C01" w:rsidRPr="004B7307">
        <w:t>We assumed that approximately one-third of facilities would comply with the amended rule in each of the 3 years following promulgation, so that 4</w:t>
      </w:r>
      <w:r w:rsidR="00D95C01">
        <w:t>7</w:t>
      </w:r>
      <w:r w:rsidR="00D95C01" w:rsidRPr="004B7307">
        <w:t>.3 facilities would comply and be subject the first year, 9</w:t>
      </w:r>
      <w:r w:rsidR="00D95C01">
        <w:t>4.7</w:t>
      </w:r>
      <w:r w:rsidR="00D95C01" w:rsidRPr="004B7307">
        <w:t xml:space="preserve"> facilities would be subject the second year, and 14</w:t>
      </w:r>
      <w:r w:rsidR="00D95C01">
        <w:t>2</w:t>
      </w:r>
      <w:r w:rsidR="00D95C01" w:rsidRPr="004B7307">
        <w:t xml:space="preserve"> facilities would be subject the third year.</w:t>
      </w:r>
      <w:r w:rsidR="00D95C01">
        <w:t xml:space="preserve"> </w:t>
      </w:r>
      <w:r w:rsidR="00D95C01" w:rsidRPr="004B7307">
        <w:t>We assumed costs based on the second year, with 9</w:t>
      </w:r>
      <w:r w:rsidR="00D95C01">
        <w:t>4.7</w:t>
      </w:r>
      <w:r w:rsidR="00D95C01" w:rsidRPr="004B7307">
        <w:t xml:space="preserve"> facilities subject to the rule.</w:t>
      </w:r>
    </w:p>
    <w:p w:rsidR="00B50B26" w:rsidRDefault="0087236F" w:rsidP="00F46122">
      <w:pPr>
        <w:pStyle w:val="TableFootnote"/>
      </w:pPr>
      <w:r w:rsidRPr="005F5FDC">
        <w:rPr>
          <w:rStyle w:val="Superscript"/>
        </w:rPr>
        <w:t>b</w:t>
      </w:r>
      <w:r w:rsidR="00F47C05" w:rsidRPr="005F5FDC">
        <w:t xml:space="preserve"> </w:t>
      </w:r>
      <w:r>
        <w:t>This ICR uses th</w:t>
      </w:r>
      <w:r w:rsidR="005A6FD4">
        <w:t>e following labor rates: $130.26</w:t>
      </w:r>
      <w:r>
        <w:t xml:space="preserve"> per hour for Executive, Administrati</w:t>
      </w:r>
      <w:r w:rsidR="005A6FD4">
        <w:t>ve, and Managerial labor; $84.95</w:t>
      </w:r>
      <w:r>
        <w:t xml:space="preserve"> per hour</w:t>
      </w:r>
      <w:r w:rsidR="005A6FD4">
        <w:t xml:space="preserve"> for Technical labor, and $41.18</w:t>
      </w:r>
      <w:r>
        <w:t xml:space="preserve"> per hour for Clerical labor.</w:t>
      </w:r>
      <w:r w:rsidR="00F47C05">
        <w:t xml:space="preserve"> </w:t>
      </w:r>
      <w:r>
        <w:t xml:space="preserve">These rates are from the United States Department of Labor, Bureau of </w:t>
      </w:r>
      <w:r w:rsidR="005A6FD4">
        <w:t>Labo</w:t>
      </w:r>
      <w:r w:rsidR="00E531D7">
        <w:t xml:space="preserve">r Statistics, </w:t>
      </w:r>
      <w:r w:rsidR="005A6FD4">
        <w:t>May 2009</w:t>
      </w:r>
      <w:r w:rsidR="00E531D7">
        <w:t>.</w:t>
      </w:r>
      <w:r w:rsidR="00F47C05">
        <w:t xml:space="preserve"> </w:t>
      </w:r>
      <w:r w:rsidR="00D95C01" w:rsidRPr="004B7307">
        <w:t>The rates are from column 1, ”Total compensation.”</w:t>
      </w:r>
      <w:r w:rsidR="00D95C01">
        <w:t xml:space="preserve"> </w:t>
      </w:r>
      <w:r>
        <w:t>The rates have been increased by 110 percent to account for the benefit packages available to those employed by private industry.</w:t>
      </w:r>
    </w:p>
    <w:p w:rsidR="003A53EF" w:rsidRDefault="00135FE4" w:rsidP="003A53EF">
      <w:pPr>
        <w:pStyle w:val="TableFootnote"/>
      </w:pPr>
      <w:r w:rsidRPr="005F5FDC">
        <w:rPr>
          <w:rStyle w:val="Superscript"/>
        </w:rPr>
        <w:t>c</w:t>
      </w:r>
      <w:r>
        <w:t xml:space="preserve"> </w:t>
      </w:r>
      <w:r w:rsidR="003A53EF">
        <w:t xml:space="preserve">These values are consistent with the </w:t>
      </w:r>
      <w:r w:rsidR="003A53EF" w:rsidRPr="003A53EF">
        <w:rPr>
          <w:rStyle w:val="Italic"/>
        </w:rPr>
        <w:t>Fenceline Monitoring Technical Support Document</w:t>
      </w:r>
      <w:r w:rsidR="003A53EF" w:rsidRPr="0081485D">
        <w:t xml:space="preserve">, </w:t>
      </w:r>
      <w:r w:rsidR="003A53EF">
        <w:t xml:space="preserve">located </w:t>
      </w:r>
      <w:r w:rsidR="003A53EF" w:rsidRPr="0081485D">
        <w:t xml:space="preserve">in </w:t>
      </w:r>
      <w:r w:rsidR="003A53EF">
        <w:t>D</w:t>
      </w:r>
      <w:r w:rsidR="003A53EF" w:rsidRPr="0081485D">
        <w:t>ocket</w:t>
      </w:r>
      <w:r w:rsidR="003A53EF">
        <w:t xml:space="preserve"> ID No. EPA-HQ-OAR-2010-0682.</w:t>
      </w:r>
    </w:p>
    <w:p w:rsidR="00D95C01" w:rsidRDefault="00D95C01" w:rsidP="00680451">
      <w:pPr>
        <w:pStyle w:val="TableFootnote"/>
      </w:pPr>
      <w:r>
        <w:rPr>
          <w:rStyle w:val="Superscript"/>
        </w:rPr>
        <w:t>d</w:t>
      </w:r>
      <w:r>
        <w:t xml:space="preserve"> Notification of compliance status is a one-time response, so used number of facilities subject per year for storage vessels and delayed coking units. Assumed that there are so many relief </w:t>
      </w:r>
      <w:r w:rsidR="00680451">
        <w:t>valves</w:t>
      </w:r>
      <w:r>
        <w:t>, bypass lines, and flares, that facilities will not bring all units into compliance in the same year. Instead, used number of facilities in the second year.</w:t>
      </w:r>
    </w:p>
    <w:p w:rsidR="00D95C01" w:rsidRDefault="00D95C01" w:rsidP="00D95C01">
      <w:pPr>
        <w:pStyle w:val="TableFootnote"/>
      </w:pPr>
      <w:r>
        <w:rPr>
          <w:rStyle w:val="Superscript"/>
        </w:rPr>
        <w:t>e</w:t>
      </w:r>
      <w:r>
        <w:t xml:space="preserve"> These costs represent the additional burden associated with the amendments to subpart CC. These costs are in addition to the current cost of semiannual compliance reporting.</w:t>
      </w:r>
    </w:p>
    <w:p w:rsidR="00D95C01" w:rsidRDefault="00D95C01" w:rsidP="00D95C01">
      <w:pPr>
        <w:pStyle w:val="TableFootnote"/>
      </w:pPr>
      <w:r w:rsidRPr="00557EEE">
        <w:rPr>
          <w:rStyle w:val="Superscript"/>
        </w:rPr>
        <w:t>f</w:t>
      </w:r>
      <w:r>
        <w:t xml:space="preserve"> The operating and maintenance cost of fenceline monitoring and flare monitoring in the second year.</w:t>
      </w:r>
    </w:p>
    <w:p w:rsidR="00B4246B" w:rsidRPr="007523FA" w:rsidRDefault="00D95C01" w:rsidP="00D95C01">
      <w:pPr>
        <w:pStyle w:val="TableFootnote"/>
      </w:pPr>
      <w:r>
        <w:rPr>
          <w:rStyle w:val="Superscript"/>
        </w:rPr>
        <w:t>g</w:t>
      </w:r>
      <w:r w:rsidR="003A53EF">
        <w:t xml:space="preserve"> </w:t>
      </w:r>
      <w:r w:rsidR="00F46122">
        <w:t xml:space="preserve">The total </w:t>
      </w:r>
      <w:r w:rsidR="003F3F52">
        <w:t xml:space="preserve"> </w:t>
      </w:r>
      <w:r w:rsidR="00F46122">
        <w:t>labor burden and cost is the sum of the total labor cost</w:t>
      </w:r>
      <w:r>
        <w:t>, the annualized capital cost, and the operation and maintenance cost</w:t>
      </w:r>
      <w:r w:rsidR="00F46122">
        <w:t>.</w:t>
      </w:r>
      <w:r w:rsidR="00B4246B" w:rsidRPr="007523FA">
        <w:br w:type="page"/>
      </w:r>
    </w:p>
    <w:p w:rsidR="00316627" w:rsidRPr="00E531D7" w:rsidRDefault="00316627" w:rsidP="00F46122">
      <w:pPr>
        <w:pStyle w:val="TableTitle"/>
      </w:pPr>
      <w:r w:rsidRPr="00E531D7">
        <w:lastRenderedPageBreak/>
        <w:t>Table 2.</w:t>
      </w:r>
      <w:r w:rsidR="00F47C05">
        <w:t xml:space="preserve"> </w:t>
      </w:r>
      <w:r w:rsidR="00E531D7" w:rsidRPr="00E531D7">
        <w:t>Annual Burden and Cost to the Federal/State Government: Proposed Amendments to NESHAP for Petroleum Refineries (40 CFR Part 63, Subpart CC).</w:t>
      </w:r>
    </w:p>
    <w:tbl>
      <w:tblPr>
        <w:tblW w:w="5000" w:type="pct"/>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Layout w:type="fixed"/>
        <w:tblCellMar>
          <w:left w:w="115" w:type="dxa"/>
          <w:right w:w="115" w:type="dxa"/>
        </w:tblCellMar>
        <w:tblLook w:val="0000"/>
      </w:tblPr>
      <w:tblGrid>
        <w:gridCol w:w="4057"/>
        <w:gridCol w:w="1290"/>
        <w:gridCol w:w="1248"/>
        <w:gridCol w:w="1260"/>
        <w:gridCol w:w="1350"/>
        <w:gridCol w:w="1440"/>
        <w:gridCol w:w="1350"/>
        <w:gridCol w:w="1285"/>
      </w:tblGrid>
      <w:tr w:rsidR="00F46122" w:rsidTr="00F46122">
        <w:trPr>
          <w:cantSplit/>
        </w:trPr>
        <w:tc>
          <w:tcPr>
            <w:tcW w:w="4057" w:type="dxa"/>
            <w:vMerge w:val="restart"/>
            <w:tcBorders>
              <w:top w:val="single" w:sz="2" w:space="0" w:color="000000"/>
              <w:left w:val="single" w:sz="2" w:space="0" w:color="000000"/>
              <w:right w:val="single" w:sz="2" w:space="0" w:color="000000"/>
            </w:tcBorders>
            <w:vAlign w:val="center"/>
          </w:tcPr>
          <w:p w:rsidR="00F46122" w:rsidRDefault="00F46122" w:rsidP="00205C04">
            <w:pPr>
              <w:pStyle w:val="TableTextCenter10pt"/>
            </w:pPr>
            <w:r>
              <w:t>Activity</w:t>
            </w:r>
          </w:p>
        </w:tc>
        <w:tc>
          <w:tcPr>
            <w:tcW w:w="1290" w:type="dxa"/>
            <w:tcBorders>
              <w:top w:val="single" w:sz="2" w:space="0" w:color="000000"/>
              <w:left w:val="single" w:sz="2" w:space="0" w:color="000000"/>
              <w:bottom w:val="nil"/>
              <w:right w:val="single" w:sz="2" w:space="0" w:color="000000"/>
            </w:tcBorders>
          </w:tcPr>
          <w:p w:rsidR="00F46122" w:rsidRPr="00F33C16" w:rsidRDefault="00F46122" w:rsidP="00205C04">
            <w:pPr>
              <w:pStyle w:val="TableTextCenter10pt"/>
            </w:pPr>
            <w:r w:rsidRPr="00F33C16">
              <w:t>(A)</w:t>
            </w:r>
          </w:p>
        </w:tc>
        <w:tc>
          <w:tcPr>
            <w:tcW w:w="1248" w:type="dxa"/>
            <w:tcBorders>
              <w:top w:val="single" w:sz="2" w:space="0" w:color="000000"/>
              <w:left w:val="single" w:sz="2" w:space="0" w:color="000000"/>
              <w:bottom w:val="nil"/>
              <w:right w:val="single" w:sz="2" w:space="0" w:color="000000"/>
            </w:tcBorders>
          </w:tcPr>
          <w:p w:rsidR="00F46122" w:rsidRPr="00F33C16" w:rsidRDefault="00F46122" w:rsidP="00205C04">
            <w:pPr>
              <w:pStyle w:val="TableTextCenter10pt"/>
            </w:pPr>
            <w:r w:rsidRPr="00F33C16">
              <w:t>(B)</w:t>
            </w:r>
          </w:p>
        </w:tc>
        <w:tc>
          <w:tcPr>
            <w:tcW w:w="1260" w:type="dxa"/>
            <w:tcBorders>
              <w:top w:val="single" w:sz="2" w:space="0" w:color="000000"/>
              <w:left w:val="single" w:sz="2" w:space="0" w:color="000000"/>
              <w:bottom w:val="nil"/>
              <w:right w:val="single" w:sz="2" w:space="0" w:color="000000"/>
            </w:tcBorders>
          </w:tcPr>
          <w:p w:rsidR="00F46122" w:rsidRPr="00F33C16" w:rsidRDefault="00F46122" w:rsidP="00205C04">
            <w:pPr>
              <w:pStyle w:val="TableTextCenter10pt"/>
            </w:pPr>
            <w:r w:rsidRPr="00F33C16">
              <w:t>(C)</w:t>
            </w:r>
          </w:p>
        </w:tc>
        <w:tc>
          <w:tcPr>
            <w:tcW w:w="1350" w:type="dxa"/>
            <w:tcBorders>
              <w:top w:val="single" w:sz="2" w:space="0" w:color="000000"/>
              <w:left w:val="single" w:sz="2" w:space="0" w:color="000000"/>
              <w:bottom w:val="nil"/>
              <w:right w:val="single" w:sz="2" w:space="0" w:color="000000"/>
            </w:tcBorders>
          </w:tcPr>
          <w:p w:rsidR="00F46122" w:rsidRPr="00F33C16" w:rsidRDefault="00F46122" w:rsidP="00205C04">
            <w:pPr>
              <w:pStyle w:val="TableTextCenter10pt"/>
            </w:pPr>
            <w:r w:rsidRPr="00F33C16">
              <w:t>(D)</w:t>
            </w:r>
          </w:p>
        </w:tc>
        <w:tc>
          <w:tcPr>
            <w:tcW w:w="1440" w:type="dxa"/>
            <w:tcBorders>
              <w:top w:val="single" w:sz="2" w:space="0" w:color="000000"/>
              <w:left w:val="single" w:sz="2" w:space="0" w:color="000000"/>
              <w:bottom w:val="nil"/>
              <w:right w:val="single" w:sz="2" w:space="0" w:color="000000"/>
            </w:tcBorders>
          </w:tcPr>
          <w:p w:rsidR="00F46122" w:rsidRPr="00F33C16" w:rsidRDefault="00F46122" w:rsidP="00205C04">
            <w:pPr>
              <w:pStyle w:val="TableTextCenter10pt"/>
            </w:pPr>
            <w:r w:rsidRPr="00F33C16">
              <w:t>(E)</w:t>
            </w:r>
          </w:p>
        </w:tc>
        <w:tc>
          <w:tcPr>
            <w:tcW w:w="1350" w:type="dxa"/>
            <w:tcBorders>
              <w:top w:val="single" w:sz="2" w:space="0" w:color="000000"/>
              <w:left w:val="single" w:sz="2" w:space="0" w:color="000000"/>
              <w:bottom w:val="nil"/>
              <w:right w:val="single" w:sz="2" w:space="0" w:color="000000"/>
            </w:tcBorders>
          </w:tcPr>
          <w:p w:rsidR="00F46122" w:rsidRPr="00F33C16" w:rsidRDefault="00F46122" w:rsidP="00205C04">
            <w:pPr>
              <w:pStyle w:val="TableTextCenter10pt"/>
            </w:pPr>
            <w:r w:rsidRPr="00F33C16">
              <w:t>(F)</w:t>
            </w:r>
          </w:p>
        </w:tc>
        <w:tc>
          <w:tcPr>
            <w:tcW w:w="1285" w:type="dxa"/>
            <w:tcBorders>
              <w:top w:val="single" w:sz="2" w:space="0" w:color="000000"/>
              <w:left w:val="single" w:sz="2" w:space="0" w:color="000000"/>
              <w:bottom w:val="nil"/>
              <w:right w:val="single" w:sz="2" w:space="0" w:color="000000"/>
            </w:tcBorders>
          </w:tcPr>
          <w:p w:rsidR="00F46122" w:rsidRPr="00F33C16" w:rsidRDefault="00F46122" w:rsidP="00205C04">
            <w:pPr>
              <w:pStyle w:val="TableTextCenter10pt"/>
            </w:pPr>
            <w:r w:rsidRPr="00F33C16">
              <w:t>(G)</w:t>
            </w:r>
          </w:p>
        </w:tc>
      </w:tr>
      <w:tr w:rsidR="00F46122" w:rsidTr="00F46122">
        <w:trPr>
          <w:cantSplit/>
        </w:trPr>
        <w:tc>
          <w:tcPr>
            <w:tcW w:w="4057" w:type="dxa"/>
            <w:vMerge/>
            <w:tcBorders>
              <w:left w:val="single" w:sz="2" w:space="0" w:color="000000"/>
              <w:right w:val="single" w:sz="2" w:space="0" w:color="000000"/>
            </w:tcBorders>
            <w:vAlign w:val="center"/>
          </w:tcPr>
          <w:p w:rsidR="00F46122" w:rsidRDefault="00F46122" w:rsidP="00205C04">
            <w:pPr>
              <w:pStyle w:val="TableTextCenter10pt"/>
              <w:rPr>
                <w:rFonts w:cs="Arial"/>
                <w:szCs w:val="16"/>
              </w:rPr>
            </w:pPr>
          </w:p>
        </w:tc>
        <w:tc>
          <w:tcPr>
            <w:tcW w:w="1290" w:type="dxa"/>
            <w:tcBorders>
              <w:top w:val="nil"/>
              <w:left w:val="single" w:sz="2" w:space="0" w:color="000000"/>
              <w:bottom w:val="nil"/>
              <w:right w:val="single" w:sz="2" w:space="0" w:color="000000"/>
            </w:tcBorders>
            <w:vAlign w:val="bottom"/>
          </w:tcPr>
          <w:p w:rsidR="00F46122" w:rsidRPr="00F33C16" w:rsidRDefault="00F46122" w:rsidP="00205C04">
            <w:pPr>
              <w:pStyle w:val="TableTextCenter10pt"/>
            </w:pPr>
            <w:r w:rsidRPr="00F33C16">
              <w:t>Hours per occurrence</w:t>
            </w:r>
          </w:p>
        </w:tc>
        <w:tc>
          <w:tcPr>
            <w:tcW w:w="1248" w:type="dxa"/>
            <w:tcBorders>
              <w:top w:val="nil"/>
              <w:left w:val="single" w:sz="2" w:space="0" w:color="000000"/>
              <w:bottom w:val="nil"/>
              <w:right w:val="single" w:sz="2" w:space="0" w:color="000000"/>
            </w:tcBorders>
            <w:vAlign w:val="bottom"/>
          </w:tcPr>
          <w:p w:rsidR="00F46122" w:rsidRPr="00F33C16" w:rsidRDefault="00F46122" w:rsidP="00205C04">
            <w:pPr>
              <w:pStyle w:val="TableTextCenter10pt"/>
            </w:pPr>
            <w:r w:rsidRPr="00F33C16">
              <w:t>Hours per plant per year</w:t>
            </w:r>
          </w:p>
        </w:tc>
        <w:tc>
          <w:tcPr>
            <w:tcW w:w="1260" w:type="dxa"/>
            <w:tcBorders>
              <w:top w:val="nil"/>
              <w:left w:val="single" w:sz="2" w:space="0" w:color="000000"/>
              <w:bottom w:val="nil"/>
              <w:right w:val="single" w:sz="2" w:space="0" w:color="000000"/>
            </w:tcBorders>
            <w:vAlign w:val="bottom"/>
          </w:tcPr>
          <w:p w:rsidR="00F46122" w:rsidRDefault="00F46122" w:rsidP="00205C04">
            <w:pPr>
              <w:pStyle w:val="TableTextCenter10pt"/>
              <w:rPr>
                <w:rFonts w:cs="Arial"/>
                <w:szCs w:val="16"/>
              </w:rPr>
            </w:pPr>
            <w:r w:rsidRPr="005F5FDC">
              <w:t xml:space="preserve">Plants per year </w:t>
            </w:r>
            <w:r w:rsidRPr="005F5FDC">
              <w:rPr>
                <w:rStyle w:val="Superscript"/>
              </w:rPr>
              <w:t>a</w:t>
            </w:r>
          </w:p>
        </w:tc>
        <w:tc>
          <w:tcPr>
            <w:tcW w:w="1350" w:type="dxa"/>
            <w:tcBorders>
              <w:top w:val="nil"/>
              <w:left w:val="single" w:sz="2" w:space="0" w:color="000000"/>
              <w:bottom w:val="nil"/>
              <w:right w:val="single" w:sz="2" w:space="0" w:color="000000"/>
            </w:tcBorders>
            <w:vAlign w:val="bottom"/>
          </w:tcPr>
          <w:p w:rsidR="00F46122" w:rsidRPr="00F33C16" w:rsidRDefault="00F46122" w:rsidP="00205C04">
            <w:pPr>
              <w:pStyle w:val="TableTextCenter10pt"/>
            </w:pPr>
            <w:r w:rsidRPr="00F33C16">
              <w:t>Technical person-hours per year</w:t>
            </w:r>
          </w:p>
        </w:tc>
        <w:tc>
          <w:tcPr>
            <w:tcW w:w="1440" w:type="dxa"/>
            <w:tcBorders>
              <w:top w:val="nil"/>
              <w:left w:val="single" w:sz="2" w:space="0" w:color="000000"/>
              <w:bottom w:val="nil"/>
              <w:right w:val="single" w:sz="2" w:space="0" w:color="000000"/>
            </w:tcBorders>
            <w:vAlign w:val="bottom"/>
          </w:tcPr>
          <w:p w:rsidR="00F46122" w:rsidRPr="00F33C16" w:rsidRDefault="00F46122" w:rsidP="00205C04">
            <w:pPr>
              <w:pStyle w:val="TableTextCenter10pt"/>
            </w:pPr>
            <w:r w:rsidRPr="00F33C16">
              <w:t>Management person-hours per year</w:t>
            </w:r>
          </w:p>
        </w:tc>
        <w:tc>
          <w:tcPr>
            <w:tcW w:w="1350" w:type="dxa"/>
            <w:tcBorders>
              <w:top w:val="nil"/>
              <w:left w:val="single" w:sz="2" w:space="0" w:color="000000"/>
              <w:bottom w:val="nil"/>
              <w:right w:val="single" w:sz="2" w:space="0" w:color="000000"/>
            </w:tcBorders>
            <w:vAlign w:val="bottom"/>
          </w:tcPr>
          <w:p w:rsidR="00F46122" w:rsidRPr="00F33C16" w:rsidRDefault="00F46122" w:rsidP="00205C04">
            <w:pPr>
              <w:pStyle w:val="TableTextCenter10pt"/>
            </w:pPr>
            <w:r w:rsidRPr="00F33C16">
              <w:t>Clerical person- hours per year</w:t>
            </w:r>
          </w:p>
        </w:tc>
        <w:tc>
          <w:tcPr>
            <w:tcW w:w="1285" w:type="dxa"/>
            <w:tcBorders>
              <w:top w:val="nil"/>
              <w:left w:val="single" w:sz="2" w:space="0" w:color="000000"/>
              <w:bottom w:val="nil"/>
              <w:right w:val="single" w:sz="2" w:space="0" w:color="000000"/>
            </w:tcBorders>
            <w:vAlign w:val="bottom"/>
          </w:tcPr>
          <w:p w:rsidR="00F46122" w:rsidRDefault="00F46122" w:rsidP="00205C04">
            <w:pPr>
              <w:pStyle w:val="TableTextCenter10pt"/>
              <w:rPr>
                <w:rFonts w:cs="Arial"/>
                <w:szCs w:val="16"/>
              </w:rPr>
            </w:pPr>
            <w:r w:rsidRPr="005F5FDC">
              <w:t xml:space="preserve">Cost, $ </w:t>
            </w:r>
            <w:r w:rsidRPr="005F5FDC">
              <w:rPr>
                <w:rStyle w:val="Superscript"/>
              </w:rPr>
              <w:t>b</w:t>
            </w:r>
          </w:p>
        </w:tc>
      </w:tr>
      <w:tr w:rsidR="00F46122" w:rsidTr="00F46122">
        <w:trPr>
          <w:cantSplit/>
        </w:trPr>
        <w:tc>
          <w:tcPr>
            <w:tcW w:w="4057" w:type="dxa"/>
            <w:vMerge/>
            <w:tcBorders>
              <w:left w:val="single" w:sz="2" w:space="0" w:color="000000"/>
              <w:bottom w:val="single" w:sz="2" w:space="0" w:color="000000"/>
              <w:right w:val="single" w:sz="2" w:space="0" w:color="000000"/>
            </w:tcBorders>
            <w:vAlign w:val="center"/>
          </w:tcPr>
          <w:p w:rsidR="00F46122" w:rsidRDefault="00F46122" w:rsidP="00205C04">
            <w:pPr>
              <w:pStyle w:val="TableTextCenter10pt"/>
              <w:rPr>
                <w:rFonts w:cs="Arial"/>
                <w:szCs w:val="16"/>
              </w:rPr>
            </w:pPr>
          </w:p>
        </w:tc>
        <w:tc>
          <w:tcPr>
            <w:tcW w:w="1290" w:type="dxa"/>
            <w:tcBorders>
              <w:top w:val="nil"/>
              <w:left w:val="single" w:sz="2" w:space="0" w:color="000000"/>
              <w:bottom w:val="single" w:sz="2" w:space="0" w:color="000000"/>
              <w:right w:val="single" w:sz="2" w:space="0" w:color="000000"/>
            </w:tcBorders>
          </w:tcPr>
          <w:p w:rsidR="00F46122" w:rsidRPr="00F33C16" w:rsidRDefault="00F46122" w:rsidP="00205C04">
            <w:pPr>
              <w:pStyle w:val="TableTextCenter10pt"/>
            </w:pPr>
            <w:r w:rsidRPr="00F33C16">
              <w:t> </w:t>
            </w:r>
          </w:p>
        </w:tc>
        <w:tc>
          <w:tcPr>
            <w:tcW w:w="1248" w:type="dxa"/>
            <w:tcBorders>
              <w:top w:val="nil"/>
              <w:left w:val="single" w:sz="2" w:space="0" w:color="000000"/>
              <w:bottom w:val="single" w:sz="2" w:space="0" w:color="000000"/>
              <w:right w:val="single" w:sz="2" w:space="0" w:color="000000"/>
            </w:tcBorders>
          </w:tcPr>
          <w:p w:rsidR="00F46122" w:rsidRPr="00F33C16" w:rsidRDefault="00F46122" w:rsidP="00205C04">
            <w:pPr>
              <w:pStyle w:val="TableTextCenter10pt"/>
            </w:pPr>
            <w:r w:rsidRPr="00F33C16">
              <w:t> </w:t>
            </w:r>
          </w:p>
        </w:tc>
        <w:tc>
          <w:tcPr>
            <w:tcW w:w="1260" w:type="dxa"/>
            <w:tcBorders>
              <w:top w:val="nil"/>
              <w:left w:val="single" w:sz="2" w:space="0" w:color="000000"/>
              <w:bottom w:val="single" w:sz="2" w:space="0" w:color="000000"/>
              <w:right w:val="single" w:sz="2" w:space="0" w:color="000000"/>
            </w:tcBorders>
          </w:tcPr>
          <w:p w:rsidR="00F46122" w:rsidRPr="00F33C16" w:rsidRDefault="00F46122" w:rsidP="00205C04">
            <w:pPr>
              <w:pStyle w:val="TableTextCenter10pt"/>
            </w:pPr>
            <w:r w:rsidRPr="00F33C16">
              <w:t> </w:t>
            </w:r>
          </w:p>
        </w:tc>
        <w:tc>
          <w:tcPr>
            <w:tcW w:w="1350" w:type="dxa"/>
            <w:tcBorders>
              <w:top w:val="nil"/>
              <w:left w:val="single" w:sz="2" w:space="0" w:color="000000"/>
              <w:bottom w:val="single" w:sz="2" w:space="0" w:color="000000"/>
              <w:right w:val="single" w:sz="2" w:space="0" w:color="000000"/>
            </w:tcBorders>
          </w:tcPr>
          <w:p w:rsidR="00F46122" w:rsidRPr="00F33C16" w:rsidRDefault="00F46122" w:rsidP="00205C04">
            <w:pPr>
              <w:pStyle w:val="TableTextCenter10pt"/>
            </w:pPr>
            <w:r w:rsidRPr="00F33C16">
              <w:t>(E=B</w:t>
            </w:r>
            <w:r>
              <w:t>×</w:t>
            </w:r>
            <w:r w:rsidRPr="00F33C16">
              <w:t>C)</w:t>
            </w:r>
          </w:p>
        </w:tc>
        <w:tc>
          <w:tcPr>
            <w:tcW w:w="1440" w:type="dxa"/>
            <w:tcBorders>
              <w:top w:val="nil"/>
              <w:left w:val="single" w:sz="2" w:space="0" w:color="000000"/>
              <w:bottom w:val="single" w:sz="2" w:space="0" w:color="000000"/>
              <w:right w:val="single" w:sz="2" w:space="0" w:color="000000"/>
            </w:tcBorders>
          </w:tcPr>
          <w:p w:rsidR="00F46122" w:rsidRPr="00F33C16" w:rsidRDefault="00F46122" w:rsidP="00205C04">
            <w:pPr>
              <w:pStyle w:val="TableTextCenter10pt"/>
            </w:pPr>
            <w:r w:rsidRPr="00F33C16">
              <w:t>(D</w:t>
            </w:r>
            <w:r>
              <w:t>×</w:t>
            </w:r>
            <w:r w:rsidRPr="00F33C16">
              <w:t>0.05)</w:t>
            </w:r>
          </w:p>
        </w:tc>
        <w:tc>
          <w:tcPr>
            <w:tcW w:w="1350" w:type="dxa"/>
            <w:tcBorders>
              <w:top w:val="nil"/>
              <w:left w:val="single" w:sz="2" w:space="0" w:color="000000"/>
              <w:bottom w:val="single" w:sz="2" w:space="0" w:color="000000"/>
              <w:right w:val="single" w:sz="2" w:space="0" w:color="000000"/>
            </w:tcBorders>
          </w:tcPr>
          <w:p w:rsidR="00F46122" w:rsidRPr="00F33C16" w:rsidRDefault="00F46122" w:rsidP="00205C04">
            <w:pPr>
              <w:pStyle w:val="TableTextCenter10pt"/>
            </w:pPr>
            <w:r w:rsidRPr="00F33C16">
              <w:t>(D</w:t>
            </w:r>
            <w:r>
              <w:t>×</w:t>
            </w:r>
            <w:r w:rsidRPr="00F33C16">
              <w:t>0.1)</w:t>
            </w:r>
          </w:p>
        </w:tc>
        <w:tc>
          <w:tcPr>
            <w:tcW w:w="1285" w:type="dxa"/>
            <w:tcBorders>
              <w:top w:val="nil"/>
              <w:left w:val="single" w:sz="2" w:space="0" w:color="000000"/>
              <w:bottom w:val="single" w:sz="2" w:space="0" w:color="000000"/>
              <w:right w:val="single" w:sz="2" w:space="0" w:color="000000"/>
            </w:tcBorders>
          </w:tcPr>
          <w:p w:rsidR="00F46122" w:rsidRPr="00F33C16" w:rsidRDefault="00F46122" w:rsidP="00205C04">
            <w:pPr>
              <w:pStyle w:val="TableTextCenter10pt"/>
            </w:pPr>
            <w:r w:rsidRPr="00F33C16">
              <w:t> </w:t>
            </w:r>
          </w:p>
        </w:tc>
      </w:tr>
      <w:tr w:rsidR="00316627" w:rsidTr="00F46122">
        <w:trPr>
          <w:cantSplit/>
        </w:trPr>
        <w:tc>
          <w:tcPr>
            <w:tcW w:w="4057" w:type="dxa"/>
            <w:tcBorders>
              <w:top w:val="single" w:sz="2" w:space="0" w:color="000000"/>
              <w:left w:val="single" w:sz="2" w:space="0" w:color="000000"/>
              <w:bottom w:val="single" w:sz="2" w:space="0" w:color="000000"/>
              <w:right w:val="single" w:sz="2" w:space="0" w:color="000000"/>
            </w:tcBorders>
          </w:tcPr>
          <w:p w:rsidR="00316627" w:rsidRPr="00E531D7" w:rsidRDefault="00316627" w:rsidP="00F46122">
            <w:pPr>
              <w:pStyle w:val="TableTextLeft10pt"/>
            </w:pPr>
            <w:r w:rsidRPr="00E531D7">
              <w:t>Report Review</w:t>
            </w:r>
          </w:p>
        </w:tc>
        <w:tc>
          <w:tcPr>
            <w:tcW w:w="1290" w:type="dxa"/>
            <w:tcBorders>
              <w:top w:val="single" w:sz="2" w:space="0" w:color="000000"/>
              <w:left w:val="single" w:sz="2" w:space="0" w:color="000000"/>
              <w:bottom w:val="single" w:sz="2" w:space="0" w:color="000000"/>
              <w:right w:val="single" w:sz="2" w:space="0" w:color="000000"/>
            </w:tcBorders>
          </w:tcPr>
          <w:p w:rsidR="00316627" w:rsidRPr="00AE06D7" w:rsidRDefault="00316627" w:rsidP="00AE06D7">
            <w:pPr>
              <w:pStyle w:val="TableTextCenter10pt"/>
            </w:pPr>
          </w:p>
        </w:tc>
        <w:tc>
          <w:tcPr>
            <w:tcW w:w="1248" w:type="dxa"/>
            <w:tcBorders>
              <w:top w:val="single" w:sz="2" w:space="0" w:color="000000"/>
              <w:left w:val="single" w:sz="2" w:space="0" w:color="000000"/>
              <w:bottom w:val="single" w:sz="2" w:space="0" w:color="000000"/>
              <w:right w:val="single" w:sz="2" w:space="0" w:color="000000"/>
            </w:tcBorders>
          </w:tcPr>
          <w:p w:rsidR="00316627" w:rsidRPr="00AE06D7" w:rsidRDefault="00316627" w:rsidP="00AE06D7">
            <w:pPr>
              <w:pStyle w:val="TableTextCenter10pt"/>
            </w:pPr>
          </w:p>
        </w:tc>
        <w:tc>
          <w:tcPr>
            <w:tcW w:w="1260" w:type="dxa"/>
            <w:tcBorders>
              <w:top w:val="single" w:sz="2" w:space="0" w:color="000000"/>
              <w:left w:val="single" w:sz="2" w:space="0" w:color="000000"/>
              <w:bottom w:val="single" w:sz="2" w:space="0" w:color="000000"/>
              <w:right w:val="single" w:sz="2" w:space="0" w:color="000000"/>
            </w:tcBorders>
          </w:tcPr>
          <w:p w:rsidR="00316627" w:rsidRPr="00AE06D7" w:rsidRDefault="00316627" w:rsidP="00AE06D7">
            <w:pPr>
              <w:pStyle w:val="TableTextCenter10pt"/>
            </w:pPr>
          </w:p>
        </w:tc>
        <w:tc>
          <w:tcPr>
            <w:tcW w:w="1350" w:type="dxa"/>
            <w:tcBorders>
              <w:top w:val="single" w:sz="2" w:space="0" w:color="000000"/>
              <w:left w:val="single" w:sz="2" w:space="0" w:color="000000"/>
              <w:bottom w:val="single" w:sz="2" w:space="0" w:color="000000"/>
              <w:right w:val="single" w:sz="2" w:space="0" w:color="000000"/>
            </w:tcBorders>
          </w:tcPr>
          <w:p w:rsidR="00316627" w:rsidRPr="00AE06D7" w:rsidRDefault="00316627" w:rsidP="00AE06D7">
            <w:pPr>
              <w:pStyle w:val="TableTextCenter10pt"/>
            </w:pPr>
          </w:p>
        </w:tc>
        <w:tc>
          <w:tcPr>
            <w:tcW w:w="1440" w:type="dxa"/>
            <w:tcBorders>
              <w:top w:val="single" w:sz="2" w:space="0" w:color="000000"/>
              <w:left w:val="single" w:sz="2" w:space="0" w:color="000000"/>
              <w:bottom w:val="single" w:sz="2" w:space="0" w:color="000000"/>
              <w:right w:val="single" w:sz="2" w:space="0" w:color="000000"/>
            </w:tcBorders>
          </w:tcPr>
          <w:p w:rsidR="00316627" w:rsidRPr="00AE06D7" w:rsidRDefault="00316627" w:rsidP="00AE06D7">
            <w:pPr>
              <w:pStyle w:val="TableTextCenter10pt"/>
            </w:pPr>
          </w:p>
        </w:tc>
        <w:tc>
          <w:tcPr>
            <w:tcW w:w="1350" w:type="dxa"/>
            <w:tcBorders>
              <w:top w:val="single" w:sz="2" w:space="0" w:color="000000"/>
              <w:left w:val="single" w:sz="2" w:space="0" w:color="000000"/>
              <w:bottom w:val="single" w:sz="2" w:space="0" w:color="000000"/>
              <w:right w:val="single" w:sz="2" w:space="0" w:color="000000"/>
            </w:tcBorders>
          </w:tcPr>
          <w:p w:rsidR="00316627" w:rsidRPr="00AE06D7" w:rsidRDefault="00316627" w:rsidP="00AE06D7">
            <w:pPr>
              <w:pStyle w:val="TableTextCenter10pt"/>
            </w:pPr>
          </w:p>
        </w:tc>
        <w:tc>
          <w:tcPr>
            <w:tcW w:w="1285" w:type="dxa"/>
            <w:tcBorders>
              <w:top w:val="single" w:sz="2" w:space="0" w:color="000000"/>
              <w:left w:val="single" w:sz="2" w:space="0" w:color="000000"/>
              <w:bottom w:val="single" w:sz="2" w:space="0" w:color="000000"/>
              <w:right w:val="single" w:sz="2" w:space="0" w:color="000000"/>
            </w:tcBorders>
          </w:tcPr>
          <w:p w:rsidR="00316627" w:rsidRPr="00AE06D7" w:rsidRDefault="00316627" w:rsidP="00AE06D7">
            <w:pPr>
              <w:pStyle w:val="TableTextRight10pt"/>
            </w:pPr>
          </w:p>
        </w:tc>
      </w:tr>
      <w:tr w:rsidR="00AE06D7" w:rsidTr="00557EEE">
        <w:trPr>
          <w:cantSplit/>
        </w:trPr>
        <w:tc>
          <w:tcPr>
            <w:tcW w:w="4057" w:type="dxa"/>
            <w:tcBorders>
              <w:top w:val="single" w:sz="2" w:space="0" w:color="000000"/>
              <w:left w:val="single" w:sz="2" w:space="0" w:color="000000"/>
              <w:bottom w:val="single" w:sz="2" w:space="0" w:color="000000"/>
              <w:right w:val="single" w:sz="2" w:space="0" w:color="000000"/>
            </w:tcBorders>
          </w:tcPr>
          <w:p w:rsidR="00AE06D7" w:rsidRDefault="00AE06D7" w:rsidP="00F46122">
            <w:pPr>
              <w:pStyle w:val="TableTextLeft10ptIndent"/>
            </w:pPr>
            <w:r>
              <w:t>Notification of compliance status</w:t>
            </w:r>
            <w:r w:rsidR="00D95C01">
              <w:t xml:space="preserve"> – Storage vessels, delayed cokers</w:t>
            </w:r>
          </w:p>
        </w:tc>
        <w:tc>
          <w:tcPr>
            <w:tcW w:w="1290" w:type="dxa"/>
            <w:tcBorders>
              <w:top w:val="single" w:sz="2" w:space="0" w:color="000000"/>
              <w:left w:val="single" w:sz="2" w:space="0" w:color="000000"/>
              <w:bottom w:val="single" w:sz="2" w:space="0" w:color="000000"/>
              <w:right w:val="single" w:sz="2" w:space="0" w:color="000000"/>
            </w:tcBorders>
            <w:vAlign w:val="center"/>
          </w:tcPr>
          <w:p w:rsidR="00AE06D7" w:rsidRPr="00AE06D7" w:rsidRDefault="00D95C01" w:rsidP="00D95C01">
            <w:pPr>
              <w:pStyle w:val="TableTextCenter10pt"/>
            </w:pPr>
            <w:r>
              <w:t>1</w:t>
            </w:r>
          </w:p>
        </w:tc>
        <w:tc>
          <w:tcPr>
            <w:tcW w:w="1248" w:type="dxa"/>
            <w:tcBorders>
              <w:top w:val="single" w:sz="2" w:space="0" w:color="000000"/>
              <w:left w:val="single" w:sz="2" w:space="0" w:color="000000"/>
              <w:bottom w:val="single" w:sz="2" w:space="0" w:color="000000"/>
              <w:right w:val="single" w:sz="2" w:space="0" w:color="000000"/>
            </w:tcBorders>
            <w:vAlign w:val="center"/>
          </w:tcPr>
          <w:p w:rsidR="00AE06D7" w:rsidRPr="00AE06D7" w:rsidRDefault="00D95C01" w:rsidP="00D95C01">
            <w:pPr>
              <w:pStyle w:val="TableTextCenter10pt"/>
            </w:pPr>
            <w:r>
              <w:t>2</w:t>
            </w:r>
          </w:p>
        </w:tc>
        <w:tc>
          <w:tcPr>
            <w:tcW w:w="1260" w:type="dxa"/>
            <w:tcBorders>
              <w:top w:val="single" w:sz="2" w:space="0" w:color="000000"/>
              <w:left w:val="single" w:sz="2" w:space="0" w:color="000000"/>
              <w:bottom w:val="single" w:sz="2" w:space="0" w:color="000000"/>
              <w:right w:val="single" w:sz="2" w:space="0" w:color="000000"/>
            </w:tcBorders>
            <w:vAlign w:val="center"/>
          </w:tcPr>
          <w:p w:rsidR="00AE06D7" w:rsidRPr="00AE06D7" w:rsidRDefault="00D95C01" w:rsidP="00D95C01">
            <w:pPr>
              <w:pStyle w:val="TableTextCenter10pt"/>
            </w:pPr>
            <w:r>
              <w:t>47.3</w:t>
            </w:r>
          </w:p>
        </w:tc>
        <w:tc>
          <w:tcPr>
            <w:tcW w:w="1350" w:type="dxa"/>
            <w:tcBorders>
              <w:top w:val="single" w:sz="2" w:space="0" w:color="000000"/>
              <w:left w:val="single" w:sz="2" w:space="0" w:color="000000"/>
              <w:bottom w:val="single" w:sz="2" w:space="0" w:color="000000"/>
              <w:right w:val="single" w:sz="2" w:space="0" w:color="000000"/>
            </w:tcBorders>
            <w:vAlign w:val="center"/>
          </w:tcPr>
          <w:p w:rsidR="00AE06D7" w:rsidRPr="00AE06D7" w:rsidRDefault="00D95C01" w:rsidP="00D95C01">
            <w:pPr>
              <w:pStyle w:val="TableTextCenter10pt"/>
            </w:pPr>
            <w:r>
              <w:t>94.7</w:t>
            </w:r>
          </w:p>
        </w:tc>
        <w:tc>
          <w:tcPr>
            <w:tcW w:w="1440" w:type="dxa"/>
            <w:tcBorders>
              <w:top w:val="single" w:sz="2" w:space="0" w:color="000000"/>
              <w:left w:val="single" w:sz="2" w:space="0" w:color="000000"/>
              <w:bottom w:val="single" w:sz="2" w:space="0" w:color="000000"/>
              <w:right w:val="single" w:sz="2" w:space="0" w:color="000000"/>
            </w:tcBorders>
            <w:vAlign w:val="center"/>
          </w:tcPr>
          <w:p w:rsidR="00AE06D7" w:rsidRPr="00AE06D7" w:rsidRDefault="00D95C01" w:rsidP="00D95C01">
            <w:pPr>
              <w:pStyle w:val="TableTextCenter10pt"/>
            </w:pPr>
            <w:r>
              <w:t>4.73</w:t>
            </w:r>
          </w:p>
        </w:tc>
        <w:tc>
          <w:tcPr>
            <w:tcW w:w="1350" w:type="dxa"/>
            <w:tcBorders>
              <w:top w:val="single" w:sz="2" w:space="0" w:color="000000"/>
              <w:left w:val="single" w:sz="2" w:space="0" w:color="000000"/>
              <w:bottom w:val="single" w:sz="2" w:space="0" w:color="000000"/>
              <w:right w:val="single" w:sz="2" w:space="0" w:color="000000"/>
            </w:tcBorders>
            <w:vAlign w:val="center"/>
          </w:tcPr>
          <w:p w:rsidR="00AE06D7" w:rsidRPr="00AE06D7" w:rsidRDefault="00D95C01" w:rsidP="00D95C01">
            <w:pPr>
              <w:pStyle w:val="TableTextCenter10pt"/>
            </w:pPr>
            <w:r>
              <w:t>9.47</w:t>
            </w:r>
          </w:p>
        </w:tc>
        <w:tc>
          <w:tcPr>
            <w:tcW w:w="1285" w:type="dxa"/>
            <w:tcBorders>
              <w:top w:val="single" w:sz="2" w:space="0" w:color="000000"/>
              <w:left w:val="single" w:sz="2" w:space="0" w:color="000000"/>
              <w:bottom w:val="single" w:sz="2" w:space="0" w:color="000000"/>
              <w:right w:val="single" w:sz="2" w:space="0" w:color="000000"/>
            </w:tcBorders>
            <w:vAlign w:val="center"/>
          </w:tcPr>
          <w:p w:rsidR="00AE06D7" w:rsidRPr="00D95C01" w:rsidRDefault="00AE06D7" w:rsidP="00D95C01">
            <w:pPr>
              <w:pStyle w:val="TableTextRight10pt"/>
            </w:pPr>
            <w:r w:rsidRPr="00D95C01">
              <w:t>$</w:t>
            </w:r>
            <w:r w:rsidR="00D95C01">
              <w:t>4,833</w:t>
            </w:r>
          </w:p>
        </w:tc>
      </w:tr>
      <w:tr w:rsidR="00D95C01" w:rsidTr="00557EEE">
        <w:trPr>
          <w:cantSplit/>
        </w:trPr>
        <w:tc>
          <w:tcPr>
            <w:tcW w:w="4057" w:type="dxa"/>
            <w:tcBorders>
              <w:top w:val="single" w:sz="2" w:space="0" w:color="000000"/>
              <w:left w:val="single" w:sz="2" w:space="0" w:color="000000"/>
              <w:bottom w:val="single" w:sz="2" w:space="0" w:color="000000"/>
              <w:right w:val="single" w:sz="2" w:space="0" w:color="000000"/>
            </w:tcBorders>
          </w:tcPr>
          <w:p w:rsidR="00D95C01" w:rsidRDefault="00D95C01" w:rsidP="00680451">
            <w:pPr>
              <w:pStyle w:val="TableTextLeft10ptIndent"/>
            </w:pPr>
            <w:r>
              <w:t xml:space="preserve">Notification of compliance status – </w:t>
            </w:r>
            <w:r w:rsidR="00680451">
              <w:t>R</w:t>
            </w:r>
            <w:r>
              <w:t>elief</w:t>
            </w:r>
            <w:r w:rsidR="00680451">
              <w:t xml:space="preserve"> valves</w:t>
            </w:r>
            <w:r>
              <w:t>, bypass lines, flares</w:t>
            </w:r>
          </w:p>
        </w:tc>
        <w:tc>
          <w:tcPr>
            <w:tcW w:w="1290" w:type="dxa"/>
            <w:tcBorders>
              <w:top w:val="single" w:sz="2" w:space="0" w:color="000000"/>
              <w:left w:val="single" w:sz="2" w:space="0" w:color="000000"/>
              <w:bottom w:val="single" w:sz="2" w:space="0" w:color="000000"/>
              <w:right w:val="single" w:sz="2" w:space="0" w:color="000000"/>
            </w:tcBorders>
            <w:vAlign w:val="center"/>
          </w:tcPr>
          <w:p w:rsidR="00D95C01" w:rsidRPr="00AE06D7" w:rsidRDefault="00D95C01" w:rsidP="00D95C01">
            <w:pPr>
              <w:pStyle w:val="TableTextCenter10pt"/>
            </w:pPr>
            <w:r>
              <w:t>1</w:t>
            </w:r>
          </w:p>
        </w:tc>
        <w:tc>
          <w:tcPr>
            <w:tcW w:w="1248" w:type="dxa"/>
            <w:tcBorders>
              <w:top w:val="single" w:sz="2" w:space="0" w:color="000000"/>
              <w:left w:val="single" w:sz="2" w:space="0" w:color="000000"/>
              <w:bottom w:val="single" w:sz="2" w:space="0" w:color="000000"/>
              <w:right w:val="single" w:sz="2" w:space="0" w:color="000000"/>
            </w:tcBorders>
            <w:vAlign w:val="center"/>
          </w:tcPr>
          <w:p w:rsidR="00D95C01" w:rsidRPr="00AE06D7" w:rsidRDefault="00D95C01" w:rsidP="00D95C01">
            <w:pPr>
              <w:pStyle w:val="TableTextCenter10pt"/>
            </w:pPr>
            <w:r>
              <w:t>3</w:t>
            </w:r>
          </w:p>
        </w:tc>
        <w:tc>
          <w:tcPr>
            <w:tcW w:w="1260" w:type="dxa"/>
            <w:tcBorders>
              <w:top w:val="single" w:sz="2" w:space="0" w:color="000000"/>
              <w:left w:val="single" w:sz="2" w:space="0" w:color="000000"/>
              <w:bottom w:val="single" w:sz="2" w:space="0" w:color="000000"/>
              <w:right w:val="single" w:sz="2" w:space="0" w:color="000000"/>
            </w:tcBorders>
            <w:vAlign w:val="center"/>
          </w:tcPr>
          <w:p w:rsidR="00D95C01" w:rsidRPr="00D95C01" w:rsidRDefault="00D95C01" w:rsidP="00D95C01">
            <w:pPr>
              <w:pStyle w:val="TableTextCenter10pt"/>
            </w:pPr>
            <w:r w:rsidRPr="00D95C01">
              <w:t>94.7</w:t>
            </w:r>
          </w:p>
        </w:tc>
        <w:tc>
          <w:tcPr>
            <w:tcW w:w="1350" w:type="dxa"/>
            <w:tcBorders>
              <w:top w:val="single" w:sz="2" w:space="0" w:color="000000"/>
              <w:left w:val="single" w:sz="2" w:space="0" w:color="000000"/>
              <w:bottom w:val="single" w:sz="2" w:space="0" w:color="000000"/>
              <w:right w:val="single" w:sz="2" w:space="0" w:color="000000"/>
            </w:tcBorders>
            <w:vAlign w:val="center"/>
          </w:tcPr>
          <w:p w:rsidR="00D95C01" w:rsidRPr="00D95C01" w:rsidRDefault="00D95C01" w:rsidP="00D95C01">
            <w:pPr>
              <w:pStyle w:val="TableTextCenter10pt"/>
            </w:pPr>
            <w:r w:rsidRPr="00D95C01">
              <w:t>284</w:t>
            </w:r>
          </w:p>
        </w:tc>
        <w:tc>
          <w:tcPr>
            <w:tcW w:w="1440" w:type="dxa"/>
            <w:tcBorders>
              <w:top w:val="single" w:sz="2" w:space="0" w:color="000000"/>
              <w:left w:val="single" w:sz="2" w:space="0" w:color="000000"/>
              <w:bottom w:val="single" w:sz="2" w:space="0" w:color="000000"/>
              <w:right w:val="single" w:sz="2" w:space="0" w:color="000000"/>
            </w:tcBorders>
            <w:vAlign w:val="center"/>
          </w:tcPr>
          <w:p w:rsidR="00D95C01" w:rsidRPr="00D95C01" w:rsidRDefault="00D95C01" w:rsidP="00D95C01">
            <w:pPr>
              <w:pStyle w:val="TableTextCenter10pt"/>
            </w:pPr>
            <w:r w:rsidRPr="00D95C01">
              <w:t>14.2</w:t>
            </w:r>
          </w:p>
        </w:tc>
        <w:tc>
          <w:tcPr>
            <w:tcW w:w="1350" w:type="dxa"/>
            <w:tcBorders>
              <w:top w:val="single" w:sz="2" w:space="0" w:color="000000"/>
              <w:left w:val="single" w:sz="2" w:space="0" w:color="000000"/>
              <w:bottom w:val="single" w:sz="2" w:space="0" w:color="000000"/>
              <w:right w:val="single" w:sz="2" w:space="0" w:color="000000"/>
            </w:tcBorders>
            <w:vAlign w:val="center"/>
          </w:tcPr>
          <w:p w:rsidR="00D95C01" w:rsidRPr="00D95C01" w:rsidRDefault="00D95C01" w:rsidP="00D95C01">
            <w:pPr>
              <w:pStyle w:val="TableTextCenter10pt"/>
            </w:pPr>
            <w:r w:rsidRPr="00D95C01">
              <w:t>28.4</w:t>
            </w:r>
          </w:p>
        </w:tc>
        <w:tc>
          <w:tcPr>
            <w:tcW w:w="1285" w:type="dxa"/>
            <w:tcBorders>
              <w:top w:val="single" w:sz="2" w:space="0" w:color="000000"/>
              <w:left w:val="single" w:sz="2" w:space="0" w:color="000000"/>
              <w:bottom w:val="single" w:sz="2" w:space="0" w:color="000000"/>
              <w:right w:val="single" w:sz="2" w:space="0" w:color="000000"/>
            </w:tcBorders>
            <w:vAlign w:val="center"/>
          </w:tcPr>
          <w:p w:rsidR="00D95C01" w:rsidRPr="00D95C01" w:rsidRDefault="00D95C01" w:rsidP="00D95C01">
            <w:pPr>
              <w:pStyle w:val="TableTextRight10pt"/>
            </w:pPr>
            <w:r w:rsidRPr="00D95C01">
              <w:t>$</w:t>
            </w:r>
            <w:r>
              <w:t>14,499</w:t>
            </w:r>
          </w:p>
        </w:tc>
      </w:tr>
      <w:tr w:rsidR="00D95C01" w:rsidTr="00557EEE">
        <w:trPr>
          <w:cantSplit/>
        </w:trPr>
        <w:tc>
          <w:tcPr>
            <w:tcW w:w="4057" w:type="dxa"/>
            <w:tcBorders>
              <w:top w:val="single" w:sz="2" w:space="0" w:color="000000"/>
              <w:left w:val="single" w:sz="2" w:space="0" w:color="000000"/>
              <w:bottom w:val="single" w:sz="2" w:space="0" w:color="000000"/>
              <w:right w:val="single" w:sz="2" w:space="0" w:color="000000"/>
            </w:tcBorders>
          </w:tcPr>
          <w:p w:rsidR="00D95C01" w:rsidRDefault="00D95C01" w:rsidP="00D95C01">
            <w:pPr>
              <w:pStyle w:val="TableTextLeft10ptIndent"/>
            </w:pPr>
            <w:r>
              <w:t>Semiannual reports – Storage</w:t>
            </w:r>
          </w:p>
        </w:tc>
        <w:tc>
          <w:tcPr>
            <w:tcW w:w="1290" w:type="dxa"/>
            <w:tcBorders>
              <w:top w:val="single" w:sz="2" w:space="0" w:color="000000"/>
              <w:left w:val="single" w:sz="2" w:space="0" w:color="000000"/>
              <w:bottom w:val="single" w:sz="2" w:space="0" w:color="000000"/>
              <w:right w:val="single" w:sz="2" w:space="0" w:color="000000"/>
            </w:tcBorders>
            <w:vAlign w:val="center"/>
          </w:tcPr>
          <w:p w:rsidR="00D95C01" w:rsidRPr="00AE06D7" w:rsidRDefault="00D95C01" w:rsidP="00D95C01">
            <w:pPr>
              <w:pStyle w:val="TableTextCenter10pt"/>
            </w:pPr>
            <w:r w:rsidRPr="00AE06D7">
              <w:t>0.25</w:t>
            </w:r>
          </w:p>
        </w:tc>
        <w:tc>
          <w:tcPr>
            <w:tcW w:w="1248" w:type="dxa"/>
            <w:tcBorders>
              <w:top w:val="single" w:sz="2" w:space="0" w:color="000000"/>
              <w:left w:val="single" w:sz="2" w:space="0" w:color="000000"/>
              <w:bottom w:val="single" w:sz="2" w:space="0" w:color="000000"/>
              <w:right w:val="single" w:sz="2" w:space="0" w:color="000000"/>
            </w:tcBorders>
            <w:vAlign w:val="center"/>
          </w:tcPr>
          <w:p w:rsidR="00D95C01" w:rsidRPr="00AE06D7" w:rsidRDefault="00D95C01" w:rsidP="00D95C01">
            <w:pPr>
              <w:pStyle w:val="TableTextCenter10pt"/>
            </w:pPr>
            <w:r w:rsidRPr="00AE06D7">
              <w:t>0.5</w:t>
            </w:r>
          </w:p>
        </w:tc>
        <w:tc>
          <w:tcPr>
            <w:tcW w:w="1260" w:type="dxa"/>
            <w:tcBorders>
              <w:top w:val="single" w:sz="2" w:space="0" w:color="000000"/>
              <w:left w:val="single" w:sz="2" w:space="0" w:color="000000"/>
              <w:bottom w:val="single" w:sz="2" w:space="0" w:color="000000"/>
              <w:right w:val="single" w:sz="2" w:space="0" w:color="000000"/>
            </w:tcBorders>
          </w:tcPr>
          <w:p w:rsidR="00D95C01" w:rsidRPr="00AE06D7" w:rsidRDefault="00D95C01" w:rsidP="00D95C01">
            <w:pPr>
              <w:pStyle w:val="TableTextCenter10pt"/>
            </w:pPr>
            <w:r w:rsidRPr="00CC4503">
              <w:t>94.7</w:t>
            </w:r>
          </w:p>
        </w:tc>
        <w:tc>
          <w:tcPr>
            <w:tcW w:w="1350" w:type="dxa"/>
            <w:tcBorders>
              <w:top w:val="single" w:sz="2" w:space="0" w:color="000000"/>
              <w:left w:val="single" w:sz="2" w:space="0" w:color="000000"/>
              <w:bottom w:val="single" w:sz="2" w:space="0" w:color="000000"/>
              <w:right w:val="single" w:sz="2" w:space="0" w:color="000000"/>
            </w:tcBorders>
            <w:vAlign w:val="center"/>
          </w:tcPr>
          <w:p w:rsidR="00D95C01" w:rsidRPr="00AE06D7" w:rsidRDefault="00D95C01" w:rsidP="00D95C01">
            <w:pPr>
              <w:pStyle w:val="TableTextCenter10pt"/>
            </w:pPr>
            <w:r w:rsidRPr="00AE06D7">
              <w:t>4</w:t>
            </w:r>
            <w:r>
              <w:t>7</w:t>
            </w:r>
            <w:r w:rsidRPr="00AE06D7">
              <w:t>.3</w:t>
            </w:r>
          </w:p>
        </w:tc>
        <w:tc>
          <w:tcPr>
            <w:tcW w:w="1440" w:type="dxa"/>
            <w:tcBorders>
              <w:top w:val="single" w:sz="2" w:space="0" w:color="000000"/>
              <w:left w:val="single" w:sz="2" w:space="0" w:color="000000"/>
              <w:bottom w:val="single" w:sz="2" w:space="0" w:color="000000"/>
              <w:right w:val="single" w:sz="2" w:space="0" w:color="000000"/>
            </w:tcBorders>
            <w:vAlign w:val="center"/>
          </w:tcPr>
          <w:p w:rsidR="00D95C01" w:rsidRPr="00AE06D7" w:rsidRDefault="00D95C01" w:rsidP="00D95C01">
            <w:pPr>
              <w:pStyle w:val="TableTextCenter10pt"/>
            </w:pPr>
            <w:r w:rsidRPr="00AE06D7">
              <w:t>2.</w:t>
            </w:r>
            <w:r>
              <w:t>37</w:t>
            </w:r>
          </w:p>
        </w:tc>
        <w:tc>
          <w:tcPr>
            <w:tcW w:w="1350" w:type="dxa"/>
            <w:tcBorders>
              <w:top w:val="single" w:sz="2" w:space="0" w:color="000000"/>
              <w:left w:val="single" w:sz="2" w:space="0" w:color="000000"/>
              <w:bottom w:val="single" w:sz="2" w:space="0" w:color="000000"/>
              <w:right w:val="single" w:sz="2" w:space="0" w:color="000000"/>
            </w:tcBorders>
            <w:vAlign w:val="center"/>
          </w:tcPr>
          <w:p w:rsidR="00D95C01" w:rsidRPr="00AE06D7" w:rsidRDefault="00D95C01" w:rsidP="00D95C01">
            <w:pPr>
              <w:pStyle w:val="TableTextCenter10pt"/>
            </w:pPr>
            <w:r w:rsidRPr="00AE06D7">
              <w:t>4.</w:t>
            </w:r>
            <w:r>
              <w:t>73</w:t>
            </w:r>
          </w:p>
        </w:tc>
        <w:tc>
          <w:tcPr>
            <w:tcW w:w="1285" w:type="dxa"/>
            <w:tcBorders>
              <w:top w:val="single" w:sz="2" w:space="0" w:color="000000"/>
              <w:left w:val="single" w:sz="2" w:space="0" w:color="000000"/>
              <w:bottom w:val="single" w:sz="2" w:space="0" w:color="000000"/>
              <w:right w:val="single" w:sz="2" w:space="0" w:color="000000"/>
            </w:tcBorders>
            <w:vAlign w:val="center"/>
          </w:tcPr>
          <w:p w:rsidR="00D95C01" w:rsidRPr="00D95C01" w:rsidRDefault="00D95C01" w:rsidP="00D95C01">
            <w:pPr>
              <w:pStyle w:val="TableTextRight10pt"/>
            </w:pPr>
            <w:r w:rsidRPr="00D95C01">
              <w:t>$2,</w:t>
            </w:r>
            <w:r>
              <w:t>416</w:t>
            </w:r>
          </w:p>
        </w:tc>
      </w:tr>
      <w:tr w:rsidR="00D95C01" w:rsidTr="00557EEE">
        <w:trPr>
          <w:cantSplit/>
        </w:trPr>
        <w:tc>
          <w:tcPr>
            <w:tcW w:w="4057" w:type="dxa"/>
            <w:tcBorders>
              <w:top w:val="single" w:sz="2" w:space="0" w:color="000000"/>
              <w:left w:val="single" w:sz="2" w:space="0" w:color="000000"/>
              <w:bottom w:val="single" w:sz="2" w:space="0" w:color="000000"/>
              <w:right w:val="single" w:sz="2" w:space="0" w:color="000000"/>
            </w:tcBorders>
          </w:tcPr>
          <w:p w:rsidR="00D95C01" w:rsidRDefault="00D95C01" w:rsidP="00680451">
            <w:pPr>
              <w:pStyle w:val="TableTextLeft10ptIndent"/>
            </w:pPr>
            <w:r>
              <w:t xml:space="preserve">Semiannual reports – </w:t>
            </w:r>
            <w:r w:rsidR="00680451">
              <w:t>R</w:t>
            </w:r>
            <w:r>
              <w:t>elief</w:t>
            </w:r>
            <w:r w:rsidR="00680451">
              <w:t xml:space="preserve"> valves</w:t>
            </w:r>
          </w:p>
        </w:tc>
        <w:tc>
          <w:tcPr>
            <w:tcW w:w="1290" w:type="dxa"/>
            <w:tcBorders>
              <w:top w:val="single" w:sz="2" w:space="0" w:color="000000"/>
              <w:left w:val="single" w:sz="2" w:space="0" w:color="000000"/>
              <w:bottom w:val="single" w:sz="2" w:space="0" w:color="000000"/>
              <w:right w:val="single" w:sz="2" w:space="0" w:color="000000"/>
            </w:tcBorders>
            <w:vAlign w:val="center"/>
          </w:tcPr>
          <w:p w:rsidR="00D95C01" w:rsidRPr="00AE06D7" w:rsidRDefault="00D95C01" w:rsidP="00D95C01">
            <w:pPr>
              <w:pStyle w:val="TableTextCenter10pt"/>
            </w:pPr>
            <w:r w:rsidRPr="00AE06D7">
              <w:t>1</w:t>
            </w:r>
          </w:p>
        </w:tc>
        <w:tc>
          <w:tcPr>
            <w:tcW w:w="1248" w:type="dxa"/>
            <w:tcBorders>
              <w:top w:val="single" w:sz="2" w:space="0" w:color="000000"/>
              <w:left w:val="single" w:sz="2" w:space="0" w:color="000000"/>
              <w:bottom w:val="single" w:sz="2" w:space="0" w:color="000000"/>
              <w:right w:val="single" w:sz="2" w:space="0" w:color="000000"/>
            </w:tcBorders>
            <w:vAlign w:val="center"/>
          </w:tcPr>
          <w:p w:rsidR="00D95C01" w:rsidRPr="00AE06D7" w:rsidRDefault="00D95C01" w:rsidP="00D95C01">
            <w:pPr>
              <w:pStyle w:val="TableTextCenter10pt"/>
            </w:pPr>
            <w:r w:rsidRPr="00AE06D7">
              <w:t>2</w:t>
            </w:r>
          </w:p>
        </w:tc>
        <w:tc>
          <w:tcPr>
            <w:tcW w:w="1260" w:type="dxa"/>
            <w:tcBorders>
              <w:top w:val="single" w:sz="2" w:space="0" w:color="000000"/>
              <w:left w:val="single" w:sz="2" w:space="0" w:color="000000"/>
              <w:bottom w:val="single" w:sz="2" w:space="0" w:color="000000"/>
              <w:right w:val="single" w:sz="2" w:space="0" w:color="000000"/>
            </w:tcBorders>
          </w:tcPr>
          <w:p w:rsidR="00D95C01" w:rsidRPr="00AE06D7" w:rsidRDefault="00D95C01" w:rsidP="00D95C01">
            <w:pPr>
              <w:pStyle w:val="TableTextCenter10pt"/>
            </w:pPr>
            <w:r w:rsidRPr="00CC4503">
              <w:t>94.7</w:t>
            </w:r>
          </w:p>
        </w:tc>
        <w:tc>
          <w:tcPr>
            <w:tcW w:w="1350" w:type="dxa"/>
            <w:tcBorders>
              <w:top w:val="single" w:sz="2" w:space="0" w:color="000000"/>
              <w:left w:val="single" w:sz="2" w:space="0" w:color="000000"/>
              <w:bottom w:val="single" w:sz="2" w:space="0" w:color="000000"/>
              <w:right w:val="single" w:sz="2" w:space="0" w:color="000000"/>
            </w:tcBorders>
            <w:vAlign w:val="center"/>
          </w:tcPr>
          <w:p w:rsidR="00D95C01" w:rsidRPr="00AE06D7" w:rsidRDefault="00D95C01" w:rsidP="00D95C01">
            <w:pPr>
              <w:pStyle w:val="TableTextCenter10pt"/>
            </w:pPr>
            <w:r w:rsidRPr="00AE06D7">
              <w:t>1</w:t>
            </w:r>
            <w:r>
              <w:t>8</w:t>
            </w:r>
            <w:r w:rsidRPr="00AE06D7">
              <w:t>9</w:t>
            </w:r>
          </w:p>
        </w:tc>
        <w:tc>
          <w:tcPr>
            <w:tcW w:w="1440" w:type="dxa"/>
            <w:tcBorders>
              <w:top w:val="single" w:sz="2" w:space="0" w:color="000000"/>
              <w:left w:val="single" w:sz="2" w:space="0" w:color="000000"/>
              <w:bottom w:val="single" w:sz="2" w:space="0" w:color="000000"/>
              <w:right w:val="single" w:sz="2" w:space="0" w:color="000000"/>
            </w:tcBorders>
            <w:vAlign w:val="center"/>
          </w:tcPr>
          <w:p w:rsidR="00D95C01" w:rsidRPr="00AE06D7" w:rsidRDefault="00D95C01" w:rsidP="00D95C01">
            <w:pPr>
              <w:pStyle w:val="TableTextCenter10pt"/>
            </w:pPr>
            <w:r w:rsidRPr="00AE06D7">
              <w:t>9.</w:t>
            </w:r>
            <w:r>
              <w:t>47</w:t>
            </w:r>
          </w:p>
        </w:tc>
        <w:tc>
          <w:tcPr>
            <w:tcW w:w="1350" w:type="dxa"/>
            <w:tcBorders>
              <w:top w:val="single" w:sz="2" w:space="0" w:color="000000"/>
              <w:left w:val="single" w:sz="2" w:space="0" w:color="000000"/>
              <w:bottom w:val="single" w:sz="2" w:space="0" w:color="000000"/>
              <w:right w:val="single" w:sz="2" w:space="0" w:color="000000"/>
            </w:tcBorders>
            <w:vAlign w:val="center"/>
          </w:tcPr>
          <w:p w:rsidR="00D95C01" w:rsidRPr="00AE06D7" w:rsidRDefault="00D95C01" w:rsidP="00D95C01">
            <w:pPr>
              <w:pStyle w:val="TableTextCenter10pt"/>
            </w:pPr>
            <w:r w:rsidRPr="00AE06D7">
              <w:t>1</w:t>
            </w:r>
            <w:r>
              <w:t>8.</w:t>
            </w:r>
            <w:r w:rsidRPr="00AE06D7">
              <w:t>9</w:t>
            </w:r>
          </w:p>
        </w:tc>
        <w:tc>
          <w:tcPr>
            <w:tcW w:w="1285" w:type="dxa"/>
            <w:tcBorders>
              <w:top w:val="single" w:sz="2" w:space="0" w:color="000000"/>
              <w:left w:val="single" w:sz="2" w:space="0" w:color="000000"/>
              <w:bottom w:val="single" w:sz="2" w:space="0" w:color="000000"/>
              <w:right w:val="single" w:sz="2" w:space="0" w:color="000000"/>
            </w:tcBorders>
            <w:vAlign w:val="center"/>
          </w:tcPr>
          <w:p w:rsidR="00D95C01" w:rsidRPr="00D95C01" w:rsidRDefault="00D95C01" w:rsidP="00D95C01">
            <w:pPr>
              <w:pStyle w:val="TableTextRight10pt"/>
            </w:pPr>
            <w:r w:rsidRPr="00D95C01">
              <w:t>$</w:t>
            </w:r>
            <w:r>
              <w:t>9,666</w:t>
            </w:r>
          </w:p>
        </w:tc>
      </w:tr>
      <w:tr w:rsidR="00D95C01" w:rsidTr="00557EEE">
        <w:trPr>
          <w:cantSplit/>
        </w:trPr>
        <w:tc>
          <w:tcPr>
            <w:tcW w:w="4057" w:type="dxa"/>
            <w:tcBorders>
              <w:top w:val="single" w:sz="2" w:space="0" w:color="000000"/>
              <w:left w:val="single" w:sz="2" w:space="0" w:color="000000"/>
              <w:bottom w:val="single" w:sz="2" w:space="0" w:color="000000"/>
              <w:right w:val="single" w:sz="2" w:space="0" w:color="000000"/>
            </w:tcBorders>
          </w:tcPr>
          <w:p w:rsidR="00D95C01" w:rsidRDefault="00D95C01" w:rsidP="00D95C01">
            <w:pPr>
              <w:pStyle w:val="TableTextLeft10ptIndent"/>
            </w:pPr>
            <w:r>
              <w:t>Semiannual reports – Bypass lines</w:t>
            </w:r>
          </w:p>
        </w:tc>
        <w:tc>
          <w:tcPr>
            <w:tcW w:w="1290" w:type="dxa"/>
            <w:tcBorders>
              <w:top w:val="single" w:sz="2" w:space="0" w:color="000000"/>
              <w:left w:val="single" w:sz="2" w:space="0" w:color="000000"/>
              <w:bottom w:val="single" w:sz="2" w:space="0" w:color="000000"/>
              <w:right w:val="single" w:sz="2" w:space="0" w:color="000000"/>
            </w:tcBorders>
            <w:vAlign w:val="center"/>
          </w:tcPr>
          <w:p w:rsidR="00D95C01" w:rsidRPr="00AE06D7" w:rsidRDefault="00D95C01" w:rsidP="00D95C01">
            <w:pPr>
              <w:pStyle w:val="TableTextCenter10pt"/>
            </w:pPr>
            <w:r w:rsidRPr="00AE06D7">
              <w:t>0.25</w:t>
            </w:r>
          </w:p>
        </w:tc>
        <w:tc>
          <w:tcPr>
            <w:tcW w:w="1248" w:type="dxa"/>
            <w:tcBorders>
              <w:top w:val="single" w:sz="2" w:space="0" w:color="000000"/>
              <w:left w:val="single" w:sz="2" w:space="0" w:color="000000"/>
              <w:bottom w:val="single" w:sz="2" w:space="0" w:color="000000"/>
              <w:right w:val="single" w:sz="2" w:space="0" w:color="000000"/>
            </w:tcBorders>
            <w:vAlign w:val="center"/>
          </w:tcPr>
          <w:p w:rsidR="00D95C01" w:rsidRPr="00AE06D7" w:rsidRDefault="00D95C01" w:rsidP="00D95C01">
            <w:pPr>
              <w:pStyle w:val="TableTextCenter10pt"/>
            </w:pPr>
            <w:r w:rsidRPr="00AE06D7">
              <w:t>0.5</w:t>
            </w:r>
          </w:p>
        </w:tc>
        <w:tc>
          <w:tcPr>
            <w:tcW w:w="1260" w:type="dxa"/>
            <w:tcBorders>
              <w:top w:val="single" w:sz="2" w:space="0" w:color="000000"/>
              <w:left w:val="single" w:sz="2" w:space="0" w:color="000000"/>
              <w:bottom w:val="single" w:sz="2" w:space="0" w:color="000000"/>
              <w:right w:val="single" w:sz="2" w:space="0" w:color="000000"/>
            </w:tcBorders>
          </w:tcPr>
          <w:p w:rsidR="00D95C01" w:rsidRPr="00AE06D7" w:rsidRDefault="00D95C01" w:rsidP="00D95C01">
            <w:pPr>
              <w:pStyle w:val="TableTextCenter10pt"/>
            </w:pPr>
            <w:r w:rsidRPr="00CC4503">
              <w:t>94.7</w:t>
            </w:r>
          </w:p>
        </w:tc>
        <w:tc>
          <w:tcPr>
            <w:tcW w:w="1350" w:type="dxa"/>
            <w:tcBorders>
              <w:top w:val="single" w:sz="2" w:space="0" w:color="000000"/>
              <w:left w:val="single" w:sz="2" w:space="0" w:color="000000"/>
              <w:bottom w:val="single" w:sz="2" w:space="0" w:color="000000"/>
              <w:right w:val="single" w:sz="2" w:space="0" w:color="000000"/>
            </w:tcBorders>
            <w:vAlign w:val="center"/>
          </w:tcPr>
          <w:p w:rsidR="00D95C01" w:rsidRPr="00AE06D7" w:rsidRDefault="00D95C01" w:rsidP="00D95C01">
            <w:pPr>
              <w:pStyle w:val="TableTextCenter10pt"/>
            </w:pPr>
            <w:r w:rsidRPr="00AE06D7">
              <w:t>4</w:t>
            </w:r>
            <w:r>
              <w:t>7</w:t>
            </w:r>
            <w:r w:rsidRPr="00AE06D7">
              <w:t>.3</w:t>
            </w:r>
          </w:p>
        </w:tc>
        <w:tc>
          <w:tcPr>
            <w:tcW w:w="1440" w:type="dxa"/>
            <w:tcBorders>
              <w:top w:val="single" w:sz="2" w:space="0" w:color="000000"/>
              <w:left w:val="single" w:sz="2" w:space="0" w:color="000000"/>
              <w:bottom w:val="single" w:sz="2" w:space="0" w:color="000000"/>
              <w:right w:val="single" w:sz="2" w:space="0" w:color="000000"/>
            </w:tcBorders>
            <w:vAlign w:val="center"/>
          </w:tcPr>
          <w:p w:rsidR="00D95C01" w:rsidRPr="00AE06D7" w:rsidRDefault="00D95C01" w:rsidP="00D95C01">
            <w:pPr>
              <w:pStyle w:val="TableTextCenter10pt"/>
            </w:pPr>
            <w:r w:rsidRPr="00AE06D7">
              <w:t>2.</w:t>
            </w:r>
            <w:r>
              <w:t>37</w:t>
            </w:r>
          </w:p>
        </w:tc>
        <w:tc>
          <w:tcPr>
            <w:tcW w:w="1350" w:type="dxa"/>
            <w:tcBorders>
              <w:top w:val="single" w:sz="2" w:space="0" w:color="000000"/>
              <w:left w:val="single" w:sz="2" w:space="0" w:color="000000"/>
              <w:bottom w:val="single" w:sz="2" w:space="0" w:color="000000"/>
              <w:right w:val="single" w:sz="2" w:space="0" w:color="000000"/>
            </w:tcBorders>
            <w:vAlign w:val="center"/>
          </w:tcPr>
          <w:p w:rsidR="00D95C01" w:rsidRPr="00AE06D7" w:rsidRDefault="00D95C01" w:rsidP="00D95C01">
            <w:pPr>
              <w:pStyle w:val="TableTextCenter10pt"/>
            </w:pPr>
            <w:r w:rsidRPr="00AE06D7">
              <w:t>4.</w:t>
            </w:r>
            <w:r>
              <w:t>73</w:t>
            </w:r>
          </w:p>
        </w:tc>
        <w:tc>
          <w:tcPr>
            <w:tcW w:w="1285" w:type="dxa"/>
            <w:tcBorders>
              <w:top w:val="single" w:sz="2" w:space="0" w:color="000000"/>
              <w:left w:val="single" w:sz="2" w:space="0" w:color="000000"/>
              <w:bottom w:val="single" w:sz="2" w:space="0" w:color="000000"/>
              <w:right w:val="single" w:sz="2" w:space="0" w:color="000000"/>
            </w:tcBorders>
            <w:vAlign w:val="center"/>
          </w:tcPr>
          <w:p w:rsidR="00D95C01" w:rsidRPr="00D95C01" w:rsidRDefault="00D95C01" w:rsidP="00D95C01">
            <w:pPr>
              <w:pStyle w:val="TableTextRight10pt"/>
            </w:pPr>
            <w:r w:rsidRPr="00D95C01">
              <w:t>$2,</w:t>
            </w:r>
            <w:r>
              <w:t>416</w:t>
            </w:r>
          </w:p>
        </w:tc>
      </w:tr>
      <w:tr w:rsidR="00D95C01" w:rsidTr="00557EEE">
        <w:trPr>
          <w:cantSplit/>
        </w:trPr>
        <w:tc>
          <w:tcPr>
            <w:tcW w:w="4057" w:type="dxa"/>
            <w:tcBorders>
              <w:top w:val="single" w:sz="2" w:space="0" w:color="000000"/>
              <w:left w:val="single" w:sz="2" w:space="0" w:color="000000"/>
              <w:bottom w:val="single" w:sz="2" w:space="0" w:color="000000"/>
              <w:right w:val="single" w:sz="2" w:space="0" w:color="000000"/>
            </w:tcBorders>
          </w:tcPr>
          <w:p w:rsidR="00D95C01" w:rsidRDefault="00D95C01" w:rsidP="00D95C01">
            <w:pPr>
              <w:pStyle w:val="TableTextLeft10ptIndent"/>
            </w:pPr>
            <w:r>
              <w:t>Semiannual reports – Delayed cokers</w:t>
            </w:r>
          </w:p>
        </w:tc>
        <w:tc>
          <w:tcPr>
            <w:tcW w:w="1290" w:type="dxa"/>
            <w:tcBorders>
              <w:top w:val="single" w:sz="2" w:space="0" w:color="000000"/>
              <w:left w:val="single" w:sz="2" w:space="0" w:color="000000"/>
              <w:bottom w:val="single" w:sz="2" w:space="0" w:color="000000"/>
              <w:right w:val="single" w:sz="2" w:space="0" w:color="000000"/>
            </w:tcBorders>
            <w:vAlign w:val="center"/>
          </w:tcPr>
          <w:p w:rsidR="00D95C01" w:rsidRPr="00AE06D7" w:rsidRDefault="00D95C01" w:rsidP="00D95C01">
            <w:pPr>
              <w:pStyle w:val="TableTextCenter10pt"/>
            </w:pPr>
            <w:r w:rsidRPr="00AE06D7">
              <w:t>0.25</w:t>
            </w:r>
          </w:p>
        </w:tc>
        <w:tc>
          <w:tcPr>
            <w:tcW w:w="1248" w:type="dxa"/>
            <w:tcBorders>
              <w:top w:val="single" w:sz="2" w:space="0" w:color="000000"/>
              <w:left w:val="single" w:sz="2" w:space="0" w:color="000000"/>
              <w:bottom w:val="single" w:sz="2" w:space="0" w:color="000000"/>
              <w:right w:val="single" w:sz="2" w:space="0" w:color="000000"/>
            </w:tcBorders>
            <w:vAlign w:val="center"/>
          </w:tcPr>
          <w:p w:rsidR="00D95C01" w:rsidRPr="00AE06D7" w:rsidRDefault="00D95C01" w:rsidP="00D95C01">
            <w:pPr>
              <w:pStyle w:val="TableTextCenter10pt"/>
            </w:pPr>
            <w:r w:rsidRPr="00AE06D7">
              <w:t>0.5</w:t>
            </w:r>
          </w:p>
        </w:tc>
        <w:tc>
          <w:tcPr>
            <w:tcW w:w="1260" w:type="dxa"/>
            <w:tcBorders>
              <w:top w:val="single" w:sz="2" w:space="0" w:color="000000"/>
              <w:left w:val="single" w:sz="2" w:space="0" w:color="000000"/>
              <w:bottom w:val="single" w:sz="2" w:space="0" w:color="000000"/>
              <w:right w:val="single" w:sz="2" w:space="0" w:color="000000"/>
            </w:tcBorders>
          </w:tcPr>
          <w:p w:rsidR="00D95C01" w:rsidRPr="00AE06D7" w:rsidRDefault="00D95C01" w:rsidP="00D95C01">
            <w:pPr>
              <w:pStyle w:val="TableTextCenter10pt"/>
            </w:pPr>
            <w:r w:rsidRPr="00CC4503">
              <w:t>94.7</w:t>
            </w:r>
          </w:p>
        </w:tc>
        <w:tc>
          <w:tcPr>
            <w:tcW w:w="1350" w:type="dxa"/>
            <w:tcBorders>
              <w:top w:val="single" w:sz="2" w:space="0" w:color="000000"/>
              <w:left w:val="single" w:sz="2" w:space="0" w:color="000000"/>
              <w:bottom w:val="single" w:sz="2" w:space="0" w:color="000000"/>
              <w:right w:val="single" w:sz="2" w:space="0" w:color="000000"/>
            </w:tcBorders>
            <w:vAlign w:val="center"/>
          </w:tcPr>
          <w:p w:rsidR="00D95C01" w:rsidRPr="00AE06D7" w:rsidRDefault="00D95C01" w:rsidP="00D95C01">
            <w:pPr>
              <w:pStyle w:val="TableTextCenter10pt"/>
            </w:pPr>
            <w:r w:rsidRPr="00AE06D7">
              <w:t>4</w:t>
            </w:r>
            <w:r>
              <w:t>7</w:t>
            </w:r>
            <w:r w:rsidRPr="00AE06D7">
              <w:t>.3</w:t>
            </w:r>
          </w:p>
        </w:tc>
        <w:tc>
          <w:tcPr>
            <w:tcW w:w="1440" w:type="dxa"/>
            <w:tcBorders>
              <w:top w:val="single" w:sz="2" w:space="0" w:color="000000"/>
              <w:left w:val="single" w:sz="2" w:space="0" w:color="000000"/>
              <w:bottom w:val="single" w:sz="2" w:space="0" w:color="000000"/>
              <w:right w:val="single" w:sz="2" w:space="0" w:color="000000"/>
            </w:tcBorders>
            <w:vAlign w:val="center"/>
          </w:tcPr>
          <w:p w:rsidR="00D95C01" w:rsidRPr="00AE06D7" w:rsidRDefault="00D95C01" w:rsidP="00D95C01">
            <w:pPr>
              <w:pStyle w:val="TableTextCenter10pt"/>
            </w:pPr>
            <w:r w:rsidRPr="00AE06D7">
              <w:t>2.</w:t>
            </w:r>
            <w:r>
              <w:t>37</w:t>
            </w:r>
          </w:p>
        </w:tc>
        <w:tc>
          <w:tcPr>
            <w:tcW w:w="1350" w:type="dxa"/>
            <w:tcBorders>
              <w:top w:val="single" w:sz="2" w:space="0" w:color="000000"/>
              <w:left w:val="single" w:sz="2" w:space="0" w:color="000000"/>
              <w:bottom w:val="single" w:sz="2" w:space="0" w:color="000000"/>
              <w:right w:val="single" w:sz="2" w:space="0" w:color="000000"/>
            </w:tcBorders>
            <w:vAlign w:val="center"/>
          </w:tcPr>
          <w:p w:rsidR="00D95C01" w:rsidRPr="00AE06D7" w:rsidRDefault="00D95C01" w:rsidP="00D95C01">
            <w:pPr>
              <w:pStyle w:val="TableTextCenter10pt"/>
            </w:pPr>
            <w:r w:rsidRPr="00AE06D7">
              <w:t>4.</w:t>
            </w:r>
            <w:r>
              <w:t>73</w:t>
            </w:r>
          </w:p>
        </w:tc>
        <w:tc>
          <w:tcPr>
            <w:tcW w:w="1285" w:type="dxa"/>
            <w:tcBorders>
              <w:top w:val="single" w:sz="2" w:space="0" w:color="000000"/>
              <w:left w:val="single" w:sz="2" w:space="0" w:color="000000"/>
              <w:bottom w:val="single" w:sz="2" w:space="0" w:color="000000"/>
              <w:right w:val="single" w:sz="2" w:space="0" w:color="000000"/>
            </w:tcBorders>
            <w:vAlign w:val="center"/>
          </w:tcPr>
          <w:p w:rsidR="00D95C01" w:rsidRPr="00D95C01" w:rsidRDefault="00D95C01" w:rsidP="00D95C01">
            <w:pPr>
              <w:pStyle w:val="TableTextRight10pt"/>
            </w:pPr>
            <w:r w:rsidRPr="00D95C01">
              <w:t>$2,</w:t>
            </w:r>
            <w:r>
              <w:t>416</w:t>
            </w:r>
          </w:p>
        </w:tc>
      </w:tr>
      <w:tr w:rsidR="00D95C01" w:rsidTr="00557EEE">
        <w:trPr>
          <w:cantSplit/>
        </w:trPr>
        <w:tc>
          <w:tcPr>
            <w:tcW w:w="4057" w:type="dxa"/>
            <w:tcBorders>
              <w:top w:val="single" w:sz="2" w:space="0" w:color="000000"/>
              <w:left w:val="single" w:sz="2" w:space="0" w:color="000000"/>
              <w:bottom w:val="single" w:sz="2" w:space="0" w:color="000000"/>
              <w:right w:val="single" w:sz="2" w:space="0" w:color="000000"/>
            </w:tcBorders>
          </w:tcPr>
          <w:p w:rsidR="00D95C01" w:rsidRDefault="00D95C01" w:rsidP="00D95C01">
            <w:pPr>
              <w:pStyle w:val="TableTextLeft10ptIndent"/>
            </w:pPr>
            <w:r>
              <w:t>Semiannual reports – Flares</w:t>
            </w:r>
          </w:p>
        </w:tc>
        <w:tc>
          <w:tcPr>
            <w:tcW w:w="1290" w:type="dxa"/>
            <w:tcBorders>
              <w:top w:val="single" w:sz="2" w:space="0" w:color="000000"/>
              <w:left w:val="single" w:sz="2" w:space="0" w:color="000000"/>
              <w:bottom w:val="single" w:sz="2" w:space="0" w:color="000000"/>
              <w:right w:val="single" w:sz="2" w:space="0" w:color="000000"/>
            </w:tcBorders>
            <w:vAlign w:val="center"/>
          </w:tcPr>
          <w:p w:rsidR="00D95C01" w:rsidRPr="00AE06D7" w:rsidRDefault="00D95C01" w:rsidP="00D95C01">
            <w:pPr>
              <w:pStyle w:val="TableTextCenter10pt"/>
            </w:pPr>
            <w:r>
              <w:t>2</w:t>
            </w:r>
          </w:p>
        </w:tc>
        <w:tc>
          <w:tcPr>
            <w:tcW w:w="1248" w:type="dxa"/>
            <w:tcBorders>
              <w:top w:val="single" w:sz="2" w:space="0" w:color="000000"/>
              <w:left w:val="single" w:sz="2" w:space="0" w:color="000000"/>
              <w:bottom w:val="single" w:sz="2" w:space="0" w:color="000000"/>
              <w:right w:val="single" w:sz="2" w:space="0" w:color="000000"/>
            </w:tcBorders>
            <w:vAlign w:val="center"/>
          </w:tcPr>
          <w:p w:rsidR="00D95C01" w:rsidRPr="00AE06D7" w:rsidRDefault="00D95C01" w:rsidP="00D95C01">
            <w:pPr>
              <w:pStyle w:val="TableTextCenter10pt"/>
            </w:pPr>
            <w:r>
              <w:t>4</w:t>
            </w:r>
          </w:p>
        </w:tc>
        <w:tc>
          <w:tcPr>
            <w:tcW w:w="1260" w:type="dxa"/>
            <w:tcBorders>
              <w:top w:val="single" w:sz="2" w:space="0" w:color="000000"/>
              <w:left w:val="single" w:sz="2" w:space="0" w:color="000000"/>
              <w:bottom w:val="single" w:sz="2" w:space="0" w:color="000000"/>
              <w:right w:val="single" w:sz="2" w:space="0" w:color="000000"/>
            </w:tcBorders>
          </w:tcPr>
          <w:p w:rsidR="00D95C01" w:rsidRPr="00AE06D7" w:rsidRDefault="00D95C01" w:rsidP="00D95C01">
            <w:pPr>
              <w:pStyle w:val="TableTextCenter10pt"/>
            </w:pPr>
            <w:r w:rsidRPr="00CC4503">
              <w:t>94.7</w:t>
            </w:r>
          </w:p>
        </w:tc>
        <w:tc>
          <w:tcPr>
            <w:tcW w:w="1350" w:type="dxa"/>
            <w:tcBorders>
              <w:top w:val="single" w:sz="2" w:space="0" w:color="000000"/>
              <w:left w:val="single" w:sz="2" w:space="0" w:color="000000"/>
              <w:bottom w:val="single" w:sz="2" w:space="0" w:color="000000"/>
              <w:right w:val="single" w:sz="2" w:space="0" w:color="000000"/>
            </w:tcBorders>
            <w:vAlign w:val="center"/>
          </w:tcPr>
          <w:p w:rsidR="00D95C01" w:rsidRPr="00AE06D7" w:rsidRDefault="00D95C01" w:rsidP="00D95C01">
            <w:pPr>
              <w:pStyle w:val="TableTextCenter10pt"/>
            </w:pPr>
            <w:r>
              <w:t>379</w:t>
            </w:r>
          </w:p>
        </w:tc>
        <w:tc>
          <w:tcPr>
            <w:tcW w:w="1440" w:type="dxa"/>
            <w:tcBorders>
              <w:top w:val="single" w:sz="2" w:space="0" w:color="000000"/>
              <w:left w:val="single" w:sz="2" w:space="0" w:color="000000"/>
              <w:bottom w:val="single" w:sz="2" w:space="0" w:color="000000"/>
              <w:right w:val="single" w:sz="2" w:space="0" w:color="000000"/>
            </w:tcBorders>
            <w:vAlign w:val="center"/>
          </w:tcPr>
          <w:p w:rsidR="00D95C01" w:rsidRPr="00AE06D7" w:rsidRDefault="00D95C01" w:rsidP="00D95C01">
            <w:pPr>
              <w:pStyle w:val="TableTextCenter10pt"/>
            </w:pPr>
            <w:r>
              <w:t>18.9</w:t>
            </w:r>
          </w:p>
        </w:tc>
        <w:tc>
          <w:tcPr>
            <w:tcW w:w="1350" w:type="dxa"/>
            <w:tcBorders>
              <w:top w:val="single" w:sz="2" w:space="0" w:color="000000"/>
              <w:left w:val="single" w:sz="2" w:space="0" w:color="000000"/>
              <w:bottom w:val="single" w:sz="2" w:space="0" w:color="000000"/>
              <w:right w:val="single" w:sz="2" w:space="0" w:color="000000"/>
            </w:tcBorders>
            <w:vAlign w:val="center"/>
          </w:tcPr>
          <w:p w:rsidR="00D95C01" w:rsidRPr="00AE06D7" w:rsidRDefault="00D95C01" w:rsidP="00D95C01">
            <w:pPr>
              <w:pStyle w:val="TableTextCenter10pt"/>
            </w:pPr>
            <w:r>
              <w:t>37.9</w:t>
            </w:r>
          </w:p>
        </w:tc>
        <w:tc>
          <w:tcPr>
            <w:tcW w:w="1285" w:type="dxa"/>
            <w:tcBorders>
              <w:top w:val="single" w:sz="2" w:space="0" w:color="000000"/>
              <w:left w:val="single" w:sz="2" w:space="0" w:color="000000"/>
              <w:bottom w:val="single" w:sz="2" w:space="0" w:color="000000"/>
              <w:right w:val="single" w:sz="2" w:space="0" w:color="000000"/>
            </w:tcBorders>
            <w:vAlign w:val="center"/>
          </w:tcPr>
          <w:p w:rsidR="00D95C01" w:rsidRPr="00D95C01" w:rsidRDefault="00D95C01" w:rsidP="00557EEE">
            <w:pPr>
              <w:pStyle w:val="TableTextRight10pt"/>
            </w:pPr>
            <w:r w:rsidRPr="00D95C01">
              <w:t>$</w:t>
            </w:r>
            <w:r>
              <w:t>19</w:t>
            </w:r>
            <w:r w:rsidRPr="00D95C01">
              <w:t>,</w:t>
            </w:r>
            <w:r>
              <w:t>332</w:t>
            </w:r>
          </w:p>
        </w:tc>
      </w:tr>
      <w:tr w:rsidR="00D95C01" w:rsidTr="00557EEE">
        <w:trPr>
          <w:cantSplit/>
        </w:trPr>
        <w:tc>
          <w:tcPr>
            <w:tcW w:w="4057" w:type="dxa"/>
            <w:tcBorders>
              <w:top w:val="single" w:sz="2" w:space="0" w:color="000000"/>
              <w:left w:val="single" w:sz="2" w:space="0" w:color="000000"/>
              <w:bottom w:val="single" w:sz="2" w:space="0" w:color="000000"/>
              <w:right w:val="single" w:sz="2" w:space="0" w:color="000000"/>
            </w:tcBorders>
          </w:tcPr>
          <w:p w:rsidR="00D95C01" w:rsidRDefault="00D95C01" w:rsidP="00F46122">
            <w:pPr>
              <w:pStyle w:val="TableTextLeft10ptIndent"/>
            </w:pPr>
            <w:r>
              <w:t>Semiannual report for fenceline monitoring</w:t>
            </w:r>
          </w:p>
        </w:tc>
        <w:tc>
          <w:tcPr>
            <w:tcW w:w="1290" w:type="dxa"/>
            <w:tcBorders>
              <w:top w:val="single" w:sz="2" w:space="0" w:color="000000"/>
              <w:left w:val="single" w:sz="2" w:space="0" w:color="000000"/>
              <w:bottom w:val="single" w:sz="2" w:space="0" w:color="000000"/>
              <w:right w:val="single" w:sz="2" w:space="0" w:color="000000"/>
            </w:tcBorders>
            <w:vAlign w:val="center"/>
          </w:tcPr>
          <w:p w:rsidR="00D95C01" w:rsidRPr="00AE06D7" w:rsidRDefault="00D95C01" w:rsidP="00D95C01">
            <w:pPr>
              <w:pStyle w:val="TableTextCenter10pt"/>
            </w:pPr>
            <w:r w:rsidRPr="00AE06D7">
              <w:t>1</w:t>
            </w:r>
          </w:p>
        </w:tc>
        <w:tc>
          <w:tcPr>
            <w:tcW w:w="1248" w:type="dxa"/>
            <w:tcBorders>
              <w:top w:val="single" w:sz="2" w:space="0" w:color="000000"/>
              <w:left w:val="single" w:sz="2" w:space="0" w:color="000000"/>
              <w:bottom w:val="single" w:sz="2" w:space="0" w:color="000000"/>
              <w:right w:val="single" w:sz="2" w:space="0" w:color="000000"/>
            </w:tcBorders>
            <w:vAlign w:val="center"/>
          </w:tcPr>
          <w:p w:rsidR="00D95C01" w:rsidRPr="00AE06D7" w:rsidRDefault="00D95C01" w:rsidP="00D95C01">
            <w:pPr>
              <w:pStyle w:val="TableTextCenter10pt"/>
            </w:pPr>
            <w:r>
              <w:t>2</w:t>
            </w:r>
          </w:p>
        </w:tc>
        <w:tc>
          <w:tcPr>
            <w:tcW w:w="1260" w:type="dxa"/>
            <w:tcBorders>
              <w:top w:val="single" w:sz="2" w:space="0" w:color="000000"/>
              <w:left w:val="single" w:sz="2" w:space="0" w:color="000000"/>
              <w:bottom w:val="single" w:sz="2" w:space="0" w:color="000000"/>
              <w:right w:val="single" w:sz="2" w:space="0" w:color="000000"/>
            </w:tcBorders>
          </w:tcPr>
          <w:p w:rsidR="00D95C01" w:rsidRPr="00AE06D7" w:rsidRDefault="00D95C01" w:rsidP="00D95C01">
            <w:pPr>
              <w:pStyle w:val="TableTextCenter10pt"/>
            </w:pPr>
            <w:r w:rsidRPr="00CC4503">
              <w:t>94.7</w:t>
            </w:r>
          </w:p>
        </w:tc>
        <w:tc>
          <w:tcPr>
            <w:tcW w:w="1350" w:type="dxa"/>
            <w:tcBorders>
              <w:top w:val="single" w:sz="2" w:space="0" w:color="000000"/>
              <w:left w:val="single" w:sz="2" w:space="0" w:color="000000"/>
              <w:bottom w:val="single" w:sz="2" w:space="0" w:color="000000"/>
              <w:right w:val="single" w:sz="2" w:space="0" w:color="000000"/>
            </w:tcBorders>
            <w:vAlign w:val="center"/>
          </w:tcPr>
          <w:p w:rsidR="00D95C01" w:rsidRPr="00AE06D7" w:rsidRDefault="00D95C01" w:rsidP="00D95C01">
            <w:pPr>
              <w:pStyle w:val="TableTextCenter10pt"/>
            </w:pPr>
            <w:r>
              <w:t>189</w:t>
            </w:r>
          </w:p>
        </w:tc>
        <w:tc>
          <w:tcPr>
            <w:tcW w:w="1440" w:type="dxa"/>
            <w:tcBorders>
              <w:top w:val="single" w:sz="2" w:space="0" w:color="000000"/>
              <w:left w:val="single" w:sz="2" w:space="0" w:color="000000"/>
              <w:bottom w:val="single" w:sz="2" w:space="0" w:color="000000"/>
              <w:right w:val="single" w:sz="2" w:space="0" w:color="000000"/>
            </w:tcBorders>
            <w:vAlign w:val="center"/>
          </w:tcPr>
          <w:p w:rsidR="00D95C01" w:rsidRPr="00AE06D7" w:rsidRDefault="00D95C01" w:rsidP="00D95C01">
            <w:pPr>
              <w:pStyle w:val="TableTextCenter10pt"/>
            </w:pPr>
            <w:r w:rsidRPr="00AE06D7">
              <w:t>9.</w:t>
            </w:r>
            <w:r>
              <w:t>4</w:t>
            </w:r>
            <w:r w:rsidRPr="00AE06D7">
              <w:t>7</w:t>
            </w:r>
          </w:p>
        </w:tc>
        <w:tc>
          <w:tcPr>
            <w:tcW w:w="1350" w:type="dxa"/>
            <w:tcBorders>
              <w:top w:val="single" w:sz="2" w:space="0" w:color="000000"/>
              <w:left w:val="single" w:sz="2" w:space="0" w:color="000000"/>
              <w:bottom w:val="single" w:sz="2" w:space="0" w:color="000000"/>
              <w:right w:val="single" w:sz="2" w:space="0" w:color="000000"/>
            </w:tcBorders>
            <w:vAlign w:val="center"/>
          </w:tcPr>
          <w:p w:rsidR="00D95C01" w:rsidRPr="00AE06D7" w:rsidRDefault="00D95C01" w:rsidP="00D95C01">
            <w:pPr>
              <w:pStyle w:val="TableTextCenter10pt"/>
            </w:pPr>
            <w:r>
              <w:t>18.</w:t>
            </w:r>
            <w:r w:rsidRPr="00AE06D7">
              <w:t>9</w:t>
            </w:r>
          </w:p>
        </w:tc>
        <w:tc>
          <w:tcPr>
            <w:tcW w:w="1285" w:type="dxa"/>
            <w:tcBorders>
              <w:top w:val="single" w:sz="2" w:space="0" w:color="000000"/>
              <w:left w:val="single" w:sz="2" w:space="0" w:color="000000"/>
              <w:bottom w:val="single" w:sz="2" w:space="0" w:color="000000"/>
              <w:right w:val="single" w:sz="2" w:space="0" w:color="000000"/>
            </w:tcBorders>
            <w:vAlign w:val="center"/>
          </w:tcPr>
          <w:p w:rsidR="00D95C01" w:rsidRPr="00D95C01" w:rsidRDefault="00D95C01" w:rsidP="00D95C01">
            <w:pPr>
              <w:pStyle w:val="TableTextRight10pt"/>
            </w:pPr>
            <w:r w:rsidRPr="00D95C01">
              <w:t>$</w:t>
            </w:r>
            <w:r>
              <w:t>9,666</w:t>
            </w:r>
          </w:p>
        </w:tc>
      </w:tr>
      <w:tr w:rsidR="00316627" w:rsidTr="00557EEE">
        <w:trPr>
          <w:cantSplit/>
        </w:trPr>
        <w:tc>
          <w:tcPr>
            <w:tcW w:w="4057" w:type="dxa"/>
            <w:tcBorders>
              <w:top w:val="single" w:sz="2" w:space="0" w:color="000000"/>
              <w:left w:val="single" w:sz="2" w:space="0" w:color="000000"/>
              <w:bottom w:val="single" w:sz="2" w:space="0" w:color="000000"/>
              <w:right w:val="single" w:sz="2" w:space="0" w:color="000000"/>
            </w:tcBorders>
          </w:tcPr>
          <w:p w:rsidR="00316627" w:rsidRDefault="00316627" w:rsidP="00D95C01">
            <w:pPr>
              <w:pStyle w:val="TableTextLeft10pt"/>
            </w:pPr>
            <w:r>
              <w:t>TOTAL</w:t>
            </w:r>
            <w:r w:rsidR="00D95C01" w:rsidRPr="00DC03DB">
              <w:t xml:space="preserve"> LABOR</w:t>
            </w:r>
            <w:r>
              <w:t xml:space="preserve"> BURDEN AND COST</w:t>
            </w:r>
          </w:p>
        </w:tc>
        <w:tc>
          <w:tcPr>
            <w:tcW w:w="1290" w:type="dxa"/>
            <w:tcBorders>
              <w:top w:val="single" w:sz="2" w:space="0" w:color="000000"/>
              <w:left w:val="single" w:sz="2" w:space="0" w:color="000000"/>
              <w:bottom w:val="single" w:sz="2" w:space="0" w:color="000000"/>
              <w:right w:val="single" w:sz="2" w:space="0" w:color="000000"/>
            </w:tcBorders>
            <w:vAlign w:val="center"/>
          </w:tcPr>
          <w:p w:rsidR="00316627" w:rsidRPr="00F46122" w:rsidRDefault="00316627" w:rsidP="00D95C01">
            <w:pPr>
              <w:pStyle w:val="TableTextCenter10pt"/>
            </w:pPr>
          </w:p>
        </w:tc>
        <w:tc>
          <w:tcPr>
            <w:tcW w:w="1248" w:type="dxa"/>
            <w:tcBorders>
              <w:top w:val="single" w:sz="2" w:space="0" w:color="000000"/>
              <w:left w:val="single" w:sz="2" w:space="0" w:color="000000"/>
              <w:bottom w:val="single" w:sz="2" w:space="0" w:color="000000"/>
              <w:right w:val="single" w:sz="2" w:space="0" w:color="000000"/>
            </w:tcBorders>
            <w:vAlign w:val="center"/>
          </w:tcPr>
          <w:p w:rsidR="00316627" w:rsidRPr="00F46122" w:rsidRDefault="00316627" w:rsidP="00D95C01">
            <w:pPr>
              <w:pStyle w:val="TableTextCenter10pt"/>
            </w:pPr>
          </w:p>
        </w:tc>
        <w:tc>
          <w:tcPr>
            <w:tcW w:w="1260" w:type="dxa"/>
            <w:tcBorders>
              <w:top w:val="single" w:sz="2" w:space="0" w:color="000000"/>
              <w:left w:val="single" w:sz="2" w:space="0" w:color="000000"/>
              <w:bottom w:val="single" w:sz="2" w:space="0" w:color="000000"/>
              <w:right w:val="single" w:sz="2" w:space="0" w:color="000000"/>
            </w:tcBorders>
            <w:vAlign w:val="center"/>
          </w:tcPr>
          <w:p w:rsidR="00316627" w:rsidRPr="00F46122" w:rsidRDefault="00316627" w:rsidP="00D95C01">
            <w:pPr>
              <w:pStyle w:val="TableTextCenter10pt"/>
            </w:pPr>
          </w:p>
        </w:tc>
        <w:tc>
          <w:tcPr>
            <w:tcW w:w="4140" w:type="dxa"/>
            <w:gridSpan w:val="3"/>
            <w:tcBorders>
              <w:top w:val="single" w:sz="2" w:space="0" w:color="000000"/>
              <w:left w:val="single" w:sz="2" w:space="0" w:color="000000"/>
              <w:bottom w:val="single" w:sz="2" w:space="0" w:color="000000"/>
              <w:right w:val="single" w:sz="2" w:space="0" w:color="000000"/>
            </w:tcBorders>
            <w:vAlign w:val="center"/>
          </w:tcPr>
          <w:p w:rsidR="00316627" w:rsidRPr="00F46122" w:rsidRDefault="00733DD9" w:rsidP="00D95C01">
            <w:pPr>
              <w:pStyle w:val="TableTextCenter10pt"/>
            </w:pPr>
            <w:r>
              <w:t>1</w:t>
            </w:r>
            <w:r w:rsidR="00AE06D7">
              <w:t>,</w:t>
            </w:r>
            <w:r w:rsidR="00D95C01">
              <w:t>470</w:t>
            </w:r>
          </w:p>
        </w:tc>
        <w:tc>
          <w:tcPr>
            <w:tcW w:w="1285" w:type="dxa"/>
            <w:tcBorders>
              <w:top w:val="single" w:sz="2" w:space="0" w:color="000000"/>
              <w:left w:val="single" w:sz="2" w:space="0" w:color="000000"/>
              <w:bottom w:val="single" w:sz="2" w:space="0" w:color="000000"/>
              <w:right w:val="single" w:sz="2" w:space="0" w:color="000000"/>
            </w:tcBorders>
            <w:vAlign w:val="center"/>
          </w:tcPr>
          <w:p w:rsidR="00316627" w:rsidRPr="00D95C01" w:rsidRDefault="00AE06D7" w:rsidP="00D95C01">
            <w:pPr>
              <w:pStyle w:val="TableTextRight10pt"/>
            </w:pPr>
            <w:r w:rsidRPr="00D95C01">
              <w:t>$</w:t>
            </w:r>
            <w:r w:rsidR="00D95C01">
              <w:t>6</w:t>
            </w:r>
            <w:r w:rsidRPr="00D95C01">
              <w:t>5,</w:t>
            </w:r>
            <w:r w:rsidR="00D95C01">
              <w:t>244</w:t>
            </w:r>
          </w:p>
        </w:tc>
      </w:tr>
    </w:tbl>
    <w:p w:rsidR="00316627" w:rsidRPr="00F46122" w:rsidRDefault="00316627" w:rsidP="00F46122">
      <w:pPr>
        <w:pStyle w:val="TableFootnote"/>
        <w:rPr>
          <w:rStyle w:val="Bold"/>
        </w:rPr>
      </w:pPr>
      <w:r w:rsidRPr="00F46122">
        <w:rPr>
          <w:rStyle w:val="Bold"/>
        </w:rPr>
        <w:t>Assumptions:</w:t>
      </w:r>
    </w:p>
    <w:p w:rsidR="00B50B26" w:rsidRDefault="00F85C65" w:rsidP="00ED4539">
      <w:pPr>
        <w:pStyle w:val="TableFootnote"/>
      </w:pPr>
      <w:r w:rsidRPr="005F5FDC">
        <w:rPr>
          <w:rStyle w:val="Superscript"/>
        </w:rPr>
        <w:t>a</w:t>
      </w:r>
      <w:r w:rsidR="00F47C05">
        <w:t xml:space="preserve"> </w:t>
      </w:r>
      <w:r>
        <w:t>We have determined that 14</w:t>
      </w:r>
      <w:r w:rsidR="00ED4539">
        <w:t>2</w:t>
      </w:r>
      <w:r>
        <w:t xml:space="preserve"> major </w:t>
      </w:r>
      <w:r w:rsidR="00ED4539">
        <w:t xml:space="preserve">source </w:t>
      </w:r>
      <w:r>
        <w:t>petroleum refineries currently operate in the US.</w:t>
      </w:r>
      <w:r w:rsidR="00F47C05">
        <w:t xml:space="preserve"> </w:t>
      </w:r>
      <w:r>
        <w:t>No new or reconstructed facilities are expected over the next 3 years.</w:t>
      </w:r>
    </w:p>
    <w:p w:rsidR="00B50B26" w:rsidRDefault="00F85C65" w:rsidP="00D95C01">
      <w:pPr>
        <w:pStyle w:val="TableFootnote"/>
      </w:pPr>
      <w:r w:rsidRPr="005F5FDC">
        <w:rPr>
          <w:rStyle w:val="Superscript"/>
        </w:rPr>
        <w:t>b</w:t>
      </w:r>
      <w:r w:rsidR="00F47C05">
        <w:t xml:space="preserve"> </w:t>
      </w:r>
      <w:r w:rsidR="00316627">
        <w:t xml:space="preserve">This </w:t>
      </w:r>
      <w:r w:rsidR="00D95C01" w:rsidRPr="00DC03DB">
        <w:t xml:space="preserve">ICR uses </w:t>
      </w:r>
      <w:r w:rsidR="00316627">
        <w:t>the following labor r</w:t>
      </w:r>
      <w:r w:rsidR="004B7759">
        <w:t>ates:</w:t>
      </w:r>
      <w:r w:rsidR="00F47C05">
        <w:t xml:space="preserve"> </w:t>
      </w:r>
      <w:r w:rsidR="004B7759">
        <w:t>Managerial rate of $61</w:t>
      </w:r>
      <w:r w:rsidR="001E63DE">
        <w:t>.36</w:t>
      </w:r>
      <w:r w:rsidR="00D95C01" w:rsidRPr="00D95C01">
        <w:t xml:space="preserve"> </w:t>
      </w:r>
      <w:r w:rsidR="00D95C01" w:rsidRPr="00DC03DB">
        <w:t>per hour</w:t>
      </w:r>
      <w:r w:rsidR="001E63DE">
        <w:t xml:space="preserve"> (GS-13, Step 5, $38.35</w:t>
      </w:r>
      <w:r w:rsidR="00316627">
        <w:t xml:space="preserve"> </w:t>
      </w:r>
      <w:r w:rsidR="001E63DE">
        <w:t>+ 60%), Technical rate of $45.52</w:t>
      </w:r>
      <w:r w:rsidR="00D95C01" w:rsidRPr="00D95C01">
        <w:t xml:space="preserve"> </w:t>
      </w:r>
      <w:r w:rsidR="00D95C01" w:rsidRPr="00DC03DB">
        <w:t>per hour</w:t>
      </w:r>
      <w:r w:rsidR="001E63DE">
        <w:t xml:space="preserve"> (GS-12, Step 1, $28.45</w:t>
      </w:r>
      <w:r w:rsidR="00316627">
        <w:t xml:space="preserve"> + 6</w:t>
      </w:r>
      <w:r w:rsidR="001E63DE">
        <w:t>0%), and Clerical rate of $24.64</w:t>
      </w:r>
      <w:r w:rsidR="00D95C01" w:rsidRPr="00D95C01">
        <w:t xml:space="preserve"> </w:t>
      </w:r>
      <w:r w:rsidR="00D95C01" w:rsidRPr="00DC03DB">
        <w:t>per hour</w:t>
      </w:r>
      <w:r w:rsidR="001E63DE">
        <w:t xml:space="preserve"> (GS-6, Step 3, $15.40</w:t>
      </w:r>
      <w:r w:rsidR="00316627">
        <w:t xml:space="preserve"> + 60%).</w:t>
      </w:r>
      <w:r w:rsidR="00F47C05">
        <w:t xml:space="preserve"> </w:t>
      </w:r>
      <w:r w:rsidR="00316627">
        <w:t xml:space="preserve">These rates are from the Office of Personnel Management (OPM) </w:t>
      </w:r>
      <w:r w:rsidR="001E63DE">
        <w:t>2009</w:t>
      </w:r>
      <w:r w:rsidR="00316627">
        <w:t xml:space="preserve"> General Schedule</w:t>
      </w:r>
      <w:r w:rsidR="00D95C01">
        <w:t>,</w:t>
      </w:r>
      <w:r w:rsidR="006679BE">
        <w:t xml:space="preserve"> </w:t>
      </w:r>
      <w:r w:rsidR="00316627">
        <w:t>which excludes locality rates of pay.</w:t>
      </w:r>
    </w:p>
    <w:p w:rsidR="008F3C4D" w:rsidRPr="007523FA" w:rsidRDefault="008F3C4D" w:rsidP="007523FA">
      <w:pPr>
        <w:pStyle w:val="TableFootnote"/>
      </w:pPr>
    </w:p>
    <w:p w:rsidR="008F3C4D" w:rsidRPr="00F46122" w:rsidRDefault="008F3C4D" w:rsidP="00F46122"/>
    <w:p w:rsidR="008F3C4D" w:rsidRPr="00F46122" w:rsidRDefault="008F3C4D" w:rsidP="00F46122"/>
    <w:p w:rsidR="00077ABC" w:rsidRPr="00F46122" w:rsidRDefault="00077ABC" w:rsidP="00F46122"/>
    <w:sectPr w:rsidR="00077ABC" w:rsidRPr="00F46122" w:rsidSect="00B4246B">
      <w:pgSz w:w="15840" w:h="12240" w:orient="landscape"/>
      <w:pgMar w:top="1440" w:right="1350" w:bottom="1440" w:left="1440" w:header="1350" w:footer="1440" w:gutter="0"/>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24384" w:rsidRDefault="00F24384">
      <w:r>
        <w:separator/>
      </w:r>
    </w:p>
  </w:endnote>
  <w:endnote w:type="continuationSeparator" w:id="0">
    <w:p w:rsidR="00F24384" w:rsidRDefault="00F2438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24384" w:rsidRDefault="00F24384">
      <w:r>
        <w:separator/>
      </w:r>
    </w:p>
  </w:footnote>
  <w:footnote w:type="continuationSeparator" w:id="0">
    <w:p w:rsidR="00F24384" w:rsidRDefault="00F2438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237C" w:rsidRDefault="00F83171">
    <w:pPr>
      <w:framePr w:w="9361" w:wrap="notBeside" w:vAnchor="text" w:hAnchor="text" w:x="1" w:y="1"/>
      <w:jc w:val="center"/>
    </w:pPr>
    <w:r>
      <w:fldChar w:fldCharType="begin"/>
    </w:r>
    <w:r w:rsidR="00C6237C">
      <w:instrText xml:space="preserve">PAGE </w:instrText>
    </w:r>
    <w:r>
      <w:fldChar w:fldCharType="separate"/>
    </w:r>
    <w:r w:rsidR="00E63037">
      <w:rPr>
        <w:noProof/>
      </w:rPr>
      <w:t>16</w:t>
    </w:r>
    <w:r>
      <w:rPr>
        <w:noProof/>
      </w:rPr>
      <w:fldChar w:fldCharType="end"/>
    </w:r>
  </w:p>
  <w:p w:rsidR="00C6237C" w:rsidRDefault="00C6237C"/>
  <w:p w:rsidR="00C6237C" w:rsidRDefault="00C6237C">
    <w:pPr>
      <w:spacing w:line="240" w:lineRule="exac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D3561544"/>
    <w:lvl w:ilvl="0">
      <w:numFmt w:val="bullet"/>
      <w:lvlText w:val="*"/>
      <w:lvlJc w:val="left"/>
    </w:lvl>
  </w:abstractNum>
  <w:abstractNum w:abstractNumId="1">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6">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7">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8">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0">
    <w:nsid w:val="0A3F4DBF"/>
    <w:multiLevelType w:val="hybridMultilevel"/>
    <w:tmpl w:val="E01080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47134AC"/>
    <w:multiLevelType w:val="hybridMultilevel"/>
    <w:tmpl w:val="CF36D372"/>
    <w:lvl w:ilvl="0" w:tplc="389AFAE6">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2">
    <w:abstractNumId w:val="10"/>
  </w:num>
  <w:num w:numId="3">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8"/>
  <w:stylePaneSortMethod w:val="0000"/>
  <w:defaultTabStop w:val="720"/>
  <w:doNotHyphenateCaps/>
  <w:drawingGridHorizontalSpacing w:val="120"/>
  <w:drawingGridVerticalSpacing w:val="120"/>
  <w:displayHorizontalDrawingGridEvery w:val="0"/>
  <w:displayVerticalDrawingGridEvery w:val="3"/>
  <w:doNotShadeFormData/>
  <w:characterSpacingControl w:val="compressPunctuation"/>
  <w:hdrShapeDefaults>
    <o:shapedefaults v:ext="edit" spidmax="17410"/>
  </w:hdrShapeDefaults>
  <w:footnotePr>
    <w:footnote w:id="-1"/>
    <w:footnote w:id="0"/>
  </w:footnotePr>
  <w:endnotePr>
    <w:endnote w:id="-1"/>
    <w:endnote w:id="0"/>
  </w:endnotePr>
  <w:compat/>
  <w:rsids>
    <w:rsidRoot w:val="00CA4CD6"/>
    <w:rsid w:val="00004DCE"/>
    <w:rsid w:val="000061F9"/>
    <w:rsid w:val="000065ED"/>
    <w:rsid w:val="0000687D"/>
    <w:rsid w:val="0001033B"/>
    <w:rsid w:val="00016152"/>
    <w:rsid w:val="00020BAE"/>
    <w:rsid w:val="00030D15"/>
    <w:rsid w:val="000316C0"/>
    <w:rsid w:val="00035FC1"/>
    <w:rsid w:val="0003619B"/>
    <w:rsid w:val="00042359"/>
    <w:rsid w:val="00051257"/>
    <w:rsid w:val="00055BDF"/>
    <w:rsid w:val="00055DC5"/>
    <w:rsid w:val="000577C1"/>
    <w:rsid w:val="00060E84"/>
    <w:rsid w:val="00061797"/>
    <w:rsid w:val="00062CC8"/>
    <w:rsid w:val="00077ABC"/>
    <w:rsid w:val="00085C96"/>
    <w:rsid w:val="00097849"/>
    <w:rsid w:val="000A0E76"/>
    <w:rsid w:val="000A19D3"/>
    <w:rsid w:val="000A1FBB"/>
    <w:rsid w:val="000A3A2F"/>
    <w:rsid w:val="000A3F37"/>
    <w:rsid w:val="000A687C"/>
    <w:rsid w:val="000A688B"/>
    <w:rsid w:val="000B0764"/>
    <w:rsid w:val="000B0DC6"/>
    <w:rsid w:val="000B40EE"/>
    <w:rsid w:val="000C2609"/>
    <w:rsid w:val="000C59D0"/>
    <w:rsid w:val="000C5DD5"/>
    <w:rsid w:val="000D2272"/>
    <w:rsid w:val="000D35B5"/>
    <w:rsid w:val="000E5D0D"/>
    <w:rsid w:val="000F772C"/>
    <w:rsid w:val="001010D3"/>
    <w:rsid w:val="00101B40"/>
    <w:rsid w:val="0010280B"/>
    <w:rsid w:val="00105CDD"/>
    <w:rsid w:val="0010697C"/>
    <w:rsid w:val="00115A4A"/>
    <w:rsid w:val="00117225"/>
    <w:rsid w:val="00117CB3"/>
    <w:rsid w:val="001208E7"/>
    <w:rsid w:val="0012160B"/>
    <w:rsid w:val="001233C2"/>
    <w:rsid w:val="00123889"/>
    <w:rsid w:val="00125F9F"/>
    <w:rsid w:val="00126A7C"/>
    <w:rsid w:val="0013234C"/>
    <w:rsid w:val="00134BB0"/>
    <w:rsid w:val="00135FE4"/>
    <w:rsid w:val="00136692"/>
    <w:rsid w:val="0013669B"/>
    <w:rsid w:val="00137F52"/>
    <w:rsid w:val="00137FF4"/>
    <w:rsid w:val="0014079D"/>
    <w:rsid w:val="00141832"/>
    <w:rsid w:val="00141EFC"/>
    <w:rsid w:val="00141FB4"/>
    <w:rsid w:val="00144978"/>
    <w:rsid w:val="00144A82"/>
    <w:rsid w:val="001476FB"/>
    <w:rsid w:val="0015204B"/>
    <w:rsid w:val="0015433E"/>
    <w:rsid w:val="00154433"/>
    <w:rsid w:val="00162F51"/>
    <w:rsid w:val="00171F8F"/>
    <w:rsid w:val="0017392F"/>
    <w:rsid w:val="00175CA6"/>
    <w:rsid w:val="0018082C"/>
    <w:rsid w:val="00186DA3"/>
    <w:rsid w:val="00195753"/>
    <w:rsid w:val="0019781E"/>
    <w:rsid w:val="001A0B41"/>
    <w:rsid w:val="001A121D"/>
    <w:rsid w:val="001A5746"/>
    <w:rsid w:val="001A5E1C"/>
    <w:rsid w:val="001B0B9A"/>
    <w:rsid w:val="001B2223"/>
    <w:rsid w:val="001B25A9"/>
    <w:rsid w:val="001B35F2"/>
    <w:rsid w:val="001B6ED1"/>
    <w:rsid w:val="001C5991"/>
    <w:rsid w:val="001C6B1B"/>
    <w:rsid w:val="001D4F67"/>
    <w:rsid w:val="001D5DD5"/>
    <w:rsid w:val="001D762C"/>
    <w:rsid w:val="001D7B6B"/>
    <w:rsid w:val="001E197A"/>
    <w:rsid w:val="001E3E7E"/>
    <w:rsid w:val="001E63DE"/>
    <w:rsid w:val="001E7F8C"/>
    <w:rsid w:val="001F11A6"/>
    <w:rsid w:val="001F19FF"/>
    <w:rsid w:val="001F3ED7"/>
    <w:rsid w:val="0020006A"/>
    <w:rsid w:val="002041C5"/>
    <w:rsid w:val="00205C04"/>
    <w:rsid w:val="002063FE"/>
    <w:rsid w:val="00206932"/>
    <w:rsid w:val="00215777"/>
    <w:rsid w:val="0021722B"/>
    <w:rsid w:val="002269C8"/>
    <w:rsid w:val="0022738C"/>
    <w:rsid w:val="00227CF8"/>
    <w:rsid w:val="0023208D"/>
    <w:rsid w:val="00232A8D"/>
    <w:rsid w:val="00234A28"/>
    <w:rsid w:val="00235F6B"/>
    <w:rsid w:val="002431D9"/>
    <w:rsid w:val="00243778"/>
    <w:rsid w:val="00247718"/>
    <w:rsid w:val="00252A35"/>
    <w:rsid w:val="0025407B"/>
    <w:rsid w:val="00255394"/>
    <w:rsid w:val="00260190"/>
    <w:rsid w:val="002634D0"/>
    <w:rsid w:val="002638A0"/>
    <w:rsid w:val="002712EB"/>
    <w:rsid w:val="0027222A"/>
    <w:rsid w:val="002743D2"/>
    <w:rsid w:val="0027506D"/>
    <w:rsid w:val="0027794F"/>
    <w:rsid w:val="00277F42"/>
    <w:rsid w:val="00284E44"/>
    <w:rsid w:val="0029006A"/>
    <w:rsid w:val="002904E7"/>
    <w:rsid w:val="0029607B"/>
    <w:rsid w:val="002976E9"/>
    <w:rsid w:val="002A096B"/>
    <w:rsid w:val="002A0AAC"/>
    <w:rsid w:val="002B24D2"/>
    <w:rsid w:val="002B29A7"/>
    <w:rsid w:val="002B29E3"/>
    <w:rsid w:val="002B517F"/>
    <w:rsid w:val="002B6993"/>
    <w:rsid w:val="002B6E6D"/>
    <w:rsid w:val="002B7724"/>
    <w:rsid w:val="002C1F95"/>
    <w:rsid w:val="002C416A"/>
    <w:rsid w:val="002C6769"/>
    <w:rsid w:val="002C77DF"/>
    <w:rsid w:val="002D1346"/>
    <w:rsid w:val="002D3C3E"/>
    <w:rsid w:val="002D4444"/>
    <w:rsid w:val="002D550D"/>
    <w:rsid w:val="002D7683"/>
    <w:rsid w:val="002E49DE"/>
    <w:rsid w:val="002E505B"/>
    <w:rsid w:val="002F1147"/>
    <w:rsid w:val="002F22A9"/>
    <w:rsid w:val="002F3426"/>
    <w:rsid w:val="002F3C19"/>
    <w:rsid w:val="002F668F"/>
    <w:rsid w:val="002F674B"/>
    <w:rsid w:val="002F6DB3"/>
    <w:rsid w:val="003012DD"/>
    <w:rsid w:val="00303349"/>
    <w:rsid w:val="003033F1"/>
    <w:rsid w:val="003139FC"/>
    <w:rsid w:val="00316627"/>
    <w:rsid w:val="0032193B"/>
    <w:rsid w:val="00322D7F"/>
    <w:rsid w:val="00324704"/>
    <w:rsid w:val="003249A1"/>
    <w:rsid w:val="00326BFB"/>
    <w:rsid w:val="003305A0"/>
    <w:rsid w:val="00334E44"/>
    <w:rsid w:val="00336119"/>
    <w:rsid w:val="0034030A"/>
    <w:rsid w:val="00341540"/>
    <w:rsid w:val="0034243B"/>
    <w:rsid w:val="0034433F"/>
    <w:rsid w:val="0034559E"/>
    <w:rsid w:val="00350541"/>
    <w:rsid w:val="003511C6"/>
    <w:rsid w:val="00354C15"/>
    <w:rsid w:val="00357EB0"/>
    <w:rsid w:val="0036088E"/>
    <w:rsid w:val="00362451"/>
    <w:rsid w:val="00363070"/>
    <w:rsid w:val="00367686"/>
    <w:rsid w:val="00367F59"/>
    <w:rsid w:val="00370DF1"/>
    <w:rsid w:val="0037510E"/>
    <w:rsid w:val="003808A4"/>
    <w:rsid w:val="00383EA2"/>
    <w:rsid w:val="00390CEA"/>
    <w:rsid w:val="00392E10"/>
    <w:rsid w:val="00393CA9"/>
    <w:rsid w:val="00396056"/>
    <w:rsid w:val="003A4F1E"/>
    <w:rsid w:val="003A53EF"/>
    <w:rsid w:val="003B27AF"/>
    <w:rsid w:val="003B4BA6"/>
    <w:rsid w:val="003C47F1"/>
    <w:rsid w:val="003C4B46"/>
    <w:rsid w:val="003C5023"/>
    <w:rsid w:val="003E30B5"/>
    <w:rsid w:val="003E4BCB"/>
    <w:rsid w:val="003E4C18"/>
    <w:rsid w:val="003E58D2"/>
    <w:rsid w:val="003E6878"/>
    <w:rsid w:val="003F3F52"/>
    <w:rsid w:val="003F6705"/>
    <w:rsid w:val="004006B7"/>
    <w:rsid w:val="0040391F"/>
    <w:rsid w:val="00415468"/>
    <w:rsid w:val="004246C9"/>
    <w:rsid w:val="00431EF9"/>
    <w:rsid w:val="00432157"/>
    <w:rsid w:val="00433BF1"/>
    <w:rsid w:val="004363C1"/>
    <w:rsid w:val="0044133C"/>
    <w:rsid w:val="00446586"/>
    <w:rsid w:val="00446CA1"/>
    <w:rsid w:val="0045427C"/>
    <w:rsid w:val="00455557"/>
    <w:rsid w:val="00457BE5"/>
    <w:rsid w:val="00462E8C"/>
    <w:rsid w:val="00464830"/>
    <w:rsid w:val="0046571E"/>
    <w:rsid w:val="00467204"/>
    <w:rsid w:val="00467900"/>
    <w:rsid w:val="00474DA0"/>
    <w:rsid w:val="00476F2A"/>
    <w:rsid w:val="00480EBC"/>
    <w:rsid w:val="00483334"/>
    <w:rsid w:val="00484240"/>
    <w:rsid w:val="00484A45"/>
    <w:rsid w:val="004969EA"/>
    <w:rsid w:val="00496A30"/>
    <w:rsid w:val="004A2A41"/>
    <w:rsid w:val="004A4B25"/>
    <w:rsid w:val="004A5DB4"/>
    <w:rsid w:val="004B7759"/>
    <w:rsid w:val="004B7A93"/>
    <w:rsid w:val="004C087E"/>
    <w:rsid w:val="004D5F2C"/>
    <w:rsid w:val="004D7DED"/>
    <w:rsid w:val="004E35B9"/>
    <w:rsid w:val="004F0046"/>
    <w:rsid w:val="004F1469"/>
    <w:rsid w:val="005026A3"/>
    <w:rsid w:val="00503AC9"/>
    <w:rsid w:val="00507108"/>
    <w:rsid w:val="00507741"/>
    <w:rsid w:val="00507EC5"/>
    <w:rsid w:val="00510ED3"/>
    <w:rsid w:val="00516952"/>
    <w:rsid w:val="005175D0"/>
    <w:rsid w:val="00517640"/>
    <w:rsid w:val="00524F24"/>
    <w:rsid w:val="005253D4"/>
    <w:rsid w:val="00531311"/>
    <w:rsid w:val="00534C20"/>
    <w:rsid w:val="0054681F"/>
    <w:rsid w:val="00551025"/>
    <w:rsid w:val="00551815"/>
    <w:rsid w:val="005518B8"/>
    <w:rsid w:val="0055536A"/>
    <w:rsid w:val="00556DF9"/>
    <w:rsid w:val="00557C3F"/>
    <w:rsid w:val="00557EEE"/>
    <w:rsid w:val="00565A51"/>
    <w:rsid w:val="0056614C"/>
    <w:rsid w:val="00571260"/>
    <w:rsid w:val="00571952"/>
    <w:rsid w:val="0057506C"/>
    <w:rsid w:val="005832AD"/>
    <w:rsid w:val="00583626"/>
    <w:rsid w:val="005845F7"/>
    <w:rsid w:val="00590D7B"/>
    <w:rsid w:val="005922C9"/>
    <w:rsid w:val="00593CAA"/>
    <w:rsid w:val="00595833"/>
    <w:rsid w:val="005A1986"/>
    <w:rsid w:val="005A4D58"/>
    <w:rsid w:val="005A6FD4"/>
    <w:rsid w:val="005B0A12"/>
    <w:rsid w:val="005B5DE8"/>
    <w:rsid w:val="005B6606"/>
    <w:rsid w:val="005C04C2"/>
    <w:rsid w:val="005C3665"/>
    <w:rsid w:val="005C3D47"/>
    <w:rsid w:val="005C49BB"/>
    <w:rsid w:val="005C72C7"/>
    <w:rsid w:val="005D0654"/>
    <w:rsid w:val="005D1895"/>
    <w:rsid w:val="005D2013"/>
    <w:rsid w:val="005D385C"/>
    <w:rsid w:val="005D3E18"/>
    <w:rsid w:val="005D426C"/>
    <w:rsid w:val="005D6F47"/>
    <w:rsid w:val="005E194B"/>
    <w:rsid w:val="005E2199"/>
    <w:rsid w:val="005E5C52"/>
    <w:rsid w:val="005E5DCF"/>
    <w:rsid w:val="005E6A95"/>
    <w:rsid w:val="005F1BA2"/>
    <w:rsid w:val="005F1CDC"/>
    <w:rsid w:val="005F42F8"/>
    <w:rsid w:val="005F527D"/>
    <w:rsid w:val="005F5FDC"/>
    <w:rsid w:val="005F6B94"/>
    <w:rsid w:val="00601205"/>
    <w:rsid w:val="00606CE8"/>
    <w:rsid w:val="00606DEF"/>
    <w:rsid w:val="0061518A"/>
    <w:rsid w:val="006175B8"/>
    <w:rsid w:val="00617637"/>
    <w:rsid w:val="00622F10"/>
    <w:rsid w:val="00626299"/>
    <w:rsid w:val="00626756"/>
    <w:rsid w:val="00626D8F"/>
    <w:rsid w:val="00631517"/>
    <w:rsid w:val="0063245C"/>
    <w:rsid w:val="00635DBD"/>
    <w:rsid w:val="006375D9"/>
    <w:rsid w:val="00641761"/>
    <w:rsid w:val="0064288A"/>
    <w:rsid w:val="0064537F"/>
    <w:rsid w:val="00645CD0"/>
    <w:rsid w:val="006659C7"/>
    <w:rsid w:val="006679BE"/>
    <w:rsid w:val="006741F7"/>
    <w:rsid w:val="00680451"/>
    <w:rsid w:val="00691959"/>
    <w:rsid w:val="00693CCF"/>
    <w:rsid w:val="00694B55"/>
    <w:rsid w:val="006A1982"/>
    <w:rsid w:val="006A4E80"/>
    <w:rsid w:val="006A717B"/>
    <w:rsid w:val="006A7A79"/>
    <w:rsid w:val="006B40F6"/>
    <w:rsid w:val="006B57DF"/>
    <w:rsid w:val="006C0131"/>
    <w:rsid w:val="006C036A"/>
    <w:rsid w:val="006C0F7B"/>
    <w:rsid w:val="006C1C37"/>
    <w:rsid w:val="006C3432"/>
    <w:rsid w:val="006C4452"/>
    <w:rsid w:val="006D1E58"/>
    <w:rsid w:val="006E0B1F"/>
    <w:rsid w:val="006E2576"/>
    <w:rsid w:val="006E2611"/>
    <w:rsid w:val="006E318C"/>
    <w:rsid w:val="006E3F46"/>
    <w:rsid w:val="006E4A6E"/>
    <w:rsid w:val="006E642B"/>
    <w:rsid w:val="006F2054"/>
    <w:rsid w:val="00706DE0"/>
    <w:rsid w:val="00716591"/>
    <w:rsid w:val="00720549"/>
    <w:rsid w:val="00733DD9"/>
    <w:rsid w:val="007365AF"/>
    <w:rsid w:val="00744D18"/>
    <w:rsid w:val="007509E4"/>
    <w:rsid w:val="007523FA"/>
    <w:rsid w:val="00752C0E"/>
    <w:rsid w:val="0075482F"/>
    <w:rsid w:val="00755963"/>
    <w:rsid w:val="00760087"/>
    <w:rsid w:val="0076129E"/>
    <w:rsid w:val="00763160"/>
    <w:rsid w:val="007654B0"/>
    <w:rsid w:val="007659D9"/>
    <w:rsid w:val="007668EE"/>
    <w:rsid w:val="00771454"/>
    <w:rsid w:val="00780612"/>
    <w:rsid w:val="0078658D"/>
    <w:rsid w:val="00786A20"/>
    <w:rsid w:val="00792ABB"/>
    <w:rsid w:val="00793510"/>
    <w:rsid w:val="007A0634"/>
    <w:rsid w:val="007A16F4"/>
    <w:rsid w:val="007A458D"/>
    <w:rsid w:val="007B0EEF"/>
    <w:rsid w:val="007B7C8E"/>
    <w:rsid w:val="007C0FAA"/>
    <w:rsid w:val="007C12F3"/>
    <w:rsid w:val="007C163A"/>
    <w:rsid w:val="007C61B7"/>
    <w:rsid w:val="007D5243"/>
    <w:rsid w:val="007D601A"/>
    <w:rsid w:val="007E6C37"/>
    <w:rsid w:val="007F074C"/>
    <w:rsid w:val="007F07FB"/>
    <w:rsid w:val="007F2519"/>
    <w:rsid w:val="007F40C2"/>
    <w:rsid w:val="00802521"/>
    <w:rsid w:val="00806435"/>
    <w:rsid w:val="00810507"/>
    <w:rsid w:val="00813E69"/>
    <w:rsid w:val="00814760"/>
    <w:rsid w:val="00816977"/>
    <w:rsid w:val="00817E8B"/>
    <w:rsid w:val="00826CBA"/>
    <w:rsid w:val="008338D4"/>
    <w:rsid w:val="00835C30"/>
    <w:rsid w:val="008373FD"/>
    <w:rsid w:val="00837BF6"/>
    <w:rsid w:val="008400B1"/>
    <w:rsid w:val="008416AD"/>
    <w:rsid w:val="0084255D"/>
    <w:rsid w:val="008431F8"/>
    <w:rsid w:val="0084637E"/>
    <w:rsid w:val="0085048C"/>
    <w:rsid w:val="00850ACF"/>
    <w:rsid w:val="00852038"/>
    <w:rsid w:val="00862419"/>
    <w:rsid w:val="00863928"/>
    <w:rsid w:val="00867588"/>
    <w:rsid w:val="0087236F"/>
    <w:rsid w:val="008724EA"/>
    <w:rsid w:val="008747E5"/>
    <w:rsid w:val="00874C9A"/>
    <w:rsid w:val="00876536"/>
    <w:rsid w:val="0088062B"/>
    <w:rsid w:val="0088415A"/>
    <w:rsid w:val="00885F0A"/>
    <w:rsid w:val="0088639E"/>
    <w:rsid w:val="00893F9B"/>
    <w:rsid w:val="008A17C8"/>
    <w:rsid w:val="008B407C"/>
    <w:rsid w:val="008B5290"/>
    <w:rsid w:val="008B6837"/>
    <w:rsid w:val="008B6845"/>
    <w:rsid w:val="008B6C35"/>
    <w:rsid w:val="008B7EDE"/>
    <w:rsid w:val="008C02BA"/>
    <w:rsid w:val="008C1BBD"/>
    <w:rsid w:val="008C212B"/>
    <w:rsid w:val="008C366A"/>
    <w:rsid w:val="008C5F30"/>
    <w:rsid w:val="008D1596"/>
    <w:rsid w:val="008D1A2F"/>
    <w:rsid w:val="008D40DD"/>
    <w:rsid w:val="008D43BD"/>
    <w:rsid w:val="008D4DB4"/>
    <w:rsid w:val="008E65E6"/>
    <w:rsid w:val="008E7FA6"/>
    <w:rsid w:val="008F1262"/>
    <w:rsid w:val="008F1C4F"/>
    <w:rsid w:val="008F3C4D"/>
    <w:rsid w:val="009018EC"/>
    <w:rsid w:val="00903CDA"/>
    <w:rsid w:val="00906EDB"/>
    <w:rsid w:val="0090776C"/>
    <w:rsid w:val="009102B0"/>
    <w:rsid w:val="00912E00"/>
    <w:rsid w:val="00917D94"/>
    <w:rsid w:val="00922E9D"/>
    <w:rsid w:val="0092302B"/>
    <w:rsid w:val="00923C46"/>
    <w:rsid w:val="00927413"/>
    <w:rsid w:val="009301C2"/>
    <w:rsid w:val="00932301"/>
    <w:rsid w:val="00942939"/>
    <w:rsid w:val="009451DD"/>
    <w:rsid w:val="0095420B"/>
    <w:rsid w:val="009542D9"/>
    <w:rsid w:val="00967F22"/>
    <w:rsid w:val="009711DB"/>
    <w:rsid w:val="0097370A"/>
    <w:rsid w:val="00974AF4"/>
    <w:rsid w:val="009769D3"/>
    <w:rsid w:val="00976C8F"/>
    <w:rsid w:val="00977AC1"/>
    <w:rsid w:val="009831B2"/>
    <w:rsid w:val="00986620"/>
    <w:rsid w:val="009877E9"/>
    <w:rsid w:val="00990226"/>
    <w:rsid w:val="0099077D"/>
    <w:rsid w:val="009911E2"/>
    <w:rsid w:val="009930B5"/>
    <w:rsid w:val="009A0F4F"/>
    <w:rsid w:val="009A0F50"/>
    <w:rsid w:val="009A16CD"/>
    <w:rsid w:val="009B56B8"/>
    <w:rsid w:val="009C06F5"/>
    <w:rsid w:val="009C6426"/>
    <w:rsid w:val="009D5DB3"/>
    <w:rsid w:val="009D6567"/>
    <w:rsid w:val="009E0F31"/>
    <w:rsid w:val="009E245E"/>
    <w:rsid w:val="009F0402"/>
    <w:rsid w:val="009F0A9C"/>
    <w:rsid w:val="009F0B61"/>
    <w:rsid w:val="009F0C77"/>
    <w:rsid w:val="009F124E"/>
    <w:rsid w:val="009F3F8E"/>
    <w:rsid w:val="009F76F5"/>
    <w:rsid w:val="00A007F5"/>
    <w:rsid w:val="00A028AD"/>
    <w:rsid w:val="00A038EC"/>
    <w:rsid w:val="00A145B0"/>
    <w:rsid w:val="00A15172"/>
    <w:rsid w:val="00A161C1"/>
    <w:rsid w:val="00A20545"/>
    <w:rsid w:val="00A26EF7"/>
    <w:rsid w:val="00A379F8"/>
    <w:rsid w:val="00A41FCF"/>
    <w:rsid w:val="00A42B73"/>
    <w:rsid w:val="00A43A7F"/>
    <w:rsid w:val="00A44A93"/>
    <w:rsid w:val="00A54EEA"/>
    <w:rsid w:val="00A5516D"/>
    <w:rsid w:val="00A55D06"/>
    <w:rsid w:val="00A56BFF"/>
    <w:rsid w:val="00A6141D"/>
    <w:rsid w:val="00A623A1"/>
    <w:rsid w:val="00A63F0A"/>
    <w:rsid w:val="00A70531"/>
    <w:rsid w:val="00A720AA"/>
    <w:rsid w:val="00A733BE"/>
    <w:rsid w:val="00A73600"/>
    <w:rsid w:val="00A74C1E"/>
    <w:rsid w:val="00A823E7"/>
    <w:rsid w:val="00A83F07"/>
    <w:rsid w:val="00A93712"/>
    <w:rsid w:val="00A962DF"/>
    <w:rsid w:val="00AA216A"/>
    <w:rsid w:val="00AA606A"/>
    <w:rsid w:val="00AB183B"/>
    <w:rsid w:val="00AC0716"/>
    <w:rsid w:val="00AC2805"/>
    <w:rsid w:val="00AC4B96"/>
    <w:rsid w:val="00AD22CA"/>
    <w:rsid w:val="00AD5E79"/>
    <w:rsid w:val="00AE037D"/>
    <w:rsid w:val="00AE06D7"/>
    <w:rsid w:val="00AE160F"/>
    <w:rsid w:val="00AE6B63"/>
    <w:rsid w:val="00AF1DF2"/>
    <w:rsid w:val="00AF32BE"/>
    <w:rsid w:val="00AF3E57"/>
    <w:rsid w:val="00AF79C7"/>
    <w:rsid w:val="00AF7C42"/>
    <w:rsid w:val="00B04B10"/>
    <w:rsid w:val="00B056F6"/>
    <w:rsid w:val="00B07F79"/>
    <w:rsid w:val="00B10154"/>
    <w:rsid w:val="00B10896"/>
    <w:rsid w:val="00B154DE"/>
    <w:rsid w:val="00B16C07"/>
    <w:rsid w:val="00B20C4F"/>
    <w:rsid w:val="00B2580A"/>
    <w:rsid w:val="00B309EA"/>
    <w:rsid w:val="00B37009"/>
    <w:rsid w:val="00B37578"/>
    <w:rsid w:val="00B4246B"/>
    <w:rsid w:val="00B45027"/>
    <w:rsid w:val="00B45A0D"/>
    <w:rsid w:val="00B462D7"/>
    <w:rsid w:val="00B46A57"/>
    <w:rsid w:val="00B472B4"/>
    <w:rsid w:val="00B5059D"/>
    <w:rsid w:val="00B50B26"/>
    <w:rsid w:val="00B54AD8"/>
    <w:rsid w:val="00B55054"/>
    <w:rsid w:val="00B5531F"/>
    <w:rsid w:val="00B569CA"/>
    <w:rsid w:val="00B60DE9"/>
    <w:rsid w:val="00B615AA"/>
    <w:rsid w:val="00B65754"/>
    <w:rsid w:val="00B66231"/>
    <w:rsid w:val="00B73BBF"/>
    <w:rsid w:val="00B769F1"/>
    <w:rsid w:val="00B80BD2"/>
    <w:rsid w:val="00B82025"/>
    <w:rsid w:val="00B837F0"/>
    <w:rsid w:val="00B84210"/>
    <w:rsid w:val="00B84A5C"/>
    <w:rsid w:val="00B92258"/>
    <w:rsid w:val="00B97D50"/>
    <w:rsid w:val="00BA0A91"/>
    <w:rsid w:val="00BA3B20"/>
    <w:rsid w:val="00BA3DF6"/>
    <w:rsid w:val="00BA4887"/>
    <w:rsid w:val="00BA4DB4"/>
    <w:rsid w:val="00BA6A3D"/>
    <w:rsid w:val="00BB0FD0"/>
    <w:rsid w:val="00BB25D8"/>
    <w:rsid w:val="00BB3C1A"/>
    <w:rsid w:val="00BC1BCA"/>
    <w:rsid w:val="00BC60D3"/>
    <w:rsid w:val="00BC6DEF"/>
    <w:rsid w:val="00BC6FCE"/>
    <w:rsid w:val="00BD042F"/>
    <w:rsid w:val="00BD4BF8"/>
    <w:rsid w:val="00BD6703"/>
    <w:rsid w:val="00BE2989"/>
    <w:rsid w:val="00BE7A11"/>
    <w:rsid w:val="00BF722F"/>
    <w:rsid w:val="00C0788E"/>
    <w:rsid w:val="00C114FD"/>
    <w:rsid w:val="00C1184D"/>
    <w:rsid w:val="00C13FE8"/>
    <w:rsid w:val="00C14140"/>
    <w:rsid w:val="00C16ED3"/>
    <w:rsid w:val="00C24797"/>
    <w:rsid w:val="00C249BB"/>
    <w:rsid w:val="00C255FB"/>
    <w:rsid w:val="00C26C03"/>
    <w:rsid w:val="00C27DA5"/>
    <w:rsid w:val="00C30A60"/>
    <w:rsid w:val="00C33182"/>
    <w:rsid w:val="00C333EE"/>
    <w:rsid w:val="00C33ABA"/>
    <w:rsid w:val="00C37165"/>
    <w:rsid w:val="00C37BB6"/>
    <w:rsid w:val="00C37C81"/>
    <w:rsid w:val="00C5150C"/>
    <w:rsid w:val="00C52EFD"/>
    <w:rsid w:val="00C54552"/>
    <w:rsid w:val="00C61FD3"/>
    <w:rsid w:val="00C6237C"/>
    <w:rsid w:val="00C63CEA"/>
    <w:rsid w:val="00C64378"/>
    <w:rsid w:val="00C65265"/>
    <w:rsid w:val="00C67CD9"/>
    <w:rsid w:val="00C7331D"/>
    <w:rsid w:val="00C73A31"/>
    <w:rsid w:val="00C75CF0"/>
    <w:rsid w:val="00C77420"/>
    <w:rsid w:val="00C808B5"/>
    <w:rsid w:val="00C815D9"/>
    <w:rsid w:val="00C82112"/>
    <w:rsid w:val="00C82DB6"/>
    <w:rsid w:val="00CA23E1"/>
    <w:rsid w:val="00CA249C"/>
    <w:rsid w:val="00CA424C"/>
    <w:rsid w:val="00CA4CD6"/>
    <w:rsid w:val="00CA6BA6"/>
    <w:rsid w:val="00CB03DD"/>
    <w:rsid w:val="00CB16F3"/>
    <w:rsid w:val="00CB38EF"/>
    <w:rsid w:val="00CB3E68"/>
    <w:rsid w:val="00CB54F6"/>
    <w:rsid w:val="00CB6009"/>
    <w:rsid w:val="00CB6348"/>
    <w:rsid w:val="00CC4236"/>
    <w:rsid w:val="00CC48AB"/>
    <w:rsid w:val="00CD13E6"/>
    <w:rsid w:val="00CD1A3A"/>
    <w:rsid w:val="00CD2069"/>
    <w:rsid w:val="00CD2525"/>
    <w:rsid w:val="00CD280D"/>
    <w:rsid w:val="00CE13C8"/>
    <w:rsid w:val="00CF05C3"/>
    <w:rsid w:val="00CF19FA"/>
    <w:rsid w:val="00CF63E5"/>
    <w:rsid w:val="00CF66A5"/>
    <w:rsid w:val="00CF6BAD"/>
    <w:rsid w:val="00D02793"/>
    <w:rsid w:val="00D13D9A"/>
    <w:rsid w:val="00D141BB"/>
    <w:rsid w:val="00D14A8D"/>
    <w:rsid w:val="00D165EC"/>
    <w:rsid w:val="00D21198"/>
    <w:rsid w:val="00D21937"/>
    <w:rsid w:val="00D2273E"/>
    <w:rsid w:val="00D31A7A"/>
    <w:rsid w:val="00D33F5C"/>
    <w:rsid w:val="00D41C0F"/>
    <w:rsid w:val="00D42D52"/>
    <w:rsid w:val="00D4464D"/>
    <w:rsid w:val="00D464AA"/>
    <w:rsid w:val="00D46FA2"/>
    <w:rsid w:val="00D5080D"/>
    <w:rsid w:val="00D52B0E"/>
    <w:rsid w:val="00D56F5F"/>
    <w:rsid w:val="00D60A0B"/>
    <w:rsid w:val="00D61B37"/>
    <w:rsid w:val="00D63B96"/>
    <w:rsid w:val="00D63C0C"/>
    <w:rsid w:val="00D647EF"/>
    <w:rsid w:val="00D71160"/>
    <w:rsid w:val="00D74CF7"/>
    <w:rsid w:val="00D769E2"/>
    <w:rsid w:val="00D84169"/>
    <w:rsid w:val="00D85328"/>
    <w:rsid w:val="00D85FCD"/>
    <w:rsid w:val="00D86E28"/>
    <w:rsid w:val="00D92F66"/>
    <w:rsid w:val="00D934C4"/>
    <w:rsid w:val="00D95819"/>
    <w:rsid w:val="00D95C01"/>
    <w:rsid w:val="00D96404"/>
    <w:rsid w:val="00DA50C3"/>
    <w:rsid w:val="00DA5B57"/>
    <w:rsid w:val="00DA7285"/>
    <w:rsid w:val="00DA75FD"/>
    <w:rsid w:val="00DA7AC9"/>
    <w:rsid w:val="00DB4008"/>
    <w:rsid w:val="00DB59E1"/>
    <w:rsid w:val="00DB7DB1"/>
    <w:rsid w:val="00DC17FA"/>
    <w:rsid w:val="00DC2A76"/>
    <w:rsid w:val="00DC3A1B"/>
    <w:rsid w:val="00DD1AC1"/>
    <w:rsid w:val="00DD2C05"/>
    <w:rsid w:val="00DD3B64"/>
    <w:rsid w:val="00DD3E06"/>
    <w:rsid w:val="00DD505D"/>
    <w:rsid w:val="00DD60DC"/>
    <w:rsid w:val="00DD640E"/>
    <w:rsid w:val="00DD7D49"/>
    <w:rsid w:val="00DE1052"/>
    <w:rsid w:val="00DE3BEC"/>
    <w:rsid w:val="00DF12D3"/>
    <w:rsid w:val="00DF3AC7"/>
    <w:rsid w:val="00DF5C4E"/>
    <w:rsid w:val="00DF75D1"/>
    <w:rsid w:val="00E007F4"/>
    <w:rsid w:val="00E04EF6"/>
    <w:rsid w:val="00E102B8"/>
    <w:rsid w:val="00E10DA7"/>
    <w:rsid w:val="00E12368"/>
    <w:rsid w:val="00E1538C"/>
    <w:rsid w:val="00E20758"/>
    <w:rsid w:val="00E252E2"/>
    <w:rsid w:val="00E25DB6"/>
    <w:rsid w:val="00E276CD"/>
    <w:rsid w:val="00E32EDA"/>
    <w:rsid w:val="00E37C5F"/>
    <w:rsid w:val="00E41F53"/>
    <w:rsid w:val="00E5003E"/>
    <w:rsid w:val="00E53137"/>
    <w:rsid w:val="00E531D7"/>
    <w:rsid w:val="00E57021"/>
    <w:rsid w:val="00E60900"/>
    <w:rsid w:val="00E63037"/>
    <w:rsid w:val="00E702F6"/>
    <w:rsid w:val="00E72401"/>
    <w:rsid w:val="00E749C6"/>
    <w:rsid w:val="00E7527E"/>
    <w:rsid w:val="00E762E7"/>
    <w:rsid w:val="00E77D5E"/>
    <w:rsid w:val="00E77DB3"/>
    <w:rsid w:val="00E8169A"/>
    <w:rsid w:val="00E83165"/>
    <w:rsid w:val="00E8580E"/>
    <w:rsid w:val="00E868BB"/>
    <w:rsid w:val="00E87163"/>
    <w:rsid w:val="00E87F09"/>
    <w:rsid w:val="00EA37A9"/>
    <w:rsid w:val="00EA7026"/>
    <w:rsid w:val="00EA7D46"/>
    <w:rsid w:val="00EB1C7F"/>
    <w:rsid w:val="00EC0F16"/>
    <w:rsid w:val="00EC4074"/>
    <w:rsid w:val="00EC4432"/>
    <w:rsid w:val="00EC7B9A"/>
    <w:rsid w:val="00EC7E20"/>
    <w:rsid w:val="00ED1900"/>
    <w:rsid w:val="00ED4539"/>
    <w:rsid w:val="00ED53CB"/>
    <w:rsid w:val="00ED5B2D"/>
    <w:rsid w:val="00ED6086"/>
    <w:rsid w:val="00EE0E27"/>
    <w:rsid w:val="00EE20C3"/>
    <w:rsid w:val="00EE4731"/>
    <w:rsid w:val="00EE4D24"/>
    <w:rsid w:val="00EE5E90"/>
    <w:rsid w:val="00EE75A6"/>
    <w:rsid w:val="00EF113F"/>
    <w:rsid w:val="00EF2E37"/>
    <w:rsid w:val="00EF4EC2"/>
    <w:rsid w:val="00F013BD"/>
    <w:rsid w:val="00F066C9"/>
    <w:rsid w:val="00F06AFB"/>
    <w:rsid w:val="00F15E9C"/>
    <w:rsid w:val="00F20822"/>
    <w:rsid w:val="00F2232A"/>
    <w:rsid w:val="00F24384"/>
    <w:rsid w:val="00F26A70"/>
    <w:rsid w:val="00F340DF"/>
    <w:rsid w:val="00F35A7E"/>
    <w:rsid w:val="00F4088B"/>
    <w:rsid w:val="00F45246"/>
    <w:rsid w:val="00F458E5"/>
    <w:rsid w:val="00F46122"/>
    <w:rsid w:val="00F47C05"/>
    <w:rsid w:val="00F538BC"/>
    <w:rsid w:val="00F54CD8"/>
    <w:rsid w:val="00F55A20"/>
    <w:rsid w:val="00F575E5"/>
    <w:rsid w:val="00F62E0F"/>
    <w:rsid w:val="00F65970"/>
    <w:rsid w:val="00F70A9F"/>
    <w:rsid w:val="00F70E87"/>
    <w:rsid w:val="00F71117"/>
    <w:rsid w:val="00F71CFF"/>
    <w:rsid w:val="00F72770"/>
    <w:rsid w:val="00F736E8"/>
    <w:rsid w:val="00F80701"/>
    <w:rsid w:val="00F81860"/>
    <w:rsid w:val="00F83171"/>
    <w:rsid w:val="00F839DE"/>
    <w:rsid w:val="00F857B1"/>
    <w:rsid w:val="00F85C65"/>
    <w:rsid w:val="00F874CB"/>
    <w:rsid w:val="00F9092B"/>
    <w:rsid w:val="00F92D0F"/>
    <w:rsid w:val="00F92D22"/>
    <w:rsid w:val="00F94764"/>
    <w:rsid w:val="00F96E62"/>
    <w:rsid w:val="00FA4543"/>
    <w:rsid w:val="00FA5D8D"/>
    <w:rsid w:val="00FA6B1F"/>
    <w:rsid w:val="00FB0650"/>
    <w:rsid w:val="00FB4D98"/>
    <w:rsid w:val="00FB54CB"/>
    <w:rsid w:val="00FB701A"/>
    <w:rsid w:val="00FB73D5"/>
    <w:rsid w:val="00FB7BCE"/>
    <w:rsid w:val="00FC4E09"/>
    <w:rsid w:val="00FC76A3"/>
    <w:rsid w:val="00FD2D6B"/>
    <w:rsid w:val="00FD654B"/>
    <w:rsid w:val="00FE17D3"/>
    <w:rsid w:val="00FE2099"/>
    <w:rsid w:val="00FE3EF3"/>
    <w:rsid w:val="00FE6754"/>
    <w:rsid w:val="00FE7777"/>
    <w:rsid w:val="00FF729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1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3A2F"/>
    <w:pPr>
      <w:widowControl w:val="0"/>
      <w:autoSpaceDE w:val="0"/>
      <w:autoSpaceDN w:val="0"/>
      <w:adjustRightInd w:val="0"/>
    </w:pPr>
    <w:rPr>
      <w:sz w:val="24"/>
      <w:szCs w:val="24"/>
    </w:rPr>
  </w:style>
  <w:style w:type="paragraph" w:styleId="Heading1">
    <w:name w:val="heading 1"/>
    <w:basedOn w:val="Normal"/>
    <w:link w:val="Heading1Char"/>
    <w:uiPriority w:val="9"/>
    <w:qFormat/>
    <w:rsid w:val="00927413"/>
    <w:pPr>
      <w:widowControl/>
      <w:autoSpaceDE/>
      <w:autoSpaceDN/>
      <w:adjustRightInd/>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0A688B"/>
  </w:style>
  <w:style w:type="character" w:customStyle="1" w:styleId="Hypertext">
    <w:name w:val="Hypertext"/>
    <w:rsid w:val="000A688B"/>
    <w:rPr>
      <w:color w:val="0000FF"/>
      <w:u w:val="single"/>
    </w:rPr>
  </w:style>
  <w:style w:type="paragraph" w:customStyle="1" w:styleId="Level1">
    <w:name w:val="Level 1"/>
    <w:basedOn w:val="Normal"/>
    <w:rsid w:val="000A688B"/>
    <w:pPr>
      <w:ind w:left="1440" w:hanging="720"/>
    </w:pPr>
  </w:style>
  <w:style w:type="character" w:customStyle="1" w:styleId="1">
    <w:name w:val="1"/>
    <w:rsid w:val="000A688B"/>
  </w:style>
  <w:style w:type="paragraph" w:styleId="Caption">
    <w:name w:val="caption"/>
    <w:basedOn w:val="Normal"/>
    <w:next w:val="Normal"/>
    <w:qFormat/>
    <w:rsid w:val="00B472B4"/>
    <w:pPr>
      <w:spacing w:before="120" w:after="120"/>
    </w:pPr>
    <w:rPr>
      <w:rFonts w:ascii="Courier New" w:hAnsi="Courier New"/>
      <w:b/>
      <w:bCs/>
      <w:sz w:val="20"/>
      <w:szCs w:val="20"/>
    </w:rPr>
  </w:style>
  <w:style w:type="character" w:styleId="CommentReference">
    <w:name w:val="annotation reference"/>
    <w:basedOn w:val="DefaultParagraphFont"/>
    <w:rsid w:val="0037510E"/>
    <w:rPr>
      <w:sz w:val="16"/>
      <w:szCs w:val="16"/>
    </w:rPr>
  </w:style>
  <w:style w:type="paragraph" w:styleId="CommentText">
    <w:name w:val="annotation text"/>
    <w:basedOn w:val="Normal"/>
    <w:link w:val="CommentTextChar"/>
    <w:rsid w:val="0037510E"/>
    <w:rPr>
      <w:sz w:val="20"/>
      <w:szCs w:val="20"/>
    </w:rPr>
  </w:style>
  <w:style w:type="paragraph" w:styleId="CommentSubject">
    <w:name w:val="annotation subject"/>
    <w:basedOn w:val="CommentText"/>
    <w:next w:val="CommentText"/>
    <w:semiHidden/>
    <w:rsid w:val="0037510E"/>
    <w:rPr>
      <w:b/>
      <w:bCs/>
    </w:rPr>
  </w:style>
  <w:style w:type="paragraph" w:styleId="BalloonText">
    <w:name w:val="Balloon Text"/>
    <w:basedOn w:val="Normal"/>
    <w:semiHidden/>
    <w:rsid w:val="0037510E"/>
    <w:rPr>
      <w:rFonts w:ascii="Tahoma" w:hAnsi="Tahoma" w:cs="Tahoma"/>
      <w:sz w:val="16"/>
      <w:szCs w:val="16"/>
    </w:rPr>
  </w:style>
  <w:style w:type="paragraph" w:styleId="Header">
    <w:name w:val="header"/>
    <w:basedOn w:val="Normal"/>
    <w:rsid w:val="00F65970"/>
    <w:pPr>
      <w:tabs>
        <w:tab w:val="center" w:pos="4320"/>
        <w:tab w:val="right" w:pos="8640"/>
      </w:tabs>
    </w:pPr>
  </w:style>
  <w:style w:type="paragraph" w:styleId="Footer">
    <w:name w:val="footer"/>
    <w:basedOn w:val="Normal"/>
    <w:rsid w:val="00F65970"/>
    <w:pPr>
      <w:tabs>
        <w:tab w:val="center" w:pos="4320"/>
        <w:tab w:val="right" w:pos="8640"/>
      </w:tabs>
    </w:pPr>
  </w:style>
  <w:style w:type="paragraph" w:styleId="Revision">
    <w:name w:val="Revision"/>
    <w:hidden/>
    <w:uiPriority w:val="99"/>
    <w:semiHidden/>
    <w:rsid w:val="009F0B61"/>
    <w:rPr>
      <w:sz w:val="24"/>
      <w:szCs w:val="24"/>
    </w:rPr>
  </w:style>
  <w:style w:type="paragraph" w:customStyle="1" w:styleId="GHGPARAGRAPH">
    <w:name w:val="___GHG PARAGRAPH"/>
    <w:link w:val="GHGPARAGRAPHCharChar"/>
    <w:rsid w:val="00D86E28"/>
    <w:pPr>
      <w:spacing w:line="480" w:lineRule="auto"/>
      <w:ind w:firstLine="720"/>
    </w:pPr>
    <w:rPr>
      <w:rFonts w:ascii="Courier New" w:hAnsi="Courier New" w:cs="Courier New"/>
      <w:bCs/>
      <w:sz w:val="24"/>
      <w:szCs w:val="24"/>
    </w:rPr>
  </w:style>
  <w:style w:type="character" w:customStyle="1" w:styleId="GHGPARAGRAPHCharChar">
    <w:name w:val="___GHG PARAGRAPH Char Char"/>
    <w:basedOn w:val="DefaultParagraphFont"/>
    <w:link w:val="GHGPARAGRAPH"/>
    <w:rsid w:val="00D86E28"/>
    <w:rPr>
      <w:rFonts w:ascii="Courier New" w:hAnsi="Courier New" w:cs="Courier New"/>
      <w:bCs/>
      <w:sz w:val="24"/>
      <w:szCs w:val="24"/>
      <w:lang w:val="en-US" w:eastAsia="en-US" w:bidi="ar-SA"/>
    </w:rPr>
  </w:style>
  <w:style w:type="paragraph" w:styleId="ListParagraph">
    <w:name w:val="List Paragraph"/>
    <w:basedOn w:val="Normal"/>
    <w:uiPriority w:val="34"/>
    <w:qFormat/>
    <w:rsid w:val="006B40F6"/>
    <w:pPr>
      <w:ind w:left="720"/>
      <w:contextualSpacing/>
    </w:pPr>
  </w:style>
  <w:style w:type="table" w:styleId="TableGrid">
    <w:name w:val="Table Grid"/>
    <w:basedOn w:val="TableNormal"/>
    <w:rsid w:val="00C27DA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rsid w:val="00932301"/>
  </w:style>
  <w:style w:type="paragraph" w:customStyle="1" w:styleId="BodyFirstline05After12pt">
    <w:name w:val="Body First line:  0.5&quot; After:  12 pt"/>
    <w:basedOn w:val="Normal"/>
    <w:rsid w:val="00932301"/>
    <w:pPr>
      <w:widowControl/>
      <w:autoSpaceDE/>
      <w:autoSpaceDN/>
      <w:adjustRightInd/>
      <w:spacing w:after="240"/>
      <w:ind w:firstLine="720"/>
    </w:pPr>
  </w:style>
  <w:style w:type="character" w:customStyle="1" w:styleId="Subscript">
    <w:name w:val="Subscript"/>
    <w:basedOn w:val="DefaultParagraphFont"/>
    <w:rsid w:val="00932301"/>
    <w:rPr>
      <w:vertAlign w:val="subscript"/>
    </w:rPr>
  </w:style>
  <w:style w:type="paragraph" w:customStyle="1" w:styleId="SectionSubheading">
    <w:name w:val="Section Subheading"/>
    <w:basedOn w:val="Normal"/>
    <w:rsid w:val="00C37C81"/>
    <w:pPr>
      <w:keepNext/>
      <w:widowControl/>
      <w:autoSpaceDE/>
      <w:autoSpaceDN/>
      <w:adjustRightInd/>
      <w:spacing w:after="240"/>
      <w:ind w:firstLine="720"/>
    </w:pPr>
    <w:rPr>
      <w:b/>
    </w:rPr>
  </w:style>
  <w:style w:type="character" w:customStyle="1" w:styleId="Italic">
    <w:name w:val="Italic"/>
    <w:basedOn w:val="DefaultParagraphFont"/>
    <w:rsid w:val="00AF79C7"/>
    <w:rPr>
      <w:i/>
    </w:rPr>
  </w:style>
  <w:style w:type="paragraph" w:customStyle="1" w:styleId="Table11ptColumnHeading">
    <w:name w:val="Table 11 pt Column Heading"/>
    <w:basedOn w:val="Normal"/>
    <w:rsid w:val="00AF79C7"/>
    <w:pPr>
      <w:keepNext/>
      <w:widowControl/>
      <w:autoSpaceDE/>
      <w:autoSpaceDN/>
      <w:adjustRightInd/>
      <w:spacing w:before="40" w:after="40"/>
      <w:jc w:val="center"/>
    </w:pPr>
    <w:rPr>
      <w:sz w:val="22"/>
    </w:rPr>
  </w:style>
  <w:style w:type="character" w:customStyle="1" w:styleId="Bold">
    <w:name w:val="Bold"/>
    <w:basedOn w:val="DefaultParagraphFont"/>
    <w:rsid w:val="00AF79C7"/>
    <w:rPr>
      <w:b/>
    </w:rPr>
  </w:style>
  <w:style w:type="paragraph" w:customStyle="1" w:styleId="SectionLevel3Heading">
    <w:name w:val="Section Level 3 Heading"/>
    <w:basedOn w:val="Normal"/>
    <w:rsid w:val="0055536A"/>
    <w:pPr>
      <w:keepNext/>
      <w:widowControl/>
      <w:autoSpaceDE/>
      <w:autoSpaceDN/>
      <w:adjustRightInd/>
      <w:spacing w:after="240"/>
      <w:ind w:left="1440"/>
    </w:pPr>
  </w:style>
  <w:style w:type="character" w:customStyle="1" w:styleId="Underline">
    <w:name w:val="Underline"/>
    <w:basedOn w:val="DefaultParagraphFont"/>
    <w:rsid w:val="0055536A"/>
    <w:rPr>
      <w:u w:val="single"/>
    </w:rPr>
  </w:style>
  <w:style w:type="character" w:customStyle="1" w:styleId="CommentTextChar">
    <w:name w:val="Comment Text Char"/>
    <w:basedOn w:val="DefaultParagraphFont"/>
    <w:link w:val="CommentText"/>
    <w:rsid w:val="00AA606A"/>
  </w:style>
  <w:style w:type="character" w:customStyle="1" w:styleId="Heading1Char">
    <w:name w:val="Heading 1 Char"/>
    <w:basedOn w:val="DefaultParagraphFont"/>
    <w:link w:val="Heading1"/>
    <w:uiPriority w:val="9"/>
    <w:rsid w:val="00927413"/>
    <w:rPr>
      <w:b/>
      <w:bCs/>
      <w:kern w:val="36"/>
      <w:sz w:val="48"/>
      <w:szCs w:val="48"/>
    </w:rPr>
  </w:style>
  <w:style w:type="paragraph" w:styleId="FootnoteText">
    <w:name w:val="footnote text"/>
    <w:basedOn w:val="Normal"/>
    <w:link w:val="FootnoteTextChar"/>
    <w:rsid w:val="00B84A5C"/>
    <w:rPr>
      <w:sz w:val="20"/>
      <w:szCs w:val="20"/>
    </w:rPr>
  </w:style>
  <w:style w:type="character" w:customStyle="1" w:styleId="FootnoteTextChar">
    <w:name w:val="Footnote Text Char"/>
    <w:basedOn w:val="DefaultParagraphFont"/>
    <w:link w:val="FootnoteText"/>
    <w:rsid w:val="00B84A5C"/>
  </w:style>
  <w:style w:type="paragraph" w:styleId="BodyText">
    <w:name w:val="Body Text"/>
    <w:basedOn w:val="Normal"/>
    <w:link w:val="BodyTextChar"/>
    <w:rsid w:val="00B84A5C"/>
    <w:pPr>
      <w:pBdr>
        <w:top w:val="single" w:sz="6" w:space="0" w:color="FFFFFF"/>
        <w:left w:val="single" w:sz="6" w:space="0" w:color="FFFFFF"/>
        <w:bottom w:val="single" w:sz="6" w:space="0" w:color="FFFFFF"/>
        <w:right w:val="single" w:sz="6" w:space="0" w:color="FFFFFF"/>
      </w:pBdr>
    </w:pPr>
    <w:rPr>
      <w:color w:val="000000"/>
      <w:sz w:val="20"/>
    </w:rPr>
  </w:style>
  <w:style w:type="character" w:customStyle="1" w:styleId="BodyTextChar">
    <w:name w:val="Body Text Char"/>
    <w:basedOn w:val="DefaultParagraphFont"/>
    <w:link w:val="BodyText"/>
    <w:rsid w:val="00B84A5C"/>
    <w:rPr>
      <w:color w:val="000000"/>
      <w:szCs w:val="24"/>
    </w:rPr>
  </w:style>
  <w:style w:type="character" w:customStyle="1" w:styleId="Superscript">
    <w:name w:val="Superscript"/>
    <w:basedOn w:val="DefaultParagraphFont"/>
    <w:uiPriority w:val="1"/>
    <w:rsid w:val="009F0402"/>
    <w:rPr>
      <w:vertAlign w:val="superscript"/>
    </w:rPr>
  </w:style>
  <w:style w:type="paragraph" w:customStyle="1" w:styleId="TableTextCenter11pt">
    <w:name w:val="Table Text Center 11 pt"/>
    <w:basedOn w:val="TableText11pt"/>
    <w:rsid w:val="009F0402"/>
    <w:pPr>
      <w:jc w:val="center"/>
    </w:pPr>
  </w:style>
  <w:style w:type="paragraph" w:customStyle="1" w:styleId="TableText11pt">
    <w:name w:val="Table Text 11 pt"/>
    <w:basedOn w:val="Normal"/>
    <w:rsid w:val="009F0402"/>
    <w:pPr>
      <w:keepNext/>
      <w:widowControl/>
      <w:autoSpaceDE/>
      <w:autoSpaceDN/>
      <w:adjustRightInd/>
      <w:spacing w:before="40" w:after="40"/>
    </w:pPr>
    <w:rPr>
      <w:sz w:val="22"/>
    </w:rPr>
  </w:style>
  <w:style w:type="paragraph" w:customStyle="1" w:styleId="TableFootnote">
    <w:name w:val="Table Footnote"/>
    <w:basedOn w:val="Normal"/>
    <w:rsid w:val="009F0402"/>
    <w:pPr>
      <w:widowControl/>
      <w:autoSpaceDE/>
      <w:autoSpaceDN/>
      <w:adjustRightInd/>
      <w:spacing w:before="40"/>
      <w:ind w:left="187" w:hanging="187"/>
    </w:pPr>
    <w:rPr>
      <w:sz w:val="20"/>
      <w:szCs w:val="20"/>
    </w:rPr>
  </w:style>
  <w:style w:type="paragraph" w:customStyle="1" w:styleId="SectionHeading">
    <w:name w:val="Section Heading"/>
    <w:basedOn w:val="Normal"/>
    <w:rsid w:val="004D5F2C"/>
    <w:pPr>
      <w:keepNext/>
      <w:widowControl/>
      <w:autoSpaceDE/>
      <w:autoSpaceDN/>
      <w:adjustRightInd/>
      <w:spacing w:after="240"/>
    </w:pPr>
    <w:rPr>
      <w:b/>
    </w:rPr>
  </w:style>
  <w:style w:type="paragraph" w:customStyle="1" w:styleId="QuoteOffset">
    <w:name w:val="Quote Offset"/>
    <w:basedOn w:val="Normal"/>
    <w:rsid w:val="00BB0FD0"/>
    <w:pPr>
      <w:widowControl/>
      <w:autoSpaceDE/>
      <w:autoSpaceDN/>
      <w:adjustRightInd/>
      <w:spacing w:after="240"/>
      <w:ind w:left="1440" w:right="1166"/>
      <w:jc w:val="both"/>
    </w:pPr>
  </w:style>
  <w:style w:type="paragraph" w:customStyle="1" w:styleId="TableColumnHeading">
    <w:name w:val="Table Column Heading"/>
    <w:basedOn w:val="Normal"/>
    <w:rsid w:val="000A19D3"/>
    <w:pPr>
      <w:keepNext/>
      <w:widowControl/>
      <w:autoSpaceDE/>
      <w:autoSpaceDN/>
      <w:adjustRightInd/>
      <w:spacing w:before="40" w:after="40"/>
      <w:jc w:val="center"/>
    </w:pPr>
  </w:style>
  <w:style w:type="paragraph" w:customStyle="1" w:styleId="TableTextLeft">
    <w:name w:val="Table Text Left"/>
    <w:basedOn w:val="Normal"/>
    <w:rsid w:val="000A19D3"/>
    <w:pPr>
      <w:widowControl/>
      <w:spacing w:before="40" w:after="40"/>
    </w:pPr>
  </w:style>
  <w:style w:type="paragraph" w:customStyle="1" w:styleId="AfterTable">
    <w:name w:val="After Table"/>
    <w:basedOn w:val="BodyFirstline05After12pt"/>
    <w:rsid w:val="000A19D3"/>
    <w:pPr>
      <w:spacing w:after="300"/>
      <w:ind w:firstLine="0"/>
    </w:pPr>
  </w:style>
  <w:style w:type="paragraph" w:customStyle="1" w:styleId="LaborRateTable">
    <w:name w:val="Labor Rate Table"/>
    <w:basedOn w:val="Normal"/>
    <w:rsid w:val="000A19D3"/>
    <w:pPr>
      <w:keepNext/>
      <w:widowControl/>
      <w:autoSpaceDE/>
      <w:autoSpaceDN/>
      <w:adjustRightInd/>
      <w:ind w:left="144"/>
    </w:pPr>
  </w:style>
  <w:style w:type="paragraph" w:customStyle="1" w:styleId="LaborRateTableCenterColumn">
    <w:name w:val="Labor Rate Table Center Column"/>
    <w:basedOn w:val="Normal"/>
    <w:rsid w:val="000A19D3"/>
    <w:pPr>
      <w:keepNext/>
      <w:widowControl/>
      <w:autoSpaceDE/>
      <w:autoSpaceDN/>
      <w:adjustRightInd/>
      <w:jc w:val="right"/>
    </w:pPr>
  </w:style>
  <w:style w:type="paragraph" w:customStyle="1" w:styleId="BodyFirstline0After12pt">
    <w:name w:val="Body First line: 0&quot; After:  12 pt"/>
    <w:basedOn w:val="BodyFirstline05After12pt"/>
    <w:rsid w:val="000A19D3"/>
    <w:pPr>
      <w:ind w:firstLine="0"/>
    </w:pPr>
  </w:style>
  <w:style w:type="paragraph" w:customStyle="1" w:styleId="TableTextCenter">
    <w:name w:val="Table Text Center"/>
    <w:basedOn w:val="TableTextLeft"/>
    <w:rsid w:val="000A19D3"/>
    <w:pPr>
      <w:jc w:val="center"/>
    </w:pPr>
  </w:style>
  <w:style w:type="paragraph" w:customStyle="1" w:styleId="TableColumnHeading10pt">
    <w:name w:val="Table Column Heading 10 pt"/>
    <w:basedOn w:val="TableColumnHeading"/>
    <w:rsid w:val="000A19D3"/>
    <w:rPr>
      <w:b/>
      <w:sz w:val="20"/>
      <w:szCs w:val="20"/>
    </w:rPr>
  </w:style>
  <w:style w:type="paragraph" w:customStyle="1" w:styleId="TableTextLeft10pt">
    <w:name w:val="Table Text Left 10 pt"/>
    <w:basedOn w:val="TableTextLeft"/>
    <w:rsid w:val="000A19D3"/>
    <w:pPr>
      <w:spacing w:before="20" w:after="20"/>
    </w:pPr>
    <w:rPr>
      <w:sz w:val="20"/>
      <w:szCs w:val="20"/>
    </w:rPr>
  </w:style>
  <w:style w:type="paragraph" w:customStyle="1" w:styleId="TableColumnHeading11pt">
    <w:name w:val="Table Column Heading 11 pt"/>
    <w:basedOn w:val="TableColumnHeading"/>
    <w:rsid w:val="000A19D3"/>
    <w:rPr>
      <w:b/>
      <w:sz w:val="22"/>
      <w:szCs w:val="20"/>
    </w:rPr>
  </w:style>
  <w:style w:type="paragraph" w:customStyle="1" w:styleId="TableTextLeft11pt">
    <w:name w:val="Table Text Left 11 pt"/>
    <w:basedOn w:val="TableTextLeft10pt"/>
    <w:rsid w:val="000A19D3"/>
    <w:rPr>
      <w:sz w:val="22"/>
    </w:rPr>
  </w:style>
  <w:style w:type="paragraph" w:customStyle="1" w:styleId="TableTextCenter10pt">
    <w:name w:val="Table Text Center 10 pt"/>
    <w:basedOn w:val="TableTextLeft10pt"/>
    <w:rsid w:val="00446CA1"/>
    <w:pPr>
      <w:jc w:val="center"/>
    </w:pPr>
  </w:style>
  <w:style w:type="paragraph" w:customStyle="1" w:styleId="TableTitle">
    <w:name w:val="Table Title"/>
    <w:basedOn w:val="Normal"/>
    <w:rsid w:val="00446CA1"/>
    <w:pPr>
      <w:keepNext/>
      <w:widowControl/>
      <w:spacing w:after="120"/>
    </w:pPr>
    <w:rPr>
      <w:b/>
    </w:rPr>
  </w:style>
  <w:style w:type="paragraph" w:customStyle="1" w:styleId="TableTextRight10pt">
    <w:name w:val="Table Text Right 10 pt"/>
    <w:basedOn w:val="TableTextCenter10pt"/>
    <w:rsid w:val="00F46122"/>
    <w:pPr>
      <w:jc w:val="right"/>
    </w:pPr>
  </w:style>
  <w:style w:type="paragraph" w:customStyle="1" w:styleId="TableTextLeft10ptIndent">
    <w:name w:val="Table Text Left 10 pt Indent"/>
    <w:basedOn w:val="TableTextLeft10pt"/>
    <w:rsid w:val="00F46122"/>
    <w:pPr>
      <w:ind w:left="144"/>
    </w:pPr>
  </w:style>
  <w:style w:type="paragraph" w:customStyle="1" w:styleId="DocumentTitle">
    <w:name w:val="Document Title"/>
    <w:basedOn w:val="Normal"/>
    <w:rsid w:val="00F46122"/>
    <w:pPr>
      <w:widowControl/>
      <w:jc w:val="center"/>
    </w:pPr>
    <w:rPr>
      <w:b/>
      <w:bCs/>
    </w:rPr>
  </w:style>
  <w:style w:type="character" w:styleId="Hyperlink">
    <w:name w:val="Hyperlink"/>
    <w:basedOn w:val="DefaultParagraphFont"/>
    <w:rsid w:val="00863928"/>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31103200">
      <w:bodyDiv w:val="1"/>
      <w:marLeft w:val="0"/>
      <w:marRight w:val="0"/>
      <w:marTop w:val="0"/>
      <w:marBottom w:val="0"/>
      <w:divBdr>
        <w:top w:val="none" w:sz="0" w:space="0" w:color="auto"/>
        <w:left w:val="none" w:sz="0" w:space="0" w:color="auto"/>
        <w:bottom w:val="none" w:sz="0" w:space="0" w:color="auto"/>
        <w:right w:val="none" w:sz="0" w:space="0" w:color="auto"/>
      </w:divBdr>
    </w:div>
    <w:div w:id="308437599">
      <w:bodyDiv w:val="1"/>
      <w:marLeft w:val="0"/>
      <w:marRight w:val="0"/>
      <w:marTop w:val="0"/>
      <w:marBottom w:val="0"/>
      <w:divBdr>
        <w:top w:val="none" w:sz="0" w:space="0" w:color="auto"/>
        <w:left w:val="none" w:sz="0" w:space="0" w:color="auto"/>
        <w:bottom w:val="none" w:sz="0" w:space="0" w:color="auto"/>
        <w:right w:val="none" w:sz="0" w:space="0" w:color="auto"/>
      </w:divBdr>
    </w:div>
    <w:div w:id="401410569">
      <w:bodyDiv w:val="1"/>
      <w:marLeft w:val="0"/>
      <w:marRight w:val="0"/>
      <w:marTop w:val="0"/>
      <w:marBottom w:val="0"/>
      <w:divBdr>
        <w:top w:val="none" w:sz="0" w:space="0" w:color="auto"/>
        <w:left w:val="none" w:sz="0" w:space="0" w:color="auto"/>
        <w:bottom w:val="none" w:sz="0" w:space="0" w:color="auto"/>
        <w:right w:val="none" w:sz="0" w:space="0" w:color="auto"/>
      </w:divBdr>
    </w:div>
    <w:div w:id="453446031">
      <w:bodyDiv w:val="1"/>
      <w:marLeft w:val="0"/>
      <w:marRight w:val="0"/>
      <w:marTop w:val="0"/>
      <w:marBottom w:val="0"/>
      <w:divBdr>
        <w:top w:val="none" w:sz="0" w:space="0" w:color="auto"/>
        <w:left w:val="none" w:sz="0" w:space="0" w:color="auto"/>
        <w:bottom w:val="none" w:sz="0" w:space="0" w:color="auto"/>
        <w:right w:val="none" w:sz="0" w:space="0" w:color="auto"/>
      </w:divBdr>
    </w:div>
    <w:div w:id="515462514">
      <w:bodyDiv w:val="1"/>
      <w:marLeft w:val="0"/>
      <w:marRight w:val="0"/>
      <w:marTop w:val="0"/>
      <w:marBottom w:val="0"/>
      <w:divBdr>
        <w:top w:val="none" w:sz="0" w:space="0" w:color="auto"/>
        <w:left w:val="none" w:sz="0" w:space="0" w:color="auto"/>
        <w:bottom w:val="none" w:sz="0" w:space="0" w:color="auto"/>
        <w:right w:val="none" w:sz="0" w:space="0" w:color="auto"/>
      </w:divBdr>
    </w:div>
    <w:div w:id="536695384">
      <w:bodyDiv w:val="1"/>
      <w:marLeft w:val="0"/>
      <w:marRight w:val="0"/>
      <w:marTop w:val="0"/>
      <w:marBottom w:val="0"/>
      <w:divBdr>
        <w:top w:val="none" w:sz="0" w:space="0" w:color="auto"/>
        <w:left w:val="none" w:sz="0" w:space="0" w:color="auto"/>
        <w:bottom w:val="none" w:sz="0" w:space="0" w:color="auto"/>
        <w:right w:val="none" w:sz="0" w:space="0" w:color="auto"/>
      </w:divBdr>
    </w:div>
    <w:div w:id="545525642">
      <w:bodyDiv w:val="1"/>
      <w:marLeft w:val="0"/>
      <w:marRight w:val="0"/>
      <w:marTop w:val="0"/>
      <w:marBottom w:val="0"/>
      <w:divBdr>
        <w:top w:val="none" w:sz="0" w:space="0" w:color="auto"/>
        <w:left w:val="none" w:sz="0" w:space="0" w:color="auto"/>
        <w:bottom w:val="none" w:sz="0" w:space="0" w:color="auto"/>
        <w:right w:val="none" w:sz="0" w:space="0" w:color="auto"/>
      </w:divBdr>
    </w:div>
    <w:div w:id="560362398">
      <w:bodyDiv w:val="1"/>
      <w:marLeft w:val="0"/>
      <w:marRight w:val="0"/>
      <w:marTop w:val="0"/>
      <w:marBottom w:val="0"/>
      <w:divBdr>
        <w:top w:val="none" w:sz="0" w:space="0" w:color="auto"/>
        <w:left w:val="none" w:sz="0" w:space="0" w:color="auto"/>
        <w:bottom w:val="none" w:sz="0" w:space="0" w:color="auto"/>
        <w:right w:val="none" w:sz="0" w:space="0" w:color="auto"/>
      </w:divBdr>
    </w:div>
    <w:div w:id="612057985">
      <w:bodyDiv w:val="1"/>
      <w:marLeft w:val="0"/>
      <w:marRight w:val="0"/>
      <w:marTop w:val="0"/>
      <w:marBottom w:val="0"/>
      <w:divBdr>
        <w:top w:val="none" w:sz="0" w:space="0" w:color="auto"/>
        <w:left w:val="none" w:sz="0" w:space="0" w:color="auto"/>
        <w:bottom w:val="none" w:sz="0" w:space="0" w:color="auto"/>
        <w:right w:val="none" w:sz="0" w:space="0" w:color="auto"/>
      </w:divBdr>
    </w:div>
    <w:div w:id="613102349">
      <w:bodyDiv w:val="1"/>
      <w:marLeft w:val="0"/>
      <w:marRight w:val="0"/>
      <w:marTop w:val="0"/>
      <w:marBottom w:val="0"/>
      <w:divBdr>
        <w:top w:val="none" w:sz="0" w:space="0" w:color="auto"/>
        <w:left w:val="none" w:sz="0" w:space="0" w:color="auto"/>
        <w:bottom w:val="none" w:sz="0" w:space="0" w:color="auto"/>
        <w:right w:val="none" w:sz="0" w:space="0" w:color="auto"/>
      </w:divBdr>
    </w:div>
    <w:div w:id="669798174">
      <w:bodyDiv w:val="1"/>
      <w:marLeft w:val="0"/>
      <w:marRight w:val="0"/>
      <w:marTop w:val="0"/>
      <w:marBottom w:val="0"/>
      <w:divBdr>
        <w:top w:val="none" w:sz="0" w:space="0" w:color="auto"/>
        <w:left w:val="none" w:sz="0" w:space="0" w:color="auto"/>
        <w:bottom w:val="none" w:sz="0" w:space="0" w:color="auto"/>
        <w:right w:val="none" w:sz="0" w:space="0" w:color="auto"/>
      </w:divBdr>
    </w:div>
    <w:div w:id="702677143">
      <w:bodyDiv w:val="1"/>
      <w:marLeft w:val="0"/>
      <w:marRight w:val="0"/>
      <w:marTop w:val="0"/>
      <w:marBottom w:val="0"/>
      <w:divBdr>
        <w:top w:val="none" w:sz="0" w:space="0" w:color="auto"/>
        <w:left w:val="none" w:sz="0" w:space="0" w:color="auto"/>
        <w:bottom w:val="none" w:sz="0" w:space="0" w:color="auto"/>
        <w:right w:val="none" w:sz="0" w:space="0" w:color="auto"/>
      </w:divBdr>
    </w:div>
    <w:div w:id="716927996">
      <w:bodyDiv w:val="1"/>
      <w:marLeft w:val="0"/>
      <w:marRight w:val="0"/>
      <w:marTop w:val="0"/>
      <w:marBottom w:val="0"/>
      <w:divBdr>
        <w:top w:val="none" w:sz="0" w:space="0" w:color="auto"/>
        <w:left w:val="none" w:sz="0" w:space="0" w:color="auto"/>
        <w:bottom w:val="none" w:sz="0" w:space="0" w:color="auto"/>
        <w:right w:val="none" w:sz="0" w:space="0" w:color="auto"/>
      </w:divBdr>
    </w:div>
    <w:div w:id="732895527">
      <w:bodyDiv w:val="1"/>
      <w:marLeft w:val="0"/>
      <w:marRight w:val="0"/>
      <w:marTop w:val="0"/>
      <w:marBottom w:val="0"/>
      <w:divBdr>
        <w:top w:val="none" w:sz="0" w:space="0" w:color="auto"/>
        <w:left w:val="none" w:sz="0" w:space="0" w:color="auto"/>
        <w:bottom w:val="none" w:sz="0" w:space="0" w:color="auto"/>
        <w:right w:val="none" w:sz="0" w:space="0" w:color="auto"/>
      </w:divBdr>
    </w:div>
    <w:div w:id="814832925">
      <w:bodyDiv w:val="1"/>
      <w:marLeft w:val="0"/>
      <w:marRight w:val="0"/>
      <w:marTop w:val="0"/>
      <w:marBottom w:val="0"/>
      <w:divBdr>
        <w:top w:val="none" w:sz="0" w:space="0" w:color="auto"/>
        <w:left w:val="none" w:sz="0" w:space="0" w:color="auto"/>
        <w:bottom w:val="none" w:sz="0" w:space="0" w:color="auto"/>
        <w:right w:val="none" w:sz="0" w:space="0" w:color="auto"/>
      </w:divBdr>
    </w:div>
    <w:div w:id="910505381">
      <w:bodyDiv w:val="1"/>
      <w:marLeft w:val="0"/>
      <w:marRight w:val="0"/>
      <w:marTop w:val="0"/>
      <w:marBottom w:val="0"/>
      <w:divBdr>
        <w:top w:val="none" w:sz="0" w:space="0" w:color="auto"/>
        <w:left w:val="none" w:sz="0" w:space="0" w:color="auto"/>
        <w:bottom w:val="none" w:sz="0" w:space="0" w:color="auto"/>
        <w:right w:val="none" w:sz="0" w:space="0" w:color="auto"/>
      </w:divBdr>
    </w:div>
    <w:div w:id="948779475">
      <w:bodyDiv w:val="1"/>
      <w:marLeft w:val="0"/>
      <w:marRight w:val="0"/>
      <w:marTop w:val="0"/>
      <w:marBottom w:val="0"/>
      <w:divBdr>
        <w:top w:val="none" w:sz="0" w:space="0" w:color="auto"/>
        <w:left w:val="none" w:sz="0" w:space="0" w:color="auto"/>
        <w:bottom w:val="none" w:sz="0" w:space="0" w:color="auto"/>
        <w:right w:val="none" w:sz="0" w:space="0" w:color="auto"/>
      </w:divBdr>
    </w:div>
    <w:div w:id="1048720001">
      <w:bodyDiv w:val="1"/>
      <w:marLeft w:val="0"/>
      <w:marRight w:val="0"/>
      <w:marTop w:val="0"/>
      <w:marBottom w:val="0"/>
      <w:divBdr>
        <w:top w:val="none" w:sz="0" w:space="0" w:color="auto"/>
        <w:left w:val="none" w:sz="0" w:space="0" w:color="auto"/>
        <w:bottom w:val="none" w:sz="0" w:space="0" w:color="auto"/>
        <w:right w:val="none" w:sz="0" w:space="0" w:color="auto"/>
      </w:divBdr>
    </w:div>
    <w:div w:id="1099254861">
      <w:bodyDiv w:val="1"/>
      <w:marLeft w:val="0"/>
      <w:marRight w:val="0"/>
      <w:marTop w:val="0"/>
      <w:marBottom w:val="0"/>
      <w:divBdr>
        <w:top w:val="none" w:sz="0" w:space="0" w:color="auto"/>
        <w:left w:val="none" w:sz="0" w:space="0" w:color="auto"/>
        <w:bottom w:val="none" w:sz="0" w:space="0" w:color="auto"/>
        <w:right w:val="none" w:sz="0" w:space="0" w:color="auto"/>
      </w:divBdr>
      <w:divsChild>
        <w:div w:id="2057850767">
          <w:marLeft w:val="0"/>
          <w:marRight w:val="0"/>
          <w:marTop w:val="0"/>
          <w:marBottom w:val="0"/>
          <w:divBdr>
            <w:top w:val="none" w:sz="0" w:space="0" w:color="auto"/>
            <w:left w:val="none" w:sz="0" w:space="0" w:color="auto"/>
            <w:bottom w:val="none" w:sz="0" w:space="0" w:color="auto"/>
            <w:right w:val="none" w:sz="0" w:space="0" w:color="auto"/>
          </w:divBdr>
          <w:divsChild>
            <w:div w:id="1646428105">
              <w:marLeft w:val="0"/>
              <w:marRight w:val="0"/>
              <w:marTop w:val="0"/>
              <w:marBottom w:val="0"/>
              <w:divBdr>
                <w:top w:val="none" w:sz="0" w:space="0" w:color="auto"/>
                <w:left w:val="none" w:sz="0" w:space="0" w:color="auto"/>
                <w:bottom w:val="none" w:sz="0" w:space="0" w:color="auto"/>
                <w:right w:val="none" w:sz="0" w:space="0" w:color="auto"/>
              </w:divBdr>
              <w:divsChild>
                <w:div w:id="463278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8305387">
      <w:bodyDiv w:val="1"/>
      <w:marLeft w:val="0"/>
      <w:marRight w:val="0"/>
      <w:marTop w:val="0"/>
      <w:marBottom w:val="0"/>
      <w:divBdr>
        <w:top w:val="none" w:sz="0" w:space="0" w:color="auto"/>
        <w:left w:val="none" w:sz="0" w:space="0" w:color="auto"/>
        <w:bottom w:val="none" w:sz="0" w:space="0" w:color="auto"/>
        <w:right w:val="none" w:sz="0" w:space="0" w:color="auto"/>
      </w:divBdr>
    </w:div>
    <w:div w:id="1286617679">
      <w:bodyDiv w:val="1"/>
      <w:marLeft w:val="0"/>
      <w:marRight w:val="0"/>
      <w:marTop w:val="0"/>
      <w:marBottom w:val="0"/>
      <w:divBdr>
        <w:top w:val="none" w:sz="0" w:space="0" w:color="auto"/>
        <w:left w:val="none" w:sz="0" w:space="0" w:color="auto"/>
        <w:bottom w:val="none" w:sz="0" w:space="0" w:color="auto"/>
        <w:right w:val="none" w:sz="0" w:space="0" w:color="auto"/>
      </w:divBdr>
    </w:div>
    <w:div w:id="1290746865">
      <w:bodyDiv w:val="1"/>
      <w:marLeft w:val="0"/>
      <w:marRight w:val="0"/>
      <w:marTop w:val="0"/>
      <w:marBottom w:val="0"/>
      <w:divBdr>
        <w:top w:val="none" w:sz="0" w:space="0" w:color="auto"/>
        <w:left w:val="none" w:sz="0" w:space="0" w:color="auto"/>
        <w:bottom w:val="none" w:sz="0" w:space="0" w:color="auto"/>
        <w:right w:val="none" w:sz="0" w:space="0" w:color="auto"/>
      </w:divBdr>
    </w:div>
    <w:div w:id="1291589874">
      <w:bodyDiv w:val="1"/>
      <w:marLeft w:val="0"/>
      <w:marRight w:val="0"/>
      <w:marTop w:val="0"/>
      <w:marBottom w:val="0"/>
      <w:divBdr>
        <w:top w:val="none" w:sz="0" w:space="0" w:color="auto"/>
        <w:left w:val="none" w:sz="0" w:space="0" w:color="auto"/>
        <w:bottom w:val="none" w:sz="0" w:space="0" w:color="auto"/>
        <w:right w:val="none" w:sz="0" w:space="0" w:color="auto"/>
      </w:divBdr>
    </w:div>
    <w:div w:id="1323125372">
      <w:bodyDiv w:val="1"/>
      <w:marLeft w:val="0"/>
      <w:marRight w:val="0"/>
      <w:marTop w:val="0"/>
      <w:marBottom w:val="0"/>
      <w:divBdr>
        <w:top w:val="none" w:sz="0" w:space="0" w:color="auto"/>
        <w:left w:val="none" w:sz="0" w:space="0" w:color="auto"/>
        <w:bottom w:val="none" w:sz="0" w:space="0" w:color="auto"/>
        <w:right w:val="none" w:sz="0" w:space="0" w:color="auto"/>
      </w:divBdr>
    </w:div>
    <w:div w:id="1373192568">
      <w:bodyDiv w:val="1"/>
      <w:marLeft w:val="0"/>
      <w:marRight w:val="0"/>
      <w:marTop w:val="0"/>
      <w:marBottom w:val="0"/>
      <w:divBdr>
        <w:top w:val="none" w:sz="0" w:space="0" w:color="auto"/>
        <w:left w:val="none" w:sz="0" w:space="0" w:color="auto"/>
        <w:bottom w:val="none" w:sz="0" w:space="0" w:color="auto"/>
        <w:right w:val="none" w:sz="0" w:space="0" w:color="auto"/>
      </w:divBdr>
    </w:div>
    <w:div w:id="1378430072">
      <w:bodyDiv w:val="1"/>
      <w:marLeft w:val="0"/>
      <w:marRight w:val="0"/>
      <w:marTop w:val="0"/>
      <w:marBottom w:val="0"/>
      <w:divBdr>
        <w:top w:val="none" w:sz="0" w:space="0" w:color="auto"/>
        <w:left w:val="none" w:sz="0" w:space="0" w:color="auto"/>
        <w:bottom w:val="none" w:sz="0" w:space="0" w:color="auto"/>
        <w:right w:val="none" w:sz="0" w:space="0" w:color="auto"/>
      </w:divBdr>
    </w:div>
    <w:div w:id="1397168231">
      <w:bodyDiv w:val="1"/>
      <w:marLeft w:val="0"/>
      <w:marRight w:val="0"/>
      <w:marTop w:val="0"/>
      <w:marBottom w:val="0"/>
      <w:divBdr>
        <w:top w:val="none" w:sz="0" w:space="0" w:color="auto"/>
        <w:left w:val="none" w:sz="0" w:space="0" w:color="auto"/>
        <w:bottom w:val="none" w:sz="0" w:space="0" w:color="auto"/>
        <w:right w:val="none" w:sz="0" w:space="0" w:color="auto"/>
      </w:divBdr>
    </w:div>
    <w:div w:id="1399472704">
      <w:bodyDiv w:val="1"/>
      <w:marLeft w:val="0"/>
      <w:marRight w:val="0"/>
      <w:marTop w:val="0"/>
      <w:marBottom w:val="0"/>
      <w:divBdr>
        <w:top w:val="none" w:sz="0" w:space="0" w:color="auto"/>
        <w:left w:val="none" w:sz="0" w:space="0" w:color="auto"/>
        <w:bottom w:val="none" w:sz="0" w:space="0" w:color="auto"/>
        <w:right w:val="none" w:sz="0" w:space="0" w:color="auto"/>
      </w:divBdr>
    </w:div>
    <w:div w:id="1423643183">
      <w:bodyDiv w:val="1"/>
      <w:marLeft w:val="0"/>
      <w:marRight w:val="0"/>
      <w:marTop w:val="0"/>
      <w:marBottom w:val="0"/>
      <w:divBdr>
        <w:top w:val="none" w:sz="0" w:space="0" w:color="auto"/>
        <w:left w:val="none" w:sz="0" w:space="0" w:color="auto"/>
        <w:bottom w:val="none" w:sz="0" w:space="0" w:color="auto"/>
        <w:right w:val="none" w:sz="0" w:space="0" w:color="auto"/>
      </w:divBdr>
    </w:div>
    <w:div w:id="1533113158">
      <w:bodyDiv w:val="1"/>
      <w:marLeft w:val="0"/>
      <w:marRight w:val="0"/>
      <w:marTop w:val="0"/>
      <w:marBottom w:val="0"/>
      <w:divBdr>
        <w:top w:val="none" w:sz="0" w:space="0" w:color="auto"/>
        <w:left w:val="none" w:sz="0" w:space="0" w:color="auto"/>
        <w:bottom w:val="none" w:sz="0" w:space="0" w:color="auto"/>
        <w:right w:val="none" w:sz="0" w:space="0" w:color="auto"/>
      </w:divBdr>
    </w:div>
    <w:div w:id="1613517288">
      <w:bodyDiv w:val="1"/>
      <w:marLeft w:val="0"/>
      <w:marRight w:val="0"/>
      <w:marTop w:val="0"/>
      <w:marBottom w:val="0"/>
      <w:divBdr>
        <w:top w:val="none" w:sz="0" w:space="0" w:color="auto"/>
        <w:left w:val="none" w:sz="0" w:space="0" w:color="auto"/>
        <w:bottom w:val="none" w:sz="0" w:space="0" w:color="auto"/>
        <w:right w:val="none" w:sz="0" w:space="0" w:color="auto"/>
      </w:divBdr>
    </w:div>
    <w:div w:id="1635404213">
      <w:bodyDiv w:val="1"/>
      <w:marLeft w:val="0"/>
      <w:marRight w:val="0"/>
      <w:marTop w:val="0"/>
      <w:marBottom w:val="0"/>
      <w:divBdr>
        <w:top w:val="none" w:sz="0" w:space="0" w:color="auto"/>
        <w:left w:val="none" w:sz="0" w:space="0" w:color="auto"/>
        <w:bottom w:val="none" w:sz="0" w:space="0" w:color="auto"/>
        <w:right w:val="none" w:sz="0" w:space="0" w:color="auto"/>
      </w:divBdr>
    </w:div>
    <w:div w:id="1661928842">
      <w:bodyDiv w:val="1"/>
      <w:marLeft w:val="0"/>
      <w:marRight w:val="0"/>
      <w:marTop w:val="0"/>
      <w:marBottom w:val="0"/>
      <w:divBdr>
        <w:top w:val="none" w:sz="0" w:space="0" w:color="auto"/>
        <w:left w:val="none" w:sz="0" w:space="0" w:color="auto"/>
        <w:bottom w:val="none" w:sz="0" w:space="0" w:color="auto"/>
        <w:right w:val="none" w:sz="0" w:space="0" w:color="auto"/>
      </w:divBdr>
    </w:div>
    <w:div w:id="1662537157">
      <w:bodyDiv w:val="1"/>
      <w:marLeft w:val="0"/>
      <w:marRight w:val="0"/>
      <w:marTop w:val="0"/>
      <w:marBottom w:val="0"/>
      <w:divBdr>
        <w:top w:val="none" w:sz="0" w:space="0" w:color="auto"/>
        <w:left w:val="none" w:sz="0" w:space="0" w:color="auto"/>
        <w:bottom w:val="none" w:sz="0" w:space="0" w:color="auto"/>
        <w:right w:val="none" w:sz="0" w:space="0" w:color="auto"/>
      </w:divBdr>
    </w:div>
    <w:div w:id="1680697342">
      <w:bodyDiv w:val="1"/>
      <w:marLeft w:val="0"/>
      <w:marRight w:val="0"/>
      <w:marTop w:val="0"/>
      <w:marBottom w:val="0"/>
      <w:divBdr>
        <w:top w:val="none" w:sz="0" w:space="0" w:color="auto"/>
        <w:left w:val="none" w:sz="0" w:space="0" w:color="auto"/>
        <w:bottom w:val="none" w:sz="0" w:space="0" w:color="auto"/>
        <w:right w:val="none" w:sz="0" w:space="0" w:color="auto"/>
      </w:divBdr>
    </w:div>
    <w:div w:id="1708605136">
      <w:bodyDiv w:val="1"/>
      <w:marLeft w:val="0"/>
      <w:marRight w:val="0"/>
      <w:marTop w:val="0"/>
      <w:marBottom w:val="0"/>
      <w:divBdr>
        <w:top w:val="none" w:sz="0" w:space="0" w:color="auto"/>
        <w:left w:val="none" w:sz="0" w:space="0" w:color="auto"/>
        <w:bottom w:val="none" w:sz="0" w:space="0" w:color="auto"/>
        <w:right w:val="none" w:sz="0" w:space="0" w:color="auto"/>
      </w:divBdr>
    </w:div>
    <w:div w:id="1723334685">
      <w:bodyDiv w:val="1"/>
      <w:marLeft w:val="0"/>
      <w:marRight w:val="0"/>
      <w:marTop w:val="0"/>
      <w:marBottom w:val="0"/>
      <w:divBdr>
        <w:top w:val="none" w:sz="0" w:space="0" w:color="auto"/>
        <w:left w:val="none" w:sz="0" w:space="0" w:color="auto"/>
        <w:bottom w:val="none" w:sz="0" w:space="0" w:color="auto"/>
        <w:right w:val="none" w:sz="0" w:space="0" w:color="auto"/>
      </w:divBdr>
    </w:div>
    <w:div w:id="1736008908">
      <w:bodyDiv w:val="1"/>
      <w:marLeft w:val="0"/>
      <w:marRight w:val="0"/>
      <w:marTop w:val="0"/>
      <w:marBottom w:val="0"/>
      <w:divBdr>
        <w:top w:val="none" w:sz="0" w:space="0" w:color="auto"/>
        <w:left w:val="none" w:sz="0" w:space="0" w:color="auto"/>
        <w:bottom w:val="none" w:sz="0" w:space="0" w:color="auto"/>
        <w:right w:val="none" w:sz="0" w:space="0" w:color="auto"/>
      </w:divBdr>
    </w:div>
    <w:div w:id="1948928412">
      <w:bodyDiv w:val="1"/>
      <w:marLeft w:val="0"/>
      <w:marRight w:val="0"/>
      <w:marTop w:val="0"/>
      <w:marBottom w:val="0"/>
      <w:divBdr>
        <w:top w:val="none" w:sz="0" w:space="0" w:color="auto"/>
        <w:left w:val="none" w:sz="0" w:space="0" w:color="auto"/>
        <w:bottom w:val="none" w:sz="0" w:space="0" w:color="auto"/>
        <w:right w:val="none" w:sz="0" w:space="0" w:color="auto"/>
      </w:divBdr>
    </w:div>
    <w:div w:id="1963220506">
      <w:bodyDiv w:val="1"/>
      <w:marLeft w:val="0"/>
      <w:marRight w:val="0"/>
      <w:marTop w:val="0"/>
      <w:marBottom w:val="0"/>
      <w:divBdr>
        <w:top w:val="none" w:sz="0" w:space="0" w:color="auto"/>
        <w:left w:val="none" w:sz="0" w:space="0" w:color="auto"/>
        <w:bottom w:val="none" w:sz="0" w:space="0" w:color="auto"/>
        <w:right w:val="none" w:sz="0" w:space="0" w:color="auto"/>
      </w:divBdr>
    </w:div>
    <w:div w:id="1976134012">
      <w:bodyDiv w:val="1"/>
      <w:marLeft w:val="0"/>
      <w:marRight w:val="0"/>
      <w:marTop w:val="0"/>
      <w:marBottom w:val="0"/>
      <w:divBdr>
        <w:top w:val="none" w:sz="0" w:space="0" w:color="auto"/>
        <w:left w:val="none" w:sz="0" w:space="0" w:color="auto"/>
        <w:bottom w:val="none" w:sz="0" w:space="0" w:color="auto"/>
        <w:right w:val="none" w:sz="0" w:space="0" w:color="auto"/>
      </w:divBdr>
    </w:div>
    <w:div w:id="1988507497">
      <w:bodyDiv w:val="1"/>
      <w:marLeft w:val="0"/>
      <w:marRight w:val="0"/>
      <w:marTop w:val="0"/>
      <w:marBottom w:val="0"/>
      <w:divBdr>
        <w:top w:val="none" w:sz="0" w:space="0" w:color="auto"/>
        <w:left w:val="none" w:sz="0" w:space="0" w:color="auto"/>
        <w:bottom w:val="none" w:sz="0" w:space="0" w:color="auto"/>
        <w:right w:val="none" w:sz="0" w:space="0" w:color="auto"/>
      </w:divBdr>
    </w:div>
    <w:div w:id="2036152358">
      <w:bodyDiv w:val="1"/>
      <w:marLeft w:val="0"/>
      <w:marRight w:val="0"/>
      <w:marTop w:val="0"/>
      <w:marBottom w:val="0"/>
      <w:divBdr>
        <w:top w:val="none" w:sz="0" w:space="0" w:color="auto"/>
        <w:left w:val="none" w:sz="0" w:space="0" w:color="auto"/>
        <w:bottom w:val="none" w:sz="0" w:space="0" w:color="auto"/>
        <w:right w:val="none" w:sz="0" w:space="0" w:color="auto"/>
      </w:divBdr>
    </w:div>
    <w:div w:id="2045593445">
      <w:bodyDiv w:val="1"/>
      <w:marLeft w:val="0"/>
      <w:marRight w:val="0"/>
      <w:marTop w:val="0"/>
      <w:marBottom w:val="0"/>
      <w:divBdr>
        <w:top w:val="none" w:sz="0" w:space="0" w:color="auto"/>
        <w:left w:val="none" w:sz="0" w:space="0" w:color="auto"/>
        <w:bottom w:val="none" w:sz="0" w:space="0" w:color="auto"/>
        <w:right w:val="none" w:sz="0" w:space="0" w:color="auto"/>
      </w:divBdr>
    </w:div>
    <w:div w:id="2059624669">
      <w:bodyDiv w:val="1"/>
      <w:marLeft w:val="0"/>
      <w:marRight w:val="0"/>
      <w:marTop w:val="0"/>
      <w:marBottom w:val="0"/>
      <w:divBdr>
        <w:top w:val="none" w:sz="0" w:space="0" w:color="auto"/>
        <w:left w:val="none" w:sz="0" w:space="0" w:color="auto"/>
        <w:bottom w:val="none" w:sz="0" w:space="0" w:color="auto"/>
        <w:right w:val="none" w:sz="0" w:space="0" w:color="auto"/>
      </w:divBdr>
    </w:div>
    <w:div w:id="2111581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2E1730-0F1B-4D9E-B196-6D0420F52D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18</Pages>
  <Words>6212</Words>
  <Characters>35413</Characters>
  <Application>Microsoft Office Word</Application>
  <DocSecurity>0</DocSecurity>
  <Lines>295</Lines>
  <Paragraphs>83</Paragraphs>
  <ScaleCrop>false</ScaleCrop>
  <HeadingPairs>
    <vt:vector size="2" baseType="variant">
      <vt:variant>
        <vt:lpstr>Title</vt:lpstr>
      </vt:variant>
      <vt:variant>
        <vt:i4>1</vt:i4>
      </vt:variant>
    </vt:vector>
  </HeadingPairs>
  <TitlesOfParts>
    <vt:vector size="1" baseType="lpstr">
      <vt:lpstr/>
    </vt:vector>
  </TitlesOfParts>
  <Company>U.S. EPA</Company>
  <LinksUpToDate>false</LinksUpToDate>
  <CharactersWithSpaces>41542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Brenda Shine</dc:creator>
  <cp:lastModifiedBy>Courtney Kerwin</cp:lastModifiedBy>
  <cp:revision>2</cp:revision>
  <cp:lastPrinted>2011-03-08T16:24:00Z</cp:lastPrinted>
  <dcterms:created xsi:type="dcterms:W3CDTF">2014-06-10T03:52:00Z</dcterms:created>
  <dcterms:modified xsi:type="dcterms:W3CDTF">2014-06-10T03:52:00Z</dcterms:modified>
</cp:coreProperties>
</file>