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40013" w14:textId="77777777" w:rsidR="00151E02" w:rsidRPr="00A27DC1" w:rsidRDefault="00301A55" w:rsidP="00151E02">
      <w:pPr>
        <w:rPr>
          <w:rFonts w:ascii="Arial" w:hAnsi="Arial" w:cs="Arial"/>
          <w:b/>
          <w:szCs w:val="24"/>
        </w:rPr>
      </w:pPr>
      <w:r>
        <w:rPr>
          <w:rFonts w:ascii="Arial" w:hAnsi="Arial" w:cs="Arial"/>
          <w:b/>
          <w:noProof/>
          <w:szCs w:val="24"/>
        </w:rPr>
        <mc:AlternateContent>
          <mc:Choice Requires="wps">
            <w:drawing>
              <wp:anchor distT="0" distB="0" distL="114300" distR="114300" simplePos="0" relativeHeight="251658240" behindDoc="0" locked="0" layoutInCell="1" allowOverlap="1">
                <wp:simplePos x="0" y="0"/>
                <wp:positionH relativeFrom="column">
                  <wp:posOffset>1993265</wp:posOffset>
                </wp:positionH>
                <wp:positionV relativeFrom="paragraph">
                  <wp:posOffset>10160</wp:posOffset>
                </wp:positionV>
                <wp:extent cx="4007485" cy="1518285"/>
                <wp:effectExtent l="0" t="0" r="12065" b="247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7485" cy="1518285"/>
                        </a:xfrm>
                        <a:prstGeom prst="rect">
                          <a:avLst/>
                        </a:prstGeom>
                        <a:solidFill>
                          <a:srgbClr val="FFFFFF"/>
                        </a:solidFill>
                        <a:ln w="9525">
                          <a:solidFill>
                            <a:srgbClr val="000000"/>
                          </a:solidFill>
                          <a:miter lim="800000"/>
                          <a:headEnd/>
                          <a:tailEnd/>
                        </a:ln>
                      </wps:spPr>
                      <wps:txbx>
                        <w:txbxContent>
                          <w:p w14:paraId="062CC410" w14:textId="77777777" w:rsidR="00120ECC" w:rsidRPr="006139D7" w:rsidRDefault="00120ECC" w:rsidP="00151E02">
                            <w:pPr>
                              <w:spacing w:before="280" w:beforeAutospacing="0" w:after="120" w:afterAutospacing="0"/>
                              <w:jc w:val="left"/>
                              <w:rPr>
                                <w:b/>
                                <w:sz w:val="28"/>
                                <w:szCs w:val="28"/>
                              </w:rPr>
                            </w:pPr>
                            <w:r w:rsidRPr="006139D7">
                              <w:rPr>
                                <w:b/>
                                <w:sz w:val="28"/>
                                <w:szCs w:val="28"/>
                              </w:rPr>
                              <w:t>U.S. Energy Information Administration</w:t>
                            </w:r>
                          </w:p>
                          <w:p w14:paraId="7E6A5FDE" w14:textId="77777777" w:rsidR="00120ECC" w:rsidRPr="006139D7" w:rsidRDefault="00120ECC" w:rsidP="00151E02">
                            <w:pPr>
                              <w:spacing w:before="280" w:beforeAutospacing="0" w:after="120" w:afterAutospacing="0"/>
                              <w:jc w:val="left"/>
                              <w:rPr>
                                <w:b/>
                                <w:sz w:val="28"/>
                                <w:szCs w:val="28"/>
                              </w:rPr>
                            </w:pPr>
                            <w:r w:rsidRPr="006139D7">
                              <w:rPr>
                                <w:b/>
                                <w:sz w:val="28"/>
                                <w:szCs w:val="28"/>
                              </w:rPr>
                              <w:t>Office of Energy Statistics</w:t>
                            </w:r>
                          </w:p>
                          <w:p w14:paraId="51ECC17B" w14:textId="77777777" w:rsidR="00120ECC" w:rsidRPr="006139D7" w:rsidRDefault="00120ECC" w:rsidP="00151E02">
                            <w:pPr>
                              <w:spacing w:before="280" w:beforeAutospacing="0" w:after="120" w:afterAutospacing="0"/>
                              <w:jc w:val="left"/>
                              <w:rPr>
                                <w:b/>
                                <w:sz w:val="28"/>
                                <w:szCs w:val="28"/>
                              </w:rPr>
                            </w:pPr>
                            <w:r>
                              <w:rPr>
                                <w:b/>
                                <w:sz w:val="28"/>
                                <w:szCs w:val="28"/>
                              </w:rPr>
                              <w:t>Office of Oil, Gas, and Coal Supply Statistics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95pt;margin-top:.8pt;width:315.55pt;height:1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">
                <v:textbox>
                  <w:txbxContent>
                    <w:p w14:paraId="062CC410" w14:textId="77777777" w:rsidR="00120ECC" w:rsidRPr="006139D7" w:rsidRDefault="00120ECC" w:rsidP="00151E02">
                      <w:pPr>
                        <w:spacing w:before="280" w:beforeAutospacing="0" w:after="120" w:afterAutospacing="0"/>
                        <w:jc w:val="left"/>
                        <w:rPr>
                          <w:b/>
                          <w:sz w:val="28"/>
                          <w:szCs w:val="28"/>
                        </w:rPr>
                      </w:pPr>
                      <w:r w:rsidRPr="006139D7">
                        <w:rPr>
                          <w:b/>
                          <w:sz w:val="28"/>
                          <w:szCs w:val="28"/>
                        </w:rPr>
                        <w:t>U.S. Energy Information Administration</w:t>
                      </w:r>
                    </w:p>
                    <w:p w14:paraId="7E6A5FDE" w14:textId="77777777" w:rsidR="00120ECC" w:rsidRPr="006139D7" w:rsidRDefault="00120ECC" w:rsidP="00151E02">
                      <w:pPr>
                        <w:spacing w:before="280" w:beforeAutospacing="0" w:after="120" w:afterAutospacing="0"/>
                        <w:jc w:val="left"/>
                        <w:rPr>
                          <w:b/>
                          <w:sz w:val="28"/>
                          <w:szCs w:val="28"/>
                        </w:rPr>
                      </w:pPr>
                      <w:r w:rsidRPr="006139D7">
                        <w:rPr>
                          <w:b/>
                          <w:sz w:val="28"/>
                          <w:szCs w:val="28"/>
                        </w:rPr>
                        <w:t>Office of Energy Statistics</w:t>
                      </w:r>
                    </w:p>
                    <w:p w14:paraId="51ECC17B" w14:textId="77777777" w:rsidR="00120ECC" w:rsidRPr="006139D7" w:rsidRDefault="00120ECC" w:rsidP="00151E02">
                      <w:pPr>
                        <w:spacing w:before="280" w:beforeAutospacing="0" w:after="120" w:afterAutospacing="0"/>
                        <w:jc w:val="left"/>
                        <w:rPr>
                          <w:b/>
                          <w:sz w:val="28"/>
                          <w:szCs w:val="28"/>
                        </w:rPr>
                      </w:pPr>
                      <w:r>
                        <w:rPr>
                          <w:b/>
                          <w:sz w:val="28"/>
                          <w:szCs w:val="28"/>
                        </w:rPr>
                        <w:t>Office of Oil, Gas, and Coal Supply Statistics</w:t>
                      </w:r>
                    </w:p>
                  </w:txbxContent>
                </v:textbox>
              </v:shape>
            </w:pict>
          </mc:Fallback>
        </mc:AlternateContent>
      </w:r>
      <w:r w:rsidR="00151E02" w:rsidRPr="00A27DC1">
        <w:rPr>
          <w:noProof/>
          <w:szCs w:val="24"/>
        </w:rPr>
        <w:drawing>
          <wp:inline distT="0" distB="0" distL="0" distR="0">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9"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14:paraId="20D3A569" w14:textId="77777777" w:rsidR="00151E02" w:rsidRPr="00A27DC1" w:rsidRDefault="00151E02" w:rsidP="00151E02">
      <w:pPr>
        <w:ind w:left="4320"/>
        <w:rPr>
          <w:szCs w:val="24"/>
        </w:rPr>
      </w:pPr>
    </w:p>
    <w:p w14:paraId="727D62B7" w14:textId="77777777" w:rsidR="00151E02" w:rsidRPr="00A27DC1" w:rsidRDefault="00151E02" w:rsidP="00151E02">
      <w:pPr>
        <w:rPr>
          <w:rFonts w:ascii="Arial Black" w:hAnsi="Arial Black"/>
          <w:szCs w:val="24"/>
        </w:rPr>
      </w:pPr>
    </w:p>
    <w:p w14:paraId="4F4101D0" w14:textId="77777777" w:rsidR="002B4729" w:rsidRDefault="002B4729" w:rsidP="002B4729">
      <w:pPr>
        <w:jc w:val="left"/>
        <w:rPr>
          <w:b/>
          <w:sz w:val="36"/>
          <w:szCs w:val="36"/>
        </w:rPr>
      </w:pPr>
      <w:r>
        <w:rPr>
          <w:b/>
          <w:sz w:val="36"/>
          <w:szCs w:val="36"/>
        </w:rPr>
        <w:t>Supporting Statement for Survey Clearance</w:t>
      </w:r>
    </w:p>
    <w:p w14:paraId="0BEF61CE" w14:textId="77777777" w:rsidR="002B4729" w:rsidRPr="002071E0" w:rsidRDefault="002B4729" w:rsidP="002B4729">
      <w:pPr>
        <w:jc w:val="left"/>
        <w:rPr>
          <w:b/>
          <w:sz w:val="36"/>
          <w:szCs w:val="36"/>
        </w:rPr>
      </w:pPr>
      <w:r w:rsidRPr="002071E0">
        <w:rPr>
          <w:b/>
          <w:sz w:val="36"/>
          <w:szCs w:val="36"/>
        </w:rPr>
        <w:t>U.S. Energy Information Administration Survey:</w:t>
      </w:r>
    </w:p>
    <w:p w14:paraId="7987DC1F" w14:textId="77777777" w:rsidR="002B4729" w:rsidRPr="002071E0" w:rsidRDefault="002B4729" w:rsidP="002B4729">
      <w:pPr>
        <w:ind w:firstLine="360"/>
        <w:jc w:val="left"/>
        <w:rPr>
          <w:b/>
          <w:sz w:val="28"/>
          <w:szCs w:val="28"/>
        </w:rPr>
      </w:pPr>
      <w:r w:rsidRPr="002071E0">
        <w:rPr>
          <w:b/>
          <w:sz w:val="28"/>
          <w:szCs w:val="28"/>
        </w:rPr>
        <w:t>FORM EIA-91</w:t>
      </w:r>
      <w:r w:rsidR="005D2DB3">
        <w:rPr>
          <w:b/>
          <w:sz w:val="28"/>
          <w:szCs w:val="28"/>
        </w:rPr>
        <w:t>4</w:t>
      </w:r>
      <w:r w:rsidRPr="002071E0">
        <w:rPr>
          <w:b/>
          <w:sz w:val="28"/>
          <w:szCs w:val="28"/>
        </w:rPr>
        <w:t xml:space="preserve">, Monthly </w:t>
      </w:r>
      <w:r w:rsidR="005D2DB3">
        <w:rPr>
          <w:b/>
          <w:sz w:val="28"/>
          <w:szCs w:val="28"/>
        </w:rPr>
        <w:t>Crude Oil, Lease Condensate, and Natural Gas Production</w:t>
      </w:r>
      <w:r w:rsidRPr="002071E0">
        <w:rPr>
          <w:b/>
          <w:sz w:val="28"/>
          <w:szCs w:val="28"/>
        </w:rPr>
        <w:t xml:space="preserve"> Report</w:t>
      </w:r>
    </w:p>
    <w:p w14:paraId="6C148B9E" w14:textId="77777777" w:rsidR="002B4729" w:rsidRPr="002071E0" w:rsidRDefault="002B4729" w:rsidP="002B4729">
      <w:pPr>
        <w:jc w:val="left"/>
        <w:rPr>
          <w:b/>
          <w:sz w:val="32"/>
          <w:szCs w:val="32"/>
        </w:rPr>
      </w:pPr>
      <w:r>
        <w:rPr>
          <w:b/>
          <w:sz w:val="32"/>
          <w:szCs w:val="32"/>
        </w:rPr>
        <w:t xml:space="preserve">OMB No. </w:t>
      </w:r>
      <w:r w:rsidR="005D2DB3">
        <w:rPr>
          <w:b/>
          <w:sz w:val="32"/>
          <w:szCs w:val="32"/>
        </w:rPr>
        <w:t>1905-0205</w:t>
      </w:r>
    </w:p>
    <w:p w14:paraId="6B3D1E10" w14:textId="77777777" w:rsidR="00151E02" w:rsidRPr="00A27DC1" w:rsidRDefault="00151E02" w:rsidP="00151E02">
      <w:pPr>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tblGrid>
      <w:tr w:rsidR="00151E02" w:rsidRPr="00A27DC1" w14:paraId="2299ED09" w14:textId="77777777" w:rsidTr="003935DC">
        <w:tc>
          <w:tcPr>
            <w:tcW w:w="7488" w:type="dxa"/>
            <w:vAlign w:val="center"/>
          </w:tcPr>
          <w:p w14:paraId="22B73AC9" w14:textId="77777777" w:rsidR="00151E02" w:rsidRDefault="00151E02" w:rsidP="003935DC">
            <w:pPr>
              <w:spacing w:before="240" w:beforeAutospacing="0" w:after="240" w:afterAutospacing="0"/>
              <w:jc w:val="left"/>
              <w:rPr>
                <w:b/>
                <w:sz w:val="32"/>
                <w:szCs w:val="32"/>
              </w:rPr>
            </w:pPr>
            <w:r>
              <w:rPr>
                <w:b/>
                <w:sz w:val="32"/>
                <w:szCs w:val="32"/>
              </w:rPr>
              <w:t>Part B:</w:t>
            </w:r>
          </w:p>
          <w:p w14:paraId="6A56E4F1" w14:textId="77777777" w:rsidR="009776DC" w:rsidRPr="00A27DC1" w:rsidRDefault="00151E02" w:rsidP="00872D41">
            <w:pPr>
              <w:spacing w:before="240" w:beforeAutospacing="0" w:after="240" w:afterAutospacing="0"/>
              <w:jc w:val="left"/>
              <w:rPr>
                <w:b/>
                <w:szCs w:val="24"/>
              </w:rPr>
            </w:pPr>
            <w:r>
              <w:rPr>
                <w:b/>
                <w:sz w:val="32"/>
                <w:szCs w:val="32"/>
              </w:rPr>
              <w:t>Statistical Methods</w:t>
            </w:r>
          </w:p>
        </w:tc>
      </w:tr>
    </w:tbl>
    <w:p w14:paraId="062732F0" w14:textId="77777777" w:rsidR="006C0138" w:rsidRPr="00A27DC1" w:rsidRDefault="00F90635" w:rsidP="00BD3B99">
      <w:pPr>
        <w:jc w:val="left"/>
        <w:rPr>
          <w:szCs w:val="24"/>
        </w:rPr>
      </w:pPr>
      <w:r w:rsidRPr="006473DA">
        <w:rPr>
          <w:b/>
        </w:rPr>
        <w:t>Original Date:</w:t>
      </w:r>
      <w:r w:rsidRPr="00F51ECD">
        <w:t xml:space="preserve"> </w:t>
      </w:r>
      <w:r w:rsidR="005C6BB8">
        <w:t>August</w:t>
      </w:r>
      <w:r>
        <w:t xml:space="preserve"> 2014</w:t>
      </w:r>
    </w:p>
    <w:p w14:paraId="28D9CB4D" w14:textId="77777777" w:rsidR="00151E02" w:rsidRDefault="00151E02" w:rsidP="00151E02">
      <w:pPr>
        <w:rPr>
          <w:szCs w:val="24"/>
        </w:rPr>
      </w:pPr>
    </w:p>
    <w:p w14:paraId="4658FF98" w14:textId="77777777" w:rsidR="009D1A5D" w:rsidRDefault="009D1A5D" w:rsidP="00151E02">
      <w:r>
        <w:rPr>
          <w:b/>
        </w:rPr>
        <w:t>Revised</w:t>
      </w:r>
      <w:r w:rsidRPr="006473DA">
        <w:rPr>
          <w:b/>
        </w:rPr>
        <w:t xml:space="preserve"> Date:</w:t>
      </w:r>
      <w:r w:rsidRPr="00F51ECD">
        <w:t xml:space="preserve"> </w:t>
      </w:r>
      <w:r>
        <w:t>November 2014</w:t>
      </w:r>
    </w:p>
    <w:p w14:paraId="5F525404" w14:textId="77777777" w:rsidR="009D1A5D" w:rsidRDefault="009D1A5D" w:rsidP="00151E02">
      <w:pPr>
        <w:rPr>
          <w:szCs w:val="24"/>
        </w:rPr>
        <w:sectPr w:rsidR="009D1A5D" w:rsidSect="003935DC">
          <w:headerReference w:type="default" r:id="rId10"/>
          <w:footerReference w:type="default" r:id="rId11"/>
          <w:pgSz w:w="12240" w:h="15840"/>
          <w:pgMar w:top="1440" w:right="1440" w:bottom="1440" w:left="1440" w:header="720" w:footer="720" w:gutter="0"/>
          <w:cols w:space="720"/>
          <w:titlePg/>
          <w:docGrid w:linePitch="360"/>
        </w:sectPr>
      </w:pPr>
    </w:p>
    <w:p w14:paraId="746E0992" w14:textId="77777777" w:rsidR="00BB6F52" w:rsidRDefault="00BB6F52"/>
    <w:sdt>
      <w:sdtPr>
        <w:rPr>
          <w:rFonts w:ascii="Calibri" w:hAnsi="Calibri"/>
          <w:b/>
          <w:bCs/>
          <w:sz w:val="28"/>
          <w:szCs w:val="28"/>
        </w:rPr>
        <w:id w:val="23057126"/>
        <w:docPartObj>
          <w:docPartGallery w:val="Table of Contents"/>
          <w:docPartUnique/>
        </w:docPartObj>
      </w:sdtPr>
      <w:sdtEndPr>
        <w:rPr>
          <w:rFonts w:ascii="Times New Roman" w:hAnsi="Times New Roman"/>
          <w:b w:val="0"/>
          <w:bCs w:val="0"/>
          <w:sz w:val="22"/>
          <w:szCs w:val="22"/>
        </w:rPr>
      </w:sdtEndPr>
      <w:sdtContent>
        <w:p w14:paraId="3C722A5D" w14:textId="77777777" w:rsidR="00BB6F52" w:rsidRPr="006473DA" w:rsidRDefault="00BB6F52" w:rsidP="00BB6F52">
          <w:pPr>
            <w:spacing w:before="240" w:beforeAutospacing="0" w:after="240" w:afterAutospacing="0"/>
            <w:rPr>
              <w:b/>
              <w:sz w:val="28"/>
              <w:szCs w:val="28"/>
            </w:rPr>
          </w:pPr>
          <w:r w:rsidRPr="006473DA">
            <w:rPr>
              <w:b/>
              <w:sz w:val="28"/>
              <w:szCs w:val="28"/>
            </w:rPr>
            <w:t>Table of Contents</w:t>
          </w:r>
        </w:p>
        <w:p w14:paraId="02D0033C" w14:textId="77777777" w:rsidR="00E538B2" w:rsidRDefault="008F14AD">
          <w:pPr>
            <w:pStyle w:val="TOC1"/>
            <w:tabs>
              <w:tab w:val="left" w:pos="480"/>
              <w:tab w:val="right" w:leader="dot" w:pos="9350"/>
            </w:tabs>
            <w:rPr>
              <w:rFonts w:asciiTheme="minorHAnsi" w:eastAsiaTheme="minorEastAsia" w:hAnsiTheme="minorHAnsi" w:cstheme="minorBidi"/>
              <w:noProof/>
              <w:sz w:val="22"/>
            </w:rPr>
          </w:pPr>
          <w:r w:rsidRPr="005A5C6D">
            <w:rPr>
              <w:sz w:val="22"/>
            </w:rPr>
            <w:fldChar w:fldCharType="begin"/>
          </w:r>
          <w:r w:rsidR="00BB6F52" w:rsidRPr="00755805">
            <w:rPr>
              <w:sz w:val="22"/>
            </w:rPr>
            <w:instrText xml:space="preserve"> TOC \o "1-3" \h \z \u </w:instrText>
          </w:r>
          <w:r w:rsidRPr="005A5C6D">
            <w:rPr>
              <w:sz w:val="22"/>
            </w:rPr>
            <w:fldChar w:fldCharType="separate"/>
          </w:r>
          <w:hyperlink w:anchor="_Toc396421494" w:history="1">
            <w:r w:rsidR="00E538B2" w:rsidRPr="000543C4">
              <w:rPr>
                <w:rStyle w:val="Hyperlink"/>
                <w:noProof/>
              </w:rPr>
              <w:t>B</w:t>
            </w:r>
            <w:r w:rsidR="00E538B2">
              <w:rPr>
                <w:rFonts w:asciiTheme="minorHAnsi" w:eastAsiaTheme="minorEastAsia" w:hAnsiTheme="minorHAnsi" w:cstheme="minorBidi"/>
                <w:noProof/>
                <w:sz w:val="22"/>
              </w:rPr>
              <w:tab/>
            </w:r>
            <w:r w:rsidR="00E538B2" w:rsidRPr="000543C4">
              <w:rPr>
                <w:rStyle w:val="Hyperlink"/>
                <w:noProof/>
              </w:rPr>
              <w:t>STATISTICAL METHODS</w:t>
            </w:r>
            <w:r w:rsidR="00E538B2">
              <w:rPr>
                <w:noProof/>
                <w:webHidden/>
              </w:rPr>
              <w:tab/>
            </w:r>
            <w:r w:rsidR="00E538B2">
              <w:rPr>
                <w:noProof/>
                <w:webHidden/>
              </w:rPr>
              <w:fldChar w:fldCharType="begin"/>
            </w:r>
            <w:r w:rsidR="00E538B2">
              <w:rPr>
                <w:noProof/>
                <w:webHidden/>
              </w:rPr>
              <w:instrText xml:space="preserve"> PAGEREF _Toc396421494 \h </w:instrText>
            </w:r>
            <w:r w:rsidR="00E538B2">
              <w:rPr>
                <w:noProof/>
                <w:webHidden/>
              </w:rPr>
            </w:r>
            <w:r w:rsidR="00E538B2">
              <w:rPr>
                <w:noProof/>
                <w:webHidden/>
              </w:rPr>
              <w:fldChar w:fldCharType="separate"/>
            </w:r>
            <w:r w:rsidR="00E538B2">
              <w:rPr>
                <w:noProof/>
                <w:webHidden/>
              </w:rPr>
              <w:t>1</w:t>
            </w:r>
            <w:r w:rsidR="00E538B2">
              <w:rPr>
                <w:noProof/>
                <w:webHidden/>
              </w:rPr>
              <w:fldChar w:fldCharType="end"/>
            </w:r>
          </w:hyperlink>
        </w:p>
        <w:p w14:paraId="0118D949" w14:textId="77777777" w:rsidR="00E538B2" w:rsidRDefault="00654C88">
          <w:pPr>
            <w:pStyle w:val="TOC3"/>
            <w:tabs>
              <w:tab w:val="left" w:pos="1320"/>
              <w:tab w:val="right" w:leader="dot" w:pos="9350"/>
            </w:tabs>
            <w:rPr>
              <w:rFonts w:asciiTheme="minorHAnsi" w:eastAsiaTheme="minorEastAsia" w:hAnsiTheme="minorHAnsi" w:cstheme="minorBidi"/>
              <w:noProof/>
              <w:sz w:val="22"/>
            </w:rPr>
          </w:pPr>
          <w:hyperlink w:anchor="_Toc396421495" w:history="1">
            <w:r w:rsidR="00E538B2" w:rsidRPr="000543C4">
              <w:rPr>
                <w:rStyle w:val="Hyperlink"/>
                <w:noProof/>
              </w:rPr>
              <w:t>B.1.1</w:t>
            </w:r>
            <w:r w:rsidR="00E538B2">
              <w:rPr>
                <w:rFonts w:asciiTheme="minorHAnsi" w:eastAsiaTheme="minorEastAsia" w:hAnsiTheme="minorHAnsi" w:cstheme="minorBidi"/>
                <w:noProof/>
                <w:sz w:val="22"/>
              </w:rPr>
              <w:tab/>
            </w:r>
            <w:r w:rsidR="00E538B2" w:rsidRPr="000543C4">
              <w:rPr>
                <w:rStyle w:val="Hyperlink"/>
                <w:noProof/>
              </w:rPr>
              <w:t>Purpose of Survey</w:t>
            </w:r>
            <w:r w:rsidR="00E538B2">
              <w:rPr>
                <w:noProof/>
                <w:webHidden/>
              </w:rPr>
              <w:tab/>
            </w:r>
            <w:r w:rsidR="00E538B2">
              <w:rPr>
                <w:noProof/>
                <w:webHidden/>
              </w:rPr>
              <w:fldChar w:fldCharType="begin"/>
            </w:r>
            <w:r w:rsidR="00E538B2">
              <w:rPr>
                <w:noProof/>
                <w:webHidden/>
              </w:rPr>
              <w:instrText xml:space="preserve"> PAGEREF _Toc396421495 \h </w:instrText>
            </w:r>
            <w:r w:rsidR="00E538B2">
              <w:rPr>
                <w:noProof/>
                <w:webHidden/>
              </w:rPr>
            </w:r>
            <w:r w:rsidR="00E538B2">
              <w:rPr>
                <w:noProof/>
                <w:webHidden/>
              </w:rPr>
              <w:fldChar w:fldCharType="separate"/>
            </w:r>
            <w:r w:rsidR="00E538B2">
              <w:rPr>
                <w:noProof/>
                <w:webHidden/>
              </w:rPr>
              <w:t>1</w:t>
            </w:r>
            <w:r w:rsidR="00E538B2">
              <w:rPr>
                <w:noProof/>
                <w:webHidden/>
              </w:rPr>
              <w:fldChar w:fldCharType="end"/>
            </w:r>
          </w:hyperlink>
        </w:p>
        <w:p w14:paraId="315479C0" w14:textId="77777777" w:rsidR="00E538B2" w:rsidRDefault="00654C88">
          <w:pPr>
            <w:pStyle w:val="TOC3"/>
            <w:tabs>
              <w:tab w:val="left" w:pos="1320"/>
              <w:tab w:val="right" w:leader="dot" w:pos="9350"/>
            </w:tabs>
            <w:rPr>
              <w:rFonts w:asciiTheme="minorHAnsi" w:eastAsiaTheme="minorEastAsia" w:hAnsiTheme="minorHAnsi" w:cstheme="minorBidi"/>
              <w:noProof/>
              <w:sz w:val="22"/>
            </w:rPr>
          </w:pPr>
          <w:hyperlink w:anchor="_Toc396421496" w:history="1">
            <w:r w:rsidR="00E538B2" w:rsidRPr="000543C4">
              <w:rPr>
                <w:rStyle w:val="Hyperlink"/>
                <w:noProof/>
              </w:rPr>
              <w:t>B.1.2</w:t>
            </w:r>
            <w:r w:rsidR="00E538B2">
              <w:rPr>
                <w:rFonts w:asciiTheme="minorHAnsi" w:eastAsiaTheme="minorEastAsia" w:hAnsiTheme="minorHAnsi" w:cstheme="minorBidi"/>
                <w:noProof/>
                <w:sz w:val="22"/>
              </w:rPr>
              <w:tab/>
            </w:r>
            <w:r w:rsidR="00E538B2" w:rsidRPr="000543C4">
              <w:rPr>
                <w:rStyle w:val="Hyperlink"/>
                <w:noProof/>
              </w:rPr>
              <w:t>Respondent Universe</w:t>
            </w:r>
            <w:r w:rsidR="00E538B2">
              <w:rPr>
                <w:noProof/>
                <w:webHidden/>
              </w:rPr>
              <w:tab/>
            </w:r>
            <w:r w:rsidR="00E538B2">
              <w:rPr>
                <w:noProof/>
                <w:webHidden/>
              </w:rPr>
              <w:fldChar w:fldCharType="begin"/>
            </w:r>
            <w:r w:rsidR="00E538B2">
              <w:rPr>
                <w:noProof/>
                <w:webHidden/>
              </w:rPr>
              <w:instrText xml:space="preserve"> PAGEREF _Toc396421496 \h </w:instrText>
            </w:r>
            <w:r w:rsidR="00E538B2">
              <w:rPr>
                <w:noProof/>
                <w:webHidden/>
              </w:rPr>
            </w:r>
            <w:r w:rsidR="00E538B2">
              <w:rPr>
                <w:noProof/>
                <w:webHidden/>
              </w:rPr>
              <w:fldChar w:fldCharType="separate"/>
            </w:r>
            <w:r w:rsidR="00E538B2">
              <w:rPr>
                <w:noProof/>
                <w:webHidden/>
              </w:rPr>
              <w:t>1</w:t>
            </w:r>
            <w:r w:rsidR="00E538B2">
              <w:rPr>
                <w:noProof/>
                <w:webHidden/>
              </w:rPr>
              <w:fldChar w:fldCharType="end"/>
            </w:r>
          </w:hyperlink>
        </w:p>
        <w:p w14:paraId="10CF7604" w14:textId="0F23829B" w:rsidR="00E538B2" w:rsidRDefault="00654C88" w:rsidP="00853165">
          <w:pPr>
            <w:pStyle w:val="TOC2"/>
            <w:rPr>
              <w:rFonts w:asciiTheme="minorHAnsi" w:eastAsiaTheme="minorEastAsia" w:hAnsiTheme="minorHAnsi" w:cstheme="minorBidi"/>
              <w:noProof/>
              <w:sz w:val="22"/>
            </w:rPr>
          </w:pPr>
          <w:hyperlink w:anchor="_Toc396421497" w:history="1">
            <w:r w:rsidR="00E538B2" w:rsidRPr="000543C4">
              <w:rPr>
                <w:rStyle w:val="Hyperlink"/>
                <w:noProof/>
              </w:rPr>
              <w:t>B.2</w:t>
            </w:r>
            <w:r w:rsidR="00E538B2">
              <w:rPr>
                <w:rFonts w:asciiTheme="minorHAnsi" w:eastAsiaTheme="minorEastAsia" w:hAnsiTheme="minorHAnsi" w:cstheme="minorBidi"/>
                <w:noProof/>
                <w:sz w:val="22"/>
              </w:rPr>
              <w:tab/>
            </w:r>
            <w:r w:rsidR="001D395A">
              <w:rPr>
                <w:rFonts w:asciiTheme="minorHAnsi" w:eastAsiaTheme="minorEastAsia" w:hAnsiTheme="minorHAnsi" w:cstheme="minorBidi"/>
                <w:noProof/>
                <w:sz w:val="22"/>
              </w:rPr>
              <w:t xml:space="preserve">    </w:t>
            </w:r>
            <w:r w:rsidR="00E538B2">
              <w:rPr>
                <w:rFonts w:asciiTheme="minorHAnsi" w:eastAsiaTheme="minorEastAsia" w:hAnsiTheme="minorHAnsi" w:cstheme="minorBidi"/>
                <w:noProof/>
                <w:sz w:val="22"/>
              </w:rPr>
              <w:t xml:space="preserve"> </w:t>
            </w:r>
            <w:r w:rsidR="00E538B2" w:rsidRPr="000543C4">
              <w:rPr>
                <w:rStyle w:val="Hyperlink"/>
                <w:noProof/>
              </w:rPr>
              <w:t>Statistical Sampling, Imputation, and Estimation Procedures</w:t>
            </w:r>
            <w:r w:rsidR="00E538B2">
              <w:rPr>
                <w:noProof/>
                <w:webHidden/>
              </w:rPr>
              <w:tab/>
            </w:r>
            <w:r w:rsidR="00E538B2">
              <w:rPr>
                <w:noProof/>
                <w:webHidden/>
              </w:rPr>
              <w:fldChar w:fldCharType="begin"/>
            </w:r>
            <w:r w:rsidR="00E538B2">
              <w:rPr>
                <w:noProof/>
                <w:webHidden/>
              </w:rPr>
              <w:instrText xml:space="preserve"> PAGEREF _Toc396421497 \h </w:instrText>
            </w:r>
            <w:r w:rsidR="00E538B2">
              <w:rPr>
                <w:noProof/>
                <w:webHidden/>
              </w:rPr>
            </w:r>
            <w:r w:rsidR="00E538B2">
              <w:rPr>
                <w:noProof/>
                <w:webHidden/>
              </w:rPr>
              <w:fldChar w:fldCharType="separate"/>
            </w:r>
            <w:r w:rsidR="00E538B2">
              <w:rPr>
                <w:noProof/>
                <w:webHidden/>
              </w:rPr>
              <w:t>2</w:t>
            </w:r>
            <w:r w:rsidR="00E538B2">
              <w:rPr>
                <w:noProof/>
                <w:webHidden/>
              </w:rPr>
              <w:fldChar w:fldCharType="end"/>
            </w:r>
          </w:hyperlink>
        </w:p>
        <w:p w14:paraId="01EF31CA" w14:textId="77777777" w:rsidR="00E538B2" w:rsidRDefault="00654C88">
          <w:pPr>
            <w:pStyle w:val="TOC3"/>
            <w:tabs>
              <w:tab w:val="left" w:pos="1320"/>
              <w:tab w:val="right" w:leader="dot" w:pos="9350"/>
            </w:tabs>
            <w:rPr>
              <w:rFonts w:asciiTheme="minorHAnsi" w:eastAsiaTheme="minorEastAsia" w:hAnsiTheme="minorHAnsi" w:cstheme="minorBidi"/>
              <w:noProof/>
              <w:sz w:val="22"/>
            </w:rPr>
          </w:pPr>
          <w:hyperlink w:anchor="_Toc396421498" w:history="1">
            <w:r w:rsidR="00E538B2" w:rsidRPr="000543C4">
              <w:rPr>
                <w:rStyle w:val="Hyperlink"/>
                <w:noProof/>
              </w:rPr>
              <w:t>B.2.1</w:t>
            </w:r>
            <w:r w:rsidR="00E538B2">
              <w:rPr>
                <w:rFonts w:asciiTheme="minorHAnsi" w:eastAsiaTheme="minorEastAsia" w:hAnsiTheme="minorHAnsi" w:cstheme="minorBidi"/>
                <w:noProof/>
                <w:sz w:val="22"/>
              </w:rPr>
              <w:tab/>
            </w:r>
            <w:r w:rsidR="00E538B2" w:rsidRPr="000543C4">
              <w:rPr>
                <w:rStyle w:val="Hyperlink"/>
                <w:noProof/>
              </w:rPr>
              <w:t>Sampling</w:t>
            </w:r>
            <w:r w:rsidR="00E538B2">
              <w:rPr>
                <w:noProof/>
                <w:webHidden/>
              </w:rPr>
              <w:tab/>
            </w:r>
            <w:r w:rsidR="00E538B2">
              <w:rPr>
                <w:noProof/>
                <w:webHidden/>
              </w:rPr>
              <w:fldChar w:fldCharType="begin"/>
            </w:r>
            <w:r w:rsidR="00E538B2">
              <w:rPr>
                <w:noProof/>
                <w:webHidden/>
              </w:rPr>
              <w:instrText xml:space="preserve"> PAGEREF _Toc396421498 \h </w:instrText>
            </w:r>
            <w:r w:rsidR="00E538B2">
              <w:rPr>
                <w:noProof/>
                <w:webHidden/>
              </w:rPr>
            </w:r>
            <w:r w:rsidR="00E538B2">
              <w:rPr>
                <w:noProof/>
                <w:webHidden/>
              </w:rPr>
              <w:fldChar w:fldCharType="separate"/>
            </w:r>
            <w:r w:rsidR="00E538B2">
              <w:rPr>
                <w:noProof/>
                <w:webHidden/>
              </w:rPr>
              <w:t>2</w:t>
            </w:r>
            <w:r w:rsidR="00E538B2">
              <w:rPr>
                <w:noProof/>
                <w:webHidden/>
              </w:rPr>
              <w:fldChar w:fldCharType="end"/>
            </w:r>
          </w:hyperlink>
        </w:p>
        <w:p w14:paraId="5055C24C" w14:textId="77777777" w:rsidR="00E538B2" w:rsidRDefault="00654C88">
          <w:pPr>
            <w:pStyle w:val="TOC3"/>
            <w:tabs>
              <w:tab w:val="left" w:pos="1320"/>
              <w:tab w:val="right" w:leader="dot" w:pos="9350"/>
            </w:tabs>
            <w:rPr>
              <w:rFonts w:asciiTheme="minorHAnsi" w:eastAsiaTheme="minorEastAsia" w:hAnsiTheme="minorHAnsi" w:cstheme="minorBidi"/>
              <w:noProof/>
              <w:sz w:val="22"/>
            </w:rPr>
          </w:pPr>
          <w:hyperlink w:anchor="_Toc396421499" w:history="1">
            <w:r w:rsidR="00E538B2" w:rsidRPr="000543C4">
              <w:rPr>
                <w:rStyle w:val="Hyperlink"/>
                <w:noProof/>
              </w:rPr>
              <w:t>B.2.2</w:t>
            </w:r>
            <w:r w:rsidR="00E538B2">
              <w:rPr>
                <w:rFonts w:asciiTheme="minorHAnsi" w:eastAsiaTheme="minorEastAsia" w:hAnsiTheme="minorHAnsi" w:cstheme="minorBidi"/>
                <w:noProof/>
                <w:sz w:val="22"/>
              </w:rPr>
              <w:tab/>
            </w:r>
            <w:r w:rsidR="00E538B2" w:rsidRPr="000543C4">
              <w:rPr>
                <w:rStyle w:val="Hyperlink"/>
                <w:noProof/>
              </w:rPr>
              <w:t>Estimating</w:t>
            </w:r>
            <w:r w:rsidR="00E538B2">
              <w:rPr>
                <w:noProof/>
                <w:webHidden/>
              </w:rPr>
              <w:tab/>
            </w:r>
            <w:r w:rsidR="00E538B2">
              <w:rPr>
                <w:noProof/>
                <w:webHidden/>
              </w:rPr>
              <w:fldChar w:fldCharType="begin"/>
            </w:r>
            <w:r w:rsidR="00E538B2">
              <w:rPr>
                <w:noProof/>
                <w:webHidden/>
              </w:rPr>
              <w:instrText xml:space="preserve"> PAGEREF _Toc396421499 \h </w:instrText>
            </w:r>
            <w:r w:rsidR="00E538B2">
              <w:rPr>
                <w:noProof/>
                <w:webHidden/>
              </w:rPr>
            </w:r>
            <w:r w:rsidR="00E538B2">
              <w:rPr>
                <w:noProof/>
                <w:webHidden/>
              </w:rPr>
              <w:fldChar w:fldCharType="separate"/>
            </w:r>
            <w:r w:rsidR="00E538B2">
              <w:rPr>
                <w:noProof/>
                <w:webHidden/>
              </w:rPr>
              <w:t>3</w:t>
            </w:r>
            <w:r w:rsidR="00E538B2">
              <w:rPr>
                <w:noProof/>
                <w:webHidden/>
              </w:rPr>
              <w:fldChar w:fldCharType="end"/>
            </w:r>
          </w:hyperlink>
        </w:p>
        <w:p w14:paraId="050BD0BE" w14:textId="77777777" w:rsidR="00E538B2" w:rsidRDefault="00654C88">
          <w:pPr>
            <w:pStyle w:val="TOC3"/>
            <w:tabs>
              <w:tab w:val="left" w:pos="1320"/>
              <w:tab w:val="right" w:leader="dot" w:pos="9350"/>
            </w:tabs>
            <w:rPr>
              <w:rFonts w:asciiTheme="minorHAnsi" w:eastAsiaTheme="minorEastAsia" w:hAnsiTheme="minorHAnsi" w:cstheme="minorBidi"/>
              <w:noProof/>
              <w:sz w:val="22"/>
            </w:rPr>
          </w:pPr>
          <w:hyperlink w:anchor="_Toc396421500" w:history="1">
            <w:r w:rsidR="00E538B2" w:rsidRPr="000543C4">
              <w:rPr>
                <w:rStyle w:val="Hyperlink"/>
                <w:noProof/>
              </w:rPr>
              <w:t>B.2.3</w:t>
            </w:r>
            <w:r w:rsidR="00E538B2">
              <w:rPr>
                <w:rFonts w:asciiTheme="minorHAnsi" w:eastAsiaTheme="minorEastAsia" w:hAnsiTheme="minorHAnsi" w:cstheme="minorBidi"/>
                <w:noProof/>
                <w:sz w:val="22"/>
              </w:rPr>
              <w:tab/>
            </w:r>
            <w:r w:rsidR="00E538B2" w:rsidRPr="000543C4">
              <w:rPr>
                <w:rStyle w:val="Hyperlink"/>
                <w:noProof/>
              </w:rPr>
              <w:t>Frame Maintenance</w:t>
            </w:r>
            <w:r w:rsidR="00E538B2">
              <w:rPr>
                <w:noProof/>
                <w:webHidden/>
              </w:rPr>
              <w:tab/>
            </w:r>
            <w:r w:rsidR="00E538B2">
              <w:rPr>
                <w:noProof/>
                <w:webHidden/>
              </w:rPr>
              <w:fldChar w:fldCharType="begin"/>
            </w:r>
            <w:r w:rsidR="00E538B2">
              <w:rPr>
                <w:noProof/>
                <w:webHidden/>
              </w:rPr>
              <w:instrText xml:space="preserve"> PAGEREF _Toc396421500 \h </w:instrText>
            </w:r>
            <w:r w:rsidR="00E538B2">
              <w:rPr>
                <w:noProof/>
                <w:webHidden/>
              </w:rPr>
            </w:r>
            <w:r w:rsidR="00E538B2">
              <w:rPr>
                <w:noProof/>
                <w:webHidden/>
              </w:rPr>
              <w:fldChar w:fldCharType="separate"/>
            </w:r>
            <w:r w:rsidR="00E538B2">
              <w:rPr>
                <w:noProof/>
                <w:webHidden/>
              </w:rPr>
              <w:t>4</w:t>
            </w:r>
            <w:r w:rsidR="00E538B2">
              <w:rPr>
                <w:noProof/>
                <w:webHidden/>
              </w:rPr>
              <w:fldChar w:fldCharType="end"/>
            </w:r>
          </w:hyperlink>
        </w:p>
        <w:p w14:paraId="3153C3C5" w14:textId="77777777" w:rsidR="00E538B2" w:rsidRDefault="00654C88" w:rsidP="00AA2D91">
          <w:pPr>
            <w:pStyle w:val="TOC3"/>
            <w:tabs>
              <w:tab w:val="left" w:pos="1320"/>
              <w:tab w:val="right" w:leader="dot" w:pos="9350"/>
            </w:tabs>
            <w:ind w:right="-144"/>
            <w:rPr>
              <w:rFonts w:asciiTheme="minorHAnsi" w:eastAsiaTheme="minorEastAsia" w:hAnsiTheme="minorHAnsi" w:cstheme="minorBidi"/>
              <w:noProof/>
              <w:sz w:val="22"/>
            </w:rPr>
          </w:pPr>
          <w:hyperlink w:anchor="_Toc396421501" w:history="1">
            <w:r w:rsidR="00E538B2" w:rsidRPr="000543C4">
              <w:rPr>
                <w:rStyle w:val="Hyperlink"/>
                <w:noProof/>
              </w:rPr>
              <w:t>B.2.4</w:t>
            </w:r>
            <w:r w:rsidR="00E538B2">
              <w:rPr>
                <w:rFonts w:asciiTheme="minorHAnsi" w:eastAsiaTheme="minorEastAsia" w:hAnsiTheme="minorHAnsi" w:cstheme="minorBidi"/>
                <w:noProof/>
                <w:sz w:val="22"/>
              </w:rPr>
              <w:tab/>
            </w:r>
            <w:r w:rsidR="00E538B2" w:rsidRPr="000543C4">
              <w:rPr>
                <w:rStyle w:val="Hyperlink"/>
                <w:noProof/>
              </w:rPr>
              <w:t>Efforts to Reduce Total Survey Error</w:t>
            </w:r>
            <w:r w:rsidR="00E538B2">
              <w:rPr>
                <w:noProof/>
                <w:webHidden/>
              </w:rPr>
              <w:tab/>
            </w:r>
            <w:r w:rsidR="00E538B2">
              <w:rPr>
                <w:noProof/>
                <w:webHidden/>
              </w:rPr>
              <w:fldChar w:fldCharType="begin"/>
            </w:r>
            <w:r w:rsidR="00E538B2">
              <w:rPr>
                <w:noProof/>
                <w:webHidden/>
              </w:rPr>
              <w:instrText xml:space="preserve"> PAGEREF _Toc396421501 \h </w:instrText>
            </w:r>
            <w:r w:rsidR="00E538B2">
              <w:rPr>
                <w:noProof/>
                <w:webHidden/>
              </w:rPr>
            </w:r>
            <w:r w:rsidR="00E538B2">
              <w:rPr>
                <w:noProof/>
                <w:webHidden/>
              </w:rPr>
              <w:fldChar w:fldCharType="separate"/>
            </w:r>
            <w:r w:rsidR="00E538B2">
              <w:rPr>
                <w:noProof/>
                <w:webHidden/>
              </w:rPr>
              <w:t>4</w:t>
            </w:r>
            <w:r w:rsidR="00E538B2">
              <w:rPr>
                <w:noProof/>
                <w:webHidden/>
              </w:rPr>
              <w:fldChar w:fldCharType="end"/>
            </w:r>
          </w:hyperlink>
        </w:p>
        <w:p w14:paraId="758A1FA0" w14:textId="60561F04" w:rsidR="00E538B2" w:rsidRDefault="00654C88" w:rsidP="00853165">
          <w:pPr>
            <w:pStyle w:val="TOC2"/>
            <w:rPr>
              <w:rFonts w:asciiTheme="minorHAnsi" w:eastAsiaTheme="minorEastAsia" w:hAnsiTheme="minorHAnsi" w:cstheme="minorBidi"/>
              <w:noProof/>
              <w:sz w:val="22"/>
            </w:rPr>
          </w:pPr>
          <w:hyperlink w:anchor="_Toc396421502" w:history="1">
            <w:r w:rsidR="00E538B2" w:rsidRPr="000543C4">
              <w:rPr>
                <w:rStyle w:val="Hyperlink"/>
                <w:noProof/>
              </w:rPr>
              <w:t>B.3</w:t>
            </w:r>
            <w:r w:rsidR="00E538B2">
              <w:rPr>
                <w:rFonts w:asciiTheme="minorHAnsi" w:eastAsiaTheme="minorEastAsia" w:hAnsiTheme="minorHAnsi" w:cstheme="minorBidi"/>
                <w:noProof/>
                <w:sz w:val="22"/>
              </w:rPr>
              <w:tab/>
            </w:r>
            <w:r w:rsidR="001D395A">
              <w:rPr>
                <w:rFonts w:asciiTheme="minorHAnsi" w:eastAsiaTheme="minorEastAsia" w:hAnsiTheme="minorHAnsi" w:cstheme="minorBidi"/>
                <w:noProof/>
                <w:sz w:val="22"/>
              </w:rPr>
              <w:t xml:space="preserve">    </w:t>
            </w:r>
            <w:r w:rsidR="00E538B2">
              <w:rPr>
                <w:rFonts w:asciiTheme="minorHAnsi" w:eastAsiaTheme="minorEastAsia" w:hAnsiTheme="minorHAnsi" w:cstheme="minorBidi"/>
                <w:noProof/>
                <w:sz w:val="22"/>
              </w:rPr>
              <w:t xml:space="preserve"> </w:t>
            </w:r>
            <w:r w:rsidR="00E538B2" w:rsidRPr="000543C4">
              <w:rPr>
                <w:rStyle w:val="Hyperlink"/>
                <w:noProof/>
              </w:rPr>
              <w:t>Maximizing Response Rates</w:t>
            </w:r>
            <w:r w:rsidR="00E538B2">
              <w:rPr>
                <w:noProof/>
                <w:webHidden/>
              </w:rPr>
              <w:tab/>
            </w:r>
            <w:r w:rsidR="00E538B2">
              <w:rPr>
                <w:noProof/>
                <w:webHidden/>
              </w:rPr>
              <w:fldChar w:fldCharType="begin"/>
            </w:r>
            <w:r w:rsidR="00E538B2">
              <w:rPr>
                <w:noProof/>
                <w:webHidden/>
              </w:rPr>
              <w:instrText xml:space="preserve"> PAGEREF _Toc396421502 \h </w:instrText>
            </w:r>
            <w:r w:rsidR="00E538B2">
              <w:rPr>
                <w:noProof/>
                <w:webHidden/>
              </w:rPr>
            </w:r>
            <w:r w:rsidR="00E538B2">
              <w:rPr>
                <w:noProof/>
                <w:webHidden/>
              </w:rPr>
              <w:fldChar w:fldCharType="separate"/>
            </w:r>
            <w:r w:rsidR="00E538B2">
              <w:rPr>
                <w:noProof/>
                <w:webHidden/>
              </w:rPr>
              <w:t>5</w:t>
            </w:r>
            <w:r w:rsidR="00E538B2">
              <w:rPr>
                <w:noProof/>
                <w:webHidden/>
              </w:rPr>
              <w:fldChar w:fldCharType="end"/>
            </w:r>
          </w:hyperlink>
        </w:p>
        <w:p w14:paraId="4EEC2CC5" w14:textId="62F0CAD2" w:rsidR="00E538B2" w:rsidRDefault="00654C88" w:rsidP="00853165">
          <w:pPr>
            <w:pStyle w:val="TOC2"/>
            <w:rPr>
              <w:rFonts w:asciiTheme="minorHAnsi" w:eastAsiaTheme="minorEastAsia" w:hAnsiTheme="minorHAnsi" w:cstheme="minorBidi"/>
              <w:noProof/>
              <w:sz w:val="22"/>
            </w:rPr>
          </w:pPr>
          <w:hyperlink w:anchor="_Toc396421503" w:history="1">
            <w:r w:rsidR="00E538B2" w:rsidRPr="000543C4">
              <w:rPr>
                <w:rStyle w:val="Hyperlink"/>
                <w:noProof/>
              </w:rPr>
              <w:t>B.4</w:t>
            </w:r>
            <w:r w:rsidR="00E538B2">
              <w:rPr>
                <w:rFonts w:asciiTheme="minorHAnsi" w:eastAsiaTheme="minorEastAsia" w:hAnsiTheme="minorHAnsi" w:cstheme="minorBidi"/>
                <w:noProof/>
                <w:sz w:val="22"/>
              </w:rPr>
              <w:tab/>
            </w:r>
            <w:r w:rsidR="001D395A">
              <w:rPr>
                <w:rFonts w:asciiTheme="minorHAnsi" w:eastAsiaTheme="minorEastAsia" w:hAnsiTheme="minorHAnsi" w:cstheme="minorBidi"/>
                <w:noProof/>
                <w:sz w:val="22"/>
              </w:rPr>
              <w:t xml:space="preserve">    </w:t>
            </w:r>
            <w:r w:rsidR="00E538B2">
              <w:rPr>
                <w:rFonts w:asciiTheme="minorHAnsi" w:eastAsiaTheme="minorEastAsia" w:hAnsiTheme="minorHAnsi" w:cstheme="minorBidi"/>
                <w:noProof/>
                <w:sz w:val="22"/>
              </w:rPr>
              <w:t xml:space="preserve"> </w:t>
            </w:r>
            <w:r w:rsidR="00E538B2" w:rsidRPr="000543C4">
              <w:rPr>
                <w:rStyle w:val="Hyperlink"/>
                <w:noProof/>
              </w:rPr>
              <w:t>Testing Procedures</w:t>
            </w:r>
            <w:r w:rsidR="00E538B2">
              <w:rPr>
                <w:noProof/>
                <w:webHidden/>
              </w:rPr>
              <w:tab/>
            </w:r>
            <w:r w:rsidR="00E538B2">
              <w:rPr>
                <w:noProof/>
                <w:webHidden/>
              </w:rPr>
              <w:fldChar w:fldCharType="begin"/>
            </w:r>
            <w:r w:rsidR="00E538B2">
              <w:rPr>
                <w:noProof/>
                <w:webHidden/>
              </w:rPr>
              <w:instrText xml:space="preserve"> PAGEREF _Toc396421503 \h </w:instrText>
            </w:r>
            <w:r w:rsidR="00E538B2">
              <w:rPr>
                <w:noProof/>
                <w:webHidden/>
              </w:rPr>
            </w:r>
            <w:r w:rsidR="00E538B2">
              <w:rPr>
                <w:noProof/>
                <w:webHidden/>
              </w:rPr>
              <w:fldChar w:fldCharType="separate"/>
            </w:r>
            <w:r w:rsidR="00E538B2">
              <w:rPr>
                <w:noProof/>
                <w:webHidden/>
              </w:rPr>
              <w:t>5</w:t>
            </w:r>
            <w:r w:rsidR="00E538B2">
              <w:rPr>
                <w:noProof/>
                <w:webHidden/>
              </w:rPr>
              <w:fldChar w:fldCharType="end"/>
            </w:r>
          </w:hyperlink>
        </w:p>
        <w:p w14:paraId="557E4DEB" w14:textId="4AA1C97B" w:rsidR="00E538B2" w:rsidRDefault="00654C88" w:rsidP="00AA2D91">
          <w:pPr>
            <w:pStyle w:val="TOC2"/>
            <w:rPr>
              <w:rFonts w:asciiTheme="minorHAnsi" w:eastAsiaTheme="minorEastAsia" w:hAnsiTheme="minorHAnsi" w:cstheme="minorBidi"/>
              <w:noProof/>
              <w:sz w:val="22"/>
            </w:rPr>
          </w:pPr>
          <w:hyperlink w:anchor="_Toc396421504" w:history="1">
            <w:r w:rsidR="00E538B2" w:rsidRPr="000543C4">
              <w:rPr>
                <w:rStyle w:val="Hyperlink"/>
                <w:noProof/>
              </w:rPr>
              <w:t>B.5</w:t>
            </w:r>
            <w:r w:rsidR="00E538B2">
              <w:rPr>
                <w:rFonts w:asciiTheme="minorHAnsi" w:eastAsiaTheme="minorEastAsia" w:hAnsiTheme="minorHAnsi" w:cstheme="minorBidi"/>
                <w:noProof/>
                <w:sz w:val="22"/>
              </w:rPr>
              <w:tab/>
            </w:r>
            <w:r w:rsidR="001D395A">
              <w:rPr>
                <w:rFonts w:asciiTheme="minorHAnsi" w:eastAsiaTheme="minorEastAsia" w:hAnsiTheme="minorHAnsi" w:cstheme="minorBidi"/>
                <w:noProof/>
                <w:sz w:val="22"/>
              </w:rPr>
              <w:t xml:space="preserve">    </w:t>
            </w:r>
            <w:r w:rsidR="00E538B2">
              <w:rPr>
                <w:rFonts w:asciiTheme="minorHAnsi" w:eastAsiaTheme="minorEastAsia" w:hAnsiTheme="minorHAnsi" w:cstheme="minorBidi"/>
                <w:noProof/>
                <w:sz w:val="22"/>
              </w:rPr>
              <w:t xml:space="preserve"> </w:t>
            </w:r>
            <w:r w:rsidR="00E538B2" w:rsidRPr="000543C4">
              <w:rPr>
                <w:rStyle w:val="Hyperlink"/>
                <w:noProof/>
              </w:rPr>
              <w:t>Statistical Consultations</w:t>
            </w:r>
            <w:r w:rsidR="00E538B2">
              <w:rPr>
                <w:noProof/>
                <w:webHidden/>
              </w:rPr>
              <w:tab/>
            </w:r>
            <w:r w:rsidR="00E538B2">
              <w:rPr>
                <w:noProof/>
                <w:webHidden/>
              </w:rPr>
              <w:fldChar w:fldCharType="begin"/>
            </w:r>
            <w:r w:rsidR="00E538B2">
              <w:rPr>
                <w:noProof/>
                <w:webHidden/>
              </w:rPr>
              <w:instrText xml:space="preserve"> PAGEREF _Toc396421504 \h </w:instrText>
            </w:r>
            <w:r w:rsidR="00E538B2">
              <w:rPr>
                <w:noProof/>
                <w:webHidden/>
              </w:rPr>
            </w:r>
            <w:r w:rsidR="00E538B2">
              <w:rPr>
                <w:noProof/>
                <w:webHidden/>
              </w:rPr>
              <w:fldChar w:fldCharType="separate"/>
            </w:r>
            <w:r w:rsidR="00E538B2">
              <w:rPr>
                <w:noProof/>
                <w:webHidden/>
              </w:rPr>
              <w:t>5</w:t>
            </w:r>
            <w:r w:rsidR="00E538B2">
              <w:rPr>
                <w:noProof/>
                <w:webHidden/>
              </w:rPr>
              <w:fldChar w:fldCharType="end"/>
            </w:r>
          </w:hyperlink>
        </w:p>
        <w:p w14:paraId="69800DBB" w14:textId="77777777" w:rsidR="00151E02" w:rsidRPr="00755805" w:rsidRDefault="008F14AD" w:rsidP="00BB6F52">
          <w:pPr>
            <w:spacing w:before="160" w:beforeAutospacing="0" w:after="0" w:afterAutospacing="0"/>
            <w:rPr>
              <w:sz w:val="22"/>
            </w:rPr>
          </w:pPr>
          <w:r w:rsidRPr="005A5C6D">
            <w:rPr>
              <w:sz w:val="22"/>
            </w:rPr>
            <w:fldChar w:fldCharType="end"/>
          </w:r>
        </w:p>
      </w:sdtContent>
    </w:sdt>
    <w:p w14:paraId="709BA535" w14:textId="77777777" w:rsidR="00151E02" w:rsidRDefault="00151E02" w:rsidP="00151E02">
      <w:pPr>
        <w:jc w:val="left"/>
        <w:rPr>
          <w:szCs w:val="24"/>
        </w:rPr>
      </w:pPr>
    </w:p>
    <w:p w14:paraId="1E1DE023" w14:textId="77777777" w:rsidR="00151E02" w:rsidRDefault="00151E02" w:rsidP="00151E02">
      <w:pPr>
        <w:rPr>
          <w:szCs w:val="24"/>
        </w:rPr>
        <w:sectPr w:rsidR="00151E02" w:rsidSect="0061775D">
          <w:headerReference w:type="default" r:id="rId12"/>
          <w:footerReference w:type="default" r:id="rId13"/>
          <w:pgSz w:w="12240" w:h="15840"/>
          <w:pgMar w:top="1440" w:right="1440" w:bottom="1440" w:left="1440" w:header="720" w:footer="720" w:gutter="0"/>
          <w:cols w:space="720"/>
          <w:docGrid w:linePitch="360"/>
        </w:sectPr>
      </w:pPr>
    </w:p>
    <w:p w14:paraId="7B2C582E" w14:textId="77777777" w:rsidR="00151E02" w:rsidRDefault="00151E02" w:rsidP="00185A0B">
      <w:pPr>
        <w:pStyle w:val="Heading1"/>
        <w:spacing w:after="0" w:afterAutospacing="0"/>
      </w:pPr>
      <w:bookmarkStart w:id="0" w:name="_Toc336547811"/>
      <w:bookmarkStart w:id="1" w:name="_Toc396421494"/>
      <w:r w:rsidRPr="00C6298C">
        <w:lastRenderedPageBreak/>
        <w:t>STATISTICAL METHODS</w:t>
      </w:r>
      <w:bookmarkEnd w:id="0"/>
      <w:bookmarkEnd w:id="1"/>
    </w:p>
    <w:p w14:paraId="6F3FE920" w14:textId="77777777" w:rsidR="00185A0B" w:rsidRDefault="00185A0B" w:rsidP="00185A0B">
      <w:pPr>
        <w:spacing w:before="0" w:beforeAutospacing="0" w:after="0" w:afterAutospacing="0"/>
      </w:pPr>
    </w:p>
    <w:p w14:paraId="01DF59C1" w14:textId="77777777" w:rsidR="00A477C4" w:rsidRDefault="00A477C4" w:rsidP="00F13705">
      <w:pPr>
        <w:pStyle w:val="Heading3"/>
      </w:pPr>
      <w:bookmarkStart w:id="2" w:name="_Toc387995107"/>
      <w:bookmarkStart w:id="3" w:name="_Toc396421495"/>
      <w:r>
        <w:t>Purpose of Survey</w:t>
      </w:r>
      <w:bookmarkEnd w:id="2"/>
      <w:bookmarkEnd w:id="3"/>
    </w:p>
    <w:p w14:paraId="7082EE98" w14:textId="1ECA3AA0" w:rsidR="0049634B" w:rsidRDefault="00A477C4" w:rsidP="00A477C4">
      <w:pPr>
        <w:rPr>
          <w:sz w:val="22"/>
        </w:rPr>
      </w:pPr>
      <w:r w:rsidRPr="005C33B5">
        <w:rPr>
          <w:sz w:val="22"/>
        </w:rPr>
        <w:t>The purpose of the</w:t>
      </w:r>
      <w:r w:rsidR="00C47883" w:rsidRPr="005C33B5">
        <w:rPr>
          <w:sz w:val="22"/>
        </w:rPr>
        <w:t xml:space="preserve"> proposed expansion of the</w:t>
      </w:r>
      <w:r w:rsidRPr="005C33B5">
        <w:rPr>
          <w:sz w:val="22"/>
        </w:rPr>
        <w:t xml:space="preserve"> </w:t>
      </w:r>
      <w:r w:rsidR="000C055D" w:rsidRPr="005C33B5">
        <w:rPr>
          <w:sz w:val="22"/>
        </w:rPr>
        <w:t xml:space="preserve">Form </w:t>
      </w:r>
      <w:r w:rsidRPr="005C33B5">
        <w:rPr>
          <w:sz w:val="22"/>
        </w:rPr>
        <w:t>EIA-914 survey</w:t>
      </w:r>
      <w:r w:rsidR="000C055D" w:rsidRPr="005C33B5">
        <w:rPr>
          <w:sz w:val="22"/>
        </w:rPr>
        <w:t>,</w:t>
      </w:r>
      <w:r w:rsidR="000C055D" w:rsidRPr="003D1F76">
        <w:rPr>
          <w:i/>
          <w:sz w:val="22"/>
        </w:rPr>
        <w:t xml:space="preserve"> Monthly Natural Gas Production Report</w:t>
      </w:r>
      <w:r w:rsidR="000C055D" w:rsidRPr="003D1F76">
        <w:rPr>
          <w:sz w:val="22"/>
        </w:rPr>
        <w:t>,</w:t>
      </w:r>
      <w:r w:rsidRPr="005C33B5">
        <w:rPr>
          <w:sz w:val="22"/>
        </w:rPr>
        <w:t xml:space="preserve"> is to collect more reliable and timely monthly natural gas</w:t>
      </w:r>
      <w:r w:rsidR="00C47883" w:rsidRPr="005C33B5">
        <w:rPr>
          <w:sz w:val="22"/>
        </w:rPr>
        <w:t>,</w:t>
      </w:r>
      <w:r w:rsidRPr="005C33B5">
        <w:rPr>
          <w:sz w:val="22"/>
        </w:rPr>
        <w:t xml:space="preserve"> crude oil</w:t>
      </w:r>
      <w:r w:rsidR="00C47883" w:rsidRPr="005C33B5">
        <w:rPr>
          <w:sz w:val="22"/>
        </w:rPr>
        <w:t>, and lease condensate</w:t>
      </w:r>
      <w:r w:rsidRPr="005C33B5">
        <w:rPr>
          <w:sz w:val="22"/>
        </w:rPr>
        <w:t xml:space="preserve"> production information for the </w:t>
      </w:r>
      <w:r w:rsidR="00206D58">
        <w:rPr>
          <w:sz w:val="22"/>
        </w:rPr>
        <w:t>l</w:t>
      </w:r>
      <w:r w:rsidR="00206D58" w:rsidRPr="005C33B5">
        <w:rPr>
          <w:sz w:val="22"/>
        </w:rPr>
        <w:t xml:space="preserve">ower </w:t>
      </w:r>
      <w:r w:rsidRPr="005C33B5">
        <w:rPr>
          <w:sz w:val="22"/>
        </w:rPr>
        <w:t xml:space="preserve">48 </w:t>
      </w:r>
      <w:r w:rsidR="00206D58">
        <w:rPr>
          <w:sz w:val="22"/>
        </w:rPr>
        <w:t>s</w:t>
      </w:r>
      <w:r w:rsidR="00206D58" w:rsidRPr="005C33B5">
        <w:rPr>
          <w:sz w:val="22"/>
        </w:rPr>
        <w:t>tates</w:t>
      </w:r>
      <w:r w:rsidRPr="005C33B5">
        <w:rPr>
          <w:sz w:val="22"/>
        </w:rPr>
        <w:t>.</w:t>
      </w:r>
      <w:r w:rsidR="001D395A">
        <w:rPr>
          <w:sz w:val="22"/>
        </w:rPr>
        <w:t xml:space="preserve"> </w:t>
      </w:r>
      <w:r w:rsidRPr="005C33B5">
        <w:rPr>
          <w:sz w:val="22"/>
        </w:rPr>
        <w:t xml:space="preserve">The goal is to </w:t>
      </w:r>
      <w:r w:rsidR="00A94EA5" w:rsidRPr="005C33B5">
        <w:rPr>
          <w:sz w:val="22"/>
        </w:rPr>
        <w:t>publish</w:t>
      </w:r>
      <w:r w:rsidRPr="005C33B5">
        <w:rPr>
          <w:sz w:val="22"/>
        </w:rPr>
        <w:t xml:space="preserve"> accurate information not more than 60 days after the close of a report month.</w:t>
      </w:r>
    </w:p>
    <w:p w14:paraId="6A0820E0" w14:textId="2B8168CE" w:rsidR="00A477C4" w:rsidRPr="005C33B5" w:rsidRDefault="00A477C4" w:rsidP="000A69C7">
      <w:pPr>
        <w:rPr>
          <w:sz w:val="22"/>
        </w:rPr>
      </w:pPr>
      <w:r w:rsidRPr="005C33B5">
        <w:rPr>
          <w:sz w:val="22"/>
        </w:rPr>
        <w:t>Expand</w:t>
      </w:r>
      <w:r w:rsidR="000A69C7">
        <w:rPr>
          <w:sz w:val="22"/>
        </w:rPr>
        <w:t>ing</w:t>
      </w:r>
      <w:r w:rsidRPr="005C33B5">
        <w:rPr>
          <w:sz w:val="22"/>
        </w:rPr>
        <w:t xml:space="preserve"> coverage of natural gas production will allow more relevant data to be made available in a timely fashion, </w:t>
      </w:r>
      <w:r w:rsidR="00D2014E" w:rsidRPr="005C33B5">
        <w:rPr>
          <w:sz w:val="22"/>
        </w:rPr>
        <w:t>and</w:t>
      </w:r>
      <w:r w:rsidR="00C47883" w:rsidRPr="005C33B5">
        <w:rPr>
          <w:sz w:val="22"/>
        </w:rPr>
        <w:t xml:space="preserve"> </w:t>
      </w:r>
      <w:r w:rsidR="00845E97">
        <w:rPr>
          <w:sz w:val="22"/>
        </w:rPr>
        <w:t xml:space="preserve">new </w:t>
      </w:r>
      <w:r w:rsidR="00D2014E" w:rsidRPr="005C33B5">
        <w:rPr>
          <w:sz w:val="22"/>
        </w:rPr>
        <w:t xml:space="preserve">collection </w:t>
      </w:r>
      <w:r w:rsidRPr="005C33B5">
        <w:rPr>
          <w:sz w:val="22"/>
        </w:rPr>
        <w:t xml:space="preserve">of crude oil </w:t>
      </w:r>
      <w:r w:rsidR="00C47883" w:rsidRPr="005C33B5">
        <w:rPr>
          <w:sz w:val="22"/>
        </w:rPr>
        <w:t xml:space="preserve">and lease condensate </w:t>
      </w:r>
      <w:r w:rsidRPr="005C33B5">
        <w:rPr>
          <w:sz w:val="22"/>
        </w:rPr>
        <w:t xml:space="preserve">production </w:t>
      </w:r>
      <w:r w:rsidR="0084400D">
        <w:rPr>
          <w:sz w:val="22"/>
        </w:rPr>
        <w:t>(</w:t>
      </w:r>
      <w:r w:rsidR="00200879">
        <w:rPr>
          <w:sz w:val="22"/>
        </w:rPr>
        <w:t xml:space="preserve">reported together, and </w:t>
      </w:r>
      <w:r w:rsidR="0084400D">
        <w:rPr>
          <w:sz w:val="22"/>
        </w:rPr>
        <w:t xml:space="preserve">including API gravity categories) </w:t>
      </w:r>
      <w:r w:rsidR="000A69C7">
        <w:rPr>
          <w:sz w:val="22"/>
        </w:rPr>
        <w:t>will enable</w:t>
      </w:r>
      <w:r w:rsidRPr="005C33B5">
        <w:rPr>
          <w:sz w:val="22"/>
        </w:rPr>
        <w:t xml:space="preserve"> </w:t>
      </w:r>
      <w:r w:rsidR="00D2014E" w:rsidRPr="005C33B5">
        <w:rPr>
          <w:sz w:val="22"/>
        </w:rPr>
        <w:t>track</w:t>
      </w:r>
      <w:r w:rsidR="000A69C7">
        <w:rPr>
          <w:sz w:val="22"/>
        </w:rPr>
        <w:t>ing</w:t>
      </w:r>
      <w:r w:rsidR="00D2014E" w:rsidRPr="005C33B5">
        <w:rPr>
          <w:sz w:val="22"/>
        </w:rPr>
        <w:t xml:space="preserve"> </w:t>
      </w:r>
      <w:r w:rsidR="0084400D">
        <w:rPr>
          <w:sz w:val="22"/>
        </w:rPr>
        <w:t xml:space="preserve">of </w:t>
      </w:r>
      <w:r w:rsidR="00D2014E" w:rsidRPr="005C33B5">
        <w:rPr>
          <w:sz w:val="22"/>
        </w:rPr>
        <w:t xml:space="preserve">changing </w:t>
      </w:r>
      <w:r w:rsidR="00FA2464" w:rsidRPr="005C33B5">
        <w:rPr>
          <w:sz w:val="22"/>
        </w:rPr>
        <w:t xml:space="preserve">domestic </w:t>
      </w:r>
      <w:r w:rsidR="00D2014E" w:rsidRPr="005C33B5">
        <w:rPr>
          <w:sz w:val="22"/>
        </w:rPr>
        <w:t xml:space="preserve">oil quality and </w:t>
      </w:r>
      <w:r w:rsidR="000A69C7">
        <w:rPr>
          <w:sz w:val="22"/>
        </w:rPr>
        <w:t xml:space="preserve">will </w:t>
      </w:r>
      <w:r w:rsidRPr="005C33B5">
        <w:rPr>
          <w:sz w:val="22"/>
        </w:rPr>
        <w:t xml:space="preserve">inform </w:t>
      </w:r>
      <w:r w:rsidR="004A3532" w:rsidRPr="005C33B5">
        <w:rPr>
          <w:sz w:val="22"/>
        </w:rPr>
        <w:t xml:space="preserve">the </w:t>
      </w:r>
      <w:r w:rsidRPr="005C33B5">
        <w:rPr>
          <w:sz w:val="22"/>
        </w:rPr>
        <w:t>discussion of crude oil export policies.</w:t>
      </w:r>
      <w:r w:rsidR="001D395A">
        <w:rPr>
          <w:sz w:val="22"/>
        </w:rPr>
        <w:t xml:space="preserve"> </w:t>
      </w:r>
      <w:r w:rsidR="0084400D">
        <w:rPr>
          <w:sz w:val="22"/>
        </w:rPr>
        <w:t>Crude oil and lease condensate will be collected as a single volume.</w:t>
      </w:r>
      <w:r w:rsidR="001D395A">
        <w:rPr>
          <w:sz w:val="22"/>
        </w:rPr>
        <w:t xml:space="preserve"> </w:t>
      </w:r>
      <w:r w:rsidR="000A69C7" w:rsidRPr="00626414">
        <w:rPr>
          <w:sz w:val="22"/>
        </w:rPr>
        <w:t xml:space="preserve">The proposed Form EIA-914 expansion will separate production reporting for Arkansas, California, Colorado, Kansas, Montana, North Dakota, Ohio, Pennsylvania, Utah, and West Virginia in addition to the current reporting for Texas (including State Offshore), Louisiana (including State Offshore), Oklahoma, New Mexico, Wyoming, Gulf of Mexico Federal Offshore, and Other States (defined as all remaining </w:t>
      </w:r>
      <w:r w:rsidR="00200879">
        <w:rPr>
          <w:sz w:val="22"/>
        </w:rPr>
        <w:t>s</w:t>
      </w:r>
      <w:r w:rsidR="00200879" w:rsidRPr="00626414">
        <w:rPr>
          <w:sz w:val="22"/>
        </w:rPr>
        <w:t>tates</w:t>
      </w:r>
      <w:r w:rsidR="000A69C7" w:rsidRPr="00626414">
        <w:rPr>
          <w:sz w:val="22"/>
        </w:rPr>
        <w:t>, excluding Alaska)</w:t>
      </w:r>
      <w:r w:rsidRPr="005C33B5">
        <w:rPr>
          <w:sz w:val="22"/>
        </w:rPr>
        <w:t>.</w:t>
      </w:r>
    </w:p>
    <w:p w14:paraId="54E21242" w14:textId="49BDA632" w:rsidR="00A477C4" w:rsidRPr="005C33B5" w:rsidRDefault="00FA3A77" w:rsidP="00A477C4">
      <w:pPr>
        <w:rPr>
          <w:sz w:val="22"/>
        </w:rPr>
      </w:pPr>
      <w:r w:rsidRPr="005C33B5">
        <w:rPr>
          <w:sz w:val="22"/>
        </w:rPr>
        <w:t>For</w:t>
      </w:r>
      <w:r w:rsidR="00B73500" w:rsidRPr="005C33B5">
        <w:rPr>
          <w:sz w:val="22"/>
        </w:rPr>
        <w:t xml:space="preserve"> the </w:t>
      </w:r>
      <w:r w:rsidR="00957D58" w:rsidRPr="005C33B5">
        <w:rPr>
          <w:sz w:val="22"/>
        </w:rPr>
        <w:t xml:space="preserve">current </w:t>
      </w:r>
      <w:r w:rsidR="00845E97">
        <w:rPr>
          <w:sz w:val="22"/>
        </w:rPr>
        <w:t xml:space="preserve">Form </w:t>
      </w:r>
      <w:r w:rsidR="00B73500" w:rsidRPr="005C33B5">
        <w:rPr>
          <w:sz w:val="22"/>
        </w:rPr>
        <w:t>EIA-914</w:t>
      </w:r>
      <w:r w:rsidRPr="005C33B5">
        <w:rPr>
          <w:sz w:val="22"/>
        </w:rPr>
        <w:t>,</w:t>
      </w:r>
      <w:r w:rsidR="00B73500" w:rsidRPr="005C33B5">
        <w:rPr>
          <w:sz w:val="22"/>
        </w:rPr>
        <w:t xml:space="preserve"> </w:t>
      </w:r>
      <w:r w:rsidR="00626414">
        <w:rPr>
          <w:sz w:val="22"/>
        </w:rPr>
        <w:t xml:space="preserve">natural </w:t>
      </w:r>
      <w:r w:rsidR="00957D58" w:rsidRPr="005C33B5">
        <w:rPr>
          <w:sz w:val="22"/>
        </w:rPr>
        <w:t xml:space="preserve">gas production </w:t>
      </w:r>
      <w:r w:rsidR="00B73500" w:rsidRPr="005C33B5">
        <w:rPr>
          <w:sz w:val="22"/>
        </w:rPr>
        <w:t xml:space="preserve">estimates are replaced </w:t>
      </w:r>
      <w:r w:rsidRPr="005C33B5">
        <w:rPr>
          <w:sz w:val="22"/>
        </w:rPr>
        <w:t>in EIA’s publications and website with</w:t>
      </w:r>
      <w:r w:rsidR="00B73500" w:rsidRPr="005C33B5">
        <w:rPr>
          <w:sz w:val="22"/>
        </w:rPr>
        <w:t xml:space="preserve"> state reported production volumes when the state volumes are deemed complete.</w:t>
      </w:r>
      <w:r w:rsidR="001D395A">
        <w:rPr>
          <w:sz w:val="22"/>
        </w:rPr>
        <w:t xml:space="preserve"> </w:t>
      </w:r>
      <w:r w:rsidRPr="005C33B5">
        <w:rPr>
          <w:sz w:val="22"/>
        </w:rPr>
        <w:t>Similarly, for the expanded EIA-914, the crude oil and lease condensate production estimates and the gas production estimates will be replaced with state reported volumes when state reported volumes are deemed complete.</w:t>
      </w:r>
      <w:r w:rsidR="001D395A">
        <w:rPr>
          <w:sz w:val="22"/>
        </w:rPr>
        <w:t xml:space="preserve"> </w:t>
      </w:r>
      <w:r w:rsidR="00B73500" w:rsidRPr="005C33B5">
        <w:rPr>
          <w:sz w:val="22"/>
        </w:rPr>
        <w:t>EIA has procedures in place to determine when state reported volumes are complete</w:t>
      </w:r>
      <w:r w:rsidR="00800D3D">
        <w:rPr>
          <w:sz w:val="22"/>
        </w:rPr>
        <w:t xml:space="preserve">, which for some states requires a period of </w:t>
      </w:r>
      <w:r w:rsidR="009245A5">
        <w:rPr>
          <w:sz w:val="22"/>
        </w:rPr>
        <w:t xml:space="preserve">up to </w:t>
      </w:r>
      <w:r w:rsidR="00800D3D">
        <w:rPr>
          <w:sz w:val="22"/>
        </w:rPr>
        <w:t>two years from the reporting month</w:t>
      </w:r>
      <w:r w:rsidR="00B73500" w:rsidRPr="005C33B5">
        <w:rPr>
          <w:sz w:val="22"/>
        </w:rPr>
        <w:t>.</w:t>
      </w:r>
      <w:r w:rsidR="001D395A">
        <w:rPr>
          <w:sz w:val="22"/>
        </w:rPr>
        <w:t xml:space="preserve"> </w:t>
      </w:r>
      <w:r w:rsidR="00957D58" w:rsidRPr="005C33B5">
        <w:rPr>
          <w:sz w:val="22"/>
        </w:rPr>
        <w:t xml:space="preserve">Oil </w:t>
      </w:r>
      <w:r w:rsidRPr="005C33B5">
        <w:rPr>
          <w:sz w:val="22"/>
        </w:rPr>
        <w:t xml:space="preserve">and gas </w:t>
      </w:r>
      <w:r w:rsidR="00957D58" w:rsidRPr="005C33B5">
        <w:rPr>
          <w:sz w:val="22"/>
        </w:rPr>
        <w:t xml:space="preserve">production </w:t>
      </w:r>
      <w:r w:rsidR="00750965">
        <w:rPr>
          <w:sz w:val="22"/>
        </w:rPr>
        <w:t xml:space="preserve">data </w:t>
      </w:r>
      <w:r w:rsidR="00853165">
        <w:rPr>
          <w:sz w:val="22"/>
        </w:rPr>
        <w:t>are</w:t>
      </w:r>
      <w:r w:rsidR="00750965">
        <w:rPr>
          <w:sz w:val="22"/>
        </w:rPr>
        <w:t xml:space="preserve"> included in numerous EIA publications, including the </w:t>
      </w:r>
      <w:r w:rsidR="00957D58" w:rsidRPr="005C33B5">
        <w:rPr>
          <w:sz w:val="22"/>
        </w:rPr>
        <w:t>Petroleum Supply Annual (PSA)</w:t>
      </w:r>
      <w:r w:rsidRPr="005C33B5">
        <w:rPr>
          <w:sz w:val="22"/>
        </w:rPr>
        <w:t>,</w:t>
      </w:r>
      <w:r w:rsidR="00957D58" w:rsidRPr="005C33B5">
        <w:rPr>
          <w:sz w:val="22"/>
        </w:rPr>
        <w:t xml:space="preserve"> Petroleum Supply Monthly (PSM)</w:t>
      </w:r>
      <w:r w:rsidRPr="005C33B5">
        <w:rPr>
          <w:sz w:val="22"/>
        </w:rPr>
        <w:t>, Natural Gas Annual (NGA), Natural Gas Monthly (NGM)</w:t>
      </w:r>
      <w:r w:rsidR="00A275ED">
        <w:rPr>
          <w:sz w:val="22"/>
        </w:rPr>
        <w:t>, and the EIA website</w:t>
      </w:r>
      <w:r w:rsidR="00957D58" w:rsidRPr="005C33B5">
        <w:rPr>
          <w:sz w:val="22"/>
        </w:rPr>
        <w:t>.</w:t>
      </w:r>
    </w:p>
    <w:p w14:paraId="7FE3427E" w14:textId="77777777" w:rsidR="00185A0B" w:rsidRPr="00185A0B" w:rsidRDefault="00151E02" w:rsidP="00F13705">
      <w:pPr>
        <w:pStyle w:val="Heading3"/>
      </w:pPr>
      <w:bookmarkStart w:id="4" w:name="_Toc336547812"/>
      <w:bookmarkStart w:id="5" w:name="_Toc396421496"/>
      <w:r w:rsidRPr="00185A0B">
        <w:t>Respondent Univers</w:t>
      </w:r>
      <w:bookmarkEnd w:id="4"/>
      <w:r w:rsidR="00185A0B" w:rsidRPr="00185A0B">
        <w:t>e</w:t>
      </w:r>
      <w:bookmarkEnd w:id="5"/>
    </w:p>
    <w:p w14:paraId="4C7AD7C8" w14:textId="0B9DB990" w:rsidR="00275FCE" w:rsidRDefault="00FB6F6E" w:rsidP="00216504">
      <w:pPr>
        <w:rPr>
          <w:sz w:val="22"/>
        </w:rPr>
      </w:pPr>
      <w:r w:rsidRPr="00597DFF">
        <w:rPr>
          <w:color w:val="000000"/>
          <w:sz w:val="22"/>
        </w:rPr>
        <w:t xml:space="preserve">The </w:t>
      </w:r>
      <w:r w:rsidR="00A91C64">
        <w:rPr>
          <w:color w:val="000000"/>
          <w:sz w:val="22"/>
        </w:rPr>
        <w:t xml:space="preserve">universe of </w:t>
      </w:r>
      <w:r w:rsidR="0000223F">
        <w:rPr>
          <w:color w:val="000000"/>
          <w:sz w:val="22"/>
        </w:rPr>
        <w:t xml:space="preserve">the </w:t>
      </w:r>
      <w:r w:rsidR="00C47883">
        <w:rPr>
          <w:color w:val="000000"/>
          <w:sz w:val="22"/>
        </w:rPr>
        <w:t xml:space="preserve">expanded </w:t>
      </w:r>
      <w:r w:rsidRPr="00597DFF">
        <w:rPr>
          <w:color w:val="000000"/>
          <w:sz w:val="22"/>
        </w:rPr>
        <w:t>Form EIA-91</w:t>
      </w:r>
      <w:r w:rsidR="00EB665C">
        <w:rPr>
          <w:color w:val="000000"/>
          <w:sz w:val="22"/>
        </w:rPr>
        <w:t>4</w:t>
      </w:r>
      <w:r w:rsidRPr="00597DFF">
        <w:rPr>
          <w:color w:val="000000"/>
          <w:sz w:val="22"/>
        </w:rPr>
        <w:t xml:space="preserve"> </w:t>
      </w:r>
      <w:r w:rsidR="00A91C64" w:rsidRPr="00A91C64">
        <w:rPr>
          <w:sz w:val="22"/>
        </w:rPr>
        <w:t>consist</w:t>
      </w:r>
      <w:r w:rsidR="003715B0">
        <w:rPr>
          <w:sz w:val="22"/>
        </w:rPr>
        <w:t>s</w:t>
      </w:r>
      <w:r w:rsidR="00A91C64" w:rsidRPr="00A91C64">
        <w:rPr>
          <w:sz w:val="22"/>
        </w:rPr>
        <w:t xml:space="preserve"> of all operators of wells in the </w:t>
      </w:r>
      <w:r w:rsidR="00275FCE">
        <w:rPr>
          <w:sz w:val="22"/>
        </w:rPr>
        <w:t xml:space="preserve">lower 48 </w:t>
      </w:r>
      <w:r w:rsidR="00A91C64" w:rsidRPr="00A91C64">
        <w:rPr>
          <w:sz w:val="22"/>
        </w:rPr>
        <w:t xml:space="preserve">United States that </w:t>
      </w:r>
      <w:r w:rsidR="00AE6252">
        <w:rPr>
          <w:sz w:val="22"/>
        </w:rPr>
        <w:t xml:space="preserve">are </w:t>
      </w:r>
      <w:r w:rsidR="00AE6252" w:rsidRPr="00A91C64">
        <w:rPr>
          <w:sz w:val="22"/>
        </w:rPr>
        <w:t>produc</w:t>
      </w:r>
      <w:r w:rsidR="00AE6252">
        <w:rPr>
          <w:sz w:val="22"/>
        </w:rPr>
        <w:t>ing</w:t>
      </w:r>
      <w:r w:rsidR="00AE6252" w:rsidRPr="00A91C64">
        <w:rPr>
          <w:sz w:val="22"/>
        </w:rPr>
        <w:t xml:space="preserve"> </w:t>
      </w:r>
      <w:r w:rsidR="00A91C64" w:rsidRPr="00A91C64">
        <w:rPr>
          <w:sz w:val="22"/>
        </w:rPr>
        <w:t>natural gas</w:t>
      </w:r>
      <w:r w:rsidR="004220FF">
        <w:rPr>
          <w:sz w:val="22"/>
        </w:rPr>
        <w:t xml:space="preserve">, </w:t>
      </w:r>
      <w:r w:rsidR="0000223F">
        <w:rPr>
          <w:sz w:val="22"/>
        </w:rPr>
        <w:t>crude oil</w:t>
      </w:r>
      <w:r w:rsidR="00A91C64" w:rsidRPr="00A91C64">
        <w:rPr>
          <w:sz w:val="22"/>
        </w:rPr>
        <w:t xml:space="preserve">, </w:t>
      </w:r>
      <w:r w:rsidR="004220FF">
        <w:rPr>
          <w:sz w:val="22"/>
        </w:rPr>
        <w:t xml:space="preserve">and/or lease condensate, </w:t>
      </w:r>
      <w:r w:rsidR="00A91C64" w:rsidRPr="00A91C64">
        <w:rPr>
          <w:sz w:val="22"/>
        </w:rPr>
        <w:t xml:space="preserve">including </w:t>
      </w:r>
      <w:r w:rsidR="00342671">
        <w:rPr>
          <w:sz w:val="22"/>
        </w:rPr>
        <w:t>o</w:t>
      </w:r>
      <w:r w:rsidR="00A91C64" w:rsidRPr="00A91C64">
        <w:rPr>
          <w:sz w:val="22"/>
        </w:rPr>
        <w:t>ffshore wells.</w:t>
      </w:r>
      <w:r w:rsidR="001D395A">
        <w:rPr>
          <w:sz w:val="22"/>
        </w:rPr>
        <w:t xml:space="preserve"> </w:t>
      </w:r>
      <w:r w:rsidR="00A91C64" w:rsidRPr="00A91C64">
        <w:rPr>
          <w:sz w:val="22"/>
        </w:rPr>
        <w:t>A</w:t>
      </w:r>
      <w:r w:rsidR="00216504">
        <w:rPr>
          <w:sz w:val="22"/>
        </w:rPr>
        <w:t xml:space="preserve"> </w:t>
      </w:r>
      <w:r w:rsidR="0000223F">
        <w:rPr>
          <w:sz w:val="22"/>
        </w:rPr>
        <w:t xml:space="preserve">well </w:t>
      </w:r>
      <w:r w:rsidR="00A91C64" w:rsidRPr="00A91C64">
        <w:rPr>
          <w:sz w:val="22"/>
        </w:rPr>
        <w:t xml:space="preserve">operator </w:t>
      </w:r>
      <w:r w:rsidR="004220FF">
        <w:rPr>
          <w:sz w:val="22"/>
        </w:rPr>
        <w:t xml:space="preserve">producing natural gas, crude oil, and/or lease condensate </w:t>
      </w:r>
      <w:r w:rsidR="00A91C64" w:rsidRPr="00A91C64">
        <w:rPr>
          <w:sz w:val="22"/>
        </w:rPr>
        <w:t>forms the responding unit.</w:t>
      </w:r>
    </w:p>
    <w:p w14:paraId="1FB4DED0" w14:textId="3CE48448" w:rsidR="00275FCE" w:rsidRDefault="00A91C64" w:rsidP="00216504">
      <w:pPr>
        <w:rPr>
          <w:sz w:val="22"/>
        </w:rPr>
      </w:pPr>
      <w:r w:rsidRPr="00A91C64">
        <w:rPr>
          <w:sz w:val="22"/>
        </w:rPr>
        <w:t xml:space="preserve">A </w:t>
      </w:r>
      <w:r w:rsidR="00275FCE">
        <w:rPr>
          <w:sz w:val="22"/>
        </w:rPr>
        <w:t xml:space="preserve">monthly </w:t>
      </w:r>
      <w:r w:rsidRPr="00A91C64">
        <w:rPr>
          <w:sz w:val="22"/>
        </w:rPr>
        <w:t>cut-off sample of well operators</w:t>
      </w:r>
      <w:r w:rsidR="000C055D">
        <w:rPr>
          <w:sz w:val="22"/>
        </w:rPr>
        <w:t xml:space="preserve"> </w:t>
      </w:r>
      <w:r w:rsidRPr="00A91C64">
        <w:rPr>
          <w:sz w:val="22"/>
        </w:rPr>
        <w:t xml:space="preserve">is </w:t>
      </w:r>
      <w:r w:rsidR="0000223F">
        <w:rPr>
          <w:sz w:val="22"/>
        </w:rPr>
        <w:t>designed</w:t>
      </w:r>
      <w:r w:rsidR="0000223F" w:rsidRPr="00A91C64">
        <w:rPr>
          <w:sz w:val="22"/>
        </w:rPr>
        <w:t xml:space="preserve"> </w:t>
      </w:r>
      <w:r w:rsidRPr="00A91C64">
        <w:rPr>
          <w:sz w:val="22"/>
        </w:rPr>
        <w:t xml:space="preserve">to give the targeted coverage in all areas with the minimum </w:t>
      </w:r>
      <w:r w:rsidR="00316E45">
        <w:rPr>
          <w:sz w:val="22"/>
        </w:rPr>
        <w:t>number</w:t>
      </w:r>
      <w:r w:rsidR="00316E45" w:rsidRPr="00A91C64">
        <w:rPr>
          <w:sz w:val="22"/>
        </w:rPr>
        <w:t xml:space="preserve"> </w:t>
      </w:r>
      <w:r w:rsidRPr="00A91C64">
        <w:rPr>
          <w:sz w:val="22"/>
        </w:rPr>
        <w:t>of operators</w:t>
      </w:r>
      <w:r w:rsidR="0000223F">
        <w:rPr>
          <w:sz w:val="22"/>
        </w:rPr>
        <w:t xml:space="preserve"> </w:t>
      </w:r>
      <w:r w:rsidR="00275FCE">
        <w:rPr>
          <w:sz w:val="22"/>
        </w:rPr>
        <w:t>while</w:t>
      </w:r>
      <w:r w:rsidR="0000223F">
        <w:rPr>
          <w:sz w:val="22"/>
        </w:rPr>
        <w:t xml:space="preserve"> reduc</w:t>
      </w:r>
      <w:r w:rsidR="00275FCE">
        <w:rPr>
          <w:sz w:val="22"/>
        </w:rPr>
        <w:t>ing</w:t>
      </w:r>
      <w:r w:rsidR="0000223F">
        <w:rPr>
          <w:sz w:val="22"/>
        </w:rPr>
        <w:t xml:space="preserve"> sample turnover from month to month</w:t>
      </w:r>
      <w:r w:rsidRPr="00A91C64">
        <w:rPr>
          <w:sz w:val="22"/>
        </w:rPr>
        <w:t>.</w:t>
      </w:r>
      <w:r w:rsidR="001D395A">
        <w:rPr>
          <w:sz w:val="22"/>
        </w:rPr>
        <w:t xml:space="preserve"> </w:t>
      </w:r>
      <w:r w:rsidR="0000223F">
        <w:rPr>
          <w:sz w:val="22"/>
        </w:rPr>
        <w:t xml:space="preserve">During </w:t>
      </w:r>
      <w:r w:rsidR="00705E06">
        <w:rPr>
          <w:sz w:val="22"/>
        </w:rPr>
        <w:t>2013</w:t>
      </w:r>
      <w:r w:rsidRPr="00A91C64">
        <w:rPr>
          <w:sz w:val="22"/>
        </w:rPr>
        <w:t xml:space="preserve">, EIA met </w:t>
      </w:r>
      <w:r w:rsidR="00275FCE">
        <w:rPr>
          <w:sz w:val="22"/>
        </w:rPr>
        <w:t>this</w:t>
      </w:r>
      <w:r w:rsidR="00275FCE" w:rsidRPr="00A91C64">
        <w:rPr>
          <w:sz w:val="22"/>
        </w:rPr>
        <w:t xml:space="preserve"> </w:t>
      </w:r>
      <w:r w:rsidRPr="00A91C64">
        <w:rPr>
          <w:sz w:val="22"/>
        </w:rPr>
        <w:t>quality goal with about 240 respondents</w:t>
      </w:r>
      <w:r w:rsidR="00A05B84">
        <w:rPr>
          <w:sz w:val="22"/>
        </w:rPr>
        <w:t xml:space="preserve"> </w:t>
      </w:r>
      <w:r w:rsidR="00275FCE">
        <w:rPr>
          <w:sz w:val="22"/>
        </w:rPr>
        <w:t>for</w:t>
      </w:r>
      <w:r w:rsidR="00A05B84">
        <w:rPr>
          <w:sz w:val="22"/>
        </w:rPr>
        <w:t xml:space="preserve"> the current survey</w:t>
      </w:r>
      <w:r w:rsidRPr="00A91C64">
        <w:rPr>
          <w:sz w:val="22"/>
        </w:rPr>
        <w:t>.</w:t>
      </w:r>
    </w:p>
    <w:p w14:paraId="78D48C27" w14:textId="1E58D69A" w:rsidR="00A91C64" w:rsidRDefault="0000223F" w:rsidP="00216504">
      <w:pPr>
        <w:rPr>
          <w:sz w:val="22"/>
        </w:rPr>
      </w:pPr>
      <w:r>
        <w:rPr>
          <w:sz w:val="22"/>
        </w:rPr>
        <w:t xml:space="preserve">EIA expects that expanding from </w:t>
      </w:r>
      <w:r w:rsidR="00316E45">
        <w:rPr>
          <w:sz w:val="22"/>
        </w:rPr>
        <w:t xml:space="preserve">seven </w:t>
      </w:r>
      <w:r>
        <w:rPr>
          <w:sz w:val="22"/>
        </w:rPr>
        <w:t>to 1</w:t>
      </w:r>
      <w:r w:rsidR="00E45039">
        <w:rPr>
          <w:sz w:val="22"/>
        </w:rPr>
        <w:t>7</w:t>
      </w:r>
      <w:r>
        <w:rPr>
          <w:sz w:val="22"/>
        </w:rPr>
        <w:t xml:space="preserve"> </w:t>
      </w:r>
      <w:r w:rsidR="00C47883">
        <w:rPr>
          <w:sz w:val="22"/>
        </w:rPr>
        <w:t>states/</w:t>
      </w:r>
      <w:r>
        <w:rPr>
          <w:sz w:val="22"/>
        </w:rPr>
        <w:t xml:space="preserve">areas </w:t>
      </w:r>
      <w:r w:rsidR="00275FCE">
        <w:rPr>
          <w:sz w:val="22"/>
        </w:rPr>
        <w:t xml:space="preserve">and sampling oil and lease condensate production </w:t>
      </w:r>
      <w:r>
        <w:rPr>
          <w:sz w:val="22"/>
        </w:rPr>
        <w:t>will increase the sample size</w:t>
      </w:r>
      <w:r w:rsidR="00E844D7">
        <w:rPr>
          <w:sz w:val="22"/>
        </w:rPr>
        <w:t xml:space="preserve"> from 243</w:t>
      </w:r>
      <w:r>
        <w:rPr>
          <w:sz w:val="22"/>
        </w:rPr>
        <w:t xml:space="preserve"> to </w:t>
      </w:r>
      <w:r w:rsidR="00F570B1">
        <w:rPr>
          <w:sz w:val="22"/>
        </w:rPr>
        <w:t xml:space="preserve">no more than </w:t>
      </w:r>
      <w:r w:rsidR="00E45039">
        <w:rPr>
          <w:sz w:val="22"/>
        </w:rPr>
        <w:t xml:space="preserve">600 respondents. </w:t>
      </w:r>
      <w:r w:rsidR="00A91C64" w:rsidRPr="00A91C64">
        <w:rPr>
          <w:sz w:val="22"/>
        </w:rPr>
        <w:t xml:space="preserve">The cut-off sample is designed to provide about </w:t>
      </w:r>
      <w:r w:rsidR="00A91C64" w:rsidRPr="00A91C64">
        <w:rPr>
          <w:sz w:val="22"/>
        </w:rPr>
        <w:t>90</w:t>
      </w:r>
      <w:r w:rsidR="00654C88">
        <w:rPr>
          <w:sz w:val="22"/>
        </w:rPr>
        <w:t xml:space="preserve"> </w:t>
      </w:r>
      <w:r w:rsidR="00F93F63">
        <w:rPr>
          <w:sz w:val="22"/>
        </w:rPr>
        <w:t>percent</w:t>
      </w:r>
      <w:r w:rsidR="00A91C64" w:rsidRPr="00A91C64">
        <w:rPr>
          <w:sz w:val="22"/>
        </w:rPr>
        <w:t xml:space="preserve"> coverage</w:t>
      </w:r>
      <w:r w:rsidR="00626414">
        <w:rPr>
          <w:sz w:val="22"/>
        </w:rPr>
        <w:t xml:space="preserve"> of all products</w:t>
      </w:r>
      <w:r w:rsidR="00A91C64" w:rsidRPr="00A91C64">
        <w:rPr>
          <w:sz w:val="22"/>
        </w:rPr>
        <w:t xml:space="preserve"> at the lower-48 level </w:t>
      </w:r>
      <w:r w:rsidR="00626414">
        <w:rPr>
          <w:sz w:val="22"/>
        </w:rPr>
        <w:t>for natural gas, crude oil and lease condensate</w:t>
      </w:r>
      <w:r w:rsidR="00626414" w:rsidRPr="00A91C64">
        <w:rPr>
          <w:sz w:val="22"/>
        </w:rPr>
        <w:t xml:space="preserve"> </w:t>
      </w:r>
      <w:r w:rsidR="00A91C64" w:rsidRPr="00A91C64">
        <w:rPr>
          <w:sz w:val="22"/>
        </w:rPr>
        <w:t xml:space="preserve">and an adequate percent coverage in </w:t>
      </w:r>
      <w:r>
        <w:rPr>
          <w:sz w:val="22"/>
        </w:rPr>
        <w:t>each</w:t>
      </w:r>
      <w:r w:rsidRPr="00A91C64">
        <w:rPr>
          <w:sz w:val="22"/>
        </w:rPr>
        <w:t xml:space="preserve"> </w:t>
      </w:r>
      <w:r w:rsidR="00275FCE">
        <w:rPr>
          <w:sz w:val="22"/>
        </w:rPr>
        <w:t xml:space="preserve">geographic </w:t>
      </w:r>
      <w:r w:rsidR="00A91C64" w:rsidRPr="00A91C64">
        <w:rPr>
          <w:sz w:val="22"/>
        </w:rPr>
        <w:t>area</w:t>
      </w:r>
      <w:r>
        <w:rPr>
          <w:sz w:val="22"/>
        </w:rPr>
        <w:t xml:space="preserve"> for which production data </w:t>
      </w:r>
      <w:r w:rsidR="00316E45">
        <w:rPr>
          <w:sz w:val="22"/>
        </w:rPr>
        <w:t xml:space="preserve">are </w:t>
      </w:r>
      <w:r>
        <w:rPr>
          <w:sz w:val="22"/>
        </w:rPr>
        <w:t>collected</w:t>
      </w:r>
      <w:r w:rsidR="00A91C64" w:rsidRPr="00A91C64">
        <w:rPr>
          <w:sz w:val="22"/>
        </w:rPr>
        <w:t>.</w:t>
      </w:r>
    </w:p>
    <w:p w14:paraId="0D11B606" w14:textId="246ECFD3" w:rsidR="00275FCE" w:rsidRDefault="00A91C64" w:rsidP="00216504">
      <w:pPr>
        <w:rPr>
          <w:sz w:val="22"/>
        </w:rPr>
      </w:pPr>
      <w:r w:rsidRPr="00A91C64">
        <w:rPr>
          <w:sz w:val="22"/>
        </w:rPr>
        <w:t>The cut-off sample</w:t>
      </w:r>
      <w:r w:rsidR="00275FCE">
        <w:rPr>
          <w:sz w:val="22"/>
        </w:rPr>
        <w:t xml:space="preserve"> operators</w:t>
      </w:r>
      <w:r w:rsidRPr="00A91C64">
        <w:rPr>
          <w:sz w:val="22"/>
        </w:rPr>
        <w:t xml:space="preserve"> </w:t>
      </w:r>
      <w:r w:rsidR="00275FCE">
        <w:rPr>
          <w:sz w:val="22"/>
        </w:rPr>
        <w:t>are</w:t>
      </w:r>
      <w:r w:rsidRPr="00A91C64">
        <w:rPr>
          <w:sz w:val="22"/>
        </w:rPr>
        <w:t xml:space="preserve"> selected </w:t>
      </w:r>
      <w:r w:rsidR="00E30C44">
        <w:rPr>
          <w:sz w:val="22"/>
        </w:rPr>
        <w:t xml:space="preserve">based on their </w:t>
      </w:r>
      <w:r w:rsidR="00626414">
        <w:rPr>
          <w:sz w:val="22"/>
        </w:rPr>
        <w:t xml:space="preserve">natural gas and oil </w:t>
      </w:r>
      <w:r w:rsidR="00E30C44">
        <w:rPr>
          <w:sz w:val="22"/>
        </w:rPr>
        <w:t xml:space="preserve">production obtained </w:t>
      </w:r>
      <w:r w:rsidRPr="00A91C64">
        <w:rPr>
          <w:sz w:val="22"/>
        </w:rPr>
        <w:t>from a current commercially available data source</w:t>
      </w:r>
      <w:r w:rsidR="00316E45">
        <w:rPr>
          <w:sz w:val="22"/>
        </w:rPr>
        <w:t>,</w:t>
      </w:r>
      <w:r w:rsidRPr="00A91C64">
        <w:rPr>
          <w:sz w:val="22"/>
        </w:rPr>
        <w:t xml:space="preserve"> </w:t>
      </w:r>
      <w:r w:rsidR="001B644A">
        <w:rPr>
          <w:sz w:val="22"/>
        </w:rPr>
        <w:t>“</w:t>
      </w:r>
      <w:r w:rsidR="00796859">
        <w:rPr>
          <w:sz w:val="22"/>
        </w:rPr>
        <w:t>Drilling Info” (DI</w:t>
      </w:r>
      <w:r w:rsidRPr="00A91C64">
        <w:rPr>
          <w:sz w:val="22"/>
        </w:rPr>
        <w:t>)</w:t>
      </w:r>
      <w:r w:rsidR="00316E45">
        <w:rPr>
          <w:sz w:val="22"/>
        </w:rPr>
        <w:t>,</w:t>
      </w:r>
      <w:r w:rsidR="00796859">
        <w:rPr>
          <w:sz w:val="22"/>
        </w:rPr>
        <w:t xml:space="preserve"> supplemented with data collected on the Form EIA-23L, </w:t>
      </w:r>
      <w:r w:rsidR="00796859" w:rsidRPr="00A05B84">
        <w:rPr>
          <w:i/>
          <w:sz w:val="22"/>
        </w:rPr>
        <w:t>Annual Survey of Domestic Oil and Gas Reserves</w:t>
      </w:r>
      <w:r>
        <w:rPr>
          <w:sz w:val="22"/>
        </w:rPr>
        <w:t>.</w:t>
      </w:r>
      <w:r w:rsidR="001D395A">
        <w:rPr>
          <w:sz w:val="22"/>
        </w:rPr>
        <w:t xml:space="preserve"> </w:t>
      </w:r>
      <w:r w:rsidRPr="00A91C64">
        <w:rPr>
          <w:sz w:val="22"/>
        </w:rPr>
        <w:t xml:space="preserve">These </w:t>
      </w:r>
      <w:r w:rsidR="00316E45">
        <w:rPr>
          <w:sz w:val="22"/>
        </w:rPr>
        <w:t xml:space="preserve">sources </w:t>
      </w:r>
      <w:r w:rsidRPr="00A91C64">
        <w:rPr>
          <w:sz w:val="22"/>
        </w:rPr>
        <w:t xml:space="preserve">provide </w:t>
      </w:r>
      <w:r w:rsidR="00275FCE">
        <w:rPr>
          <w:sz w:val="22"/>
        </w:rPr>
        <w:t xml:space="preserve">readily consolidated data that is </w:t>
      </w:r>
      <w:r w:rsidRPr="00A91C64">
        <w:rPr>
          <w:sz w:val="22"/>
        </w:rPr>
        <w:t>recent and accurate.</w:t>
      </w:r>
      <w:r w:rsidR="001D395A">
        <w:rPr>
          <w:sz w:val="22"/>
        </w:rPr>
        <w:t xml:space="preserve"> </w:t>
      </w:r>
    </w:p>
    <w:p w14:paraId="7B80AF69" w14:textId="4A279683" w:rsidR="00A91C64" w:rsidRPr="00CA006A" w:rsidRDefault="00796859" w:rsidP="00216504">
      <w:pPr>
        <w:rPr>
          <w:sz w:val="22"/>
        </w:rPr>
      </w:pPr>
      <w:r>
        <w:rPr>
          <w:sz w:val="22"/>
        </w:rPr>
        <w:lastRenderedPageBreak/>
        <w:t>Currently</w:t>
      </w:r>
      <w:r w:rsidR="00316E45">
        <w:rPr>
          <w:sz w:val="22"/>
        </w:rPr>
        <w:t>,</w:t>
      </w:r>
      <w:r>
        <w:rPr>
          <w:sz w:val="22"/>
        </w:rPr>
        <w:t xml:space="preserve"> the EIA-914 frame consists of</w:t>
      </w:r>
      <w:r w:rsidR="00EC57CF">
        <w:rPr>
          <w:sz w:val="22"/>
        </w:rPr>
        <w:t xml:space="preserve"> about</w:t>
      </w:r>
      <w:r>
        <w:rPr>
          <w:sz w:val="22"/>
        </w:rPr>
        <w:t xml:space="preserve"> </w:t>
      </w:r>
      <w:r w:rsidR="00B40610">
        <w:rPr>
          <w:sz w:val="22"/>
        </w:rPr>
        <w:t>1</w:t>
      </w:r>
      <w:r w:rsidR="00A94EA5">
        <w:rPr>
          <w:sz w:val="22"/>
        </w:rPr>
        <w:t>3</w:t>
      </w:r>
      <w:r w:rsidR="00E10B55">
        <w:rPr>
          <w:sz w:val="22"/>
        </w:rPr>
        <w:t xml:space="preserve">,000 </w:t>
      </w:r>
      <w:r w:rsidR="00A94EA5">
        <w:rPr>
          <w:sz w:val="22"/>
        </w:rPr>
        <w:t>active</w:t>
      </w:r>
      <w:r w:rsidR="00A05B84">
        <w:rPr>
          <w:sz w:val="22"/>
        </w:rPr>
        <w:t xml:space="preserve"> </w:t>
      </w:r>
      <w:r w:rsidR="00E10B55">
        <w:rPr>
          <w:sz w:val="22"/>
        </w:rPr>
        <w:t xml:space="preserve">operators of </w:t>
      </w:r>
      <w:r w:rsidR="00316E45">
        <w:rPr>
          <w:sz w:val="22"/>
        </w:rPr>
        <w:t xml:space="preserve">crude </w:t>
      </w:r>
      <w:r w:rsidR="00E10B55">
        <w:rPr>
          <w:sz w:val="22"/>
        </w:rPr>
        <w:t xml:space="preserve">oil and gas wells compiled from the DI database and </w:t>
      </w:r>
      <w:r w:rsidR="00316E45">
        <w:rPr>
          <w:sz w:val="22"/>
        </w:rPr>
        <w:t xml:space="preserve">Form </w:t>
      </w:r>
      <w:r w:rsidR="00E10B55">
        <w:rPr>
          <w:sz w:val="22"/>
        </w:rPr>
        <w:t>EIA-23 responses.</w:t>
      </w:r>
      <w:r w:rsidR="001D395A">
        <w:rPr>
          <w:sz w:val="22"/>
        </w:rPr>
        <w:t xml:space="preserve"> </w:t>
      </w:r>
    </w:p>
    <w:p w14:paraId="12D647EF" w14:textId="77777777" w:rsidR="00DF3B52" w:rsidRPr="00B8530A" w:rsidRDefault="00DF3B52" w:rsidP="00B8530A">
      <w:pPr>
        <w:pStyle w:val="Heading2"/>
      </w:pPr>
      <w:bookmarkStart w:id="6" w:name="_Toc396421497"/>
      <w:bookmarkStart w:id="7" w:name="_Toc336547813"/>
      <w:r w:rsidRPr="00B8530A">
        <w:t>Statistical Sampling, Imputation, and Estimation Procedures</w:t>
      </w:r>
      <w:bookmarkEnd w:id="6"/>
    </w:p>
    <w:p w14:paraId="419247CF" w14:textId="77777777" w:rsidR="00823E0E" w:rsidRPr="00C6298C" w:rsidRDefault="00823E0E" w:rsidP="00C6298C">
      <w:pPr>
        <w:pStyle w:val="Heading3"/>
      </w:pPr>
      <w:bookmarkStart w:id="8" w:name="_Toc396421498"/>
      <w:r w:rsidRPr="00C6298C">
        <w:t>Sampling</w:t>
      </w:r>
      <w:bookmarkEnd w:id="8"/>
    </w:p>
    <w:bookmarkEnd w:id="7"/>
    <w:p w14:paraId="23D99B94" w14:textId="2494676B" w:rsidR="00863DD2" w:rsidRDefault="00764BFC" w:rsidP="00764BFC">
      <w:pPr>
        <w:rPr>
          <w:color w:val="000000"/>
          <w:sz w:val="22"/>
        </w:rPr>
      </w:pPr>
      <w:r w:rsidRPr="00764BFC">
        <w:rPr>
          <w:color w:val="000000"/>
          <w:sz w:val="22"/>
        </w:rPr>
        <w:t xml:space="preserve">The DI database </w:t>
      </w:r>
      <w:r w:rsidR="00D2014E">
        <w:rPr>
          <w:color w:val="000000"/>
          <w:sz w:val="22"/>
        </w:rPr>
        <w:t xml:space="preserve">supplemented with </w:t>
      </w:r>
      <w:r w:rsidR="00E30C44">
        <w:rPr>
          <w:color w:val="000000"/>
          <w:sz w:val="22"/>
        </w:rPr>
        <w:t xml:space="preserve">Form </w:t>
      </w:r>
      <w:r w:rsidR="00D2014E">
        <w:rPr>
          <w:color w:val="000000"/>
          <w:sz w:val="22"/>
        </w:rPr>
        <w:t>EIA-23 data</w:t>
      </w:r>
      <w:r w:rsidR="00D2014E" w:rsidRPr="00764BFC">
        <w:rPr>
          <w:color w:val="000000"/>
          <w:sz w:val="22"/>
        </w:rPr>
        <w:t xml:space="preserve"> </w:t>
      </w:r>
      <w:r w:rsidRPr="00764BFC">
        <w:rPr>
          <w:color w:val="000000"/>
          <w:sz w:val="22"/>
        </w:rPr>
        <w:t>is used for both the sampling and estimation processes.</w:t>
      </w:r>
      <w:r w:rsidR="001D395A">
        <w:rPr>
          <w:color w:val="000000"/>
          <w:sz w:val="22"/>
        </w:rPr>
        <w:t xml:space="preserve"> </w:t>
      </w:r>
      <w:r w:rsidRPr="00764BFC">
        <w:rPr>
          <w:color w:val="000000"/>
          <w:sz w:val="22"/>
        </w:rPr>
        <w:t xml:space="preserve">DI acquires well or lease level </w:t>
      </w:r>
      <w:r w:rsidR="00626414">
        <w:rPr>
          <w:color w:val="000000"/>
          <w:sz w:val="22"/>
        </w:rPr>
        <w:t xml:space="preserve">oil and natural gas </w:t>
      </w:r>
      <w:r w:rsidR="00F45C20">
        <w:rPr>
          <w:color w:val="000000"/>
          <w:sz w:val="22"/>
        </w:rPr>
        <w:t>information</w:t>
      </w:r>
      <w:r w:rsidR="00F45C20" w:rsidRPr="00764BFC">
        <w:rPr>
          <w:color w:val="000000"/>
          <w:sz w:val="22"/>
        </w:rPr>
        <w:t xml:space="preserve"> </w:t>
      </w:r>
      <w:r w:rsidRPr="00764BFC">
        <w:rPr>
          <w:color w:val="000000"/>
          <w:sz w:val="22"/>
        </w:rPr>
        <w:t xml:space="preserve">from </w:t>
      </w:r>
      <w:r w:rsidR="00F45C20">
        <w:rPr>
          <w:color w:val="000000"/>
          <w:sz w:val="22"/>
        </w:rPr>
        <w:t>s</w:t>
      </w:r>
      <w:r w:rsidR="00F45C20" w:rsidRPr="00764BFC">
        <w:rPr>
          <w:color w:val="000000"/>
          <w:sz w:val="22"/>
        </w:rPr>
        <w:t xml:space="preserve">tate </w:t>
      </w:r>
      <w:r w:rsidRPr="00764BFC">
        <w:rPr>
          <w:color w:val="000000"/>
          <w:sz w:val="22"/>
        </w:rPr>
        <w:t xml:space="preserve">agencies, places it in their own database format, </w:t>
      </w:r>
      <w:r w:rsidR="00863DD2">
        <w:rPr>
          <w:color w:val="000000"/>
          <w:sz w:val="22"/>
        </w:rPr>
        <w:t xml:space="preserve">performs some data standardization and validation, </w:t>
      </w:r>
      <w:r w:rsidRPr="00764BFC">
        <w:rPr>
          <w:color w:val="000000"/>
          <w:sz w:val="22"/>
        </w:rPr>
        <w:t xml:space="preserve">and sells </w:t>
      </w:r>
      <w:r w:rsidR="00863DD2">
        <w:rPr>
          <w:color w:val="000000"/>
          <w:sz w:val="22"/>
        </w:rPr>
        <w:t>the data</w:t>
      </w:r>
      <w:r w:rsidRPr="00764BFC">
        <w:rPr>
          <w:color w:val="000000"/>
          <w:sz w:val="22"/>
        </w:rPr>
        <w:t>.</w:t>
      </w:r>
      <w:r w:rsidR="001D395A">
        <w:rPr>
          <w:color w:val="000000"/>
          <w:sz w:val="22"/>
        </w:rPr>
        <w:t xml:space="preserve"> </w:t>
      </w:r>
      <w:r w:rsidRPr="00764BFC">
        <w:rPr>
          <w:color w:val="000000"/>
          <w:sz w:val="22"/>
        </w:rPr>
        <w:t xml:space="preserve">A new DI database is acquired </w:t>
      </w:r>
      <w:r w:rsidR="00863DD2">
        <w:rPr>
          <w:color w:val="000000"/>
          <w:sz w:val="22"/>
        </w:rPr>
        <w:t xml:space="preserve">by EIA at the end of </w:t>
      </w:r>
      <w:r w:rsidRPr="00764BFC">
        <w:rPr>
          <w:color w:val="000000"/>
          <w:sz w:val="22"/>
        </w:rPr>
        <w:t>every month.</w:t>
      </w:r>
    </w:p>
    <w:p w14:paraId="6E324C43" w14:textId="46731B0A" w:rsidR="00256D89" w:rsidRPr="00120ECC" w:rsidRDefault="00764BFC" w:rsidP="00233CF5">
      <w:r w:rsidRPr="00764BFC">
        <w:rPr>
          <w:color w:val="000000"/>
          <w:sz w:val="22"/>
        </w:rPr>
        <w:t xml:space="preserve">DI data for </w:t>
      </w:r>
      <w:r w:rsidR="004E655B">
        <w:rPr>
          <w:color w:val="000000"/>
          <w:sz w:val="22"/>
        </w:rPr>
        <w:t>four</w:t>
      </w:r>
      <w:r w:rsidR="004E655B" w:rsidRPr="00764BFC">
        <w:rPr>
          <w:color w:val="000000"/>
          <w:sz w:val="22"/>
        </w:rPr>
        <w:t xml:space="preserve"> </w:t>
      </w:r>
      <w:r w:rsidRPr="00764BFC">
        <w:rPr>
          <w:color w:val="000000"/>
          <w:sz w:val="22"/>
        </w:rPr>
        <w:t xml:space="preserve">of the smaller producing </w:t>
      </w:r>
      <w:r w:rsidR="00F45C20">
        <w:rPr>
          <w:color w:val="000000"/>
          <w:sz w:val="22"/>
        </w:rPr>
        <w:t>s</w:t>
      </w:r>
      <w:r w:rsidR="00F45C20" w:rsidRPr="00764BFC">
        <w:rPr>
          <w:color w:val="000000"/>
          <w:sz w:val="22"/>
        </w:rPr>
        <w:t xml:space="preserve">tates </w:t>
      </w:r>
      <w:r w:rsidR="00F45C20">
        <w:rPr>
          <w:color w:val="000000"/>
          <w:sz w:val="22"/>
        </w:rPr>
        <w:t>are</w:t>
      </w:r>
      <w:r w:rsidR="00F45C20" w:rsidRPr="00764BFC">
        <w:rPr>
          <w:color w:val="000000"/>
          <w:sz w:val="22"/>
        </w:rPr>
        <w:t xml:space="preserve"> </w:t>
      </w:r>
      <w:r w:rsidRPr="00764BFC">
        <w:rPr>
          <w:color w:val="000000"/>
          <w:sz w:val="22"/>
        </w:rPr>
        <w:t>missing or inadequate.</w:t>
      </w:r>
      <w:r w:rsidR="001D395A">
        <w:rPr>
          <w:color w:val="000000"/>
          <w:sz w:val="22"/>
        </w:rPr>
        <w:t xml:space="preserve"> </w:t>
      </w:r>
      <w:r w:rsidRPr="00764BFC">
        <w:rPr>
          <w:color w:val="000000"/>
          <w:sz w:val="22"/>
        </w:rPr>
        <w:t xml:space="preserve">For Illinois, Indiana, Kentucky, and Tennessee, annual production data from the </w:t>
      </w:r>
      <w:r w:rsidR="00863DD2">
        <w:rPr>
          <w:color w:val="000000"/>
          <w:sz w:val="22"/>
        </w:rPr>
        <w:t xml:space="preserve">Form </w:t>
      </w:r>
      <w:r w:rsidRPr="00764BFC">
        <w:rPr>
          <w:color w:val="000000"/>
          <w:sz w:val="22"/>
        </w:rPr>
        <w:t>EIA-23</w:t>
      </w:r>
      <w:r>
        <w:rPr>
          <w:color w:val="000000"/>
          <w:sz w:val="22"/>
        </w:rPr>
        <w:t>L</w:t>
      </w:r>
      <w:r w:rsidRPr="00764BFC">
        <w:rPr>
          <w:color w:val="000000"/>
          <w:sz w:val="22"/>
        </w:rPr>
        <w:t xml:space="preserve"> survey </w:t>
      </w:r>
      <w:r w:rsidR="00F45C20">
        <w:rPr>
          <w:color w:val="000000"/>
          <w:sz w:val="22"/>
        </w:rPr>
        <w:t>are</w:t>
      </w:r>
      <w:r w:rsidR="00F45C20" w:rsidRPr="00764BFC">
        <w:rPr>
          <w:color w:val="000000"/>
          <w:sz w:val="22"/>
        </w:rPr>
        <w:t xml:space="preserve"> </w:t>
      </w:r>
      <w:r w:rsidRPr="00764BFC">
        <w:rPr>
          <w:color w:val="000000"/>
          <w:sz w:val="22"/>
        </w:rPr>
        <w:t>used to supplement the DI database.</w:t>
      </w:r>
      <w:r w:rsidR="001D395A">
        <w:rPr>
          <w:color w:val="000000"/>
          <w:sz w:val="22"/>
        </w:rPr>
        <w:t xml:space="preserve"> </w:t>
      </w:r>
      <w:r w:rsidRPr="00764BFC">
        <w:rPr>
          <w:color w:val="000000"/>
          <w:sz w:val="22"/>
        </w:rPr>
        <w:t xml:space="preserve">Hereafter, references to DI data include supplemental data from the </w:t>
      </w:r>
      <w:r w:rsidR="00863DD2">
        <w:rPr>
          <w:color w:val="000000"/>
          <w:sz w:val="22"/>
        </w:rPr>
        <w:t xml:space="preserve">Form </w:t>
      </w:r>
      <w:r w:rsidRPr="00764BFC">
        <w:rPr>
          <w:color w:val="000000"/>
          <w:sz w:val="22"/>
        </w:rPr>
        <w:t xml:space="preserve">EIA-23 survey for these </w:t>
      </w:r>
      <w:r w:rsidR="004E655B">
        <w:rPr>
          <w:color w:val="000000"/>
          <w:sz w:val="22"/>
        </w:rPr>
        <w:t>four</w:t>
      </w:r>
      <w:r w:rsidR="004E655B" w:rsidRPr="00764BFC">
        <w:rPr>
          <w:color w:val="000000"/>
          <w:sz w:val="22"/>
        </w:rPr>
        <w:t xml:space="preserve"> </w:t>
      </w:r>
      <w:r w:rsidR="00F45C20">
        <w:rPr>
          <w:color w:val="000000"/>
          <w:sz w:val="22"/>
        </w:rPr>
        <w:t>s</w:t>
      </w:r>
      <w:r w:rsidR="00F45C20" w:rsidRPr="00764BFC">
        <w:rPr>
          <w:color w:val="000000"/>
          <w:sz w:val="22"/>
        </w:rPr>
        <w:t>tates</w:t>
      </w:r>
      <w:r w:rsidRPr="00764BFC">
        <w:rPr>
          <w:color w:val="000000"/>
          <w:sz w:val="22"/>
        </w:rPr>
        <w:t>.</w:t>
      </w:r>
      <w:r w:rsidR="001D395A">
        <w:rPr>
          <w:color w:val="000000"/>
          <w:sz w:val="22"/>
        </w:rPr>
        <w:t xml:space="preserve"> </w:t>
      </w:r>
      <w:r w:rsidR="00F570B1">
        <w:rPr>
          <w:color w:val="000000"/>
          <w:sz w:val="22"/>
        </w:rPr>
        <w:t>These data are used to de</w:t>
      </w:r>
      <w:r w:rsidR="00A12850">
        <w:rPr>
          <w:color w:val="000000"/>
          <w:sz w:val="22"/>
        </w:rPr>
        <w:t>termine</w:t>
      </w:r>
      <w:r w:rsidR="00F570B1">
        <w:rPr>
          <w:color w:val="000000"/>
          <w:sz w:val="22"/>
        </w:rPr>
        <w:t xml:space="preserve"> a different cutoff sample for each state/area designed to achieve a roughly </w:t>
      </w:r>
      <w:r w:rsidR="00F570B1">
        <w:rPr>
          <w:color w:val="000000"/>
          <w:sz w:val="22"/>
        </w:rPr>
        <w:t>85</w:t>
      </w:r>
      <w:r w:rsidR="00654C88">
        <w:rPr>
          <w:color w:val="000000"/>
          <w:sz w:val="22"/>
        </w:rPr>
        <w:t xml:space="preserve"> </w:t>
      </w:r>
      <w:r w:rsidR="00F93F63">
        <w:rPr>
          <w:color w:val="000000"/>
          <w:sz w:val="22"/>
        </w:rPr>
        <w:t>percent</w:t>
      </w:r>
      <w:r w:rsidR="00F570B1">
        <w:rPr>
          <w:color w:val="000000"/>
          <w:sz w:val="22"/>
        </w:rPr>
        <w:t xml:space="preserve"> sample coverage of that area’s oil and natural gas production volumes.</w:t>
      </w:r>
      <w:r w:rsidR="001D395A">
        <w:rPr>
          <w:color w:val="000000"/>
          <w:sz w:val="22"/>
        </w:rPr>
        <w:t xml:space="preserve"> </w:t>
      </w:r>
      <w:r w:rsidR="00120ECC">
        <w:rPr>
          <w:color w:val="000000"/>
          <w:sz w:val="22"/>
        </w:rPr>
        <w:t xml:space="preserve">The cutoff production rates will be re-determined, annually, to maintain the target of </w:t>
      </w:r>
      <w:r w:rsidR="00120ECC">
        <w:rPr>
          <w:color w:val="000000"/>
          <w:sz w:val="22"/>
        </w:rPr>
        <w:t>85</w:t>
      </w:r>
      <w:r w:rsidR="00654C88">
        <w:rPr>
          <w:color w:val="000000"/>
          <w:sz w:val="22"/>
        </w:rPr>
        <w:t xml:space="preserve"> </w:t>
      </w:r>
      <w:r w:rsidR="00F93F63">
        <w:rPr>
          <w:color w:val="000000"/>
          <w:sz w:val="22"/>
        </w:rPr>
        <w:t>percent</w:t>
      </w:r>
      <w:r w:rsidR="00120ECC">
        <w:rPr>
          <w:color w:val="000000"/>
          <w:sz w:val="22"/>
        </w:rPr>
        <w:t xml:space="preserve"> coverage.</w:t>
      </w:r>
      <w:r w:rsidR="001D395A">
        <w:rPr>
          <w:color w:val="000000"/>
          <w:sz w:val="22"/>
        </w:rPr>
        <w:t xml:space="preserve"> </w:t>
      </w:r>
    </w:p>
    <w:p w14:paraId="1AA49BD4" w14:textId="5ECDDD7C" w:rsidR="00E74D9F" w:rsidRDefault="00764BFC" w:rsidP="00764BFC">
      <w:pPr>
        <w:rPr>
          <w:color w:val="000000"/>
          <w:sz w:val="22"/>
        </w:rPr>
      </w:pPr>
      <w:r w:rsidRPr="00764BFC">
        <w:rPr>
          <w:color w:val="000000"/>
          <w:sz w:val="22"/>
        </w:rPr>
        <w:t xml:space="preserve">DI data for the most recent </w:t>
      </w:r>
      <w:r w:rsidR="00863DD2">
        <w:rPr>
          <w:color w:val="000000"/>
          <w:sz w:val="22"/>
        </w:rPr>
        <w:t xml:space="preserve">reporting </w:t>
      </w:r>
      <w:r w:rsidRPr="00764BFC">
        <w:rPr>
          <w:color w:val="000000"/>
          <w:sz w:val="22"/>
        </w:rPr>
        <w:t>months are usually incomplete</w:t>
      </w:r>
      <w:r w:rsidR="00863DD2">
        <w:rPr>
          <w:color w:val="000000"/>
          <w:sz w:val="22"/>
        </w:rPr>
        <w:t>.</w:t>
      </w:r>
      <w:r w:rsidR="001D395A">
        <w:rPr>
          <w:color w:val="000000"/>
          <w:sz w:val="22"/>
        </w:rPr>
        <w:t xml:space="preserve"> </w:t>
      </w:r>
      <w:r w:rsidR="00137D44">
        <w:rPr>
          <w:color w:val="000000"/>
          <w:sz w:val="22"/>
        </w:rPr>
        <w:t>The months used for sampling are determined by how much of a lag there is in the DI data before they become complete.</w:t>
      </w:r>
      <w:r w:rsidR="001D395A">
        <w:rPr>
          <w:color w:val="000000"/>
          <w:sz w:val="22"/>
        </w:rPr>
        <w:t xml:space="preserve"> </w:t>
      </w:r>
      <w:r w:rsidR="00137D44">
        <w:rPr>
          <w:color w:val="000000"/>
          <w:sz w:val="22"/>
        </w:rPr>
        <w:t>A different lag is used for every state/area and for oil and gas.</w:t>
      </w:r>
      <w:r w:rsidR="001D395A">
        <w:rPr>
          <w:color w:val="000000"/>
          <w:sz w:val="22"/>
        </w:rPr>
        <w:t xml:space="preserve"> </w:t>
      </w:r>
      <w:r w:rsidR="00F570B1">
        <w:rPr>
          <w:color w:val="000000"/>
          <w:sz w:val="22"/>
        </w:rPr>
        <w:t>The process used to determine the lag time to complete data will be described in the published EIA-914 Methodology document.</w:t>
      </w:r>
    </w:p>
    <w:p w14:paraId="37FAE6AA" w14:textId="7D6D3F3C" w:rsidR="007C54DF" w:rsidRDefault="00FA3EB2" w:rsidP="00764BFC">
      <w:pPr>
        <w:rPr>
          <w:color w:val="000000"/>
          <w:sz w:val="22"/>
        </w:rPr>
      </w:pPr>
      <w:r>
        <w:rPr>
          <w:color w:val="000000"/>
          <w:sz w:val="22"/>
        </w:rPr>
        <w:t>For larger operators not in the sample, the production is examined</w:t>
      </w:r>
      <w:r w:rsidRPr="00764BFC">
        <w:rPr>
          <w:color w:val="000000"/>
          <w:sz w:val="22"/>
        </w:rPr>
        <w:t xml:space="preserve"> for the most current </w:t>
      </w:r>
      <w:r w:rsidR="003D62C8">
        <w:rPr>
          <w:color w:val="000000"/>
          <w:sz w:val="22"/>
        </w:rPr>
        <w:t>four-</w:t>
      </w:r>
      <w:r w:rsidRPr="00764BFC">
        <w:rPr>
          <w:color w:val="000000"/>
          <w:sz w:val="22"/>
        </w:rPr>
        <w:t xml:space="preserve">month period where </w:t>
      </w:r>
      <w:r w:rsidR="00E74D9F">
        <w:rPr>
          <w:color w:val="000000"/>
          <w:sz w:val="22"/>
        </w:rPr>
        <w:t xml:space="preserve">DI </w:t>
      </w:r>
      <w:r w:rsidRPr="00764BFC">
        <w:rPr>
          <w:color w:val="000000"/>
          <w:sz w:val="22"/>
        </w:rPr>
        <w:t xml:space="preserve">data are </w:t>
      </w:r>
      <w:r w:rsidR="00863DD2">
        <w:rPr>
          <w:color w:val="000000"/>
          <w:sz w:val="22"/>
        </w:rPr>
        <w:t xml:space="preserve">relatively </w:t>
      </w:r>
      <w:r>
        <w:rPr>
          <w:color w:val="000000"/>
          <w:sz w:val="22"/>
        </w:rPr>
        <w:t>complete</w:t>
      </w:r>
      <w:r w:rsidR="005E26DB">
        <w:rPr>
          <w:color w:val="000000"/>
          <w:sz w:val="22"/>
        </w:rPr>
        <w:t xml:space="preserve"> for each operator</w:t>
      </w:r>
      <w:r w:rsidRPr="00764BFC">
        <w:rPr>
          <w:color w:val="000000"/>
          <w:sz w:val="22"/>
        </w:rPr>
        <w:t xml:space="preserve">. </w:t>
      </w:r>
      <w:r w:rsidR="001D395A">
        <w:rPr>
          <w:color w:val="000000"/>
          <w:sz w:val="22"/>
        </w:rPr>
        <w:t xml:space="preserve"> </w:t>
      </w:r>
      <w:r w:rsidR="004E655B">
        <w:rPr>
          <w:color w:val="000000"/>
          <w:sz w:val="22"/>
        </w:rPr>
        <w:t>If a non</w:t>
      </w:r>
      <w:r w:rsidR="00F45C20">
        <w:rPr>
          <w:color w:val="000000"/>
          <w:sz w:val="22"/>
        </w:rPr>
        <w:t>-</w:t>
      </w:r>
      <w:r w:rsidR="004E655B">
        <w:rPr>
          <w:color w:val="000000"/>
          <w:sz w:val="22"/>
        </w:rPr>
        <w:t xml:space="preserve">sampled operator is observed to produce above the cutoff for four </w:t>
      </w:r>
      <w:r w:rsidR="003D62C8">
        <w:rPr>
          <w:color w:val="000000"/>
          <w:sz w:val="22"/>
        </w:rPr>
        <w:t>consecutive</w:t>
      </w:r>
      <w:r w:rsidR="00E74D9F">
        <w:rPr>
          <w:color w:val="000000"/>
          <w:sz w:val="22"/>
        </w:rPr>
        <w:t xml:space="preserve"> months</w:t>
      </w:r>
      <w:r w:rsidR="004E655B">
        <w:rPr>
          <w:color w:val="000000"/>
          <w:sz w:val="22"/>
        </w:rPr>
        <w:t>, that company is added to the sample.</w:t>
      </w:r>
      <w:r w:rsidR="001D395A">
        <w:rPr>
          <w:color w:val="000000"/>
          <w:sz w:val="22"/>
        </w:rPr>
        <w:t xml:space="preserve"> </w:t>
      </w:r>
      <w:r w:rsidR="004E655B">
        <w:rPr>
          <w:color w:val="000000"/>
          <w:sz w:val="22"/>
        </w:rPr>
        <w:t xml:space="preserve">If a sampled company reports production on the </w:t>
      </w:r>
      <w:r w:rsidR="00516BC9">
        <w:rPr>
          <w:color w:val="000000"/>
          <w:sz w:val="22"/>
        </w:rPr>
        <w:t>Form EIA</w:t>
      </w:r>
      <w:r w:rsidR="00DD6CA0">
        <w:rPr>
          <w:color w:val="000000"/>
          <w:sz w:val="22"/>
        </w:rPr>
        <w:t>-</w:t>
      </w:r>
      <w:r w:rsidR="00516BC9">
        <w:rPr>
          <w:color w:val="000000"/>
          <w:sz w:val="22"/>
        </w:rPr>
        <w:t>914</w:t>
      </w:r>
      <w:r w:rsidR="004E655B">
        <w:rPr>
          <w:color w:val="000000"/>
          <w:sz w:val="22"/>
        </w:rPr>
        <w:t xml:space="preserve"> below the cutoff in every area in which it produces, for </w:t>
      </w:r>
      <w:r w:rsidR="003D62C8">
        <w:rPr>
          <w:color w:val="000000"/>
          <w:sz w:val="22"/>
        </w:rPr>
        <w:t xml:space="preserve">six consecutive </w:t>
      </w:r>
      <w:r w:rsidR="004E655B">
        <w:rPr>
          <w:color w:val="000000"/>
          <w:sz w:val="22"/>
        </w:rPr>
        <w:t>months, it is dropped from the sample.</w:t>
      </w:r>
      <w:r w:rsidR="00A25F6A">
        <w:rPr>
          <w:color w:val="000000"/>
          <w:sz w:val="22"/>
        </w:rPr>
        <w:t xml:space="preserve"> Th</w:t>
      </w:r>
      <w:r w:rsidR="00516BC9">
        <w:rPr>
          <w:color w:val="000000"/>
          <w:sz w:val="22"/>
        </w:rPr>
        <w:t>ese</w:t>
      </w:r>
      <w:r w:rsidR="00A25F6A">
        <w:rPr>
          <w:color w:val="000000"/>
          <w:sz w:val="22"/>
        </w:rPr>
        <w:t xml:space="preserve"> procedure</w:t>
      </w:r>
      <w:r w:rsidR="00516BC9">
        <w:rPr>
          <w:color w:val="000000"/>
          <w:sz w:val="22"/>
        </w:rPr>
        <w:t>s</w:t>
      </w:r>
      <w:r w:rsidR="00A25F6A">
        <w:rPr>
          <w:color w:val="000000"/>
          <w:sz w:val="22"/>
        </w:rPr>
        <w:t xml:space="preserve"> maintain high sample coverage of the population, and minimize frequent adding and dropping of operators.</w:t>
      </w:r>
    </w:p>
    <w:p w14:paraId="2F6FC8A6" w14:textId="512DA27E" w:rsidR="00233CF5" w:rsidRPr="00120ECC" w:rsidRDefault="00233CF5" w:rsidP="00233CF5">
      <w:pPr>
        <w:rPr>
          <w:i/>
          <w:color w:val="000000"/>
          <w:sz w:val="22"/>
        </w:rPr>
      </w:pPr>
      <w:r>
        <w:rPr>
          <w:i/>
          <w:color w:val="000000"/>
          <w:sz w:val="22"/>
        </w:rPr>
        <w:t xml:space="preserve">Rationale for </w:t>
      </w:r>
      <w:r>
        <w:rPr>
          <w:i/>
          <w:color w:val="000000"/>
          <w:sz w:val="22"/>
        </w:rPr>
        <w:t>85</w:t>
      </w:r>
      <w:r w:rsidR="00654C88">
        <w:rPr>
          <w:i/>
          <w:color w:val="000000"/>
          <w:sz w:val="22"/>
        </w:rPr>
        <w:t xml:space="preserve"> </w:t>
      </w:r>
      <w:r w:rsidR="00F93F63">
        <w:rPr>
          <w:i/>
          <w:color w:val="000000"/>
          <w:sz w:val="22"/>
        </w:rPr>
        <w:t>percent</w:t>
      </w:r>
      <w:r>
        <w:rPr>
          <w:i/>
          <w:color w:val="000000"/>
          <w:sz w:val="22"/>
        </w:rPr>
        <w:t xml:space="preserve"> sample coverage target</w:t>
      </w:r>
    </w:p>
    <w:p w14:paraId="6E714751" w14:textId="785F883F" w:rsidR="00233CF5" w:rsidRDefault="00233CF5" w:rsidP="00233CF5">
      <w:pPr>
        <w:spacing w:before="120" w:beforeAutospacing="0"/>
        <w:jc w:val="left"/>
      </w:pPr>
      <w:r w:rsidRPr="00120ECC">
        <w:t xml:space="preserve">The </w:t>
      </w:r>
      <w:r w:rsidRPr="00120ECC">
        <w:t>85</w:t>
      </w:r>
      <w:r w:rsidR="00654C88">
        <w:t xml:space="preserve"> </w:t>
      </w:r>
      <w:r w:rsidR="00F93F63">
        <w:t>percent</w:t>
      </w:r>
      <w:r w:rsidRPr="00120ECC">
        <w:t xml:space="preserve"> target was selected both to mimic the sampling rate of the previous EIA-914 survey, and to guard against model failure.</w:t>
      </w:r>
      <w:r w:rsidR="001D395A">
        <w:t xml:space="preserve"> </w:t>
      </w:r>
      <w:r w:rsidRPr="00120ECC">
        <w:t xml:space="preserve">In general, </w:t>
      </w:r>
      <w:r w:rsidR="00DE5366">
        <w:t>relative standard errors</w:t>
      </w:r>
      <w:r w:rsidRPr="00120ECC">
        <w:t xml:space="preserve"> are within acceptable ranges at an </w:t>
      </w:r>
      <w:r w:rsidRPr="00120ECC">
        <w:t>85</w:t>
      </w:r>
      <w:r w:rsidR="00DE5366">
        <w:t xml:space="preserve"> </w:t>
      </w:r>
      <w:r w:rsidR="00F93F63">
        <w:t>percent</w:t>
      </w:r>
      <w:r w:rsidRPr="00120ECC">
        <w:t xml:space="preserve"> sample volume coverage.</w:t>
      </w:r>
      <w:r w:rsidR="001D395A">
        <w:t xml:space="preserve"> </w:t>
      </w:r>
      <w:r w:rsidRPr="00120ECC">
        <w:t>Of more practical concern is that in some specific cases, large operators can behave very differently than small operators.</w:t>
      </w:r>
      <w:r w:rsidR="001D395A">
        <w:t xml:space="preserve"> </w:t>
      </w:r>
      <w:r w:rsidRPr="00120ECC">
        <w:t>This occurred in Louisiana during 2009 when the Haynesville Shale was developed.</w:t>
      </w:r>
      <w:r w:rsidR="001D395A">
        <w:t xml:space="preserve"> </w:t>
      </w:r>
      <w:r w:rsidRPr="00120ECC">
        <w:t>Model failure in a cutoff sample occurs when the sampled companies do not represent the non-sampled companies according to the proposed model; the non-sampled companies behave differen</w:t>
      </w:r>
      <w:r>
        <w:t>tly than the sampled companies.</w:t>
      </w:r>
      <w:r w:rsidRPr="00120ECC">
        <w:t xml:space="preserve"> </w:t>
      </w:r>
      <w:r>
        <w:t>By using a</w:t>
      </w:r>
      <w:r w:rsidR="00654C88">
        <w:t xml:space="preserve"> </w:t>
      </w:r>
      <w:r>
        <w:t>high sample coverage, the possible impact of model failure is limited.</w:t>
      </w:r>
    </w:p>
    <w:p w14:paraId="0AC9E56A" w14:textId="331CBA43" w:rsidR="00233CF5" w:rsidRDefault="00233CF5" w:rsidP="00233CF5">
      <w:pPr>
        <w:spacing w:before="120" w:beforeAutospacing="0"/>
        <w:jc w:val="left"/>
      </w:pPr>
      <w:r>
        <w:t>The</w:t>
      </w:r>
      <w:r w:rsidRPr="00120ECC">
        <w:t xml:space="preserve"> problem </w:t>
      </w:r>
      <w:r>
        <w:t xml:space="preserve">of model failure </w:t>
      </w:r>
      <w:r w:rsidRPr="00120ECC">
        <w:t xml:space="preserve">could normally be solved by combining a certainty stratum with a </w:t>
      </w:r>
      <w:r w:rsidR="00DE5366" w:rsidRPr="00DE5366">
        <w:t>probability</w:t>
      </w:r>
      <w:r w:rsidR="00DE5366">
        <w:t>-</w:t>
      </w:r>
      <w:r w:rsidR="00DE5366" w:rsidRPr="00DE5366">
        <w:t>proportional-to-size sampling</w:t>
      </w:r>
      <w:r w:rsidRPr="00120ECC">
        <w:t xml:space="preserve"> or other random sampling scheme of the smaller companies.</w:t>
      </w:r>
      <w:r w:rsidR="001D395A">
        <w:t xml:space="preserve"> </w:t>
      </w:r>
      <w:r>
        <w:t>B</w:t>
      </w:r>
      <w:r w:rsidRPr="00120ECC">
        <w:t>ecause the sampling frame is in a constant state of flux due to operator acquisitions and mergers, sample weights calculated on a monthly basis are prone to error. Using</w:t>
      </w:r>
      <w:r>
        <w:t xml:space="preserve"> the classical ratio estimator</w:t>
      </w:r>
      <w:r w:rsidRPr="00120ECC">
        <w:t xml:space="preserve">, this sort of behavior causes much </w:t>
      </w:r>
      <w:r>
        <w:t xml:space="preserve">less </w:t>
      </w:r>
      <w:r w:rsidRPr="00120ECC">
        <w:t>fluctuation in estimates.</w:t>
      </w:r>
      <w:r w:rsidR="001D395A">
        <w:t xml:space="preserve"> </w:t>
      </w:r>
    </w:p>
    <w:p w14:paraId="7E72D810" w14:textId="461D65E5" w:rsidR="00233CF5" w:rsidRDefault="00233CF5" w:rsidP="004C3A34">
      <w:r>
        <w:lastRenderedPageBreak/>
        <w:t xml:space="preserve">Another way of solving the </w:t>
      </w:r>
      <w:r w:rsidR="00200879">
        <w:t xml:space="preserve">model failure </w:t>
      </w:r>
      <w:r>
        <w:t xml:space="preserve">problem </w:t>
      </w:r>
      <w:r w:rsidR="00200879">
        <w:t>is</w:t>
      </w:r>
      <w:r>
        <w:t xml:space="preserve"> through stratification of variables based on well characteristics, such as formation type (shale, conventional, </w:t>
      </w:r>
      <w:r w:rsidR="001D395A">
        <w:t>etc.</w:t>
      </w:r>
      <w:r>
        <w:t>).</w:t>
      </w:r>
      <w:r w:rsidR="001D395A">
        <w:t xml:space="preserve"> </w:t>
      </w:r>
      <w:r w:rsidR="004C3A34">
        <w:t xml:space="preserve">While the frame has such information, </w:t>
      </w:r>
      <w:r w:rsidR="00942AA0">
        <w:t xml:space="preserve">it </w:t>
      </w:r>
      <w:r w:rsidR="004C3A34">
        <w:t xml:space="preserve">is </w:t>
      </w:r>
      <w:r w:rsidR="00942AA0">
        <w:t xml:space="preserve">often </w:t>
      </w:r>
      <w:r w:rsidR="004C3A34">
        <w:t xml:space="preserve">reported inconsistently and </w:t>
      </w:r>
      <w:r w:rsidR="00942AA0">
        <w:t>sometimes</w:t>
      </w:r>
      <w:r w:rsidR="004C3A34">
        <w:t xml:space="preserve"> incorrectly.</w:t>
      </w:r>
      <w:r w:rsidR="001D395A">
        <w:t xml:space="preserve"> </w:t>
      </w:r>
      <w:r w:rsidR="004C3A34">
        <w:t>Also</w:t>
      </w:r>
      <w:r>
        <w:t>, to be effective the respondent would have to provide this information in their survey response since an individual operator may produce large volumes from multiple wells in multiple formations.</w:t>
      </w:r>
      <w:r w:rsidR="001D395A">
        <w:t xml:space="preserve"> </w:t>
      </w:r>
      <w:r w:rsidR="004C3A34">
        <w:t>Not only would this increase burden on the respondent, i</w:t>
      </w:r>
      <w:r>
        <w:t>n EIA’s experience with the EIA-23</w:t>
      </w:r>
      <w:r w:rsidR="00255B73">
        <w:t xml:space="preserve"> (the Annual Oil and Gas Reserves Report)</w:t>
      </w:r>
      <w:r>
        <w:t>,</w:t>
      </w:r>
      <w:r>
        <w:t xml:space="preserve"> respondents do not provide this information reliably enough to clean the data withi</w:t>
      </w:r>
      <w:r w:rsidR="004C3A34">
        <w:t>n the necessary turnaround time</w:t>
      </w:r>
      <w:r>
        <w:t>.</w:t>
      </w:r>
    </w:p>
    <w:p w14:paraId="16D7E5BC" w14:textId="161E3D41" w:rsidR="00233CF5" w:rsidRPr="009D1A5D" w:rsidRDefault="00233CF5" w:rsidP="009D1A5D">
      <w:pPr>
        <w:spacing w:before="120" w:beforeAutospacing="0"/>
        <w:jc w:val="left"/>
      </w:pPr>
      <w:r w:rsidRPr="00120ECC">
        <w:t xml:space="preserve">Major producing states </w:t>
      </w:r>
      <w:r w:rsidR="00200879">
        <w:t>such as</w:t>
      </w:r>
      <w:r w:rsidRPr="00120ECC">
        <w:t xml:space="preserve"> Kansas and Oklahoma have higher numbers of small oil producers than other major states. Smaller producing states have mostly smaller oil producers. States composed primarily of small operators and without potential for dramatic growth are generally much less likely to suffer from model failure. As a result, the below target sample coverage expected for liquids in states like Kansas and Oklahoma is acceptable.</w:t>
      </w:r>
    </w:p>
    <w:p w14:paraId="739523F4" w14:textId="39DDA6E2" w:rsidR="00256D89" w:rsidRPr="009D1A5D" w:rsidRDefault="00256D89" w:rsidP="00764BFC">
      <w:pPr>
        <w:rPr>
          <w:i/>
          <w:color w:val="000000"/>
          <w:sz w:val="22"/>
        </w:rPr>
      </w:pPr>
      <w:r>
        <w:rPr>
          <w:i/>
          <w:color w:val="000000"/>
          <w:sz w:val="22"/>
        </w:rPr>
        <w:t xml:space="preserve">Rationale for 500 </w:t>
      </w:r>
      <w:r w:rsidR="00200879">
        <w:rPr>
          <w:i/>
          <w:color w:val="000000"/>
          <w:sz w:val="22"/>
        </w:rPr>
        <w:t xml:space="preserve">barrel per day </w:t>
      </w:r>
      <w:r>
        <w:rPr>
          <w:i/>
          <w:color w:val="000000"/>
          <w:sz w:val="22"/>
        </w:rPr>
        <w:t>minimum threshold</w:t>
      </w:r>
    </w:p>
    <w:p w14:paraId="3B912C7F" w14:textId="71F7B191" w:rsidR="00120ECC" w:rsidRDefault="00995341" w:rsidP="00764BFC">
      <w:r>
        <w:rPr>
          <w:color w:val="000000"/>
          <w:sz w:val="22"/>
        </w:rPr>
        <w:t xml:space="preserve">In addition to the </w:t>
      </w:r>
      <w:r>
        <w:rPr>
          <w:color w:val="000000"/>
          <w:sz w:val="22"/>
        </w:rPr>
        <w:t>85</w:t>
      </w:r>
      <w:r w:rsidR="00DE5366">
        <w:rPr>
          <w:color w:val="000000"/>
          <w:sz w:val="22"/>
        </w:rPr>
        <w:t xml:space="preserve"> </w:t>
      </w:r>
      <w:r w:rsidR="00F93F63">
        <w:rPr>
          <w:color w:val="000000"/>
          <w:sz w:val="22"/>
        </w:rPr>
        <w:t>percent</w:t>
      </w:r>
      <w:r>
        <w:rPr>
          <w:color w:val="000000"/>
          <w:sz w:val="22"/>
        </w:rPr>
        <w:t xml:space="preserve"> sample coverage criteria used to determine the oil and gas production cutoff values, a minimum </w:t>
      </w:r>
      <w:r w:rsidR="00D37C11">
        <w:rPr>
          <w:color w:val="000000"/>
          <w:sz w:val="22"/>
        </w:rPr>
        <w:t xml:space="preserve">crude </w:t>
      </w:r>
      <w:r>
        <w:rPr>
          <w:color w:val="000000"/>
          <w:sz w:val="22"/>
        </w:rPr>
        <w:t xml:space="preserve">oil cutoff rate of 500 barrels per day </w:t>
      </w:r>
      <w:r w:rsidR="00200879">
        <w:rPr>
          <w:color w:val="000000"/>
          <w:sz w:val="22"/>
        </w:rPr>
        <w:t xml:space="preserve">(bpd) </w:t>
      </w:r>
      <w:r>
        <w:rPr>
          <w:color w:val="000000"/>
          <w:sz w:val="22"/>
        </w:rPr>
        <w:t xml:space="preserve">is used </w:t>
      </w:r>
      <w:r w:rsidR="00660A9A">
        <w:rPr>
          <w:color w:val="000000"/>
          <w:sz w:val="22"/>
        </w:rPr>
        <w:t xml:space="preserve">as an additional constraint </w:t>
      </w:r>
      <w:r>
        <w:rPr>
          <w:color w:val="000000"/>
          <w:sz w:val="22"/>
        </w:rPr>
        <w:t>to limit the number of smaller operators sampled.</w:t>
      </w:r>
      <w:r w:rsidR="001D395A">
        <w:rPr>
          <w:color w:val="000000"/>
          <w:sz w:val="22"/>
        </w:rPr>
        <w:t xml:space="preserve"> </w:t>
      </w:r>
      <w:r w:rsidR="00120ECC">
        <w:rPr>
          <w:color w:val="000000"/>
          <w:sz w:val="22"/>
        </w:rPr>
        <w:t xml:space="preserve">This is needed because some liquids producing states, such as Kansas, are composed of an inordinate number of small operators, and achieving an </w:t>
      </w:r>
      <w:r w:rsidR="00120ECC">
        <w:rPr>
          <w:color w:val="000000"/>
          <w:sz w:val="22"/>
        </w:rPr>
        <w:t>85</w:t>
      </w:r>
      <w:r w:rsidR="00DE5366">
        <w:rPr>
          <w:color w:val="000000"/>
          <w:sz w:val="22"/>
        </w:rPr>
        <w:t xml:space="preserve"> </w:t>
      </w:r>
      <w:r w:rsidR="00F93F63">
        <w:rPr>
          <w:color w:val="000000"/>
          <w:sz w:val="22"/>
        </w:rPr>
        <w:t>percent</w:t>
      </w:r>
      <w:r w:rsidR="00120ECC">
        <w:rPr>
          <w:color w:val="000000"/>
          <w:sz w:val="22"/>
        </w:rPr>
        <w:t xml:space="preserve"> sample coverage would create a much larger sample in a region that EIA does not expect model failure to be an issue.</w:t>
      </w:r>
      <w:r w:rsidR="001D395A">
        <w:rPr>
          <w:color w:val="000000"/>
          <w:sz w:val="22"/>
        </w:rPr>
        <w:t xml:space="preserve"> </w:t>
      </w:r>
      <w:r w:rsidR="00726BA0">
        <w:rPr>
          <w:color w:val="000000"/>
          <w:sz w:val="22"/>
        </w:rPr>
        <w:t xml:space="preserve">Application of the 500 </w:t>
      </w:r>
      <w:r w:rsidR="00200879">
        <w:rPr>
          <w:color w:val="000000"/>
          <w:sz w:val="22"/>
        </w:rPr>
        <w:t>bpd</w:t>
      </w:r>
      <w:r w:rsidR="00726BA0">
        <w:rPr>
          <w:color w:val="000000"/>
          <w:sz w:val="22"/>
        </w:rPr>
        <w:t xml:space="preserve"> minimum oil cutoff rate will yield less than </w:t>
      </w:r>
      <w:r w:rsidR="00726BA0">
        <w:rPr>
          <w:color w:val="000000"/>
          <w:sz w:val="22"/>
        </w:rPr>
        <w:t>85</w:t>
      </w:r>
      <w:r w:rsidR="00DE5366">
        <w:rPr>
          <w:color w:val="000000"/>
          <w:sz w:val="22"/>
        </w:rPr>
        <w:t xml:space="preserve"> </w:t>
      </w:r>
      <w:r w:rsidR="00F93F63">
        <w:rPr>
          <w:color w:val="000000"/>
          <w:sz w:val="22"/>
        </w:rPr>
        <w:t>percent</w:t>
      </w:r>
      <w:r w:rsidR="00726BA0">
        <w:rPr>
          <w:color w:val="000000"/>
          <w:sz w:val="22"/>
        </w:rPr>
        <w:t xml:space="preserve"> coverage in some smaller states</w:t>
      </w:r>
      <w:r w:rsidR="007C54DF">
        <w:rPr>
          <w:color w:val="000000"/>
          <w:sz w:val="22"/>
        </w:rPr>
        <w:t xml:space="preserve">, but also reduces the </w:t>
      </w:r>
      <w:r w:rsidR="00F02A7E">
        <w:rPr>
          <w:color w:val="000000"/>
          <w:sz w:val="22"/>
        </w:rPr>
        <w:t xml:space="preserve">total </w:t>
      </w:r>
      <w:r w:rsidR="007C54DF">
        <w:rPr>
          <w:color w:val="000000"/>
          <w:sz w:val="22"/>
        </w:rPr>
        <w:t>sample size by about 500</w:t>
      </w:r>
      <w:r w:rsidR="00D37C11">
        <w:rPr>
          <w:color w:val="000000"/>
          <w:sz w:val="22"/>
        </w:rPr>
        <w:t xml:space="preserve"> operators</w:t>
      </w:r>
      <w:r w:rsidR="00726BA0">
        <w:rPr>
          <w:color w:val="000000"/>
          <w:sz w:val="22"/>
        </w:rPr>
        <w:t>.</w:t>
      </w:r>
      <w:r w:rsidR="001D395A">
        <w:rPr>
          <w:color w:val="000000"/>
          <w:sz w:val="22"/>
        </w:rPr>
        <w:t xml:space="preserve"> </w:t>
      </w:r>
      <w:r w:rsidR="00D37C11">
        <w:rPr>
          <w:color w:val="000000"/>
          <w:sz w:val="22"/>
        </w:rPr>
        <w:t xml:space="preserve">EIA believes application of the </w:t>
      </w:r>
      <w:r w:rsidR="00E87F86">
        <w:rPr>
          <w:color w:val="000000"/>
          <w:sz w:val="22"/>
        </w:rPr>
        <w:t xml:space="preserve">oil </w:t>
      </w:r>
      <w:r w:rsidR="00D37C11">
        <w:rPr>
          <w:color w:val="000000"/>
          <w:sz w:val="22"/>
        </w:rPr>
        <w:t>cutoff rate creates</w:t>
      </w:r>
      <w:r w:rsidR="007C54DF">
        <w:rPr>
          <w:color w:val="000000"/>
          <w:sz w:val="22"/>
        </w:rPr>
        <w:t xml:space="preserve"> an acceptable compromise between sample coverage and reduced burden on smaller operators</w:t>
      </w:r>
      <w:r w:rsidR="0099043F">
        <w:rPr>
          <w:color w:val="000000"/>
          <w:sz w:val="22"/>
        </w:rPr>
        <w:t>.</w:t>
      </w:r>
      <w:r w:rsidR="00120ECC" w:rsidRPr="00120ECC">
        <w:t xml:space="preserve"> </w:t>
      </w:r>
    </w:p>
    <w:p w14:paraId="4B64CA7E" w14:textId="2120ADDF" w:rsidR="004E655B" w:rsidRDefault="00200879" w:rsidP="00233CF5">
      <w:r>
        <w:t xml:space="preserve">The minimum cutoff rate of </w:t>
      </w:r>
      <w:r w:rsidR="00120ECC">
        <w:t xml:space="preserve">500 </w:t>
      </w:r>
      <w:r>
        <w:t>b/d</w:t>
      </w:r>
      <w:r w:rsidR="00120ECC">
        <w:t xml:space="preserve"> was selected in part because this was used effectively and without controversy on the Form EIA-23</w:t>
      </w:r>
      <w:r w:rsidR="001D395A">
        <w:t xml:space="preserve">. </w:t>
      </w:r>
      <w:r w:rsidR="00120ECC">
        <w:t xml:space="preserve">EIA also considered what impact various minimum cutoffs would have on the sample and resulting data quality. </w:t>
      </w:r>
      <w:r w:rsidR="00120ECC" w:rsidRPr="00120ECC">
        <w:t>Sample coverage worsens at increasing cutoff levels</w:t>
      </w:r>
      <w:r w:rsidR="00120ECC">
        <w:t xml:space="preserve"> </w:t>
      </w:r>
      <w:r w:rsidR="00120ECC" w:rsidRPr="00120ECC">
        <w:t>(</w:t>
      </w:r>
      <w:r w:rsidR="00B946AD">
        <w:t xml:space="preserve">see Table of </w:t>
      </w:r>
      <w:bookmarkStart w:id="9" w:name="_GoBack"/>
      <w:r w:rsidR="00F02A7E">
        <w:t>Percent</w:t>
      </w:r>
      <w:bookmarkEnd w:id="9"/>
      <w:r w:rsidR="00F02A7E">
        <w:t xml:space="preserve"> </w:t>
      </w:r>
      <w:r w:rsidR="00B946AD">
        <w:t>Coverage by State</w:t>
      </w:r>
      <w:r w:rsidR="00255B73">
        <w:t xml:space="preserve"> below</w:t>
      </w:r>
      <w:r w:rsidR="00120ECC" w:rsidRPr="00120ECC">
        <w:t>)</w:t>
      </w:r>
      <w:r w:rsidR="00B946AD">
        <w:t>.</w:t>
      </w:r>
      <w:r w:rsidR="00120ECC" w:rsidRPr="00120ECC">
        <w:t xml:space="preserve"> </w:t>
      </w:r>
      <w:r w:rsidR="001D395A">
        <w:t xml:space="preserve"> </w:t>
      </w:r>
      <w:r w:rsidR="00120ECC" w:rsidRPr="00120ECC">
        <w:t xml:space="preserve">With no </w:t>
      </w:r>
      <w:r w:rsidR="00120ECC">
        <w:t xml:space="preserve">minimum </w:t>
      </w:r>
      <w:r w:rsidR="00120ECC" w:rsidRPr="00120ECC">
        <w:t xml:space="preserve">cutoff, coverage across all states meets the EIA goal of </w:t>
      </w:r>
      <w:r w:rsidR="00120ECC" w:rsidRPr="00120ECC">
        <w:t>85</w:t>
      </w:r>
      <w:r w:rsidR="00DE5366">
        <w:t xml:space="preserve"> </w:t>
      </w:r>
      <w:r w:rsidR="00F93F63">
        <w:t>percent</w:t>
      </w:r>
      <w:r w:rsidR="00120ECC" w:rsidRPr="00120ECC">
        <w:t>,</w:t>
      </w:r>
      <w:r w:rsidR="00120ECC" w:rsidRPr="00120ECC">
        <w:t xml:space="preserve"> but sample size increases considerably, thereby increasing burden.</w:t>
      </w:r>
      <w:r w:rsidR="001D395A">
        <w:t xml:space="preserve"> </w:t>
      </w:r>
      <w:r w:rsidR="00120ECC" w:rsidRPr="00120ECC">
        <w:t>Boosting the</w:t>
      </w:r>
      <w:r w:rsidR="00120ECC" w:rsidRPr="00120ECC">
        <w:t xml:space="preserve"> </w:t>
      </w:r>
      <w:r w:rsidR="00F02A7E">
        <w:t>minimum</w:t>
      </w:r>
      <w:r w:rsidR="00120ECC" w:rsidRPr="00120ECC">
        <w:t xml:space="preserve"> threshold to 500 bpd, 1,000 bpd, and finally 5,000 bpd succeeds in lowering the sample size, but generates progressively worse coverage and less reliable estimates.</w:t>
      </w:r>
    </w:p>
    <w:tbl>
      <w:tblPr>
        <w:tblW w:w="5110" w:type="dxa"/>
        <w:tblInd w:w="93" w:type="dxa"/>
        <w:tblLook w:val="04A0" w:firstRow="1" w:lastRow="0" w:firstColumn="1" w:lastColumn="0" w:noHBand="0" w:noVBand="1"/>
      </w:tblPr>
      <w:tblGrid>
        <w:gridCol w:w="2296"/>
        <w:gridCol w:w="656"/>
        <w:gridCol w:w="656"/>
        <w:gridCol w:w="758"/>
        <w:gridCol w:w="758"/>
      </w:tblGrid>
      <w:tr w:rsidR="00120ECC" w:rsidRPr="00120ECC" w14:paraId="7FEADC96" w14:textId="77777777" w:rsidTr="00CF7BF2">
        <w:trPr>
          <w:trHeight w:val="315"/>
        </w:trPr>
        <w:tc>
          <w:tcPr>
            <w:tcW w:w="511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4B9331D" w14:textId="77777777" w:rsidR="00120ECC" w:rsidRPr="00120ECC" w:rsidRDefault="00120ECC" w:rsidP="00120ECC">
            <w:pPr>
              <w:tabs>
                <w:tab w:val="clear" w:pos="360"/>
              </w:tabs>
              <w:spacing w:before="0" w:beforeAutospacing="0" w:after="0" w:afterAutospacing="0"/>
              <w:jc w:val="center"/>
              <w:rPr>
                <w:rFonts w:ascii="Cambria" w:eastAsia="Times New Roman" w:hAnsi="Cambria"/>
                <w:b/>
                <w:bCs/>
                <w:color w:val="000000"/>
                <w:sz w:val="20"/>
                <w:szCs w:val="20"/>
              </w:rPr>
            </w:pPr>
            <w:r w:rsidRPr="00120ECC">
              <w:rPr>
                <w:rFonts w:ascii="Cambria" w:eastAsia="Times New Roman" w:hAnsi="Cambria"/>
                <w:b/>
                <w:bCs/>
                <w:color w:val="000000"/>
                <w:sz w:val="20"/>
                <w:szCs w:val="20"/>
              </w:rPr>
              <w:t>Percent Coverage by State for Sampled Oil Production</w:t>
            </w:r>
          </w:p>
        </w:tc>
      </w:tr>
      <w:tr w:rsidR="00CF7BF2" w:rsidRPr="00120ECC" w14:paraId="7D1A639C" w14:textId="77777777" w:rsidTr="00CF7BF2">
        <w:trPr>
          <w:trHeight w:val="315"/>
        </w:trPr>
        <w:tc>
          <w:tcPr>
            <w:tcW w:w="229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01D6CD6" w14:textId="77777777" w:rsidR="00120ECC" w:rsidRPr="00120ECC" w:rsidRDefault="00120ECC" w:rsidP="00837141">
            <w:pPr>
              <w:tabs>
                <w:tab w:val="clear" w:pos="360"/>
              </w:tabs>
              <w:spacing w:before="0" w:beforeAutospacing="0" w:after="0" w:afterAutospacing="0"/>
              <w:jc w:val="center"/>
              <w:rPr>
                <w:rFonts w:ascii="Cambria" w:eastAsia="Times New Roman" w:hAnsi="Cambria"/>
                <w:b/>
                <w:bCs/>
                <w:color w:val="000000"/>
                <w:sz w:val="20"/>
                <w:szCs w:val="20"/>
              </w:rPr>
            </w:pPr>
            <w:r w:rsidRPr="00120ECC">
              <w:rPr>
                <w:rFonts w:ascii="Cambria" w:eastAsia="Times New Roman" w:hAnsi="Cambria"/>
                <w:b/>
                <w:bCs/>
                <w:color w:val="000000"/>
                <w:sz w:val="20"/>
                <w:szCs w:val="20"/>
              </w:rPr>
              <w:t>State</w:t>
            </w:r>
          </w:p>
        </w:tc>
        <w:tc>
          <w:tcPr>
            <w:tcW w:w="2814"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33E541CF" w14:textId="77777777" w:rsidR="00120ECC" w:rsidRPr="00120ECC" w:rsidRDefault="00120ECC" w:rsidP="00837141">
            <w:pPr>
              <w:tabs>
                <w:tab w:val="clear" w:pos="360"/>
              </w:tabs>
              <w:spacing w:before="0" w:beforeAutospacing="0" w:after="0" w:afterAutospacing="0"/>
              <w:jc w:val="center"/>
              <w:rPr>
                <w:rFonts w:ascii="Cambria" w:eastAsia="Times New Roman" w:hAnsi="Cambria"/>
                <w:b/>
                <w:bCs/>
                <w:color w:val="000000"/>
                <w:sz w:val="20"/>
                <w:szCs w:val="20"/>
              </w:rPr>
            </w:pPr>
            <w:r w:rsidRPr="00120ECC">
              <w:rPr>
                <w:rFonts w:ascii="Cambria" w:eastAsia="Times New Roman" w:hAnsi="Cambria"/>
                <w:b/>
                <w:bCs/>
                <w:color w:val="000000"/>
                <w:sz w:val="20"/>
                <w:szCs w:val="20"/>
              </w:rPr>
              <w:t xml:space="preserve">Minimum Cutoff Applied </w:t>
            </w:r>
            <w:r w:rsidRPr="00120ECC">
              <w:rPr>
                <w:rFonts w:ascii="Cambria" w:eastAsia="Times New Roman" w:hAnsi="Cambria"/>
                <w:color w:val="000000"/>
                <w:sz w:val="20"/>
                <w:szCs w:val="20"/>
              </w:rPr>
              <w:t>(bpd)</w:t>
            </w:r>
          </w:p>
        </w:tc>
      </w:tr>
      <w:tr w:rsidR="00CF7BF2" w:rsidRPr="00120ECC" w14:paraId="068C2CE9" w14:textId="77777777" w:rsidTr="00CF7BF2">
        <w:trPr>
          <w:trHeight w:val="315"/>
        </w:trPr>
        <w:tc>
          <w:tcPr>
            <w:tcW w:w="2296" w:type="dxa"/>
            <w:vMerge/>
            <w:tcBorders>
              <w:top w:val="nil"/>
              <w:left w:val="single" w:sz="8" w:space="0" w:color="auto"/>
              <w:bottom w:val="single" w:sz="8" w:space="0" w:color="auto"/>
              <w:right w:val="single" w:sz="8" w:space="0" w:color="auto"/>
            </w:tcBorders>
            <w:vAlign w:val="bottom"/>
            <w:hideMark/>
          </w:tcPr>
          <w:p w14:paraId="786C4776" w14:textId="77777777" w:rsidR="00120ECC" w:rsidRPr="00120ECC" w:rsidRDefault="00120ECC" w:rsidP="00CF7BF2">
            <w:pPr>
              <w:tabs>
                <w:tab w:val="clear" w:pos="360"/>
              </w:tabs>
              <w:spacing w:before="0" w:beforeAutospacing="0" w:after="0" w:afterAutospacing="0"/>
              <w:jc w:val="center"/>
              <w:rPr>
                <w:rFonts w:ascii="Cambria" w:eastAsia="Times New Roman" w:hAnsi="Cambria"/>
                <w:b/>
                <w:bCs/>
                <w:color w:val="000000"/>
                <w:sz w:val="20"/>
                <w:szCs w:val="20"/>
              </w:rPr>
            </w:pPr>
          </w:p>
        </w:tc>
        <w:tc>
          <w:tcPr>
            <w:tcW w:w="649" w:type="dxa"/>
            <w:tcBorders>
              <w:top w:val="nil"/>
              <w:left w:val="nil"/>
              <w:bottom w:val="single" w:sz="8" w:space="0" w:color="auto"/>
              <w:right w:val="single" w:sz="8" w:space="0" w:color="auto"/>
            </w:tcBorders>
            <w:shd w:val="clear" w:color="auto" w:fill="auto"/>
            <w:noWrap/>
            <w:vAlign w:val="bottom"/>
            <w:hideMark/>
          </w:tcPr>
          <w:p w14:paraId="6CFE7A5E" w14:textId="77777777" w:rsidR="00120ECC" w:rsidRPr="00120ECC" w:rsidRDefault="00120ECC" w:rsidP="00837141">
            <w:pPr>
              <w:tabs>
                <w:tab w:val="clear" w:pos="360"/>
              </w:tabs>
              <w:spacing w:before="0" w:beforeAutospacing="0" w:after="0" w:afterAutospacing="0"/>
              <w:jc w:val="center"/>
              <w:rPr>
                <w:rFonts w:ascii="Cambria" w:eastAsia="Times New Roman" w:hAnsi="Cambria"/>
                <w:b/>
                <w:bCs/>
                <w:color w:val="000000"/>
                <w:sz w:val="20"/>
                <w:szCs w:val="20"/>
              </w:rPr>
            </w:pPr>
            <w:r w:rsidRPr="00120ECC">
              <w:rPr>
                <w:rFonts w:ascii="Cambria" w:eastAsia="Times New Roman" w:hAnsi="Cambria"/>
                <w:b/>
                <w:bCs/>
                <w:color w:val="000000"/>
                <w:sz w:val="20"/>
                <w:szCs w:val="20"/>
              </w:rPr>
              <w:t>0</w:t>
            </w:r>
          </w:p>
        </w:tc>
        <w:tc>
          <w:tcPr>
            <w:tcW w:w="649" w:type="dxa"/>
            <w:tcBorders>
              <w:top w:val="nil"/>
              <w:left w:val="nil"/>
              <w:bottom w:val="single" w:sz="8" w:space="0" w:color="auto"/>
              <w:right w:val="single" w:sz="8" w:space="0" w:color="auto"/>
            </w:tcBorders>
            <w:shd w:val="clear" w:color="auto" w:fill="auto"/>
            <w:noWrap/>
            <w:vAlign w:val="bottom"/>
            <w:hideMark/>
          </w:tcPr>
          <w:p w14:paraId="79A955C4" w14:textId="77777777" w:rsidR="00120ECC" w:rsidRPr="00120ECC" w:rsidRDefault="00120ECC" w:rsidP="00837141">
            <w:pPr>
              <w:tabs>
                <w:tab w:val="clear" w:pos="360"/>
              </w:tabs>
              <w:spacing w:before="0" w:beforeAutospacing="0" w:after="0" w:afterAutospacing="0"/>
              <w:jc w:val="center"/>
              <w:rPr>
                <w:rFonts w:ascii="Cambria" w:eastAsia="Times New Roman" w:hAnsi="Cambria"/>
                <w:b/>
                <w:bCs/>
                <w:color w:val="000000"/>
                <w:sz w:val="20"/>
                <w:szCs w:val="20"/>
              </w:rPr>
            </w:pPr>
            <w:r w:rsidRPr="00120ECC">
              <w:rPr>
                <w:rFonts w:ascii="Cambria" w:eastAsia="Times New Roman" w:hAnsi="Cambria"/>
                <w:b/>
                <w:bCs/>
                <w:color w:val="000000"/>
                <w:sz w:val="20"/>
                <w:szCs w:val="20"/>
              </w:rPr>
              <w:t>500</w:t>
            </w:r>
          </w:p>
        </w:tc>
        <w:tc>
          <w:tcPr>
            <w:tcW w:w="758" w:type="dxa"/>
            <w:tcBorders>
              <w:top w:val="nil"/>
              <w:left w:val="nil"/>
              <w:bottom w:val="single" w:sz="8" w:space="0" w:color="auto"/>
              <w:right w:val="single" w:sz="8" w:space="0" w:color="auto"/>
            </w:tcBorders>
            <w:shd w:val="clear" w:color="auto" w:fill="auto"/>
            <w:noWrap/>
            <w:vAlign w:val="bottom"/>
            <w:hideMark/>
          </w:tcPr>
          <w:p w14:paraId="704C3683" w14:textId="77777777" w:rsidR="00120ECC" w:rsidRPr="00120ECC" w:rsidRDefault="00120ECC" w:rsidP="00837141">
            <w:pPr>
              <w:tabs>
                <w:tab w:val="clear" w:pos="360"/>
              </w:tabs>
              <w:spacing w:before="0" w:beforeAutospacing="0" w:after="0" w:afterAutospacing="0"/>
              <w:jc w:val="center"/>
              <w:rPr>
                <w:rFonts w:ascii="Cambria" w:eastAsia="Times New Roman" w:hAnsi="Cambria"/>
                <w:b/>
                <w:bCs/>
                <w:color w:val="000000"/>
                <w:sz w:val="20"/>
                <w:szCs w:val="20"/>
              </w:rPr>
            </w:pPr>
            <w:r w:rsidRPr="00120ECC">
              <w:rPr>
                <w:rFonts w:ascii="Cambria" w:eastAsia="Times New Roman" w:hAnsi="Cambria"/>
                <w:b/>
                <w:bCs/>
                <w:color w:val="000000"/>
                <w:sz w:val="20"/>
                <w:szCs w:val="20"/>
              </w:rPr>
              <w:t>1,000</w:t>
            </w:r>
          </w:p>
        </w:tc>
        <w:tc>
          <w:tcPr>
            <w:tcW w:w="758" w:type="dxa"/>
            <w:tcBorders>
              <w:top w:val="nil"/>
              <w:left w:val="nil"/>
              <w:bottom w:val="single" w:sz="8" w:space="0" w:color="auto"/>
              <w:right w:val="single" w:sz="8" w:space="0" w:color="auto"/>
            </w:tcBorders>
            <w:shd w:val="clear" w:color="auto" w:fill="auto"/>
            <w:noWrap/>
            <w:vAlign w:val="bottom"/>
            <w:hideMark/>
          </w:tcPr>
          <w:p w14:paraId="36D4389A" w14:textId="77777777" w:rsidR="00120ECC" w:rsidRPr="00120ECC" w:rsidRDefault="00120ECC" w:rsidP="00837141">
            <w:pPr>
              <w:tabs>
                <w:tab w:val="clear" w:pos="360"/>
              </w:tabs>
              <w:spacing w:before="0" w:beforeAutospacing="0" w:after="0" w:afterAutospacing="0"/>
              <w:jc w:val="center"/>
              <w:rPr>
                <w:rFonts w:ascii="Cambria" w:eastAsia="Times New Roman" w:hAnsi="Cambria"/>
                <w:b/>
                <w:bCs/>
                <w:color w:val="000000"/>
                <w:sz w:val="20"/>
                <w:szCs w:val="20"/>
              </w:rPr>
            </w:pPr>
            <w:r w:rsidRPr="00120ECC">
              <w:rPr>
                <w:rFonts w:ascii="Cambria" w:eastAsia="Times New Roman" w:hAnsi="Cambria"/>
                <w:b/>
                <w:bCs/>
                <w:color w:val="000000"/>
                <w:sz w:val="20"/>
                <w:szCs w:val="20"/>
              </w:rPr>
              <w:t>5,000</w:t>
            </w:r>
          </w:p>
        </w:tc>
      </w:tr>
      <w:tr w:rsidR="00CF7BF2" w:rsidRPr="00120ECC" w14:paraId="16BCF599"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A3ACA1" w14:textId="77777777" w:rsidR="00120ECC" w:rsidRPr="00837141" w:rsidRDefault="00120ECC" w:rsidP="00CF7BF2">
            <w:pPr>
              <w:tabs>
                <w:tab w:val="clear" w:pos="360"/>
              </w:tabs>
              <w:spacing w:before="0" w:beforeAutospacing="0" w:after="0" w:afterAutospacing="0"/>
              <w:jc w:val="left"/>
              <w:rPr>
                <w:rFonts w:ascii="Cambria" w:eastAsia="Times New Roman" w:hAnsi="Cambria"/>
                <w:color w:val="000000"/>
                <w:sz w:val="20"/>
                <w:szCs w:val="20"/>
              </w:rPr>
            </w:pPr>
            <w:r w:rsidRPr="00837141">
              <w:rPr>
                <w:rFonts w:ascii="Cambria" w:eastAsia="Times New Roman" w:hAnsi="Cambria"/>
                <w:color w:val="000000"/>
                <w:sz w:val="20"/>
                <w:szCs w:val="20"/>
              </w:rPr>
              <w:t>Arkansas</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2268FE" w14:textId="067F7778" w:rsidR="00120ECC" w:rsidRPr="00837141" w:rsidRDefault="00120ECC" w:rsidP="00CF7BF2">
            <w:pPr>
              <w:tabs>
                <w:tab w:val="clear" w:pos="360"/>
              </w:tabs>
              <w:spacing w:before="0" w:beforeAutospacing="0" w:after="0" w:afterAutospacing="0"/>
              <w:jc w:val="center"/>
              <w:rPr>
                <w:rFonts w:ascii="Cambria" w:eastAsia="Times New Roman" w:hAnsi="Cambria"/>
                <w:color w:val="000000"/>
                <w:sz w:val="20"/>
                <w:szCs w:val="20"/>
              </w:rPr>
            </w:pPr>
            <w:r w:rsidRPr="00120ECC">
              <w:rPr>
                <w:rFonts w:ascii="Cambria" w:eastAsia="Times New Roman" w:hAnsi="Cambria"/>
                <w:color w:val="000000"/>
                <w:sz w:val="20"/>
                <w:szCs w:val="20"/>
              </w:rPr>
              <w:t>86</w:t>
            </w:r>
            <w:r w:rsidR="00264EC5">
              <w:rPr>
                <w:rFonts w:ascii="Cambria" w:eastAsia="Times New Roman" w:hAnsi="Cambria"/>
                <w:color w:val="000000"/>
                <w:sz w:val="20"/>
                <w:szCs w:val="20"/>
              </w:rPr>
              <w:t>%</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229D35" w14:textId="055BDAB0" w:rsidR="00120ECC" w:rsidRPr="00CF7BF2" w:rsidRDefault="00120ECC" w:rsidP="00CF7BF2">
            <w:pPr>
              <w:tabs>
                <w:tab w:val="clear" w:pos="360"/>
              </w:tabs>
              <w:spacing w:before="0" w:beforeAutospacing="0" w:after="0" w:afterAutospacing="0"/>
              <w:jc w:val="center"/>
              <w:rPr>
                <w:rFonts w:ascii="Cambria" w:hAnsi="Cambria"/>
                <w:color w:val="000000"/>
                <w:sz w:val="20"/>
              </w:rPr>
            </w:pPr>
            <w:r w:rsidRPr="00120ECC">
              <w:rPr>
                <w:rFonts w:ascii="Cambria" w:eastAsia="Times New Roman" w:hAnsi="Cambria"/>
                <w:color w:val="000000"/>
                <w:sz w:val="22"/>
              </w:rPr>
              <w:t>41%</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F5D84A" w14:textId="6F3F500A" w:rsidR="00120ECC" w:rsidRPr="00CF7BF2" w:rsidRDefault="00120ECC" w:rsidP="00CF7BF2">
            <w:pPr>
              <w:tabs>
                <w:tab w:val="clear" w:pos="360"/>
              </w:tabs>
              <w:spacing w:before="0" w:beforeAutospacing="0" w:after="0" w:afterAutospacing="0"/>
              <w:jc w:val="center"/>
              <w:rPr>
                <w:rFonts w:ascii="Cambria" w:hAnsi="Cambria"/>
                <w:color w:val="000000"/>
                <w:sz w:val="20"/>
              </w:rPr>
            </w:pPr>
            <w:r w:rsidRPr="00120ECC">
              <w:rPr>
                <w:rFonts w:ascii="Cambria" w:eastAsia="Times New Roman" w:hAnsi="Cambria"/>
                <w:color w:val="000000"/>
                <w:sz w:val="22"/>
              </w:rPr>
              <w:t>30%</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776727" w14:textId="5D2215B6" w:rsidR="00120ECC" w:rsidRPr="00CF7BF2" w:rsidRDefault="00120ECC" w:rsidP="00CF7BF2">
            <w:pPr>
              <w:tabs>
                <w:tab w:val="clear" w:pos="360"/>
              </w:tabs>
              <w:spacing w:before="0" w:beforeAutospacing="0" w:after="0" w:afterAutospacing="0"/>
              <w:jc w:val="center"/>
              <w:rPr>
                <w:rFonts w:ascii="Cambria" w:hAnsi="Cambria"/>
                <w:color w:val="000000"/>
                <w:sz w:val="20"/>
              </w:rPr>
            </w:pPr>
            <w:r w:rsidRPr="00120ECC">
              <w:rPr>
                <w:rFonts w:ascii="Cambria" w:eastAsia="Times New Roman" w:hAnsi="Cambria"/>
                <w:color w:val="000000"/>
                <w:sz w:val="22"/>
              </w:rPr>
              <w:t>27%</w:t>
            </w:r>
          </w:p>
        </w:tc>
      </w:tr>
      <w:tr w:rsidR="00CF7BF2" w:rsidRPr="00120ECC" w14:paraId="5143AC32"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26AB6C" w14:textId="77777777" w:rsidR="00120ECC" w:rsidRPr="00837141" w:rsidRDefault="00120ECC" w:rsidP="00CF7BF2">
            <w:pPr>
              <w:tabs>
                <w:tab w:val="clear" w:pos="360"/>
              </w:tabs>
              <w:spacing w:before="0" w:beforeAutospacing="0" w:after="0" w:afterAutospacing="0"/>
              <w:jc w:val="left"/>
              <w:rPr>
                <w:rFonts w:ascii="Cambria" w:eastAsia="Times New Roman" w:hAnsi="Cambria"/>
                <w:color w:val="000000"/>
                <w:sz w:val="20"/>
                <w:szCs w:val="20"/>
              </w:rPr>
            </w:pPr>
            <w:r w:rsidRPr="00837141">
              <w:rPr>
                <w:rFonts w:ascii="Cambria" w:eastAsia="Times New Roman" w:hAnsi="Cambria"/>
                <w:color w:val="000000"/>
                <w:sz w:val="20"/>
                <w:szCs w:val="20"/>
              </w:rPr>
              <w:t>California</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8B3AF4" w14:textId="64AA65C1" w:rsidR="00120ECC" w:rsidRPr="00837141" w:rsidRDefault="00120ECC" w:rsidP="00CF7BF2">
            <w:pPr>
              <w:tabs>
                <w:tab w:val="clear" w:pos="360"/>
              </w:tabs>
              <w:spacing w:before="0" w:beforeAutospacing="0" w:after="0" w:afterAutospacing="0"/>
              <w:jc w:val="center"/>
              <w:rPr>
                <w:rFonts w:ascii="Cambria" w:eastAsia="Times New Roman" w:hAnsi="Cambria"/>
                <w:color w:val="000000"/>
                <w:sz w:val="20"/>
                <w:szCs w:val="20"/>
              </w:rPr>
            </w:pPr>
            <w:r w:rsidRPr="00120ECC">
              <w:rPr>
                <w:rFonts w:ascii="Cambria" w:eastAsia="Times New Roman" w:hAnsi="Cambria"/>
                <w:color w:val="000000"/>
                <w:sz w:val="20"/>
                <w:szCs w:val="20"/>
              </w:rPr>
              <w:t>93</w:t>
            </w:r>
            <w:r w:rsidR="00264EC5">
              <w:rPr>
                <w:rFonts w:ascii="Cambria" w:eastAsia="Times New Roman" w:hAnsi="Cambria"/>
                <w:color w:val="000000"/>
                <w:sz w:val="20"/>
                <w:szCs w:val="20"/>
              </w:rPr>
              <w:t>%</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6191FC" w14:textId="639EFF21" w:rsidR="00120ECC" w:rsidRPr="00DE5366" w:rsidRDefault="00120ECC" w:rsidP="00CF7BF2">
            <w:pPr>
              <w:tabs>
                <w:tab w:val="clear" w:pos="360"/>
              </w:tabs>
              <w:spacing w:before="0" w:beforeAutospacing="0" w:after="0" w:afterAutospacing="0"/>
              <w:jc w:val="center"/>
              <w:rPr>
                <w:rFonts w:ascii="Cambria" w:hAnsi="Cambria"/>
                <w:color w:val="000000"/>
                <w:sz w:val="22"/>
              </w:rPr>
            </w:pPr>
            <w:r w:rsidRPr="00120ECC">
              <w:rPr>
                <w:rFonts w:ascii="Cambria" w:eastAsia="Times New Roman" w:hAnsi="Cambria"/>
                <w:color w:val="000000"/>
                <w:sz w:val="22"/>
              </w:rPr>
              <w:t>93%</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2A473C" w14:textId="74C3D44C" w:rsidR="00120ECC" w:rsidRPr="00DE5366" w:rsidRDefault="00120ECC" w:rsidP="00CF7BF2">
            <w:pPr>
              <w:tabs>
                <w:tab w:val="clear" w:pos="360"/>
              </w:tabs>
              <w:spacing w:before="0" w:beforeAutospacing="0" w:after="0" w:afterAutospacing="0"/>
              <w:jc w:val="center"/>
              <w:rPr>
                <w:rFonts w:ascii="Cambria" w:hAnsi="Cambria"/>
                <w:color w:val="000000"/>
                <w:sz w:val="22"/>
              </w:rPr>
            </w:pPr>
            <w:r w:rsidRPr="00120ECC">
              <w:rPr>
                <w:rFonts w:ascii="Cambria" w:eastAsia="Times New Roman" w:hAnsi="Cambria"/>
                <w:color w:val="000000"/>
                <w:sz w:val="22"/>
              </w:rPr>
              <w:t>92%</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FBCF12" w14:textId="7FDF9E38" w:rsidR="00120ECC" w:rsidRPr="00CF7BF2" w:rsidRDefault="00120ECC" w:rsidP="00CF7BF2">
            <w:pPr>
              <w:tabs>
                <w:tab w:val="clear" w:pos="360"/>
              </w:tabs>
              <w:spacing w:before="0" w:beforeAutospacing="0" w:after="0" w:afterAutospacing="0"/>
              <w:jc w:val="center"/>
              <w:rPr>
                <w:rFonts w:ascii="Cambria" w:hAnsi="Cambria"/>
                <w:color w:val="000000"/>
                <w:sz w:val="20"/>
              </w:rPr>
            </w:pPr>
            <w:r w:rsidRPr="00120ECC">
              <w:rPr>
                <w:rFonts w:ascii="Cambria" w:eastAsia="Times New Roman" w:hAnsi="Cambria"/>
                <w:color w:val="000000"/>
                <w:sz w:val="22"/>
              </w:rPr>
              <w:t>91%</w:t>
            </w:r>
          </w:p>
        </w:tc>
      </w:tr>
      <w:tr w:rsidR="00CF7BF2" w:rsidRPr="00120ECC" w14:paraId="4B94612D"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31DF05" w14:textId="77777777" w:rsidR="00120ECC" w:rsidRPr="00837141" w:rsidRDefault="00120ECC" w:rsidP="00CF7BF2">
            <w:pPr>
              <w:tabs>
                <w:tab w:val="clear" w:pos="360"/>
              </w:tabs>
              <w:spacing w:before="0" w:beforeAutospacing="0" w:after="0" w:afterAutospacing="0"/>
              <w:jc w:val="left"/>
              <w:rPr>
                <w:rFonts w:ascii="Cambria" w:eastAsia="Times New Roman" w:hAnsi="Cambria"/>
                <w:color w:val="000000"/>
                <w:sz w:val="20"/>
                <w:szCs w:val="20"/>
              </w:rPr>
            </w:pPr>
            <w:r w:rsidRPr="00837141">
              <w:rPr>
                <w:rFonts w:ascii="Cambria" w:eastAsia="Times New Roman" w:hAnsi="Cambria"/>
                <w:color w:val="000000"/>
                <w:sz w:val="20"/>
                <w:szCs w:val="20"/>
              </w:rPr>
              <w:t>Colorado</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458907" w14:textId="7DC49C5E" w:rsidR="00120ECC" w:rsidRPr="00837141" w:rsidRDefault="00120ECC" w:rsidP="00CF7BF2">
            <w:pPr>
              <w:tabs>
                <w:tab w:val="clear" w:pos="360"/>
              </w:tabs>
              <w:spacing w:before="0" w:beforeAutospacing="0" w:after="0" w:afterAutospacing="0"/>
              <w:jc w:val="center"/>
              <w:rPr>
                <w:rFonts w:ascii="Cambria" w:eastAsia="Times New Roman" w:hAnsi="Cambria"/>
                <w:color w:val="000000"/>
                <w:sz w:val="20"/>
                <w:szCs w:val="20"/>
              </w:rPr>
            </w:pPr>
            <w:r w:rsidRPr="00120ECC">
              <w:rPr>
                <w:rFonts w:ascii="Cambria" w:eastAsia="Times New Roman" w:hAnsi="Cambria"/>
                <w:color w:val="000000"/>
                <w:sz w:val="20"/>
                <w:szCs w:val="20"/>
              </w:rPr>
              <w:t>90</w:t>
            </w:r>
            <w:r w:rsidR="00264EC5">
              <w:rPr>
                <w:rFonts w:ascii="Cambria" w:eastAsia="Times New Roman" w:hAnsi="Cambria"/>
                <w:color w:val="000000"/>
                <w:sz w:val="20"/>
                <w:szCs w:val="20"/>
              </w:rPr>
              <w:t>%</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A68C96" w14:textId="40C60ACA" w:rsidR="00120ECC" w:rsidRPr="00CF7BF2" w:rsidRDefault="00120ECC" w:rsidP="00CF7BF2">
            <w:pPr>
              <w:tabs>
                <w:tab w:val="clear" w:pos="360"/>
              </w:tabs>
              <w:spacing w:before="0" w:beforeAutospacing="0" w:after="0" w:afterAutospacing="0"/>
              <w:jc w:val="center"/>
              <w:rPr>
                <w:rFonts w:ascii="Cambria" w:hAnsi="Cambria"/>
                <w:color w:val="000000"/>
                <w:sz w:val="20"/>
              </w:rPr>
            </w:pPr>
            <w:r w:rsidRPr="00120ECC">
              <w:rPr>
                <w:rFonts w:ascii="Cambria" w:eastAsia="Times New Roman" w:hAnsi="Cambria"/>
                <w:color w:val="000000"/>
                <w:sz w:val="22"/>
              </w:rPr>
              <w:t>85%</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6C356D" w14:textId="66310546" w:rsidR="00120ECC" w:rsidRPr="00CF7BF2" w:rsidRDefault="00120ECC" w:rsidP="00CF7BF2">
            <w:pPr>
              <w:tabs>
                <w:tab w:val="clear" w:pos="360"/>
              </w:tabs>
              <w:spacing w:before="0" w:beforeAutospacing="0" w:after="0" w:afterAutospacing="0"/>
              <w:jc w:val="center"/>
              <w:rPr>
                <w:rFonts w:ascii="Cambria" w:hAnsi="Cambria"/>
                <w:color w:val="000000"/>
                <w:sz w:val="20"/>
              </w:rPr>
            </w:pPr>
            <w:r w:rsidRPr="00120ECC">
              <w:rPr>
                <w:rFonts w:ascii="Cambria" w:eastAsia="Times New Roman" w:hAnsi="Cambria"/>
                <w:color w:val="000000"/>
                <w:sz w:val="22"/>
              </w:rPr>
              <w:t>85%</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4A75C2" w14:textId="16ABB710" w:rsidR="00120ECC" w:rsidRPr="00CF7BF2" w:rsidRDefault="00120ECC" w:rsidP="00CF7BF2">
            <w:pPr>
              <w:tabs>
                <w:tab w:val="clear" w:pos="360"/>
              </w:tabs>
              <w:spacing w:before="0" w:beforeAutospacing="0" w:after="0" w:afterAutospacing="0"/>
              <w:jc w:val="center"/>
              <w:rPr>
                <w:rFonts w:ascii="Cambria" w:hAnsi="Cambria"/>
                <w:color w:val="000000"/>
                <w:sz w:val="20"/>
              </w:rPr>
            </w:pPr>
            <w:r w:rsidRPr="00120ECC">
              <w:rPr>
                <w:rFonts w:ascii="Cambria" w:eastAsia="Times New Roman" w:hAnsi="Cambria"/>
                <w:color w:val="000000"/>
                <w:sz w:val="22"/>
              </w:rPr>
              <w:t>79%</w:t>
            </w:r>
          </w:p>
        </w:tc>
      </w:tr>
      <w:tr w:rsidR="00CF7BF2" w:rsidRPr="00120ECC" w14:paraId="1A16EC23" w14:textId="77777777" w:rsidTr="00CF7BF2">
        <w:trPr>
          <w:trHeight w:val="268"/>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60E30D" w14:textId="77777777" w:rsidR="00120ECC" w:rsidRPr="00837141" w:rsidRDefault="00120ECC" w:rsidP="00CF7BF2">
            <w:pPr>
              <w:tabs>
                <w:tab w:val="clear" w:pos="360"/>
              </w:tabs>
              <w:spacing w:before="0" w:beforeAutospacing="0" w:after="0" w:afterAutospacing="0"/>
              <w:jc w:val="left"/>
              <w:rPr>
                <w:rFonts w:ascii="Cambria" w:eastAsia="Times New Roman" w:hAnsi="Cambria"/>
                <w:color w:val="000000"/>
                <w:sz w:val="20"/>
                <w:szCs w:val="20"/>
              </w:rPr>
            </w:pPr>
            <w:r w:rsidRPr="00837141">
              <w:rPr>
                <w:rFonts w:ascii="Cambria" w:eastAsia="Times New Roman" w:hAnsi="Cambria"/>
                <w:color w:val="000000"/>
                <w:sz w:val="20"/>
                <w:szCs w:val="20"/>
              </w:rPr>
              <w:t>Federal Gulf of Mexico</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F32C30" w14:textId="349D64B7" w:rsidR="00120ECC" w:rsidRPr="00837141" w:rsidRDefault="00120ECC" w:rsidP="00CF7BF2">
            <w:pPr>
              <w:tabs>
                <w:tab w:val="clear" w:pos="360"/>
              </w:tabs>
              <w:spacing w:before="0" w:beforeAutospacing="0" w:after="0" w:afterAutospacing="0"/>
              <w:jc w:val="center"/>
              <w:rPr>
                <w:rFonts w:ascii="Cambria" w:eastAsia="Times New Roman" w:hAnsi="Cambria"/>
                <w:color w:val="000000"/>
                <w:sz w:val="20"/>
                <w:szCs w:val="20"/>
              </w:rPr>
            </w:pPr>
            <w:r w:rsidRPr="00120ECC">
              <w:rPr>
                <w:rFonts w:ascii="Cambria" w:eastAsia="Times New Roman" w:hAnsi="Cambria"/>
                <w:color w:val="000000"/>
                <w:sz w:val="20"/>
                <w:szCs w:val="20"/>
              </w:rPr>
              <w:t>95</w:t>
            </w:r>
            <w:r w:rsidR="00264EC5">
              <w:rPr>
                <w:rFonts w:ascii="Cambria" w:eastAsia="Times New Roman" w:hAnsi="Cambria"/>
                <w:color w:val="000000"/>
                <w:sz w:val="20"/>
                <w:szCs w:val="20"/>
              </w:rPr>
              <w:t>%</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F2E556" w14:textId="0EB1AE0E" w:rsidR="00120ECC" w:rsidRPr="00CF7BF2" w:rsidRDefault="00120ECC" w:rsidP="00CF7BF2">
            <w:pPr>
              <w:tabs>
                <w:tab w:val="clear" w:pos="360"/>
              </w:tabs>
              <w:spacing w:before="0" w:beforeAutospacing="0" w:after="0" w:afterAutospacing="0"/>
              <w:jc w:val="center"/>
              <w:rPr>
                <w:rFonts w:ascii="Cambria" w:hAnsi="Cambria"/>
                <w:color w:val="000000"/>
                <w:sz w:val="20"/>
              </w:rPr>
            </w:pPr>
            <w:r w:rsidRPr="00120ECC">
              <w:rPr>
                <w:rFonts w:ascii="Cambria" w:eastAsia="Times New Roman" w:hAnsi="Cambria"/>
                <w:color w:val="000000"/>
                <w:sz w:val="22"/>
              </w:rPr>
              <w:t>94%</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54DB0D" w14:textId="2B185C1B" w:rsidR="00120ECC" w:rsidRPr="00CF7BF2" w:rsidRDefault="00120ECC" w:rsidP="00CF7BF2">
            <w:pPr>
              <w:tabs>
                <w:tab w:val="clear" w:pos="360"/>
              </w:tabs>
              <w:spacing w:before="0" w:beforeAutospacing="0" w:after="0" w:afterAutospacing="0"/>
              <w:jc w:val="center"/>
              <w:rPr>
                <w:rFonts w:ascii="Cambria" w:hAnsi="Cambria"/>
                <w:color w:val="000000"/>
                <w:sz w:val="20"/>
              </w:rPr>
            </w:pPr>
            <w:r w:rsidRPr="00120ECC">
              <w:rPr>
                <w:rFonts w:ascii="Cambria" w:eastAsia="Times New Roman" w:hAnsi="Cambria"/>
                <w:color w:val="000000"/>
                <w:sz w:val="22"/>
              </w:rPr>
              <w:t>94%</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644E26" w14:textId="66FA2E7E" w:rsidR="00120ECC" w:rsidRPr="00CF7BF2" w:rsidRDefault="00120ECC" w:rsidP="00CF7BF2">
            <w:pPr>
              <w:tabs>
                <w:tab w:val="clear" w:pos="360"/>
              </w:tabs>
              <w:spacing w:before="0" w:beforeAutospacing="0" w:after="0" w:afterAutospacing="0"/>
              <w:jc w:val="center"/>
              <w:rPr>
                <w:rFonts w:ascii="Cambria" w:hAnsi="Cambria"/>
                <w:color w:val="000000"/>
                <w:sz w:val="20"/>
              </w:rPr>
            </w:pPr>
            <w:r w:rsidRPr="00120ECC">
              <w:rPr>
                <w:rFonts w:ascii="Cambria" w:eastAsia="Times New Roman" w:hAnsi="Cambria"/>
                <w:color w:val="000000"/>
                <w:sz w:val="22"/>
              </w:rPr>
              <w:t>93%</w:t>
            </w:r>
          </w:p>
        </w:tc>
      </w:tr>
      <w:tr w:rsidR="00120ECC" w:rsidRPr="00120ECC" w14:paraId="58C3872F"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6DB681" w14:textId="77777777" w:rsidR="00120ECC" w:rsidRPr="00CF7BF2" w:rsidRDefault="00120ECC" w:rsidP="00CF7BF2">
            <w:pPr>
              <w:tabs>
                <w:tab w:val="clear" w:pos="360"/>
              </w:tabs>
              <w:spacing w:before="0" w:beforeAutospacing="0" w:after="0" w:afterAutospacing="0"/>
              <w:jc w:val="left"/>
              <w:rPr>
                <w:rFonts w:asciiTheme="majorHAnsi" w:hAnsiTheme="majorHAnsi"/>
                <w:color w:val="000000"/>
                <w:sz w:val="20"/>
              </w:rPr>
            </w:pPr>
            <w:r w:rsidRPr="00CF7BF2">
              <w:rPr>
                <w:rFonts w:asciiTheme="majorHAnsi" w:hAnsiTheme="majorHAnsi"/>
                <w:color w:val="000000"/>
                <w:sz w:val="20"/>
              </w:rPr>
              <w:t>Kansas</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FF711F" w14:textId="10DEEB83"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0"/>
                <w:szCs w:val="20"/>
              </w:rPr>
              <w:t>86</w:t>
            </w:r>
            <w:r w:rsidR="00264EC5">
              <w:rPr>
                <w:rFonts w:ascii="Cambria" w:eastAsia="Times New Roman" w:hAnsi="Cambria"/>
                <w:color w:val="000000"/>
                <w:sz w:val="20"/>
                <w:szCs w:val="20"/>
              </w:rPr>
              <w:t>%</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A36849" w14:textId="6DAC16E9"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51%</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E490EF" w14:textId="26CA0B54"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42%</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99078E" w14:textId="09EE3372"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29%</w:t>
            </w:r>
          </w:p>
        </w:tc>
      </w:tr>
      <w:tr w:rsidR="00120ECC" w:rsidRPr="00120ECC" w14:paraId="505F6233"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26038B" w14:textId="77777777" w:rsidR="00120ECC" w:rsidRPr="00CF7BF2" w:rsidRDefault="00120ECC" w:rsidP="00CF7BF2">
            <w:pPr>
              <w:tabs>
                <w:tab w:val="clear" w:pos="360"/>
              </w:tabs>
              <w:spacing w:before="0" w:beforeAutospacing="0" w:after="0" w:afterAutospacing="0"/>
              <w:jc w:val="left"/>
              <w:rPr>
                <w:rFonts w:asciiTheme="majorHAnsi" w:hAnsiTheme="majorHAnsi"/>
                <w:color w:val="000000"/>
                <w:sz w:val="20"/>
              </w:rPr>
            </w:pPr>
            <w:r w:rsidRPr="00CF7BF2">
              <w:rPr>
                <w:rFonts w:asciiTheme="majorHAnsi" w:hAnsiTheme="majorHAnsi"/>
                <w:color w:val="000000"/>
                <w:sz w:val="20"/>
              </w:rPr>
              <w:lastRenderedPageBreak/>
              <w:t>Louisiana</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62D3CC" w14:textId="17129BD8"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0"/>
                <w:szCs w:val="20"/>
              </w:rPr>
              <w:t>87</w:t>
            </w:r>
            <w:r w:rsidR="00264EC5">
              <w:rPr>
                <w:rFonts w:ascii="Cambria" w:eastAsia="Times New Roman" w:hAnsi="Cambria"/>
                <w:color w:val="000000"/>
                <w:sz w:val="20"/>
                <w:szCs w:val="20"/>
              </w:rPr>
              <w:t>%</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640CF4" w14:textId="2DEC89E0"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79%</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51D04B" w14:textId="43D914DD"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73%</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B0BD6B" w14:textId="4084C36C"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55%</w:t>
            </w:r>
          </w:p>
        </w:tc>
      </w:tr>
      <w:tr w:rsidR="00120ECC" w:rsidRPr="00120ECC" w14:paraId="6C9E07A6"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471E6F" w14:textId="77777777" w:rsidR="00120ECC" w:rsidRPr="00DE5366" w:rsidRDefault="00120ECC" w:rsidP="00CF7BF2">
            <w:pPr>
              <w:tabs>
                <w:tab w:val="clear" w:pos="360"/>
              </w:tabs>
              <w:spacing w:before="0" w:beforeAutospacing="0" w:after="0" w:afterAutospacing="0"/>
              <w:jc w:val="left"/>
              <w:rPr>
                <w:rFonts w:asciiTheme="majorHAnsi" w:hAnsiTheme="majorHAnsi"/>
                <w:color w:val="000000"/>
                <w:sz w:val="20"/>
              </w:rPr>
            </w:pPr>
            <w:r w:rsidRPr="00DE5366">
              <w:rPr>
                <w:rFonts w:asciiTheme="majorHAnsi" w:hAnsiTheme="majorHAnsi"/>
                <w:color w:val="000000"/>
                <w:sz w:val="20"/>
              </w:rPr>
              <w:t>Montana</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677559" w14:textId="6B5A1F44"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0"/>
                <w:szCs w:val="20"/>
              </w:rPr>
              <w:t>92</w:t>
            </w:r>
            <w:r w:rsidR="00264EC5">
              <w:rPr>
                <w:rFonts w:ascii="Cambria" w:eastAsia="Times New Roman" w:hAnsi="Cambria"/>
                <w:color w:val="000000"/>
                <w:sz w:val="20"/>
                <w:szCs w:val="20"/>
              </w:rPr>
              <w:t>%</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0D95E6" w14:textId="52A4539A"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88%</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3C65BB" w14:textId="7097D353"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88%</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179438" w14:textId="20C67FEB"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85%</w:t>
            </w:r>
          </w:p>
        </w:tc>
      </w:tr>
      <w:tr w:rsidR="00120ECC" w:rsidRPr="00120ECC" w14:paraId="5EFE117A"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986D4F" w14:textId="77777777" w:rsidR="00120ECC" w:rsidRPr="00CF7BF2" w:rsidRDefault="00120ECC" w:rsidP="00CF7BF2">
            <w:pPr>
              <w:tabs>
                <w:tab w:val="clear" w:pos="360"/>
              </w:tabs>
              <w:spacing w:before="0" w:beforeAutospacing="0" w:after="0" w:afterAutospacing="0"/>
              <w:jc w:val="left"/>
              <w:rPr>
                <w:rFonts w:asciiTheme="majorHAnsi" w:hAnsiTheme="majorHAnsi"/>
                <w:color w:val="000000"/>
                <w:sz w:val="20"/>
              </w:rPr>
            </w:pPr>
            <w:r w:rsidRPr="00CF7BF2">
              <w:rPr>
                <w:rFonts w:asciiTheme="majorHAnsi" w:hAnsiTheme="majorHAnsi"/>
                <w:color w:val="000000"/>
                <w:sz w:val="20"/>
              </w:rPr>
              <w:t>New Mexico</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A628DF" w14:textId="21AEA6D7"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0"/>
                <w:szCs w:val="20"/>
              </w:rPr>
              <w:t>92</w:t>
            </w:r>
            <w:r w:rsidR="00264EC5">
              <w:rPr>
                <w:rFonts w:ascii="Cambria" w:eastAsia="Times New Roman" w:hAnsi="Cambria"/>
                <w:color w:val="000000"/>
                <w:sz w:val="20"/>
                <w:szCs w:val="20"/>
              </w:rPr>
              <w:t>%</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7ABD31" w14:textId="6693E64B"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92%</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B8D3E5" w14:textId="5D4FF5D5"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92%</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A5E2E5" w14:textId="3855CBF6"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88%</w:t>
            </w:r>
          </w:p>
        </w:tc>
      </w:tr>
      <w:tr w:rsidR="00120ECC" w:rsidRPr="00120ECC" w14:paraId="0021DBC4"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F16E8E" w14:textId="77777777" w:rsidR="00120ECC" w:rsidRPr="00CF7BF2" w:rsidRDefault="00120ECC" w:rsidP="00CF7BF2">
            <w:pPr>
              <w:tabs>
                <w:tab w:val="clear" w:pos="360"/>
              </w:tabs>
              <w:spacing w:before="0" w:beforeAutospacing="0" w:after="0" w:afterAutospacing="0"/>
              <w:jc w:val="left"/>
              <w:rPr>
                <w:rFonts w:asciiTheme="majorHAnsi" w:hAnsiTheme="majorHAnsi"/>
                <w:color w:val="000000"/>
                <w:sz w:val="20"/>
              </w:rPr>
            </w:pPr>
            <w:r w:rsidRPr="00CF7BF2">
              <w:rPr>
                <w:rFonts w:asciiTheme="majorHAnsi" w:hAnsiTheme="majorHAnsi"/>
                <w:color w:val="000000"/>
                <w:sz w:val="20"/>
              </w:rPr>
              <w:t>North Dakota</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2B1360" w14:textId="64952068"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0"/>
                <w:szCs w:val="20"/>
              </w:rPr>
              <w:t>95</w:t>
            </w:r>
            <w:r w:rsidR="00264EC5">
              <w:rPr>
                <w:rFonts w:ascii="Cambria" w:eastAsia="Times New Roman" w:hAnsi="Cambria"/>
                <w:color w:val="000000"/>
                <w:sz w:val="20"/>
                <w:szCs w:val="20"/>
              </w:rPr>
              <w:t>%</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934941" w14:textId="21DF3373"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95%</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6E145D" w14:textId="55DD5BB2"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95%</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0FEDC7" w14:textId="1488EE73"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94%</w:t>
            </w:r>
          </w:p>
        </w:tc>
      </w:tr>
      <w:tr w:rsidR="00120ECC" w:rsidRPr="00120ECC" w14:paraId="4DABBE24"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F893F8" w14:textId="77777777" w:rsidR="00120ECC" w:rsidRPr="00CF7BF2" w:rsidRDefault="00120ECC" w:rsidP="00CF7BF2">
            <w:pPr>
              <w:tabs>
                <w:tab w:val="clear" w:pos="360"/>
              </w:tabs>
              <w:spacing w:before="0" w:beforeAutospacing="0" w:after="0" w:afterAutospacing="0"/>
              <w:jc w:val="left"/>
              <w:rPr>
                <w:rFonts w:asciiTheme="majorHAnsi" w:hAnsiTheme="majorHAnsi"/>
                <w:color w:val="000000"/>
                <w:sz w:val="20"/>
              </w:rPr>
            </w:pPr>
            <w:r w:rsidRPr="00CF7BF2">
              <w:rPr>
                <w:rFonts w:asciiTheme="majorHAnsi" w:hAnsiTheme="majorHAnsi"/>
                <w:color w:val="000000"/>
                <w:sz w:val="20"/>
              </w:rPr>
              <w:t>Ohio</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51598D" w14:textId="3083B675"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0"/>
                <w:szCs w:val="20"/>
              </w:rPr>
              <w:t>87</w:t>
            </w:r>
            <w:r w:rsidR="00264EC5">
              <w:rPr>
                <w:rFonts w:ascii="Cambria" w:eastAsia="Times New Roman" w:hAnsi="Cambria"/>
                <w:color w:val="000000"/>
                <w:sz w:val="20"/>
                <w:szCs w:val="20"/>
              </w:rPr>
              <w:t>%</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E550E3" w14:textId="1574CD48"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69%</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5CE611" w14:textId="7A0F4B11"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69%</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F2C63D" w14:textId="534EE0F8"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69%</w:t>
            </w:r>
          </w:p>
        </w:tc>
      </w:tr>
      <w:tr w:rsidR="00120ECC" w:rsidRPr="00120ECC" w14:paraId="4FC1B5B8"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AA5CD2" w14:textId="77777777" w:rsidR="00120ECC" w:rsidRPr="00CF7BF2" w:rsidRDefault="00120ECC" w:rsidP="00CF7BF2">
            <w:pPr>
              <w:tabs>
                <w:tab w:val="clear" w:pos="360"/>
              </w:tabs>
              <w:spacing w:before="0" w:beforeAutospacing="0" w:after="0" w:afterAutospacing="0"/>
              <w:jc w:val="left"/>
              <w:rPr>
                <w:rFonts w:asciiTheme="majorHAnsi" w:hAnsiTheme="majorHAnsi"/>
                <w:color w:val="000000"/>
                <w:sz w:val="20"/>
              </w:rPr>
            </w:pPr>
            <w:r w:rsidRPr="00CF7BF2">
              <w:rPr>
                <w:rFonts w:asciiTheme="majorHAnsi" w:hAnsiTheme="majorHAnsi"/>
                <w:color w:val="000000"/>
                <w:sz w:val="20"/>
              </w:rPr>
              <w:t>Oklahoma</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B7B3CA" w14:textId="2CF07B70"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0"/>
                <w:szCs w:val="20"/>
              </w:rPr>
              <w:t>86</w:t>
            </w:r>
            <w:r w:rsidR="00264EC5">
              <w:rPr>
                <w:rFonts w:ascii="Cambria" w:eastAsia="Times New Roman" w:hAnsi="Cambria"/>
                <w:color w:val="000000"/>
                <w:sz w:val="20"/>
                <w:szCs w:val="20"/>
              </w:rPr>
              <w:t>%</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791B82" w14:textId="71433439"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61%</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211CDF" w14:textId="7BB511AB"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61%</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5D7E43" w14:textId="2E70FF51"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53%</w:t>
            </w:r>
          </w:p>
        </w:tc>
      </w:tr>
      <w:tr w:rsidR="00120ECC" w:rsidRPr="00120ECC" w14:paraId="6C639E86"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652477" w14:textId="77777777" w:rsidR="00120ECC" w:rsidRPr="00CF7BF2" w:rsidRDefault="00120ECC" w:rsidP="00CF7BF2">
            <w:pPr>
              <w:tabs>
                <w:tab w:val="clear" w:pos="360"/>
              </w:tabs>
              <w:spacing w:before="0" w:beforeAutospacing="0" w:after="0" w:afterAutospacing="0"/>
              <w:jc w:val="left"/>
              <w:rPr>
                <w:rFonts w:asciiTheme="majorHAnsi" w:hAnsiTheme="majorHAnsi"/>
                <w:color w:val="000000"/>
                <w:sz w:val="20"/>
              </w:rPr>
            </w:pPr>
            <w:r w:rsidRPr="00CF7BF2">
              <w:rPr>
                <w:rFonts w:asciiTheme="majorHAnsi" w:hAnsiTheme="majorHAnsi"/>
                <w:color w:val="000000"/>
                <w:sz w:val="20"/>
              </w:rPr>
              <w:t>Other States</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34D428" w14:textId="4A0DC0E5"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0"/>
                <w:szCs w:val="20"/>
              </w:rPr>
              <w:t>90</w:t>
            </w:r>
            <w:r w:rsidR="00264EC5">
              <w:rPr>
                <w:rFonts w:ascii="Cambria" w:eastAsia="Times New Roman" w:hAnsi="Cambria"/>
                <w:color w:val="000000"/>
                <w:sz w:val="20"/>
                <w:szCs w:val="20"/>
              </w:rPr>
              <w:t>%</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BBBDBA" w14:textId="09128D14"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74%</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6A4F14" w14:textId="4AA7960A"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74%</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68892E" w14:textId="4FE9E522"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60%</w:t>
            </w:r>
          </w:p>
        </w:tc>
      </w:tr>
      <w:tr w:rsidR="00120ECC" w:rsidRPr="00120ECC" w14:paraId="731E575B"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C55B56" w14:textId="77777777" w:rsidR="00120ECC" w:rsidRPr="00CF7BF2" w:rsidRDefault="00120ECC" w:rsidP="00CF7BF2">
            <w:pPr>
              <w:tabs>
                <w:tab w:val="clear" w:pos="360"/>
              </w:tabs>
              <w:spacing w:before="0" w:beforeAutospacing="0" w:after="0" w:afterAutospacing="0"/>
              <w:jc w:val="left"/>
              <w:rPr>
                <w:rFonts w:asciiTheme="majorHAnsi" w:hAnsiTheme="majorHAnsi"/>
                <w:color w:val="000000"/>
                <w:sz w:val="20"/>
              </w:rPr>
            </w:pPr>
            <w:r w:rsidRPr="00CF7BF2">
              <w:rPr>
                <w:rFonts w:asciiTheme="majorHAnsi" w:hAnsiTheme="majorHAnsi"/>
                <w:color w:val="000000"/>
                <w:sz w:val="20"/>
              </w:rPr>
              <w:t>Pennsylvania</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4DD85E" w14:textId="606375AE"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0"/>
                <w:szCs w:val="20"/>
              </w:rPr>
              <w:t>87</w:t>
            </w:r>
            <w:r w:rsidR="00264EC5">
              <w:rPr>
                <w:rFonts w:ascii="Cambria" w:eastAsia="Times New Roman" w:hAnsi="Cambria"/>
                <w:color w:val="000000"/>
                <w:sz w:val="20"/>
                <w:szCs w:val="20"/>
              </w:rPr>
              <w:t>%</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727E17" w14:textId="0FB7C831"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50%</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5C206E" w14:textId="27602EB4"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50%</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550143" w14:textId="1B600766"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50%</w:t>
            </w:r>
          </w:p>
        </w:tc>
      </w:tr>
      <w:tr w:rsidR="00120ECC" w:rsidRPr="00120ECC" w14:paraId="642EF265"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0A2D1A" w14:textId="77777777" w:rsidR="00120ECC" w:rsidRPr="00CF7BF2" w:rsidRDefault="00120ECC" w:rsidP="00CF7BF2">
            <w:pPr>
              <w:tabs>
                <w:tab w:val="clear" w:pos="360"/>
              </w:tabs>
              <w:spacing w:before="0" w:beforeAutospacing="0" w:after="0" w:afterAutospacing="0"/>
              <w:jc w:val="left"/>
              <w:rPr>
                <w:rFonts w:asciiTheme="majorHAnsi" w:hAnsiTheme="majorHAnsi"/>
                <w:color w:val="000000"/>
                <w:sz w:val="20"/>
              </w:rPr>
            </w:pPr>
            <w:r w:rsidRPr="00CF7BF2">
              <w:rPr>
                <w:rFonts w:asciiTheme="majorHAnsi" w:hAnsiTheme="majorHAnsi"/>
                <w:color w:val="000000"/>
                <w:sz w:val="20"/>
              </w:rPr>
              <w:t>Texas</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711FC8" w14:textId="3B9437ED"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0"/>
                <w:szCs w:val="20"/>
              </w:rPr>
              <w:t>91</w:t>
            </w:r>
            <w:r w:rsidR="00264EC5">
              <w:rPr>
                <w:rFonts w:ascii="Cambria" w:eastAsia="Times New Roman" w:hAnsi="Cambria"/>
                <w:color w:val="000000"/>
                <w:sz w:val="20"/>
                <w:szCs w:val="20"/>
              </w:rPr>
              <w:t>%</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DCED55" w14:textId="68428D12"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89%</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89C020" w14:textId="7310674F"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89%</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9C7B31" w14:textId="6D8687E0"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81%</w:t>
            </w:r>
          </w:p>
        </w:tc>
      </w:tr>
      <w:tr w:rsidR="00120ECC" w:rsidRPr="00120ECC" w14:paraId="6AF9E5BC"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160699" w14:textId="77777777" w:rsidR="00120ECC" w:rsidRPr="00CF7BF2" w:rsidRDefault="00120ECC" w:rsidP="00CF7BF2">
            <w:pPr>
              <w:tabs>
                <w:tab w:val="clear" w:pos="360"/>
              </w:tabs>
              <w:spacing w:before="0" w:beforeAutospacing="0" w:after="0" w:afterAutospacing="0"/>
              <w:jc w:val="left"/>
              <w:rPr>
                <w:rFonts w:asciiTheme="majorHAnsi" w:hAnsiTheme="majorHAnsi"/>
                <w:color w:val="000000"/>
                <w:sz w:val="20"/>
              </w:rPr>
            </w:pPr>
            <w:r w:rsidRPr="00CF7BF2">
              <w:rPr>
                <w:rFonts w:asciiTheme="majorHAnsi" w:hAnsiTheme="majorHAnsi"/>
                <w:color w:val="000000"/>
                <w:sz w:val="20"/>
              </w:rPr>
              <w:t>Utah</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0809BB" w14:textId="6BE1E27A"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0"/>
                <w:szCs w:val="20"/>
              </w:rPr>
              <w:t>95</w:t>
            </w:r>
            <w:r w:rsidR="00264EC5">
              <w:rPr>
                <w:rFonts w:ascii="Cambria" w:eastAsia="Times New Roman" w:hAnsi="Cambria"/>
                <w:color w:val="000000"/>
                <w:sz w:val="20"/>
                <w:szCs w:val="20"/>
              </w:rPr>
              <w:t>%</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69FF02" w14:textId="2CBC4A89"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96%</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68D2C9" w14:textId="3EE6DA1A"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96%</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6B2F14" w14:textId="61C65134"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86%</w:t>
            </w:r>
          </w:p>
        </w:tc>
      </w:tr>
      <w:tr w:rsidR="00120ECC" w:rsidRPr="00120ECC" w14:paraId="04D7F0FF" w14:textId="77777777" w:rsidTr="00CF7BF2">
        <w:trPr>
          <w:trHeight w:val="300"/>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EF447A" w14:textId="77777777" w:rsidR="00120ECC" w:rsidRPr="00CF7BF2" w:rsidRDefault="00120ECC" w:rsidP="00CF7BF2">
            <w:pPr>
              <w:tabs>
                <w:tab w:val="clear" w:pos="360"/>
              </w:tabs>
              <w:spacing w:before="0" w:beforeAutospacing="0" w:after="0" w:afterAutospacing="0"/>
              <w:jc w:val="left"/>
              <w:rPr>
                <w:rFonts w:asciiTheme="majorHAnsi" w:hAnsiTheme="majorHAnsi"/>
                <w:color w:val="000000"/>
                <w:sz w:val="20"/>
              </w:rPr>
            </w:pPr>
            <w:r w:rsidRPr="00CF7BF2">
              <w:rPr>
                <w:rFonts w:asciiTheme="majorHAnsi" w:hAnsiTheme="majorHAnsi"/>
                <w:color w:val="000000"/>
                <w:sz w:val="20"/>
              </w:rPr>
              <w:t>West Virginia</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22B470" w14:textId="20E494B3"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84%</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712EC3" w14:textId="5B913531"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76%</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1BD544" w14:textId="16DEB87E"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76%</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D1773B" w14:textId="50E27C3B"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76%</w:t>
            </w:r>
          </w:p>
        </w:tc>
      </w:tr>
      <w:tr w:rsidR="00120ECC" w:rsidRPr="00120ECC" w14:paraId="6761048D"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4522F4" w14:textId="77777777" w:rsidR="00120ECC" w:rsidRPr="00CF7BF2" w:rsidRDefault="00120ECC" w:rsidP="00CF7BF2">
            <w:pPr>
              <w:tabs>
                <w:tab w:val="clear" w:pos="360"/>
              </w:tabs>
              <w:spacing w:before="0" w:beforeAutospacing="0" w:after="0" w:afterAutospacing="0"/>
              <w:jc w:val="left"/>
              <w:rPr>
                <w:rFonts w:asciiTheme="majorHAnsi" w:hAnsiTheme="majorHAnsi"/>
                <w:color w:val="000000"/>
                <w:sz w:val="20"/>
              </w:rPr>
            </w:pPr>
            <w:r w:rsidRPr="00CF7BF2">
              <w:rPr>
                <w:rFonts w:asciiTheme="majorHAnsi" w:hAnsiTheme="majorHAnsi"/>
                <w:color w:val="000000"/>
                <w:sz w:val="20"/>
              </w:rPr>
              <w:t>Wyoming</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5ACCF2" w14:textId="6724E683"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0"/>
                <w:szCs w:val="20"/>
              </w:rPr>
              <w:t>89</w:t>
            </w:r>
            <w:r w:rsidR="00264EC5">
              <w:rPr>
                <w:rFonts w:ascii="Cambria" w:eastAsia="Times New Roman" w:hAnsi="Cambria"/>
                <w:color w:val="000000"/>
                <w:sz w:val="20"/>
                <w:szCs w:val="20"/>
              </w:rPr>
              <w:t>%</w:t>
            </w:r>
          </w:p>
        </w:tc>
        <w:tc>
          <w:tcPr>
            <w:tcW w:w="6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7545BD" w14:textId="1E20398C"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87%</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015E18" w14:textId="6F662215"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87%</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839111" w14:textId="10D02BC5" w:rsidR="00120ECC" w:rsidRPr="00CF7BF2" w:rsidRDefault="00120ECC" w:rsidP="00CF7BF2">
            <w:pPr>
              <w:tabs>
                <w:tab w:val="clear" w:pos="360"/>
              </w:tabs>
              <w:spacing w:before="0" w:beforeAutospacing="0" w:after="0" w:afterAutospacing="0"/>
              <w:jc w:val="center"/>
              <w:rPr>
                <w:rFonts w:asciiTheme="majorHAnsi" w:hAnsiTheme="majorHAnsi"/>
                <w:color w:val="000000"/>
                <w:sz w:val="20"/>
              </w:rPr>
            </w:pPr>
            <w:r w:rsidRPr="00120ECC">
              <w:rPr>
                <w:rFonts w:ascii="Cambria" w:eastAsia="Times New Roman" w:hAnsi="Cambria"/>
                <w:color w:val="000000"/>
                <w:sz w:val="22"/>
              </w:rPr>
              <w:t>77%</w:t>
            </w:r>
          </w:p>
        </w:tc>
      </w:tr>
      <w:tr w:rsidR="00CF7BF2" w:rsidRPr="00120ECC" w14:paraId="6A3045D3"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F88B17" w14:textId="77777777" w:rsidR="00120ECC" w:rsidRPr="00CF7BF2" w:rsidRDefault="00120ECC" w:rsidP="00CF7BF2">
            <w:pPr>
              <w:tabs>
                <w:tab w:val="clear" w:pos="360"/>
              </w:tabs>
              <w:spacing w:before="0" w:beforeAutospacing="0" w:after="0" w:afterAutospacing="0"/>
              <w:ind w:left="360"/>
              <w:jc w:val="left"/>
              <w:rPr>
                <w:rFonts w:asciiTheme="majorHAnsi" w:hAnsiTheme="majorHAnsi"/>
                <w:b/>
                <w:color w:val="000000"/>
                <w:sz w:val="20"/>
              </w:rPr>
            </w:pPr>
            <w:r w:rsidRPr="00CF7BF2">
              <w:rPr>
                <w:rFonts w:asciiTheme="majorHAnsi" w:hAnsiTheme="majorHAnsi"/>
                <w:b/>
                <w:color w:val="000000"/>
                <w:sz w:val="20"/>
              </w:rPr>
              <w:t>Lower 48</w:t>
            </w:r>
          </w:p>
        </w:tc>
        <w:tc>
          <w:tcPr>
            <w:tcW w:w="649" w:type="dxa"/>
            <w:tcBorders>
              <w:top w:val="single" w:sz="8" w:space="0" w:color="auto"/>
              <w:left w:val="nil"/>
              <w:bottom w:val="single" w:sz="8" w:space="0" w:color="auto"/>
              <w:right w:val="single" w:sz="8" w:space="0" w:color="auto"/>
            </w:tcBorders>
            <w:shd w:val="clear" w:color="auto" w:fill="auto"/>
            <w:noWrap/>
            <w:vAlign w:val="bottom"/>
            <w:hideMark/>
          </w:tcPr>
          <w:p w14:paraId="4CFC9A1E" w14:textId="351D5A67" w:rsidR="00120ECC" w:rsidRPr="00CF7BF2" w:rsidRDefault="00120ECC" w:rsidP="00CF7BF2">
            <w:pPr>
              <w:tabs>
                <w:tab w:val="clear" w:pos="360"/>
              </w:tabs>
              <w:spacing w:before="0" w:beforeAutospacing="0" w:after="0" w:afterAutospacing="0"/>
              <w:jc w:val="center"/>
              <w:rPr>
                <w:rFonts w:asciiTheme="majorHAnsi" w:hAnsiTheme="majorHAnsi"/>
                <w:b/>
                <w:color w:val="000000"/>
                <w:sz w:val="20"/>
              </w:rPr>
            </w:pPr>
            <w:r w:rsidRPr="00120ECC">
              <w:rPr>
                <w:rFonts w:ascii="Cambria" w:eastAsia="Times New Roman" w:hAnsi="Cambria"/>
                <w:b/>
                <w:bCs/>
                <w:color w:val="000000"/>
                <w:sz w:val="20"/>
                <w:szCs w:val="20"/>
              </w:rPr>
              <w:t>91</w:t>
            </w:r>
            <w:r w:rsidR="00264EC5">
              <w:rPr>
                <w:rFonts w:ascii="Cambria" w:eastAsia="Times New Roman" w:hAnsi="Cambria"/>
                <w:b/>
                <w:bCs/>
                <w:color w:val="000000"/>
                <w:sz w:val="20"/>
                <w:szCs w:val="20"/>
              </w:rPr>
              <w:t>%</w:t>
            </w:r>
          </w:p>
        </w:tc>
        <w:tc>
          <w:tcPr>
            <w:tcW w:w="649" w:type="dxa"/>
            <w:tcBorders>
              <w:top w:val="single" w:sz="8" w:space="0" w:color="auto"/>
              <w:left w:val="nil"/>
              <w:bottom w:val="single" w:sz="8" w:space="0" w:color="auto"/>
              <w:right w:val="single" w:sz="8" w:space="0" w:color="auto"/>
            </w:tcBorders>
            <w:shd w:val="clear" w:color="auto" w:fill="auto"/>
            <w:noWrap/>
            <w:vAlign w:val="bottom"/>
            <w:hideMark/>
          </w:tcPr>
          <w:p w14:paraId="11B1438C" w14:textId="2C240AFD" w:rsidR="00120ECC" w:rsidRPr="00CF7BF2" w:rsidRDefault="00120ECC" w:rsidP="00CF7BF2">
            <w:pPr>
              <w:tabs>
                <w:tab w:val="clear" w:pos="360"/>
              </w:tabs>
              <w:spacing w:before="0" w:beforeAutospacing="0" w:after="0" w:afterAutospacing="0"/>
              <w:jc w:val="center"/>
              <w:rPr>
                <w:rFonts w:asciiTheme="majorHAnsi" w:hAnsiTheme="majorHAnsi"/>
                <w:b/>
                <w:color w:val="000000"/>
                <w:sz w:val="20"/>
              </w:rPr>
            </w:pPr>
            <w:r w:rsidRPr="00120ECC">
              <w:rPr>
                <w:rFonts w:ascii="Cambria" w:eastAsia="Times New Roman" w:hAnsi="Cambria"/>
                <w:b/>
                <w:bCs/>
                <w:color w:val="000000"/>
                <w:sz w:val="20"/>
                <w:szCs w:val="20"/>
              </w:rPr>
              <w:t>90</w:t>
            </w:r>
            <w:r w:rsidR="00264EC5">
              <w:rPr>
                <w:rFonts w:ascii="Cambria" w:eastAsia="Times New Roman" w:hAnsi="Cambria"/>
                <w:b/>
                <w:bCs/>
                <w:color w:val="000000"/>
                <w:sz w:val="20"/>
                <w:szCs w:val="20"/>
              </w:rPr>
              <w:t>%</w:t>
            </w:r>
          </w:p>
        </w:tc>
        <w:tc>
          <w:tcPr>
            <w:tcW w:w="758" w:type="dxa"/>
            <w:tcBorders>
              <w:top w:val="single" w:sz="8" w:space="0" w:color="auto"/>
              <w:left w:val="nil"/>
              <w:bottom w:val="single" w:sz="8" w:space="0" w:color="auto"/>
              <w:right w:val="single" w:sz="8" w:space="0" w:color="auto"/>
            </w:tcBorders>
            <w:shd w:val="clear" w:color="auto" w:fill="auto"/>
            <w:noWrap/>
            <w:vAlign w:val="bottom"/>
            <w:hideMark/>
          </w:tcPr>
          <w:p w14:paraId="587912BF" w14:textId="3AED59F4" w:rsidR="00120ECC" w:rsidRPr="00CF7BF2" w:rsidRDefault="00120ECC" w:rsidP="00CF7BF2">
            <w:pPr>
              <w:tabs>
                <w:tab w:val="clear" w:pos="360"/>
              </w:tabs>
              <w:spacing w:before="0" w:beforeAutospacing="0" w:after="0" w:afterAutospacing="0"/>
              <w:jc w:val="center"/>
              <w:rPr>
                <w:rFonts w:asciiTheme="majorHAnsi" w:hAnsiTheme="majorHAnsi"/>
                <w:b/>
                <w:color w:val="000000"/>
                <w:sz w:val="20"/>
              </w:rPr>
            </w:pPr>
            <w:r w:rsidRPr="00120ECC">
              <w:rPr>
                <w:rFonts w:ascii="Cambria" w:eastAsia="Times New Roman" w:hAnsi="Cambria"/>
                <w:b/>
                <w:bCs/>
                <w:color w:val="000000"/>
                <w:sz w:val="20"/>
                <w:szCs w:val="20"/>
              </w:rPr>
              <w:t>89</w:t>
            </w:r>
            <w:r w:rsidR="00264EC5">
              <w:rPr>
                <w:rFonts w:ascii="Cambria" w:eastAsia="Times New Roman" w:hAnsi="Cambria"/>
                <w:b/>
                <w:bCs/>
                <w:color w:val="000000"/>
                <w:sz w:val="20"/>
                <w:szCs w:val="20"/>
              </w:rPr>
              <w:t>%</w:t>
            </w:r>
          </w:p>
        </w:tc>
        <w:tc>
          <w:tcPr>
            <w:tcW w:w="758" w:type="dxa"/>
            <w:tcBorders>
              <w:top w:val="single" w:sz="8" w:space="0" w:color="auto"/>
              <w:left w:val="nil"/>
              <w:bottom w:val="single" w:sz="8" w:space="0" w:color="auto"/>
              <w:right w:val="single" w:sz="8" w:space="0" w:color="auto"/>
            </w:tcBorders>
            <w:shd w:val="clear" w:color="auto" w:fill="auto"/>
            <w:noWrap/>
            <w:vAlign w:val="bottom"/>
            <w:hideMark/>
          </w:tcPr>
          <w:p w14:paraId="37D10EC4" w14:textId="38A21A90" w:rsidR="00120ECC" w:rsidRPr="00CF7BF2" w:rsidRDefault="00120ECC" w:rsidP="00CF7BF2">
            <w:pPr>
              <w:tabs>
                <w:tab w:val="clear" w:pos="360"/>
              </w:tabs>
              <w:spacing w:before="0" w:beforeAutospacing="0" w:after="0" w:afterAutospacing="0"/>
              <w:jc w:val="center"/>
              <w:rPr>
                <w:rFonts w:asciiTheme="majorHAnsi" w:hAnsiTheme="majorHAnsi"/>
                <w:b/>
                <w:color w:val="000000"/>
                <w:sz w:val="20"/>
              </w:rPr>
            </w:pPr>
            <w:r w:rsidRPr="00120ECC">
              <w:rPr>
                <w:rFonts w:ascii="Cambria" w:eastAsia="Times New Roman" w:hAnsi="Cambria"/>
                <w:b/>
                <w:bCs/>
                <w:color w:val="000000"/>
                <w:sz w:val="20"/>
                <w:szCs w:val="20"/>
              </w:rPr>
              <w:t>84</w:t>
            </w:r>
            <w:r w:rsidR="00264EC5">
              <w:rPr>
                <w:rFonts w:ascii="Cambria" w:eastAsia="Times New Roman" w:hAnsi="Cambria"/>
                <w:b/>
                <w:bCs/>
                <w:color w:val="000000"/>
                <w:sz w:val="20"/>
                <w:szCs w:val="20"/>
              </w:rPr>
              <w:t>%</w:t>
            </w:r>
          </w:p>
        </w:tc>
      </w:tr>
      <w:tr w:rsidR="00CF7BF2" w:rsidRPr="00120ECC" w14:paraId="7C825D52" w14:textId="77777777" w:rsidTr="00CF7BF2">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F39A93" w14:textId="77777777" w:rsidR="00120ECC" w:rsidRPr="00CF7BF2" w:rsidRDefault="00120ECC" w:rsidP="00CF7BF2">
            <w:pPr>
              <w:tabs>
                <w:tab w:val="clear" w:pos="360"/>
              </w:tabs>
              <w:spacing w:before="0" w:beforeAutospacing="0" w:after="0" w:afterAutospacing="0"/>
              <w:ind w:left="360"/>
              <w:jc w:val="left"/>
              <w:rPr>
                <w:rFonts w:asciiTheme="majorHAnsi" w:hAnsiTheme="majorHAnsi"/>
                <w:b/>
                <w:color w:val="000000"/>
                <w:sz w:val="20"/>
              </w:rPr>
            </w:pPr>
            <w:r w:rsidRPr="00CF7BF2">
              <w:rPr>
                <w:rFonts w:asciiTheme="majorHAnsi" w:hAnsiTheme="majorHAnsi"/>
                <w:b/>
                <w:color w:val="000000"/>
                <w:sz w:val="20"/>
              </w:rPr>
              <w:t>Sample Size</w:t>
            </w:r>
          </w:p>
        </w:tc>
        <w:tc>
          <w:tcPr>
            <w:tcW w:w="649" w:type="dxa"/>
            <w:tcBorders>
              <w:top w:val="single" w:sz="8" w:space="0" w:color="auto"/>
              <w:left w:val="nil"/>
              <w:bottom w:val="single" w:sz="8" w:space="0" w:color="auto"/>
              <w:right w:val="single" w:sz="8" w:space="0" w:color="auto"/>
            </w:tcBorders>
            <w:shd w:val="clear" w:color="auto" w:fill="auto"/>
            <w:noWrap/>
            <w:vAlign w:val="bottom"/>
            <w:hideMark/>
          </w:tcPr>
          <w:p w14:paraId="147DDAF6" w14:textId="77777777" w:rsidR="00120ECC" w:rsidRPr="00CF7BF2" w:rsidRDefault="00120ECC" w:rsidP="00CF7BF2">
            <w:pPr>
              <w:tabs>
                <w:tab w:val="clear" w:pos="360"/>
              </w:tabs>
              <w:spacing w:before="0" w:beforeAutospacing="0" w:after="0" w:afterAutospacing="0"/>
              <w:jc w:val="center"/>
              <w:rPr>
                <w:rFonts w:asciiTheme="majorHAnsi" w:hAnsiTheme="majorHAnsi"/>
                <w:b/>
                <w:color w:val="000000"/>
                <w:sz w:val="20"/>
              </w:rPr>
            </w:pPr>
            <w:r w:rsidRPr="00CF7BF2">
              <w:rPr>
                <w:rFonts w:asciiTheme="majorHAnsi" w:hAnsiTheme="majorHAnsi"/>
                <w:b/>
                <w:color w:val="000000"/>
                <w:sz w:val="20"/>
              </w:rPr>
              <w:t>982</w:t>
            </w:r>
          </w:p>
        </w:tc>
        <w:tc>
          <w:tcPr>
            <w:tcW w:w="649" w:type="dxa"/>
            <w:tcBorders>
              <w:top w:val="single" w:sz="8" w:space="0" w:color="auto"/>
              <w:left w:val="nil"/>
              <w:bottom w:val="single" w:sz="8" w:space="0" w:color="auto"/>
              <w:right w:val="single" w:sz="8" w:space="0" w:color="auto"/>
            </w:tcBorders>
            <w:shd w:val="clear" w:color="auto" w:fill="auto"/>
            <w:noWrap/>
            <w:vAlign w:val="bottom"/>
            <w:hideMark/>
          </w:tcPr>
          <w:p w14:paraId="3B45D5E0" w14:textId="77777777" w:rsidR="00120ECC" w:rsidRPr="00CF7BF2" w:rsidRDefault="00120ECC" w:rsidP="00CF7BF2">
            <w:pPr>
              <w:tabs>
                <w:tab w:val="clear" w:pos="360"/>
              </w:tabs>
              <w:spacing w:before="0" w:beforeAutospacing="0" w:after="0" w:afterAutospacing="0"/>
              <w:jc w:val="center"/>
              <w:rPr>
                <w:rFonts w:asciiTheme="majorHAnsi" w:hAnsiTheme="majorHAnsi"/>
                <w:b/>
                <w:color w:val="000000"/>
                <w:sz w:val="20"/>
              </w:rPr>
            </w:pPr>
            <w:r w:rsidRPr="00CF7BF2">
              <w:rPr>
                <w:rFonts w:asciiTheme="majorHAnsi" w:hAnsiTheme="majorHAnsi"/>
                <w:b/>
                <w:color w:val="000000"/>
                <w:sz w:val="20"/>
              </w:rPr>
              <w:t>517</w:t>
            </w:r>
          </w:p>
        </w:tc>
        <w:tc>
          <w:tcPr>
            <w:tcW w:w="758" w:type="dxa"/>
            <w:tcBorders>
              <w:top w:val="single" w:sz="8" w:space="0" w:color="auto"/>
              <w:left w:val="nil"/>
              <w:bottom w:val="single" w:sz="8" w:space="0" w:color="auto"/>
              <w:right w:val="single" w:sz="8" w:space="0" w:color="auto"/>
            </w:tcBorders>
            <w:shd w:val="clear" w:color="auto" w:fill="auto"/>
            <w:noWrap/>
            <w:vAlign w:val="bottom"/>
            <w:hideMark/>
          </w:tcPr>
          <w:p w14:paraId="012AC94C" w14:textId="77777777" w:rsidR="00120ECC" w:rsidRPr="00CF7BF2" w:rsidRDefault="00120ECC" w:rsidP="00CF7BF2">
            <w:pPr>
              <w:tabs>
                <w:tab w:val="clear" w:pos="360"/>
              </w:tabs>
              <w:spacing w:before="0" w:beforeAutospacing="0" w:after="0" w:afterAutospacing="0"/>
              <w:jc w:val="center"/>
              <w:rPr>
                <w:rFonts w:asciiTheme="majorHAnsi" w:hAnsiTheme="majorHAnsi"/>
                <w:b/>
                <w:color w:val="000000"/>
                <w:sz w:val="20"/>
              </w:rPr>
            </w:pPr>
            <w:r w:rsidRPr="00CF7BF2">
              <w:rPr>
                <w:rFonts w:asciiTheme="majorHAnsi" w:hAnsiTheme="majorHAnsi"/>
                <w:b/>
                <w:color w:val="000000"/>
                <w:sz w:val="20"/>
              </w:rPr>
              <w:t>470</w:t>
            </w:r>
          </w:p>
        </w:tc>
        <w:tc>
          <w:tcPr>
            <w:tcW w:w="758" w:type="dxa"/>
            <w:tcBorders>
              <w:top w:val="single" w:sz="8" w:space="0" w:color="auto"/>
              <w:left w:val="nil"/>
              <w:bottom w:val="single" w:sz="8" w:space="0" w:color="auto"/>
              <w:right w:val="single" w:sz="8" w:space="0" w:color="auto"/>
            </w:tcBorders>
            <w:shd w:val="clear" w:color="auto" w:fill="auto"/>
            <w:noWrap/>
            <w:vAlign w:val="bottom"/>
            <w:hideMark/>
          </w:tcPr>
          <w:p w14:paraId="617910B2" w14:textId="77777777" w:rsidR="00120ECC" w:rsidRPr="00CF7BF2" w:rsidRDefault="00120ECC" w:rsidP="00CF7BF2">
            <w:pPr>
              <w:tabs>
                <w:tab w:val="clear" w:pos="360"/>
              </w:tabs>
              <w:spacing w:before="0" w:beforeAutospacing="0" w:after="0" w:afterAutospacing="0"/>
              <w:jc w:val="center"/>
              <w:rPr>
                <w:rFonts w:asciiTheme="majorHAnsi" w:hAnsiTheme="majorHAnsi"/>
                <w:b/>
                <w:color w:val="000000"/>
                <w:sz w:val="20"/>
              </w:rPr>
            </w:pPr>
            <w:r w:rsidRPr="00CF7BF2">
              <w:rPr>
                <w:rFonts w:asciiTheme="majorHAnsi" w:hAnsiTheme="majorHAnsi"/>
                <w:b/>
                <w:color w:val="000000"/>
                <w:sz w:val="20"/>
              </w:rPr>
              <w:t>330</w:t>
            </w:r>
          </w:p>
        </w:tc>
      </w:tr>
    </w:tbl>
    <w:p w14:paraId="3043043B" w14:textId="37DA3D79" w:rsidR="003561CF" w:rsidRDefault="003561CF" w:rsidP="003561CF">
      <w:pPr>
        <w:rPr>
          <w:sz w:val="22"/>
        </w:rPr>
      </w:pPr>
      <w:r>
        <w:rPr>
          <w:color w:val="000000"/>
          <w:sz w:val="22"/>
        </w:rPr>
        <w:t>T</w:t>
      </w:r>
      <w:r w:rsidR="00AC00CC" w:rsidRPr="00597DFF">
        <w:rPr>
          <w:color w:val="000000"/>
          <w:sz w:val="22"/>
        </w:rPr>
        <w:t>h</w:t>
      </w:r>
      <w:r w:rsidR="0031052E">
        <w:rPr>
          <w:color w:val="000000"/>
          <w:sz w:val="22"/>
        </w:rPr>
        <w:t xml:space="preserve">e proposed </w:t>
      </w:r>
      <w:r>
        <w:rPr>
          <w:color w:val="000000"/>
          <w:sz w:val="22"/>
        </w:rPr>
        <w:t xml:space="preserve">expansion of </w:t>
      </w:r>
      <w:r w:rsidR="003D62C8">
        <w:rPr>
          <w:color w:val="000000"/>
          <w:sz w:val="22"/>
        </w:rPr>
        <w:t xml:space="preserve">the </w:t>
      </w:r>
      <w:r w:rsidR="0031052E">
        <w:rPr>
          <w:color w:val="000000"/>
          <w:sz w:val="22"/>
        </w:rPr>
        <w:t>Form EIA-91</w:t>
      </w:r>
      <w:r>
        <w:rPr>
          <w:color w:val="000000"/>
          <w:sz w:val="22"/>
        </w:rPr>
        <w:t>4</w:t>
      </w:r>
      <w:r w:rsidR="0031052E">
        <w:rPr>
          <w:color w:val="000000"/>
          <w:sz w:val="22"/>
        </w:rPr>
        <w:t xml:space="preserve"> </w:t>
      </w:r>
      <w:r w:rsidR="00AC00CC" w:rsidRPr="00597DFF">
        <w:rPr>
          <w:color w:val="000000"/>
          <w:sz w:val="22"/>
        </w:rPr>
        <w:t xml:space="preserve">will </w:t>
      </w:r>
      <w:r>
        <w:rPr>
          <w:color w:val="000000"/>
          <w:sz w:val="22"/>
        </w:rPr>
        <w:t xml:space="preserve">utilize </w:t>
      </w:r>
      <w:r w:rsidR="00120ECC">
        <w:rPr>
          <w:color w:val="000000"/>
          <w:sz w:val="22"/>
        </w:rPr>
        <w:t>34</w:t>
      </w:r>
      <w:r>
        <w:rPr>
          <w:color w:val="000000"/>
          <w:sz w:val="22"/>
        </w:rPr>
        <w:t xml:space="preserve"> cutoff samples, one for each of the </w:t>
      </w:r>
      <w:r w:rsidR="003F1F5C">
        <w:rPr>
          <w:color w:val="000000"/>
          <w:sz w:val="22"/>
        </w:rPr>
        <w:t xml:space="preserve">17 </w:t>
      </w:r>
      <w:r>
        <w:rPr>
          <w:color w:val="000000"/>
          <w:sz w:val="22"/>
        </w:rPr>
        <w:t xml:space="preserve">states/areas for crude oil and lease condensate production, and another </w:t>
      </w:r>
      <w:r w:rsidR="00120ECC">
        <w:rPr>
          <w:color w:val="000000"/>
          <w:sz w:val="22"/>
        </w:rPr>
        <w:t>17</w:t>
      </w:r>
      <w:r w:rsidR="00FA20DF">
        <w:rPr>
          <w:color w:val="000000"/>
          <w:sz w:val="22"/>
        </w:rPr>
        <w:t xml:space="preserve"> cutoff samples </w:t>
      </w:r>
      <w:r>
        <w:rPr>
          <w:color w:val="000000"/>
          <w:sz w:val="22"/>
        </w:rPr>
        <w:t>for</w:t>
      </w:r>
      <w:r w:rsidR="00176506">
        <w:rPr>
          <w:color w:val="000000"/>
          <w:sz w:val="22"/>
        </w:rPr>
        <w:t xml:space="preserve"> each of the states/areas for</w:t>
      </w:r>
      <w:r>
        <w:rPr>
          <w:color w:val="000000"/>
          <w:sz w:val="22"/>
        </w:rPr>
        <w:t xml:space="preserve"> natural gas production</w:t>
      </w:r>
      <w:r w:rsidR="0031052E" w:rsidRPr="0031052E">
        <w:rPr>
          <w:color w:val="000000"/>
          <w:sz w:val="22"/>
        </w:rPr>
        <w:t>.</w:t>
      </w:r>
      <w:r w:rsidR="001D395A">
        <w:rPr>
          <w:sz w:val="22"/>
        </w:rPr>
        <w:t xml:space="preserve"> </w:t>
      </w:r>
      <w:r w:rsidR="00540AEE">
        <w:rPr>
          <w:sz w:val="22"/>
        </w:rPr>
        <w:t>If an operator is sampled for one state/area</w:t>
      </w:r>
      <w:r w:rsidR="00D2014E">
        <w:rPr>
          <w:sz w:val="22"/>
        </w:rPr>
        <w:t xml:space="preserve"> for either crude oil </w:t>
      </w:r>
      <w:r w:rsidR="0099043F">
        <w:rPr>
          <w:sz w:val="22"/>
        </w:rPr>
        <w:t xml:space="preserve">or </w:t>
      </w:r>
      <w:r w:rsidR="00D2014E">
        <w:rPr>
          <w:sz w:val="22"/>
        </w:rPr>
        <w:t>natural gas</w:t>
      </w:r>
      <w:r w:rsidR="003D62C8">
        <w:rPr>
          <w:sz w:val="22"/>
        </w:rPr>
        <w:t>, then</w:t>
      </w:r>
      <w:r w:rsidR="00540AEE">
        <w:rPr>
          <w:sz w:val="22"/>
        </w:rPr>
        <w:t xml:space="preserve"> it </w:t>
      </w:r>
      <w:r w:rsidR="003D62C8">
        <w:rPr>
          <w:sz w:val="22"/>
        </w:rPr>
        <w:t xml:space="preserve">must </w:t>
      </w:r>
      <w:r w:rsidR="00540AEE">
        <w:rPr>
          <w:sz w:val="22"/>
        </w:rPr>
        <w:t xml:space="preserve">report </w:t>
      </w:r>
      <w:r w:rsidR="00D2014E">
        <w:rPr>
          <w:sz w:val="22"/>
        </w:rPr>
        <w:t>natural gas</w:t>
      </w:r>
      <w:r w:rsidR="004E20CB">
        <w:rPr>
          <w:sz w:val="22"/>
        </w:rPr>
        <w:t>,</w:t>
      </w:r>
      <w:r w:rsidR="00A12850">
        <w:rPr>
          <w:sz w:val="22"/>
        </w:rPr>
        <w:t xml:space="preserve"> </w:t>
      </w:r>
      <w:r w:rsidR="0099043F">
        <w:rPr>
          <w:sz w:val="22"/>
        </w:rPr>
        <w:t>crude oil</w:t>
      </w:r>
      <w:r w:rsidR="004E20CB">
        <w:rPr>
          <w:sz w:val="22"/>
        </w:rPr>
        <w:t xml:space="preserve"> and </w:t>
      </w:r>
      <w:r w:rsidR="001F04B1">
        <w:rPr>
          <w:sz w:val="22"/>
        </w:rPr>
        <w:t>lease condensate</w:t>
      </w:r>
      <w:r w:rsidR="00D2014E">
        <w:rPr>
          <w:sz w:val="22"/>
        </w:rPr>
        <w:t xml:space="preserve"> </w:t>
      </w:r>
      <w:r w:rsidR="00540AEE">
        <w:rPr>
          <w:sz w:val="22"/>
        </w:rPr>
        <w:t>for all state</w:t>
      </w:r>
      <w:r w:rsidR="005A4B74">
        <w:rPr>
          <w:sz w:val="22"/>
        </w:rPr>
        <w:t>s</w:t>
      </w:r>
      <w:r w:rsidR="00540AEE">
        <w:rPr>
          <w:sz w:val="22"/>
        </w:rPr>
        <w:t>/areas where it has production</w:t>
      </w:r>
      <w:r w:rsidR="003D62C8">
        <w:rPr>
          <w:sz w:val="22"/>
        </w:rPr>
        <w:t>,</w:t>
      </w:r>
      <w:r w:rsidR="00540AEE">
        <w:rPr>
          <w:sz w:val="22"/>
        </w:rPr>
        <w:t xml:space="preserve"> regardless of </w:t>
      </w:r>
      <w:r w:rsidR="003D62C8">
        <w:rPr>
          <w:sz w:val="22"/>
        </w:rPr>
        <w:t>volume</w:t>
      </w:r>
      <w:r w:rsidR="001F04B1">
        <w:rPr>
          <w:sz w:val="22"/>
        </w:rPr>
        <w:t xml:space="preserve"> in those areas</w:t>
      </w:r>
      <w:r w:rsidR="00540AEE">
        <w:rPr>
          <w:sz w:val="22"/>
        </w:rPr>
        <w:t>.</w:t>
      </w:r>
      <w:r w:rsidR="001D395A">
        <w:rPr>
          <w:sz w:val="22"/>
        </w:rPr>
        <w:t xml:space="preserve"> </w:t>
      </w:r>
      <w:r w:rsidR="00120ECC">
        <w:rPr>
          <w:color w:val="000000"/>
          <w:sz w:val="22"/>
        </w:rPr>
        <w:t>This</w:t>
      </w:r>
      <w:r w:rsidR="00120ECC">
        <w:rPr>
          <w:color w:val="000000"/>
          <w:sz w:val="22"/>
        </w:rPr>
        <w:t xml:space="preserve"> </w:t>
      </w:r>
      <w:r w:rsidR="003F1F5C">
        <w:rPr>
          <w:color w:val="000000"/>
          <w:sz w:val="22"/>
        </w:rPr>
        <w:t>sample</w:t>
      </w:r>
      <w:r w:rsidR="00120ECC">
        <w:rPr>
          <w:color w:val="000000"/>
          <w:sz w:val="22"/>
        </w:rPr>
        <w:t xml:space="preserve"> </w:t>
      </w:r>
      <w:r w:rsidR="00D23EC9">
        <w:rPr>
          <w:color w:val="000000"/>
          <w:sz w:val="22"/>
        </w:rPr>
        <w:t xml:space="preserve">methodology </w:t>
      </w:r>
      <w:r w:rsidR="00D23EC9">
        <w:rPr>
          <w:sz w:val="22"/>
        </w:rPr>
        <w:t>is</w:t>
      </w:r>
      <w:r w:rsidR="00D37C11">
        <w:rPr>
          <w:sz w:val="22"/>
        </w:rPr>
        <w:t xml:space="preserve"> expected to increase the sampled set of operators from about 240 to </w:t>
      </w:r>
      <w:r w:rsidR="00985782">
        <w:rPr>
          <w:sz w:val="22"/>
        </w:rPr>
        <w:t>fewer</w:t>
      </w:r>
      <w:r w:rsidR="00A12850">
        <w:rPr>
          <w:sz w:val="22"/>
        </w:rPr>
        <w:t xml:space="preserve"> than </w:t>
      </w:r>
      <w:r w:rsidR="00D37C11">
        <w:rPr>
          <w:sz w:val="22"/>
        </w:rPr>
        <w:t>600 companies.</w:t>
      </w:r>
    </w:p>
    <w:p w14:paraId="16062593" w14:textId="77777777" w:rsidR="00D7578A" w:rsidRDefault="00D7578A" w:rsidP="00D7578A">
      <w:pPr>
        <w:tabs>
          <w:tab w:val="clear" w:pos="360"/>
        </w:tabs>
        <w:spacing w:before="120" w:beforeAutospacing="0"/>
        <w:rPr>
          <w:sz w:val="22"/>
        </w:rPr>
      </w:pPr>
      <w:r>
        <w:rPr>
          <w:sz w:val="22"/>
        </w:rPr>
        <w:t xml:space="preserve">The proposed Form EIA-914 utilizes samples for the </w:t>
      </w:r>
      <w:r w:rsidR="005845E6">
        <w:rPr>
          <w:sz w:val="22"/>
        </w:rPr>
        <w:t>16</w:t>
      </w:r>
      <w:r>
        <w:rPr>
          <w:sz w:val="22"/>
        </w:rPr>
        <w:t xml:space="preserve"> states for which crude oil, lease condensate, and natural gas production respondents must provide information. The remaining 1</w:t>
      </w:r>
      <w:r w:rsidR="005845E6">
        <w:rPr>
          <w:sz w:val="22"/>
        </w:rPr>
        <w:t>7</w:t>
      </w:r>
      <w:r>
        <w:rPr>
          <w:sz w:val="22"/>
        </w:rPr>
        <w:t xml:space="preserve"> states (</w:t>
      </w:r>
      <w:r w:rsidR="00206D58">
        <w:rPr>
          <w:sz w:val="22"/>
        </w:rPr>
        <w:t xml:space="preserve">the </w:t>
      </w:r>
      <w:r w:rsidR="009302CD">
        <w:rPr>
          <w:sz w:val="22"/>
        </w:rPr>
        <w:t>“</w:t>
      </w:r>
      <w:r>
        <w:rPr>
          <w:sz w:val="22"/>
        </w:rPr>
        <w:t>Other States</w:t>
      </w:r>
      <w:r w:rsidR="009302CD">
        <w:rPr>
          <w:sz w:val="22"/>
        </w:rPr>
        <w:t>”</w:t>
      </w:r>
      <w:r>
        <w:rPr>
          <w:sz w:val="22"/>
        </w:rPr>
        <w:t xml:space="preserve"> group) that have crude oil, lease condensate, or natural gas production will also be sampled, but collectively rather than individually. </w:t>
      </w:r>
    </w:p>
    <w:p w14:paraId="04DC3F97" w14:textId="77777777" w:rsidR="00D7578A" w:rsidRPr="001D7B5E" w:rsidRDefault="00D7578A" w:rsidP="003561CF">
      <w:pPr>
        <w:rPr>
          <w:sz w:val="22"/>
        </w:rPr>
      </w:pPr>
    </w:p>
    <w:p w14:paraId="10802667" w14:textId="77777777" w:rsidR="00F0752A" w:rsidRPr="00E47731" w:rsidRDefault="00F0752A" w:rsidP="00C6298C">
      <w:pPr>
        <w:pStyle w:val="Heading3"/>
      </w:pPr>
      <w:bookmarkStart w:id="10" w:name="_Toc396421499"/>
      <w:r>
        <w:t>Estimating</w:t>
      </w:r>
      <w:bookmarkEnd w:id="10"/>
    </w:p>
    <w:p w14:paraId="1F4DE6C8" w14:textId="08C1526D" w:rsidR="001755DC" w:rsidRDefault="00BD3B99" w:rsidP="001755DC">
      <w:pPr>
        <w:spacing w:before="120" w:beforeAutospacing="0" w:after="0" w:afterAutospacing="0"/>
        <w:rPr>
          <w:color w:val="000000"/>
          <w:sz w:val="22"/>
        </w:rPr>
      </w:pPr>
      <w:r>
        <w:rPr>
          <w:color w:val="000000"/>
          <w:sz w:val="22"/>
        </w:rPr>
        <w:t>T</w:t>
      </w:r>
      <w:r w:rsidR="001755DC" w:rsidRPr="00597DFF">
        <w:rPr>
          <w:color w:val="000000"/>
          <w:sz w:val="22"/>
        </w:rPr>
        <w:t>h</w:t>
      </w:r>
      <w:r w:rsidR="001755DC">
        <w:rPr>
          <w:color w:val="000000"/>
          <w:sz w:val="22"/>
        </w:rPr>
        <w:t>e</w:t>
      </w:r>
      <w:r w:rsidR="00F21FCC">
        <w:rPr>
          <w:color w:val="000000"/>
          <w:sz w:val="22"/>
        </w:rPr>
        <w:t xml:space="preserve"> target population of the</w:t>
      </w:r>
      <w:r w:rsidR="001755DC">
        <w:rPr>
          <w:color w:val="000000"/>
          <w:sz w:val="22"/>
        </w:rPr>
        <w:t xml:space="preserve"> proposed </w:t>
      </w:r>
      <w:r>
        <w:rPr>
          <w:color w:val="000000"/>
          <w:sz w:val="22"/>
        </w:rPr>
        <w:t xml:space="preserve">expansion of </w:t>
      </w:r>
      <w:r w:rsidR="003D62C8">
        <w:rPr>
          <w:color w:val="000000"/>
          <w:sz w:val="22"/>
        </w:rPr>
        <w:t xml:space="preserve">the </w:t>
      </w:r>
      <w:r>
        <w:rPr>
          <w:color w:val="000000"/>
          <w:sz w:val="22"/>
        </w:rPr>
        <w:t>Form EIA-914</w:t>
      </w:r>
      <w:r w:rsidR="001755DC">
        <w:rPr>
          <w:color w:val="000000"/>
          <w:sz w:val="22"/>
        </w:rPr>
        <w:t xml:space="preserve"> </w:t>
      </w:r>
      <w:r w:rsidR="00F21FCC">
        <w:rPr>
          <w:color w:val="000000"/>
          <w:sz w:val="22"/>
        </w:rPr>
        <w:t>is</w:t>
      </w:r>
      <w:r w:rsidR="00540AEE">
        <w:rPr>
          <w:color w:val="000000"/>
          <w:sz w:val="22"/>
        </w:rPr>
        <w:t xml:space="preserve"> </w:t>
      </w:r>
      <w:r w:rsidR="001755DC" w:rsidRPr="00597DFF">
        <w:rPr>
          <w:color w:val="000000"/>
          <w:sz w:val="22"/>
        </w:rPr>
        <w:t xml:space="preserve">all </w:t>
      </w:r>
      <w:r w:rsidR="007F415E">
        <w:rPr>
          <w:color w:val="000000"/>
          <w:sz w:val="22"/>
        </w:rPr>
        <w:t>active</w:t>
      </w:r>
      <w:r w:rsidR="00FA20DF">
        <w:rPr>
          <w:color w:val="000000"/>
          <w:sz w:val="22"/>
        </w:rPr>
        <w:t xml:space="preserve"> </w:t>
      </w:r>
      <w:r w:rsidR="003D62C8">
        <w:rPr>
          <w:color w:val="000000"/>
          <w:sz w:val="22"/>
        </w:rPr>
        <w:t xml:space="preserve">crude </w:t>
      </w:r>
      <w:r w:rsidR="006254B5">
        <w:rPr>
          <w:color w:val="000000"/>
          <w:sz w:val="22"/>
        </w:rPr>
        <w:t>oil</w:t>
      </w:r>
      <w:r w:rsidR="00376AC6">
        <w:rPr>
          <w:color w:val="000000"/>
          <w:sz w:val="22"/>
        </w:rPr>
        <w:t xml:space="preserve"> </w:t>
      </w:r>
      <w:r w:rsidR="00B53FC5">
        <w:rPr>
          <w:color w:val="000000"/>
          <w:sz w:val="22"/>
        </w:rPr>
        <w:t>and</w:t>
      </w:r>
      <w:r w:rsidR="00376AC6">
        <w:rPr>
          <w:color w:val="000000"/>
          <w:sz w:val="22"/>
        </w:rPr>
        <w:t xml:space="preserve"> </w:t>
      </w:r>
      <w:r w:rsidR="00376AC6">
        <w:rPr>
          <w:color w:val="000000"/>
          <w:sz w:val="22"/>
        </w:rPr>
        <w:t>lease condensate,</w:t>
      </w:r>
      <w:r w:rsidR="006254B5">
        <w:rPr>
          <w:color w:val="000000"/>
          <w:sz w:val="22"/>
        </w:rPr>
        <w:t xml:space="preserve"> and </w:t>
      </w:r>
      <w:r w:rsidR="001755DC" w:rsidRPr="00597DFF">
        <w:rPr>
          <w:color w:val="000000"/>
          <w:sz w:val="22"/>
        </w:rPr>
        <w:t>natural gas p</w:t>
      </w:r>
      <w:r w:rsidR="00FA20DF">
        <w:rPr>
          <w:color w:val="000000"/>
          <w:sz w:val="22"/>
        </w:rPr>
        <w:t>roducer</w:t>
      </w:r>
      <w:r w:rsidR="001755DC" w:rsidRPr="00597DFF">
        <w:rPr>
          <w:color w:val="000000"/>
          <w:sz w:val="22"/>
        </w:rPr>
        <w:t>s</w:t>
      </w:r>
      <w:r w:rsidR="00FA20DF">
        <w:rPr>
          <w:color w:val="000000"/>
          <w:sz w:val="22"/>
        </w:rPr>
        <w:t>.</w:t>
      </w:r>
      <w:r w:rsidR="001D395A">
        <w:rPr>
          <w:color w:val="000000"/>
          <w:sz w:val="22"/>
        </w:rPr>
        <w:t xml:space="preserve"> </w:t>
      </w:r>
      <w:r w:rsidR="00F21FCC">
        <w:rPr>
          <w:color w:val="000000"/>
          <w:sz w:val="22"/>
        </w:rPr>
        <w:t>T</w:t>
      </w:r>
      <w:r w:rsidR="001755DC">
        <w:rPr>
          <w:color w:val="000000"/>
          <w:sz w:val="22"/>
        </w:rPr>
        <w:t xml:space="preserve">here will be </w:t>
      </w:r>
      <w:r w:rsidR="00482DAA">
        <w:rPr>
          <w:color w:val="000000"/>
          <w:sz w:val="22"/>
        </w:rPr>
        <w:t>an</w:t>
      </w:r>
      <w:r w:rsidR="001755DC">
        <w:rPr>
          <w:color w:val="000000"/>
          <w:sz w:val="22"/>
        </w:rPr>
        <w:t xml:space="preserve"> </w:t>
      </w:r>
      <w:r w:rsidR="001755DC" w:rsidRPr="0031052E">
        <w:rPr>
          <w:color w:val="000000"/>
          <w:sz w:val="22"/>
        </w:rPr>
        <w:t xml:space="preserve">estimation </w:t>
      </w:r>
      <w:r w:rsidR="00FA20DF">
        <w:rPr>
          <w:color w:val="000000"/>
          <w:sz w:val="22"/>
        </w:rPr>
        <w:t xml:space="preserve">procedure </w:t>
      </w:r>
      <w:r w:rsidR="001755DC" w:rsidRPr="0031052E">
        <w:rPr>
          <w:color w:val="000000"/>
          <w:sz w:val="22"/>
        </w:rPr>
        <w:t>for members of the target population not sample</w:t>
      </w:r>
      <w:r w:rsidR="00F21FCC">
        <w:rPr>
          <w:color w:val="000000"/>
          <w:sz w:val="22"/>
        </w:rPr>
        <w:t>d</w:t>
      </w:r>
      <w:r w:rsidR="001755DC" w:rsidRPr="0031052E">
        <w:rPr>
          <w:color w:val="000000"/>
          <w:sz w:val="22"/>
        </w:rPr>
        <w:t xml:space="preserve"> for this data collection.</w:t>
      </w:r>
    </w:p>
    <w:p w14:paraId="0A9B4453" w14:textId="77777777" w:rsidR="008C484A" w:rsidRDefault="008C484A" w:rsidP="001755DC">
      <w:pPr>
        <w:spacing w:before="120" w:beforeAutospacing="0" w:after="0" w:afterAutospacing="0"/>
        <w:rPr>
          <w:color w:val="000000"/>
          <w:sz w:val="22"/>
        </w:rPr>
      </w:pPr>
    </w:p>
    <w:p w14:paraId="0198EA70" w14:textId="0A2FCD1C" w:rsidR="00A25F6A" w:rsidRDefault="00A25F6A" w:rsidP="001755DC">
      <w:pPr>
        <w:spacing w:before="120" w:beforeAutospacing="0" w:after="0" w:afterAutospacing="0"/>
        <w:rPr>
          <w:color w:val="000000"/>
          <w:sz w:val="22"/>
        </w:rPr>
      </w:pPr>
      <w:r>
        <w:rPr>
          <w:color w:val="000000"/>
          <w:sz w:val="22"/>
        </w:rPr>
        <w:t xml:space="preserve">Estimation will be performed </w:t>
      </w:r>
      <w:r w:rsidR="0012025B">
        <w:rPr>
          <w:color w:val="000000"/>
          <w:sz w:val="22"/>
        </w:rPr>
        <w:t xml:space="preserve">separately for natural gas and </w:t>
      </w:r>
      <w:r w:rsidR="00D23EC9">
        <w:rPr>
          <w:color w:val="000000"/>
          <w:sz w:val="22"/>
        </w:rPr>
        <w:t>liquids</w:t>
      </w:r>
      <w:r w:rsidR="0012025B">
        <w:rPr>
          <w:color w:val="000000"/>
          <w:sz w:val="22"/>
        </w:rPr>
        <w:t xml:space="preserve"> production for each of the </w:t>
      </w:r>
      <w:r w:rsidR="00B53FC5">
        <w:rPr>
          <w:color w:val="000000"/>
          <w:sz w:val="22"/>
        </w:rPr>
        <w:t>17</w:t>
      </w:r>
      <w:r w:rsidR="0012025B">
        <w:rPr>
          <w:color w:val="000000"/>
          <w:sz w:val="22"/>
        </w:rPr>
        <w:t xml:space="preserve"> </w:t>
      </w:r>
      <w:r w:rsidR="00EC2CD0">
        <w:rPr>
          <w:color w:val="000000"/>
          <w:sz w:val="22"/>
        </w:rPr>
        <w:t>state</w:t>
      </w:r>
      <w:r w:rsidR="00837141">
        <w:rPr>
          <w:color w:val="000000"/>
          <w:sz w:val="22"/>
        </w:rPr>
        <w:t>s</w:t>
      </w:r>
      <w:r w:rsidR="00EC2CD0">
        <w:rPr>
          <w:color w:val="000000"/>
          <w:sz w:val="22"/>
        </w:rPr>
        <w:t>/</w:t>
      </w:r>
      <w:r w:rsidR="0012025B">
        <w:rPr>
          <w:color w:val="000000"/>
          <w:sz w:val="22"/>
        </w:rPr>
        <w:t>area</w:t>
      </w:r>
      <w:r w:rsidR="00EC2CD0">
        <w:rPr>
          <w:color w:val="000000"/>
          <w:sz w:val="22"/>
        </w:rPr>
        <w:t>s</w:t>
      </w:r>
      <w:r w:rsidR="0012025B">
        <w:rPr>
          <w:color w:val="000000"/>
          <w:sz w:val="22"/>
        </w:rPr>
        <w:t xml:space="preserve"> </w:t>
      </w:r>
      <w:r>
        <w:rPr>
          <w:color w:val="000000"/>
          <w:sz w:val="22"/>
        </w:rPr>
        <w:t xml:space="preserve">using the </w:t>
      </w:r>
      <w:r w:rsidR="005C0D57">
        <w:rPr>
          <w:color w:val="000000"/>
          <w:sz w:val="22"/>
        </w:rPr>
        <w:t>Simple R</w:t>
      </w:r>
      <w:r>
        <w:rPr>
          <w:color w:val="000000"/>
          <w:sz w:val="22"/>
        </w:rPr>
        <w:t xml:space="preserve">atio </w:t>
      </w:r>
      <w:r w:rsidR="005C0D57">
        <w:rPr>
          <w:color w:val="000000"/>
          <w:sz w:val="22"/>
        </w:rPr>
        <w:t xml:space="preserve">(SR) </w:t>
      </w:r>
      <w:r>
        <w:rPr>
          <w:color w:val="000000"/>
          <w:sz w:val="22"/>
        </w:rPr>
        <w:t>method</w:t>
      </w:r>
      <w:r w:rsidR="003D62C8">
        <w:rPr>
          <w:color w:val="000000"/>
          <w:sz w:val="22"/>
        </w:rPr>
        <w:t xml:space="preserve">, which </w:t>
      </w:r>
      <w:r w:rsidR="005C0D57">
        <w:rPr>
          <w:color w:val="000000"/>
          <w:sz w:val="22"/>
        </w:rPr>
        <w:t xml:space="preserve">multiplies the current survey reported production by </w:t>
      </w:r>
      <w:r w:rsidR="00ED4A2D">
        <w:rPr>
          <w:color w:val="000000"/>
          <w:sz w:val="22"/>
        </w:rPr>
        <w:t>a</w:t>
      </w:r>
      <w:r w:rsidR="005C0D57">
        <w:rPr>
          <w:color w:val="000000"/>
          <w:sz w:val="22"/>
        </w:rPr>
        <w:t xml:space="preserve"> ratio</w:t>
      </w:r>
      <w:r w:rsidR="001D395A">
        <w:rPr>
          <w:color w:val="000000"/>
          <w:sz w:val="22"/>
        </w:rPr>
        <w:t xml:space="preserve">. </w:t>
      </w:r>
      <w:r w:rsidR="00ED4A2D">
        <w:rPr>
          <w:color w:val="000000"/>
          <w:sz w:val="22"/>
        </w:rPr>
        <w:t xml:space="preserve">The </w:t>
      </w:r>
      <w:r w:rsidR="0012025B">
        <w:rPr>
          <w:color w:val="000000"/>
          <w:sz w:val="22"/>
        </w:rPr>
        <w:t xml:space="preserve">SR </w:t>
      </w:r>
      <w:r w:rsidR="00ED4A2D">
        <w:rPr>
          <w:color w:val="000000"/>
          <w:sz w:val="22"/>
        </w:rPr>
        <w:t>ratio is an area’s</w:t>
      </w:r>
      <w:r w:rsidR="005C0D57">
        <w:rPr>
          <w:color w:val="000000"/>
          <w:sz w:val="22"/>
        </w:rPr>
        <w:t xml:space="preserve"> total production </w:t>
      </w:r>
      <w:r w:rsidR="00ED4A2D">
        <w:rPr>
          <w:color w:val="000000"/>
          <w:sz w:val="22"/>
        </w:rPr>
        <w:t xml:space="preserve">in an earlier </w:t>
      </w:r>
      <w:r w:rsidR="00FF2ECA">
        <w:rPr>
          <w:color w:val="000000"/>
          <w:sz w:val="22"/>
        </w:rPr>
        <w:t>6-</w:t>
      </w:r>
      <w:r w:rsidR="00ED4A2D">
        <w:rPr>
          <w:color w:val="000000"/>
          <w:sz w:val="22"/>
        </w:rPr>
        <w:t xml:space="preserve">month </w:t>
      </w:r>
      <w:r w:rsidR="00FF2ECA">
        <w:rPr>
          <w:color w:val="000000"/>
          <w:sz w:val="22"/>
        </w:rPr>
        <w:t xml:space="preserve">period </w:t>
      </w:r>
      <w:r w:rsidR="005C0D57">
        <w:rPr>
          <w:color w:val="000000"/>
          <w:sz w:val="22"/>
        </w:rPr>
        <w:t>as found in the DI database</w:t>
      </w:r>
      <w:r w:rsidR="00ED4A2D">
        <w:rPr>
          <w:color w:val="000000"/>
          <w:sz w:val="22"/>
        </w:rPr>
        <w:t>,</w:t>
      </w:r>
      <w:r w:rsidR="005C0D57">
        <w:rPr>
          <w:color w:val="000000"/>
          <w:sz w:val="22"/>
        </w:rPr>
        <w:t xml:space="preserve"> to the </w:t>
      </w:r>
      <w:r w:rsidR="00ED4A2D">
        <w:rPr>
          <w:color w:val="000000"/>
          <w:sz w:val="22"/>
        </w:rPr>
        <w:t>area’s</w:t>
      </w:r>
      <w:r w:rsidR="005C0D57">
        <w:rPr>
          <w:color w:val="000000"/>
          <w:sz w:val="22"/>
        </w:rPr>
        <w:t xml:space="preserve"> production from the current sample of operators in the same period, </w:t>
      </w:r>
      <w:r w:rsidR="001D395A">
        <w:rPr>
          <w:color w:val="000000"/>
          <w:sz w:val="22"/>
        </w:rPr>
        <w:t xml:space="preserve">also found in the DI database. </w:t>
      </w:r>
      <w:r w:rsidR="00FF2ECA">
        <w:rPr>
          <w:color w:val="000000"/>
          <w:sz w:val="22"/>
        </w:rPr>
        <w:t>A</w:t>
      </w:r>
      <w:r w:rsidR="002736D3">
        <w:rPr>
          <w:color w:val="000000"/>
          <w:sz w:val="22"/>
        </w:rPr>
        <w:t xml:space="preserve"> </w:t>
      </w:r>
      <w:r w:rsidR="009302CD">
        <w:rPr>
          <w:color w:val="000000"/>
          <w:sz w:val="22"/>
        </w:rPr>
        <w:t>six</w:t>
      </w:r>
      <w:r w:rsidR="00FF2ECA">
        <w:rPr>
          <w:color w:val="000000"/>
          <w:sz w:val="22"/>
        </w:rPr>
        <w:t>-month</w:t>
      </w:r>
      <w:r w:rsidR="002736D3">
        <w:rPr>
          <w:color w:val="000000"/>
          <w:sz w:val="22"/>
        </w:rPr>
        <w:t xml:space="preserve"> ratio is used to avoid </w:t>
      </w:r>
      <w:r w:rsidR="00F83A4A">
        <w:rPr>
          <w:color w:val="000000"/>
          <w:sz w:val="22"/>
        </w:rPr>
        <w:t xml:space="preserve">potential </w:t>
      </w:r>
      <w:r w:rsidR="002736D3">
        <w:rPr>
          <w:color w:val="000000"/>
          <w:sz w:val="22"/>
        </w:rPr>
        <w:t>volatility</w:t>
      </w:r>
      <w:r w:rsidR="00F83A4A">
        <w:rPr>
          <w:color w:val="000000"/>
          <w:sz w:val="22"/>
        </w:rPr>
        <w:t xml:space="preserve"> from using a ratio</w:t>
      </w:r>
      <w:r w:rsidR="0012025B">
        <w:rPr>
          <w:color w:val="000000"/>
          <w:sz w:val="22"/>
        </w:rPr>
        <w:t xml:space="preserve"> of a single month’s production</w:t>
      </w:r>
      <w:r w:rsidR="002736D3">
        <w:rPr>
          <w:color w:val="000000"/>
          <w:sz w:val="22"/>
        </w:rPr>
        <w:t>.</w:t>
      </w:r>
      <w:r w:rsidR="0012025B">
        <w:rPr>
          <w:color w:val="000000"/>
          <w:sz w:val="22"/>
        </w:rPr>
        <w:t xml:space="preserve"> </w:t>
      </w:r>
      <w:r w:rsidR="00ED4A2D">
        <w:rPr>
          <w:color w:val="000000"/>
          <w:sz w:val="22"/>
        </w:rPr>
        <w:t xml:space="preserve">The DI data </w:t>
      </w:r>
      <w:r w:rsidR="003D62C8">
        <w:rPr>
          <w:color w:val="000000"/>
          <w:sz w:val="22"/>
        </w:rPr>
        <w:t xml:space="preserve">are typically </w:t>
      </w:r>
      <w:r w:rsidR="00ED4A2D">
        <w:rPr>
          <w:color w:val="000000"/>
          <w:sz w:val="22"/>
        </w:rPr>
        <w:t>incomplete for more recent months.</w:t>
      </w:r>
      <w:r w:rsidR="001D395A">
        <w:rPr>
          <w:color w:val="000000"/>
          <w:sz w:val="22"/>
        </w:rPr>
        <w:t xml:space="preserve"> </w:t>
      </w:r>
      <w:r w:rsidR="00ED4A2D">
        <w:rPr>
          <w:color w:val="000000"/>
          <w:sz w:val="22"/>
        </w:rPr>
        <w:t xml:space="preserve">The months used in calculating the ratio are determined by how much of a lag there is in the DI data before </w:t>
      </w:r>
      <w:r w:rsidR="003D62C8">
        <w:rPr>
          <w:color w:val="000000"/>
          <w:sz w:val="22"/>
        </w:rPr>
        <w:t xml:space="preserve">they </w:t>
      </w:r>
      <w:r w:rsidR="00ED4A2D">
        <w:rPr>
          <w:color w:val="000000"/>
          <w:sz w:val="22"/>
        </w:rPr>
        <w:t xml:space="preserve">become </w:t>
      </w:r>
      <w:r w:rsidR="003D62C8">
        <w:rPr>
          <w:color w:val="000000"/>
          <w:sz w:val="22"/>
        </w:rPr>
        <w:t xml:space="preserve">sufficiently </w:t>
      </w:r>
      <w:r w:rsidR="00ED4A2D">
        <w:rPr>
          <w:color w:val="000000"/>
          <w:sz w:val="22"/>
        </w:rPr>
        <w:t>complete.</w:t>
      </w:r>
      <w:r w:rsidR="0012025B">
        <w:rPr>
          <w:color w:val="000000"/>
          <w:sz w:val="22"/>
        </w:rPr>
        <w:t xml:space="preserve"> </w:t>
      </w:r>
      <w:r w:rsidR="00ED4A2D">
        <w:rPr>
          <w:color w:val="000000"/>
          <w:sz w:val="22"/>
        </w:rPr>
        <w:t>A different lag is used for e</w:t>
      </w:r>
      <w:r w:rsidR="0012025B">
        <w:rPr>
          <w:color w:val="000000"/>
          <w:sz w:val="22"/>
        </w:rPr>
        <w:t>ach</w:t>
      </w:r>
      <w:r w:rsidR="00ED4A2D">
        <w:rPr>
          <w:color w:val="000000"/>
          <w:sz w:val="22"/>
        </w:rPr>
        <w:t xml:space="preserve"> </w:t>
      </w:r>
      <w:r w:rsidR="005A4B74">
        <w:rPr>
          <w:color w:val="000000"/>
          <w:sz w:val="22"/>
        </w:rPr>
        <w:t>state/</w:t>
      </w:r>
      <w:r w:rsidR="00ED4A2D">
        <w:rPr>
          <w:color w:val="000000"/>
          <w:sz w:val="22"/>
        </w:rPr>
        <w:t>area</w:t>
      </w:r>
      <w:r w:rsidR="002736D3">
        <w:rPr>
          <w:color w:val="000000"/>
          <w:sz w:val="22"/>
        </w:rPr>
        <w:t xml:space="preserve"> and for </w:t>
      </w:r>
      <w:r w:rsidR="00D23EC9">
        <w:rPr>
          <w:color w:val="000000"/>
          <w:sz w:val="22"/>
        </w:rPr>
        <w:t>liquids</w:t>
      </w:r>
      <w:r w:rsidR="002736D3">
        <w:rPr>
          <w:color w:val="000000"/>
          <w:sz w:val="22"/>
        </w:rPr>
        <w:t xml:space="preserve"> and </w:t>
      </w:r>
      <w:r w:rsidR="0012025B">
        <w:rPr>
          <w:color w:val="000000"/>
          <w:sz w:val="22"/>
        </w:rPr>
        <w:t xml:space="preserve">natural </w:t>
      </w:r>
      <w:r w:rsidR="002736D3">
        <w:rPr>
          <w:color w:val="000000"/>
          <w:sz w:val="22"/>
        </w:rPr>
        <w:t>gas</w:t>
      </w:r>
      <w:r w:rsidR="00ED4A2D">
        <w:rPr>
          <w:color w:val="000000"/>
          <w:sz w:val="22"/>
        </w:rPr>
        <w:t>.</w:t>
      </w:r>
      <w:r w:rsidR="001D395A">
        <w:rPr>
          <w:color w:val="000000"/>
          <w:sz w:val="22"/>
        </w:rPr>
        <w:t xml:space="preserve"> </w:t>
      </w:r>
      <w:r w:rsidR="005C0D57">
        <w:rPr>
          <w:color w:val="000000"/>
          <w:sz w:val="22"/>
        </w:rPr>
        <w:t>Estimates for the survey month are computed using the following formula for each area:</w:t>
      </w:r>
    </w:p>
    <w:p w14:paraId="62668CB3" w14:textId="77777777" w:rsidR="005C0D57" w:rsidRPr="005C0D57" w:rsidRDefault="00654C88" w:rsidP="001755DC">
      <w:pPr>
        <w:spacing w:before="120" w:beforeAutospacing="0" w:after="0" w:afterAutospacing="0"/>
        <w:rPr>
          <w:color w:val="000000"/>
          <w:sz w:val="22"/>
        </w:rPr>
      </w:pPr>
      <m:oMathPara>
        <m:oMath>
          <m:acc>
            <m:accPr>
              <m:ctrlPr>
                <w:rPr>
                  <w:rFonts w:ascii="Cambria Math" w:hAnsi="Cambria Math"/>
                  <w:i/>
                  <w:color w:val="000000"/>
                  <w:sz w:val="22"/>
                </w:rPr>
              </m:ctrlPr>
            </m:accPr>
            <m:e>
              <m:sSub>
                <m:sSubPr>
                  <m:ctrlPr>
                    <w:rPr>
                      <w:rFonts w:ascii="Cambria Math" w:hAnsi="Cambria Math"/>
                      <w:i/>
                      <w:color w:val="000000"/>
                      <w:sz w:val="22"/>
                    </w:rPr>
                  </m:ctrlPr>
                </m:sSubPr>
                <m:e>
                  <m:r>
                    <w:rPr>
                      <w:rFonts w:ascii="Cambria Math" w:hAnsi="Cambria Math"/>
                      <w:color w:val="000000"/>
                      <w:sz w:val="22"/>
                    </w:rPr>
                    <m:t>TP</m:t>
                  </m:r>
                </m:e>
                <m:sub>
                  <m:r>
                    <w:rPr>
                      <w:rFonts w:ascii="Cambria Math" w:hAnsi="Cambria Math"/>
                      <w:color w:val="000000"/>
                      <w:sz w:val="22"/>
                    </w:rPr>
                    <m:t>m</m:t>
                  </m:r>
                </m:sub>
              </m:sSub>
            </m:e>
          </m:acc>
          <m:r>
            <w:rPr>
              <w:rFonts w:ascii="Cambria Math" w:hAnsi="Cambria Math"/>
              <w:color w:val="000000"/>
              <w:sz w:val="22"/>
            </w:rPr>
            <m:t>=</m:t>
          </m:r>
          <m:sSub>
            <m:sSubPr>
              <m:ctrlPr>
                <w:rPr>
                  <w:rFonts w:ascii="Cambria Math" w:hAnsi="Cambria Math"/>
                  <w:i/>
                  <w:color w:val="000000"/>
                  <w:sz w:val="22"/>
                </w:rPr>
              </m:ctrlPr>
            </m:sSubPr>
            <m:e>
              <m:r>
                <w:rPr>
                  <w:rFonts w:ascii="Cambria Math" w:hAnsi="Cambria Math"/>
                  <w:color w:val="000000"/>
                  <w:sz w:val="22"/>
                </w:rPr>
                <m:t>S</m:t>
              </m:r>
            </m:e>
            <m:sub>
              <m:r>
                <w:rPr>
                  <w:rFonts w:ascii="Cambria Math" w:hAnsi="Cambria Math"/>
                  <w:color w:val="000000"/>
                  <w:sz w:val="22"/>
                </w:rPr>
                <m:t>m</m:t>
              </m:r>
            </m:sub>
          </m:sSub>
          <m:d>
            <m:dPr>
              <m:ctrlPr>
                <w:rPr>
                  <w:rFonts w:ascii="Cambria Math" w:hAnsi="Cambria Math"/>
                  <w:i/>
                  <w:color w:val="000000"/>
                  <w:sz w:val="22"/>
                </w:rPr>
              </m:ctrlPr>
            </m:dPr>
            <m:e>
              <m:f>
                <m:fPr>
                  <m:ctrlPr>
                    <w:rPr>
                      <w:rFonts w:ascii="Cambria Math" w:hAnsi="Cambria Math"/>
                      <w:i/>
                      <w:color w:val="000000"/>
                      <w:sz w:val="22"/>
                    </w:rPr>
                  </m:ctrlPr>
                </m:fPr>
                <m:num>
                  <m:nary>
                    <m:naryPr>
                      <m:chr m:val="∑"/>
                      <m:limLoc m:val="subSup"/>
                      <m:ctrlPr>
                        <w:rPr>
                          <w:rFonts w:ascii="Cambria Math" w:hAnsi="Cambria Math"/>
                          <w:i/>
                          <w:color w:val="000000"/>
                          <w:sz w:val="22"/>
                        </w:rPr>
                      </m:ctrlPr>
                    </m:naryPr>
                    <m:sub>
                      <m:r>
                        <w:rPr>
                          <w:rFonts w:ascii="Cambria Math" w:hAnsi="Cambria Math"/>
                          <w:color w:val="000000"/>
                          <w:sz w:val="22"/>
                        </w:rPr>
                        <m:t>i=L</m:t>
                      </m:r>
                    </m:sub>
                    <m:sup>
                      <m:r>
                        <w:rPr>
                          <w:rFonts w:ascii="Cambria Math" w:hAnsi="Cambria Math"/>
                          <w:color w:val="000000"/>
                          <w:sz w:val="22"/>
                        </w:rPr>
                        <m:t>L+5</m:t>
                      </m:r>
                    </m:sup>
                    <m:e>
                      <m:sSub>
                        <m:sSubPr>
                          <m:ctrlPr>
                            <w:rPr>
                              <w:rFonts w:ascii="Cambria Math" w:hAnsi="Cambria Math"/>
                              <w:i/>
                              <w:color w:val="000000"/>
                              <w:sz w:val="22"/>
                            </w:rPr>
                          </m:ctrlPr>
                        </m:sSubPr>
                        <m:e>
                          <m:r>
                            <w:rPr>
                              <w:rFonts w:ascii="Cambria Math" w:hAnsi="Cambria Math"/>
                              <w:color w:val="000000"/>
                              <w:sz w:val="22"/>
                            </w:rPr>
                            <m:t>TP</m:t>
                          </m:r>
                        </m:e>
                        <m:sub>
                          <m:r>
                            <w:rPr>
                              <w:rFonts w:ascii="Cambria Math" w:hAnsi="Cambria Math"/>
                              <w:color w:val="000000"/>
                              <w:sz w:val="22"/>
                            </w:rPr>
                            <m:t>m-i</m:t>
                          </m:r>
                        </m:sub>
                      </m:sSub>
                    </m:e>
                  </m:nary>
                </m:num>
                <m:den>
                  <m:nary>
                    <m:naryPr>
                      <m:chr m:val="∑"/>
                      <m:limLoc m:val="subSup"/>
                      <m:ctrlPr>
                        <w:rPr>
                          <w:rFonts w:ascii="Cambria Math" w:hAnsi="Cambria Math"/>
                          <w:i/>
                          <w:color w:val="000000"/>
                          <w:sz w:val="22"/>
                        </w:rPr>
                      </m:ctrlPr>
                    </m:naryPr>
                    <m:sub>
                      <m:r>
                        <w:rPr>
                          <w:rFonts w:ascii="Cambria Math" w:hAnsi="Cambria Math"/>
                          <w:color w:val="000000"/>
                          <w:sz w:val="22"/>
                        </w:rPr>
                        <m:t>i=L</m:t>
                      </m:r>
                    </m:sub>
                    <m:sup>
                      <m:r>
                        <w:rPr>
                          <w:rFonts w:ascii="Cambria Math" w:hAnsi="Cambria Math"/>
                          <w:color w:val="000000"/>
                          <w:sz w:val="22"/>
                        </w:rPr>
                        <m:t>L+5</m:t>
                      </m:r>
                    </m:sup>
                    <m:e>
                      <m:sSub>
                        <m:sSubPr>
                          <m:ctrlPr>
                            <w:rPr>
                              <w:rFonts w:ascii="Cambria Math" w:hAnsi="Cambria Math"/>
                              <w:i/>
                              <w:color w:val="000000"/>
                              <w:sz w:val="22"/>
                            </w:rPr>
                          </m:ctrlPr>
                        </m:sSubPr>
                        <m:e>
                          <m:r>
                            <w:rPr>
                              <w:rFonts w:ascii="Cambria Math" w:hAnsi="Cambria Math"/>
                              <w:color w:val="000000"/>
                              <w:sz w:val="22"/>
                            </w:rPr>
                            <m:t>SP</m:t>
                          </m:r>
                        </m:e>
                        <m:sub>
                          <m:r>
                            <w:rPr>
                              <w:rFonts w:ascii="Cambria Math" w:hAnsi="Cambria Math"/>
                              <w:color w:val="000000"/>
                              <w:sz w:val="22"/>
                            </w:rPr>
                            <m:t>m-i</m:t>
                          </m:r>
                        </m:sub>
                      </m:sSub>
                    </m:e>
                  </m:nary>
                </m:den>
              </m:f>
            </m:e>
          </m:d>
        </m:oMath>
      </m:oMathPara>
    </w:p>
    <w:p w14:paraId="133089D8" w14:textId="77777777" w:rsidR="005C0D57" w:rsidRDefault="003D62C8" w:rsidP="001755DC">
      <w:pPr>
        <w:spacing w:before="120" w:beforeAutospacing="0" w:after="0" w:afterAutospacing="0"/>
        <w:rPr>
          <w:color w:val="000000"/>
          <w:sz w:val="22"/>
        </w:rPr>
      </w:pPr>
      <w:r>
        <w:rPr>
          <w:color w:val="000000"/>
          <w:sz w:val="22"/>
        </w:rPr>
        <w:t>where</w:t>
      </w:r>
      <w:r w:rsidR="005C0D57">
        <w:rPr>
          <w:color w:val="000000"/>
          <w:sz w:val="22"/>
        </w:rPr>
        <w:t>:</w:t>
      </w:r>
    </w:p>
    <w:p w14:paraId="4824E81A" w14:textId="77777777" w:rsidR="005C0D57" w:rsidRDefault="00654C88" w:rsidP="001755DC">
      <w:pPr>
        <w:spacing w:before="120" w:beforeAutospacing="0" w:after="0" w:afterAutospacing="0"/>
        <w:rPr>
          <w:color w:val="000000"/>
          <w:sz w:val="22"/>
        </w:rPr>
      </w:pPr>
      <m:oMath>
        <m:acc>
          <m:accPr>
            <m:ctrlPr>
              <w:rPr>
                <w:rFonts w:ascii="Cambria Math" w:hAnsi="Cambria Math"/>
                <w:i/>
                <w:color w:val="000000"/>
                <w:sz w:val="22"/>
              </w:rPr>
            </m:ctrlPr>
          </m:accPr>
          <m:e>
            <m:sSub>
              <m:sSubPr>
                <m:ctrlPr>
                  <w:rPr>
                    <w:rFonts w:ascii="Cambria Math" w:hAnsi="Cambria Math"/>
                    <w:i/>
                    <w:color w:val="000000"/>
                    <w:sz w:val="22"/>
                  </w:rPr>
                </m:ctrlPr>
              </m:sSubPr>
              <m:e>
                <m:r>
                  <w:rPr>
                    <w:rFonts w:ascii="Cambria Math" w:hAnsi="Cambria Math"/>
                    <w:color w:val="000000"/>
                    <w:sz w:val="22"/>
                  </w:rPr>
                  <m:t>TP</m:t>
                </m:r>
              </m:e>
              <m:sub>
                <m:r>
                  <w:rPr>
                    <w:rFonts w:ascii="Cambria Math" w:hAnsi="Cambria Math"/>
                    <w:color w:val="000000"/>
                    <w:sz w:val="22"/>
                  </w:rPr>
                  <m:t>m</m:t>
                </m:r>
              </m:sub>
            </m:sSub>
          </m:e>
        </m:acc>
        <m:r>
          <w:rPr>
            <w:rFonts w:ascii="Cambria Math" w:hAnsi="Cambria Math"/>
            <w:color w:val="000000"/>
            <w:sz w:val="22"/>
          </w:rPr>
          <m:t>=</m:t>
        </m:r>
      </m:oMath>
      <w:r w:rsidR="003D62C8">
        <w:rPr>
          <w:color w:val="000000"/>
          <w:sz w:val="22"/>
        </w:rPr>
        <w:t xml:space="preserve"> </w:t>
      </w:r>
      <w:r w:rsidR="005C0D57">
        <w:rPr>
          <w:color w:val="000000"/>
          <w:sz w:val="22"/>
        </w:rPr>
        <w:t xml:space="preserve">Estimated total production for the </w:t>
      </w:r>
      <w:r w:rsidR="005A4B74">
        <w:rPr>
          <w:color w:val="000000"/>
          <w:sz w:val="22"/>
        </w:rPr>
        <w:t>state/</w:t>
      </w:r>
      <w:r w:rsidR="005C0D57">
        <w:rPr>
          <w:color w:val="000000"/>
          <w:sz w:val="22"/>
        </w:rPr>
        <w:t>area in month ‘m’</w:t>
      </w:r>
    </w:p>
    <w:p w14:paraId="4AE915F8" w14:textId="77777777" w:rsidR="005C0D57" w:rsidRDefault="00654C88" w:rsidP="001755DC">
      <w:pPr>
        <w:spacing w:before="120" w:beforeAutospacing="0" w:after="0" w:afterAutospacing="0"/>
        <w:rPr>
          <w:color w:val="000000"/>
          <w:sz w:val="22"/>
        </w:rPr>
      </w:pPr>
      <m:oMath>
        <m:sSub>
          <m:sSubPr>
            <m:ctrlPr>
              <w:rPr>
                <w:rFonts w:ascii="Cambria Math" w:hAnsi="Cambria Math"/>
                <w:i/>
                <w:color w:val="000000"/>
                <w:sz w:val="22"/>
              </w:rPr>
            </m:ctrlPr>
          </m:sSubPr>
          <m:e>
            <m:r>
              <w:rPr>
                <w:rFonts w:ascii="Cambria Math" w:hAnsi="Cambria Math"/>
                <w:color w:val="000000"/>
                <w:sz w:val="22"/>
              </w:rPr>
              <m:t>S</m:t>
            </m:r>
          </m:e>
          <m:sub>
            <m:r>
              <w:rPr>
                <w:rFonts w:ascii="Cambria Math" w:hAnsi="Cambria Math"/>
                <w:color w:val="000000"/>
                <w:sz w:val="22"/>
              </w:rPr>
              <m:t>m</m:t>
            </m:r>
          </m:sub>
        </m:sSub>
        <m:r>
          <w:rPr>
            <w:rFonts w:ascii="Cambria Math" w:hAnsi="Cambria Math"/>
            <w:color w:val="000000"/>
            <w:sz w:val="22"/>
          </w:rPr>
          <m:t>=</m:t>
        </m:r>
      </m:oMath>
      <w:r w:rsidR="003D62C8">
        <w:rPr>
          <w:color w:val="000000"/>
          <w:sz w:val="22"/>
        </w:rPr>
        <w:t xml:space="preserve"> </w:t>
      </w:r>
      <w:r w:rsidR="005C0D57">
        <w:rPr>
          <w:color w:val="000000"/>
          <w:sz w:val="22"/>
        </w:rPr>
        <w:t xml:space="preserve">Total survey reported production for the </w:t>
      </w:r>
      <w:r w:rsidR="005A4B74">
        <w:rPr>
          <w:color w:val="000000"/>
          <w:sz w:val="22"/>
        </w:rPr>
        <w:t>state/</w:t>
      </w:r>
      <w:r w:rsidR="005C0D57">
        <w:rPr>
          <w:color w:val="000000"/>
          <w:sz w:val="22"/>
        </w:rPr>
        <w:t>area in month ‘m’</w:t>
      </w:r>
    </w:p>
    <w:p w14:paraId="6AFCB3D7" w14:textId="77777777" w:rsidR="005C0D57" w:rsidRDefault="005C0D57" w:rsidP="001755DC">
      <w:pPr>
        <w:spacing w:before="120" w:beforeAutospacing="0" w:after="0" w:afterAutospacing="0"/>
        <w:rPr>
          <w:color w:val="000000"/>
          <w:sz w:val="22"/>
        </w:rPr>
      </w:pPr>
      <w:r>
        <w:rPr>
          <w:color w:val="000000"/>
          <w:sz w:val="22"/>
        </w:rPr>
        <w:t>L</w:t>
      </w:r>
      <w:r w:rsidR="00BA013A">
        <w:rPr>
          <w:color w:val="000000"/>
          <w:sz w:val="22"/>
        </w:rPr>
        <w:t xml:space="preserve"> </w:t>
      </w:r>
      <w:r>
        <w:rPr>
          <w:color w:val="000000"/>
          <w:sz w:val="22"/>
        </w:rPr>
        <w:t xml:space="preserve">= The DI lag for the particular </w:t>
      </w:r>
      <w:r w:rsidR="005A4B74">
        <w:rPr>
          <w:color w:val="000000"/>
          <w:sz w:val="22"/>
        </w:rPr>
        <w:t>state/</w:t>
      </w:r>
      <w:r>
        <w:rPr>
          <w:color w:val="000000"/>
          <w:sz w:val="22"/>
        </w:rPr>
        <w:t>area</w:t>
      </w:r>
    </w:p>
    <w:p w14:paraId="7B8C3CC2" w14:textId="77777777" w:rsidR="00ED4A2D" w:rsidRDefault="00654C88" w:rsidP="00ED4A2D">
      <w:pPr>
        <w:spacing w:before="120" w:beforeAutospacing="0" w:after="0" w:afterAutospacing="0"/>
        <w:rPr>
          <w:color w:val="000000"/>
          <w:sz w:val="22"/>
        </w:rPr>
      </w:pPr>
      <m:oMath>
        <m:sSub>
          <m:sSubPr>
            <m:ctrlPr>
              <w:rPr>
                <w:rFonts w:ascii="Cambria Math" w:hAnsi="Cambria Math"/>
                <w:i/>
                <w:color w:val="000000"/>
                <w:sz w:val="22"/>
              </w:rPr>
            </m:ctrlPr>
          </m:sSubPr>
          <m:e>
            <m:r>
              <w:rPr>
                <w:rFonts w:ascii="Cambria Math" w:hAnsi="Cambria Math"/>
                <w:color w:val="000000"/>
                <w:sz w:val="22"/>
              </w:rPr>
              <m:t>TP</m:t>
            </m:r>
          </m:e>
          <m:sub>
            <m:r>
              <w:rPr>
                <w:rFonts w:ascii="Cambria Math" w:hAnsi="Cambria Math"/>
                <w:color w:val="000000"/>
                <w:sz w:val="22"/>
              </w:rPr>
              <m:t>i</m:t>
            </m:r>
          </m:sub>
        </m:sSub>
        <m:r>
          <w:rPr>
            <w:rFonts w:ascii="Cambria Math" w:hAnsi="Cambria Math"/>
            <w:color w:val="000000"/>
            <w:sz w:val="22"/>
          </w:rPr>
          <m:t>=</m:t>
        </m:r>
      </m:oMath>
      <w:r w:rsidR="003D62C8">
        <w:rPr>
          <w:color w:val="000000"/>
          <w:sz w:val="22"/>
        </w:rPr>
        <w:t xml:space="preserve"> </w:t>
      </w:r>
      <w:r w:rsidR="00ED4A2D">
        <w:rPr>
          <w:color w:val="000000"/>
          <w:sz w:val="22"/>
        </w:rPr>
        <w:t>Total production for the area in month ‘i’ from the DI database</w:t>
      </w:r>
    </w:p>
    <w:p w14:paraId="4E03CFD8" w14:textId="77777777" w:rsidR="00ED4A2D" w:rsidRDefault="00654C88" w:rsidP="00ED4A2D">
      <w:pPr>
        <w:spacing w:before="120" w:beforeAutospacing="0" w:after="0" w:afterAutospacing="0"/>
        <w:rPr>
          <w:color w:val="000000"/>
          <w:sz w:val="22"/>
        </w:rPr>
      </w:pPr>
      <m:oMath>
        <m:sSub>
          <m:sSubPr>
            <m:ctrlPr>
              <w:rPr>
                <w:rFonts w:ascii="Cambria Math" w:hAnsi="Cambria Math"/>
                <w:i/>
                <w:color w:val="000000"/>
                <w:sz w:val="22"/>
              </w:rPr>
            </m:ctrlPr>
          </m:sSubPr>
          <m:e>
            <m:r>
              <w:rPr>
                <w:rFonts w:ascii="Cambria Math" w:hAnsi="Cambria Math"/>
                <w:color w:val="000000"/>
                <w:sz w:val="22"/>
              </w:rPr>
              <m:t>SP</m:t>
            </m:r>
          </m:e>
          <m:sub>
            <m:r>
              <w:rPr>
                <w:rFonts w:ascii="Cambria Math" w:hAnsi="Cambria Math"/>
                <w:color w:val="000000"/>
                <w:sz w:val="22"/>
              </w:rPr>
              <m:t>i</m:t>
            </m:r>
          </m:sub>
        </m:sSub>
        <m:r>
          <w:rPr>
            <w:rFonts w:ascii="Cambria Math" w:hAnsi="Cambria Math"/>
            <w:color w:val="000000"/>
            <w:sz w:val="22"/>
          </w:rPr>
          <m:t>=</m:t>
        </m:r>
      </m:oMath>
      <w:r w:rsidR="003D62C8">
        <w:rPr>
          <w:color w:val="000000"/>
          <w:sz w:val="22"/>
        </w:rPr>
        <w:t xml:space="preserve"> </w:t>
      </w:r>
      <w:r w:rsidR="00ED4A2D">
        <w:rPr>
          <w:color w:val="000000"/>
          <w:sz w:val="22"/>
        </w:rPr>
        <w:t>Production of the current sample of operators in month ‘i’ from the DI database</w:t>
      </w:r>
    </w:p>
    <w:p w14:paraId="03496491" w14:textId="5B83F353" w:rsidR="00EB77E5" w:rsidRDefault="00ED4A2D" w:rsidP="00CD3F2A">
      <w:pPr>
        <w:spacing w:before="120" w:beforeAutospacing="0" w:after="0" w:afterAutospacing="0"/>
        <w:rPr>
          <w:sz w:val="22"/>
        </w:rPr>
      </w:pPr>
      <w:r>
        <w:rPr>
          <w:color w:val="000000"/>
          <w:sz w:val="22"/>
        </w:rPr>
        <w:t xml:space="preserve">Errors can occur in the estimation process when </w:t>
      </w:r>
      <w:r w:rsidR="00EB77E5">
        <w:rPr>
          <w:color w:val="000000"/>
          <w:sz w:val="22"/>
        </w:rPr>
        <w:t xml:space="preserve">producing properties are transferred </w:t>
      </w:r>
      <w:r w:rsidR="0012025B">
        <w:rPr>
          <w:color w:val="000000"/>
          <w:sz w:val="22"/>
        </w:rPr>
        <w:t xml:space="preserve">between </w:t>
      </w:r>
      <w:r w:rsidR="00EB77E5">
        <w:rPr>
          <w:color w:val="000000"/>
          <w:sz w:val="22"/>
        </w:rPr>
        <w:t>operator</w:t>
      </w:r>
      <w:r w:rsidR="0012025B">
        <w:rPr>
          <w:color w:val="000000"/>
          <w:sz w:val="22"/>
        </w:rPr>
        <w:t>s, and this transfer is not reflected in both</w:t>
      </w:r>
      <w:r w:rsidR="00EB77E5">
        <w:rPr>
          <w:color w:val="000000"/>
          <w:sz w:val="22"/>
        </w:rPr>
        <w:t xml:space="preserve"> the DI database </w:t>
      </w:r>
      <w:r w:rsidR="0012025B">
        <w:rPr>
          <w:color w:val="000000"/>
          <w:sz w:val="22"/>
        </w:rPr>
        <w:t>and</w:t>
      </w:r>
      <w:r w:rsidR="00EB77E5">
        <w:rPr>
          <w:color w:val="000000"/>
          <w:sz w:val="22"/>
        </w:rPr>
        <w:t xml:space="preserve"> the </w:t>
      </w:r>
      <w:r w:rsidR="0012025B">
        <w:rPr>
          <w:color w:val="000000"/>
          <w:sz w:val="22"/>
        </w:rPr>
        <w:t xml:space="preserve">Form </w:t>
      </w:r>
      <w:r w:rsidR="00EB77E5">
        <w:rPr>
          <w:color w:val="000000"/>
          <w:sz w:val="22"/>
        </w:rPr>
        <w:t>EIA-914.</w:t>
      </w:r>
      <w:r>
        <w:rPr>
          <w:color w:val="000000"/>
          <w:sz w:val="22"/>
        </w:rPr>
        <w:t xml:space="preserve"> </w:t>
      </w:r>
      <w:r w:rsidR="00D23EC9">
        <w:rPr>
          <w:color w:val="000000"/>
          <w:sz w:val="22"/>
        </w:rPr>
        <w:t>This can be caused by m</w:t>
      </w:r>
      <w:r>
        <w:rPr>
          <w:color w:val="000000"/>
          <w:sz w:val="22"/>
        </w:rPr>
        <w:t>ergers and acquisitions</w:t>
      </w:r>
      <w:r w:rsidR="00D23EC9">
        <w:rPr>
          <w:color w:val="000000"/>
          <w:sz w:val="22"/>
        </w:rPr>
        <w:t>.</w:t>
      </w:r>
      <w:r w:rsidR="001D395A">
        <w:rPr>
          <w:color w:val="000000"/>
          <w:sz w:val="22"/>
        </w:rPr>
        <w:t xml:space="preserve"> </w:t>
      </w:r>
      <w:r w:rsidR="00136EAC">
        <w:rPr>
          <w:color w:val="000000"/>
          <w:sz w:val="22"/>
        </w:rPr>
        <w:t xml:space="preserve">EIA monitors these events by following trade journals and news releases and by following up with respondents whose reported production is substantially different from what is expected given their </w:t>
      </w:r>
      <w:r w:rsidR="00EB77E5">
        <w:rPr>
          <w:color w:val="000000"/>
          <w:sz w:val="22"/>
        </w:rPr>
        <w:t>production history</w:t>
      </w:r>
      <w:r w:rsidR="00136EAC">
        <w:rPr>
          <w:color w:val="000000"/>
          <w:sz w:val="22"/>
        </w:rPr>
        <w:t>.</w:t>
      </w:r>
      <w:r w:rsidR="001D395A">
        <w:rPr>
          <w:color w:val="000000"/>
          <w:sz w:val="22"/>
        </w:rPr>
        <w:t xml:space="preserve"> </w:t>
      </w:r>
      <w:r w:rsidR="00EB77E5">
        <w:rPr>
          <w:color w:val="000000"/>
          <w:sz w:val="22"/>
        </w:rPr>
        <w:t xml:space="preserve">When </w:t>
      </w:r>
      <w:r w:rsidR="00454CAF">
        <w:rPr>
          <w:color w:val="000000"/>
          <w:sz w:val="22"/>
        </w:rPr>
        <w:t xml:space="preserve">transfers and </w:t>
      </w:r>
      <w:r w:rsidR="00D23EC9">
        <w:rPr>
          <w:color w:val="000000"/>
          <w:sz w:val="22"/>
        </w:rPr>
        <w:t>other</w:t>
      </w:r>
      <w:r w:rsidR="00454CAF">
        <w:rPr>
          <w:color w:val="000000"/>
          <w:sz w:val="22"/>
        </w:rPr>
        <w:t xml:space="preserve"> changes occur</w:t>
      </w:r>
      <w:r w:rsidR="00EB77E5">
        <w:rPr>
          <w:color w:val="000000"/>
          <w:sz w:val="22"/>
        </w:rPr>
        <w:t xml:space="preserve">, </w:t>
      </w:r>
      <w:r w:rsidR="00454CAF">
        <w:rPr>
          <w:color w:val="000000"/>
          <w:sz w:val="22"/>
        </w:rPr>
        <w:t>EIA adjusts</w:t>
      </w:r>
      <w:r w:rsidR="00EB77E5">
        <w:rPr>
          <w:color w:val="000000"/>
          <w:sz w:val="22"/>
        </w:rPr>
        <w:t xml:space="preserve"> either the DI data or the survey data</w:t>
      </w:r>
      <w:r w:rsidR="00454CAF">
        <w:rPr>
          <w:color w:val="000000"/>
          <w:sz w:val="22"/>
        </w:rPr>
        <w:t>, as appropriate,</w:t>
      </w:r>
      <w:r w:rsidR="00EB77E5">
        <w:rPr>
          <w:color w:val="000000"/>
          <w:sz w:val="22"/>
        </w:rPr>
        <w:t xml:space="preserve"> </w:t>
      </w:r>
      <w:bookmarkStart w:id="11" w:name="_Toc384099342"/>
      <w:r w:rsidR="00454CAF">
        <w:rPr>
          <w:color w:val="000000"/>
          <w:sz w:val="22"/>
        </w:rPr>
        <w:t>to synchronize reporting</w:t>
      </w:r>
      <w:r w:rsidR="009C3CB9">
        <w:rPr>
          <w:color w:val="000000"/>
          <w:sz w:val="22"/>
        </w:rPr>
        <w:t xml:space="preserve"> </w:t>
      </w:r>
      <w:r w:rsidR="00EB77E5" w:rsidRPr="009302CD">
        <w:rPr>
          <w:sz w:val="22"/>
        </w:rPr>
        <w:t>until the two are in sync again.</w:t>
      </w:r>
    </w:p>
    <w:p w14:paraId="31A3D303" w14:textId="4D8CC80A" w:rsidR="007F415E" w:rsidRDefault="008C484A">
      <w:pPr>
        <w:spacing w:before="120" w:beforeAutospacing="0" w:after="0" w:afterAutospacing="0"/>
        <w:rPr>
          <w:sz w:val="22"/>
        </w:rPr>
      </w:pPr>
      <w:r w:rsidRPr="00A91C64">
        <w:rPr>
          <w:sz w:val="22"/>
        </w:rPr>
        <w:t xml:space="preserve">All estimates </w:t>
      </w:r>
      <w:r>
        <w:rPr>
          <w:sz w:val="22"/>
        </w:rPr>
        <w:t>will be</w:t>
      </w:r>
      <w:r w:rsidRPr="00A91C64">
        <w:rPr>
          <w:sz w:val="22"/>
        </w:rPr>
        <w:t xml:space="preserve"> based on the simple ratio estimate method with the exception of </w:t>
      </w:r>
      <w:r>
        <w:rPr>
          <w:sz w:val="22"/>
        </w:rPr>
        <w:t>“</w:t>
      </w:r>
      <w:r w:rsidRPr="00A91C64">
        <w:rPr>
          <w:sz w:val="22"/>
        </w:rPr>
        <w:t>Other States</w:t>
      </w:r>
      <w:r>
        <w:rPr>
          <w:sz w:val="22"/>
        </w:rPr>
        <w:t>,”</w:t>
      </w:r>
      <w:r w:rsidRPr="00A91C64">
        <w:rPr>
          <w:sz w:val="22"/>
        </w:rPr>
        <w:t xml:space="preserve"> which is currently determined </w:t>
      </w:r>
      <w:r>
        <w:rPr>
          <w:sz w:val="22"/>
        </w:rPr>
        <w:t xml:space="preserve">for natural gas producers </w:t>
      </w:r>
      <w:r w:rsidRPr="00A91C64">
        <w:rPr>
          <w:sz w:val="22"/>
        </w:rPr>
        <w:t xml:space="preserve">by applying the ratio of total gross natural gas production published in the </w:t>
      </w:r>
      <w:r>
        <w:rPr>
          <w:sz w:val="22"/>
        </w:rPr>
        <w:t>NGA</w:t>
      </w:r>
      <w:r w:rsidRPr="00A91C64">
        <w:rPr>
          <w:sz w:val="22"/>
        </w:rPr>
        <w:t xml:space="preserve"> to the EIA-914 survey</w:t>
      </w:r>
      <w:r>
        <w:rPr>
          <w:sz w:val="22"/>
        </w:rPr>
        <w:t>ed</w:t>
      </w:r>
      <w:r w:rsidRPr="00A91C64">
        <w:rPr>
          <w:sz w:val="22"/>
        </w:rPr>
        <w:t xml:space="preserve"> production</w:t>
      </w:r>
      <w:r>
        <w:rPr>
          <w:sz w:val="22"/>
        </w:rPr>
        <w:t xml:space="preserve"> for the most recent available year</w:t>
      </w:r>
      <w:r w:rsidRPr="00A91C64">
        <w:rPr>
          <w:sz w:val="22"/>
        </w:rPr>
        <w:t xml:space="preserve">. </w:t>
      </w:r>
      <w:r>
        <w:rPr>
          <w:sz w:val="22"/>
        </w:rPr>
        <w:t>The numbers from the NGA come from state-maintained webpages.</w:t>
      </w:r>
      <w:r w:rsidR="001D395A">
        <w:rPr>
          <w:sz w:val="22"/>
        </w:rPr>
        <w:t xml:space="preserve"> </w:t>
      </w:r>
      <w:r>
        <w:rPr>
          <w:sz w:val="22"/>
        </w:rPr>
        <w:t>This is used instead of the simple ratio method because the frame for the “Other States” group is less complete.</w:t>
      </w:r>
      <w:r w:rsidR="001D395A">
        <w:rPr>
          <w:sz w:val="22"/>
        </w:rPr>
        <w:t xml:space="preserve"> </w:t>
      </w:r>
      <w:r>
        <w:rPr>
          <w:sz w:val="22"/>
        </w:rPr>
        <w:t>If the frame coverage in the other states improves it could be estimated using the simple ratio estimate method as well.</w:t>
      </w:r>
      <w:r w:rsidR="001D395A">
        <w:rPr>
          <w:sz w:val="22"/>
        </w:rPr>
        <w:t xml:space="preserve"> </w:t>
      </w:r>
      <w:r>
        <w:rPr>
          <w:sz w:val="22"/>
        </w:rPr>
        <w:t>For the expanded EIA-914</w:t>
      </w:r>
      <w:r w:rsidR="00F93F63">
        <w:rPr>
          <w:sz w:val="22"/>
        </w:rPr>
        <w:t xml:space="preserve"> the “Other States” is roughly </w:t>
      </w:r>
      <w:r w:rsidR="00F93F63">
        <w:rPr>
          <w:sz w:val="22"/>
        </w:rPr>
        <w:t>3 percent</w:t>
      </w:r>
      <w:r>
        <w:rPr>
          <w:sz w:val="22"/>
        </w:rPr>
        <w:t xml:space="preserve"> of both oil and gas production in the lower 48 states.</w:t>
      </w:r>
      <w:r w:rsidR="001D395A">
        <w:rPr>
          <w:sz w:val="22"/>
        </w:rPr>
        <w:t xml:space="preserve"> </w:t>
      </w:r>
      <w:r>
        <w:rPr>
          <w:sz w:val="22"/>
        </w:rPr>
        <w:t>An estimation method similar to the current “Other States” estimation process is anticipated, using the NGA data for gas and the PSA data for oil.</w:t>
      </w:r>
      <w:r w:rsidR="001D395A">
        <w:rPr>
          <w:sz w:val="22"/>
        </w:rPr>
        <w:t xml:space="preserve"> </w:t>
      </w:r>
      <w:r w:rsidR="00676AB5">
        <w:rPr>
          <w:sz w:val="22"/>
        </w:rPr>
        <w:t>Initially</w:t>
      </w:r>
      <w:r w:rsidR="00454CAF">
        <w:rPr>
          <w:sz w:val="22"/>
        </w:rPr>
        <w:t>,</w:t>
      </w:r>
      <w:r w:rsidR="00676AB5">
        <w:rPr>
          <w:sz w:val="22"/>
        </w:rPr>
        <w:t xml:space="preserve"> the </w:t>
      </w:r>
      <w:r w:rsidR="009302CD">
        <w:rPr>
          <w:sz w:val="22"/>
        </w:rPr>
        <w:t>“</w:t>
      </w:r>
      <w:r w:rsidR="00676AB5">
        <w:rPr>
          <w:sz w:val="22"/>
        </w:rPr>
        <w:t>Other States</w:t>
      </w:r>
      <w:r w:rsidR="009302CD">
        <w:rPr>
          <w:sz w:val="22"/>
        </w:rPr>
        <w:t>”</w:t>
      </w:r>
      <w:r w:rsidR="00676AB5">
        <w:rPr>
          <w:sz w:val="22"/>
        </w:rPr>
        <w:t xml:space="preserve"> volumes may be published as reported with no estimation until the adequacy of the </w:t>
      </w:r>
      <w:r w:rsidR="009302CD">
        <w:rPr>
          <w:sz w:val="22"/>
        </w:rPr>
        <w:t>“</w:t>
      </w:r>
      <w:r w:rsidR="00676AB5">
        <w:rPr>
          <w:sz w:val="22"/>
        </w:rPr>
        <w:t>Other States</w:t>
      </w:r>
      <w:r w:rsidR="009302CD">
        <w:rPr>
          <w:sz w:val="22"/>
        </w:rPr>
        <w:t>”</w:t>
      </w:r>
      <w:r w:rsidR="00676AB5">
        <w:rPr>
          <w:sz w:val="22"/>
        </w:rPr>
        <w:t xml:space="preserve"> frame can be determined.</w:t>
      </w:r>
    </w:p>
    <w:p w14:paraId="74E2E6BE" w14:textId="77777777" w:rsidR="00E30C44" w:rsidRDefault="00E30C44" w:rsidP="00CD3F2A">
      <w:pPr>
        <w:spacing w:before="120" w:beforeAutospacing="0" w:after="0" w:afterAutospacing="0"/>
      </w:pPr>
    </w:p>
    <w:p w14:paraId="3FBAF0E6" w14:textId="77777777" w:rsidR="00637B07" w:rsidRPr="00CF7BF2" w:rsidRDefault="00637B07" w:rsidP="00CD3F2A">
      <w:pPr>
        <w:spacing w:before="120" w:beforeAutospacing="0" w:after="0" w:afterAutospacing="0"/>
        <w:rPr>
          <w:u w:val="single"/>
        </w:rPr>
      </w:pPr>
      <w:r w:rsidRPr="00CF7BF2">
        <w:rPr>
          <w:u w:val="single"/>
        </w:rPr>
        <w:t>Imputation for Item Non-Response</w:t>
      </w:r>
      <w:bookmarkEnd w:id="11"/>
    </w:p>
    <w:p w14:paraId="01B8745C" w14:textId="533DBB55" w:rsidR="001755DC" w:rsidRDefault="00EC57CF" w:rsidP="001730E4">
      <w:pPr>
        <w:tabs>
          <w:tab w:val="clear" w:pos="360"/>
        </w:tabs>
        <w:spacing w:before="120" w:beforeAutospacing="0"/>
        <w:rPr>
          <w:sz w:val="22"/>
        </w:rPr>
      </w:pPr>
      <w:r>
        <w:rPr>
          <w:sz w:val="22"/>
        </w:rPr>
        <w:t xml:space="preserve">Currently, Form EIA-914 </w:t>
      </w:r>
      <w:r w:rsidR="00FB03CD">
        <w:rPr>
          <w:sz w:val="22"/>
        </w:rPr>
        <w:t xml:space="preserve">experiences </w:t>
      </w:r>
      <w:r w:rsidR="00646AF3">
        <w:rPr>
          <w:sz w:val="22"/>
        </w:rPr>
        <w:t xml:space="preserve">nearly </w:t>
      </w:r>
      <w:r w:rsidR="00D23B00" w:rsidRPr="00D23B00">
        <w:rPr>
          <w:sz w:val="22"/>
        </w:rPr>
        <w:t>100</w:t>
      </w:r>
      <w:r w:rsidR="00CF7BF2">
        <w:rPr>
          <w:sz w:val="22"/>
        </w:rPr>
        <w:t xml:space="preserve"> </w:t>
      </w:r>
      <w:r w:rsidR="00F93F63">
        <w:rPr>
          <w:sz w:val="22"/>
        </w:rPr>
        <w:t>percent</w:t>
      </w:r>
      <w:r w:rsidR="00D23B00" w:rsidRPr="00D23B00">
        <w:rPr>
          <w:sz w:val="22"/>
        </w:rPr>
        <w:t xml:space="preserve"> </w:t>
      </w:r>
      <w:r w:rsidR="00646AF3">
        <w:rPr>
          <w:sz w:val="22"/>
        </w:rPr>
        <w:t xml:space="preserve">unit and item level </w:t>
      </w:r>
      <w:r w:rsidR="00D23B00" w:rsidRPr="00D23B00">
        <w:rPr>
          <w:sz w:val="22"/>
        </w:rPr>
        <w:t>response rate</w:t>
      </w:r>
      <w:r w:rsidR="00646AF3">
        <w:rPr>
          <w:sz w:val="22"/>
        </w:rPr>
        <w:t>s</w:t>
      </w:r>
      <w:r>
        <w:rPr>
          <w:sz w:val="22"/>
        </w:rPr>
        <w:t>.</w:t>
      </w:r>
      <w:r w:rsidR="001D395A">
        <w:rPr>
          <w:sz w:val="22"/>
        </w:rPr>
        <w:t xml:space="preserve"> </w:t>
      </w:r>
      <w:r w:rsidR="00646AF3">
        <w:rPr>
          <w:sz w:val="22"/>
        </w:rPr>
        <w:t>However, EIA anticipates that i</w:t>
      </w:r>
      <w:r>
        <w:rPr>
          <w:sz w:val="22"/>
        </w:rPr>
        <w:t>tem non</w:t>
      </w:r>
      <w:r w:rsidR="00FB03CD">
        <w:rPr>
          <w:sz w:val="22"/>
        </w:rPr>
        <w:t>-</w:t>
      </w:r>
      <w:r>
        <w:rPr>
          <w:sz w:val="22"/>
        </w:rPr>
        <w:t>responses are more likely to occur in the expanded Form EIA-914</w:t>
      </w:r>
      <w:r w:rsidR="00646AF3">
        <w:rPr>
          <w:sz w:val="22"/>
        </w:rPr>
        <w:t xml:space="preserve">, given </w:t>
      </w:r>
      <w:r w:rsidR="005B7348">
        <w:rPr>
          <w:sz w:val="22"/>
        </w:rPr>
        <w:t>additional</w:t>
      </w:r>
      <w:r w:rsidR="00646AF3">
        <w:rPr>
          <w:sz w:val="22"/>
        </w:rPr>
        <w:t xml:space="preserve"> reporting categories</w:t>
      </w:r>
      <w:r>
        <w:rPr>
          <w:sz w:val="22"/>
        </w:rPr>
        <w:t>.</w:t>
      </w:r>
      <w:r w:rsidR="001D395A">
        <w:rPr>
          <w:sz w:val="22"/>
        </w:rPr>
        <w:t xml:space="preserve"> </w:t>
      </w:r>
      <w:r>
        <w:rPr>
          <w:sz w:val="22"/>
        </w:rPr>
        <w:t>I</w:t>
      </w:r>
      <w:r w:rsidR="00D23B00" w:rsidRPr="00D23B00">
        <w:rPr>
          <w:sz w:val="22"/>
        </w:rPr>
        <w:t xml:space="preserve">n the event that item level non-responses </w:t>
      </w:r>
      <w:r w:rsidR="00646AF3">
        <w:rPr>
          <w:sz w:val="22"/>
        </w:rPr>
        <w:t>cannot</w:t>
      </w:r>
      <w:r w:rsidR="00D23B00" w:rsidRPr="00D23B00">
        <w:rPr>
          <w:sz w:val="22"/>
        </w:rPr>
        <w:t xml:space="preserve"> be resolved </w:t>
      </w:r>
      <w:r w:rsidR="00646AF3">
        <w:rPr>
          <w:sz w:val="22"/>
        </w:rPr>
        <w:t>within a survey cycle</w:t>
      </w:r>
      <w:r w:rsidR="00D23B00" w:rsidRPr="00D23B00">
        <w:rPr>
          <w:sz w:val="22"/>
        </w:rPr>
        <w:t xml:space="preserve">, EIA </w:t>
      </w:r>
      <w:r w:rsidR="00646AF3">
        <w:rPr>
          <w:sz w:val="22"/>
        </w:rPr>
        <w:t>intends to</w:t>
      </w:r>
      <w:r w:rsidR="00646AF3" w:rsidRPr="00D23B00">
        <w:rPr>
          <w:sz w:val="22"/>
        </w:rPr>
        <w:t xml:space="preserve"> </w:t>
      </w:r>
      <w:r w:rsidR="00D23B00" w:rsidRPr="00D23B00">
        <w:rPr>
          <w:sz w:val="22"/>
        </w:rPr>
        <w:t xml:space="preserve">use the previous </w:t>
      </w:r>
      <w:r w:rsidR="009D4D3A">
        <w:rPr>
          <w:sz w:val="22"/>
        </w:rPr>
        <w:t xml:space="preserve">three </w:t>
      </w:r>
      <w:r w:rsidR="00D23B00" w:rsidRPr="00D23B00">
        <w:rPr>
          <w:sz w:val="22"/>
        </w:rPr>
        <w:t>month</w:t>
      </w:r>
      <w:r w:rsidR="00FB03CD">
        <w:rPr>
          <w:sz w:val="22"/>
        </w:rPr>
        <w:t>s</w:t>
      </w:r>
      <w:r w:rsidR="00D23B00" w:rsidRPr="00D23B00">
        <w:rPr>
          <w:sz w:val="22"/>
        </w:rPr>
        <w:t>’ data to impute current month data for a non-respondent</w:t>
      </w:r>
      <w:r w:rsidR="00646AF3">
        <w:rPr>
          <w:sz w:val="22"/>
        </w:rPr>
        <w:t>.</w:t>
      </w:r>
      <w:r w:rsidR="001D395A">
        <w:rPr>
          <w:sz w:val="22"/>
        </w:rPr>
        <w:t xml:space="preserve"> </w:t>
      </w:r>
      <w:r w:rsidR="00646AF3">
        <w:rPr>
          <w:sz w:val="22"/>
        </w:rPr>
        <w:t>EIA will replace the imputed data with respondent data, once reported to EIA</w:t>
      </w:r>
      <w:r w:rsidR="00D23B00" w:rsidRPr="00D23B00">
        <w:rPr>
          <w:sz w:val="22"/>
        </w:rPr>
        <w:t>.</w:t>
      </w:r>
      <w:r w:rsidR="001D395A">
        <w:rPr>
          <w:sz w:val="22"/>
        </w:rPr>
        <w:t xml:space="preserve"> </w:t>
      </w:r>
      <w:r w:rsidR="00D23B00" w:rsidRPr="00D23B00">
        <w:rPr>
          <w:sz w:val="22"/>
        </w:rPr>
        <w:t xml:space="preserve">If any of the </w:t>
      </w:r>
      <w:r w:rsidR="009D4D3A">
        <w:rPr>
          <w:sz w:val="22"/>
        </w:rPr>
        <w:t xml:space="preserve">three </w:t>
      </w:r>
      <w:r w:rsidR="00D23B00" w:rsidRPr="00D23B00">
        <w:rPr>
          <w:sz w:val="22"/>
        </w:rPr>
        <w:t xml:space="preserve">previous months’ </w:t>
      </w:r>
      <w:r w:rsidR="002736D3">
        <w:rPr>
          <w:sz w:val="22"/>
        </w:rPr>
        <w:t xml:space="preserve">survey </w:t>
      </w:r>
      <w:r w:rsidR="00D23B00" w:rsidRPr="00D23B00">
        <w:rPr>
          <w:sz w:val="22"/>
        </w:rPr>
        <w:t>data are deemed not analogous to the current</w:t>
      </w:r>
      <w:r w:rsidR="00D11735">
        <w:rPr>
          <w:sz w:val="22"/>
        </w:rPr>
        <w:t xml:space="preserve"> missing reporting</w:t>
      </w:r>
      <w:r w:rsidR="00D23B00" w:rsidRPr="00D23B00">
        <w:rPr>
          <w:sz w:val="22"/>
        </w:rPr>
        <w:t xml:space="preserve"> month’s data (i.e., being influenced by maintenance, weather event, power outage, etc</w:t>
      </w:r>
      <w:r w:rsidR="000C6ACE">
        <w:rPr>
          <w:sz w:val="22"/>
        </w:rPr>
        <w:t>.</w:t>
      </w:r>
      <w:r w:rsidR="00D23B00" w:rsidRPr="00D23B00">
        <w:rPr>
          <w:sz w:val="22"/>
        </w:rPr>
        <w:t xml:space="preserve">) </w:t>
      </w:r>
      <w:r w:rsidR="00136EAC">
        <w:rPr>
          <w:sz w:val="22"/>
        </w:rPr>
        <w:t xml:space="preserve">that </w:t>
      </w:r>
      <w:r w:rsidR="00D11735">
        <w:rPr>
          <w:sz w:val="22"/>
        </w:rPr>
        <w:t xml:space="preserve">previous </w:t>
      </w:r>
      <w:r w:rsidR="00D23B00" w:rsidRPr="00D23B00">
        <w:rPr>
          <w:sz w:val="22"/>
        </w:rPr>
        <w:t>month</w:t>
      </w:r>
      <w:r w:rsidR="00FB03CD">
        <w:rPr>
          <w:sz w:val="22"/>
        </w:rPr>
        <w:t>’</w:t>
      </w:r>
      <w:r w:rsidR="00D23B00" w:rsidRPr="00D23B00">
        <w:rPr>
          <w:sz w:val="22"/>
        </w:rPr>
        <w:t>s data would not be used in the imputation</w:t>
      </w:r>
      <w:r w:rsidR="00D11735">
        <w:rPr>
          <w:sz w:val="22"/>
        </w:rPr>
        <w:t xml:space="preserve"> process</w:t>
      </w:r>
      <w:r w:rsidR="00D23B00" w:rsidRPr="00D23B00">
        <w:rPr>
          <w:sz w:val="22"/>
        </w:rPr>
        <w:t>.</w:t>
      </w:r>
    </w:p>
    <w:p w14:paraId="1C54A7DE" w14:textId="77777777" w:rsidR="00637B07" w:rsidRDefault="00637B07" w:rsidP="00C6298C">
      <w:pPr>
        <w:pStyle w:val="Heading3"/>
      </w:pPr>
      <w:bookmarkStart w:id="12" w:name="_Toc396421500"/>
      <w:r>
        <w:t>Frame Maintenance</w:t>
      </w:r>
      <w:bookmarkEnd w:id="12"/>
    </w:p>
    <w:p w14:paraId="76B8BD33" w14:textId="33A630DC" w:rsidR="003F1636" w:rsidRDefault="00151E02" w:rsidP="003F1636">
      <w:pPr>
        <w:tabs>
          <w:tab w:val="clear" w:pos="360"/>
        </w:tabs>
        <w:spacing w:before="120" w:beforeAutospacing="0"/>
        <w:rPr>
          <w:sz w:val="22"/>
        </w:rPr>
      </w:pPr>
      <w:r w:rsidRPr="006B4EFD">
        <w:rPr>
          <w:sz w:val="22"/>
        </w:rPr>
        <w:t xml:space="preserve">Since </w:t>
      </w:r>
      <w:r w:rsidR="003F1636">
        <w:rPr>
          <w:sz w:val="22"/>
        </w:rPr>
        <w:t xml:space="preserve">the </w:t>
      </w:r>
      <w:r w:rsidRPr="006B4EFD">
        <w:rPr>
          <w:sz w:val="22"/>
        </w:rPr>
        <w:t xml:space="preserve">inception </w:t>
      </w:r>
      <w:r w:rsidR="003F1636">
        <w:rPr>
          <w:sz w:val="22"/>
        </w:rPr>
        <w:t xml:space="preserve">of </w:t>
      </w:r>
      <w:r w:rsidR="00FB03CD">
        <w:rPr>
          <w:sz w:val="22"/>
        </w:rPr>
        <w:t xml:space="preserve">the </w:t>
      </w:r>
      <w:r w:rsidR="003F1636">
        <w:rPr>
          <w:sz w:val="22"/>
        </w:rPr>
        <w:t>Form EIA-</w:t>
      </w:r>
      <w:r w:rsidR="001A4B3D">
        <w:rPr>
          <w:sz w:val="22"/>
        </w:rPr>
        <w:t>91</w:t>
      </w:r>
      <w:r w:rsidR="003F1636">
        <w:rPr>
          <w:sz w:val="22"/>
        </w:rPr>
        <w:t xml:space="preserve">4 </w:t>
      </w:r>
      <w:r w:rsidR="00E844D7">
        <w:rPr>
          <w:sz w:val="22"/>
        </w:rPr>
        <w:t>in 2005</w:t>
      </w:r>
      <w:r w:rsidRPr="006B4EFD">
        <w:rPr>
          <w:sz w:val="22"/>
        </w:rPr>
        <w:t xml:space="preserve">, </w:t>
      </w:r>
      <w:r w:rsidR="008775EE">
        <w:rPr>
          <w:sz w:val="22"/>
        </w:rPr>
        <w:t>EIA</w:t>
      </w:r>
      <w:r w:rsidR="0043215D" w:rsidRPr="006B4EFD">
        <w:rPr>
          <w:sz w:val="22"/>
        </w:rPr>
        <w:t xml:space="preserve"> has maintained a</w:t>
      </w:r>
      <w:r w:rsidR="003F1636">
        <w:rPr>
          <w:sz w:val="22"/>
        </w:rPr>
        <w:t xml:space="preserve"> </w:t>
      </w:r>
      <w:r w:rsidR="009802ED">
        <w:rPr>
          <w:sz w:val="22"/>
        </w:rPr>
        <w:t xml:space="preserve">natural </w:t>
      </w:r>
      <w:r w:rsidR="003F1636">
        <w:rPr>
          <w:sz w:val="22"/>
        </w:rPr>
        <w:t xml:space="preserve">gas </w:t>
      </w:r>
      <w:r w:rsidR="00015D95">
        <w:rPr>
          <w:sz w:val="22"/>
        </w:rPr>
        <w:t>operator</w:t>
      </w:r>
      <w:r w:rsidR="000C6ACE">
        <w:rPr>
          <w:sz w:val="22"/>
        </w:rPr>
        <w:t xml:space="preserve"> </w:t>
      </w:r>
      <w:r w:rsidRPr="006B4EFD">
        <w:rPr>
          <w:sz w:val="22"/>
        </w:rPr>
        <w:t xml:space="preserve">frame </w:t>
      </w:r>
      <w:r w:rsidR="003F1636">
        <w:rPr>
          <w:sz w:val="22"/>
        </w:rPr>
        <w:t xml:space="preserve">of the </w:t>
      </w:r>
      <w:r w:rsidR="00FB03CD">
        <w:rPr>
          <w:sz w:val="22"/>
        </w:rPr>
        <w:t>nation’s</w:t>
      </w:r>
      <w:r w:rsidR="003F1636">
        <w:rPr>
          <w:sz w:val="22"/>
        </w:rPr>
        <w:t xml:space="preserve"> </w:t>
      </w:r>
      <w:r w:rsidR="009802ED">
        <w:rPr>
          <w:sz w:val="22"/>
        </w:rPr>
        <w:t xml:space="preserve">natural </w:t>
      </w:r>
      <w:r w:rsidR="003F1636">
        <w:rPr>
          <w:sz w:val="22"/>
        </w:rPr>
        <w:t>gas p</w:t>
      </w:r>
      <w:r w:rsidR="001A4B3D">
        <w:rPr>
          <w:sz w:val="22"/>
        </w:rPr>
        <w:t>roducer</w:t>
      </w:r>
      <w:r w:rsidR="003F1636">
        <w:rPr>
          <w:sz w:val="22"/>
        </w:rPr>
        <w:t>s.</w:t>
      </w:r>
      <w:r w:rsidR="001D395A">
        <w:rPr>
          <w:sz w:val="22"/>
        </w:rPr>
        <w:t xml:space="preserve"> </w:t>
      </w:r>
      <w:r w:rsidR="003F1636">
        <w:rPr>
          <w:sz w:val="22"/>
        </w:rPr>
        <w:t>EIA uses various sources of information to maintain the completeness of the frame, including trade press, other data pro</w:t>
      </w:r>
      <w:r w:rsidR="00767990">
        <w:rPr>
          <w:sz w:val="22"/>
        </w:rPr>
        <w:t xml:space="preserve">viders, and </w:t>
      </w:r>
      <w:r w:rsidR="00015D95">
        <w:rPr>
          <w:sz w:val="22"/>
        </w:rPr>
        <w:t>state regulatory agencies</w:t>
      </w:r>
      <w:r w:rsidR="00767990">
        <w:rPr>
          <w:sz w:val="22"/>
        </w:rPr>
        <w:t>.</w:t>
      </w:r>
      <w:r w:rsidR="001D395A">
        <w:rPr>
          <w:sz w:val="22"/>
        </w:rPr>
        <w:t xml:space="preserve"> </w:t>
      </w:r>
      <w:r w:rsidR="00767990">
        <w:rPr>
          <w:sz w:val="22"/>
        </w:rPr>
        <w:t xml:space="preserve">EIA plans to maintain the </w:t>
      </w:r>
      <w:r w:rsidR="00015D95">
        <w:rPr>
          <w:sz w:val="22"/>
        </w:rPr>
        <w:t xml:space="preserve">natural gas, </w:t>
      </w:r>
      <w:r w:rsidR="00767990">
        <w:rPr>
          <w:sz w:val="22"/>
        </w:rPr>
        <w:t>crude oil</w:t>
      </w:r>
      <w:r w:rsidR="00015D95">
        <w:rPr>
          <w:sz w:val="22"/>
        </w:rPr>
        <w:t>,</w:t>
      </w:r>
      <w:r w:rsidR="00767990">
        <w:rPr>
          <w:sz w:val="22"/>
        </w:rPr>
        <w:t xml:space="preserve"> and </w:t>
      </w:r>
      <w:r w:rsidR="00FB03CD">
        <w:rPr>
          <w:sz w:val="22"/>
        </w:rPr>
        <w:t xml:space="preserve">lease </w:t>
      </w:r>
      <w:r w:rsidR="00767990">
        <w:rPr>
          <w:sz w:val="22"/>
        </w:rPr>
        <w:t>condensate frame by following similar practices.</w:t>
      </w:r>
    </w:p>
    <w:p w14:paraId="283F3E4C" w14:textId="77777777" w:rsidR="003F1636" w:rsidRPr="00CA006A" w:rsidRDefault="009802ED" w:rsidP="003F1636">
      <w:pPr>
        <w:tabs>
          <w:tab w:val="clear" w:pos="360"/>
        </w:tabs>
        <w:spacing w:before="120" w:beforeAutospacing="0"/>
        <w:rPr>
          <w:sz w:val="22"/>
        </w:rPr>
      </w:pPr>
      <w:r>
        <w:rPr>
          <w:sz w:val="22"/>
        </w:rPr>
        <w:t xml:space="preserve">EIA </w:t>
      </w:r>
      <w:r w:rsidR="00873482">
        <w:rPr>
          <w:sz w:val="22"/>
        </w:rPr>
        <w:t xml:space="preserve">continuously </w:t>
      </w:r>
      <w:r>
        <w:rPr>
          <w:sz w:val="22"/>
        </w:rPr>
        <w:t>reviews all available information to adjust the survey frame for the Form EIA-91</w:t>
      </w:r>
      <w:r w:rsidR="001A4B3D">
        <w:rPr>
          <w:sz w:val="22"/>
        </w:rPr>
        <w:t>4</w:t>
      </w:r>
      <w:r>
        <w:rPr>
          <w:sz w:val="22"/>
        </w:rPr>
        <w:t xml:space="preserve"> data collection for births, deaths, mergers</w:t>
      </w:r>
      <w:r w:rsidR="00385206">
        <w:rPr>
          <w:sz w:val="22"/>
        </w:rPr>
        <w:t>,</w:t>
      </w:r>
      <w:r>
        <w:rPr>
          <w:sz w:val="22"/>
        </w:rPr>
        <w:t xml:space="preserve"> and company information changes.</w:t>
      </w:r>
    </w:p>
    <w:p w14:paraId="1D45AB53" w14:textId="77777777" w:rsidR="000D0CBA" w:rsidRDefault="000D0CBA" w:rsidP="00C6298C">
      <w:pPr>
        <w:pStyle w:val="Heading3"/>
      </w:pPr>
      <w:bookmarkStart w:id="13" w:name="_Toc396421501"/>
      <w:r>
        <w:lastRenderedPageBreak/>
        <w:t>Efforts to Reduce Total Survey Error</w:t>
      </w:r>
      <w:bookmarkEnd w:id="13"/>
    </w:p>
    <w:p w14:paraId="14CA4E18" w14:textId="77777777" w:rsidR="00151E02" w:rsidRPr="00C47FE9" w:rsidRDefault="00151E02" w:rsidP="00C47FE9">
      <w:pPr>
        <w:tabs>
          <w:tab w:val="clear" w:pos="360"/>
        </w:tabs>
        <w:spacing w:before="120" w:beforeAutospacing="0" w:after="0" w:afterAutospacing="0"/>
        <w:rPr>
          <w:sz w:val="22"/>
          <w:u w:val="single"/>
        </w:rPr>
      </w:pPr>
      <w:r w:rsidRPr="00C47FE9">
        <w:rPr>
          <w:sz w:val="22"/>
          <w:u w:val="single"/>
        </w:rPr>
        <w:t>Frame Coverage Errors</w:t>
      </w:r>
    </w:p>
    <w:p w14:paraId="3022B860" w14:textId="4495456A" w:rsidR="003F1636" w:rsidRDefault="008E6BB3" w:rsidP="00C47FE9">
      <w:pPr>
        <w:tabs>
          <w:tab w:val="clear" w:pos="360"/>
        </w:tabs>
        <w:spacing w:before="120" w:beforeAutospacing="0"/>
        <w:rPr>
          <w:sz w:val="22"/>
        </w:rPr>
      </w:pPr>
      <w:r>
        <w:rPr>
          <w:sz w:val="22"/>
        </w:rPr>
        <w:t xml:space="preserve">In states </w:t>
      </w:r>
      <w:r w:rsidR="000C6ACE">
        <w:rPr>
          <w:sz w:val="22"/>
        </w:rPr>
        <w:t xml:space="preserve">with </w:t>
      </w:r>
      <w:r>
        <w:rPr>
          <w:sz w:val="22"/>
        </w:rPr>
        <w:t>strict</w:t>
      </w:r>
      <w:r w:rsidR="000C6ACE">
        <w:rPr>
          <w:sz w:val="22"/>
        </w:rPr>
        <w:t>er</w:t>
      </w:r>
      <w:r>
        <w:rPr>
          <w:sz w:val="22"/>
        </w:rPr>
        <w:t xml:space="preserve"> reporting requirements, DI obtains more complete data in a timely fashion</w:t>
      </w:r>
      <w:r w:rsidR="00FB03CD">
        <w:rPr>
          <w:sz w:val="22"/>
        </w:rPr>
        <w:t xml:space="preserve">; </w:t>
      </w:r>
      <w:r w:rsidR="003F1636">
        <w:rPr>
          <w:sz w:val="22"/>
        </w:rPr>
        <w:t xml:space="preserve">frame coverage error </w:t>
      </w:r>
      <w:r w:rsidR="00873482">
        <w:rPr>
          <w:sz w:val="22"/>
        </w:rPr>
        <w:t>i</w:t>
      </w:r>
      <w:r w:rsidR="003F1636">
        <w:rPr>
          <w:sz w:val="22"/>
        </w:rPr>
        <w:t xml:space="preserve">s expected to be </w:t>
      </w:r>
      <w:r w:rsidR="00D245A4">
        <w:rPr>
          <w:sz w:val="22"/>
        </w:rPr>
        <w:t>negligible</w:t>
      </w:r>
      <w:r w:rsidR="00E844D7">
        <w:rPr>
          <w:sz w:val="22"/>
        </w:rPr>
        <w:t xml:space="preserve"> for those states</w:t>
      </w:r>
      <w:r w:rsidR="003F1636">
        <w:rPr>
          <w:sz w:val="22"/>
        </w:rPr>
        <w:t>.</w:t>
      </w:r>
      <w:r w:rsidR="001D395A">
        <w:rPr>
          <w:sz w:val="22"/>
        </w:rPr>
        <w:t xml:space="preserve"> </w:t>
      </w:r>
      <w:r w:rsidR="00A477C4">
        <w:rPr>
          <w:sz w:val="22"/>
        </w:rPr>
        <w:t xml:space="preserve">These </w:t>
      </w:r>
      <w:r w:rsidR="00E844D7">
        <w:rPr>
          <w:sz w:val="22"/>
        </w:rPr>
        <w:t xml:space="preserve">states </w:t>
      </w:r>
      <w:r w:rsidR="00A477C4">
        <w:rPr>
          <w:sz w:val="22"/>
        </w:rPr>
        <w:t>make up the majority of U.S. production.</w:t>
      </w:r>
      <w:r w:rsidR="001D395A">
        <w:rPr>
          <w:sz w:val="22"/>
        </w:rPr>
        <w:t xml:space="preserve"> </w:t>
      </w:r>
      <w:r w:rsidR="00E844D7">
        <w:rPr>
          <w:sz w:val="22"/>
        </w:rPr>
        <w:t>However, i</w:t>
      </w:r>
      <w:r w:rsidR="00A477C4">
        <w:rPr>
          <w:sz w:val="22"/>
        </w:rPr>
        <w:t xml:space="preserve">n a minority of </w:t>
      </w:r>
      <w:r w:rsidR="00E844D7">
        <w:rPr>
          <w:sz w:val="22"/>
        </w:rPr>
        <w:t xml:space="preserve">generally </w:t>
      </w:r>
      <w:r w:rsidR="00A477C4">
        <w:rPr>
          <w:sz w:val="22"/>
        </w:rPr>
        <w:t>small</w:t>
      </w:r>
      <w:r w:rsidR="00E844D7">
        <w:rPr>
          <w:sz w:val="22"/>
        </w:rPr>
        <w:t>er producing</w:t>
      </w:r>
      <w:r w:rsidR="00A477C4">
        <w:rPr>
          <w:sz w:val="22"/>
        </w:rPr>
        <w:t xml:space="preserve"> states</w:t>
      </w:r>
      <w:r w:rsidR="00FB03CD">
        <w:rPr>
          <w:sz w:val="22"/>
        </w:rPr>
        <w:t>,</w:t>
      </w:r>
      <w:r w:rsidR="00A477C4">
        <w:rPr>
          <w:sz w:val="22"/>
        </w:rPr>
        <w:t xml:space="preserve"> data </w:t>
      </w:r>
      <w:r w:rsidR="00FB03CD">
        <w:rPr>
          <w:sz w:val="22"/>
        </w:rPr>
        <w:t xml:space="preserve">are </w:t>
      </w:r>
      <w:r w:rsidR="00A477C4">
        <w:rPr>
          <w:sz w:val="22"/>
        </w:rPr>
        <w:t>less timely and less complete, requir</w:t>
      </w:r>
      <w:r w:rsidR="00FB03CD">
        <w:rPr>
          <w:sz w:val="22"/>
        </w:rPr>
        <w:t>ing</w:t>
      </w:r>
      <w:r w:rsidR="00A477C4">
        <w:rPr>
          <w:sz w:val="22"/>
        </w:rPr>
        <w:t xml:space="preserve"> continuing effort on the part of EIA to research companies that may be operatin</w:t>
      </w:r>
      <w:r w:rsidR="00B34DE3">
        <w:rPr>
          <w:sz w:val="22"/>
        </w:rPr>
        <w:t>g</w:t>
      </w:r>
      <w:r w:rsidR="00A477C4">
        <w:rPr>
          <w:sz w:val="22"/>
        </w:rPr>
        <w:t xml:space="preserve"> in these areas to ensure the best possible frame coverage.</w:t>
      </w:r>
    </w:p>
    <w:p w14:paraId="3F08038E" w14:textId="77777777" w:rsidR="00151E02" w:rsidRPr="00C47FE9" w:rsidRDefault="00151E02" w:rsidP="00C47FE9">
      <w:pPr>
        <w:tabs>
          <w:tab w:val="clear" w:pos="360"/>
        </w:tabs>
        <w:spacing w:after="0" w:afterAutospacing="0"/>
        <w:rPr>
          <w:sz w:val="22"/>
          <w:u w:val="single"/>
        </w:rPr>
      </w:pPr>
      <w:r w:rsidRPr="00C47FE9">
        <w:rPr>
          <w:sz w:val="22"/>
          <w:u w:val="single"/>
        </w:rPr>
        <w:t>Reporting Errors and Data Processing Errors</w:t>
      </w:r>
    </w:p>
    <w:p w14:paraId="317D3FC5" w14:textId="016B1409" w:rsidR="00151E02" w:rsidRPr="00C47FE9" w:rsidRDefault="00151E02" w:rsidP="003F1636">
      <w:pPr>
        <w:tabs>
          <w:tab w:val="clear" w:pos="360"/>
        </w:tabs>
        <w:spacing w:before="120" w:beforeAutospacing="0"/>
        <w:rPr>
          <w:sz w:val="22"/>
        </w:rPr>
      </w:pPr>
      <w:r w:rsidRPr="00C47FE9">
        <w:rPr>
          <w:sz w:val="22"/>
        </w:rPr>
        <w:t xml:space="preserve">The </w:t>
      </w:r>
      <w:r w:rsidR="00693FBF">
        <w:rPr>
          <w:sz w:val="22"/>
        </w:rPr>
        <w:t>proposed Form EIA-91</w:t>
      </w:r>
      <w:r w:rsidR="00767990">
        <w:rPr>
          <w:sz w:val="22"/>
        </w:rPr>
        <w:t>4</w:t>
      </w:r>
      <w:r w:rsidR="00693FBF">
        <w:rPr>
          <w:sz w:val="22"/>
        </w:rPr>
        <w:t xml:space="preserve"> questionnaire</w:t>
      </w:r>
      <w:r w:rsidRPr="00C47FE9">
        <w:rPr>
          <w:sz w:val="22"/>
        </w:rPr>
        <w:t xml:space="preserve"> </w:t>
      </w:r>
      <w:r w:rsidR="00E104F3">
        <w:rPr>
          <w:sz w:val="22"/>
        </w:rPr>
        <w:t xml:space="preserve">has been </w:t>
      </w:r>
      <w:r w:rsidRPr="00C47FE9">
        <w:rPr>
          <w:sz w:val="22"/>
        </w:rPr>
        <w:t>carefully developed</w:t>
      </w:r>
      <w:r w:rsidR="00693FBF">
        <w:rPr>
          <w:sz w:val="22"/>
        </w:rPr>
        <w:t xml:space="preserve"> and tested with potential respondents</w:t>
      </w:r>
      <w:r w:rsidR="00D464F0">
        <w:rPr>
          <w:sz w:val="22"/>
        </w:rPr>
        <w:t xml:space="preserve"> to minimize reporting errors</w:t>
      </w:r>
      <w:r w:rsidR="00693FBF">
        <w:rPr>
          <w:sz w:val="22"/>
        </w:rPr>
        <w:t>.</w:t>
      </w:r>
      <w:r w:rsidR="001D395A">
        <w:rPr>
          <w:sz w:val="22"/>
        </w:rPr>
        <w:t xml:space="preserve"> </w:t>
      </w:r>
      <w:r w:rsidR="00D464F0">
        <w:rPr>
          <w:sz w:val="22"/>
        </w:rPr>
        <w:t>The survey instrument</w:t>
      </w:r>
      <w:r w:rsidRPr="00C47FE9">
        <w:rPr>
          <w:sz w:val="22"/>
        </w:rPr>
        <w:t xml:space="preserve"> includes a detailed set of instructions for filing data, subject to a common set of definitions similar to those already used by the industry.</w:t>
      </w:r>
      <w:r w:rsidR="001D395A">
        <w:rPr>
          <w:sz w:val="22"/>
        </w:rPr>
        <w:t xml:space="preserve"> </w:t>
      </w:r>
      <w:r w:rsidR="00693FBF">
        <w:rPr>
          <w:sz w:val="22"/>
        </w:rPr>
        <w:t>EIA continually enhances d</w:t>
      </w:r>
      <w:r w:rsidRPr="00C47FE9">
        <w:rPr>
          <w:sz w:val="22"/>
        </w:rPr>
        <w:t xml:space="preserve">ata validation/editing software to detect probable reporting errors and flag them for resolution by analysts, either through confirmation of the data by the respondent or submission of amendments to the </w:t>
      </w:r>
      <w:r w:rsidR="00693FBF">
        <w:rPr>
          <w:sz w:val="22"/>
        </w:rPr>
        <w:t>previously-</w:t>
      </w:r>
      <w:r w:rsidRPr="00C47FE9">
        <w:rPr>
          <w:sz w:val="22"/>
        </w:rPr>
        <w:t>filed data.</w:t>
      </w:r>
      <w:r w:rsidR="001D395A">
        <w:rPr>
          <w:sz w:val="22"/>
        </w:rPr>
        <w:t xml:space="preserve"> </w:t>
      </w:r>
      <w:r w:rsidRPr="00C47FE9">
        <w:rPr>
          <w:sz w:val="22"/>
        </w:rPr>
        <w:t>Data processing errors</w:t>
      </w:r>
      <w:r w:rsidR="00693FBF">
        <w:rPr>
          <w:sz w:val="22"/>
        </w:rPr>
        <w:t xml:space="preserve"> by EIA</w:t>
      </w:r>
      <w:r w:rsidR="00CD3F2A">
        <w:rPr>
          <w:sz w:val="22"/>
        </w:rPr>
        <w:t xml:space="preserve"> </w:t>
      </w:r>
      <w:r w:rsidRPr="00C47FE9">
        <w:rPr>
          <w:sz w:val="22"/>
        </w:rPr>
        <w:t>are detected by the same software</w:t>
      </w:r>
      <w:r w:rsidR="00693FBF">
        <w:rPr>
          <w:sz w:val="22"/>
        </w:rPr>
        <w:t xml:space="preserve"> and are minimized through direct data collection from respondents</w:t>
      </w:r>
      <w:r w:rsidRPr="00C47FE9">
        <w:rPr>
          <w:sz w:val="22"/>
        </w:rPr>
        <w:t>.</w:t>
      </w:r>
    </w:p>
    <w:p w14:paraId="2D043299" w14:textId="77777777" w:rsidR="00151E02" w:rsidRPr="00C47FE9" w:rsidRDefault="00151E02" w:rsidP="00C47FE9">
      <w:pPr>
        <w:tabs>
          <w:tab w:val="clear" w:pos="360"/>
        </w:tabs>
        <w:spacing w:after="0" w:afterAutospacing="0"/>
        <w:rPr>
          <w:sz w:val="22"/>
          <w:u w:val="single"/>
        </w:rPr>
      </w:pPr>
      <w:r w:rsidRPr="00C47FE9">
        <w:rPr>
          <w:sz w:val="22"/>
          <w:u w:val="single"/>
        </w:rPr>
        <w:t>Estimation Errors by Respondents</w:t>
      </w:r>
    </w:p>
    <w:p w14:paraId="1515DCBE" w14:textId="066DA0B5" w:rsidR="00151E02" w:rsidRDefault="00E104F3" w:rsidP="00E104F3">
      <w:pPr>
        <w:tabs>
          <w:tab w:val="clear" w:pos="360"/>
        </w:tabs>
        <w:spacing w:before="120" w:beforeAutospacing="0"/>
        <w:rPr>
          <w:sz w:val="22"/>
        </w:rPr>
      </w:pPr>
      <w:r>
        <w:rPr>
          <w:sz w:val="22"/>
        </w:rPr>
        <w:t xml:space="preserve">EIA will </w:t>
      </w:r>
      <w:r w:rsidR="00FB03CD">
        <w:rPr>
          <w:sz w:val="22"/>
        </w:rPr>
        <w:t xml:space="preserve">use </w:t>
      </w:r>
      <w:r w:rsidR="00767990">
        <w:rPr>
          <w:sz w:val="22"/>
        </w:rPr>
        <w:t>agency</w:t>
      </w:r>
      <w:r w:rsidR="00D464F0">
        <w:rPr>
          <w:sz w:val="22"/>
        </w:rPr>
        <w:t>-developed</w:t>
      </w:r>
      <w:r w:rsidR="00767990">
        <w:rPr>
          <w:sz w:val="22"/>
        </w:rPr>
        <w:t xml:space="preserve"> </w:t>
      </w:r>
      <w:r>
        <w:rPr>
          <w:sz w:val="22"/>
        </w:rPr>
        <w:t xml:space="preserve">software to detect </w:t>
      </w:r>
      <w:r w:rsidR="00767990">
        <w:rPr>
          <w:sz w:val="22"/>
        </w:rPr>
        <w:t xml:space="preserve">Form EIA-914 </w:t>
      </w:r>
      <w:r>
        <w:rPr>
          <w:sz w:val="22"/>
        </w:rPr>
        <w:t>responses that appear out of the ordinary</w:t>
      </w:r>
      <w:r w:rsidR="00D464F0">
        <w:rPr>
          <w:sz w:val="22"/>
        </w:rPr>
        <w:t xml:space="preserve"> and are candidates for further investigation</w:t>
      </w:r>
      <w:r>
        <w:rPr>
          <w:sz w:val="22"/>
        </w:rPr>
        <w:t>.</w:t>
      </w:r>
      <w:r w:rsidR="001D395A">
        <w:rPr>
          <w:sz w:val="22"/>
        </w:rPr>
        <w:t xml:space="preserve"> </w:t>
      </w:r>
      <w:r w:rsidR="00D464F0">
        <w:rPr>
          <w:sz w:val="22"/>
        </w:rPr>
        <w:t>Software will be used to flag data items that are inconsistent or out of their normal range, which will be further investigated by EIA analysts</w:t>
      </w:r>
      <w:r w:rsidR="00E25067">
        <w:rPr>
          <w:sz w:val="22"/>
        </w:rPr>
        <w:t>.</w:t>
      </w:r>
      <w:r w:rsidR="001D395A">
        <w:rPr>
          <w:sz w:val="22"/>
        </w:rPr>
        <w:t xml:space="preserve"> </w:t>
      </w:r>
      <w:r w:rsidR="00D464F0">
        <w:rPr>
          <w:sz w:val="22"/>
        </w:rPr>
        <w:t xml:space="preserve">EIA </w:t>
      </w:r>
      <w:r>
        <w:rPr>
          <w:sz w:val="22"/>
        </w:rPr>
        <w:t xml:space="preserve">analysts will contact the respondents to resolve </w:t>
      </w:r>
      <w:r w:rsidR="00E25067">
        <w:rPr>
          <w:sz w:val="22"/>
        </w:rPr>
        <w:t>related</w:t>
      </w:r>
      <w:r>
        <w:rPr>
          <w:sz w:val="22"/>
        </w:rPr>
        <w:t xml:space="preserve"> questions.</w:t>
      </w:r>
      <w:r w:rsidR="001D395A">
        <w:rPr>
          <w:sz w:val="22"/>
        </w:rPr>
        <w:t xml:space="preserve"> </w:t>
      </w:r>
    </w:p>
    <w:p w14:paraId="02C2319B" w14:textId="77777777" w:rsidR="00136EAC" w:rsidRPr="00CD3F2A" w:rsidRDefault="00136EAC" w:rsidP="00CD3F2A">
      <w:pPr>
        <w:tabs>
          <w:tab w:val="clear" w:pos="360"/>
        </w:tabs>
        <w:autoSpaceDE w:val="0"/>
        <w:autoSpaceDN w:val="0"/>
        <w:adjustRightInd w:val="0"/>
        <w:spacing w:before="120" w:beforeAutospacing="0" w:after="0" w:afterAutospacing="0"/>
        <w:rPr>
          <w:rFonts w:eastAsia="Times New Roman"/>
          <w:color w:val="000000"/>
          <w:sz w:val="22"/>
          <w:u w:val="single"/>
        </w:rPr>
      </w:pPr>
      <w:r w:rsidRPr="00CD3F2A">
        <w:rPr>
          <w:rFonts w:eastAsia="Times New Roman"/>
          <w:color w:val="000000"/>
          <w:sz w:val="22"/>
          <w:u w:val="single"/>
        </w:rPr>
        <w:t>Revisions</w:t>
      </w:r>
    </w:p>
    <w:p w14:paraId="6EF5ACD8" w14:textId="0DD3EDCA" w:rsidR="00660C74" w:rsidRDefault="00136EAC" w:rsidP="00CD3F2A">
      <w:pPr>
        <w:tabs>
          <w:tab w:val="clear" w:pos="360"/>
        </w:tabs>
        <w:autoSpaceDE w:val="0"/>
        <w:autoSpaceDN w:val="0"/>
        <w:adjustRightInd w:val="0"/>
        <w:spacing w:before="120" w:beforeAutospacing="0" w:after="0" w:afterAutospacing="0"/>
        <w:rPr>
          <w:sz w:val="22"/>
        </w:rPr>
      </w:pPr>
      <w:r w:rsidRPr="00CD3F2A">
        <w:rPr>
          <w:rFonts w:eastAsia="Times New Roman"/>
          <w:color w:val="000000"/>
          <w:sz w:val="22"/>
        </w:rPr>
        <w:t xml:space="preserve">Revisions to aggregated data </w:t>
      </w:r>
      <w:r w:rsidR="00607576">
        <w:rPr>
          <w:rFonts w:eastAsia="Times New Roman"/>
          <w:color w:val="000000"/>
          <w:sz w:val="22"/>
        </w:rPr>
        <w:t xml:space="preserve">from </w:t>
      </w:r>
      <w:r w:rsidRPr="00CD3F2A">
        <w:rPr>
          <w:rFonts w:eastAsia="Times New Roman"/>
          <w:color w:val="000000"/>
          <w:sz w:val="22"/>
        </w:rPr>
        <w:t xml:space="preserve">respondents </w:t>
      </w:r>
      <w:r w:rsidR="00660C74" w:rsidRPr="00CD3F2A">
        <w:rPr>
          <w:rFonts w:eastAsia="Times New Roman"/>
          <w:color w:val="000000"/>
          <w:sz w:val="22"/>
        </w:rPr>
        <w:t>submit</w:t>
      </w:r>
      <w:r w:rsidR="00660C74">
        <w:rPr>
          <w:rFonts w:eastAsia="Times New Roman"/>
          <w:color w:val="000000"/>
          <w:sz w:val="22"/>
        </w:rPr>
        <w:t>ting</w:t>
      </w:r>
      <w:r w:rsidRPr="00CD3F2A">
        <w:rPr>
          <w:rFonts w:eastAsia="Times New Roman"/>
          <w:color w:val="000000"/>
          <w:sz w:val="22"/>
        </w:rPr>
        <w:t xml:space="preserve"> revised data for prior months or late data for the current month </w:t>
      </w:r>
      <w:r w:rsidR="00607576" w:rsidRPr="00CD3F2A">
        <w:rPr>
          <w:rFonts w:eastAsia="Times New Roman"/>
          <w:color w:val="000000"/>
          <w:sz w:val="22"/>
        </w:rPr>
        <w:t xml:space="preserve">are published </w:t>
      </w:r>
      <w:r w:rsidRPr="00CD3F2A">
        <w:rPr>
          <w:rFonts w:eastAsia="Times New Roman"/>
          <w:color w:val="000000"/>
          <w:sz w:val="22"/>
        </w:rPr>
        <w:t xml:space="preserve">according to the </w:t>
      </w:r>
      <w:r w:rsidR="00D464F0">
        <w:rPr>
          <w:rFonts w:eastAsia="Times New Roman"/>
          <w:color w:val="000000"/>
          <w:sz w:val="22"/>
        </w:rPr>
        <w:t xml:space="preserve">Form </w:t>
      </w:r>
      <w:r w:rsidR="00CD2B67" w:rsidRPr="00CD2B67">
        <w:rPr>
          <w:sz w:val="22"/>
        </w:rPr>
        <w:t>EIA-914 Revision Policy</w:t>
      </w:r>
      <w:r w:rsidRPr="00CD3F2A">
        <w:rPr>
          <w:rFonts w:eastAsia="Times New Roman"/>
          <w:color w:val="000000"/>
          <w:sz w:val="22"/>
        </w:rPr>
        <w:t>.</w:t>
      </w:r>
      <w:r w:rsidR="001D395A">
        <w:rPr>
          <w:rFonts w:eastAsia="Times New Roman"/>
          <w:color w:val="000000"/>
          <w:sz w:val="22"/>
        </w:rPr>
        <w:t xml:space="preserve"> </w:t>
      </w:r>
      <w:r w:rsidR="00CD2B67">
        <w:rPr>
          <w:rFonts w:eastAsia="Times New Roman"/>
          <w:color w:val="000000"/>
          <w:sz w:val="22"/>
        </w:rPr>
        <w:t xml:space="preserve">This revision policy will be published </w:t>
      </w:r>
      <w:r w:rsidR="00D7578A">
        <w:rPr>
          <w:rFonts w:eastAsia="Times New Roman"/>
          <w:color w:val="000000"/>
          <w:sz w:val="22"/>
        </w:rPr>
        <w:t xml:space="preserve">along </w:t>
      </w:r>
      <w:r w:rsidR="00CD2B67">
        <w:rPr>
          <w:rFonts w:eastAsia="Times New Roman"/>
          <w:color w:val="000000"/>
          <w:sz w:val="22"/>
        </w:rPr>
        <w:t>with the EIA-914 Methodology documents.</w:t>
      </w:r>
      <w:r w:rsidR="001D395A">
        <w:rPr>
          <w:rFonts w:eastAsia="Times New Roman"/>
          <w:color w:val="000000"/>
          <w:sz w:val="22"/>
        </w:rPr>
        <w:t xml:space="preserve"> </w:t>
      </w:r>
      <w:r w:rsidR="00B34DE3">
        <w:rPr>
          <w:rFonts w:eastAsia="Times New Roman"/>
          <w:color w:val="000000"/>
          <w:sz w:val="22"/>
        </w:rPr>
        <w:t>Publication r</w:t>
      </w:r>
      <w:r w:rsidR="00CD2B67">
        <w:rPr>
          <w:rFonts w:eastAsia="Times New Roman"/>
          <w:color w:val="000000"/>
          <w:sz w:val="22"/>
        </w:rPr>
        <w:t>evision thresholds will be determined for each state/area and for oil and gas.</w:t>
      </w:r>
      <w:r w:rsidR="001D395A">
        <w:rPr>
          <w:rFonts w:eastAsia="Times New Roman"/>
          <w:color w:val="000000"/>
          <w:sz w:val="22"/>
        </w:rPr>
        <w:t xml:space="preserve"> </w:t>
      </w:r>
      <w:r w:rsidR="003D1F76" w:rsidRPr="003D1F76">
        <w:rPr>
          <w:rFonts w:eastAsia="Times New Roman"/>
          <w:color w:val="000000"/>
          <w:sz w:val="22"/>
        </w:rPr>
        <w:t xml:space="preserve">In addition, </w:t>
      </w:r>
      <w:r w:rsidR="003D1F76" w:rsidRPr="005C33B5">
        <w:rPr>
          <w:sz w:val="22"/>
        </w:rPr>
        <w:t>crude oil</w:t>
      </w:r>
      <w:r w:rsidR="00660C74">
        <w:rPr>
          <w:sz w:val="22"/>
        </w:rPr>
        <w:t xml:space="preserve"> </w:t>
      </w:r>
      <w:r w:rsidR="00B217BA">
        <w:rPr>
          <w:sz w:val="22"/>
        </w:rPr>
        <w:t>and</w:t>
      </w:r>
      <w:r w:rsidR="00660C74">
        <w:rPr>
          <w:sz w:val="22"/>
        </w:rPr>
        <w:t xml:space="preserve"> </w:t>
      </w:r>
      <w:r w:rsidR="00660C74">
        <w:rPr>
          <w:sz w:val="22"/>
        </w:rPr>
        <w:t>lease condensate</w:t>
      </w:r>
      <w:r w:rsidR="00985782">
        <w:rPr>
          <w:sz w:val="22"/>
        </w:rPr>
        <w:t xml:space="preserve"> (combined)</w:t>
      </w:r>
      <w:r w:rsidR="00660C74">
        <w:rPr>
          <w:sz w:val="22"/>
        </w:rPr>
        <w:t>,</w:t>
      </w:r>
      <w:r w:rsidR="003D1F76" w:rsidRPr="005C33B5">
        <w:rPr>
          <w:sz w:val="22"/>
        </w:rPr>
        <w:t xml:space="preserve"> and natural gas production estimates will be replaced with state reported volumes when state reported volumes are deemed complete.</w:t>
      </w:r>
    </w:p>
    <w:p w14:paraId="61F4DABF" w14:textId="77777777" w:rsidR="00136EAC" w:rsidRPr="00CD3F2A" w:rsidRDefault="001B198B" w:rsidP="00CD3F2A">
      <w:pPr>
        <w:tabs>
          <w:tab w:val="clear" w:pos="360"/>
        </w:tabs>
        <w:autoSpaceDE w:val="0"/>
        <w:autoSpaceDN w:val="0"/>
        <w:adjustRightInd w:val="0"/>
        <w:spacing w:before="120" w:beforeAutospacing="0" w:after="0" w:afterAutospacing="0"/>
        <w:rPr>
          <w:rFonts w:eastAsia="Times New Roman"/>
          <w:color w:val="000000"/>
          <w:sz w:val="22"/>
        </w:rPr>
      </w:pPr>
      <w:r>
        <w:rPr>
          <w:rFonts w:eastAsia="Times New Roman"/>
          <w:color w:val="000000"/>
          <w:sz w:val="22"/>
        </w:rPr>
        <w:t xml:space="preserve">Respondents are required to </w:t>
      </w:r>
      <w:r w:rsidR="00607576">
        <w:rPr>
          <w:rFonts w:eastAsia="Times New Roman"/>
          <w:color w:val="000000"/>
          <w:sz w:val="22"/>
        </w:rPr>
        <w:t>resubmit</w:t>
      </w:r>
      <w:r>
        <w:rPr>
          <w:rFonts w:eastAsia="Times New Roman"/>
          <w:color w:val="000000"/>
          <w:sz w:val="22"/>
        </w:rPr>
        <w:t xml:space="preserve"> data when their production estimates change by more than 1,000 barrels of crude oil and lease condensate in a state, or by more than 150 </w:t>
      </w:r>
      <w:r w:rsidR="005C33B5">
        <w:rPr>
          <w:rFonts w:eastAsia="Times New Roman"/>
          <w:color w:val="000000"/>
          <w:sz w:val="22"/>
        </w:rPr>
        <w:t>million cubic feet</w:t>
      </w:r>
      <w:r>
        <w:rPr>
          <w:rFonts w:eastAsia="Times New Roman"/>
          <w:color w:val="000000"/>
          <w:sz w:val="22"/>
        </w:rPr>
        <w:t xml:space="preserve"> </w:t>
      </w:r>
      <w:r w:rsidR="005C33B5">
        <w:rPr>
          <w:rFonts w:eastAsia="Times New Roman"/>
          <w:color w:val="000000"/>
          <w:sz w:val="22"/>
        </w:rPr>
        <w:t xml:space="preserve">of natural gas </w:t>
      </w:r>
      <w:r>
        <w:rPr>
          <w:rFonts w:eastAsia="Times New Roman"/>
          <w:color w:val="000000"/>
          <w:sz w:val="22"/>
        </w:rPr>
        <w:t>in a state, and this requirement is detailed in the survey instructions.</w:t>
      </w:r>
    </w:p>
    <w:p w14:paraId="0978C11C" w14:textId="77777777" w:rsidR="00390A15" w:rsidRDefault="0051403C" w:rsidP="00C6298C">
      <w:pPr>
        <w:pStyle w:val="Heading2"/>
      </w:pPr>
      <w:bookmarkStart w:id="14" w:name="_Toc396421502"/>
      <w:r>
        <w:t>Maximizing Response Rates</w:t>
      </w:r>
      <w:bookmarkEnd w:id="14"/>
    </w:p>
    <w:p w14:paraId="7894FBFA" w14:textId="32377F7B" w:rsidR="00151E02" w:rsidRPr="009E7B53" w:rsidRDefault="00EE10EA" w:rsidP="009E7B53">
      <w:pPr>
        <w:tabs>
          <w:tab w:val="clear" w:pos="360"/>
        </w:tabs>
        <w:spacing w:before="120" w:beforeAutospacing="0"/>
        <w:rPr>
          <w:sz w:val="22"/>
        </w:rPr>
      </w:pPr>
      <w:r w:rsidRPr="009E7B53">
        <w:rPr>
          <w:sz w:val="22"/>
        </w:rPr>
        <w:t>EIA</w:t>
      </w:r>
      <w:r w:rsidR="00151E02" w:rsidRPr="009E7B53">
        <w:rPr>
          <w:sz w:val="22"/>
        </w:rPr>
        <w:t xml:space="preserve"> </w:t>
      </w:r>
      <w:r w:rsidR="00E104F3">
        <w:rPr>
          <w:sz w:val="22"/>
        </w:rPr>
        <w:t>w</w:t>
      </w:r>
      <w:r w:rsidR="00CD2B67">
        <w:rPr>
          <w:sz w:val="22"/>
        </w:rPr>
        <w:t>ill</w:t>
      </w:r>
      <w:r w:rsidR="00E104F3">
        <w:rPr>
          <w:sz w:val="22"/>
        </w:rPr>
        <w:t xml:space="preserve"> </w:t>
      </w:r>
      <w:r w:rsidR="00B8570F">
        <w:rPr>
          <w:sz w:val="22"/>
        </w:rPr>
        <w:t>use</w:t>
      </w:r>
      <w:r w:rsidR="00E104F3">
        <w:rPr>
          <w:sz w:val="22"/>
        </w:rPr>
        <w:t xml:space="preserve"> </w:t>
      </w:r>
      <w:r w:rsidR="00151E02" w:rsidRPr="009E7B53">
        <w:rPr>
          <w:sz w:val="22"/>
        </w:rPr>
        <w:t xml:space="preserve">standard procedures to </w:t>
      </w:r>
      <w:r w:rsidR="004E610F">
        <w:rPr>
          <w:sz w:val="22"/>
        </w:rPr>
        <w:t>administer</w:t>
      </w:r>
      <w:r w:rsidR="004E610F" w:rsidRPr="009E7B53">
        <w:rPr>
          <w:sz w:val="22"/>
        </w:rPr>
        <w:t xml:space="preserve"> </w:t>
      </w:r>
      <w:r w:rsidR="00151E02" w:rsidRPr="009E7B53">
        <w:rPr>
          <w:sz w:val="22"/>
        </w:rPr>
        <w:t>the data collections</w:t>
      </w:r>
      <w:r w:rsidRPr="009E7B53">
        <w:rPr>
          <w:sz w:val="22"/>
        </w:rPr>
        <w:t xml:space="preserve"> for </w:t>
      </w:r>
      <w:r w:rsidR="00FB03CD">
        <w:rPr>
          <w:sz w:val="22"/>
        </w:rPr>
        <w:t xml:space="preserve">the </w:t>
      </w:r>
      <w:r w:rsidR="00C450E6">
        <w:rPr>
          <w:sz w:val="22"/>
        </w:rPr>
        <w:t xml:space="preserve">proposed </w:t>
      </w:r>
      <w:r w:rsidRPr="009E7B53">
        <w:rPr>
          <w:sz w:val="22"/>
        </w:rPr>
        <w:t>Form EIA-</w:t>
      </w:r>
      <w:r w:rsidR="00955330">
        <w:rPr>
          <w:sz w:val="22"/>
        </w:rPr>
        <w:t>91</w:t>
      </w:r>
      <w:r w:rsidR="00767990">
        <w:rPr>
          <w:sz w:val="22"/>
        </w:rPr>
        <w:t>4</w:t>
      </w:r>
      <w:r w:rsidR="00151E02" w:rsidRPr="009E7B53">
        <w:rPr>
          <w:sz w:val="22"/>
        </w:rPr>
        <w:t>.</w:t>
      </w:r>
      <w:r w:rsidR="001D395A">
        <w:rPr>
          <w:sz w:val="22"/>
        </w:rPr>
        <w:t xml:space="preserve"> </w:t>
      </w:r>
      <w:r w:rsidR="00151E02" w:rsidRPr="009E7B53">
        <w:rPr>
          <w:sz w:val="22"/>
        </w:rPr>
        <w:t xml:space="preserve">An introductory letter signed by </w:t>
      </w:r>
      <w:r w:rsidR="00C61216">
        <w:rPr>
          <w:sz w:val="22"/>
        </w:rPr>
        <w:t>the</w:t>
      </w:r>
      <w:r w:rsidR="00C61216" w:rsidRPr="009E7B53">
        <w:rPr>
          <w:sz w:val="22"/>
        </w:rPr>
        <w:t xml:space="preserve"> </w:t>
      </w:r>
      <w:r w:rsidR="00151E02" w:rsidRPr="009E7B53">
        <w:rPr>
          <w:sz w:val="22"/>
        </w:rPr>
        <w:t xml:space="preserve">responsible EIA official </w:t>
      </w:r>
      <w:r w:rsidRPr="009E7B53">
        <w:rPr>
          <w:sz w:val="22"/>
        </w:rPr>
        <w:t>is</w:t>
      </w:r>
      <w:r w:rsidR="00151E02" w:rsidRPr="009E7B53">
        <w:rPr>
          <w:sz w:val="22"/>
        </w:rPr>
        <w:t xml:space="preserve"> sent to each company that </w:t>
      </w:r>
      <w:r w:rsidR="00E104F3">
        <w:rPr>
          <w:sz w:val="22"/>
        </w:rPr>
        <w:t xml:space="preserve">will be </w:t>
      </w:r>
      <w:r w:rsidR="00151E02" w:rsidRPr="009E7B53">
        <w:rPr>
          <w:sz w:val="22"/>
        </w:rPr>
        <w:t xml:space="preserve">a respondent to </w:t>
      </w:r>
      <w:r w:rsidR="00FB03CD">
        <w:rPr>
          <w:sz w:val="22"/>
        </w:rPr>
        <w:t xml:space="preserve">the </w:t>
      </w:r>
      <w:r w:rsidR="00E104F3">
        <w:rPr>
          <w:sz w:val="22"/>
        </w:rPr>
        <w:t>Form EIA-91</w:t>
      </w:r>
      <w:r w:rsidR="00767990">
        <w:rPr>
          <w:sz w:val="22"/>
        </w:rPr>
        <w:t>4</w:t>
      </w:r>
      <w:r w:rsidR="00E104F3">
        <w:rPr>
          <w:sz w:val="22"/>
        </w:rPr>
        <w:t>.</w:t>
      </w:r>
      <w:r w:rsidR="001D395A">
        <w:rPr>
          <w:sz w:val="22"/>
        </w:rPr>
        <w:t xml:space="preserve"> </w:t>
      </w:r>
      <w:r w:rsidR="00151E02" w:rsidRPr="009E7B53">
        <w:rPr>
          <w:sz w:val="22"/>
        </w:rPr>
        <w:t>Follow-up procedures for non</w:t>
      </w:r>
      <w:r w:rsidR="00251C93">
        <w:rPr>
          <w:sz w:val="22"/>
        </w:rPr>
        <w:t>-</w:t>
      </w:r>
      <w:r w:rsidR="00151E02" w:rsidRPr="009E7B53">
        <w:rPr>
          <w:sz w:val="22"/>
        </w:rPr>
        <w:t xml:space="preserve">response consist of an email message or a reminder </w:t>
      </w:r>
      <w:r w:rsidR="002736D3">
        <w:rPr>
          <w:sz w:val="22"/>
        </w:rPr>
        <w:t>phone call</w:t>
      </w:r>
      <w:r w:rsidR="002736D3" w:rsidRPr="009E7B53">
        <w:rPr>
          <w:sz w:val="22"/>
        </w:rPr>
        <w:t xml:space="preserve"> </w:t>
      </w:r>
      <w:r w:rsidR="00151E02" w:rsidRPr="009E7B53">
        <w:rPr>
          <w:sz w:val="22"/>
        </w:rPr>
        <w:t>(for those not using email) to all companies that do not return a completed survey form by the due date.</w:t>
      </w:r>
      <w:r w:rsidR="001D395A">
        <w:rPr>
          <w:sz w:val="22"/>
        </w:rPr>
        <w:t xml:space="preserve"> </w:t>
      </w:r>
      <w:r w:rsidR="00151E02" w:rsidRPr="009E7B53">
        <w:rPr>
          <w:sz w:val="22"/>
        </w:rPr>
        <w:t xml:space="preserve">This initial re-contact is followed by repeated email messages, letters, and phone calls until </w:t>
      </w:r>
      <w:r w:rsidR="00151E02" w:rsidRPr="009E7B53">
        <w:rPr>
          <w:sz w:val="22"/>
        </w:rPr>
        <w:t>a</w:t>
      </w:r>
      <w:r w:rsidR="00C61216">
        <w:rPr>
          <w:sz w:val="22"/>
        </w:rPr>
        <w:t>n appropriate</w:t>
      </w:r>
      <w:r w:rsidR="00151E02" w:rsidRPr="009E7B53">
        <w:rPr>
          <w:sz w:val="22"/>
        </w:rPr>
        <w:t xml:space="preserve"> response is received.</w:t>
      </w:r>
    </w:p>
    <w:p w14:paraId="0693977E" w14:textId="77777777" w:rsidR="00151E02" w:rsidRPr="00114C7B" w:rsidRDefault="00151E02" w:rsidP="00C6298C">
      <w:pPr>
        <w:pStyle w:val="Heading2"/>
      </w:pPr>
      <w:bookmarkStart w:id="15" w:name="_Toc336547824"/>
      <w:bookmarkStart w:id="16" w:name="_Toc396421503"/>
      <w:r w:rsidRPr="00F5194A">
        <w:t>Testing Procedures</w:t>
      </w:r>
      <w:bookmarkEnd w:id="15"/>
      <w:bookmarkEnd w:id="16"/>
    </w:p>
    <w:p w14:paraId="67275F03" w14:textId="3ED1E464" w:rsidR="00134E85" w:rsidRDefault="00134E85" w:rsidP="00CD3B61">
      <w:pPr>
        <w:tabs>
          <w:tab w:val="clear" w:pos="360"/>
        </w:tabs>
        <w:spacing w:before="120" w:beforeAutospacing="0"/>
        <w:rPr>
          <w:sz w:val="22"/>
        </w:rPr>
      </w:pPr>
      <w:r>
        <w:rPr>
          <w:sz w:val="22"/>
        </w:rPr>
        <w:t xml:space="preserve">The </w:t>
      </w:r>
      <w:r w:rsidR="004E610F">
        <w:rPr>
          <w:sz w:val="22"/>
        </w:rPr>
        <w:t xml:space="preserve">Form EIA-914 </w:t>
      </w:r>
      <w:r w:rsidRPr="00134E85">
        <w:rPr>
          <w:sz w:val="22"/>
        </w:rPr>
        <w:t xml:space="preserve">collection instrument questions were developed </w:t>
      </w:r>
      <w:r>
        <w:rPr>
          <w:sz w:val="22"/>
        </w:rPr>
        <w:t xml:space="preserve">by starting with questions from </w:t>
      </w:r>
      <w:r w:rsidR="00767990">
        <w:rPr>
          <w:sz w:val="22"/>
        </w:rPr>
        <w:t xml:space="preserve">the currently approved version of </w:t>
      </w:r>
      <w:r>
        <w:rPr>
          <w:sz w:val="22"/>
        </w:rPr>
        <w:t>Form EIA-</w:t>
      </w:r>
      <w:r w:rsidR="00767990">
        <w:rPr>
          <w:sz w:val="22"/>
        </w:rPr>
        <w:t>9</w:t>
      </w:r>
      <w:r>
        <w:rPr>
          <w:sz w:val="22"/>
        </w:rPr>
        <w:t>1</w:t>
      </w:r>
      <w:r w:rsidR="00767990">
        <w:rPr>
          <w:sz w:val="22"/>
        </w:rPr>
        <w:t>4</w:t>
      </w:r>
      <w:r>
        <w:rPr>
          <w:sz w:val="22"/>
        </w:rPr>
        <w:t xml:space="preserve">, which </w:t>
      </w:r>
      <w:r w:rsidR="00767990">
        <w:rPr>
          <w:sz w:val="22"/>
        </w:rPr>
        <w:t xml:space="preserve">the expanded </w:t>
      </w:r>
      <w:r>
        <w:rPr>
          <w:sz w:val="22"/>
        </w:rPr>
        <w:t>Form EIA-91</w:t>
      </w:r>
      <w:r w:rsidR="00767990">
        <w:rPr>
          <w:sz w:val="22"/>
        </w:rPr>
        <w:t>4</w:t>
      </w:r>
      <w:r>
        <w:rPr>
          <w:sz w:val="22"/>
        </w:rPr>
        <w:t xml:space="preserve"> is to replace.</w:t>
      </w:r>
      <w:r w:rsidR="001D395A">
        <w:rPr>
          <w:sz w:val="22"/>
        </w:rPr>
        <w:t xml:space="preserve"> </w:t>
      </w:r>
      <w:r>
        <w:rPr>
          <w:sz w:val="22"/>
        </w:rPr>
        <w:t xml:space="preserve">A team of </w:t>
      </w:r>
      <w:r>
        <w:rPr>
          <w:sz w:val="22"/>
        </w:rPr>
        <w:lastRenderedPageBreak/>
        <w:t xml:space="preserve">EIA </w:t>
      </w:r>
      <w:r w:rsidR="00767990">
        <w:rPr>
          <w:sz w:val="22"/>
        </w:rPr>
        <w:t>crude oil</w:t>
      </w:r>
      <w:r w:rsidR="00B217BA">
        <w:rPr>
          <w:sz w:val="22"/>
        </w:rPr>
        <w:t xml:space="preserve"> and</w:t>
      </w:r>
      <w:r w:rsidR="00767990">
        <w:rPr>
          <w:sz w:val="22"/>
        </w:rPr>
        <w:t xml:space="preserve"> </w:t>
      </w:r>
      <w:r w:rsidR="00FB03CD">
        <w:rPr>
          <w:sz w:val="22"/>
        </w:rPr>
        <w:t xml:space="preserve">lease </w:t>
      </w:r>
      <w:r w:rsidR="00767990">
        <w:rPr>
          <w:sz w:val="22"/>
        </w:rPr>
        <w:t xml:space="preserve">condensate, and </w:t>
      </w:r>
      <w:r>
        <w:rPr>
          <w:sz w:val="22"/>
        </w:rPr>
        <w:t xml:space="preserve">natural gas </w:t>
      </w:r>
      <w:r w:rsidR="00767990">
        <w:rPr>
          <w:sz w:val="22"/>
        </w:rPr>
        <w:t>production</w:t>
      </w:r>
      <w:r>
        <w:rPr>
          <w:sz w:val="22"/>
        </w:rPr>
        <w:t xml:space="preserve"> analysts and survey experts </w:t>
      </w:r>
      <w:r w:rsidR="0004100F">
        <w:rPr>
          <w:sz w:val="22"/>
        </w:rPr>
        <w:t>collaborated to develop and test</w:t>
      </w:r>
      <w:r>
        <w:rPr>
          <w:sz w:val="22"/>
        </w:rPr>
        <w:t xml:space="preserve"> the new </w:t>
      </w:r>
      <w:r w:rsidR="00C61216">
        <w:rPr>
          <w:sz w:val="22"/>
        </w:rPr>
        <w:t>(expanded)</w:t>
      </w:r>
      <w:r>
        <w:rPr>
          <w:sz w:val="22"/>
        </w:rPr>
        <w:t xml:space="preserve"> </w:t>
      </w:r>
      <w:r>
        <w:rPr>
          <w:sz w:val="22"/>
        </w:rPr>
        <w:t>Form EIA-91</w:t>
      </w:r>
      <w:r w:rsidR="00767990">
        <w:rPr>
          <w:sz w:val="22"/>
        </w:rPr>
        <w:t>4</w:t>
      </w:r>
      <w:r>
        <w:rPr>
          <w:sz w:val="22"/>
        </w:rPr>
        <w:t>.</w:t>
      </w:r>
    </w:p>
    <w:p w14:paraId="6C74F6AA" w14:textId="78C0D48D" w:rsidR="00151E02" w:rsidRPr="002053A8" w:rsidRDefault="00497484" w:rsidP="00497484">
      <w:pPr>
        <w:tabs>
          <w:tab w:val="clear" w:pos="360"/>
        </w:tabs>
        <w:spacing w:before="0" w:beforeAutospacing="0" w:after="120" w:afterAutospacing="0"/>
        <w:rPr>
          <w:sz w:val="22"/>
        </w:rPr>
      </w:pPr>
      <w:r w:rsidRPr="00497484">
        <w:rPr>
          <w:sz w:val="22"/>
        </w:rPr>
        <w:t xml:space="preserve">EIA conducted </w:t>
      </w:r>
      <w:r w:rsidR="0004100F">
        <w:rPr>
          <w:sz w:val="22"/>
        </w:rPr>
        <w:t xml:space="preserve">a number of </w:t>
      </w:r>
      <w:r w:rsidRPr="00497484">
        <w:rPr>
          <w:sz w:val="22"/>
        </w:rPr>
        <w:t xml:space="preserve">cognitive interviews </w:t>
      </w:r>
      <w:r w:rsidR="00FB03CD">
        <w:rPr>
          <w:sz w:val="22"/>
        </w:rPr>
        <w:t xml:space="preserve">with </w:t>
      </w:r>
      <w:r w:rsidR="003B322C">
        <w:rPr>
          <w:sz w:val="22"/>
        </w:rPr>
        <w:t xml:space="preserve">producing companies </w:t>
      </w:r>
      <w:r w:rsidRPr="00497484">
        <w:rPr>
          <w:sz w:val="22"/>
        </w:rPr>
        <w:t xml:space="preserve">to understand respondents’ response processes and any </w:t>
      </w:r>
      <w:r w:rsidR="00FB03CD">
        <w:rPr>
          <w:sz w:val="22"/>
        </w:rPr>
        <w:t xml:space="preserve">potential </w:t>
      </w:r>
      <w:r w:rsidRPr="00497484">
        <w:rPr>
          <w:sz w:val="22"/>
        </w:rPr>
        <w:t xml:space="preserve">barriers to survey form completion, including data availability and </w:t>
      </w:r>
      <w:r w:rsidR="00B87A1D">
        <w:rPr>
          <w:sz w:val="22"/>
        </w:rPr>
        <w:t xml:space="preserve">the </w:t>
      </w:r>
      <w:r w:rsidRPr="00497484">
        <w:rPr>
          <w:sz w:val="22"/>
        </w:rPr>
        <w:t xml:space="preserve">timing of survey </w:t>
      </w:r>
      <w:r w:rsidR="00B87A1D">
        <w:rPr>
          <w:sz w:val="22"/>
        </w:rPr>
        <w:t>cycles</w:t>
      </w:r>
      <w:r w:rsidRPr="00497484">
        <w:rPr>
          <w:sz w:val="22"/>
        </w:rPr>
        <w:t>.</w:t>
      </w:r>
      <w:r w:rsidR="001D395A">
        <w:rPr>
          <w:sz w:val="22"/>
        </w:rPr>
        <w:t xml:space="preserve"> </w:t>
      </w:r>
      <w:r w:rsidRPr="00497484">
        <w:rPr>
          <w:sz w:val="22"/>
        </w:rPr>
        <w:t xml:space="preserve">Cognitive interviews </w:t>
      </w:r>
      <w:r w:rsidR="0075647E">
        <w:rPr>
          <w:sz w:val="22"/>
        </w:rPr>
        <w:t>with ten companies were</w:t>
      </w:r>
      <w:r w:rsidRPr="00497484">
        <w:rPr>
          <w:sz w:val="22"/>
        </w:rPr>
        <w:t xml:space="preserve"> conducted </w:t>
      </w:r>
      <w:r w:rsidR="003B322C">
        <w:rPr>
          <w:sz w:val="22"/>
        </w:rPr>
        <w:t>in</w:t>
      </w:r>
      <w:r w:rsidRPr="00497484">
        <w:rPr>
          <w:sz w:val="22"/>
        </w:rPr>
        <w:t xml:space="preserve"> </w:t>
      </w:r>
      <w:r w:rsidR="00767990">
        <w:rPr>
          <w:sz w:val="22"/>
        </w:rPr>
        <w:t>Texas</w:t>
      </w:r>
      <w:r w:rsidRPr="00497484">
        <w:rPr>
          <w:sz w:val="22"/>
        </w:rPr>
        <w:t xml:space="preserve"> during </w:t>
      </w:r>
      <w:r w:rsidR="003B322C">
        <w:rPr>
          <w:sz w:val="22"/>
        </w:rPr>
        <w:t>May</w:t>
      </w:r>
      <w:r w:rsidRPr="00497484">
        <w:rPr>
          <w:sz w:val="22"/>
        </w:rPr>
        <w:t xml:space="preserve"> 201</w:t>
      </w:r>
      <w:r w:rsidR="00767990">
        <w:rPr>
          <w:sz w:val="22"/>
        </w:rPr>
        <w:t>4</w:t>
      </w:r>
      <w:r w:rsidRPr="00497484">
        <w:rPr>
          <w:sz w:val="22"/>
        </w:rPr>
        <w:t>.</w:t>
      </w:r>
      <w:r w:rsidR="001D395A">
        <w:rPr>
          <w:sz w:val="22"/>
        </w:rPr>
        <w:t xml:space="preserve"> </w:t>
      </w:r>
      <w:r w:rsidR="0075647E">
        <w:rPr>
          <w:sz w:val="22"/>
        </w:rPr>
        <w:t xml:space="preserve">As a result of the first round findings and subsequent revision of the form, a second round of cognitive interviews </w:t>
      </w:r>
      <w:r w:rsidR="00B8570F">
        <w:rPr>
          <w:sz w:val="22"/>
        </w:rPr>
        <w:t xml:space="preserve">(five) </w:t>
      </w:r>
      <w:r w:rsidR="0075647E">
        <w:rPr>
          <w:sz w:val="22"/>
        </w:rPr>
        <w:t>was conducted in Pennsylvania and West Virginia during July 2014</w:t>
      </w:r>
      <w:r w:rsidR="003B322C">
        <w:rPr>
          <w:sz w:val="22"/>
        </w:rPr>
        <w:t>.</w:t>
      </w:r>
    </w:p>
    <w:p w14:paraId="5E27CC45" w14:textId="77777777" w:rsidR="00151E02" w:rsidRPr="003C573C" w:rsidRDefault="00151E02" w:rsidP="00C6298C">
      <w:pPr>
        <w:pStyle w:val="Heading2"/>
      </w:pPr>
      <w:bookmarkStart w:id="17" w:name="_Toc336547825"/>
      <w:bookmarkStart w:id="18" w:name="_Toc396421504"/>
      <w:r>
        <w:t>Statistical Consultations</w:t>
      </w:r>
      <w:bookmarkEnd w:id="17"/>
      <w:bookmarkEnd w:id="18"/>
    </w:p>
    <w:p w14:paraId="37D45E4A" w14:textId="77777777" w:rsidR="00151E02" w:rsidRPr="00CD3B61" w:rsidRDefault="00151E02" w:rsidP="00CD3B61">
      <w:pPr>
        <w:tabs>
          <w:tab w:val="clear" w:pos="360"/>
        </w:tabs>
        <w:spacing w:before="120" w:beforeAutospacing="0"/>
        <w:rPr>
          <w:sz w:val="22"/>
        </w:rPr>
      </w:pPr>
      <w:r w:rsidRPr="00CD3B61">
        <w:rPr>
          <w:sz w:val="22"/>
        </w:rPr>
        <w:t xml:space="preserve">For additional information concerning this data collection, please contact </w:t>
      </w:r>
      <w:r w:rsidR="00E104F3">
        <w:rPr>
          <w:sz w:val="22"/>
        </w:rPr>
        <w:t>Jeff Little</w:t>
      </w:r>
      <w:r w:rsidRPr="00CD3B61">
        <w:rPr>
          <w:sz w:val="22"/>
        </w:rPr>
        <w:t xml:space="preserve"> at (202) 586-</w:t>
      </w:r>
      <w:r w:rsidR="00134E85">
        <w:rPr>
          <w:sz w:val="22"/>
        </w:rPr>
        <w:t>6284</w:t>
      </w:r>
      <w:r w:rsidRPr="00CD3B61">
        <w:rPr>
          <w:sz w:val="22"/>
        </w:rPr>
        <w:t>, or</w:t>
      </w:r>
      <w:hyperlink r:id="rId14" w:history="1">
        <w:r w:rsidR="00134E85" w:rsidRPr="00134E85">
          <w:t xml:space="preserve"> </w:t>
        </w:r>
        <w:r w:rsidR="00134E85" w:rsidRPr="00134E85">
          <w:rPr>
            <w:rStyle w:val="Hyperlink"/>
            <w:sz w:val="22"/>
          </w:rPr>
          <w:t>jeff.little</w:t>
        </w:r>
        <w:r w:rsidRPr="00CD3B61">
          <w:rPr>
            <w:rStyle w:val="Hyperlink"/>
            <w:sz w:val="22"/>
          </w:rPr>
          <w:t>@eia.gov</w:t>
        </w:r>
      </w:hyperlink>
      <w:r w:rsidRPr="00CD3B61">
        <w:rPr>
          <w:sz w:val="22"/>
        </w:rPr>
        <w:t>.</w:t>
      </w:r>
    </w:p>
    <w:p w14:paraId="693213F3" w14:textId="77777777" w:rsidR="000D1B9C" w:rsidRPr="007C6E75" w:rsidRDefault="00D23B00">
      <w:pPr>
        <w:rPr>
          <w:b/>
          <w:sz w:val="22"/>
        </w:rPr>
      </w:pPr>
      <w:r w:rsidRPr="004E610F">
        <w:rPr>
          <w:b/>
          <w:sz w:val="22"/>
        </w:rPr>
        <w:t xml:space="preserve">For information concerning this request for OMB approval, please contact the agency Forms Clearance Officer, Alethea Jennings, at (202) 586-5879, or </w:t>
      </w:r>
      <w:r w:rsidRPr="007C6E75">
        <w:rPr>
          <w:rStyle w:val="Hyperlink"/>
          <w:b/>
          <w:sz w:val="22"/>
        </w:rPr>
        <w:t>alethea.jennings@eia.gov</w:t>
      </w:r>
      <w:r w:rsidRPr="007C6E75">
        <w:rPr>
          <w:b/>
          <w:sz w:val="22"/>
        </w:rPr>
        <w:t>.</w:t>
      </w:r>
    </w:p>
    <w:sectPr w:rsidR="000D1B9C" w:rsidRPr="007C6E75" w:rsidSect="00481A10">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F5F1D" w14:textId="77777777" w:rsidR="00DE5366" w:rsidRDefault="00DE5366" w:rsidP="00151E02">
      <w:pPr>
        <w:spacing w:before="0" w:after="0"/>
      </w:pPr>
      <w:r>
        <w:separator/>
      </w:r>
    </w:p>
  </w:endnote>
  <w:endnote w:type="continuationSeparator" w:id="0">
    <w:p w14:paraId="1CAB8CE2" w14:textId="77777777" w:rsidR="00DE5366" w:rsidRDefault="00DE5366" w:rsidP="00151E02">
      <w:pPr>
        <w:spacing w:before="0" w:after="0"/>
      </w:pPr>
      <w:r>
        <w:continuationSeparator/>
      </w:r>
    </w:p>
  </w:endnote>
  <w:endnote w:type="continuationNotice" w:id="1">
    <w:p w14:paraId="54788E2E" w14:textId="77777777" w:rsidR="00DE5366" w:rsidRDefault="00DE53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DAA" w14:textId="77777777" w:rsidR="00120ECC" w:rsidRDefault="00120EC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036383"/>
      <w:docPartObj>
        <w:docPartGallery w:val="Page Numbers (Bottom of Page)"/>
        <w:docPartUnique/>
      </w:docPartObj>
    </w:sdtPr>
    <w:sdtEndPr>
      <w:rPr>
        <w:sz w:val="18"/>
        <w:szCs w:val="18"/>
      </w:rPr>
    </w:sdtEndPr>
    <w:sdtContent>
      <w:sdt>
        <w:sdtPr>
          <w:rPr>
            <w:sz w:val="18"/>
            <w:szCs w:val="18"/>
          </w:rPr>
          <w:id w:val="278036384"/>
          <w:docPartObj>
            <w:docPartGallery w:val="Page Numbers (Top of Page)"/>
            <w:docPartUnique/>
          </w:docPartObj>
        </w:sdtPr>
        <w:sdtEndPr/>
        <w:sdtContent>
          <w:p w14:paraId="7D612EE2" w14:textId="77777777" w:rsidR="00120ECC" w:rsidRPr="00280B07" w:rsidRDefault="00120ECC" w:rsidP="00280B07">
            <w:pPr>
              <w:pStyle w:val="Footer"/>
              <w:tabs>
                <w:tab w:val="clear" w:pos="4680"/>
                <w:tab w:val="clear" w:pos="9360"/>
              </w:tabs>
              <w:spacing w:before="100" w:after="100"/>
              <w:jc w:val="center"/>
              <w:rPr>
                <w:sz w:val="18"/>
                <w:szCs w:val="18"/>
              </w:rPr>
            </w:pPr>
            <w:r w:rsidRPr="00280B07">
              <w:rPr>
                <w:sz w:val="18"/>
                <w:szCs w:val="18"/>
              </w:rPr>
              <w:t>i</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78036349"/>
      <w:docPartObj>
        <w:docPartGallery w:val="Page Numbers (Bottom of Page)"/>
        <w:docPartUnique/>
      </w:docPartObj>
    </w:sdtPr>
    <w:sdtEndPr/>
    <w:sdtContent>
      <w:sdt>
        <w:sdtPr>
          <w:rPr>
            <w:sz w:val="18"/>
            <w:szCs w:val="18"/>
          </w:rPr>
          <w:id w:val="278036350"/>
          <w:docPartObj>
            <w:docPartGallery w:val="Page Numbers (Top of Page)"/>
            <w:docPartUnique/>
          </w:docPartObj>
        </w:sdtPr>
        <w:sdtEndPr/>
        <w:sdtContent>
          <w:p w14:paraId="70D7F75B" w14:textId="77777777" w:rsidR="00120ECC" w:rsidRPr="00151E02" w:rsidRDefault="00120ECC" w:rsidP="002F1005">
            <w:pPr>
              <w:pStyle w:val="Footer"/>
              <w:tabs>
                <w:tab w:val="clear" w:pos="4680"/>
                <w:tab w:val="clear" w:pos="9360"/>
                <w:tab w:val="center" w:pos="8640"/>
              </w:tabs>
              <w:spacing w:before="100" w:after="100"/>
              <w:jc w:val="right"/>
              <w:rPr>
                <w:sz w:val="18"/>
                <w:szCs w:val="18"/>
              </w:rPr>
            </w:pPr>
            <w:r w:rsidRPr="00151E02">
              <w:rPr>
                <w:sz w:val="18"/>
                <w:szCs w:val="18"/>
              </w:rPr>
              <w:t>Form EIA-</w:t>
            </w:r>
            <w:r>
              <w:rPr>
                <w:sz w:val="18"/>
                <w:szCs w:val="18"/>
              </w:rPr>
              <w:t>914</w:t>
            </w:r>
            <w:r w:rsidRPr="00151E02">
              <w:rPr>
                <w:sz w:val="18"/>
                <w:szCs w:val="18"/>
              </w:rPr>
              <w:t xml:space="preserve"> </w:t>
            </w:r>
            <w:r>
              <w:rPr>
                <w:sz w:val="18"/>
                <w:szCs w:val="18"/>
              </w:rPr>
              <w:t>1905-0205</w:t>
            </w:r>
            <w:r w:rsidRPr="00151E02">
              <w:rPr>
                <w:sz w:val="18"/>
                <w:szCs w:val="18"/>
              </w:rPr>
              <w:tab/>
              <w:t xml:space="preserve">Page </w:t>
            </w:r>
            <w:r w:rsidRPr="00151E02">
              <w:rPr>
                <w:sz w:val="18"/>
                <w:szCs w:val="18"/>
              </w:rPr>
              <w:fldChar w:fldCharType="begin"/>
            </w:r>
            <w:r w:rsidRPr="00151E02">
              <w:rPr>
                <w:sz w:val="18"/>
                <w:szCs w:val="18"/>
              </w:rPr>
              <w:instrText xml:space="preserve"> PAGE </w:instrText>
            </w:r>
            <w:r w:rsidRPr="00151E02">
              <w:rPr>
                <w:sz w:val="18"/>
                <w:szCs w:val="18"/>
              </w:rPr>
              <w:fldChar w:fldCharType="separate"/>
            </w:r>
            <w:r w:rsidR="00654C88">
              <w:rPr>
                <w:noProof/>
                <w:sz w:val="18"/>
                <w:szCs w:val="18"/>
              </w:rPr>
              <w:t>4</w:t>
            </w:r>
            <w:r w:rsidRPr="00151E02">
              <w:rPr>
                <w:sz w:val="18"/>
                <w:szCs w:val="18"/>
              </w:rPr>
              <w:fldChar w:fldCharType="end"/>
            </w:r>
            <w:r w:rsidRPr="00151E02">
              <w:rPr>
                <w:sz w:val="18"/>
                <w:szCs w:val="18"/>
              </w:rPr>
              <w:t xml:space="preserve"> of</w:t>
            </w:r>
            <w:r>
              <w:rPr>
                <w:sz w:val="18"/>
                <w:szCs w:val="18"/>
              </w:rPr>
              <w:t xml:space="preserve"> </w:t>
            </w:r>
            <w:r>
              <w:rPr>
                <w:sz w:val="18"/>
                <w:szCs w:val="18"/>
              </w:rPr>
              <w:fldChar w:fldCharType="begin"/>
            </w:r>
            <w:r>
              <w:rPr>
                <w:sz w:val="18"/>
                <w:szCs w:val="18"/>
              </w:rPr>
              <w:instrText xml:space="preserve"> =</w:instrText>
            </w:r>
            <w:r>
              <w:rPr>
                <w:sz w:val="18"/>
                <w:szCs w:val="18"/>
              </w:rPr>
              <w:fldChar w:fldCharType="begin"/>
            </w:r>
            <w:r>
              <w:rPr>
                <w:sz w:val="18"/>
                <w:szCs w:val="18"/>
              </w:rPr>
              <w:instrText xml:space="preserve"> NUMPAGES </w:instrText>
            </w:r>
            <w:r>
              <w:rPr>
                <w:sz w:val="18"/>
                <w:szCs w:val="18"/>
              </w:rPr>
              <w:fldChar w:fldCharType="separate"/>
            </w:r>
            <w:r w:rsidR="00654C88">
              <w:rPr>
                <w:noProof/>
                <w:sz w:val="18"/>
                <w:szCs w:val="18"/>
              </w:rPr>
              <w:instrText>9</w:instrText>
            </w:r>
            <w:r>
              <w:rPr>
                <w:sz w:val="18"/>
                <w:szCs w:val="18"/>
              </w:rPr>
              <w:fldChar w:fldCharType="end"/>
            </w:r>
            <w:r>
              <w:rPr>
                <w:sz w:val="18"/>
                <w:szCs w:val="18"/>
              </w:rPr>
              <w:instrText xml:space="preserve">-2 </w:instrText>
            </w:r>
            <w:r>
              <w:rPr>
                <w:sz w:val="18"/>
                <w:szCs w:val="18"/>
              </w:rPr>
              <w:fldChar w:fldCharType="separate"/>
            </w:r>
            <w:r w:rsidR="00654C88">
              <w:rPr>
                <w:noProof/>
                <w:sz w:val="18"/>
                <w:szCs w:val="18"/>
              </w:rPr>
              <w:t>7</w:t>
            </w:r>
            <w:r>
              <w:rPr>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D5040" w14:textId="77777777" w:rsidR="00DE5366" w:rsidRDefault="00DE5366" w:rsidP="00151E02">
      <w:pPr>
        <w:spacing w:before="0" w:after="0"/>
      </w:pPr>
      <w:r>
        <w:separator/>
      </w:r>
    </w:p>
  </w:footnote>
  <w:footnote w:type="continuationSeparator" w:id="0">
    <w:p w14:paraId="6014475D" w14:textId="77777777" w:rsidR="00DE5366" w:rsidRDefault="00DE5366" w:rsidP="00151E02">
      <w:pPr>
        <w:spacing w:before="0" w:after="0"/>
      </w:pPr>
      <w:r>
        <w:continuationSeparator/>
      </w:r>
    </w:p>
  </w:footnote>
  <w:footnote w:type="continuationNotice" w:id="1">
    <w:p w14:paraId="374695F1" w14:textId="77777777" w:rsidR="00DE5366" w:rsidRDefault="00DE536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A44AD" w14:textId="77777777" w:rsidR="00DE5366" w:rsidRDefault="00DE53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B9DB5" w14:textId="77777777" w:rsidR="00120ECC" w:rsidRPr="00280B07" w:rsidRDefault="00120ECC" w:rsidP="00280B07">
    <w:pPr>
      <w:pStyle w:val="Header"/>
      <w:tabs>
        <w:tab w:val="clear" w:pos="4680"/>
      </w:tabs>
      <w:spacing w:before="100" w:after="100"/>
      <w:rPr>
        <w:sz w:val="18"/>
        <w:szCs w:val="18"/>
      </w:rPr>
    </w:pPr>
    <w:r w:rsidRPr="00280B07">
      <w:rPr>
        <w:sz w:val="18"/>
        <w:szCs w:val="18"/>
      </w:rPr>
      <w:t>Supporting Statement, Part B: Form EIA-</w:t>
    </w:r>
    <w:r>
      <w:rPr>
        <w:sz w:val="18"/>
        <w:szCs w:val="18"/>
      </w:rPr>
      <w:t>914</w:t>
    </w:r>
    <w:r w:rsidRPr="00280B07">
      <w:rPr>
        <w:sz w:val="18"/>
        <w:szCs w:val="18"/>
      </w:rPr>
      <w:tab/>
    </w:r>
    <w:r>
      <w:rPr>
        <w:sz w:val="18"/>
        <w:szCs w:val="18"/>
      </w:rPr>
      <w:t>August</w:t>
    </w:r>
    <w:r w:rsidRPr="00280B07">
      <w:rPr>
        <w:sz w:val="18"/>
        <w:szCs w:val="18"/>
      </w:rPr>
      <w:t xml:space="preserve"> 201</w:t>
    </w:r>
    <w:r>
      <w:rPr>
        <w:sz w:val="18"/>
        <w:szCs w:val="18"/>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6DA"/>
    <w:multiLevelType w:val="hybridMultilevel"/>
    <w:tmpl w:val="A6DA7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A52751"/>
    <w:multiLevelType w:val="hybridMultilevel"/>
    <w:tmpl w:val="FB28C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F2F88"/>
    <w:multiLevelType w:val="hybridMultilevel"/>
    <w:tmpl w:val="697E6E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1C50544"/>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2E51D69"/>
    <w:multiLevelType w:val="multilevel"/>
    <w:tmpl w:val="D618FD4C"/>
    <w:lvl w:ilvl="0">
      <w:start w:val="1"/>
      <w:numFmt w:val="bullet"/>
      <w:lvlText w:val=""/>
      <w:lvlJc w:val="left"/>
      <w:pPr>
        <w:tabs>
          <w:tab w:val="decimal" w:pos="432"/>
        </w:tabs>
        <w:ind w:left="720"/>
      </w:pPr>
      <w:rPr>
        <w:rFonts w:ascii="Symbol" w:hAnsi="Symbol"/>
        <w:strike w:val="0"/>
        <w:color w:val="000000"/>
        <w:spacing w:val="1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A313FA"/>
    <w:multiLevelType w:val="multilevel"/>
    <w:tmpl w:val="F5EC1686"/>
    <w:lvl w:ilvl="0">
      <w:start w:val="2"/>
      <w:numFmt w:val="upperLetter"/>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7DE345A0"/>
    <w:multiLevelType w:val="hybridMultilevel"/>
    <w:tmpl w:val="A2EE3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51E02"/>
    <w:rsid w:val="0000223F"/>
    <w:rsid w:val="000048F6"/>
    <w:rsid w:val="00015D95"/>
    <w:rsid w:val="00023C01"/>
    <w:rsid w:val="00024DC1"/>
    <w:rsid w:val="00030F07"/>
    <w:rsid w:val="000349F5"/>
    <w:rsid w:val="0004100F"/>
    <w:rsid w:val="000424DC"/>
    <w:rsid w:val="00043569"/>
    <w:rsid w:val="00046196"/>
    <w:rsid w:val="0004628D"/>
    <w:rsid w:val="00060AC4"/>
    <w:rsid w:val="000615CC"/>
    <w:rsid w:val="000A23D8"/>
    <w:rsid w:val="000A2423"/>
    <w:rsid w:val="000A24D0"/>
    <w:rsid w:val="000A3C5C"/>
    <w:rsid w:val="000A69C7"/>
    <w:rsid w:val="000A72E4"/>
    <w:rsid w:val="000B4744"/>
    <w:rsid w:val="000C055D"/>
    <w:rsid w:val="000C6ACE"/>
    <w:rsid w:val="000C7A6E"/>
    <w:rsid w:val="000D0CBA"/>
    <w:rsid w:val="000D1B9C"/>
    <w:rsid w:val="000D2835"/>
    <w:rsid w:val="000D447E"/>
    <w:rsid w:val="000D5B4A"/>
    <w:rsid w:val="000E7E17"/>
    <w:rsid w:val="000F25D0"/>
    <w:rsid w:val="00103A45"/>
    <w:rsid w:val="0011417D"/>
    <w:rsid w:val="00116502"/>
    <w:rsid w:val="0012025B"/>
    <w:rsid w:val="001206D7"/>
    <w:rsid w:val="00120ECC"/>
    <w:rsid w:val="00122B5E"/>
    <w:rsid w:val="0012540C"/>
    <w:rsid w:val="0013225D"/>
    <w:rsid w:val="00134E85"/>
    <w:rsid w:val="00136567"/>
    <w:rsid w:val="00136EAC"/>
    <w:rsid w:val="00137D44"/>
    <w:rsid w:val="00150D4D"/>
    <w:rsid w:val="00151E02"/>
    <w:rsid w:val="001551BC"/>
    <w:rsid w:val="00163200"/>
    <w:rsid w:val="001634AF"/>
    <w:rsid w:val="00166216"/>
    <w:rsid w:val="00172E45"/>
    <w:rsid w:val="001730E4"/>
    <w:rsid w:val="001755DC"/>
    <w:rsid w:val="00176506"/>
    <w:rsid w:val="00182FC1"/>
    <w:rsid w:val="00183646"/>
    <w:rsid w:val="00185A0B"/>
    <w:rsid w:val="00186A59"/>
    <w:rsid w:val="0019066B"/>
    <w:rsid w:val="001937B5"/>
    <w:rsid w:val="00196566"/>
    <w:rsid w:val="001A24FB"/>
    <w:rsid w:val="001A45E2"/>
    <w:rsid w:val="001A4B3D"/>
    <w:rsid w:val="001B198B"/>
    <w:rsid w:val="001B644A"/>
    <w:rsid w:val="001B7CE6"/>
    <w:rsid w:val="001C324A"/>
    <w:rsid w:val="001C3704"/>
    <w:rsid w:val="001C4B2C"/>
    <w:rsid w:val="001D395A"/>
    <w:rsid w:val="001E0F4D"/>
    <w:rsid w:val="001E7D41"/>
    <w:rsid w:val="001F04B1"/>
    <w:rsid w:val="001F3D59"/>
    <w:rsid w:val="001F49F9"/>
    <w:rsid w:val="001F5E92"/>
    <w:rsid w:val="001F648C"/>
    <w:rsid w:val="00200879"/>
    <w:rsid w:val="002010F3"/>
    <w:rsid w:val="00202A8C"/>
    <w:rsid w:val="00205220"/>
    <w:rsid w:val="002053A8"/>
    <w:rsid w:val="00206D58"/>
    <w:rsid w:val="00211352"/>
    <w:rsid w:val="00212984"/>
    <w:rsid w:val="00212EDB"/>
    <w:rsid w:val="00216504"/>
    <w:rsid w:val="00221811"/>
    <w:rsid w:val="00225A15"/>
    <w:rsid w:val="00227A89"/>
    <w:rsid w:val="0023104F"/>
    <w:rsid w:val="00233CF5"/>
    <w:rsid w:val="00240B4F"/>
    <w:rsid w:val="00242926"/>
    <w:rsid w:val="00243D90"/>
    <w:rsid w:val="002457FD"/>
    <w:rsid w:val="00245CDE"/>
    <w:rsid w:val="00251C93"/>
    <w:rsid w:val="00251D3B"/>
    <w:rsid w:val="00253B9A"/>
    <w:rsid w:val="00255B73"/>
    <w:rsid w:val="00256D89"/>
    <w:rsid w:val="002609C6"/>
    <w:rsid w:val="00262593"/>
    <w:rsid w:val="00264EC5"/>
    <w:rsid w:val="002673ED"/>
    <w:rsid w:val="002736D3"/>
    <w:rsid w:val="002736E6"/>
    <w:rsid w:val="00275FCE"/>
    <w:rsid w:val="00280B07"/>
    <w:rsid w:val="00283C2F"/>
    <w:rsid w:val="002901C9"/>
    <w:rsid w:val="00292A9F"/>
    <w:rsid w:val="00293D36"/>
    <w:rsid w:val="002A04A2"/>
    <w:rsid w:val="002A7E84"/>
    <w:rsid w:val="002A7F95"/>
    <w:rsid w:val="002B2AAA"/>
    <w:rsid w:val="002B4729"/>
    <w:rsid w:val="002B6C62"/>
    <w:rsid w:val="002C1243"/>
    <w:rsid w:val="002C4819"/>
    <w:rsid w:val="002C602C"/>
    <w:rsid w:val="002D0086"/>
    <w:rsid w:val="002D02AB"/>
    <w:rsid w:val="002D25EF"/>
    <w:rsid w:val="002D53E5"/>
    <w:rsid w:val="002D6F1E"/>
    <w:rsid w:val="002D7125"/>
    <w:rsid w:val="002E149B"/>
    <w:rsid w:val="002E30D0"/>
    <w:rsid w:val="002E768C"/>
    <w:rsid w:val="002F1005"/>
    <w:rsid w:val="002F157F"/>
    <w:rsid w:val="002F1870"/>
    <w:rsid w:val="002F1FDF"/>
    <w:rsid w:val="00301A55"/>
    <w:rsid w:val="00302AE2"/>
    <w:rsid w:val="0030451B"/>
    <w:rsid w:val="003057B1"/>
    <w:rsid w:val="003074F2"/>
    <w:rsid w:val="0031052E"/>
    <w:rsid w:val="00311900"/>
    <w:rsid w:val="00313501"/>
    <w:rsid w:val="00315933"/>
    <w:rsid w:val="0031663C"/>
    <w:rsid w:val="00316E45"/>
    <w:rsid w:val="003220A9"/>
    <w:rsid w:val="00323CAC"/>
    <w:rsid w:val="00327BFB"/>
    <w:rsid w:val="00335166"/>
    <w:rsid w:val="00341880"/>
    <w:rsid w:val="00341B2E"/>
    <w:rsid w:val="00342671"/>
    <w:rsid w:val="00342FA1"/>
    <w:rsid w:val="003508C9"/>
    <w:rsid w:val="0035127D"/>
    <w:rsid w:val="003561CF"/>
    <w:rsid w:val="00363180"/>
    <w:rsid w:val="00364484"/>
    <w:rsid w:val="003671E7"/>
    <w:rsid w:val="00370C88"/>
    <w:rsid w:val="003711BF"/>
    <w:rsid w:val="003715B0"/>
    <w:rsid w:val="0037213E"/>
    <w:rsid w:val="0037299F"/>
    <w:rsid w:val="003741A7"/>
    <w:rsid w:val="00374791"/>
    <w:rsid w:val="00376AC6"/>
    <w:rsid w:val="00377986"/>
    <w:rsid w:val="00381C28"/>
    <w:rsid w:val="00382C7D"/>
    <w:rsid w:val="00383026"/>
    <w:rsid w:val="003851BC"/>
    <w:rsid w:val="00385206"/>
    <w:rsid w:val="003853F6"/>
    <w:rsid w:val="00390A15"/>
    <w:rsid w:val="003935DC"/>
    <w:rsid w:val="003A3E32"/>
    <w:rsid w:val="003A3F1F"/>
    <w:rsid w:val="003B0E63"/>
    <w:rsid w:val="003B322C"/>
    <w:rsid w:val="003B442C"/>
    <w:rsid w:val="003B5E8E"/>
    <w:rsid w:val="003B68E6"/>
    <w:rsid w:val="003B6DBB"/>
    <w:rsid w:val="003B6DF3"/>
    <w:rsid w:val="003C5731"/>
    <w:rsid w:val="003C5A38"/>
    <w:rsid w:val="003D0121"/>
    <w:rsid w:val="003D1F76"/>
    <w:rsid w:val="003D21EF"/>
    <w:rsid w:val="003D62C8"/>
    <w:rsid w:val="003E4058"/>
    <w:rsid w:val="003F1636"/>
    <w:rsid w:val="003F1F5C"/>
    <w:rsid w:val="00403ACA"/>
    <w:rsid w:val="00403BF3"/>
    <w:rsid w:val="0040442D"/>
    <w:rsid w:val="004055A8"/>
    <w:rsid w:val="00416A0F"/>
    <w:rsid w:val="004220FF"/>
    <w:rsid w:val="00423C13"/>
    <w:rsid w:val="004314C8"/>
    <w:rsid w:val="0043215D"/>
    <w:rsid w:val="00432263"/>
    <w:rsid w:val="00440361"/>
    <w:rsid w:val="004440EA"/>
    <w:rsid w:val="0044662E"/>
    <w:rsid w:val="00446CA1"/>
    <w:rsid w:val="00447891"/>
    <w:rsid w:val="0045206A"/>
    <w:rsid w:val="004546D8"/>
    <w:rsid w:val="00454CAF"/>
    <w:rsid w:val="00461CBE"/>
    <w:rsid w:val="0046392F"/>
    <w:rsid w:val="0046428C"/>
    <w:rsid w:val="00467D73"/>
    <w:rsid w:val="00471BB3"/>
    <w:rsid w:val="00472A5C"/>
    <w:rsid w:val="00472AFF"/>
    <w:rsid w:val="004757DC"/>
    <w:rsid w:val="0048058E"/>
    <w:rsid w:val="00481A10"/>
    <w:rsid w:val="00482DAA"/>
    <w:rsid w:val="00492A3A"/>
    <w:rsid w:val="00495849"/>
    <w:rsid w:val="0049634B"/>
    <w:rsid w:val="00497484"/>
    <w:rsid w:val="004A3532"/>
    <w:rsid w:val="004C3A34"/>
    <w:rsid w:val="004C73A3"/>
    <w:rsid w:val="004C769C"/>
    <w:rsid w:val="004E1EF3"/>
    <w:rsid w:val="004E20CB"/>
    <w:rsid w:val="004E30A8"/>
    <w:rsid w:val="004E610F"/>
    <w:rsid w:val="004E655B"/>
    <w:rsid w:val="004F2495"/>
    <w:rsid w:val="004F742A"/>
    <w:rsid w:val="004F7B9E"/>
    <w:rsid w:val="00501664"/>
    <w:rsid w:val="00504D9D"/>
    <w:rsid w:val="00510C72"/>
    <w:rsid w:val="00511753"/>
    <w:rsid w:val="0051403C"/>
    <w:rsid w:val="00516817"/>
    <w:rsid w:val="00516BC9"/>
    <w:rsid w:val="00517A36"/>
    <w:rsid w:val="00532719"/>
    <w:rsid w:val="005353FA"/>
    <w:rsid w:val="0054050F"/>
    <w:rsid w:val="00540AEE"/>
    <w:rsid w:val="00542B2E"/>
    <w:rsid w:val="005454AD"/>
    <w:rsid w:val="00561793"/>
    <w:rsid w:val="00573937"/>
    <w:rsid w:val="0057547B"/>
    <w:rsid w:val="005802A6"/>
    <w:rsid w:val="00580E66"/>
    <w:rsid w:val="005845E6"/>
    <w:rsid w:val="005851FB"/>
    <w:rsid w:val="005925CC"/>
    <w:rsid w:val="005A4B74"/>
    <w:rsid w:val="005A5C6D"/>
    <w:rsid w:val="005B02F0"/>
    <w:rsid w:val="005B086C"/>
    <w:rsid w:val="005B7348"/>
    <w:rsid w:val="005C0D57"/>
    <w:rsid w:val="005C1436"/>
    <w:rsid w:val="005C33B5"/>
    <w:rsid w:val="005C595A"/>
    <w:rsid w:val="005C6BB8"/>
    <w:rsid w:val="005C7AA0"/>
    <w:rsid w:val="005D2DB3"/>
    <w:rsid w:val="005E04F3"/>
    <w:rsid w:val="005E26DB"/>
    <w:rsid w:val="005E4CF5"/>
    <w:rsid w:val="005E4FF0"/>
    <w:rsid w:val="005E61BC"/>
    <w:rsid w:val="00602595"/>
    <w:rsid w:val="00602BCB"/>
    <w:rsid w:val="006070DB"/>
    <w:rsid w:val="00607576"/>
    <w:rsid w:val="006141F5"/>
    <w:rsid w:val="00616C93"/>
    <w:rsid w:val="0061775D"/>
    <w:rsid w:val="006254B5"/>
    <w:rsid w:val="00626414"/>
    <w:rsid w:val="006326E1"/>
    <w:rsid w:val="00633A9F"/>
    <w:rsid w:val="00637B07"/>
    <w:rsid w:val="00637CB6"/>
    <w:rsid w:val="0064564C"/>
    <w:rsid w:val="00646AF3"/>
    <w:rsid w:val="00654C88"/>
    <w:rsid w:val="00660A9A"/>
    <w:rsid w:val="00660C74"/>
    <w:rsid w:val="00662369"/>
    <w:rsid w:val="00666D0D"/>
    <w:rsid w:val="00671849"/>
    <w:rsid w:val="00674E3B"/>
    <w:rsid w:val="00676AB5"/>
    <w:rsid w:val="00676BB7"/>
    <w:rsid w:val="00680462"/>
    <w:rsid w:val="00691D94"/>
    <w:rsid w:val="00693FBF"/>
    <w:rsid w:val="006A3094"/>
    <w:rsid w:val="006A3D78"/>
    <w:rsid w:val="006B2666"/>
    <w:rsid w:val="006B4EFD"/>
    <w:rsid w:val="006C0138"/>
    <w:rsid w:val="006C442E"/>
    <w:rsid w:val="006D4CC6"/>
    <w:rsid w:val="006D5D01"/>
    <w:rsid w:val="006D74D4"/>
    <w:rsid w:val="006D7AC8"/>
    <w:rsid w:val="006E5CF3"/>
    <w:rsid w:val="006E70B5"/>
    <w:rsid w:val="006E7AB3"/>
    <w:rsid w:val="006F5435"/>
    <w:rsid w:val="00700082"/>
    <w:rsid w:val="007003B1"/>
    <w:rsid w:val="00701B60"/>
    <w:rsid w:val="00702381"/>
    <w:rsid w:val="00703335"/>
    <w:rsid w:val="0070372D"/>
    <w:rsid w:val="00705E06"/>
    <w:rsid w:val="00721517"/>
    <w:rsid w:val="00726454"/>
    <w:rsid w:val="00726BA0"/>
    <w:rsid w:val="007315EA"/>
    <w:rsid w:val="00732B3B"/>
    <w:rsid w:val="00746859"/>
    <w:rsid w:val="00750965"/>
    <w:rsid w:val="00752DBC"/>
    <w:rsid w:val="00754EDE"/>
    <w:rsid w:val="00755805"/>
    <w:rsid w:val="0075647E"/>
    <w:rsid w:val="00764BFC"/>
    <w:rsid w:val="00767990"/>
    <w:rsid w:val="00773D0E"/>
    <w:rsid w:val="007765F1"/>
    <w:rsid w:val="007846DB"/>
    <w:rsid w:val="0079033B"/>
    <w:rsid w:val="00796859"/>
    <w:rsid w:val="007A31B2"/>
    <w:rsid w:val="007C0157"/>
    <w:rsid w:val="007C3413"/>
    <w:rsid w:val="007C54DF"/>
    <w:rsid w:val="007C6E75"/>
    <w:rsid w:val="007D1C3B"/>
    <w:rsid w:val="007D6C8C"/>
    <w:rsid w:val="007E4DFA"/>
    <w:rsid w:val="007E6A1A"/>
    <w:rsid w:val="007F29D5"/>
    <w:rsid w:val="007F415E"/>
    <w:rsid w:val="007F6760"/>
    <w:rsid w:val="00800D3D"/>
    <w:rsid w:val="00801A89"/>
    <w:rsid w:val="0081210E"/>
    <w:rsid w:val="00815DD6"/>
    <w:rsid w:val="00820544"/>
    <w:rsid w:val="00823E0E"/>
    <w:rsid w:val="0082535F"/>
    <w:rsid w:val="00825B04"/>
    <w:rsid w:val="00833D2B"/>
    <w:rsid w:val="00837141"/>
    <w:rsid w:val="0084400D"/>
    <w:rsid w:val="00845E97"/>
    <w:rsid w:val="00853165"/>
    <w:rsid w:val="00863DD2"/>
    <w:rsid w:val="0086451F"/>
    <w:rsid w:val="0086552F"/>
    <w:rsid w:val="008713B3"/>
    <w:rsid w:val="00872D41"/>
    <w:rsid w:val="00873482"/>
    <w:rsid w:val="008737CB"/>
    <w:rsid w:val="008775EE"/>
    <w:rsid w:val="00880621"/>
    <w:rsid w:val="00890DE4"/>
    <w:rsid w:val="0089530C"/>
    <w:rsid w:val="008A5FE5"/>
    <w:rsid w:val="008B0687"/>
    <w:rsid w:val="008B788B"/>
    <w:rsid w:val="008C484A"/>
    <w:rsid w:val="008C68F5"/>
    <w:rsid w:val="008D131C"/>
    <w:rsid w:val="008D4789"/>
    <w:rsid w:val="008D6004"/>
    <w:rsid w:val="008E431D"/>
    <w:rsid w:val="008E672F"/>
    <w:rsid w:val="008E6BB3"/>
    <w:rsid w:val="008F0801"/>
    <w:rsid w:val="008F14AD"/>
    <w:rsid w:val="008F64E5"/>
    <w:rsid w:val="009106F0"/>
    <w:rsid w:val="0091295D"/>
    <w:rsid w:val="0092011E"/>
    <w:rsid w:val="0092295C"/>
    <w:rsid w:val="009245A5"/>
    <w:rsid w:val="00925475"/>
    <w:rsid w:val="009265F3"/>
    <w:rsid w:val="00926BAF"/>
    <w:rsid w:val="00926C7F"/>
    <w:rsid w:val="009302CD"/>
    <w:rsid w:val="00936BF4"/>
    <w:rsid w:val="00942328"/>
    <w:rsid w:val="00942AA0"/>
    <w:rsid w:val="00943FBB"/>
    <w:rsid w:val="00955330"/>
    <w:rsid w:val="009574E9"/>
    <w:rsid w:val="00957D58"/>
    <w:rsid w:val="00960211"/>
    <w:rsid w:val="00960EDF"/>
    <w:rsid w:val="00962E63"/>
    <w:rsid w:val="0096319F"/>
    <w:rsid w:val="009673C2"/>
    <w:rsid w:val="00967BBD"/>
    <w:rsid w:val="00976207"/>
    <w:rsid w:val="00977123"/>
    <w:rsid w:val="009775DC"/>
    <w:rsid w:val="009776DC"/>
    <w:rsid w:val="009802ED"/>
    <w:rsid w:val="00983C95"/>
    <w:rsid w:val="00985782"/>
    <w:rsid w:val="00986435"/>
    <w:rsid w:val="0099015D"/>
    <w:rsid w:val="0099043F"/>
    <w:rsid w:val="00995341"/>
    <w:rsid w:val="009A1F7F"/>
    <w:rsid w:val="009A22C8"/>
    <w:rsid w:val="009A343D"/>
    <w:rsid w:val="009A426E"/>
    <w:rsid w:val="009A4EDD"/>
    <w:rsid w:val="009A5F05"/>
    <w:rsid w:val="009B12EB"/>
    <w:rsid w:val="009B1FD5"/>
    <w:rsid w:val="009B404C"/>
    <w:rsid w:val="009B6AD5"/>
    <w:rsid w:val="009C0836"/>
    <w:rsid w:val="009C2665"/>
    <w:rsid w:val="009C3CB9"/>
    <w:rsid w:val="009C59BB"/>
    <w:rsid w:val="009C78E7"/>
    <w:rsid w:val="009D059D"/>
    <w:rsid w:val="009D1A5D"/>
    <w:rsid w:val="009D4D3A"/>
    <w:rsid w:val="009E4EF0"/>
    <w:rsid w:val="009E507B"/>
    <w:rsid w:val="009E6CA9"/>
    <w:rsid w:val="009E7B53"/>
    <w:rsid w:val="00A00C12"/>
    <w:rsid w:val="00A05B84"/>
    <w:rsid w:val="00A073D9"/>
    <w:rsid w:val="00A12850"/>
    <w:rsid w:val="00A2547A"/>
    <w:rsid w:val="00A25746"/>
    <w:rsid w:val="00A25F6A"/>
    <w:rsid w:val="00A275ED"/>
    <w:rsid w:val="00A342AC"/>
    <w:rsid w:val="00A477C4"/>
    <w:rsid w:val="00A5058D"/>
    <w:rsid w:val="00A50F0A"/>
    <w:rsid w:val="00A51433"/>
    <w:rsid w:val="00A619CA"/>
    <w:rsid w:val="00A651C1"/>
    <w:rsid w:val="00A657D5"/>
    <w:rsid w:val="00A70C61"/>
    <w:rsid w:val="00A72C5B"/>
    <w:rsid w:val="00A730B1"/>
    <w:rsid w:val="00A81241"/>
    <w:rsid w:val="00A91C64"/>
    <w:rsid w:val="00A936C9"/>
    <w:rsid w:val="00A937E1"/>
    <w:rsid w:val="00A94EA5"/>
    <w:rsid w:val="00A960FE"/>
    <w:rsid w:val="00AA1DEB"/>
    <w:rsid w:val="00AA2D91"/>
    <w:rsid w:val="00AB2D6A"/>
    <w:rsid w:val="00AB7EF6"/>
    <w:rsid w:val="00AC00CC"/>
    <w:rsid w:val="00AC0752"/>
    <w:rsid w:val="00AD2BEA"/>
    <w:rsid w:val="00AD5C19"/>
    <w:rsid w:val="00AE15D1"/>
    <w:rsid w:val="00AE6252"/>
    <w:rsid w:val="00AE65C1"/>
    <w:rsid w:val="00AF2A6A"/>
    <w:rsid w:val="00AF3653"/>
    <w:rsid w:val="00AF3D1F"/>
    <w:rsid w:val="00AF746B"/>
    <w:rsid w:val="00AF7E64"/>
    <w:rsid w:val="00B063B8"/>
    <w:rsid w:val="00B15447"/>
    <w:rsid w:val="00B158D0"/>
    <w:rsid w:val="00B15CAF"/>
    <w:rsid w:val="00B217BA"/>
    <w:rsid w:val="00B25FCF"/>
    <w:rsid w:val="00B27A21"/>
    <w:rsid w:val="00B331FE"/>
    <w:rsid w:val="00B33FB6"/>
    <w:rsid w:val="00B34DE3"/>
    <w:rsid w:val="00B35E75"/>
    <w:rsid w:val="00B40610"/>
    <w:rsid w:val="00B479ED"/>
    <w:rsid w:val="00B52D07"/>
    <w:rsid w:val="00B53FC5"/>
    <w:rsid w:val="00B54CD7"/>
    <w:rsid w:val="00B56DFD"/>
    <w:rsid w:val="00B6039F"/>
    <w:rsid w:val="00B62C72"/>
    <w:rsid w:val="00B6469B"/>
    <w:rsid w:val="00B73500"/>
    <w:rsid w:val="00B74CDA"/>
    <w:rsid w:val="00B768AD"/>
    <w:rsid w:val="00B8530A"/>
    <w:rsid w:val="00B8570F"/>
    <w:rsid w:val="00B8613E"/>
    <w:rsid w:val="00B87A1D"/>
    <w:rsid w:val="00B946AD"/>
    <w:rsid w:val="00B9517E"/>
    <w:rsid w:val="00BA013A"/>
    <w:rsid w:val="00BA4B27"/>
    <w:rsid w:val="00BB1187"/>
    <w:rsid w:val="00BB514B"/>
    <w:rsid w:val="00BB6F52"/>
    <w:rsid w:val="00BC3FF3"/>
    <w:rsid w:val="00BC4799"/>
    <w:rsid w:val="00BD1CE3"/>
    <w:rsid w:val="00BD3B99"/>
    <w:rsid w:val="00BD7BC8"/>
    <w:rsid w:val="00BE57E0"/>
    <w:rsid w:val="00BF1CAC"/>
    <w:rsid w:val="00BF1D88"/>
    <w:rsid w:val="00BF2EA1"/>
    <w:rsid w:val="00BF58A2"/>
    <w:rsid w:val="00C011DA"/>
    <w:rsid w:val="00C10102"/>
    <w:rsid w:val="00C111E2"/>
    <w:rsid w:val="00C11CA6"/>
    <w:rsid w:val="00C1201A"/>
    <w:rsid w:val="00C12583"/>
    <w:rsid w:val="00C14B7D"/>
    <w:rsid w:val="00C153E5"/>
    <w:rsid w:val="00C32372"/>
    <w:rsid w:val="00C34956"/>
    <w:rsid w:val="00C36979"/>
    <w:rsid w:val="00C36A91"/>
    <w:rsid w:val="00C42174"/>
    <w:rsid w:val="00C42189"/>
    <w:rsid w:val="00C43F02"/>
    <w:rsid w:val="00C450E6"/>
    <w:rsid w:val="00C45A49"/>
    <w:rsid w:val="00C45B59"/>
    <w:rsid w:val="00C47883"/>
    <w:rsid w:val="00C47FE9"/>
    <w:rsid w:val="00C578FE"/>
    <w:rsid w:val="00C61216"/>
    <w:rsid w:val="00C6298C"/>
    <w:rsid w:val="00C70771"/>
    <w:rsid w:val="00C72728"/>
    <w:rsid w:val="00C73897"/>
    <w:rsid w:val="00C74207"/>
    <w:rsid w:val="00C81ED7"/>
    <w:rsid w:val="00C82DE2"/>
    <w:rsid w:val="00C84F34"/>
    <w:rsid w:val="00C86AA5"/>
    <w:rsid w:val="00C87201"/>
    <w:rsid w:val="00C93E85"/>
    <w:rsid w:val="00CA006A"/>
    <w:rsid w:val="00CA0DE6"/>
    <w:rsid w:val="00CA1321"/>
    <w:rsid w:val="00CA54F7"/>
    <w:rsid w:val="00CA55CF"/>
    <w:rsid w:val="00CA5E0E"/>
    <w:rsid w:val="00CB5637"/>
    <w:rsid w:val="00CB6BCB"/>
    <w:rsid w:val="00CC035B"/>
    <w:rsid w:val="00CC616F"/>
    <w:rsid w:val="00CD0E7A"/>
    <w:rsid w:val="00CD2B67"/>
    <w:rsid w:val="00CD34C9"/>
    <w:rsid w:val="00CD3B61"/>
    <w:rsid w:val="00CD3F2A"/>
    <w:rsid w:val="00CD6533"/>
    <w:rsid w:val="00CD7C2E"/>
    <w:rsid w:val="00CE29F4"/>
    <w:rsid w:val="00CE3BB3"/>
    <w:rsid w:val="00CE50F5"/>
    <w:rsid w:val="00CE7974"/>
    <w:rsid w:val="00CF70F7"/>
    <w:rsid w:val="00CF7BF2"/>
    <w:rsid w:val="00D041E8"/>
    <w:rsid w:val="00D06916"/>
    <w:rsid w:val="00D11735"/>
    <w:rsid w:val="00D11A16"/>
    <w:rsid w:val="00D12235"/>
    <w:rsid w:val="00D14805"/>
    <w:rsid w:val="00D2014E"/>
    <w:rsid w:val="00D23B00"/>
    <w:rsid w:val="00D23CA3"/>
    <w:rsid w:val="00D23E10"/>
    <w:rsid w:val="00D23EC9"/>
    <w:rsid w:val="00D245A4"/>
    <w:rsid w:val="00D325E6"/>
    <w:rsid w:val="00D34240"/>
    <w:rsid w:val="00D37C11"/>
    <w:rsid w:val="00D464F0"/>
    <w:rsid w:val="00D53BD1"/>
    <w:rsid w:val="00D72673"/>
    <w:rsid w:val="00D73000"/>
    <w:rsid w:val="00D75175"/>
    <w:rsid w:val="00D7578A"/>
    <w:rsid w:val="00D81344"/>
    <w:rsid w:val="00D84427"/>
    <w:rsid w:val="00D85F76"/>
    <w:rsid w:val="00D87329"/>
    <w:rsid w:val="00D930AF"/>
    <w:rsid w:val="00DA7A6F"/>
    <w:rsid w:val="00DB1583"/>
    <w:rsid w:val="00DB3D87"/>
    <w:rsid w:val="00DB4D69"/>
    <w:rsid w:val="00DB7E0C"/>
    <w:rsid w:val="00DC0B8B"/>
    <w:rsid w:val="00DD0BB2"/>
    <w:rsid w:val="00DD622B"/>
    <w:rsid w:val="00DD6264"/>
    <w:rsid w:val="00DD6CA0"/>
    <w:rsid w:val="00DE1F02"/>
    <w:rsid w:val="00DE2AD5"/>
    <w:rsid w:val="00DE5366"/>
    <w:rsid w:val="00DF2740"/>
    <w:rsid w:val="00DF3B52"/>
    <w:rsid w:val="00DF78E4"/>
    <w:rsid w:val="00E00A64"/>
    <w:rsid w:val="00E02BC3"/>
    <w:rsid w:val="00E104F3"/>
    <w:rsid w:val="00E10B55"/>
    <w:rsid w:val="00E14E24"/>
    <w:rsid w:val="00E15E51"/>
    <w:rsid w:val="00E17EBE"/>
    <w:rsid w:val="00E2057D"/>
    <w:rsid w:val="00E25067"/>
    <w:rsid w:val="00E27287"/>
    <w:rsid w:val="00E30C44"/>
    <w:rsid w:val="00E42AC7"/>
    <w:rsid w:val="00E45039"/>
    <w:rsid w:val="00E45BCD"/>
    <w:rsid w:val="00E47731"/>
    <w:rsid w:val="00E47954"/>
    <w:rsid w:val="00E47F96"/>
    <w:rsid w:val="00E50926"/>
    <w:rsid w:val="00E538B2"/>
    <w:rsid w:val="00E63A95"/>
    <w:rsid w:val="00E671DD"/>
    <w:rsid w:val="00E712A9"/>
    <w:rsid w:val="00E74D9F"/>
    <w:rsid w:val="00E76FB1"/>
    <w:rsid w:val="00E80D28"/>
    <w:rsid w:val="00E81F86"/>
    <w:rsid w:val="00E836A8"/>
    <w:rsid w:val="00E83757"/>
    <w:rsid w:val="00E844D7"/>
    <w:rsid w:val="00E84C47"/>
    <w:rsid w:val="00E87F86"/>
    <w:rsid w:val="00E93FE5"/>
    <w:rsid w:val="00E96DC8"/>
    <w:rsid w:val="00EA1C2B"/>
    <w:rsid w:val="00EB5661"/>
    <w:rsid w:val="00EB665C"/>
    <w:rsid w:val="00EB77E5"/>
    <w:rsid w:val="00EB7A04"/>
    <w:rsid w:val="00EC10DC"/>
    <w:rsid w:val="00EC2CD0"/>
    <w:rsid w:val="00EC57CF"/>
    <w:rsid w:val="00EC7B3F"/>
    <w:rsid w:val="00ED1A10"/>
    <w:rsid w:val="00ED4A2D"/>
    <w:rsid w:val="00ED5A4D"/>
    <w:rsid w:val="00EE0F6F"/>
    <w:rsid w:val="00EE10EA"/>
    <w:rsid w:val="00EE5C23"/>
    <w:rsid w:val="00EF1BCA"/>
    <w:rsid w:val="00F006AE"/>
    <w:rsid w:val="00F02A7E"/>
    <w:rsid w:val="00F05BCC"/>
    <w:rsid w:val="00F0752A"/>
    <w:rsid w:val="00F13705"/>
    <w:rsid w:val="00F21EFF"/>
    <w:rsid w:val="00F21FCC"/>
    <w:rsid w:val="00F30CB5"/>
    <w:rsid w:val="00F31DE6"/>
    <w:rsid w:val="00F346CD"/>
    <w:rsid w:val="00F40615"/>
    <w:rsid w:val="00F434CC"/>
    <w:rsid w:val="00F4511D"/>
    <w:rsid w:val="00F45C20"/>
    <w:rsid w:val="00F46B9E"/>
    <w:rsid w:val="00F50B91"/>
    <w:rsid w:val="00F50D6C"/>
    <w:rsid w:val="00F54211"/>
    <w:rsid w:val="00F570B1"/>
    <w:rsid w:val="00F63633"/>
    <w:rsid w:val="00F64918"/>
    <w:rsid w:val="00F74FC2"/>
    <w:rsid w:val="00F83845"/>
    <w:rsid w:val="00F83A4A"/>
    <w:rsid w:val="00F8563A"/>
    <w:rsid w:val="00F87FC4"/>
    <w:rsid w:val="00F90635"/>
    <w:rsid w:val="00F93F63"/>
    <w:rsid w:val="00FA1310"/>
    <w:rsid w:val="00FA20DF"/>
    <w:rsid w:val="00FA2464"/>
    <w:rsid w:val="00FA3A77"/>
    <w:rsid w:val="00FA3EB2"/>
    <w:rsid w:val="00FA5CB3"/>
    <w:rsid w:val="00FA7A6B"/>
    <w:rsid w:val="00FB0381"/>
    <w:rsid w:val="00FB03CD"/>
    <w:rsid w:val="00FB6F6E"/>
    <w:rsid w:val="00FC1C0B"/>
    <w:rsid w:val="00FC374C"/>
    <w:rsid w:val="00FD2B9E"/>
    <w:rsid w:val="00FD3CE4"/>
    <w:rsid w:val="00FD5D9A"/>
    <w:rsid w:val="00FE20BC"/>
    <w:rsid w:val="00FE3BA0"/>
    <w:rsid w:val="00FF08A4"/>
    <w:rsid w:val="00FF2ECA"/>
    <w:rsid w:val="00FF38B5"/>
    <w:rsid w:val="00FF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E02"/>
    <w:pPr>
      <w:tabs>
        <w:tab w:val="left" w:pos="360"/>
      </w:tabs>
      <w:spacing w:before="100" w:beforeAutospacing="1" w:after="100" w:afterAutospacing="1"/>
      <w:jc w:val="both"/>
    </w:pPr>
    <w:rPr>
      <w:rFonts w:eastAsia="Calibri"/>
      <w:sz w:val="24"/>
      <w:szCs w:val="22"/>
    </w:rPr>
  </w:style>
  <w:style w:type="paragraph" w:styleId="Heading1">
    <w:name w:val="heading 1"/>
    <w:basedOn w:val="ListParagraph"/>
    <w:next w:val="Normal"/>
    <w:link w:val="Heading1Char"/>
    <w:uiPriority w:val="9"/>
    <w:qFormat/>
    <w:rsid w:val="00C6298C"/>
    <w:pPr>
      <w:numPr>
        <w:numId w:val="2"/>
      </w:numPr>
      <w:tabs>
        <w:tab w:val="clear" w:pos="360"/>
      </w:tabs>
      <w:contextualSpacing w:val="0"/>
      <w:outlineLvl w:val="0"/>
    </w:pPr>
    <w:rPr>
      <w:rFonts w:eastAsiaTheme="majorEastAsia" w:cstheme="majorBidi"/>
      <w:b/>
      <w:sz w:val="28"/>
      <w:szCs w:val="28"/>
    </w:rPr>
  </w:style>
  <w:style w:type="paragraph" w:styleId="Heading2">
    <w:name w:val="heading 2"/>
    <w:basedOn w:val="Heading1"/>
    <w:next w:val="Normal"/>
    <w:link w:val="Heading2Char"/>
    <w:uiPriority w:val="9"/>
    <w:qFormat/>
    <w:rsid w:val="00185A0B"/>
    <w:pPr>
      <w:numPr>
        <w:ilvl w:val="1"/>
      </w:numPr>
      <w:tabs>
        <w:tab w:val="left" w:pos="547"/>
      </w:tabs>
      <w:spacing w:before="240" w:beforeAutospacing="0" w:after="0" w:afterAutospacing="0"/>
      <w:ind w:left="0" w:firstLine="0"/>
      <w:outlineLvl w:val="1"/>
    </w:pPr>
    <w:rPr>
      <w:sz w:val="24"/>
      <w:szCs w:val="24"/>
    </w:rPr>
  </w:style>
  <w:style w:type="paragraph" w:styleId="Heading3">
    <w:name w:val="heading 3"/>
    <w:basedOn w:val="Normal"/>
    <w:next w:val="Normal"/>
    <w:link w:val="Heading3Char"/>
    <w:uiPriority w:val="9"/>
    <w:qFormat/>
    <w:rsid w:val="00C6298C"/>
    <w:pPr>
      <w:keepNext/>
      <w:numPr>
        <w:ilvl w:val="2"/>
        <w:numId w:val="2"/>
      </w:numPr>
      <w:tabs>
        <w:tab w:val="clear" w:pos="360"/>
      </w:tabs>
      <w:spacing w:before="240" w:beforeAutospacing="0" w:after="0" w:afterAutospacing="0"/>
      <w:outlineLvl w:val="2"/>
    </w:pPr>
    <w:rPr>
      <w:b/>
    </w:rPr>
  </w:style>
  <w:style w:type="paragraph" w:styleId="Heading4">
    <w:name w:val="heading 4"/>
    <w:basedOn w:val="Normal"/>
    <w:next w:val="Normal"/>
    <w:link w:val="Heading4Char"/>
    <w:uiPriority w:val="9"/>
    <w:unhideWhenUsed/>
    <w:qFormat/>
    <w:rsid w:val="00C93E85"/>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93E85"/>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93E85"/>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93E85"/>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93E85"/>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93E85"/>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98C"/>
    <w:rPr>
      <w:rFonts w:eastAsiaTheme="majorEastAsia" w:cstheme="majorBidi"/>
      <w:b/>
      <w:sz w:val="28"/>
      <w:szCs w:val="28"/>
    </w:rPr>
  </w:style>
  <w:style w:type="paragraph" w:styleId="ListParagraph">
    <w:name w:val="List Paragraph"/>
    <w:basedOn w:val="Normal"/>
    <w:uiPriority w:val="34"/>
    <w:qFormat/>
    <w:rsid w:val="00C93E85"/>
    <w:pPr>
      <w:ind w:left="720"/>
      <w:contextualSpacing/>
    </w:pPr>
    <w:rPr>
      <w:sz w:val="20"/>
    </w:rPr>
  </w:style>
  <w:style w:type="character" w:customStyle="1" w:styleId="Heading2Char">
    <w:name w:val="Heading 2 Char"/>
    <w:basedOn w:val="DefaultParagraphFont"/>
    <w:link w:val="Heading2"/>
    <w:uiPriority w:val="9"/>
    <w:rsid w:val="00185A0B"/>
    <w:rPr>
      <w:rFonts w:eastAsiaTheme="majorEastAsia" w:cstheme="majorBidi"/>
      <w:b/>
      <w:sz w:val="24"/>
      <w:szCs w:val="24"/>
    </w:rPr>
  </w:style>
  <w:style w:type="character" w:customStyle="1" w:styleId="Heading3Char">
    <w:name w:val="Heading 3 Char"/>
    <w:basedOn w:val="DefaultParagraphFont"/>
    <w:link w:val="Heading3"/>
    <w:uiPriority w:val="9"/>
    <w:rsid w:val="00C6298C"/>
    <w:rPr>
      <w:rFonts w:eastAsia="Calibri"/>
      <w:b/>
      <w:sz w:val="24"/>
      <w:szCs w:val="22"/>
    </w:rPr>
  </w:style>
  <w:style w:type="character" w:customStyle="1" w:styleId="Heading4Char">
    <w:name w:val="Heading 4 Char"/>
    <w:basedOn w:val="DefaultParagraphFont"/>
    <w:link w:val="Heading4"/>
    <w:uiPriority w:val="9"/>
    <w:rsid w:val="00C93E85"/>
    <w:rPr>
      <w:rFonts w:asciiTheme="majorHAnsi" w:eastAsiaTheme="majorEastAsia" w:hAnsiTheme="majorHAnsi" w:cstheme="majorBidi"/>
      <w:b/>
      <w:bCs/>
      <w:i/>
      <w:iCs/>
      <w:color w:val="4F81BD" w:themeColor="accent1"/>
      <w:sz w:val="24"/>
      <w:szCs w:val="22"/>
    </w:rPr>
  </w:style>
  <w:style w:type="character" w:customStyle="1" w:styleId="Heading5Char">
    <w:name w:val="Heading 5 Char"/>
    <w:basedOn w:val="DefaultParagraphFont"/>
    <w:link w:val="Heading5"/>
    <w:uiPriority w:val="9"/>
    <w:rsid w:val="00C93E85"/>
    <w:rPr>
      <w:rFonts w:asciiTheme="majorHAnsi" w:eastAsiaTheme="majorEastAsia" w:hAnsiTheme="majorHAnsi" w:cstheme="majorBidi"/>
      <w:color w:val="243F60" w:themeColor="accent1" w:themeShade="7F"/>
      <w:sz w:val="24"/>
      <w:szCs w:val="22"/>
    </w:rPr>
  </w:style>
  <w:style w:type="character" w:customStyle="1" w:styleId="Heading6Char">
    <w:name w:val="Heading 6 Char"/>
    <w:basedOn w:val="DefaultParagraphFont"/>
    <w:link w:val="Heading6"/>
    <w:uiPriority w:val="9"/>
    <w:rsid w:val="00C93E85"/>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rsid w:val="00C93E85"/>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rsid w:val="00C93E85"/>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uiPriority w:val="9"/>
    <w:semiHidden/>
    <w:rsid w:val="00C93E85"/>
    <w:rPr>
      <w:rFonts w:asciiTheme="majorHAnsi" w:eastAsiaTheme="majorEastAsia" w:hAnsiTheme="majorHAnsi" w:cstheme="majorBidi"/>
      <w:i/>
      <w:iCs/>
      <w:color w:val="404040" w:themeColor="text1" w:themeTint="BF"/>
      <w:szCs w:val="22"/>
    </w:rPr>
  </w:style>
  <w:style w:type="paragraph" w:styleId="Title">
    <w:name w:val="Title"/>
    <w:basedOn w:val="Normal"/>
    <w:link w:val="TitleChar"/>
    <w:qFormat/>
    <w:rsid w:val="00C93E85"/>
    <w:pPr>
      <w:jc w:val="center"/>
    </w:pPr>
    <w:rPr>
      <w:b/>
    </w:rPr>
  </w:style>
  <w:style w:type="character" w:customStyle="1" w:styleId="TitleChar">
    <w:name w:val="Title Char"/>
    <w:basedOn w:val="DefaultParagraphFont"/>
    <w:link w:val="Title"/>
    <w:rsid w:val="00C93E85"/>
    <w:rPr>
      <w:b/>
      <w:snapToGrid w:val="0"/>
      <w:sz w:val="24"/>
    </w:rPr>
  </w:style>
  <w:style w:type="paragraph" w:styleId="TOCHeading">
    <w:name w:val="TOC Heading"/>
    <w:basedOn w:val="Heading1"/>
    <w:next w:val="Normal"/>
    <w:uiPriority w:val="39"/>
    <w:unhideWhenUsed/>
    <w:qFormat/>
    <w:rsid w:val="00C93E85"/>
    <w:pPr>
      <w:keepNext/>
      <w:keepLines/>
      <w:spacing w:line="276" w:lineRule="auto"/>
      <w:outlineLvl w:val="9"/>
    </w:pPr>
    <w:rPr>
      <w:rFonts w:asciiTheme="majorHAnsi" w:hAnsiTheme="majorHAnsi"/>
      <w:bCs/>
      <w:color w:val="365F91" w:themeColor="accent1" w:themeShade="BF"/>
    </w:rPr>
  </w:style>
  <w:style w:type="paragraph" w:styleId="BalloonText">
    <w:name w:val="Balloon Text"/>
    <w:basedOn w:val="Normal"/>
    <w:link w:val="BalloonTextChar"/>
    <w:uiPriority w:val="99"/>
    <w:semiHidden/>
    <w:unhideWhenUsed/>
    <w:rsid w:val="00151E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E02"/>
    <w:rPr>
      <w:rFonts w:ascii="Tahoma" w:eastAsia="Calibri" w:hAnsi="Tahoma" w:cs="Tahoma"/>
      <w:sz w:val="16"/>
      <w:szCs w:val="16"/>
    </w:rPr>
  </w:style>
  <w:style w:type="character" w:styleId="Hyperlink">
    <w:name w:val="Hyperlink"/>
    <w:basedOn w:val="DefaultParagraphFont"/>
    <w:uiPriority w:val="99"/>
    <w:unhideWhenUsed/>
    <w:rsid w:val="00151E02"/>
    <w:rPr>
      <w:color w:val="0000FF" w:themeColor="hyperlink"/>
      <w:u w:val="single"/>
    </w:rPr>
  </w:style>
  <w:style w:type="character" w:styleId="CommentReference">
    <w:name w:val="annotation reference"/>
    <w:basedOn w:val="DefaultParagraphFont"/>
    <w:uiPriority w:val="99"/>
    <w:semiHidden/>
    <w:unhideWhenUsed/>
    <w:rsid w:val="00151E02"/>
    <w:rPr>
      <w:sz w:val="16"/>
      <w:szCs w:val="16"/>
    </w:rPr>
  </w:style>
  <w:style w:type="paragraph" w:styleId="CommentText">
    <w:name w:val="annotation text"/>
    <w:basedOn w:val="Normal"/>
    <w:link w:val="CommentTextChar"/>
    <w:uiPriority w:val="99"/>
    <w:semiHidden/>
    <w:unhideWhenUsed/>
    <w:rsid w:val="00151E02"/>
    <w:rPr>
      <w:sz w:val="20"/>
      <w:szCs w:val="20"/>
    </w:rPr>
  </w:style>
  <w:style w:type="character" w:customStyle="1" w:styleId="CommentTextChar">
    <w:name w:val="Comment Text Char"/>
    <w:basedOn w:val="DefaultParagraphFont"/>
    <w:link w:val="CommentText"/>
    <w:uiPriority w:val="99"/>
    <w:semiHidden/>
    <w:rsid w:val="00151E02"/>
    <w:rPr>
      <w:rFonts w:eastAsia="Calibri"/>
    </w:rPr>
  </w:style>
  <w:style w:type="paragraph" w:styleId="CommentSubject">
    <w:name w:val="annotation subject"/>
    <w:basedOn w:val="CommentText"/>
    <w:next w:val="CommentText"/>
    <w:link w:val="CommentSubjectChar"/>
    <w:uiPriority w:val="99"/>
    <w:semiHidden/>
    <w:unhideWhenUsed/>
    <w:rsid w:val="00151E02"/>
    <w:rPr>
      <w:b/>
      <w:bCs/>
    </w:rPr>
  </w:style>
  <w:style w:type="character" w:customStyle="1" w:styleId="CommentSubjectChar">
    <w:name w:val="Comment Subject Char"/>
    <w:basedOn w:val="CommentTextChar"/>
    <w:link w:val="CommentSubject"/>
    <w:uiPriority w:val="99"/>
    <w:semiHidden/>
    <w:rsid w:val="00151E02"/>
    <w:rPr>
      <w:rFonts w:eastAsia="Calibri"/>
      <w:b/>
      <w:bCs/>
    </w:rPr>
  </w:style>
  <w:style w:type="paragraph" w:styleId="Revision">
    <w:name w:val="Revision"/>
    <w:hidden/>
    <w:uiPriority w:val="99"/>
    <w:semiHidden/>
    <w:rsid w:val="00151E02"/>
    <w:rPr>
      <w:rFonts w:eastAsia="Calibri"/>
      <w:sz w:val="24"/>
      <w:szCs w:val="22"/>
    </w:rPr>
  </w:style>
  <w:style w:type="character" w:styleId="PlaceholderText">
    <w:name w:val="Placeholder Text"/>
    <w:basedOn w:val="DefaultParagraphFont"/>
    <w:uiPriority w:val="99"/>
    <w:semiHidden/>
    <w:rsid w:val="00151E02"/>
    <w:rPr>
      <w:color w:val="808080"/>
    </w:rPr>
  </w:style>
  <w:style w:type="paragraph" w:styleId="Header">
    <w:name w:val="header"/>
    <w:basedOn w:val="Normal"/>
    <w:link w:val="HeaderChar"/>
    <w:uiPriority w:val="99"/>
    <w:unhideWhenUsed/>
    <w:rsid w:val="00151E02"/>
    <w:pPr>
      <w:tabs>
        <w:tab w:val="clear" w:pos="360"/>
        <w:tab w:val="center" w:pos="4680"/>
        <w:tab w:val="right" w:pos="9360"/>
      </w:tabs>
      <w:spacing w:before="0" w:after="0"/>
    </w:pPr>
  </w:style>
  <w:style w:type="character" w:customStyle="1" w:styleId="HeaderChar">
    <w:name w:val="Header Char"/>
    <w:basedOn w:val="DefaultParagraphFont"/>
    <w:link w:val="Header"/>
    <w:uiPriority w:val="99"/>
    <w:rsid w:val="00151E02"/>
    <w:rPr>
      <w:rFonts w:eastAsia="Calibri"/>
      <w:sz w:val="24"/>
      <w:szCs w:val="22"/>
    </w:rPr>
  </w:style>
  <w:style w:type="paragraph" w:styleId="Footer">
    <w:name w:val="footer"/>
    <w:basedOn w:val="Normal"/>
    <w:link w:val="FooterChar"/>
    <w:uiPriority w:val="99"/>
    <w:unhideWhenUsed/>
    <w:rsid w:val="00151E02"/>
    <w:pPr>
      <w:tabs>
        <w:tab w:val="clear" w:pos="360"/>
        <w:tab w:val="center" w:pos="4680"/>
        <w:tab w:val="right" w:pos="9360"/>
      </w:tabs>
      <w:spacing w:before="0" w:after="0"/>
    </w:pPr>
  </w:style>
  <w:style w:type="character" w:customStyle="1" w:styleId="FooterChar">
    <w:name w:val="Footer Char"/>
    <w:basedOn w:val="DefaultParagraphFont"/>
    <w:link w:val="Footer"/>
    <w:uiPriority w:val="99"/>
    <w:rsid w:val="00151E02"/>
    <w:rPr>
      <w:rFonts w:eastAsia="Calibri"/>
      <w:sz w:val="24"/>
      <w:szCs w:val="22"/>
    </w:rPr>
  </w:style>
  <w:style w:type="paragraph" w:styleId="TOC1">
    <w:name w:val="toc 1"/>
    <w:basedOn w:val="Normal"/>
    <w:next w:val="Normal"/>
    <w:autoRedefine/>
    <w:uiPriority w:val="39"/>
    <w:unhideWhenUsed/>
    <w:rsid w:val="00151E02"/>
    <w:pPr>
      <w:tabs>
        <w:tab w:val="clear" w:pos="360"/>
      </w:tabs>
    </w:pPr>
  </w:style>
  <w:style w:type="paragraph" w:styleId="TOC2">
    <w:name w:val="toc 2"/>
    <w:basedOn w:val="Normal"/>
    <w:next w:val="Normal"/>
    <w:autoRedefine/>
    <w:uiPriority w:val="39"/>
    <w:unhideWhenUsed/>
    <w:rsid w:val="00E538B2"/>
    <w:pPr>
      <w:tabs>
        <w:tab w:val="clear" w:pos="360"/>
        <w:tab w:val="left" w:pos="880"/>
        <w:tab w:val="right" w:leader="dot" w:pos="9350"/>
      </w:tabs>
      <w:ind w:left="480"/>
    </w:pPr>
  </w:style>
  <w:style w:type="paragraph" w:styleId="TOC3">
    <w:name w:val="toc 3"/>
    <w:basedOn w:val="Normal"/>
    <w:next w:val="Normal"/>
    <w:autoRedefine/>
    <w:uiPriority w:val="39"/>
    <w:unhideWhenUsed/>
    <w:rsid w:val="00151E02"/>
    <w:pPr>
      <w:tabs>
        <w:tab w:val="clear" w:pos="360"/>
      </w:tabs>
      <w:ind w:left="480"/>
    </w:pPr>
  </w:style>
  <w:style w:type="paragraph" w:styleId="BodyText">
    <w:name w:val="Body Text"/>
    <w:basedOn w:val="Normal"/>
    <w:link w:val="BodyTextChar"/>
    <w:uiPriority w:val="99"/>
    <w:semiHidden/>
    <w:unhideWhenUsed/>
    <w:rsid w:val="004F2495"/>
    <w:pPr>
      <w:tabs>
        <w:tab w:val="clear" w:pos="360"/>
      </w:tabs>
      <w:spacing w:before="0" w:beforeAutospacing="0" w:after="120" w:afterAutospacing="0" w:line="276" w:lineRule="auto"/>
      <w:jc w:val="left"/>
    </w:pPr>
    <w:rPr>
      <w:rFonts w:ascii="Calibri" w:hAnsi="Calibri"/>
      <w:sz w:val="22"/>
    </w:rPr>
  </w:style>
  <w:style w:type="character" w:customStyle="1" w:styleId="BodyTextChar">
    <w:name w:val="Body Text Char"/>
    <w:basedOn w:val="DefaultParagraphFont"/>
    <w:link w:val="BodyText"/>
    <w:uiPriority w:val="99"/>
    <w:semiHidden/>
    <w:rsid w:val="004F2495"/>
    <w:rPr>
      <w:rFonts w:ascii="Calibri" w:eastAsia="Calibri" w:hAnsi="Calibri"/>
      <w:sz w:val="22"/>
      <w:szCs w:val="22"/>
    </w:rPr>
  </w:style>
  <w:style w:type="character" w:styleId="FootnoteReference">
    <w:name w:val="footnote reference"/>
    <w:basedOn w:val="DefaultParagraphFont"/>
    <w:semiHidden/>
    <w:rsid w:val="005B086C"/>
    <w:rPr>
      <w:vertAlign w:val="superscript"/>
    </w:rPr>
  </w:style>
  <w:style w:type="paragraph" w:styleId="FootnoteText">
    <w:name w:val="footnote text"/>
    <w:basedOn w:val="Normal"/>
    <w:link w:val="FootnoteTextChar"/>
    <w:semiHidden/>
    <w:unhideWhenUsed/>
    <w:rsid w:val="005B086C"/>
    <w:pPr>
      <w:tabs>
        <w:tab w:val="clear" w:pos="360"/>
      </w:tabs>
      <w:spacing w:before="0" w:beforeAutospacing="0" w:after="0" w:afterAutospacing="0"/>
      <w:jc w:val="left"/>
    </w:pPr>
    <w:rPr>
      <w:rFonts w:ascii="Calibri" w:hAnsi="Calibri"/>
      <w:sz w:val="20"/>
      <w:szCs w:val="20"/>
    </w:rPr>
  </w:style>
  <w:style w:type="character" w:customStyle="1" w:styleId="FootnoteTextChar">
    <w:name w:val="Footnote Text Char"/>
    <w:basedOn w:val="DefaultParagraphFont"/>
    <w:link w:val="FootnoteText"/>
    <w:semiHidden/>
    <w:rsid w:val="005B086C"/>
    <w:rPr>
      <w:rFonts w:ascii="Calibri" w:eastAsia="Calibri" w:hAnsi="Calibri"/>
    </w:rPr>
  </w:style>
  <w:style w:type="character" w:styleId="FollowedHyperlink">
    <w:name w:val="FollowedHyperlink"/>
    <w:basedOn w:val="DefaultParagraphFont"/>
    <w:uiPriority w:val="99"/>
    <w:semiHidden/>
    <w:unhideWhenUsed/>
    <w:rsid w:val="00CB5637"/>
    <w:rPr>
      <w:color w:val="800080" w:themeColor="followedHyperlink"/>
      <w:u w:val="single"/>
    </w:rPr>
  </w:style>
  <w:style w:type="paragraph" w:styleId="Caption">
    <w:name w:val="caption"/>
    <w:basedOn w:val="Normal"/>
    <w:next w:val="Normal"/>
    <w:unhideWhenUsed/>
    <w:qFormat/>
    <w:rsid w:val="005C7AA0"/>
    <w:pPr>
      <w:spacing w:before="0" w:after="200"/>
    </w:pPr>
    <w:rPr>
      <w:b/>
      <w:bCs/>
      <w:color w:val="4F81BD" w:themeColor="accent1"/>
      <w:sz w:val="18"/>
      <w:szCs w:val="18"/>
    </w:rPr>
  </w:style>
  <w:style w:type="table" w:styleId="TableGrid">
    <w:name w:val="Table Grid"/>
    <w:basedOn w:val="TableNormal"/>
    <w:uiPriority w:val="59"/>
    <w:rsid w:val="00492A3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E02"/>
    <w:pPr>
      <w:tabs>
        <w:tab w:val="left" w:pos="360"/>
      </w:tabs>
      <w:spacing w:before="100" w:beforeAutospacing="1" w:after="100" w:afterAutospacing="1"/>
      <w:jc w:val="both"/>
    </w:pPr>
    <w:rPr>
      <w:rFonts w:eastAsia="Calibri"/>
      <w:sz w:val="24"/>
      <w:szCs w:val="22"/>
    </w:rPr>
  </w:style>
  <w:style w:type="paragraph" w:styleId="Heading1">
    <w:name w:val="heading 1"/>
    <w:basedOn w:val="ListParagraph"/>
    <w:next w:val="Normal"/>
    <w:link w:val="Heading1Char"/>
    <w:uiPriority w:val="9"/>
    <w:qFormat/>
    <w:rsid w:val="00C6298C"/>
    <w:pPr>
      <w:numPr>
        <w:numId w:val="2"/>
      </w:numPr>
      <w:tabs>
        <w:tab w:val="clear" w:pos="360"/>
      </w:tabs>
      <w:contextualSpacing w:val="0"/>
      <w:outlineLvl w:val="0"/>
    </w:pPr>
    <w:rPr>
      <w:rFonts w:eastAsiaTheme="majorEastAsia" w:cstheme="majorBidi"/>
      <w:b/>
      <w:sz w:val="28"/>
      <w:szCs w:val="28"/>
    </w:rPr>
  </w:style>
  <w:style w:type="paragraph" w:styleId="Heading2">
    <w:name w:val="heading 2"/>
    <w:basedOn w:val="Heading1"/>
    <w:next w:val="Normal"/>
    <w:link w:val="Heading2Char"/>
    <w:uiPriority w:val="9"/>
    <w:qFormat/>
    <w:rsid w:val="00185A0B"/>
    <w:pPr>
      <w:numPr>
        <w:ilvl w:val="1"/>
      </w:numPr>
      <w:tabs>
        <w:tab w:val="left" w:pos="547"/>
      </w:tabs>
      <w:spacing w:before="240" w:beforeAutospacing="0" w:after="0" w:afterAutospacing="0"/>
      <w:ind w:left="0" w:firstLine="0"/>
      <w:outlineLvl w:val="1"/>
    </w:pPr>
    <w:rPr>
      <w:sz w:val="24"/>
      <w:szCs w:val="24"/>
    </w:rPr>
  </w:style>
  <w:style w:type="paragraph" w:styleId="Heading3">
    <w:name w:val="heading 3"/>
    <w:basedOn w:val="Normal"/>
    <w:next w:val="Normal"/>
    <w:link w:val="Heading3Char"/>
    <w:uiPriority w:val="9"/>
    <w:qFormat/>
    <w:rsid w:val="00C6298C"/>
    <w:pPr>
      <w:keepNext/>
      <w:numPr>
        <w:ilvl w:val="2"/>
        <w:numId w:val="2"/>
      </w:numPr>
      <w:tabs>
        <w:tab w:val="clear" w:pos="360"/>
      </w:tabs>
      <w:spacing w:before="240" w:beforeAutospacing="0" w:after="0" w:afterAutospacing="0"/>
      <w:outlineLvl w:val="2"/>
    </w:pPr>
    <w:rPr>
      <w:b/>
    </w:rPr>
  </w:style>
  <w:style w:type="paragraph" w:styleId="Heading4">
    <w:name w:val="heading 4"/>
    <w:basedOn w:val="Normal"/>
    <w:next w:val="Normal"/>
    <w:link w:val="Heading4Char"/>
    <w:uiPriority w:val="9"/>
    <w:unhideWhenUsed/>
    <w:qFormat/>
    <w:rsid w:val="00C93E85"/>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93E85"/>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93E85"/>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93E85"/>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93E85"/>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93E85"/>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98C"/>
    <w:rPr>
      <w:rFonts w:eastAsiaTheme="majorEastAsia" w:cstheme="majorBidi"/>
      <w:b/>
      <w:sz w:val="28"/>
      <w:szCs w:val="28"/>
    </w:rPr>
  </w:style>
  <w:style w:type="paragraph" w:styleId="ListParagraph">
    <w:name w:val="List Paragraph"/>
    <w:basedOn w:val="Normal"/>
    <w:uiPriority w:val="34"/>
    <w:qFormat/>
    <w:rsid w:val="00C93E85"/>
    <w:pPr>
      <w:ind w:left="720"/>
      <w:contextualSpacing/>
    </w:pPr>
    <w:rPr>
      <w:sz w:val="20"/>
    </w:rPr>
  </w:style>
  <w:style w:type="character" w:customStyle="1" w:styleId="Heading2Char">
    <w:name w:val="Heading 2 Char"/>
    <w:basedOn w:val="DefaultParagraphFont"/>
    <w:link w:val="Heading2"/>
    <w:uiPriority w:val="9"/>
    <w:rsid w:val="00185A0B"/>
    <w:rPr>
      <w:rFonts w:eastAsiaTheme="majorEastAsia" w:cstheme="majorBidi"/>
      <w:b/>
      <w:sz w:val="24"/>
      <w:szCs w:val="24"/>
    </w:rPr>
  </w:style>
  <w:style w:type="character" w:customStyle="1" w:styleId="Heading3Char">
    <w:name w:val="Heading 3 Char"/>
    <w:basedOn w:val="DefaultParagraphFont"/>
    <w:link w:val="Heading3"/>
    <w:uiPriority w:val="9"/>
    <w:rsid w:val="00C6298C"/>
    <w:rPr>
      <w:rFonts w:eastAsia="Calibri"/>
      <w:b/>
      <w:sz w:val="24"/>
      <w:szCs w:val="22"/>
    </w:rPr>
  </w:style>
  <w:style w:type="character" w:customStyle="1" w:styleId="Heading4Char">
    <w:name w:val="Heading 4 Char"/>
    <w:basedOn w:val="DefaultParagraphFont"/>
    <w:link w:val="Heading4"/>
    <w:uiPriority w:val="9"/>
    <w:rsid w:val="00C93E85"/>
    <w:rPr>
      <w:rFonts w:asciiTheme="majorHAnsi" w:eastAsiaTheme="majorEastAsia" w:hAnsiTheme="majorHAnsi" w:cstheme="majorBidi"/>
      <w:b/>
      <w:bCs/>
      <w:i/>
      <w:iCs/>
      <w:color w:val="4F81BD" w:themeColor="accent1"/>
      <w:sz w:val="24"/>
      <w:szCs w:val="22"/>
    </w:rPr>
  </w:style>
  <w:style w:type="character" w:customStyle="1" w:styleId="Heading5Char">
    <w:name w:val="Heading 5 Char"/>
    <w:basedOn w:val="DefaultParagraphFont"/>
    <w:link w:val="Heading5"/>
    <w:uiPriority w:val="9"/>
    <w:rsid w:val="00C93E85"/>
    <w:rPr>
      <w:rFonts w:asciiTheme="majorHAnsi" w:eastAsiaTheme="majorEastAsia" w:hAnsiTheme="majorHAnsi" w:cstheme="majorBidi"/>
      <w:color w:val="243F60" w:themeColor="accent1" w:themeShade="7F"/>
      <w:sz w:val="24"/>
      <w:szCs w:val="22"/>
    </w:rPr>
  </w:style>
  <w:style w:type="character" w:customStyle="1" w:styleId="Heading6Char">
    <w:name w:val="Heading 6 Char"/>
    <w:basedOn w:val="DefaultParagraphFont"/>
    <w:link w:val="Heading6"/>
    <w:uiPriority w:val="9"/>
    <w:rsid w:val="00C93E85"/>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rsid w:val="00C93E85"/>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rsid w:val="00C93E85"/>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uiPriority w:val="9"/>
    <w:semiHidden/>
    <w:rsid w:val="00C93E85"/>
    <w:rPr>
      <w:rFonts w:asciiTheme="majorHAnsi" w:eastAsiaTheme="majorEastAsia" w:hAnsiTheme="majorHAnsi" w:cstheme="majorBidi"/>
      <w:i/>
      <w:iCs/>
      <w:color w:val="404040" w:themeColor="text1" w:themeTint="BF"/>
      <w:szCs w:val="22"/>
    </w:rPr>
  </w:style>
  <w:style w:type="paragraph" w:styleId="Title">
    <w:name w:val="Title"/>
    <w:basedOn w:val="Normal"/>
    <w:link w:val="TitleChar"/>
    <w:qFormat/>
    <w:rsid w:val="00C93E85"/>
    <w:pPr>
      <w:jc w:val="center"/>
    </w:pPr>
    <w:rPr>
      <w:b/>
    </w:rPr>
  </w:style>
  <w:style w:type="character" w:customStyle="1" w:styleId="TitleChar">
    <w:name w:val="Title Char"/>
    <w:basedOn w:val="DefaultParagraphFont"/>
    <w:link w:val="Title"/>
    <w:rsid w:val="00C93E85"/>
    <w:rPr>
      <w:b/>
      <w:snapToGrid w:val="0"/>
      <w:sz w:val="24"/>
    </w:rPr>
  </w:style>
  <w:style w:type="paragraph" w:styleId="TOCHeading">
    <w:name w:val="TOC Heading"/>
    <w:basedOn w:val="Heading1"/>
    <w:next w:val="Normal"/>
    <w:uiPriority w:val="39"/>
    <w:unhideWhenUsed/>
    <w:qFormat/>
    <w:rsid w:val="00C93E85"/>
    <w:pPr>
      <w:keepNext/>
      <w:keepLines/>
      <w:spacing w:line="276" w:lineRule="auto"/>
      <w:outlineLvl w:val="9"/>
    </w:pPr>
    <w:rPr>
      <w:rFonts w:asciiTheme="majorHAnsi" w:hAnsiTheme="majorHAnsi"/>
      <w:bCs/>
      <w:color w:val="365F91" w:themeColor="accent1" w:themeShade="BF"/>
    </w:rPr>
  </w:style>
  <w:style w:type="paragraph" w:styleId="BalloonText">
    <w:name w:val="Balloon Text"/>
    <w:basedOn w:val="Normal"/>
    <w:link w:val="BalloonTextChar"/>
    <w:uiPriority w:val="99"/>
    <w:semiHidden/>
    <w:unhideWhenUsed/>
    <w:rsid w:val="00151E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E02"/>
    <w:rPr>
      <w:rFonts w:ascii="Tahoma" w:eastAsia="Calibri" w:hAnsi="Tahoma" w:cs="Tahoma"/>
      <w:sz w:val="16"/>
      <w:szCs w:val="16"/>
    </w:rPr>
  </w:style>
  <w:style w:type="character" w:styleId="Hyperlink">
    <w:name w:val="Hyperlink"/>
    <w:basedOn w:val="DefaultParagraphFont"/>
    <w:uiPriority w:val="99"/>
    <w:unhideWhenUsed/>
    <w:rsid w:val="00151E02"/>
    <w:rPr>
      <w:color w:val="0000FF" w:themeColor="hyperlink"/>
      <w:u w:val="single"/>
    </w:rPr>
  </w:style>
  <w:style w:type="character" w:styleId="CommentReference">
    <w:name w:val="annotation reference"/>
    <w:basedOn w:val="DefaultParagraphFont"/>
    <w:uiPriority w:val="99"/>
    <w:semiHidden/>
    <w:unhideWhenUsed/>
    <w:rsid w:val="00151E02"/>
    <w:rPr>
      <w:sz w:val="16"/>
      <w:szCs w:val="16"/>
    </w:rPr>
  </w:style>
  <w:style w:type="paragraph" w:styleId="CommentText">
    <w:name w:val="annotation text"/>
    <w:basedOn w:val="Normal"/>
    <w:link w:val="CommentTextChar"/>
    <w:uiPriority w:val="99"/>
    <w:semiHidden/>
    <w:unhideWhenUsed/>
    <w:rsid w:val="00151E02"/>
    <w:rPr>
      <w:sz w:val="20"/>
      <w:szCs w:val="20"/>
    </w:rPr>
  </w:style>
  <w:style w:type="character" w:customStyle="1" w:styleId="CommentTextChar">
    <w:name w:val="Comment Text Char"/>
    <w:basedOn w:val="DefaultParagraphFont"/>
    <w:link w:val="CommentText"/>
    <w:uiPriority w:val="99"/>
    <w:semiHidden/>
    <w:rsid w:val="00151E02"/>
    <w:rPr>
      <w:rFonts w:eastAsia="Calibri"/>
    </w:rPr>
  </w:style>
  <w:style w:type="paragraph" w:styleId="CommentSubject">
    <w:name w:val="annotation subject"/>
    <w:basedOn w:val="CommentText"/>
    <w:next w:val="CommentText"/>
    <w:link w:val="CommentSubjectChar"/>
    <w:uiPriority w:val="99"/>
    <w:semiHidden/>
    <w:unhideWhenUsed/>
    <w:rsid w:val="00151E02"/>
    <w:rPr>
      <w:b/>
      <w:bCs/>
    </w:rPr>
  </w:style>
  <w:style w:type="character" w:customStyle="1" w:styleId="CommentSubjectChar">
    <w:name w:val="Comment Subject Char"/>
    <w:basedOn w:val="CommentTextChar"/>
    <w:link w:val="CommentSubject"/>
    <w:uiPriority w:val="99"/>
    <w:semiHidden/>
    <w:rsid w:val="00151E02"/>
    <w:rPr>
      <w:rFonts w:eastAsia="Calibri"/>
      <w:b/>
      <w:bCs/>
    </w:rPr>
  </w:style>
  <w:style w:type="paragraph" w:styleId="Revision">
    <w:name w:val="Revision"/>
    <w:hidden/>
    <w:uiPriority w:val="99"/>
    <w:semiHidden/>
    <w:rsid w:val="00151E02"/>
    <w:rPr>
      <w:rFonts w:eastAsia="Calibri"/>
      <w:sz w:val="24"/>
      <w:szCs w:val="22"/>
    </w:rPr>
  </w:style>
  <w:style w:type="character" w:styleId="PlaceholderText">
    <w:name w:val="Placeholder Text"/>
    <w:basedOn w:val="DefaultParagraphFont"/>
    <w:uiPriority w:val="99"/>
    <w:semiHidden/>
    <w:rsid w:val="00151E02"/>
    <w:rPr>
      <w:color w:val="808080"/>
    </w:rPr>
  </w:style>
  <w:style w:type="paragraph" w:styleId="Header">
    <w:name w:val="header"/>
    <w:basedOn w:val="Normal"/>
    <w:link w:val="HeaderChar"/>
    <w:uiPriority w:val="99"/>
    <w:unhideWhenUsed/>
    <w:rsid w:val="00151E02"/>
    <w:pPr>
      <w:tabs>
        <w:tab w:val="clear" w:pos="360"/>
        <w:tab w:val="center" w:pos="4680"/>
        <w:tab w:val="right" w:pos="9360"/>
      </w:tabs>
      <w:spacing w:before="0" w:after="0"/>
    </w:pPr>
  </w:style>
  <w:style w:type="character" w:customStyle="1" w:styleId="HeaderChar">
    <w:name w:val="Header Char"/>
    <w:basedOn w:val="DefaultParagraphFont"/>
    <w:link w:val="Header"/>
    <w:uiPriority w:val="99"/>
    <w:rsid w:val="00151E02"/>
    <w:rPr>
      <w:rFonts w:eastAsia="Calibri"/>
      <w:sz w:val="24"/>
      <w:szCs w:val="22"/>
    </w:rPr>
  </w:style>
  <w:style w:type="paragraph" w:styleId="Footer">
    <w:name w:val="footer"/>
    <w:basedOn w:val="Normal"/>
    <w:link w:val="FooterChar"/>
    <w:uiPriority w:val="99"/>
    <w:unhideWhenUsed/>
    <w:rsid w:val="00151E02"/>
    <w:pPr>
      <w:tabs>
        <w:tab w:val="clear" w:pos="360"/>
        <w:tab w:val="center" w:pos="4680"/>
        <w:tab w:val="right" w:pos="9360"/>
      </w:tabs>
      <w:spacing w:before="0" w:after="0"/>
    </w:pPr>
  </w:style>
  <w:style w:type="character" w:customStyle="1" w:styleId="FooterChar">
    <w:name w:val="Footer Char"/>
    <w:basedOn w:val="DefaultParagraphFont"/>
    <w:link w:val="Footer"/>
    <w:uiPriority w:val="99"/>
    <w:rsid w:val="00151E02"/>
    <w:rPr>
      <w:rFonts w:eastAsia="Calibri"/>
      <w:sz w:val="24"/>
      <w:szCs w:val="22"/>
    </w:rPr>
  </w:style>
  <w:style w:type="paragraph" w:styleId="TOC1">
    <w:name w:val="toc 1"/>
    <w:basedOn w:val="Normal"/>
    <w:next w:val="Normal"/>
    <w:autoRedefine/>
    <w:uiPriority w:val="39"/>
    <w:unhideWhenUsed/>
    <w:rsid w:val="00151E02"/>
    <w:pPr>
      <w:tabs>
        <w:tab w:val="clear" w:pos="360"/>
      </w:tabs>
    </w:pPr>
  </w:style>
  <w:style w:type="paragraph" w:styleId="TOC2">
    <w:name w:val="toc 2"/>
    <w:basedOn w:val="Normal"/>
    <w:next w:val="Normal"/>
    <w:autoRedefine/>
    <w:uiPriority w:val="39"/>
    <w:unhideWhenUsed/>
    <w:rsid w:val="00E538B2"/>
    <w:pPr>
      <w:tabs>
        <w:tab w:val="clear" w:pos="360"/>
        <w:tab w:val="left" w:pos="880"/>
        <w:tab w:val="right" w:leader="dot" w:pos="9350"/>
      </w:tabs>
      <w:ind w:left="480"/>
    </w:pPr>
  </w:style>
  <w:style w:type="paragraph" w:styleId="TOC3">
    <w:name w:val="toc 3"/>
    <w:basedOn w:val="Normal"/>
    <w:next w:val="Normal"/>
    <w:autoRedefine/>
    <w:uiPriority w:val="39"/>
    <w:unhideWhenUsed/>
    <w:rsid w:val="00151E02"/>
    <w:pPr>
      <w:tabs>
        <w:tab w:val="clear" w:pos="360"/>
      </w:tabs>
      <w:ind w:left="480"/>
    </w:pPr>
  </w:style>
  <w:style w:type="paragraph" w:styleId="BodyText">
    <w:name w:val="Body Text"/>
    <w:basedOn w:val="Normal"/>
    <w:link w:val="BodyTextChar"/>
    <w:uiPriority w:val="99"/>
    <w:semiHidden/>
    <w:unhideWhenUsed/>
    <w:rsid w:val="004F2495"/>
    <w:pPr>
      <w:tabs>
        <w:tab w:val="clear" w:pos="360"/>
      </w:tabs>
      <w:spacing w:before="0" w:beforeAutospacing="0" w:after="120" w:afterAutospacing="0" w:line="276" w:lineRule="auto"/>
      <w:jc w:val="left"/>
    </w:pPr>
    <w:rPr>
      <w:rFonts w:ascii="Calibri" w:hAnsi="Calibri"/>
      <w:sz w:val="22"/>
    </w:rPr>
  </w:style>
  <w:style w:type="character" w:customStyle="1" w:styleId="BodyTextChar">
    <w:name w:val="Body Text Char"/>
    <w:basedOn w:val="DefaultParagraphFont"/>
    <w:link w:val="BodyText"/>
    <w:uiPriority w:val="99"/>
    <w:semiHidden/>
    <w:rsid w:val="004F2495"/>
    <w:rPr>
      <w:rFonts w:ascii="Calibri" w:eastAsia="Calibri" w:hAnsi="Calibri"/>
      <w:sz w:val="22"/>
      <w:szCs w:val="22"/>
    </w:rPr>
  </w:style>
  <w:style w:type="character" w:styleId="FootnoteReference">
    <w:name w:val="footnote reference"/>
    <w:basedOn w:val="DefaultParagraphFont"/>
    <w:semiHidden/>
    <w:rsid w:val="005B086C"/>
    <w:rPr>
      <w:vertAlign w:val="superscript"/>
    </w:rPr>
  </w:style>
  <w:style w:type="paragraph" w:styleId="FootnoteText">
    <w:name w:val="footnote text"/>
    <w:basedOn w:val="Normal"/>
    <w:link w:val="FootnoteTextChar"/>
    <w:semiHidden/>
    <w:unhideWhenUsed/>
    <w:rsid w:val="005B086C"/>
    <w:pPr>
      <w:tabs>
        <w:tab w:val="clear" w:pos="360"/>
      </w:tabs>
      <w:spacing w:before="0" w:beforeAutospacing="0" w:after="0" w:afterAutospacing="0"/>
      <w:jc w:val="left"/>
    </w:pPr>
    <w:rPr>
      <w:rFonts w:ascii="Calibri" w:hAnsi="Calibri"/>
      <w:sz w:val="20"/>
      <w:szCs w:val="20"/>
    </w:rPr>
  </w:style>
  <w:style w:type="character" w:customStyle="1" w:styleId="FootnoteTextChar">
    <w:name w:val="Footnote Text Char"/>
    <w:basedOn w:val="DefaultParagraphFont"/>
    <w:link w:val="FootnoteText"/>
    <w:semiHidden/>
    <w:rsid w:val="005B086C"/>
    <w:rPr>
      <w:rFonts w:ascii="Calibri" w:eastAsia="Calibri" w:hAnsi="Calibri"/>
    </w:rPr>
  </w:style>
  <w:style w:type="character" w:styleId="FollowedHyperlink">
    <w:name w:val="FollowedHyperlink"/>
    <w:basedOn w:val="DefaultParagraphFont"/>
    <w:uiPriority w:val="99"/>
    <w:semiHidden/>
    <w:unhideWhenUsed/>
    <w:rsid w:val="00CB5637"/>
    <w:rPr>
      <w:color w:val="800080" w:themeColor="followedHyperlink"/>
      <w:u w:val="single"/>
    </w:rPr>
  </w:style>
  <w:style w:type="paragraph" w:styleId="Caption">
    <w:name w:val="caption"/>
    <w:basedOn w:val="Normal"/>
    <w:next w:val="Normal"/>
    <w:unhideWhenUsed/>
    <w:qFormat/>
    <w:rsid w:val="005C7AA0"/>
    <w:pPr>
      <w:spacing w:before="0" w:after="200"/>
    </w:pPr>
    <w:rPr>
      <w:b/>
      <w:bCs/>
      <w:color w:val="4F81BD" w:themeColor="accent1"/>
      <w:sz w:val="18"/>
      <w:szCs w:val="18"/>
    </w:rPr>
  </w:style>
  <w:style w:type="table" w:styleId="TableGrid">
    <w:name w:val="Table Grid"/>
    <w:basedOn w:val="TableNormal"/>
    <w:uiPriority w:val="59"/>
    <w:rsid w:val="00492A3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5396">
      <w:bodyDiv w:val="1"/>
      <w:marLeft w:val="0"/>
      <w:marRight w:val="0"/>
      <w:marTop w:val="0"/>
      <w:marBottom w:val="0"/>
      <w:divBdr>
        <w:top w:val="none" w:sz="0" w:space="0" w:color="auto"/>
        <w:left w:val="none" w:sz="0" w:space="0" w:color="auto"/>
        <w:bottom w:val="none" w:sz="0" w:space="0" w:color="auto"/>
        <w:right w:val="none" w:sz="0" w:space="0" w:color="auto"/>
      </w:divBdr>
    </w:div>
    <w:div w:id="908463297">
      <w:bodyDiv w:val="1"/>
      <w:marLeft w:val="0"/>
      <w:marRight w:val="0"/>
      <w:marTop w:val="0"/>
      <w:marBottom w:val="0"/>
      <w:divBdr>
        <w:top w:val="none" w:sz="0" w:space="0" w:color="auto"/>
        <w:left w:val="none" w:sz="0" w:space="0" w:color="auto"/>
        <w:bottom w:val="none" w:sz="0" w:space="0" w:color="auto"/>
        <w:right w:val="none" w:sz="0" w:space="0" w:color="auto"/>
      </w:divBdr>
    </w:div>
    <w:div w:id="957494290">
      <w:bodyDiv w:val="1"/>
      <w:marLeft w:val="0"/>
      <w:marRight w:val="0"/>
      <w:marTop w:val="0"/>
      <w:marBottom w:val="0"/>
      <w:divBdr>
        <w:top w:val="none" w:sz="0" w:space="0" w:color="auto"/>
        <w:left w:val="none" w:sz="0" w:space="0" w:color="auto"/>
        <w:bottom w:val="none" w:sz="0" w:space="0" w:color="auto"/>
        <w:right w:val="none" w:sz="0" w:space="0" w:color="auto"/>
      </w:divBdr>
    </w:div>
    <w:div w:id="982199684">
      <w:bodyDiv w:val="1"/>
      <w:marLeft w:val="0"/>
      <w:marRight w:val="0"/>
      <w:marTop w:val="0"/>
      <w:marBottom w:val="0"/>
      <w:divBdr>
        <w:top w:val="none" w:sz="0" w:space="0" w:color="auto"/>
        <w:left w:val="none" w:sz="0" w:space="0" w:color="auto"/>
        <w:bottom w:val="none" w:sz="0" w:space="0" w:color="auto"/>
        <w:right w:val="none" w:sz="0" w:space="0" w:color="auto"/>
      </w:divBdr>
    </w:div>
    <w:div w:id="1113406924">
      <w:bodyDiv w:val="1"/>
      <w:marLeft w:val="0"/>
      <w:marRight w:val="0"/>
      <w:marTop w:val="45"/>
      <w:marBottom w:val="0"/>
      <w:divBdr>
        <w:top w:val="none" w:sz="0" w:space="0" w:color="auto"/>
        <w:left w:val="none" w:sz="0" w:space="0" w:color="auto"/>
        <w:bottom w:val="none" w:sz="0" w:space="0" w:color="auto"/>
        <w:right w:val="none" w:sz="0" w:space="0" w:color="auto"/>
      </w:divBdr>
      <w:divsChild>
        <w:div w:id="1064259488">
          <w:marLeft w:val="0"/>
          <w:marRight w:val="0"/>
          <w:marTop w:val="0"/>
          <w:marBottom w:val="0"/>
          <w:divBdr>
            <w:top w:val="none" w:sz="0" w:space="0" w:color="auto"/>
            <w:left w:val="none" w:sz="0" w:space="0" w:color="auto"/>
            <w:bottom w:val="none" w:sz="0" w:space="0" w:color="auto"/>
            <w:right w:val="none" w:sz="0" w:space="0" w:color="auto"/>
          </w:divBdr>
          <w:divsChild>
            <w:div w:id="1462456808">
              <w:marLeft w:val="0"/>
              <w:marRight w:val="0"/>
              <w:marTop w:val="0"/>
              <w:marBottom w:val="0"/>
              <w:divBdr>
                <w:top w:val="none" w:sz="0" w:space="0" w:color="auto"/>
                <w:left w:val="none" w:sz="0" w:space="0" w:color="auto"/>
                <w:bottom w:val="none" w:sz="0" w:space="0" w:color="auto"/>
                <w:right w:val="none" w:sz="0" w:space="0" w:color="auto"/>
              </w:divBdr>
              <w:divsChild>
                <w:div w:id="1839692948">
                  <w:marLeft w:val="0"/>
                  <w:marRight w:val="0"/>
                  <w:marTop w:val="0"/>
                  <w:marBottom w:val="0"/>
                  <w:divBdr>
                    <w:top w:val="none" w:sz="0" w:space="0" w:color="auto"/>
                    <w:left w:val="none" w:sz="0" w:space="0" w:color="auto"/>
                    <w:bottom w:val="none" w:sz="0" w:space="0" w:color="auto"/>
                    <w:right w:val="none" w:sz="0" w:space="0" w:color="auto"/>
                  </w:divBdr>
                  <w:divsChild>
                    <w:div w:id="1393574175">
                      <w:marLeft w:val="0"/>
                      <w:marRight w:val="0"/>
                      <w:marTop w:val="0"/>
                      <w:marBottom w:val="0"/>
                      <w:divBdr>
                        <w:top w:val="none" w:sz="0" w:space="0" w:color="auto"/>
                        <w:left w:val="none" w:sz="0" w:space="0" w:color="auto"/>
                        <w:bottom w:val="none" w:sz="0" w:space="0" w:color="auto"/>
                        <w:right w:val="none" w:sz="0" w:space="0" w:color="auto"/>
                      </w:divBdr>
                      <w:divsChild>
                        <w:div w:id="2013751996">
                          <w:marLeft w:val="0"/>
                          <w:marRight w:val="0"/>
                          <w:marTop w:val="45"/>
                          <w:marBottom w:val="0"/>
                          <w:divBdr>
                            <w:top w:val="none" w:sz="0" w:space="0" w:color="auto"/>
                            <w:left w:val="none" w:sz="0" w:space="0" w:color="auto"/>
                            <w:bottom w:val="none" w:sz="0" w:space="0" w:color="auto"/>
                            <w:right w:val="none" w:sz="0" w:space="0" w:color="auto"/>
                          </w:divBdr>
                          <w:divsChild>
                            <w:div w:id="1496459603">
                              <w:marLeft w:val="0"/>
                              <w:marRight w:val="0"/>
                              <w:marTop w:val="0"/>
                              <w:marBottom w:val="0"/>
                              <w:divBdr>
                                <w:top w:val="none" w:sz="0" w:space="0" w:color="auto"/>
                                <w:left w:val="none" w:sz="0" w:space="0" w:color="auto"/>
                                <w:bottom w:val="none" w:sz="0" w:space="0" w:color="auto"/>
                                <w:right w:val="none" w:sz="0" w:space="0" w:color="auto"/>
                              </w:divBdr>
                              <w:divsChild>
                                <w:div w:id="885221249">
                                  <w:marLeft w:val="0"/>
                                  <w:marRight w:val="0"/>
                                  <w:marTop w:val="0"/>
                                  <w:marBottom w:val="0"/>
                                  <w:divBdr>
                                    <w:top w:val="none" w:sz="0" w:space="0" w:color="auto"/>
                                    <w:left w:val="none" w:sz="0" w:space="0" w:color="auto"/>
                                    <w:bottom w:val="none" w:sz="0" w:space="0" w:color="auto"/>
                                    <w:right w:val="none" w:sz="0" w:space="0" w:color="auto"/>
                                  </w:divBdr>
                                  <w:divsChild>
                                    <w:div w:id="22676401">
                                      <w:marLeft w:val="10530"/>
                                      <w:marRight w:val="0"/>
                                      <w:marTop w:val="0"/>
                                      <w:marBottom w:val="0"/>
                                      <w:divBdr>
                                        <w:top w:val="none" w:sz="0" w:space="0" w:color="auto"/>
                                        <w:left w:val="none" w:sz="0" w:space="0" w:color="auto"/>
                                        <w:bottom w:val="none" w:sz="0" w:space="0" w:color="auto"/>
                                        <w:right w:val="none" w:sz="0" w:space="0" w:color="auto"/>
                                      </w:divBdr>
                                      <w:divsChild>
                                        <w:div w:id="1236085079">
                                          <w:marLeft w:val="0"/>
                                          <w:marRight w:val="0"/>
                                          <w:marTop w:val="0"/>
                                          <w:marBottom w:val="0"/>
                                          <w:divBdr>
                                            <w:top w:val="none" w:sz="0" w:space="0" w:color="auto"/>
                                            <w:left w:val="none" w:sz="0" w:space="0" w:color="auto"/>
                                            <w:bottom w:val="none" w:sz="0" w:space="0" w:color="auto"/>
                                            <w:right w:val="none" w:sz="0" w:space="0" w:color="auto"/>
                                          </w:divBdr>
                                          <w:divsChild>
                                            <w:div w:id="381439747">
                                              <w:marLeft w:val="0"/>
                                              <w:marRight w:val="0"/>
                                              <w:marTop w:val="0"/>
                                              <w:marBottom w:val="0"/>
                                              <w:divBdr>
                                                <w:top w:val="none" w:sz="0" w:space="0" w:color="auto"/>
                                                <w:left w:val="none" w:sz="0" w:space="0" w:color="auto"/>
                                                <w:bottom w:val="none" w:sz="0" w:space="0" w:color="auto"/>
                                                <w:right w:val="none" w:sz="0" w:space="0" w:color="auto"/>
                                              </w:divBdr>
                                              <w:divsChild>
                                                <w:div w:id="2126389324">
                                                  <w:marLeft w:val="0"/>
                                                  <w:marRight w:val="0"/>
                                                  <w:marTop w:val="0"/>
                                                  <w:marBottom w:val="0"/>
                                                  <w:divBdr>
                                                    <w:top w:val="none" w:sz="0" w:space="0" w:color="auto"/>
                                                    <w:left w:val="none" w:sz="0" w:space="0" w:color="auto"/>
                                                    <w:bottom w:val="none" w:sz="0" w:space="0" w:color="auto"/>
                                                    <w:right w:val="none" w:sz="0" w:space="0" w:color="auto"/>
                                                  </w:divBdr>
                                                  <w:divsChild>
                                                    <w:div w:id="936715130">
                                                      <w:marLeft w:val="0"/>
                                                      <w:marRight w:val="0"/>
                                                      <w:marTop w:val="0"/>
                                                      <w:marBottom w:val="0"/>
                                                      <w:divBdr>
                                                        <w:top w:val="none" w:sz="0" w:space="0" w:color="auto"/>
                                                        <w:left w:val="none" w:sz="0" w:space="0" w:color="auto"/>
                                                        <w:bottom w:val="none" w:sz="0" w:space="0" w:color="auto"/>
                                                        <w:right w:val="none" w:sz="0" w:space="0" w:color="auto"/>
                                                      </w:divBdr>
                                                      <w:divsChild>
                                                        <w:div w:id="1182743150">
                                                          <w:marLeft w:val="0"/>
                                                          <w:marRight w:val="0"/>
                                                          <w:marTop w:val="0"/>
                                                          <w:marBottom w:val="0"/>
                                                          <w:divBdr>
                                                            <w:top w:val="none" w:sz="0" w:space="0" w:color="auto"/>
                                                            <w:left w:val="none" w:sz="0" w:space="0" w:color="auto"/>
                                                            <w:bottom w:val="none" w:sz="0" w:space="0" w:color="auto"/>
                                                            <w:right w:val="none" w:sz="0" w:space="0" w:color="auto"/>
                                                          </w:divBdr>
                                                          <w:divsChild>
                                                            <w:div w:id="439186368">
                                                              <w:marLeft w:val="0"/>
                                                              <w:marRight w:val="0"/>
                                                              <w:marTop w:val="0"/>
                                                              <w:marBottom w:val="0"/>
                                                              <w:divBdr>
                                                                <w:top w:val="none" w:sz="0" w:space="0" w:color="auto"/>
                                                                <w:left w:val="none" w:sz="0" w:space="0" w:color="auto"/>
                                                                <w:bottom w:val="none" w:sz="0" w:space="0" w:color="auto"/>
                                                                <w:right w:val="none" w:sz="0" w:space="0" w:color="auto"/>
                                                              </w:divBdr>
                                                              <w:divsChild>
                                                                <w:div w:id="8741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2051907">
      <w:bodyDiv w:val="1"/>
      <w:marLeft w:val="0"/>
      <w:marRight w:val="0"/>
      <w:marTop w:val="0"/>
      <w:marBottom w:val="0"/>
      <w:divBdr>
        <w:top w:val="none" w:sz="0" w:space="0" w:color="auto"/>
        <w:left w:val="none" w:sz="0" w:space="0" w:color="auto"/>
        <w:bottom w:val="none" w:sz="0" w:space="0" w:color="auto"/>
        <w:right w:val="none" w:sz="0" w:space="0" w:color="auto"/>
      </w:divBdr>
    </w:div>
    <w:div w:id="21173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teven.grape@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6946C-1A1D-4BE1-A8EC-F749060BA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Supporting Statement, Part B: Form EIA-914</vt:lpstr>
    </vt:vector>
  </TitlesOfParts>
  <Manager>Barbara Mariner-Volpe</Manager>
  <Company>U.S. Energy Information Administration</Company>
  <LinksUpToDate>false</LinksUpToDate>
  <CharactersWithSpaces>21521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Form EIA-914</dc:title>
  <dc:subject>OMB Forms Clearance Process, Supporting Statement, Part B, Form EIA-914</dc:subject>
  <dc:creator>Neal Davis</dc:creator>
  <dc:description>07/29/14: Reviewed by EEP.</dc:description>
  <cp:lastModifiedBy>Davis, Neal</cp:lastModifiedBy>
  <cp:revision>2</cp:revision>
  <cp:lastPrinted>2014-08-01T22:04:00Z</cp:lastPrinted>
  <dcterms:created xsi:type="dcterms:W3CDTF">2014-11-05T11:00:00Z</dcterms:created>
  <dcterms:modified xsi:type="dcterms:W3CDTF">2014-11-05T15:54:00Z</dcterms:modified>
</cp:coreProperties>
</file>