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66" w:rsidRDefault="00002F86" w:rsidP="006473DA">
      <w:pPr>
        <w:jc w:val="left"/>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1991360</wp:posOffset>
                </wp:positionH>
                <wp:positionV relativeFrom="paragraph">
                  <wp:posOffset>10160</wp:posOffset>
                </wp:positionV>
                <wp:extent cx="3865880" cy="1518285"/>
                <wp:effectExtent l="0" t="0" r="20320"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880" cy="1518285"/>
                        </a:xfrm>
                        <a:prstGeom prst="rect">
                          <a:avLst/>
                        </a:prstGeom>
                        <a:solidFill>
                          <a:srgbClr val="FFFFFF"/>
                        </a:solidFill>
                        <a:ln w="9525">
                          <a:solidFill>
                            <a:srgbClr val="000000"/>
                          </a:solidFill>
                          <a:miter lim="800000"/>
                          <a:headEnd/>
                          <a:tailEnd/>
                        </a:ln>
                      </wps:spPr>
                      <wps:txbx>
                        <w:txbxContent>
                          <w:p w:rsidR="00AE3750" w:rsidRPr="006139D7" w:rsidRDefault="00AE3750" w:rsidP="001540BF">
                            <w:pPr>
                              <w:spacing w:before="280" w:beforeAutospacing="0" w:after="120" w:afterAutospacing="0"/>
                              <w:jc w:val="left"/>
                              <w:rPr>
                                <w:b/>
                                <w:sz w:val="28"/>
                                <w:szCs w:val="28"/>
                              </w:rPr>
                            </w:pPr>
                            <w:r w:rsidRPr="006139D7">
                              <w:rPr>
                                <w:b/>
                                <w:sz w:val="28"/>
                                <w:szCs w:val="28"/>
                              </w:rPr>
                              <w:t>U.S. Energy Information Administration</w:t>
                            </w:r>
                          </w:p>
                          <w:p w:rsidR="00AE3750" w:rsidRPr="006139D7" w:rsidRDefault="00AE3750" w:rsidP="001540BF">
                            <w:pPr>
                              <w:spacing w:before="280" w:beforeAutospacing="0" w:after="120" w:afterAutospacing="0"/>
                              <w:jc w:val="left"/>
                              <w:rPr>
                                <w:b/>
                                <w:sz w:val="28"/>
                                <w:szCs w:val="28"/>
                              </w:rPr>
                            </w:pPr>
                            <w:r w:rsidRPr="006139D7">
                              <w:rPr>
                                <w:b/>
                                <w:sz w:val="28"/>
                                <w:szCs w:val="28"/>
                              </w:rPr>
                              <w:t>Office of Energy Statistics</w:t>
                            </w:r>
                          </w:p>
                          <w:p w:rsidR="00AE3750" w:rsidRPr="006139D7" w:rsidRDefault="00AE3750" w:rsidP="001540BF">
                            <w:pPr>
                              <w:spacing w:before="280" w:beforeAutospacing="0" w:after="120" w:afterAutospacing="0"/>
                              <w:jc w:val="left"/>
                              <w:rPr>
                                <w:b/>
                                <w:sz w:val="28"/>
                                <w:szCs w:val="28"/>
                              </w:rPr>
                            </w:pPr>
                            <w:r>
                              <w:rPr>
                                <w:b/>
                                <w:sz w:val="28"/>
                                <w:szCs w:val="28"/>
                              </w:rPr>
                              <w:t>Office of Oil, Gas, and Coal Supply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8pt;margin-top:.8pt;width:304.4pt;height:1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">
                <v:textbox>
                  <w:txbxContent>
                    <w:p w:rsidR="00AE3750" w:rsidRPr="006139D7" w:rsidRDefault="00AE3750" w:rsidP="001540BF">
                      <w:pPr>
                        <w:spacing w:before="280" w:beforeAutospacing="0" w:after="120" w:afterAutospacing="0"/>
                        <w:jc w:val="left"/>
                        <w:rPr>
                          <w:b/>
                          <w:sz w:val="28"/>
                          <w:szCs w:val="28"/>
                        </w:rPr>
                      </w:pPr>
                      <w:r w:rsidRPr="006139D7">
                        <w:rPr>
                          <w:b/>
                          <w:sz w:val="28"/>
                          <w:szCs w:val="28"/>
                        </w:rPr>
                        <w:t>U.S. Energy Information Administration</w:t>
                      </w:r>
                    </w:p>
                    <w:p w:rsidR="00AE3750" w:rsidRPr="006139D7" w:rsidRDefault="00AE3750" w:rsidP="001540BF">
                      <w:pPr>
                        <w:spacing w:before="280" w:beforeAutospacing="0" w:after="120" w:afterAutospacing="0"/>
                        <w:jc w:val="left"/>
                        <w:rPr>
                          <w:b/>
                          <w:sz w:val="28"/>
                          <w:szCs w:val="28"/>
                        </w:rPr>
                      </w:pPr>
                      <w:r w:rsidRPr="006139D7">
                        <w:rPr>
                          <w:b/>
                          <w:sz w:val="28"/>
                          <w:szCs w:val="28"/>
                        </w:rPr>
                        <w:t>Office of Energy Statistics</w:t>
                      </w:r>
                    </w:p>
                    <w:p w:rsidR="00AE3750" w:rsidRPr="006139D7" w:rsidRDefault="00AE3750" w:rsidP="001540BF">
                      <w:pPr>
                        <w:spacing w:before="280" w:beforeAutospacing="0" w:after="120" w:afterAutospacing="0"/>
                        <w:jc w:val="left"/>
                        <w:rPr>
                          <w:b/>
                          <w:sz w:val="28"/>
                          <w:szCs w:val="28"/>
                        </w:rPr>
                      </w:pPr>
                      <w:r>
                        <w:rPr>
                          <w:b/>
                          <w:sz w:val="28"/>
                          <w:szCs w:val="28"/>
                        </w:rPr>
                        <w:t>Office of Oil, Gas, and Coal Supply Statistics</w:t>
                      </w:r>
                    </w:p>
                  </w:txbxContent>
                </v:textbox>
              </v:shape>
            </w:pict>
          </mc:Fallback>
        </mc:AlternateContent>
      </w:r>
      <w:r w:rsidR="004C326A">
        <w:rPr>
          <w:noProof/>
        </w:rPr>
        <w:drawing>
          <wp:inline distT="0" distB="0" distL="0" distR="0">
            <wp:extent cx="1820545" cy="1397000"/>
            <wp:effectExtent l="0" t="0" r="8255" b="0"/>
            <wp:docPr id="1"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0545" cy="1397000"/>
                    </a:xfrm>
                    <a:prstGeom prst="rect">
                      <a:avLst/>
                    </a:prstGeom>
                    <a:noFill/>
                    <a:ln>
                      <a:noFill/>
                    </a:ln>
                  </pic:spPr>
                </pic:pic>
              </a:graphicData>
            </a:graphic>
          </wp:inline>
        </w:drawing>
      </w:r>
    </w:p>
    <w:p w:rsidR="00A27966" w:rsidRDefault="00A27966" w:rsidP="006473DA">
      <w:pPr>
        <w:jc w:val="left"/>
      </w:pPr>
    </w:p>
    <w:p w:rsidR="002C0331" w:rsidRDefault="002C0331" w:rsidP="006473DA">
      <w:pPr>
        <w:jc w:val="left"/>
        <w:rPr>
          <w:rFonts w:ascii="Arial Black" w:hAnsi="Arial Black"/>
          <w:sz w:val="28"/>
        </w:rPr>
      </w:pPr>
    </w:p>
    <w:p w:rsidR="002C0331" w:rsidRDefault="001540BF" w:rsidP="001540BF">
      <w:pPr>
        <w:jc w:val="left"/>
        <w:rPr>
          <w:b/>
          <w:sz w:val="36"/>
          <w:szCs w:val="36"/>
        </w:rPr>
      </w:pPr>
      <w:r>
        <w:rPr>
          <w:b/>
          <w:sz w:val="36"/>
          <w:szCs w:val="36"/>
        </w:rPr>
        <w:t>Supporting Statement for Survey Clearance</w:t>
      </w:r>
    </w:p>
    <w:p w:rsidR="002071E0" w:rsidRPr="002071E0" w:rsidRDefault="002071E0" w:rsidP="002071E0">
      <w:pPr>
        <w:jc w:val="left"/>
        <w:rPr>
          <w:b/>
          <w:sz w:val="36"/>
          <w:szCs w:val="36"/>
        </w:rPr>
      </w:pPr>
      <w:r w:rsidRPr="002071E0">
        <w:rPr>
          <w:b/>
          <w:sz w:val="36"/>
          <w:szCs w:val="36"/>
        </w:rPr>
        <w:t>U.S. Energy Information Administration Survey:</w:t>
      </w:r>
    </w:p>
    <w:p w:rsidR="002071E0" w:rsidRPr="002071E0" w:rsidRDefault="002071E0" w:rsidP="002071E0">
      <w:pPr>
        <w:ind w:firstLine="360"/>
        <w:jc w:val="left"/>
        <w:rPr>
          <w:b/>
          <w:sz w:val="28"/>
          <w:szCs w:val="28"/>
        </w:rPr>
      </w:pPr>
      <w:r w:rsidRPr="002071E0">
        <w:rPr>
          <w:b/>
          <w:sz w:val="28"/>
          <w:szCs w:val="28"/>
        </w:rPr>
        <w:t>FORM EIA-91</w:t>
      </w:r>
      <w:r w:rsidR="00B004DA">
        <w:rPr>
          <w:b/>
          <w:sz w:val="28"/>
          <w:szCs w:val="28"/>
        </w:rPr>
        <w:t>4</w:t>
      </w:r>
      <w:r w:rsidRPr="002071E0">
        <w:rPr>
          <w:b/>
          <w:sz w:val="28"/>
          <w:szCs w:val="28"/>
        </w:rPr>
        <w:t xml:space="preserve">, Monthly </w:t>
      </w:r>
      <w:r w:rsidR="00A36854">
        <w:rPr>
          <w:b/>
          <w:sz w:val="28"/>
          <w:szCs w:val="28"/>
        </w:rPr>
        <w:t xml:space="preserve">Crude Oil, Lease Condensate, and </w:t>
      </w:r>
      <w:r w:rsidR="00B004DA">
        <w:rPr>
          <w:b/>
          <w:sz w:val="28"/>
          <w:szCs w:val="28"/>
        </w:rPr>
        <w:t xml:space="preserve">Natural </w:t>
      </w:r>
      <w:r w:rsidRPr="002071E0">
        <w:rPr>
          <w:b/>
          <w:sz w:val="28"/>
          <w:szCs w:val="28"/>
        </w:rPr>
        <w:t xml:space="preserve">Gas </w:t>
      </w:r>
      <w:r w:rsidR="00B004DA">
        <w:rPr>
          <w:b/>
          <w:sz w:val="28"/>
          <w:szCs w:val="28"/>
        </w:rPr>
        <w:t xml:space="preserve">Production </w:t>
      </w:r>
      <w:r w:rsidRPr="002071E0">
        <w:rPr>
          <w:b/>
          <w:sz w:val="28"/>
          <w:szCs w:val="28"/>
        </w:rPr>
        <w:t>Report</w:t>
      </w:r>
    </w:p>
    <w:p w:rsidR="002071E0" w:rsidRPr="002071E0" w:rsidRDefault="00090BDA" w:rsidP="002071E0">
      <w:pPr>
        <w:jc w:val="left"/>
        <w:rPr>
          <w:b/>
          <w:sz w:val="32"/>
          <w:szCs w:val="32"/>
        </w:rPr>
      </w:pPr>
      <w:r>
        <w:rPr>
          <w:b/>
          <w:sz w:val="32"/>
          <w:szCs w:val="32"/>
        </w:rPr>
        <w:t xml:space="preserve">OMB No. </w:t>
      </w:r>
      <w:r w:rsidR="00B004DA" w:rsidRPr="00B004DA">
        <w:rPr>
          <w:b/>
          <w:sz w:val="32"/>
          <w:szCs w:val="32"/>
        </w:rPr>
        <w:t>1905-0205</w:t>
      </w:r>
    </w:p>
    <w:p w:rsidR="002C0331" w:rsidRPr="006139D7" w:rsidRDefault="002C0331" w:rsidP="006473D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tblGrid>
      <w:tr w:rsidR="002C0331" w:rsidRPr="006139D7" w:rsidTr="005A1904">
        <w:tc>
          <w:tcPr>
            <w:tcW w:w="4068" w:type="dxa"/>
            <w:vAlign w:val="center"/>
          </w:tcPr>
          <w:p w:rsidR="00B44725" w:rsidRDefault="00B44725" w:rsidP="00B44725">
            <w:pPr>
              <w:spacing w:before="120" w:beforeAutospacing="0" w:after="120" w:afterAutospacing="0"/>
              <w:jc w:val="left"/>
              <w:rPr>
                <w:b/>
                <w:sz w:val="32"/>
                <w:szCs w:val="32"/>
              </w:rPr>
            </w:pPr>
            <w:r>
              <w:rPr>
                <w:b/>
                <w:sz w:val="32"/>
                <w:szCs w:val="32"/>
              </w:rPr>
              <w:t>Part A:</w:t>
            </w:r>
          </w:p>
          <w:p w:rsidR="002C0331" w:rsidRPr="006139D7" w:rsidRDefault="002C0331" w:rsidP="00B44725">
            <w:pPr>
              <w:spacing w:before="120" w:beforeAutospacing="0" w:after="120" w:afterAutospacing="0"/>
              <w:jc w:val="left"/>
              <w:rPr>
                <w:b/>
                <w:sz w:val="32"/>
                <w:szCs w:val="32"/>
              </w:rPr>
            </w:pPr>
            <w:r w:rsidRPr="00AE20DC">
              <w:rPr>
                <w:b/>
                <w:sz w:val="32"/>
                <w:szCs w:val="32"/>
              </w:rPr>
              <w:t>Background and Proposal</w:t>
            </w:r>
          </w:p>
        </w:tc>
      </w:tr>
    </w:tbl>
    <w:p w:rsidR="002C0331" w:rsidRPr="006139D7" w:rsidRDefault="002C0331" w:rsidP="006473DA">
      <w:pPr>
        <w:jc w:val="left"/>
      </w:pPr>
    </w:p>
    <w:p w:rsidR="002C0331" w:rsidRPr="006139D7" w:rsidRDefault="002C0331" w:rsidP="006473DA">
      <w:pPr>
        <w:jc w:val="left"/>
      </w:pPr>
    </w:p>
    <w:p w:rsidR="007B10FA" w:rsidRDefault="002C0331" w:rsidP="00EF0C13">
      <w:pPr>
        <w:jc w:val="left"/>
      </w:pPr>
      <w:r w:rsidRPr="006473DA">
        <w:rPr>
          <w:b/>
        </w:rPr>
        <w:t>Original Date:</w:t>
      </w:r>
      <w:r w:rsidRPr="00F51ECD">
        <w:t xml:space="preserve"> </w:t>
      </w:r>
      <w:r w:rsidR="00B33F7E">
        <w:t>August</w:t>
      </w:r>
      <w:r w:rsidR="008C71A3">
        <w:t xml:space="preserve"> </w:t>
      </w:r>
      <w:r w:rsidR="004A1FB5">
        <w:t>201</w:t>
      </w:r>
      <w:r w:rsidR="008C71A3">
        <w:t>4</w:t>
      </w:r>
    </w:p>
    <w:p w:rsidR="00DE367E" w:rsidRPr="00EF0C13" w:rsidRDefault="00DE367E" w:rsidP="00EF0C13">
      <w:pPr>
        <w:jc w:val="left"/>
        <w:rPr>
          <w:highlight w:val="yellow"/>
        </w:rPr>
        <w:sectPr w:rsidR="00DE367E" w:rsidRPr="00EF0C13" w:rsidSect="007B10FA">
          <w:footerReference w:type="default" r:id="rId10"/>
          <w:pgSz w:w="12240" w:h="15840"/>
          <w:pgMar w:top="1440" w:right="1440" w:bottom="1440" w:left="1440" w:header="720" w:footer="720" w:gutter="0"/>
          <w:cols w:space="720"/>
          <w:titlePg/>
          <w:docGrid w:linePitch="360"/>
        </w:sectPr>
      </w:pPr>
      <w:r>
        <w:rPr>
          <w:b/>
        </w:rPr>
        <w:t>Revised</w:t>
      </w:r>
      <w:r w:rsidRPr="006473DA">
        <w:rPr>
          <w:b/>
        </w:rPr>
        <w:t xml:space="preserve"> Date:</w:t>
      </w:r>
      <w:r w:rsidRPr="00F51ECD">
        <w:t xml:space="preserve"> </w:t>
      </w:r>
      <w:r>
        <w:t>November 2014</w:t>
      </w:r>
    </w:p>
    <w:sdt>
      <w:sdtPr>
        <w:id w:val="-794360834"/>
        <w:docPartObj>
          <w:docPartGallery w:val="Table of Contents"/>
          <w:docPartUnique/>
        </w:docPartObj>
      </w:sdtPr>
      <w:sdtEndPr>
        <w:rPr>
          <w:b/>
          <w:bCs/>
          <w:noProof/>
        </w:rPr>
      </w:sdtEndPr>
      <w:sdtContent>
        <w:p w:rsidR="00621D85" w:rsidRPr="00621D85" w:rsidRDefault="00621D85" w:rsidP="00621D85"/>
        <w:p w:rsidR="00621D85" w:rsidRDefault="00621D85">
          <w:pPr>
            <w:pStyle w:val="TOCHeading"/>
          </w:pPr>
          <w:r>
            <w:t>Table of Contents</w:t>
          </w:r>
        </w:p>
        <w:p w:rsidR="00C246BC" w:rsidRDefault="00C951E0">
          <w:pPr>
            <w:pStyle w:val="TOC1"/>
            <w:tabs>
              <w:tab w:val="right" w:leader="dot" w:pos="9350"/>
            </w:tabs>
            <w:rPr>
              <w:rFonts w:asciiTheme="minorHAnsi" w:eastAsiaTheme="minorEastAsia" w:hAnsiTheme="minorHAnsi" w:cstheme="minorBidi"/>
              <w:noProof/>
              <w:sz w:val="22"/>
            </w:rPr>
          </w:pPr>
          <w:r>
            <w:fldChar w:fldCharType="begin"/>
          </w:r>
          <w:r w:rsidR="00621D85">
            <w:instrText xml:space="preserve"> TOC \o "1-3" \h \z \u </w:instrText>
          </w:r>
          <w:r>
            <w:fldChar w:fldCharType="separate"/>
          </w:r>
          <w:hyperlink w:anchor="_Toc396424904" w:history="1">
            <w:r w:rsidR="00C246BC" w:rsidRPr="00621B91">
              <w:rPr>
                <w:rStyle w:val="Hyperlink"/>
                <w:noProof/>
              </w:rPr>
              <w:t>INTRODUCTION</w:t>
            </w:r>
            <w:r w:rsidR="00C246BC">
              <w:rPr>
                <w:noProof/>
                <w:webHidden/>
              </w:rPr>
              <w:tab/>
            </w:r>
            <w:r w:rsidR="00C246BC">
              <w:rPr>
                <w:noProof/>
                <w:webHidden/>
              </w:rPr>
              <w:fldChar w:fldCharType="begin"/>
            </w:r>
            <w:r w:rsidR="00C246BC">
              <w:rPr>
                <w:noProof/>
                <w:webHidden/>
              </w:rPr>
              <w:instrText xml:space="preserve"> PAGEREF _Toc396424904 \h </w:instrText>
            </w:r>
            <w:r w:rsidR="00C246BC">
              <w:rPr>
                <w:noProof/>
                <w:webHidden/>
              </w:rPr>
            </w:r>
            <w:r w:rsidR="00C246BC">
              <w:rPr>
                <w:noProof/>
                <w:webHidden/>
              </w:rPr>
              <w:fldChar w:fldCharType="separate"/>
            </w:r>
            <w:r w:rsidR="00C246BC">
              <w:rPr>
                <w:noProof/>
                <w:webHidden/>
              </w:rPr>
              <w:t>1</w:t>
            </w:r>
            <w:r w:rsidR="00C246BC">
              <w:rPr>
                <w:noProof/>
                <w:webHidden/>
              </w:rPr>
              <w:fldChar w:fldCharType="end"/>
            </w:r>
          </w:hyperlink>
        </w:p>
        <w:p w:rsidR="00C246BC" w:rsidRDefault="00EA2243">
          <w:pPr>
            <w:pStyle w:val="TOC1"/>
            <w:tabs>
              <w:tab w:val="right" w:leader="dot" w:pos="9350"/>
            </w:tabs>
            <w:rPr>
              <w:rFonts w:asciiTheme="minorHAnsi" w:eastAsiaTheme="minorEastAsia" w:hAnsiTheme="minorHAnsi" w:cstheme="minorBidi"/>
              <w:noProof/>
              <w:sz w:val="22"/>
            </w:rPr>
          </w:pPr>
          <w:hyperlink w:anchor="_Toc396424905" w:history="1">
            <w:r w:rsidR="00C246BC" w:rsidRPr="00621B91">
              <w:rPr>
                <w:rStyle w:val="Hyperlink"/>
                <w:noProof/>
              </w:rPr>
              <w:t>CHANGES</w:t>
            </w:r>
            <w:r w:rsidR="00C246BC">
              <w:rPr>
                <w:noProof/>
                <w:webHidden/>
              </w:rPr>
              <w:tab/>
            </w:r>
            <w:r w:rsidR="00C246BC">
              <w:rPr>
                <w:noProof/>
                <w:webHidden/>
              </w:rPr>
              <w:fldChar w:fldCharType="begin"/>
            </w:r>
            <w:r w:rsidR="00C246BC">
              <w:rPr>
                <w:noProof/>
                <w:webHidden/>
              </w:rPr>
              <w:instrText xml:space="preserve"> PAGEREF _Toc396424905 \h </w:instrText>
            </w:r>
            <w:r w:rsidR="00C246BC">
              <w:rPr>
                <w:noProof/>
                <w:webHidden/>
              </w:rPr>
            </w:r>
            <w:r w:rsidR="00C246BC">
              <w:rPr>
                <w:noProof/>
                <w:webHidden/>
              </w:rPr>
              <w:fldChar w:fldCharType="separate"/>
            </w:r>
            <w:r w:rsidR="00C246BC">
              <w:rPr>
                <w:noProof/>
                <w:webHidden/>
              </w:rPr>
              <w:t>1</w:t>
            </w:r>
            <w:r w:rsidR="00C246BC">
              <w:rPr>
                <w:noProof/>
                <w:webHidden/>
              </w:rPr>
              <w:fldChar w:fldCharType="end"/>
            </w:r>
          </w:hyperlink>
        </w:p>
        <w:p w:rsidR="00C246BC" w:rsidRDefault="00EA2243">
          <w:pPr>
            <w:pStyle w:val="TOC1"/>
            <w:tabs>
              <w:tab w:val="left" w:pos="660"/>
              <w:tab w:val="right" w:leader="dot" w:pos="9350"/>
            </w:tabs>
            <w:rPr>
              <w:rFonts w:asciiTheme="minorHAnsi" w:eastAsiaTheme="minorEastAsia" w:hAnsiTheme="minorHAnsi" w:cstheme="minorBidi"/>
              <w:noProof/>
              <w:sz w:val="22"/>
            </w:rPr>
          </w:pPr>
          <w:hyperlink w:anchor="_Toc396424906" w:history="1">
            <w:r w:rsidR="00C246BC" w:rsidRPr="00621B91">
              <w:rPr>
                <w:rStyle w:val="Hyperlink"/>
                <w:noProof/>
              </w:rPr>
              <w:t>A.</w:t>
            </w:r>
            <w:r w:rsidR="00C246BC">
              <w:rPr>
                <w:rFonts w:asciiTheme="minorHAnsi" w:eastAsiaTheme="minorEastAsia" w:hAnsiTheme="minorHAnsi" w:cstheme="minorBidi"/>
                <w:noProof/>
                <w:sz w:val="22"/>
              </w:rPr>
              <w:tab/>
            </w:r>
            <w:r w:rsidR="00C246BC" w:rsidRPr="00621B91">
              <w:rPr>
                <w:rStyle w:val="Hyperlink"/>
                <w:noProof/>
              </w:rPr>
              <w:t>JUSTIFICATION</w:t>
            </w:r>
            <w:r w:rsidR="00C246BC">
              <w:rPr>
                <w:noProof/>
                <w:webHidden/>
              </w:rPr>
              <w:tab/>
            </w:r>
            <w:r w:rsidR="00C246BC">
              <w:rPr>
                <w:noProof/>
                <w:webHidden/>
              </w:rPr>
              <w:fldChar w:fldCharType="begin"/>
            </w:r>
            <w:r w:rsidR="00C246BC">
              <w:rPr>
                <w:noProof/>
                <w:webHidden/>
              </w:rPr>
              <w:instrText xml:space="preserve"> PAGEREF _Toc396424906 \h </w:instrText>
            </w:r>
            <w:r w:rsidR="00C246BC">
              <w:rPr>
                <w:noProof/>
                <w:webHidden/>
              </w:rPr>
            </w:r>
            <w:r w:rsidR="00C246BC">
              <w:rPr>
                <w:noProof/>
                <w:webHidden/>
              </w:rPr>
              <w:fldChar w:fldCharType="separate"/>
            </w:r>
            <w:r w:rsidR="00C246BC">
              <w:rPr>
                <w:noProof/>
                <w:webHidden/>
              </w:rPr>
              <w:t>2</w:t>
            </w:r>
            <w:r w:rsidR="00C246BC">
              <w:rPr>
                <w:noProof/>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07" w:history="1">
            <w:r w:rsidR="00C246BC" w:rsidRPr="00621B91">
              <w:rPr>
                <w:rStyle w:val="Hyperlink"/>
              </w:rPr>
              <w:t>A.1</w:t>
            </w:r>
            <w:r w:rsidR="00C246BC">
              <w:rPr>
                <w:rFonts w:asciiTheme="minorHAnsi" w:eastAsiaTheme="minorEastAsia" w:hAnsiTheme="minorHAnsi" w:cstheme="minorBidi"/>
                <w:sz w:val="22"/>
                <w:szCs w:val="22"/>
              </w:rPr>
              <w:tab/>
            </w:r>
            <w:r w:rsidR="00C246BC" w:rsidRPr="00621B91">
              <w:rPr>
                <w:rStyle w:val="Hyperlink"/>
              </w:rPr>
              <w:t>Legal Authority</w:t>
            </w:r>
            <w:r w:rsidR="00C246BC">
              <w:rPr>
                <w:webHidden/>
              </w:rPr>
              <w:tab/>
            </w:r>
            <w:r w:rsidR="00C246BC">
              <w:rPr>
                <w:webHidden/>
              </w:rPr>
              <w:fldChar w:fldCharType="begin"/>
            </w:r>
            <w:r w:rsidR="00C246BC">
              <w:rPr>
                <w:webHidden/>
              </w:rPr>
              <w:instrText xml:space="preserve"> PAGEREF _Toc396424907 \h </w:instrText>
            </w:r>
            <w:r w:rsidR="00C246BC">
              <w:rPr>
                <w:webHidden/>
              </w:rPr>
            </w:r>
            <w:r w:rsidR="00C246BC">
              <w:rPr>
                <w:webHidden/>
              </w:rPr>
              <w:fldChar w:fldCharType="separate"/>
            </w:r>
            <w:r w:rsidR="00C246BC">
              <w:rPr>
                <w:webHidden/>
              </w:rPr>
              <w:t>2</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08" w:history="1">
            <w:r w:rsidR="00C246BC" w:rsidRPr="00621B91">
              <w:rPr>
                <w:rStyle w:val="Hyperlink"/>
              </w:rPr>
              <w:t>A.2</w:t>
            </w:r>
            <w:r w:rsidR="00C246BC">
              <w:rPr>
                <w:rFonts w:asciiTheme="minorHAnsi" w:eastAsiaTheme="minorEastAsia" w:hAnsiTheme="minorHAnsi" w:cstheme="minorBidi"/>
                <w:sz w:val="22"/>
                <w:szCs w:val="22"/>
              </w:rPr>
              <w:tab/>
            </w:r>
            <w:r w:rsidR="00C246BC" w:rsidRPr="00621B91">
              <w:rPr>
                <w:rStyle w:val="Hyperlink"/>
              </w:rPr>
              <w:t>Needs for and Uses of the Data</w:t>
            </w:r>
            <w:r w:rsidR="00C246BC">
              <w:rPr>
                <w:webHidden/>
              </w:rPr>
              <w:tab/>
            </w:r>
            <w:r w:rsidR="00C246BC">
              <w:rPr>
                <w:webHidden/>
              </w:rPr>
              <w:fldChar w:fldCharType="begin"/>
            </w:r>
            <w:r w:rsidR="00C246BC">
              <w:rPr>
                <w:webHidden/>
              </w:rPr>
              <w:instrText xml:space="preserve"> PAGEREF _Toc396424908 \h </w:instrText>
            </w:r>
            <w:r w:rsidR="00C246BC">
              <w:rPr>
                <w:webHidden/>
              </w:rPr>
            </w:r>
            <w:r w:rsidR="00C246BC">
              <w:rPr>
                <w:webHidden/>
              </w:rPr>
              <w:fldChar w:fldCharType="separate"/>
            </w:r>
            <w:r w:rsidR="00C246BC">
              <w:rPr>
                <w:webHidden/>
              </w:rPr>
              <w:t>3</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09" w:history="1">
            <w:r w:rsidR="00C246BC" w:rsidRPr="00621B91">
              <w:rPr>
                <w:rStyle w:val="Hyperlink"/>
              </w:rPr>
              <w:t>A.3</w:t>
            </w:r>
            <w:r w:rsidR="00C246BC">
              <w:rPr>
                <w:rFonts w:asciiTheme="minorHAnsi" w:eastAsiaTheme="minorEastAsia" w:hAnsiTheme="minorHAnsi" w:cstheme="minorBidi"/>
                <w:sz w:val="22"/>
                <w:szCs w:val="22"/>
              </w:rPr>
              <w:tab/>
            </w:r>
            <w:r w:rsidR="00C246BC" w:rsidRPr="00621B91">
              <w:rPr>
                <w:rStyle w:val="Hyperlink"/>
              </w:rPr>
              <w:t>Use of Information Technology</w:t>
            </w:r>
            <w:r w:rsidR="00C246BC">
              <w:rPr>
                <w:webHidden/>
              </w:rPr>
              <w:tab/>
            </w:r>
            <w:r w:rsidR="00C246BC">
              <w:rPr>
                <w:webHidden/>
              </w:rPr>
              <w:fldChar w:fldCharType="begin"/>
            </w:r>
            <w:r w:rsidR="00C246BC">
              <w:rPr>
                <w:webHidden/>
              </w:rPr>
              <w:instrText xml:space="preserve"> PAGEREF _Toc396424909 \h </w:instrText>
            </w:r>
            <w:r w:rsidR="00C246BC">
              <w:rPr>
                <w:webHidden/>
              </w:rPr>
            </w:r>
            <w:r w:rsidR="00C246BC">
              <w:rPr>
                <w:webHidden/>
              </w:rPr>
              <w:fldChar w:fldCharType="separate"/>
            </w:r>
            <w:r w:rsidR="00C246BC">
              <w:rPr>
                <w:webHidden/>
              </w:rPr>
              <w:t>4</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10" w:history="1">
            <w:r w:rsidR="00C246BC" w:rsidRPr="00621B91">
              <w:rPr>
                <w:rStyle w:val="Hyperlink"/>
              </w:rPr>
              <w:t>A.4</w:t>
            </w:r>
            <w:r w:rsidR="00C246BC">
              <w:rPr>
                <w:rFonts w:asciiTheme="minorHAnsi" w:eastAsiaTheme="minorEastAsia" w:hAnsiTheme="minorHAnsi" w:cstheme="minorBidi"/>
                <w:sz w:val="22"/>
                <w:szCs w:val="22"/>
              </w:rPr>
              <w:tab/>
            </w:r>
            <w:r w:rsidR="00C246BC" w:rsidRPr="00621B91">
              <w:rPr>
                <w:rStyle w:val="Hyperlink"/>
              </w:rPr>
              <w:t>Efforts to Reduce Duplication</w:t>
            </w:r>
            <w:r w:rsidR="00C246BC">
              <w:rPr>
                <w:webHidden/>
              </w:rPr>
              <w:tab/>
            </w:r>
            <w:r w:rsidR="00C246BC">
              <w:rPr>
                <w:webHidden/>
              </w:rPr>
              <w:fldChar w:fldCharType="begin"/>
            </w:r>
            <w:r w:rsidR="00C246BC">
              <w:rPr>
                <w:webHidden/>
              </w:rPr>
              <w:instrText xml:space="preserve"> PAGEREF _Toc396424910 \h </w:instrText>
            </w:r>
            <w:r w:rsidR="00C246BC">
              <w:rPr>
                <w:webHidden/>
              </w:rPr>
            </w:r>
            <w:r w:rsidR="00C246BC">
              <w:rPr>
                <w:webHidden/>
              </w:rPr>
              <w:fldChar w:fldCharType="separate"/>
            </w:r>
            <w:r w:rsidR="00C246BC">
              <w:rPr>
                <w:webHidden/>
              </w:rPr>
              <w:t>5</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11" w:history="1">
            <w:r w:rsidR="00C246BC" w:rsidRPr="00621B91">
              <w:rPr>
                <w:rStyle w:val="Hyperlink"/>
              </w:rPr>
              <w:t>A.5</w:t>
            </w:r>
            <w:r w:rsidR="00C246BC">
              <w:rPr>
                <w:rFonts w:asciiTheme="minorHAnsi" w:eastAsiaTheme="minorEastAsia" w:hAnsiTheme="minorHAnsi" w:cstheme="minorBidi"/>
                <w:sz w:val="22"/>
                <w:szCs w:val="22"/>
              </w:rPr>
              <w:tab/>
            </w:r>
            <w:r w:rsidR="00C246BC" w:rsidRPr="00621B91">
              <w:rPr>
                <w:rStyle w:val="Hyperlink"/>
              </w:rPr>
              <w:t>Burden Reduction for Small Entities</w:t>
            </w:r>
            <w:r w:rsidR="00C246BC">
              <w:rPr>
                <w:webHidden/>
              </w:rPr>
              <w:tab/>
            </w:r>
            <w:r w:rsidR="00C246BC">
              <w:rPr>
                <w:webHidden/>
              </w:rPr>
              <w:fldChar w:fldCharType="begin"/>
            </w:r>
            <w:r w:rsidR="00C246BC">
              <w:rPr>
                <w:webHidden/>
              </w:rPr>
              <w:instrText xml:space="preserve"> PAGEREF _Toc396424911 \h </w:instrText>
            </w:r>
            <w:r w:rsidR="00C246BC">
              <w:rPr>
                <w:webHidden/>
              </w:rPr>
            </w:r>
            <w:r w:rsidR="00C246BC">
              <w:rPr>
                <w:webHidden/>
              </w:rPr>
              <w:fldChar w:fldCharType="separate"/>
            </w:r>
            <w:r w:rsidR="00C246BC">
              <w:rPr>
                <w:webHidden/>
              </w:rPr>
              <w:t>5</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12" w:history="1">
            <w:r w:rsidR="00C246BC" w:rsidRPr="00621B91">
              <w:rPr>
                <w:rStyle w:val="Hyperlink"/>
              </w:rPr>
              <w:t>A.6</w:t>
            </w:r>
            <w:r w:rsidR="00C246BC">
              <w:rPr>
                <w:rFonts w:asciiTheme="minorHAnsi" w:eastAsiaTheme="minorEastAsia" w:hAnsiTheme="minorHAnsi" w:cstheme="minorBidi"/>
                <w:sz w:val="22"/>
                <w:szCs w:val="22"/>
              </w:rPr>
              <w:tab/>
            </w:r>
            <w:r w:rsidR="00C246BC" w:rsidRPr="00621B91">
              <w:rPr>
                <w:rStyle w:val="Hyperlink"/>
              </w:rPr>
              <w:t>Consequences of Less Frequent Data Collection</w:t>
            </w:r>
            <w:r w:rsidR="00C246BC">
              <w:rPr>
                <w:webHidden/>
              </w:rPr>
              <w:tab/>
            </w:r>
            <w:r w:rsidR="00C246BC">
              <w:rPr>
                <w:webHidden/>
              </w:rPr>
              <w:fldChar w:fldCharType="begin"/>
            </w:r>
            <w:r w:rsidR="00C246BC">
              <w:rPr>
                <w:webHidden/>
              </w:rPr>
              <w:instrText xml:space="preserve"> PAGEREF _Toc396424912 \h </w:instrText>
            </w:r>
            <w:r w:rsidR="00C246BC">
              <w:rPr>
                <w:webHidden/>
              </w:rPr>
            </w:r>
            <w:r w:rsidR="00C246BC">
              <w:rPr>
                <w:webHidden/>
              </w:rPr>
              <w:fldChar w:fldCharType="separate"/>
            </w:r>
            <w:r w:rsidR="00C246BC">
              <w:rPr>
                <w:webHidden/>
              </w:rPr>
              <w:t>6</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13" w:history="1">
            <w:r w:rsidR="00C246BC" w:rsidRPr="00621B91">
              <w:rPr>
                <w:rStyle w:val="Hyperlink"/>
              </w:rPr>
              <w:t>A.7</w:t>
            </w:r>
            <w:r w:rsidR="00C246BC">
              <w:rPr>
                <w:rFonts w:asciiTheme="minorHAnsi" w:eastAsiaTheme="minorEastAsia" w:hAnsiTheme="minorHAnsi" w:cstheme="minorBidi"/>
                <w:sz w:val="22"/>
                <w:szCs w:val="22"/>
              </w:rPr>
              <w:tab/>
            </w:r>
            <w:r w:rsidR="00C246BC" w:rsidRPr="00621B91">
              <w:rPr>
                <w:rStyle w:val="Hyperlink"/>
              </w:rPr>
              <w:t>Compliance with 5 CFR 1320.5</w:t>
            </w:r>
            <w:r w:rsidR="00C246BC">
              <w:rPr>
                <w:webHidden/>
              </w:rPr>
              <w:tab/>
            </w:r>
            <w:r w:rsidR="00C246BC">
              <w:rPr>
                <w:webHidden/>
              </w:rPr>
              <w:fldChar w:fldCharType="begin"/>
            </w:r>
            <w:r w:rsidR="00C246BC">
              <w:rPr>
                <w:webHidden/>
              </w:rPr>
              <w:instrText xml:space="preserve"> PAGEREF _Toc396424913 \h </w:instrText>
            </w:r>
            <w:r w:rsidR="00C246BC">
              <w:rPr>
                <w:webHidden/>
              </w:rPr>
            </w:r>
            <w:r w:rsidR="00C246BC">
              <w:rPr>
                <w:webHidden/>
              </w:rPr>
              <w:fldChar w:fldCharType="separate"/>
            </w:r>
            <w:r w:rsidR="00C246BC">
              <w:rPr>
                <w:webHidden/>
              </w:rPr>
              <w:t>6</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14" w:history="1">
            <w:r w:rsidR="00C246BC" w:rsidRPr="00621B91">
              <w:rPr>
                <w:rStyle w:val="Hyperlink"/>
              </w:rPr>
              <w:t>A.8</w:t>
            </w:r>
            <w:r w:rsidR="00C246BC">
              <w:rPr>
                <w:rFonts w:asciiTheme="minorHAnsi" w:eastAsiaTheme="minorEastAsia" w:hAnsiTheme="minorHAnsi" w:cstheme="minorBidi"/>
                <w:sz w:val="22"/>
                <w:szCs w:val="22"/>
              </w:rPr>
              <w:tab/>
            </w:r>
            <w:r w:rsidR="00C246BC" w:rsidRPr="00621B91">
              <w:rPr>
                <w:rStyle w:val="Hyperlink"/>
              </w:rPr>
              <w:t>Summary of Consultations outside the Agency</w:t>
            </w:r>
            <w:r w:rsidR="00C246BC">
              <w:rPr>
                <w:webHidden/>
              </w:rPr>
              <w:tab/>
            </w:r>
            <w:r w:rsidR="00C246BC">
              <w:rPr>
                <w:webHidden/>
              </w:rPr>
              <w:fldChar w:fldCharType="begin"/>
            </w:r>
            <w:r w:rsidR="00C246BC">
              <w:rPr>
                <w:webHidden/>
              </w:rPr>
              <w:instrText xml:space="preserve"> PAGEREF _Toc396424914 \h </w:instrText>
            </w:r>
            <w:r w:rsidR="00C246BC">
              <w:rPr>
                <w:webHidden/>
              </w:rPr>
            </w:r>
            <w:r w:rsidR="00C246BC">
              <w:rPr>
                <w:webHidden/>
              </w:rPr>
              <w:fldChar w:fldCharType="separate"/>
            </w:r>
            <w:r w:rsidR="00C246BC">
              <w:rPr>
                <w:webHidden/>
              </w:rPr>
              <w:t>6</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15" w:history="1">
            <w:r w:rsidR="00C246BC" w:rsidRPr="00621B91">
              <w:rPr>
                <w:rStyle w:val="Hyperlink"/>
              </w:rPr>
              <w:t>A.9</w:t>
            </w:r>
            <w:r w:rsidR="00C246BC">
              <w:rPr>
                <w:rFonts w:asciiTheme="minorHAnsi" w:eastAsiaTheme="minorEastAsia" w:hAnsiTheme="minorHAnsi" w:cstheme="minorBidi"/>
                <w:sz w:val="22"/>
                <w:szCs w:val="22"/>
              </w:rPr>
              <w:tab/>
            </w:r>
            <w:r w:rsidR="00C246BC" w:rsidRPr="00621B91">
              <w:rPr>
                <w:rStyle w:val="Hyperlink"/>
              </w:rPr>
              <w:t>Remuneration</w:t>
            </w:r>
            <w:r w:rsidR="00C246BC">
              <w:rPr>
                <w:webHidden/>
              </w:rPr>
              <w:tab/>
            </w:r>
            <w:r w:rsidR="00C246BC">
              <w:rPr>
                <w:webHidden/>
              </w:rPr>
              <w:fldChar w:fldCharType="begin"/>
            </w:r>
            <w:r w:rsidR="00C246BC">
              <w:rPr>
                <w:webHidden/>
              </w:rPr>
              <w:instrText xml:space="preserve"> PAGEREF _Toc396424915 \h </w:instrText>
            </w:r>
            <w:r w:rsidR="00C246BC">
              <w:rPr>
                <w:webHidden/>
              </w:rPr>
            </w:r>
            <w:r w:rsidR="00C246BC">
              <w:rPr>
                <w:webHidden/>
              </w:rPr>
              <w:fldChar w:fldCharType="separate"/>
            </w:r>
            <w:r w:rsidR="00C246BC">
              <w:rPr>
                <w:webHidden/>
              </w:rPr>
              <w:t>7</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16" w:history="1">
            <w:r w:rsidR="00C246BC" w:rsidRPr="00621B91">
              <w:rPr>
                <w:rStyle w:val="Hyperlink"/>
              </w:rPr>
              <w:t>A.10</w:t>
            </w:r>
            <w:r w:rsidR="00C246BC">
              <w:rPr>
                <w:rFonts w:asciiTheme="minorHAnsi" w:eastAsiaTheme="minorEastAsia" w:hAnsiTheme="minorHAnsi" w:cstheme="minorBidi"/>
                <w:sz w:val="22"/>
                <w:szCs w:val="22"/>
              </w:rPr>
              <w:tab/>
            </w:r>
            <w:r w:rsidR="00C246BC" w:rsidRPr="00621B91">
              <w:rPr>
                <w:rStyle w:val="Hyperlink"/>
              </w:rPr>
              <w:t>Disclosure of Information</w:t>
            </w:r>
            <w:r w:rsidR="00C246BC">
              <w:rPr>
                <w:webHidden/>
              </w:rPr>
              <w:tab/>
            </w:r>
            <w:r w:rsidR="00C246BC">
              <w:rPr>
                <w:webHidden/>
              </w:rPr>
              <w:fldChar w:fldCharType="begin"/>
            </w:r>
            <w:r w:rsidR="00C246BC">
              <w:rPr>
                <w:webHidden/>
              </w:rPr>
              <w:instrText xml:space="preserve"> PAGEREF _Toc396424916 \h </w:instrText>
            </w:r>
            <w:r w:rsidR="00C246BC">
              <w:rPr>
                <w:webHidden/>
              </w:rPr>
            </w:r>
            <w:r w:rsidR="00C246BC">
              <w:rPr>
                <w:webHidden/>
              </w:rPr>
              <w:fldChar w:fldCharType="separate"/>
            </w:r>
            <w:r w:rsidR="00C246BC">
              <w:rPr>
                <w:webHidden/>
              </w:rPr>
              <w:t>7</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17" w:history="1">
            <w:r w:rsidR="00C246BC" w:rsidRPr="00621B91">
              <w:rPr>
                <w:rStyle w:val="Hyperlink"/>
              </w:rPr>
              <w:t>A.11</w:t>
            </w:r>
            <w:r w:rsidR="00C246BC">
              <w:rPr>
                <w:rFonts w:asciiTheme="minorHAnsi" w:eastAsiaTheme="minorEastAsia" w:hAnsiTheme="minorHAnsi" w:cstheme="minorBidi"/>
                <w:sz w:val="22"/>
                <w:szCs w:val="22"/>
              </w:rPr>
              <w:tab/>
            </w:r>
            <w:r w:rsidR="00C246BC" w:rsidRPr="00621B91">
              <w:rPr>
                <w:rStyle w:val="Hyperlink"/>
              </w:rPr>
              <w:t>Justification for Questions of a Sensitive Nature</w:t>
            </w:r>
            <w:r w:rsidR="00C246BC">
              <w:rPr>
                <w:webHidden/>
              </w:rPr>
              <w:tab/>
            </w:r>
            <w:r w:rsidR="00C246BC">
              <w:rPr>
                <w:webHidden/>
              </w:rPr>
              <w:fldChar w:fldCharType="begin"/>
            </w:r>
            <w:r w:rsidR="00C246BC">
              <w:rPr>
                <w:webHidden/>
              </w:rPr>
              <w:instrText xml:space="preserve"> PAGEREF _Toc396424917 \h </w:instrText>
            </w:r>
            <w:r w:rsidR="00C246BC">
              <w:rPr>
                <w:webHidden/>
              </w:rPr>
            </w:r>
            <w:r w:rsidR="00C246BC">
              <w:rPr>
                <w:webHidden/>
              </w:rPr>
              <w:fldChar w:fldCharType="separate"/>
            </w:r>
            <w:r w:rsidR="00C246BC">
              <w:rPr>
                <w:webHidden/>
              </w:rPr>
              <w:t>8</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18" w:history="1">
            <w:r w:rsidR="00C246BC" w:rsidRPr="00621B91">
              <w:rPr>
                <w:rStyle w:val="Hyperlink"/>
              </w:rPr>
              <w:t>A.12</w:t>
            </w:r>
            <w:r w:rsidR="00C246BC">
              <w:rPr>
                <w:rFonts w:asciiTheme="minorHAnsi" w:eastAsiaTheme="minorEastAsia" w:hAnsiTheme="minorHAnsi" w:cstheme="minorBidi"/>
                <w:sz w:val="22"/>
                <w:szCs w:val="22"/>
              </w:rPr>
              <w:tab/>
            </w:r>
            <w:r w:rsidR="00C246BC" w:rsidRPr="00621B91">
              <w:rPr>
                <w:rStyle w:val="Hyperlink"/>
              </w:rPr>
              <w:t>Estimates of Respondent Burden (Hours and Cost of Hours)</w:t>
            </w:r>
            <w:r w:rsidR="00C246BC">
              <w:rPr>
                <w:webHidden/>
              </w:rPr>
              <w:tab/>
            </w:r>
            <w:r w:rsidR="00C246BC">
              <w:rPr>
                <w:webHidden/>
              </w:rPr>
              <w:fldChar w:fldCharType="begin"/>
            </w:r>
            <w:r w:rsidR="00C246BC">
              <w:rPr>
                <w:webHidden/>
              </w:rPr>
              <w:instrText xml:space="preserve"> PAGEREF _Toc396424918 \h </w:instrText>
            </w:r>
            <w:r w:rsidR="00C246BC">
              <w:rPr>
                <w:webHidden/>
              </w:rPr>
            </w:r>
            <w:r w:rsidR="00C246BC">
              <w:rPr>
                <w:webHidden/>
              </w:rPr>
              <w:fldChar w:fldCharType="separate"/>
            </w:r>
            <w:r w:rsidR="00C246BC">
              <w:rPr>
                <w:webHidden/>
              </w:rPr>
              <w:t>8</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19" w:history="1">
            <w:r w:rsidR="00C246BC" w:rsidRPr="00621B91">
              <w:rPr>
                <w:rStyle w:val="Hyperlink"/>
              </w:rPr>
              <w:t>A.13</w:t>
            </w:r>
            <w:r w:rsidR="00C246BC">
              <w:rPr>
                <w:rFonts w:asciiTheme="minorHAnsi" w:eastAsiaTheme="minorEastAsia" w:hAnsiTheme="minorHAnsi" w:cstheme="minorBidi"/>
                <w:sz w:val="22"/>
                <w:szCs w:val="22"/>
              </w:rPr>
              <w:tab/>
            </w:r>
            <w:r w:rsidR="00C246BC" w:rsidRPr="00621B91">
              <w:rPr>
                <w:rStyle w:val="Hyperlink"/>
              </w:rPr>
              <w:t xml:space="preserve">Estimate of Cost Burden to Respondents – Capital/Start-up Costs and </w:t>
            </w:r>
            <w:r w:rsidR="00C246BC">
              <w:rPr>
                <w:rStyle w:val="Hyperlink"/>
              </w:rPr>
              <w:t xml:space="preserve">    </w:t>
            </w:r>
            <w:r w:rsidR="00C246BC" w:rsidRPr="00621B91">
              <w:rPr>
                <w:rStyle w:val="Hyperlink"/>
              </w:rPr>
              <w:t>Operation/Maintenance/Purchase of Services</w:t>
            </w:r>
            <w:r w:rsidR="00C246BC">
              <w:rPr>
                <w:webHidden/>
              </w:rPr>
              <w:tab/>
            </w:r>
            <w:r w:rsidR="00C246BC">
              <w:rPr>
                <w:webHidden/>
              </w:rPr>
              <w:fldChar w:fldCharType="begin"/>
            </w:r>
            <w:r w:rsidR="00C246BC">
              <w:rPr>
                <w:webHidden/>
              </w:rPr>
              <w:instrText xml:space="preserve"> PAGEREF _Toc396424919 \h </w:instrText>
            </w:r>
            <w:r w:rsidR="00C246BC">
              <w:rPr>
                <w:webHidden/>
              </w:rPr>
            </w:r>
            <w:r w:rsidR="00C246BC">
              <w:rPr>
                <w:webHidden/>
              </w:rPr>
              <w:fldChar w:fldCharType="separate"/>
            </w:r>
            <w:r w:rsidR="00C246BC">
              <w:rPr>
                <w:webHidden/>
              </w:rPr>
              <w:t>8</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20" w:history="1">
            <w:r w:rsidR="00C246BC" w:rsidRPr="00621B91">
              <w:rPr>
                <w:rStyle w:val="Hyperlink"/>
              </w:rPr>
              <w:t>A.14</w:t>
            </w:r>
            <w:r w:rsidR="00C246BC">
              <w:rPr>
                <w:rFonts w:asciiTheme="minorHAnsi" w:eastAsiaTheme="minorEastAsia" w:hAnsiTheme="minorHAnsi" w:cstheme="minorBidi"/>
                <w:sz w:val="22"/>
                <w:szCs w:val="22"/>
              </w:rPr>
              <w:tab/>
            </w:r>
            <w:r w:rsidR="00C246BC" w:rsidRPr="00621B91">
              <w:rPr>
                <w:rStyle w:val="Hyperlink"/>
              </w:rPr>
              <w:t>Annual Cost to the Government</w:t>
            </w:r>
            <w:r w:rsidR="00C246BC">
              <w:rPr>
                <w:webHidden/>
              </w:rPr>
              <w:tab/>
            </w:r>
            <w:r w:rsidR="00C246BC">
              <w:rPr>
                <w:webHidden/>
              </w:rPr>
              <w:fldChar w:fldCharType="begin"/>
            </w:r>
            <w:r w:rsidR="00C246BC">
              <w:rPr>
                <w:webHidden/>
              </w:rPr>
              <w:instrText xml:space="preserve"> PAGEREF _Toc396424920 \h </w:instrText>
            </w:r>
            <w:r w:rsidR="00C246BC">
              <w:rPr>
                <w:webHidden/>
              </w:rPr>
            </w:r>
            <w:r w:rsidR="00C246BC">
              <w:rPr>
                <w:webHidden/>
              </w:rPr>
              <w:fldChar w:fldCharType="separate"/>
            </w:r>
            <w:r w:rsidR="00C246BC">
              <w:rPr>
                <w:webHidden/>
              </w:rPr>
              <w:t>8</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21" w:history="1">
            <w:r w:rsidR="00C246BC" w:rsidRPr="00621B91">
              <w:rPr>
                <w:rStyle w:val="Hyperlink"/>
              </w:rPr>
              <w:t>A.15</w:t>
            </w:r>
            <w:r w:rsidR="00C246BC">
              <w:rPr>
                <w:rFonts w:asciiTheme="minorHAnsi" w:eastAsiaTheme="minorEastAsia" w:hAnsiTheme="minorHAnsi" w:cstheme="minorBidi"/>
                <w:sz w:val="22"/>
                <w:szCs w:val="22"/>
              </w:rPr>
              <w:tab/>
            </w:r>
            <w:r w:rsidR="00C246BC" w:rsidRPr="00621B91">
              <w:rPr>
                <w:rStyle w:val="Hyperlink"/>
              </w:rPr>
              <w:t>Reasons for Changes in Burden</w:t>
            </w:r>
            <w:r w:rsidR="00C246BC">
              <w:rPr>
                <w:webHidden/>
              </w:rPr>
              <w:tab/>
            </w:r>
            <w:r w:rsidR="00C246BC">
              <w:rPr>
                <w:webHidden/>
              </w:rPr>
              <w:fldChar w:fldCharType="begin"/>
            </w:r>
            <w:r w:rsidR="00C246BC">
              <w:rPr>
                <w:webHidden/>
              </w:rPr>
              <w:instrText xml:space="preserve"> PAGEREF _Toc396424921 \h </w:instrText>
            </w:r>
            <w:r w:rsidR="00C246BC">
              <w:rPr>
                <w:webHidden/>
              </w:rPr>
            </w:r>
            <w:r w:rsidR="00C246BC">
              <w:rPr>
                <w:webHidden/>
              </w:rPr>
              <w:fldChar w:fldCharType="separate"/>
            </w:r>
            <w:r w:rsidR="00C246BC">
              <w:rPr>
                <w:webHidden/>
              </w:rPr>
              <w:t>9</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22" w:history="1">
            <w:r w:rsidR="00C246BC" w:rsidRPr="00621B91">
              <w:rPr>
                <w:rStyle w:val="Hyperlink"/>
              </w:rPr>
              <w:t>A.16</w:t>
            </w:r>
            <w:r w:rsidR="00C246BC">
              <w:rPr>
                <w:rFonts w:asciiTheme="minorHAnsi" w:eastAsiaTheme="minorEastAsia" w:hAnsiTheme="minorHAnsi" w:cstheme="minorBidi"/>
                <w:sz w:val="22"/>
                <w:szCs w:val="22"/>
              </w:rPr>
              <w:tab/>
            </w:r>
            <w:r w:rsidR="00C246BC" w:rsidRPr="00621B91">
              <w:rPr>
                <w:rStyle w:val="Hyperlink"/>
              </w:rPr>
              <w:t>Schedule for Collecting and Publishing Data</w:t>
            </w:r>
            <w:r w:rsidR="00C246BC">
              <w:rPr>
                <w:webHidden/>
              </w:rPr>
              <w:tab/>
            </w:r>
            <w:r w:rsidR="00C246BC">
              <w:rPr>
                <w:webHidden/>
              </w:rPr>
              <w:fldChar w:fldCharType="begin"/>
            </w:r>
            <w:r w:rsidR="00C246BC">
              <w:rPr>
                <w:webHidden/>
              </w:rPr>
              <w:instrText xml:space="preserve"> PAGEREF _Toc396424922 \h </w:instrText>
            </w:r>
            <w:r w:rsidR="00C246BC">
              <w:rPr>
                <w:webHidden/>
              </w:rPr>
            </w:r>
            <w:r w:rsidR="00C246BC">
              <w:rPr>
                <w:webHidden/>
              </w:rPr>
              <w:fldChar w:fldCharType="separate"/>
            </w:r>
            <w:r w:rsidR="00C246BC">
              <w:rPr>
                <w:webHidden/>
              </w:rPr>
              <w:t>9</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23" w:history="1">
            <w:r w:rsidR="00C246BC" w:rsidRPr="00621B91">
              <w:rPr>
                <w:rStyle w:val="Hyperlink"/>
              </w:rPr>
              <w:t>A.17</w:t>
            </w:r>
            <w:r w:rsidR="00C246BC">
              <w:rPr>
                <w:rFonts w:asciiTheme="minorHAnsi" w:eastAsiaTheme="minorEastAsia" w:hAnsiTheme="minorHAnsi" w:cstheme="minorBidi"/>
                <w:sz w:val="22"/>
                <w:szCs w:val="22"/>
              </w:rPr>
              <w:tab/>
            </w:r>
            <w:r w:rsidR="00C246BC" w:rsidRPr="00621B91">
              <w:rPr>
                <w:rStyle w:val="Hyperlink"/>
              </w:rPr>
              <w:t>OMB Number and Expiration Date</w:t>
            </w:r>
            <w:r w:rsidR="00C246BC">
              <w:rPr>
                <w:webHidden/>
              </w:rPr>
              <w:tab/>
            </w:r>
            <w:r w:rsidR="00C246BC">
              <w:rPr>
                <w:webHidden/>
              </w:rPr>
              <w:fldChar w:fldCharType="begin"/>
            </w:r>
            <w:r w:rsidR="00C246BC">
              <w:rPr>
                <w:webHidden/>
              </w:rPr>
              <w:instrText xml:space="preserve"> PAGEREF _Toc396424923 \h </w:instrText>
            </w:r>
            <w:r w:rsidR="00C246BC">
              <w:rPr>
                <w:webHidden/>
              </w:rPr>
            </w:r>
            <w:r w:rsidR="00C246BC">
              <w:rPr>
                <w:webHidden/>
              </w:rPr>
              <w:fldChar w:fldCharType="separate"/>
            </w:r>
            <w:r w:rsidR="00C246BC">
              <w:rPr>
                <w:webHidden/>
              </w:rPr>
              <w:t>9</w:t>
            </w:r>
            <w:r w:rsidR="00C246BC">
              <w:rPr>
                <w:webHidden/>
              </w:rPr>
              <w:fldChar w:fldCharType="end"/>
            </w:r>
          </w:hyperlink>
        </w:p>
        <w:p w:rsidR="00C246BC" w:rsidRDefault="00EA2243" w:rsidP="00C246BC">
          <w:pPr>
            <w:pStyle w:val="TOC2"/>
            <w:rPr>
              <w:rFonts w:asciiTheme="minorHAnsi" w:eastAsiaTheme="minorEastAsia" w:hAnsiTheme="minorHAnsi" w:cstheme="minorBidi"/>
              <w:sz w:val="22"/>
              <w:szCs w:val="22"/>
            </w:rPr>
          </w:pPr>
          <w:hyperlink w:anchor="_Toc396424924" w:history="1">
            <w:r w:rsidR="00C246BC" w:rsidRPr="00621B91">
              <w:rPr>
                <w:rStyle w:val="Hyperlink"/>
              </w:rPr>
              <w:t>A.18</w:t>
            </w:r>
            <w:r w:rsidR="00C246BC">
              <w:rPr>
                <w:rFonts w:asciiTheme="minorHAnsi" w:eastAsiaTheme="minorEastAsia" w:hAnsiTheme="minorHAnsi" w:cstheme="minorBidi"/>
                <w:sz w:val="22"/>
                <w:szCs w:val="22"/>
              </w:rPr>
              <w:tab/>
            </w:r>
            <w:r w:rsidR="00C246BC" w:rsidRPr="00621B91">
              <w:rPr>
                <w:rStyle w:val="Hyperlink"/>
              </w:rPr>
              <w:t>Exceptions to Certification</w:t>
            </w:r>
            <w:r w:rsidR="00C246BC">
              <w:rPr>
                <w:webHidden/>
              </w:rPr>
              <w:tab/>
            </w:r>
            <w:r w:rsidR="00C246BC">
              <w:rPr>
                <w:webHidden/>
              </w:rPr>
              <w:fldChar w:fldCharType="begin"/>
            </w:r>
            <w:r w:rsidR="00C246BC">
              <w:rPr>
                <w:webHidden/>
              </w:rPr>
              <w:instrText xml:space="preserve"> PAGEREF _Toc396424924 \h </w:instrText>
            </w:r>
            <w:r w:rsidR="00C246BC">
              <w:rPr>
                <w:webHidden/>
              </w:rPr>
            </w:r>
            <w:r w:rsidR="00C246BC">
              <w:rPr>
                <w:webHidden/>
              </w:rPr>
              <w:fldChar w:fldCharType="separate"/>
            </w:r>
            <w:r w:rsidR="00C246BC">
              <w:rPr>
                <w:webHidden/>
              </w:rPr>
              <w:t>9</w:t>
            </w:r>
            <w:r w:rsidR="00C246BC">
              <w:rPr>
                <w:webHidden/>
              </w:rPr>
              <w:fldChar w:fldCharType="end"/>
            </w:r>
          </w:hyperlink>
        </w:p>
        <w:p w:rsidR="00621D85" w:rsidRDefault="00C951E0">
          <w:r>
            <w:rPr>
              <w:b/>
              <w:bCs/>
              <w:noProof/>
            </w:rPr>
            <w:fldChar w:fldCharType="end"/>
          </w:r>
        </w:p>
      </w:sdtContent>
    </w:sdt>
    <w:p w:rsidR="007B10FA" w:rsidRDefault="007B10FA" w:rsidP="00B34E57">
      <w:pPr>
        <w:sectPr w:rsidR="007B10FA" w:rsidSect="007B10FA">
          <w:headerReference w:type="default" r:id="rId11"/>
          <w:footerReference w:type="default" r:id="rId12"/>
          <w:headerReference w:type="first" r:id="rId13"/>
          <w:pgSz w:w="12240" w:h="15840"/>
          <w:pgMar w:top="1440" w:right="1440" w:bottom="1440" w:left="1440" w:header="720" w:footer="720" w:gutter="0"/>
          <w:cols w:space="720"/>
          <w:docGrid w:linePitch="360"/>
        </w:sectPr>
      </w:pPr>
    </w:p>
    <w:p w:rsidR="00062CE4" w:rsidRPr="00062CE4" w:rsidRDefault="00B34E57" w:rsidP="00767227">
      <w:pPr>
        <w:pStyle w:val="Heading1"/>
      </w:pPr>
      <w:bookmarkStart w:id="0" w:name="_Toc373916717"/>
      <w:bookmarkStart w:id="1" w:name="_Toc396424904"/>
      <w:r w:rsidRPr="00767227">
        <w:lastRenderedPageBreak/>
        <w:t>INTRODUCTION</w:t>
      </w:r>
      <w:bookmarkEnd w:id="0"/>
      <w:bookmarkEnd w:id="1"/>
    </w:p>
    <w:p w:rsidR="00387D09" w:rsidRPr="00387D09" w:rsidRDefault="00387D09" w:rsidP="00387D09">
      <w:pPr>
        <w:spacing w:before="120" w:beforeAutospacing="0"/>
        <w:rPr>
          <w:color w:val="000000"/>
          <w:spacing w:val="11"/>
          <w:sz w:val="22"/>
        </w:rPr>
      </w:pPr>
      <w:r w:rsidRPr="00387D09">
        <w:rPr>
          <w:color w:val="000000"/>
          <w:spacing w:val="11"/>
          <w:sz w:val="22"/>
        </w:rPr>
        <w:t xml:space="preserve">The U.S. Energy Information Administration (EIA) of the Department of Energy (DOE) requests a three- year extension from the Office of Management and Budget (OMB) to </w:t>
      </w:r>
      <w:r w:rsidR="00E85667">
        <w:rPr>
          <w:color w:val="000000"/>
          <w:spacing w:val="11"/>
          <w:sz w:val="22"/>
        </w:rPr>
        <w:t>revise</w:t>
      </w:r>
      <w:r w:rsidR="00E85667" w:rsidRPr="00387D09">
        <w:rPr>
          <w:color w:val="000000"/>
          <w:spacing w:val="11"/>
          <w:sz w:val="22"/>
        </w:rPr>
        <w:t xml:space="preserve"> </w:t>
      </w:r>
      <w:r w:rsidRPr="00387D09">
        <w:rPr>
          <w:color w:val="000000"/>
          <w:spacing w:val="11"/>
          <w:sz w:val="22"/>
        </w:rPr>
        <w:t xml:space="preserve">and continue </w:t>
      </w:r>
      <w:r w:rsidR="003E4D8F">
        <w:rPr>
          <w:color w:val="000000"/>
          <w:spacing w:val="11"/>
          <w:sz w:val="22"/>
        </w:rPr>
        <w:t xml:space="preserve">the </w:t>
      </w:r>
      <w:r w:rsidRPr="00387D09">
        <w:rPr>
          <w:color w:val="000000"/>
          <w:spacing w:val="11"/>
          <w:sz w:val="22"/>
        </w:rPr>
        <w:t xml:space="preserve">Form EIA-914, </w:t>
      </w:r>
      <w:r w:rsidRPr="00476633">
        <w:rPr>
          <w:i/>
          <w:color w:val="000000"/>
          <w:spacing w:val="11"/>
          <w:sz w:val="22"/>
        </w:rPr>
        <w:t>Monthly Natural Gas Production Report</w:t>
      </w:r>
      <w:r w:rsidR="00E85667">
        <w:rPr>
          <w:i/>
          <w:color w:val="000000"/>
          <w:spacing w:val="11"/>
          <w:sz w:val="22"/>
        </w:rPr>
        <w:t xml:space="preserve">, </w:t>
      </w:r>
      <w:r w:rsidR="00E85667">
        <w:rPr>
          <w:color w:val="000000"/>
          <w:spacing w:val="11"/>
          <w:sz w:val="22"/>
        </w:rPr>
        <w:t xml:space="preserve">to </w:t>
      </w:r>
      <w:proofErr w:type="gramStart"/>
      <w:r w:rsidR="00E85667">
        <w:rPr>
          <w:color w:val="000000"/>
          <w:spacing w:val="11"/>
          <w:sz w:val="22"/>
        </w:rPr>
        <w:t>be retitled</w:t>
      </w:r>
      <w:proofErr w:type="gramEnd"/>
      <w:r w:rsidR="00E85667">
        <w:rPr>
          <w:color w:val="000000"/>
          <w:spacing w:val="11"/>
          <w:sz w:val="22"/>
        </w:rPr>
        <w:t xml:space="preserve"> the </w:t>
      </w:r>
      <w:r w:rsidR="00E85667" w:rsidRPr="00476633">
        <w:rPr>
          <w:i/>
          <w:color w:val="000000"/>
          <w:spacing w:val="11"/>
          <w:sz w:val="22"/>
        </w:rPr>
        <w:t>Monthly Crude Oil, Lease Condensate, and Natural Gas Production Report</w:t>
      </w:r>
      <w:r w:rsidRPr="00387D09">
        <w:rPr>
          <w:color w:val="000000"/>
          <w:spacing w:val="11"/>
          <w:sz w:val="22"/>
        </w:rPr>
        <w:t>.</w:t>
      </w:r>
    </w:p>
    <w:p w:rsidR="00387D09" w:rsidRPr="00387D09" w:rsidRDefault="00387D09" w:rsidP="00387D09">
      <w:pPr>
        <w:spacing w:before="120" w:beforeAutospacing="0"/>
        <w:rPr>
          <w:color w:val="000000"/>
          <w:spacing w:val="11"/>
          <w:sz w:val="22"/>
        </w:rPr>
      </w:pPr>
      <w:r w:rsidRPr="00387D09">
        <w:rPr>
          <w:color w:val="000000"/>
          <w:spacing w:val="11"/>
          <w:sz w:val="22"/>
        </w:rPr>
        <w:t xml:space="preserve">The </w:t>
      </w:r>
      <w:r w:rsidR="00C401E7">
        <w:rPr>
          <w:color w:val="000000"/>
          <w:spacing w:val="11"/>
          <w:sz w:val="22"/>
        </w:rPr>
        <w:t xml:space="preserve">current </w:t>
      </w:r>
      <w:r w:rsidR="00356934">
        <w:rPr>
          <w:color w:val="000000"/>
          <w:spacing w:val="11"/>
          <w:sz w:val="22"/>
        </w:rPr>
        <w:t xml:space="preserve">Form EIA-914 </w:t>
      </w:r>
      <w:r w:rsidRPr="00387D09">
        <w:rPr>
          <w:color w:val="000000"/>
          <w:spacing w:val="11"/>
          <w:sz w:val="22"/>
        </w:rPr>
        <w:t>survey collect</w:t>
      </w:r>
      <w:r w:rsidR="00356934">
        <w:rPr>
          <w:color w:val="000000"/>
          <w:spacing w:val="11"/>
          <w:sz w:val="22"/>
        </w:rPr>
        <w:t>s</w:t>
      </w:r>
      <w:r w:rsidRPr="00387D09">
        <w:rPr>
          <w:color w:val="000000"/>
          <w:spacing w:val="11"/>
          <w:sz w:val="22"/>
        </w:rPr>
        <w:t xml:space="preserve"> monthly data on </w:t>
      </w:r>
      <w:r w:rsidR="00B4183F">
        <w:rPr>
          <w:color w:val="000000"/>
          <w:spacing w:val="11"/>
          <w:sz w:val="22"/>
        </w:rPr>
        <w:t>natural gas</w:t>
      </w:r>
      <w:r w:rsidR="00B4183F" w:rsidRPr="00387D09">
        <w:rPr>
          <w:color w:val="000000"/>
          <w:spacing w:val="11"/>
          <w:sz w:val="22"/>
        </w:rPr>
        <w:t xml:space="preserve"> </w:t>
      </w:r>
      <w:r w:rsidRPr="00387D09">
        <w:rPr>
          <w:color w:val="000000"/>
          <w:spacing w:val="11"/>
          <w:sz w:val="22"/>
        </w:rPr>
        <w:t xml:space="preserve">production </w:t>
      </w:r>
      <w:r w:rsidR="00B4183F">
        <w:rPr>
          <w:color w:val="000000"/>
          <w:spacing w:val="11"/>
          <w:sz w:val="22"/>
        </w:rPr>
        <w:t>(that is, natural gas gross withdrawals and</w:t>
      </w:r>
      <w:r w:rsidRPr="00387D09">
        <w:rPr>
          <w:color w:val="000000"/>
          <w:spacing w:val="11"/>
          <w:sz w:val="22"/>
        </w:rPr>
        <w:t xml:space="preserve"> </w:t>
      </w:r>
      <w:r w:rsidR="00B4183F">
        <w:rPr>
          <w:color w:val="000000"/>
          <w:spacing w:val="11"/>
          <w:sz w:val="22"/>
        </w:rPr>
        <w:t xml:space="preserve">natural gas lease production) </w:t>
      </w:r>
      <w:r w:rsidRPr="00387D09">
        <w:rPr>
          <w:color w:val="000000"/>
          <w:spacing w:val="11"/>
          <w:sz w:val="22"/>
        </w:rPr>
        <w:t xml:space="preserve">in seven geographical areas as follows: Texas (including State Offshore), Louisiana (including State Offshore), Oklahoma, New Mexico, Wyoming, Gulf of Mexico Federal Offshore, and </w:t>
      </w:r>
      <w:r w:rsidR="00346FA0">
        <w:rPr>
          <w:color w:val="000000"/>
          <w:spacing w:val="11"/>
          <w:sz w:val="22"/>
        </w:rPr>
        <w:t>“</w:t>
      </w:r>
      <w:r w:rsidRPr="00387D09">
        <w:rPr>
          <w:color w:val="000000"/>
          <w:spacing w:val="11"/>
          <w:sz w:val="22"/>
        </w:rPr>
        <w:t>Other States</w:t>
      </w:r>
      <w:r w:rsidR="00346FA0">
        <w:rPr>
          <w:color w:val="000000"/>
          <w:spacing w:val="11"/>
          <w:sz w:val="22"/>
        </w:rPr>
        <w:t>”</w:t>
      </w:r>
      <w:r w:rsidRPr="00387D09">
        <w:rPr>
          <w:color w:val="000000"/>
          <w:spacing w:val="11"/>
          <w:sz w:val="22"/>
        </w:rPr>
        <w:t xml:space="preserve"> (defined as all remaining </w:t>
      </w:r>
      <w:r w:rsidR="00346FA0">
        <w:rPr>
          <w:color w:val="000000"/>
          <w:spacing w:val="11"/>
          <w:sz w:val="22"/>
        </w:rPr>
        <w:t>s</w:t>
      </w:r>
      <w:r w:rsidR="00346FA0" w:rsidRPr="00387D09">
        <w:rPr>
          <w:color w:val="000000"/>
          <w:spacing w:val="11"/>
          <w:sz w:val="22"/>
        </w:rPr>
        <w:t>tates</w:t>
      </w:r>
      <w:r w:rsidRPr="00387D09">
        <w:rPr>
          <w:color w:val="000000"/>
          <w:spacing w:val="11"/>
          <w:sz w:val="22"/>
        </w:rPr>
        <w:t>, excluding Alaska)</w:t>
      </w:r>
      <w:proofErr w:type="gramStart"/>
      <w:r w:rsidRPr="00387D09">
        <w:rPr>
          <w:color w:val="000000"/>
          <w:spacing w:val="11"/>
          <w:sz w:val="22"/>
        </w:rPr>
        <w:t xml:space="preserve">.  </w:t>
      </w:r>
      <w:proofErr w:type="gramEnd"/>
      <w:r w:rsidRPr="00387D09">
        <w:rPr>
          <w:color w:val="000000"/>
          <w:spacing w:val="11"/>
          <w:sz w:val="22"/>
        </w:rPr>
        <w:t xml:space="preserve">These </w:t>
      </w:r>
      <w:r w:rsidR="00C401E7">
        <w:rPr>
          <w:color w:val="000000"/>
          <w:spacing w:val="11"/>
          <w:sz w:val="22"/>
        </w:rPr>
        <w:t>s</w:t>
      </w:r>
      <w:r w:rsidR="00C401E7" w:rsidRPr="00387D09">
        <w:rPr>
          <w:color w:val="000000"/>
          <w:spacing w:val="11"/>
          <w:sz w:val="22"/>
        </w:rPr>
        <w:t xml:space="preserve">tates </w:t>
      </w:r>
      <w:r w:rsidRPr="00387D09">
        <w:rPr>
          <w:color w:val="000000"/>
          <w:spacing w:val="11"/>
          <w:sz w:val="22"/>
        </w:rPr>
        <w:t xml:space="preserve">and areas </w:t>
      </w:r>
      <w:proofErr w:type="gramStart"/>
      <w:r w:rsidRPr="00387D09">
        <w:rPr>
          <w:color w:val="000000"/>
          <w:spacing w:val="11"/>
          <w:sz w:val="22"/>
        </w:rPr>
        <w:t>were originally selected</w:t>
      </w:r>
      <w:proofErr w:type="gramEnd"/>
      <w:r w:rsidRPr="00387D09">
        <w:rPr>
          <w:color w:val="000000"/>
          <w:spacing w:val="11"/>
          <w:sz w:val="22"/>
        </w:rPr>
        <w:t xml:space="preserve"> because they were the largest producers of natural gas in the U.S.</w:t>
      </w:r>
      <w:r w:rsidR="00356934">
        <w:rPr>
          <w:color w:val="000000"/>
          <w:spacing w:val="11"/>
          <w:sz w:val="22"/>
        </w:rPr>
        <w:t>,</w:t>
      </w:r>
      <w:r w:rsidRPr="00387D09">
        <w:rPr>
          <w:color w:val="000000"/>
          <w:spacing w:val="11"/>
          <w:sz w:val="22"/>
        </w:rPr>
        <w:t xml:space="preserve"> and collecting data from these </w:t>
      </w:r>
      <w:r w:rsidR="00C401E7">
        <w:rPr>
          <w:color w:val="000000"/>
          <w:spacing w:val="11"/>
          <w:sz w:val="22"/>
        </w:rPr>
        <w:t>areas</w:t>
      </w:r>
      <w:r w:rsidR="00C401E7" w:rsidRPr="00387D09">
        <w:rPr>
          <w:color w:val="000000"/>
          <w:spacing w:val="11"/>
          <w:sz w:val="22"/>
        </w:rPr>
        <w:t xml:space="preserve"> </w:t>
      </w:r>
      <w:r w:rsidR="00356934">
        <w:rPr>
          <w:color w:val="000000"/>
          <w:spacing w:val="11"/>
          <w:sz w:val="22"/>
        </w:rPr>
        <w:t xml:space="preserve">maximized production volume </w:t>
      </w:r>
      <w:r w:rsidRPr="00387D09">
        <w:rPr>
          <w:color w:val="000000"/>
          <w:spacing w:val="11"/>
          <w:sz w:val="22"/>
        </w:rPr>
        <w:t xml:space="preserve">coverage </w:t>
      </w:r>
      <w:r w:rsidR="00356934">
        <w:rPr>
          <w:color w:val="000000"/>
          <w:spacing w:val="11"/>
          <w:sz w:val="22"/>
        </w:rPr>
        <w:t xml:space="preserve">while minimizing the size of the set of sampled </w:t>
      </w:r>
      <w:r w:rsidRPr="00387D09">
        <w:rPr>
          <w:color w:val="000000"/>
          <w:spacing w:val="11"/>
          <w:sz w:val="22"/>
        </w:rPr>
        <w:t>producers.</w:t>
      </w:r>
    </w:p>
    <w:p w:rsidR="00387D09" w:rsidRPr="00387D09" w:rsidRDefault="002D1B3C" w:rsidP="00387D09">
      <w:pPr>
        <w:spacing w:before="120" w:beforeAutospacing="0"/>
        <w:rPr>
          <w:color w:val="000000"/>
          <w:spacing w:val="11"/>
          <w:sz w:val="22"/>
        </w:rPr>
      </w:pPr>
      <w:r>
        <w:rPr>
          <w:color w:val="000000"/>
          <w:spacing w:val="11"/>
          <w:sz w:val="22"/>
        </w:rPr>
        <w:t xml:space="preserve">The </w:t>
      </w:r>
      <w:r w:rsidR="00387D09" w:rsidRPr="00387D09">
        <w:rPr>
          <w:color w:val="000000"/>
          <w:spacing w:val="11"/>
          <w:sz w:val="22"/>
        </w:rPr>
        <w:t>Form EIA-914 survey</w:t>
      </w:r>
      <w:r>
        <w:rPr>
          <w:color w:val="000000"/>
          <w:spacing w:val="11"/>
          <w:sz w:val="22"/>
        </w:rPr>
        <w:t xml:space="preserve"> frame</w:t>
      </w:r>
      <w:r w:rsidR="00387D09" w:rsidRPr="00387D09">
        <w:rPr>
          <w:color w:val="000000"/>
          <w:spacing w:val="11"/>
          <w:sz w:val="22"/>
        </w:rPr>
        <w:t xml:space="preserve"> will remain a cut-off sample of well operators selected monthly from current commercially available crude oil</w:t>
      </w:r>
      <w:r w:rsidR="00C401E7">
        <w:rPr>
          <w:color w:val="000000"/>
          <w:spacing w:val="11"/>
          <w:sz w:val="22"/>
        </w:rPr>
        <w:t>,</w:t>
      </w:r>
      <w:r w:rsidR="00387D09" w:rsidRPr="00387D09">
        <w:rPr>
          <w:color w:val="000000"/>
          <w:spacing w:val="11"/>
          <w:sz w:val="22"/>
        </w:rPr>
        <w:t xml:space="preserve"> lease condensate, and natural gas production information supplemented with operators </w:t>
      </w:r>
      <w:r w:rsidR="00C401E7">
        <w:rPr>
          <w:color w:val="000000"/>
          <w:spacing w:val="11"/>
          <w:sz w:val="22"/>
        </w:rPr>
        <w:t>that</w:t>
      </w:r>
      <w:r w:rsidR="00C401E7" w:rsidRPr="00387D09">
        <w:rPr>
          <w:color w:val="000000"/>
          <w:spacing w:val="11"/>
          <w:sz w:val="22"/>
        </w:rPr>
        <w:t xml:space="preserve"> </w:t>
      </w:r>
      <w:r w:rsidR="00387D09" w:rsidRPr="00387D09">
        <w:rPr>
          <w:color w:val="000000"/>
          <w:spacing w:val="11"/>
          <w:sz w:val="22"/>
        </w:rPr>
        <w:t xml:space="preserve">report on </w:t>
      </w:r>
      <w:r w:rsidR="00C401E7">
        <w:rPr>
          <w:color w:val="000000"/>
          <w:spacing w:val="11"/>
          <w:sz w:val="22"/>
        </w:rPr>
        <w:t xml:space="preserve">the </w:t>
      </w:r>
      <w:r w:rsidR="00387D09" w:rsidRPr="00387D09">
        <w:rPr>
          <w:color w:val="000000"/>
          <w:spacing w:val="11"/>
          <w:sz w:val="22"/>
        </w:rPr>
        <w:t>Form EIA-23</w:t>
      </w:r>
      <w:r w:rsidR="00887A74">
        <w:rPr>
          <w:color w:val="000000"/>
          <w:spacing w:val="11"/>
          <w:sz w:val="22"/>
        </w:rPr>
        <w:t>L</w:t>
      </w:r>
      <w:r w:rsidR="00387D09" w:rsidRPr="00387D09">
        <w:rPr>
          <w:color w:val="000000"/>
          <w:spacing w:val="11"/>
          <w:sz w:val="22"/>
        </w:rPr>
        <w:t xml:space="preserve">, </w:t>
      </w:r>
      <w:r w:rsidR="00387D09" w:rsidRPr="00476633">
        <w:rPr>
          <w:i/>
          <w:color w:val="000000"/>
          <w:spacing w:val="11"/>
          <w:sz w:val="22"/>
        </w:rPr>
        <w:t>Annual Survey of Domestic Oil and Gas Reserves</w:t>
      </w:r>
      <w:r w:rsidR="00387D09" w:rsidRPr="00387D09">
        <w:rPr>
          <w:color w:val="000000"/>
          <w:spacing w:val="11"/>
          <w:sz w:val="22"/>
        </w:rPr>
        <w:t xml:space="preserve"> (OMB No. 1905-0057)</w:t>
      </w:r>
      <w:proofErr w:type="gramStart"/>
      <w:r w:rsidR="00387D09" w:rsidRPr="00387D09">
        <w:rPr>
          <w:color w:val="000000"/>
          <w:spacing w:val="11"/>
          <w:sz w:val="22"/>
        </w:rPr>
        <w:t xml:space="preserve">.  </w:t>
      </w:r>
      <w:proofErr w:type="gramEnd"/>
      <w:r>
        <w:rPr>
          <w:color w:val="000000"/>
          <w:spacing w:val="11"/>
          <w:sz w:val="22"/>
        </w:rPr>
        <w:t>(</w:t>
      </w:r>
      <w:r w:rsidR="00387D09" w:rsidRPr="00387D09">
        <w:rPr>
          <w:color w:val="000000"/>
          <w:spacing w:val="11"/>
          <w:sz w:val="22"/>
        </w:rPr>
        <w:t>The EIA-23</w:t>
      </w:r>
      <w:r w:rsidR="00887A74">
        <w:rPr>
          <w:color w:val="000000"/>
          <w:spacing w:val="11"/>
          <w:sz w:val="22"/>
        </w:rPr>
        <w:t>L</w:t>
      </w:r>
      <w:r w:rsidR="00387D09" w:rsidRPr="00387D09">
        <w:rPr>
          <w:color w:val="000000"/>
          <w:spacing w:val="11"/>
          <w:sz w:val="22"/>
        </w:rPr>
        <w:t xml:space="preserve"> is an annual survey that focuses on </w:t>
      </w:r>
      <w:r w:rsidR="00723F69">
        <w:rPr>
          <w:color w:val="000000"/>
          <w:spacing w:val="11"/>
          <w:sz w:val="22"/>
        </w:rPr>
        <w:t xml:space="preserve">crude </w:t>
      </w:r>
      <w:r w:rsidR="00387D09" w:rsidRPr="00387D09">
        <w:rPr>
          <w:color w:val="000000"/>
          <w:spacing w:val="11"/>
          <w:sz w:val="22"/>
        </w:rPr>
        <w:t>oil and natural gas reserves</w:t>
      </w:r>
      <w:r w:rsidR="00C401E7">
        <w:rPr>
          <w:color w:val="000000"/>
          <w:spacing w:val="11"/>
          <w:sz w:val="22"/>
        </w:rPr>
        <w:t>,</w:t>
      </w:r>
      <w:r w:rsidR="00387D09" w:rsidRPr="00387D09">
        <w:rPr>
          <w:color w:val="000000"/>
          <w:spacing w:val="11"/>
          <w:sz w:val="22"/>
        </w:rPr>
        <w:t xml:space="preserve"> while the </w:t>
      </w:r>
      <w:r w:rsidR="008F4519">
        <w:rPr>
          <w:color w:val="000000"/>
          <w:spacing w:val="11"/>
          <w:sz w:val="22"/>
        </w:rPr>
        <w:t xml:space="preserve">current </w:t>
      </w:r>
      <w:r w:rsidR="00387D09" w:rsidRPr="00387D09">
        <w:rPr>
          <w:color w:val="000000"/>
          <w:spacing w:val="11"/>
          <w:sz w:val="22"/>
        </w:rPr>
        <w:t>EIA-914 is a monthly survey that focus</w:t>
      </w:r>
      <w:r w:rsidR="00887A74">
        <w:rPr>
          <w:color w:val="000000"/>
          <w:spacing w:val="11"/>
          <w:sz w:val="22"/>
        </w:rPr>
        <w:t>e</w:t>
      </w:r>
      <w:r w:rsidR="00C401E7">
        <w:rPr>
          <w:color w:val="000000"/>
          <w:spacing w:val="11"/>
          <w:sz w:val="22"/>
        </w:rPr>
        <w:t>s</w:t>
      </w:r>
      <w:r w:rsidR="00387D09" w:rsidRPr="00387D09">
        <w:rPr>
          <w:color w:val="000000"/>
          <w:spacing w:val="11"/>
          <w:sz w:val="22"/>
        </w:rPr>
        <w:t xml:space="preserve"> on</w:t>
      </w:r>
      <w:r w:rsidR="00887A74">
        <w:rPr>
          <w:color w:val="000000"/>
          <w:spacing w:val="11"/>
          <w:sz w:val="22"/>
        </w:rPr>
        <w:t>ly on</w:t>
      </w:r>
      <w:r w:rsidR="00387D09" w:rsidRPr="00387D09">
        <w:rPr>
          <w:color w:val="000000"/>
          <w:spacing w:val="11"/>
          <w:sz w:val="22"/>
        </w:rPr>
        <w:t xml:space="preserve"> natural gas production.</w:t>
      </w:r>
      <w:proofErr w:type="gramStart"/>
      <w:r>
        <w:rPr>
          <w:color w:val="000000"/>
          <w:spacing w:val="11"/>
          <w:sz w:val="22"/>
        </w:rPr>
        <w:t>)</w:t>
      </w:r>
      <w:r w:rsidR="00562B94">
        <w:rPr>
          <w:color w:val="000000"/>
          <w:spacing w:val="11"/>
          <w:sz w:val="22"/>
        </w:rPr>
        <w:t xml:space="preserve">  </w:t>
      </w:r>
      <w:proofErr w:type="gramEnd"/>
      <w:r w:rsidR="00562B94">
        <w:rPr>
          <w:color w:val="000000"/>
          <w:spacing w:val="11"/>
          <w:sz w:val="22"/>
        </w:rPr>
        <w:t xml:space="preserve">The </w:t>
      </w:r>
      <w:r>
        <w:rPr>
          <w:color w:val="000000"/>
          <w:spacing w:val="11"/>
          <w:sz w:val="22"/>
        </w:rPr>
        <w:t xml:space="preserve">proposed </w:t>
      </w:r>
      <w:r w:rsidR="00562B94">
        <w:rPr>
          <w:color w:val="000000"/>
          <w:spacing w:val="11"/>
          <w:sz w:val="22"/>
        </w:rPr>
        <w:t xml:space="preserve">expanded EIA-914 will add crude oil and lease condensate production and </w:t>
      </w:r>
      <w:r>
        <w:rPr>
          <w:color w:val="000000"/>
          <w:spacing w:val="11"/>
          <w:sz w:val="22"/>
        </w:rPr>
        <w:t xml:space="preserve">additional </w:t>
      </w:r>
      <w:r w:rsidR="00562B94">
        <w:rPr>
          <w:color w:val="000000"/>
          <w:spacing w:val="11"/>
          <w:sz w:val="22"/>
        </w:rPr>
        <w:t xml:space="preserve">states </w:t>
      </w:r>
      <w:r>
        <w:rPr>
          <w:color w:val="000000"/>
          <w:spacing w:val="11"/>
          <w:sz w:val="22"/>
        </w:rPr>
        <w:t>and operators</w:t>
      </w:r>
      <w:r w:rsidR="00562B94">
        <w:rPr>
          <w:color w:val="000000"/>
          <w:spacing w:val="11"/>
          <w:sz w:val="22"/>
        </w:rPr>
        <w:t>.</w:t>
      </w:r>
      <w:r w:rsidR="005B057F">
        <w:rPr>
          <w:color w:val="000000"/>
          <w:spacing w:val="11"/>
          <w:sz w:val="22"/>
        </w:rPr>
        <w:t xml:space="preserve"> </w:t>
      </w:r>
      <w:r w:rsidR="005B057F" w:rsidRPr="005B057F">
        <w:rPr>
          <w:color w:val="000000"/>
          <w:spacing w:val="11"/>
          <w:sz w:val="22"/>
        </w:rPr>
        <w:t xml:space="preserve">Crude oil and lease condensate </w:t>
      </w:r>
      <w:proofErr w:type="gramStart"/>
      <w:r w:rsidR="005B057F" w:rsidRPr="005B057F">
        <w:rPr>
          <w:color w:val="000000"/>
          <w:spacing w:val="11"/>
          <w:sz w:val="22"/>
        </w:rPr>
        <w:t>will be collected</w:t>
      </w:r>
      <w:proofErr w:type="gramEnd"/>
      <w:r w:rsidR="005B057F" w:rsidRPr="005B057F">
        <w:rPr>
          <w:color w:val="000000"/>
          <w:spacing w:val="11"/>
          <w:sz w:val="22"/>
        </w:rPr>
        <w:t xml:space="preserve"> as a single volume</w:t>
      </w:r>
      <w:r w:rsidR="005B057F">
        <w:rPr>
          <w:color w:val="000000"/>
          <w:spacing w:val="11"/>
          <w:sz w:val="22"/>
        </w:rPr>
        <w:t>.</w:t>
      </w:r>
    </w:p>
    <w:p w:rsidR="00656601" w:rsidRPr="00656601" w:rsidRDefault="00387D09" w:rsidP="00387D09">
      <w:pPr>
        <w:spacing w:before="120" w:beforeAutospacing="0"/>
        <w:rPr>
          <w:sz w:val="22"/>
        </w:rPr>
      </w:pPr>
      <w:r w:rsidRPr="00387D09">
        <w:rPr>
          <w:color w:val="000000"/>
          <w:spacing w:val="11"/>
          <w:sz w:val="22"/>
        </w:rPr>
        <w:t>The information collection proposed in this supporting statement has been reviewed in light of applicable information quality guidelines</w:t>
      </w:r>
      <w:proofErr w:type="gramStart"/>
      <w:r w:rsidRPr="00387D09">
        <w:rPr>
          <w:color w:val="000000"/>
          <w:spacing w:val="11"/>
          <w:sz w:val="22"/>
        </w:rPr>
        <w:t>.</w:t>
      </w:r>
      <w:r w:rsidR="00B57313">
        <w:rPr>
          <w:color w:val="000000"/>
          <w:spacing w:val="11"/>
          <w:sz w:val="22"/>
        </w:rPr>
        <w:t xml:space="preserve"> </w:t>
      </w:r>
      <w:r w:rsidRPr="00387D09">
        <w:rPr>
          <w:color w:val="000000"/>
          <w:spacing w:val="11"/>
          <w:sz w:val="22"/>
        </w:rPr>
        <w:t xml:space="preserve"> </w:t>
      </w:r>
      <w:proofErr w:type="gramEnd"/>
      <w:r w:rsidRPr="00387D09">
        <w:rPr>
          <w:color w:val="000000"/>
          <w:spacing w:val="11"/>
          <w:sz w:val="22"/>
        </w:rPr>
        <w:t xml:space="preserve">It has been determined that the information </w:t>
      </w:r>
      <w:proofErr w:type="gramStart"/>
      <w:r w:rsidRPr="00387D09">
        <w:rPr>
          <w:color w:val="000000"/>
          <w:spacing w:val="11"/>
          <w:sz w:val="22"/>
        </w:rPr>
        <w:t>will be collected, maintained, and used in a manner consistent with OMB, DOE, and EIA information quality guidelines</w:t>
      </w:r>
      <w:proofErr w:type="gramEnd"/>
      <w:r w:rsidRPr="00387D09">
        <w:rPr>
          <w:color w:val="000000"/>
          <w:spacing w:val="11"/>
          <w:sz w:val="22"/>
        </w:rPr>
        <w:t>.</w:t>
      </w:r>
    </w:p>
    <w:p w:rsidR="00B34E57" w:rsidRDefault="00B34E57" w:rsidP="00767227">
      <w:pPr>
        <w:pStyle w:val="Heading1"/>
      </w:pPr>
      <w:bookmarkStart w:id="2" w:name="_Toc373916718"/>
      <w:bookmarkStart w:id="3" w:name="_Toc396424905"/>
      <w:r w:rsidRPr="00062CE4">
        <w:t>CHANGES</w:t>
      </w:r>
      <w:bookmarkEnd w:id="2"/>
      <w:bookmarkEnd w:id="3"/>
    </w:p>
    <w:p w:rsidR="00887A74" w:rsidRDefault="00887A74" w:rsidP="00D9024C">
      <w:pPr>
        <w:rPr>
          <w:color w:val="000000"/>
          <w:spacing w:val="11"/>
          <w:sz w:val="22"/>
        </w:rPr>
      </w:pPr>
      <w:r>
        <w:rPr>
          <w:color w:val="000000"/>
          <w:spacing w:val="11"/>
          <w:sz w:val="22"/>
        </w:rPr>
        <w:t>C</w:t>
      </w:r>
      <w:r w:rsidRPr="00387D09">
        <w:rPr>
          <w:color w:val="000000"/>
          <w:spacing w:val="11"/>
          <w:sz w:val="22"/>
        </w:rPr>
        <w:t>hanges in the industry</w:t>
      </w:r>
      <w:r w:rsidR="00B57313">
        <w:rPr>
          <w:color w:val="000000"/>
          <w:spacing w:val="11"/>
          <w:sz w:val="22"/>
        </w:rPr>
        <w:t xml:space="preserve"> and EIA data user requests</w:t>
      </w:r>
      <w:r w:rsidRPr="00387D09">
        <w:rPr>
          <w:color w:val="000000"/>
          <w:spacing w:val="11"/>
          <w:sz w:val="22"/>
        </w:rPr>
        <w:t xml:space="preserve"> </w:t>
      </w:r>
      <w:r w:rsidR="00B57313">
        <w:rPr>
          <w:color w:val="000000"/>
          <w:spacing w:val="11"/>
          <w:sz w:val="22"/>
        </w:rPr>
        <w:t xml:space="preserve">dictate that </w:t>
      </w:r>
      <w:r w:rsidR="00B57313" w:rsidRPr="00387D09">
        <w:rPr>
          <w:color w:val="000000"/>
          <w:spacing w:val="11"/>
          <w:sz w:val="22"/>
        </w:rPr>
        <w:t xml:space="preserve">EIA </w:t>
      </w:r>
      <w:r w:rsidR="00B57313">
        <w:rPr>
          <w:color w:val="000000"/>
          <w:spacing w:val="11"/>
          <w:sz w:val="22"/>
        </w:rPr>
        <w:t xml:space="preserve">should </w:t>
      </w:r>
      <w:r w:rsidR="00B57313" w:rsidRPr="00387D09">
        <w:rPr>
          <w:color w:val="000000"/>
          <w:spacing w:val="11"/>
          <w:sz w:val="22"/>
        </w:rPr>
        <w:t xml:space="preserve">expand Form EIA-914 to include crude oil and lease condensate production </w:t>
      </w:r>
      <w:r w:rsidR="00B57313">
        <w:rPr>
          <w:color w:val="000000"/>
          <w:spacing w:val="11"/>
          <w:sz w:val="22"/>
        </w:rPr>
        <w:t>while retaining</w:t>
      </w:r>
      <w:r w:rsidR="00B57313" w:rsidRPr="00387D09">
        <w:rPr>
          <w:color w:val="000000"/>
          <w:spacing w:val="11"/>
          <w:sz w:val="22"/>
        </w:rPr>
        <w:t xml:space="preserve"> natural gas production</w:t>
      </w:r>
      <w:proofErr w:type="gramStart"/>
      <w:r w:rsidR="00B57313" w:rsidRPr="00387D09">
        <w:rPr>
          <w:color w:val="000000"/>
          <w:spacing w:val="11"/>
          <w:sz w:val="22"/>
        </w:rPr>
        <w:t>.</w:t>
      </w:r>
      <w:r w:rsidR="00B57313">
        <w:rPr>
          <w:color w:val="000000"/>
          <w:spacing w:val="11"/>
          <w:sz w:val="22"/>
        </w:rPr>
        <w:t xml:space="preserve">  </w:t>
      </w:r>
      <w:proofErr w:type="gramEnd"/>
      <w:r w:rsidR="00B57313">
        <w:rPr>
          <w:color w:val="000000"/>
          <w:spacing w:val="11"/>
          <w:sz w:val="22"/>
        </w:rPr>
        <w:t>EIA survey data must reflect</w:t>
      </w:r>
      <w:r w:rsidRPr="00387D09">
        <w:rPr>
          <w:color w:val="000000"/>
          <w:spacing w:val="11"/>
          <w:sz w:val="22"/>
        </w:rPr>
        <w:t xml:space="preserve"> the growing significance of U.S. </w:t>
      </w:r>
      <w:r w:rsidR="00A36854">
        <w:rPr>
          <w:color w:val="000000"/>
          <w:spacing w:val="11"/>
          <w:sz w:val="22"/>
        </w:rPr>
        <w:t xml:space="preserve">crude </w:t>
      </w:r>
      <w:r w:rsidRPr="00387D09">
        <w:rPr>
          <w:color w:val="000000"/>
          <w:spacing w:val="11"/>
          <w:sz w:val="22"/>
        </w:rPr>
        <w:t>oil production</w:t>
      </w:r>
      <w:r w:rsidR="00C401E7">
        <w:rPr>
          <w:color w:val="000000"/>
          <w:spacing w:val="11"/>
          <w:sz w:val="22"/>
        </w:rPr>
        <w:t>,</w:t>
      </w:r>
      <w:r w:rsidRPr="00387D09">
        <w:rPr>
          <w:color w:val="000000"/>
          <w:spacing w:val="11"/>
          <w:sz w:val="22"/>
        </w:rPr>
        <w:t xml:space="preserve"> particularly from tight formations, </w:t>
      </w:r>
      <w:r w:rsidR="00C401E7">
        <w:rPr>
          <w:color w:val="000000"/>
          <w:spacing w:val="11"/>
          <w:sz w:val="22"/>
        </w:rPr>
        <w:t xml:space="preserve">and </w:t>
      </w:r>
      <w:r w:rsidRPr="00387D09">
        <w:rPr>
          <w:color w:val="000000"/>
          <w:spacing w:val="11"/>
          <w:sz w:val="22"/>
        </w:rPr>
        <w:t>natural gas production,</w:t>
      </w:r>
      <w:r w:rsidR="00C401E7">
        <w:rPr>
          <w:color w:val="000000"/>
          <w:spacing w:val="11"/>
          <w:sz w:val="22"/>
        </w:rPr>
        <w:t xml:space="preserve"> both associated </w:t>
      </w:r>
      <w:r w:rsidR="001D1B31">
        <w:rPr>
          <w:color w:val="000000"/>
          <w:spacing w:val="11"/>
          <w:sz w:val="22"/>
        </w:rPr>
        <w:t>(that is, n</w:t>
      </w:r>
      <w:r w:rsidR="001D1B31" w:rsidRPr="001D1B31">
        <w:rPr>
          <w:color w:val="000000"/>
          <w:spacing w:val="11"/>
          <w:sz w:val="22"/>
        </w:rPr>
        <w:t>atural gas that occurs in crude oil reservoirs either as free gas (associated) or as gas in solution with crude oil (dissolved gas)</w:t>
      </w:r>
      <w:r w:rsidR="001D1B31">
        <w:rPr>
          <w:color w:val="000000"/>
          <w:spacing w:val="11"/>
          <w:sz w:val="22"/>
        </w:rPr>
        <w:t xml:space="preserve">) </w:t>
      </w:r>
      <w:r w:rsidR="00C401E7">
        <w:rPr>
          <w:color w:val="000000"/>
          <w:spacing w:val="11"/>
          <w:sz w:val="22"/>
        </w:rPr>
        <w:t>and</w:t>
      </w:r>
      <w:r w:rsidRPr="00387D09">
        <w:rPr>
          <w:color w:val="000000"/>
          <w:spacing w:val="11"/>
          <w:sz w:val="22"/>
        </w:rPr>
        <w:t xml:space="preserve"> from shale formations.</w:t>
      </w:r>
    </w:p>
    <w:p w:rsidR="00887A74" w:rsidRDefault="00887A74" w:rsidP="00D9024C">
      <w:pPr>
        <w:rPr>
          <w:color w:val="000000"/>
          <w:spacing w:val="11"/>
          <w:sz w:val="22"/>
        </w:rPr>
      </w:pPr>
      <w:r w:rsidRPr="00387D09">
        <w:rPr>
          <w:color w:val="000000"/>
          <w:spacing w:val="11"/>
          <w:sz w:val="22"/>
        </w:rPr>
        <w:t xml:space="preserve">Further, </w:t>
      </w:r>
      <w:r w:rsidR="00C81BF7" w:rsidRPr="00476633">
        <w:rPr>
          <w:sz w:val="22"/>
        </w:rPr>
        <w:t xml:space="preserve">motivated in part by a desire to track changing </w:t>
      </w:r>
      <w:r w:rsidR="00346FA0">
        <w:rPr>
          <w:sz w:val="22"/>
        </w:rPr>
        <w:t xml:space="preserve">crude </w:t>
      </w:r>
      <w:r w:rsidR="00C81BF7" w:rsidRPr="00476633">
        <w:rPr>
          <w:sz w:val="22"/>
        </w:rPr>
        <w:t>oil quality and inform discussion of crude oil export policies,</w:t>
      </w:r>
      <w:r w:rsidR="00C81BF7">
        <w:t xml:space="preserve"> </w:t>
      </w:r>
      <w:r w:rsidRPr="00387D09">
        <w:rPr>
          <w:color w:val="000000"/>
          <w:spacing w:val="11"/>
          <w:sz w:val="22"/>
        </w:rPr>
        <w:t xml:space="preserve">crude oil and lease condensate </w:t>
      </w:r>
      <w:r w:rsidR="00E85667">
        <w:rPr>
          <w:color w:val="000000"/>
          <w:spacing w:val="11"/>
          <w:sz w:val="22"/>
        </w:rPr>
        <w:t>sales</w:t>
      </w:r>
      <w:r w:rsidR="00E85667" w:rsidRPr="00387D09">
        <w:rPr>
          <w:color w:val="000000"/>
          <w:spacing w:val="11"/>
          <w:sz w:val="22"/>
        </w:rPr>
        <w:t xml:space="preserve"> </w:t>
      </w:r>
      <w:r w:rsidRPr="00387D09">
        <w:rPr>
          <w:color w:val="000000"/>
          <w:spacing w:val="11"/>
          <w:sz w:val="22"/>
        </w:rPr>
        <w:t>will be collected by API gravity</w:t>
      </w:r>
      <w:proofErr w:type="gramStart"/>
      <w:r w:rsidRPr="00387D09">
        <w:rPr>
          <w:color w:val="000000"/>
          <w:spacing w:val="11"/>
          <w:sz w:val="22"/>
        </w:rPr>
        <w:t xml:space="preserve">. </w:t>
      </w:r>
      <w:r w:rsidR="00B57313">
        <w:rPr>
          <w:color w:val="000000"/>
          <w:spacing w:val="11"/>
          <w:sz w:val="22"/>
        </w:rPr>
        <w:t xml:space="preserve"> </w:t>
      </w:r>
      <w:proofErr w:type="gramEnd"/>
      <w:r w:rsidRPr="00387D09">
        <w:rPr>
          <w:color w:val="000000"/>
          <w:spacing w:val="11"/>
          <w:sz w:val="22"/>
        </w:rPr>
        <w:t xml:space="preserve">Additionally, EIA plans to increase the number of states for which production </w:t>
      </w:r>
      <w:proofErr w:type="gramStart"/>
      <w:r w:rsidRPr="00387D09">
        <w:rPr>
          <w:color w:val="000000"/>
          <w:spacing w:val="11"/>
          <w:sz w:val="22"/>
        </w:rPr>
        <w:t xml:space="preserve">will be </w:t>
      </w:r>
      <w:r w:rsidR="00B57313">
        <w:rPr>
          <w:color w:val="000000"/>
          <w:spacing w:val="11"/>
          <w:sz w:val="22"/>
        </w:rPr>
        <w:t xml:space="preserve">separately </w:t>
      </w:r>
      <w:r w:rsidRPr="00387D09">
        <w:rPr>
          <w:color w:val="000000"/>
          <w:spacing w:val="11"/>
          <w:sz w:val="22"/>
        </w:rPr>
        <w:t>collected and reported</w:t>
      </w:r>
      <w:r w:rsidR="00B57313">
        <w:rPr>
          <w:color w:val="000000"/>
          <w:spacing w:val="11"/>
          <w:sz w:val="22"/>
        </w:rPr>
        <w:t xml:space="preserve"> to add the following states</w:t>
      </w:r>
      <w:proofErr w:type="gramEnd"/>
      <w:r w:rsidR="00B57313">
        <w:rPr>
          <w:color w:val="000000"/>
          <w:spacing w:val="11"/>
          <w:sz w:val="22"/>
        </w:rPr>
        <w:t xml:space="preserve">: </w:t>
      </w:r>
      <w:r w:rsidRPr="00387D09">
        <w:rPr>
          <w:color w:val="000000"/>
          <w:spacing w:val="11"/>
          <w:sz w:val="22"/>
        </w:rPr>
        <w:t>Arkansas, California, Colorado, Kansas, Montana, North Dakota, Ohio, Pennsylvania, Utah, and West Virginia.</w:t>
      </w:r>
      <w:r w:rsidR="00B57313">
        <w:rPr>
          <w:color w:val="000000"/>
          <w:spacing w:val="11"/>
          <w:sz w:val="22"/>
        </w:rPr>
        <w:t xml:space="preserve"> This separation of reporting reduces the number of states that </w:t>
      </w:r>
      <w:r w:rsidR="001303F2">
        <w:rPr>
          <w:color w:val="000000"/>
          <w:spacing w:val="11"/>
          <w:sz w:val="22"/>
        </w:rPr>
        <w:t>are included in</w:t>
      </w:r>
      <w:r w:rsidR="00B57313">
        <w:rPr>
          <w:color w:val="000000"/>
          <w:spacing w:val="11"/>
          <w:sz w:val="22"/>
        </w:rPr>
        <w:t xml:space="preserve"> the “Other States” reporting category.</w:t>
      </w:r>
    </w:p>
    <w:p w:rsidR="00D9024C" w:rsidRDefault="00887A74" w:rsidP="00D9024C">
      <w:pPr>
        <w:rPr>
          <w:sz w:val="22"/>
        </w:rPr>
      </w:pPr>
      <w:r>
        <w:rPr>
          <w:color w:val="000000"/>
          <w:spacing w:val="11"/>
          <w:sz w:val="22"/>
        </w:rPr>
        <w:t xml:space="preserve">Finally, </w:t>
      </w:r>
      <w:r w:rsidR="003421F9">
        <w:rPr>
          <w:color w:val="000000"/>
          <w:spacing w:val="11"/>
          <w:sz w:val="22"/>
        </w:rPr>
        <w:t>the title of</w:t>
      </w:r>
      <w:r>
        <w:rPr>
          <w:color w:val="000000"/>
          <w:spacing w:val="11"/>
          <w:sz w:val="22"/>
        </w:rPr>
        <w:t xml:space="preserve"> the </w:t>
      </w:r>
      <w:r w:rsidR="00387D09">
        <w:rPr>
          <w:color w:val="000000"/>
          <w:spacing w:val="11"/>
          <w:sz w:val="22"/>
        </w:rPr>
        <w:t>survey</w:t>
      </w:r>
      <w:r>
        <w:rPr>
          <w:color w:val="000000"/>
          <w:spacing w:val="11"/>
          <w:sz w:val="22"/>
        </w:rPr>
        <w:t xml:space="preserve"> </w:t>
      </w:r>
      <w:r w:rsidR="00387D09" w:rsidRPr="00387D09">
        <w:rPr>
          <w:color w:val="000000"/>
          <w:spacing w:val="11"/>
          <w:sz w:val="22"/>
        </w:rPr>
        <w:t xml:space="preserve">will be </w:t>
      </w:r>
      <w:r w:rsidR="003421F9">
        <w:rPr>
          <w:color w:val="000000"/>
          <w:spacing w:val="11"/>
          <w:sz w:val="22"/>
        </w:rPr>
        <w:t xml:space="preserve">changed to </w:t>
      </w:r>
      <w:r w:rsidR="00387D09" w:rsidRPr="00476633">
        <w:rPr>
          <w:i/>
          <w:color w:val="000000"/>
          <w:spacing w:val="11"/>
          <w:sz w:val="22"/>
        </w:rPr>
        <w:t>Monthly Crude Oil, Lease Condensate, and Natural Gas Production Report</w:t>
      </w:r>
      <w:proofErr w:type="gramStart"/>
      <w:r>
        <w:rPr>
          <w:color w:val="000000"/>
          <w:spacing w:val="11"/>
          <w:sz w:val="22"/>
        </w:rPr>
        <w:t xml:space="preserve">. </w:t>
      </w:r>
      <w:r w:rsidR="00387D09" w:rsidRPr="001D7B5E">
        <w:rPr>
          <w:sz w:val="22"/>
        </w:rPr>
        <w:t xml:space="preserve"> </w:t>
      </w:r>
      <w:proofErr w:type="gramEnd"/>
      <w:r w:rsidR="0057575C" w:rsidRPr="001D7B5E">
        <w:rPr>
          <w:sz w:val="22"/>
        </w:rPr>
        <w:t xml:space="preserve">EIA </w:t>
      </w:r>
      <w:r w:rsidR="0057575C">
        <w:rPr>
          <w:sz w:val="22"/>
        </w:rPr>
        <w:t>plans a</w:t>
      </w:r>
      <w:r w:rsidR="0035302F">
        <w:rPr>
          <w:sz w:val="22"/>
        </w:rPr>
        <w:t xml:space="preserve"> </w:t>
      </w:r>
      <w:r w:rsidR="003421F9">
        <w:rPr>
          <w:sz w:val="22"/>
        </w:rPr>
        <w:t>six-month</w:t>
      </w:r>
      <w:r w:rsidR="0057575C">
        <w:rPr>
          <w:sz w:val="22"/>
        </w:rPr>
        <w:t xml:space="preserve"> </w:t>
      </w:r>
      <w:r w:rsidR="0035302F">
        <w:rPr>
          <w:sz w:val="22"/>
        </w:rPr>
        <w:t>phase</w:t>
      </w:r>
      <w:r w:rsidR="00055F5E">
        <w:rPr>
          <w:sz w:val="22"/>
        </w:rPr>
        <w:t>-</w:t>
      </w:r>
      <w:r w:rsidR="0035302F">
        <w:rPr>
          <w:sz w:val="22"/>
        </w:rPr>
        <w:t>in period</w:t>
      </w:r>
      <w:r w:rsidR="0057575C" w:rsidRPr="001D7B5E">
        <w:rPr>
          <w:sz w:val="22"/>
        </w:rPr>
        <w:t xml:space="preserve"> </w:t>
      </w:r>
      <w:r w:rsidR="0057575C">
        <w:rPr>
          <w:sz w:val="22"/>
        </w:rPr>
        <w:t xml:space="preserve">for </w:t>
      </w:r>
      <w:r w:rsidR="0057575C" w:rsidRPr="001D7B5E">
        <w:rPr>
          <w:sz w:val="22"/>
        </w:rPr>
        <w:t>quality contr</w:t>
      </w:r>
      <w:r>
        <w:rPr>
          <w:sz w:val="22"/>
        </w:rPr>
        <w:t>ol (January through June 2015)</w:t>
      </w:r>
      <w:r w:rsidR="0035302F">
        <w:rPr>
          <w:sz w:val="22"/>
        </w:rPr>
        <w:t xml:space="preserve">, during which new data elements being collected will </w:t>
      </w:r>
      <w:r w:rsidR="00DB7279">
        <w:rPr>
          <w:sz w:val="22"/>
        </w:rPr>
        <w:t>be reviewed prior to being</w:t>
      </w:r>
      <w:r w:rsidR="0035302F">
        <w:rPr>
          <w:sz w:val="22"/>
        </w:rPr>
        <w:t xml:space="preserve"> </w:t>
      </w:r>
      <w:r w:rsidR="0035302F">
        <w:rPr>
          <w:sz w:val="22"/>
        </w:rPr>
        <w:lastRenderedPageBreak/>
        <w:t>disseminated</w:t>
      </w:r>
      <w:proofErr w:type="gramStart"/>
      <w:r w:rsidR="0057575C">
        <w:rPr>
          <w:sz w:val="22"/>
        </w:rPr>
        <w:t xml:space="preserve">. </w:t>
      </w:r>
      <w:r w:rsidR="00DB7279">
        <w:rPr>
          <w:sz w:val="22"/>
        </w:rPr>
        <w:t xml:space="preserve"> </w:t>
      </w:r>
      <w:proofErr w:type="gramEnd"/>
      <w:r w:rsidR="00DB7279">
        <w:rPr>
          <w:sz w:val="22"/>
        </w:rPr>
        <w:t xml:space="preserve">Following this review, the </w:t>
      </w:r>
      <w:r w:rsidR="0035302F">
        <w:rPr>
          <w:sz w:val="22"/>
        </w:rPr>
        <w:t xml:space="preserve">new data elements </w:t>
      </w:r>
      <w:r w:rsidR="00DB7279">
        <w:rPr>
          <w:sz w:val="22"/>
        </w:rPr>
        <w:t xml:space="preserve">reported </w:t>
      </w:r>
      <w:r w:rsidR="0035302F">
        <w:rPr>
          <w:sz w:val="22"/>
        </w:rPr>
        <w:t xml:space="preserve">for January through April 2015 </w:t>
      </w:r>
      <w:proofErr w:type="gramStart"/>
      <w:r w:rsidR="00DB7279">
        <w:rPr>
          <w:sz w:val="22"/>
        </w:rPr>
        <w:t>are scheduled to</w:t>
      </w:r>
      <w:r w:rsidR="0035302F">
        <w:rPr>
          <w:sz w:val="22"/>
        </w:rPr>
        <w:t xml:space="preserve"> be retroactively disseminated</w:t>
      </w:r>
      <w:proofErr w:type="gramEnd"/>
      <w:r w:rsidR="0035302F">
        <w:rPr>
          <w:sz w:val="22"/>
        </w:rPr>
        <w:t>.</w:t>
      </w:r>
      <w:r w:rsidR="0057575C">
        <w:rPr>
          <w:sz w:val="22"/>
        </w:rPr>
        <w:t xml:space="preserve"> </w:t>
      </w:r>
    </w:p>
    <w:p w:rsidR="00A416C6" w:rsidRPr="00BA7791" w:rsidRDefault="00A53D6D" w:rsidP="00A416C6">
      <w:pPr>
        <w:rPr>
          <w:sz w:val="22"/>
        </w:rPr>
      </w:pPr>
      <w:r w:rsidRPr="00A53D6D">
        <w:rPr>
          <w:sz w:val="22"/>
        </w:rPr>
        <w:t xml:space="preserve">The proposed </w:t>
      </w:r>
      <w:r w:rsidR="00BA7791">
        <w:rPr>
          <w:sz w:val="22"/>
        </w:rPr>
        <w:t>expansion</w:t>
      </w:r>
      <w:r w:rsidRPr="00A53D6D">
        <w:rPr>
          <w:sz w:val="22"/>
        </w:rPr>
        <w:t xml:space="preserve"> of </w:t>
      </w:r>
      <w:r w:rsidR="00BA7791">
        <w:rPr>
          <w:sz w:val="22"/>
        </w:rPr>
        <w:t xml:space="preserve">the </w:t>
      </w:r>
      <w:r w:rsidRPr="00A53D6D">
        <w:rPr>
          <w:sz w:val="22"/>
        </w:rPr>
        <w:t xml:space="preserve">survey is estimated to increase total annual burden hours for respondents </w:t>
      </w:r>
      <w:r w:rsidRPr="000F36A5">
        <w:rPr>
          <w:sz w:val="22"/>
        </w:rPr>
        <w:t xml:space="preserve">by </w:t>
      </w:r>
      <w:r w:rsidR="00306F16">
        <w:rPr>
          <w:sz w:val="22"/>
        </w:rPr>
        <w:t>2</w:t>
      </w:r>
      <w:r w:rsidR="00306F16" w:rsidRPr="00306F16">
        <w:rPr>
          <w:sz w:val="22"/>
        </w:rPr>
        <w:t>0</w:t>
      </w:r>
      <w:r w:rsidR="00CC6E98" w:rsidRPr="00306F16">
        <w:rPr>
          <w:sz w:val="22"/>
        </w:rPr>
        <w:t>,</w:t>
      </w:r>
      <w:r w:rsidR="00306F16" w:rsidRPr="00306F16">
        <w:rPr>
          <w:sz w:val="22"/>
        </w:rPr>
        <w:t>0</w:t>
      </w:r>
      <w:r w:rsidR="00CC6E98" w:rsidRPr="00306F16">
        <w:rPr>
          <w:sz w:val="22"/>
        </w:rPr>
        <w:t>52</w:t>
      </w:r>
      <w:r w:rsidR="00DD3369">
        <w:rPr>
          <w:sz w:val="22"/>
        </w:rPr>
        <w:t xml:space="preserve"> </w:t>
      </w:r>
      <w:r w:rsidRPr="00A53D6D">
        <w:rPr>
          <w:sz w:val="22"/>
        </w:rPr>
        <w:t>hours</w:t>
      </w:r>
      <w:r w:rsidR="00EF0C13">
        <w:rPr>
          <w:sz w:val="22"/>
        </w:rPr>
        <w:t xml:space="preserve">, primarily as a result of </w:t>
      </w:r>
      <w:r w:rsidR="00BA7791">
        <w:rPr>
          <w:sz w:val="22"/>
        </w:rPr>
        <w:t xml:space="preserve">increasing the number of states for which production data are collected separately, and secondarily as a result of </w:t>
      </w:r>
      <w:r w:rsidR="009823E3">
        <w:rPr>
          <w:sz w:val="22"/>
        </w:rPr>
        <w:t>adding</w:t>
      </w:r>
      <w:r w:rsidR="009D5982">
        <w:rPr>
          <w:sz w:val="22"/>
        </w:rPr>
        <w:t xml:space="preserve"> the collection of </w:t>
      </w:r>
      <w:r w:rsidR="00BA7791">
        <w:rPr>
          <w:sz w:val="22"/>
        </w:rPr>
        <w:t>crude oil and lease condensate production volumes</w:t>
      </w:r>
      <w:proofErr w:type="gramStart"/>
      <w:r w:rsidRPr="00A53D6D">
        <w:rPr>
          <w:sz w:val="22"/>
        </w:rPr>
        <w:t>.</w:t>
      </w:r>
      <w:r w:rsidR="00A416C6" w:rsidRPr="00A77596">
        <w:rPr>
          <w:color w:val="000000"/>
          <w:sz w:val="22"/>
        </w:rPr>
        <w:t xml:space="preserve"> </w:t>
      </w:r>
      <w:r w:rsidR="00DB7279">
        <w:rPr>
          <w:color w:val="000000"/>
          <w:sz w:val="22"/>
        </w:rPr>
        <w:t xml:space="preserve"> </w:t>
      </w:r>
      <w:proofErr w:type="gramEnd"/>
      <w:r w:rsidR="0035302F">
        <w:rPr>
          <w:color w:val="000000"/>
          <w:sz w:val="22"/>
        </w:rPr>
        <w:t xml:space="preserve">Ensuring a sample </w:t>
      </w:r>
      <w:r w:rsidR="00DB7279">
        <w:rPr>
          <w:color w:val="000000"/>
          <w:sz w:val="22"/>
        </w:rPr>
        <w:t xml:space="preserve">with sufficient coverage </w:t>
      </w:r>
      <w:r w:rsidR="0035302F">
        <w:rPr>
          <w:color w:val="000000"/>
          <w:sz w:val="22"/>
        </w:rPr>
        <w:t>for these new data elements</w:t>
      </w:r>
      <w:r w:rsidR="00476633">
        <w:rPr>
          <w:color w:val="000000"/>
          <w:sz w:val="22"/>
        </w:rPr>
        <w:t xml:space="preserve"> </w:t>
      </w:r>
      <w:r w:rsidR="00DB7279">
        <w:rPr>
          <w:color w:val="000000"/>
          <w:sz w:val="22"/>
        </w:rPr>
        <w:t xml:space="preserve">necessitates an </w:t>
      </w:r>
      <w:r w:rsidR="00562B94">
        <w:rPr>
          <w:color w:val="000000"/>
          <w:sz w:val="22"/>
        </w:rPr>
        <w:t>increase the number of respondents.</w:t>
      </w:r>
    </w:p>
    <w:p w:rsidR="00A416C6" w:rsidRPr="001D7B5E" w:rsidRDefault="00A416C6" w:rsidP="00D9024C">
      <w:pPr>
        <w:rPr>
          <w:sz w:val="22"/>
        </w:rPr>
      </w:pPr>
    </w:p>
    <w:p w:rsidR="00B34E57" w:rsidRPr="00062CE4" w:rsidRDefault="00B34E57" w:rsidP="00160B87">
      <w:pPr>
        <w:pStyle w:val="Heading1"/>
        <w:numPr>
          <w:ilvl w:val="0"/>
          <w:numId w:val="28"/>
        </w:numPr>
      </w:pPr>
      <w:bookmarkStart w:id="4" w:name="_Toc373916719"/>
      <w:bookmarkStart w:id="5" w:name="_Toc396424906"/>
      <w:r w:rsidRPr="00062CE4">
        <w:t>JUSTIFICATION</w:t>
      </w:r>
      <w:bookmarkEnd w:id="4"/>
      <w:bookmarkEnd w:id="5"/>
    </w:p>
    <w:p w:rsidR="00B34E57" w:rsidRPr="008561E4" w:rsidRDefault="00B34E57" w:rsidP="00160B87">
      <w:pPr>
        <w:pStyle w:val="Heading2"/>
      </w:pPr>
      <w:bookmarkStart w:id="6" w:name="_Toc373916720"/>
      <w:bookmarkStart w:id="7" w:name="_Toc396424907"/>
      <w:r w:rsidRPr="008561E4">
        <w:t>Legal Authority</w:t>
      </w:r>
      <w:bookmarkEnd w:id="6"/>
      <w:bookmarkEnd w:id="7"/>
    </w:p>
    <w:p w:rsidR="0086075E" w:rsidRPr="00160B87" w:rsidRDefault="003024DE" w:rsidP="00160B87">
      <w:pPr>
        <w:pStyle w:val="ListParagraph"/>
        <w:spacing w:before="120" w:beforeAutospacing="0" w:after="0" w:afterAutospacing="0"/>
        <w:ind w:left="0"/>
        <w:contextualSpacing w:val="0"/>
        <w:rPr>
          <w:rFonts w:ascii="Times New Roman" w:hAnsi="Times New Roman"/>
          <w:color w:val="000000"/>
          <w:spacing w:val="5"/>
          <w:sz w:val="22"/>
        </w:rPr>
      </w:pPr>
      <w:r w:rsidRPr="00160B87">
        <w:rPr>
          <w:rFonts w:ascii="Times New Roman" w:hAnsi="Times New Roman"/>
          <w:color w:val="000000"/>
          <w:spacing w:val="5"/>
          <w:sz w:val="22"/>
        </w:rPr>
        <w:t xml:space="preserve">The </w:t>
      </w:r>
      <w:proofErr w:type="gramStart"/>
      <w:r w:rsidRPr="00160B87">
        <w:rPr>
          <w:rFonts w:ascii="Times New Roman" w:hAnsi="Times New Roman"/>
          <w:color w:val="000000"/>
          <w:spacing w:val="5"/>
          <w:sz w:val="22"/>
        </w:rPr>
        <w:t>authority for th</w:t>
      </w:r>
      <w:r w:rsidR="00632FCD">
        <w:rPr>
          <w:rFonts w:ascii="Times New Roman" w:hAnsi="Times New Roman"/>
          <w:color w:val="000000"/>
          <w:spacing w:val="5"/>
          <w:sz w:val="22"/>
        </w:rPr>
        <w:t>is</w:t>
      </w:r>
      <w:r w:rsidRPr="00160B87">
        <w:rPr>
          <w:rFonts w:ascii="Times New Roman" w:hAnsi="Times New Roman"/>
          <w:color w:val="000000"/>
          <w:spacing w:val="5"/>
          <w:sz w:val="22"/>
        </w:rPr>
        <w:t xml:space="preserve"> mandatory data collection is provided by the following provisions</w:t>
      </w:r>
      <w:proofErr w:type="gramEnd"/>
      <w:r w:rsidRPr="00160B87">
        <w:rPr>
          <w:rFonts w:ascii="Times New Roman" w:hAnsi="Times New Roman"/>
          <w:color w:val="000000"/>
          <w:spacing w:val="5"/>
          <w:sz w:val="22"/>
        </w:rPr>
        <w:t>:</w:t>
      </w:r>
    </w:p>
    <w:p w:rsidR="00DF0F4E" w:rsidRPr="00160B87" w:rsidRDefault="003024DE" w:rsidP="00160B87">
      <w:pPr>
        <w:pStyle w:val="ListParagraph"/>
        <w:numPr>
          <w:ilvl w:val="0"/>
          <w:numId w:val="10"/>
        </w:numPr>
        <w:spacing w:before="120" w:beforeAutospacing="0" w:after="0" w:afterAutospacing="0"/>
        <w:ind w:left="720"/>
        <w:contextualSpacing w:val="0"/>
        <w:rPr>
          <w:rFonts w:ascii="Times New Roman" w:hAnsi="Times New Roman"/>
          <w:color w:val="000000"/>
          <w:spacing w:val="5"/>
          <w:sz w:val="22"/>
        </w:rPr>
      </w:pPr>
      <w:r w:rsidRPr="00160B87">
        <w:rPr>
          <w:rFonts w:ascii="Times New Roman" w:hAnsi="Times New Roman"/>
          <w:color w:val="000000"/>
          <w:spacing w:val="5"/>
          <w:sz w:val="22"/>
        </w:rPr>
        <w:t>Section 13(b), 15 U.S.C. 772(b), of the Federal Energy Administration Act of 1974 (FEA Act), Public Law 93 275, states:</w:t>
      </w:r>
    </w:p>
    <w:p w:rsidR="003024DE" w:rsidRPr="00160B87" w:rsidRDefault="003024DE" w:rsidP="00160B87">
      <w:pPr>
        <w:pStyle w:val="ListParagraph"/>
        <w:spacing w:before="120" w:beforeAutospacing="0"/>
        <w:contextualSpacing w:val="0"/>
        <w:jc w:val="left"/>
        <w:rPr>
          <w:rFonts w:ascii="Times New Roman" w:hAnsi="Times New Roman"/>
          <w:color w:val="000000"/>
          <w:spacing w:val="5"/>
          <w:sz w:val="22"/>
        </w:rPr>
      </w:pPr>
      <w:proofErr w:type="gramStart"/>
      <w:r w:rsidRPr="00160B87">
        <w:rPr>
          <w:rFonts w:ascii="Times New Roman" w:hAnsi="Times New Roman"/>
          <w:color w:val="000000"/>
          <w:spacing w:val="5"/>
          <w:sz w:val="22"/>
        </w:rPr>
        <w:t xml:space="preserve">"All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w:t>
      </w:r>
      <w:r w:rsidR="00FD6AA1">
        <w:rPr>
          <w:rFonts w:ascii="Times New Roman" w:hAnsi="Times New Roman"/>
          <w:color w:val="000000"/>
          <w:spacing w:val="5"/>
          <w:sz w:val="22"/>
        </w:rPr>
        <w:t>[</w:t>
      </w:r>
      <w:r w:rsidRPr="00160B87">
        <w:rPr>
          <w:rFonts w:ascii="Times New Roman" w:hAnsi="Times New Roman"/>
          <w:color w:val="000000"/>
          <w:spacing w:val="5"/>
          <w:sz w:val="22"/>
        </w:rPr>
        <w:t>Secretary</w:t>
      </w:r>
      <w:r w:rsidR="00FD6AA1">
        <w:rPr>
          <w:rFonts w:ascii="Times New Roman" w:hAnsi="Times New Roman"/>
          <w:color w:val="000000"/>
          <w:spacing w:val="5"/>
          <w:sz w:val="22"/>
        </w:rPr>
        <w:t>]</w:t>
      </w:r>
      <w:r w:rsidRPr="00160B87">
        <w:rPr>
          <w:rFonts w:ascii="Times New Roman" w:hAnsi="Times New Roman"/>
          <w:color w:val="000000"/>
          <w:spacing w:val="5"/>
          <w:sz w:val="22"/>
        </w:rPr>
        <w:t xml:space="preserve"> may prescribe by regulation or order as necessary or appropriate for the proper exercise of functions under this Act."</w:t>
      </w:r>
      <w:proofErr w:type="gramEnd"/>
    </w:p>
    <w:p w:rsidR="00DF0F4E" w:rsidRPr="00160B87" w:rsidRDefault="003024DE" w:rsidP="00160B87">
      <w:pPr>
        <w:pStyle w:val="ListParagraph"/>
        <w:numPr>
          <w:ilvl w:val="0"/>
          <w:numId w:val="10"/>
        </w:numPr>
        <w:spacing w:after="0" w:afterAutospacing="0"/>
        <w:ind w:left="720"/>
        <w:contextualSpacing w:val="0"/>
        <w:rPr>
          <w:rFonts w:ascii="Times New Roman" w:hAnsi="Times New Roman"/>
          <w:color w:val="000000"/>
          <w:spacing w:val="5"/>
          <w:sz w:val="22"/>
        </w:rPr>
      </w:pPr>
      <w:r w:rsidRPr="00160B87">
        <w:rPr>
          <w:rFonts w:ascii="Times New Roman" w:hAnsi="Times New Roman"/>
          <w:color w:val="000000"/>
          <w:spacing w:val="5"/>
          <w:sz w:val="22"/>
        </w:rPr>
        <w:t>Section 5(b), 15 U.S.C. 764(b), of the FEA Act, states that to the extent a</w:t>
      </w:r>
      <w:r w:rsidR="00FD6AA1">
        <w:rPr>
          <w:rFonts w:ascii="Times New Roman" w:hAnsi="Times New Roman"/>
          <w:color w:val="000000"/>
          <w:spacing w:val="5"/>
          <w:sz w:val="22"/>
        </w:rPr>
        <w:t>uthorized by Section 5(a), the [</w:t>
      </w:r>
      <w:r w:rsidRPr="00160B87">
        <w:rPr>
          <w:rFonts w:ascii="Times New Roman" w:hAnsi="Times New Roman"/>
          <w:color w:val="000000"/>
          <w:spacing w:val="5"/>
          <w:sz w:val="22"/>
        </w:rPr>
        <w:t>Secretary</w:t>
      </w:r>
      <w:r w:rsidR="00FD6AA1">
        <w:rPr>
          <w:rFonts w:ascii="Times New Roman" w:hAnsi="Times New Roman"/>
          <w:color w:val="000000"/>
          <w:spacing w:val="5"/>
          <w:sz w:val="22"/>
        </w:rPr>
        <w:t>]</w:t>
      </w:r>
      <w:r w:rsidRPr="00160B87">
        <w:rPr>
          <w:rFonts w:ascii="Times New Roman" w:hAnsi="Times New Roman"/>
          <w:color w:val="000000"/>
          <w:spacing w:val="5"/>
          <w:sz w:val="22"/>
        </w:rPr>
        <w:t xml:space="preserve"> shall:</w:t>
      </w:r>
    </w:p>
    <w:p w:rsidR="00A25203" w:rsidRDefault="003024DE" w:rsidP="00160B87">
      <w:pPr>
        <w:tabs>
          <w:tab w:val="decimal" w:pos="792"/>
        </w:tabs>
        <w:spacing w:before="120" w:beforeAutospacing="0" w:after="0" w:afterAutospacing="0"/>
        <w:ind w:left="720"/>
        <w:jc w:val="left"/>
        <w:rPr>
          <w:color w:val="000000"/>
          <w:spacing w:val="5"/>
          <w:sz w:val="22"/>
        </w:rPr>
      </w:pPr>
      <w:r w:rsidRPr="00160B87">
        <w:rPr>
          <w:color w:val="000000"/>
          <w:spacing w:val="5"/>
          <w:sz w:val="22"/>
        </w:rPr>
        <w:t>(2)</w:t>
      </w:r>
      <w:r w:rsidR="00A25203" w:rsidRPr="00160B87">
        <w:rPr>
          <w:color w:val="000000"/>
          <w:spacing w:val="5"/>
          <w:sz w:val="22"/>
        </w:rPr>
        <w:t xml:space="preserve"> ...</w:t>
      </w:r>
      <w:r w:rsidRPr="00160B87">
        <w:rPr>
          <w:color w:val="000000"/>
          <w:spacing w:val="5"/>
          <w:sz w:val="22"/>
        </w:rPr>
        <w:t>Assess the adequacy of energy resources to meet demands in the immediate and longer range future for all sectors of the economy and for the general public;</w:t>
      </w:r>
      <w:r w:rsidR="0076658F">
        <w:rPr>
          <w:color w:val="000000"/>
          <w:spacing w:val="5"/>
          <w:sz w:val="22"/>
        </w:rPr>
        <w:t xml:space="preserve"> </w:t>
      </w:r>
      <w:r w:rsidRPr="00160B87">
        <w:rPr>
          <w:color w:val="000000"/>
          <w:spacing w:val="5"/>
          <w:sz w:val="22"/>
        </w:rPr>
        <w:t>...</w:t>
      </w:r>
    </w:p>
    <w:p w:rsidR="00FD6AA1" w:rsidRDefault="00FD6AA1" w:rsidP="00160B87">
      <w:pPr>
        <w:tabs>
          <w:tab w:val="decimal" w:pos="792"/>
        </w:tabs>
        <w:spacing w:before="120" w:beforeAutospacing="0" w:after="0" w:afterAutospacing="0"/>
        <w:ind w:left="720"/>
        <w:jc w:val="left"/>
        <w:rPr>
          <w:color w:val="000000"/>
          <w:spacing w:val="5"/>
          <w:sz w:val="22"/>
        </w:rPr>
      </w:pPr>
      <w:r>
        <w:rPr>
          <w:color w:val="000000"/>
          <w:spacing w:val="5"/>
          <w:sz w:val="22"/>
        </w:rPr>
        <w:t>(4) …develop plans and programs for dealing with energy production shortages</w:t>
      </w:r>
      <w:proofErr w:type="gramStart"/>
      <w:r>
        <w:rPr>
          <w:color w:val="000000"/>
          <w:spacing w:val="5"/>
          <w:sz w:val="22"/>
        </w:rPr>
        <w:t>;</w:t>
      </w:r>
      <w:proofErr w:type="gramEnd"/>
      <w:r>
        <w:rPr>
          <w:color w:val="000000"/>
          <w:spacing w:val="5"/>
          <w:sz w:val="22"/>
        </w:rPr>
        <w:t xml:space="preserve"> …</w:t>
      </w:r>
    </w:p>
    <w:p w:rsidR="00FD6AA1" w:rsidRDefault="00FD6AA1" w:rsidP="00160B87">
      <w:pPr>
        <w:tabs>
          <w:tab w:val="decimal" w:pos="792"/>
        </w:tabs>
        <w:spacing w:before="120" w:beforeAutospacing="0" w:after="0" w:afterAutospacing="0"/>
        <w:ind w:left="720"/>
        <w:jc w:val="left"/>
        <w:rPr>
          <w:color w:val="000000"/>
          <w:spacing w:val="5"/>
          <w:sz w:val="22"/>
        </w:rPr>
      </w:pPr>
      <w:r>
        <w:rPr>
          <w:color w:val="000000"/>
          <w:spacing w:val="5"/>
          <w:sz w:val="22"/>
        </w:rPr>
        <w:t>(5) …promote stability in energy prices to the consumer, promote free and open competition in all aspects of the energy field, prevent unreasonable profits within the various segments of the energy industry, and promote free enterprise; …</w:t>
      </w:r>
    </w:p>
    <w:p w:rsidR="00FD6AA1" w:rsidRPr="00160B87" w:rsidRDefault="00FD6AA1" w:rsidP="00160B87">
      <w:pPr>
        <w:tabs>
          <w:tab w:val="decimal" w:pos="792"/>
        </w:tabs>
        <w:spacing w:before="120" w:beforeAutospacing="0" w:after="0" w:afterAutospacing="0"/>
        <w:ind w:left="720"/>
        <w:jc w:val="left"/>
        <w:rPr>
          <w:color w:val="000000"/>
          <w:spacing w:val="5"/>
          <w:sz w:val="22"/>
        </w:rPr>
      </w:pPr>
      <w:r>
        <w:rPr>
          <w:color w:val="000000"/>
          <w:spacing w:val="5"/>
          <w:sz w:val="22"/>
        </w:rPr>
        <w:t xml:space="preserve">(6) …assure that energy programs are designed and implemented in a fair and efficient manner so as to minimize hardship and inequity while assuring that the priority needs of the Nation are met; … </w:t>
      </w:r>
    </w:p>
    <w:p w:rsidR="003E1DD7" w:rsidRPr="00160B87" w:rsidRDefault="003024DE" w:rsidP="00160B87">
      <w:pPr>
        <w:tabs>
          <w:tab w:val="decimal" w:pos="792"/>
        </w:tabs>
        <w:spacing w:before="120" w:beforeAutospacing="0" w:after="0" w:afterAutospacing="0"/>
        <w:ind w:left="720"/>
        <w:jc w:val="left"/>
        <w:rPr>
          <w:color w:val="000000"/>
          <w:spacing w:val="5"/>
          <w:sz w:val="22"/>
        </w:rPr>
      </w:pPr>
      <w:r w:rsidRPr="00160B87">
        <w:rPr>
          <w:color w:val="000000"/>
          <w:spacing w:val="5"/>
          <w:sz w:val="22"/>
        </w:rPr>
        <w:t>(9)</w:t>
      </w:r>
      <w:r w:rsidR="003E1DD7" w:rsidRPr="00160B87">
        <w:rPr>
          <w:color w:val="000000"/>
          <w:spacing w:val="5"/>
          <w:sz w:val="22"/>
        </w:rPr>
        <w:t xml:space="preserve"> ...</w:t>
      </w:r>
      <w:r w:rsidRPr="00160B87">
        <w:rPr>
          <w:color w:val="000000"/>
          <w:spacing w:val="5"/>
          <w:sz w:val="22"/>
        </w:rPr>
        <w:t>collect, evaluate, assemble, and analyze energy information on reserves, production, demand, and related economic data</w:t>
      </w:r>
      <w:proofErr w:type="gramStart"/>
      <w:r w:rsidRPr="00160B87">
        <w:rPr>
          <w:color w:val="000000"/>
          <w:spacing w:val="5"/>
          <w:sz w:val="22"/>
        </w:rPr>
        <w:t>;</w:t>
      </w:r>
      <w:r w:rsidR="0076658F">
        <w:rPr>
          <w:color w:val="000000"/>
          <w:spacing w:val="5"/>
          <w:sz w:val="22"/>
        </w:rPr>
        <w:t xml:space="preserve"> </w:t>
      </w:r>
      <w:r w:rsidRPr="00160B87">
        <w:rPr>
          <w:color w:val="000000"/>
          <w:spacing w:val="5"/>
          <w:sz w:val="22"/>
        </w:rPr>
        <w:t>...</w:t>
      </w:r>
      <w:proofErr w:type="gramEnd"/>
    </w:p>
    <w:p w:rsidR="003024DE" w:rsidRPr="00160B87" w:rsidRDefault="003E1DD7" w:rsidP="00160B87">
      <w:pPr>
        <w:tabs>
          <w:tab w:val="decimal" w:pos="792"/>
        </w:tabs>
        <w:spacing w:before="120" w:beforeAutospacing="0" w:after="0" w:afterAutospacing="0"/>
        <w:ind w:left="720"/>
        <w:jc w:val="left"/>
        <w:rPr>
          <w:color w:val="000000"/>
          <w:spacing w:val="5"/>
          <w:sz w:val="22"/>
        </w:rPr>
      </w:pPr>
      <w:r w:rsidRPr="00160B87">
        <w:rPr>
          <w:color w:val="000000"/>
          <w:spacing w:val="5"/>
          <w:sz w:val="22"/>
        </w:rPr>
        <w:t>(12) ...</w:t>
      </w:r>
      <w:r w:rsidR="003024DE" w:rsidRPr="00160B87">
        <w:rPr>
          <w:color w:val="000000"/>
          <w:spacing w:val="5"/>
          <w:sz w:val="22"/>
        </w:rPr>
        <w:t>perform such other functions as may be prescribed by law."</w:t>
      </w:r>
    </w:p>
    <w:p w:rsidR="00DF0F4E" w:rsidRPr="00160B87" w:rsidRDefault="003024DE" w:rsidP="00FF435A">
      <w:pPr>
        <w:pStyle w:val="ListParagraph"/>
        <w:numPr>
          <w:ilvl w:val="0"/>
          <w:numId w:val="10"/>
        </w:numPr>
        <w:spacing w:after="0" w:afterAutospacing="0"/>
        <w:ind w:left="720"/>
        <w:contextualSpacing w:val="0"/>
        <w:rPr>
          <w:rFonts w:ascii="Times New Roman" w:hAnsi="Times New Roman"/>
          <w:color w:val="000000"/>
          <w:spacing w:val="5"/>
          <w:sz w:val="22"/>
        </w:rPr>
      </w:pPr>
      <w:r w:rsidRPr="00160B87">
        <w:rPr>
          <w:rFonts w:ascii="Times New Roman" w:hAnsi="Times New Roman"/>
          <w:color w:val="000000"/>
          <w:spacing w:val="5"/>
          <w:sz w:val="22"/>
        </w:rPr>
        <w:t>As the authority for invoking Section 5(b)</w:t>
      </w:r>
      <w:r w:rsidR="00D13E07" w:rsidRPr="00160B87">
        <w:rPr>
          <w:rFonts w:ascii="Times New Roman" w:hAnsi="Times New Roman"/>
          <w:color w:val="000000"/>
          <w:spacing w:val="5"/>
          <w:sz w:val="22"/>
        </w:rPr>
        <w:t>,</w:t>
      </w:r>
      <w:r w:rsidRPr="00160B87">
        <w:rPr>
          <w:rFonts w:ascii="Times New Roman" w:hAnsi="Times New Roman"/>
          <w:color w:val="000000"/>
          <w:spacing w:val="5"/>
          <w:sz w:val="22"/>
        </w:rPr>
        <w:t xml:space="preserve"> above, Section 5(a), 15 U.S.C. 764(a), of the FEA Act in turn states:</w:t>
      </w:r>
    </w:p>
    <w:p w:rsidR="00DF0F4E" w:rsidRPr="00160B87" w:rsidRDefault="00DF0F4E" w:rsidP="00FF435A">
      <w:pPr>
        <w:spacing w:before="120" w:beforeAutospacing="0" w:after="0" w:afterAutospacing="0"/>
        <w:ind w:left="720"/>
        <w:jc w:val="left"/>
        <w:rPr>
          <w:color w:val="000000"/>
          <w:spacing w:val="5"/>
          <w:sz w:val="22"/>
        </w:rPr>
      </w:pPr>
      <w:r w:rsidRPr="00160B87">
        <w:rPr>
          <w:color w:val="000000"/>
          <w:spacing w:val="5"/>
          <w:sz w:val="22"/>
        </w:rPr>
        <w:t>”</w:t>
      </w:r>
      <w:r w:rsidR="003024DE" w:rsidRPr="00160B87">
        <w:rPr>
          <w:color w:val="000000"/>
          <w:spacing w:val="5"/>
          <w:sz w:val="22"/>
        </w:rPr>
        <w:t>Subject to the provisions and procedu</w:t>
      </w:r>
      <w:r w:rsidR="00FD6AA1">
        <w:rPr>
          <w:color w:val="000000"/>
          <w:spacing w:val="5"/>
          <w:sz w:val="22"/>
        </w:rPr>
        <w:t>res set forth in this Act, the [</w:t>
      </w:r>
      <w:r w:rsidR="003024DE" w:rsidRPr="00160B87">
        <w:rPr>
          <w:color w:val="000000"/>
          <w:spacing w:val="5"/>
          <w:sz w:val="22"/>
        </w:rPr>
        <w:t>Secretary</w:t>
      </w:r>
      <w:r w:rsidR="00FD6AA1">
        <w:rPr>
          <w:color w:val="000000"/>
          <w:spacing w:val="5"/>
          <w:sz w:val="22"/>
        </w:rPr>
        <w:t>]</w:t>
      </w:r>
      <w:r w:rsidR="003024DE" w:rsidRPr="00160B87">
        <w:rPr>
          <w:color w:val="000000"/>
          <w:spacing w:val="5"/>
          <w:sz w:val="22"/>
        </w:rPr>
        <w:t xml:space="preserve"> shall be responsible for such actions as are taken to assure that adequate provision is made to meet the energy needs of the Nation</w:t>
      </w:r>
      <w:proofErr w:type="gramStart"/>
      <w:r w:rsidR="003024DE" w:rsidRPr="00160B87">
        <w:rPr>
          <w:color w:val="000000"/>
          <w:spacing w:val="5"/>
          <w:sz w:val="22"/>
        </w:rPr>
        <w:t xml:space="preserve">. </w:t>
      </w:r>
      <w:r w:rsidR="00A25D40" w:rsidRPr="00160B87">
        <w:rPr>
          <w:color w:val="000000"/>
          <w:spacing w:val="5"/>
          <w:sz w:val="22"/>
        </w:rPr>
        <w:t xml:space="preserve"> </w:t>
      </w:r>
      <w:proofErr w:type="gramEnd"/>
      <w:r w:rsidR="003024DE" w:rsidRPr="00160B87">
        <w:rPr>
          <w:color w:val="000000"/>
          <w:spacing w:val="5"/>
          <w:sz w:val="22"/>
        </w:rPr>
        <w:t xml:space="preserve">To that end, he shall make such </w:t>
      </w:r>
      <w:proofErr w:type="gramStart"/>
      <w:r w:rsidR="003024DE" w:rsidRPr="00160B87">
        <w:rPr>
          <w:color w:val="000000"/>
          <w:spacing w:val="5"/>
          <w:sz w:val="22"/>
        </w:rPr>
        <w:t>plans and direct</w:t>
      </w:r>
      <w:proofErr w:type="gramEnd"/>
      <w:r w:rsidR="003024DE" w:rsidRPr="00160B87">
        <w:rPr>
          <w:color w:val="000000"/>
          <w:spacing w:val="5"/>
          <w:sz w:val="22"/>
        </w:rPr>
        <w:t xml:space="preserve"> and conduct such programs related to the production, conservation, use, control, distribution, </w:t>
      </w:r>
      <w:r w:rsidR="003024DE" w:rsidRPr="00160B87">
        <w:rPr>
          <w:color w:val="000000"/>
          <w:spacing w:val="5"/>
          <w:sz w:val="22"/>
        </w:rPr>
        <w:lastRenderedPageBreak/>
        <w:t>rationing, and allocation of all forms of energy as are appropriate in connection with only those authorities or functions...</w:t>
      </w:r>
    </w:p>
    <w:p w:rsidR="00A25D40" w:rsidRPr="00160B87" w:rsidRDefault="00DF0F4E" w:rsidP="00FF435A">
      <w:pPr>
        <w:spacing w:before="120" w:beforeAutospacing="0" w:after="0" w:afterAutospacing="0"/>
        <w:ind w:left="720"/>
        <w:jc w:val="left"/>
        <w:rPr>
          <w:color w:val="000000"/>
          <w:spacing w:val="5"/>
          <w:sz w:val="22"/>
        </w:rPr>
      </w:pPr>
      <w:r w:rsidRPr="00160B87">
        <w:rPr>
          <w:color w:val="000000"/>
          <w:spacing w:val="5"/>
          <w:sz w:val="22"/>
        </w:rPr>
        <w:t>(a)</w:t>
      </w:r>
      <w:r w:rsidR="00A25D40" w:rsidRPr="00160B87">
        <w:rPr>
          <w:color w:val="000000"/>
          <w:spacing w:val="5"/>
          <w:sz w:val="22"/>
        </w:rPr>
        <w:t xml:space="preserve"> ...</w:t>
      </w:r>
      <w:r w:rsidR="003024DE" w:rsidRPr="00160B87">
        <w:rPr>
          <w:color w:val="000000"/>
          <w:spacing w:val="5"/>
          <w:sz w:val="22"/>
        </w:rPr>
        <w:t>specifically transferred to or vested i</w:t>
      </w:r>
      <w:r w:rsidR="00A25D40" w:rsidRPr="00160B87">
        <w:rPr>
          <w:color w:val="000000"/>
          <w:spacing w:val="5"/>
          <w:sz w:val="22"/>
        </w:rPr>
        <w:t>n him by or pursuant to this Act...</w:t>
      </w:r>
    </w:p>
    <w:p w:rsidR="003024DE" w:rsidRPr="00160B87" w:rsidRDefault="003024DE" w:rsidP="00FF435A">
      <w:pPr>
        <w:spacing w:before="120" w:beforeAutospacing="0" w:after="0" w:afterAutospacing="0"/>
        <w:ind w:left="720"/>
        <w:jc w:val="left"/>
        <w:rPr>
          <w:color w:val="000000"/>
          <w:spacing w:val="5"/>
          <w:sz w:val="22"/>
        </w:rPr>
      </w:pPr>
      <w:r w:rsidRPr="00160B87">
        <w:rPr>
          <w:color w:val="000000"/>
          <w:spacing w:val="5"/>
          <w:sz w:val="22"/>
        </w:rPr>
        <w:t>(c)</w:t>
      </w:r>
      <w:r w:rsidR="00A25D40" w:rsidRPr="00160B87">
        <w:rPr>
          <w:color w:val="000000"/>
          <w:spacing w:val="5"/>
          <w:sz w:val="22"/>
        </w:rPr>
        <w:t xml:space="preserve"> ...</w:t>
      </w:r>
      <w:r w:rsidRPr="00160B87">
        <w:rPr>
          <w:color w:val="000000"/>
          <w:spacing w:val="5"/>
          <w:sz w:val="22"/>
        </w:rPr>
        <w:t>otherwise specifically vested in the (Secretary) by the Congress."</w:t>
      </w:r>
    </w:p>
    <w:p w:rsidR="00DF0F4E" w:rsidRPr="00FD6AA1" w:rsidRDefault="00FD6AA1" w:rsidP="00FD6AA1">
      <w:pPr>
        <w:spacing w:after="0" w:afterAutospacing="0"/>
        <w:ind w:left="720"/>
        <w:rPr>
          <w:color w:val="000000"/>
          <w:spacing w:val="5"/>
          <w:sz w:val="22"/>
        </w:rPr>
      </w:pPr>
      <w:r>
        <w:rPr>
          <w:color w:val="000000"/>
          <w:spacing w:val="5"/>
          <w:sz w:val="22"/>
        </w:rPr>
        <w:t xml:space="preserve">(d) </w:t>
      </w:r>
      <w:r w:rsidR="003024DE" w:rsidRPr="00FD6AA1">
        <w:rPr>
          <w:color w:val="000000"/>
          <w:spacing w:val="5"/>
          <w:sz w:val="22"/>
        </w:rPr>
        <w:t xml:space="preserve">Authority for invoking Section 5(a) of the FEA Act is provided by Section 52, 15 U.S.C. 790a, of the FEA </w:t>
      </w:r>
      <w:proofErr w:type="gramStart"/>
      <w:r w:rsidR="003024DE" w:rsidRPr="00FD6AA1">
        <w:rPr>
          <w:color w:val="000000"/>
          <w:spacing w:val="5"/>
          <w:sz w:val="22"/>
        </w:rPr>
        <w:t>Act which states that</w:t>
      </w:r>
      <w:proofErr w:type="gramEnd"/>
      <w:r w:rsidR="003024DE" w:rsidRPr="00FD6AA1">
        <w:rPr>
          <w:color w:val="000000"/>
          <w:spacing w:val="5"/>
          <w:sz w:val="22"/>
        </w:rPr>
        <w:t xml:space="preserve"> the Administrator of the EIA:</w:t>
      </w:r>
    </w:p>
    <w:p w:rsidR="00DF0F4E" w:rsidRPr="00160B87" w:rsidRDefault="00A25D40" w:rsidP="001B63C7">
      <w:pPr>
        <w:spacing w:before="120" w:beforeAutospacing="0" w:after="0" w:afterAutospacing="0"/>
        <w:ind w:left="720"/>
        <w:jc w:val="left"/>
        <w:rPr>
          <w:color w:val="000000"/>
          <w:spacing w:val="5"/>
          <w:sz w:val="22"/>
        </w:rPr>
      </w:pPr>
      <w:proofErr w:type="gramStart"/>
      <w:r w:rsidRPr="00160B87">
        <w:rPr>
          <w:color w:val="000000"/>
          <w:spacing w:val="5"/>
          <w:sz w:val="22"/>
        </w:rPr>
        <w:t>"...</w:t>
      </w:r>
      <w:r w:rsidR="003024DE" w:rsidRPr="00160B87">
        <w:rPr>
          <w:color w:val="000000"/>
          <w:spacing w:val="5"/>
          <w:sz w:val="22"/>
        </w:rPr>
        <w:t>(</w:t>
      </w:r>
      <w:proofErr w:type="gramEnd"/>
      <w:r w:rsidR="003024DE" w:rsidRPr="00160B87">
        <w:rPr>
          <w:color w:val="000000"/>
          <w:spacing w:val="5"/>
          <w:sz w:val="22"/>
        </w:rPr>
        <w:t>Shall) establish a National Energy Information System which shall ... contain such information as is required to provide a description of and facilitate analysis of energy supply and consumption...</w:t>
      </w:r>
    </w:p>
    <w:p w:rsidR="00A25D40" w:rsidRPr="00160B87" w:rsidRDefault="003024DE" w:rsidP="001B63C7">
      <w:pPr>
        <w:spacing w:before="120" w:beforeAutospacing="0" w:after="0" w:afterAutospacing="0"/>
        <w:ind w:left="720"/>
        <w:jc w:val="left"/>
        <w:rPr>
          <w:color w:val="000000"/>
          <w:spacing w:val="5"/>
          <w:sz w:val="22"/>
        </w:rPr>
      </w:pPr>
      <w:r w:rsidRPr="00160B87">
        <w:rPr>
          <w:color w:val="000000"/>
          <w:spacing w:val="5"/>
          <w:sz w:val="22"/>
        </w:rPr>
        <w:t>"(b)</w:t>
      </w:r>
      <w:r w:rsidR="00A25D40" w:rsidRPr="00160B87">
        <w:rPr>
          <w:color w:val="000000"/>
          <w:spacing w:val="5"/>
          <w:sz w:val="22"/>
        </w:rPr>
        <w:t xml:space="preserve"> </w:t>
      </w:r>
      <w:r w:rsidRPr="00160B87">
        <w:rPr>
          <w:color w:val="000000"/>
          <w:spacing w:val="5"/>
          <w:sz w:val="22"/>
        </w:rPr>
        <w:t xml:space="preserve">...the System shall contain such energy information as is necessary to carry out the Administration's statistical and forecasting activities, ..., such energy information as is required to define and permit analysis of </w:t>
      </w:r>
      <w:r w:rsidR="00DF0F4E" w:rsidRPr="00160B87">
        <w:rPr>
          <w:color w:val="000000"/>
          <w:spacing w:val="5"/>
          <w:sz w:val="22"/>
        </w:rPr>
        <w:t>–</w:t>
      </w:r>
    </w:p>
    <w:p w:rsidR="00CC33F2" w:rsidRPr="00160B87" w:rsidRDefault="003024DE" w:rsidP="001B63C7">
      <w:pPr>
        <w:pStyle w:val="ListParagraph"/>
        <w:numPr>
          <w:ilvl w:val="0"/>
          <w:numId w:val="11"/>
        </w:numPr>
        <w:spacing w:before="120" w:beforeAutospacing="0" w:after="0" w:afterAutospacing="0"/>
        <w:contextualSpacing w:val="0"/>
        <w:jc w:val="left"/>
        <w:rPr>
          <w:rFonts w:ascii="Times New Roman" w:hAnsi="Times New Roman"/>
          <w:color w:val="000000"/>
          <w:spacing w:val="5"/>
          <w:sz w:val="22"/>
        </w:rPr>
      </w:pPr>
      <w:r w:rsidRPr="00160B87">
        <w:rPr>
          <w:rFonts w:ascii="Times New Roman" w:hAnsi="Times New Roman"/>
          <w:color w:val="000000"/>
          <w:spacing w:val="5"/>
          <w:sz w:val="22"/>
        </w:rPr>
        <w:t>the institutional structure of the energy supply system including patterns of ownership and control of mineral fuel and non</w:t>
      </w:r>
      <w:r w:rsidR="0060382E">
        <w:rPr>
          <w:rFonts w:ascii="Times New Roman" w:hAnsi="Times New Roman"/>
          <w:color w:val="000000"/>
          <w:spacing w:val="5"/>
          <w:sz w:val="22"/>
        </w:rPr>
        <w:t>-</w:t>
      </w:r>
      <w:r w:rsidRPr="00160B87">
        <w:rPr>
          <w:rFonts w:ascii="Times New Roman" w:hAnsi="Times New Roman"/>
          <w:color w:val="000000"/>
          <w:spacing w:val="5"/>
          <w:sz w:val="22"/>
        </w:rPr>
        <w:t>mineral energy resources and the production, distribution, and marketing of mineral fuels and electricity;</w:t>
      </w:r>
    </w:p>
    <w:p w:rsidR="00CC33F2" w:rsidRPr="00160B87" w:rsidRDefault="003024DE" w:rsidP="001B63C7">
      <w:pPr>
        <w:pStyle w:val="ListParagraph"/>
        <w:numPr>
          <w:ilvl w:val="0"/>
          <w:numId w:val="11"/>
        </w:numPr>
        <w:spacing w:before="120" w:beforeAutospacing="0" w:after="0" w:afterAutospacing="0"/>
        <w:contextualSpacing w:val="0"/>
        <w:jc w:val="left"/>
        <w:rPr>
          <w:rFonts w:ascii="Times New Roman" w:hAnsi="Times New Roman"/>
          <w:color w:val="000000"/>
          <w:spacing w:val="5"/>
          <w:sz w:val="22"/>
        </w:rPr>
      </w:pPr>
      <w:r w:rsidRPr="00160B87">
        <w:rPr>
          <w:rFonts w:ascii="Times New Roman" w:hAnsi="Times New Roman"/>
          <w:color w:val="000000"/>
          <w:spacing w:val="5"/>
          <w:sz w:val="22"/>
        </w:rPr>
        <w:t>the consumption of mineral fuels, non</w:t>
      </w:r>
      <w:r w:rsidR="0060382E">
        <w:rPr>
          <w:rFonts w:ascii="Times New Roman" w:hAnsi="Times New Roman"/>
          <w:color w:val="000000"/>
          <w:spacing w:val="5"/>
          <w:sz w:val="22"/>
        </w:rPr>
        <w:t>-</w:t>
      </w:r>
      <w:r w:rsidRPr="00160B87">
        <w:rPr>
          <w:rFonts w:ascii="Times New Roman" w:hAnsi="Times New Roman"/>
          <w:color w:val="000000"/>
          <w:spacing w:val="5"/>
          <w:sz w:val="22"/>
        </w:rPr>
        <w:t>mineral energy resources, and electricity by such classes, sectors, and regions as may be appropriate for the purposes of this Act;</w:t>
      </w:r>
    </w:p>
    <w:p w:rsidR="009915B3" w:rsidRPr="00160B87" w:rsidRDefault="009915B3" w:rsidP="001B63C7">
      <w:pPr>
        <w:pStyle w:val="ListParagraph"/>
        <w:numPr>
          <w:ilvl w:val="0"/>
          <w:numId w:val="11"/>
        </w:numPr>
        <w:spacing w:before="120" w:beforeAutospacing="0" w:after="0" w:afterAutospacing="0"/>
        <w:contextualSpacing w:val="0"/>
        <w:jc w:val="left"/>
        <w:rPr>
          <w:rFonts w:ascii="Times New Roman" w:hAnsi="Times New Roman"/>
          <w:color w:val="000000"/>
          <w:spacing w:val="5"/>
          <w:sz w:val="22"/>
        </w:rPr>
      </w:pPr>
      <w:proofErr w:type="gramStart"/>
      <w:r w:rsidRPr="00160B87">
        <w:rPr>
          <w:rFonts w:ascii="Times New Roman" w:hAnsi="Times New Roman"/>
          <w:color w:val="000000"/>
          <w:spacing w:val="5"/>
          <w:sz w:val="22"/>
        </w:rPr>
        <w:t>industrial</w:t>
      </w:r>
      <w:proofErr w:type="gramEnd"/>
      <w:r w:rsidRPr="00160B87">
        <w:rPr>
          <w:rFonts w:ascii="Times New Roman" w:hAnsi="Times New Roman"/>
          <w:color w:val="000000"/>
          <w:spacing w:val="5"/>
          <w:sz w:val="22"/>
        </w:rPr>
        <w:t>, labor, and regional impacts of changes in patterns of energy supply and consumption.</w:t>
      </w:r>
      <w:r w:rsidR="001B63C7">
        <w:rPr>
          <w:rFonts w:ascii="Times New Roman" w:hAnsi="Times New Roman"/>
          <w:color w:val="000000"/>
          <w:spacing w:val="5"/>
          <w:sz w:val="22"/>
        </w:rPr>
        <w:t>”</w:t>
      </w:r>
    </w:p>
    <w:p w:rsidR="00A25D40" w:rsidRPr="00D71D78" w:rsidRDefault="00B34E57" w:rsidP="008561E4">
      <w:pPr>
        <w:pStyle w:val="Heading2"/>
      </w:pPr>
      <w:bookmarkStart w:id="8" w:name="_Toc345587546"/>
      <w:bookmarkStart w:id="9" w:name="_Toc373916721"/>
      <w:bookmarkStart w:id="10" w:name="_Toc396424908"/>
      <w:bookmarkEnd w:id="8"/>
      <w:r w:rsidRPr="00D71D78">
        <w:t>Needs for and Uses of the Data</w:t>
      </w:r>
      <w:bookmarkEnd w:id="9"/>
      <w:bookmarkEnd w:id="10"/>
    </w:p>
    <w:p w:rsidR="00C75680" w:rsidRDefault="00C75680" w:rsidP="00B407A7">
      <w:pPr>
        <w:spacing w:before="120" w:beforeAutospacing="0" w:after="0" w:afterAutospacing="0"/>
        <w:rPr>
          <w:sz w:val="22"/>
        </w:rPr>
      </w:pPr>
      <w:r w:rsidRPr="00C75680">
        <w:rPr>
          <w:sz w:val="22"/>
        </w:rPr>
        <w:t xml:space="preserve">The purpose of the </w:t>
      </w:r>
      <w:r w:rsidR="00D54256">
        <w:rPr>
          <w:sz w:val="22"/>
        </w:rPr>
        <w:t xml:space="preserve">proposed </w:t>
      </w:r>
      <w:r>
        <w:rPr>
          <w:sz w:val="22"/>
        </w:rPr>
        <w:t xml:space="preserve">expansion of </w:t>
      </w:r>
      <w:r w:rsidR="003820A0">
        <w:rPr>
          <w:sz w:val="22"/>
        </w:rPr>
        <w:t xml:space="preserve">the </w:t>
      </w:r>
      <w:r w:rsidRPr="00C75680">
        <w:rPr>
          <w:sz w:val="22"/>
        </w:rPr>
        <w:t>Form EIA-914</w:t>
      </w:r>
      <w:r w:rsidRPr="00A77596">
        <w:rPr>
          <w:sz w:val="22"/>
        </w:rPr>
        <w:t xml:space="preserve"> </w:t>
      </w:r>
      <w:r w:rsidRPr="00C75680">
        <w:rPr>
          <w:sz w:val="22"/>
        </w:rPr>
        <w:t xml:space="preserve"> is to collect and disseminate data on crude oil, lease condensate, and natural gas production in the lower 48 </w:t>
      </w:r>
      <w:r w:rsidR="003421F9">
        <w:rPr>
          <w:sz w:val="22"/>
        </w:rPr>
        <w:t>s</w:t>
      </w:r>
      <w:r w:rsidR="003421F9" w:rsidRPr="00C75680">
        <w:rPr>
          <w:sz w:val="22"/>
        </w:rPr>
        <w:t xml:space="preserve">tates </w:t>
      </w:r>
      <w:r w:rsidRPr="00C75680">
        <w:rPr>
          <w:sz w:val="22"/>
        </w:rPr>
        <w:t xml:space="preserve">on a timely basis in order to meet EIA’s </w:t>
      </w:r>
      <w:r w:rsidR="003F6BB1" w:rsidRPr="00DB71F6">
        <w:rPr>
          <w:color w:val="000000"/>
          <w:sz w:val="22"/>
        </w:rPr>
        <w:t>mission to provide credible, reliable, and timely energy information</w:t>
      </w:r>
      <w:r w:rsidRPr="00C75680">
        <w:rPr>
          <w:sz w:val="22"/>
        </w:rPr>
        <w:t xml:space="preserve"> and energy data users’ needs</w:t>
      </w:r>
      <w:proofErr w:type="gramStart"/>
      <w:r w:rsidRPr="00C75680">
        <w:rPr>
          <w:sz w:val="22"/>
        </w:rPr>
        <w:t xml:space="preserve">. </w:t>
      </w:r>
      <w:r w:rsidR="00BD136E">
        <w:rPr>
          <w:sz w:val="22"/>
        </w:rPr>
        <w:t xml:space="preserve"> </w:t>
      </w:r>
      <w:proofErr w:type="gramEnd"/>
      <w:r w:rsidRPr="00C75680">
        <w:rPr>
          <w:sz w:val="22"/>
        </w:rPr>
        <w:t>Timely and accurate information on monthly crude oil, lease condensate, and natural gas production in the United States is necessary to discern critical monthly production levels, variations, and trends</w:t>
      </w:r>
      <w:r w:rsidR="003421F9">
        <w:rPr>
          <w:sz w:val="22"/>
        </w:rPr>
        <w:t xml:space="preserve"> - </w:t>
      </w:r>
      <w:r w:rsidRPr="00C75680">
        <w:rPr>
          <w:sz w:val="22"/>
        </w:rPr>
        <w:t>information that is crucial for informed decision and policy making before and during peak demand periods</w:t>
      </w:r>
      <w:proofErr w:type="gramStart"/>
      <w:r w:rsidRPr="00C75680">
        <w:rPr>
          <w:sz w:val="22"/>
        </w:rPr>
        <w:t xml:space="preserve">. </w:t>
      </w:r>
      <w:r w:rsidR="00BD136E">
        <w:rPr>
          <w:sz w:val="22"/>
        </w:rPr>
        <w:t xml:space="preserve"> </w:t>
      </w:r>
      <w:proofErr w:type="gramEnd"/>
      <w:r w:rsidRPr="00C75680">
        <w:rPr>
          <w:sz w:val="22"/>
        </w:rPr>
        <w:t xml:space="preserve">The information collected </w:t>
      </w:r>
      <w:r w:rsidR="003421F9">
        <w:rPr>
          <w:sz w:val="22"/>
        </w:rPr>
        <w:t>from</w:t>
      </w:r>
      <w:r w:rsidR="003421F9" w:rsidRPr="00C75680">
        <w:rPr>
          <w:sz w:val="22"/>
        </w:rPr>
        <w:t xml:space="preserve"> </w:t>
      </w:r>
      <w:r w:rsidRPr="00C75680">
        <w:rPr>
          <w:sz w:val="22"/>
        </w:rPr>
        <w:t xml:space="preserve">this survey is used </w:t>
      </w:r>
      <w:r w:rsidR="00BD136E" w:rsidRPr="00C75680">
        <w:rPr>
          <w:sz w:val="22"/>
        </w:rPr>
        <w:t xml:space="preserve">to monitor crude oil, lease condensate, and natural gas supplies </w:t>
      </w:r>
      <w:r w:rsidR="00BD136E">
        <w:rPr>
          <w:sz w:val="22"/>
        </w:rPr>
        <w:t>and to inform policy decisions</w:t>
      </w:r>
      <w:proofErr w:type="gramStart"/>
      <w:r w:rsidR="00BD136E">
        <w:rPr>
          <w:sz w:val="22"/>
        </w:rPr>
        <w:t xml:space="preserve">.  </w:t>
      </w:r>
      <w:proofErr w:type="gramEnd"/>
      <w:r w:rsidR="00BD136E">
        <w:rPr>
          <w:sz w:val="22"/>
        </w:rPr>
        <w:t>F</w:t>
      </w:r>
      <w:r w:rsidR="003421F9" w:rsidRPr="00C75680">
        <w:rPr>
          <w:sz w:val="22"/>
        </w:rPr>
        <w:t xml:space="preserve">ederal </w:t>
      </w:r>
      <w:r w:rsidRPr="00C75680">
        <w:rPr>
          <w:sz w:val="22"/>
        </w:rPr>
        <w:t xml:space="preserve">and </w:t>
      </w:r>
      <w:r w:rsidR="003421F9">
        <w:rPr>
          <w:sz w:val="22"/>
        </w:rPr>
        <w:t>s</w:t>
      </w:r>
      <w:r w:rsidR="003421F9" w:rsidRPr="00C75680">
        <w:rPr>
          <w:sz w:val="22"/>
        </w:rPr>
        <w:t xml:space="preserve">tate </w:t>
      </w:r>
      <w:r w:rsidRPr="00C75680">
        <w:rPr>
          <w:sz w:val="22"/>
        </w:rPr>
        <w:t xml:space="preserve">agencies, </w:t>
      </w:r>
      <w:r w:rsidR="00BD136E">
        <w:rPr>
          <w:sz w:val="22"/>
        </w:rPr>
        <w:t xml:space="preserve">Congress, </w:t>
      </w:r>
      <w:r w:rsidRPr="00C75680">
        <w:rPr>
          <w:sz w:val="22"/>
        </w:rPr>
        <w:t>industry analysts</w:t>
      </w:r>
      <w:r w:rsidR="003421F9">
        <w:rPr>
          <w:sz w:val="22"/>
        </w:rPr>
        <w:t>,</w:t>
      </w:r>
      <w:r w:rsidRPr="00C75680">
        <w:rPr>
          <w:sz w:val="22"/>
        </w:rPr>
        <w:t xml:space="preserve"> </w:t>
      </w:r>
      <w:r w:rsidR="00BD136E">
        <w:rPr>
          <w:sz w:val="22"/>
        </w:rPr>
        <w:t xml:space="preserve">educators, </w:t>
      </w:r>
      <w:r w:rsidRPr="00C75680">
        <w:rPr>
          <w:sz w:val="22"/>
        </w:rPr>
        <w:t xml:space="preserve">and the </w:t>
      </w:r>
      <w:proofErr w:type="gramStart"/>
      <w:r w:rsidRPr="00C75680">
        <w:rPr>
          <w:sz w:val="22"/>
        </w:rPr>
        <w:t>general public</w:t>
      </w:r>
      <w:proofErr w:type="gramEnd"/>
      <w:r w:rsidR="00BD136E">
        <w:rPr>
          <w:sz w:val="22"/>
        </w:rPr>
        <w:t xml:space="preserve"> all rely on the impartial information EIA provides.</w:t>
      </w:r>
    </w:p>
    <w:p w:rsidR="00B407A7" w:rsidRDefault="00A870AE" w:rsidP="00B407A7">
      <w:pPr>
        <w:spacing w:before="120" w:beforeAutospacing="0" w:after="0" w:afterAutospacing="0"/>
        <w:rPr>
          <w:sz w:val="22"/>
        </w:rPr>
      </w:pPr>
      <w:r>
        <w:rPr>
          <w:sz w:val="22"/>
        </w:rPr>
        <w:t>Further,</w:t>
      </w:r>
      <w:r w:rsidR="00C75680">
        <w:rPr>
          <w:sz w:val="22"/>
        </w:rPr>
        <w:t xml:space="preserve"> collecting API gravity information for state-level production </w:t>
      </w:r>
      <w:r w:rsidR="008C5CE9">
        <w:rPr>
          <w:sz w:val="22"/>
        </w:rPr>
        <w:t xml:space="preserve">provides information about </w:t>
      </w:r>
      <w:r w:rsidR="00EB324E">
        <w:rPr>
          <w:sz w:val="22"/>
        </w:rPr>
        <w:t xml:space="preserve">the quality and changing trends in the quality of domestic oil production, informing </w:t>
      </w:r>
      <w:r w:rsidR="008C5CE9">
        <w:rPr>
          <w:sz w:val="22"/>
        </w:rPr>
        <w:t xml:space="preserve">topics </w:t>
      </w:r>
      <w:r w:rsidR="00755A83">
        <w:rPr>
          <w:sz w:val="22"/>
        </w:rPr>
        <w:t>of increasing</w:t>
      </w:r>
      <w:r w:rsidR="008C5CE9">
        <w:rPr>
          <w:sz w:val="22"/>
        </w:rPr>
        <w:t xml:space="preserve"> public interest</w:t>
      </w:r>
      <w:r w:rsidR="00C75680">
        <w:rPr>
          <w:sz w:val="22"/>
        </w:rPr>
        <w:t xml:space="preserve">, such as </w:t>
      </w:r>
      <w:r w:rsidR="00BD136E">
        <w:rPr>
          <w:sz w:val="22"/>
        </w:rPr>
        <w:t xml:space="preserve">optimizing </w:t>
      </w:r>
      <w:r w:rsidR="00EB324E">
        <w:rPr>
          <w:sz w:val="22"/>
        </w:rPr>
        <w:t>domestic refining capabilit</w:t>
      </w:r>
      <w:r w:rsidR="00BD136E">
        <w:rPr>
          <w:sz w:val="22"/>
        </w:rPr>
        <w:t>ies</w:t>
      </w:r>
      <w:r w:rsidR="00EB324E">
        <w:rPr>
          <w:sz w:val="22"/>
        </w:rPr>
        <w:t xml:space="preserve"> and </w:t>
      </w:r>
      <w:r w:rsidR="00BD136E">
        <w:rPr>
          <w:sz w:val="22"/>
        </w:rPr>
        <w:t xml:space="preserve">evaluating the </w:t>
      </w:r>
      <w:r w:rsidR="00EB324E">
        <w:rPr>
          <w:sz w:val="22"/>
        </w:rPr>
        <w:t>potential</w:t>
      </w:r>
      <w:r w:rsidR="00EB324E" w:rsidRPr="00C75680">
        <w:rPr>
          <w:sz w:val="22"/>
        </w:rPr>
        <w:t xml:space="preserve"> </w:t>
      </w:r>
      <w:r w:rsidR="00C75680" w:rsidRPr="00C75680">
        <w:rPr>
          <w:sz w:val="22"/>
        </w:rPr>
        <w:t>export</w:t>
      </w:r>
      <w:r w:rsidR="00EB324E">
        <w:rPr>
          <w:sz w:val="22"/>
        </w:rPr>
        <w:t xml:space="preserve"> of</w:t>
      </w:r>
      <w:r w:rsidR="00C75680" w:rsidRPr="00C75680">
        <w:rPr>
          <w:sz w:val="22"/>
        </w:rPr>
        <w:t xml:space="preserve"> U.S. crude oil.</w:t>
      </w:r>
    </w:p>
    <w:p w:rsidR="008C5CE9" w:rsidRPr="00A77596" w:rsidRDefault="008C5CE9" w:rsidP="008C5CE9">
      <w:pPr>
        <w:spacing w:after="0" w:afterAutospacing="0"/>
        <w:rPr>
          <w:color w:val="000000"/>
          <w:sz w:val="22"/>
        </w:rPr>
      </w:pPr>
      <w:r w:rsidRPr="00A77596">
        <w:rPr>
          <w:color w:val="000000"/>
          <w:sz w:val="22"/>
        </w:rPr>
        <w:t xml:space="preserve">The data series from </w:t>
      </w:r>
      <w:r w:rsidR="00CC6E98">
        <w:rPr>
          <w:color w:val="000000"/>
          <w:sz w:val="22"/>
        </w:rPr>
        <w:t>this</w:t>
      </w:r>
      <w:r w:rsidR="00CC6E98" w:rsidRPr="00A77596">
        <w:rPr>
          <w:color w:val="000000"/>
          <w:sz w:val="22"/>
        </w:rPr>
        <w:t xml:space="preserve"> </w:t>
      </w:r>
      <w:r w:rsidRPr="00A77596">
        <w:rPr>
          <w:color w:val="000000"/>
          <w:sz w:val="22"/>
        </w:rPr>
        <w:t>survey provide additional benefits, such as:</w:t>
      </w:r>
    </w:p>
    <w:p w:rsidR="008C5CE9" w:rsidRPr="00DB71F6" w:rsidRDefault="008C5CE9" w:rsidP="008C5CE9">
      <w:pPr>
        <w:pStyle w:val="ListParagraph"/>
        <w:numPr>
          <w:ilvl w:val="0"/>
          <w:numId w:val="23"/>
        </w:numPr>
        <w:spacing w:before="120" w:beforeAutospacing="0" w:after="0" w:afterAutospacing="0"/>
        <w:contextualSpacing w:val="0"/>
        <w:jc w:val="left"/>
        <w:rPr>
          <w:rFonts w:ascii="Times New Roman" w:hAnsi="Times New Roman"/>
          <w:color w:val="000000"/>
          <w:sz w:val="22"/>
        </w:rPr>
      </w:pPr>
      <w:bookmarkStart w:id="11" w:name="_GoBack"/>
      <w:bookmarkEnd w:id="11"/>
      <w:r w:rsidRPr="00DB71F6">
        <w:rPr>
          <w:rFonts w:ascii="Times New Roman" w:hAnsi="Times New Roman"/>
          <w:color w:val="000000"/>
          <w:sz w:val="22"/>
        </w:rPr>
        <w:t>Providing a database for use in forecasting, policy making, planning</w:t>
      </w:r>
      <w:r w:rsidR="003820A0">
        <w:rPr>
          <w:rFonts w:ascii="Times New Roman" w:hAnsi="Times New Roman"/>
          <w:color w:val="000000"/>
          <w:sz w:val="22"/>
        </w:rPr>
        <w:t>,</w:t>
      </w:r>
      <w:r w:rsidRPr="00DB71F6">
        <w:rPr>
          <w:rFonts w:ascii="Times New Roman" w:hAnsi="Times New Roman"/>
          <w:color w:val="000000"/>
          <w:sz w:val="22"/>
        </w:rPr>
        <w:t xml:space="preserve"> and analysis</w:t>
      </w:r>
      <w:r w:rsidR="003820A0">
        <w:rPr>
          <w:rFonts w:ascii="Times New Roman" w:hAnsi="Times New Roman"/>
          <w:color w:val="000000"/>
          <w:sz w:val="22"/>
        </w:rPr>
        <w:t>.</w:t>
      </w:r>
    </w:p>
    <w:p w:rsidR="008C5CE9" w:rsidRPr="00DB71F6" w:rsidRDefault="008C5CE9" w:rsidP="008C5CE9">
      <w:pPr>
        <w:pStyle w:val="ListParagraph"/>
        <w:numPr>
          <w:ilvl w:val="0"/>
          <w:numId w:val="23"/>
        </w:numPr>
        <w:spacing w:before="120" w:beforeAutospacing="0" w:after="0" w:afterAutospacing="0"/>
        <w:contextualSpacing w:val="0"/>
        <w:jc w:val="left"/>
        <w:rPr>
          <w:rFonts w:ascii="Times New Roman" w:hAnsi="Times New Roman"/>
          <w:color w:val="000000"/>
          <w:sz w:val="22"/>
        </w:rPr>
      </w:pPr>
      <w:proofErr w:type="gramStart"/>
      <w:r w:rsidRPr="00DB71F6">
        <w:rPr>
          <w:rFonts w:ascii="Times New Roman" w:hAnsi="Times New Roman"/>
          <w:color w:val="000000"/>
          <w:sz w:val="22"/>
        </w:rPr>
        <w:t>Serving as an official data bank available to Congress and other government agencies</w:t>
      </w:r>
      <w:r w:rsidR="007A48BF">
        <w:rPr>
          <w:rFonts w:ascii="Times New Roman" w:hAnsi="Times New Roman"/>
          <w:color w:val="000000"/>
          <w:sz w:val="22"/>
        </w:rPr>
        <w:t xml:space="preserve"> for</w:t>
      </w:r>
      <w:r w:rsidRPr="00DB71F6">
        <w:rPr>
          <w:rFonts w:ascii="Times New Roman" w:hAnsi="Times New Roman"/>
          <w:color w:val="000000"/>
          <w:sz w:val="22"/>
        </w:rPr>
        <w:t xml:space="preserve"> </w:t>
      </w:r>
      <w:r w:rsidR="00EB324E">
        <w:rPr>
          <w:rFonts w:ascii="Times New Roman" w:hAnsi="Times New Roman"/>
          <w:color w:val="000000"/>
          <w:sz w:val="22"/>
        </w:rPr>
        <w:t>crude oil, condensate, and natural gas production</w:t>
      </w:r>
      <w:r w:rsidRPr="00DB71F6">
        <w:rPr>
          <w:rFonts w:ascii="Times New Roman" w:hAnsi="Times New Roman"/>
          <w:color w:val="000000"/>
          <w:sz w:val="22"/>
        </w:rPr>
        <w:t xml:space="preserve"> in the United States</w:t>
      </w:r>
      <w:r w:rsidR="003820A0">
        <w:rPr>
          <w:rFonts w:ascii="Times New Roman" w:hAnsi="Times New Roman"/>
          <w:color w:val="000000"/>
          <w:sz w:val="22"/>
        </w:rPr>
        <w:t>.</w:t>
      </w:r>
      <w:proofErr w:type="gramEnd"/>
    </w:p>
    <w:p w:rsidR="008C5CE9" w:rsidRPr="00DB71F6" w:rsidRDefault="008C5CE9" w:rsidP="008C5CE9">
      <w:pPr>
        <w:pStyle w:val="ListParagraph"/>
        <w:numPr>
          <w:ilvl w:val="0"/>
          <w:numId w:val="23"/>
        </w:numPr>
        <w:spacing w:before="120" w:beforeAutospacing="0" w:after="0" w:afterAutospacing="0"/>
        <w:contextualSpacing w:val="0"/>
        <w:jc w:val="left"/>
        <w:rPr>
          <w:rFonts w:ascii="Times New Roman" w:hAnsi="Times New Roman"/>
          <w:color w:val="000000"/>
          <w:sz w:val="22"/>
        </w:rPr>
      </w:pPr>
      <w:r w:rsidRPr="00DB71F6">
        <w:rPr>
          <w:rFonts w:ascii="Times New Roman" w:hAnsi="Times New Roman"/>
          <w:color w:val="000000"/>
          <w:sz w:val="22"/>
        </w:rPr>
        <w:t>Providing a source of data for other government agencies, business firms, trade associations, and private research and consulting organizations for analysis, projections, and monitoring purposes.</w:t>
      </w:r>
    </w:p>
    <w:p w:rsidR="00004608" w:rsidRPr="00004608" w:rsidRDefault="00004608" w:rsidP="00004608">
      <w:pPr>
        <w:spacing w:before="120" w:beforeAutospacing="0" w:after="0" w:afterAutospacing="0"/>
        <w:rPr>
          <w:color w:val="000000"/>
          <w:sz w:val="22"/>
        </w:rPr>
      </w:pPr>
      <w:r w:rsidRPr="00004608">
        <w:rPr>
          <w:color w:val="000000"/>
          <w:sz w:val="22"/>
        </w:rPr>
        <w:t>The data to be p</w:t>
      </w:r>
      <w:r w:rsidRPr="008E462C">
        <w:rPr>
          <w:color w:val="000000"/>
          <w:sz w:val="22"/>
        </w:rPr>
        <w:t xml:space="preserve">rovided by </w:t>
      </w:r>
      <w:r w:rsidR="00666192">
        <w:rPr>
          <w:color w:val="000000"/>
          <w:sz w:val="22"/>
        </w:rPr>
        <w:t xml:space="preserve">the </w:t>
      </w:r>
      <w:r w:rsidR="0076658F">
        <w:rPr>
          <w:color w:val="000000"/>
          <w:sz w:val="22"/>
        </w:rPr>
        <w:t xml:space="preserve">expanded </w:t>
      </w:r>
      <w:r w:rsidRPr="008E462C">
        <w:rPr>
          <w:color w:val="000000"/>
          <w:sz w:val="22"/>
        </w:rPr>
        <w:t>Form EIA-91</w:t>
      </w:r>
      <w:r w:rsidR="00C75680" w:rsidRPr="008E462C">
        <w:rPr>
          <w:color w:val="000000"/>
          <w:sz w:val="22"/>
        </w:rPr>
        <w:t>4</w:t>
      </w:r>
      <w:r w:rsidR="009E128C">
        <w:rPr>
          <w:color w:val="000000"/>
          <w:sz w:val="22"/>
        </w:rPr>
        <w:t xml:space="preserve"> </w:t>
      </w:r>
      <w:r w:rsidR="00666192">
        <w:rPr>
          <w:color w:val="000000"/>
          <w:sz w:val="22"/>
        </w:rPr>
        <w:t>will</w:t>
      </w:r>
      <w:r w:rsidRPr="008E462C">
        <w:rPr>
          <w:color w:val="000000"/>
          <w:sz w:val="22"/>
        </w:rPr>
        <w:t xml:space="preserve"> be used by </w:t>
      </w:r>
      <w:r w:rsidR="008F4519">
        <w:rPr>
          <w:color w:val="000000"/>
          <w:sz w:val="22"/>
        </w:rPr>
        <w:t>EIA</w:t>
      </w:r>
      <w:r w:rsidRPr="008E462C">
        <w:rPr>
          <w:color w:val="000000"/>
          <w:sz w:val="22"/>
        </w:rPr>
        <w:t xml:space="preserve"> </w:t>
      </w:r>
      <w:r w:rsidR="008E462C">
        <w:rPr>
          <w:color w:val="000000"/>
          <w:sz w:val="22"/>
        </w:rPr>
        <w:t xml:space="preserve">to generate </w:t>
      </w:r>
      <w:r w:rsidR="00EB324E">
        <w:rPr>
          <w:color w:val="000000"/>
          <w:sz w:val="22"/>
        </w:rPr>
        <w:t xml:space="preserve">robust </w:t>
      </w:r>
      <w:r w:rsidR="008E462C" w:rsidRPr="008E462C">
        <w:rPr>
          <w:bCs/>
          <w:sz w:val="22"/>
        </w:rPr>
        <w:t>estimates</w:t>
      </w:r>
      <w:r w:rsidR="008E462C">
        <w:rPr>
          <w:bCs/>
          <w:sz w:val="22"/>
        </w:rPr>
        <w:t xml:space="preserve"> that wil</w:t>
      </w:r>
      <w:r w:rsidR="008E462C" w:rsidRPr="008E462C">
        <w:rPr>
          <w:bCs/>
          <w:sz w:val="22"/>
        </w:rPr>
        <w:t xml:space="preserve">l be the official </w:t>
      </w:r>
      <w:r w:rsidR="008E462C">
        <w:rPr>
          <w:bCs/>
          <w:sz w:val="22"/>
        </w:rPr>
        <w:t>EIA</w:t>
      </w:r>
      <w:r w:rsidR="008E462C" w:rsidRPr="008E462C">
        <w:rPr>
          <w:bCs/>
          <w:sz w:val="22"/>
        </w:rPr>
        <w:t xml:space="preserve"> crude oil, lease condensate, and natural gas production</w:t>
      </w:r>
      <w:r w:rsidR="00666192">
        <w:rPr>
          <w:bCs/>
          <w:sz w:val="22"/>
        </w:rPr>
        <w:t xml:space="preserve"> </w:t>
      </w:r>
      <w:r w:rsidR="00EB324E">
        <w:rPr>
          <w:bCs/>
          <w:sz w:val="22"/>
        </w:rPr>
        <w:t>figures</w:t>
      </w:r>
      <w:r w:rsidR="00D13B26">
        <w:rPr>
          <w:bCs/>
          <w:sz w:val="22"/>
        </w:rPr>
        <w:t xml:space="preserve">, until complete </w:t>
      </w:r>
      <w:r w:rsidR="00D13B26">
        <w:rPr>
          <w:bCs/>
          <w:sz w:val="22"/>
        </w:rPr>
        <w:lastRenderedPageBreak/>
        <w:t>figures based on wider state collection efforts become available</w:t>
      </w:r>
      <w:proofErr w:type="gramStart"/>
      <w:r w:rsidR="008E462C">
        <w:rPr>
          <w:color w:val="000000"/>
          <w:sz w:val="22"/>
        </w:rPr>
        <w:t xml:space="preserve">. </w:t>
      </w:r>
      <w:r w:rsidR="00BD136E">
        <w:rPr>
          <w:color w:val="000000"/>
          <w:sz w:val="22"/>
        </w:rPr>
        <w:t xml:space="preserve"> </w:t>
      </w:r>
      <w:proofErr w:type="gramEnd"/>
      <w:r w:rsidR="008E462C">
        <w:rPr>
          <w:color w:val="000000"/>
          <w:sz w:val="22"/>
        </w:rPr>
        <w:t>The</w:t>
      </w:r>
      <w:r w:rsidR="00666192">
        <w:rPr>
          <w:color w:val="000000"/>
          <w:sz w:val="22"/>
        </w:rPr>
        <w:t>se</w:t>
      </w:r>
      <w:r w:rsidR="008E462C">
        <w:rPr>
          <w:color w:val="000000"/>
          <w:sz w:val="22"/>
        </w:rPr>
        <w:t xml:space="preserve"> estimates</w:t>
      </w:r>
      <w:r w:rsidR="00666192">
        <w:rPr>
          <w:color w:val="000000"/>
          <w:sz w:val="22"/>
        </w:rPr>
        <w:t>, in turn,</w:t>
      </w:r>
      <w:r w:rsidR="008E462C">
        <w:rPr>
          <w:color w:val="000000"/>
          <w:sz w:val="22"/>
        </w:rPr>
        <w:t xml:space="preserve"> will be</w:t>
      </w:r>
      <w:r w:rsidR="00BD136E">
        <w:rPr>
          <w:color w:val="000000"/>
          <w:sz w:val="22"/>
        </w:rPr>
        <w:t>come</w:t>
      </w:r>
      <w:r w:rsidR="008E462C">
        <w:rPr>
          <w:color w:val="000000"/>
          <w:sz w:val="22"/>
        </w:rPr>
        <w:t xml:space="preserve"> </w:t>
      </w:r>
      <w:r w:rsidRPr="00004608">
        <w:rPr>
          <w:color w:val="000000"/>
          <w:sz w:val="22"/>
        </w:rPr>
        <w:t>input</w:t>
      </w:r>
      <w:r w:rsidR="008E462C">
        <w:rPr>
          <w:color w:val="000000"/>
          <w:sz w:val="22"/>
        </w:rPr>
        <w:t>s</w:t>
      </w:r>
      <w:r w:rsidRPr="00004608">
        <w:rPr>
          <w:color w:val="000000"/>
          <w:sz w:val="22"/>
        </w:rPr>
        <w:t xml:space="preserve"> into the following </w:t>
      </w:r>
      <w:r w:rsidR="00666192">
        <w:rPr>
          <w:color w:val="000000"/>
          <w:sz w:val="22"/>
        </w:rPr>
        <w:t xml:space="preserve">EIA </w:t>
      </w:r>
      <w:r w:rsidRPr="00004608">
        <w:rPr>
          <w:color w:val="000000"/>
          <w:sz w:val="22"/>
        </w:rPr>
        <w:t>web</w:t>
      </w:r>
      <w:r w:rsidR="00BD136E">
        <w:rPr>
          <w:color w:val="000000"/>
          <w:sz w:val="22"/>
        </w:rPr>
        <w:t>site</w:t>
      </w:r>
      <w:r w:rsidRPr="00004608">
        <w:rPr>
          <w:color w:val="000000"/>
          <w:sz w:val="22"/>
        </w:rPr>
        <w:t xml:space="preserve"> products:</w:t>
      </w:r>
    </w:p>
    <w:p w:rsidR="008E462C" w:rsidRPr="008E462C" w:rsidRDefault="008E462C" w:rsidP="009E128C">
      <w:pPr>
        <w:pStyle w:val="BodyText"/>
        <w:widowControl w:val="0"/>
        <w:numPr>
          <w:ilvl w:val="0"/>
          <w:numId w:val="36"/>
        </w:numPr>
        <w:spacing w:before="120"/>
        <w:rPr>
          <w:sz w:val="22"/>
          <w:szCs w:val="22"/>
        </w:rPr>
      </w:pPr>
      <w:r w:rsidRPr="008E462C">
        <w:rPr>
          <w:b w:val="0"/>
          <w:i/>
          <w:sz w:val="22"/>
          <w:szCs w:val="22"/>
        </w:rPr>
        <w:t xml:space="preserve">Monthly </w:t>
      </w:r>
      <w:r w:rsidR="00CF2601">
        <w:rPr>
          <w:b w:val="0"/>
          <w:i/>
          <w:sz w:val="22"/>
          <w:szCs w:val="22"/>
        </w:rPr>
        <w:t>Cru</w:t>
      </w:r>
      <w:r w:rsidR="0035302F">
        <w:rPr>
          <w:b w:val="0"/>
          <w:i/>
          <w:sz w:val="22"/>
          <w:szCs w:val="22"/>
        </w:rPr>
        <w:t>d</w:t>
      </w:r>
      <w:r w:rsidR="00CF2601">
        <w:rPr>
          <w:b w:val="0"/>
          <w:i/>
          <w:sz w:val="22"/>
          <w:szCs w:val="22"/>
        </w:rPr>
        <w:t xml:space="preserve">e Oil, Lease Condensate, and </w:t>
      </w:r>
      <w:r w:rsidRPr="008E462C">
        <w:rPr>
          <w:b w:val="0"/>
          <w:i/>
          <w:sz w:val="22"/>
          <w:szCs w:val="22"/>
        </w:rPr>
        <w:t>Natural Gas Production Report</w:t>
      </w:r>
      <w:r>
        <w:rPr>
          <w:b w:val="0"/>
          <w:i/>
          <w:sz w:val="22"/>
          <w:szCs w:val="22"/>
        </w:rPr>
        <w:t xml:space="preserve">, </w:t>
      </w:r>
    </w:p>
    <w:p w:rsidR="008E462C" w:rsidRPr="00960D0D" w:rsidRDefault="00EA2243" w:rsidP="009E128C">
      <w:pPr>
        <w:pStyle w:val="BodyText"/>
        <w:widowControl w:val="0"/>
        <w:spacing w:before="120"/>
        <w:ind w:left="720"/>
        <w:rPr>
          <w:sz w:val="22"/>
          <w:szCs w:val="22"/>
        </w:rPr>
      </w:pPr>
      <w:hyperlink r:id="rId14" w:history="1">
        <w:r w:rsidR="008E462C" w:rsidRPr="00960D0D">
          <w:rPr>
            <w:rStyle w:val="Hyperlink"/>
            <w:b w:val="0"/>
            <w:sz w:val="22"/>
            <w:szCs w:val="22"/>
          </w:rPr>
          <w:t>http://www.eia.doe.gov/oil_gas/natural_gas/data_publications/eia914/eia914.html</w:t>
        </w:r>
      </w:hyperlink>
    </w:p>
    <w:p w:rsidR="00960D0D" w:rsidRPr="00960D0D" w:rsidRDefault="008E462C" w:rsidP="009E128C">
      <w:pPr>
        <w:pStyle w:val="BodyText"/>
        <w:widowControl w:val="0"/>
        <w:numPr>
          <w:ilvl w:val="0"/>
          <w:numId w:val="36"/>
        </w:numPr>
        <w:spacing w:before="120"/>
        <w:rPr>
          <w:sz w:val="22"/>
          <w:szCs w:val="22"/>
        </w:rPr>
      </w:pPr>
      <w:r w:rsidRPr="00960D0D">
        <w:rPr>
          <w:b w:val="0"/>
          <w:bCs w:val="0"/>
          <w:i/>
          <w:color w:val="auto"/>
          <w:sz w:val="22"/>
          <w:szCs w:val="22"/>
        </w:rPr>
        <w:t>Natural Gas Monthly</w:t>
      </w:r>
      <w:r w:rsidRPr="008E462C">
        <w:rPr>
          <w:b w:val="0"/>
          <w:bCs w:val="0"/>
          <w:i/>
          <w:color w:val="auto"/>
          <w:sz w:val="22"/>
          <w:szCs w:val="22"/>
        </w:rPr>
        <w:t>,</w:t>
      </w:r>
    </w:p>
    <w:p w:rsidR="008E462C" w:rsidRPr="00960D0D" w:rsidRDefault="008E462C" w:rsidP="009E128C">
      <w:pPr>
        <w:pStyle w:val="BodyText"/>
        <w:widowControl w:val="0"/>
        <w:spacing w:before="120"/>
        <w:ind w:left="720"/>
        <w:rPr>
          <w:sz w:val="22"/>
          <w:szCs w:val="22"/>
        </w:rPr>
      </w:pPr>
      <w:r w:rsidRPr="00960D0D">
        <w:rPr>
          <w:b w:val="0"/>
          <w:bCs w:val="0"/>
          <w:color w:val="auto"/>
          <w:sz w:val="22"/>
          <w:szCs w:val="22"/>
        </w:rPr>
        <w:t xml:space="preserve"> </w:t>
      </w:r>
      <w:hyperlink r:id="rId15" w:history="1">
        <w:r w:rsidR="00960D0D" w:rsidRPr="00960D0D">
          <w:rPr>
            <w:rStyle w:val="Hyperlink"/>
            <w:b w:val="0"/>
            <w:bCs w:val="0"/>
            <w:sz w:val="22"/>
            <w:szCs w:val="22"/>
          </w:rPr>
          <w:t>http://www.eia.doe.gov/oil_gas/natural_gas/data_publications/natural_gas_monthly/ngm.html</w:t>
        </w:r>
      </w:hyperlink>
    </w:p>
    <w:p w:rsidR="008E462C" w:rsidRPr="00960D0D" w:rsidRDefault="008E462C" w:rsidP="009E128C">
      <w:pPr>
        <w:pStyle w:val="BodyText"/>
        <w:widowControl w:val="0"/>
        <w:numPr>
          <w:ilvl w:val="0"/>
          <w:numId w:val="36"/>
        </w:numPr>
        <w:spacing w:before="120"/>
        <w:rPr>
          <w:sz w:val="22"/>
          <w:szCs w:val="22"/>
        </w:rPr>
      </w:pPr>
      <w:r w:rsidRPr="00960D0D">
        <w:rPr>
          <w:b w:val="0"/>
          <w:bCs w:val="0"/>
          <w:i/>
          <w:color w:val="auto"/>
          <w:sz w:val="22"/>
          <w:szCs w:val="22"/>
        </w:rPr>
        <w:t>Petroleum Supply Monthly</w:t>
      </w:r>
      <w:r w:rsidRPr="008E462C">
        <w:rPr>
          <w:b w:val="0"/>
          <w:bCs w:val="0"/>
          <w:i/>
          <w:color w:val="auto"/>
          <w:sz w:val="22"/>
          <w:szCs w:val="22"/>
        </w:rPr>
        <w:t>,</w:t>
      </w:r>
      <w:r w:rsidRPr="00960D0D">
        <w:rPr>
          <w:b w:val="0"/>
          <w:bCs w:val="0"/>
          <w:color w:val="auto"/>
          <w:sz w:val="22"/>
          <w:szCs w:val="22"/>
        </w:rPr>
        <w:t xml:space="preserve"> </w:t>
      </w:r>
      <w:hyperlink r:id="rId16" w:history="1">
        <w:r w:rsidR="00960D0D" w:rsidRPr="00960D0D">
          <w:rPr>
            <w:rStyle w:val="Hyperlink"/>
            <w:b w:val="0"/>
            <w:bCs w:val="0"/>
            <w:sz w:val="22"/>
            <w:szCs w:val="22"/>
          </w:rPr>
          <w:t>http://www.eia.gov/petroleum/supply/monthly/</w:t>
        </w:r>
      </w:hyperlink>
    </w:p>
    <w:p w:rsidR="008E462C" w:rsidRPr="00960D0D" w:rsidRDefault="008E462C" w:rsidP="009E128C">
      <w:pPr>
        <w:pStyle w:val="BodyText"/>
        <w:widowControl w:val="0"/>
        <w:numPr>
          <w:ilvl w:val="0"/>
          <w:numId w:val="36"/>
        </w:numPr>
        <w:spacing w:before="120"/>
        <w:rPr>
          <w:sz w:val="22"/>
          <w:szCs w:val="22"/>
        </w:rPr>
      </w:pPr>
      <w:r w:rsidRPr="00960D0D">
        <w:rPr>
          <w:b w:val="0"/>
          <w:bCs w:val="0"/>
          <w:i/>
          <w:color w:val="auto"/>
          <w:sz w:val="22"/>
          <w:szCs w:val="22"/>
        </w:rPr>
        <w:t>Monthly Energy Review</w:t>
      </w:r>
      <w:r w:rsidRPr="008E462C">
        <w:rPr>
          <w:b w:val="0"/>
          <w:bCs w:val="0"/>
          <w:i/>
          <w:color w:val="auto"/>
          <w:sz w:val="22"/>
          <w:szCs w:val="22"/>
        </w:rPr>
        <w:t>,</w:t>
      </w:r>
      <w:r w:rsidRPr="00960D0D">
        <w:rPr>
          <w:b w:val="0"/>
          <w:bCs w:val="0"/>
          <w:color w:val="auto"/>
          <w:sz w:val="22"/>
          <w:szCs w:val="22"/>
        </w:rPr>
        <w:t xml:space="preserve"> </w:t>
      </w:r>
      <w:hyperlink r:id="rId17" w:history="1">
        <w:r w:rsidR="00960D0D" w:rsidRPr="00960D0D">
          <w:rPr>
            <w:rStyle w:val="Hyperlink"/>
            <w:b w:val="0"/>
            <w:bCs w:val="0"/>
            <w:sz w:val="22"/>
            <w:szCs w:val="22"/>
          </w:rPr>
          <w:t>http://www.eia.doe.gov/mer/</w:t>
        </w:r>
      </w:hyperlink>
    </w:p>
    <w:p w:rsidR="00960D0D" w:rsidRPr="00960D0D" w:rsidRDefault="008E462C" w:rsidP="009E128C">
      <w:pPr>
        <w:pStyle w:val="BodyText"/>
        <w:widowControl w:val="0"/>
        <w:numPr>
          <w:ilvl w:val="0"/>
          <w:numId w:val="36"/>
        </w:numPr>
        <w:spacing w:before="120"/>
        <w:rPr>
          <w:sz w:val="22"/>
          <w:szCs w:val="22"/>
        </w:rPr>
      </w:pPr>
      <w:r w:rsidRPr="00960D0D">
        <w:rPr>
          <w:b w:val="0"/>
          <w:bCs w:val="0"/>
          <w:i/>
          <w:color w:val="auto"/>
          <w:sz w:val="22"/>
          <w:szCs w:val="22"/>
        </w:rPr>
        <w:t>Natural Gas Annual</w:t>
      </w:r>
      <w:r w:rsidRPr="008E462C">
        <w:rPr>
          <w:b w:val="0"/>
          <w:bCs w:val="0"/>
          <w:color w:val="auto"/>
          <w:sz w:val="22"/>
          <w:szCs w:val="22"/>
        </w:rPr>
        <w:t>,</w:t>
      </w:r>
      <w:r w:rsidR="00960D0D">
        <w:rPr>
          <w:b w:val="0"/>
          <w:bCs w:val="0"/>
          <w:color w:val="auto"/>
          <w:sz w:val="22"/>
          <w:szCs w:val="22"/>
        </w:rPr>
        <w:t xml:space="preserve"> </w:t>
      </w:r>
    </w:p>
    <w:p w:rsidR="008E462C" w:rsidRPr="008E462C" w:rsidRDefault="00EA2243" w:rsidP="009E128C">
      <w:pPr>
        <w:pStyle w:val="BodyText"/>
        <w:widowControl w:val="0"/>
        <w:spacing w:before="120"/>
        <w:ind w:left="720"/>
        <w:rPr>
          <w:sz w:val="22"/>
          <w:szCs w:val="22"/>
        </w:rPr>
      </w:pPr>
      <w:hyperlink r:id="rId18" w:history="1">
        <w:r w:rsidR="00960D0D" w:rsidRPr="00960D0D">
          <w:rPr>
            <w:rStyle w:val="Hyperlink"/>
            <w:b w:val="0"/>
            <w:bCs w:val="0"/>
            <w:sz w:val="22"/>
            <w:szCs w:val="22"/>
          </w:rPr>
          <w:t>http://www.eia.doe.gov/natural_gas/data_publications/natural_gas_annual/nga.html</w:t>
        </w:r>
      </w:hyperlink>
    </w:p>
    <w:p w:rsidR="008E462C" w:rsidRPr="008E462C" w:rsidRDefault="008E462C" w:rsidP="009E128C">
      <w:pPr>
        <w:pStyle w:val="BodyText"/>
        <w:widowControl w:val="0"/>
        <w:numPr>
          <w:ilvl w:val="0"/>
          <w:numId w:val="36"/>
        </w:numPr>
        <w:spacing w:before="120"/>
        <w:rPr>
          <w:sz w:val="22"/>
          <w:szCs w:val="22"/>
        </w:rPr>
      </w:pPr>
      <w:r w:rsidRPr="008E462C">
        <w:rPr>
          <w:b w:val="0"/>
          <w:bCs w:val="0"/>
          <w:color w:val="auto"/>
          <w:sz w:val="22"/>
          <w:szCs w:val="22"/>
        </w:rPr>
        <w:t xml:space="preserve"> </w:t>
      </w:r>
      <w:r w:rsidRPr="00960D0D">
        <w:rPr>
          <w:b w:val="0"/>
          <w:bCs w:val="0"/>
          <w:i/>
          <w:color w:val="auto"/>
          <w:sz w:val="22"/>
          <w:szCs w:val="22"/>
        </w:rPr>
        <w:t>Petroleum Supply Annual, Volume 1</w:t>
      </w:r>
      <w:r w:rsidRPr="008E462C">
        <w:rPr>
          <w:b w:val="0"/>
          <w:bCs w:val="0"/>
          <w:color w:val="auto"/>
          <w:sz w:val="22"/>
          <w:szCs w:val="22"/>
        </w:rPr>
        <w:t xml:space="preserve">, </w:t>
      </w:r>
      <w:hyperlink r:id="rId19" w:history="1">
        <w:r w:rsidR="00960D0D" w:rsidRPr="00960D0D">
          <w:rPr>
            <w:rStyle w:val="Hyperlink"/>
            <w:b w:val="0"/>
            <w:bCs w:val="0"/>
            <w:sz w:val="22"/>
            <w:szCs w:val="22"/>
          </w:rPr>
          <w:t>http://www.eia.gov/petroleum/supply/annual/volume1/</w:t>
        </w:r>
      </w:hyperlink>
    </w:p>
    <w:p w:rsidR="00004608" w:rsidRPr="008E462C" w:rsidRDefault="008E462C" w:rsidP="009E128C">
      <w:pPr>
        <w:pStyle w:val="BodyText"/>
        <w:widowControl w:val="0"/>
        <w:numPr>
          <w:ilvl w:val="0"/>
          <w:numId w:val="36"/>
        </w:numPr>
        <w:spacing w:before="120"/>
        <w:rPr>
          <w:sz w:val="22"/>
          <w:szCs w:val="22"/>
        </w:rPr>
      </w:pPr>
      <w:r w:rsidRPr="009E128C">
        <w:rPr>
          <w:b w:val="0"/>
          <w:bCs w:val="0"/>
          <w:i/>
          <w:color w:val="auto"/>
          <w:sz w:val="22"/>
          <w:szCs w:val="22"/>
        </w:rPr>
        <w:t>Petroleum Supply Annual, Volume 2</w:t>
      </w:r>
      <w:r w:rsidRPr="008E462C">
        <w:rPr>
          <w:b w:val="0"/>
          <w:bCs w:val="0"/>
          <w:color w:val="auto"/>
          <w:sz w:val="22"/>
          <w:szCs w:val="22"/>
        </w:rPr>
        <w:t>,</w:t>
      </w:r>
      <w:r w:rsidR="009E128C">
        <w:rPr>
          <w:b w:val="0"/>
          <w:bCs w:val="0"/>
          <w:color w:val="auto"/>
          <w:sz w:val="22"/>
          <w:szCs w:val="22"/>
        </w:rPr>
        <w:t xml:space="preserve"> </w:t>
      </w:r>
      <w:hyperlink r:id="rId20" w:history="1">
        <w:r w:rsidR="009E128C" w:rsidRPr="009E128C">
          <w:rPr>
            <w:rStyle w:val="Hyperlink"/>
            <w:b w:val="0"/>
            <w:bCs w:val="0"/>
            <w:sz w:val="22"/>
            <w:szCs w:val="22"/>
          </w:rPr>
          <w:t>http://www.eia.gov/petroleum/supply/annual/volume2/</w:t>
        </w:r>
      </w:hyperlink>
    </w:p>
    <w:p w:rsidR="00004608" w:rsidRDefault="00004608" w:rsidP="009E128C">
      <w:pPr>
        <w:pStyle w:val="ListParagraph"/>
        <w:numPr>
          <w:ilvl w:val="0"/>
          <w:numId w:val="31"/>
        </w:numPr>
        <w:spacing w:before="120" w:beforeAutospacing="0" w:after="0" w:afterAutospacing="0"/>
        <w:jc w:val="left"/>
        <w:rPr>
          <w:rFonts w:ascii="Times New Roman" w:hAnsi="Times New Roman"/>
          <w:color w:val="000000"/>
          <w:sz w:val="22"/>
        </w:rPr>
      </w:pPr>
      <w:r w:rsidRPr="00004608">
        <w:rPr>
          <w:rFonts w:ascii="Times New Roman" w:hAnsi="Times New Roman"/>
          <w:i/>
          <w:color w:val="000000"/>
          <w:sz w:val="22"/>
        </w:rPr>
        <w:t>Annual Energy Outlook</w:t>
      </w:r>
      <w:r w:rsidRPr="00004608">
        <w:rPr>
          <w:rFonts w:ascii="Times New Roman" w:hAnsi="Times New Roman"/>
          <w:color w:val="000000"/>
          <w:sz w:val="22"/>
        </w:rPr>
        <w:t xml:space="preserve">, </w:t>
      </w:r>
      <w:hyperlink r:id="rId21" w:history="1">
        <w:r w:rsidRPr="00A917DC">
          <w:rPr>
            <w:rStyle w:val="Hyperlink"/>
            <w:rFonts w:ascii="Times New Roman" w:hAnsi="Times New Roman"/>
            <w:sz w:val="22"/>
          </w:rPr>
          <w:t>http://www.eia.gov/forecasts/aeo/er/</w:t>
        </w:r>
      </w:hyperlink>
    </w:p>
    <w:p w:rsidR="00004608" w:rsidRPr="00004608" w:rsidRDefault="00004608" w:rsidP="00004608">
      <w:pPr>
        <w:pStyle w:val="ListParagraph"/>
        <w:jc w:val="left"/>
        <w:rPr>
          <w:rFonts w:ascii="Times New Roman" w:hAnsi="Times New Roman"/>
          <w:color w:val="000000"/>
          <w:sz w:val="22"/>
        </w:rPr>
      </w:pPr>
    </w:p>
    <w:p w:rsidR="001D7B5E" w:rsidRDefault="00004608" w:rsidP="00BE64AB">
      <w:pPr>
        <w:pStyle w:val="ListParagraph"/>
        <w:numPr>
          <w:ilvl w:val="0"/>
          <w:numId w:val="31"/>
        </w:numPr>
        <w:spacing w:before="120" w:beforeAutospacing="0" w:after="240" w:afterAutospacing="0"/>
        <w:contextualSpacing w:val="0"/>
        <w:jc w:val="left"/>
        <w:rPr>
          <w:rFonts w:ascii="Times New Roman" w:hAnsi="Times New Roman"/>
          <w:color w:val="000000"/>
          <w:sz w:val="22"/>
        </w:rPr>
      </w:pPr>
      <w:r w:rsidRPr="00004608">
        <w:rPr>
          <w:rFonts w:ascii="Times New Roman" w:hAnsi="Times New Roman"/>
          <w:i/>
          <w:color w:val="000000"/>
          <w:sz w:val="22"/>
        </w:rPr>
        <w:t>Short-Term Energy Outlook</w:t>
      </w:r>
      <w:r w:rsidRPr="00004608">
        <w:rPr>
          <w:rFonts w:ascii="Times New Roman" w:hAnsi="Times New Roman"/>
          <w:color w:val="000000"/>
          <w:sz w:val="22"/>
        </w:rPr>
        <w:t xml:space="preserve">, </w:t>
      </w:r>
      <w:hyperlink r:id="rId22" w:history="1">
        <w:r w:rsidRPr="00A917DC">
          <w:rPr>
            <w:rStyle w:val="Hyperlink"/>
            <w:rFonts w:ascii="Times New Roman" w:hAnsi="Times New Roman"/>
            <w:sz w:val="22"/>
          </w:rPr>
          <w:t>http://www.eia.gov/forecasts/steo/</w:t>
        </w:r>
      </w:hyperlink>
    </w:p>
    <w:p w:rsidR="00BE64AB" w:rsidRPr="008E462C" w:rsidRDefault="008E462C" w:rsidP="00BE64AB">
      <w:pPr>
        <w:spacing w:before="120" w:beforeAutospacing="0" w:after="0" w:afterAutospacing="0"/>
        <w:jc w:val="left"/>
        <w:rPr>
          <w:sz w:val="22"/>
        </w:rPr>
      </w:pPr>
      <w:r>
        <w:rPr>
          <w:bCs/>
          <w:sz w:val="22"/>
        </w:rPr>
        <w:t>N</w:t>
      </w:r>
      <w:r w:rsidRPr="008E462C">
        <w:rPr>
          <w:bCs/>
          <w:sz w:val="22"/>
        </w:rPr>
        <w:t>umerous other EIA information products</w:t>
      </w:r>
      <w:r>
        <w:rPr>
          <w:bCs/>
          <w:sz w:val="22"/>
        </w:rPr>
        <w:t xml:space="preserve"> </w:t>
      </w:r>
      <w:proofErr w:type="gramStart"/>
      <w:r>
        <w:rPr>
          <w:bCs/>
          <w:sz w:val="22"/>
        </w:rPr>
        <w:t>will be affected</w:t>
      </w:r>
      <w:proofErr w:type="gramEnd"/>
      <w:r>
        <w:rPr>
          <w:bCs/>
          <w:sz w:val="22"/>
        </w:rPr>
        <w:t xml:space="preserve"> by these production data and the estimates they support</w:t>
      </w:r>
      <w:r w:rsidRPr="008E462C">
        <w:rPr>
          <w:bCs/>
          <w:sz w:val="22"/>
        </w:rPr>
        <w:t xml:space="preserve">. </w:t>
      </w:r>
      <w:r w:rsidR="00BE64AB" w:rsidRPr="008E462C">
        <w:rPr>
          <w:sz w:val="22"/>
        </w:rPr>
        <w:t xml:space="preserve">All EIA publications are available on EIA’s </w:t>
      </w:r>
      <w:r w:rsidR="005C1DB2">
        <w:rPr>
          <w:sz w:val="22"/>
        </w:rPr>
        <w:t>website</w:t>
      </w:r>
      <w:r w:rsidR="00BE64AB" w:rsidRPr="008E462C">
        <w:rPr>
          <w:sz w:val="22"/>
        </w:rPr>
        <w:t xml:space="preserve"> (</w:t>
      </w:r>
      <w:hyperlink r:id="rId23" w:history="1">
        <w:r w:rsidR="00BE64AB" w:rsidRPr="008E462C">
          <w:rPr>
            <w:rStyle w:val="Hyperlink"/>
            <w:sz w:val="22"/>
          </w:rPr>
          <w:t>http://www.eia.gov</w:t>
        </w:r>
      </w:hyperlink>
      <w:r w:rsidR="00BE64AB" w:rsidRPr="008E462C">
        <w:rPr>
          <w:sz w:val="22"/>
        </w:rPr>
        <w:t>).</w:t>
      </w:r>
    </w:p>
    <w:p w:rsidR="00C5629F" w:rsidRDefault="0076658F" w:rsidP="00A15CE6">
      <w:pPr>
        <w:spacing w:before="120" w:beforeAutospacing="0" w:after="0" w:afterAutospacing="0"/>
        <w:jc w:val="left"/>
        <w:rPr>
          <w:color w:val="000000"/>
          <w:sz w:val="22"/>
        </w:rPr>
      </w:pPr>
      <w:r>
        <w:rPr>
          <w:color w:val="000000"/>
          <w:sz w:val="22"/>
        </w:rPr>
        <w:t xml:space="preserve">The </w:t>
      </w:r>
      <w:r w:rsidR="002F601D">
        <w:rPr>
          <w:color w:val="000000"/>
          <w:sz w:val="22"/>
        </w:rPr>
        <w:t>Form</w:t>
      </w:r>
      <w:r w:rsidR="00C5629F">
        <w:rPr>
          <w:color w:val="000000"/>
          <w:sz w:val="22"/>
        </w:rPr>
        <w:t xml:space="preserve"> </w:t>
      </w:r>
      <w:r w:rsidR="005C1DB2">
        <w:rPr>
          <w:color w:val="000000"/>
          <w:sz w:val="22"/>
        </w:rPr>
        <w:t xml:space="preserve">EIA-914 </w:t>
      </w:r>
      <w:proofErr w:type="gramStart"/>
      <w:r w:rsidR="002F601D">
        <w:rPr>
          <w:color w:val="000000"/>
          <w:sz w:val="22"/>
        </w:rPr>
        <w:t>is used</w:t>
      </w:r>
      <w:proofErr w:type="gramEnd"/>
      <w:r w:rsidR="002F601D">
        <w:rPr>
          <w:color w:val="000000"/>
          <w:sz w:val="22"/>
        </w:rPr>
        <w:t xml:space="preserve"> for many purposes, including the following</w:t>
      </w:r>
      <w:r w:rsidR="00C5629F" w:rsidRPr="00C5629F">
        <w:rPr>
          <w:color w:val="000000"/>
          <w:sz w:val="22"/>
        </w:rPr>
        <w:t>:</w:t>
      </w:r>
    </w:p>
    <w:p w:rsidR="00501AF2" w:rsidRDefault="002F601D" w:rsidP="00C5629F">
      <w:pPr>
        <w:pStyle w:val="ListParagraph"/>
        <w:numPr>
          <w:ilvl w:val="0"/>
          <w:numId w:val="37"/>
        </w:numPr>
        <w:spacing w:before="120" w:beforeAutospacing="0" w:after="0" w:afterAutospacing="0"/>
        <w:jc w:val="left"/>
        <w:rPr>
          <w:rFonts w:ascii="Times New Roman" w:hAnsi="Times New Roman"/>
          <w:color w:val="000000"/>
          <w:sz w:val="22"/>
        </w:rPr>
      </w:pPr>
      <w:r>
        <w:rPr>
          <w:rFonts w:ascii="Times New Roman" w:hAnsi="Times New Roman"/>
          <w:color w:val="000000"/>
          <w:sz w:val="22"/>
        </w:rPr>
        <w:t>T</w:t>
      </w:r>
      <w:r w:rsidR="00A15CE6" w:rsidRPr="00C5629F">
        <w:rPr>
          <w:rFonts w:ascii="Times New Roman" w:hAnsi="Times New Roman"/>
          <w:color w:val="000000"/>
          <w:sz w:val="22"/>
        </w:rPr>
        <w:t xml:space="preserve">o develop and make available to the Congress, the </w:t>
      </w:r>
      <w:r w:rsidR="005C1DB2">
        <w:rPr>
          <w:rFonts w:ascii="Times New Roman" w:hAnsi="Times New Roman"/>
          <w:color w:val="000000"/>
          <w:sz w:val="22"/>
        </w:rPr>
        <w:t>s</w:t>
      </w:r>
      <w:r w:rsidR="005C1DB2" w:rsidRPr="00C5629F">
        <w:rPr>
          <w:rFonts w:ascii="Times New Roman" w:hAnsi="Times New Roman"/>
          <w:color w:val="000000"/>
          <w:sz w:val="22"/>
        </w:rPr>
        <w:t>tates</w:t>
      </w:r>
      <w:r w:rsidR="00A15CE6" w:rsidRPr="00C5629F">
        <w:rPr>
          <w:rFonts w:ascii="Times New Roman" w:hAnsi="Times New Roman"/>
          <w:color w:val="000000"/>
          <w:sz w:val="22"/>
        </w:rPr>
        <w:t>, and the public a timely</w:t>
      </w:r>
      <w:r w:rsidR="00665278">
        <w:rPr>
          <w:rFonts w:ascii="Times New Roman" w:hAnsi="Times New Roman"/>
          <w:color w:val="000000"/>
          <w:sz w:val="22"/>
        </w:rPr>
        <w:t>, transparent,</w:t>
      </w:r>
      <w:r w:rsidR="00A15CE6" w:rsidRPr="00C5629F">
        <w:rPr>
          <w:rFonts w:ascii="Times New Roman" w:hAnsi="Times New Roman"/>
          <w:color w:val="000000"/>
          <w:sz w:val="22"/>
        </w:rPr>
        <w:t xml:space="preserve"> and accurate quantified assessment of monthly crude oil, lease condensate, and natural gas production</w:t>
      </w:r>
      <w:r w:rsidR="00600B7D">
        <w:rPr>
          <w:rFonts w:ascii="Times New Roman" w:hAnsi="Times New Roman"/>
          <w:color w:val="000000"/>
          <w:sz w:val="22"/>
        </w:rPr>
        <w:t>.</w:t>
      </w:r>
    </w:p>
    <w:p w:rsidR="00501AF2" w:rsidRDefault="002F601D" w:rsidP="00C5629F">
      <w:pPr>
        <w:pStyle w:val="ListParagraph"/>
        <w:numPr>
          <w:ilvl w:val="0"/>
          <w:numId w:val="37"/>
        </w:numPr>
        <w:spacing w:before="120" w:beforeAutospacing="0" w:after="0" w:afterAutospacing="0"/>
        <w:jc w:val="left"/>
        <w:rPr>
          <w:rFonts w:ascii="Times New Roman" w:hAnsi="Times New Roman"/>
          <w:color w:val="000000"/>
          <w:sz w:val="22"/>
        </w:rPr>
      </w:pPr>
      <w:r>
        <w:rPr>
          <w:rFonts w:ascii="Times New Roman" w:hAnsi="Times New Roman"/>
          <w:color w:val="000000"/>
          <w:sz w:val="22"/>
        </w:rPr>
        <w:t>T</w:t>
      </w:r>
      <w:r w:rsidR="00501AF2">
        <w:rPr>
          <w:rFonts w:ascii="Times New Roman" w:hAnsi="Times New Roman"/>
          <w:color w:val="000000"/>
          <w:sz w:val="22"/>
        </w:rPr>
        <w:t>o generat</w:t>
      </w:r>
      <w:r w:rsidR="003D7DB9">
        <w:rPr>
          <w:rFonts w:ascii="Times New Roman" w:hAnsi="Times New Roman"/>
          <w:color w:val="000000"/>
          <w:sz w:val="22"/>
        </w:rPr>
        <w:t>e</w:t>
      </w:r>
      <w:r w:rsidR="00501AF2">
        <w:rPr>
          <w:rFonts w:ascii="Times New Roman" w:hAnsi="Times New Roman"/>
          <w:color w:val="000000"/>
          <w:sz w:val="22"/>
        </w:rPr>
        <w:t xml:space="preserve"> </w:t>
      </w:r>
      <w:r w:rsidR="00334A89">
        <w:rPr>
          <w:rFonts w:ascii="Times New Roman" w:hAnsi="Times New Roman"/>
          <w:color w:val="000000"/>
          <w:sz w:val="22"/>
        </w:rPr>
        <w:t>and distribut</w:t>
      </w:r>
      <w:r w:rsidR="003D7DB9">
        <w:rPr>
          <w:rFonts w:ascii="Times New Roman" w:hAnsi="Times New Roman"/>
          <w:color w:val="000000"/>
          <w:sz w:val="22"/>
        </w:rPr>
        <w:t>e</w:t>
      </w:r>
      <w:r w:rsidR="00501AF2">
        <w:rPr>
          <w:rFonts w:ascii="Times New Roman" w:hAnsi="Times New Roman"/>
          <w:color w:val="000000"/>
          <w:sz w:val="22"/>
        </w:rPr>
        <w:t xml:space="preserve"> national crude oil, lease condensate, and natural gas production and consumption balances</w:t>
      </w:r>
      <w:r w:rsidR="003D7DB9">
        <w:rPr>
          <w:rFonts w:ascii="Times New Roman" w:hAnsi="Times New Roman"/>
          <w:color w:val="000000"/>
          <w:sz w:val="22"/>
        </w:rPr>
        <w:t xml:space="preserve"> in a timely manner</w:t>
      </w:r>
      <w:r w:rsidR="00600B7D">
        <w:rPr>
          <w:rFonts w:ascii="Times New Roman" w:hAnsi="Times New Roman"/>
          <w:color w:val="000000"/>
          <w:sz w:val="22"/>
        </w:rPr>
        <w:t>.</w:t>
      </w:r>
    </w:p>
    <w:p w:rsidR="00C5629F" w:rsidRDefault="002F601D" w:rsidP="00C5629F">
      <w:pPr>
        <w:pStyle w:val="ListParagraph"/>
        <w:numPr>
          <w:ilvl w:val="0"/>
          <w:numId w:val="37"/>
        </w:numPr>
        <w:spacing w:before="120" w:beforeAutospacing="0" w:after="0" w:afterAutospacing="0"/>
        <w:jc w:val="left"/>
        <w:rPr>
          <w:rFonts w:ascii="Times New Roman" w:hAnsi="Times New Roman"/>
          <w:color w:val="000000"/>
          <w:sz w:val="22"/>
        </w:rPr>
      </w:pPr>
      <w:proofErr w:type="gramStart"/>
      <w:r>
        <w:rPr>
          <w:rFonts w:ascii="Times New Roman" w:hAnsi="Times New Roman"/>
          <w:color w:val="000000"/>
          <w:sz w:val="22"/>
        </w:rPr>
        <w:t>T</w:t>
      </w:r>
      <w:r w:rsidR="00501AF2">
        <w:rPr>
          <w:rFonts w:ascii="Times New Roman" w:hAnsi="Times New Roman"/>
          <w:color w:val="000000"/>
          <w:sz w:val="22"/>
        </w:rPr>
        <w:t xml:space="preserve">o </w:t>
      </w:r>
      <w:r w:rsidR="007D073F">
        <w:rPr>
          <w:rFonts w:ascii="Times New Roman" w:hAnsi="Times New Roman"/>
          <w:color w:val="000000"/>
          <w:sz w:val="22"/>
        </w:rPr>
        <w:t>improve</w:t>
      </w:r>
      <w:r w:rsidR="00501AF2">
        <w:rPr>
          <w:rFonts w:ascii="Times New Roman" w:hAnsi="Times New Roman"/>
          <w:color w:val="000000"/>
          <w:sz w:val="22"/>
        </w:rPr>
        <w:t xml:space="preserve"> state-level coverage of crude oil and lease condensate data collection</w:t>
      </w:r>
      <w:r w:rsidR="00600B7D">
        <w:rPr>
          <w:rFonts w:ascii="Times New Roman" w:hAnsi="Times New Roman"/>
          <w:color w:val="000000"/>
          <w:sz w:val="22"/>
        </w:rPr>
        <w:t>.</w:t>
      </w:r>
      <w:proofErr w:type="gramEnd"/>
    </w:p>
    <w:p w:rsidR="00C5629F" w:rsidRDefault="00700AD4" w:rsidP="00C5629F">
      <w:pPr>
        <w:pStyle w:val="ListParagraph"/>
        <w:numPr>
          <w:ilvl w:val="0"/>
          <w:numId w:val="37"/>
        </w:numPr>
        <w:spacing w:before="120" w:beforeAutospacing="0" w:after="0" w:afterAutospacing="0"/>
        <w:jc w:val="left"/>
        <w:rPr>
          <w:rFonts w:ascii="Times New Roman" w:hAnsi="Times New Roman"/>
          <w:color w:val="000000"/>
          <w:sz w:val="22"/>
        </w:rPr>
      </w:pPr>
      <w:r>
        <w:rPr>
          <w:rFonts w:ascii="Times New Roman" w:hAnsi="Times New Roman"/>
          <w:color w:val="000000"/>
          <w:sz w:val="22"/>
        </w:rPr>
        <w:t>T</w:t>
      </w:r>
      <w:r w:rsidR="00A15CE6" w:rsidRPr="00C5629F">
        <w:rPr>
          <w:rFonts w:ascii="Times New Roman" w:hAnsi="Times New Roman"/>
          <w:color w:val="000000"/>
          <w:sz w:val="22"/>
        </w:rPr>
        <w:t>o provide crude oil, lease condensate, and natural gas production data to EIA forecasting models, such as the Short-Term Energy Outlook (STEO) and the National Energy Modeling System (NEMS)</w:t>
      </w:r>
      <w:r w:rsidR="00600B7D">
        <w:rPr>
          <w:rFonts w:ascii="Times New Roman" w:hAnsi="Times New Roman"/>
          <w:color w:val="000000"/>
          <w:sz w:val="22"/>
        </w:rPr>
        <w:t>.</w:t>
      </w:r>
    </w:p>
    <w:p w:rsidR="00A15CE6" w:rsidRPr="00C5629F" w:rsidRDefault="002F601D" w:rsidP="00665278">
      <w:pPr>
        <w:pStyle w:val="ListParagraph"/>
        <w:numPr>
          <w:ilvl w:val="0"/>
          <w:numId w:val="37"/>
        </w:numPr>
        <w:spacing w:before="120" w:beforeAutospacing="0" w:after="0" w:afterAutospacing="0"/>
        <w:jc w:val="left"/>
        <w:rPr>
          <w:rFonts w:ascii="Times New Roman" w:hAnsi="Times New Roman"/>
          <w:color w:val="000000"/>
          <w:sz w:val="22"/>
        </w:rPr>
      </w:pPr>
      <w:r>
        <w:rPr>
          <w:rFonts w:ascii="Times New Roman" w:hAnsi="Times New Roman"/>
          <w:color w:val="000000"/>
          <w:sz w:val="22"/>
        </w:rPr>
        <w:t>T</w:t>
      </w:r>
      <w:r w:rsidR="00A15CE6" w:rsidRPr="00C5629F">
        <w:rPr>
          <w:rFonts w:ascii="Times New Roman" w:hAnsi="Times New Roman"/>
          <w:color w:val="000000"/>
          <w:sz w:val="22"/>
        </w:rPr>
        <w:t>o respond to Congressional and internal Departmental requests for analysis of</w:t>
      </w:r>
      <w:r w:rsidR="005C1DB2">
        <w:rPr>
          <w:rFonts w:ascii="Times New Roman" w:hAnsi="Times New Roman"/>
          <w:color w:val="000000"/>
          <w:sz w:val="22"/>
        </w:rPr>
        <w:t xml:space="preserve"> policy </w:t>
      </w:r>
      <w:r w:rsidR="00E57039">
        <w:rPr>
          <w:rFonts w:ascii="Times New Roman" w:hAnsi="Times New Roman"/>
          <w:color w:val="000000"/>
          <w:sz w:val="22"/>
        </w:rPr>
        <w:t xml:space="preserve">and regulatory </w:t>
      </w:r>
      <w:r w:rsidR="005C1DB2">
        <w:rPr>
          <w:rFonts w:ascii="Times New Roman" w:hAnsi="Times New Roman"/>
          <w:color w:val="000000"/>
          <w:sz w:val="22"/>
        </w:rPr>
        <w:t xml:space="preserve">issues </w:t>
      </w:r>
      <w:r w:rsidR="00E57039">
        <w:rPr>
          <w:rFonts w:ascii="Times New Roman" w:hAnsi="Times New Roman"/>
          <w:color w:val="000000"/>
          <w:sz w:val="22"/>
        </w:rPr>
        <w:t>associated with</w:t>
      </w:r>
      <w:r w:rsidR="00A15CE6" w:rsidRPr="00C5629F">
        <w:rPr>
          <w:rFonts w:ascii="Times New Roman" w:hAnsi="Times New Roman"/>
          <w:color w:val="000000"/>
          <w:sz w:val="22"/>
        </w:rPr>
        <w:t xml:space="preserve"> crude oil, lease condensate, and natural gas </w:t>
      </w:r>
      <w:r w:rsidR="00E57039">
        <w:rPr>
          <w:rFonts w:ascii="Times New Roman" w:hAnsi="Times New Roman"/>
          <w:color w:val="000000"/>
          <w:sz w:val="22"/>
        </w:rPr>
        <w:t>production</w:t>
      </w:r>
      <w:r w:rsidR="00665278">
        <w:rPr>
          <w:rFonts w:ascii="Times New Roman" w:hAnsi="Times New Roman"/>
          <w:color w:val="000000"/>
          <w:sz w:val="22"/>
        </w:rPr>
        <w:t xml:space="preserve"> (e.g., </w:t>
      </w:r>
      <w:r>
        <w:rPr>
          <w:rFonts w:ascii="Times New Roman" w:hAnsi="Times New Roman"/>
          <w:color w:val="000000"/>
          <w:sz w:val="22"/>
        </w:rPr>
        <w:t xml:space="preserve">to </w:t>
      </w:r>
      <w:r w:rsidR="00665278">
        <w:rPr>
          <w:rFonts w:ascii="Times New Roman" w:hAnsi="Times New Roman"/>
          <w:color w:val="000000"/>
          <w:sz w:val="22"/>
        </w:rPr>
        <w:t xml:space="preserve">inform the </w:t>
      </w:r>
      <w:r w:rsidR="00665278" w:rsidRPr="00665278">
        <w:rPr>
          <w:rFonts w:ascii="Times New Roman" w:hAnsi="Times New Roman"/>
          <w:color w:val="000000"/>
          <w:sz w:val="22"/>
        </w:rPr>
        <w:t xml:space="preserve">growing discussion about </w:t>
      </w:r>
      <w:r w:rsidR="00665278">
        <w:rPr>
          <w:rFonts w:ascii="Times New Roman" w:hAnsi="Times New Roman"/>
          <w:color w:val="000000"/>
          <w:sz w:val="22"/>
        </w:rPr>
        <w:t xml:space="preserve">U.S. </w:t>
      </w:r>
      <w:r w:rsidR="007D073F">
        <w:rPr>
          <w:rFonts w:ascii="Times New Roman" w:hAnsi="Times New Roman"/>
          <w:color w:val="000000"/>
          <w:sz w:val="22"/>
        </w:rPr>
        <w:t xml:space="preserve">refining capacity and </w:t>
      </w:r>
      <w:r w:rsidR="00665278" w:rsidRPr="00665278">
        <w:rPr>
          <w:rFonts w:ascii="Times New Roman" w:hAnsi="Times New Roman"/>
          <w:color w:val="000000"/>
          <w:sz w:val="22"/>
        </w:rPr>
        <w:t>crude oil</w:t>
      </w:r>
      <w:r w:rsidR="00665278">
        <w:rPr>
          <w:rFonts w:ascii="Times New Roman" w:hAnsi="Times New Roman"/>
          <w:color w:val="000000"/>
          <w:sz w:val="22"/>
        </w:rPr>
        <w:t xml:space="preserve"> exports)</w:t>
      </w:r>
      <w:r w:rsidR="00600B7D">
        <w:rPr>
          <w:rFonts w:ascii="Times New Roman" w:hAnsi="Times New Roman"/>
          <w:color w:val="000000"/>
          <w:sz w:val="22"/>
        </w:rPr>
        <w:t>.</w:t>
      </w:r>
    </w:p>
    <w:p w:rsidR="004A4378" w:rsidRDefault="00A15CE6" w:rsidP="00A15CE6">
      <w:pPr>
        <w:spacing w:before="120" w:beforeAutospacing="0" w:after="0" w:afterAutospacing="0"/>
        <w:jc w:val="left"/>
        <w:rPr>
          <w:sz w:val="22"/>
        </w:rPr>
      </w:pPr>
      <w:r w:rsidRPr="00A15CE6">
        <w:rPr>
          <w:color w:val="000000"/>
          <w:sz w:val="22"/>
        </w:rPr>
        <w:t xml:space="preserve">EIA’s crude oil, lease condensate, and natural gas production estimates </w:t>
      </w:r>
      <w:proofErr w:type="gramStart"/>
      <w:r w:rsidRPr="00A15CE6">
        <w:rPr>
          <w:color w:val="000000"/>
          <w:sz w:val="22"/>
        </w:rPr>
        <w:t>are also published</w:t>
      </w:r>
      <w:proofErr w:type="gramEnd"/>
      <w:r w:rsidRPr="00A15CE6">
        <w:rPr>
          <w:color w:val="000000"/>
          <w:sz w:val="22"/>
        </w:rPr>
        <w:t xml:space="preserve"> in papers, trade journals, and technical reports</w:t>
      </w:r>
      <w:r w:rsidR="005C1DB2">
        <w:rPr>
          <w:color w:val="000000"/>
          <w:sz w:val="22"/>
        </w:rPr>
        <w:t>, and are</w:t>
      </w:r>
      <w:r w:rsidRPr="00A15CE6">
        <w:rPr>
          <w:color w:val="000000"/>
          <w:sz w:val="22"/>
        </w:rPr>
        <w:t xml:space="preserve"> cited and republished in reports by consulting firms and financial institutions.</w:t>
      </w:r>
    </w:p>
    <w:p w:rsidR="00B34E57" w:rsidRPr="00D810CC" w:rsidRDefault="00B34E57" w:rsidP="008561E4">
      <w:pPr>
        <w:pStyle w:val="Heading2"/>
      </w:pPr>
      <w:bookmarkStart w:id="12" w:name="_Toc373916722"/>
      <w:bookmarkStart w:id="13" w:name="_Toc396424909"/>
      <w:r w:rsidRPr="00D810CC">
        <w:t>Use of Information Technology</w:t>
      </w:r>
      <w:bookmarkEnd w:id="12"/>
      <w:bookmarkEnd w:id="13"/>
    </w:p>
    <w:p w:rsidR="003D7DB9" w:rsidRDefault="00646E68" w:rsidP="00646E68">
      <w:pPr>
        <w:spacing w:before="120" w:beforeAutospacing="0"/>
        <w:rPr>
          <w:sz w:val="22"/>
        </w:rPr>
      </w:pPr>
      <w:r w:rsidRPr="00A77596">
        <w:rPr>
          <w:sz w:val="22"/>
        </w:rPr>
        <w:t>EIA plans to use an Internet Data Collection (IDC) system</w:t>
      </w:r>
      <w:r w:rsidR="005C6EC4">
        <w:rPr>
          <w:sz w:val="22"/>
        </w:rPr>
        <w:t xml:space="preserve"> for the Form EIA-91</w:t>
      </w:r>
      <w:r w:rsidR="009E128C">
        <w:rPr>
          <w:sz w:val="22"/>
        </w:rPr>
        <w:t>4</w:t>
      </w:r>
      <w:r w:rsidRPr="00A77596">
        <w:rPr>
          <w:sz w:val="22"/>
        </w:rPr>
        <w:t xml:space="preserve">, depending on available </w:t>
      </w:r>
      <w:r w:rsidR="005C6EC4">
        <w:rPr>
          <w:sz w:val="22"/>
        </w:rPr>
        <w:t xml:space="preserve">EIA </w:t>
      </w:r>
      <w:r w:rsidRPr="00A77596">
        <w:rPr>
          <w:sz w:val="22"/>
        </w:rPr>
        <w:t>resources</w:t>
      </w:r>
      <w:proofErr w:type="gramStart"/>
      <w:r w:rsidR="00082918">
        <w:rPr>
          <w:sz w:val="22"/>
        </w:rPr>
        <w:t>.</w:t>
      </w:r>
      <w:r w:rsidR="004E5248">
        <w:rPr>
          <w:color w:val="000000"/>
          <w:sz w:val="22"/>
        </w:rPr>
        <w:t xml:space="preserve"> </w:t>
      </w:r>
      <w:r w:rsidR="004E5248" w:rsidRPr="00A77596">
        <w:rPr>
          <w:sz w:val="22"/>
        </w:rPr>
        <w:t xml:space="preserve"> </w:t>
      </w:r>
      <w:proofErr w:type="gramEnd"/>
      <w:r w:rsidR="003D7DB9">
        <w:rPr>
          <w:sz w:val="22"/>
        </w:rPr>
        <w:t>A</w:t>
      </w:r>
      <w:r w:rsidRPr="00A77596">
        <w:rPr>
          <w:sz w:val="22"/>
        </w:rPr>
        <w:t xml:space="preserve">n IDC system </w:t>
      </w:r>
      <w:r w:rsidR="003D7DB9">
        <w:rPr>
          <w:sz w:val="22"/>
        </w:rPr>
        <w:t>can</w:t>
      </w:r>
      <w:r w:rsidRPr="00A77596">
        <w:rPr>
          <w:sz w:val="22"/>
        </w:rPr>
        <w:t xml:space="preserve"> reduce respondent burden</w:t>
      </w:r>
      <w:r w:rsidR="002F601D">
        <w:rPr>
          <w:sz w:val="22"/>
        </w:rPr>
        <w:t xml:space="preserve"> for identifying and correcting potential errors</w:t>
      </w:r>
      <w:r w:rsidR="005C6EC4">
        <w:rPr>
          <w:sz w:val="22"/>
        </w:rPr>
        <w:t>,</w:t>
      </w:r>
      <w:r w:rsidRPr="00A77596">
        <w:rPr>
          <w:sz w:val="22"/>
        </w:rPr>
        <w:t xml:space="preserve"> as the system </w:t>
      </w:r>
      <w:r w:rsidR="003266AB">
        <w:rPr>
          <w:sz w:val="22"/>
        </w:rPr>
        <w:t xml:space="preserve">runs edit checks at the time of </w:t>
      </w:r>
      <w:r w:rsidR="002F601D">
        <w:rPr>
          <w:sz w:val="22"/>
        </w:rPr>
        <w:t>submission to EIA</w:t>
      </w:r>
      <w:proofErr w:type="gramStart"/>
      <w:r w:rsidR="002F601D">
        <w:rPr>
          <w:sz w:val="22"/>
        </w:rPr>
        <w:t>.</w:t>
      </w:r>
      <w:r w:rsidRPr="00A77596">
        <w:rPr>
          <w:sz w:val="22"/>
        </w:rPr>
        <w:t xml:space="preserve">  </w:t>
      </w:r>
      <w:proofErr w:type="gramEnd"/>
      <w:r w:rsidR="003D7DB9">
        <w:rPr>
          <w:sz w:val="22"/>
        </w:rPr>
        <w:t>A</w:t>
      </w:r>
      <w:r w:rsidR="005C6EC4">
        <w:rPr>
          <w:sz w:val="22"/>
        </w:rPr>
        <w:t>n IDC system</w:t>
      </w:r>
      <w:r w:rsidR="005C6EC4" w:rsidRPr="00A77596">
        <w:rPr>
          <w:sz w:val="22"/>
        </w:rPr>
        <w:t xml:space="preserve"> </w:t>
      </w:r>
      <w:r w:rsidR="003D7DB9">
        <w:rPr>
          <w:sz w:val="22"/>
        </w:rPr>
        <w:t xml:space="preserve">also </w:t>
      </w:r>
      <w:r w:rsidRPr="00A77596">
        <w:rPr>
          <w:sz w:val="22"/>
        </w:rPr>
        <w:t xml:space="preserve">eliminates the respondent processing steps associated with sending the paper forms back to EIA by </w:t>
      </w:r>
      <w:r w:rsidR="005C6EC4">
        <w:rPr>
          <w:sz w:val="22"/>
        </w:rPr>
        <w:t>U</w:t>
      </w:r>
      <w:r w:rsidR="00C87997">
        <w:rPr>
          <w:sz w:val="22"/>
        </w:rPr>
        <w:t>.</w:t>
      </w:r>
      <w:r w:rsidR="005C6EC4">
        <w:rPr>
          <w:sz w:val="22"/>
        </w:rPr>
        <w:t>S</w:t>
      </w:r>
      <w:r w:rsidR="00C87997">
        <w:rPr>
          <w:sz w:val="22"/>
        </w:rPr>
        <w:t>.</w:t>
      </w:r>
      <w:r w:rsidR="005C6EC4">
        <w:rPr>
          <w:sz w:val="22"/>
        </w:rPr>
        <w:t xml:space="preserve"> </w:t>
      </w:r>
      <w:r w:rsidR="00C2202C">
        <w:rPr>
          <w:sz w:val="22"/>
        </w:rPr>
        <w:t>M</w:t>
      </w:r>
      <w:r w:rsidRPr="00A77596">
        <w:rPr>
          <w:sz w:val="22"/>
        </w:rPr>
        <w:t>ail</w:t>
      </w:r>
      <w:r w:rsidR="00CF2601">
        <w:rPr>
          <w:sz w:val="22"/>
        </w:rPr>
        <w:t xml:space="preserve"> o</w:t>
      </w:r>
      <w:r w:rsidR="006960D7">
        <w:rPr>
          <w:sz w:val="22"/>
        </w:rPr>
        <w:t>r</w:t>
      </w:r>
      <w:r w:rsidR="00CF2601">
        <w:rPr>
          <w:sz w:val="22"/>
        </w:rPr>
        <w:t xml:space="preserve"> email</w:t>
      </w:r>
      <w:r w:rsidRPr="00A77596">
        <w:rPr>
          <w:sz w:val="22"/>
        </w:rPr>
        <w:t>, as the respondent</w:t>
      </w:r>
      <w:r w:rsidR="006960D7">
        <w:rPr>
          <w:sz w:val="22"/>
        </w:rPr>
        <w:t xml:space="preserve"> will</w:t>
      </w:r>
      <w:r w:rsidRPr="00A77596">
        <w:rPr>
          <w:sz w:val="22"/>
        </w:rPr>
        <w:t xml:space="preserve"> </w:t>
      </w:r>
      <w:r w:rsidR="005C6EC4">
        <w:rPr>
          <w:sz w:val="22"/>
        </w:rPr>
        <w:t>use t</w:t>
      </w:r>
      <w:r w:rsidR="009B23DD">
        <w:rPr>
          <w:sz w:val="22"/>
        </w:rPr>
        <w:t>he</w:t>
      </w:r>
      <w:r w:rsidR="005C6EC4">
        <w:rPr>
          <w:sz w:val="22"/>
        </w:rPr>
        <w:t xml:space="preserve"> IDC to </w:t>
      </w:r>
      <w:r w:rsidRPr="00A77596">
        <w:rPr>
          <w:sz w:val="22"/>
        </w:rPr>
        <w:t>complete the form online</w:t>
      </w:r>
      <w:proofErr w:type="gramStart"/>
      <w:r w:rsidRPr="00A77596">
        <w:rPr>
          <w:sz w:val="22"/>
        </w:rPr>
        <w:t xml:space="preserve">.  </w:t>
      </w:r>
      <w:proofErr w:type="gramEnd"/>
      <w:r w:rsidR="003D7DB9">
        <w:rPr>
          <w:sz w:val="22"/>
        </w:rPr>
        <w:t>In addition, a</w:t>
      </w:r>
      <w:r w:rsidR="005C6EC4">
        <w:rPr>
          <w:sz w:val="22"/>
        </w:rPr>
        <w:t xml:space="preserve">n IDC </w:t>
      </w:r>
      <w:r w:rsidR="003D7DB9">
        <w:rPr>
          <w:sz w:val="22"/>
        </w:rPr>
        <w:t xml:space="preserve">system </w:t>
      </w:r>
      <w:r w:rsidR="005C6EC4">
        <w:rPr>
          <w:sz w:val="22"/>
        </w:rPr>
        <w:t>permits EIA</w:t>
      </w:r>
      <w:r w:rsidRPr="00A77596">
        <w:rPr>
          <w:sz w:val="22"/>
        </w:rPr>
        <w:t xml:space="preserve"> to conduct timely communications with all respondents</w:t>
      </w:r>
      <w:r w:rsidR="005C6EC4">
        <w:rPr>
          <w:sz w:val="22"/>
        </w:rPr>
        <w:t xml:space="preserve"> via </w:t>
      </w:r>
      <w:r w:rsidR="003D7DB9">
        <w:rPr>
          <w:sz w:val="22"/>
        </w:rPr>
        <w:t xml:space="preserve">automatic generation of </w:t>
      </w:r>
      <w:r w:rsidR="005C6EC4">
        <w:rPr>
          <w:sz w:val="22"/>
        </w:rPr>
        <w:t>e-mail messages.</w:t>
      </w:r>
    </w:p>
    <w:p w:rsidR="00646E68" w:rsidRPr="00A77596" w:rsidRDefault="005123F7" w:rsidP="00646E68">
      <w:pPr>
        <w:spacing w:before="120" w:beforeAutospacing="0"/>
        <w:rPr>
          <w:sz w:val="22"/>
        </w:rPr>
      </w:pPr>
      <w:r>
        <w:rPr>
          <w:sz w:val="22"/>
        </w:rPr>
        <w:lastRenderedPageBreak/>
        <w:t xml:space="preserve">EIA also plans to offer a secure file transfer option so that respondents </w:t>
      </w:r>
      <w:r w:rsidR="005C1DB2">
        <w:rPr>
          <w:sz w:val="22"/>
        </w:rPr>
        <w:t xml:space="preserve">may </w:t>
      </w:r>
      <w:r>
        <w:rPr>
          <w:sz w:val="22"/>
        </w:rPr>
        <w:t>generate a specifically formatted file directly from their data systems and electronically transmit this file to EIA</w:t>
      </w:r>
      <w:proofErr w:type="gramStart"/>
      <w:r>
        <w:rPr>
          <w:sz w:val="22"/>
        </w:rPr>
        <w:t xml:space="preserve">.  </w:t>
      </w:r>
      <w:proofErr w:type="gramEnd"/>
      <w:r>
        <w:rPr>
          <w:sz w:val="22"/>
        </w:rPr>
        <w:t>This option will reduce data entry errors</w:t>
      </w:r>
      <w:r w:rsidR="003D7DB9">
        <w:rPr>
          <w:sz w:val="22"/>
        </w:rPr>
        <w:t xml:space="preserve"> and the time to prepare a survey form for each submission</w:t>
      </w:r>
      <w:r>
        <w:rPr>
          <w:sz w:val="22"/>
        </w:rPr>
        <w:t>.</w:t>
      </w:r>
    </w:p>
    <w:p w:rsidR="00B34E57" w:rsidRPr="00D810CC" w:rsidRDefault="00B34E57" w:rsidP="008561E4">
      <w:pPr>
        <w:pStyle w:val="Heading2"/>
      </w:pPr>
      <w:bookmarkStart w:id="14" w:name="_Toc373916723"/>
      <w:bookmarkStart w:id="15" w:name="_Toc396424910"/>
      <w:r w:rsidRPr="00D810CC">
        <w:t>Efforts to Reduce Duplication</w:t>
      </w:r>
      <w:bookmarkEnd w:id="14"/>
      <w:bookmarkEnd w:id="15"/>
    </w:p>
    <w:p w:rsidR="00964898" w:rsidRPr="007443C3" w:rsidRDefault="00964898" w:rsidP="00964898">
      <w:pPr>
        <w:rPr>
          <w:sz w:val="22"/>
        </w:rPr>
      </w:pPr>
      <w:r w:rsidRPr="007443C3">
        <w:rPr>
          <w:sz w:val="22"/>
        </w:rPr>
        <w:t>Providing comprehensive detailed data in a convenient “one-stop shop” and in a standard format would provide users with timely and accurate information that is easy to use</w:t>
      </w:r>
      <w:proofErr w:type="gramStart"/>
      <w:r w:rsidRPr="007443C3">
        <w:rPr>
          <w:sz w:val="22"/>
        </w:rPr>
        <w:t xml:space="preserve">.  </w:t>
      </w:r>
      <w:proofErr w:type="gramEnd"/>
      <w:r w:rsidRPr="007443C3">
        <w:rPr>
          <w:sz w:val="22"/>
        </w:rPr>
        <w:t>EIA gathers similar data in a monthly or annual format from other sources, but the data from third parties are not validated for accuracy or completeness, are not provided to EIA on a consistent</w:t>
      </w:r>
      <w:r w:rsidR="00D13B26">
        <w:rPr>
          <w:sz w:val="22"/>
        </w:rPr>
        <w:t xml:space="preserve"> and timely</w:t>
      </w:r>
      <w:r w:rsidRPr="007443C3">
        <w:rPr>
          <w:sz w:val="22"/>
        </w:rPr>
        <w:t xml:space="preserve"> basis</w:t>
      </w:r>
      <w:r w:rsidR="006D4FAC">
        <w:rPr>
          <w:sz w:val="22"/>
        </w:rPr>
        <w:t>,</w:t>
      </w:r>
      <w:r w:rsidRPr="007443C3">
        <w:rPr>
          <w:sz w:val="22"/>
        </w:rPr>
        <w:t xml:space="preserve"> and, therefore, do not meet the needs of EIA’s data users.</w:t>
      </w:r>
    </w:p>
    <w:p w:rsidR="00964898" w:rsidRPr="007443C3" w:rsidRDefault="00964898" w:rsidP="00964898">
      <w:pPr>
        <w:rPr>
          <w:sz w:val="22"/>
        </w:rPr>
      </w:pPr>
      <w:r w:rsidRPr="007443C3">
        <w:rPr>
          <w:sz w:val="22"/>
        </w:rPr>
        <w:t xml:space="preserve">The data similar to the monthly crude oil, lease condensate, and natural gas production information proposed for collection on the </w:t>
      </w:r>
      <w:r w:rsidR="0077323C">
        <w:rPr>
          <w:sz w:val="22"/>
        </w:rPr>
        <w:t xml:space="preserve">expanded </w:t>
      </w:r>
      <w:r w:rsidRPr="007443C3">
        <w:rPr>
          <w:sz w:val="22"/>
        </w:rPr>
        <w:t xml:space="preserve">Form EIA-914 </w:t>
      </w:r>
      <w:proofErr w:type="gramStart"/>
      <w:r w:rsidRPr="007443C3">
        <w:rPr>
          <w:sz w:val="22"/>
        </w:rPr>
        <w:t>have been gathered</w:t>
      </w:r>
      <w:proofErr w:type="gramEnd"/>
      <w:r w:rsidRPr="007443C3">
        <w:rPr>
          <w:sz w:val="22"/>
        </w:rPr>
        <w:t xml:space="preserve"> by EIA from the following sources:</w:t>
      </w:r>
    </w:p>
    <w:p w:rsidR="00964898" w:rsidRPr="007443C3" w:rsidRDefault="00964898" w:rsidP="00964898">
      <w:pPr>
        <w:pStyle w:val="ListParagraph"/>
        <w:numPr>
          <w:ilvl w:val="0"/>
          <w:numId w:val="38"/>
        </w:numPr>
        <w:spacing w:before="0" w:beforeAutospacing="0" w:after="200" w:afterAutospacing="0" w:line="276" w:lineRule="auto"/>
        <w:jc w:val="left"/>
        <w:rPr>
          <w:rFonts w:ascii="Times New Roman" w:hAnsi="Times New Roman"/>
          <w:sz w:val="22"/>
        </w:rPr>
      </w:pPr>
      <w:r w:rsidRPr="007443C3">
        <w:rPr>
          <w:rFonts w:ascii="Times New Roman" w:hAnsi="Times New Roman"/>
          <w:sz w:val="22"/>
        </w:rPr>
        <w:t xml:space="preserve">States that reported monthly to EIA on a voluntary basis (natural gas production only, on the now discontinued Form EIA-895, </w:t>
      </w:r>
      <w:r w:rsidRPr="007443C3">
        <w:rPr>
          <w:rFonts w:ascii="Times New Roman" w:hAnsi="Times New Roman"/>
          <w:i/>
          <w:sz w:val="22"/>
        </w:rPr>
        <w:t>Annual Quantity and Value of Natural Gas Production Report</w:t>
      </w:r>
      <w:r w:rsidRPr="007443C3">
        <w:rPr>
          <w:rFonts w:ascii="Times New Roman" w:hAnsi="Times New Roman"/>
          <w:sz w:val="22"/>
        </w:rPr>
        <w:t>).</w:t>
      </w:r>
    </w:p>
    <w:p w:rsidR="00964898" w:rsidRPr="007443C3" w:rsidRDefault="00964898" w:rsidP="00964898">
      <w:pPr>
        <w:pStyle w:val="ListParagraph"/>
        <w:numPr>
          <w:ilvl w:val="0"/>
          <w:numId w:val="38"/>
        </w:numPr>
        <w:spacing w:before="0" w:beforeAutospacing="0" w:after="200" w:afterAutospacing="0" w:line="276" w:lineRule="auto"/>
        <w:jc w:val="left"/>
        <w:rPr>
          <w:rFonts w:ascii="Times New Roman" w:hAnsi="Times New Roman"/>
          <w:sz w:val="22"/>
        </w:rPr>
      </w:pPr>
      <w:proofErr w:type="gramStart"/>
      <w:r w:rsidRPr="007443C3">
        <w:rPr>
          <w:rFonts w:ascii="Times New Roman" w:hAnsi="Times New Roman"/>
          <w:sz w:val="22"/>
        </w:rPr>
        <w:t>Bureau of Safety and Environmental Enforcement (BSEE) in the Department of Interior for the Federal Offshore Gulf of Mexico and Federal Offshore California.</w:t>
      </w:r>
      <w:proofErr w:type="gramEnd"/>
    </w:p>
    <w:p w:rsidR="00964898" w:rsidRPr="00476633" w:rsidRDefault="00964898" w:rsidP="00476633">
      <w:pPr>
        <w:pStyle w:val="ListParagraph"/>
        <w:numPr>
          <w:ilvl w:val="0"/>
          <w:numId w:val="38"/>
        </w:numPr>
        <w:spacing w:before="0" w:beforeAutospacing="0" w:after="200" w:afterAutospacing="0" w:line="276" w:lineRule="auto"/>
        <w:jc w:val="left"/>
        <w:rPr>
          <w:color w:val="000000"/>
          <w:sz w:val="22"/>
        </w:rPr>
      </w:pPr>
      <w:r w:rsidRPr="007443C3">
        <w:rPr>
          <w:rFonts w:ascii="Times New Roman" w:hAnsi="Times New Roman"/>
          <w:sz w:val="22"/>
        </w:rPr>
        <w:t xml:space="preserve">Manual downloads by EIA staff of data from state websites (for crude oil and lease condensate; each state </w:t>
      </w:r>
      <w:r w:rsidR="0077323C">
        <w:rPr>
          <w:rFonts w:ascii="Times New Roman" w:hAnsi="Times New Roman"/>
          <w:sz w:val="22"/>
        </w:rPr>
        <w:t>has</w:t>
      </w:r>
      <w:r w:rsidRPr="007443C3">
        <w:rPr>
          <w:rFonts w:ascii="Times New Roman" w:hAnsi="Times New Roman"/>
          <w:sz w:val="22"/>
        </w:rPr>
        <w:t xml:space="preserve"> different reporting period aggregations and report</w:t>
      </w:r>
      <w:r w:rsidR="0077323C">
        <w:rPr>
          <w:rFonts w:ascii="Times New Roman" w:hAnsi="Times New Roman"/>
          <w:sz w:val="22"/>
        </w:rPr>
        <w:t>s</w:t>
      </w:r>
      <w:r w:rsidRPr="007443C3">
        <w:rPr>
          <w:rFonts w:ascii="Times New Roman" w:hAnsi="Times New Roman"/>
          <w:sz w:val="22"/>
        </w:rPr>
        <w:t xml:space="preserve"> </w:t>
      </w:r>
      <w:r w:rsidR="00E27152">
        <w:rPr>
          <w:rFonts w:ascii="Times New Roman" w:hAnsi="Times New Roman"/>
          <w:sz w:val="22"/>
        </w:rPr>
        <w:t xml:space="preserve">finalized data </w:t>
      </w:r>
      <w:r w:rsidRPr="007443C3">
        <w:rPr>
          <w:rFonts w:ascii="Times New Roman" w:hAnsi="Times New Roman"/>
          <w:sz w:val="22"/>
        </w:rPr>
        <w:t xml:space="preserve">up to </w:t>
      </w:r>
      <w:r w:rsidR="007D073F">
        <w:rPr>
          <w:rFonts w:ascii="Times New Roman" w:hAnsi="Times New Roman"/>
          <w:sz w:val="22"/>
        </w:rPr>
        <w:t>two years</w:t>
      </w:r>
      <w:r w:rsidRPr="007443C3">
        <w:rPr>
          <w:rFonts w:ascii="Times New Roman" w:hAnsi="Times New Roman"/>
          <w:sz w:val="22"/>
        </w:rPr>
        <w:t xml:space="preserve"> after the </w:t>
      </w:r>
      <w:r w:rsidR="00E27152">
        <w:rPr>
          <w:rFonts w:ascii="Times New Roman" w:hAnsi="Times New Roman"/>
          <w:sz w:val="22"/>
        </w:rPr>
        <w:t xml:space="preserve">initially reported </w:t>
      </w:r>
      <w:r w:rsidRPr="007443C3">
        <w:rPr>
          <w:rFonts w:ascii="Times New Roman" w:hAnsi="Times New Roman"/>
          <w:sz w:val="22"/>
        </w:rPr>
        <w:t>production period).</w:t>
      </w:r>
    </w:p>
    <w:p w:rsidR="00A15CE6" w:rsidRPr="00964898" w:rsidRDefault="00964898" w:rsidP="00476633">
      <w:pPr>
        <w:pStyle w:val="ListParagraph"/>
        <w:numPr>
          <w:ilvl w:val="0"/>
          <w:numId w:val="38"/>
        </w:numPr>
        <w:spacing w:before="0" w:beforeAutospacing="0" w:after="200" w:afterAutospacing="0" w:line="276" w:lineRule="auto"/>
        <w:jc w:val="left"/>
        <w:rPr>
          <w:color w:val="000000"/>
          <w:sz w:val="22"/>
        </w:rPr>
      </w:pPr>
      <w:r w:rsidRPr="00476633">
        <w:rPr>
          <w:rFonts w:ascii="Times New Roman" w:hAnsi="Times New Roman"/>
          <w:sz w:val="22"/>
        </w:rPr>
        <w:t xml:space="preserve">Form EIA-23L, </w:t>
      </w:r>
      <w:r w:rsidRPr="00476633">
        <w:rPr>
          <w:rFonts w:ascii="Times New Roman" w:hAnsi="Times New Roman"/>
          <w:i/>
          <w:sz w:val="22"/>
        </w:rPr>
        <w:t>Annual Survey of Domestic Oil and Gas Reserves</w:t>
      </w:r>
      <w:r w:rsidRPr="00476633">
        <w:rPr>
          <w:rFonts w:ascii="Times New Roman" w:hAnsi="Times New Roman"/>
          <w:sz w:val="22"/>
        </w:rPr>
        <w:t xml:space="preserve"> (aggregated annual reporting of crude oil, lease condensate, and natural gas production for the previous reporting year).</w:t>
      </w:r>
      <w:r w:rsidR="00A15CE6" w:rsidRPr="00964898">
        <w:rPr>
          <w:color w:val="000000"/>
          <w:sz w:val="22"/>
        </w:rPr>
        <w:t xml:space="preserve"> </w:t>
      </w:r>
    </w:p>
    <w:p w:rsidR="00562DFB" w:rsidRDefault="00A15CE6" w:rsidP="00A15CE6">
      <w:pPr>
        <w:rPr>
          <w:color w:val="000000"/>
          <w:sz w:val="22"/>
        </w:rPr>
      </w:pPr>
      <w:r w:rsidRPr="00A15CE6">
        <w:rPr>
          <w:color w:val="000000"/>
          <w:sz w:val="22"/>
        </w:rPr>
        <w:t xml:space="preserve">Before data from </w:t>
      </w:r>
      <w:r w:rsidR="00BD08B7">
        <w:rPr>
          <w:color w:val="000000"/>
          <w:sz w:val="22"/>
        </w:rPr>
        <w:t xml:space="preserve">the </w:t>
      </w:r>
      <w:r w:rsidRPr="00A15CE6">
        <w:rPr>
          <w:color w:val="000000"/>
          <w:sz w:val="22"/>
        </w:rPr>
        <w:t xml:space="preserve">Form EIA-914 became available, EIA published </w:t>
      </w:r>
      <w:r w:rsidR="00BD08B7">
        <w:rPr>
          <w:color w:val="000000"/>
          <w:sz w:val="22"/>
        </w:rPr>
        <w:t xml:space="preserve">monthly and annual </w:t>
      </w:r>
      <w:r w:rsidRPr="00A15CE6">
        <w:rPr>
          <w:color w:val="000000"/>
          <w:sz w:val="22"/>
        </w:rPr>
        <w:t xml:space="preserve">estimates of </w:t>
      </w:r>
      <w:r w:rsidR="00E27152">
        <w:rPr>
          <w:color w:val="000000"/>
          <w:sz w:val="22"/>
        </w:rPr>
        <w:t xml:space="preserve">U.S. </w:t>
      </w:r>
      <w:r w:rsidRPr="00A15CE6">
        <w:rPr>
          <w:color w:val="000000"/>
          <w:sz w:val="22"/>
        </w:rPr>
        <w:t xml:space="preserve">crude oil, lease condensate, and natural gas production using data from state websites, </w:t>
      </w:r>
      <w:r w:rsidR="00BD08B7">
        <w:rPr>
          <w:color w:val="000000"/>
          <w:sz w:val="22"/>
        </w:rPr>
        <w:t xml:space="preserve">the </w:t>
      </w:r>
      <w:r w:rsidRPr="00A15CE6">
        <w:rPr>
          <w:color w:val="000000"/>
          <w:sz w:val="22"/>
        </w:rPr>
        <w:t>Form EIA-895, and</w:t>
      </w:r>
      <w:r w:rsidR="008C61B5">
        <w:rPr>
          <w:color w:val="000000"/>
          <w:sz w:val="22"/>
        </w:rPr>
        <w:t xml:space="preserve"> BSEE</w:t>
      </w:r>
      <w:proofErr w:type="gramStart"/>
      <w:r w:rsidRPr="00A15CE6">
        <w:rPr>
          <w:color w:val="000000"/>
          <w:sz w:val="22"/>
        </w:rPr>
        <w:t xml:space="preserve">. </w:t>
      </w:r>
      <w:r w:rsidR="003D7DB9">
        <w:rPr>
          <w:color w:val="000000"/>
          <w:sz w:val="22"/>
        </w:rPr>
        <w:t xml:space="preserve"> </w:t>
      </w:r>
      <w:proofErr w:type="gramEnd"/>
      <w:r w:rsidRPr="00A15CE6">
        <w:rPr>
          <w:color w:val="000000"/>
          <w:sz w:val="22"/>
        </w:rPr>
        <w:t>While some of the</w:t>
      </w:r>
      <w:r w:rsidR="00BD08B7">
        <w:rPr>
          <w:color w:val="000000"/>
          <w:sz w:val="22"/>
        </w:rPr>
        <w:t>se sources</w:t>
      </w:r>
      <w:r w:rsidRPr="00A15CE6">
        <w:rPr>
          <w:color w:val="000000"/>
          <w:sz w:val="22"/>
        </w:rPr>
        <w:t xml:space="preserve"> provided sufficient </w:t>
      </w:r>
      <w:r w:rsidR="00BD08B7">
        <w:rPr>
          <w:color w:val="000000"/>
          <w:sz w:val="22"/>
        </w:rPr>
        <w:t xml:space="preserve">and </w:t>
      </w:r>
      <w:r w:rsidRPr="00A15CE6">
        <w:rPr>
          <w:color w:val="000000"/>
          <w:sz w:val="22"/>
        </w:rPr>
        <w:t xml:space="preserve">timely data, most reported data were </w:t>
      </w:r>
      <w:r>
        <w:rPr>
          <w:color w:val="000000"/>
          <w:sz w:val="22"/>
        </w:rPr>
        <w:t>i</w:t>
      </w:r>
      <w:r w:rsidRPr="00A15CE6">
        <w:rPr>
          <w:color w:val="000000"/>
          <w:sz w:val="22"/>
        </w:rPr>
        <w:t xml:space="preserve">ncomplete or </w:t>
      </w:r>
      <w:r>
        <w:rPr>
          <w:color w:val="000000"/>
          <w:sz w:val="22"/>
        </w:rPr>
        <w:t xml:space="preserve">were not </w:t>
      </w:r>
      <w:r w:rsidR="00BD08B7">
        <w:rPr>
          <w:color w:val="000000"/>
          <w:sz w:val="22"/>
        </w:rPr>
        <w:t xml:space="preserve">sufficiently </w:t>
      </w:r>
      <w:r w:rsidRPr="00A15CE6">
        <w:rPr>
          <w:color w:val="000000"/>
          <w:sz w:val="22"/>
        </w:rPr>
        <w:t xml:space="preserve">timely for direct dissemination by EIA. Form EIA-914 was created and subsequently expanded to replace these data with more timely and more accurate data; that goal was met in the past, and is expected to be met in the future after the </w:t>
      </w:r>
      <w:r w:rsidR="00C87997">
        <w:rPr>
          <w:color w:val="000000"/>
          <w:sz w:val="22"/>
        </w:rPr>
        <w:t xml:space="preserve">proposed </w:t>
      </w:r>
      <w:r w:rsidRPr="00A15CE6">
        <w:rPr>
          <w:color w:val="000000"/>
          <w:sz w:val="22"/>
        </w:rPr>
        <w:t>expansion is approved</w:t>
      </w:r>
      <w:r w:rsidR="00E27152">
        <w:rPr>
          <w:color w:val="000000"/>
          <w:sz w:val="22"/>
        </w:rPr>
        <w:t xml:space="preserve"> and implemented</w:t>
      </w:r>
      <w:proofErr w:type="gramStart"/>
      <w:r w:rsidRPr="00A15CE6">
        <w:rPr>
          <w:color w:val="000000"/>
          <w:sz w:val="22"/>
        </w:rPr>
        <w:t>.</w:t>
      </w:r>
      <w:r w:rsidR="00562DFB" w:rsidRPr="00562DFB">
        <w:rPr>
          <w:color w:val="000000"/>
          <w:sz w:val="22"/>
        </w:rPr>
        <w:t xml:space="preserve">  </w:t>
      </w:r>
      <w:proofErr w:type="gramEnd"/>
      <w:r w:rsidR="00F03D1F">
        <w:rPr>
          <w:color w:val="000000"/>
          <w:sz w:val="22"/>
        </w:rPr>
        <w:t xml:space="preserve">While </w:t>
      </w:r>
      <w:r w:rsidR="00562DFB" w:rsidRPr="00562DFB">
        <w:rPr>
          <w:color w:val="000000"/>
          <w:sz w:val="22"/>
        </w:rPr>
        <w:t xml:space="preserve">EIA is aware of </w:t>
      </w:r>
      <w:r w:rsidR="00562DFB" w:rsidRPr="00645790">
        <w:rPr>
          <w:color w:val="000000"/>
          <w:sz w:val="22"/>
        </w:rPr>
        <w:t>two</w:t>
      </w:r>
      <w:r w:rsidR="00562DFB" w:rsidRPr="00562DFB">
        <w:rPr>
          <w:color w:val="000000"/>
          <w:sz w:val="22"/>
        </w:rPr>
        <w:t xml:space="preserve"> private companies that provide th</w:t>
      </w:r>
      <w:r w:rsidR="00645790">
        <w:rPr>
          <w:color w:val="000000"/>
          <w:sz w:val="22"/>
        </w:rPr>
        <w:t>e</w:t>
      </w:r>
      <w:r w:rsidR="00562DFB" w:rsidRPr="00562DFB">
        <w:rPr>
          <w:color w:val="000000"/>
          <w:sz w:val="22"/>
        </w:rPr>
        <w:t>s</w:t>
      </w:r>
      <w:r w:rsidR="00645790">
        <w:rPr>
          <w:color w:val="000000"/>
          <w:sz w:val="22"/>
        </w:rPr>
        <w:t>e</w:t>
      </w:r>
      <w:r w:rsidR="00562DFB" w:rsidRPr="00562DFB">
        <w:rPr>
          <w:color w:val="000000"/>
          <w:sz w:val="22"/>
        </w:rPr>
        <w:t xml:space="preserve"> data for </w:t>
      </w:r>
      <w:r w:rsidR="00645790">
        <w:rPr>
          <w:color w:val="000000"/>
          <w:sz w:val="22"/>
        </w:rPr>
        <w:t>all states</w:t>
      </w:r>
      <w:r w:rsidR="00F03D1F">
        <w:rPr>
          <w:color w:val="000000"/>
          <w:sz w:val="22"/>
        </w:rPr>
        <w:t>, the</w:t>
      </w:r>
      <w:r w:rsidR="007C67A2">
        <w:rPr>
          <w:color w:val="000000"/>
          <w:sz w:val="22"/>
        </w:rPr>
        <w:t>ir</w:t>
      </w:r>
      <w:r w:rsidR="00F03D1F">
        <w:rPr>
          <w:color w:val="000000"/>
          <w:sz w:val="22"/>
        </w:rPr>
        <w:t xml:space="preserve"> data are</w:t>
      </w:r>
      <w:r w:rsidR="00E27152">
        <w:rPr>
          <w:color w:val="000000"/>
          <w:sz w:val="22"/>
        </w:rPr>
        <w:t xml:space="preserve"> prohibitively expensive, </w:t>
      </w:r>
      <w:r w:rsidR="00F03D1F">
        <w:rPr>
          <w:color w:val="000000"/>
          <w:sz w:val="22"/>
        </w:rPr>
        <w:t>similarly incomplete</w:t>
      </w:r>
      <w:r w:rsidR="00E27152">
        <w:rPr>
          <w:color w:val="000000"/>
          <w:sz w:val="22"/>
        </w:rPr>
        <w:t>,</w:t>
      </w:r>
      <w:r w:rsidR="00F03D1F">
        <w:rPr>
          <w:color w:val="000000"/>
          <w:sz w:val="22"/>
        </w:rPr>
        <w:t xml:space="preserve"> and not sufficiently timely</w:t>
      </w:r>
      <w:proofErr w:type="gramStart"/>
      <w:r w:rsidR="00F03D1F">
        <w:rPr>
          <w:color w:val="000000"/>
          <w:sz w:val="22"/>
        </w:rPr>
        <w:t xml:space="preserve">. </w:t>
      </w:r>
      <w:r w:rsidR="00645790">
        <w:rPr>
          <w:color w:val="000000"/>
          <w:sz w:val="22"/>
        </w:rPr>
        <w:t xml:space="preserve"> </w:t>
      </w:r>
      <w:proofErr w:type="gramEnd"/>
      <w:r w:rsidR="007C67A2">
        <w:rPr>
          <w:color w:val="000000"/>
          <w:sz w:val="22"/>
        </w:rPr>
        <w:t>O</w:t>
      </w:r>
      <w:r w:rsidR="00F03D1F">
        <w:rPr>
          <w:color w:val="000000"/>
          <w:sz w:val="22"/>
        </w:rPr>
        <w:t xml:space="preserve">ther companies </w:t>
      </w:r>
      <w:r w:rsidR="00645790">
        <w:rPr>
          <w:color w:val="000000"/>
          <w:sz w:val="22"/>
        </w:rPr>
        <w:t>provide state-level data</w:t>
      </w:r>
      <w:r w:rsidR="00F03D1F">
        <w:rPr>
          <w:color w:val="000000"/>
          <w:sz w:val="22"/>
        </w:rPr>
        <w:t>, but coverage is limited and insufficient for our purposes</w:t>
      </w:r>
      <w:r w:rsidR="00554F52">
        <w:rPr>
          <w:color w:val="000000"/>
          <w:sz w:val="22"/>
        </w:rPr>
        <w:t>.</w:t>
      </w:r>
      <w:r w:rsidR="00562DFB" w:rsidRPr="00562DFB">
        <w:rPr>
          <w:color w:val="000000"/>
          <w:sz w:val="22"/>
        </w:rPr>
        <w:t xml:space="preserve"> </w:t>
      </w:r>
    </w:p>
    <w:p w:rsidR="00A724F1" w:rsidRPr="008D4B5F" w:rsidRDefault="00B34E57" w:rsidP="008561E4">
      <w:pPr>
        <w:pStyle w:val="Heading2"/>
      </w:pPr>
      <w:bookmarkStart w:id="16" w:name="_Toc373916724"/>
      <w:bookmarkStart w:id="17" w:name="_Toc396424911"/>
      <w:r w:rsidRPr="008D4B5F">
        <w:t>Burden Reduction for Small Entities</w:t>
      </w:r>
      <w:bookmarkEnd w:id="16"/>
      <w:bookmarkEnd w:id="17"/>
    </w:p>
    <w:p w:rsidR="00AB530C" w:rsidRPr="00AB530C" w:rsidRDefault="00964898" w:rsidP="00AB530C">
      <w:pPr>
        <w:rPr>
          <w:color w:val="000000"/>
          <w:sz w:val="22"/>
        </w:rPr>
      </w:pPr>
      <w:r w:rsidRPr="007443C3">
        <w:rPr>
          <w:sz w:val="22"/>
        </w:rPr>
        <w:t xml:space="preserve">The </w:t>
      </w:r>
      <w:r w:rsidR="00AB7DD7">
        <w:rPr>
          <w:sz w:val="22"/>
        </w:rPr>
        <w:t xml:space="preserve">Form EIA-914 </w:t>
      </w:r>
      <w:r w:rsidRPr="007443C3">
        <w:rPr>
          <w:sz w:val="22"/>
        </w:rPr>
        <w:t xml:space="preserve">survey </w:t>
      </w:r>
      <w:r w:rsidR="003D7DB9">
        <w:rPr>
          <w:sz w:val="22"/>
        </w:rPr>
        <w:t xml:space="preserve">sample </w:t>
      </w:r>
      <w:r w:rsidRPr="007443C3">
        <w:rPr>
          <w:sz w:val="22"/>
        </w:rPr>
        <w:t>will comprise no more than 600 of the over 1</w:t>
      </w:r>
      <w:r w:rsidR="007D073F">
        <w:rPr>
          <w:sz w:val="22"/>
        </w:rPr>
        <w:t>3</w:t>
      </w:r>
      <w:r w:rsidRPr="007443C3">
        <w:rPr>
          <w:sz w:val="22"/>
        </w:rPr>
        <w:t xml:space="preserve">,000 active </w:t>
      </w:r>
      <w:r w:rsidR="00E97A76">
        <w:rPr>
          <w:sz w:val="22"/>
        </w:rPr>
        <w:t xml:space="preserve">operators of </w:t>
      </w:r>
      <w:r w:rsidRPr="007443C3">
        <w:rPr>
          <w:sz w:val="22"/>
        </w:rPr>
        <w:t>crude oil and natural gas well</w:t>
      </w:r>
      <w:r w:rsidR="00E97A76">
        <w:rPr>
          <w:sz w:val="22"/>
        </w:rPr>
        <w:t>s</w:t>
      </w:r>
      <w:r w:rsidRPr="007443C3">
        <w:rPr>
          <w:sz w:val="22"/>
        </w:rPr>
        <w:t xml:space="preserve"> in the United States</w:t>
      </w:r>
      <w:proofErr w:type="gramStart"/>
      <w:r w:rsidR="00AB530C" w:rsidRPr="00AB530C">
        <w:rPr>
          <w:color w:val="000000"/>
          <w:sz w:val="22"/>
        </w:rPr>
        <w:t xml:space="preserve">. </w:t>
      </w:r>
      <w:r w:rsidR="003D7DB9">
        <w:rPr>
          <w:color w:val="000000"/>
          <w:sz w:val="22"/>
        </w:rPr>
        <w:t xml:space="preserve"> </w:t>
      </w:r>
      <w:proofErr w:type="gramEnd"/>
      <w:r w:rsidR="00AB530C" w:rsidRPr="00AB530C">
        <w:rPr>
          <w:color w:val="000000"/>
          <w:sz w:val="22"/>
        </w:rPr>
        <w:t xml:space="preserve">EIA conducts the survey using a cut-off sample of operators to help ensure that the impact, if any, on smaller entities </w:t>
      </w:r>
      <w:proofErr w:type="gramStart"/>
      <w:r w:rsidR="00AB530C" w:rsidRPr="00AB530C">
        <w:rPr>
          <w:color w:val="000000"/>
          <w:sz w:val="22"/>
        </w:rPr>
        <w:t>is minimized</w:t>
      </w:r>
      <w:proofErr w:type="gramEnd"/>
      <w:r w:rsidR="00AB530C" w:rsidRPr="00AB530C">
        <w:rPr>
          <w:color w:val="000000"/>
          <w:sz w:val="22"/>
        </w:rPr>
        <w:t>.</w:t>
      </w:r>
    </w:p>
    <w:p w:rsidR="00B34E57" w:rsidRPr="00D810CC" w:rsidRDefault="00D71D78" w:rsidP="008561E4">
      <w:pPr>
        <w:pStyle w:val="Heading2"/>
      </w:pPr>
      <w:bookmarkStart w:id="18" w:name="_Toc373916725"/>
      <w:bookmarkStart w:id="19" w:name="_Toc396424912"/>
      <w:r>
        <w:t>Consequences of Less Frequent Data Collection</w:t>
      </w:r>
      <w:bookmarkStart w:id="20" w:name="_Toc345587551"/>
      <w:bookmarkEnd w:id="18"/>
      <w:bookmarkEnd w:id="20"/>
      <w:bookmarkEnd w:id="19"/>
    </w:p>
    <w:p w:rsidR="00E97303" w:rsidRPr="007060CA" w:rsidRDefault="00AB7DD7" w:rsidP="00D60D2A">
      <w:pPr>
        <w:spacing w:before="120" w:beforeAutospacing="0"/>
        <w:rPr>
          <w:snapToGrid w:val="0"/>
          <w:sz w:val="22"/>
        </w:rPr>
      </w:pPr>
      <w:r>
        <w:rPr>
          <w:snapToGrid w:val="0"/>
          <w:sz w:val="22"/>
        </w:rPr>
        <w:t>EIA reduced</w:t>
      </w:r>
      <w:r w:rsidR="00AB530C" w:rsidRPr="00AB530C">
        <w:rPr>
          <w:snapToGrid w:val="0"/>
          <w:sz w:val="22"/>
        </w:rPr>
        <w:t xml:space="preserve"> </w:t>
      </w:r>
      <w:r>
        <w:rPr>
          <w:snapToGrid w:val="0"/>
          <w:sz w:val="22"/>
        </w:rPr>
        <w:t>a</w:t>
      </w:r>
      <w:r w:rsidR="00AB530C" w:rsidRPr="00AB530C">
        <w:rPr>
          <w:snapToGrid w:val="0"/>
          <w:sz w:val="22"/>
        </w:rPr>
        <w:t xml:space="preserve"> 120-day</w:t>
      </w:r>
      <w:r w:rsidR="005706E9">
        <w:rPr>
          <w:snapToGrid w:val="0"/>
          <w:sz w:val="22"/>
        </w:rPr>
        <w:t xml:space="preserve"> publication lag </w:t>
      </w:r>
      <w:r>
        <w:rPr>
          <w:snapToGrid w:val="0"/>
          <w:sz w:val="22"/>
        </w:rPr>
        <w:t xml:space="preserve">for a reporting month for the Form EIA-914 </w:t>
      </w:r>
      <w:r w:rsidR="005706E9">
        <w:rPr>
          <w:snapToGrid w:val="0"/>
          <w:sz w:val="22"/>
        </w:rPr>
        <w:t>to 60 days</w:t>
      </w:r>
      <w:r w:rsidR="00AB530C" w:rsidRPr="00AB530C">
        <w:rPr>
          <w:snapToGrid w:val="0"/>
          <w:sz w:val="22"/>
        </w:rPr>
        <w:t xml:space="preserve"> for natural gas and anticipate</w:t>
      </w:r>
      <w:r>
        <w:rPr>
          <w:snapToGrid w:val="0"/>
          <w:sz w:val="22"/>
        </w:rPr>
        <w:t>s</w:t>
      </w:r>
      <w:r w:rsidR="00AB530C" w:rsidRPr="00AB530C">
        <w:rPr>
          <w:snapToGrid w:val="0"/>
          <w:sz w:val="22"/>
        </w:rPr>
        <w:t xml:space="preserve"> me</w:t>
      </w:r>
      <w:r>
        <w:rPr>
          <w:snapToGrid w:val="0"/>
          <w:sz w:val="22"/>
        </w:rPr>
        <w:t>e</w:t>
      </w:r>
      <w:r w:rsidR="00AB530C" w:rsidRPr="00AB530C">
        <w:rPr>
          <w:snapToGrid w:val="0"/>
          <w:sz w:val="22"/>
        </w:rPr>
        <w:t>t</w:t>
      </w:r>
      <w:r>
        <w:rPr>
          <w:snapToGrid w:val="0"/>
          <w:sz w:val="22"/>
        </w:rPr>
        <w:t>ing this goal</w:t>
      </w:r>
      <w:r w:rsidR="00AB530C" w:rsidRPr="00AB530C">
        <w:rPr>
          <w:snapToGrid w:val="0"/>
          <w:sz w:val="22"/>
        </w:rPr>
        <w:t xml:space="preserve"> for </w:t>
      </w:r>
      <w:r w:rsidR="0001397B">
        <w:rPr>
          <w:snapToGrid w:val="0"/>
          <w:sz w:val="22"/>
        </w:rPr>
        <w:t xml:space="preserve">overall </w:t>
      </w:r>
      <w:r w:rsidR="00AB530C" w:rsidRPr="00AB530C">
        <w:rPr>
          <w:snapToGrid w:val="0"/>
          <w:sz w:val="22"/>
        </w:rPr>
        <w:t>crude oil and lease condensate at the outset</w:t>
      </w:r>
      <w:r>
        <w:rPr>
          <w:snapToGrid w:val="0"/>
          <w:sz w:val="22"/>
        </w:rPr>
        <w:t xml:space="preserve"> of the </w:t>
      </w:r>
      <w:r>
        <w:rPr>
          <w:snapToGrid w:val="0"/>
          <w:sz w:val="22"/>
        </w:rPr>
        <w:lastRenderedPageBreak/>
        <w:t>proposed survey expansion</w:t>
      </w:r>
      <w:proofErr w:type="gramStart"/>
      <w:r>
        <w:rPr>
          <w:snapToGrid w:val="0"/>
          <w:sz w:val="22"/>
        </w:rPr>
        <w:t xml:space="preserve">.  </w:t>
      </w:r>
      <w:proofErr w:type="gramEnd"/>
      <w:r>
        <w:rPr>
          <w:snapToGrid w:val="0"/>
          <w:sz w:val="22"/>
        </w:rPr>
        <w:t>Given that respondents generally have less experience reporting</w:t>
      </w:r>
      <w:r w:rsidR="00AB530C" w:rsidRPr="00AB530C">
        <w:rPr>
          <w:snapToGrid w:val="0"/>
          <w:sz w:val="22"/>
        </w:rPr>
        <w:t xml:space="preserve"> crude oil and lease condensate by API gravity category</w:t>
      </w:r>
      <w:r>
        <w:rPr>
          <w:snapToGrid w:val="0"/>
          <w:sz w:val="22"/>
        </w:rPr>
        <w:t>, EIA anticipates a reduction in initial publication lags over time</w:t>
      </w:r>
      <w:proofErr w:type="gramStart"/>
      <w:r w:rsidR="00AB530C" w:rsidRPr="00AB530C">
        <w:rPr>
          <w:snapToGrid w:val="0"/>
          <w:sz w:val="22"/>
        </w:rPr>
        <w:t xml:space="preserve">. </w:t>
      </w:r>
      <w:r>
        <w:rPr>
          <w:snapToGrid w:val="0"/>
          <w:sz w:val="22"/>
        </w:rPr>
        <w:t xml:space="preserve"> Given the time required to collect and process data, if EIA were to receive l</w:t>
      </w:r>
      <w:r w:rsidR="00AB530C" w:rsidRPr="00AB530C">
        <w:rPr>
          <w:snapToGrid w:val="0"/>
          <w:sz w:val="22"/>
        </w:rPr>
        <w:t>ess frequent reporting</w:t>
      </w:r>
      <w:r>
        <w:rPr>
          <w:snapToGrid w:val="0"/>
          <w:sz w:val="22"/>
        </w:rPr>
        <w:t>,</w:t>
      </w:r>
      <w:r w:rsidR="00AB530C" w:rsidRPr="00AB530C">
        <w:rPr>
          <w:snapToGrid w:val="0"/>
          <w:sz w:val="22"/>
        </w:rPr>
        <w:t xml:space="preserve"> EIA </w:t>
      </w:r>
      <w:r w:rsidRPr="00AB530C">
        <w:rPr>
          <w:snapToGrid w:val="0"/>
          <w:sz w:val="22"/>
        </w:rPr>
        <w:t>would not be able to provide essential crude oil, lease condensate, and natural gas production information needed in advance of and during the winter heating season, spring driving season, and other periods of high demand</w:t>
      </w:r>
      <w:r>
        <w:rPr>
          <w:snapToGrid w:val="0"/>
          <w:sz w:val="22"/>
        </w:rPr>
        <w:t xml:space="preserve"> and would thus fail to meet its mandate of providing timely and reliable energy information</w:t>
      </w:r>
      <w:r w:rsidRPr="00AB530C">
        <w:rPr>
          <w:snapToGrid w:val="0"/>
          <w:sz w:val="22"/>
        </w:rPr>
        <w:t>.</w:t>
      </w:r>
      <w:proofErr w:type="gramEnd"/>
    </w:p>
    <w:p w:rsidR="00B34E57" w:rsidRPr="00D71D78" w:rsidRDefault="00D71D78" w:rsidP="008561E4">
      <w:pPr>
        <w:pStyle w:val="Heading2"/>
      </w:pPr>
      <w:bookmarkStart w:id="21" w:name="_Toc373916726"/>
      <w:bookmarkStart w:id="22" w:name="_Toc396424913"/>
      <w:r w:rsidRPr="00D71D78">
        <w:t xml:space="preserve">Compliance with </w:t>
      </w:r>
      <w:r w:rsidR="00B34E57" w:rsidRPr="00D71D78">
        <w:t>5 CFR 1320.</w:t>
      </w:r>
      <w:r w:rsidR="002008D5">
        <w:t>5</w:t>
      </w:r>
      <w:bookmarkEnd w:id="21"/>
      <w:bookmarkEnd w:id="22"/>
    </w:p>
    <w:p w:rsidR="006751B2" w:rsidRPr="0009294A" w:rsidRDefault="00A724F1" w:rsidP="006751B2">
      <w:pPr>
        <w:spacing w:before="120" w:beforeAutospacing="0"/>
        <w:rPr>
          <w:spacing w:val="6"/>
          <w:sz w:val="22"/>
        </w:rPr>
      </w:pPr>
      <w:r w:rsidRPr="0009294A">
        <w:rPr>
          <w:sz w:val="22"/>
        </w:rPr>
        <w:t xml:space="preserve">The </w:t>
      </w:r>
      <w:r w:rsidR="00533A7B">
        <w:rPr>
          <w:sz w:val="22"/>
        </w:rPr>
        <w:t xml:space="preserve">proposed </w:t>
      </w:r>
      <w:r w:rsidR="00343B1B">
        <w:rPr>
          <w:sz w:val="22"/>
        </w:rPr>
        <w:t xml:space="preserve">expanded </w:t>
      </w:r>
      <w:r w:rsidR="00C87B17">
        <w:rPr>
          <w:sz w:val="22"/>
        </w:rPr>
        <w:t>Form EIA-91</w:t>
      </w:r>
      <w:r w:rsidR="00AB530C">
        <w:rPr>
          <w:sz w:val="22"/>
        </w:rPr>
        <w:t>4</w:t>
      </w:r>
      <w:r w:rsidR="00C87B17">
        <w:rPr>
          <w:sz w:val="22"/>
        </w:rPr>
        <w:t xml:space="preserve"> </w:t>
      </w:r>
      <w:r w:rsidRPr="0009294A">
        <w:rPr>
          <w:sz w:val="22"/>
        </w:rPr>
        <w:t xml:space="preserve">data </w:t>
      </w:r>
      <w:r w:rsidR="00C87B17">
        <w:rPr>
          <w:sz w:val="22"/>
        </w:rPr>
        <w:t>will</w:t>
      </w:r>
      <w:r w:rsidRPr="0009294A">
        <w:rPr>
          <w:sz w:val="22"/>
        </w:rPr>
        <w:t xml:space="preserve"> be</w:t>
      </w:r>
      <w:r w:rsidR="00C87B17">
        <w:rPr>
          <w:sz w:val="22"/>
        </w:rPr>
        <w:t xml:space="preserve"> </w:t>
      </w:r>
      <w:r w:rsidRPr="0009294A">
        <w:rPr>
          <w:sz w:val="22"/>
        </w:rPr>
        <w:t>collected consistent with th</w:t>
      </w:r>
      <w:r w:rsidR="000E3A4E" w:rsidRPr="0009294A">
        <w:rPr>
          <w:sz w:val="22"/>
        </w:rPr>
        <w:t xml:space="preserve">e guidelines in </w:t>
      </w:r>
      <w:proofErr w:type="gramStart"/>
      <w:r w:rsidR="000E3A4E" w:rsidRPr="0009294A">
        <w:rPr>
          <w:sz w:val="22"/>
        </w:rPr>
        <w:t>5</w:t>
      </w:r>
      <w:proofErr w:type="gramEnd"/>
      <w:r w:rsidR="000E3A4E" w:rsidRPr="0009294A">
        <w:rPr>
          <w:sz w:val="22"/>
        </w:rPr>
        <w:t xml:space="preserve"> C.F.R. 1320.</w:t>
      </w:r>
      <w:r w:rsidR="002008D5">
        <w:rPr>
          <w:sz w:val="22"/>
        </w:rPr>
        <w:t>5</w:t>
      </w:r>
      <w:r w:rsidR="000E3A4E" w:rsidRPr="0009294A">
        <w:rPr>
          <w:sz w:val="22"/>
        </w:rPr>
        <w:t>, to reduce the public’s paperwork burden.</w:t>
      </w:r>
    </w:p>
    <w:p w:rsidR="00B34E57" w:rsidRDefault="00B34E57" w:rsidP="008561E4">
      <w:pPr>
        <w:pStyle w:val="Heading2"/>
      </w:pPr>
      <w:bookmarkStart w:id="23" w:name="_Toc373916727"/>
      <w:bookmarkStart w:id="24" w:name="_Toc396424914"/>
      <w:r w:rsidRPr="00D71D78">
        <w:t>Summary of Consultations outside the Agency</w:t>
      </w:r>
      <w:bookmarkEnd w:id="23"/>
      <w:bookmarkEnd w:id="24"/>
    </w:p>
    <w:p w:rsidR="00381B33" w:rsidRDefault="00381B33" w:rsidP="00EA2C65">
      <w:pPr>
        <w:rPr>
          <w:sz w:val="22"/>
        </w:rPr>
      </w:pPr>
      <w:r>
        <w:rPr>
          <w:sz w:val="22"/>
        </w:rPr>
        <w:t>A request for comments from interested persons was published in the Federal Register / Vol. 79, No. 87 / Tuesday, May 6, 2014 / Notices / pp. 25855 – 25857</w:t>
      </w:r>
      <w:proofErr w:type="gramStart"/>
      <w:r>
        <w:rPr>
          <w:sz w:val="22"/>
        </w:rPr>
        <w:t>.</w:t>
      </w:r>
      <w:r w:rsidR="009A047C">
        <w:rPr>
          <w:sz w:val="22"/>
        </w:rPr>
        <w:t xml:space="preserve">  </w:t>
      </w:r>
      <w:proofErr w:type="gramEnd"/>
      <w:r w:rsidR="009A047C">
        <w:rPr>
          <w:sz w:val="22"/>
        </w:rPr>
        <w:t xml:space="preserve">Comments from over 50 parties were received in response to this </w:t>
      </w:r>
      <w:r w:rsidR="00600B7D">
        <w:rPr>
          <w:sz w:val="22"/>
        </w:rPr>
        <w:t xml:space="preserve">Federal Register </w:t>
      </w:r>
      <w:r w:rsidR="009A047C">
        <w:rPr>
          <w:sz w:val="22"/>
        </w:rPr>
        <w:t>Notice</w:t>
      </w:r>
      <w:proofErr w:type="gramStart"/>
      <w:r w:rsidR="00600B7D">
        <w:rPr>
          <w:sz w:val="22"/>
        </w:rPr>
        <w:t xml:space="preserve">.  </w:t>
      </w:r>
      <w:proofErr w:type="gramEnd"/>
      <w:r w:rsidR="00600B7D">
        <w:rPr>
          <w:sz w:val="22"/>
        </w:rPr>
        <w:t>T</w:t>
      </w:r>
      <w:r w:rsidR="009A047C">
        <w:rPr>
          <w:sz w:val="22"/>
        </w:rPr>
        <w:t>hese comments, along with EIA’s responses, are included</w:t>
      </w:r>
      <w:r w:rsidR="00600B7D">
        <w:rPr>
          <w:sz w:val="22"/>
        </w:rPr>
        <w:t xml:space="preserve"> as Appendix A to this document</w:t>
      </w:r>
      <w:r w:rsidR="009A047C">
        <w:rPr>
          <w:sz w:val="22"/>
        </w:rPr>
        <w:t>.</w:t>
      </w:r>
    </w:p>
    <w:p w:rsidR="00EA2C65" w:rsidRPr="00D45020" w:rsidRDefault="00381B33" w:rsidP="00EA2C65">
      <w:pPr>
        <w:rPr>
          <w:sz w:val="22"/>
        </w:rPr>
      </w:pPr>
      <w:r>
        <w:rPr>
          <w:sz w:val="22"/>
        </w:rPr>
        <w:t xml:space="preserve">In addition, </w:t>
      </w:r>
      <w:r w:rsidR="00EA2C65" w:rsidRPr="00D45020">
        <w:rPr>
          <w:sz w:val="22"/>
        </w:rPr>
        <w:t>EIA consulted with relevant major industry and regulatory organizations</w:t>
      </w:r>
      <w:r w:rsidR="00B246D8">
        <w:rPr>
          <w:sz w:val="22"/>
        </w:rPr>
        <w:t xml:space="preserve"> in the development of the proposed </w:t>
      </w:r>
      <w:r w:rsidR="00AB530C">
        <w:rPr>
          <w:sz w:val="22"/>
        </w:rPr>
        <w:t xml:space="preserve">expansion of </w:t>
      </w:r>
      <w:r w:rsidR="00ED1995">
        <w:rPr>
          <w:sz w:val="22"/>
        </w:rPr>
        <w:t xml:space="preserve">the </w:t>
      </w:r>
      <w:r w:rsidR="00B246D8">
        <w:rPr>
          <w:sz w:val="22"/>
        </w:rPr>
        <w:t>Form EIA-91</w:t>
      </w:r>
      <w:r w:rsidR="00AB530C">
        <w:rPr>
          <w:sz w:val="22"/>
        </w:rPr>
        <w:t>4</w:t>
      </w:r>
      <w:r w:rsidR="00533A7B">
        <w:rPr>
          <w:sz w:val="22"/>
        </w:rPr>
        <w:t xml:space="preserve"> as follows</w:t>
      </w:r>
      <w:r w:rsidR="00EA2C65" w:rsidRPr="00D45020">
        <w:rPr>
          <w:sz w:val="22"/>
        </w:rPr>
        <w:t>:</w:t>
      </w:r>
    </w:p>
    <w:p w:rsidR="00B407A7" w:rsidRDefault="00533A7B" w:rsidP="00B407A7">
      <w:pPr>
        <w:pStyle w:val="ListParagraph"/>
        <w:numPr>
          <w:ilvl w:val="0"/>
          <w:numId w:val="29"/>
        </w:numPr>
        <w:spacing w:before="0" w:beforeAutospacing="0" w:after="120" w:afterAutospacing="0"/>
        <w:contextualSpacing w:val="0"/>
        <w:rPr>
          <w:rFonts w:ascii="Times New Roman" w:hAnsi="Times New Roman"/>
          <w:sz w:val="22"/>
        </w:rPr>
      </w:pPr>
      <w:proofErr w:type="gramStart"/>
      <w:r>
        <w:rPr>
          <w:rFonts w:ascii="Times New Roman" w:hAnsi="Times New Roman"/>
          <w:sz w:val="22"/>
        </w:rPr>
        <w:t>Spring</w:t>
      </w:r>
      <w:r w:rsidR="00837844">
        <w:rPr>
          <w:rFonts w:ascii="Times New Roman" w:hAnsi="Times New Roman"/>
          <w:sz w:val="22"/>
        </w:rPr>
        <w:t xml:space="preserve"> </w:t>
      </w:r>
      <w:r w:rsidR="00AB530C">
        <w:rPr>
          <w:rFonts w:ascii="Times New Roman" w:hAnsi="Times New Roman"/>
          <w:sz w:val="22"/>
        </w:rPr>
        <w:t>201</w:t>
      </w:r>
      <w:r w:rsidR="00837844">
        <w:rPr>
          <w:rFonts w:ascii="Times New Roman" w:hAnsi="Times New Roman"/>
          <w:sz w:val="22"/>
        </w:rPr>
        <w:t>3</w:t>
      </w:r>
      <w:r w:rsidR="00C82EE1">
        <w:rPr>
          <w:rFonts w:ascii="Times New Roman" w:hAnsi="Times New Roman"/>
          <w:sz w:val="22"/>
        </w:rPr>
        <w:t xml:space="preserve"> and April 2014</w:t>
      </w:r>
      <w:r>
        <w:rPr>
          <w:rFonts w:ascii="Times New Roman" w:hAnsi="Times New Roman"/>
          <w:sz w:val="22"/>
        </w:rPr>
        <w:t xml:space="preserve">: </w:t>
      </w:r>
      <w:r w:rsidR="00837844">
        <w:rPr>
          <w:rFonts w:ascii="Times New Roman" w:hAnsi="Times New Roman"/>
          <w:sz w:val="22"/>
        </w:rPr>
        <w:t>American Statistical Association’s Energy Committee</w:t>
      </w:r>
      <w:r w:rsidR="00960F3B">
        <w:rPr>
          <w:rFonts w:ascii="Times New Roman" w:hAnsi="Times New Roman"/>
          <w:sz w:val="22"/>
        </w:rPr>
        <w:t>.</w:t>
      </w:r>
      <w:proofErr w:type="gramEnd"/>
    </w:p>
    <w:p w:rsidR="00123531" w:rsidRPr="00123531" w:rsidRDefault="0022423B" w:rsidP="00123531">
      <w:pPr>
        <w:pStyle w:val="ListParagraph"/>
        <w:numPr>
          <w:ilvl w:val="0"/>
          <w:numId w:val="29"/>
        </w:numPr>
        <w:spacing w:before="0" w:beforeAutospacing="0" w:after="120" w:afterAutospacing="0"/>
        <w:contextualSpacing w:val="0"/>
        <w:rPr>
          <w:rFonts w:ascii="Times New Roman" w:hAnsi="Times New Roman"/>
          <w:sz w:val="22"/>
        </w:rPr>
      </w:pPr>
      <w:proofErr w:type="gramStart"/>
      <w:r>
        <w:rPr>
          <w:rFonts w:ascii="Times New Roman" w:hAnsi="Times New Roman"/>
          <w:sz w:val="22"/>
        </w:rPr>
        <w:t xml:space="preserve">February </w:t>
      </w:r>
      <w:r w:rsidR="00123531">
        <w:rPr>
          <w:rFonts w:ascii="Times New Roman" w:hAnsi="Times New Roman"/>
          <w:sz w:val="22"/>
        </w:rPr>
        <w:t>201</w:t>
      </w:r>
      <w:r>
        <w:rPr>
          <w:rFonts w:ascii="Times New Roman" w:hAnsi="Times New Roman"/>
          <w:sz w:val="22"/>
        </w:rPr>
        <w:t>4</w:t>
      </w:r>
      <w:r w:rsidR="00533A7B">
        <w:rPr>
          <w:rFonts w:ascii="Times New Roman" w:hAnsi="Times New Roman"/>
          <w:sz w:val="22"/>
        </w:rPr>
        <w:t>:</w:t>
      </w:r>
      <w:r w:rsidR="00123531">
        <w:rPr>
          <w:rFonts w:ascii="Times New Roman" w:hAnsi="Times New Roman"/>
          <w:sz w:val="22"/>
        </w:rPr>
        <w:t xml:space="preserve"> </w:t>
      </w:r>
      <w:r w:rsidR="00123531" w:rsidRPr="00123531">
        <w:rPr>
          <w:rFonts w:ascii="Times New Roman" w:hAnsi="Times New Roman"/>
          <w:sz w:val="22"/>
        </w:rPr>
        <w:t>National Association of Regulatory Utility Commissioners</w:t>
      </w:r>
      <w:r w:rsidR="00381B33">
        <w:rPr>
          <w:rFonts w:ascii="Times New Roman" w:hAnsi="Times New Roman"/>
          <w:sz w:val="22"/>
        </w:rPr>
        <w:t>, Staff Subcommittee</w:t>
      </w:r>
      <w:r w:rsidR="00600B7D">
        <w:rPr>
          <w:rFonts w:ascii="Times New Roman" w:hAnsi="Times New Roman"/>
          <w:sz w:val="22"/>
        </w:rPr>
        <w:t xml:space="preserve"> on Gas</w:t>
      </w:r>
      <w:r w:rsidR="00123531">
        <w:rPr>
          <w:rFonts w:ascii="Times New Roman" w:hAnsi="Times New Roman"/>
          <w:sz w:val="22"/>
        </w:rPr>
        <w:t>.</w:t>
      </w:r>
      <w:proofErr w:type="gramEnd"/>
      <w:r w:rsidR="00123531">
        <w:rPr>
          <w:rFonts w:ascii="Times New Roman" w:hAnsi="Times New Roman"/>
          <w:sz w:val="22"/>
        </w:rPr>
        <w:t xml:space="preserve"> </w:t>
      </w:r>
    </w:p>
    <w:p w:rsidR="00C61905" w:rsidRDefault="00C61905" w:rsidP="00C61905">
      <w:pPr>
        <w:pStyle w:val="ListParagraph"/>
        <w:numPr>
          <w:ilvl w:val="0"/>
          <w:numId w:val="29"/>
        </w:numPr>
        <w:spacing w:before="0" w:beforeAutospacing="0" w:after="120" w:afterAutospacing="0"/>
        <w:contextualSpacing w:val="0"/>
        <w:rPr>
          <w:rFonts w:ascii="Times New Roman" w:hAnsi="Times New Roman"/>
          <w:sz w:val="22"/>
        </w:rPr>
      </w:pPr>
      <w:proofErr w:type="gramStart"/>
      <w:r>
        <w:rPr>
          <w:rFonts w:ascii="Times New Roman" w:hAnsi="Times New Roman"/>
          <w:sz w:val="22"/>
        </w:rPr>
        <w:t>March 2014</w:t>
      </w:r>
      <w:r w:rsidR="00533A7B">
        <w:rPr>
          <w:rFonts w:ascii="Times New Roman" w:hAnsi="Times New Roman"/>
          <w:sz w:val="22"/>
        </w:rPr>
        <w:t>: R</w:t>
      </w:r>
      <w:r w:rsidR="00436D44">
        <w:rPr>
          <w:rFonts w:ascii="Times New Roman" w:hAnsi="Times New Roman"/>
          <w:sz w:val="22"/>
        </w:rPr>
        <w:t xml:space="preserve">epresentatives from </w:t>
      </w:r>
      <w:r>
        <w:rPr>
          <w:rFonts w:ascii="Times New Roman" w:hAnsi="Times New Roman"/>
          <w:sz w:val="22"/>
        </w:rPr>
        <w:t>the Texas Bureau of Economic Geology</w:t>
      </w:r>
      <w:r w:rsidR="00960F3B">
        <w:rPr>
          <w:rFonts w:ascii="Times New Roman" w:hAnsi="Times New Roman"/>
          <w:sz w:val="22"/>
        </w:rPr>
        <w:t>.</w:t>
      </w:r>
      <w:proofErr w:type="gramEnd"/>
    </w:p>
    <w:p w:rsidR="00EF78CB" w:rsidRDefault="00EF78CB" w:rsidP="00C61905">
      <w:pPr>
        <w:pStyle w:val="ListParagraph"/>
        <w:numPr>
          <w:ilvl w:val="0"/>
          <w:numId w:val="29"/>
        </w:numPr>
        <w:spacing w:before="0" w:beforeAutospacing="0" w:after="120" w:afterAutospacing="0"/>
        <w:contextualSpacing w:val="0"/>
        <w:rPr>
          <w:rFonts w:ascii="Times New Roman" w:hAnsi="Times New Roman"/>
          <w:sz w:val="22"/>
        </w:rPr>
      </w:pPr>
      <w:proofErr w:type="gramStart"/>
      <w:r>
        <w:rPr>
          <w:rFonts w:ascii="Times New Roman" w:hAnsi="Times New Roman"/>
          <w:sz w:val="22"/>
        </w:rPr>
        <w:t>April 2014</w:t>
      </w:r>
      <w:r w:rsidR="00533A7B">
        <w:rPr>
          <w:rFonts w:ascii="Times New Roman" w:hAnsi="Times New Roman"/>
          <w:sz w:val="22"/>
        </w:rPr>
        <w:t>: Multiple</w:t>
      </w:r>
      <w:r>
        <w:rPr>
          <w:rFonts w:ascii="Times New Roman" w:hAnsi="Times New Roman"/>
          <w:sz w:val="22"/>
        </w:rPr>
        <w:t xml:space="preserve"> groups within Shell Oil Compan</w:t>
      </w:r>
      <w:r w:rsidR="00381B33">
        <w:rPr>
          <w:rFonts w:ascii="Times New Roman" w:hAnsi="Times New Roman"/>
          <w:sz w:val="22"/>
        </w:rPr>
        <w:t>y</w:t>
      </w:r>
      <w:r w:rsidR="00960F3B">
        <w:rPr>
          <w:rFonts w:ascii="Times New Roman" w:hAnsi="Times New Roman"/>
          <w:sz w:val="22"/>
        </w:rPr>
        <w:t>.</w:t>
      </w:r>
      <w:proofErr w:type="gramEnd"/>
    </w:p>
    <w:p w:rsidR="00B407A7" w:rsidRDefault="00837844" w:rsidP="00B407A7">
      <w:pPr>
        <w:pStyle w:val="ListParagraph"/>
        <w:numPr>
          <w:ilvl w:val="0"/>
          <w:numId w:val="29"/>
        </w:numPr>
        <w:spacing w:before="0" w:beforeAutospacing="0" w:after="120" w:afterAutospacing="0"/>
        <w:contextualSpacing w:val="0"/>
        <w:rPr>
          <w:rFonts w:ascii="Times New Roman" w:hAnsi="Times New Roman"/>
          <w:sz w:val="22"/>
        </w:rPr>
      </w:pPr>
      <w:proofErr w:type="gramStart"/>
      <w:r>
        <w:rPr>
          <w:rFonts w:ascii="Times New Roman" w:hAnsi="Times New Roman"/>
          <w:sz w:val="22"/>
        </w:rPr>
        <w:t>April 2014</w:t>
      </w:r>
      <w:r w:rsidR="00533A7B">
        <w:rPr>
          <w:rFonts w:ascii="Times New Roman" w:hAnsi="Times New Roman"/>
          <w:sz w:val="22"/>
        </w:rPr>
        <w:t xml:space="preserve">: </w:t>
      </w:r>
      <w:r>
        <w:rPr>
          <w:rFonts w:ascii="Times New Roman" w:hAnsi="Times New Roman"/>
          <w:sz w:val="22"/>
        </w:rPr>
        <w:t>Natural Gas Supply Association</w:t>
      </w:r>
      <w:r w:rsidR="00A44496">
        <w:rPr>
          <w:rFonts w:ascii="Times New Roman" w:hAnsi="Times New Roman"/>
          <w:sz w:val="22"/>
        </w:rPr>
        <w:t xml:space="preserve"> (NGSA)</w:t>
      </w:r>
      <w:r>
        <w:rPr>
          <w:rFonts w:ascii="Times New Roman" w:hAnsi="Times New Roman"/>
          <w:sz w:val="22"/>
        </w:rPr>
        <w:t>, Independent Petroleum Association of America</w:t>
      </w:r>
      <w:r w:rsidR="00A44496">
        <w:rPr>
          <w:rFonts w:ascii="Times New Roman" w:hAnsi="Times New Roman"/>
          <w:sz w:val="22"/>
        </w:rPr>
        <w:t xml:space="preserve"> (IPAA)</w:t>
      </w:r>
      <w:r>
        <w:rPr>
          <w:rFonts w:ascii="Times New Roman" w:hAnsi="Times New Roman"/>
          <w:sz w:val="22"/>
        </w:rPr>
        <w:t>, and the American Petroleum Institute</w:t>
      </w:r>
      <w:r w:rsidR="00A44496">
        <w:rPr>
          <w:rFonts w:ascii="Times New Roman" w:hAnsi="Times New Roman"/>
          <w:sz w:val="22"/>
        </w:rPr>
        <w:t xml:space="preserve"> (API)</w:t>
      </w:r>
      <w:r w:rsidR="00960F3B">
        <w:rPr>
          <w:rFonts w:ascii="Times New Roman" w:hAnsi="Times New Roman"/>
          <w:sz w:val="22"/>
        </w:rPr>
        <w:t>.</w:t>
      </w:r>
      <w:proofErr w:type="gramEnd"/>
    </w:p>
    <w:p w:rsidR="00EF78CB" w:rsidRDefault="00EF78CB" w:rsidP="00B407A7">
      <w:pPr>
        <w:pStyle w:val="ListParagraph"/>
        <w:numPr>
          <w:ilvl w:val="0"/>
          <w:numId w:val="29"/>
        </w:numPr>
        <w:spacing w:before="0" w:beforeAutospacing="0" w:after="120" w:afterAutospacing="0"/>
        <w:contextualSpacing w:val="0"/>
        <w:rPr>
          <w:rFonts w:ascii="Times New Roman" w:hAnsi="Times New Roman"/>
          <w:sz w:val="22"/>
        </w:rPr>
      </w:pPr>
      <w:proofErr w:type="gramStart"/>
      <w:r>
        <w:rPr>
          <w:rFonts w:ascii="Times New Roman" w:hAnsi="Times New Roman"/>
          <w:sz w:val="22"/>
        </w:rPr>
        <w:t>May 2014</w:t>
      </w:r>
      <w:r w:rsidR="00533A7B">
        <w:rPr>
          <w:rFonts w:ascii="Times New Roman" w:hAnsi="Times New Roman"/>
          <w:sz w:val="22"/>
        </w:rPr>
        <w:t xml:space="preserve">: A </w:t>
      </w:r>
      <w:r>
        <w:rPr>
          <w:rFonts w:ascii="Times New Roman" w:hAnsi="Times New Roman"/>
          <w:sz w:val="22"/>
        </w:rPr>
        <w:t>r</w:t>
      </w:r>
      <w:r w:rsidR="00381B33">
        <w:rPr>
          <w:rFonts w:ascii="Times New Roman" w:hAnsi="Times New Roman"/>
          <w:sz w:val="22"/>
        </w:rPr>
        <w:t>epr</w:t>
      </w:r>
      <w:r>
        <w:rPr>
          <w:rFonts w:ascii="Times New Roman" w:hAnsi="Times New Roman"/>
          <w:sz w:val="22"/>
        </w:rPr>
        <w:t>esentative of the Congressional Research Service</w:t>
      </w:r>
      <w:r w:rsidR="00960F3B">
        <w:rPr>
          <w:rFonts w:ascii="Times New Roman" w:hAnsi="Times New Roman"/>
          <w:sz w:val="22"/>
        </w:rPr>
        <w:t>.</w:t>
      </w:r>
      <w:proofErr w:type="gramEnd"/>
    </w:p>
    <w:p w:rsidR="00506C91" w:rsidRPr="008638B3" w:rsidRDefault="00506C91" w:rsidP="008638B3">
      <w:pPr>
        <w:pStyle w:val="ListParagraph"/>
        <w:numPr>
          <w:ilvl w:val="0"/>
          <w:numId w:val="29"/>
        </w:numPr>
        <w:spacing w:before="0" w:beforeAutospacing="0" w:after="120" w:afterAutospacing="0"/>
        <w:contextualSpacing w:val="0"/>
        <w:rPr>
          <w:rFonts w:ascii="Times New Roman" w:hAnsi="Times New Roman"/>
          <w:sz w:val="22"/>
        </w:rPr>
      </w:pPr>
      <w:r w:rsidRPr="008638B3">
        <w:rPr>
          <w:rFonts w:ascii="Times New Roman" w:hAnsi="Times New Roman"/>
          <w:sz w:val="22"/>
        </w:rPr>
        <w:t>May 2014</w:t>
      </w:r>
      <w:r w:rsidR="00533A7B" w:rsidRPr="008638B3">
        <w:rPr>
          <w:rFonts w:ascii="Times New Roman" w:hAnsi="Times New Roman"/>
          <w:sz w:val="22"/>
        </w:rPr>
        <w:t>: EIA notified</w:t>
      </w:r>
      <w:r w:rsidRPr="008638B3">
        <w:rPr>
          <w:rFonts w:ascii="Times New Roman" w:hAnsi="Times New Roman"/>
          <w:sz w:val="22"/>
        </w:rPr>
        <w:t xml:space="preserve"> all </w:t>
      </w:r>
      <w:r w:rsidR="00533A7B" w:rsidRPr="008638B3">
        <w:rPr>
          <w:rFonts w:ascii="Times New Roman" w:hAnsi="Times New Roman"/>
          <w:sz w:val="22"/>
        </w:rPr>
        <w:t xml:space="preserve">247 </w:t>
      </w:r>
      <w:r w:rsidR="0001397B" w:rsidRPr="008638B3">
        <w:rPr>
          <w:rFonts w:ascii="Times New Roman" w:hAnsi="Times New Roman"/>
          <w:sz w:val="22"/>
        </w:rPr>
        <w:t xml:space="preserve">current </w:t>
      </w:r>
      <w:r w:rsidRPr="008638B3">
        <w:rPr>
          <w:rFonts w:ascii="Times New Roman" w:hAnsi="Times New Roman"/>
          <w:sz w:val="22"/>
        </w:rPr>
        <w:t xml:space="preserve">respondents to Form EIA-914 of the proposed expansion of the form and </w:t>
      </w:r>
      <w:r w:rsidR="00533A7B" w:rsidRPr="008638B3">
        <w:rPr>
          <w:rFonts w:ascii="Times New Roman" w:hAnsi="Times New Roman"/>
          <w:sz w:val="22"/>
        </w:rPr>
        <w:t xml:space="preserve">explained </w:t>
      </w:r>
      <w:r w:rsidRPr="008638B3">
        <w:rPr>
          <w:rFonts w:ascii="Times New Roman" w:hAnsi="Times New Roman"/>
          <w:sz w:val="22"/>
        </w:rPr>
        <w:t>the different aspects of th</w:t>
      </w:r>
      <w:r w:rsidR="001B20CE">
        <w:rPr>
          <w:rFonts w:ascii="Times New Roman" w:hAnsi="Times New Roman"/>
          <w:sz w:val="22"/>
        </w:rPr>
        <w:t>e</w:t>
      </w:r>
      <w:r w:rsidR="00533A7B" w:rsidRPr="008638B3">
        <w:rPr>
          <w:rFonts w:ascii="Times New Roman" w:hAnsi="Times New Roman"/>
          <w:sz w:val="22"/>
        </w:rPr>
        <w:t xml:space="preserve"> proposed</w:t>
      </w:r>
      <w:r w:rsidRPr="008638B3">
        <w:rPr>
          <w:rFonts w:ascii="Times New Roman" w:hAnsi="Times New Roman"/>
          <w:sz w:val="22"/>
        </w:rPr>
        <w:t xml:space="preserve"> expansion</w:t>
      </w:r>
      <w:r w:rsidR="00381B33" w:rsidRPr="008638B3">
        <w:rPr>
          <w:rFonts w:ascii="Times New Roman" w:hAnsi="Times New Roman"/>
          <w:sz w:val="22"/>
        </w:rPr>
        <w:t>.</w:t>
      </w:r>
    </w:p>
    <w:p w:rsidR="00506C91" w:rsidRDefault="00506C91" w:rsidP="00506C91">
      <w:pPr>
        <w:pStyle w:val="ListParagraph"/>
        <w:numPr>
          <w:ilvl w:val="0"/>
          <w:numId w:val="29"/>
        </w:numPr>
        <w:spacing w:before="0" w:beforeAutospacing="0" w:after="120" w:afterAutospacing="0"/>
        <w:contextualSpacing w:val="0"/>
        <w:rPr>
          <w:rFonts w:ascii="Times New Roman" w:hAnsi="Times New Roman"/>
          <w:sz w:val="22"/>
        </w:rPr>
      </w:pPr>
      <w:r>
        <w:rPr>
          <w:rFonts w:ascii="Times New Roman" w:hAnsi="Times New Roman"/>
          <w:sz w:val="22"/>
        </w:rPr>
        <w:t>May 2014</w:t>
      </w:r>
      <w:r w:rsidR="00533A7B">
        <w:rPr>
          <w:rFonts w:ascii="Times New Roman" w:hAnsi="Times New Roman"/>
          <w:sz w:val="22"/>
        </w:rPr>
        <w:t>: EIA notified</w:t>
      </w:r>
      <w:r>
        <w:rPr>
          <w:rFonts w:ascii="Times New Roman" w:hAnsi="Times New Roman"/>
          <w:sz w:val="22"/>
        </w:rPr>
        <w:t xml:space="preserve"> all </w:t>
      </w:r>
      <w:r w:rsidR="00533A7B">
        <w:rPr>
          <w:rFonts w:ascii="Times New Roman" w:hAnsi="Times New Roman"/>
          <w:sz w:val="22"/>
        </w:rPr>
        <w:t xml:space="preserve">263 </w:t>
      </w:r>
      <w:r w:rsidR="00436D44">
        <w:rPr>
          <w:rFonts w:ascii="Times New Roman" w:hAnsi="Times New Roman"/>
          <w:sz w:val="22"/>
        </w:rPr>
        <w:t>current</w:t>
      </w:r>
      <w:r>
        <w:rPr>
          <w:rFonts w:ascii="Times New Roman" w:hAnsi="Times New Roman"/>
          <w:sz w:val="22"/>
        </w:rPr>
        <w:t xml:space="preserve"> respondents to Form EIA-23</w:t>
      </w:r>
      <w:r w:rsidR="00CE7E90">
        <w:rPr>
          <w:rFonts w:ascii="Times New Roman" w:hAnsi="Times New Roman"/>
          <w:sz w:val="22"/>
        </w:rPr>
        <w:t xml:space="preserve"> who are not respondents to Form EIA-914</w:t>
      </w:r>
      <w:r>
        <w:rPr>
          <w:rFonts w:ascii="Times New Roman" w:hAnsi="Times New Roman"/>
          <w:sz w:val="22"/>
        </w:rPr>
        <w:t xml:space="preserve"> </w:t>
      </w:r>
      <w:r w:rsidR="00CE7E90">
        <w:rPr>
          <w:rFonts w:ascii="Times New Roman" w:hAnsi="Times New Roman"/>
          <w:sz w:val="22"/>
        </w:rPr>
        <w:t xml:space="preserve">that they </w:t>
      </w:r>
      <w:proofErr w:type="gramStart"/>
      <w:r w:rsidR="00CE7E90">
        <w:rPr>
          <w:rFonts w:ascii="Times New Roman" w:hAnsi="Times New Roman"/>
          <w:sz w:val="22"/>
        </w:rPr>
        <w:t>could be chosen</w:t>
      </w:r>
      <w:proofErr w:type="gramEnd"/>
      <w:r w:rsidR="00CE7E90">
        <w:rPr>
          <w:rFonts w:ascii="Times New Roman" w:hAnsi="Times New Roman"/>
          <w:sz w:val="22"/>
        </w:rPr>
        <w:t xml:space="preserve"> as respondents of the proposed expanded</w:t>
      </w:r>
      <w:r>
        <w:rPr>
          <w:rFonts w:ascii="Times New Roman" w:hAnsi="Times New Roman"/>
          <w:sz w:val="22"/>
        </w:rPr>
        <w:t xml:space="preserve"> form and </w:t>
      </w:r>
      <w:r w:rsidR="00533A7B">
        <w:rPr>
          <w:rFonts w:ascii="Times New Roman" w:hAnsi="Times New Roman"/>
          <w:sz w:val="22"/>
        </w:rPr>
        <w:t xml:space="preserve">explained </w:t>
      </w:r>
      <w:r>
        <w:rPr>
          <w:rFonts w:ascii="Times New Roman" w:hAnsi="Times New Roman"/>
          <w:sz w:val="22"/>
        </w:rPr>
        <w:t>the different aspects of the expansion</w:t>
      </w:r>
      <w:r w:rsidR="00381B33">
        <w:rPr>
          <w:rFonts w:ascii="Times New Roman" w:hAnsi="Times New Roman"/>
          <w:sz w:val="22"/>
        </w:rPr>
        <w:t>.</w:t>
      </w:r>
    </w:p>
    <w:p w:rsidR="00CE7E90" w:rsidRDefault="00CE7E90" w:rsidP="00506C91">
      <w:pPr>
        <w:pStyle w:val="ListParagraph"/>
        <w:numPr>
          <w:ilvl w:val="0"/>
          <w:numId w:val="29"/>
        </w:numPr>
        <w:spacing w:before="0" w:beforeAutospacing="0" w:after="120" w:afterAutospacing="0"/>
        <w:contextualSpacing w:val="0"/>
        <w:rPr>
          <w:rFonts w:ascii="Times New Roman" w:hAnsi="Times New Roman"/>
          <w:sz w:val="22"/>
        </w:rPr>
      </w:pPr>
      <w:r>
        <w:rPr>
          <w:rFonts w:ascii="Times New Roman" w:hAnsi="Times New Roman"/>
          <w:sz w:val="22"/>
        </w:rPr>
        <w:t>May 2014</w:t>
      </w:r>
      <w:r w:rsidR="00FF250E">
        <w:rPr>
          <w:rFonts w:ascii="Times New Roman" w:hAnsi="Times New Roman"/>
          <w:sz w:val="22"/>
        </w:rPr>
        <w:t>: EIA notified</w:t>
      </w:r>
      <w:r>
        <w:rPr>
          <w:rFonts w:ascii="Times New Roman" w:hAnsi="Times New Roman"/>
          <w:sz w:val="22"/>
        </w:rPr>
        <w:t xml:space="preserve"> </w:t>
      </w:r>
      <w:r w:rsidR="00FF250E">
        <w:rPr>
          <w:rFonts w:ascii="Times New Roman" w:hAnsi="Times New Roman"/>
          <w:sz w:val="22"/>
        </w:rPr>
        <w:t>be</w:t>
      </w:r>
      <w:r w:rsidR="00381B33">
        <w:rPr>
          <w:rFonts w:ascii="Times New Roman" w:hAnsi="Times New Roman"/>
          <w:sz w:val="22"/>
        </w:rPr>
        <w:t>t</w:t>
      </w:r>
      <w:r w:rsidR="00FF250E">
        <w:rPr>
          <w:rFonts w:ascii="Times New Roman" w:hAnsi="Times New Roman"/>
          <w:sz w:val="22"/>
        </w:rPr>
        <w:t xml:space="preserve">ween 20,000 and 70,000 </w:t>
      </w:r>
      <w:r>
        <w:rPr>
          <w:rFonts w:ascii="Times New Roman" w:hAnsi="Times New Roman"/>
          <w:sz w:val="22"/>
        </w:rPr>
        <w:t xml:space="preserve">subscribers to </w:t>
      </w:r>
      <w:r w:rsidR="00FF250E">
        <w:rPr>
          <w:rFonts w:ascii="Times New Roman" w:hAnsi="Times New Roman"/>
          <w:sz w:val="22"/>
        </w:rPr>
        <w:t xml:space="preserve">the </w:t>
      </w:r>
      <w:r>
        <w:rPr>
          <w:rFonts w:ascii="Times New Roman" w:hAnsi="Times New Roman"/>
          <w:sz w:val="22"/>
        </w:rPr>
        <w:t xml:space="preserve">EIA natural gas and petroleum </w:t>
      </w:r>
      <w:r w:rsidR="00FF250E">
        <w:rPr>
          <w:rFonts w:ascii="Times New Roman" w:hAnsi="Times New Roman"/>
          <w:sz w:val="22"/>
        </w:rPr>
        <w:t xml:space="preserve">electronic publications </w:t>
      </w:r>
      <w:r>
        <w:rPr>
          <w:rFonts w:ascii="Times New Roman" w:hAnsi="Times New Roman"/>
          <w:sz w:val="22"/>
        </w:rPr>
        <w:t xml:space="preserve">of the proposed expansion and </w:t>
      </w:r>
      <w:r w:rsidR="00FF250E">
        <w:rPr>
          <w:rFonts w:ascii="Times New Roman" w:hAnsi="Times New Roman"/>
          <w:sz w:val="22"/>
        </w:rPr>
        <w:t xml:space="preserve">explained the </w:t>
      </w:r>
      <w:r>
        <w:rPr>
          <w:rFonts w:ascii="Times New Roman" w:hAnsi="Times New Roman"/>
          <w:sz w:val="22"/>
        </w:rPr>
        <w:t>different aspects of the expansion</w:t>
      </w:r>
      <w:r w:rsidR="00381B33">
        <w:rPr>
          <w:rFonts w:ascii="Times New Roman" w:hAnsi="Times New Roman"/>
          <w:sz w:val="22"/>
        </w:rPr>
        <w:t>.</w:t>
      </w:r>
    </w:p>
    <w:p w:rsidR="00BE3F55" w:rsidRDefault="00BE3F55" w:rsidP="00BE3F55">
      <w:pPr>
        <w:pStyle w:val="ListParagraph"/>
        <w:numPr>
          <w:ilvl w:val="0"/>
          <w:numId w:val="29"/>
        </w:numPr>
        <w:spacing w:before="0" w:beforeAutospacing="0" w:after="120" w:afterAutospacing="0"/>
        <w:contextualSpacing w:val="0"/>
        <w:rPr>
          <w:rFonts w:ascii="Times New Roman" w:hAnsi="Times New Roman"/>
          <w:sz w:val="22"/>
        </w:rPr>
      </w:pPr>
      <w:proofErr w:type="gramStart"/>
      <w:r>
        <w:rPr>
          <w:rFonts w:ascii="Times New Roman" w:hAnsi="Times New Roman"/>
          <w:sz w:val="22"/>
        </w:rPr>
        <w:t>May 2014</w:t>
      </w:r>
      <w:r w:rsidR="00FF250E">
        <w:rPr>
          <w:rFonts w:ascii="Times New Roman" w:hAnsi="Times New Roman"/>
          <w:sz w:val="22"/>
        </w:rPr>
        <w:t>: M</w:t>
      </w:r>
      <w:r>
        <w:rPr>
          <w:rFonts w:ascii="Times New Roman" w:hAnsi="Times New Roman"/>
          <w:sz w:val="22"/>
        </w:rPr>
        <w:t>onthly meeting of the National Capitol Area Chapter of the U.S. Association of Energy Economics</w:t>
      </w:r>
      <w:r w:rsidR="00381B33">
        <w:rPr>
          <w:rFonts w:ascii="Times New Roman" w:hAnsi="Times New Roman"/>
          <w:sz w:val="22"/>
        </w:rPr>
        <w:t>.</w:t>
      </w:r>
      <w:proofErr w:type="gramEnd"/>
    </w:p>
    <w:p w:rsidR="00444E5F" w:rsidRDefault="00444E5F" w:rsidP="00B407A7">
      <w:pPr>
        <w:pStyle w:val="ListParagraph"/>
        <w:numPr>
          <w:ilvl w:val="0"/>
          <w:numId w:val="29"/>
        </w:numPr>
        <w:spacing w:before="0" w:beforeAutospacing="0" w:after="120" w:afterAutospacing="0"/>
        <w:contextualSpacing w:val="0"/>
        <w:rPr>
          <w:rFonts w:ascii="Times New Roman" w:hAnsi="Times New Roman"/>
          <w:sz w:val="22"/>
        </w:rPr>
      </w:pPr>
      <w:r>
        <w:rPr>
          <w:rFonts w:ascii="Times New Roman" w:hAnsi="Times New Roman"/>
          <w:sz w:val="22"/>
        </w:rPr>
        <w:t xml:space="preserve">May 2014: </w:t>
      </w:r>
      <w:r w:rsidR="00EA2C65" w:rsidRPr="00D45020">
        <w:rPr>
          <w:rFonts w:ascii="Times New Roman" w:hAnsi="Times New Roman"/>
          <w:sz w:val="22"/>
        </w:rPr>
        <w:t>EIA conduct</w:t>
      </w:r>
      <w:r w:rsidR="00CE7E90">
        <w:rPr>
          <w:rFonts w:ascii="Times New Roman" w:hAnsi="Times New Roman"/>
          <w:sz w:val="22"/>
        </w:rPr>
        <w:t>ed</w:t>
      </w:r>
      <w:r w:rsidR="00EA2C65" w:rsidRPr="00D45020">
        <w:rPr>
          <w:rFonts w:ascii="Times New Roman" w:hAnsi="Times New Roman"/>
          <w:sz w:val="22"/>
        </w:rPr>
        <w:t xml:space="preserve"> cognitive interviews </w:t>
      </w:r>
      <w:r w:rsidR="00837844">
        <w:rPr>
          <w:rFonts w:ascii="Times New Roman" w:hAnsi="Times New Roman"/>
          <w:sz w:val="22"/>
        </w:rPr>
        <w:t>with</w:t>
      </w:r>
      <w:r w:rsidR="00176D59" w:rsidRPr="00D45020">
        <w:rPr>
          <w:rFonts w:ascii="Times New Roman" w:hAnsi="Times New Roman"/>
          <w:sz w:val="22"/>
        </w:rPr>
        <w:t xml:space="preserve"> </w:t>
      </w:r>
      <w:r w:rsidR="00837844">
        <w:rPr>
          <w:rFonts w:ascii="Times New Roman" w:hAnsi="Times New Roman"/>
          <w:sz w:val="22"/>
        </w:rPr>
        <w:t xml:space="preserve">crude oil, lease condensate, and </w:t>
      </w:r>
      <w:r w:rsidR="00176D59" w:rsidRPr="00D45020">
        <w:rPr>
          <w:rFonts w:ascii="Times New Roman" w:hAnsi="Times New Roman"/>
          <w:sz w:val="22"/>
        </w:rPr>
        <w:t>natural gas pro</w:t>
      </w:r>
      <w:r w:rsidR="00837844">
        <w:rPr>
          <w:rFonts w:ascii="Times New Roman" w:hAnsi="Times New Roman"/>
          <w:sz w:val="22"/>
        </w:rPr>
        <w:t>ducer</w:t>
      </w:r>
      <w:r w:rsidR="00176D59" w:rsidRPr="00D45020">
        <w:rPr>
          <w:rFonts w:ascii="Times New Roman" w:hAnsi="Times New Roman"/>
          <w:sz w:val="22"/>
        </w:rPr>
        <w:t xml:space="preserve">s </w:t>
      </w:r>
      <w:r>
        <w:rPr>
          <w:rFonts w:ascii="Times New Roman" w:hAnsi="Times New Roman"/>
          <w:sz w:val="22"/>
        </w:rPr>
        <w:t xml:space="preserve">in Houston, TX </w:t>
      </w:r>
      <w:r w:rsidR="00EA2C65" w:rsidRPr="00D45020">
        <w:rPr>
          <w:rFonts w:ascii="Times New Roman" w:hAnsi="Times New Roman"/>
          <w:sz w:val="22"/>
        </w:rPr>
        <w:t xml:space="preserve">to understand </w:t>
      </w:r>
      <w:r>
        <w:rPr>
          <w:rFonts w:ascii="Times New Roman" w:hAnsi="Times New Roman"/>
          <w:sz w:val="22"/>
        </w:rPr>
        <w:t>their survey</w:t>
      </w:r>
      <w:r w:rsidR="00EA2C65" w:rsidRPr="00D45020">
        <w:rPr>
          <w:rFonts w:ascii="Times New Roman" w:hAnsi="Times New Roman"/>
          <w:sz w:val="22"/>
        </w:rPr>
        <w:t xml:space="preserve"> response process</w:t>
      </w:r>
      <w:r w:rsidR="00D27759">
        <w:rPr>
          <w:rFonts w:ascii="Times New Roman" w:hAnsi="Times New Roman"/>
          <w:sz w:val="22"/>
        </w:rPr>
        <w:t>es</w:t>
      </w:r>
      <w:r w:rsidR="00EA2C65" w:rsidRPr="00D45020">
        <w:rPr>
          <w:rFonts w:ascii="Times New Roman" w:hAnsi="Times New Roman"/>
          <w:sz w:val="22"/>
        </w:rPr>
        <w:t xml:space="preserve"> and </w:t>
      </w:r>
      <w:r w:rsidR="00D27759">
        <w:rPr>
          <w:rFonts w:ascii="Times New Roman" w:hAnsi="Times New Roman"/>
          <w:sz w:val="22"/>
        </w:rPr>
        <w:t>any</w:t>
      </w:r>
      <w:r w:rsidR="00D27759" w:rsidRPr="00D45020">
        <w:rPr>
          <w:rFonts w:ascii="Times New Roman" w:hAnsi="Times New Roman"/>
          <w:sz w:val="22"/>
        </w:rPr>
        <w:t xml:space="preserve"> </w:t>
      </w:r>
      <w:r w:rsidR="00EA2C65" w:rsidRPr="00D45020">
        <w:rPr>
          <w:rFonts w:ascii="Times New Roman" w:hAnsi="Times New Roman"/>
          <w:sz w:val="22"/>
        </w:rPr>
        <w:t xml:space="preserve">barriers </w:t>
      </w:r>
      <w:r w:rsidR="00D27759">
        <w:rPr>
          <w:rFonts w:ascii="Times New Roman" w:hAnsi="Times New Roman"/>
          <w:sz w:val="22"/>
        </w:rPr>
        <w:t xml:space="preserve">that may </w:t>
      </w:r>
      <w:r w:rsidR="00EA2C65" w:rsidRPr="00D45020">
        <w:rPr>
          <w:rFonts w:ascii="Times New Roman" w:hAnsi="Times New Roman"/>
          <w:sz w:val="22"/>
        </w:rPr>
        <w:t xml:space="preserve">exist to </w:t>
      </w:r>
      <w:r w:rsidR="00D27759">
        <w:rPr>
          <w:rFonts w:ascii="Times New Roman" w:hAnsi="Times New Roman"/>
          <w:sz w:val="22"/>
        </w:rPr>
        <w:t xml:space="preserve">survey </w:t>
      </w:r>
      <w:r w:rsidR="00EA2C65" w:rsidRPr="00D45020">
        <w:rPr>
          <w:rFonts w:ascii="Times New Roman" w:hAnsi="Times New Roman"/>
          <w:sz w:val="22"/>
        </w:rPr>
        <w:t>form completion</w:t>
      </w:r>
      <w:r w:rsidR="00D27759">
        <w:rPr>
          <w:rFonts w:ascii="Times New Roman" w:hAnsi="Times New Roman"/>
          <w:sz w:val="22"/>
        </w:rPr>
        <w:t>,</w:t>
      </w:r>
      <w:r w:rsidR="00EA2C65" w:rsidRPr="00D45020">
        <w:rPr>
          <w:rFonts w:ascii="Times New Roman" w:hAnsi="Times New Roman"/>
          <w:sz w:val="22"/>
        </w:rPr>
        <w:t xml:space="preserve"> including data availability</w:t>
      </w:r>
      <w:r w:rsidR="00CE7E90">
        <w:rPr>
          <w:rFonts w:ascii="Times New Roman" w:hAnsi="Times New Roman"/>
          <w:sz w:val="22"/>
        </w:rPr>
        <w:t xml:space="preserve"> and timing of </w:t>
      </w:r>
      <w:r>
        <w:rPr>
          <w:rFonts w:ascii="Times New Roman" w:hAnsi="Times New Roman"/>
          <w:sz w:val="22"/>
        </w:rPr>
        <w:t xml:space="preserve">the </w:t>
      </w:r>
      <w:r w:rsidR="00CE7E90">
        <w:rPr>
          <w:rFonts w:ascii="Times New Roman" w:hAnsi="Times New Roman"/>
          <w:sz w:val="22"/>
        </w:rPr>
        <w:t>survey request</w:t>
      </w:r>
      <w:proofErr w:type="gramStart"/>
      <w:r w:rsidR="00CE7E90">
        <w:rPr>
          <w:rFonts w:ascii="Times New Roman" w:hAnsi="Times New Roman"/>
          <w:sz w:val="22"/>
        </w:rPr>
        <w:t xml:space="preserve">. </w:t>
      </w:r>
      <w:r>
        <w:rPr>
          <w:rFonts w:ascii="Times New Roman" w:hAnsi="Times New Roman"/>
          <w:sz w:val="22"/>
        </w:rPr>
        <w:t xml:space="preserve"> </w:t>
      </w:r>
      <w:proofErr w:type="gramEnd"/>
      <w:r w:rsidR="00EA2C65" w:rsidRPr="00D45020">
        <w:rPr>
          <w:rFonts w:ascii="Times New Roman" w:hAnsi="Times New Roman"/>
          <w:sz w:val="22"/>
        </w:rPr>
        <w:t xml:space="preserve">Cognitive interviews </w:t>
      </w:r>
      <w:r w:rsidR="001B20CE">
        <w:rPr>
          <w:rFonts w:ascii="Times New Roman" w:hAnsi="Times New Roman"/>
          <w:sz w:val="22"/>
        </w:rPr>
        <w:t xml:space="preserve">were conducted </w:t>
      </w:r>
      <w:r w:rsidR="00CE7E90">
        <w:rPr>
          <w:rFonts w:ascii="Times New Roman" w:hAnsi="Times New Roman"/>
          <w:sz w:val="22"/>
        </w:rPr>
        <w:t xml:space="preserve">with companies of varying sizes </w:t>
      </w:r>
      <w:r>
        <w:rPr>
          <w:rFonts w:ascii="Times New Roman" w:hAnsi="Times New Roman"/>
          <w:sz w:val="22"/>
        </w:rPr>
        <w:t xml:space="preserve">and, </w:t>
      </w:r>
      <w:proofErr w:type="gramStart"/>
      <w:r>
        <w:rPr>
          <w:rFonts w:ascii="Times New Roman" w:hAnsi="Times New Roman"/>
          <w:sz w:val="22"/>
        </w:rPr>
        <w:t>a</w:t>
      </w:r>
      <w:r w:rsidR="005706E9">
        <w:rPr>
          <w:rFonts w:ascii="Times New Roman" w:hAnsi="Times New Roman"/>
          <w:sz w:val="22"/>
        </w:rPr>
        <w:t>s a result</w:t>
      </w:r>
      <w:proofErr w:type="gramEnd"/>
      <w:r w:rsidR="005706E9">
        <w:rPr>
          <w:rFonts w:ascii="Times New Roman" w:hAnsi="Times New Roman"/>
          <w:sz w:val="22"/>
        </w:rPr>
        <w:t xml:space="preserve"> of these interviews</w:t>
      </w:r>
      <w:r w:rsidR="00343B1B">
        <w:rPr>
          <w:rFonts w:ascii="Times New Roman" w:hAnsi="Times New Roman"/>
          <w:sz w:val="22"/>
        </w:rPr>
        <w:t>,</w:t>
      </w:r>
      <w:r w:rsidR="005706E9">
        <w:rPr>
          <w:rFonts w:ascii="Times New Roman" w:hAnsi="Times New Roman"/>
          <w:sz w:val="22"/>
        </w:rPr>
        <w:t xml:space="preserve"> EIA </w:t>
      </w:r>
      <w:r>
        <w:rPr>
          <w:rFonts w:ascii="Times New Roman" w:hAnsi="Times New Roman"/>
          <w:sz w:val="22"/>
        </w:rPr>
        <w:t xml:space="preserve">enhanced </w:t>
      </w:r>
      <w:r w:rsidR="005706E9">
        <w:rPr>
          <w:rFonts w:ascii="Times New Roman" w:hAnsi="Times New Roman"/>
          <w:sz w:val="22"/>
        </w:rPr>
        <w:t>the form</w:t>
      </w:r>
      <w:r>
        <w:rPr>
          <w:rFonts w:ascii="Times New Roman" w:hAnsi="Times New Roman"/>
          <w:sz w:val="22"/>
        </w:rPr>
        <w:t xml:space="preserve"> to facilitate more timely and accurate completion.</w:t>
      </w:r>
    </w:p>
    <w:p w:rsidR="003F3CB4" w:rsidRDefault="003F3CB4" w:rsidP="00B407A7">
      <w:pPr>
        <w:pStyle w:val="ListParagraph"/>
        <w:numPr>
          <w:ilvl w:val="0"/>
          <w:numId w:val="29"/>
        </w:numPr>
        <w:spacing w:before="0" w:beforeAutospacing="0" w:after="120" w:afterAutospacing="0"/>
        <w:contextualSpacing w:val="0"/>
        <w:rPr>
          <w:rFonts w:ascii="Times New Roman" w:hAnsi="Times New Roman"/>
          <w:sz w:val="22"/>
        </w:rPr>
      </w:pPr>
      <w:proofErr w:type="gramStart"/>
      <w:r>
        <w:rPr>
          <w:rFonts w:ascii="Times New Roman" w:hAnsi="Times New Roman"/>
          <w:sz w:val="22"/>
        </w:rPr>
        <w:lastRenderedPageBreak/>
        <w:t>June 2014</w:t>
      </w:r>
      <w:r w:rsidR="00444E5F">
        <w:rPr>
          <w:rFonts w:ascii="Times New Roman" w:hAnsi="Times New Roman"/>
          <w:sz w:val="22"/>
        </w:rPr>
        <w:t>: T</w:t>
      </w:r>
      <w:r>
        <w:rPr>
          <w:rFonts w:ascii="Times New Roman" w:hAnsi="Times New Roman"/>
          <w:sz w:val="22"/>
        </w:rPr>
        <w:t xml:space="preserve">he </w:t>
      </w:r>
      <w:r w:rsidR="0007643E">
        <w:rPr>
          <w:rFonts w:ascii="Times New Roman" w:hAnsi="Times New Roman"/>
          <w:sz w:val="22"/>
        </w:rPr>
        <w:t>E</w:t>
      </w:r>
      <w:r>
        <w:rPr>
          <w:rFonts w:ascii="Times New Roman" w:hAnsi="Times New Roman"/>
          <w:sz w:val="22"/>
        </w:rPr>
        <w:t>nergy</w:t>
      </w:r>
      <w:r w:rsidR="0007643E">
        <w:rPr>
          <w:rFonts w:ascii="Times New Roman" w:hAnsi="Times New Roman"/>
          <w:sz w:val="22"/>
        </w:rPr>
        <w:t xml:space="preserve"> and Natural Resources</w:t>
      </w:r>
      <w:r>
        <w:rPr>
          <w:rFonts w:ascii="Times New Roman" w:hAnsi="Times New Roman"/>
          <w:sz w:val="22"/>
        </w:rPr>
        <w:t xml:space="preserve"> </w:t>
      </w:r>
      <w:r w:rsidR="0007643E">
        <w:rPr>
          <w:rFonts w:ascii="Times New Roman" w:hAnsi="Times New Roman"/>
          <w:sz w:val="22"/>
        </w:rPr>
        <w:t>C</w:t>
      </w:r>
      <w:r>
        <w:rPr>
          <w:rFonts w:ascii="Times New Roman" w:hAnsi="Times New Roman"/>
          <w:sz w:val="22"/>
        </w:rPr>
        <w:t>ommittee of the U.S. Senate</w:t>
      </w:r>
      <w:r w:rsidR="001E50CC">
        <w:rPr>
          <w:rFonts w:ascii="Times New Roman" w:hAnsi="Times New Roman"/>
          <w:sz w:val="22"/>
        </w:rPr>
        <w:t>.</w:t>
      </w:r>
      <w:proofErr w:type="gramEnd"/>
    </w:p>
    <w:p w:rsidR="0007643E" w:rsidRDefault="0007643E" w:rsidP="00B407A7">
      <w:pPr>
        <w:pStyle w:val="ListParagraph"/>
        <w:numPr>
          <w:ilvl w:val="0"/>
          <w:numId w:val="29"/>
        </w:numPr>
        <w:spacing w:before="0" w:beforeAutospacing="0" w:after="120" w:afterAutospacing="0"/>
        <w:contextualSpacing w:val="0"/>
        <w:rPr>
          <w:rFonts w:ascii="Times New Roman" w:hAnsi="Times New Roman"/>
          <w:sz w:val="22"/>
        </w:rPr>
      </w:pPr>
      <w:r>
        <w:rPr>
          <w:rFonts w:ascii="Times New Roman" w:hAnsi="Times New Roman"/>
          <w:sz w:val="22"/>
        </w:rPr>
        <w:t>June 2014</w:t>
      </w:r>
      <w:r w:rsidR="00444E5F">
        <w:rPr>
          <w:rFonts w:ascii="Times New Roman" w:hAnsi="Times New Roman"/>
          <w:sz w:val="22"/>
        </w:rPr>
        <w:t xml:space="preserve">: EIA answered </w:t>
      </w:r>
      <w:r>
        <w:rPr>
          <w:rFonts w:ascii="Times New Roman" w:hAnsi="Times New Roman"/>
          <w:sz w:val="22"/>
        </w:rPr>
        <w:t xml:space="preserve">questions about the proposed expansion of </w:t>
      </w:r>
      <w:r w:rsidR="007A6BD2">
        <w:rPr>
          <w:rFonts w:ascii="Times New Roman" w:hAnsi="Times New Roman"/>
          <w:sz w:val="22"/>
        </w:rPr>
        <w:t xml:space="preserve">Form </w:t>
      </w:r>
      <w:r>
        <w:rPr>
          <w:rFonts w:ascii="Times New Roman" w:hAnsi="Times New Roman"/>
          <w:sz w:val="22"/>
        </w:rPr>
        <w:t>EIA-914 from the president of Chaparral Energy</w:t>
      </w:r>
      <w:r w:rsidR="00F35E5E">
        <w:rPr>
          <w:rFonts w:ascii="Times New Roman" w:hAnsi="Times New Roman"/>
          <w:sz w:val="22"/>
        </w:rPr>
        <w:t xml:space="preserve"> (</w:t>
      </w:r>
      <w:r>
        <w:rPr>
          <w:rFonts w:ascii="Times New Roman" w:hAnsi="Times New Roman"/>
          <w:sz w:val="22"/>
        </w:rPr>
        <w:t>also the president of the Oklahoma Oil and Gas Producers Association</w:t>
      </w:r>
      <w:r w:rsidR="00F35E5E">
        <w:rPr>
          <w:rFonts w:ascii="Times New Roman" w:hAnsi="Times New Roman"/>
          <w:sz w:val="22"/>
        </w:rPr>
        <w:t>)</w:t>
      </w:r>
      <w:r>
        <w:rPr>
          <w:rFonts w:ascii="Times New Roman" w:hAnsi="Times New Roman"/>
          <w:sz w:val="22"/>
        </w:rPr>
        <w:t xml:space="preserve"> </w:t>
      </w:r>
      <w:r w:rsidR="00381B33">
        <w:rPr>
          <w:rFonts w:ascii="Times New Roman" w:hAnsi="Times New Roman"/>
          <w:sz w:val="22"/>
        </w:rPr>
        <w:t xml:space="preserve">and </w:t>
      </w:r>
      <w:r w:rsidR="00444E5F">
        <w:rPr>
          <w:rFonts w:ascii="Times New Roman" w:hAnsi="Times New Roman"/>
          <w:sz w:val="22"/>
        </w:rPr>
        <w:t>provided t</w:t>
      </w:r>
      <w:r>
        <w:rPr>
          <w:rFonts w:ascii="Times New Roman" w:hAnsi="Times New Roman"/>
          <w:sz w:val="22"/>
        </w:rPr>
        <w:t>he</w:t>
      </w:r>
      <w:r w:rsidR="00444E5F">
        <w:rPr>
          <w:rFonts w:ascii="Times New Roman" w:hAnsi="Times New Roman"/>
          <w:sz w:val="22"/>
        </w:rPr>
        <w:t>se</w:t>
      </w:r>
      <w:r>
        <w:rPr>
          <w:rFonts w:ascii="Times New Roman" w:hAnsi="Times New Roman"/>
          <w:sz w:val="22"/>
        </w:rPr>
        <w:t xml:space="preserve"> answers to the Oklahoma Oil and Gas Producers Association.</w:t>
      </w:r>
    </w:p>
    <w:p w:rsidR="0007643E" w:rsidRDefault="0007643E" w:rsidP="00B407A7">
      <w:pPr>
        <w:pStyle w:val="ListParagraph"/>
        <w:numPr>
          <w:ilvl w:val="0"/>
          <w:numId w:val="29"/>
        </w:numPr>
        <w:spacing w:before="0" w:beforeAutospacing="0" w:after="120" w:afterAutospacing="0"/>
        <w:contextualSpacing w:val="0"/>
        <w:rPr>
          <w:rFonts w:ascii="Times New Roman" w:hAnsi="Times New Roman"/>
          <w:sz w:val="22"/>
        </w:rPr>
      </w:pPr>
      <w:r>
        <w:rPr>
          <w:rFonts w:ascii="Times New Roman" w:hAnsi="Times New Roman"/>
          <w:sz w:val="22"/>
        </w:rPr>
        <w:t>June 2014</w:t>
      </w:r>
      <w:r w:rsidR="00444E5F">
        <w:rPr>
          <w:rFonts w:ascii="Times New Roman" w:hAnsi="Times New Roman"/>
          <w:sz w:val="22"/>
        </w:rPr>
        <w:t>: EIA answered</w:t>
      </w:r>
      <w:r>
        <w:rPr>
          <w:rFonts w:ascii="Times New Roman" w:hAnsi="Times New Roman"/>
          <w:sz w:val="22"/>
        </w:rPr>
        <w:t xml:space="preserve"> questions about the proposed expansion of </w:t>
      </w:r>
      <w:r w:rsidR="007A6BD2">
        <w:rPr>
          <w:rFonts w:ascii="Times New Roman" w:hAnsi="Times New Roman"/>
          <w:sz w:val="22"/>
        </w:rPr>
        <w:t xml:space="preserve">Form </w:t>
      </w:r>
      <w:r>
        <w:rPr>
          <w:rFonts w:ascii="Times New Roman" w:hAnsi="Times New Roman"/>
          <w:sz w:val="22"/>
        </w:rPr>
        <w:t>EIA-914 received from a representative of the Marcellus Shale Coalition</w:t>
      </w:r>
      <w:r w:rsidR="00381B33">
        <w:rPr>
          <w:rFonts w:ascii="Times New Roman" w:hAnsi="Times New Roman"/>
          <w:sz w:val="22"/>
        </w:rPr>
        <w:t>.</w:t>
      </w:r>
    </w:p>
    <w:p w:rsidR="008D47EB" w:rsidRDefault="00135398" w:rsidP="008D47EB">
      <w:pPr>
        <w:pStyle w:val="ListParagraph"/>
        <w:numPr>
          <w:ilvl w:val="0"/>
          <w:numId w:val="29"/>
        </w:numPr>
        <w:spacing w:before="0" w:beforeAutospacing="0" w:after="120" w:afterAutospacing="0"/>
        <w:contextualSpacing w:val="0"/>
        <w:rPr>
          <w:rFonts w:ascii="Times New Roman" w:hAnsi="Times New Roman"/>
          <w:sz w:val="22"/>
        </w:rPr>
      </w:pPr>
      <w:r>
        <w:rPr>
          <w:rFonts w:ascii="Times New Roman" w:hAnsi="Times New Roman"/>
          <w:sz w:val="22"/>
        </w:rPr>
        <w:t>July 2014</w:t>
      </w:r>
      <w:r w:rsidR="00444E5F">
        <w:rPr>
          <w:rFonts w:ascii="Times New Roman" w:hAnsi="Times New Roman"/>
          <w:sz w:val="22"/>
        </w:rPr>
        <w:t xml:space="preserve">: </w:t>
      </w:r>
      <w:r>
        <w:rPr>
          <w:rFonts w:ascii="Times New Roman" w:hAnsi="Times New Roman"/>
          <w:sz w:val="22"/>
        </w:rPr>
        <w:t>EIA’s Administrator, senio</w:t>
      </w:r>
      <w:r w:rsidR="008D47EB">
        <w:rPr>
          <w:rFonts w:ascii="Times New Roman" w:hAnsi="Times New Roman"/>
          <w:sz w:val="22"/>
        </w:rPr>
        <w:t xml:space="preserve">r managers, and EIA staff </w:t>
      </w:r>
      <w:r w:rsidR="00444E5F">
        <w:rPr>
          <w:rFonts w:ascii="Times New Roman" w:hAnsi="Times New Roman"/>
          <w:sz w:val="22"/>
        </w:rPr>
        <w:t>briefed American Petroleum Institute (API)</w:t>
      </w:r>
      <w:r>
        <w:rPr>
          <w:rFonts w:ascii="Times New Roman" w:hAnsi="Times New Roman"/>
          <w:sz w:val="22"/>
        </w:rPr>
        <w:t xml:space="preserve"> staff concerning </w:t>
      </w:r>
      <w:r w:rsidR="008D47EB">
        <w:rPr>
          <w:rFonts w:ascii="Times New Roman" w:hAnsi="Times New Roman"/>
          <w:sz w:val="22"/>
        </w:rPr>
        <w:t xml:space="preserve">API’s </w:t>
      </w:r>
      <w:r w:rsidRPr="008D47EB">
        <w:rPr>
          <w:rFonts w:ascii="Times New Roman" w:hAnsi="Times New Roman"/>
          <w:sz w:val="22"/>
        </w:rPr>
        <w:t xml:space="preserve">comments </w:t>
      </w:r>
      <w:r w:rsidR="008D47EB">
        <w:rPr>
          <w:rFonts w:ascii="Times New Roman" w:hAnsi="Times New Roman"/>
          <w:sz w:val="22"/>
        </w:rPr>
        <w:t xml:space="preserve">in response to the May 6 Federal Register </w:t>
      </w:r>
      <w:r w:rsidR="00ED1995">
        <w:rPr>
          <w:rFonts w:ascii="Times New Roman" w:hAnsi="Times New Roman"/>
          <w:sz w:val="22"/>
        </w:rPr>
        <w:t>Notice</w:t>
      </w:r>
      <w:r w:rsidR="008D47EB">
        <w:rPr>
          <w:rFonts w:ascii="Times New Roman" w:hAnsi="Times New Roman"/>
          <w:sz w:val="22"/>
        </w:rPr>
        <w:t>.</w:t>
      </w:r>
    </w:p>
    <w:p w:rsidR="00444E5F" w:rsidRDefault="00444E5F" w:rsidP="008D47EB">
      <w:pPr>
        <w:pStyle w:val="ListParagraph"/>
        <w:numPr>
          <w:ilvl w:val="0"/>
          <w:numId w:val="29"/>
        </w:numPr>
        <w:spacing w:before="0" w:beforeAutospacing="0" w:after="120" w:afterAutospacing="0"/>
        <w:contextualSpacing w:val="0"/>
        <w:rPr>
          <w:rFonts w:ascii="Times New Roman" w:hAnsi="Times New Roman"/>
          <w:sz w:val="22"/>
        </w:rPr>
      </w:pPr>
      <w:r>
        <w:rPr>
          <w:rFonts w:ascii="Times New Roman" w:hAnsi="Times New Roman"/>
          <w:sz w:val="22"/>
        </w:rPr>
        <w:t>July 2014: EIA conducted cognitive interviews about the enhanced form in Pittsburgh, PA and Morgantown, WV.</w:t>
      </w:r>
    </w:p>
    <w:p w:rsidR="003F3CB4" w:rsidRDefault="003F3CB4" w:rsidP="008D47EB">
      <w:pPr>
        <w:pStyle w:val="ListParagraph"/>
        <w:numPr>
          <w:ilvl w:val="0"/>
          <w:numId w:val="29"/>
        </w:numPr>
        <w:spacing w:before="0" w:beforeAutospacing="0" w:after="120" w:afterAutospacing="0"/>
        <w:contextualSpacing w:val="0"/>
        <w:rPr>
          <w:rFonts w:ascii="Times New Roman" w:hAnsi="Times New Roman"/>
          <w:sz w:val="22"/>
        </w:rPr>
      </w:pPr>
      <w:r w:rsidRPr="008D47EB">
        <w:rPr>
          <w:rFonts w:ascii="Times New Roman" w:hAnsi="Times New Roman"/>
          <w:sz w:val="22"/>
        </w:rPr>
        <w:t>Ju</w:t>
      </w:r>
      <w:r w:rsidR="0007643E" w:rsidRPr="008D47EB">
        <w:rPr>
          <w:rFonts w:ascii="Times New Roman" w:hAnsi="Times New Roman"/>
          <w:sz w:val="22"/>
        </w:rPr>
        <w:t>ly</w:t>
      </w:r>
      <w:r w:rsidRPr="008D47EB">
        <w:rPr>
          <w:rFonts w:ascii="Times New Roman" w:hAnsi="Times New Roman"/>
          <w:sz w:val="22"/>
        </w:rPr>
        <w:t xml:space="preserve"> 2014</w:t>
      </w:r>
      <w:r w:rsidR="00444E5F">
        <w:rPr>
          <w:rFonts w:ascii="Times New Roman" w:hAnsi="Times New Roman"/>
          <w:sz w:val="22"/>
        </w:rPr>
        <w:t xml:space="preserve">: </w:t>
      </w:r>
      <w:r w:rsidR="008D47EB">
        <w:rPr>
          <w:rFonts w:ascii="Times New Roman" w:hAnsi="Times New Roman"/>
          <w:sz w:val="22"/>
        </w:rPr>
        <w:t>EIA’s</w:t>
      </w:r>
      <w:r w:rsidR="0007643E" w:rsidRPr="008D47EB">
        <w:rPr>
          <w:rFonts w:ascii="Times New Roman" w:hAnsi="Times New Roman"/>
          <w:sz w:val="22"/>
        </w:rPr>
        <w:t xml:space="preserve"> Administrator </w:t>
      </w:r>
      <w:r w:rsidR="00444E5F">
        <w:rPr>
          <w:rFonts w:ascii="Times New Roman" w:hAnsi="Times New Roman"/>
          <w:sz w:val="22"/>
        </w:rPr>
        <w:t>hos</w:t>
      </w:r>
      <w:r w:rsidR="006F50A0">
        <w:rPr>
          <w:rFonts w:ascii="Times New Roman" w:hAnsi="Times New Roman"/>
          <w:sz w:val="22"/>
        </w:rPr>
        <w:t>t</w:t>
      </w:r>
      <w:r w:rsidR="00444E5F">
        <w:rPr>
          <w:rFonts w:ascii="Times New Roman" w:hAnsi="Times New Roman"/>
          <w:sz w:val="22"/>
        </w:rPr>
        <w:t>ed a Web-based conference for</w:t>
      </w:r>
      <w:r w:rsidR="0007643E" w:rsidRPr="008D47EB">
        <w:rPr>
          <w:rFonts w:ascii="Times New Roman" w:hAnsi="Times New Roman"/>
          <w:sz w:val="22"/>
        </w:rPr>
        <w:t xml:space="preserve"> </w:t>
      </w:r>
      <w:r w:rsidR="006C4D6D" w:rsidRPr="008D47EB">
        <w:rPr>
          <w:rFonts w:ascii="Times New Roman" w:hAnsi="Times New Roman"/>
          <w:sz w:val="22"/>
        </w:rPr>
        <w:t xml:space="preserve">representatives </w:t>
      </w:r>
      <w:r w:rsidR="00F35E5E">
        <w:rPr>
          <w:rFonts w:ascii="Times New Roman" w:hAnsi="Times New Roman"/>
          <w:sz w:val="22"/>
        </w:rPr>
        <w:t>of</w:t>
      </w:r>
      <w:r w:rsidR="00F35E5E" w:rsidRPr="008D47EB">
        <w:rPr>
          <w:rFonts w:ascii="Times New Roman" w:hAnsi="Times New Roman"/>
          <w:sz w:val="22"/>
        </w:rPr>
        <w:t xml:space="preserve"> </w:t>
      </w:r>
      <w:r w:rsidR="008D47EB">
        <w:rPr>
          <w:rFonts w:ascii="Times New Roman" w:hAnsi="Times New Roman"/>
          <w:sz w:val="22"/>
        </w:rPr>
        <w:t>IPAA</w:t>
      </w:r>
      <w:r w:rsidR="0007643E" w:rsidRPr="008D47EB">
        <w:rPr>
          <w:rFonts w:ascii="Times New Roman" w:hAnsi="Times New Roman"/>
          <w:sz w:val="22"/>
        </w:rPr>
        <w:t>, A</w:t>
      </w:r>
      <w:r w:rsidR="008D47EB">
        <w:rPr>
          <w:rFonts w:ascii="Times New Roman" w:hAnsi="Times New Roman"/>
          <w:sz w:val="22"/>
        </w:rPr>
        <w:t>P</w:t>
      </w:r>
      <w:r w:rsidR="0007643E" w:rsidRPr="008D47EB">
        <w:rPr>
          <w:rFonts w:ascii="Times New Roman" w:hAnsi="Times New Roman"/>
          <w:sz w:val="22"/>
        </w:rPr>
        <w:t xml:space="preserve">I, </w:t>
      </w:r>
      <w:r w:rsidR="00A44496">
        <w:rPr>
          <w:rFonts w:ascii="Times New Roman" w:hAnsi="Times New Roman"/>
          <w:sz w:val="22"/>
        </w:rPr>
        <w:t>NGSA</w:t>
      </w:r>
      <w:r w:rsidR="0007643E" w:rsidRPr="008D47EB">
        <w:rPr>
          <w:rFonts w:ascii="Times New Roman" w:hAnsi="Times New Roman"/>
          <w:sz w:val="22"/>
        </w:rPr>
        <w:t xml:space="preserve">, the Groundwater Protection Council, </w:t>
      </w:r>
      <w:r w:rsidR="006C4D6D" w:rsidRPr="008D47EB">
        <w:rPr>
          <w:rFonts w:ascii="Times New Roman" w:hAnsi="Times New Roman"/>
          <w:sz w:val="22"/>
        </w:rPr>
        <w:t xml:space="preserve">the Pennsylvania Independent Oil &amp; Gas Association, </w:t>
      </w:r>
      <w:r w:rsidR="00352354" w:rsidRPr="008D47EB">
        <w:rPr>
          <w:rFonts w:ascii="Times New Roman" w:hAnsi="Times New Roman"/>
          <w:sz w:val="22"/>
        </w:rPr>
        <w:t xml:space="preserve">the Ohio </w:t>
      </w:r>
      <w:proofErr w:type="gramStart"/>
      <w:r w:rsidR="00352354" w:rsidRPr="008D47EB">
        <w:rPr>
          <w:rFonts w:ascii="Times New Roman" w:hAnsi="Times New Roman"/>
          <w:sz w:val="22"/>
        </w:rPr>
        <w:t>Oil</w:t>
      </w:r>
      <w:proofErr w:type="gramEnd"/>
      <w:r w:rsidR="00352354" w:rsidRPr="008D47EB">
        <w:rPr>
          <w:rFonts w:ascii="Times New Roman" w:hAnsi="Times New Roman"/>
          <w:sz w:val="22"/>
        </w:rPr>
        <w:t xml:space="preserve"> and Gas Association, </w:t>
      </w:r>
      <w:r w:rsidR="006C4D6D" w:rsidRPr="008D47EB">
        <w:rPr>
          <w:rFonts w:ascii="Times New Roman" w:hAnsi="Times New Roman"/>
          <w:sz w:val="22"/>
        </w:rPr>
        <w:t>the state</w:t>
      </w:r>
      <w:r w:rsidR="00352354" w:rsidRPr="008D47EB">
        <w:rPr>
          <w:rFonts w:ascii="Times New Roman" w:hAnsi="Times New Roman"/>
          <w:sz w:val="22"/>
        </w:rPr>
        <w:t>s</w:t>
      </w:r>
      <w:r w:rsidR="006C4D6D" w:rsidRPr="008D47EB">
        <w:rPr>
          <w:rFonts w:ascii="Times New Roman" w:hAnsi="Times New Roman"/>
          <w:sz w:val="22"/>
        </w:rPr>
        <w:t xml:space="preserve"> of Colorado,</w:t>
      </w:r>
      <w:r w:rsidR="00352354" w:rsidRPr="008D47EB">
        <w:rPr>
          <w:rFonts w:ascii="Times New Roman" w:hAnsi="Times New Roman"/>
          <w:sz w:val="22"/>
        </w:rPr>
        <w:t xml:space="preserve"> North Dakota, and Utah, oil and </w:t>
      </w:r>
      <w:r w:rsidR="009047F7">
        <w:rPr>
          <w:rFonts w:ascii="Times New Roman" w:hAnsi="Times New Roman"/>
          <w:sz w:val="22"/>
        </w:rPr>
        <w:t xml:space="preserve">natural </w:t>
      </w:r>
      <w:r w:rsidR="00352354" w:rsidRPr="008D47EB">
        <w:rPr>
          <w:rFonts w:ascii="Times New Roman" w:hAnsi="Times New Roman"/>
          <w:sz w:val="22"/>
        </w:rPr>
        <w:t>gas producers</w:t>
      </w:r>
      <w:r w:rsidR="006C4D6D" w:rsidRPr="008D47EB">
        <w:rPr>
          <w:rFonts w:ascii="Times New Roman" w:hAnsi="Times New Roman"/>
          <w:sz w:val="22"/>
        </w:rPr>
        <w:t xml:space="preserve"> </w:t>
      </w:r>
      <w:r w:rsidR="0007643E" w:rsidRPr="008D47EB">
        <w:rPr>
          <w:rFonts w:ascii="Times New Roman" w:hAnsi="Times New Roman"/>
          <w:sz w:val="22"/>
        </w:rPr>
        <w:t xml:space="preserve">ConocoPhillips, Devon Energy, EOG Resources, </w:t>
      </w:r>
      <w:r w:rsidR="00352354" w:rsidRPr="008D47EB">
        <w:rPr>
          <w:rFonts w:ascii="Times New Roman" w:hAnsi="Times New Roman"/>
          <w:sz w:val="22"/>
        </w:rPr>
        <w:t>Noble Energy, Occidental</w:t>
      </w:r>
      <w:r w:rsidR="00F35E5E">
        <w:rPr>
          <w:rFonts w:ascii="Times New Roman" w:hAnsi="Times New Roman"/>
          <w:sz w:val="22"/>
        </w:rPr>
        <w:t xml:space="preserve"> Petroleum</w:t>
      </w:r>
      <w:r w:rsidR="00352354" w:rsidRPr="008D47EB">
        <w:rPr>
          <w:rFonts w:ascii="Times New Roman" w:hAnsi="Times New Roman"/>
          <w:sz w:val="22"/>
        </w:rPr>
        <w:t xml:space="preserve">, and Pioneer </w:t>
      </w:r>
      <w:r w:rsidR="00F35E5E">
        <w:rPr>
          <w:rFonts w:ascii="Times New Roman" w:hAnsi="Times New Roman"/>
          <w:sz w:val="22"/>
        </w:rPr>
        <w:t xml:space="preserve">Natural </w:t>
      </w:r>
      <w:r w:rsidR="00352354" w:rsidRPr="008D47EB">
        <w:rPr>
          <w:rFonts w:ascii="Times New Roman" w:hAnsi="Times New Roman"/>
          <w:sz w:val="22"/>
        </w:rPr>
        <w:t>Resources</w:t>
      </w:r>
      <w:r w:rsidR="00381B33">
        <w:rPr>
          <w:rFonts w:ascii="Times New Roman" w:hAnsi="Times New Roman"/>
          <w:sz w:val="22"/>
        </w:rPr>
        <w:t>.</w:t>
      </w:r>
    </w:p>
    <w:p w:rsidR="008D47EB" w:rsidRDefault="008D47EB" w:rsidP="008D47EB">
      <w:pPr>
        <w:pStyle w:val="ListParagraph"/>
        <w:numPr>
          <w:ilvl w:val="0"/>
          <w:numId w:val="29"/>
        </w:numPr>
        <w:spacing w:before="0" w:beforeAutospacing="0" w:after="120" w:afterAutospacing="0"/>
        <w:contextualSpacing w:val="0"/>
        <w:rPr>
          <w:rFonts w:ascii="Times New Roman" w:hAnsi="Times New Roman"/>
          <w:sz w:val="22"/>
        </w:rPr>
      </w:pPr>
      <w:r>
        <w:rPr>
          <w:rFonts w:ascii="Times New Roman" w:hAnsi="Times New Roman"/>
          <w:sz w:val="22"/>
        </w:rPr>
        <w:t>July 2014</w:t>
      </w:r>
      <w:r w:rsidR="00444E5F">
        <w:rPr>
          <w:rFonts w:ascii="Times New Roman" w:hAnsi="Times New Roman"/>
          <w:sz w:val="22"/>
        </w:rPr>
        <w:t>: EIA</w:t>
      </w:r>
      <w:r>
        <w:rPr>
          <w:rFonts w:ascii="Times New Roman" w:hAnsi="Times New Roman"/>
          <w:sz w:val="22"/>
        </w:rPr>
        <w:t xml:space="preserve"> held </w:t>
      </w:r>
      <w:r w:rsidR="00444E5F">
        <w:rPr>
          <w:rFonts w:ascii="Times New Roman" w:hAnsi="Times New Roman"/>
          <w:sz w:val="22"/>
        </w:rPr>
        <w:t xml:space="preserve">a conference call with </w:t>
      </w:r>
      <w:r>
        <w:rPr>
          <w:rFonts w:ascii="Times New Roman" w:hAnsi="Times New Roman"/>
          <w:sz w:val="22"/>
        </w:rPr>
        <w:t xml:space="preserve">IPAA staff </w:t>
      </w:r>
      <w:r w:rsidR="00F35E5E">
        <w:rPr>
          <w:rFonts w:ascii="Times New Roman" w:hAnsi="Times New Roman"/>
          <w:sz w:val="22"/>
        </w:rPr>
        <w:t xml:space="preserve">during </w:t>
      </w:r>
      <w:r>
        <w:rPr>
          <w:rFonts w:ascii="Times New Roman" w:hAnsi="Times New Roman"/>
          <w:sz w:val="22"/>
        </w:rPr>
        <w:t xml:space="preserve">which several of the comments IPAA made in response to the May 6 Federal Register </w:t>
      </w:r>
      <w:r w:rsidR="00ED1995">
        <w:rPr>
          <w:rFonts w:ascii="Times New Roman" w:hAnsi="Times New Roman"/>
          <w:sz w:val="22"/>
        </w:rPr>
        <w:t xml:space="preserve">Notice </w:t>
      </w:r>
      <w:proofErr w:type="gramStart"/>
      <w:r w:rsidR="005706E9">
        <w:rPr>
          <w:rFonts w:ascii="Times New Roman" w:hAnsi="Times New Roman"/>
          <w:sz w:val="22"/>
        </w:rPr>
        <w:t>were discussed</w:t>
      </w:r>
      <w:proofErr w:type="gramEnd"/>
      <w:r>
        <w:rPr>
          <w:rFonts w:ascii="Times New Roman" w:hAnsi="Times New Roman"/>
          <w:sz w:val="22"/>
        </w:rPr>
        <w:t>.</w:t>
      </w:r>
    </w:p>
    <w:p w:rsidR="008D47EB" w:rsidRDefault="008D47EB" w:rsidP="008D47EB">
      <w:pPr>
        <w:pStyle w:val="ListParagraph"/>
        <w:numPr>
          <w:ilvl w:val="0"/>
          <w:numId w:val="29"/>
        </w:numPr>
        <w:spacing w:before="0" w:beforeAutospacing="0" w:after="120" w:afterAutospacing="0"/>
        <w:contextualSpacing w:val="0"/>
        <w:rPr>
          <w:rFonts w:ascii="Times New Roman" w:hAnsi="Times New Roman"/>
          <w:sz w:val="22"/>
        </w:rPr>
      </w:pPr>
      <w:r>
        <w:rPr>
          <w:rFonts w:ascii="Times New Roman" w:hAnsi="Times New Roman"/>
          <w:sz w:val="22"/>
        </w:rPr>
        <w:t>July 2014</w:t>
      </w:r>
      <w:r w:rsidR="00444E5F">
        <w:rPr>
          <w:rFonts w:ascii="Times New Roman" w:hAnsi="Times New Roman"/>
          <w:sz w:val="22"/>
        </w:rPr>
        <w:t>: EIA held a Web-based conference with</w:t>
      </w:r>
      <w:r>
        <w:rPr>
          <w:rFonts w:ascii="Times New Roman" w:hAnsi="Times New Roman"/>
          <w:sz w:val="22"/>
        </w:rPr>
        <w:t xml:space="preserve"> API staff and member</w:t>
      </w:r>
      <w:r w:rsidR="00F35E5E">
        <w:rPr>
          <w:rFonts w:ascii="Times New Roman" w:hAnsi="Times New Roman"/>
          <w:sz w:val="22"/>
        </w:rPr>
        <w:t xml:space="preserve"> companies</w:t>
      </w:r>
      <w:r w:rsidR="00327FC1">
        <w:rPr>
          <w:rFonts w:ascii="Times New Roman" w:hAnsi="Times New Roman"/>
          <w:sz w:val="22"/>
        </w:rPr>
        <w:t xml:space="preserve"> </w:t>
      </w:r>
      <w:proofErr w:type="gramStart"/>
      <w:r w:rsidR="00327FC1">
        <w:rPr>
          <w:rFonts w:ascii="Times New Roman" w:hAnsi="Times New Roman"/>
          <w:sz w:val="22"/>
        </w:rPr>
        <w:t xml:space="preserve">to </w:t>
      </w:r>
      <w:r>
        <w:rPr>
          <w:rFonts w:ascii="Times New Roman" w:hAnsi="Times New Roman"/>
          <w:sz w:val="22"/>
        </w:rPr>
        <w:t>extensive</w:t>
      </w:r>
      <w:r w:rsidR="00327FC1">
        <w:rPr>
          <w:rFonts w:ascii="Times New Roman" w:hAnsi="Times New Roman"/>
          <w:sz w:val="22"/>
        </w:rPr>
        <w:t>ly</w:t>
      </w:r>
      <w:r>
        <w:rPr>
          <w:rFonts w:ascii="Times New Roman" w:hAnsi="Times New Roman"/>
          <w:sz w:val="22"/>
        </w:rPr>
        <w:t xml:space="preserve"> discuss</w:t>
      </w:r>
      <w:proofErr w:type="gramEnd"/>
      <w:r w:rsidR="00381B33">
        <w:rPr>
          <w:rFonts w:ascii="Times New Roman" w:hAnsi="Times New Roman"/>
          <w:sz w:val="22"/>
        </w:rPr>
        <w:t xml:space="preserve"> </w:t>
      </w:r>
      <w:r>
        <w:rPr>
          <w:rFonts w:ascii="Times New Roman" w:hAnsi="Times New Roman"/>
          <w:sz w:val="22"/>
        </w:rPr>
        <w:t xml:space="preserve">API </w:t>
      </w:r>
      <w:r w:rsidR="00327FC1">
        <w:rPr>
          <w:rFonts w:ascii="Times New Roman" w:hAnsi="Times New Roman"/>
          <w:sz w:val="22"/>
        </w:rPr>
        <w:t xml:space="preserve">and member </w:t>
      </w:r>
      <w:r>
        <w:rPr>
          <w:rFonts w:ascii="Times New Roman" w:hAnsi="Times New Roman"/>
          <w:sz w:val="22"/>
        </w:rPr>
        <w:t>comments</w:t>
      </w:r>
      <w:r w:rsidR="00327FC1">
        <w:rPr>
          <w:rFonts w:ascii="Times New Roman" w:hAnsi="Times New Roman"/>
          <w:sz w:val="22"/>
        </w:rPr>
        <w:t xml:space="preserve"> on the proposed survey expansion</w:t>
      </w:r>
      <w:r w:rsidR="00381B33">
        <w:rPr>
          <w:rFonts w:ascii="Times New Roman" w:hAnsi="Times New Roman"/>
          <w:sz w:val="22"/>
        </w:rPr>
        <w:t>.</w:t>
      </w:r>
    </w:p>
    <w:p w:rsidR="008D47EB" w:rsidRDefault="008D47EB" w:rsidP="008D47EB">
      <w:pPr>
        <w:pStyle w:val="ListParagraph"/>
        <w:numPr>
          <w:ilvl w:val="0"/>
          <w:numId w:val="29"/>
        </w:numPr>
        <w:spacing w:before="0" w:beforeAutospacing="0" w:after="120" w:afterAutospacing="0"/>
        <w:contextualSpacing w:val="0"/>
        <w:rPr>
          <w:rFonts w:ascii="Times New Roman" w:hAnsi="Times New Roman"/>
          <w:sz w:val="22"/>
        </w:rPr>
      </w:pPr>
      <w:r>
        <w:rPr>
          <w:rFonts w:ascii="Times New Roman" w:hAnsi="Times New Roman"/>
          <w:sz w:val="22"/>
        </w:rPr>
        <w:t>July</w:t>
      </w:r>
      <w:r w:rsidR="00F35E5E">
        <w:rPr>
          <w:rFonts w:ascii="Times New Roman" w:hAnsi="Times New Roman"/>
          <w:sz w:val="22"/>
        </w:rPr>
        <w:t xml:space="preserve"> 2014</w:t>
      </w:r>
      <w:r w:rsidR="00327FC1">
        <w:rPr>
          <w:rFonts w:ascii="Times New Roman" w:hAnsi="Times New Roman"/>
          <w:sz w:val="22"/>
        </w:rPr>
        <w:t>: EIA held a Web-based conference</w:t>
      </w:r>
      <w:r w:rsidR="00381B33">
        <w:rPr>
          <w:rFonts w:ascii="Times New Roman" w:hAnsi="Times New Roman"/>
          <w:sz w:val="22"/>
        </w:rPr>
        <w:t xml:space="preserve"> </w:t>
      </w:r>
      <w:r w:rsidR="00327FC1">
        <w:rPr>
          <w:rFonts w:ascii="Times New Roman" w:hAnsi="Times New Roman"/>
          <w:sz w:val="22"/>
        </w:rPr>
        <w:t>with</w:t>
      </w:r>
      <w:r>
        <w:rPr>
          <w:rFonts w:ascii="Times New Roman" w:hAnsi="Times New Roman"/>
          <w:sz w:val="22"/>
        </w:rPr>
        <w:t xml:space="preserve"> IPAA staff to </w:t>
      </w:r>
      <w:r w:rsidR="00327FC1">
        <w:rPr>
          <w:rFonts w:ascii="Times New Roman" w:hAnsi="Times New Roman"/>
          <w:sz w:val="22"/>
        </w:rPr>
        <w:t xml:space="preserve">address IPAA’s concerns about the proposed survey expansion and to </w:t>
      </w:r>
      <w:r>
        <w:rPr>
          <w:rFonts w:ascii="Times New Roman" w:hAnsi="Times New Roman"/>
          <w:sz w:val="22"/>
        </w:rPr>
        <w:t xml:space="preserve">review EIA’s research results of </w:t>
      </w:r>
      <w:proofErr w:type="gramStart"/>
      <w:r>
        <w:rPr>
          <w:rFonts w:ascii="Times New Roman" w:hAnsi="Times New Roman"/>
          <w:sz w:val="22"/>
        </w:rPr>
        <w:t>IPAA’s</w:t>
      </w:r>
      <w:proofErr w:type="gramEnd"/>
      <w:r>
        <w:rPr>
          <w:rFonts w:ascii="Times New Roman" w:hAnsi="Times New Roman"/>
          <w:sz w:val="22"/>
        </w:rPr>
        <w:t xml:space="preserve"> </w:t>
      </w:r>
      <w:r w:rsidR="00BA0659">
        <w:rPr>
          <w:rFonts w:ascii="Times New Roman" w:hAnsi="Times New Roman"/>
          <w:sz w:val="22"/>
        </w:rPr>
        <w:t>suggest</w:t>
      </w:r>
      <w:r>
        <w:rPr>
          <w:rFonts w:ascii="Times New Roman" w:hAnsi="Times New Roman"/>
          <w:sz w:val="22"/>
        </w:rPr>
        <w:t>ed changes</w:t>
      </w:r>
      <w:r w:rsidR="00327FC1">
        <w:rPr>
          <w:rFonts w:ascii="Times New Roman" w:hAnsi="Times New Roman"/>
          <w:sz w:val="22"/>
        </w:rPr>
        <w:t xml:space="preserve"> to the survey, </w:t>
      </w:r>
      <w:r w:rsidR="00F35E5E">
        <w:rPr>
          <w:rFonts w:ascii="Times New Roman" w:hAnsi="Times New Roman"/>
          <w:sz w:val="22"/>
        </w:rPr>
        <w:t>including the</w:t>
      </w:r>
      <w:r>
        <w:rPr>
          <w:rFonts w:ascii="Times New Roman" w:hAnsi="Times New Roman"/>
          <w:sz w:val="22"/>
        </w:rPr>
        <w:t xml:space="preserve"> </w:t>
      </w:r>
      <w:r w:rsidR="00BA0659">
        <w:rPr>
          <w:rFonts w:ascii="Times New Roman" w:hAnsi="Times New Roman"/>
          <w:sz w:val="22"/>
        </w:rPr>
        <w:t>manner in which EIA proposes to select respondent companies</w:t>
      </w:r>
      <w:r w:rsidR="00F35E5E">
        <w:rPr>
          <w:rFonts w:ascii="Times New Roman" w:hAnsi="Times New Roman"/>
          <w:sz w:val="22"/>
        </w:rPr>
        <w:t xml:space="preserve"> for the</w:t>
      </w:r>
      <w:r w:rsidR="00BA0659">
        <w:rPr>
          <w:rFonts w:ascii="Times New Roman" w:hAnsi="Times New Roman"/>
          <w:sz w:val="22"/>
        </w:rPr>
        <w:t xml:space="preserve"> </w:t>
      </w:r>
      <w:r w:rsidR="00327FC1">
        <w:rPr>
          <w:rFonts w:ascii="Times New Roman" w:hAnsi="Times New Roman"/>
          <w:sz w:val="22"/>
        </w:rPr>
        <w:t>survey sample</w:t>
      </w:r>
      <w:r w:rsidR="00381B33">
        <w:rPr>
          <w:rFonts w:ascii="Times New Roman" w:hAnsi="Times New Roman"/>
          <w:sz w:val="22"/>
        </w:rPr>
        <w:t>.</w:t>
      </w:r>
    </w:p>
    <w:p w:rsidR="006F50A0" w:rsidRPr="00D36385" w:rsidRDefault="006F50A0" w:rsidP="0042589B">
      <w:pPr>
        <w:pStyle w:val="ListParagraph"/>
        <w:spacing w:before="0" w:beforeAutospacing="0" w:after="120" w:afterAutospacing="0"/>
        <w:contextualSpacing w:val="0"/>
        <w:rPr>
          <w:rFonts w:ascii="Times New Roman" w:hAnsi="Times New Roman"/>
          <w:i/>
          <w:sz w:val="22"/>
        </w:rPr>
      </w:pPr>
    </w:p>
    <w:p w:rsidR="00B34E57" w:rsidRPr="00D810CC" w:rsidRDefault="00B34E57" w:rsidP="008561E4">
      <w:pPr>
        <w:pStyle w:val="Heading2"/>
      </w:pPr>
      <w:bookmarkStart w:id="25" w:name="_Toc373916728"/>
      <w:bookmarkStart w:id="26" w:name="_Toc396424915"/>
      <w:r w:rsidRPr="00D810CC">
        <w:t>Remuneration</w:t>
      </w:r>
      <w:bookmarkEnd w:id="25"/>
      <w:bookmarkEnd w:id="26"/>
    </w:p>
    <w:p w:rsidR="00B34E57" w:rsidRPr="001564CA" w:rsidRDefault="00902DFF" w:rsidP="00441DEF">
      <w:pPr>
        <w:spacing w:before="120" w:beforeAutospacing="0"/>
        <w:rPr>
          <w:sz w:val="22"/>
        </w:rPr>
      </w:pPr>
      <w:r w:rsidRPr="001564CA">
        <w:rPr>
          <w:sz w:val="22"/>
        </w:rPr>
        <w:t>P</w:t>
      </w:r>
      <w:r w:rsidR="00262864" w:rsidRPr="001564CA">
        <w:rPr>
          <w:sz w:val="22"/>
        </w:rPr>
        <w:t xml:space="preserve">ayments or gifts </w:t>
      </w:r>
      <w:proofErr w:type="gramStart"/>
      <w:r w:rsidR="00262864" w:rsidRPr="001564CA">
        <w:rPr>
          <w:sz w:val="22"/>
        </w:rPr>
        <w:t xml:space="preserve">will </w:t>
      </w:r>
      <w:r w:rsidRPr="001564CA">
        <w:rPr>
          <w:sz w:val="22"/>
        </w:rPr>
        <w:t xml:space="preserve">not </w:t>
      </w:r>
      <w:r w:rsidR="00262864" w:rsidRPr="001564CA">
        <w:rPr>
          <w:sz w:val="22"/>
        </w:rPr>
        <w:t>be provided</w:t>
      </w:r>
      <w:proofErr w:type="gramEnd"/>
      <w:r w:rsidR="00262864" w:rsidRPr="001564CA">
        <w:rPr>
          <w:sz w:val="22"/>
        </w:rPr>
        <w:t xml:space="preserve"> to respondents as incentive</w:t>
      </w:r>
      <w:r w:rsidRPr="001564CA">
        <w:rPr>
          <w:sz w:val="22"/>
        </w:rPr>
        <w:t>s</w:t>
      </w:r>
      <w:r w:rsidR="00262864" w:rsidRPr="001564CA">
        <w:rPr>
          <w:sz w:val="22"/>
        </w:rPr>
        <w:t xml:space="preserve"> to report data to EIA.</w:t>
      </w:r>
    </w:p>
    <w:p w:rsidR="000922EA" w:rsidRPr="000922EA" w:rsidRDefault="000922EA" w:rsidP="008561E4">
      <w:pPr>
        <w:pStyle w:val="Heading2"/>
      </w:pPr>
      <w:bookmarkStart w:id="27" w:name="_Toc373916729"/>
      <w:bookmarkStart w:id="28" w:name="_Toc396424916"/>
      <w:r w:rsidRPr="000922EA">
        <w:t>Disclosure of Information</w:t>
      </w:r>
      <w:bookmarkEnd w:id="27"/>
      <w:bookmarkEnd w:id="28"/>
    </w:p>
    <w:p w:rsidR="00123531" w:rsidRPr="00123531" w:rsidRDefault="00123531" w:rsidP="00123531">
      <w:pPr>
        <w:spacing w:before="120" w:beforeAutospacing="0"/>
        <w:rPr>
          <w:sz w:val="22"/>
        </w:rPr>
      </w:pPr>
      <w:r w:rsidRPr="00123531">
        <w:rPr>
          <w:sz w:val="22"/>
        </w:rPr>
        <w:t xml:space="preserve">Form EIA-914 information is collected in accordance with the </w:t>
      </w:r>
      <w:r w:rsidR="00D95624">
        <w:rPr>
          <w:sz w:val="22"/>
        </w:rPr>
        <w:t xml:space="preserve">provisions of </w:t>
      </w:r>
      <w:r w:rsidR="00331AED">
        <w:rPr>
          <w:sz w:val="22"/>
        </w:rPr>
        <w:t>Title V of the E-Government Act,</w:t>
      </w:r>
      <w:r w:rsidR="00D95624">
        <w:rPr>
          <w:sz w:val="22"/>
        </w:rPr>
        <w:t xml:space="preserve"> </w:t>
      </w:r>
      <w:r w:rsidRPr="00123531">
        <w:rPr>
          <w:sz w:val="22"/>
        </w:rPr>
        <w:t xml:space="preserve">Confidential Information Protection </w:t>
      </w:r>
      <w:r w:rsidR="00D95624">
        <w:rPr>
          <w:sz w:val="22"/>
        </w:rPr>
        <w:t>and Statistical Efficiency Act</w:t>
      </w:r>
      <w:r w:rsidR="00331AED">
        <w:rPr>
          <w:sz w:val="22"/>
        </w:rPr>
        <w:t>, (</w:t>
      </w:r>
      <w:r w:rsidRPr="00123531">
        <w:rPr>
          <w:sz w:val="22"/>
        </w:rPr>
        <w:t>Pub</w:t>
      </w:r>
      <w:r w:rsidR="00331AED">
        <w:rPr>
          <w:sz w:val="22"/>
        </w:rPr>
        <w:t>.</w:t>
      </w:r>
      <w:r w:rsidRPr="00123531">
        <w:rPr>
          <w:sz w:val="22"/>
        </w:rPr>
        <w:t xml:space="preserve"> L</w:t>
      </w:r>
      <w:r w:rsidR="00331AED">
        <w:rPr>
          <w:sz w:val="22"/>
        </w:rPr>
        <w:t>.</w:t>
      </w:r>
      <w:r w:rsidRPr="00123531">
        <w:rPr>
          <w:sz w:val="22"/>
        </w:rPr>
        <w:t xml:space="preserve"> 107-347</w:t>
      </w:r>
      <w:r w:rsidR="00331AED">
        <w:rPr>
          <w:sz w:val="22"/>
        </w:rPr>
        <w:t>)</w:t>
      </w:r>
      <w:proofErr w:type="gramStart"/>
      <w:r w:rsidRPr="00123531">
        <w:rPr>
          <w:sz w:val="22"/>
        </w:rPr>
        <w:t xml:space="preserve">. </w:t>
      </w:r>
      <w:r w:rsidR="00327FC1">
        <w:rPr>
          <w:sz w:val="22"/>
        </w:rPr>
        <w:t xml:space="preserve"> </w:t>
      </w:r>
      <w:proofErr w:type="gramEnd"/>
      <w:r w:rsidR="00327FC1">
        <w:rPr>
          <w:sz w:val="22"/>
        </w:rPr>
        <w:t>This information</w:t>
      </w:r>
      <w:r w:rsidRPr="00123531">
        <w:rPr>
          <w:sz w:val="22"/>
        </w:rPr>
        <w:t xml:space="preserve"> will be treated as confidential and used </w:t>
      </w:r>
      <w:r w:rsidR="00010DB8">
        <w:rPr>
          <w:sz w:val="22"/>
        </w:rPr>
        <w:t xml:space="preserve">exclusively </w:t>
      </w:r>
      <w:r w:rsidRPr="00123531">
        <w:rPr>
          <w:sz w:val="22"/>
        </w:rPr>
        <w:t>for statistical purposes</w:t>
      </w:r>
      <w:proofErr w:type="gramStart"/>
      <w:r w:rsidR="00331AED">
        <w:rPr>
          <w:sz w:val="22"/>
        </w:rPr>
        <w:t>.</w:t>
      </w:r>
      <w:r w:rsidRPr="00123531">
        <w:rPr>
          <w:sz w:val="22"/>
        </w:rPr>
        <w:t xml:space="preserve"> </w:t>
      </w:r>
      <w:r w:rsidR="00327FC1">
        <w:rPr>
          <w:sz w:val="22"/>
        </w:rPr>
        <w:t xml:space="preserve"> </w:t>
      </w:r>
      <w:proofErr w:type="gramEnd"/>
      <w:r w:rsidRPr="00123531">
        <w:rPr>
          <w:sz w:val="22"/>
        </w:rPr>
        <w:t>The pledge made to survey respondents is as follows:</w:t>
      </w:r>
    </w:p>
    <w:p w:rsidR="007A6362" w:rsidRDefault="00123531" w:rsidP="00123531">
      <w:pPr>
        <w:spacing w:before="120" w:beforeAutospacing="0"/>
        <w:rPr>
          <w:sz w:val="22"/>
        </w:rPr>
      </w:pPr>
      <w:r w:rsidRPr="00123531">
        <w:rPr>
          <w:sz w:val="22"/>
        </w:rPr>
        <w:t>“The information you provide will be used for statistical purposes only. In accordance with the Confidential Information Protection provisions of Title 5, Subtitle A, Public Law 107-347 and other applicable Federal laws, your responses will be kept confidential and will not be disclosed in identifiable form to anyone other than employees or agents without your consent</w:t>
      </w:r>
      <w:proofErr w:type="gramStart"/>
      <w:r w:rsidRPr="00123531">
        <w:rPr>
          <w:sz w:val="22"/>
        </w:rPr>
        <w:t xml:space="preserve">. </w:t>
      </w:r>
      <w:r w:rsidR="00327FC1">
        <w:rPr>
          <w:sz w:val="22"/>
        </w:rPr>
        <w:t xml:space="preserve"> </w:t>
      </w:r>
      <w:proofErr w:type="gramEnd"/>
      <w:r w:rsidRPr="00123531">
        <w:rPr>
          <w:sz w:val="22"/>
        </w:rPr>
        <w:t>By law, every EIA employee, as well as every agent, has taken an oath and is subject to a jail term, a fine, or both if he or she discloses ANY identifiable information about you.”</w:t>
      </w:r>
    </w:p>
    <w:p w:rsidR="00123531" w:rsidRDefault="00696B0D" w:rsidP="00123531">
      <w:pPr>
        <w:spacing w:before="120" w:beforeAutospacing="0"/>
        <w:rPr>
          <w:b/>
          <w:color w:val="000000"/>
          <w:spacing w:val="14"/>
          <w:sz w:val="20"/>
          <w:szCs w:val="20"/>
        </w:rPr>
      </w:pPr>
      <w:r>
        <w:rPr>
          <w:sz w:val="22"/>
        </w:rPr>
        <w:t>S</w:t>
      </w:r>
      <w:r w:rsidR="00331AED">
        <w:rPr>
          <w:sz w:val="22"/>
        </w:rPr>
        <w:t xml:space="preserve">tatistical </w:t>
      </w:r>
      <w:r>
        <w:rPr>
          <w:sz w:val="22"/>
        </w:rPr>
        <w:t>d</w:t>
      </w:r>
      <w:r w:rsidR="00331AED">
        <w:rPr>
          <w:sz w:val="22"/>
        </w:rPr>
        <w:t xml:space="preserve">isclosure </w:t>
      </w:r>
      <w:r>
        <w:rPr>
          <w:sz w:val="22"/>
        </w:rPr>
        <w:t>l</w:t>
      </w:r>
      <w:r w:rsidR="00331AED">
        <w:rPr>
          <w:sz w:val="22"/>
        </w:rPr>
        <w:t xml:space="preserve">imitation techniques </w:t>
      </w:r>
      <w:proofErr w:type="gramStart"/>
      <w:r w:rsidR="00331AED">
        <w:rPr>
          <w:sz w:val="22"/>
        </w:rPr>
        <w:t>are applied</w:t>
      </w:r>
      <w:proofErr w:type="gramEnd"/>
      <w:r w:rsidR="00331AED">
        <w:rPr>
          <w:sz w:val="22"/>
        </w:rPr>
        <w:t xml:space="preserve"> to the statistical aggregates to preserve the confidentiality of the information. </w:t>
      </w:r>
    </w:p>
    <w:p w:rsidR="00960F3B" w:rsidRDefault="00960F3B" w:rsidP="008561E4">
      <w:pPr>
        <w:pStyle w:val="Heading2"/>
      </w:pPr>
      <w:bookmarkStart w:id="29" w:name="_Toc396424917"/>
      <w:bookmarkStart w:id="30" w:name="_Toc373916732"/>
      <w:r>
        <w:lastRenderedPageBreak/>
        <w:t>Justification for Questions of a Sensitive Nature</w:t>
      </w:r>
      <w:bookmarkEnd w:id="29"/>
    </w:p>
    <w:p w:rsidR="00960F3B" w:rsidRPr="008638B3" w:rsidRDefault="00960F3B" w:rsidP="008638B3">
      <w:pPr>
        <w:rPr>
          <w:sz w:val="22"/>
        </w:rPr>
      </w:pPr>
      <w:r w:rsidRPr="008638B3">
        <w:rPr>
          <w:sz w:val="22"/>
        </w:rPr>
        <w:t>The form contains no questions of a sensitive nature.</w:t>
      </w:r>
    </w:p>
    <w:p w:rsidR="00960F3B" w:rsidRDefault="00960F3B" w:rsidP="008561E4">
      <w:pPr>
        <w:pStyle w:val="Heading2"/>
      </w:pPr>
      <w:bookmarkStart w:id="31" w:name="_Toc396424918"/>
      <w:r>
        <w:t>Estimates of Respondent Burden (Hours and Cost of Hours</w:t>
      </w:r>
      <w:r w:rsidR="00735447">
        <w:t>)</w:t>
      </w:r>
      <w:bookmarkEnd w:id="31"/>
    </w:p>
    <w:p w:rsidR="00960F3B" w:rsidRPr="008638B3" w:rsidRDefault="00960F3B" w:rsidP="008638B3">
      <w:pPr>
        <w:rPr>
          <w:sz w:val="22"/>
        </w:rPr>
      </w:pPr>
      <w:r w:rsidRPr="008638B3">
        <w:rPr>
          <w:sz w:val="22"/>
        </w:rPr>
        <w:t xml:space="preserve">There are approximately 13,000 total well operators but this collection uses a cutoff sample of </w:t>
      </w:r>
      <w:r w:rsidR="007326A2">
        <w:rPr>
          <w:sz w:val="22"/>
        </w:rPr>
        <w:t xml:space="preserve">less than </w:t>
      </w:r>
      <w:r w:rsidRPr="008638B3">
        <w:rPr>
          <w:sz w:val="22"/>
        </w:rPr>
        <w:t xml:space="preserve">600 filers. Each filer </w:t>
      </w:r>
      <w:proofErr w:type="gramStart"/>
      <w:r w:rsidRPr="008638B3">
        <w:rPr>
          <w:sz w:val="22"/>
        </w:rPr>
        <w:t>is estimated</w:t>
      </w:r>
      <w:proofErr w:type="gramEnd"/>
      <w:r w:rsidRPr="008638B3">
        <w:rPr>
          <w:sz w:val="22"/>
        </w:rPr>
        <w:t xml:space="preserve"> to spend </w:t>
      </w:r>
      <w:r w:rsidR="002A0BBC">
        <w:rPr>
          <w:sz w:val="22"/>
        </w:rPr>
        <w:t>4</w:t>
      </w:r>
      <w:r w:rsidRPr="008638B3">
        <w:rPr>
          <w:sz w:val="22"/>
        </w:rPr>
        <w:t xml:space="preserve"> hours per month to report. </w:t>
      </w:r>
      <w:r w:rsidRPr="00AE3750">
        <w:rPr>
          <w:sz w:val="22"/>
        </w:rPr>
        <w:t xml:space="preserve">EIA </w:t>
      </w:r>
      <w:r w:rsidR="002A0BBC">
        <w:rPr>
          <w:sz w:val="22"/>
        </w:rPr>
        <w:t>in</w:t>
      </w:r>
      <w:r w:rsidRPr="00AE3750">
        <w:rPr>
          <w:sz w:val="22"/>
        </w:rPr>
        <w:t>c</w:t>
      </w:r>
      <w:r w:rsidR="002A0BBC">
        <w:rPr>
          <w:sz w:val="22"/>
        </w:rPr>
        <w:t>reas</w:t>
      </w:r>
      <w:r w:rsidRPr="00AE3750">
        <w:rPr>
          <w:sz w:val="22"/>
        </w:rPr>
        <w:t xml:space="preserve">ed the </w:t>
      </w:r>
      <w:r w:rsidR="001303F2">
        <w:rPr>
          <w:sz w:val="22"/>
        </w:rPr>
        <w:t>current</w:t>
      </w:r>
      <w:r w:rsidR="001303F2" w:rsidRPr="00C24E00">
        <w:rPr>
          <w:sz w:val="22"/>
        </w:rPr>
        <w:t xml:space="preserve"> </w:t>
      </w:r>
      <w:r w:rsidR="007178B5">
        <w:rPr>
          <w:sz w:val="22"/>
        </w:rPr>
        <w:t>3</w:t>
      </w:r>
      <w:r w:rsidRPr="00C24E00">
        <w:rPr>
          <w:sz w:val="22"/>
        </w:rPr>
        <w:t>-hour response time burden to</w:t>
      </w:r>
      <w:r w:rsidR="007178B5">
        <w:rPr>
          <w:sz w:val="22"/>
        </w:rPr>
        <w:t xml:space="preserve"> </w:t>
      </w:r>
      <w:r w:rsidR="002A0BBC">
        <w:rPr>
          <w:sz w:val="22"/>
        </w:rPr>
        <w:t>4</w:t>
      </w:r>
      <w:r w:rsidRPr="00C24E00">
        <w:rPr>
          <w:sz w:val="22"/>
        </w:rPr>
        <w:t xml:space="preserve"> hours </w:t>
      </w:r>
      <w:r w:rsidR="007178B5">
        <w:rPr>
          <w:sz w:val="22"/>
        </w:rPr>
        <w:t>after</w:t>
      </w:r>
      <w:r w:rsidRPr="00C24E00">
        <w:rPr>
          <w:sz w:val="22"/>
        </w:rPr>
        <w:t xml:space="preserve"> incorporating feedback from respondents to the current Form EIA-914</w:t>
      </w:r>
      <w:r w:rsidR="007178B5">
        <w:rPr>
          <w:sz w:val="22"/>
        </w:rPr>
        <w:t>,</w:t>
      </w:r>
      <w:r w:rsidRPr="00C24E00">
        <w:rPr>
          <w:sz w:val="22"/>
        </w:rPr>
        <w:t xml:space="preserve"> from cognitive testing of the proposed expanded form</w:t>
      </w:r>
      <w:r w:rsidR="007178B5">
        <w:rPr>
          <w:sz w:val="22"/>
        </w:rPr>
        <w:t>, and other feedback</w:t>
      </w:r>
      <w:r w:rsidRPr="00C24E00">
        <w:rPr>
          <w:sz w:val="22"/>
        </w:rPr>
        <w:t xml:space="preserve">. The overall annual respondent burden </w:t>
      </w:r>
      <w:proofErr w:type="gramStart"/>
      <w:r w:rsidRPr="00C24E00">
        <w:rPr>
          <w:sz w:val="22"/>
        </w:rPr>
        <w:t>is es</w:t>
      </w:r>
      <w:r w:rsidR="007178B5">
        <w:rPr>
          <w:sz w:val="22"/>
        </w:rPr>
        <w:t>timated</w:t>
      </w:r>
      <w:proofErr w:type="gramEnd"/>
      <w:r w:rsidR="007178B5">
        <w:rPr>
          <w:sz w:val="22"/>
        </w:rPr>
        <w:t xml:space="preserve"> to be </w:t>
      </w:r>
      <w:r w:rsidR="002A0BBC" w:rsidRPr="001D1B31">
        <w:rPr>
          <w:sz w:val="22"/>
        </w:rPr>
        <w:t>28,800</w:t>
      </w:r>
      <w:r w:rsidRPr="001D1B31">
        <w:rPr>
          <w:sz w:val="22"/>
        </w:rPr>
        <w:t xml:space="preserve"> hours per year for </w:t>
      </w:r>
      <w:r w:rsidR="00760EA4" w:rsidRPr="001D1B31">
        <w:rPr>
          <w:sz w:val="22"/>
        </w:rPr>
        <w:t xml:space="preserve">a maximum of </w:t>
      </w:r>
      <w:r w:rsidRPr="001D1B31">
        <w:rPr>
          <w:sz w:val="22"/>
        </w:rPr>
        <w:t>7,200 monthly reports. The cost to respondents for the burden hours is estimated to be $</w:t>
      </w:r>
      <w:r w:rsidR="002A0BBC" w:rsidRPr="001D1B31">
        <w:rPr>
          <w:sz w:val="22"/>
        </w:rPr>
        <w:t>1,99</w:t>
      </w:r>
      <w:r w:rsidR="001D1B31" w:rsidRPr="001D1B31">
        <w:rPr>
          <w:sz w:val="22"/>
        </w:rPr>
        <w:t>6</w:t>
      </w:r>
      <w:r w:rsidR="002A0BBC" w:rsidRPr="001D1B31">
        <w:rPr>
          <w:sz w:val="22"/>
        </w:rPr>
        <w:t>,</w:t>
      </w:r>
      <w:r w:rsidR="001D1B31" w:rsidRPr="001D1B31">
        <w:rPr>
          <w:sz w:val="22"/>
        </w:rPr>
        <w:t>70</w:t>
      </w:r>
      <w:r w:rsidR="002A0BBC" w:rsidRPr="001D1B31">
        <w:rPr>
          <w:sz w:val="22"/>
        </w:rPr>
        <w:t>4</w:t>
      </w:r>
      <w:r w:rsidRPr="001D1B31">
        <w:rPr>
          <w:sz w:val="22"/>
        </w:rPr>
        <w:t xml:space="preserve"> (</w:t>
      </w:r>
      <w:r w:rsidR="007178B5" w:rsidRPr="001D1B31">
        <w:rPr>
          <w:sz w:val="22"/>
        </w:rPr>
        <w:t>2</w:t>
      </w:r>
      <w:r w:rsidR="002A0BBC" w:rsidRPr="001D1B31">
        <w:rPr>
          <w:sz w:val="22"/>
        </w:rPr>
        <w:t>8</w:t>
      </w:r>
      <w:r w:rsidRPr="001D1B31">
        <w:rPr>
          <w:sz w:val="22"/>
        </w:rPr>
        <w:t>,</w:t>
      </w:r>
      <w:r w:rsidR="002A0BBC" w:rsidRPr="001D1B31">
        <w:rPr>
          <w:sz w:val="22"/>
        </w:rPr>
        <w:t>80</w:t>
      </w:r>
      <w:r w:rsidRPr="001D1B31">
        <w:rPr>
          <w:sz w:val="22"/>
        </w:rPr>
        <w:t>0 hours times $69.33 per hour). An average cost per hour of</w:t>
      </w:r>
      <w:r w:rsidRPr="008638B3">
        <w:rPr>
          <w:sz w:val="22"/>
        </w:rPr>
        <w:t xml:space="preserve"> $69.33 </w:t>
      </w:r>
      <w:proofErr w:type="gramStart"/>
      <w:r w:rsidRPr="008638B3">
        <w:rPr>
          <w:sz w:val="22"/>
        </w:rPr>
        <w:t>is used</w:t>
      </w:r>
      <w:proofErr w:type="gramEnd"/>
      <w:r w:rsidRPr="008638B3">
        <w:rPr>
          <w:sz w:val="22"/>
        </w:rPr>
        <w:t xml:space="preserve"> because that is the average salary plus benefits for an equivalent EIA employee. EIA assumes that the survey respondent workforce completing surveys for EIA is comparable to the EIA workforce.</w:t>
      </w:r>
    </w:p>
    <w:p w:rsidR="00794E4A" w:rsidRPr="00AE3750" w:rsidRDefault="00735447" w:rsidP="008638B3">
      <w:pPr>
        <w:rPr>
          <w:sz w:val="22"/>
        </w:rPr>
      </w:pPr>
      <w:r>
        <w:rPr>
          <w:sz w:val="22"/>
          <w:u w:val="single"/>
        </w:rPr>
        <w:t>Annual</w:t>
      </w:r>
      <w:r w:rsidRPr="008638B3">
        <w:rPr>
          <w:sz w:val="22"/>
          <w:u w:val="single"/>
        </w:rPr>
        <w:t xml:space="preserve"> </w:t>
      </w:r>
      <w:r w:rsidR="00794E4A" w:rsidRPr="008638B3">
        <w:rPr>
          <w:sz w:val="22"/>
          <w:u w:val="single"/>
        </w:rPr>
        <w:t>Burden</w:t>
      </w:r>
      <w:r w:rsidR="00794E4A" w:rsidRPr="00AE3750">
        <w:rPr>
          <w:sz w:val="22"/>
        </w:rPr>
        <w:t>:</w:t>
      </w:r>
    </w:p>
    <w:p w:rsidR="00794E4A" w:rsidRPr="008638B3" w:rsidRDefault="00794E4A" w:rsidP="008638B3">
      <w:pPr>
        <w:rPr>
          <w:sz w:val="22"/>
        </w:rPr>
      </w:pPr>
      <w:r w:rsidRPr="00306F16">
        <w:rPr>
          <w:sz w:val="22"/>
        </w:rPr>
        <w:t xml:space="preserve">600 respondents </w:t>
      </w:r>
      <w:r w:rsidR="00735447" w:rsidRPr="00306F16">
        <w:rPr>
          <w:sz w:val="22"/>
        </w:rPr>
        <w:t>(</w:t>
      </w:r>
      <w:r w:rsidRPr="00306F16">
        <w:rPr>
          <w:sz w:val="22"/>
        </w:rPr>
        <w:t>responding monthly</w:t>
      </w:r>
      <w:r w:rsidR="00735447" w:rsidRPr="00306F16">
        <w:rPr>
          <w:sz w:val="22"/>
        </w:rPr>
        <w:t>)</w:t>
      </w:r>
      <w:r w:rsidRPr="00306F16">
        <w:rPr>
          <w:sz w:val="22"/>
        </w:rPr>
        <w:t xml:space="preserve"> x 12 responses per year x </w:t>
      </w:r>
      <w:r w:rsidR="002A0BBC" w:rsidRPr="00306F16">
        <w:rPr>
          <w:sz w:val="22"/>
        </w:rPr>
        <w:t>4</w:t>
      </w:r>
      <w:r w:rsidR="00B11480" w:rsidRPr="00306F16">
        <w:rPr>
          <w:sz w:val="22"/>
        </w:rPr>
        <w:t xml:space="preserve"> hours</w:t>
      </w:r>
      <w:r w:rsidRPr="00306F16">
        <w:rPr>
          <w:sz w:val="22"/>
        </w:rPr>
        <w:t xml:space="preserve"> = </w:t>
      </w:r>
      <w:r w:rsidR="007178B5" w:rsidRPr="00306F16">
        <w:rPr>
          <w:sz w:val="22"/>
        </w:rPr>
        <w:t>2</w:t>
      </w:r>
      <w:r w:rsidR="002A0BBC" w:rsidRPr="00306F16">
        <w:rPr>
          <w:sz w:val="22"/>
        </w:rPr>
        <w:t>8</w:t>
      </w:r>
      <w:r w:rsidRPr="00306F16">
        <w:rPr>
          <w:sz w:val="22"/>
        </w:rPr>
        <w:t>,</w:t>
      </w:r>
      <w:r w:rsidR="002A0BBC" w:rsidRPr="00306F16">
        <w:rPr>
          <w:sz w:val="22"/>
        </w:rPr>
        <w:t>80</w:t>
      </w:r>
      <w:r w:rsidRPr="00306F16">
        <w:rPr>
          <w:sz w:val="22"/>
        </w:rPr>
        <w:t>0 hours per year</w:t>
      </w:r>
    </w:p>
    <w:p w:rsidR="00214CCB" w:rsidRDefault="00214CCB" w:rsidP="008561E4">
      <w:pPr>
        <w:pStyle w:val="Heading2"/>
      </w:pPr>
      <w:bookmarkStart w:id="32" w:name="_Toc396424919"/>
      <w:r>
        <w:t>Estimate of Cost Burden to Respondents – Capital/Start-up Costs and Operation/Maintenance/Purchase of Services</w:t>
      </w:r>
      <w:bookmarkEnd w:id="32"/>
    </w:p>
    <w:p w:rsidR="004C65CD" w:rsidRDefault="004C65CD" w:rsidP="004C65CD">
      <w:pPr>
        <w:rPr>
          <w:sz w:val="22"/>
        </w:rPr>
      </w:pPr>
      <w:r>
        <w:rPr>
          <w:sz w:val="22"/>
        </w:rPr>
        <w:t xml:space="preserve">No costs </w:t>
      </w:r>
      <w:proofErr w:type="gramStart"/>
      <w:r>
        <w:rPr>
          <w:sz w:val="22"/>
        </w:rPr>
        <w:t>were estimated or included in the monthly burden estimates listed above in A.12</w:t>
      </w:r>
      <w:proofErr w:type="gramEnd"/>
      <w:r>
        <w:rPr>
          <w:sz w:val="22"/>
        </w:rPr>
        <w:t>.</w:t>
      </w:r>
      <w:r w:rsidRPr="008638B3" w:rsidDel="004C65CD">
        <w:rPr>
          <w:sz w:val="22"/>
        </w:rPr>
        <w:t xml:space="preserve"> </w:t>
      </w:r>
    </w:p>
    <w:p w:rsidR="00236DFC" w:rsidRDefault="00892C3A" w:rsidP="00236DFC">
      <w:pPr>
        <w:pStyle w:val="Heading2"/>
      </w:pPr>
      <w:bookmarkStart w:id="33" w:name="_Toc396424920"/>
      <w:r>
        <w:t>Annual Cost to the Government</w:t>
      </w:r>
      <w:bookmarkEnd w:id="33"/>
    </w:p>
    <w:p w:rsidR="00236DFC" w:rsidRPr="00C735B2" w:rsidRDefault="00236DFC" w:rsidP="00236DFC">
      <w:pPr>
        <w:rPr>
          <w:sz w:val="22"/>
        </w:rPr>
      </w:pPr>
      <w:r w:rsidRPr="008638B3">
        <w:rPr>
          <w:sz w:val="22"/>
        </w:rPr>
        <w:t>The average cost including personnel, systems development and maintenance, data collection, processing, estimation, and dissemin</w:t>
      </w:r>
      <w:r w:rsidRPr="00AE3750">
        <w:rPr>
          <w:sz w:val="22"/>
        </w:rPr>
        <w:t xml:space="preserve">ation </w:t>
      </w:r>
      <w:r w:rsidRPr="00C735B2">
        <w:rPr>
          <w:sz w:val="22"/>
        </w:rPr>
        <w:t>is $</w:t>
      </w:r>
      <w:r>
        <w:rPr>
          <w:sz w:val="22"/>
        </w:rPr>
        <w:t>875</w:t>
      </w:r>
      <w:r w:rsidRPr="00C735B2">
        <w:rPr>
          <w:sz w:val="22"/>
        </w:rPr>
        <w:t>,000 per year.</w:t>
      </w:r>
    </w:p>
    <w:p w:rsidR="00236DFC" w:rsidRPr="00C735B2" w:rsidRDefault="00236DFC" w:rsidP="00236DFC">
      <w:pPr>
        <w:pStyle w:val="ListParagraph"/>
        <w:numPr>
          <w:ilvl w:val="0"/>
          <w:numId w:val="40"/>
        </w:numPr>
        <w:rPr>
          <w:sz w:val="22"/>
        </w:rPr>
      </w:pPr>
      <w:r w:rsidRPr="00C735B2">
        <w:rPr>
          <w:rFonts w:ascii="Times New Roman" w:hAnsi="Times New Roman"/>
          <w:sz w:val="22"/>
        </w:rPr>
        <w:t>Personnel:</w:t>
      </w:r>
    </w:p>
    <w:p w:rsidR="00236DFC" w:rsidRPr="00C735B2" w:rsidRDefault="00236DFC" w:rsidP="00236DFC">
      <w:pPr>
        <w:pStyle w:val="ListParagraph"/>
        <w:numPr>
          <w:ilvl w:val="1"/>
          <w:numId w:val="40"/>
        </w:numPr>
        <w:rPr>
          <w:sz w:val="22"/>
        </w:rPr>
      </w:pPr>
      <w:r w:rsidRPr="00C735B2">
        <w:rPr>
          <w:rFonts w:ascii="Times New Roman" w:hAnsi="Times New Roman"/>
          <w:sz w:val="22"/>
        </w:rPr>
        <w:t>Contractors: $</w:t>
      </w:r>
      <w:r>
        <w:rPr>
          <w:rFonts w:ascii="Times New Roman" w:hAnsi="Times New Roman"/>
          <w:sz w:val="22"/>
        </w:rPr>
        <w:t>600</w:t>
      </w:r>
      <w:r w:rsidRPr="00C735B2">
        <w:rPr>
          <w:rFonts w:ascii="Times New Roman" w:hAnsi="Times New Roman"/>
          <w:sz w:val="22"/>
        </w:rPr>
        <w:t>,000</w:t>
      </w:r>
    </w:p>
    <w:p w:rsidR="00236DFC" w:rsidRPr="00C735B2" w:rsidRDefault="00236DFC" w:rsidP="00236DFC">
      <w:pPr>
        <w:pStyle w:val="ListParagraph"/>
        <w:numPr>
          <w:ilvl w:val="1"/>
          <w:numId w:val="40"/>
        </w:numPr>
        <w:rPr>
          <w:sz w:val="22"/>
        </w:rPr>
      </w:pPr>
      <w:r w:rsidRPr="00C735B2">
        <w:rPr>
          <w:rFonts w:ascii="Times New Roman" w:hAnsi="Times New Roman"/>
          <w:sz w:val="22"/>
        </w:rPr>
        <w:t>Federal Employees</w:t>
      </w:r>
      <w:r>
        <w:rPr>
          <w:rFonts w:ascii="Times New Roman" w:hAnsi="Times New Roman"/>
          <w:sz w:val="22"/>
        </w:rPr>
        <w:t>:</w:t>
      </w:r>
      <w:r w:rsidRPr="00C735B2">
        <w:rPr>
          <w:rFonts w:ascii="Times New Roman" w:hAnsi="Times New Roman"/>
          <w:sz w:val="22"/>
        </w:rPr>
        <w:t xml:space="preserve">  $</w:t>
      </w:r>
      <w:r>
        <w:rPr>
          <w:rFonts w:ascii="Times New Roman" w:hAnsi="Times New Roman"/>
          <w:sz w:val="22"/>
        </w:rPr>
        <w:t>225</w:t>
      </w:r>
      <w:r w:rsidRPr="00C735B2">
        <w:rPr>
          <w:rFonts w:ascii="Times New Roman" w:hAnsi="Times New Roman"/>
          <w:sz w:val="22"/>
        </w:rPr>
        <w:t>,000</w:t>
      </w:r>
    </w:p>
    <w:p w:rsidR="00236DFC" w:rsidRPr="00C735B2" w:rsidRDefault="00236DFC" w:rsidP="00236DFC">
      <w:pPr>
        <w:pStyle w:val="ListParagraph"/>
        <w:numPr>
          <w:ilvl w:val="0"/>
          <w:numId w:val="40"/>
        </w:numPr>
        <w:rPr>
          <w:sz w:val="22"/>
        </w:rPr>
      </w:pPr>
      <w:r w:rsidRPr="00C735B2">
        <w:rPr>
          <w:rFonts w:ascii="Times New Roman" w:hAnsi="Times New Roman"/>
          <w:sz w:val="22"/>
        </w:rPr>
        <w:t>Estimated Additional Costs (space, IT and IT support, etc.): $</w:t>
      </w:r>
      <w:r>
        <w:rPr>
          <w:rFonts w:ascii="Times New Roman" w:hAnsi="Times New Roman"/>
          <w:sz w:val="22"/>
        </w:rPr>
        <w:t>50</w:t>
      </w:r>
      <w:r w:rsidRPr="00C735B2">
        <w:rPr>
          <w:rFonts w:ascii="Times New Roman" w:hAnsi="Times New Roman"/>
          <w:sz w:val="22"/>
        </w:rPr>
        <w:t>,000</w:t>
      </w:r>
    </w:p>
    <w:p w:rsidR="00236DFC" w:rsidRPr="008638B3" w:rsidRDefault="00236DFC" w:rsidP="00236DFC">
      <w:pPr>
        <w:rPr>
          <w:sz w:val="22"/>
        </w:rPr>
      </w:pPr>
      <w:r w:rsidRPr="00C735B2">
        <w:rPr>
          <w:sz w:val="22"/>
        </w:rPr>
        <w:t>Total: $</w:t>
      </w:r>
      <w:r>
        <w:rPr>
          <w:sz w:val="22"/>
        </w:rPr>
        <w:t>875</w:t>
      </w:r>
      <w:r w:rsidRPr="00C735B2">
        <w:rPr>
          <w:sz w:val="22"/>
        </w:rPr>
        <w:t>,000</w:t>
      </w:r>
    </w:p>
    <w:p w:rsidR="00236DFC" w:rsidRPr="00236DFC" w:rsidRDefault="00236DFC" w:rsidP="00236DFC"/>
    <w:p w:rsidR="00892C3A" w:rsidRPr="00892C3A" w:rsidRDefault="00892C3A" w:rsidP="00236DFC"/>
    <w:p w:rsidR="00B34E57" w:rsidRDefault="00892C3A" w:rsidP="008561E4">
      <w:pPr>
        <w:pStyle w:val="Heading2"/>
      </w:pPr>
      <w:r>
        <w:t xml:space="preserve">  </w:t>
      </w:r>
      <w:bookmarkStart w:id="34" w:name="_Toc396424921"/>
      <w:r w:rsidR="00B34E57" w:rsidRPr="00D810CC">
        <w:t>Reasons for Changes in Burden</w:t>
      </w:r>
      <w:bookmarkEnd w:id="30"/>
      <w:bookmarkEnd w:id="34"/>
    </w:p>
    <w:p w:rsidR="00327FC1" w:rsidRDefault="00453D95" w:rsidP="00CC4BB1">
      <w:pPr>
        <w:rPr>
          <w:sz w:val="22"/>
        </w:rPr>
      </w:pPr>
      <w:r w:rsidRPr="00453D95">
        <w:rPr>
          <w:sz w:val="22"/>
        </w:rPr>
        <w:t>The burden</w:t>
      </w:r>
      <w:r w:rsidR="006E34FA">
        <w:rPr>
          <w:sz w:val="22"/>
        </w:rPr>
        <w:t xml:space="preserve"> for respondents to </w:t>
      </w:r>
      <w:r w:rsidR="00010DB8">
        <w:rPr>
          <w:sz w:val="22"/>
        </w:rPr>
        <w:t xml:space="preserve">the </w:t>
      </w:r>
      <w:r w:rsidR="00327FC1">
        <w:rPr>
          <w:sz w:val="22"/>
        </w:rPr>
        <w:t xml:space="preserve">proposed </w:t>
      </w:r>
      <w:r w:rsidR="00010DB8">
        <w:rPr>
          <w:sz w:val="22"/>
        </w:rPr>
        <w:t xml:space="preserve">expanded </w:t>
      </w:r>
      <w:r w:rsidR="006E34FA">
        <w:rPr>
          <w:sz w:val="22"/>
        </w:rPr>
        <w:t>Form EIA-914</w:t>
      </w:r>
      <w:r w:rsidR="009550C1">
        <w:rPr>
          <w:sz w:val="22"/>
        </w:rPr>
        <w:t xml:space="preserve"> </w:t>
      </w:r>
      <w:r w:rsidRPr="00453D95">
        <w:rPr>
          <w:sz w:val="22"/>
        </w:rPr>
        <w:t xml:space="preserve">increases because </w:t>
      </w:r>
      <w:r w:rsidR="0060382E">
        <w:rPr>
          <w:sz w:val="22"/>
        </w:rPr>
        <w:t>the survey</w:t>
      </w:r>
      <w:r w:rsidR="0060382E" w:rsidRPr="00453D95">
        <w:rPr>
          <w:sz w:val="22"/>
        </w:rPr>
        <w:t xml:space="preserve"> </w:t>
      </w:r>
      <w:r w:rsidRPr="00453D95">
        <w:rPr>
          <w:sz w:val="22"/>
        </w:rPr>
        <w:t>gathers additional important information</w:t>
      </w:r>
      <w:proofErr w:type="gramStart"/>
      <w:r w:rsidR="00CC4BB1">
        <w:rPr>
          <w:sz w:val="22"/>
        </w:rPr>
        <w:t>.</w:t>
      </w:r>
      <w:r w:rsidR="00327FC1">
        <w:rPr>
          <w:sz w:val="22"/>
        </w:rPr>
        <w:t xml:space="preserve"> </w:t>
      </w:r>
      <w:r w:rsidR="00CC4BB1">
        <w:rPr>
          <w:sz w:val="22"/>
        </w:rPr>
        <w:t xml:space="preserve"> </w:t>
      </w:r>
      <w:proofErr w:type="gramEnd"/>
      <w:r w:rsidR="006A62A0">
        <w:rPr>
          <w:sz w:val="22"/>
        </w:rPr>
        <w:t xml:space="preserve">The </w:t>
      </w:r>
      <w:r w:rsidR="006E34FA">
        <w:rPr>
          <w:color w:val="000000"/>
          <w:sz w:val="22"/>
        </w:rPr>
        <w:t xml:space="preserve">expansion of the data collection </w:t>
      </w:r>
      <w:r w:rsidR="005C691B">
        <w:rPr>
          <w:color w:val="000000"/>
          <w:sz w:val="22"/>
        </w:rPr>
        <w:t xml:space="preserve">adding </w:t>
      </w:r>
      <w:r w:rsidR="000C35A5">
        <w:rPr>
          <w:color w:val="000000"/>
          <w:sz w:val="22"/>
        </w:rPr>
        <w:t xml:space="preserve">ten </w:t>
      </w:r>
      <w:r w:rsidR="006E34FA">
        <w:rPr>
          <w:color w:val="000000"/>
          <w:sz w:val="22"/>
        </w:rPr>
        <w:t xml:space="preserve">additional states </w:t>
      </w:r>
      <w:r w:rsidR="00432C69">
        <w:rPr>
          <w:color w:val="000000"/>
          <w:sz w:val="22"/>
        </w:rPr>
        <w:t xml:space="preserve">and the </w:t>
      </w:r>
      <w:r w:rsidR="001211B4">
        <w:rPr>
          <w:color w:val="000000"/>
          <w:sz w:val="22"/>
        </w:rPr>
        <w:t>inclusion</w:t>
      </w:r>
      <w:r w:rsidR="00432C69">
        <w:rPr>
          <w:color w:val="000000"/>
          <w:sz w:val="22"/>
        </w:rPr>
        <w:t xml:space="preserve"> of crude oil and condensate </w:t>
      </w:r>
      <w:r w:rsidR="00327FC1">
        <w:rPr>
          <w:color w:val="000000"/>
          <w:sz w:val="22"/>
        </w:rPr>
        <w:t xml:space="preserve">also </w:t>
      </w:r>
      <w:r w:rsidR="006E34FA">
        <w:rPr>
          <w:color w:val="000000"/>
          <w:sz w:val="22"/>
        </w:rPr>
        <w:t>results in an increase in the number of sampled companies</w:t>
      </w:r>
      <w:r w:rsidR="00327FC1">
        <w:rPr>
          <w:color w:val="000000"/>
          <w:sz w:val="22"/>
        </w:rPr>
        <w:t xml:space="preserve">, </w:t>
      </w:r>
      <w:r w:rsidR="000C35A5">
        <w:rPr>
          <w:color w:val="000000"/>
          <w:sz w:val="22"/>
        </w:rPr>
        <w:t xml:space="preserve">thereby </w:t>
      </w:r>
      <w:r w:rsidR="00327FC1">
        <w:rPr>
          <w:color w:val="000000"/>
          <w:sz w:val="22"/>
        </w:rPr>
        <w:t>increasing overall survey burden hours</w:t>
      </w:r>
      <w:r w:rsidR="006E34FA">
        <w:rPr>
          <w:color w:val="000000"/>
          <w:sz w:val="22"/>
        </w:rPr>
        <w:t xml:space="preserve">. </w:t>
      </w:r>
    </w:p>
    <w:p w:rsidR="00453D95" w:rsidRPr="00453D95" w:rsidRDefault="00327FC1" w:rsidP="00CC4BB1">
      <w:pPr>
        <w:rPr>
          <w:sz w:val="22"/>
        </w:rPr>
      </w:pPr>
      <w:r>
        <w:rPr>
          <w:color w:val="000000"/>
          <w:sz w:val="22"/>
        </w:rPr>
        <w:lastRenderedPageBreak/>
        <w:t xml:space="preserve">For the Form EIA-914, </w:t>
      </w:r>
      <w:r w:rsidR="006E34FA">
        <w:rPr>
          <w:color w:val="000000"/>
          <w:sz w:val="22"/>
        </w:rPr>
        <w:t>EIA create</w:t>
      </w:r>
      <w:r>
        <w:rPr>
          <w:color w:val="000000"/>
          <w:sz w:val="22"/>
        </w:rPr>
        <w:t>s</w:t>
      </w:r>
      <w:r w:rsidR="006E34FA">
        <w:rPr>
          <w:color w:val="000000"/>
          <w:sz w:val="22"/>
        </w:rPr>
        <w:t xml:space="preserve"> </w:t>
      </w:r>
      <w:r>
        <w:rPr>
          <w:color w:val="000000"/>
          <w:sz w:val="22"/>
        </w:rPr>
        <w:t>a single</w:t>
      </w:r>
      <w:r w:rsidR="00432C69">
        <w:rPr>
          <w:color w:val="000000"/>
          <w:sz w:val="22"/>
        </w:rPr>
        <w:t xml:space="preserve"> cutoff </w:t>
      </w:r>
      <w:r w:rsidR="006E34FA">
        <w:rPr>
          <w:color w:val="000000"/>
          <w:sz w:val="22"/>
        </w:rPr>
        <w:t>sample</w:t>
      </w:r>
      <w:r w:rsidR="00432C69">
        <w:rPr>
          <w:color w:val="000000"/>
          <w:sz w:val="22"/>
        </w:rPr>
        <w:t xml:space="preserve"> for the lower 48 states/areas</w:t>
      </w:r>
      <w:r w:rsidR="006E34FA">
        <w:rPr>
          <w:color w:val="000000"/>
          <w:sz w:val="22"/>
        </w:rPr>
        <w:t xml:space="preserve"> for which natural gas production data </w:t>
      </w:r>
      <w:r>
        <w:rPr>
          <w:color w:val="000000"/>
          <w:sz w:val="22"/>
        </w:rPr>
        <w:t xml:space="preserve">are </w:t>
      </w:r>
      <w:r w:rsidR="006E34FA">
        <w:rPr>
          <w:color w:val="000000"/>
          <w:sz w:val="22"/>
        </w:rPr>
        <w:t>collected</w:t>
      </w:r>
      <w:proofErr w:type="gramStart"/>
      <w:r>
        <w:rPr>
          <w:color w:val="000000"/>
          <w:sz w:val="22"/>
        </w:rPr>
        <w:t xml:space="preserve">.  </w:t>
      </w:r>
      <w:proofErr w:type="gramEnd"/>
      <w:r>
        <w:rPr>
          <w:color w:val="000000"/>
          <w:sz w:val="22"/>
        </w:rPr>
        <w:t xml:space="preserve">However, this method is not efficient when applied to the proposed expanded survey, so EIA </w:t>
      </w:r>
      <w:r w:rsidR="00296074">
        <w:rPr>
          <w:color w:val="000000"/>
          <w:sz w:val="22"/>
        </w:rPr>
        <w:t xml:space="preserve">instead </w:t>
      </w:r>
      <w:r>
        <w:rPr>
          <w:color w:val="000000"/>
          <w:sz w:val="22"/>
        </w:rPr>
        <w:t>proposes to</w:t>
      </w:r>
      <w:r w:rsidR="00B0114B">
        <w:rPr>
          <w:color w:val="000000"/>
          <w:sz w:val="22"/>
        </w:rPr>
        <w:t xml:space="preserve"> </w:t>
      </w:r>
      <w:r w:rsidR="006E34FA">
        <w:rPr>
          <w:color w:val="000000"/>
          <w:sz w:val="22"/>
        </w:rPr>
        <w:t xml:space="preserve">create </w:t>
      </w:r>
      <w:r w:rsidR="00C82EE1">
        <w:rPr>
          <w:color w:val="000000"/>
          <w:sz w:val="22"/>
        </w:rPr>
        <w:t>1</w:t>
      </w:r>
      <w:r w:rsidR="001D1B31">
        <w:rPr>
          <w:color w:val="000000"/>
          <w:sz w:val="22"/>
        </w:rPr>
        <w:t>6</w:t>
      </w:r>
      <w:r w:rsidR="006E34FA">
        <w:rPr>
          <w:color w:val="000000"/>
          <w:sz w:val="22"/>
        </w:rPr>
        <w:t xml:space="preserve"> samples for each of the states/area</w:t>
      </w:r>
      <w:r w:rsidR="00994E9B">
        <w:rPr>
          <w:color w:val="000000"/>
          <w:sz w:val="22"/>
        </w:rPr>
        <w:t>s</w:t>
      </w:r>
      <w:r w:rsidR="00C82EE1">
        <w:rPr>
          <w:color w:val="000000"/>
          <w:sz w:val="22"/>
        </w:rPr>
        <w:t>, including “Other States,”</w:t>
      </w:r>
      <w:r w:rsidR="006E34FA">
        <w:rPr>
          <w:color w:val="000000"/>
          <w:sz w:val="22"/>
        </w:rPr>
        <w:t xml:space="preserve"> </w:t>
      </w:r>
      <w:r w:rsidR="00994E9B">
        <w:rPr>
          <w:color w:val="000000"/>
          <w:sz w:val="22"/>
        </w:rPr>
        <w:t>based on</w:t>
      </w:r>
      <w:r w:rsidR="006E34FA">
        <w:rPr>
          <w:color w:val="000000"/>
          <w:sz w:val="22"/>
        </w:rPr>
        <w:t xml:space="preserve"> natural </w:t>
      </w:r>
      <w:r w:rsidR="00994E9B">
        <w:rPr>
          <w:color w:val="000000"/>
          <w:sz w:val="22"/>
        </w:rPr>
        <w:t xml:space="preserve">gas production and </w:t>
      </w:r>
      <w:r w:rsidR="00C82EE1">
        <w:rPr>
          <w:color w:val="000000"/>
          <w:sz w:val="22"/>
        </w:rPr>
        <w:t>1</w:t>
      </w:r>
      <w:r w:rsidR="001D1B31">
        <w:rPr>
          <w:color w:val="000000"/>
          <w:sz w:val="22"/>
        </w:rPr>
        <w:t>6</w:t>
      </w:r>
      <w:r w:rsidR="00994E9B">
        <w:rPr>
          <w:color w:val="000000"/>
          <w:sz w:val="22"/>
        </w:rPr>
        <w:t xml:space="preserve"> samples based on crude oil and lease condensate production</w:t>
      </w:r>
      <w:r w:rsidR="00EF6AC5">
        <w:rPr>
          <w:sz w:val="22"/>
        </w:rPr>
        <w:t>.</w:t>
      </w:r>
    </w:p>
    <w:tbl>
      <w:tblPr>
        <w:tblW w:w="9851" w:type="dxa"/>
        <w:tblInd w:w="-23" w:type="dxa"/>
        <w:tblLayout w:type="fixed"/>
        <w:tblCellMar>
          <w:left w:w="0" w:type="dxa"/>
          <w:right w:w="0" w:type="dxa"/>
        </w:tblCellMar>
        <w:tblLook w:val="04A0" w:firstRow="1" w:lastRow="0" w:firstColumn="1" w:lastColumn="0" w:noHBand="0" w:noVBand="1"/>
      </w:tblPr>
      <w:tblGrid>
        <w:gridCol w:w="1301"/>
        <w:gridCol w:w="1197"/>
        <w:gridCol w:w="1233"/>
        <w:gridCol w:w="1080"/>
        <w:gridCol w:w="1080"/>
        <w:gridCol w:w="1080"/>
        <w:gridCol w:w="1080"/>
        <w:gridCol w:w="900"/>
        <w:gridCol w:w="900"/>
      </w:tblGrid>
      <w:tr w:rsidR="0052485F" w:rsidTr="00D445C4">
        <w:trPr>
          <w:trHeight w:val="300"/>
        </w:trPr>
        <w:tc>
          <w:tcPr>
            <w:tcW w:w="9851" w:type="dxa"/>
            <w:gridSpan w:val="9"/>
            <w:tcBorders>
              <w:top w:val="single" w:sz="8" w:space="0" w:color="auto"/>
              <w:left w:val="single" w:sz="8" w:space="0" w:color="auto"/>
              <w:bottom w:val="single" w:sz="8" w:space="0" w:color="auto"/>
              <w:right w:val="single" w:sz="8" w:space="0" w:color="auto"/>
            </w:tcBorders>
            <w:shd w:val="clear" w:color="auto" w:fill="DDD9C3"/>
            <w:noWrap/>
            <w:tcMar>
              <w:top w:w="0" w:type="dxa"/>
              <w:left w:w="108" w:type="dxa"/>
              <w:bottom w:w="0" w:type="dxa"/>
              <w:right w:w="108" w:type="dxa"/>
            </w:tcMar>
            <w:hideMark/>
          </w:tcPr>
          <w:p w:rsidR="0052485F" w:rsidRPr="00A67139" w:rsidRDefault="0052485F" w:rsidP="00F953B1">
            <w:pPr>
              <w:shd w:val="clear" w:color="auto" w:fill="D9D9D9"/>
              <w:rPr>
                <w:rFonts w:ascii="Calibri" w:hAnsi="Calibri"/>
                <w:b/>
                <w:bCs/>
                <w:color w:val="000000"/>
                <w:sz w:val="18"/>
                <w:szCs w:val="18"/>
              </w:rPr>
            </w:pPr>
            <w:r>
              <w:rPr>
                <w:b/>
                <w:bCs/>
                <w:color w:val="000000"/>
              </w:rPr>
              <w:t xml:space="preserve">Table </w:t>
            </w:r>
            <w:r w:rsidR="00F953B1">
              <w:rPr>
                <w:b/>
                <w:bCs/>
                <w:color w:val="000000"/>
              </w:rPr>
              <w:t>1</w:t>
            </w:r>
            <w:r w:rsidR="00560D57">
              <w:rPr>
                <w:b/>
                <w:bCs/>
                <w:color w:val="000000"/>
              </w:rPr>
              <w:t>:</w:t>
            </w:r>
            <w:r>
              <w:rPr>
                <w:b/>
                <w:bCs/>
                <w:color w:val="000000"/>
              </w:rPr>
              <w:t xml:space="preserve"> </w:t>
            </w:r>
            <w:r w:rsidR="004667F3">
              <w:rPr>
                <w:b/>
                <w:bCs/>
                <w:color w:val="000000"/>
              </w:rPr>
              <w:t>EIA-91</w:t>
            </w:r>
            <w:r w:rsidR="007D0DAA">
              <w:rPr>
                <w:b/>
                <w:bCs/>
                <w:color w:val="000000"/>
              </w:rPr>
              <w:t>4</w:t>
            </w:r>
            <w:r w:rsidR="00452029">
              <w:rPr>
                <w:b/>
                <w:bCs/>
                <w:color w:val="000000"/>
              </w:rPr>
              <w:t xml:space="preserve"> Survey </w:t>
            </w:r>
            <w:r>
              <w:rPr>
                <w:b/>
                <w:bCs/>
                <w:color w:val="000000"/>
              </w:rPr>
              <w:t>Change in Annual Burden</w:t>
            </w:r>
          </w:p>
        </w:tc>
      </w:tr>
      <w:tr w:rsidR="00D445C4" w:rsidTr="007D0DAA">
        <w:trPr>
          <w:trHeight w:val="975"/>
        </w:trPr>
        <w:tc>
          <w:tcPr>
            <w:tcW w:w="1301" w:type="dxa"/>
            <w:tcBorders>
              <w:top w:val="nil"/>
              <w:left w:val="single" w:sz="8" w:space="0" w:color="auto"/>
              <w:bottom w:val="single" w:sz="8" w:space="0" w:color="auto"/>
              <w:right w:val="single" w:sz="8" w:space="0" w:color="auto"/>
            </w:tcBorders>
            <w:shd w:val="clear" w:color="auto" w:fill="DDD9C3"/>
            <w:noWrap/>
            <w:tcMar>
              <w:top w:w="0" w:type="dxa"/>
              <w:left w:w="108" w:type="dxa"/>
              <w:bottom w:w="0" w:type="dxa"/>
              <w:right w:w="108" w:type="dxa"/>
            </w:tcMar>
            <w:vAlign w:val="bottom"/>
          </w:tcPr>
          <w:p w:rsidR="007A6362" w:rsidRPr="00A67139" w:rsidRDefault="007A6362" w:rsidP="00A67139">
            <w:pPr>
              <w:shd w:val="clear" w:color="auto" w:fill="D9D9D9"/>
              <w:jc w:val="left"/>
              <w:rPr>
                <w:rFonts w:ascii="Calibri" w:hAnsi="Calibri"/>
                <w:b/>
                <w:bCs/>
                <w:color w:val="000000"/>
                <w:sz w:val="18"/>
                <w:szCs w:val="18"/>
              </w:rPr>
            </w:pPr>
          </w:p>
        </w:tc>
        <w:tc>
          <w:tcPr>
            <w:tcW w:w="1197"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Pr="00A67139" w:rsidRDefault="0052485F" w:rsidP="00296074">
            <w:pPr>
              <w:shd w:val="clear" w:color="auto" w:fill="D9D9D9"/>
              <w:jc w:val="left"/>
              <w:rPr>
                <w:rFonts w:ascii="Calibri" w:hAnsi="Calibri"/>
                <w:b/>
                <w:bCs/>
                <w:color w:val="000000"/>
                <w:sz w:val="18"/>
                <w:szCs w:val="18"/>
              </w:rPr>
            </w:pPr>
            <w:r>
              <w:rPr>
                <w:b/>
                <w:bCs/>
                <w:color w:val="000000"/>
                <w:sz w:val="18"/>
                <w:szCs w:val="18"/>
              </w:rPr>
              <w:t xml:space="preserve">Old Number of </w:t>
            </w:r>
            <w:r w:rsidR="00296074">
              <w:rPr>
                <w:b/>
                <w:bCs/>
                <w:color w:val="000000"/>
                <w:sz w:val="18"/>
                <w:szCs w:val="18"/>
              </w:rPr>
              <w:t xml:space="preserve">Monthly </w:t>
            </w:r>
            <w:r>
              <w:rPr>
                <w:b/>
                <w:bCs/>
                <w:color w:val="000000"/>
                <w:sz w:val="18"/>
                <w:szCs w:val="18"/>
              </w:rPr>
              <w:t>Respondents</w:t>
            </w:r>
          </w:p>
        </w:tc>
        <w:tc>
          <w:tcPr>
            <w:tcW w:w="1233"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Pr="00A67139" w:rsidRDefault="0052485F" w:rsidP="00296074">
            <w:pPr>
              <w:shd w:val="clear" w:color="auto" w:fill="D9D9D9"/>
              <w:jc w:val="left"/>
              <w:rPr>
                <w:rFonts w:ascii="Calibri" w:hAnsi="Calibri"/>
                <w:b/>
                <w:bCs/>
                <w:color w:val="000000"/>
                <w:sz w:val="18"/>
                <w:szCs w:val="18"/>
              </w:rPr>
            </w:pPr>
            <w:r>
              <w:rPr>
                <w:b/>
                <w:bCs/>
                <w:color w:val="000000"/>
                <w:sz w:val="18"/>
                <w:szCs w:val="18"/>
              </w:rPr>
              <w:t xml:space="preserve">New Number of </w:t>
            </w:r>
            <w:r w:rsidR="00296074">
              <w:rPr>
                <w:b/>
                <w:bCs/>
                <w:color w:val="000000"/>
                <w:sz w:val="18"/>
                <w:szCs w:val="18"/>
              </w:rPr>
              <w:t>Mon</w:t>
            </w:r>
            <w:r w:rsidR="00B0114B">
              <w:rPr>
                <w:b/>
                <w:bCs/>
                <w:color w:val="000000"/>
                <w:sz w:val="18"/>
                <w:szCs w:val="18"/>
              </w:rPr>
              <w:t>t</w:t>
            </w:r>
            <w:r w:rsidR="00296074">
              <w:rPr>
                <w:b/>
                <w:bCs/>
                <w:color w:val="000000"/>
                <w:sz w:val="18"/>
                <w:szCs w:val="18"/>
              </w:rPr>
              <w:t xml:space="preserve">hly </w:t>
            </w:r>
            <w:r>
              <w:rPr>
                <w:b/>
                <w:bCs/>
                <w:color w:val="000000"/>
                <w:sz w:val="18"/>
                <w:szCs w:val="18"/>
              </w:rPr>
              <w:t>Respondents</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Pr="00A67139" w:rsidRDefault="0052485F" w:rsidP="00296074">
            <w:pPr>
              <w:shd w:val="clear" w:color="auto" w:fill="D9D9D9"/>
              <w:jc w:val="left"/>
              <w:rPr>
                <w:rFonts w:ascii="Calibri" w:hAnsi="Calibri"/>
                <w:b/>
                <w:bCs/>
                <w:color w:val="000000"/>
                <w:sz w:val="18"/>
                <w:szCs w:val="18"/>
              </w:rPr>
            </w:pPr>
            <w:r>
              <w:rPr>
                <w:b/>
                <w:bCs/>
                <w:color w:val="000000"/>
                <w:sz w:val="18"/>
                <w:szCs w:val="18"/>
              </w:rPr>
              <w:t>Old Number of Responses</w:t>
            </w:r>
            <w:r w:rsidR="00296074">
              <w:rPr>
                <w:b/>
                <w:bCs/>
                <w:color w:val="000000"/>
                <w:sz w:val="18"/>
                <w:szCs w:val="18"/>
              </w:rPr>
              <w:t xml:space="preserve"> An</w:t>
            </w:r>
            <w:r w:rsidR="00C24E00">
              <w:rPr>
                <w:b/>
                <w:bCs/>
                <w:color w:val="000000"/>
                <w:sz w:val="18"/>
                <w:szCs w:val="18"/>
              </w:rPr>
              <w:t>n</w:t>
            </w:r>
            <w:r w:rsidR="00296074">
              <w:rPr>
                <w:b/>
                <w:bCs/>
                <w:color w:val="000000"/>
                <w:sz w:val="18"/>
                <w:szCs w:val="18"/>
              </w:rPr>
              <w:t>ually</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Pr="00A67139" w:rsidRDefault="0052485F" w:rsidP="00296074">
            <w:pPr>
              <w:shd w:val="clear" w:color="auto" w:fill="D9D9D9"/>
              <w:jc w:val="left"/>
              <w:rPr>
                <w:rFonts w:ascii="Calibri" w:hAnsi="Calibri"/>
                <w:b/>
                <w:bCs/>
                <w:color w:val="000000"/>
                <w:sz w:val="18"/>
                <w:szCs w:val="18"/>
              </w:rPr>
            </w:pPr>
            <w:r>
              <w:rPr>
                <w:b/>
                <w:bCs/>
                <w:color w:val="000000"/>
                <w:sz w:val="18"/>
                <w:szCs w:val="18"/>
              </w:rPr>
              <w:t>New Number of Responses</w:t>
            </w:r>
            <w:r w:rsidR="00296074">
              <w:rPr>
                <w:b/>
                <w:bCs/>
                <w:color w:val="000000"/>
                <w:sz w:val="18"/>
                <w:szCs w:val="18"/>
              </w:rPr>
              <w:t xml:space="preserve"> Annually</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Pr="00A67139" w:rsidRDefault="0052485F" w:rsidP="00296074">
            <w:pPr>
              <w:shd w:val="clear" w:color="auto" w:fill="D9D9D9"/>
              <w:jc w:val="left"/>
              <w:rPr>
                <w:rFonts w:ascii="Calibri" w:hAnsi="Calibri"/>
                <w:b/>
                <w:bCs/>
                <w:color w:val="000000"/>
                <w:sz w:val="18"/>
                <w:szCs w:val="18"/>
              </w:rPr>
            </w:pPr>
            <w:r>
              <w:rPr>
                <w:b/>
                <w:bCs/>
                <w:color w:val="000000"/>
                <w:sz w:val="18"/>
                <w:szCs w:val="18"/>
              </w:rPr>
              <w:t xml:space="preserve">Change </w:t>
            </w:r>
            <w:r w:rsidR="00296074">
              <w:rPr>
                <w:b/>
                <w:bCs/>
                <w:color w:val="000000"/>
                <w:sz w:val="18"/>
                <w:szCs w:val="18"/>
              </w:rPr>
              <w:t>in Number of Responses Annually</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Pr="00A67139" w:rsidRDefault="0052485F" w:rsidP="00A67139">
            <w:pPr>
              <w:shd w:val="clear" w:color="auto" w:fill="D9D9D9"/>
              <w:jc w:val="left"/>
              <w:rPr>
                <w:rFonts w:ascii="Calibri" w:hAnsi="Calibri"/>
                <w:b/>
                <w:bCs/>
                <w:color w:val="000000"/>
                <w:sz w:val="18"/>
                <w:szCs w:val="18"/>
              </w:rPr>
            </w:pPr>
            <w:r>
              <w:rPr>
                <w:b/>
                <w:bCs/>
                <w:color w:val="000000"/>
                <w:sz w:val="18"/>
                <w:szCs w:val="18"/>
              </w:rPr>
              <w:t>Old Burden (Hours)</w:t>
            </w:r>
          </w:p>
        </w:tc>
        <w:tc>
          <w:tcPr>
            <w:tcW w:w="90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Pr="00A67139" w:rsidRDefault="0052485F" w:rsidP="00A67139">
            <w:pPr>
              <w:shd w:val="clear" w:color="auto" w:fill="D9D9D9"/>
              <w:jc w:val="left"/>
              <w:rPr>
                <w:rFonts w:ascii="Calibri" w:hAnsi="Calibri"/>
                <w:b/>
                <w:bCs/>
                <w:color w:val="000000"/>
                <w:sz w:val="18"/>
                <w:szCs w:val="18"/>
              </w:rPr>
            </w:pPr>
            <w:r>
              <w:rPr>
                <w:b/>
                <w:bCs/>
                <w:color w:val="000000"/>
                <w:sz w:val="18"/>
                <w:szCs w:val="18"/>
              </w:rPr>
              <w:t>New Burden (Hours)</w:t>
            </w:r>
          </w:p>
        </w:tc>
        <w:tc>
          <w:tcPr>
            <w:tcW w:w="90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rsidR="007A6362" w:rsidRPr="00A67139" w:rsidRDefault="0052485F" w:rsidP="00A67139">
            <w:pPr>
              <w:shd w:val="clear" w:color="auto" w:fill="D9D9D9"/>
              <w:jc w:val="left"/>
              <w:rPr>
                <w:rFonts w:ascii="Calibri" w:hAnsi="Calibri"/>
                <w:b/>
                <w:bCs/>
                <w:color w:val="000000"/>
                <w:sz w:val="18"/>
                <w:szCs w:val="18"/>
              </w:rPr>
            </w:pPr>
            <w:r>
              <w:rPr>
                <w:b/>
                <w:bCs/>
                <w:color w:val="000000"/>
                <w:sz w:val="18"/>
                <w:szCs w:val="18"/>
              </w:rPr>
              <w:t>Change (Burden Hours)</w:t>
            </w:r>
          </w:p>
        </w:tc>
      </w:tr>
      <w:tr w:rsidR="0053195C" w:rsidTr="00D445C4">
        <w:trPr>
          <w:trHeight w:val="765"/>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3195C" w:rsidRPr="00A67139" w:rsidRDefault="004667F3" w:rsidP="00A67139">
            <w:pPr>
              <w:shd w:val="clear" w:color="auto" w:fill="D9D9D9"/>
              <w:jc w:val="left"/>
              <w:rPr>
                <w:rFonts w:ascii="Calibri" w:hAnsi="Calibri"/>
                <w:b/>
                <w:bCs/>
                <w:color w:val="000000"/>
                <w:sz w:val="18"/>
                <w:szCs w:val="18"/>
              </w:rPr>
            </w:pPr>
            <w:r>
              <w:rPr>
                <w:b/>
                <w:bCs/>
                <w:color w:val="000000"/>
                <w:sz w:val="18"/>
                <w:szCs w:val="18"/>
              </w:rPr>
              <w:t>Total</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3195C" w:rsidRPr="00F953B1" w:rsidRDefault="003D5B77" w:rsidP="00AB66B5">
            <w:pPr>
              <w:shd w:val="clear" w:color="auto" w:fill="D9D9D9"/>
              <w:jc w:val="center"/>
              <w:rPr>
                <w:b/>
                <w:bCs/>
                <w:color w:val="000000"/>
                <w:sz w:val="18"/>
                <w:szCs w:val="18"/>
              </w:rPr>
            </w:pPr>
            <w:r w:rsidRPr="00F953B1">
              <w:rPr>
                <w:b/>
                <w:bCs/>
                <w:color w:val="000000"/>
                <w:sz w:val="18"/>
                <w:szCs w:val="18"/>
              </w:rPr>
              <w:t>243</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3195C" w:rsidRPr="00A67139" w:rsidRDefault="000A067E" w:rsidP="006E34FA">
            <w:pPr>
              <w:shd w:val="clear" w:color="auto" w:fill="D9D9D9"/>
              <w:jc w:val="center"/>
              <w:rPr>
                <w:rFonts w:ascii="Calibri" w:hAnsi="Calibri"/>
                <w:b/>
                <w:bCs/>
                <w:color w:val="000000"/>
                <w:sz w:val="18"/>
                <w:szCs w:val="18"/>
              </w:rPr>
            </w:pPr>
            <w:r>
              <w:rPr>
                <w:b/>
                <w:bCs/>
                <w:color w:val="000000"/>
                <w:sz w:val="18"/>
                <w:szCs w:val="18"/>
              </w:rPr>
              <w:t>6</w:t>
            </w:r>
            <w:r w:rsidR="006E34FA">
              <w:rPr>
                <w:b/>
                <w:bCs/>
                <w:color w:val="000000"/>
                <w:sz w:val="18"/>
                <w:szCs w:val="18"/>
              </w:rPr>
              <w:t>0</w:t>
            </w:r>
            <w:r w:rsidR="0053195C">
              <w:rPr>
                <w:b/>
                <w:bCs/>
                <w:color w:val="000000"/>
                <w:sz w:val="18"/>
                <w:szCs w:val="18"/>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3195C" w:rsidRPr="00A67139" w:rsidRDefault="003D5B77" w:rsidP="006E34FA">
            <w:pPr>
              <w:shd w:val="clear" w:color="auto" w:fill="D9D9D9"/>
              <w:jc w:val="center"/>
              <w:rPr>
                <w:rFonts w:ascii="Calibri" w:hAnsi="Calibri"/>
                <w:b/>
                <w:bCs/>
                <w:color w:val="000000"/>
                <w:sz w:val="18"/>
                <w:szCs w:val="18"/>
              </w:rPr>
            </w:pPr>
            <w:r>
              <w:rPr>
                <w:b/>
                <w:bCs/>
                <w:color w:val="000000"/>
                <w:sz w:val="18"/>
                <w:szCs w:val="18"/>
              </w:rPr>
              <w:t>2,916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3195C" w:rsidRPr="00306F16" w:rsidRDefault="006E34FA" w:rsidP="006E34FA">
            <w:pPr>
              <w:shd w:val="clear" w:color="auto" w:fill="D9D9D9"/>
              <w:jc w:val="center"/>
              <w:rPr>
                <w:rFonts w:ascii="Calibri" w:hAnsi="Calibri"/>
                <w:b/>
                <w:bCs/>
                <w:color w:val="000000"/>
                <w:sz w:val="18"/>
                <w:szCs w:val="18"/>
              </w:rPr>
            </w:pPr>
            <w:r w:rsidRPr="00306F16">
              <w:rPr>
                <w:b/>
                <w:bCs/>
                <w:color w:val="000000"/>
                <w:sz w:val="18"/>
                <w:szCs w:val="18"/>
              </w:rPr>
              <w:t>7</w:t>
            </w:r>
            <w:r w:rsidR="00765BBA" w:rsidRPr="00306F16">
              <w:rPr>
                <w:b/>
                <w:bCs/>
                <w:color w:val="000000"/>
                <w:sz w:val="18"/>
                <w:szCs w:val="18"/>
              </w:rPr>
              <w:t>,</w:t>
            </w:r>
            <w:r w:rsidRPr="00306F16">
              <w:rPr>
                <w:b/>
                <w:bCs/>
                <w:color w:val="000000"/>
                <w:sz w:val="18"/>
                <w:szCs w:val="18"/>
              </w:rPr>
              <w:t>2</w:t>
            </w:r>
            <w:r w:rsidR="000C3894" w:rsidRPr="00306F16">
              <w:rPr>
                <w:b/>
                <w:bCs/>
                <w:color w:val="000000"/>
                <w:sz w:val="18"/>
                <w:szCs w:val="18"/>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3195C" w:rsidRPr="00306F16" w:rsidRDefault="003D5B77" w:rsidP="006E34FA">
            <w:pPr>
              <w:shd w:val="clear" w:color="auto" w:fill="D9D9D9"/>
              <w:jc w:val="center"/>
              <w:rPr>
                <w:rFonts w:ascii="Calibri" w:hAnsi="Calibri"/>
                <w:b/>
                <w:bCs/>
                <w:color w:val="000000"/>
                <w:sz w:val="18"/>
                <w:szCs w:val="18"/>
              </w:rPr>
            </w:pPr>
            <w:r w:rsidRPr="00306F16">
              <w:rPr>
                <w:b/>
                <w:bCs/>
                <w:color w:val="000000"/>
                <w:sz w:val="18"/>
                <w:szCs w:val="18"/>
              </w:rPr>
              <w:t>4,284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3195C" w:rsidRPr="00306F16" w:rsidRDefault="003D5B77" w:rsidP="006E34FA">
            <w:pPr>
              <w:shd w:val="clear" w:color="auto" w:fill="D9D9D9"/>
              <w:jc w:val="center"/>
              <w:rPr>
                <w:rFonts w:ascii="Calibri" w:hAnsi="Calibri"/>
                <w:b/>
                <w:color w:val="000000"/>
                <w:sz w:val="18"/>
                <w:szCs w:val="18"/>
              </w:rPr>
            </w:pPr>
            <w:r w:rsidRPr="00306F16">
              <w:rPr>
                <w:b/>
                <w:color w:val="000000"/>
                <w:sz w:val="18"/>
                <w:szCs w:val="18"/>
              </w:rPr>
              <w:t>8,748</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3195C" w:rsidRPr="00306F16" w:rsidRDefault="007178B5" w:rsidP="002A0BBC">
            <w:pPr>
              <w:shd w:val="clear" w:color="auto" w:fill="D9D9D9"/>
              <w:jc w:val="center"/>
              <w:rPr>
                <w:rFonts w:ascii="Calibri" w:hAnsi="Calibri"/>
                <w:b/>
                <w:bCs/>
                <w:color w:val="000000"/>
                <w:sz w:val="18"/>
                <w:szCs w:val="18"/>
              </w:rPr>
            </w:pPr>
            <w:r w:rsidRPr="00306F16">
              <w:rPr>
                <w:b/>
                <w:bCs/>
                <w:color w:val="000000"/>
                <w:sz w:val="18"/>
                <w:szCs w:val="18"/>
              </w:rPr>
              <w:t>2</w:t>
            </w:r>
            <w:r w:rsidR="002A0BBC" w:rsidRPr="00306F16">
              <w:rPr>
                <w:b/>
                <w:bCs/>
                <w:color w:val="000000"/>
                <w:sz w:val="18"/>
                <w:szCs w:val="18"/>
              </w:rPr>
              <w:t>8</w:t>
            </w:r>
            <w:r w:rsidR="004667F3" w:rsidRPr="00306F16">
              <w:rPr>
                <w:b/>
                <w:bCs/>
                <w:color w:val="000000"/>
                <w:sz w:val="18"/>
                <w:szCs w:val="18"/>
              </w:rPr>
              <w:t>,</w:t>
            </w:r>
            <w:r w:rsidR="002A0BBC" w:rsidRPr="00306F16">
              <w:rPr>
                <w:b/>
                <w:bCs/>
                <w:color w:val="000000"/>
                <w:sz w:val="18"/>
                <w:szCs w:val="18"/>
              </w:rPr>
              <w:t>80</w:t>
            </w:r>
            <w:r w:rsidR="004667F3" w:rsidRPr="00306F16">
              <w:rPr>
                <w:b/>
                <w:bCs/>
                <w:color w:val="000000"/>
                <w:sz w:val="18"/>
                <w:szCs w:val="18"/>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3195C" w:rsidRPr="00306F16" w:rsidRDefault="002A0BBC" w:rsidP="007178B5">
            <w:pPr>
              <w:shd w:val="clear" w:color="auto" w:fill="D9D9D9"/>
              <w:jc w:val="center"/>
              <w:rPr>
                <w:rFonts w:ascii="Calibri" w:hAnsi="Calibri"/>
                <w:b/>
                <w:bCs/>
                <w:color w:val="000000"/>
                <w:sz w:val="18"/>
                <w:szCs w:val="18"/>
              </w:rPr>
            </w:pPr>
            <w:r w:rsidRPr="00306F16">
              <w:rPr>
                <w:b/>
                <w:bCs/>
                <w:color w:val="000000"/>
                <w:sz w:val="18"/>
                <w:szCs w:val="18"/>
              </w:rPr>
              <w:t>20,052</w:t>
            </w:r>
          </w:p>
        </w:tc>
      </w:tr>
    </w:tbl>
    <w:p w:rsidR="00452029" w:rsidRPr="00452029" w:rsidRDefault="00452029" w:rsidP="00A67139">
      <w:pPr>
        <w:shd w:val="clear" w:color="auto" w:fill="D9D9D9"/>
        <w:spacing w:before="60" w:beforeAutospacing="0" w:after="0" w:afterAutospacing="0"/>
        <w:jc w:val="left"/>
        <w:rPr>
          <w:b/>
          <w:sz w:val="20"/>
          <w:szCs w:val="20"/>
        </w:rPr>
      </w:pPr>
      <w:r w:rsidRPr="00452029">
        <w:rPr>
          <w:b/>
          <w:sz w:val="20"/>
          <w:szCs w:val="20"/>
        </w:rPr>
        <w:t xml:space="preserve">Table 2: </w:t>
      </w:r>
      <w:r w:rsidR="004667F3">
        <w:rPr>
          <w:b/>
          <w:sz w:val="20"/>
          <w:szCs w:val="20"/>
        </w:rPr>
        <w:t>EIA-91</w:t>
      </w:r>
      <w:r w:rsidR="007D0DAA">
        <w:rPr>
          <w:b/>
          <w:sz w:val="20"/>
          <w:szCs w:val="20"/>
        </w:rPr>
        <w:t>4</w:t>
      </w:r>
      <w:r w:rsidRPr="00452029">
        <w:rPr>
          <w:b/>
          <w:sz w:val="20"/>
          <w:szCs w:val="20"/>
        </w:rPr>
        <w:t xml:space="preserve"> Survey Change in Annual Burden</w:t>
      </w:r>
    </w:p>
    <w:p w:rsidR="00560D57" w:rsidRDefault="00560D57">
      <w:pPr>
        <w:spacing w:before="0" w:beforeAutospacing="0" w:after="200" w:afterAutospacing="0" w:line="276" w:lineRule="auto"/>
        <w:jc w:val="left"/>
        <w:rPr>
          <w:b/>
          <w:bCs/>
        </w:rPr>
      </w:pPr>
    </w:p>
    <w:p w:rsidR="00B34E57" w:rsidRPr="00D810CC" w:rsidRDefault="00892C3A" w:rsidP="008561E4">
      <w:pPr>
        <w:pStyle w:val="Heading2"/>
      </w:pPr>
      <w:bookmarkStart w:id="35" w:name="_Toc373916733"/>
      <w:r>
        <w:t xml:space="preserve">  </w:t>
      </w:r>
      <w:bookmarkStart w:id="36" w:name="_Toc396424922"/>
      <w:r w:rsidR="00B34E57" w:rsidRPr="00D810CC">
        <w:t>Schedule for Collecting and Publishing Data</w:t>
      </w:r>
      <w:bookmarkEnd w:id="35"/>
      <w:bookmarkEnd w:id="36"/>
    </w:p>
    <w:p w:rsidR="00A77596" w:rsidRPr="00A77596" w:rsidRDefault="00A77596" w:rsidP="00A77596">
      <w:pPr>
        <w:pStyle w:val="ListParagraph"/>
        <w:numPr>
          <w:ilvl w:val="0"/>
          <w:numId w:val="35"/>
        </w:numPr>
        <w:spacing w:before="120" w:beforeAutospacing="0" w:after="0" w:afterAutospacing="0"/>
        <w:rPr>
          <w:rFonts w:ascii="Times New Roman" w:hAnsi="Times New Roman"/>
          <w:sz w:val="22"/>
        </w:rPr>
      </w:pPr>
      <w:r w:rsidRPr="00A77596">
        <w:rPr>
          <w:rFonts w:ascii="Times New Roman" w:hAnsi="Times New Roman"/>
          <w:b/>
          <w:sz w:val="22"/>
        </w:rPr>
        <w:t>Data collection due date</w:t>
      </w:r>
      <w:r w:rsidR="00E850D5">
        <w:rPr>
          <w:rFonts w:ascii="Times New Roman" w:hAnsi="Times New Roman"/>
          <w:b/>
          <w:sz w:val="22"/>
        </w:rPr>
        <w:t>:</w:t>
      </w:r>
      <w:r w:rsidRPr="00A77596">
        <w:rPr>
          <w:rFonts w:ascii="Times New Roman" w:hAnsi="Times New Roman"/>
          <w:sz w:val="22"/>
        </w:rPr>
        <w:t xml:space="preserve"> </w:t>
      </w:r>
      <w:r w:rsidR="00C45C9F">
        <w:rPr>
          <w:rFonts w:ascii="Times New Roman" w:hAnsi="Times New Roman"/>
          <w:sz w:val="22"/>
        </w:rPr>
        <w:t xml:space="preserve">Forty </w:t>
      </w:r>
      <w:r w:rsidR="00070BD3">
        <w:rPr>
          <w:rFonts w:ascii="Times New Roman" w:hAnsi="Times New Roman"/>
          <w:sz w:val="22"/>
        </w:rPr>
        <w:t xml:space="preserve">calendar </w:t>
      </w:r>
      <w:r w:rsidR="00C45C9F">
        <w:rPr>
          <w:rFonts w:ascii="Times New Roman" w:hAnsi="Times New Roman"/>
          <w:sz w:val="22"/>
        </w:rPr>
        <w:t>days</w:t>
      </w:r>
      <w:r w:rsidR="00994E9B">
        <w:rPr>
          <w:rFonts w:ascii="Times New Roman" w:hAnsi="Times New Roman"/>
          <w:sz w:val="22"/>
        </w:rPr>
        <w:t xml:space="preserve"> </w:t>
      </w:r>
      <w:r w:rsidR="00C45C9F">
        <w:rPr>
          <w:rFonts w:ascii="Times New Roman" w:hAnsi="Times New Roman"/>
          <w:sz w:val="22"/>
        </w:rPr>
        <w:t xml:space="preserve">after the end of </w:t>
      </w:r>
      <w:r w:rsidRPr="00A77596">
        <w:rPr>
          <w:rFonts w:ascii="Times New Roman" w:hAnsi="Times New Roman"/>
          <w:sz w:val="22"/>
        </w:rPr>
        <w:t>the report month</w:t>
      </w:r>
      <w:r w:rsidR="00994E9B">
        <w:rPr>
          <w:rFonts w:ascii="Times New Roman" w:hAnsi="Times New Roman"/>
          <w:sz w:val="22"/>
        </w:rPr>
        <w:t xml:space="preserve"> (e.g., </w:t>
      </w:r>
      <w:r w:rsidR="00440FFF">
        <w:rPr>
          <w:rFonts w:ascii="Times New Roman" w:hAnsi="Times New Roman"/>
          <w:sz w:val="22"/>
        </w:rPr>
        <w:t>March 12</w:t>
      </w:r>
      <w:r w:rsidR="00324948">
        <w:rPr>
          <w:rFonts w:ascii="Times New Roman" w:hAnsi="Times New Roman"/>
          <w:sz w:val="22"/>
        </w:rPr>
        <w:t xml:space="preserve"> </w:t>
      </w:r>
      <w:r w:rsidR="00E850D5">
        <w:rPr>
          <w:rFonts w:ascii="Times New Roman" w:hAnsi="Times New Roman"/>
          <w:sz w:val="22"/>
        </w:rPr>
        <w:t xml:space="preserve">for the reporting month of </w:t>
      </w:r>
      <w:r w:rsidR="00440FFF">
        <w:rPr>
          <w:rFonts w:ascii="Times New Roman" w:hAnsi="Times New Roman"/>
          <w:sz w:val="22"/>
        </w:rPr>
        <w:t>January</w:t>
      </w:r>
      <w:r w:rsidR="007A6BD2">
        <w:rPr>
          <w:rFonts w:ascii="Times New Roman" w:hAnsi="Times New Roman"/>
          <w:sz w:val="22"/>
        </w:rPr>
        <w:t>)</w:t>
      </w:r>
      <w:r w:rsidR="00E850D5">
        <w:rPr>
          <w:rFonts w:ascii="Times New Roman" w:hAnsi="Times New Roman"/>
          <w:sz w:val="22"/>
        </w:rPr>
        <w:t>.</w:t>
      </w:r>
    </w:p>
    <w:p w:rsidR="00E0003A" w:rsidRPr="00E0003A" w:rsidRDefault="00A77596" w:rsidP="00E0003A">
      <w:pPr>
        <w:pStyle w:val="ListParagraph"/>
        <w:numPr>
          <w:ilvl w:val="0"/>
          <w:numId w:val="35"/>
        </w:numPr>
        <w:spacing w:before="120" w:beforeAutospacing="0" w:after="0" w:afterAutospacing="0"/>
        <w:rPr>
          <w:rFonts w:ascii="Times New Roman" w:hAnsi="Times New Roman"/>
          <w:sz w:val="22"/>
        </w:rPr>
      </w:pPr>
      <w:r w:rsidRPr="00E0003A">
        <w:rPr>
          <w:rFonts w:ascii="Times New Roman" w:hAnsi="Times New Roman"/>
          <w:b/>
          <w:sz w:val="22"/>
        </w:rPr>
        <w:t xml:space="preserve">Publication schedule: </w:t>
      </w:r>
      <w:r w:rsidR="00E0003A" w:rsidRPr="00476633">
        <w:rPr>
          <w:rFonts w:ascii="Times New Roman" w:hAnsi="Times New Roman"/>
          <w:sz w:val="22"/>
        </w:rPr>
        <w:t>During normal survey operations,</w:t>
      </w:r>
      <w:r w:rsidR="00E0003A" w:rsidRPr="00E0003A">
        <w:rPr>
          <w:rFonts w:ascii="Times New Roman" w:hAnsi="Times New Roman"/>
          <w:b/>
          <w:sz w:val="22"/>
        </w:rPr>
        <w:t xml:space="preserve"> </w:t>
      </w:r>
      <w:r w:rsidR="00E0003A" w:rsidRPr="00E0003A">
        <w:rPr>
          <w:rFonts w:ascii="Times New Roman" w:hAnsi="Times New Roman"/>
          <w:sz w:val="22"/>
        </w:rPr>
        <w:t>s</w:t>
      </w:r>
      <w:r w:rsidR="00994E9B" w:rsidRPr="00E0003A">
        <w:rPr>
          <w:rFonts w:ascii="Times New Roman" w:hAnsi="Times New Roman"/>
          <w:sz w:val="22"/>
        </w:rPr>
        <w:t>tate-level</w:t>
      </w:r>
      <w:r w:rsidRPr="00E0003A">
        <w:rPr>
          <w:rFonts w:ascii="Times New Roman" w:hAnsi="Times New Roman"/>
          <w:sz w:val="22"/>
        </w:rPr>
        <w:t xml:space="preserve"> </w:t>
      </w:r>
      <w:r w:rsidR="00994E9B" w:rsidRPr="00E0003A">
        <w:rPr>
          <w:rFonts w:ascii="Times New Roman" w:hAnsi="Times New Roman"/>
          <w:sz w:val="22"/>
        </w:rPr>
        <w:t xml:space="preserve">crude oil, lease condensate, and natural gas production </w:t>
      </w:r>
      <w:r w:rsidRPr="00E0003A">
        <w:rPr>
          <w:rFonts w:ascii="Times New Roman" w:hAnsi="Times New Roman"/>
          <w:sz w:val="22"/>
        </w:rPr>
        <w:t>data</w:t>
      </w:r>
      <w:r w:rsidR="004F4DB0" w:rsidRPr="00E0003A">
        <w:rPr>
          <w:rFonts w:ascii="Times New Roman" w:hAnsi="Times New Roman"/>
          <w:sz w:val="22"/>
        </w:rPr>
        <w:t xml:space="preserve"> </w:t>
      </w:r>
      <w:r w:rsidR="00994E9B" w:rsidRPr="00E0003A">
        <w:rPr>
          <w:rFonts w:ascii="Times New Roman" w:hAnsi="Times New Roman"/>
          <w:sz w:val="22"/>
        </w:rPr>
        <w:t>are</w:t>
      </w:r>
      <w:r w:rsidR="004F4DB0" w:rsidRPr="00E0003A">
        <w:rPr>
          <w:rFonts w:ascii="Times New Roman" w:hAnsi="Times New Roman"/>
          <w:sz w:val="22"/>
        </w:rPr>
        <w:t xml:space="preserve"> to be published at t</w:t>
      </w:r>
      <w:r w:rsidRPr="00E0003A">
        <w:rPr>
          <w:rFonts w:ascii="Times New Roman" w:hAnsi="Times New Roman"/>
          <w:sz w:val="22"/>
        </w:rPr>
        <w:t xml:space="preserve">he end of the </w:t>
      </w:r>
      <w:r w:rsidR="00A74DBB" w:rsidRPr="00E0003A">
        <w:rPr>
          <w:rFonts w:ascii="Times New Roman" w:hAnsi="Times New Roman"/>
          <w:sz w:val="22"/>
        </w:rPr>
        <w:t>second</w:t>
      </w:r>
      <w:r w:rsidRPr="00E0003A">
        <w:rPr>
          <w:rFonts w:ascii="Times New Roman" w:hAnsi="Times New Roman"/>
          <w:sz w:val="22"/>
        </w:rPr>
        <w:t xml:space="preserve"> month following the report</w:t>
      </w:r>
      <w:r w:rsidR="00296074">
        <w:rPr>
          <w:rFonts w:ascii="Times New Roman" w:hAnsi="Times New Roman"/>
          <w:sz w:val="22"/>
        </w:rPr>
        <w:t>ing</w:t>
      </w:r>
      <w:r w:rsidRPr="00E0003A">
        <w:rPr>
          <w:rFonts w:ascii="Times New Roman" w:hAnsi="Times New Roman"/>
          <w:sz w:val="22"/>
        </w:rPr>
        <w:t xml:space="preserve"> month </w:t>
      </w:r>
      <w:r w:rsidR="00E850D5" w:rsidRPr="00E0003A">
        <w:rPr>
          <w:rFonts w:ascii="Times New Roman" w:hAnsi="Times New Roman"/>
          <w:sz w:val="22"/>
        </w:rPr>
        <w:t>(</w:t>
      </w:r>
      <w:r w:rsidRPr="00E0003A">
        <w:rPr>
          <w:rFonts w:ascii="Times New Roman" w:hAnsi="Times New Roman"/>
          <w:sz w:val="22"/>
        </w:rPr>
        <w:t xml:space="preserve">e.g., </w:t>
      </w:r>
      <w:r w:rsidR="001D6D54" w:rsidRPr="00E0003A">
        <w:rPr>
          <w:rFonts w:ascii="Times New Roman" w:hAnsi="Times New Roman"/>
          <w:sz w:val="22"/>
        </w:rPr>
        <w:t>January</w:t>
      </w:r>
      <w:r w:rsidRPr="00E0003A">
        <w:rPr>
          <w:rFonts w:ascii="Times New Roman" w:hAnsi="Times New Roman"/>
          <w:sz w:val="22"/>
        </w:rPr>
        <w:t xml:space="preserve"> aggregate data </w:t>
      </w:r>
      <w:r w:rsidR="00994E9B" w:rsidRPr="00E0003A">
        <w:rPr>
          <w:rFonts w:ascii="Times New Roman" w:hAnsi="Times New Roman"/>
          <w:sz w:val="22"/>
        </w:rPr>
        <w:t>are</w:t>
      </w:r>
      <w:r w:rsidRPr="00E0003A">
        <w:rPr>
          <w:rFonts w:ascii="Times New Roman" w:hAnsi="Times New Roman"/>
          <w:sz w:val="22"/>
        </w:rPr>
        <w:t xml:space="preserve"> </w:t>
      </w:r>
      <w:r w:rsidR="00A70A02" w:rsidRPr="00E0003A">
        <w:rPr>
          <w:rFonts w:ascii="Times New Roman" w:hAnsi="Times New Roman"/>
          <w:sz w:val="22"/>
        </w:rPr>
        <w:t xml:space="preserve">to be </w:t>
      </w:r>
      <w:r w:rsidRPr="00E0003A">
        <w:rPr>
          <w:rFonts w:ascii="Times New Roman" w:hAnsi="Times New Roman"/>
          <w:sz w:val="22"/>
        </w:rPr>
        <w:t xml:space="preserve">reported at the end of </w:t>
      </w:r>
      <w:r w:rsidR="001D6D54" w:rsidRPr="00E0003A">
        <w:rPr>
          <w:rFonts w:ascii="Times New Roman" w:hAnsi="Times New Roman"/>
          <w:sz w:val="22"/>
        </w:rPr>
        <w:t>March</w:t>
      </w:r>
      <w:r w:rsidR="00E850D5" w:rsidRPr="00E0003A">
        <w:rPr>
          <w:rFonts w:ascii="Times New Roman" w:hAnsi="Times New Roman"/>
          <w:sz w:val="22"/>
        </w:rPr>
        <w:t>)</w:t>
      </w:r>
      <w:proofErr w:type="gramStart"/>
      <w:r w:rsidRPr="00E0003A">
        <w:rPr>
          <w:rFonts w:ascii="Times New Roman" w:hAnsi="Times New Roman"/>
          <w:sz w:val="22"/>
        </w:rPr>
        <w:t xml:space="preserve">. </w:t>
      </w:r>
      <w:r w:rsidR="00296074">
        <w:rPr>
          <w:rFonts w:ascii="Times New Roman" w:hAnsi="Times New Roman"/>
          <w:sz w:val="22"/>
        </w:rPr>
        <w:t xml:space="preserve"> </w:t>
      </w:r>
      <w:proofErr w:type="gramEnd"/>
      <w:r w:rsidR="00E0003A" w:rsidRPr="00E0003A">
        <w:rPr>
          <w:rFonts w:ascii="Times New Roman" w:hAnsi="Times New Roman"/>
          <w:sz w:val="22"/>
        </w:rPr>
        <w:t xml:space="preserve">During an initial </w:t>
      </w:r>
      <w:r w:rsidR="00476633">
        <w:rPr>
          <w:rFonts w:ascii="Times New Roman" w:hAnsi="Times New Roman"/>
          <w:sz w:val="22"/>
        </w:rPr>
        <w:t>six-</w:t>
      </w:r>
      <w:r w:rsidR="00E0003A" w:rsidRPr="00E0003A">
        <w:rPr>
          <w:rFonts w:ascii="Times New Roman" w:hAnsi="Times New Roman"/>
          <w:sz w:val="22"/>
        </w:rPr>
        <w:t>month phase</w:t>
      </w:r>
      <w:r w:rsidR="00F25BDF">
        <w:rPr>
          <w:rFonts w:ascii="Times New Roman" w:hAnsi="Times New Roman"/>
          <w:sz w:val="22"/>
        </w:rPr>
        <w:t>-</w:t>
      </w:r>
      <w:r w:rsidR="00E0003A" w:rsidRPr="00E0003A">
        <w:rPr>
          <w:rFonts w:ascii="Times New Roman" w:hAnsi="Times New Roman"/>
          <w:sz w:val="22"/>
        </w:rPr>
        <w:t xml:space="preserve">in period, EIA plans to publish only natural gas production for the </w:t>
      </w:r>
      <w:r w:rsidR="006B3102">
        <w:rPr>
          <w:rFonts w:ascii="Times New Roman" w:hAnsi="Times New Roman"/>
          <w:sz w:val="22"/>
        </w:rPr>
        <w:t>seven</w:t>
      </w:r>
      <w:r w:rsidR="006B3102" w:rsidRPr="00E0003A">
        <w:rPr>
          <w:rFonts w:ascii="Times New Roman" w:hAnsi="Times New Roman"/>
          <w:sz w:val="22"/>
        </w:rPr>
        <w:t xml:space="preserve"> </w:t>
      </w:r>
      <w:r w:rsidR="00E0003A" w:rsidRPr="00E0003A">
        <w:rPr>
          <w:rFonts w:ascii="Times New Roman" w:hAnsi="Times New Roman"/>
          <w:sz w:val="22"/>
        </w:rPr>
        <w:t xml:space="preserve">regions currently surveyed on the </w:t>
      </w:r>
      <w:r w:rsidR="00296074">
        <w:rPr>
          <w:rFonts w:ascii="Times New Roman" w:hAnsi="Times New Roman"/>
          <w:sz w:val="22"/>
        </w:rPr>
        <w:t xml:space="preserve">Form </w:t>
      </w:r>
      <w:r w:rsidR="00E0003A" w:rsidRPr="00E0003A">
        <w:rPr>
          <w:rFonts w:ascii="Times New Roman" w:hAnsi="Times New Roman"/>
          <w:sz w:val="22"/>
        </w:rPr>
        <w:t>EIA-914: The Gulf of Mexico</w:t>
      </w:r>
      <w:r w:rsidR="006B3102">
        <w:rPr>
          <w:rFonts w:ascii="Times New Roman" w:hAnsi="Times New Roman"/>
          <w:sz w:val="22"/>
        </w:rPr>
        <w:t xml:space="preserve"> Federal Offshore</w:t>
      </w:r>
      <w:r w:rsidR="00E0003A" w:rsidRPr="00E0003A">
        <w:rPr>
          <w:rFonts w:ascii="Times New Roman" w:hAnsi="Times New Roman"/>
          <w:sz w:val="22"/>
        </w:rPr>
        <w:t xml:space="preserve">, Louisiana, New Mexico, Oklahoma, Texas, Wyoming, and </w:t>
      </w:r>
      <w:r w:rsidR="006B3102">
        <w:rPr>
          <w:rFonts w:ascii="Times New Roman" w:hAnsi="Times New Roman"/>
          <w:sz w:val="22"/>
        </w:rPr>
        <w:t>“</w:t>
      </w:r>
      <w:r w:rsidR="00E0003A" w:rsidRPr="00E0003A">
        <w:rPr>
          <w:rFonts w:ascii="Times New Roman" w:hAnsi="Times New Roman"/>
          <w:sz w:val="22"/>
        </w:rPr>
        <w:t>Other States.</w:t>
      </w:r>
      <w:r w:rsidR="006B3102">
        <w:rPr>
          <w:rFonts w:ascii="Times New Roman" w:hAnsi="Times New Roman"/>
          <w:sz w:val="22"/>
        </w:rPr>
        <w:t>”</w:t>
      </w:r>
      <w:r w:rsidR="00CD790F">
        <w:rPr>
          <w:rFonts w:ascii="Times New Roman" w:hAnsi="Times New Roman"/>
          <w:sz w:val="22"/>
        </w:rPr>
        <w:t xml:space="preserve"> </w:t>
      </w:r>
      <w:r w:rsidR="00E0003A" w:rsidRPr="00E0003A">
        <w:rPr>
          <w:rFonts w:ascii="Times New Roman" w:hAnsi="Times New Roman"/>
          <w:sz w:val="22"/>
        </w:rPr>
        <w:t xml:space="preserve">This </w:t>
      </w:r>
      <w:r w:rsidR="00296074">
        <w:rPr>
          <w:rFonts w:ascii="Times New Roman" w:hAnsi="Times New Roman"/>
          <w:sz w:val="22"/>
        </w:rPr>
        <w:t>“</w:t>
      </w:r>
      <w:r w:rsidR="00E0003A" w:rsidRPr="00E0003A">
        <w:rPr>
          <w:rFonts w:ascii="Times New Roman" w:hAnsi="Times New Roman"/>
          <w:sz w:val="22"/>
        </w:rPr>
        <w:t>phase</w:t>
      </w:r>
      <w:r w:rsidR="00296074">
        <w:rPr>
          <w:rFonts w:ascii="Times New Roman" w:hAnsi="Times New Roman"/>
          <w:sz w:val="22"/>
        </w:rPr>
        <w:t>-</w:t>
      </w:r>
      <w:r w:rsidR="00E0003A" w:rsidRPr="00E0003A">
        <w:rPr>
          <w:rFonts w:ascii="Times New Roman" w:hAnsi="Times New Roman"/>
          <w:sz w:val="22"/>
        </w:rPr>
        <w:t>in</w:t>
      </w:r>
      <w:r w:rsidR="00296074">
        <w:rPr>
          <w:rFonts w:ascii="Times New Roman" w:hAnsi="Times New Roman"/>
          <w:sz w:val="22"/>
        </w:rPr>
        <w:t>”</w:t>
      </w:r>
      <w:r w:rsidR="00E0003A" w:rsidRPr="00E0003A">
        <w:rPr>
          <w:rFonts w:ascii="Times New Roman" w:hAnsi="Times New Roman"/>
          <w:sz w:val="22"/>
        </w:rPr>
        <w:t xml:space="preserve"> </w:t>
      </w:r>
      <w:r w:rsidR="00296074">
        <w:rPr>
          <w:rFonts w:ascii="Times New Roman" w:hAnsi="Times New Roman"/>
          <w:sz w:val="22"/>
        </w:rPr>
        <w:t xml:space="preserve">publication </w:t>
      </w:r>
      <w:r w:rsidR="00E0003A" w:rsidRPr="00E0003A">
        <w:rPr>
          <w:rFonts w:ascii="Times New Roman" w:hAnsi="Times New Roman"/>
          <w:sz w:val="22"/>
        </w:rPr>
        <w:t xml:space="preserve">period is </w:t>
      </w:r>
      <w:proofErr w:type="gramStart"/>
      <w:r w:rsidR="00E0003A" w:rsidRPr="00E0003A">
        <w:rPr>
          <w:rFonts w:ascii="Times New Roman" w:hAnsi="Times New Roman"/>
          <w:sz w:val="22"/>
        </w:rPr>
        <w:t>for the purpose of</w:t>
      </w:r>
      <w:proofErr w:type="gramEnd"/>
      <w:r w:rsidR="00E0003A" w:rsidRPr="00E0003A">
        <w:rPr>
          <w:rFonts w:ascii="Times New Roman" w:hAnsi="Times New Roman"/>
          <w:sz w:val="22"/>
        </w:rPr>
        <w:t xml:space="preserve"> </w:t>
      </w:r>
      <w:r w:rsidR="00296074">
        <w:rPr>
          <w:rFonts w:ascii="Times New Roman" w:hAnsi="Times New Roman"/>
          <w:sz w:val="22"/>
        </w:rPr>
        <w:t>assem</w:t>
      </w:r>
      <w:r w:rsidR="00B0114B">
        <w:rPr>
          <w:rFonts w:ascii="Times New Roman" w:hAnsi="Times New Roman"/>
          <w:sz w:val="22"/>
        </w:rPr>
        <w:t>b</w:t>
      </w:r>
      <w:r w:rsidR="00296074">
        <w:rPr>
          <w:rFonts w:ascii="Times New Roman" w:hAnsi="Times New Roman"/>
          <w:sz w:val="22"/>
        </w:rPr>
        <w:t>ling a time series of data</w:t>
      </w:r>
      <w:r w:rsidR="00E0003A" w:rsidRPr="00E0003A">
        <w:rPr>
          <w:rFonts w:ascii="Times New Roman" w:hAnsi="Times New Roman"/>
          <w:sz w:val="22"/>
        </w:rPr>
        <w:t xml:space="preserve"> to </w:t>
      </w:r>
      <w:r w:rsidR="00296074">
        <w:rPr>
          <w:rFonts w:ascii="Times New Roman" w:hAnsi="Times New Roman"/>
          <w:sz w:val="22"/>
        </w:rPr>
        <w:t>begin to asse</w:t>
      </w:r>
      <w:r w:rsidR="00C24E00">
        <w:rPr>
          <w:rFonts w:ascii="Times New Roman" w:hAnsi="Times New Roman"/>
          <w:sz w:val="22"/>
        </w:rPr>
        <w:t>s</w:t>
      </w:r>
      <w:r w:rsidR="00296074">
        <w:rPr>
          <w:rFonts w:ascii="Times New Roman" w:hAnsi="Times New Roman"/>
          <w:sz w:val="22"/>
        </w:rPr>
        <w:t>s relative data quality</w:t>
      </w:r>
      <w:r w:rsidR="00CD790F">
        <w:rPr>
          <w:rFonts w:ascii="Times New Roman" w:hAnsi="Times New Roman"/>
          <w:sz w:val="22"/>
        </w:rPr>
        <w:t xml:space="preserve">. </w:t>
      </w:r>
      <w:r w:rsidR="00E0003A" w:rsidRPr="00E0003A">
        <w:rPr>
          <w:rFonts w:ascii="Times New Roman" w:hAnsi="Times New Roman"/>
          <w:sz w:val="22"/>
        </w:rPr>
        <w:t>In June 2015, after the phase</w:t>
      </w:r>
      <w:r w:rsidR="00F25BDF">
        <w:rPr>
          <w:rFonts w:ascii="Times New Roman" w:hAnsi="Times New Roman"/>
          <w:sz w:val="22"/>
        </w:rPr>
        <w:t>-</w:t>
      </w:r>
      <w:r w:rsidR="00E0003A" w:rsidRPr="00E0003A">
        <w:rPr>
          <w:rFonts w:ascii="Times New Roman" w:hAnsi="Times New Roman"/>
          <w:sz w:val="22"/>
        </w:rPr>
        <w:t xml:space="preserve">in period, EIA </w:t>
      </w:r>
      <w:r w:rsidR="00296074">
        <w:rPr>
          <w:rFonts w:ascii="Times New Roman" w:hAnsi="Times New Roman"/>
          <w:sz w:val="22"/>
        </w:rPr>
        <w:t xml:space="preserve">plans </w:t>
      </w:r>
      <w:proofErr w:type="gramStart"/>
      <w:r w:rsidR="00296074">
        <w:rPr>
          <w:rFonts w:ascii="Times New Roman" w:hAnsi="Times New Roman"/>
          <w:sz w:val="22"/>
        </w:rPr>
        <w:t xml:space="preserve">to </w:t>
      </w:r>
      <w:r w:rsidR="00E0003A" w:rsidRPr="00E0003A">
        <w:rPr>
          <w:rFonts w:ascii="Times New Roman" w:hAnsi="Times New Roman"/>
          <w:sz w:val="22"/>
        </w:rPr>
        <w:t>retroactively publish</w:t>
      </w:r>
      <w:proofErr w:type="gramEnd"/>
      <w:r w:rsidR="00E0003A" w:rsidRPr="00E0003A">
        <w:rPr>
          <w:rFonts w:ascii="Times New Roman" w:hAnsi="Times New Roman"/>
          <w:sz w:val="22"/>
        </w:rPr>
        <w:t xml:space="preserve"> data for January through April, with the possible exception of </w:t>
      </w:r>
      <w:r w:rsidR="00296074">
        <w:rPr>
          <w:rFonts w:ascii="Times New Roman" w:hAnsi="Times New Roman"/>
          <w:sz w:val="22"/>
        </w:rPr>
        <w:t xml:space="preserve">the new </w:t>
      </w:r>
      <w:r w:rsidR="00E0003A" w:rsidRPr="00E0003A">
        <w:rPr>
          <w:rFonts w:ascii="Times New Roman" w:hAnsi="Times New Roman"/>
          <w:sz w:val="22"/>
        </w:rPr>
        <w:t xml:space="preserve">API </w:t>
      </w:r>
      <w:r w:rsidR="00296074">
        <w:rPr>
          <w:rFonts w:ascii="Times New Roman" w:hAnsi="Times New Roman"/>
          <w:sz w:val="22"/>
        </w:rPr>
        <w:t xml:space="preserve">reporting </w:t>
      </w:r>
      <w:r w:rsidR="00E0003A" w:rsidRPr="00E0003A">
        <w:rPr>
          <w:rFonts w:ascii="Times New Roman" w:hAnsi="Times New Roman"/>
          <w:sz w:val="22"/>
        </w:rPr>
        <w:t>categories</w:t>
      </w:r>
      <w:r w:rsidR="00476633">
        <w:rPr>
          <w:rFonts w:ascii="Times New Roman" w:hAnsi="Times New Roman"/>
          <w:sz w:val="22"/>
        </w:rPr>
        <w:t>,</w:t>
      </w:r>
      <w:r w:rsidR="00E0003A" w:rsidRPr="00E0003A">
        <w:rPr>
          <w:rFonts w:ascii="Times New Roman" w:hAnsi="Times New Roman"/>
          <w:sz w:val="22"/>
        </w:rPr>
        <w:t xml:space="preserve"> which may be withheld until December 2015.</w:t>
      </w:r>
    </w:p>
    <w:p w:rsidR="00C24E00" w:rsidRDefault="00892C3A" w:rsidP="008561E4">
      <w:pPr>
        <w:pStyle w:val="Heading2"/>
      </w:pPr>
      <w:bookmarkStart w:id="37" w:name="_Toc373916734"/>
      <w:r>
        <w:t xml:space="preserve">  </w:t>
      </w:r>
      <w:bookmarkStart w:id="38" w:name="_Toc396424923"/>
      <w:r w:rsidR="00C24E00">
        <w:t>OMB Number and Expiration Date</w:t>
      </w:r>
      <w:bookmarkEnd w:id="38"/>
    </w:p>
    <w:p w:rsidR="00C24E00" w:rsidRPr="00C24E00" w:rsidRDefault="00C24E00" w:rsidP="005C691B">
      <w:r w:rsidRPr="00503754">
        <w:rPr>
          <w:color w:val="000000"/>
          <w:spacing w:val="4"/>
          <w:sz w:val="22"/>
        </w:rPr>
        <w:t>The OMB approval expiration date</w:t>
      </w:r>
      <w:r>
        <w:rPr>
          <w:color w:val="000000"/>
          <w:spacing w:val="4"/>
          <w:sz w:val="22"/>
        </w:rPr>
        <w:t xml:space="preserve"> and OMB number</w:t>
      </w:r>
      <w:r w:rsidRPr="00503754">
        <w:rPr>
          <w:color w:val="000000"/>
          <w:spacing w:val="4"/>
          <w:sz w:val="22"/>
        </w:rPr>
        <w:t xml:space="preserve"> </w:t>
      </w:r>
      <w:proofErr w:type="gramStart"/>
      <w:r w:rsidRPr="00503754">
        <w:rPr>
          <w:color w:val="000000"/>
          <w:spacing w:val="4"/>
          <w:sz w:val="22"/>
        </w:rPr>
        <w:t>will be displayed</w:t>
      </w:r>
      <w:proofErr w:type="gramEnd"/>
      <w:r w:rsidRPr="00503754">
        <w:rPr>
          <w:color w:val="000000"/>
          <w:spacing w:val="4"/>
          <w:sz w:val="22"/>
        </w:rPr>
        <w:t xml:space="preserve"> on </w:t>
      </w:r>
      <w:r w:rsidR="00F25BDF">
        <w:rPr>
          <w:color w:val="000000"/>
          <w:spacing w:val="4"/>
          <w:sz w:val="22"/>
        </w:rPr>
        <w:t>the</w:t>
      </w:r>
      <w:r w:rsidRPr="00503754">
        <w:rPr>
          <w:color w:val="000000"/>
          <w:spacing w:val="4"/>
          <w:sz w:val="22"/>
        </w:rPr>
        <w:t xml:space="preserve"> </w:t>
      </w:r>
      <w:r>
        <w:rPr>
          <w:color w:val="000000"/>
          <w:spacing w:val="4"/>
          <w:sz w:val="22"/>
        </w:rPr>
        <w:t xml:space="preserve">EIA-914 </w:t>
      </w:r>
      <w:r w:rsidRPr="00503754">
        <w:rPr>
          <w:color w:val="000000"/>
          <w:spacing w:val="4"/>
          <w:sz w:val="22"/>
        </w:rPr>
        <w:t>survey form.</w:t>
      </w:r>
    </w:p>
    <w:bookmarkEnd w:id="37"/>
    <w:p w:rsidR="00B34E57" w:rsidRPr="00D810CC" w:rsidRDefault="00892C3A" w:rsidP="008561E4">
      <w:pPr>
        <w:pStyle w:val="Heading2"/>
      </w:pPr>
      <w:r>
        <w:t xml:space="preserve">  </w:t>
      </w:r>
      <w:bookmarkStart w:id="39" w:name="_Toc396424924"/>
      <w:r w:rsidR="00C24E00">
        <w:t>Exceptions to Certification</w:t>
      </w:r>
      <w:bookmarkEnd w:id="39"/>
    </w:p>
    <w:p w:rsidR="00651DF9" w:rsidRPr="00503754" w:rsidRDefault="00C24E00" w:rsidP="00503754">
      <w:pPr>
        <w:rPr>
          <w:color w:val="000000"/>
          <w:spacing w:val="6"/>
          <w:sz w:val="22"/>
        </w:rPr>
      </w:pPr>
      <w:r>
        <w:rPr>
          <w:color w:val="000000"/>
          <w:spacing w:val="4"/>
          <w:sz w:val="22"/>
        </w:rPr>
        <w:t>EIA takes no exception to the certification statement</w:t>
      </w:r>
      <w:r w:rsidR="008D7E13" w:rsidRPr="00503754">
        <w:rPr>
          <w:color w:val="000000"/>
          <w:spacing w:val="4"/>
          <w:sz w:val="22"/>
        </w:rPr>
        <w:t>.</w:t>
      </w:r>
      <w:r w:rsidRPr="00503754" w:rsidDel="00C24E00">
        <w:rPr>
          <w:color w:val="000000"/>
          <w:spacing w:val="4"/>
          <w:sz w:val="22"/>
        </w:rPr>
        <w:t xml:space="preserve"> </w:t>
      </w:r>
    </w:p>
    <w:sectPr w:rsidR="00651DF9" w:rsidRPr="00503754" w:rsidSect="002C6C78">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2C8" w:rsidRDefault="001222C8" w:rsidP="005044A0">
      <w:pPr>
        <w:spacing w:after="0"/>
      </w:pPr>
      <w:r>
        <w:separator/>
      </w:r>
    </w:p>
  </w:endnote>
  <w:endnote w:type="continuationSeparator" w:id="0">
    <w:p w:rsidR="001222C8" w:rsidRDefault="001222C8" w:rsidP="005044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50" w:rsidRPr="00BF019D" w:rsidRDefault="00AE3750" w:rsidP="00BF019D">
    <w:pPr>
      <w:pStyle w:val="Footer"/>
      <w:jc w:val="right"/>
      <w:rPr>
        <w:sz w:val="18"/>
        <w:szCs w:val="18"/>
      </w:rPr>
    </w:pPr>
    <w:r w:rsidRPr="00BF019D">
      <w:rPr>
        <w:sz w:val="18"/>
        <w:szCs w:val="18"/>
      </w:rPr>
      <w:t>Supporting Statement, Part A: Forms EIA 23L/23S/64A</w:t>
    </w:r>
    <w:r>
      <w:rPr>
        <w:sz w:val="18"/>
        <w:szCs w:val="18"/>
      </w:rPr>
      <w:t xml:space="preserve"> [OMB 1905-0057]</w:t>
    </w:r>
    <w:r w:rsidRPr="00BF019D">
      <w:rPr>
        <w:sz w:val="18"/>
        <w:szCs w:val="18"/>
      </w:rPr>
      <w:tab/>
    </w:r>
    <w:r>
      <w:rPr>
        <w:sz w:val="18"/>
        <w:szCs w:val="18"/>
      </w:rPr>
      <w:tab/>
    </w:r>
    <w:r w:rsidRPr="00BF019D">
      <w:rPr>
        <w:sz w:val="18"/>
        <w:szCs w:val="18"/>
      </w:rPr>
      <w:t xml:space="preserve">Page </w:t>
    </w:r>
    <w:r w:rsidRPr="00BF019D">
      <w:rPr>
        <w:sz w:val="18"/>
        <w:szCs w:val="18"/>
      </w:rPr>
      <w:fldChar w:fldCharType="begin"/>
    </w:r>
    <w:r w:rsidRPr="00BF019D">
      <w:rPr>
        <w:sz w:val="18"/>
        <w:szCs w:val="18"/>
      </w:rPr>
      <w:instrText xml:space="preserve"> PAGE </w:instrText>
    </w:r>
    <w:r w:rsidRPr="00BF019D">
      <w:rPr>
        <w:sz w:val="18"/>
        <w:szCs w:val="18"/>
      </w:rPr>
      <w:fldChar w:fldCharType="separate"/>
    </w:r>
    <w:r w:rsidR="00892C3A">
      <w:rPr>
        <w:noProof/>
        <w:sz w:val="18"/>
        <w:szCs w:val="18"/>
      </w:rPr>
      <w:t>2</w:t>
    </w:r>
    <w:r w:rsidRPr="00BF019D">
      <w:rPr>
        <w:sz w:val="18"/>
        <w:szCs w:val="18"/>
      </w:rPr>
      <w:fldChar w:fldCharType="end"/>
    </w:r>
    <w:r w:rsidRPr="00BF019D">
      <w:rPr>
        <w:sz w:val="18"/>
        <w:szCs w:val="18"/>
      </w:rPr>
      <w:t xml:space="preserve"> of </w:t>
    </w:r>
    <w:r w:rsidRPr="00BF019D">
      <w:rPr>
        <w:sz w:val="18"/>
        <w:szCs w:val="18"/>
      </w:rPr>
      <w:fldChar w:fldCharType="begin"/>
    </w:r>
    <w:r w:rsidRPr="00BF019D">
      <w:rPr>
        <w:sz w:val="18"/>
        <w:szCs w:val="18"/>
      </w:rPr>
      <w:instrText xml:space="preserve"> NUMPAGES  </w:instrText>
    </w:r>
    <w:r w:rsidRPr="00BF019D">
      <w:rPr>
        <w:sz w:val="18"/>
        <w:szCs w:val="18"/>
      </w:rPr>
      <w:fldChar w:fldCharType="separate"/>
    </w:r>
    <w:r w:rsidR="00892C3A">
      <w:rPr>
        <w:noProof/>
        <w:sz w:val="18"/>
        <w:szCs w:val="18"/>
      </w:rPr>
      <w:t>11</w:t>
    </w:r>
    <w:r w:rsidRPr="00BF019D">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50" w:rsidRPr="00BF019D" w:rsidRDefault="00AE3750" w:rsidP="007B10FA">
    <w:pPr>
      <w:pStyle w:val="Footer"/>
      <w:jc w:val="center"/>
      <w:rPr>
        <w:sz w:val="18"/>
        <w:szCs w:val="18"/>
      </w:rPr>
    </w:pPr>
    <w:proofErr w:type="spellStart"/>
    <w:proofErr w:type="gramStart"/>
    <w:r>
      <w:rPr>
        <w:sz w:val="18"/>
        <w:szCs w:val="18"/>
      </w:rPr>
      <w:t>i</w:t>
    </w:r>
    <w:proofErr w:type="spellEnd"/>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682503173"/>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AE3750" w:rsidRPr="008040CD" w:rsidRDefault="00AE3750" w:rsidP="00FA4001">
            <w:pPr>
              <w:pStyle w:val="Footer"/>
              <w:tabs>
                <w:tab w:val="clear" w:pos="4680"/>
                <w:tab w:val="left" w:pos="90"/>
              </w:tabs>
              <w:jc w:val="right"/>
              <w:rPr>
                <w:sz w:val="18"/>
                <w:szCs w:val="18"/>
              </w:rPr>
            </w:pPr>
            <w:r>
              <w:rPr>
                <w:sz w:val="18"/>
                <w:szCs w:val="18"/>
              </w:rPr>
              <w:t>Form EIA-914</w:t>
            </w:r>
            <w:r>
              <w:rPr>
                <w:sz w:val="18"/>
                <w:szCs w:val="18"/>
              </w:rPr>
              <w:tab/>
            </w:r>
            <w:r w:rsidRPr="008040CD">
              <w:rPr>
                <w:sz w:val="18"/>
                <w:szCs w:val="18"/>
              </w:rPr>
              <w:t xml:space="preserve">Page </w:t>
            </w:r>
            <w:r w:rsidRPr="008040CD">
              <w:rPr>
                <w:bCs/>
                <w:sz w:val="18"/>
                <w:szCs w:val="18"/>
              </w:rPr>
              <w:fldChar w:fldCharType="begin"/>
            </w:r>
            <w:r w:rsidRPr="008040CD">
              <w:rPr>
                <w:bCs/>
                <w:sz w:val="18"/>
                <w:szCs w:val="18"/>
              </w:rPr>
              <w:instrText xml:space="preserve"> PAGE </w:instrText>
            </w:r>
            <w:r w:rsidRPr="008040CD">
              <w:rPr>
                <w:bCs/>
                <w:sz w:val="18"/>
                <w:szCs w:val="18"/>
              </w:rPr>
              <w:fldChar w:fldCharType="separate"/>
            </w:r>
            <w:r w:rsidR="00EA2243">
              <w:rPr>
                <w:bCs/>
                <w:noProof/>
                <w:sz w:val="18"/>
                <w:szCs w:val="18"/>
              </w:rPr>
              <w:t>9</w:t>
            </w:r>
            <w:r w:rsidRPr="008040CD">
              <w:rPr>
                <w:bCs/>
                <w:sz w:val="18"/>
                <w:szCs w:val="18"/>
              </w:rPr>
              <w:fldChar w:fldCharType="end"/>
            </w:r>
            <w:r w:rsidRPr="008040CD">
              <w:rPr>
                <w:sz w:val="18"/>
                <w:szCs w:val="18"/>
              </w:rPr>
              <w:t xml:space="preserve"> of </w:t>
            </w:r>
            <w:r w:rsidRPr="008040CD">
              <w:rPr>
                <w:sz w:val="18"/>
                <w:szCs w:val="18"/>
              </w:rPr>
              <w:fldChar w:fldCharType="begin"/>
            </w:r>
            <w:r w:rsidRPr="008040CD">
              <w:rPr>
                <w:sz w:val="18"/>
                <w:szCs w:val="18"/>
              </w:rPr>
              <w:instrText xml:space="preserve"> =</w:instrText>
            </w:r>
            <w:r w:rsidRPr="008040CD">
              <w:rPr>
                <w:sz w:val="18"/>
                <w:szCs w:val="18"/>
              </w:rPr>
              <w:fldChar w:fldCharType="begin"/>
            </w:r>
            <w:r w:rsidRPr="008040CD">
              <w:rPr>
                <w:sz w:val="18"/>
                <w:szCs w:val="18"/>
              </w:rPr>
              <w:instrText xml:space="preserve"> NUMPAGES </w:instrText>
            </w:r>
            <w:r w:rsidRPr="008040CD">
              <w:rPr>
                <w:sz w:val="18"/>
                <w:szCs w:val="18"/>
              </w:rPr>
              <w:fldChar w:fldCharType="separate"/>
            </w:r>
            <w:r w:rsidR="00EA2243">
              <w:rPr>
                <w:noProof/>
                <w:sz w:val="18"/>
                <w:szCs w:val="18"/>
              </w:rPr>
              <w:instrText>11</w:instrText>
            </w:r>
            <w:r w:rsidRPr="008040CD">
              <w:rPr>
                <w:sz w:val="18"/>
                <w:szCs w:val="18"/>
              </w:rPr>
              <w:fldChar w:fldCharType="end"/>
            </w:r>
            <w:r w:rsidRPr="008040CD">
              <w:rPr>
                <w:sz w:val="18"/>
                <w:szCs w:val="18"/>
              </w:rPr>
              <w:instrText xml:space="preserve">-2 </w:instrText>
            </w:r>
            <w:r w:rsidRPr="008040CD">
              <w:rPr>
                <w:sz w:val="18"/>
                <w:szCs w:val="18"/>
              </w:rPr>
              <w:fldChar w:fldCharType="separate"/>
            </w:r>
            <w:r w:rsidR="00EA2243">
              <w:rPr>
                <w:noProof/>
                <w:sz w:val="18"/>
                <w:szCs w:val="18"/>
              </w:rPr>
              <w:t>9</w:t>
            </w:r>
            <w:r w:rsidRPr="008040CD">
              <w:rPr>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2C8" w:rsidRDefault="001222C8" w:rsidP="005044A0">
      <w:pPr>
        <w:spacing w:after="0"/>
      </w:pPr>
      <w:r>
        <w:separator/>
      </w:r>
    </w:p>
  </w:footnote>
  <w:footnote w:type="continuationSeparator" w:id="0">
    <w:p w:rsidR="001222C8" w:rsidRDefault="001222C8" w:rsidP="005044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50" w:rsidRPr="00474F12" w:rsidRDefault="00AE3750" w:rsidP="00474F12">
    <w:pPr>
      <w:pStyle w:val="Header"/>
      <w:tabs>
        <w:tab w:val="clear" w:pos="4680"/>
        <w:tab w:val="clear" w:pos="9360"/>
        <w:tab w:val="right" w:pos="9540"/>
      </w:tabs>
      <w:rPr>
        <w:sz w:val="18"/>
        <w:szCs w:val="18"/>
      </w:rPr>
    </w:pPr>
    <w:r w:rsidRPr="00474F12">
      <w:rPr>
        <w:sz w:val="18"/>
        <w:szCs w:val="18"/>
      </w:rPr>
      <w:t>Supporting Statement, Part A: Form EIA</w:t>
    </w:r>
    <w:r>
      <w:rPr>
        <w:sz w:val="18"/>
        <w:szCs w:val="18"/>
      </w:rPr>
      <w:t>-914</w:t>
    </w:r>
    <w:r w:rsidRPr="00474F12">
      <w:rPr>
        <w:sz w:val="18"/>
        <w:szCs w:val="18"/>
      </w:rPr>
      <w:tab/>
    </w:r>
    <w:r w:rsidR="00DE367E">
      <w:rPr>
        <w:sz w:val="18"/>
        <w:szCs w:val="18"/>
      </w:rPr>
      <w:t>November</w:t>
    </w:r>
    <w:r>
      <w:rPr>
        <w:sz w:val="18"/>
        <w:szCs w:val="18"/>
      </w:rPr>
      <w:t xml:space="preserve">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750" w:rsidRPr="007B10FA" w:rsidRDefault="00AE3750" w:rsidP="007B10FA">
    <w:pPr>
      <w:pStyle w:val="Header"/>
      <w:tabs>
        <w:tab w:val="clear" w:pos="9360"/>
        <w:tab w:val="right" w:pos="10080"/>
      </w:tabs>
      <w:rPr>
        <w:sz w:val="20"/>
        <w:szCs w:val="20"/>
      </w:rPr>
    </w:pPr>
    <w:r w:rsidRPr="007B10FA">
      <w:rPr>
        <w:sz w:val="20"/>
        <w:szCs w:val="20"/>
      </w:rPr>
      <w:t>Supporting Statement, Part A: Forms EIA 23L/23S/64A</w:t>
    </w:r>
    <w:r>
      <w:rPr>
        <w:sz w:val="20"/>
        <w:szCs w:val="20"/>
      </w:rPr>
      <w:tab/>
    </w:r>
    <w:r w:rsidRPr="007B10FA">
      <w:rPr>
        <w:sz w:val="20"/>
        <w:szCs w:val="20"/>
      </w:rPr>
      <w:tab/>
      <w:t>September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3D51"/>
    <w:multiLevelType w:val="multilevel"/>
    <w:tmpl w:val="08F88E94"/>
    <w:lvl w:ilvl="0">
      <w:start w:val="1"/>
      <w:numFmt w:val="bullet"/>
      <w:lvlText w:val=""/>
      <w:lvlJc w:val="left"/>
      <w:pPr>
        <w:tabs>
          <w:tab w:val="decimal" w:pos="432"/>
        </w:tabs>
        <w:ind w:left="720"/>
      </w:pPr>
      <w:rPr>
        <w:rFonts w:ascii="Symbol" w:hAnsi="Symbol"/>
        <w:strike w:val="0"/>
        <w:color w:val="000000"/>
        <w:spacing w:val="1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A5773"/>
    <w:multiLevelType w:val="hybridMultilevel"/>
    <w:tmpl w:val="32D0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E057F"/>
    <w:multiLevelType w:val="hybridMultilevel"/>
    <w:tmpl w:val="D9D8F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127FA"/>
    <w:multiLevelType w:val="multilevel"/>
    <w:tmpl w:val="750E1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833CDD"/>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0DA0AEF"/>
    <w:multiLevelType w:val="hybridMultilevel"/>
    <w:tmpl w:val="1F7C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37C6F"/>
    <w:multiLevelType w:val="hybridMultilevel"/>
    <w:tmpl w:val="FF2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664994"/>
    <w:multiLevelType w:val="hybridMultilevel"/>
    <w:tmpl w:val="2250ADA2"/>
    <w:lvl w:ilvl="0" w:tplc="9D9631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C113751"/>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0920752"/>
    <w:multiLevelType w:val="hybridMultilevel"/>
    <w:tmpl w:val="03040598"/>
    <w:lvl w:ilvl="0" w:tplc="3F46F2A4">
      <w:start w:val="1"/>
      <w:numFmt w:val="bullet"/>
      <w:lvlText w:val=""/>
      <w:lvlJc w:val="left"/>
      <w:pPr>
        <w:tabs>
          <w:tab w:val="num" w:pos="288"/>
        </w:tabs>
        <w:ind w:left="691" w:hanging="259"/>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nsid w:val="30AE4392"/>
    <w:multiLevelType w:val="hybridMultilevel"/>
    <w:tmpl w:val="D51EA20C"/>
    <w:lvl w:ilvl="0" w:tplc="E528B94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4E435A"/>
    <w:multiLevelType w:val="hybridMultilevel"/>
    <w:tmpl w:val="6AF6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EC0815"/>
    <w:multiLevelType w:val="multilevel"/>
    <w:tmpl w:val="9948D926"/>
    <w:lvl w:ilvl="0">
      <w:start w:val="1"/>
      <w:numFmt w:val="upperLetter"/>
      <w:lvlText w:val="%1."/>
      <w:lvlJc w:val="left"/>
      <w:pPr>
        <w:ind w:left="72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9286216"/>
    <w:multiLevelType w:val="hybridMultilevel"/>
    <w:tmpl w:val="7BB080AE"/>
    <w:lvl w:ilvl="0" w:tplc="9E0240D0">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F45792"/>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4A23DE7"/>
    <w:multiLevelType w:val="hybridMultilevel"/>
    <w:tmpl w:val="6CA437CA"/>
    <w:lvl w:ilvl="0" w:tplc="B274AE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BD093A"/>
    <w:multiLevelType w:val="hybridMultilevel"/>
    <w:tmpl w:val="62F6F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4C507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55902FA0"/>
    <w:multiLevelType w:val="hybridMultilevel"/>
    <w:tmpl w:val="B24E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271F0"/>
    <w:multiLevelType w:val="hybridMultilevel"/>
    <w:tmpl w:val="704688FC"/>
    <w:lvl w:ilvl="0" w:tplc="042C8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C9465A"/>
    <w:multiLevelType w:val="hybridMultilevel"/>
    <w:tmpl w:val="40E0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D46B11"/>
    <w:multiLevelType w:val="hybridMultilevel"/>
    <w:tmpl w:val="750E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6F77AA"/>
    <w:multiLevelType w:val="hybridMultilevel"/>
    <w:tmpl w:val="E64A38A6"/>
    <w:lvl w:ilvl="0" w:tplc="844CD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823ADB"/>
    <w:multiLevelType w:val="hybridMultilevel"/>
    <w:tmpl w:val="68A4E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A45669"/>
    <w:multiLevelType w:val="hybridMultilevel"/>
    <w:tmpl w:val="212A951C"/>
    <w:lvl w:ilvl="0" w:tplc="D2E07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9B1BBB"/>
    <w:multiLevelType w:val="multilevel"/>
    <w:tmpl w:val="C7386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58B2A6E"/>
    <w:multiLevelType w:val="multilevel"/>
    <w:tmpl w:val="882C9E6E"/>
    <w:lvl w:ilvl="0">
      <w:start w:val="1"/>
      <w:numFmt w:val="upperLetter"/>
      <w:lvlText w:val="%1."/>
      <w:lvlJc w:val="left"/>
      <w:pPr>
        <w:ind w:left="360" w:hanging="360"/>
      </w:pPr>
      <w:rPr>
        <w:rFonts w:hint="default"/>
      </w:rPr>
    </w:lvl>
    <w:lvl w:ilvl="1">
      <w:start w:val="1"/>
      <w:numFmt w:val="decimal"/>
      <w:pStyle w:val="Heading2"/>
      <w:lvlText w:val="%1.%2"/>
      <w:lvlJc w:val="left"/>
      <w:pPr>
        <w:ind w:left="5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ACC451A"/>
    <w:multiLevelType w:val="hybridMultilevel"/>
    <w:tmpl w:val="69B0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FD106B"/>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7C27342D"/>
    <w:multiLevelType w:val="hybridMultilevel"/>
    <w:tmpl w:val="BDA2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4D75AF"/>
    <w:multiLevelType w:val="hybridMultilevel"/>
    <w:tmpl w:val="BDC6E844"/>
    <w:lvl w:ilvl="0" w:tplc="A34E5D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2"/>
  </w:num>
  <w:num w:numId="3">
    <w:abstractNumId w:val="18"/>
  </w:num>
  <w:num w:numId="4">
    <w:abstractNumId w:val="25"/>
  </w:num>
  <w:num w:numId="5">
    <w:abstractNumId w:val="14"/>
  </w:num>
  <w:num w:numId="6">
    <w:abstractNumId w:val="10"/>
  </w:num>
  <w:num w:numId="7">
    <w:abstractNumId w:val="24"/>
  </w:num>
  <w:num w:numId="8">
    <w:abstractNumId w:val="23"/>
  </w:num>
  <w:num w:numId="9">
    <w:abstractNumId w:val="13"/>
  </w:num>
  <w:num w:numId="10">
    <w:abstractNumId w:val="8"/>
  </w:num>
  <w:num w:numId="11">
    <w:abstractNumId w:val="31"/>
  </w:num>
  <w:num w:numId="12">
    <w:abstractNumId w:val="15"/>
  </w:num>
  <w:num w:numId="13">
    <w:abstractNumId w:val="29"/>
  </w:num>
  <w:num w:numId="14">
    <w:abstractNumId w:val="26"/>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1"/>
  </w:num>
  <w:num w:numId="23">
    <w:abstractNumId w:val="12"/>
  </w:num>
  <w:num w:numId="24">
    <w:abstractNumId w:val="13"/>
  </w:num>
  <w:num w:numId="25">
    <w:abstractNumId w:val="5"/>
  </w:num>
  <w:num w:numId="26">
    <w:abstractNumId w:val="9"/>
  </w:num>
  <w:num w:numId="27">
    <w:abstractNumId w:val="4"/>
  </w:num>
  <w:num w:numId="28">
    <w:abstractNumId w:val="27"/>
  </w:num>
  <w:num w:numId="29">
    <w:abstractNumId w:val="16"/>
  </w:num>
  <w:num w:numId="30">
    <w:abstractNumId w:val="30"/>
  </w:num>
  <w:num w:numId="31">
    <w:abstractNumId w:val="2"/>
  </w:num>
  <w:num w:numId="32">
    <w:abstractNumId w:val="19"/>
  </w:num>
  <w:num w:numId="33">
    <w:abstractNumId w:val="6"/>
  </w:num>
  <w:num w:numId="34">
    <w:abstractNumId w:val="3"/>
  </w:num>
  <w:num w:numId="35">
    <w:abstractNumId w:val="20"/>
  </w:num>
  <w:num w:numId="36">
    <w:abstractNumId w:val="1"/>
  </w:num>
  <w:num w:numId="37">
    <w:abstractNumId w:val="7"/>
  </w:num>
  <w:num w:numId="38">
    <w:abstractNumId w:val="11"/>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36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31"/>
    <w:rsid w:val="00002F86"/>
    <w:rsid w:val="00004608"/>
    <w:rsid w:val="00010396"/>
    <w:rsid w:val="00010AF3"/>
    <w:rsid w:val="00010DB8"/>
    <w:rsid w:val="000114E9"/>
    <w:rsid w:val="000119AB"/>
    <w:rsid w:val="000119D5"/>
    <w:rsid w:val="0001397B"/>
    <w:rsid w:val="0001490F"/>
    <w:rsid w:val="0001642B"/>
    <w:rsid w:val="000218A8"/>
    <w:rsid w:val="0004081A"/>
    <w:rsid w:val="00046B39"/>
    <w:rsid w:val="00051128"/>
    <w:rsid w:val="00053E85"/>
    <w:rsid w:val="0005523D"/>
    <w:rsid w:val="00055F5E"/>
    <w:rsid w:val="000576AC"/>
    <w:rsid w:val="00062CE4"/>
    <w:rsid w:val="000678EF"/>
    <w:rsid w:val="00070BD3"/>
    <w:rsid w:val="00072073"/>
    <w:rsid w:val="00072AA1"/>
    <w:rsid w:val="00072CCD"/>
    <w:rsid w:val="000745BC"/>
    <w:rsid w:val="0007643E"/>
    <w:rsid w:val="000821CA"/>
    <w:rsid w:val="00082918"/>
    <w:rsid w:val="000839A5"/>
    <w:rsid w:val="00087140"/>
    <w:rsid w:val="00090BDA"/>
    <w:rsid w:val="00091211"/>
    <w:rsid w:val="000922EA"/>
    <w:rsid w:val="000927BF"/>
    <w:rsid w:val="0009294A"/>
    <w:rsid w:val="0009564A"/>
    <w:rsid w:val="00095A94"/>
    <w:rsid w:val="000961AD"/>
    <w:rsid w:val="000976C1"/>
    <w:rsid w:val="000A067E"/>
    <w:rsid w:val="000A3E86"/>
    <w:rsid w:val="000A6581"/>
    <w:rsid w:val="000B045C"/>
    <w:rsid w:val="000B061F"/>
    <w:rsid w:val="000B3281"/>
    <w:rsid w:val="000C3316"/>
    <w:rsid w:val="000C35A5"/>
    <w:rsid w:val="000C3894"/>
    <w:rsid w:val="000D1E6D"/>
    <w:rsid w:val="000D302A"/>
    <w:rsid w:val="000D41D6"/>
    <w:rsid w:val="000D61C3"/>
    <w:rsid w:val="000E0683"/>
    <w:rsid w:val="000E3A4E"/>
    <w:rsid w:val="000E728C"/>
    <w:rsid w:val="000E7C84"/>
    <w:rsid w:val="000F1AE2"/>
    <w:rsid w:val="000F26AD"/>
    <w:rsid w:val="000F36A5"/>
    <w:rsid w:val="000F7EDE"/>
    <w:rsid w:val="00101373"/>
    <w:rsid w:val="00101AE8"/>
    <w:rsid w:val="001058A8"/>
    <w:rsid w:val="00107D9B"/>
    <w:rsid w:val="00117ABC"/>
    <w:rsid w:val="001211B4"/>
    <w:rsid w:val="00122057"/>
    <w:rsid w:val="001222C8"/>
    <w:rsid w:val="00122535"/>
    <w:rsid w:val="00123531"/>
    <w:rsid w:val="0012396F"/>
    <w:rsid w:val="001268AE"/>
    <w:rsid w:val="001303F2"/>
    <w:rsid w:val="001315A9"/>
    <w:rsid w:val="00134856"/>
    <w:rsid w:val="00135398"/>
    <w:rsid w:val="00140CC1"/>
    <w:rsid w:val="0014344A"/>
    <w:rsid w:val="00152881"/>
    <w:rsid w:val="001540BF"/>
    <w:rsid w:val="0015499D"/>
    <w:rsid w:val="001564CA"/>
    <w:rsid w:val="00157466"/>
    <w:rsid w:val="001575EF"/>
    <w:rsid w:val="00157E04"/>
    <w:rsid w:val="00157F4D"/>
    <w:rsid w:val="00160B87"/>
    <w:rsid w:val="0016484A"/>
    <w:rsid w:val="00165FD7"/>
    <w:rsid w:val="00171EB3"/>
    <w:rsid w:val="00173828"/>
    <w:rsid w:val="00174B92"/>
    <w:rsid w:val="00174CA2"/>
    <w:rsid w:val="00176D59"/>
    <w:rsid w:val="00185827"/>
    <w:rsid w:val="001868C7"/>
    <w:rsid w:val="001904E3"/>
    <w:rsid w:val="00194325"/>
    <w:rsid w:val="00195824"/>
    <w:rsid w:val="001A0DF5"/>
    <w:rsid w:val="001A10BC"/>
    <w:rsid w:val="001A1296"/>
    <w:rsid w:val="001B20CE"/>
    <w:rsid w:val="001B23FC"/>
    <w:rsid w:val="001B509A"/>
    <w:rsid w:val="001B63C7"/>
    <w:rsid w:val="001B67FF"/>
    <w:rsid w:val="001C2744"/>
    <w:rsid w:val="001C47F9"/>
    <w:rsid w:val="001C4C50"/>
    <w:rsid w:val="001D1B31"/>
    <w:rsid w:val="001D1B96"/>
    <w:rsid w:val="001D4D88"/>
    <w:rsid w:val="001D6251"/>
    <w:rsid w:val="001D6D54"/>
    <w:rsid w:val="001D7B5E"/>
    <w:rsid w:val="001E12EE"/>
    <w:rsid w:val="001E50CC"/>
    <w:rsid w:val="001E5A13"/>
    <w:rsid w:val="001F4FBA"/>
    <w:rsid w:val="002008D5"/>
    <w:rsid w:val="00204FC5"/>
    <w:rsid w:val="002071E0"/>
    <w:rsid w:val="002074E9"/>
    <w:rsid w:val="00212E8E"/>
    <w:rsid w:val="00213D15"/>
    <w:rsid w:val="00214CCB"/>
    <w:rsid w:val="0021513C"/>
    <w:rsid w:val="002206A3"/>
    <w:rsid w:val="002210BD"/>
    <w:rsid w:val="0022423B"/>
    <w:rsid w:val="00225391"/>
    <w:rsid w:val="00232E2C"/>
    <w:rsid w:val="00236DFC"/>
    <w:rsid w:val="002400B7"/>
    <w:rsid w:val="002427BA"/>
    <w:rsid w:val="00244F6A"/>
    <w:rsid w:val="002454A8"/>
    <w:rsid w:val="002502A1"/>
    <w:rsid w:val="002504E0"/>
    <w:rsid w:val="00251D3B"/>
    <w:rsid w:val="002553C8"/>
    <w:rsid w:val="00257738"/>
    <w:rsid w:val="00257A10"/>
    <w:rsid w:val="002601BB"/>
    <w:rsid w:val="0026191B"/>
    <w:rsid w:val="00262864"/>
    <w:rsid w:val="00270744"/>
    <w:rsid w:val="00270FD8"/>
    <w:rsid w:val="00282167"/>
    <w:rsid w:val="00282753"/>
    <w:rsid w:val="00287892"/>
    <w:rsid w:val="00290BE5"/>
    <w:rsid w:val="00293C3B"/>
    <w:rsid w:val="00296074"/>
    <w:rsid w:val="002A074D"/>
    <w:rsid w:val="002A0BBC"/>
    <w:rsid w:val="002A2BFF"/>
    <w:rsid w:val="002A3843"/>
    <w:rsid w:val="002A423C"/>
    <w:rsid w:val="002A5155"/>
    <w:rsid w:val="002A7DDF"/>
    <w:rsid w:val="002B019D"/>
    <w:rsid w:val="002C0331"/>
    <w:rsid w:val="002C0C86"/>
    <w:rsid w:val="002C4514"/>
    <w:rsid w:val="002C6215"/>
    <w:rsid w:val="002C6C78"/>
    <w:rsid w:val="002D1B3C"/>
    <w:rsid w:val="002D433E"/>
    <w:rsid w:val="002D4741"/>
    <w:rsid w:val="002D763D"/>
    <w:rsid w:val="002F045E"/>
    <w:rsid w:val="002F51D2"/>
    <w:rsid w:val="002F601D"/>
    <w:rsid w:val="002F6CC6"/>
    <w:rsid w:val="003024DE"/>
    <w:rsid w:val="00302975"/>
    <w:rsid w:val="00306370"/>
    <w:rsid w:val="00306F16"/>
    <w:rsid w:val="00313478"/>
    <w:rsid w:val="003179AB"/>
    <w:rsid w:val="00324948"/>
    <w:rsid w:val="003266AB"/>
    <w:rsid w:val="00327FC1"/>
    <w:rsid w:val="00331AED"/>
    <w:rsid w:val="00334A89"/>
    <w:rsid w:val="003421F9"/>
    <w:rsid w:val="00343B1B"/>
    <w:rsid w:val="00343D69"/>
    <w:rsid w:val="00344D31"/>
    <w:rsid w:val="00346FA0"/>
    <w:rsid w:val="003478C3"/>
    <w:rsid w:val="00352354"/>
    <w:rsid w:val="0035302F"/>
    <w:rsid w:val="0035360D"/>
    <w:rsid w:val="003551D0"/>
    <w:rsid w:val="00355A14"/>
    <w:rsid w:val="00356934"/>
    <w:rsid w:val="00356A5B"/>
    <w:rsid w:val="00362399"/>
    <w:rsid w:val="00363B16"/>
    <w:rsid w:val="0036471A"/>
    <w:rsid w:val="00367272"/>
    <w:rsid w:val="0037089A"/>
    <w:rsid w:val="003710AD"/>
    <w:rsid w:val="00371EFA"/>
    <w:rsid w:val="00381B33"/>
    <w:rsid w:val="003820A0"/>
    <w:rsid w:val="00382CBB"/>
    <w:rsid w:val="00383CE2"/>
    <w:rsid w:val="003862DF"/>
    <w:rsid w:val="0038764B"/>
    <w:rsid w:val="00387D09"/>
    <w:rsid w:val="00393880"/>
    <w:rsid w:val="00395ABF"/>
    <w:rsid w:val="0039733B"/>
    <w:rsid w:val="003A28C0"/>
    <w:rsid w:val="003A3F1F"/>
    <w:rsid w:val="003A75FF"/>
    <w:rsid w:val="003B51A9"/>
    <w:rsid w:val="003B57B3"/>
    <w:rsid w:val="003B5FD8"/>
    <w:rsid w:val="003B7CE2"/>
    <w:rsid w:val="003C2874"/>
    <w:rsid w:val="003C2A47"/>
    <w:rsid w:val="003C6279"/>
    <w:rsid w:val="003D050A"/>
    <w:rsid w:val="003D0779"/>
    <w:rsid w:val="003D232C"/>
    <w:rsid w:val="003D5B77"/>
    <w:rsid w:val="003D7DB9"/>
    <w:rsid w:val="003E064D"/>
    <w:rsid w:val="003E1DD7"/>
    <w:rsid w:val="003E4D8F"/>
    <w:rsid w:val="003E6299"/>
    <w:rsid w:val="003E7C70"/>
    <w:rsid w:val="003F2630"/>
    <w:rsid w:val="003F3CB4"/>
    <w:rsid w:val="003F6334"/>
    <w:rsid w:val="003F6BB1"/>
    <w:rsid w:val="004001C1"/>
    <w:rsid w:val="00400411"/>
    <w:rsid w:val="00400FBF"/>
    <w:rsid w:val="004020D2"/>
    <w:rsid w:val="00413C93"/>
    <w:rsid w:val="00420610"/>
    <w:rsid w:val="0042260C"/>
    <w:rsid w:val="004241DA"/>
    <w:rsid w:val="004257B4"/>
    <w:rsid w:val="0042589B"/>
    <w:rsid w:val="004267FE"/>
    <w:rsid w:val="00430DA7"/>
    <w:rsid w:val="00430F0F"/>
    <w:rsid w:val="004314C8"/>
    <w:rsid w:val="00431F49"/>
    <w:rsid w:val="00432C69"/>
    <w:rsid w:val="00434EF8"/>
    <w:rsid w:val="00436D44"/>
    <w:rsid w:val="0044076E"/>
    <w:rsid w:val="00440FFF"/>
    <w:rsid w:val="00441722"/>
    <w:rsid w:val="00441DEF"/>
    <w:rsid w:val="00444E5F"/>
    <w:rsid w:val="00452029"/>
    <w:rsid w:val="00453D95"/>
    <w:rsid w:val="00460F78"/>
    <w:rsid w:val="004667F3"/>
    <w:rsid w:val="0047006F"/>
    <w:rsid w:val="0047230B"/>
    <w:rsid w:val="00474F12"/>
    <w:rsid w:val="00476633"/>
    <w:rsid w:val="0048502F"/>
    <w:rsid w:val="004863FE"/>
    <w:rsid w:val="004907CD"/>
    <w:rsid w:val="00493E4A"/>
    <w:rsid w:val="00494A84"/>
    <w:rsid w:val="004A1FB5"/>
    <w:rsid w:val="004A2D1B"/>
    <w:rsid w:val="004A3394"/>
    <w:rsid w:val="004A4378"/>
    <w:rsid w:val="004A44C5"/>
    <w:rsid w:val="004B4371"/>
    <w:rsid w:val="004C0DE6"/>
    <w:rsid w:val="004C326A"/>
    <w:rsid w:val="004C3ACD"/>
    <w:rsid w:val="004C65CD"/>
    <w:rsid w:val="004C7706"/>
    <w:rsid w:val="004C7EEB"/>
    <w:rsid w:val="004D15AC"/>
    <w:rsid w:val="004D4684"/>
    <w:rsid w:val="004D5DBE"/>
    <w:rsid w:val="004E2371"/>
    <w:rsid w:val="004E5248"/>
    <w:rsid w:val="004E7093"/>
    <w:rsid w:val="004F4DB0"/>
    <w:rsid w:val="004F7724"/>
    <w:rsid w:val="005000C0"/>
    <w:rsid w:val="00501AF2"/>
    <w:rsid w:val="00501B38"/>
    <w:rsid w:val="00503754"/>
    <w:rsid w:val="00503E7C"/>
    <w:rsid w:val="005044A0"/>
    <w:rsid w:val="00506C91"/>
    <w:rsid w:val="005123F7"/>
    <w:rsid w:val="005132F5"/>
    <w:rsid w:val="005216EE"/>
    <w:rsid w:val="005239DD"/>
    <w:rsid w:val="0052443D"/>
    <w:rsid w:val="0052485F"/>
    <w:rsid w:val="00530286"/>
    <w:rsid w:val="0053134E"/>
    <w:rsid w:val="0053195C"/>
    <w:rsid w:val="00532BA9"/>
    <w:rsid w:val="00533A7B"/>
    <w:rsid w:val="0054200F"/>
    <w:rsid w:val="00542B2E"/>
    <w:rsid w:val="00546A43"/>
    <w:rsid w:val="00550B27"/>
    <w:rsid w:val="0055248B"/>
    <w:rsid w:val="005542C2"/>
    <w:rsid w:val="00554F52"/>
    <w:rsid w:val="00560D57"/>
    <w:rsid w:val="00560DF3"/>
    <w:rsid w:val="00562B94"/>
    <w:rsid w:val="00562DFB"/>
    <w:rsid w:val="00563F27"/>
    <w:rsid w:val="005655F9"/>
    <w:rsid w:val="00567008"/>
    <w:rsid w:val="005706E9"/>
    <w:rsid w:val="00572F25"/>
    <w:rsid w:val="0057553B"/>
    <w:rsid w:val="0057575C"/>
    <w:rsid w:val="00576BC5"/>
    <w:rsid w:val="00591694"/>
    <w:rsid w:val="00592E62"/>
    <w:rsid w:val="00595097"/>
    <w:rsid w:val="00597DFF"/>
    <w:rsid w:val="005A05DA"/>
    <w:rsid w:val="005A1904"/>
    <w:rsid w:val="005A3775"/>
    <w:rsid w:val="005A49F9"/>
    <w:rsid w:val="005B057F"/>
    <w:rsid w:val="005B0678"/>
    <w:rsid w:val="005B1845"/>
    <w:rsid w:val="005B5333"/>
    <w:rsid w:val="005B60D7"/>
    <w:rsid w:val="005C1D42"/>
    <w:rsid w:val="005C1DB2"/>
    <w:rsid w:val="005C3787"/>
    <w:rsid w:val="005C57DB"/>
    <w:rsid w:val="005C65D4"/>
    <w:rsid w:val="005C691B"/>
    <w:rsid w:val="005C6EC4"/>
    <w:rsid w:val="005C756F"/>
    <w:rsid w:val="005C789A"/>
    <w:rsid w:val="005D0D79"/>
    <w:rsid w:val="005D316A"/>
    <w:rsid w:val="005D728F"/>
    <w:rsid w:val="005E5AAB"/>
    <w:rsid w:val="005F3F7D"/>
    <w:rsid w:val="005F615C"/>
    <w:rsid w:val="00600B7D"/>
    <w:rsid w:val="00601F40"/>
    <w:rsid w:val="0060382E"/>
    <w:rsid w:val="00606986"/>
    <w:rsid w:val="00610494"/>
    <w:rsid w:val="006139D7"/>
    <w:rsid w:val="00615A5B"/>
    <w:rsid w:val="0061619A"/>
    <w:rsid w:val="0061775D"/>
    <w:rsid w:val="00620278"/>
    <w:rsid w:val="006218F2"/>
    <w:rsid w:val="00621D85"/>
    <w:rsid w:val="0062700D"/>
    <w:rsid w:val="0062789D"/>
    <w:rsid w:val="006320FF"/>
    <w:rsid w:val="006326A3"/>
    <w:rsid w:val="00632FCD"/>
    <w:rsid w:val="006354C0"/>
    <w:rsid w:val="006402BB"/>
    <w:rsid w:val="00640401"/>
    <w:rsid w:val="00641752"/>
    <w:rsid w:val="00642030"/>
    <w:rsid w:val="00645790"/>
    <w:rsid w:val="00646E68"/>
    <w:rsid w:val="00646F3B"/>
    <w:rsid w:val="006473DA"/>
    <w:rsid w:val="00647AF6"/>
    <w:rsid w:val="00651DF9"/>
    <w:rsid w:val="00652C93"/>
    <w:rsid w:val="00654EFC"/>
    <w:rsid w:val="0065534E"/>
    <w:rsid w:val="00656601"/>
    <w:rsid w:val="006575A9"/>
    <w:rsid w:val="006600AC"/>
    <w:rsid w:val="006608F4"/>
    <w:rsid w:val="006636B9"/>
    <w:rsid w:val="00664B50"/>
    <w:rsid w:val="00665278"/>
    <w:rsid w:val="00666192"/>
    <w:rsid w:val="006677BD"/>
    <w:rsid w:val="006727F2"/>
    <w:rsid w:val="00672828"/>
    <w:rsid w:val="00674663"/>
    <w:rsid w:val="006751B2"/>
    <w:rsid w:val="0068564D"/>
    <w:rsid w:val="006870F6"/>
    <w:rsid w:val="00687BD2"/>
    <w:rsid w:val="00690F48"/>
    <w:rsid w:val="006940FE"/>
    <w:rsid w:val="006960D7"/>
    <w:rsid w:val="00696B0D"/>
    <w:rsid w:val="006A37DD"/>
    <w:rsid w:val="006A62A0"/>
    <w:rsid w:val="006A7D8E"/>
    <w:rsid w:val="006B18B3"/>
    <w:rsid w:val="006B3102"/>
    <w:rsid w:val="006C0823"/>
    <w:rsid w:val="006C0AE4"/>
    <w:rsid w:val="006C1072"/>
    <w:rsid w:val="006C2B39"/>
    <w:rsid w:val="006C4918"/>
    <w:rsid w:val="006C4D6D"/>
    <w:rsid w:val="006C509B"/>
    <w:rsid w:val="006D3337"/>
    <w:rsid w:val="006D4FAC"/>
    <w:rsid w:val="006E0B1C"/>
    <w:rsid w:val="006E34FA"/>
    <w:rsid w:val="006E7792"/>
    <w:rsid w:val="006F50A0"/>
    <w:rsid w:val="00700AD4"/>
    <w:rsid w:val="0070111F"/>
    <w:rsid w:val="007060CA"/>
    <w:rsid w:val="00710B88"/>
    <w:rsid w:val="007178B5"/>
    <w:rsid w:val="00720BAF"/>
    <w:rsid w:val="00720D7A"/>
    <w:rsid w:val="00722243"/>
    <w:rsid w:val="007230BE"/>
    <w:rsid w:val="00723F69"/>
    <w:rsid w:val="00724D70"/>
    <w:rsid w:val="007326A2"/>
    <w:rsid w:val="00735447"/>
    <w:rsid w:val="00737062"/>
    <w:rsid w:val="007375AC"/>
    <w:rsid w:val="00741545"/>
    <w:rsid w:val="00741E34"/>
    <w:rsid w:val="007443C3"/>
    <w:rsid w:val="0075396D"/>
    <w:rsid w:val="00755A83"/>
    <w:rsid w:val="00760EA4"/>
    <w:rsid w:val="00765BBA"/>
    <w:rsid w:val="0076658F"/>
    <w:rsid w:val="00766A88"/>
    <w:rsid w:val="007670E3"/>
    <w:rsid w:val="00767227"/>
    <w:rsid w:val="0076773E"/>
    <w:rsid w:val="00767A7C"/>
    <w:rsid w:val="00771042"/>
    <w:rsid w:val="00771A3A"/>
    <w:rsid w:val="0077323C"/>
    <w:rsid w:val="00773A84"/>
    <w:rsid w:val="0077447A"/>
    <w:rsid w:val="0078006C"/>
    <w:rsid w:val="00782293"/>
    <w:rsid w:val="00783131"/>
    <w:rsid w:val="00786C84"/>
    <w:rsid w:val="00791741"/>
    <w:rsid w:val="00793327"/>
    <w:rsid w:val="00794E4A"/>
    <w:rsid w:val="007A0D25"/>
    <w:rsid w:val="007A48BF"/>
    <w:rsid w:val="007A6362"/>
    <w:rsid w:val="007A6500"/>
    <w:rsid w:val="007A6BD2"/>
    <w:rsid w:val="007B10FA"/>
    <w:rsid w:val="007B6C97"/>
    <w:rsid w:val="007B7A53"/>
    <w:rsid w:val="007C3192"/>
    <w:rsid w:val="007C375F"/>
    <w:rsid w:val="007C5798"/>
    <w:rsid w:val="007C67A2"/>
    <w:rsid w:val="007D073F"/>
    <w:rsid w:val="007D0DAA"/>
    <w:rsid w:val="007D4AD6"/>
    <w:rsid w:val="007E2B4F"/>
    <w:rsid w:val="007F0577"/>
    <w:rsid w:val="007F731A"/>
    <w:rsid w:val="00801AC9"/>
    <w:rsid w:val="008040CD"/>
    <w:rsid w:val="008041EB"/>
    <w:rsid w:val="008173DB"/>
    <w:rsid w:val="008238B9"/>
    <w:rsid w:val="00826584"/>
    <w:rsid w:val="00831E8D"/>
    <w:rsid w:val="0083516B"/>
    <w:rsid w:val="0083661C"/>
    <w:rsid w:val="00837844"/>
    <w:rsid w:val="00840126"/>
    <w:rsid w:val="00841282"/>
    <w:rsid w:val="008421C3"/>
    <w:rsid w:val="008433E8"/>
    <w:rsid w:val="008443B3"/>
    <w:rsid w:val="0085463E"/>
    <w:rsid w:val="0085617A"/>
    <w:rsid w:val="008561E4"/>
    <w:rsid w:val="00857A30"/>
    <w:rsid w:val="0086075E"/>
    <w:rsid w:val="00861A77"/>
    <w:rsid w:val="00861FED"/>
    <w:rsid w:val="008623D2"/>
    <w:rsid w:val="008638B3"/>
    <w:rsid w:val="008638FD"/>
    <w:rsid w:val="00864002"/>
    <w:rsid w:val="0086552F"/>
    <w:rsid w:val="00866709"/>
    <w:rsid w:val="00867A0B"/>
    <w:rsid w:val="00867C49"/>
    <w:rsid w:val="00874279"/>
    <w:rsid w:val="00875E03"/>
    <w:rsid w:val="00881EE6"/>
    <w:rsid w:val="00882422"/>
    <w:rsid w:val="00887A74"/>
    <w:rsid w:val="00887BA5"/>
    <w:rsid w:val="00890E6C"/>
    <w:rsid w:val="00892C3A"/>
    <w:rsid w:val="008A3D22"/>
    <w:rsid w:val="008A5816"/>
    <w:rsid w:val="008A5B6A"/>
    <w:rsid w:val="008B081B"/>
    <w:rsid w:val="008B4653"/>
    <w:rsid w:val="008B4B54"/>
    <w:rsid w:val="008B7DAA"/>
    <w:rsid w:val="008C2096"/>
    <w:rsid w:val="008C2F54"/>
    <w:rsid w:val="008C469B"/>
    <w:rsid w:val="008C5CE9"/>
    <w:rsid w:val="008C61B5"/>
    <w:rsid w:val="008C71A3"/>
    <w:rsid w:val="008C7E65"/>
    <w:rsid w:val="008D47EB"/>
    <w:rsid w:val="008D4B5F"/>
    <w:rsid w:val="008D7516"/>
    <w:rsid w:val="008D7E13"/>
    <w:rsid w:val="008E212D"/>
    <w:rsid w:val="008E3DD8"/>
    <w:rsid w:val="008E462C"/>
    <w:rsid w:val="008E7459"/>
    <w:rsid w:val="008E75DA"/>
    <w:rsid w:val="008F2263"/>
    <w:rsid w:val="008F4519"/>
    <w:rsid w:val="008F7803"/>
    <w:rsid w:val="008F7BCB"/>
    <w:rsid w:val="00902DFF"/>
    <w:rsid w:val="009047F7"/>
    <w:rsid w:val="00905F20"/>
    <w:rsid w:val="009118AF"/>
    <w:rsid w:val="00915E1D"/>
    <w:rsid w:val="0091617C"/>
    <w:rsid w:val="0091794A"/>
    <w:rsid w:val="00921092"/>
    <w:rsid w:val="00923068"/>
    <w:rsid w:val="009277A1"/>
    <w:rsid w:val="0093371F"/>
    <w:rsid w:val="00940848"/>
    <w:rsid w:val="0094420D"/>
    <w:rsid w:val="00944F48"/>
    <w:rsid w:val="00950E76"/>
    <w:rsid w:val="00951F2D"/>
    <w:rsid w:val="00954A5E"/>
    <w:rsid w:val="009550C1"/>
    <w:rsid w:val="00957C50"/>
    <w:rsid w:val="00960D0D"/>
    <w:rsid w:val="00960F3B"/>
    <w:rsid w:val="0096127D"/>
    <w:rsid w:val="00964898"/>
    <w:rsid w:val="009754C5"/>
    <w:rsid w:val="009823E3"/>
    <w:rsid w:val="009842DE"/>
    <w:rsid w:val="009857AD"/>
    <w:rsid w:val="00985BEA"/>
    <w:rsid w:val="009865EB"/>
    <w:rsid w:val="00987298"/>
    <w:rsid w:val="009915B3"/>
    <w:rsid w:val="00991C91"/>
    <w:rsid w:val="00992C87"/>
    <w:rsid w:val="009931D3"/>
    <w:rsid w:val="00994E9B"/>
    <w:rsid w:val="009A047C"/>
    <w:rsid w:val="009A0D42"/>
    <w:rsid w:val="009A3B00"/>
    <w:rsid w:val="009A59BC"/>
    <w:rsid w:val="009B23DD"/>
    <w:rsid w:val="009B2585"/>
    <w:rsid w:val="009B57F6"/>
    <w:rsid w:val="009B60B9"/>
    <w:rsid w:val="009C24A3"/>
    <w:rsid w:val="009C5050"/>
    <w:rsid w:val="009D4934"/>
    <w:rsid w:val="009D51C4"/>
    <w:rsid w:val="009D5982"/>
    <w:rsid w:val="009E128C"/>
    <w:rsid w:val="009E4D53"/>
    <w:rsid w:val="009E6BDB"/>
    <w:rsid w:val="009F4B8B"/>
    <w:rsid w:val="00A002C5"/>
    <w:rsid w:val="00A02218"/>
    <w:rsid w:val="00A10327"/>
    <w:rsid w:val="00A1295F"/>
    <w:rsid w:val="00A138D5"/>
    <w:rsid w:val="00A14AA3"/>
    <w:rsid w:val="00A15CE6"/>
    <w:rsid w:val="00A21D67"/>
    <w:rsid w:val="00A226BA"/>
    <w:rsid w:val="00A25203"/>
    <w:rsid w:val="00A254CD"/>
    <w:rsid w:val="00A25D40"/>
    <w:rsid w:val="00A27966"/>
    <w:rsid w:val="00A333E4"/>
    <w:rsid w:val="00A33E4E"/>
    <w:rsid w:val="00A3481D"/>
    <w:rsid w:val="00A36854"/>
    <w:rsid w:val="00A416C6"/>
    <w:rsid w:val="00A44496"/>
    <w:rsid w:val="00A44A59"/>
    <w:rsid w:val="00A4792C"/>
    <w:rsid w:val="00A47E3C"/>
    <w:rsid w:val="00A50DD9"/>
    <w:rsid w:val="00A51F3D"/>
    <w:rsid w:val="00A53D6D"/>
    <w:rsid w:val="00A545D1"/>
    <w:rsid w:val="00A54EBC"/>
    <w:rsid w:val="00A55175"/>
    <w:rsid w:val="00A605A0"/>
    <w:rsid w:val="00A611FF"/>
    <w:rsid w:val="00A6509A"/>
    <w:rsid w:val="00A67139"/>
    <w:rsid w:val="00A70A02"/>
    <w:rsid w:val="00A724F1"/>
    <w:rsid w:val="00A73AF4"/>
    <w:rsid w:val="00A74DBB"/>
    <w:rsid w:val="00A76D4B"/>
    <w:rsid w:val="00A77596"/>
    <w:rsid w:val="00A822ED"/>
    <w:rsid w:val="00A862F0"/>
    <w:rsid w:val="00A870AE"/>
    <w:rsid w:val="00A951E8"/>
    <w:rsid w:val="00A967C9"/>
    <w:rsid w:val="00A977D8"/>
    <w:rsid w:val="00AB26EF"/>
    <w:rsid w:val="00AB4A84"/>
    <w:rsid w:val="00AB52DD"/>
    <w:rsid w:val="00AB530C"/>
    <w:rsid w:val="00AB66B5"/>
    <w:rsid w:val="00AB7DD7"/>
    <w:rsid w:val="00AC2275"/>
    <w:rsid w:val="00AC589C"/>
    <w:rsid w:val="00AC79E9"/>
    <w:rsid w:val="00AD6680"/>
    <w:rsid w:val="00AD7527"/>
    <w:rsid w:val="00AE06C2"/>
    <w:rsid w:val="00AE156D"/>
    <w:rsid w:val="00AE19AD"/>
    <w:rsid w:val="00AE20DC"/>
    <w:rsid w:val="00AE24C0"/>
    <w:rsid w:val="00AE327A"/>
    <w:rsid w:val="00AE3750"/>
    <w:rsid w:val="00AF27A5"/>
    <w:rsid w:val="00AF2CFA"/>
    <w:rsid w:val="00AF2F2C"/>
    <w:rsid w:val="00AF4FF7"/>
    <w:rsid w:val="00AF5C91"/>
    <w:rsid w:val="00AF7747"/>
    <w:rsid w:val="00AF7DCD"/>
    <w:rsid w:val="00B004DA"/>
    <w:rsid w:val="00B00E5B"/>
    <w:rsid w:val="00B0114B"/>
    <w:rsid w:val="00B07CAA"/>
    <w:rsid w:val="00B11480"/>
    <w:rsid w:val="00B23E2F"/>
    <w:rsid w:val="00B240E6"/>
    <w:rsid w:val="00B246D8"/>
    <w:rsid w:val="00B24CFB"/>
    <w:rsid w:val="00B25019"/>
    <w:rsid w:val="00B26335"/>
    <w:rsid w:val="00B2780C"/>
    <w:rsid w:val="00B325DC"/>
    <w:rsid w:val="00B328AD"/>
    <w:rsid w:val="00B33514"/>
    <w:rsid w:val="00B33C8F"/>
    <w:rsid w:val="00B33F7E"/>
    <w:rsid w:val="00B34E57"/>
    <w:rsid w:val="00B407A7"/>
    <w:rsid w:val="00B410A6"/>
    <w:rsid w:val="00B4183F"/>
    <w:rsid w:val="00B44725"/>
    <w:rsid w:val="00B525E3"/>
    <w:rsid w:val="00B57313"/>
    <w:rsid w:val="00B60585"/>
    <w:rsid w:val="00B616FC"/>
    <w:rsid w:val="00B67360"/>
    <w:rsid w:val="00B67966"/>
    <w:rsid w:val="00B751CE"/>
    <w:rsid w:val="00B7522F"/>
    <w:rsid w:val="00B77F2D"/>
    <w:rsid w:val="00B809F7"/>
    <w:rsid w:val="00B85F18"/>
    <w:rsid w:val="00B877ED"/>
    <w:rsid w:val="00B93194"/>
    <w:rsid w:val="00B96963"/>
    <w:rsid w:val="00B9714B"/>
    <w:rsid w:val="00B97B97"/>
    <w:rsid w:val="00BA0659"/>
    <w:rsid w:val="00BA0F32"/>
    <w:rsid w:val="00BA1987"/>
    <w:rsid w:val="00BA3957"/>
    <w:rsid w:val="00BA7791"/>
    <w:rsid w:val="00BB03D9"/>
    <w:rsid w:val="00BC0770"/>
    <w:rsid w:val="00BC685B"/>
    <w:rsid w:val="00BC6D42"/>
    <w:rsid w:val="00BD08B7"/>
    <w:rsid w:val="00BD136E"/>
    <w:rsid w:val="00BD7726"/>
    <w:rsid w:val="00BE3F55"/>
    <w:rsid w:val="00BE64AB"/>
    <w:rsid w:val="00BF019D"/>
    <w:rsid w:val="00BF19F7"/>
    <w:rsid w:val="00BF25D2"/>
    <w:rsid w:val="00BF784A"/>
    <w:rsid w:val="00C00405"/>
    <w:rsid w:val="00C03511"/>
    <w:rsid w:val="00C03E82"/>
    <w:rsid w:val="00C04CBC"/>
    <w:rsid w:val="00C071A4"/>
    <w:rsid w:val="00C12E5E"/>
    <w:rsid w:val="00C139DC"/>
    <w:rsid w:val="00C144C1"/>
    <w:rsid w:val="00C2028E"/>
    <w:rsid w:val="00C2202C"/>
    <w:rsid w:val="00C22E18"/>
    <w:rsid w:val="00C246BC"/>
    <w:rsid w:val="00C24E00"/>
    <w:rsid w:val="00C25C07"/>
    <w:rsid w:val="00C273B6"/>
    <w:rsid w:val="00C31F23"/>
    <w:rsid w:val="00C34CDB"/>
    <w:rsid w:val="00C401E7"/>
    <w:rsid w:val="00C4538A"/>
    <w:rsid w:val="00C45C9F"/>
    <w:rsid w:val="00C50AE0"/>
    <w:rsid w:val="00C55114"/>
    <w:rsid w:val="00C5629F"/>
    <w:rsid w:val="00C61149"/>
    <w:rsid w:val="00C61856"/>
    <w:rsid w:val="00C61905"/>
    <w:rsid w:val="00C67EFE"/>
    <w:rsid w:val="00C73423"/>
    <w:rsid w:val="00C735B2"/>
    <w:rsid w:val="00C73722"/>
    <w:rsid w:val="00C73C05"/>
    <w:rsid w:val="00C741EC"/>
    <w:rsid w:val="00C75680"/>
    <w:rsid w:val="00C817FB"/>
    <w:rsid w:val="00C81BF7"/>
    <w:rsid w:val="00C82EE1"/>
    <w:rsid w:val="00C82F7C"/>
    <w:rsid w:val="00C853EB"/>
    <w:rsid w:val="00C85DEB"/>
    <w:rsid w:val="00C87997"/>
    <w:rsid w:val="00C87B17"/>
    <w:rsid w:val="00C90F19"/>
    <w:rsid w:val="00C92C81"/>
    <w:rsid w:val="00C951E0"/>
    <w:rsid w:val="00CA197F"/>
    <w:rsid w:val="00CA3CFC"/>
    <w:rsid w:val="00CA5576"/>
    <w:rsid w:val="00CA6430"/>
    <w:rsid w:val="00CC231B"/>
    <w:rsid w:val="00CC242B"/>
    <w:rsid w:val="00CC33F2"/>
    <w:rsid w:val="00CC43C5"/>
    <w:rsid w:val="00CC481C"/>
    <w:rsid w:val="00CC4BB1"/>
    <w:rsid w:val="00CC4CE7"/>
    <w:rsid w:val="00CC6E98"/>
    <w:rsid w:val="00CD1CC5"/>
    <w:rsid w:val="00CD78E6"/>
    <w:rsid w:val="00CD790F"/>
    <w:rsid w:val="00CE09A4"/>
    <w:rsid w:val="00CE1962"/>
    <w:rsid w:val="00CE3EB3"/>
    <w:rsid w:val="00CE7E90"/>
    <w:rsid w:val="00CF2601"/>
    <w:rsid w:val="00CF3D37"/>
    <w:rsid w:val="00CF4745"/>
    <w:rsid w:val="00CF520D"/>
    <w:rsid w:val="00CF7E01"/>
    <w:rsid w:val="00D02674"/>
    <w:rsid w:val="00D02A14"/>
    <w:rsid w:val="00D0534A"/>
    <w:rsid w:val="00D054E5"/>
    <w:rsid w:val="00D06613"/>
    <w:rsid w:val="00D108E3"/>
    <w:rsid w:val="00D13B26"/>
    <w:rsid w:val="00D13E07"/>
    <w:rsid w:val="00D27759"/>
    <w:rsid w:val="00D3119A"/>
    <w:rsid w:val="00D325B0"/>
    <w:rsid w:val="00D36385"/>
    <w:rsid w:val="00D36A17"/>
    <w:rsid w:val="00D379E1"/>
    <w:rsid w:val="00D37EA7"/>
    <w:rsid w:val="00D445C4"/>
    <w:rsid w:val="00D45020"/>
    <w:rsid w:val="00D47451"/>
    <w:rsid w:val="00D513D0"/>
    <w:rsid w:val="00D523AA"/>
    <w:rsid w:val="00D53310"/>
    <w:rsid w:val="00D54256"/>
    <w:rsid w:val="00D545F8"/>
    <w:rsid w:val="00D60D2A"/>
    <w:rsid w:val="00D63B3C"/>
    <w:rsid w:val="00D71D78"/>
    <w:rsid w:val="00D765D1"/>
    <w:rsid w:val="00D810CC"/>
    <w:rsid w:val="00D8422F"/>
    <w:rsid w:val="00D84FE1"/>
    <w:rsid w:val="00D86E24"/>
    <w:rsid w:val="00D87224"/>
    <w:rsid w:val="00D9024C"/>
    <w:rsid w:val="00D95624"/>
    <w:rsid w:val="00DA2584"/>
    <w:rsid w:val="00DA3A26"/>
    <w:rsid w:val="00DA4997"/>
    <w:rsid w:val="00DA5219"/>
    <w:rsid w:val="00DB041F"/>
    <w:rsid w:val="00DB0A39"/>
    <w:rsid w:val="00DB53CE"/>
    <w:rsid w:val="00DB5998"/>
    <w:rsid w:val="00DB71F6"/>
    <w:rsid w:val="00DB7279"/>
    <w:rsid w:val="00DC379E"/>
    <w:rsid w:val="00DC51ED"/>
    <w:rsid w:val="00DC703A"/>
    <w:rsid w:val="00DC76F2"/>
    <w:rsid w:val="00DD07F8"/>
    <w:rsid w:val="00DD3369"/>
    <w:rsid w:val="00DD7E68"/>
    <w:rsid w:val="00DE367E"/>
    <w:rsid w:val="00DE484E"/>
    <w:rsid w:val="00DF07C9"/>
    <w:rsid w:val="00DF0F4E"/>
    <w:rsid w:val="00DF2BE6"/>
    <w:rsid w:val="00DF5F00"/>
    <w:rsid w:val="00E0003A"/>
    <w:rsid w:val="00E070D5"/>
    <w:rsid w:val="00E107DE"/>
    <w:rsid w:val="00E15A5C"/>
    <w:rsid w:val="00E16533"/>
    <w:rsid w:val="00E24DFB"/>
    <w:rsid w:val="00E259C4"/>
    <w:rsid w:val="00E26213"/>
    <w:rsid w:val="00E27152"/>
    <w:rsid w:val="00E27272"/>
    <w:rsid w:val="00E272B4"/>
    <w:rsid w:val="00E31AB4"/>
    <w:rsid w:val="00E34C3B"/>
    <w:rsid w:val="00E44FDC"/>
    <w:rsid w:val="00E45137"/>
    <w:rsid w:val="00E468AB"/>
    <w:rsid w:val="00E530EB"/>
    <w:rsid w:val="00E53FE8"/>
    <w:rsid w:val="00E56B2B"/>
    <w:rsid w:val="00E57039"/>
    <w:rsid w:val="00E6091E"/>
    <w:rsid w:val="00E63B08"/>
    <w:rsid w:val="00E66A95"/>
    <w:rsid w:val="00E7019A"/>
    <w:rsid w:val="00E70D49"/>
    <w:rsid w:val="00E71F6A"/>
    <w:rsid w:val="00E7459C"/>
    <w:rsid w:val="00E7530E"/>
    <w:rsid w:val="00E7636F"/>
    <w:rsid w:val="00E828E7"/>
    <w:rsid w:val="00E83006"/>
    <w:rsid w:val="00E850D5"/>
    <w:rsid w:val="00E85349"/>
    <w:rsid w:val="00E85667"/>
    <w:rsid w:val="00E86C84"/>
    <w:rsid w:val="00E91B9A"/>
    <w:rsid w:val="00E92A34"/>
    <w:rsid w:val="00E97278"/>
    <w:rsid w:val="00E97303"/>
    <w:rsid w:val="00E97A76"/>
    <w:rsid w:val="00EA2243"/>
    <w:rsid w:val="00EA2C65"/>
    <w:rsid w:val="00EB0FB2"/>
    <w:rsid w:val="00EB1A1F"/>
    <w:rsid w:val="00EB324E"/>
    <w:rsid w:val="00EC6900"/>
    <w:rsid w:val="00EC6B91"/>
    <w:rsid w:val="00EC6FD1"/>
    <w:rsid w:val="00EC75C0"/>
    <w:rsid w:val="00EC76D2"/>
    <w:rsid w:val="00EC7D71"/>
    <w:rsid w:val="00ED1995"/>
    <w:rsid w:val="00ED2304"/>
    <w:rsid w:val="00ED6A33"/>
    <w:rsid w:val="00EE4437"/>
    <w:rsid w:val="00EE6C48"/>
    <w:rsid w:val="00EE6D23"/>
    <w:rsid w:val="00EF0C13"/>
    <w:rsid w:val="00EF22AF"/>
    <w:rsid w:val="00EF5A7F"/>
    <w:rsid w:val="00EF6AC5"/>
    <w:rsid w:val="00EF78CB"/>
    <w:rsid w:val="00EF78E4"/>
    <w:rsid w:val="00F00D5E"/>
    <w:rsid w:val="00F0118C"/>
    <w:rsid w:val="00F03D1F"/>
    <w:rsid w:val="00F05BCC"/>
    <w:rsid w:val="00F17F53"/>
    <w:rsid w:val="00F2341A"/>
    <w:rsid w:val="00F23DF1"/>
    <w:rsid w:val="00F25BDF"/>
    <w:rsid w:val="00F27681"/>
    <w:rsid w:val="00F35E5E"/>
    <w:rsid w:val="00F41F48"/>
    <w:rsid w:val="00F44A51"/>
    <w:rsid w:val="00F45083"/>
    <w:rsid w:val="00F46B74"/>
    <w:rsid w:val="00F51ECD"/>
    <w:rsid w:val="00F55066"/>
    <w:rsid w:val="00F6050A"/>
    <w:rsid w:val="00F71BC8"/>
    <w:rsid w:val="00F834C2"/>
    <w:rsid w:val="00F87AF2"/>
    <w:rsid w:val="00F90043"/>
    <w:rsid w:val="00F93138"/>
    <w:rsid w:val="00F953B1"/>
    <w:rsid w:val="00F955CA"/>
    <w:rsid w:val="00F96EA0"/>
    <w:rsid w:val="00FA3C9D"/>
    <w:rsid w:val="00FA4001"/>
    <w:rsid w:val="00FB03C6"/>
    <w:rsid w:val="00FB24AC"/>
    <w:rsid w:val="00FB3638"/>
    <w:rsid w:val="00FB3C42"/>
    <w:rsid w:val="00FC3D8D"/>
    <w:rsid w:val="00FC69D4"/>
    <w:rsid w:val="00FD38C5"/>
    <w:rsid w:val="00FD6AA1"/>
    <w:rsid w:val="00FE550F"/>
    <w:rsid w:val="00FE5C53"/>
    <w:rsid w:val="00FE5F93"/>
    <w:rsid w:val="00FE611B"/>
    <w:rsid w:val="00FE6522"/>
    <w:rsid w:val="00FF04BE"/>
    <w:rsid w:val="00FF250E"/>
    <w:rsid w:val="00FF3CBB"/>
    <w:rsid w:val="00FF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6C"/>
    <w:pPr>
      <w:spacing w:before="100" w:beforeAutospacing="1" w:after="100" w:afterAutospacing="1"/>
      <w:jc w:val="both"/>
    </w:pPr>
    <w:rPr>
      <w:rFonts w:ascii="Times New Roman" w:hAnsi="Times New Roman"/>
      <w:sz w:val="24"/>
      <w:szCs w:val="22"/>
    </w:rPr>
  </w:style>
  <w:style w:type="paragraph" w:styleId="Heading1">
    <w:name w:val="heading 1"/>
    <w:basedOn w:val="Normal"/>
    <w:next w:val="Normal"/>
    <w:link w:val="Heading1Char"/>
    <w:uiPriority w:val="9"/>
    <w:qFormat/>
    <w:rsid w:val="00767227"/>
    <w:pPr>
      <w:keepNext/>
      <w:keepLines/>
      <w:spacing w:after="0" w:afterAutospacing="0"/>
      <w:jc w:val="left"/>
      <w:outlineLvl w:val="0"/>
    </w:pPr>
    <w:rPr>
      <w:rFonts w:eastAsia="Times New Roman"/>
      <w:b/>
      <w:bCs/>
      <w:color w:val="000000"/>
      <w:sz w:val="28"/>
      <w:szCs w:val="28"/>
    </w:rPr>
  </w:style>
  <w:style w:type="paragraph" w:styleId="Heading2">
    <w:name w:val="heading 2"/>
    <w:basedOn w:val="Normal"/>
    <w:next w:val="Normal"/>
    <w:link w:val="Heading2Char"/>
    <w:uiPriority w:val="9"/>
    <w:unhideWhenUsed/>
    <w:qFormat/>
    <w:rsid w:val="008561E4"/>
    <w:pPr>
      <w:keepNext/>
      <w:keepLines/>
      <w:numPr>
        <w:ilvl w:val="1"/>
        <w:numId w:val="28"/>
      </w:numPr>
      <w:spacing w:before="240" w:beforeAutospacing="0" w:after="0" w:afterAutospacing="0"/>
      <w:ind w:left="0"/>
      <w:jc w:val="left"/>
      <w:outlineLvl w:val="1"/>
    </w:pPr>
    <w:rPr>
      <w:rFonts w:eastAsia="Times New Roman"/>
      <w:b/>
      <w:bCs/>
      <w:color w:val="000000"/>
      <w:spacing w:val="1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7227"/>
    <w:rPr>
      <w:rFonts w:ascii="Times New Roman" w:eastAsia="Times New Roman" w:hAnsi="Times New Roman" w:cs="Times New Roman"/>
      <w:b/>
      <w:bCs/>
      <w:color w:val="000000"/>
      <w:sz w:val="28"/>
      <w:szCs w:val="28"/>
    </w:rPr>
  </w:style>
  <w:style w:type="paragraph" w:styleId="ListParagraph">
    <w:name w:val="List Paragraph"/>
    <w:basedOn w:val="Normal"/>
    <w:uiPriority w:val="34"/>
    <w:qFormat/>
    <w:rsid w:val="00F05BCC"/>
    <w:pPr>
      <w:ind w:left="720"/>
      <w:contextualSpacing/>
    </w:pPr>
    <w:rPr>
      <w:rFonts w:ascii="Calibri" w:hAnsi="Calibri"/>
    </w:rPr>
  </w:style>
  <w:style w:type="paragraph" w:styleId="BalloonText">
    <w:name w:val="Balloon Text"/>
    <w:basedOn w:val="Normal"/>
    <w:link w:val="BalloonTextChar"/>
    <w:uiPriority w:val="99"/>
    <w:semiHidden/>
    <w:unhideWhenUsed/>
    <w:rsid w:val="00A27966"/>
    <w:pPr>
      <w:spacing w:after="0"/>
    </w:pPr>
    <w:rPr>
      <w:rFonts w:ascii="Tahoma" w:hAnsi="Tahoma" w:cs="Tahoma"/>
      <w:sz w:val="16"/>
      <w:szCs w:val="16"/>
    </w:rPr>
  </w:style>
  <w:style w:type="character" w:customStyle="1" w:styleId="BalloonTextChar">
    <w:name w:val="Balloon Text Char"/>
    <w:link w:val="BalloonText"/>
    <w:uiPriority w:val="99"/>
    <w:semiHidden/>
    <w:rsid w:val="00A27966"/>
    <w:rPr>
      <w:rFonts w:ascii="Tahoma" w:eastAsia="Calibri" w:hAnsi="Tahoma" w:cs="Tahoma"/>
      <w:sz w:val="16"/>
      <w:szCs w:val="16"/>
    </w:rPr>
  </w:style>
  <w:style w:type="paragraph" w:styleId="DocumentMap">
    <w:name w:val="Document Map"/>
    <w:basedOn w:val="Normal"/>
    <w:link w:val="DocumentMapChar"/>
    <w:uiPriority w:val="99"/>
    <w:semiHidden/>
    <w:unhideWhenUsed/>
    <w:rsid w:val="00B34E57"/>
    <w:pPr>
      <w:spacing w:after="0"/>
    </w:pPr>
    <w:rPr>
      <w:rFonts w:ascii="Tahoma" w:hAnsi="Tahoma" w:cs="Tahoma"/>
      <w:sz w:val="16"/>
      <w:szCs w:val="16"/>
    </w:rPr>
  </w:style>
  <w:style w:type="character" w:customStyle="1" w:styleId="DocumentMapChar">
    <w:name w:val="Document Map Char"/>
    <w:link w:val="DocumentMap"/>
    <w:uiPriority w:val="99"/>
    <w:semiHidden/>
    <w:rsid w:val="00B34E57"/>
    <w:rPr>
      <w:rFonts w:ascii="Tahoma" w:eastAsia="Calibri" w:hAnsi="Tahoma" w:cs="Tahoma"/>
      <w:sz w:val="16"/>
      <w:szCs w:val="16"/>
    </w:rPr>
  </w:style>
  <w:style w:type="paragraph" w:styleId="TOC1">
    <w:name w:val="toc 1"/>
    <w:basedOn w:val="Normal"/>
    <w:next w:val="Normal"/>
    <w:autoRedefine/>
    <w:uiPriority w:val="39"/>
    <w:unhideWhenUsed/>
    <w:rsid w:val="00B34E57"/>
  </w:style>
  <w:style w:type="character" w:styleId="Hyperlink">
    <w:name w:val="Hyperlink"/>
    <w:uiPriority w:val="99"/>
    <w:unhideWhenUsed/>
    <w:rsid w:val="00B34E57"/>
    <w:rPr>
      <w:color w:val="0000FF"/>
      <w:u w:val="single"/>
    </w:rPr>
  </w:style>
  <w:style w:type="paragraph" w:styleId="TOCHeading">
    <w:name w:val="TOC Heading"/>
    <w:basedOn w:val="Heading1"/>
    <w:next w:val="Normal"/>
    <w:uiPriority w:val="39"/>
    <w:unhideWhenUsed/>
    <w:qFormat/>
    <w:rsid w:val="00B34E57"/>
    <w:pPr>
      <w:outlineLvl w:val="9"/>
    </w:pPr>
  </w:style>
  <w:style w:type="character" w:customStyle="1" w:styleId="Heading2Char">
    <w:name w:val="Heading 2 Char"/>
    <w:link w:val="Heading2"/>
    <w:uiPriority w:val="9"/>
    <w:rsid w:val="008561E4"/>
    <w:rPr>
      <w:rFonts w:ascii="Times New Roman" w:eastAsia="Times New Roman" w:hAnsi="Times New Roman" w:cs="Times New Roman"/>
      <w:b/>
      <w:bCs/>
      <w:color w:val="000000"/>
      <w:spacing w:val="12"/>
      <w:sz w:val="24"/>
      <w:szCs w:val="24"/>
    </w:rPr>
  </w:style>
  <w:style w:type="paragraph" w:styleId="TOC2">
    <w:name w:val="toc 2"/>
    <w:basedOn w:val="Normal"/>
    <w:next w:val="Normal"/>
    <w:autoRedefine/>
    <w:uiPriority w:val="39"/>
    <w:unhideWhenUsed/>
    <w:rsid w:val="00C246BC"/>
    <w:pPr>
      <w:tabs>
        <w:tab w:val="left" w:pos="880"/>
        <w:tab w:val="right" w:leader="dot" w:pos="9350"/>
      </w:tabs>
      <w:spacing w:before="240" w:beforeAutospacing="0" w:after="240" w:afterAutospacing="0"/>
      <w:ind w:left="900" w:hanging="684"/>
    </w:pPr>
    <w:rPr>
      <w:noProof/>
      <w:szCs w:val="24"/>
    </w:rPr>
  </w:style>
  <w:style w:type="paragraph" w:styleId="Header">
    <w:name w:val="header"/>
    <w:basedOn w:val="Normal"/>
    <w:link w:val="HeaderChar"/>
    <w:uiPriority w:val="99"/>
    <w:unhideWhenUsed/>
    <w:rsid w:val="005044A0"/>
    <w:pPr>
      <w:tabs>
        <w:tab w:val="center" w:pos="4680"/>
        <w:tab w:val="right" w:pos="9360"/>
      </w:tabs>
      <w:spacing w:after="0"/>
    </w:pPr>
  </w:style>
  <w:style w:type="character" w:customStyle="1" w:styleId="HeaderChar">
    <w:name w:val="Header Char"/>
    <w:link w:val="Header"/>
    <w:uiPriority w:val="99"/>
    <w:rsid w:val="005044A0"/>
    <w:rPr>
      <w:rFonts w:ascii="Calibri" w:eastAsia="Calibri" w:hAnsi="Calibri" w:cs="Times New Roman"/>
    </w:rPr>
  </w:style>
  <w:style w:type="paragraph" w:styleId="Footer">
    <w:name w:val="footer"/>
    <w:basedOn w:val="Normal"/>
    <w:link w:val="FooterChar"/>
    <w:uiPriority w:val="99"/>
    <w:unhideWhenUsed/>
    <w:rsid w:val="005044A0"/>
    <w:pPr>
      <w:tabs>
        <w:tab w:val="center" w:pos="4680"/>
        <w:tab w:val="right" w:pos="9360"/>
      </w:tabs>
      <w:spacing w:after="0"/>
    </w:pPr>
  </w:style>
  <w:style w:type="character" w:customStyle="1" w:styleId="FooterChar">
    <w:name w:val="Footer Char"/>
    <w:link w:val="Footer"/>
    <w:uiPriority w:val="99"/>
    <w:rsid w:val="005044A0"/>
    <w:rPr>
      <w:rFonts w:ascii="Calibri" w:eastAsia="Calibri" w:hAnsi="Calibri" w:cs="Times New Roman"/>
    </w:rPr>
  </w:style>
  <w:style w:type="paragraph" w:styleId="CommentText">
    <w:name w:val="annotation text"/>
    <w:basedOn w:val="Normal"/>
    <w:link w:val="CommentTextChar"/>
    <w:semiHidden/>
    <w:rsid w:val="00F51ECD"/>
    <w:pPr>
      <w:widowControl w:val="0"/>
      <w:spacing w:after="0"/>
    </w:pPr>
    <w:rPr>
      <w:rFonts w:ascii="Courier" w:eastAsia="Times New Roman" w:hAnsi="Courier"/>
      <w:snapToGrid w:val="0"/>
      <w:sz w:val="20"/>
      <w:szCs w:val="20"/>
    </w:rPr>
  </w:style>
  <w:style w:type="character" w:customStyle="1" w:styleId="CommentTextChar">
    <w:name w:val="Comment Text Char"/>
    <w:link w:val="CommentText"/>
    <w:semiHidden/>
    <w:rsid w:val="00F51ECD"/>
    <w:rPr>
      <w:rFonts w:ascii="Courier" w:eastAsia="Times New Roman" w:hAnsi="Courier" w:cs="Times New Roman"/>
      <w:snapToGrid w:val="0"/>
      <w:sz w:val="20"/>
      <w:szCs w:val="20"/>
    </w:rPr>
  </w:style>
  <w:style w:type="character" w:styleId="CommentReference">
    <w:name w:val="annotation reference"/>
    <w:rsid w:val="00F51ECD"/>
    <w:rPr>
      <w:sz w:val="16"/>
      <w:szCs w:val="16"/>
    </w:rPr>
  </w:style>
  <w:style w:type="paragraph" w:customStyle="1" w:styleId="Level2">
    <w:name w:val="Level 2"/>
    <w:basedOn w:val="Normal"/>
    <w:rsid w:val="006C1072"/>
    <w:pPr>
      <w:widowControl w:val="0"/>
      <w:spacing w:after="0"/>
      <w:ind w:left="1008" w:hanging="576"/>
    </w:pPr>
    <w:rPr>
      <w:rFonts w:ascii="Courier" w:eastAsia="Times New Roman" w:hAnsi="Courier"/>
      <w:snapToGrid w:val="0"/>
      <w:szCs w:val="20"/>
    </w:rPr>
  </w:style>
  <w:style w:type="paragraph" w:styleId="CommentSubject">
    <w:name w:val="annotation subject"/>
    <w:basedOn w:val="CommentText"/>
    <w:next w:val="CommentText"/>
    <w:link w:val="CommentSubjectChar"/>
    <w:uiPriority w:val="99"/>
    <w:semiHidden/>
    <w:unhideWhenUsed/>
    <w:rsid w:val="00A951E8"/>
    <w:pPr>
      <w:widowControl/>
      <w:spacing w:after="200"/>
    </w:pPr>
    <w:rPr>
      <w:rFonts w:ascii="Calibri" w:eastAsia="Calibri" w:hAnsi="Calibri"/>
      <w:b/>
      <w:bCs/>
      <w:snapToGrid/>
    </w:rPr>
  </w:style>
  <w:style w:type="character" w:customStyle="1" w:styleId="CommentSubjectChar">
    <w:name w:val="Comment Subject Char"/>
    <w:link w:val="CommentSubject"/>
    <w:uiPriority w:val="99"/>
    <w:semiHidden/>
    <w:rsid w:val="00A951E8"/>
    <w:rPr>
      <w:rFonts w:ascii="Calibri" w:eastAsia="Calibri" w:hAnsi="Calibri" w:cs="Times New Roman"/>
      <w:b/>
      <w:bCs/>
      <w:snapToGrid w:val="0"/>
      <w:sz w:val="20"/>
      <w:szCs w:val="20"/>
    </w:rPr>
  </w:style>
  <w:style w:type="paragraph" w:styleId="NoSpacing">
    <w:name w:val="No Spacing"/>
    <w:uiPriority w:val="1"/>
    <w:qFormat/>
    <w:rsid w:val="00A977D8"/>
    <w:pPr>
      <w:spacing w:beforeAutospacing="1" w:afterAutospacing="1"/>
      <w:jc w:val="both"/>
    </w:pPr>
    <w:rPr>
      <w:rFonts w:ascii="Times New Roman" w:hAnsi="Times New Roman"/>
      <w:sz w:val="24"/>
      <w:szCs w:val="22"/>
    </w:rPr>
  </w:style>
  <w:style w:type="paragraph" w:styleId="Revision">
    <w:name w:val="Revision"/>
    <w:hidden/>
    <w:uiPriority w:val="99"/>
    <w:semiHidden/>
    <w:rsid w:val="002454A8"/>
    <w:rPr>
      <w:rFonts w:ascii="Times New Roman" w:hAnsi="Times New Roman"/>
      <w:sz w:val="24"/>
      <w:szCs w:val="22"/>
    </w:rPr>
  </w:style>
  <w:style w:type="paragraph" w:styleId="PlainText">
    <w:name w:val="Plain Text"/>
    <w:basedOn w:val="Normal"/>
    <w:link w:val="PlainTextChar"/>
    <w:uiPriority w:val="99"/>
    <w:semiHidden/>
    <w:unhideWhenUsed/>
    <w:rsid w:val="002206A3"/>
    <w:pPr>
      <w:spacing w:before="0" w:beforeAutospacing="0" w:after="0" w:afterAutospacing="0"/>
      <w:jc w:val="left"/>
    </w:pPr>
    <w:rPr>
      <w:rFonts w:ascii="Consolas" w:hAnsi="Consolas"/>
      <w:sz w:val="21"/>
      <w:szCs w:val="21"/>
    </w:rPr>
  </w:style>
  <w:style w:type="character" w:customStyle="1" w:styleId="PlainTextChar">
    <w:name w:val="Plain Text Char"/>
    <w:link w:val="PlainText"/>
    <w:uiPriority w:val="99"/>
    <w:semiHidden/>
    <w:rsid w:val="002206A3"/>
    <w:rPr>
      <w:rFonts w:ascii="Consolas" w:hAnsi="Consolas" w:cs="Times New Roman"/>
      <w:sz w:val="21"/>
      <w:szCs w:val="21"/>
    </w:rPr>
  </w:style>
  <w:style w:type="character" w:styleId="FollowedHyperlink">
    <w:name w:val="FollowedHyperlink"/>
    <w:uiPriority w:val="99"/>
    <w:semiHidden/>
    <w:unhideWhenUsed/>
    <w:rsid w:val="003D050A"/>
    <w:rPr>
      <w:color w:val="800080"/>
      <w:u w:val="single"/>
    </w:rPr>
  </w:style>
  <w:style w:type="paragraph" w:customStyle="1" w:styleId="CM1">
    <w:name w:val="CM1"/>
    <w:basedOn w:val="Normal"/>
    <w:next w:val="Normal"/>
    <w:uiPriority w:val="99"/>
    <w:rsid w:val="00D9024C"/>
    <w:pPr>
      <w:widowControl w:val="0"/>
      <w:autoSpaceDE w:val="0"/>
      <w:autoSpaceDN w:val="0"/>
      <w:adjustRightInd w:val="0"/>
      <w:spacing w:before="0" w:beforeAutospacing="0" w:after="0" w:afterAutospacing="0" w:line="198" w:lineRule="atLeast"/>
      <w:jc w:val="left"/>
    </w:pPr>
    <w:rPr>
      <w:rFonts w:ascii="Melior" w:eastAsia="Times New Roman" w:hAnsi="Melior"/>
      <w:szCs w:val="24"/>
    </w:rPr>
  </w:style>
  <w:style w:type="paragraph" w:customStyle="1" w:styleId="CM4">
    <w:name w:val="CM4"/>
    <w:basedOn w:val="Normal"/>
    <w:next w:val="Normal"/>
    <w:uiPriority w:val="99"/>
    <w:rsid w:val="00D9024C"/>
    <w:pPr>
      <w:widowControl w:val="0"/>
      <w:autoSpaceDE w:val="0"/>
      <w:autoSpaceDN w:val="0"/>
      <w:adjustRightInd w:val="0"/>
      <w:spacing w:before="0" w:beforeAutospacing="0" w:after="0" w:afterAutospacing="0" w:line="198" w:lineRule="atLeast"/>
      <w:jc w:val="left"/>
    </w:pPr>
    <w:rPr>
      <w:rFonts w:ascii="Melior" w:eastAsia="Times New Roman" w:hAnsi="Melior"/>
      <w:szCs w:val="24"/>
    </w:rPr>
  </w:style>
  <w:style w:type="paragraph" w:styleId="BodyText">
    <w:name w:val="Body Text"/>
    <w:basedOn w:val="Normal"/>
    <w:link w:val="BodyTextChar"/>
    <w:rsid w:val="008E462C"/>
    <w:pPr>
      <w:autoSpaceDE w:val="0"/>
      <w:autoSpaceDN w:val="0"/>
      <w:adjustRightInd w:val="0"/>
      <w:spacing w:before="0" w:beforeAutospacing="0" w:after="0" w:afterAutospacing="0"/>
    </w:pPr>
    <w:rPr>
      <w:rFonts w:eastAsia="Times New Roman"/>
      <w:b/>
      <w:bCs/>
      <w:color w:val="000000"/>
      <w:sz w:val="18"/>
      <w:szCs w:val="18"/>
    </w:rPr>
  </w:style>
  <w:style w:type="character" w:customStyle="1" w:styleId="BodyTextChar">
    <w:name w:val="Body Text Char"/>
    <w:basedOn w:val="DefaultParagraphFont"/>
    <w:link w:val="BodyText"/>
    <w:rsid w:val="008E462C"/>
    <w:rPr>
      <w:rFonts w:ascii="Times New Roman" w:eastAsia="Times New Roman" w:hAnsi="Times New Roman"/>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6C"/>
    <w:pPr>
      <w:spacing w:before="100" w:beforeAutospacing="1" w:after="100" w:afterAutospacing="1"/>
      <w:jc w:val="both"/>
    </w:pPr>
    <w:rPr>
      <w:rFonts w:ascii="Times New Roman" w:hAnsi="Times New Roman"/>
      <w:sz w:val="24"/>
      <w:szCs w:val="22"/>
    </w:rPr>
  </w:style>
  <w:style w:type="paragraph" w:styleId="Heading1">
    <w:name w:val="heading 1"/>
    <w:basedOn w:val="Normal"/>
    <w:next w:val="Normal"/>
    <w:link w:val="Heading1Char"/>
    <w:uiPriority w:val="9"/>
    <w:qFormat/>
    <w:rsid w:val="00767227"/>
    <w:pPr>
      <w:keepNext/>
      <w:keepLines/>
      <w:spacing w:after="0" w:afterAutospacing="0"/>
      <w:jc w:val="left"/>
      <w:outlineLvl w:val="0"/>
    </w:pPr>
    <w:rPr>
      <w:rFonts w:eastAsia="Times New Roman"/>
      <w:b/>
      <w:bCs/>
      <w:color w:val="000000"/>
      <w:sz w:val="28"/>
      <w:szCs w:val="28"/>
    </w:rPr>
  </w:style>
  <w:style w:type="paragraph" w:styleId="Heading2">
    <w:name w:val="heading 2"/>
    <w:basedOn w:val="Normal"/>
    <w:next w:val="Normal"/>
    <w:link w:val="Heading2Char"/>
    <w:uiPriority w:val="9"/>
    <w:unhideWhenUsed/>
    <w:qFormat/>
    <w:rsid w:val="008561E4"/>
    <w:pPr>
      <w:keepNext/>
      <w:keepLines/>
      <w:numPr>
        <w:ilvl w:val="1"/>
        <w:numId w:val="28"/>
      </w:numPr>
      <w:spacing w:before="240" w:beforeAutospacing="0" w:after="0" w:afterAutospacing="0"/>
      <w:ind w:left="0"/>
      <w:jc w:val="left"/>
      <w:outlineLvl w:val="1"/>
    </w:pPr>
    <w:rPr>
      <w:rFonts w:eastAsia="Times New Roman"/>
      <w:b/>
      <w:bCs/>
      <w:color w:val="000000"/>
      <w:spacing w:val="1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7227"/>
    <w:rPr>
      <w:rFonts w:ascii="Times New Roman" w:eastAsia="Times New Roman" w:hAnsi="Times New Roman" w:cs="Times New Roman"/>
      <w:b/>
      <w:bCs/>
      <w:color w:val="000000"/>
      <w:sz w:val="28"/>
      <w:szCs w:val="28"/>
    </w:rPr>
  </w:style>
  <w:style w:type="paragraph" w:styleId="ListParagraph">
    <w:name w:val="List Paragraph"/>
    <w:basedOn w:val="Normal"/>
    <w:uiPriority w:val="34"/>
    <w:qFormat/>
    <w:rsid w:val="00F05BCC"/>
    <w:pPr>
      <w:ind w:left="720"/>
      <w:contextualSpacing/>
    </w:pPr>
    <w:rPr>
      <w:rFonts w:ascii="Calibri" w:hAnsi="Calibri"/>
    </w:rPr>
  </w:style>
  <w:style w:type="paragraph" w:styleId="BalloonText">
    <w:name w:val="Balloon Text"/>
    <w:basedOn w:val="Normal"/>
    <w:link w:val="BalloonTextChar"/>
    <w:uiPriority w:val="99"/>
    <w:semiHidden/>
    <w:unhideWhenUsed/>
    <w:rsid w:val="00A27966"/>
    <w:pPr>
      <w:spacing w:after="0"/>
    </w:pPr>
    <w:rPr>
      <w:rFonts w:ascii="Tahoma" w:hAnsi="Tahoma" w:cs="Tahoma"/>
      <w:sz w:val="16"/>
      <w:szCs w:val="16"/>
    </w:rPr>
  </w:style>
  <w:style w:type="character" w:customStyle="1" w:styleId="BalloonTextChar">
    <w:name w:val="Balloon Text Char"/>
    <w:link w:val="BalloonText"/>
    <w:uiPriority w:val="99"/>
    <w:semiHidden/>
    <w:rsid w:val="00A27966"/>
    <w:rPr>
      <w:rFonts w:ascii="Tahoma" w:eastAsia="Calibri" w:hAnsi="Tahoma" w:cs="Tahoma"/>
      <w:sz w:val="16"/>
      <w:szCs w:val="16"/>
    </w:rPr>
  </w:style>
  <w:style w:type="paragraph" w:styleId="DocumentMap">
    <w:name w:val="Document Map"/>
    <w:basedOn w:val="Normal"/>
    <w:link w:val="DocumentMapChar"/>
    <w:uiPriority w:val="99"/>
    <w:semiHidden/>
    <w:unhideWhenUsed/>
    <w:rsid w:val="00B34E57"/>
    <w:pPr>
      <w:spacing w:after="0"/>
    </w:pPr>
    <w:rPr>
      <w:rFonts w:ascii="Tahoma" w:hAnsi="Tahoma" w:cs="Tahoma"/>
      <w:sz w:val="16"/>
      <w:szCs w:val="16"/>
    </w:rPr>
  </w:style>
  <w:style w:type="character" w:customStyle="1" w:styleId="DocumentMapChar">
    <w:name w:val="Document Map Char"/>
    <w:link w:val="DocumentMap"/>
    <w:uiPriority w:val="99"/>
    <w:semiHidden/>
    <w:rsid w:val="00B34E57"/>
    <w:rPr>
      <w:rFonts w:ascii="Tahoma" w:eastAsia="Calibri" w:hAnsi="Tahoma" w:cs="Tahoma"/>
      <w:sz w:val="16"/>
      <w:szCs w:val="16"/>
    </w:rPr>
  </w:style>
  <w:style w:type="paragraph" w:styleId="TOC1">
    <w:name w:val="toc 1"/>
    <w:basedOn w:val="Normal"/>
    <w:next w:val="Normal"/>
    <w:autoRedefine/>
    <w:uiPriority w:val="39"/>
    <w:unhideWhenUsed/>
    <w:rsid w:val="00B34E57"/>
  </w:style>
  <w:style w:type="character" w:styleId="Hyperlink">
    <w:name w:val="Hyperlink"/>
    <w:uiPriority w:val="99"/>
    <w:unhideWhenUsed/>
    <w:rsid w:val="00B34E57"/>
    <w:rPr>
      <w:color w:val="0000FF"/>
      <w:u w:val="single"/>
    </w:rPr>
  </w:style>
  <w:style w:type="paragraph" w:styleId="TOCHeading">
    <w:name w:val="TOC Heading"/>
    <w:basedOn w:val="Heading1"/>
    <w:next w:val="Normal"/>
    <w:uiPriority w:val="39"/>
    <w:unhideWhenUsed/>
    <w:qFormat/>
    <w:rsid w:val="00B34E57"/>
    <w:pPr>
      <w:outlineLvl w:val="9"/>
    </w:pPr>
  </w:style>
  <w:style w:type="character" w:customStyle="1" w:styleId="Heading2Char">
    <w:name w:val="Heading 2 Char"/>
    <w:link w:val="Heading2"/>
    <w:uiPriority w:val="9"/>
    <w:rsid w:val="008561E4"/>
    <w:rPr>
      <w:rFonts w:ascii="Times New Roman" w:eastAsia="Times New Roman" w:hAnsi="Times New Roman" w:cs="Times New Roman"/>
      <w:b/>
      <w:bCs/>
      <w:color w:val="000000"/>
      <w:spacing w:val="12"/>
      <w:sz w:val="24"/>
      <w:szCs w:val="24"/>
    </w:rPr>
  </w:style>
  <w:style w:type="paragraph" w:styleId="TOC2">
    <w:name w:val="toc 2"/>
    <w:basedOn w:val="Normal"/>
    <w:next w:val="Normal"/>
    <w:autoRedefine/>
    <w:uiPriority w:val="39"/>
    <w:unhideWhenUsed/>
    <w:rsid w:val="00C246BC"/>
    <w:pPr>
      <w:tabs>
        <w:tab w:val="left" w:pos="880"/>
        <w:tab w:val="right" w:leader="dot" w:pos="9350"/>
      </w:tabs>
      <w:spacing w:before="240" w:beforeAutospacing="0" w:after="240" w:afterAutospacing="0"/>
      <w:ind w:left="900" w:hanging="684"/>
    </w:pPr>
    <w:rPr>
      <w:noProof/>
      <w:szCs w:val="24"/>
    </w:rPr>
  </w:style>
  <w:style w:type="paragraph" w:styleId="Header">
    <w:name w:val="header"/>
    <w:basedOn w:val="Normal"/>
    <w:link w:val="HeaderChar"/>
    <w:uiPriority w:val="99"/>
    <w:unhideWhenUsed/>
    <w:rsid w:val="005044A0"/>
    <w:pPr>
      <w:tabs>
        <w:tab w:val="center" w:pos="4680"/>
        <w:tab w:val="right" w:pos="9360"/>
      </w:tabs>
      <w:spacing w:after="0"/>
    </w:pPr>
  </w:style>
  <w:style w:type="character" w:customStyle="1" w:styleId="HeaderChar">
    <w:name w:val="Header Char"/>
    <w:link w:val="Header"/>
    <w:uiPriority w:val="99"/>
    <w:rsid w:val="005044A0"/>
    <w:rPr>
      <w:rFonts w:ascii="Calibri" w:eastAsia="Calibri" w:hAnsi="Calibri" w:cs="Times New Roman"/>
    </w:rPr>
  </w:style>
  <w:style w:type="paragraph" w:styleId="Footer">
    <w:name w:val="footer"/>
    <w:basedOn w:val="Normal"/>
    <w:link w:val="FooterChar"/>
    <w:uiPriority w:val="99"/>
    <w:unhideWhenUsed/>
    <w:rsid w:val="005044A0"/>
    <w:pPr>
      <w:tabs>
        <w:tab w:val="center" w:pos="4680"/>
        <w:tab w:val="right" w:pos="9360"/>
      </w:tabs>
      <w:spacing w:after="0"/>
    </w:pPr>
  </w:style>
  <w:style w:type="character" w:customStyle="1" w:styleId="FooterChar">
    <w:name w:val="Footer Char"/>
    <w:link w:val="Footer"/>
    <w:uiPriority w:val="99"/>
    <w:rsid w:val="005044A0"/>
    <w:rPr>
      <w:rFonts w:ascii="Calibri" w:eastAsia="Calibri" w:hAnsi="Calibri" w:cs="Times New Roman"/>
    </w:rPr>
  </w:style>
  <w:style w:type="paragraph" w:styleId="CommentText">
    <w:name w:val="annotation text"/>
    <w:basedOn w:val="Normal"/>
    <w:link w:val="CommentTextChar"/>
    <w:semiHidden/>
    <w:rsid w:val="00F51ECD"/>
    <w:pPr>
      <w:widowControl w:val="0"/>
      <w:spacing w:after="0"/>
    </w:pPr>
    <w:rPr>
      <w:rFonts w:ascii="Courier" w:eastAsia="Times New Roman" w:hAnsi="Courier"/>
      <w:snapToGrid w:val="0"/>
      <w:sz w:val="20"/>
      <w:szCs w:val="20"/>
    </w:rPr>
  </w:style>
  <w:style w:type="character" w:customStyle="1" w:styleId="CommentTextChar">
    <w:name w:val="Comment Text Char"/>
    <w:link w:val="CommentText"/>
    <w:semiHidden/>
    <w:rsid w:val="00F51ECD"/>
    <w:rPr>
      <w:rFonts w:ascii="Courier" w:eastAsia="Times New Roman" w:hAnsi="Courier" w:cs="Times New Roman"/>
      <w:snapToGrid w:val="0"/>
      <w:sz w:val="20"/>
      <w:szCs w:val="20"/>
    </w:rPr>
  </w:style>
  <w:style w:type="character" w:styleId="CommentReference">
    <w:name w:val="annotation reference"/>
    <w:rsid w:val="00F51ECD"/>
    <w:rPr>
      <w:sz w:val="16"/>
      <w:szCs w:val="16"/>
    </w:rPr>
  </w:style>
  <w:style w:type="paragraph" w:customStyle="1" w:styleId="Level2">
    <w:name w:val="Level 2"/>
    <w:basedOn w:val="Normal"/>
    <w:rsid w:val="006C1072"/>
    <w:pPr>
      <w:widowControl w:val="0"/>
      <w:spacing w:after="0"/>
      <w:ind w:left="1008" w:hanging="576"/>
    </w:pPr>
    <w:rPr>
      <w:rFonts w:ascii="Courier" w:eastAsia="Times New Roman" w:hAnsi="Courier"/>
      <w:snapToGrid w:val="0"/>
      <w:szCs w:val="20"/>
    </w:rPr>
  </w:style>
  <w:style w:type="paragraph" w:styleId="CommentSubject">
    <w:name w:val="annotation subject"/>
    <w:basedOn w:val="CommentText"/>
    <w:next w:val="CommentText"/>
    <w:link w:val="CommentSubjectChar"/>
    <w:uiPriority w:val="99"/>
    <w:semiHidden/>
    <w:unhideWhenUsed/>
    <w:rsid w:val="00A951E8"/>
    <w:pPr>
      <w:widowControl/>
      <w:spacing w:after="200"/>
    </w:pPr>
    <w:rPr>
      <w:rFonts w:ascii="Calibri" w:eastAsia="Calibri" w:hAnsi="Calibri"/>
      <w:b/>
      <w:bCs/>
      <w:snapToGrid/>
    </w:rPr>
  </w:style>
  <w:style w:type="character" w:customStyle="1" w:styleId="CommentSubjectChar">
    <w:name w:val="Comment Subject Char"/>
    <w:link w:val="CommentSubject"/>
    <w:uiPriority w:val="99"/>
    <w:semiHidden/>
    <w:rsid w:val="00A951E8"/>
    <w:rPr>
      <w:rFonts w:ascii="Calibri" w:eastAsia="Calibri" w:hAnsi="Calibri" w:cs="Times New Roman"/>
      <w:b/>
      <w:bCs/>
      <w:snapToGrid w:val="0"/>
      <w:sz w:val="20"/>
      <w:szCs w:val="20"/>
    </w:rPr>
  </w:style>
  <w:style w:type="paragraph" w:styleId="NoSpacing">
    <w:name w:val="No Spacing"/>
    <w:uiPriority w:val="1"/>
    <w:qFormat/>
    <w:rsid w:val="00A977D8"/>
    <w:pPr>
      <w:spacing w:beforeAutospacing="1" w:afterAutospacing="1"/>
      <w:jc w:val="both"/>
    </w:pPr>
    <w:rPr>
      <w:rFonts w:ascii="Times New Roman" w:hAnsi="Times New Roman"/>
      <w:sz w:val="24"/>
      <w:szCs w:val="22"/>
    </w:rPr>
  </w:style>
  <w:style w:type="paragraph" w:styleId="Revision">
    <w:name w:val="Revision"/>
    <w:hidden/>
    <w:uiPriority w:val="99"/>
    <w:semiHidden/>
    <w:rsid w:val="002454A8"/>
    <w:rPr>
      <w:rFonts w:ascii="Times New Roman" w:hAnsi="Times New Roman"/>
      <w:sz w:val="24"/>
      <w:szCs w:val="22"/>
    </w:rPr>
  </w:style>
  <w:style w:type="paragraph" w:styleId="PlainText">
    <w:name w:val="Plain Text"/>
    <w:basedOn w:val="Normal"/>
    <w:link w:val="PlainTextChar"/>
    <w:uiPriority w:val="99"/>
    <w:semiHidden/>
    <w:unhideWhenUsed/>
    <w:rsid w:val="002206A3"/>
    <w:pPr>
      <w:spacing w:before="0" w:beforeAutospacing="0" w:after="0" w:afterAutospacing="0"/>
      <w:jc w:val="left"/>
    </w:pPr>
    <w:rPr>
      <w:rFonts w:ascii="Consolas" w:hAnsi="Consolas"/>
      <w:sz w:val="21"/>
      <w:szCs w:val="21"/>
    </w:rPr>
  </w:style>
  <w:style w:type="character" w:customStyle="1" w:styleId="PlainTextChar">
    <w:name w:val="Plain Text Char"/>
    <w:link w:val="PlainText"/>
    <w:uiPriority w:val="99"/>
    <w:semiHidden/>
    <w:rsid w:val="002206A3"/>
    <w:rPr>
      <w:rFonts w:ascii="Consolas" w:hAnsi="Consolas" w:cs="Times New Roman"/>
      <w:sz w:val="21"/>
      <w:szCs w:val="21"/>
    </w:rPr>
  </w:style>
  <w:style w:type="character" w:styleId="FollowedHyperlink">
    <w:name w:val="FollowedHyperlink"/>
    <w:uiPriority w:val="99"/>
    <w:semiHidden/>
    <w:unhideWhenUsed/>
    <w:rsid w:val="003D050A"/>
    <w:rPr>
      <w:color w:val="800080"/>
      <w:u w:val="single"/>
    </w:rPr>
  </w:style>
  <w:style w:type="paragraph" w:customStyle="1" w:styleId="CM1">
    <w:name w:val="CM1"/>
    <w:basedOn w:val="Normal"/>
    <w:next w:val="Normal"/>
    <w:uiPriority w:val="99"/>
    <w:rsid w:val="00D9024C"/>
    <w:pPr>
      <w:widowControl w:val="0"/>
      <w:autoSpaceDE w:val="0"/>
      <w:autoSpaceDN w:val="0"/>
      <w:adjustRightInd w:val="0"/>
      <w:spacing w:before="0" w:beforeAutospacing="0" w:after="0" w:afterAutospacing="0" w:line="198" w:lineRule="atLeast"/>
      <w:jc w:val="left"/>
    </w:pPr>
    <w:rPr>
      <w:rFonts w:ascii="Melior" w:eastAsia="Times New Roman" w:hAnsi="Melior"/>
      <w:szCs w:val="24"/>
    </w:rPr>
  </w:style>
  <w:style w:type="paragraph" w:customStyle="1" w:styleId="CM4">
    <w:name w:val="CM4"/>
    <w:basedOn w:val="Normal"/>
    <w:next w:val="Normal"/>
    <w:uiPriority w:val="99"/>
    <w:rsid w:val="00D9024C"/>
    <w:pPr>
      <w:widowControl w:val="0"/>
      <w:autoSpaceDE w:val="0"/>
      <w:autoSpaceDN w:val="0"/>
      <w:adjustRightInd w:val="0"/>
      <w:spacing w:before="0" w:beforeAutospacing="0" w:after="0" w:afterAutospacing="0" w:line="198" w:lineRule="atLeast"/>
      <w:jc w:val="left"/>
    </w:pPr>
    <w:rPr>
      <w:rFonts w:ascii="Melior" w:eastAsia="Times New Roman" w:hAnsi="Melior"/>
      <w:szCs w:val="24"/>
    </w:rPr>
  </w:style>
  <w:style w:type="paragraph" w:styleId="BodyText">
    <w:name w:val="Body Text"/>
    <w:basedOn w:val="Normal"/>
    <w:link w:val="BodyTextChar"/>
    <w:rsid w:val="008E462C"/>
    <w:pPr>
      <w:autoSpaceDE w:val="0"/>
      <w:autoSpaceDN w:val="0"/>
      <w:adjustRightInd w:val="0"/>
      <w:spacing w:before="0" w:beforeAutospacing="0" w:after="0" w:afterAutospacing="0"/>
    </w:pPr>
    <w:rPr>
      <w:rFonts w:eastAsia="Times New Roman"/>
      <w:b/>
      <w:bCs/>
      <w:color w:val="000000"/>
      <w:sz w:val="18"/>
      <w:szCs w:val="18"/>
    </w:rPr>
  </w:style>
  <w:style w:type="character" w:customStyle="1" w:styleId="BodyTextChar">
    <w:name w:val="Body Text Char"/>
    <w:basedOn w:val="DefaultParagraphFont"/>
    <w:link w:val="BodyText"/>
    <w:rsid w:val="008E462C"/>
    <w:rPr>
      <w:rFonts w:ascii="Times New Roman" w:eastAsia="Times New Roman" w:hAnsi="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037981">
      <w:bodyDiv w:val="1"/>
      <w:marLeft w:val="0"/>
      <w:marRight w:val="0"/>
      <w:marTop w:val="0"/>
      <w:marBottom w:val="0"/>
      <w:divBdr>
        <w:top w:val="none" w:sz="0" w:space="0" w:color="auto"/>
        <w:left w:val="none" w:sz="0" w:space="0" w:color="auto"/>
        <w:bottom w:val="none" w:sz="0" w:space="0" w:color="auto"/>
        <w:right w:val="none" w:sz="0" w:space="0" w:color="auto"/>
      </w:divBdr>
    </w:div>
    <w:div w:id="1093670827">
      <w:bodyDiv w:val="1"/>
      <w:marLeft w:val="0"/>
      <w:marRight w:val="0"/>
      <w:marTop w:val="0"/>
      <w:marBottom w:val="0"/>
      <w:divBdr>
        <w:top w:val="none" w:sz="0" w:space="0" w:color="auto"/>
        <w:left w:val="none" w:sz="0" w:space="0" w:color="auto"/>
        <w:bottom w:val="none" w:sz="0" w:space="0" w:color="auto"/>
        <w:right w:val="none" w:sz="0" w:space="0" w:color="auto"/>
      </w:divBdr>
    </w:div>
    <w:div w:id="1158612547">
      <w:bodyDiv w:val="1"/>
      <w:marLeft w:val="0"/>
      <w:marRight w:val="0"/>
      <w:marTop w:val="0"/>
      <w:marBottom w:val="0"/>
      <w:divBdr>
        <w:top w:val="none" w:sz="0" w:space="0" w:color="auto"/>
        <w:left w:val="none" w:sz="0" w:space="0" w:color="auto"/>
        <w:bottom w:val="none" w:sz="0" w:space="0" w:color="auto"/>
        <w:right w:val="none" w:sz="0" w:space="0" w:color="auto"/>
      </w:divBdr>
    </w:div>
    <w:div w:id="1219899563">
      <w:bodyDiv w:val="1"/>
      <w:marLeft w:val="0"/>
      <w:marRight w:val="0"/>
      <w:marTop w:val="0"/>
      <w:marBottom w:val="0"/>
      <w:divBdr>
        <w:top w:val="none" w:sz="0" w:space="0" w:color="auto"/>
        <w:left w:val="none" w:sz="0" w:space="0" w:color="auto"/>
        <w:bottom w:val="none" w:sz="0" w:space="0" w:color="auto"/>
        <w:right w:val="none" w:sz="0" w:space="0" w:color="auto"/>
      </w:divBdr>
    </w:div>
    <w:div w:id="1270164844">
      <w:bodyDiv w:val="1"/>
      <w:marLeft w:val="0"/>
      <w:marRight w:val="0"/>
      <w:marTop w:val="0"/>
      <w:marBottom w:val="0"/>
      <w:divBdr>
        <w:top w:val="none" w:sz="0" w:space="0" w:color="auto"/>
        <w:left w:val="none" w:sz="0" w:space="0" w:color="auto"/>
        <w:bottom w:val="none" w:sz="0" w:space="0" w:color="auto"/>
        <w:right w:val="none" w:sz="0" w:space="0" w:color="auto"/>
      </w:divBdr>
    </w:div>
    <w:div w:id="1405058326">
      <w:bodyDiv w:val="1"/>
      <w:marLeft w:val="0"/>
      <w:marRight w:val="0"/>
      <w:marTop w:val="0"/>
      <w:marBottom w:val="0"/>
      <w:divBdr>
        <w:top w:val="none" w:sz="0" w:space="0" w:color="auto"/>
        <w:left w:val="none" w:sz="0" w:space="0" w:color="auto"/>
        <w:bottom w:val="none" w:sz="0" w:space="0" w:color="auto"/>
        <w:right w:val="none" w:sz="0" w:space="0" w:color="auto"/>
      </w:divBdr>
    </w:div>
    <w:div w:id="1621180216">
      <w:bodyDiv w:val="1"/>
      <w:marLeft w:val="0"/>
      <w:marRight w:val="0"/>
      <w:marTop w:val="0"/>
      <w:marBottom w:val="0"/>
      <w:divBdr>
        <w:top w:val="none" w:sz="0" w:space="0" w:color="auto"/>
        <w:left w:val="none" w:sz="0" w:space="0" w:color="auto"/>
        <w:bottom w:val="none" w:sz="0" w:space="0" w:color="auto"/>
        <w:right w:val="none" w:sz="0" w:space="0" w:color="auto"/>
      </w:divBdr>
    </w:div>
    <w:div w:id="18472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eia.doe.gov/natural_gas/data_publications/natural_gas_annual/nga.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ia.gov/forecasts/aeo/er/"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ia.doe.gov/m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ia.gov/petroleum/supply/monthly/" TargetMode="External"/><Relationship Id="rId20" Type="http://schemas.openxmlformats.org/officeDocument/2006/relationships/hyperlink" Target="http://www.eia.gov/petroleum/supply/annual/volume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eia.doe.gov/oil_gas/natural_gas/data_publications/natural_gas_monthly/ngm.html" TargetMode="External"/><Relationship Id="rId23" Type="http://schemas.openxmlformats.org/officeDocument/2006/relationships/hyperlink" Target="http://www.eia.gov" TargetMode="External"/><Relationship Id="rId10" Type="http://schemas.openxmlformats.org/officeDocument/2006/relationships/footer" Target="footer1.xml"/><Relationship Id="rId19" Type="http://schemas.openxmlformats.org/officeDocument/2006/relationships/hyperlink" Target="http://www.eia.gov/petroleum/supply/annual/volume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ia.doe.gov/oil_gas/natural_gas/data_publications/eia914/eia914.html" TargetMode="External"/><Relationship Id="rId22" Type="http://schemas.openxmlformats.org/officeDocument/2006/relationships/hyperlink" Target="http://www.eia.gov/forecasts/st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4466B-AAAC-470B-A7A1-2EA72A43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4360</Words>
  <Characters>24856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Form EIA-914 Supporting Statement, Part A</vt:lpstr>
    </vt:vector>
  </TitlesOfParts>
  <Manager>Barbara Mariner-Volpe</Manager>
  <Company>U.S. Energy Information Administration</Company>
  <LinksUpToDate>false</LinksUpToDate>
  <CharactersWithSpaces>29158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EIA-914 Supporting Statement, Part A</dc:title>
  <dc:subject>OMB Forms Clearance Process Form EIA-914 Supporting Statement, Part A</dc:subject>
  <dc:creator>Neal Davis</dc:creator>
  <dc:description>07/29/14: Version reviewd by EEP with changes noted in MS Word Track Changes.</dc:description>
  <cp:lastModifiedBy>Davis, Neal</cp:lastModifiedBy>
  <cp:revision>3</cp:revision>
  <cp:lastPrinted>2014-08-12T15:51:00Z</cp:lastPrinted>
  <dcterms:created xsi:type="dcterms:W3CDTF">2014-11-04T16:46:00Z</dcterms:created>
  <dcterms:modified xsi:type="dcterms:W3CDTF">2014-11-04T17:17:00Z</dcterms:modified>
</cp:coreProperties>
</file>