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FC9803" w14:textId="77777777" w:rsidR="00EB3E6F" w:rsidRDefault="00FD66F1" w:rsidP="00FD66F1">
      <w:pPr>
        <w:spacing w:after="0"/>
        <w:jc w:val="center"/>
        <w:rPr>
          <w:rFonts w:ascii="Times New Roman" w:hAnsi="Times New Roman" w:cs="Times New Roman"/>
          <w:sz w:val="24"/>
          <w:szCs w:val="24"/>
        </w:rPr>
      </w:pPr>
      <w:r>
        <w:rPr>
          <w:rFonts w:ascii="Times New Roman" w:hAnsi="Times New Roman" w:cs="Times New Roman"/>
          <w:sz w:val="24"/>
          <w:szCs w:val="24"/>
        </w:rPr>
        <w:t>Supporti</w:t>
      </w:r>
      <w:bookmarkStart w:id="0" w:name="_GoBack"/>
      <w:bookmarkEnd w:id="0"/>
      <w:r>
        <w:rPr>
          <w:rFonts w:ascii="Times New Roman" w:hAnsi="Times New Roman" w:cs="Times New Roman"/>
          <w:sz w:val="24"/>
          <w:szCs w:val="24"/>
        </w:rPr>
        <w:t>ng Statement</w:t>
      </w:r>
    </w:p>
    <w:p w14:paraId="2FFC9804" w14:textId="497C782B" w:rsidR="00FD66F1" w:rsidRDefault="00E6361F" w:rsidP="00FD66F1">
      <w:pPr>
        <w:spacing w:after="0"/>
        <w:jc w:val="center"/>
        <w:rPr>
          <w:rFonts w:ascii="Times New Roman" w:hAnsi="Times New Roman" w:cs="Times New Roman"/>
          <w:b/>
          <w:sz w:val="24"/>
          <w:szCs w:val="24"/>
        </w:rPr>
      </w:pPr>
      <w:r>
        <w:rPr>
          <w:rFonts w:ascii="Times New Roman" w:hAnsi="Times New Roman" w:cs="Times New Roman"/>
          <w:b/>
          <w:sz w:val="24"/>
          <w:szCs w:val="24"/>
        </w:rPr>
        <w:t>FERC-725L</w:t>
      </w:r>
      <w:r w:rsidR="00AB6D51">
        <w:rPr>
          <w:rFonts w:ascii="Times New Roman" w:hAnsi="Times New Roman" w:cs="Times New Roman"/>
          <w:b/>
          <w:sz w:val="24"/>
          <w:szCs w:val="24"/>
        </w:rPr>
        <w:t>,</w:t>
      </w:r>
      <w:r>
        <w:rPr>
          <w:rFonts w:ascii="Times New Roman" w:hAnsi="Times New Roman" w:cs="Times New Roman"/>
          <w:b/>
          <w:sz w:val="24"/>
          <w:szCs w:val="24"/>
        </w:rPr>
        <w:t xml:space="preserve"> MOD Reliability Standards</w:t>
      </w:r>
      <w:r w:rsidR="003928C2">
        <w:rPr>
          <w:rFonts w:ascii="Times New Roman" w:hAnsi="Times New Roman" w:cs="Times New Roman"/>
          <w:b/>
          <w:sz w:val="24"/>
          <w:szCs w:val="24"/>
        </w:rPr>
        <w:t>,</w:t>
      </w:r>
    </w:p>
    <w:p w14:paraId="40B9EF12" w14:textId="471AEA81" w:rsidR="00AB6D51" w:rsidRDefault="003928C2" w:rsidP="00AB6D51">
      <w:pPr>
        <w:spacing w:after="0"/>
        <w:jc w:val="center"/>
        <w:rPr>
          <w:rFonts w:ascii="Times New Roman" w:hAnsi="Times New Roman" w:cs="Times New Roman"/>
          <w:b/>
          <w:sz w:val="24"/>
          <w:szCs w:val="24"/>
        </w:rPr>
      </w:pPr>
      <w:proofErr w:type="gramStart"/>
      <w:r>
        <w:rPr>
          <w:rFonts w:ascii="Times New Roman" w:hAnsi="Times New Roman" w:cs="Times New Roman"/>
          <w:b/>
          <w:sz w:val="24"/>
          <w:szCs w:val="24"/>
        </w:rPr>
        <w:t>as</w:t>
      </w:r>
      <w:proofErr w:type="gramEnd"/>
      <w:r>
        <w:rPr>
          <w:rFonts w:ascii="Times New Roman" w:hAnsi="Times New Roman" w:cs="Times New Roman"/>
          <w:b/>
          <w:sz w:val="24"/>
          <w:szCs w:val="24"/>
        </w:rPr>
        <w:t xml:space="preserve"> modified by </w:t>
      </w:r>
      <w:r w:rsidR="00AB6D51">
        <w:rPr>
          <w:rFonts w:ascii="Times New Roman" w:hAnsi="Times New Roman" w:cs="Times New Roman"/>
          <w:b/>
          <w:sz w:val="24"/>
          <w:szCs w:val="24"/>
        </w:rPr>
        <w:t>RD14-5-000 Modeling, Data, and Analysis Reliability Standards</w:t>
      </w:r>
    </w:p>
    <w:p w14:paraId="36FDC6A1" w14:textId="77777777" w:rsidR="00AB6D51" w:rsidRDefault="00AB6D51" w:rsidP="00FD66F1">
      <w:pPr>
        <w:spacing w:after="0"/>
        <w:jc w:val="center"/>
        <w:rPr>
          <w:rFonts w:ascii="Times New Roman" w:hAnsi="Times New Roman" w:cs="Times New Roman"/>
          <w:b/>
          <w:sz w:val="24"/>
          <w:szCs w:val="24"/>
        </w:rPr>
      </w:pPr>
    </w:p>
    <w:p w14:paraId="2FFC9808" w14:textId="3AF20E73" w:rsidR="00A72E7B" w:rsidRDefault="00AE1C8E" w:rsidP="00FD66F1">
      <w:pPr>
        <w:spacing w:after="0"/>
        <w:rPr>
          <w:rFonts w:ascii="Times New Roman" w:hAnsi="Times New Roman" w:cs="Times New Roman"/>
          <w:sz w:val="24"/>
          <w:szCs w:val="24"/>
        </w:rPr>
      </w:pPr>
      <w:r w:rsidRPr="00AE1C8E">
        <w:rPr>
          <w:rFonts w:ascii="Times New Roman" w:hAnsi="Times New Roman" w:cs="Times New Roman"/>
          <w:sz w:val="24"/>
          <w:szCs w:val="24"/>
        </w:rPr>
        <w:t xml:space="preserve">The Federal Energy Regulatory Commission (Commission or FERC) requests Office of Management and </w:t>
      </w:r>
      <w:r>
        <w:rPr>
          <w:rFonts w:ascii="Times New Roman" w:hAnsi="Times New Roman" w:cs="Times New Roman"/>
          <w:sz w:val="24"/>
          <w:szCs w:val="24"/>
        </w:rPr>
        <w:t>Budget (OMB) review of FE</w:t>
      </w:r>
      <w:r w:rsidR="00B43276">
        <w:rPr>
          <w:rFonts w:ascii="Times New Roman" w:hAnsi="Times New Roman" w:cs="Times New Roman"/>
          <w:sz w:val="24"/>
          <w:szCs w:val="24"/>
        </w:rPr>
        <w:t>RC-725L</w:t>
      </w:r>
      <w:r w:rsidR="002173B0">
        <w:rPr>
          <w:rFonts w:ascii="Times New Roman" w:hAnsi="Times New Roman" w:cs="Times New Roman"/>
          <w:sz w:val="24"/>
          <w:szCs w:val="24"/>
        </w:rPr>
        <w:t>,</w:t>
      </w:r>
      <w:r w:rsidR="00B43276">
        <w:rPr>
          <w:rFonts w:ascii="Times New Roman" w:hAnsi="Times New Roman" w:cs="Times New Roman"/>
          <w:sz w:val="24"/>
          <w:szCs w:val="24"/>
        </w:rPr>
        <w:t xml:space="preserve"> </w:t>
      </w:r>
      <w:r>
        <w:rPr>
          <w:rFonts w:ascii="Times New Roman" w:hAnsi="Times New Roman" w:cs="Times New Roman"/>
          <w:sz w:val="24"/>
          <w:szCs w:val="24"/>
        </w:rPr>
        <w:t>MOD</w:t>
      </w:r>
      <w:r w:rsidRPr="00AE1C8E">
        <w:rPr>
          <w:rFonts w:ascii="Times New Roman" w:hAnsi="Times New Roman" w:cs="Times New Roman"/>
          <w:sz w:val="24"/>
          <w:szCs w:val="24"/>
        </w:rPr>
        <w:t xml:space="preserve"> </w:t>
      </w:r>
      <w:r>
        <w:rPr>
          <w:rFonts w:ascii="Times New Roman" w:hAnsi="Times New Roman" w:cs="Times New Roman"/>
          <w:sz w:val="24"/>
          <w:szCs w:val="24"/>
        </w:rPr>
        <w:t>Reliability Standards</w:t>
      </w:r>
      <w:r w:rsidR="002173B0">
        <w:rPr>
          <w:rFonts w:ascii="Times New Roman" w:hAnsi="Times New Roman" w:cs="Times New Roman"/>
          <w:sz w:val="24"/>
          <w:szCs w:val="24"/>
        </w:rPr>
        <w:t>,</w:t>
      </w:r>
      <w:r>
        <w:rPr>
          <w:rFonts w:ascii="Times New Roman" w:hAnsi="Times New Roman" w:cs="Times New Roman"/>
          <w:sz w:val="24"/>
          <w:szCs w:val="24"/>
        </w:rPr>
        <w:t xml:space="preserve"> as contained in the </w:t>
      </w:r>
      <w:r w:rsidR="002173B0">
        <w:rPr>
          <w:rFonts w:ascii="Times New Roman" w:hAnsi="Times New Roman" w:cs="Times New Roman"/>
          <w:sz w:val="24"/>
          <w:szCs w:val="24"/>
        </w:rPr>
        <w:t xml:space="preserve">Delegated Letter Order </w:t>
      </w:r>
      <w:r>
        <w:rPr>
          <w:rFonts w:ascii="Times New Roman" w:hAnsi="Times New Roman" w:cs="Times New Roman"/>
          <w:sz w:val="24"/>
          <w:szCs w:val="24"/>
        </w:rPr>
        <w:t xml:space="preserve">in Docket No. </w:t>
      </w:r>
      <w:proofErr w:type="gramStart"/>
      <w:r>
        <w:rPr>
          <w:rFonts w:ascii="Times New Roman" w:hAnsi="Times New Roman" w:cs="Times New Roman"/>
          <w:sz w:val="24"/>
          <w:szCs w:val="24"/>
        </w:rPr>
        <w:t>R</w:t>
      </w:r>
      <w:r w:rsidR="002173B0">
        <w:rPr>
          <w:rFonts w:ascii="Times New Roman" w:hAnsi="Times New Roman" w:cs="Times New Roman"/>
          <w:sz w:val="24"/>
          <w:szCs w:val="24"/>
        </w:rPr>
        <w:t>D</w:t>
      </w:r>
      <w:r>
        <w:rPr>
          <w:rFonts w:ascii="Times New Roman" w:hAnsi="Times New Roman" w:cs="Times New Roman"/>
          <w:sz w:val="24"/>
          <w:szCs w:val="24"/>
        </w:rPr>
        <w:t>14-</w:t>
      </w:r>
      <w:r w:rsidR="002173B0">
        <w:rPr>
          <w:rFonts w:ascii="Times New Roman" w:hAnsi="Times New Roman" w:cs="Times New Roman"/>
          <w:sz w:val="24"/>
          <w:szCs w:val="24"/>
        </w:rPr>
        <w:t>5</w:t>
      </w:r>
      <w:r>
        <w:rPr>
          <w:rFonts w:ascii="Times New Roman" w:hAnsi="Times New Roman" w:cs="Times New Roman"/>
          <w:sz w:val="24"/>
          <w:szCs w:val="24"/>
        </w:rPr>
        <w:t>-000.</w:t>
      </w:r>
      <w:proofErr w:type="gramEnd"/>
      <w:r>
        <w:rPr>
          <w:rFonts w:ascii="Times New Roman" w:hAnsi="Times New Roman" w:cs="Times New Roman"/>
          <w:sz w:val="24"/>
          <w:szCs w:val="24"/>
        </w:rPr>
        <w:t xml:space="preserve">  FERC-725L</w:t>
      </w:r>
      <w:r w:rsidR="00B43276">
        <w:rPr>
          <w:rFonts w:ascii="Times New Roman" w:hAnsi="Times New Roman" w:cs="Times New Roman"/>
          <w:sz w:val="24"/>
          <w:szCs w:val="24"/>
        </w:rPr>
        <w:t xml:space="preserve"> requirements are</w:t>
      </w:r>
      <w:r w:rsidRPr="00AE1C8E">
        <w:rPr>
          <w:rFonts w:ascii="Times New Roman" w:hAnsi="Times New Roman" w:cs="Times New Roman"/>
          <w:sz w:val="24"/>
          <w:szCs w:val="24"/>
        </w:rPr>
        <w:t xml:space="preserve"> contained in 18 Code of Federal Regulations (CFR), Part 40.</w:t>
      </w:r>
    </w:p>
    <w:p w14:paraId="505ED888" w14:textId="77777777" w:rsidR="0063043A" w:rsidRDefault="0063043A" w:rsidP="00FD66F1">
      <w:pPr>
        <w:spacing w:after="0"/>
        <w:rPr>
          <w:rFonts w:ascii="Times New Roman" w:hAnsi="Times New Roman" w:cs="Times New Roman"/>
          <w:sz w:val="24"/>
          <w:szCs w:val="24"/>
        </w:rPr>
      </w:pPr>
    </w:p>
    <w:p w14:paraId="61A5BD0F" w14:textId="3A2F3224" w:rsidR="0063043A" w:rsidRDefault="0063043A" w:rsidP="00FD66F1">
      <w:pPr>
        <w:spacing w:after="0"/>
        <w:rPr>
          <w:rFonts w:ascii="Times New Roman" w:hAnsi="Times New Roman" w:cs="Times New Roman"/>
          <w:sz w:val="24"/>
          <w:szCs w:val="24"/>
        </w:rPr>
      </w:pPr>
      <w:proofErr w:type="gramStart"/>
      <w:r>
        <w:rPr>
          <w:rFonts w:ascii="Times New Roman" w:hAnsi="Times New Roman" w:cs="Times New Roman"/>
          <w:sz w:val="24"/>
          <w:szCs w:val="24"/>
        </w:rPr>
        <w:t xml:space="preserve">The </w:t>
      </w:r>
      <w:r w:rsidR="002173B0">
        <w:rPr>
          <w:rFonts w:ascii="Times New Roman" w:hAnsi="Times New Roman" w:cs="Times New Roman"/>
          <w:sz w:val="24"/>
          <w:szCs w:val="24"/>
        </w:rPr>
        <w:t>Order in Docket No.</w:t>
      </w:r>
      <w:proofErr w:type="gramEnd"/>
      <w:r w:rsidR="002173B0">
        <w:rPr>
          <w:rFonts w:ascii="Times New Roman" w:hAnsi="Times New Roman" w:cs="Times New Roman"/>
          <w:sz w:val="24"/>
          <w:szCs w:val="24"/>
        </w:rPr>
        <w:t xml:space="preserve"> RD14-5 </w:t>
      </w:r>
      <w:r w:rsidR="004C136C">
        <w:rPr>
          <w:rFonts w:ascii="Times New Roman" w:hAnsi="Times New Roman" w:cs="Times New Roman"/>
          <w:sz w:val="24"/>
          <w:szCs w:val="24"/>
        </w:rPr>
        <w:t>approve</w:t>
      </w:r>
      <w:r w:rsidR="002173B0">
        <w:rPr>
          <w:rFonts w:ascii="Times New Roman" w:hAnsi="Times New Roman" w:cs="Times New Roman"/>
          <w:sz w:val="24"/>
          <w:szCs w:val="24"/>
        </w:rPr>
        <w:t>d</w:t>
      </w:r>
      <w:r w:rsidR="004C136C">
        <w:rPr>
          <w:rFonts w:ascii="Times New Roman" w:hAnsi="Times New Roman" w:cs="Times New Roman"/>
          <w:sz w:val="24"/>
          <w:szCs w:val="24"/>
        </w:rPr>
        <w:t xml:space="preserve"> Modeling, Data, and Analysis</w:t>
      </w:r>
      <w:r w:rsidR="00454708">
        <w:rPr>
          <w:rFonts w:ascii="Times New Roman" w:hAnsi="Times New Roman" w:cs="Times New Roman"/>
          <w:sz w:val="24"/>
          <w:szCs w:val="24"/>
        </w:rPr>
        <w:t xml:space="preserve"> (MOD)</w:t>
      </w:r>
      <w:r w:rsidR="004C136C">
        <w:rPr>
          <w:rFonts w:ascii="Times New Roman" w:hAnsi="Times New Roman" w:cs="Times New Roman"/>
          <w:sz w:val="24"/>
          <w:szCs w:val="24"/>
        </w:rPr>
        <w:t xml:space="preserve"> Reliability Standard</w:t>
      </w:r>
      <w:r w:rsidR="002173B0">
        <w:rPr>
          <w:rFonts w:ascii="Times New Roman" w:hAnsi="Times New Roman" w:cs="Times New Roman"/>
          <w:sz w:val="24"/>
          <w:szCs w:val="24"/>
        </w:rPr>
        <w:t>s MOD-032</w:t>
      </w:r>
      <w:r w:rsidR="004C136C">
        <w:rPr>
          <w:rFonts w:ascii="Times New Roman" w:hAnsi="Times New Roman" w:cs="Times New Roman"/>
          <w:sz w:val="24"/>
          <w:szCs w:val="24"/>
        </w:rPr>
        <w:t>-</w:t>
      </w:r>
      <w:r w:rsidR="002173B0">
        <w:rPr>
          <w:rFonts w:ascii="Times New Roman" w:hAnsi="Times New Roman" w:cs="Times New Roman"/>
          <w:sz w:val="24"/>
          <w:szCs w:val="24"/>
        </w:rPr>
        <w:t>1</w:t>
      </w:r>
      <w:r w:rsidR="004C136C">
        <w:rPr>
          <w:rFonts w:ascii="Times New Roman" w:hAnsi="Times New Roman" w:cs="Times New Roman"/>
          <w:sz w:val="24"/>
          <w:szCs w:val="24"/>
        </w:rPr>
        <w:t xml:space="preserve"> </w:t>
      </w:r>
      <w:r w:rsidR="002173B0">
        <w:rPr>
          <w:rFonts w:ascii="Times New Roman" w:hAnsi="Times New Roman" w:cs="Times New Roman"/>
          <w:sz w:val="24"/>
          <w:szCs w:val="24"/>
        </w:rPr>
        <w:t xml:space="preserve">and MOD-033-2 </w:t>
      </w:r>
      <w:r w:rsidR="004C136C">
        <w:rPr>
          <w:rFonts w:ascii="Times New Roman" w:hAnsi="Times New Roman" w:cs="Times New Roman"/>
          <w:sz w:val="24"/>
          <w:szCs w:val="24"/>
        </w:rPr>
        <w:t xml:space="preserve">developed by the North American Electric Reliability </w:t>
      </w:r>
      <w:proofErr w:type="gramStart"/>
      <w:r w:rsidR="004C136C">
        <w:rPr>
          <w:rFonts w:ascii="Times New Roman" w:hAnsi="Times New Roman" w:cs="Times New Roman"/>
          <w:sz w:val="24"/>
          <w:szCs w:val="24"/>
        </w:rPr>
        <w:t>Corporation</w:t>
      </w:r>
      <w:r w:rsidR="002173B0">
        <w:rPr>
          <w:rFonts w:ascii="Times New Roman" w:hAnsi="Times New Roman" w:cs="Times New Roman"/>
          <w:sz w:val="24"/>
          <w:szCs w:val="24"/>
        </w:rPr>
        <w:t xml:space="preserve"> (NERC)</w:t>
      </w:r>
      <w:r w:rsidR="004C136C">
        <w:rPr>
          <w:rFonts w:ascii="Times New Roman" w:hAnsi="Times New Roman" w:cs="Times New Roman"/>
          <w:sz w:val="24"/>
          <w:szCs w:val="24"/>
        </w:rPr>
        <w:t>.</w:t>
      </w:r>
      <w:proofErr w:type="gramEnd"/>
      <w:r w:rsidR="00B43276">
        <w:rPr>
          <w:rFonts w:ascii="Times New Roman" w:hAnsi="Times New Roman" w:cs="Times New Roman"/>
          <w:sz w:val="24"/>
          <w:szCs w:val="24"/>
        </w:rPr>
        <w:t xml:space="preserve">  </w:t>
      </w:r>
      <w:r w:rsidR="004C136C">
        <w:rPr>
          <w:rFonts w:ascii="Times New Roman" w:hAnsi="Times New Roman" w:cs="Times New Roman"/>
          <w:sz w:val="24"/>
          <w:szCs w:val="24"/>
        </w:rPr>
        <w:t>The Commission has certified NERC as the Electric Reliability Organization (ERO) responsible for developing and enforcing mandatory Reliability Standards.</w:t>
      </w:r>
    </w:p>
    <w:p w14:paraId="2FFC980A" w14:textId="77777777" w:rsidR="0002242D" w:rsidRDefault="0002242D" w:rsidP="00FD66F1">
      <w:pPr>
        <w:spacing w:after="0"/>
        <w:rPr>
          <w:rFonts w:ascii="Times New Roman" w:hAnsi="Times New Roman" w:cs="Times New Roman"/>
          <w:sz w:val="24"/>
          <w:szCs w:val="24"/>
        </w:rPr>
      </w:pPr>
    </w:p>
    <w:p w14:paraId="55DA59B4" w14:textId="30CC608D" w:rsidR="00DB5D8F" w:rsidRDefault="00DB5D8F" w:rsidP="00FD66F1">
      <w:pPr>
        <w:spacing w:after="0"/>
        <w:rPr>
          <w:rFonts w:ascii="Times New Roman" w:hAnsi="Times New Roman" w:cs="Times New Roman"/>
          <w:sz w:val="24"/>
          <w:szCs w:val="24"/>
        </w:rPr>
      </w:pPr>
      <w:r>
        <w:rPr>
          <w:rFonts w:ascii="Times New Roman" w:hAnsi="Times New Roman" w:cs="Times New Roman"/>
          <w:sz w:val="24"/>
          <w:szCs w:val="24"/>
        </w:rPr>
        <w:t xml:space="preserve">NOTE: </w:t>
      </w:r>
      <w:r w:rsidRPr="007804F8">
        <w:rPr>
          <w:rFonts w:ascii="Times New Roman" w:hAnsi="Times New Roman" w:cs="Times New Roman"/>
          <w:sz w:val="24"/>
          <w:szCs w:val="24"/>
        </w:rPr>
        <w:t>Reliability Standard MOD-032-1 consolidates NERC-approved Reliability Standards MOD-011-0, MOD-013-1 and MOD-014-0, as well as, Commission approved Reliability Standards MOD-010-0 and MOD-012-0, into one standard.</w:t>
      </w:r>
      <w:r w:rsidRPr="007804F8">
        <w:rPr>
          <w:rFonts w:ascii="Times New Roman" w:hAnsi="Times New Roman" w:cs="Times New Roman"/>
          <w:b/>
          <w:sz w:val="24"/>
          <w:szCs w:val="24"/>
          <w:vertAlign w:val="superscript"/>
        </w:rPr>
        <w:footnoteReference w:id="2"/>
      </w:r>
      <w:r>
        <w:rPr>
          <w:rFonts w:ascii="Times New Roman" w:hAnsi="Times New Roman" w:cs="Times New Roman"/>
          <w:sz w:val="24"/>
          <w:szCs w:val="24"/>
        </w:rPr>
        <w:t xml:space="preserve">  </w:t>
      </w:r>
      <w:r w:rsidR="00562DF2">
        <w:rPr>
          <w:rFonts w:ascii="Times New Roman" w:hAnsi="Times New Roman" w:cs="Times New Roman"/>
          <w:sz w:val="24"/>
          <w:szCs w:val="24"/>
        </w:rPr>
        <w:t>[</w:t>
      </w:r>
      <w:r>
        <w:rPr>
          <w:rFonts w:ascii="Times New Roman" w:hAnsi="Times New Roman" w:cs="Times New Roman"/>
          <w:sz w:val="24"/>
          <w:szCs w:val="24"/>
        </w:rPr>
        <w:t>The consolidated standards are currently included in the FERC-725A information collection (OMB Control Number: 1902-0244) and will be removed from that collection subsequent to OMB approval of this ICR.</w:t>
      </w:r>
      <w:r w:rsidR="00562DF2">
        <w:rPr>
          <w:rFonts w:ascii="Times New Roman" w:hAnsi="Times New Roman" w:cs="Times New Roman"/>
          <w:sz w:val="24"/>
          <w:szCs w:val="24"/>
        </w:rPr>
        <w:t>]</w:t>
      </w:r>
    </w:p>
    <w:p w14:paraId="60F73F70" w14:textId="77777777" w:rsidR="00DB5D8F" w:rsidRDefault="00DB5D8F" w:rsidP="00FD66F1">
      <w:pPr>
        <w:spacing w:after="0"/>
        <w:rPr>
          <w:rFonts w:ascii="Times New Roman" w:hAnsi="Times New Roman" w:cs="Times New Roman"/>
          <w:sz w:val="24"/>
          <w:szCs w:val="24"/>
        </w:rPr>
      </w:pPr>
    </w:p>
    <w:p w14:paraId="2FFC980B" w14:textId="77777777" w:rsidR="00A72E7B" w:rsidRDefault="00A72E7B"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14:paraId="571CB90B" w14:textId="77777777" w:rsidR="00E6703B" w:rsidRDefault="00E6703B" w:rsidP="00E6703B">
      <w:pPr>
        <w:spacing w:after="0"/>
        <w:rPr>
          <w:rFonts w:ascii="Times New Roman" w:hAnsi="Times New Roman" w:cs="Times New Roman"/>
          <w:b/>
          <w:sz w:val="24"/>
          <w:szCs w:val="24"/>
        </w:rPr>
      </w:pPr>
    </w:p>
    <w:p w14:paraId="47725E26" w14:textId="01333CA1" w:rsidR="006C4EB6" w:rsidRPr="006C4EB6" w:rsidRDefault="006C4EB6" w:rsidP="006C4EB6">
      <w:pPr>
        <w:spacing w:after="0"/>
        <w:rPr>
          <w:rFonts w:ascii="Times New Roman" w:eastAsia="Times New Roman" w:hAnsi="Times New Roman" w:cs="Times New Roman"/>
          <w:sz w:val="24"/>
          <w:szCs w:val="24"/>
        </w:rPr>
      </w:pPr>
      <w:r w:rsidRPr="006C4EB6">
        <w:rPr>
          <w:rFonts w:ascii="Times New Roman" w:eastAsia="Times New Roman" w:hAnsi="Times New Roman" w:cs="Times New Roman"/>
          <w:sz w:val="24"/>
          <w:szCs w:val="24"/>
        </w:rPr>
        <w:t>On August 8, 2005, the Electricity Modernization Act of 2005, which is Title XII,</w:t>
      </w:r>
      <w:r w:rsidR="000D7E27">
        <w:rPr>
          <w:rFonts w:ascii="Times New Roman" w:eastAsia="Times New Roman" w:hAnsi="Times New Roman" w:cs="Times New Roman"/>
          <w:sz w:val="24"/>
          <w:szCs w:val="24"/>
        </w:rPr>
        <w:t xml:space="preserve"> </w:t>
      </w:r>
      <w:r w:rsidRPr="006C4EB6">
        <w:rPr>
          <w:rFonts w:ascii="Times New Roman" w:eastAsia="Times New Roman" w:hAnsi="Times New Roman" w:cs="Times New Roman"/>
          <w:sz w:val="24"/>
          <w:szCs w:val="24"/>
        </w:rPr>
        <w:t>Subtitle A, of the Energy Policy Act of 2005 (</w:t>
      </w:r>
      <w:proofErr w:type="spellStart"/>
      <w:r w:rsidRPr="006C4EB6">
        <w:rPr>
          <w:rFonts w:ascii="Times New Roman" w:eastAsia="Times New Roman" w:hAnsi="Times New Roman" w:cs="Times New Roman"/>
          <w:sz w:val="24"/>
          <w:szCs w:val="24"/>
        </w:rPr>
        <w:t>EPAct</w:t>
      </w:r>
      <w:proofErr w:type="spellEnd"/>
      <w:r w:rsidRPr="006C4EB6">
        <w:rPr>
          <w:rFonts w:ascii="Times New Roman" w:eastAsia="Times New Roman" w:hAnsi="Times New Roman" w:cs="Times New Roman"/>
          <w:sz w:val="24"/>
          <w:szCs w:val="24"/>
        </w:rPr>
        <w:t xml:space="preserve"> 2005), was enacted into law.</w:t>
      </w:r>
      <w:r w:rsidRPr="006C4EB6">
        <w:rPr>
          <w:rFonts w:ascii="Times New Roman" w:eastAsia="Times New Roman" w:hAnsi="Times New Roman" w:cs="Times New Roman"/>
          <w:sz w:val="24"/>
          <w:szCs w:val="24"/>
          <w:vertAlign w:val="superscript"/>
        </w:rPr>
        <w:footnoteReference w:id="3"/>
      </w:r>
      <w:r w:rsidRPr="006C4EB6">
        <w:rPr>
          <w:rFonts w:ascii="Times New Roman" w:eastAsia="Times New Roman" w:hAnsi="Times New Roman" w:cs="Times New Roman"/>
          <w:sz w:val="24"/>
          <w:szCs w:val="24"/>
        </w:rPr>
        <w:t xml:space="preserve">  </w:t>
      </w:r>
      <w:proofErr w:type="spellStart"/>
      <w:r w:rsidRPr="006C4EB6">
        <w:rPr>
          <w:rFonts w:ascii="Times New Roman" w:eastAsia="Times New Roman" w:hAnsi="Times New Roman" w:cs="Times New Roman"/>
          <w:sz w:val="24"/>
          <w:szCs w:val="24"/>
        </w:rPr>
        <w:t>EPAct</w:t>
      </w:r>
      <w:proofErr w:type="spellEnd"/>
      <w:r w:rsidRPr="006C4EB6">
        <w:rPr>
          <w:rFonts w:ascii="Times New Roman" w:eastAsia="Times New Roman" w:hAnsi="Times New Roman" w:cs="Times New Roman"/>
          <w:sz w:val="24"/>
          <w:szCs w:val="24"/>
        </w:rPr>
        <w:t xml:space="preserve"> 2005 adds a new Section 215 to the FPA, which requires a Commission-certified ERO to develop mandatory and enforceable Reliability Standards which are subject to</w:t>
      </w:r>
      <w:r w:rsidR="000D7E27">
        <w:rPr>
          <w:rFonts w:ascii="Times New Roman" w:eastAsia="Times New Roman" w:hAnsi="Times New Roman" w:cs="Times New Roman"/>
          <w:sz w:val="24"/>
          <w:szCs w:val="24"/>
        </w:rPr>
        <w:t xml:space="preserve"> </w:t>
      </w:r>
      <w:r w:rsidRPr="006C4EB6">
        <w:rPr>
          <w:rFonts w:ascii="Times New Roman" w:eastAsia="Times New Roman" w:hAnsi="Times New Roman" w:cs="Times New Roman"/>
          <w:sz w:val="24"/>
          <w:szCs w:val="24"/>
        </w:rPr>
        <w:t>Commission review and approval.  Once approved, an ERO would enforce the Reliability Standards either subject to Commission oversight or by the Commission independently.</w:t>
      </w:r>
      <w:r w:rsidRPr="006C4EB6">
        <w:rPr>
          <w:rFonts w:ascii="Times New Roman" w:eastAsia="Times New Roman" w:hAnsi="Times New Roman" w:cs="Times New Roman"/>
          <w:sz w:val="24"/>
          <w:szCs w:val="24"/>
          <w:vertAlign w:val="superscript"/>
        </w:rPr>
        <w:footnoteReference w:id="4"/>
      </w:r>
    </w:p>
    <w:p w14:paraId="0992A8A8" w14:textId="77777777" w:rsidR="006C4EB6" w:rsidRPr="006C4EB6" w:rsidRDefault="006C4EB6" w:rsidP="006C4EB6">
      <w:pPr>
        <w:spacing w:after="0"/>
        <w:rPr>
          <w:rFonts w:ascii="Times New Roman" w:eastAsia="Times New Roman" w:hAnsi="Times New Roman" w:cs="Times New Roman"/>
          <w:sz w:val="24"/>
          <w:szCs w:val="24"/>
        </w:rPr>
      </w:pPr>
    </w:p>
    <w:p w14:paraId="5A5CE822" w14:textId="54EA42A3" w:rsidR="006C4EB6" w:rsidRPr="006C4EB6" w:rsidRDefault="006C4EB6" w:rsidP="006C4EB6">
      <w:pPr>
        <w:spacing w:after="0"/>
        <w:rPr>
          <w:rFonts w:ascii="Times New Roman" w:eastAsia="Times New Roman" w:hAnsi="Times New Roman" w:cs="Times New Roman"/>
          <w:sz w:val="24"/>
          <w:szCs w:val="24"/>
        </w:rPr>
      </w:pPr>
      <w:r w:rsidRPr="006C4EB6">
        <w:rPr>
          <w:rFonts w:ascii="Times New Roman" w:eastAsia="Times New Roman" w:hAnsi="Times New Roman" w:cs="Times New Roman"/>
          <w:sz w:val="24"/>
          <w:szCs w:val="24"/>
        </w:rPr>
        <w:lastRenderedPageBreak/>
        <w:t>On February 3, 2006, the Commission issued Order No. 672, implementing section 215 of the FPA.</w:t>
      </w:r>
      <w:r w:rsidRPr="006C4EB6">
        <w:rPr>
          <w:rFonts w:ascii="Times New Roman" w:eastAsia="Times New Roman" w:hAnsi="Times New Roman" w:cs="Times New Roman"/>
          <w:sz w:val="24"/>
          <w:szCs w:val="24"/>
          <w:vertAlign w:val="superscript"/>
        </w:rPr>
        <w:footnoteReference w:id="5"/>
      </w:r>
      <w:r w:rsidRPr="006C4EB6">
        <w:rPr>
          <w:rFonts w:ascii="Times New Roman" w:eastAsia="Times New Roman" w:hAnsi="Times New Roman" w:cs="Times New Roman"/>
          <w:sz w:val="24"/>
          <w:szCs w:val="24"/>
        </w:rPr>
        <w:t xml:space="preserve">  Pursuant to Order No. 672, the Commission certified one organization, NERC, as the ERO.</w:t>
      </w:r>
      <w:r w:rsidRPr="006C4EB6">
        <w:rPr>
          <w:rFonts w:ascii="Times New Roman" w:eastAsia="Times New Roman" w:hAnsi="Times New Roman" w:cs="Times New Roman"/>
          <w:sz w:val="24"/>
          <w:szCs w:val="24"/>
          <w:vertAlign w:val="superscript"/>
        </w:rPr>
        <w:footnoteReference w:id="6"/>
      </w:r>
      <w:r w:rsidRPr="006C4EB6">
        <w:rPr>
          <w:rFonts w:ascii="Times New Roman" w:eastAsia="Times New Roman" w:hAnsi="Times New Roman" w:cs="Times New Roman"/>
          <w:sz w:val="24"/>
          <w:szCs w:val="24"/>
        </w:rPr>
        <w:t xml:space="preserve">  The ERO is required to develop Reliability Standards, which are subject to Commission review and approval.</w:t>
      </w:r>
      <w:r w:rsidRPr="006C4EB6">
        <w:rPr>
          <w:rFonts w:ascii="Times New Roman" w:eastAsia="Times New Roman" w:hAnsi="Times New Roman" w:cs="Times New Roman"/>
          <w:sz w:val="24"/>
          <w:szCs w:val="24"/>
          <w:vertAlign w:val="superscript"/>
        </w:rPr>
        <w:footnoteReference w:id="7"/>
      </w:r>
      <w:r w:rsidRPr="006C4EB6">
        <w:rPr>
          <w:rFonts w:ascii="Times New Roman" w:eastAsia="Times New Roman" w:hAnsi="Times New Roman" w:cs="Times New Roman"/>
          <w:sz w:val="24"/>
          <w:szCs w:val="24"/>
        </w:rPr>
        <w:t xml:space="preserve">  The Reliability Standards </w:t>
      </w:r>
      <w:r w:rsidR="000E56B4" w:rsidRPr="006C4EB6">
        <w:rPr>
          <w:rFonts w:ascii="Times New Roman" w:eastAsia="Times New Roman" w:hAnsi="Times New Roman" w:cs="Times New Roman"/>
          <w:sz w:val="24"/>
          <w:szCs w:val="24"/>
        </w:rPr>
        <w:t>appl</w:t>
      </w:r>
      <w:r w:rsidR="000E56B4">
        <w:rPr>
          <w:rFonts w:ascii="Times New Roman" w:eastAsia="Times New Roman" w:hAnsi="Times New Roman" w:cs="Times New Roman"/>
          <w:sz w:val="24"/>
          <w:szCs w:val="24"/>
        </w:rPr>
        <w:t>y</w:t>
      </w:r>
      <w:r w:rsidR="000E56B4" w:rsidRPr="006C4EB6">
        <w:rPr>
          <w:rFonts w:ascii="Times New Roman" w:eastAsia="Times New Roman" w:hAnsi="Times New Roman" w:cs="Times New Roman"/>
          <w:sz w:val="24"/>
          <w:szCs w:val="24"/>
        </w:rPr>
        <w:t xml:space="preserve"> </w:t>
      </w:r>
      <w:r w:rsidRPr="006C4EB6">
        <w:rPr>
          <w:rFonts w:ascii="Times New Roman" w:eastAsia="Times New Roman" w:hAnsi="Times New Roman" w:cs="Times New Roman"/>
          <w:sz w:val="24"/>
          <w:szCs w:val="24"/>
        </w:rPr>
        <w:t xml:space="preserve">to users, owners and operators of the Bulk-Power System, as set forth in each Reliability Standard.  </w:t>
      </w:r>
    </w:p>
    <w:p w14:paraId="3942358C" w14:textId="77777777" w:rsidR="006C4EB6" w:rsidRPr="006C4EB6" w:rsidRDefault="006C4EB6" w:rsidP="006C4EB6">
      <w:pPr>
        <w:spacing w:after="0"/>
        <w:rPr>
          <w:rFonts w:ascii="Times New Roman" w:eastAsia="Times New Roman" w:hAnsi="Times New Roman" w:cs="Times New Roman"/>
          <w:sz w:val="24"/>
          <w:szCs w:val="24"/>
        </w:rPr>
      </w:pPr>
    </w:p>
    <w:p w14:paraId="3C0D037E" w14:textId="77777777" w:rsidR="006C4EB6" w:rsidRDefault="006C4EB6" w:rsidP="006C4EB6">
      <w:pPr>
        <w:spacing w:after="0"/>
        <w:rPr>
          <w:rFonts w:ascii="Times New Roman" w:eastAsia="Times New Roman" w:hAnsi="Times New Roman" w:cs="Times New Roman"/>
          <w:sz w:val="24"/>
          <w:szCs w:val="24"/>
        </w:rPr>
      </w:pPr>
      <w:r w:rsidRPr="006C4EB6">
        <w:rPr>
          <w:rFonts w:ascii="Times New Roman" w:eastAsia="Times New Roman" w:hAnsi="Times New Roman" w:cs="Times New Roman"/>
          <w:sz w:val="24"/>
          <w:szCs w:val="24"/>
        </w:rPr>
        <w:t>Section 215(d</w:t>
      </w:r>
      <w:proofErr w:type="gramStart"/>
      <w:r w:rsidRPr="006C4EB6">
        <w:rPr>
          <w:rFonts w:ascii="Times New Roman" w:eastAsia="Times New Roman" w:hAnsi="Times New Roman" w:cs="Times New Roman"/>
          <w:sz w:val="24"/>
          <w:szCs w:val="24"/>
        </w:rPr>
        <w:t>)(</w:t>
      </w:r>
      <w:proofErr w:type="gramEnd"/>
      <w:r w:rsidRPr="006C4EB6">
        <w:rPr>
          <w:rFonts w:ascii="Times New Roman" w:eastAsia="Times New Roman" w:hAnsi="Times New Roman" w:cs="Times New Roman"/>
          <w:sz w:val="24"/>
          <w:szCs w:val="24"/>
        </w:rPr>
        <w:t>2) of the FPA and the Commission’s regulations provide that the Commission may approve a proposed Reliability Standard if it determines that the proposal is just, reasonable, not unduly discriminatory or preferential, and in the public interest. The Commission specified in Order No. 672 certain general factors it would consider when assessing whether a particular Reliability Standard is just and reasonable.</w:t>
      </w:r>
      <w:r w:rsidRPr="006C4EB6">
        <w:rPr>
          <w:rFonts w:ascii="Times New Roman" w:eastAsia="Times New Roman" w:hAnsi="Times New Roman" w:cs="Times New Roman"/>
          <w:sz w:val="24"/>
          <w:szCs w:val="24"/>
          <w:vertAlign w:val="superscript"/>
        </w:rPr>
        <w:footnoteReference w:id="8"/>
      </w:r>
      <w:r w:rsidRPr="006C4EB6">
        <w:rPr>
          <w:rFonts w:ascii="Times New Roman" w:eastAsia="Times New Roman" w:hAnsi="Times New Roman" w:cs="Times New Roman"/>
          <w:sz w:val="24"/>
          <w:szCs w:val="24"/>
        </w:rPr>
        <w:t xml:space="preserve">  According to this guidance, a Reliability Standard must provide for the Reliable Operation of Bulk-Power System facilities and may impose a requirement on any user, owner or operator of such facilities. It must be designed to achieve a specified reliability goal and must contain a technically sound means to achieve this goal. The Reliability Standard should be clear and unambiguous regarding what is required and who is required to comply.</w:t>
      </w:r>
    </w:p>
    <w:p w14:paraId="6A1C3BC0" w14:textId="77777777" w:rsidR="001D2739" w:rsidRDefault="001D2739" w:rsidP="006C4EB6">
      <w:pPr>
        <w:spacing w:after="0"/>
        <w:rPr>
          <w:rFonts w:ascii="Times New Roman" w:eastAsia="Times New Roman" w:hAnsi="Times New Roman" w:cs="Times New Roman"/>
          <w:sz w:val="24"/>
          <w:szCs w:val="24"/>
        </w:rPr>
      </w:pPr>
    </w:p>
    <w:p w14:paraId="582D201F" w14:textId="7F3EDB1D" w:rsidR="001D2739" w:rsidRDefault="0020084D" w:rsidP="006C4EB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r w:rsidR="00FF012B">
        <w:rPr>
          <w:rFonts w:ascii="Times New Roman" w:eastAsia="Times New Roman" w:hAnsi="Times New Roman" w:cs="Times New Roman"/>
          <w:sz w:val="24"/>
          <w:szCs w:val="24"/>
        </w:rPr>
        <w:t>its</w:t>
      </w:r>
      <w:r>
        <w:rPr>
          <w:rFonts w:ascii="Times New Roman" w:eastAsia="Times New Roman" w:hAnsi="Times New Roman" w:cs="Times New Roman"/>
          <w:sz w:val="24"/>
          <w:szCs w:val="24"/>
        </w:rPr>
        <w:t xml:space="preserve"> petition to the Commission, </w:t>
      </w:r>
      <w:r w:rsidR="001D2739">
        <w:rPr>
          <w:rFonts w:ascii="Times New Roman" w:eastAsia="Times New Roman" w:hAnsi="Times New Roman" w:cs="Times New Roman"/>
          <w:sz w:val="24"/>
          <w:szCs w:val="24"/>
        </w:rPr>
        <w:t xml:space="preserve">NERC </w:t>
      </w:r>
      <w:r>
        <w:rPr>
          <w:rFonts w:ascii="Times New Roman" w:eastAsia="Times New Roman" w:hAnsi="Times New Roman" w:cs="Times New Roman"/>
          <w:sz w:val="24"/>
          <w:szCs w:val="24"/>
        </w:rPr>
        <w:t>states that “Reliability Standards MOD-032-1 and MOD-033-1 are designed to replace, consolidate and improve upon” existing MOD standards, “in addressing system-level modeling data and validation requirements necessary for developing planning models and the Interconnection-wide cases that are integral to analyzing the reliability of the Bulk-Power System.”</w:t>
      </w:r>
      <w:r w:rsidRPr="0020084D">
        <w:rPr>
          <w:rStyle w:val="FootnoteReference"/>
          <w:rFonts w:ascii="Times New Roman" w:eastAsia="Times New Roman" w:hAnsi="Times New Roman" w:cs="Times New Roman"/>
          <w:sz w:val="24"/>
          <w:szCs w:val="24"/>
          <w:vertAlign w:val="superscript"/>
        </w:rPr>
        <w:footnoteReference w:id="9"/>
      </w:r>
      <w:r w:rsidR="00096FAB">
        <w:rPr>
          <w:rFonts w:ascii="Times New Roman" w:eastAsia="Times New Roman" w:hAnsi="Times New Roman" w:cs="Times New Roman"/>
          <w:sz w:val="24"/>
          <w:szCs w:val="24"/>
        </w:rPr>
        <w:t xml:space="preserve">  These sta</w:t>
      </w:r>
      <w:r w:rsidR="00675B9F">
        <w:rPr>
          <w:rFonts w:ascii="Times New Roman" w:eastAsia="Times New Roman" w:hAnsi="Times New Roman" w:cs="Times New Roman"/>
          <w:sz w:val="24"/>
          <w:szCs w:val="24"/>
        </w:rPr>
        <w:t>ndards address FERC directives and recommendations for a NERC white paper.</w:t>
      </w:r>
      <w:r w:rsidR="00675B9F" w:rsidRPr="00675B9F">
        <w:rPr>
          <w:rStyle w:val="FootnoteReference"/>
          <w:rFonts w:ascii="Times New Roman" w:eastAsia="Times New Roman" w:hAnsi="Times New Roman" w:cs="Times New Roman"/>
          <w:sz w:val="24"/>
          <w:szCs w:val="24"/>
          <w:vertAlign w:val="superscript"/>
        </w:rPr>
        <w:footnoteReference w:id="10"/>
      </w:r>
      <w:r w:rsidRPr="00675B9F">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 </w:t>
      </w:r>
    </w:p>
    <w:p w14:paraId="05F358A1" w14:textId="77777777" w:rsidR="00FF012B" w:rsidRDefault="00FF012B" w:rsidP="006C4EB6">
      <w:pPr>
        <w:spacing w:after="0"/>
        <w:rPr>
          <w:rFonts w:ascii="Times New Roman" w:eastAsia="Times New Roman" w:hAnsi="Times New Roman" w:cs="Times New Roman"/>
          <w:sz w:val="24"/>
          <w:szCs w:val="24"/>
        </w:rPr>
      </w:pPr>
    </w:p>
    <w:p w14:paraId="311691D3" w14:textId="3CF2A8BB" w:rsidR="002D51FB" w:rsidRDefault="006A77B8" w:rsidP="006C4EB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Specifically, MOD-032-1 </w:t>
      </w:r>
      <w:r w:rsidR="00ED0D38">
        <w:rPr>
          <w:rFonts w:ascii="Times New Roman" w:eastAsia="Times New Roman" w:hAnsi="Times New Roman" w:cs="Times New Roman"/>
          <w:sz w:val="24"/>
          <w:szCs w:val="24"/>
        </w:rPr>
        <w:t>“</w:t>
      </w:r>
      <w:r>
        <w:rPr>
          <w:rFonts w:ascii="Times New Roman" w:eastAsia="Times New Roman" w:hAnsi="Times New Roman" w:cs="Times New Roman"/>
          <w:sz w:val="24"/>
          <w:szCs w:val="24"/>
        </w:rPr>
        <w:t>requires data submission by applicable data owners to their respective Transmission Planners and Planning Coordinators to support the system wide modeling.</w:t>
      </w:r>
      <w:r w:rsidR="00ED0D38">
        <w:rPr>
          <w:rFonts w:ascii="Times New Roman" w:eastAsia="Times New Roman" w:hAnsi="Times New Roman" w:cs="Times New Roman"/>
          <w:sz w:val="24"/>
          <w:szCs w:val="24"/>
        </w:rPr>
        <w:t>”</w:t>
      </w:r>
      <w:r w:rsidR="002D51FB" w:rsidRPr="00AE619D">
        <w:rPr>
          <w:rStyle w:val="FootnoteReference"/>
          <w:rFonts w:ascii="Times New Roman" w:eastAsia="Times New Roman" w:hAnsi="Times New Roman" w:cs="Times New Roman"/>
          <w:sz w:val="24"/>
          <w:szCs w:val="24"/>
          <w:vertAlign w:val="superscript"/>
        </w:rPr>
        <w:footnoteReference w:id="11"/>
      </w:r>
      <w:r w:rsidRPr="00AE619D">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 </w:t>
      </w:r>
      <w:r w:rsidR="002D51FB">
        <w:rPr>
          <w:rFonts w:ascii="Times New Roman" w:eastAsia="Times New Roman" w:hAnsi="Times New Roman" w:cs="Times New Roman"/>
          <w:sz w:val="24"/>
          <w:szCs w:val="24"/>
        </w:rPr>
        <w:t>NERC says in its petition that,</w:t>
      </w:r>
    </w:p>
    <w:p w14:paraId="443FD3EB" w14:textId="77777777" w:rsidR="00ED0D38" w:rsidRDefault="00ED0D38" w:rsidP="002D51FB">
      <w:pPr>
        <w:spacing w:after="0"/>
        <w:ind w:left="720"/>
        <w:rPr>
          <w:rFonts w:ascii="Times New Roman" w:eastAsia="Times New Roman" w:hAnsi="Times New Roman" w:cs="Times New Roman"/>
          <w:sz w:val="24"/>
          <w:szCs w:val="24"/>
        </w:rPr>
      </w:pPr>
    </w:p>
    <w:p w14:paraId="0895BF58" w14:textId="37AE3E68" w:rsidR="00482D0B" w:rsidRPr="00AE619D" w:rsidRDefault="009B6841" w:rsidP="00AE619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Power system studies rely on models to predict system performance under various conditions.  Calculation of operating limits, planning studies for assessments of new generation and load growth, and performance assessments of system integrity protection schemes are examples of studies that depend on accurate mathematical representations of transmission, generation and load.  If models are too optimistic, it could result in grid under-investment, unsafe operating conditions, and power outages.  In contrast, pessimistic models can result in overly conservative grid operation and under-utilization of network capacity.  It is thus vital that models, including all of their data, are complete, accurate, and up to date.  </w:t>
      </w:r>
    </w:p>
    <w:p w14:paraId="60037E93" w14:textId="77777777" w:rsidR="002D51FB" w:rsidRDefault="002D51FB" w:rsidP="006C4EB6">
      <w:pPr>
        <w:spacing w:after="0"/>
        <w:rPr>
          <w:rFonts w:ascii="Times New Roman" w:eastAsia="Times New Roman" w:hAnsi="Times New Roman" w:cs="Times New Roman"/>
          <w:sz w:val="24"/>
          <w:szCs w:val="24"/>
        </w:rPr>
      </w:pPr>
    </w:p>
    <w:p w14:paraId="6736BBCC" w14:textId="1D3C1DD4" w:rsidR="0017125E" w:rsidRDefault="0017125E" w:rsidP="0017125E">
      <w:pPr>
        <w:spacing w:after="0"/>
        <w:rPr>
          <w:rFonts w:ascii="Times New Roman" w:eastAsia="Times New Roman" w:hAnsi="Times New Roman" w:cs="Times New Roman"/>
          <w:sz w:val="24"/>
          <w:szCs w:val="24"/>
        </w:rPr>
      </w:pPr>
      <w:r w:rsidRPr="00AE619D">
        <w:rPr>
          <w:rFonts w:ascii="Times New Roman" w:eastAsia="Times New Roman" w:hAnsi="Times New Roman" w:cs="Times New Roman"/>
          <w:sz w:val="24"/>
          <w:szCs w:val="24"/>
          <w:u w:val="single"/>
        </w:rPr>
        <w:t xml:space="preserve">The information collection requirements associated with the </w:t>
      </w:r>
      <w:r w:rsidRPr="00AE619D">
        <w:rPr>
          <w:rFonts w:ascii="Times New Roman" w:eastAsia="Times New Roman" w:hAnsi="Times New Roman" w:cs="Times New Roman"/>
          <w:b/>
          <w:sz w:val="24"/>
          <w:szCs w:val="24"/>
          <w:u w:val="single"/>
        </w:rPr>
        <w:t>MOD-032-1 Reliability Standard</w:t>
      </w:r>
      <w:r w:rsidRPr="00AE619D">
        <w:rPr>
          <w:rFonts w:ascii="Times New Roman" w:eastAsia="Times New Roman" w:hAnsi="Times New Roman" w:cs="Times New Roman"/>
          <w:sz w:val="24"/>
          <w:szCs w:val="24"/>
          <w:u w:val="single"/>
        </w:rPr>
        <w:t xml:space="preserve"> are</w:t>
      </w:r>
      <w:r>
        <w:rPr>
          <w:rFonts w:ascii="Times New Roman" w:eastAsia="Times New Roman" w:hAnsi="Times New Roman" w:cs="Times New Roman"/>
          <w:sz w:val="24"/>
          <w:szCs w:val="24"/>
        </w:rPr>
        <w:t>:</w:t>
      </w:r>
    </w:p>
    <w:p w14:paraId="632BAA96" w14:textId="77777777" w:rsidR="0017125E" w:rsidRDefault="0017125E" w:rsidP="0017125E">
      <w:pPr>
        <w:spacing w:after="0"/>
        <w:rPr>
          <w:rFonts w:ascii="Times New Roman" w:eastAsia="Times New Roman" w:hAnsi="Times New Roman" w:cs="Times New Roman"/>
          <w:sz w:val="24"/>
          <w:szCs w:val="24"/>
        </w:rPr>
      </w:pPr>
    </w:p>
    <w:p w14:paraId="53FA73A9" w14:textId="5B6F30A5" w:rsidR="0017125E" w:rsidRPr="0017125E" w:rsidRDefault="0017125E" w:rsidP="0017125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R1. </w:t>
      </w:r>
      <w:r w:rsidRPr="0017125E">
        <w:rPr>
          <w:rFonts w:ascii="Times New Roman" w:eastAsia="Times New Roman" w:hAnsi="Times New Roman" w:cs="Times New Roman"/>
          <w:sz w:val="24"/>
          <w:szCs w:val="24"/>
        </w:rPr>
        <w:t>Each Planning Coordinator and each of its Transmission</w:t>
      </w:r>
      <w:r>
        <w:rPr>
          <w:rFonts w:ascii="Times New Roman" w:eastAsia="Times New Roman" w:hAnsi="Times New Roman" w:cs="Times New Roman"/>
          <w:sz w:val="24"/>
          <w:szCs w:val="24"/>
        </w:rPr>
        <w:t xml:space="preserve"> Planners shall jointly develop </w:t>
      </w:r>
      <w:r w:rsidRPr="0017125E">
        <w:rPr>
          <w:rFonts w:ascii="Times New Roman" w:eastAsia="Times New Roman" w:hAnsi="Times New Roman" w:cs="Times New Roman"/>
          <w:sz w:val="24"/>
          <w:szCs w:val="24"/>
        </w:rPr>
        <w:t>steady-state, dynamics, and short circuit modeling d</w:t>
      </w:r>
      <w:r>
        <w:rPr>
          <w:rFonts w:ascii="Times New Roman" w:eastAsia="Times New Roman" w:hAnsi="Times New Roman" w:cs="Times New Roman"/>
          <w:sz w:val="24"/>
          <w:szCs w:val="24"/>
        </w:rPr>
        <w:t xml:space="preserve">ata requirements and reporting </w:t>
      </w:r>
      <w:r w:rsidRPr="0017125E">
        <w:rPr>
          <w:rFonts w:ascii="Times New Roman" w:eastAsia="Times New Roman" w:hAnsi="Times New Roman" w:cs="Times New Roman"/>
          <w:sz w:val="24"/>
          <w:szCs w:val="24"/>
        </w:rPr>
        <w:t xml:space="preserve">procedures for the Planning Coordinator’s planning area that include: [Violation Risk </w:t>
      </w:r>
    </w:p>
    <w:p w14:paraId="4A33E9BE" w14:textId="77777777" w:rsidR="0017125E" w:rsidRPr="0017125E" w:rsidRDefault="0017125E" w:rsidP="0017125E">
      <w:pPr>
        <w:spacing w:after="0"/>
        <w:rPr>
          <w:rFonts w:ascii="Times New Roman" w:eastAsia="Times New Roman" w:hAnsi="Times New Roman" w:cs="Times New Roman"/>
          <w:sz w:val="24"/>
          <w:szCs w:val="24"/>
        </w:rPr>
      </w:pPr>
      <w:r w:rsidRPr="0017125E">
        <w:rPr>
          <w:rFonts w:ascii="Times New Roman" w:eastAsia="Times New Roman" w:hAnsi="Times New Roman" w:cs="Times New Roman"/>
          <w:sz w:val="24"/>
          <w:szCs w:val="24"/>
        </w:rPr>
        <w:t>Factor: Lower] [Time Horizon: Long-term Planning]</w:t>
      </w:r>
    </w:p>
    <w:p w14:paraId="449B0593" w14:textId="77777777" w:rsidR="0017125E" w:rsidRPr="0017125E" w:rsidRDefault="0017125E" w:rsidP="00AE619D">
      <w:pPr>
        <w:spacing w:after="0"/>
        <w:ind w:firstLine="720"/>
        <w:rPr>
          <w:rFonts w:ascii="Times New Roman" w:eastAsia="Times New Roman" w:hAnsi="Times New Roman" w:cs="Times New Roman"/>
          <w:sz w:val="24"/>
          <w:szCs w:val="24"/>
        </w:rPr>
      </w:pPr>
      <w:r w:rsidRPr="0017125E">
        <w:rPr>
          <w:rFonts w:ascii="Times New Roman" w:eastAsia="Times New Roman" w:hAnsi="Times New Roman" w:cs="Times New Roman"/>
          <w:sz w:val="24"/>
          <w:szCs w:val="24"/>
        </w:rPr>
        <w:t>1.1. The data listed in Attachment 1.</w:t>
      </w:r>
    </w:p>
    <w:p w14:paraId="0A31B34B" w14:textId="77777777" w:rsidR="0017125E" w:rsidRPr="0017125E" w:rsidRDefault="0017125E" w:rsidP="00AE619D">
      <w:pPr>
        <w:spacing w:after="0"/>
        <w:ind w:firstLine="720"/>
        <w:rPr>
          <w:rFonts w:ascii="Times New Roman" w:eastAsia="Times New Roman" w:hAnsi="Times New Roman" w:cs="Times New Roman"/>
          <w:sz w:val="24"/>
          <w:szCs w:val="24"/>
        </w:rPr>
      </w:pPr>
      <w:r w:rsidRPr="0017125E">
        <w:rPr>
          <w:rFonts w:ascii="Times New Roman" w:eastAsia="Times New Roman" w:hAnsi="Times New Roman" w:cs="Times New Roman"/>
          <w:sz w:val="24"/>
          <w:szCs w:val="24"/>
        </w:rPr>
        <w:t xml:space="preserve">1.2. Specifications of the following items consistent with procedures for building the </w:t>
      </w:r>
    </w:p>
    <w:p w14:paraId="2FB80463" w14:textId="77777777" w:rsidR="0017125E" w:rsidRPr="0017125E" w:rsidRDefault="0017125E" w:rsidP="0017125E">
      <w:pPr>
        <w:spacing w:after="0"/>
        <w:rPr>
          <w:rFonts w:ascii="Times New Roman" w:eastAsia="Times New Roman" w:hAnsi="Times New Roman" w:cs="Times New Roman"/>
          <w:sz w:val="24"/>
          <w:szCs w:val="24"/>
        </w:rPr>
      </w:pPr>
      <w:r w:rsidRPr="0017125E">
        <w:rPr>
          <w:rFonts w:ascii="Times New Roman" w:eastAsia="Times New Roman" w:hAnsi="Times New Roman" w:cs="Times New Roman"/>
          <w:sz w:val="24"/>
          <w:szCs w:val="24"/>
        </w:rPr>
        <w:t>Interconnection-wide case(s):</w:t>
      </w:r>
    </w:p>
    <w:p w14:paraId="418D1006" w14:textId="77777777" w:rsidR="0017125E" w:rsidRPr="0017125E" w:rsidRDefault="0017125E" w:rsidP="00AE619D">
      <w:pPr>
        <w:spacing w:after="0"/>
        <w:ind w:left="720" w:firstLine="720"/>
        <w:rPr>
          <w:rFonts w:ascii="Times New Roman" w:eastAsia="Times New Roman" w:hAnsi="Times New Roman" w:cs="Times New Roman"/>
          <w:sz w:val="24"/>
          <w:szCs w:val="24"/>
        </w:rPr>
      </w:pPr>
      <w:r w:rsidRPr="0017125E">
        <w:rPr>
          <w:rFonts w:ascii="Times New Roman" w:eastAsia="Times New Roman" w:hAnsi="Times New Roman" w:cs="Times New Roman"/>
          <w:sz w:val="24"/>
          <w:szCs w:val="24"/>
        </w:rPr>
        <w:t>1.2.1. Data format;</w:t>
      </w:r>
    </w:p>
    <w:p w14:paraId="5BAC89A6" w14:textId="77777777" w:rsidR="0017125E" w:rsidRPr="0017125E" w:rsidRDefault="0017125E" w:rsidP="00AE619D">
      <w:pPr>
        <w:spacing w:after="0"/>
        <w:ind w:left="720" w:firstLine="720"/>
        <w:rPr>
          <w:rFonts w:ascii="Times New Roman" w:eastAsia="Times New Roman" w:hAnsi="Times New Roman" w:cs="Times New Roman"/>
          <w:sz w:val="24"/>
          <w:szCs w:val="24"/>
        </w:rPr>
      </w:pPr>
      <w:r w:rsidRPr="0017125E">
        <w:rPr>
          <w:rFonts w:ascii="Times New Roman" w:eastAsia="Times New Roman" w:hAnsi="Times New Roman" w:cs="Times New Roman"/>
          <w:sz w:val="24"/>
          <w:szCs w:val="24"/>
        </w:rPr>
        <w:t>1.2.2. Level of detail to which equipment shall be modeled;</w:t>
      </w:r>
    </w:p>
    <w:p w14:paraId="05298C7C" w14:textId="77777777" w:rsidR="0017125E" w:rsidRPr="0017125E" w:rsidRDefault="0017125E" w:rsidP="00AE619D">
      <w:pPr>
        <w:spacing w:after="0"/>
        <w:ind w:left="720" w:firstLine="720"/>
        <w:rPr>
          <w:rFonts w:ascii="Times New Roman" w:eastAsia="Times New Roman" w:hAnsi="Times New Roman" w:cs="Times New Roman"/>
          <w:sz w:val="24"/>
          <w:szCs w:val="24"/>
        </w:rPr>
      </w:pPr>
      <w:r w:rsidRPr="0017125E">
        <w:rPr>
          <w:rFonts w:ascii="Times New Roman" w:eastAsia="Times New Roman" w:hAnsi="Times New Roman" w:cs="Times New Roman"/>
          <w:sz w:val="24"/>
          <w:szCs w:val="24"/>
        </w:rPr>
        <w:t>1.2.3. Case types or scenarios to be modeled; and</w:t>
      </w:r>
    </w:p>
    <w:p w14:paraId="48D85276" w14:textId="2BCFB845" w:rsidR="0017125E" w:rsidRPr="0017125E" w:rsidRDefault="0017125E" w:rsidP="00AE619D">
      <w:pPr>
        <w:spacing w:after="0"/>
        <w:ind w:left="720" w:firstLine="720"/>
        <w:rPr>
          <w:rFonts w:ascii="Times New Roman" w:eastAsia="Times New Roman" w:hAnsi="Times New Roman" w:cs="Times New Roman"/>
          <w:sz w:val="24"/>
          <w:szCs w:val="24"/>
        </w:rPr>
      </w:pPr>
      <w:r w:rsidRPr="0017125E">
        <w:rPr>
          <w:rFonts w:ascii="Times New Roman" w:eastAsia="Times New Roman" w:hAnsi="Times New Roman" w:cs="Times New Roman"/>
          <w:sz w:val="24"/>
          <w:szCs w:val="24"/>
        </w:rPr>
        <w:t xml:space="preserve">1.2.4. A schedule for submission of data </w:t>
      </w:r>
      <w:r>
        <w:rPr>
          <w:rFonts w:ascii="Times New Roman" w:eastAsia="Times New Roman" w:hAnsi="Times New Roman" w:cs="Times New Roman"/>
          <w:sz w:val="24"/>
          <w:szCs w:val="24"/>
        </w:rPr>
        <w:t xml:space="preserve">at least once every 13 calendar </w:t>
      </w:r>
      <w:r w:rsidRPr="0017125E">
        <w:rPr>
          <w:rFonts w:ascii="Times New Roman" w:eastAsia="Times New Roman" w:hAnsi="Times New Roman" w:cs="Times New Roman"/>
          <w:sz w:val="24"/>
          <w:szCs w:val="24"/>
        </w:rPr>
        <w:t xml:space="preserve">months.MOD-032-1 — Data for Power System Modeling and Analysis </w:t>
      </w:r>
    </w:p>
    <w:p w14:paraId="02D51E5B" w14:textId="27F2EA4B" w:rsidR="0017125E" w:rsidRDefault="0017125E" w:rsidP="00AE619D">
      <w:pPr>
        <w:spacing w:after="0"/>
        <w:ind w:firstLine="720"/>
        <w:rPr>
          <w:rFonts w:ascii="Times New Roman" w:eastAsia="Times New Roman" w:hAnsi="Times New Roman" w:cs="Times New Roman"/>
          <w:sz w:val="24"/>
          <w:szCs w:val="24"/>
        </w:rPr>
      </w:pPr>
      <w:r w:rsidRPr="0017125E">
        <w:rPr>
          <w:rFonts w:ascii="Times New Roman" w:eastAsia="Times New Roman" w:hAnsi="Times New Roman" w:cs="Times New Roman"/>
          <w:sz w:val="24"/>
          <w:szCs w:val="24"/>
        </w:rPr>
        <w:t>1.3. Specifications for distribution or posting of the data requirements and reporting procedures so that they are available to those ent</w:t>
      </w:r>
      <w:r>
        <w:rPr>
          <w:rFonts w:ascii="Times New Roman" w:eastAsia="Times New Roman" w:hAnsi="Times New Roman" w:cs="Times New Roman"/>
          <w:sz w:val="24"/>
          <w:szCs w:val="24"/>
        </w:rPr>
        <w:t xml:space="preserve">ities responsible for providing </w:t>
      </w:r>
      <w:r w:rsidRPr="0017125E">
        <w:rPr>
          <w:rFonts w:ascii="Times New Roman" w:eastAsia="Times New Roman" w:hAnsi="Times New Roman" w:cs="Times New Roman"/>
          <w:sz w:val="24"/>
          <w:szCs w:val="24"/>
        </w:rPr>
        <w:t>the data.</w:t>
      </w:r>
    </w:p>
    <w:p w14:paraId="0E8F6DA4" w14:textId="77777777" w:rsidR="0017125E" w:rsidRPr="0017125E" w:rsidRDefault="0017125E" w:rsidP="0017125E">
      <w:pPr>
        <w:spacing w:after="0"/>
        <w:rPr>
          <w:rFonts w:ascii="Times New Roman" w:eastAsia="Times New Roman" w:hAnsi="Times New Roman" w:cs="Times New Roman"/>
          <w:sz w:val="24"/>
          <w:szCs w:val="24"/>
        </w:rPr>
      </w:pPr>
    </w:p>
    <w:p w14:paraId="550AA55E" w14:textId="7F80E7F1" w:rsidR="0017125E" w:rsidRDefault="0017125E" w:rsidP="0017125E">
      <w:pPr>
        <w:spacing w:after="0"/>
        <w:rPr>
          <w:rFonts w:ascii="Times New Roman" w:eastAsia="Times New Roman" w:hAnsi="Times New Roman" w:cs="Times New Roman"/>
          <w:sz w:val="24"/>
          <w:szCs w:val="24"/>
        </w:rPr>
      </w:pPr>
      <w:r w:rsidRPr="0017125E">
        <w:rPr>
          <w:rFonts w:ascii="Times New Roman" w:eastAsia="Times New Roman" w:hAnsi="Times New Roman" w:cs="Times New Roman"/>
          <w:sz w:val="24"/>
          <w:szCs w:val="24"/>
        </w:rPr>
        <w:t>M1. Each Planning Coordinator and Transmission Planner shal</w:t>
      </w:r>
      <w:r>
        <w:rPr>
          <w:rFonts w:ascii="Times New Roman" w:eastAsia="Times New Roman" w:hAnsi="Times New Roman" w:cs="Times New Roman"/>
          <w:sz w:val="24"/>
          <w:szCs w:val="24"/>
        </w:rPr>
        <w:t xml:space="preserve">l provide evidence that it has </w:t>
      </w:r>
      <w:r w:rsidRPr="0017125E">
        <w:rPr>
          <w:rFonts w:ascii="Times New Roman" w:eastAsia="Times New Roman" w:hAnsi="Times New Roman" w:cs="Times New Roman"/>
          <w:sz w:val="24"/>
          <w:szCs w:val="24"/>
        </w:rPr>
        <w:t>jointly developed the required modeling data require</w:t>
      </w:r>
      <w:r>
        <w:rPr>
          <w:rFonts w:ascii="Times New Roman" w:eastAsia="Times New Roman" w:hAnsi="Times New Roman" w:cs="Times New Roman"/>
          <w:sz w:val="24"/>
          <w:szCs w:val="24"/>
        </w:rPr>
        <w:t xml:space="preserve">ments and reporting procedures </w:t>
      </w:r>
      <w:r w:rsidRPr="0017125E">
        <w:rPr>
          <w:rFonts w:ascii="Times New Roman" w:eastAsia="Times New Roman" w:hAnsi="Times New Roman" w:cs="Times New Roman"/>
          <w:sz w:val="24"/>
          <w:szCs w:val="24"/>
        </w:rPr>
        <w:t>specified in Requirement R1.</w:t>
      </w:r>
    </w:p>
    <w:p w14:paraId="2F6DF423" w14:textId="77777777" w:rsidR="0017125E" w:rsidRPr="0017125E" w:rsidRDefault="0017125E" w:rsidP="0017125E">
      <w:pPr>
        <w:spacing w:after="0"/>
        <w:rPr>
          <w:rFonts w:ascii="Times New Roman" w:eastAsia="Times New Roman" w:hAnsi="Times New Roman" w:cs="Times New Roman"/>
          <w:sz w:val="24"/>
          <w:szCs w:val="24"/>
        </w:rPr>
      </w:pPr>
    </w:p>
    <w:p w14:paraId="1476EB68" w14:textId="77777777" w:rsidR="0017125E" w:rsidRPr="0017125E" w:rsidRDefault="0017125E" w:rsidP="0017125E">
      <w:pPr>
        <w:spacing w:after="0"/>
        <w:rPr>
          <w:rFonts w:ascii="Times New Roman" w:eastAsia="Times New Roman" w:hAnsi="Times New Roman" w:cs="Times New Roman"/>
          <w:sz w:val="24"/>
          <w:szCs w:val="24"/>
        </w:rPr>
      </w:pPr>
      <w:r w:rsidRPr="0017125E">
        <w:rPr>
          <w:rFonts w:ascii="Times New Roman" w:eastAsia="Times New Roman" w:hAnsi="Times New Roman" w:cs="Times New Roman"/>
          <w:sz w:val="24"/>
          <w:szCs w:val="24"/>
        </w:rPr>
        <w:t xml:space="preserve">R2. Each Balancing Authority, Generator Owner, Load Serving Entity, Resource Planner, </w:t>
      </w:r>
    </w:p>
    <w:p w14:paraId="15F1E66D" w14:textId="441FE477" w:rsidR="0017125E" w:rsidRPr="0017125E" w:rsidRDefault="0017125E" w:rsidP="0017125E">
      <w:pPr>
        <w:spacing w:after="0"/>
        <w:rPr>
          <w:rFonts w:ascii="Times New Roman" w:eastAsia="Times New Roman" w:hAnsi="Times New Roman" w:cs="Times New Roman"/>
          <w:sz w:val="24"/>
          <w:szCs w:val="24"/>
        </w:rPr>
      </w:pPr>
      <w:r w:rsidRPr="0017125E">
        <w:rPr>
          <w:rFonts w:ascii="Times New Roman" w:eastAsia="Times New Roman" w:hAnsi="Times New Roman" w:cs="Times New Roman"/>
          <w:sz w:val="24"/>
          <w:szCs w:val="24"/>
        </w:rPr>
        <w:lastRenderedPageBreak/>
        <w:t xml:space="preserve">Transmission </w:t>
      </w:r>
      <w:proofErr w:type="gramStart"/>
      <w:r w:rsidRPr="0017125E">
        <w:rPr>
          <w:rFonts w:ascii="Times New Roman" w:eastAsia="Times New Roman" w:hAnsi="Times New Roman" w:cs="Times New Roman"/>
          <w:sz w:val="24"/>
          <w:szCs w:val="24"/>
        </w:rPr>
        <w:t>Owner,</w:t>
      </w:r>
      <w:proofErr w:type="gramEnd"/>
      <w:r w:rsidRPr="0017125E">
        <w:rPr>
          <w:rFonts w:ascii="Times New Roman" w:eastAsia="Times New Roman" w:hAnsi="Times New Roman" w:cs="Times New Roman"/>
          <w:sz w:val="24"/>
          <w:szCs w:val="24"/>
        </w:rPr>
        <w:t xml:space="preserve"> and Transmission Service Provid</w:t>
      </w:r>
      <w:r>
        <w:rPr>
          <w:rFonts w:ascii="Times New Roman" w:eastAsia="Times New Roman" w:hAnsi="Times New Roman" w:cs="Times New Roman"/>
          <w:sz w:val="24"/>
          <w:szCs w:val="24"/>
        </w:rPr>
        <w:t xml:space="preserve">er shall provide steady-state, </w:t>
      </w:r>
      <w:r w:rsidRPr="0017125E">
        <w:rPr>
          <w:rFonts w:ascii="Times New Roman" w:eastAsia="Times New Roman" w:hAnsi="Times New Roman" w:cs="Times New Roman"/>
          <w:sz w:val="24"/>
          <w:szCs w:val="24"/>
        </w:rPr>
        <w:t>dynamics, and short circuit modeling data to its Transm</w:t>
      </w:r>
      <w:r>
        <w:rPr>
          <w:rFonts w:ascii="Times New Roman" w:eastAsia="Times New Roman" w:hAnsi="Times New Roman" w:cs="Times New Roman"/>
          <w:sz w:val="24"/>
          <w:szCs w:val="24"/>
        </w:rPr>
        <w:t xml:space="preserve">ission Planner(s) and Planning </w:t>
      </w:r>
      <w:r w:rsidRPr="0017125E">
        <w:rPr>
          <w:rFonts w:ascii="Times New Roman" w:eastAsia="Times New Roman" w:hAnsi="Times New Roman" w:cs="Times New Roman"/>
          <w:sz w:val="24"/>
          <w:szCs w:val="24"/>
        </w:rPr>
        <w:t>Coordinator(s) according to the data requirements and reporting p</w:t>
      </w:r>
      <w:r>
        <w:rPr>
          <w:rFonts w:ascii="Times New Roman" w:eastAsia="Times New Roman" w:hAnsi="Times New Roman" w:cs="Times New Roman"/>
          <w:sz w:val="24"/>
          <w:szCs w:val="24"/>
        </w:rPr>
        <w:t xml:space="preserve">rocedures </w:t>
      </w:r>
      <w:r w:rsidRPr="0017125E">
        <w:rPr>
          <w:rFonts w:ascii="Times New Roman" w:eastAsia="Times New Roman" w:hAnsi="Times New Roman" w:cs="Times New Roman"/>
          <w:sz w:val="24"/>
          <w:szCs w:val="24"/>
        </w:rPr>
        <w:t>developed by its Planning Coordinator and Transmiss</w:t>
      </w:r>
      <w:r>
        <w:rPr>
          <w:rFonts w:ascii="Times New Roman" w:eastAsia="Times New Roman" w:hAnsi="Times New Roman" w:cs="Times New Roman"/>
          <w:sz w:val="24"/>
          <w:szCs w:val="24"/>
        </w:rPr>
        <w:t xml:space="preserve">ion Planner in Requirement R1. </w:t>
      </w:r>
      <w:r w:rsidRPr="0017125E">
        <w:rPr>
          <w:rFonts w:ascii="Times New Roman" w:eastAsia="Times New Roman" w:hAnsi="Times New Roman" w:cs="Times New Roman"/>
          <w:sz w:val="24"/>
          <w:szCs w:val="24"/>
        </w:rPr>
        <w:t>For data that has not changed since the last submissio</w:t>
      </w:r>
      <w:r>
        <w:rPr>
          <w:rFonts w:ascii="Times New Roman" w:eastAsia="Times New Roman" w:hAnsi="Times New Roman" w:cs="Times New Roman"/>
          <w:sz w:val="24"/>
          <w:szCs w:val="24"/>
        </w:rPr>
        <w:t xml:space="preserve">n, a written confirmation that </w:t>
      </w:r>
      <w:r w:rsidRPr="0017125E">
        <w:rPr>
          <w:rFonts w:ascii="Times New Roman" w:eastAsia="Times New Roman" w:hAnsi="Times New Roman" w:cs="Times New Roman"/>
          <w:sz w:val="24"/>
          <w:szCs w:val="24"/>
        </w:rPr>
        <w:t xml:space="preserve">the data has not changed is sufficient. [Violation Risk Factor: Medium] [Time Horizon: </w:t>
      </w:r>
    </w:p>
    <w:p w14:paraId="7C219978" w14:textId="77777777" w:rsidR="0017125E" w:rsidRDefault="0017125E" w:rsidP="0017125E">
      <w:pPr>
        <w:spacing w:after="0"/>
        <w:rPr>
          <w:rFonts w:ascii="Times New Roman" w:eastAsia="Times New Roman" w:hAnsi="Times New Roman" w:cs="Times New Roman"/>
          <w:sz w:val="24"/>
          <w:szCs w:val="24"/>
        </w:rPr>
      </w:pPr>
      <w:r w:rsidRPr="0017125E">
        <w:rPr>
          <w:rFonts w:ascii="Times New Roman" w:eastAsia="Times New Roman" w:hAnsi="Times New Roman" w:cs="Times New Roman"/>
          <w:sz w:val="24"/>
          <w:szCs w:val="24"/>
        </w:rPr>
        <w:t>Long-term Planning]</w:t>
      </w:r>
    </w:p>
    <w:p w14:paraId="283BA81A" w14:textId="77777777" w:rsidR="0017125E" w:rsidRPr="0017125E" w:rsidRDefault="0017125E" w:rsidP="0017125E">
      <w:pPr>
        <w:spacing w:after="0"/>
        <w:rPr>
          <w:rFonts w:ascii="Times New Roman" w:eastAsia="Times New Roman" w:hAnsi="Times New Roman" w:cs="Times New Roman"/>
          <w:sz w:val="24"/>
          <w:szCs w:val="24"/>
        </w:rPr>
      </w:pPr>
    </w:p>
    <w:p w14:paraId="601109F2" w14:textId="3618A8B4" w:rsidR="0017125E" w:rsidRPr="0017125E" w:rsidRDefault="0017125E" w:rsidP="0017125E">
      <w:pPr>
        <w:spacing w:after="0"/>
        <w:rPr>
          <w:rFonts w:ascii="Times New Roman" w:eastAsia="Times New Roman" w:hAnsi="Times New Roman" w:cs="Times New Roman"/>
          <w:sz w:val="24"/>
          <w:szCs w:val="24"/>
        </w:rPr>
      </w:pPr>
      <w:r w:rsidRPr="0017125E">
        <w:rPr>
          <w:rFonts w:ascii="Times New Roman" w:eastAsia="Times New Roman" w:hAnsi="Times New Roman" w:cs="Times New Roman"/>
          <w:sz w:val="24"/>
          <w:szCs w:val="24"/>
        </w:rPr>
        <w:t>M2. Each registered entity identified in Requirement R2 s</w:t>
      </w:r>
      <w:r>
        <w:rPr>
          <w:rFonts w:ascii="Times New Roman" w:eastAsia="Times New Roman" w:hAnsi="Times New Roman" w:cs="Times New Roman"/>
          <w:sz w:val="24"/>
          <w:szCs w:val="24"/>
        </w:rPr>
        <w:t xml:space="preserve">hall provide evidence, such as </w:t>
      </w:r>
      <w:r w:rsidRPr="0017125E">
        <w:rPr>
          <w:rFonts w:ascii="Times New Roman" w:eastAsia="Times New Roman" w:hAnsi="Times New Roman" w:cs="Times New Roman"/>
          <w:sz w:val="24"/>
          <w:szCs w:val="24"/>
        </w:rPr>
        <w:t>email records or postal receipts showing recipient and d</w:t>
      </w:r>
      <w:r>
        <w:rPr>
          <w:rFonts w:ascii="Times New Roman" w:eastAsia="Times New Roman" w:hAnsi="Times New Roman" w:cs="Times New Roman"/>
          <w:sz w:val="24"/>
          <w:szCs w:val="24"/>
        </w:rPr>
        <w:t xml:space="preserve">ate, that it has submitted the </w:t>
      </w:r>
      <w:r w:rsidRPr="0017125E">
        <w:rPr>
          <w:rFonts w:ascii="Times New Roman" w:eastAsia="Times New Roman" w:hAnsi="Times New Roman" w:cs="Times New Roman"/>
          <w:sz w:val="24"/>
          <w:szCs w:val="24"/>
        </w:rPr>
        <w:t>required modeling data to its Transmission Planner(s) a</w:t>
      </w:r>
      <w:r>
        <w:rPr>
          <w:rFonts w:ascii="Times New Roman" w:eastAsia="Times New Roman" w:hAnsi="Times New Roman" w:cs="Times New Roman"/>
          <w:sz w:val="24"/>
          <w:szCs w:val="24"/>
        </w:rPr>
        <w:t xml:space="preserve">nd Planning Coordinator(s); or </w:t>
      </w:r>
      <w:r w:rsidRPr="0017125E">
        <w:rPr>
          <w:rFonts w:ascii="Times New Roman" w:eastAsia="Times New Roman" w:hAnsi="Times New Roman" w:cs="Times New Roman"/>
          <w:sz w:val="24"/>
          <w:szCs w:val="24"/>
        </w:rPr>
        <w:t>written confirmation that the data has not changed.</w:t>
      </w:r>
    </w:p>
    <w:p w14:paraId="6B0CC845" w14:textId="77777777" w:rsidR="0017125E" w:rsidRDefault="0017125E" w:rsidP="0017125E">
      <w:pPr>
        <w:spacing w:after="0"/>
        <w:rPr>
          <w:rFonts w:ascii="Times New Roman" w:eastAsia="Times New Roman" w:hAnsi="Times New Roman" w:cs="Times New Roman"/>
          <w:sz w:val="24"/>
          <w:szCs w:val="24"/>
        </w:rPr>
      </w:pPr>
    </w:p>
    <w:p w14:paraId="742B32B8" w14:textId="48DD4E13" w:rsidR="0017125E" w:rsidRPr="0017125E" w:rsidRDefault="0017125E" w:rsidP="0017125E">
      <w:pPr>
        <w:spacing w:after="0"/>
        <w:rPr>
          <w:rFonts w:ascii="Times New Roman" w:eastAsia="Times New Roman" w:hAnsi="Times New Roman" w:cs="Times New Roman"/>
          <w:sz w:val="24"/>
          <w:szCs w:val="24"/>
        </w:rPr>
      </w:pPr>
      <w:r w:rsidRPr="0017125E">
        <w:rPr>
          <w:rFonts w:ascii="Times New Roman" w:eastAsia="Times New Roman" w:hAnsi="Times New Roman" w:cs="Times New Roman"/>
          <w:sz w:val="24"/>
          <w:szCs w:val="24"/>
        </w:rPr>
        <w:t>R3. Upon receipt of written notification from its Planni</w:t>
      </w:r>
      <w:r>
        <w:rPr>
          <w:rFonts w:ascii="Times New Roman" w:eastAsia="Times New Roman" w:hAnsi="Times New Roman" w:cs="Times New Roman"/>
          <w:sz w:val="24"/>
          <w:szCs w:val="24"/>
        </w:rPr>
        <w:t xml:space="preserve">ng Coordinator or Transmission </w:t>
      </w:r>
      <w:r w:rsidRPr="0017125E">
        <w:rPr>
          <w:rFonts w:ascii="Times New Roman" w:eastAsia="Times New Roman" w:hAnsi="Times New Roman" w:cs="Times New Roman"/>
          <w:sz w:val="24"/>
          <w:szCs w:val="24"/>
        </w:rPr>
        <w:t>Planner regarding technical concerns with the data s</w:t>
      </w:r>
      <w:r>
        <w:rPr>
          <w:rFonts w:ascii="Times New Roman" w:eastAsia="Times New Roman" w:hAnsi="Times New Roman" w:cs="Times New Roman"/>
          <w:sz w:val="24"/>
          <w:szCs w:val="24"/>
        </w:rPr>
        <w:t xml:space="preserve">ubmitted under Requirement R2, including the </w:t>
      </w:r>
      <w:r w:rsidRPr="0017125E">
        <w:rPr>
          <w:rFonts w:ascii="Times New Roman" w:eastAsia="Times New Roman" w:hAnsi="Times New Roman" w:cs="Times New Roman"/>
          <w:sz w:val="24"/>
          <w:szCs w:val="24"/>
        </w:rPr>
        <w:t>technical basis or reason for the technical concerns, each notified</w:t>
      </w:r>
    </w:p>
    <w:p w14:paraId="3845B7F4" w14:textId="77777777" w:rsidR="0017125E" w:rsidRPr="0017125E" w:rsidRDefault="0017125E" w:rsidP="0017125E">
      <w:pPr>
        <w:spacing w:after="0"/>
        <w:rPr>
          <w:rFonts w:ascii="Times New Roman" w:eastAsia="Times New Roman" w:hAnsi="Times New Roman" w:cs="Times New Roman"/>
          <w:sz w:val="24"/>
          <w:szCs w:val="24"/>
        </w:rPr>
      </w:pPr>
      <w:r w:rsidRPr="0017125E">
        <w:rPr>
          <w:rFonts w:ascii="Times New Roman" w:eastAsia="Times New Roman" w:hAnsi="Times New Roman" w:cs="Times New Roman"/>
          <w:sz w:val="24"/>
          <w:szCs w:val="24"/>
        </w:rPr>
        <w:t xml:space="preserve">Balancing Authority, Generator Owner, Load Serving Entity, Resource Planner, </w:t>
      </w:r>
    </w:p>
    <w:p w14:paraId="65AEE6D4" w14:textId="77777777" w:rsidR="0017125E" w:rsidRPr="0017125E" w:rsidRDefault="0017125E" w:rsidP="0017125E">
      <w:pPr>
        <w:spacing w:after="0"/>
        <w:rPr>
          <w:rFonts w:ascii="Times New Roman" w:eastAsia="Times New Roman" w:hAnsi="Times New Roman" w:cs="Times New Roman"/>
          <w:sz w:val="24"/>
          <w:szCs w:val="24"/>
        </w:rPr>
      </w:pPr>
      <w:r w:rsidRPr="0017125E">
        <w:rPr>
          <w:rFonts w:ascii="Times New Roman" w:eastAsia="Times New Roman" w:hAnsi="Times New Roman" w:cs="Times New Roman"/>
          <w:sz w:val="24"/>
          <w:szCs w:val="24"/>
        </w:rPr>
        <w:t xml:space="preserve">Transmission </w:t>
      </w:r>
      <w:proofErr w:type="gramStart"/>
      <w:r w:rsidRPr="0017125E">
        <w:rPr>
          <w:rFonts w:ascii="Times New Roman" w:eastAsia="Times New Roman" w:hAnsi="Times New Roman" w:cs="Times New Roman"/>
          <w:sz w:val="24"/>
          <w:szCs w:val="24"/>
        </w:rPr>
        <w:t>Owner,</w:t>
      </w:r>
      <w:proofErr w:type="gramEnd"/>
      <w:r w:rsidRPr="0017125E">
        <w:rPr>
          <w:rFonts w:ascii="Times New Roman" w:eastAsia="Times New Roman" w:hAnsi="Times New Roman" w:cs="Times New Roman"/>
          <w:sz w:val="24"/>
          <w:szCs w:val="24"/>
        </w:rPr>
        <w:t xml:space="preserve"> or Transmission Service Provider shall respond to the notifying</w:t>
      </w:r>
    </w:p>
    <w:p w14:paraId="01DA2F08" w14:textId="77777777" w:rsidR="0017125E" w:rsidRPr="0017125E" w:rsidRDefault="0017125E" w:rsidP="0017125E">
      <w:pPr>
        <w:spacing w:after="0"/>
        <w:rPr>
          <w:rFonts w:ascii="Times New Roman" w:eastAsia="Times New Roman" w:hAnsi="Times New Roman" w:cs="Times New Roman"/>
          <w:sz w:val="24"/>
          <w:szCs w:val="24"/>
        </w:rPr>
      </w:pPr>
      <w:r w:rsidRPr="0017125E">
        <w:rPr>
          <w:rFonts w:ascii="Times New Roman" w:eastAsia="Times New Roman" w:hAnsi="Times New Roman" w:cs="Times New Roman"/>
          <w:sz w:val="24"/>
          <w:szCs w:val="24"/>
        </w:rPr>
        <w:t>Planning Coordinator or Transmission Planner as follows: [Violation Risk Factor:</w:t>
      </w:r>
    </w:p>
    <w:p w14:paraId="2BEC3853" w14:textId="20399867" w:rsidR="0017125E" w:rsidRPr="0017125E" w:rsidRDefault="0017125E" w:rsidP="0017125E">
      <w:pPr>
        <w:spacing w:after="0"/>
        <w:rPr>
          <w:rFonts w:ascii="Times New Roman" w:eastAsia="Times New Roman" w:hAnsi="Times New Roman" w:cs="Times New Roman"/>
          <w:sz w:val="24"/>
          <w:szCs w:val="24"/>
        </w:rPr>
      </w:pPr>
      <w:r w:rsidRPr="0017125E">
        <w:rPr>
          <w:rFonts w:ascii="Times New Roman" w:eastAsia="Times New Roman" w:hAnsi="Times New Roman" w:cs="Times New Roman"/>
          <w:sz w:val="24"/>
          <w:szCs w:val="24"/>
        </w:rPr>
        <w:t>Lower] [Time Horizon: Long-term Planning]</w:t>
      </w:r>
    </w:p>
    <w:p w14:paraId="6EA160C2" w14:textId="5C986F7F" w:rsidR="0017125E" w:rsidRPr="0017125E" w:rsidRDefault="0017125E" w:rsidP="00AE619D">
      <w:pPr>
        <w:spacing w:after="0"/>
        <w:ind w:firstLine="720"/>
        <w:rPr>
          <w:rFonts w:ascii="Times New Roman" w:eastAsia="Times New Roman" w:hAnsi="Times New Roman" w:cs="Times New Roman"/>
          <w:sz w:val="24"/>
          <w:szCs w:val="24"/>
        </w:rPr>
      </w:pPr>
      <w:r w:rsidRPr="0017125E">
        <w:rPr>
          <w:rFonts w:ascii="Times New Roman" w:eastAsia="Times New Roman" w:hAnsi="Times New Roman" w:cs="Times New Roman"/>
          <w:sz w:val="24"/>
          <w:szCs w:val="24"/>
        </w:rPr>
        <w:t xml:space="preserve">3.1. Provide either updated data or an explanation with a technical basis for maintaining the current data; </w:t>
      </w:r>
    </w:p>
    <w:p w14:paraId="5728E08C" w14:textId="5EFA514C" w:rsidR="0017125E" w:rsidRPr="0017125E" w:rsidRDefault="0017125E" w:rsidP="00AE619D">
      <w:pPr>
        <w:spacing w:after="0"/>
        <w:ind w:firstLine="720"/>
        <w:rPr>
          <w:rFonts w:ascii="Times New Roman" w:eastAsia="Times New Roman" w:hAnsi="Times New Roman" w:cs="Times New Roman"/>
          <w:sz w:val="24"/>
          <w:szCs w:val="24"/>
        </w:rPr>
      </w:pPr>
      <w:r w:rsidRPr="0017125E">
        <w:rPr>
          <w:rFonts w:ascii="Times New Roman" w:eastAsia="Times New Roman" w:hAnsi="Times New Roman" w:cs="Times New Roman"/>
          <w:sz w:val="24"/>
          <w:szCs w:val="24"/>
        </w:rPr>
        <w:t xml:space="preserve">3.2. Provide the response within 90 calendar days of receipt, unless a longer time period is agreed upon by the notifying Planning Coordinator or Transmission </w:t>
      </w:r>
    </w:p>
    <w:p w14:paraId="563B2C3B" w14:textId="77777777" w:rsidR="0017125E" w:rsidRDefault="0017125E" w:rsidP="0017125E">
      <w:pPr>
        <w:spacing w:after="0"/>
        <w:rPr>
          <w:rFonts w:ascii="Times New Roman" w:eastAsia="Times New Roman" w:hAnsi="Times New Roman" w:cs="Times New Roman"/>
          <w:sz w:val="24"/>
          <w:szCs w:val="24"/>
        </w:rPr>
      </w:pPr>
      <w:proofErr w:type="gramStart"/>
      <w:r w:rsidRPr="0017125E">
        <w:rPr>
          <w:rFonts w:ascii="Times New Roman" w:eastAsia="Times New Roman" w:hAnsi="Times New Roman" w:cs="Times New Roman"/>
          <w:sz w:val="24"/>
          <w:szCs w:val="24"/>
        </w:rPr>
        <w:t>Planner.</w:t>
      </w:r>
      <w:proofErr w:type="gramEnd"/>
    </w:p>
    <w:p w14:paraId="440DBB9B" w14:textId="77777777" w:rsidR="0017125E" w:rsidRPr="0017125E" w:rsidRDefault="0017125E" w:rsidP="0017125E">
      <w:pPr>
        <w:spacing w:after="0"/>
        <w:rPr>
          <w:rFonts w:ascii="Times New Roman" w:eastAsia="Times New Roman" w:hAnsi="Times New Roman" w:cs="Times New Roman"/>
          <w:sz w:val="24"/>
          <w:szCs w:val="24"/>
        </w:rPr>
      </w:pPr>
    </w:p>
    <w:p w14:paraId="413D165B" w14:textId="3463A8F0" w:rsidR="0017125E" w:rsidRDefault="0017125E" w:rsidP="0017125E">
      <w:pPr>
        <w:spacing w:after="0"/>
        <w:rPr>
          <w:rFonts w:ascii="Times New Roman" w:eastAsia="Times New Roman" w:hAnsi="Times New Roman" w:cs="Times New Roman"/>
          <w:sz w:val="24"/>
          <w:szCs w:val="24"/>
        </w:rPr>
      </w:pPr>
      <w:r w:rsidRPr="0017125E">
        <w:rPr>
          <w:rFonts w:ascii="Times New Roman" w:eastAsia="Times New Roman" w:hAnsi="Times New Roman" w:cs="Times New Roman"/>
          <w:sz w:val="24"/>
          <w:szCs w:val="24"/>
        </w:rPr>
        <w:t>M3. Each registered entity identified in Requiremen</w:t>
      </w:r>
      <w:r>
        <w:rPr>
          <w:rFonts w:ascii="Times New Roman" w:eastAsia="Times New Roman" w:hAnsi="Times New Roman" w:cs="Times New Roman"/>
          <w:sz w:val="24"/>
          <w:szCs w:val="24"/>
        </w:rPr>
        <w:t xml:space="preserve">t R3 that has received written </w:t>
      </w:r>
      <w:r w:rsidRPr="0017125E">
        <w:rPr>
          <w:rFonts w:ascii="Times New Roman" w:eastAsia="Times New Roman" w:hAnsi="Times New Roman" w:cs="Times New Roman"/>
          <w:sz w:val="24"/>
          <w:szCs w:val="24"/>
        </w:rPr>
        <w:t>notification from its Planning Coordinator or Transmissi</w:t>
      </w:r>
      <w:r>
        <w:rPr>
          <w:rFonts w:ascii="Times New Roman" w:eastAsia="Times New Roman" w:hAnsi="Times New Roman" w:cs="Times New Roman"/>
          <w:sz w:val="24"/>
          <w:szCs w:val="24"/>
        </w:rPr>
        <w:t xml:space="preserve">on Planner regarding technical </w:t>
      </w:r>
      <w:r w:rsidRPr="0017125E">
        <w:rPr>
          <w:rFonts w:ascii="Times New Roman" w:eastAsia="Times New Roman" w:hAnsi="Times New Roman" w:cs="Times New Roman"/>
          <w:sz w:val="24"/>
          <w:szCs w:val="24"/>
        </w:rPr>
        <w:t>concerns with the data submitted under Requirement R</w:t>
      </w:r>
      <w:r>
        <w:rPr>
          <w:rFonts w:ascii="Times New Roman" w:eastAsia="Times New Roman" w:hAnsi="Times New Roman" w:cs="Times New Roman"/>
          <w:sz w:val="24"/>
          <w:szCs w:val="24"/>
        </w:rPr>
        <w:t xml:space="preserve">2 shall provide evidence, such </w:t>
      </w:r>
      <w:r w:rsidRPr="0017125E">
        <w:rPr>
          <w:rFonts w:ascii="Times New Roman" w:eastAsia="Times New Roman" w:hAnsi="Times New Roman" w:cs="Times New Roman"/>
          <w:sz w:val="24"/>
          <w:szCs w:val="24"/>
        </w:rPr>
        <w:t xml:space="preserve">as email records or postal receipts showing recipient </w:t>
      </w:r>
      <w:r>
        <w:rPr>
          <w:rFonts w:ascii="Times New Roman" w:eastAsia="Times New Roman" w:hAnsi="Times New Roman" w:cs="Times New Roman"/>
          <w:sz w:val="24"/>
          <w:szCs w:val="24"/>
        </w:rPr>
        <w:t xml:space="preserve">and date, that it has provided </w:t>
      </w:r>
      <w:r w:rsidRPr="0017125E">
        <w:rPr>
          <w:rFonts w:ascii="Times New Roman" w:eastAsia="Times New Roman" w:hAnsi="Times New Roman" w:cs="Times New Roman"/>
          <w:sz w:val="24"/>
          <w:szCs w:val="24"/>
        </w:rPr>
        <w:t>either updated data or an explanation with a technical basis for maintaining the current data to its Planning Coordinator or Transmiss</w:t>
      </w:r>
      <w:r>
        <w:rPr>
          <w:rFonts w:ascii="Times New Roman" w:eastAsia="Times New Roman" w:hAnsi="Times New Roman" w:cs="Times New Roman"/>
          <w:sz w:val="24"/>
          <w:szCs w:val="24"/>
        </w:rPr>
        <w:t xml:space="preserve">ion Planner within 90 calendar </w:t>
      </w:r>
      <w:r w:rsidRPr="0017125E">
        <w:rPr>
          <w:rFonts w:ascii="Times New Roman" w:eastAsia="Times New Roman" w:hAnsi="Times New Roman" w:cs="Times New Roman"/>
          <w:sz w:val="24"/>
          <w:szCs w:val="24"/>
        </w:rPr>
        <w:t>days of receipt (or within the longer time perio</w:t>
      </w:r>
      <w:r>
        <w:rPr>
          <w:rFonts w:ascii="Times New Roman" w:eastAsia="Times New Roman" w:hAnsi="Times New Roman" w:cs="Times New Roman"/>
          <w:sz w:val="24"/>
          <w:szCs w:val="24"/>
        </w:rPr>
        <w:t xml:space="preserve">d agreed upon by the notifying </w:t>
      </w:r>
      <w:r w:rsidRPr="0017125E">
        <w:rPr>
          <w:rFonts w:ascii="Times New Roman" w:eastAsia="Times New Roman" w:hAnsi="Times New Roman" w:cs="Times New Roman"/>
          <w:sz w:val="24"/>
          <w:szCs w:val="24"/>
        </w:rPr>
        <w:t>Planning Coordinator or Transmission Planner), or a stat</w:t>
      </w:r>
      <w:r>
        <w:rPr>
          <w:rFonts w:ascii="Times New Roman" w:eastAsia="Times New Roman" w:hAnsi="Times New Roman" w:cs="Times New Roman"/>
          <w:sz w:val="24"/>
          <w:szCs w:val="24"/>
        </w:rPr>
        <w:t xml:space="preserve">ement that it has not received </w:t>
      </w:r>
      <w:r w:rsidRPr="0017125E">
        <w:rPr>
          <w:rFonts w:ascii="Times New Roman" w:eastAsia="Times New Roman" w:hAnsi="Times New Roman" w:cs="Times New Roman"/>
          <w:sz w:val="24"/>
          <w:szCs w:val="24"/>
        </w:rPr>
        <w:t>written notification regarding technical concer</w:t>
      </w:r>
      <w:r>
        <w:rPr>
          <w:rFonts w:ascii="Times New Roman" w:eastAsia="Times New Roman" w:hAnsi="Times New Roman" w:cs="Times New Roman"/>
          <w:sz w:val="24"/>
          <w:szCs w:val="24"/>
        </w:rPr>
        <w:t>ns with the data submitted. MOD-</w:t>
      </w:r>
      <w:r w:rsidRPr="0017125E">
        <w:rPr>
          <w:rFonts w:ascii="Times New Roman" w:eastAsia="Times New Roman" w:hAnsi="Times New Roman" w:cs="Times New Roman"/>
          <w:sz w:val="24"/>
          <w:szCs w:val="24"/>
        </w:rPr>
        <w:t xml:space="preserve">032-1 — Data for Power System Modeling and Analysis </w:t>
      </w:r>
    </w:p>
    <w:p w14:paraId="6E54D055" w14:textId="77777777" w:rsidR="0017125E" w:rsidRPr="0017125E" w:rsidRDefault="0017125E" w:rsidP="0017125E">
      <w:pPr>
        <w:spacing w:after="0"/>
        <w:rPr>
          <w:rFonts w:ascii="Times New Roman" w:eastAsia="Times New Roman" w:hAnsi="Times New Roman" w:cs="Times New Roman"/>
          <w:sz w:val="24"/>
          <w:szCs w:val="24"/>
        </w:rPr>
      </w:pPr>
    </w:p>
    <w:p w14:paraId="6D47CF1F" w14:textId="76694F5C" w:rsidR="0017125E" w:rsidRDefault="0017125E" w:rsidP="0017125E">
      <w:pPr>
        <w:spacing w:after="0"/>
        <w:rPr>
          <w:rFonts w:ascii="Times New Roman" w:eastAsia="Times New Roman" w:hAnsi="Times New Roman" w:cs="Times New Roman"/>
          <w:sz w:val="24"/>
          <w:szCs w:val="24"/>
        </w:rPr>
      </w:pPr>
      <w:r w:rsidRPr="0017125E">
        <w:rPr>
          <w:rFonts w:ascii="Times New Roman" w:eastAsia="Times New Roman" w:hAnsi="Times New Roman" w:cs="Times New Roman"/>
          <w:sz w:val="24"/>
          <w:szCs w:val="24"/>
        </w:rPr>
        <w:t>R4. Each Planning Coordinator shall make available models fo</w:t>
      </w:r>
      <w:r>
        <w:rPr>
          <w:rFonts w:ascii="Times New Roman" w:eastAsia="Times New Roman" w:hAnsi="Times New Roman" w:cs="Times New Roman"/>
          <w:sz w:val="24"/>
          <w:szCs w:val="24"/>
        </w:rPr>
        <w:t xml:space="preserve">r its planning area reflecting </w:t>
      </w:r>
      <w:r w:rsidRPr="0017125E">
        <w:rPr>
          <w:rFonts w:ascii="Times New Roman" w:eastAsia="Times New Roman" w:hAnsi="Times New Roman" w:cs="Times New Roman"/>
          <w:sz w:val="24"/>
          <w:szCs w:val="24"/>
        </w:rPr>
        <w:t>data provided to it under Requirement R2 to the Electric</w:t>
      </w:r>
      <w:r>
        <w:rPr>
          <w:rFonts w:ascii="Times New Roman" w:eastAsia="Times New Roman" w:hAnsi="Times New Roman" w:cs="Times New Roman"/>
          <w:sz w:val="24"/>
          <w:szCs w:val="24"/>
        </w:rPr>
        <w:t xml:space="preserve"> Reliability Organization (ERO) </w:t>
      </w:r>
      <w:r w:rsidRPr="0017125E">
        <w:rPr>
          <w:rFonts w:ascii="Times New Roman" w:eastAsia="Times New Roman" w:hAnsi="Times New Roman" w:cs="Times New Roman"/>
          <w:sz w:val="24"/>
          <w:szCs w:val="24"/>
        </w:rPr>
        <w:t>or its designee to support creation of the Interconnection-w</w:t>
      </w:r>
      <w:r>
        <w:rPr>
          <w:rFonts w:ascii="Times New Roman" w:eastAsia="Times New Roman" w:hAnsi="Times New Roman" w:cs="Times New Roman"/>
          <w:sz w:val="24"/>
          <w:szCs w:val="24"/>
        </w:rPr>
        <w:t xml:space="preserve">ide case(s) that includes </w:t>
      </w:r>
      <w:r w:rsidRPr="0017125E">
        <w:rPr>
          <w:rFonts w:ascii="Times New Roman" w:eastAsia="Times New Roman" w:hAnsi="Times New Roman" w:cs="Times New Roman"/>
          <w:sz w:val="24"/>
          <w:szCs w:val="24"/>
        </w:rPr>
        <w:t xml:space="preserve">the Planning </w:t>
      </w:r>
      <w:r w:rsidRPr="0017125E">
        <w:rPr>
          <w:rFonts w:ascii="Times New Roman" w:eastAsia="Times New Roman" w:hAnsi="Times New Roman" w:cs="Times New Roman"/>
          <w:sz w:val="24"/>
          <w:szCs w:val="24"/>
        </w:rPr>
        <w:lastRenderedPageBreak/>
        <w:t>Coordinator’s planning area. [Violat</w:t>
      </w:r>
      <w:r>
        <w:rPr>
          <w:rFonts w:ascii="Times New Roman" w:eastAsia="Times New Roman" w:hAnsi="Times New Roman" w:cs="Times New Roman"/>
          <w:sz w:val="24"/>
          <w:szCs w:val="24"/>
        </w:rPr>
        <w:t xml:space="preserve">ion Risk Factor: Medium] [Time </w:t>
      </w:r>
      <w:r w:rsidRPr="0017125E">
        <w:rPr>
          <w:rFonts w:ascii="Times New Roman" w:eastAsia="Times New Roman" w:hAnsi="Times New Roman" w:cs="Times New Roman"/>
          <w:sz w:val="24"/>
          <w:szCs w:val="24"/>
        </w:rPr>
        <w:t>Horizon: Long-term Planning]</w:t>
      </w:r>
    </w:p>
    <w:p w14:paraId="36B807C5" w14:textId="77777777" w:rsidR="0017125E" w:rsidRPr="0017125E" w:rsidRDefault="0017125E" w:rsidP="0017125E">
      <w:pPr>
        <w:spacing w:after="0"/>
        <w:rPr>
          <w:rFonts w:ascii="Times New Roman" w:eastAsia="Times New Roman" w:hAnsi="Times New Roman" w:cs="Times New Roman"/>
          <w:sz w:val="24"/>
          <w:szCs w:val="24"/>
        </w:rPr>
      </w:pPr>
    </w:p>
    <w:p w14:paraId="0DC522E9" w14:textId="1A046C36" w:rsidR="0017125E" w:rsidRDefault="0017125E" w:rsidP="0017125E">
      <w:pPr>
        <w:spacing w:after="0"/>
        <w:rPr>
          <w:rFonts w:ascii="Times New Roman" w:eastAsia="Times New Roman" w:hAnsi="Times New Roman" w:cs="Times New Roman"/>
          <w:sz w:val="24"/>
          <w:szCs w:val="24"/>
        </w:rPr>
      </w:pPr>
      <w:r w:rsidRPr="0017125E">
        <w:rPr>
          <w:rFonts w:ascii="Times New Roman" w:eastAsia="Times New Roman" w:hAnsi="Times New Roman" w:cs="Times New Roman"/>
          <w:sz w:val="24"/>
          <w:szCs w:val="24"/>
        </w:rPr>
        <w:t>M4. Each Planning Coordinator shall provide evidence, s</w:t>
      </w:r>
      <w:r>
        <w:rPr>
          <w:rFonts w:ascii="Times New Roman" w:eastAsia="Times New Roman" w:hAnsi="Times New Roman" w:cs="Times New Roman"/>
          <w:sz w:val="24"/>
          <w:szCs w:val="24"/>
        </w:rPr>
        <w:t xml:space="preserve">uch as email records or postal </w:t>
      </w:r>
      <w:r w:rsidRPr="0017125E">
        <w:rPr>
          <w:rFonts w:ascii="Times New Roman" w:eastAsia="Times New Roman" w:hAnsi="Times New Roman" w:cs="Times New Roman"/>
          <w:sz w:val="24"/>
          <w:szCs w:val="24"/>
        </w:rPr>
        <w:t>receipts showing recipient and date, that it has submitte</w:t>
      </w:r>
      <w:r>
        <w:rPr>
          <w:rFonts w:ascii="Times New Roman" w:eastAsia="Times New Roman" w:hAnsi="Times New Roman" w:cs="Times New Roman"/>
          <w:sz w:val="24"/>
          <w:szCs w:val="24"/>
        </w:rPr>
        <w:t xml:space="preserve">d models for its planning area </w:t>
      </w:r>
      <w:r w:rsidRPr="0017125E">
        <w:rPr>
          <w:rFonts w:ascii="Times New Roman" w:eastAsia="Times New Roman" w:hAnsi="Times New Roman" w:cs="Times New Roman"/>
          <w:sz w:val="24"/>
          <w:szCs w:val="24"/>
        </w:rPr>
        <w:t>reflecting data provided to it under Requirement R2 wh</w:t>
      </w:r>
      <w:r>
        <w:rPr>
          <w:rFonts w:ascii="Times New Roman" w:eastAsia="Times New Roman" w:hAnsi="Times New Roman" w:cs="Times New Roman"/>
          <w:sz w:val="24"/>
          <w:szCs w:val="24"/>
        </w:rPr>
        <w:t xml:space="preserve">en requested by the ERO or its </w:t>
      </w:r>
      <w:r w:rsidRPr="0017125E">
        <w:rPr>
          <w:rFonts w:ascii="Times New Roman" w:eastAsia="Times New Roman" w:hAnsi="Times New Roman" w:cs="Times New Roman"/>
          <w:sz w:val="24"/>
          <w:szCs w:val="24"/>
        </w:rPr>
        <w:t>designee.</w:t>
      </w:r>
    </w:p>
    <w:p w14:paraId="127A8DB7" w14:textId="77777777" w:rsidR="00DC4B51" w:rsidRDefault="00DC4B51" w:rsidP="0017125E">
      <w:pPr>
        <w:spacing w:after="0"/>
        <w:rPr>
          <w:rFonts w:ascii="Times New Roman" w:eastAsia="Times New Roman" w:hAnsi="Times New Roman" w:cs="Times New Roman"/>
          <w:sz w:val="24"/>
          <w:szCs w:val="24"/>
        </w:rPr>
      </w:pPr>
    </w:p>
    <w:p w14:paraId="04DA49B4" w14:textId="4814DE17" w:rsidR="00DC4B51" w:rsidRDefault="00DC4B51" w:rsidP="0017125E">
      <w:pPr>
        <w:spacing w:after="0"/>
        <w:rPr>
          <w:rFonts w:ascii="Times New Roman" w:eastAsia="Times New Roman" w:hAnsi="Times New Roman" w:cs="Times New Roman"/>
          <w:sz w:val="24"/>
          <w:szCs w:val="24"/>
        </w:rPr>
      </w:pPr>
      <w:r w:rsidRPr="00AE619D">
        <w:rPr>
          <w:rFonts w:ascii="Times New Roman" w:eastAsia="Times New Roman" w:hAnsi="Times New Roman" w:cs="Times New Roman"/>
          <w:sz w:val="24"/>
          <w:szCs w:val="24"/>
          <w:u w:val="single"/>
        </w:rPr>
        <w:t>Evidence Retention Requirements</w:t>
      </w:r>
      <w:r>
        <w:rPr>
          <w:rFonts w:ascii="Times New Roman" w:eastAsia="Times New Roman" w:hAnsi="Times New Roman" w:cs="Times New Roman"/>
          <w:sz w:val="24"/>
          <w:szCs w:val="24"/>
        </w:rPr>
        <w:t>:</w:t>
      </w:r>
    </w:p>
    <w:p w14:paraId="454A225B" w14:textId="77777777" w:rsidR="00DC4B51" w:rsidRDefault="00DC4B51" w:rsidP="0017125E">
      <w:pPr>
        <w:spacing w:after="0"/>
        <w:rPr>
          <w:rFonts w:ascii="Times New Roman" w:eastAsia="Times New Roman" w:hAnsi="Times New Roman" w:cs="Times New Roman"/>
          <w:sz w:val="24"/>
          <w:szCs w:val="24"/>
        </w:rPr>
      </w:pPr>
    </w:p>
    <w:p w14:paraId="255F5C88" w14:textId="1E55F7DC" w:rsidR="00DC4B51" w:rsidRDefault="00DC4B51" w:rsidP="00DC4B51">
      <w:pPr>
        <w:spacing w:after="0"/>
        <w:rPr>
          <w:rFonts w:ascii="Times New Roman" w:eastAsia="Times New Roman" w:hAnsi="Times New Roman" w:cs="Times New Roman"/>
          <w:sz w:val="24"/>
          <w:szCs w:val="24"/>
        </w:rPr>
      </w:pPr>
      <w:r w:rsidRPr="00DC4B51">
        <w:rPr>
          <w:rFonts w:ascii="Times New Roman" w:eastAsia="Times New Roman" w:hAnsi="Times New Roman" w:cs="Times New Roman"/>
          <w:sz w:val="24"/>
          <w:szCs w:val="24"/>
        </w:rPr>
        <w:t>The following evidence retention periods identify t</w:t>
      </w:r>
      <w:r>
        <w:rPr>
          <w:rFonts w:ascii="Times New Roman" w:eastAsia="Times New Roman" w:hAnsi="Times New Roman" w:cs="Times New Roman"/>
          <w:sz w:val="24"/>
          <w:szCs w:val="24"/>
        </w:rPr>
        <w:t xml:space="preserve">he period of time an entity is </w:t>
      </w:r>
      <w:r w:rsidRPr="00DC4B51">
        <w:rPr>
          <w:rFonts w:ascii="Times New Roman" w:eastAsia="Times New Roman" w:hAnsi="Times New Roman" w:cs="Times New Roman"/>
          <w:sz w:val="24"/>
          <w:szCs w:val="24"/>
        </w:rPr>
        <w:t>required to retain specific evidence to demonst</w:t>
      </w:r>
      <w:r>
        <w:rPr>
          <w:rFonts w:ascii="Times New Roman" w:eastAsia="Times New Roman" w:hAnsi="Times New Roman" w:cs="Times New Roman"/>
          <w:sz w:val="24"/>
          <w:szCs w:val="24"/>
        </w:rPr>
        <w:t xml:space="preserve">rate compliance. For instances </w:t>
      </w:r>
      <w:r w:rsidRPr="00DC4B51">
        <w:rPr>
          <w:rFonts w:ascii="Times New Roman" w:eastAsia="Times New Roman" w:hAnsi="Times New Roman" w:cs="Times New Roman"/>
          <w:sz w:val="24"/>
          <w:szCs w:val="24"/>
        </w:rPr>
        <w:t xml:space="preserve">where the evidence retention period specified </w:t>
      </w:r>
      <w:r>
        <w:rPr>
          <w:rFonts w:ascii="Times New Roman" w:eastAsia="Times New Roman" w:hAnsi="Times New Roman" w:cs="Times New Roman"/>
          <w:sz w:val="24"/>
          <w:szCs w:val="24"/>
        </w:rPr>
        <w:t xml:space="preserve">below is shorter than the time </w:t>
      </w:r>
      <w:r w:rsidRPr="00DC4B51">
        <w:rPr>
          <w:rFonts w:ascii="Times New Roman" w:eastAsia="Times New Roman" w:hAnsi="Times New Roman" w:cs="Times New Roman"/>
          <w:sz w:val="24"/>
          <w:szCs w:val="24"/>
        </w:rPr>
        <w:t xml:space="preserve">since the last audit, the Compliance Enforcement </w:t>
      </w:r>
      <w:r>
        <w:rPr>
          <w:rFonts w:ascii="Times New Roman" w:eastAsia="Times New Roman" w:hAnsi="Times New Roman" w:cs="Times New Roman"/>
          <w:sz w:val="24"/>
          <w:szCs w:val="24"/>
        </w:rPr>
        <w:t xml:space="preserve">Authority may ask an entity to </w:t>
      </w:r>
      <w:r w:rsidRPr="00DC4B51">
        <w:rPr>
          <w:rFonts w:ascii="Times New Roman" w:eastAsia="Times New Roman" w:hAnsi="Times New Roman" w:cs="Times New Roman"/>
          <w:sz w:val="24"/>
          <w:szCs w:val="24"/>
        </w:rPr>
        <w:t>provide other evidence to show that it was comp</w:t>
      </w:r>
      <w:r>
        <w:rPr>
          <w:rFonts w:ascii="Times New Roman" w:eastAsia="Times New Roman" w:hAnsi="Times New Roman" w:cs="Times New Roman"/>
          <w:sz w:val="24"/>
          <w:szCs w:val="24"/>
        </w:rPr>
        <w:t xml:space="preserve">liant for the full time period </w:t>
      </w:r>
      <w:r w:rsidRPr="00DC4B51">
        <w:rPr>
          <w:rFonts w:ascii="Times New Roman" w:eastAsia="Times New Roman" w:hAnsi="Times New Roman" w:cs="Times New Roman"/>
          <w:sz w:val="24"/>
          <w:szCs w:val="24"/>
        </w:rPr>
        <w:t>since the last audit.</w:t>
      </w:r>
    </w:p>
    <w:p w14:paraId="631285DE" w14:textId="77777777" w:rsidR="00DC4B51" w:rsidRPr="00DC4B51" w:rsidRDefault="00DC4B51" w:rsidP="00DC4B51">
      <w:pPr>
        <w:spacing w:after="0"/>
        <w:rPr>
          <w:rFonts w:ascii="Times New Roman" w:eastAsia="Times New Roman" w:hAnsi="Times New Roman" w:cs="Times New Roman"/>
          <w:sz w:val="24"/>
          <w:szCs w:val="24"/>
        </w:rPr>
      </w:pPr>
    </w:p>
    <w:p w14:paraId="566D9C28" w14:textId="77777777" w:rsidR="00DC4B51" w:rsidRPr="00DC4B51" w:rsidRDefault="00DC4B51" w:rsidP="00DC4B51">
      <w:pPr>
        <w:spacing w:after="0"/>
        <w:rPr>
          <w:rFonts w:ascii="Times New Roman" w:eastAsia="Times New Roman" w:hAnsi="Times New Roman" w:cs="Times New Roman"/>
          <w:sz w:val="24"/>
          <w:szCs w:val="24"/>
        </w:rPr>
      </w:pPr>
      <w:r w:rsidRPr="00DC4B51">
        <w:rPr>
          <w:rFonts w:ascii="Times New Roman" w:eastAsia="Times New Roman" w:hAnsi="Times New Roman" w:cs="Times New Roman"/>
          <w:sz w:val="24"/>
          <w:szCs w:val="24"/>
        </w:rPr>
        <w:t xml:space="preserve">The applicable entity shall keep data or evidence to show compliance with </w:t>
      </w:r>
    </w:p>
    <w:p w14:paraId="3500681B" w14:textId="592E48F3" w:rsidR="00DC4B51" w:rsidRDefault="00DC4B51" w:rsidP="00DC4B51">
      <w:pPr>
        <w:spacing w:after="0"/>
        <w:rPr>
          <w:rFonts w:ascii="Times New Roman" w:eastAsia="Times New Roman" w:hAnsi="Times New Roman" w:cs="Times New Roman"/>
          <w:sz w:val="24"/>
          <w:szCs w:val="24"/>
        </w:rPr>
      </w:pPr>
      <w:r w:rsidRPr="00DC4B51">
        <w:rPr>
          <w:rFonts w:ascii="Times New Roman" w:eastAsia="Times New Roman" w:hAnsi="Times New Roman" w:cs="Times New Roman"/>
          <w:sz w:val="24"/>
          <w:szCs w:val="24"/>
        </w:rPr>
        <w:t>Requirements R1 through R4, and Measures M1 thr</w:t>
      </w:r>
      <w:r>
        <w:rPr>
          <w:rFonts w:ascii="Times New Roman" w:eastAsia="Times New Roman" w:hAnsi="Times New Roman" w:cs="Times New Roman"/>
          <w:sz w:val="24"/>
          <w:szCs w:val="24"/>
        </w:rPr>
        <w:t xml:space="preserve">ough M4, since the last audit, </w:t>
      </w:r>
      <w:r w:rsidRPr="00DC4B51">
        <w:rPr>
          <w:rFonts w:ascii="Times New Roman" w:eastAsia="Times New Roman" w:hAnsi="Times New Roman" w:cs="Times New Roman"/>
          <w:sz w:val="24"/>
          <w:szCs w:val="24"/>
        </w:rPr>
        <w:t>unless directed by its Compliance Enforcemen</w:t>
      </w:r>
      <w:r>
        <w:rPr>
          <w:rFonts w:ascii="Times New Roman" w:eastAsia="Times New Roman" w:hAnsi="Times New Roman" w:cs="Times New Roman"/>
          <w:sz w:val="24"/>
          <w:szCs w:val="24"/>
        </w:rPr>
        <w:t xml:space="preserve">t Authority to retain specific </w:t>
      </w:r>
      <w:r w:rsidRPr="00DC4B51">
        <w:rPr>
          <w:rFonts w:ascii="Times New Roman" w:eastAsia="Times New Roman" w:hAnsi="Times New Roman" w:cs="Times New Roman"/>
          <w:sz w:val="24"/>
          <w:szCs w:val="24"/>
        </w:rPr>
        <w:t>evidence for a longer period of time as part of an investigation.</w:t>
      </w:r>
    </w:p>
    <w:p w14:paraId="3B828ACB" w14:textId="77777777" w:rsidR="00DC4B51" w:rsidRPr="00DC4B51" w:rsidRDefault="00DC4B51" w:rsidP="00DC4B51">
      <w:pPr>
        <w:spacing w:after="0"/>
        <w:rPr>
          <w:rFonts w:ascii="Times New Roman" w:eastAsia="Times New Roman" w:hAnsi="Times New Roman" w:cs="Times New Roman"/>
          <w:sz w:val="24"/>
          <w:szCs w:val="24"/>
        </w:rPr>
      </w:pPr>
    </w:p>
    <w:p w14:paraId="0A282912" w14:textId="2EE23DAA" w:rsidR="00DC4B51" w:rsidRDefault="00DC4B51" w:rsidP="00DC4B51">
      <w:pPr>
        <w:spacing w:after="0"/>
        <w:rPr>
          <w:rFonts w:ascii="Times New Roman" w:eastAsia="Times New Roman" w:hAnsi="Times New Roman" w:cs="Times New Roman"/>
          <w:sz w:val="24"/>
          <w:szCs w:val="24"/>
        </w:rPr>
      </w:pPr>
      <w:r w:rsidRPr="00DC4B51">
        <w:rPr>
          <w:rFonts w:ascii="Times New Roman" w:eastAsia="Times New Roman" w:hAnsi="Times New Roman" w:cs="Times New Roman"/>
          <w:sz w:val="24"/>
          <w:szCs w:val="24"/>
        </w:rPr>
        <w:t xml:space="preserve">If an applicable entity is found non-compliant, it </w:t>
      </w:r>
      <w:r>
        <w:rPr>
          <w:rFonts w:ascii="Times New Roman" w:eastAsia="Times New Roman" w:hAnsi="Times New Roman" w:cs="Times New Roman"/>
          <w:sz w:val="24"/>
          <w:szCs w:val="24"/>
        </w:rPr>
        <w:t xml:space="preserve">shall keep information related </w:t>
      </w:r>
      <w:r w:rsidRPr="00DC4B51">
        <w:rPr>
          <w:rFonts w:ascii="Times New Roman" w:eastAsia="Times New Roman" w:hAnsi="Times New Roman" w:cs="Times New Roman"/>
          <w:sz w:val="24"/>
          <w:szCs w:val="24"/>
        </w:rPr>
        <w:t>to the non-compliance until mitigation is complete</w:t>
      </w:r>
      <w:r>
        <w:rPr>
          <w:rFonts w:ascii="Times New Roman" w:eastAsia="Times New Roman" w:hAnsi="Times New Roman" w:cs="Times New Roman"/>
          <w:sz w:val="24"/>
          <w:szCs w:val="24"/>
        </w:rPr>
        <w:t xml:space="preserve"> and approved, or for the time </w:t>
      </w:r>
      <w:r w:rsidRPr="00DC4B51">
        <w:rPr>
          <w:rFonts w:ascii="Times New Roman" w:eastAsia="Times New Roman" w:hAnsi="Times New Roman" w:cs="Times New Roman"/>
          <w:sz w:val="24"/>
          <w:szCs w:val="24"/>
        </w:rPr>
        <w:t>specified above, whichever is longer.</w:t>
      </w:r>
    </w:p>
    <w:p w14:paraId="3AC53B59" w14:textId="77777777" w:rsidR="00DC4B51" w:rsidRPr="00DC4B51" w:rsidRDefault="00DC4B51" w:rsidP="00DC4B51">
      <w:pPr>
        <w:spacing w:after="0"/>
        <w:rPr>
          <w:rFonts w:ascii="Times New Roman" w:eastAsia="Times New Roman" w:hAnsi="Times New Roman" w:cs="Times New Roman"/>
          <w:sz w:val="24"/>
          <w:szCs w:val="24"/>
        </w:rPr>
      </w:pPr>
    </w:p>
    <w:p w14:paraId="16717D6F" w14:textId="7D302340" w:rsidR="0017125E" w:rsidRDefault="00DC4B51" w:rsidP="00DC4B51">
      <w:pPr>
        <w:spacing w:after="0"/>
        <w:rPr>
          <w:rFonts w:ascii="Times New Roman" w:eastAsia="Times New Roman" w:hAnsi="Times New Roman" w:cs="Times New Roman"/>
          <w:sz w:val="24"/>
          <w:szCs w:val="24"/>
        </w:rPr>
      </w:pPr>
      <w:r w:rsidRPr="00DC4B51">
        <w:rPr>
          <w:rFonts w:ascii="Times New Roman" w:eastAsia="Times New Roman" w:hAnsi="Times New Roman" w:cs="Times New Roman"/>
          <w:sz w:val="24"/>
          <w:szCs w:val="24"/>
        </w:rPr>
        <w:t>The Compliance Enforcement Authority shall keep the l</w:t>
      </w:r>
      <w:r>
        <w:rPr>
          <w:rFonts w:ascii="Times New Roman" w:eastAsia="Times New Roman" w:hAnsi="Times New Roman" w:cs="Times New Roman"/>
          <w:sz w:val="24"/>
          <w:szCs w:val="24"/>
        </w:rPr>
        <w:t xml:space="preserve">ast audit records and all </w:t>
      </w:r>
      <w:r w:rsidRPr="00DC4B51">
        <w:rPr>
          <w:rFonts w:ascii="Times New Roman" w:eastAsia="Times New Roman" w:hAnsi="Times New Roman" w:cs="Times New Roman"/>
          <w:sz w:val="24"/>
          <w:szCs w:val="24"/>
        </w:rPr>
        <w:t>requested and submitted subsequent audit records.</w:t>
      </w:r>
      <w:r w:rsidRPr="00DC4B51">
        <w:rPr>
          <w:rFonts w:ascii="Times New Roman" w:eastAsia="Times New Roman" w:hAnsi="Times New Roman" w:cs="Times New Roman"/>
          <w:sz w:val="24"/>
          <w:szCs w:val="24"/>
        </w:rPr>
        <w:cr/>
      </w:r>
    </w:p>
    <w:p w14:paraId="493A80E7" w14:textId="3C724536" w:rsidR="00DB2B2E" w:rsidRDefault="00DB2B2E" w:rsidP="00DC4B51">
      <w:pPr>
        <w:spacing w:after="0"/>
        <w:rPr>
          <w:rFonts w:ascii="Times New Roman" w:eastAsia="Times New Roman" w:hAnsi="Times New Roman" w:cs="Times New Roman"/>
          <w:sz w:val="24"/>
          <w:szCs w:val="24"/>
        </w:rPr>
      </w:pPr>
    </w:p>
    <w:p w14:paraId="7F856B4C" w14:textId="77777777" w:rsidR="00DB2B2E" w:rsidRDefault="00DB2B2E" w:rsidP="00DC4B51">
      <w:pPr>
        <w:spacing w:after="0"/>
        <w:rPr>
          <w:rFonts w:ascii="Times New Roman" w:eastAsia="Times New Roman" w:hAnsi="Times New Roman" w:cs="Times New Roman"/>
          <w:sz w:val="24"/>
          <w:szCs w:val="24"/>
        </w:rPr>
      </w:pPr>
    </w:p>
    <w:p w14:paraId="7EDACAF6" w14:textId="77777777" w:rsidR="00DC4B51" w:rsidRDefault="00DC4B51" w:rsidP="006C4EB6">
      <w:pPr>
        <w:spacing w:after="0"/>
        <w:rPr>
          <w:rFonts w:ascii="Times New Roman" w:eastAsia="Times New Roman" w:hAnsi="Times New Roman" w:cs="Times New Roman"/>
          <w:sz w:val="24"/>
          <w:szCs w:val="24"/>
        </w:rPr>
      </w:pPr>
    </w:p>
    <w:p w14:paraId="49CE57C6" w14:textId="09C397EF" w:rsidR="0017125E" w:rsidRDefault="0017125E" w:rsidP="0017125E">
      <w:pPr>
        <w:spacing w:after="0"/>
        <w:rPr>
          <w:rFonts w:ascii="Times New Roman" w:eastAsia="Times New Roman" w:hAnsi="Times New Roman" w:cs="Times New Roman"/>
          <w:sz w:val="24"/>
          <w:szCs w:val="24"/>
        </w:rPr>
      </w:pPr>
      <w:r w:rsidRPr="00AE619D">
        <w:rPr>
          <w:rFonts w:ascii="Times New Roman" w:eastAsia="Times New Roman" w:hAnsi="Times New Roman" w:cs="Times New Roman"/>
          <w:sz w:val="24"/>
          <w:szCs w:val="24"/>
          <w:u w:val="single"/>
        </w:rPr>
        <w:t xml:space="preserve">The information collection requirements associated with the </w:t>
      </w:r>
      <w:r w:rsidRPr="00AE619D">
        <w:rPr>
          <w:rFonts w:ascii="Times New Roman" w:eastAsia="Times New Roman" w:hAnsi="Times New Roman" w:cs="Times New Roman"/>
          <w:b/>
          <w:sz w:val="24"/>
          <w:szCs w:val="24"/>
          <w:u w:val="single"/>
        </w:rPr>
        <w:t>MOD-033-1 Reliability Standard</w:t>
      </w:r>
      <w:r w:rsidRPr="00AE619D">
        <w:rPr>
          <w:rFonts w:ascii="Times New Roman" w:eastAsia="Times New Roman" w:hAnsi="Times New Roman" w:cs="Times New Roman"/>
          <w:sz w:val="24"/>
          <w:szCs w:val="24"/>
          <w:u w:val="single"/>
        </w:rPr>
        <w:t xml:space="preserve"> are</w:t>
      </w:r>
      <w:r>
        <w:rPr>
          <w:rFonts w:ascii="Times New Roman" w:eastAsia="Times New Roman" w:hAnsi="Times New Roman" w:cs="Times New Roman"/>
          <w:sz w:val="24"/>
          <w:szCs w:val="24"/>
        </w:rPr>
        <w:t>:</w:t>
      </w:r>
    </w:p>
    <w:p w14:paraId="7C93FA9D" w14:textId="77777777" w:rsidR="0017125E" w:rsidRDefault="0017125E" w:rsidP="006C4EB6">
      <w:pPr>
        <w:spacing w:after="0"/>
        <w:rPr>
          <w:rFonts w:ascii="Times New Roman" w:eastAsia="Times New Roman" w:hAnsi="Times New Roman" w:cs="Times New Roman"/>
          <w:sz w:val="24"/>
          <w:szCs w:val="24"/>
        </w:rPr>
      </w:pPr>
    </w:p>
    <w:p w14:paraId="7BFCC690" w14:textId="3DB0AA4A" w:rsidR="0017125E" w:rsidRPr="0017125E" w:rsidRDefault="0017125E" w:rsidP="0017125E">
      <w:pPr>
        <w:spacing w:after="0"/>
        <w:rPr>
          <w:rFonts w:ascii="Times New Roman" w:eastAsia="Times New Roman" w:hAnsi="Times New Roman" w:cs="Times New Roman"/>
          <w:sz w:val="24"/>
          <w:szCs w:val="24"/>
        </w:rPr>
      </w:pPr>
      <w:r w:rsidRPr="0017125E">
        <w:rPr>
          <w:rFonts w:ascii="Times New Roman" w:eastAsia="Times New Roman" w:hAnsi="Times New Roman" w:cs="Times New Roman"/>
          <w:sz w:val="24"/>
          <w:szCs w:val="24"/>
        </w:rPr>
        <w:t>R1. Each Planning Coordinator shall implement a documented data validati</w:t>
      </w:r>
      <w:r>
        <w:rPr>
          <w:rFonts w:ascii="Times New Roman" w:eastAsia="Times New Roman" w:hAnsi="Times New Roman" w:cs="Times New Roman"/>
          <w:sz w:val="24"/>
          <w:szCs w:val="24"/>
        </w:rPr>
        <w:t xml:space="preserve">on process </w:t>
      </w:r>
      <w:r w:rsidRPr="0017125E">
        <w:rPr>
          <w:rFonts w:ascii="Times New Roman" w:eastAsia="Times New Roman" w:hAnsi="Times New Roman" w:cs="Times New Roman"/>
          <w:sz w:val="24"/>
          <w:szCs w:val="24"/>
        </w:rPr>
        <w:t xml:space="preserve">that includes the following attributes: [Violation Risk Factor: Medium] [Time Horizon: </w:t>
      </w:r>
    </w:p>
    <w:p w14:paraId="2B5A6B37" w14:textId="77777777" w:rsidR="0017125E" w:rsidRPr="0017125E" w:rsidRDefault="0017125E" w:rsidP="0017125E">
      <w:pPr>
        <w:spacing w:after="0"/>
        <w:rPr>
          <w:rFonts w:ascii="Times New Roman" w:eastAsia="Times New Roman" w:hAnsi="Times New Roman" w:cs="Times New Roman"/>
          <w:sz w:val="24"/>
          <w:szCs w:val="24"/>
        </w:rPr>
      </w:pPr>
      <w:r w:rsidRPr="0017125E">
        <w:rPr>
          <w:rFonts w:ascii="Times New Roman" w:eastAsia="Times New Roman" w:hAnsi="Times New Roman" w:cs="Times New Roman"/>
          <w:sz w:val="24"/>
          <w:szCs w:val="24"/>
        </w:rPr>
        <w:t>Long-term Planning]</w:t>
      </w:r>
    </w:p>
    <w:p w14:paraId="54D654B4" w14:textId="4B3A1CBE" w:rsidR="0017125E" w:rsidRPr="0017125E" w:rsidRDefault="0017125E" w:rsidP="00AE619D">
      <w:pPr>
        <w:spacing w:after="0"/>
        <w:ind w:firstLine="720"/>
        <w:rPr>
          <w:rFonts w:ascii="Times New Roman" w:eastAsia="Times New Roman" w:hAnsi="Times New Roman" w:cs="Times New Roman"/>
          <w:sz w:val="24"/>
          <w:szCs w:val="24"/>
        </w:rPr>
      </w:pPr>
      <w:r w:rsidRPr="0017125E">
        <w:rPr>
          <w:rFonts w:ascii="Times New Roman" w:eastAsia="Times New Roman" w:hAnsi="Times New Roman" w:cs="Times New Roman"/>
          <w:sz w:val="24"/>
          <w:szCs w:val="24"/>
        </w:rPr>
        <w:t xml:space="preserve">1.1. Comparison of the performance of the Planning Coordinator’s portion of the existing system in a planning power flow model to actual system behavior, represented by a state </w:t>
      </w:r>
      <w:r w:rsidRPr="0017125E">
        <w:rPr>
          <w:rFonts w:ascii="Times New Roman" w:eastAsia="Times New Roman" w:hAnsi="Times New Roman" w:cs="Times New Roman"/>
          <w:sz w:val="24"/>
          <w:szCs w:val="24"/>
        </w:rPr>
        <w:lastRenderedPageBreak/>
        <w:t>estimator case or other Real-time data sources, at least once every 24 calendar months through simulation;</w:t>
      </w:r>
    </w:p>
    <w:p w14:paraId="59B3B2C2" w14:textId="1F665CC8" w:rsidR="0017125E" w:rsidRPr="0017125E" w:rsidRDefault="0017125E" w:rsidP="00AE619D">
      <w:pPr>
        <w:spacing w:after="0"/>
        <w:ind w:firstLine="720"/>
        <w:rPr>
          <w:rFonts w:ascii="Times New Roman" w:eastAsia="Times New Roman" w:hAnsi="Times New Roman" w:cs="Times New Roman"/>
          <w:sz w:val="24"/>
          <w:szCs w:val="24"/>
        </w:rPr>
      </w:pPr>
      <w:r w:rsidRPr="0017125E">
        <w:rPr>
          <w:rFonts w:ascii="Times New Roman" w:eastAsia="Times New Roman" w:hAnsi="Times New Roman" w:cs="Times New Roman"/>
          <w:sz w:val="24"/>
          <w:szCs w:val="24"/>
        </w:rPr>
        <w:t>1.2. Comparison of the performance of the Planning Coordinator’s portion of the existing system in a planning dynamic model to actual system response, through simulation of a dynamic local event, at least once every 24 calendar months (use a dynamic local event that occurs within 24 calendar months of the last dynamic local event used in comparison, and co</w:t>
      </w:r>
      <w:r>
        <w:rPr>
          <w:rFonts w:ascii="Times New Roman" w:eastAsia="Times New Roman" w:hAnsi="Times New Roman" w:cs="Times New Roman"/>
          <w:sz w:val="24"/>
          <w:szCs w:val="24"/>
        </w:rPr>
        <w:t xml:space="preserve">mplete each </w:t>
      </w:r>
      <w:r w:rsidRPr="0017125E">
        <w:rPr>
          <w:rFonts w:ascii="Times New Roman" w:eastAsia="Times New Roman" w:hAnsi="Times New Roman" w:cs="Times New Roman"/>
          <w:sz w:val="24"/>
          <w:szCs w:val="24"/>
        </w:rPr>
        <w:t>comparison within 24 calendar months of the dynamic local event). If no dynamic local event occurs within the 24 calendar months, use the next dynamic local event that occurs;</w:t>
      </w:r>
    </w:p>
    <w:p w14:paraId="24810FBF" w14:textId="2C7BA0FE" w:rsidR="0017125E" w:rsidRDefault="0017125E" w:rsidP="00AE619D">
      <w:pPr>
        <w:spacing w:after="0"/>
        <w:ind w:firstLine="720"/>
        <w:rPr>
          <w:rFonts w:ascii="Times New Roman" w:eastAsia="Times New Roman" w:hAnsi="Times New Roman" w:cs="Times New Roman"/>
          <w:sz w:val="24"/>
          <w:szCs w:val="24"/>
        </w:rPr>
      </w:pPr>
      <w:r w:rsidRPr="0017125E">
        <w:rPr>
          <w:rFonts w:ascii="Times New Roman" w:eastAsia="Times New Roman" w:hAnsi="Times New Roman" w:cs="Times New Roman"/>
          <w:sz w:val="24"/>
          <w:szCs w:val="24"/>
        </w:rPr>
        <w:t>1.3. Guidelines the Planning Coordinator will use to determine una</w:t>
      </w:r>
      <w:r>
        <w:rPr>
          <w:rFonts w:ascii="Times New Roman" w:eastAsia="Times New Roman" w:hAnsi="Times New Roman" w:cs="Times New Roman"/>
          <w:sz w:val="24"/>
          <w:szCs w:val="24"/>
        </w:rPr>
        <w:t xml:space="preserve">cceptable </w:t>
      </w:r>
      <w:r w:rsidRPr="0017125E">
        <w:rPr>
          <w:rFonts w:ascii="Times New Roman" w:eastAsia="Times New Roman" w:hAnsi="Times New Roman" w:cs="Times New Roman"/>
          <w:sz w:val="24"/>
          <w:szCs w:val="24"/>
        </w:rPr>
        <w:t>differences in performance under Part 1.1 or 1.2; and</w:t>
      </w:r>
    </w:p>
    <w:p w14:paraId="20B4B641" w14:textId="4CAAEFD3" w:rsidR="0017125E" w:rsidRDefault="0017125E" w:rsidP="00AE619D">
      <w:pPr>
        <w:spacing w:after="0"/>
        <w:ind w:firstLine="720"/>
        <w:rPr>
          <w:rFonts w:ascii="Times New Roman" w:eastAsia="Times New Roman" w:hAnsi="Times New Roman" w:cs="Times New Roman"/>
          <w:sz w:val="24"/>
          <w:szCs w:val="24"/>
        </w:rPr>
      </w:pPr>
      <w:r w:rsidRPr="0017125E">
        <w:rPr>
          <w:rFonts w:ascii="Times New Roman" w:eastAsia="Times New Roman" w:hAnsi="Times New Roman" w:cs="Times New Roman"/>
          <w:sz w:val="24"/>
          <w:szCs w:val="24"/>
        </w:rPr>
        <w:t xml:space="preserve">1.4. Guidelines to resolve the unacceptable differences in performance identified </w:t>
      </w:r>
      <w:r>
        <w:rPr>
          <w:rFonts w:ascii="Times New Roman" w:eastAsia="Times New Roman" w:hAnsi="Times New Roman" w:cs="Times New Roman"/>
          <w:sz w:val="24"/>
          <w:szCs w:val="24"/>
        </w:rPr>
        <w:t xml:space="preserve">under </w:t>
      </w:r>
      <w:r w:rsidRPr="0017125E">
        <w:rPr>
          <w:rFonts w:ascii="Times New Roman" w:eastAsia="Times New Roman" w:hAnsi="Times New Roman" w:cs="Times New Roman"/>
          <w:sz w:val="24"/>
          <w:szCs w:val="24"/>
        </w:rPr>
        <w:t>Part 1.3.</w:t>
      </w:r>
    </w:p>
    <w:p w14:paraId="54BF4712" w14:textId="77777777" w:rsidR="0017125E" w:rsidRPr="0017125E" w:rsidRDefault="0017125E" w:rsidP="00AE619D">
      <w:pPr>
        <w:spacing w:after="0"/>
        <w:ind w:firstLine="720"/>
        <w:rPr>
          <w:rFonts w:ascii="Times New Roman" w:eastAsia="Times New Roman" w:hAnsi="Times New Roman" w:cs="Times New Roman"/>
          <w:sz w:val="24"/>
          <w:szCs w:val="24"/>
        </w:rPr>
      </w:pPr>
    </w:p>
    <w:p w14:paraId="332C7CD8" w14:textId="3F8EFFDF" w:rsidR="0017125E" w:rsidRDefault="0017125E" w:rsidP="0017125E">
      <w:pPr>
        <w:spacing w:after="0"/>
        <w:rPr>
          <w:rFonts w:ascii="Times New Roman" w:eastAsia="Times New Roman" w:hAnsi="Times New Roman" w:cs="Times New Roman"/>
          <w:sz w:val="24"/>
          <w:szCs w:val="24"/>
        </w:rPr>
      </w:pPr>
      <w:r w:rsidRPr="0017125E">
        <w:rPr>
          <w:rFonts w:ascii="Times New Roman" w:eastAsia="Times New Roman" w:hAnsi="Times New Roman" w:cs="Times New Roman"/>
          <w:sz w:val="24"/>
          <w:szCs w:val="24"/>
        </w:rPr>
        <w:t xml:space="preserve">M1. Each Planning Coordinator shall provide evidence that </w:t>
      </w:r>
      <w:r>
        <w:rPr>
          <w:rFonts w:ascii="Times New Roman" w:eastAsia="Times New Roman" w:hAnsi="Times New Roman" w:cs="Times New Roman"/>
          <w:sz w:val="24"/>
          <w:szCs w:val="24"/>
        </w:rPr>
        <w:t xml:space="preserve">it has a documented validation </w:t>
      </w:r>
      <w:r w:rsidRPr="0017125E">
        <w:rPr>
          <w:rFonts w:ascii="Times New Roman" w:eastAsia="Times New Roman" w:hAnsi="Times New Roman" w:cs="Times New Roman"/>
          <w:sz w:val="24"/>
          <w:szCs w:val="24"/>
        </w:rPr>
        <w:t xml:space="preserve">process according to Requirement R1 as well as </w:t>
      </w:r>
      <w:r>
        <w:rPr>
          <w:rFonts w:ascii="Times New Roman" w:eastAsia="Times New Roman" w:hAnsi="Times New Roman" w:cs="Times New Roman"/>
          <w:sz w:val="24"/>
          <w:szCs w:val="24"/>
        </w:rPr>
        <w:t xml:space="preserve">evidence that demonstrates the </w:t>
      </w:r>
      <w:r w:rsidRPr="0017125E">
        <w:rPr>
          <w:rFonts w:ascii="Times New Roman" w:eastAsia="Times New Roman" w:hAnsi="Times New Roman" w:cs="Times New Roman"/>
          <w:sz w:val="24"/>
          <w:szCs w:val="24"/>
        </w:rPr>
        <w:t>implementation of the required components of the process.</w:t>
      </w:r>
    </w:p>
    <w:p w14:paraId="6BFAD50B" w14:textId="77777777" w:rsidR="0017125E" w:rsidRPr="0017125E" w:rsidRDefault="0017125E" w:rsidP="0017125E">
      <w:pPr>
        <w:spacing w:after="0"/>
        <w:rPr>
          <w:rFonts w:ascii="Times New Roman" w:eastAsia="Times New Roman" w:hAnsi="Times New Roman" w:cs="Times New Roman"/>
          <w:sz w:val="24"/>
          <w:szCs w:val="24"/>
        </w:rPr>
      </w:pPr>
    </w:p>
    <w:p w14:paraId="21B996EE" w14:textId="23DE8895" w:rsidR="0017125E" w:rsidRDefault="0017125E" w:rsidP="0017125E">
      <w:pPr>
        <w:spacing w:after="0"/>
        <w:rPr>
          <w:rFonts w:ascii="Times New Roman" w:eastAsia="Times New Roman" w:hAnsi="Times New Roman" w:cs="Times New Roman"/>
          <w:sz w:val="24"/>
          <w:szCs w:val="24"/>
        </w:rPr>
      </w:pPr>
      <w:r w:rsidRPr="0017125E">
        <w:rPr>
          <w:rFonts w:ascii="Times New Roman" w:eastAsia="Times New Roman" w:hAnsi="Times New Roman" w:cs="Times New Roman"/>
          <w:sz w:val="24"/>
          <w:szCs w:val="24"/>
        </w:rPr>
        <w:t>R2. Each Reliability Coordinator and Transmission Operat</w:t>
      </w:r>
      <w:r>
        <w:rPr>
          <w:rFonts w:ascii="Times New Roman" w:eastAsia="Times New Roman" w:hAnsi="Times New Roman" w:cs="Times New Roman"/>
          <w:sz w:val="24"/>
          <w:szCs w:val="24"/>
        </w:rPr>
        <w:t xml:space="preserve">or shall provide actual system </w:t>
      </w:r>
      <w:r w:rsidRPr="0017125E">
        <w:rPr>
          <w:rFonts w:ascii="Times New Roman" w:eastAsia="Times New Roman" w:hAnsi="Times New Roman" w:cs="Times New Roman"/>
          <w:sz w:val="24"/>
          <w:szCs w:val="24"/>
        </w:rPr>
        <w:t xml:space="preserve">behavior data (or a written response that it does not </w:t>
      </w:r>
      <w:r>
        <w:rPr>
          <w:rFonts w:ascii="Times New Roman" w:eastAsia="Times New Roman" w:hAnsi="Times New Roman" w:cs="Times New Roman"/>
          <w:sz w:val="24"/>
          <w:szCs w:val="24"/>
        </w:rPr>
        <w:t xml:space="preserve">have the requested data) to any </w:t>
      </w:r>
      <w:r w:rsidRPr="0017125E">
        <w:rPr>
          <w:rFonts w:ascii="Times New Roman" w:eastAsia="Times New Roman" w:hAnsi="Times New Roman" w:cs="Times New Roman"/>
          <w:sz w:val="24"/>
          <w:szCs w:val="24"/>
        </w:rPr>
        <w:t>Planning Coordinator performing validation under Req</w:t>
      </w:r>
      <w:r>
        <w:rPr>
          <w:rFonts w:ascii="Times New Roman" w:eastAsia="Times New Roman" w:hAnsi="Times New Roman" w:cs="Times New Roman"/>
          <w:sz w:val="24"/>
          <w:szCs w:val="24"/>
        </w:rPr>
        <w:t xml:space="preserve">uirement R1 within 30 calendar </w:t>
      </w:r>
      <w:r w:rsidRPr="0017125E">
        <w:rPr>
          <w:rFonts w:ascii="Times New Roman" w:eastAsia="Times New Roman" w:hAnsi="Times New Roman" w:cs="Times New Roman"/>
          <w:sz w:val="24"/>
          <w:szCs w:val="24"/>
        </w:rPr>
        <w:t>days of a written request, such as, but not limited to,</w:t>
      </w:r>
      <w:r>
        <w:rPr>
          <w:rFonts w:ascii="Times New Roman" w:eastAsia="Times New Roman" w:hAnsi="Times New Roman" w:cs="Times New Roman"/>
          <w:sz w:val="24"/>
          <w:szCs w:val="24"/>
        </w:rPr>
        <w:t xml:space="preserve"> state estimator case or other </w:t>
      </w:r>
      <w:r w:rsidRPr="0017125E">
        <w:rPr>
          <w:rFonts w:ascii="Times New Roman" w:eastAsia="Times New Roman" w:hAnsi="Times New Roman" w:cs="Times New Roman"/>
          <w:sz w:val="24"/>
          <w:szCs w:val="24"/>
        </w:rPr>
        <w:t>Real-time data (including disturbance data recording</w:t>
      </w:r>
      <w:r>
        <w:rPr>
          <w:rFonts w:ascii="Times New Roman" w:eastAsia="Times New Roman" w:hAnsi="Times New Roman" w:cs="Times New Roman"/>
          <w:sz w:val="24"/>
          <w:szCs w:val="24"/>
        </w:rPr>
        <w:t xml:space="preserve">s) necessary for actual system </w:t>
      </w:r>
      <w:r w:rsidRPr="0017125E">
        <w:rPr>
          <w:rFonts w:ascii="Times New Roman" w:eastAsia="Times New Roman" w:hAnsi="Times New Roman" w:cs="Times New Roman"/>
          <w:sz w:val="24"/>
          <w:szCs w:val="24"/>
        </w:rPr>
        <w:t>response validation. [Violation Risk Factor: Lower] [Time Horizon: Long-term Planning]</w:t>
      </w:r>
    </w:p>
    <w:p w14:paraId="36F78DD6" w14:textId="77777777" w:rsidR="0017125E" w:rsidRPr="0017125E" w:rsidRDefault="0017125E" w:rsidP="0017125E">
      <w:pPr>
        <w:spacing w:after="0"/>
        <w:rPr>
          <w:rFonts w:ascii="Times New Roman" w:eastAsia="Times New Roman" w:hAnsi="Times New Roman" w:cs="Times New Roman"/>
          <w:sz w:val="24"/>
          <w:szCs w:val="24"/>
        </w:rPr>
      </w:pPr>
    </w:p>
    <w:p w14:paraId="2FA86658" w14:textId="3749FED7" w:rsidR="0017125E" w:rsidRDefault="0017125E" w:rsidP="0017125E">
      <w:pPr>
        <w:spacing w:after="0"/>
        <w:rPr>
          <w:rFonts w:ascii="Times New Roman" w:eastAsia="Times New Roman" w:hAnsi="Times New Roman" w:cs="Times New Roman"/>
          <w:sz w:val="24"/>
          <w:szCs w:val="24"/>
        </w:rPr>
      </w:pPr>
      <w:r w:rsidRPr="0017125E">
        <w:rPr>
          <w:rFonts w:ascii="Times New Roman" w:eastAsia="Times New Roman" w:hAnsi="Times New Roman" w:cs="Times New Roman"/>
          <w:sz w:val="24"/>
          <w:szCs w:val="24"/>
        </w:rPr>
        <w:t>M2. Each Reliability Coordinator and Transmission Operato</w:t>
      </w:r>
      <w:r>
        <w:rPr>
          <w:rFonts w:ascii="Times New Roman" w:eastAsia="Times New Roman" w:hAnsi="Times New Roman" w:cs="Times New Roman"/>
          <w:sz w:val="24"/>
          <w:szCs w:val="24"/>
        </w:rPr>
        <w:t xml:space="preserve">r shall provide evidence, such </w:t>
      </w:r>
      <w:r w:rsidRPr="0017125E">
        <w:rPr>
          <w:rFonts w:ascii="Times New Roman" w:eastAsia="Times New Roman" w:hAnsi="Times New Roman" w:cs="Times New Roman"/>
          <w:sz w:val="24"/>
          <w:szCs w:val="24"/>
        </w:rPr>
        <w:t>as email notices or postal receipts showing recipient an</w:t>
      </w:r>
      <w:r>
        <w:rPr>
          <w:rFonts w:ascii="Times New Roman" w:eastAsia="Times New Roman" w:hAnsi="Times New Roman" w:cs="Times New Roman"/>
          <w:sz w:val="24"/>
          <w:szCs w:val="24"/>
        </w:rPr>
        <w:t xml:space="preserve">d date that it has distributed </w:t>
      </w:r>
      <w:r w:rsidRPr="0017125E">
        <w:rPr>
          <w:rFonts w:ascii="Times New Roman" w:eastAsia="Times New Roman" w:hAnsi="Times New Roman" w:cs="Times New Roman"/>
          <w:sz w:val="24"/>
          <w:szCs w:val="24"/>
        </w:rPr>
        <w:t xml:space="preserve">the requested data or written response that it does not </w:t>
      </w:r>
      <w:r>
        <w:rPr>
          <w:rFonts w:ascii="Times New Roman" w:eastAsia="Times New Roman" w:hAnsi="Times New Roman" w:cs="Times New Roman"/>
          <w:sz w:val="24"/>
          <w:szCs w:val="24"/>
        </w:rPr>
        <w:t xml:space="preserve">have the data, to any Planning </w:t>
      </w:r>
      <w:r w:rsidRPr="0017125E">
        <w:rPr>
          <w:rFonts w:ascii="Times New Roman" w:eastAsia="Times New Roman" w:hAnsi="Times New Roman" w:cs="Times New Roman"/>
          <w:sz w:val="24"/>
          <w:szCs w:val="24"/>
        </w:rPr>
        <w:t>Coordinator performing validation under Requirement R1 within 30 days of a writt</w:t>
      </w:r>
      <w:r>
        <w:rPr>
          <w:rFonts w:ascii="Times New Roman" w:eastAsia="Times New Roman" w:hAnsi="Times New Roman" w:cs="Times New Roman"/>
          <w:sz w:val="24"/>
          <w:szCs w:val="24"/>
        </w:rPr>
        <w:t xml:space="preserve">en </w:t>
      </w:r>
      <w:r w:rsidRPr="0017125E">
        <w:rPr>
          <w:rFonts w:ascii="Times New Roman" w:eastAsia="Times New Roman" w:hAnsi="Times New Roman" w:cs="Times New Roman"/>
          <w:sz w:val="24"/>
          <w:szCs w:val="24"/>
        </w:rPr>
        <w:t xml:space="preserve">request in accordance with Requirement R2; or </w:t>
      </w:r>
      <w:r>
        <w:rPr>
          <w:rFonts w:ascii="Times New Roman" w:eastAsia="Times New Roman" w:hAnsi="Times New Roman" w:cs="Times New Roman"/>
          <w:sz w:val="24"/>
          <w:szCs w:val="24"/>
        </w:rPr>
        <w:t xml:space="preserve">a statement by the Reliability </w:t>
      </w:r>
      <w:r w:rsidRPr="0017125E">
        <w:rPr>
          <w:rFonts w:ascii="Times New Roman" w:eastAsia="Times New Roman" w:hAnsi="Times New Roman" w:cs="Times New Roman"/>
          <w:sz w:val="24"/>
          <w:szCs w:val="24"/>
        </w:rPr>
        <w:t>Coordinator or Transmission Operator that it has not r</w:t>
      </w:r>
      <w:r>
        <w:rPr>
          <w:rFonts w:ascii="Times New Roman" w:eastAsia="Times New Roman" w:hAnsi="Times New Roman" w:cs="Times New Roman"/>
          <w:sz w:val="24"/>
          <w:szCs w:val="24"/>
        </w:rPr>
        <w:t xml:space="preserve">eceived notification regarding </w:t>
      </w:r>
      <w:r w:rsidRPr="0017125E">
        <w:rPr>
          <w:rFonts w:ascii="Times New Roman" w:eastAsia="Times New Roman" w:hAnsi="Times New Roman" w:cs="Times New Roman"/>
          <w:sz w:val="24"/>
          <w:szCs w:val="24"/>
        </w:rPr>
        <w:t>data necessary for validation by any Planning Coordinator.</w:t>
      </w:r>
    </w:p>
    <w:p w14:paraId="148941DB" w14:textId="77777777" w:rsidR="00DC4B51" w:rsidRDefault="00DC4B51" w:rsidP="0017125E">
      <w:pPr>
        <w:spacing w:after="0"/>
        <w:rPr>
          <w:rFonts w:ascii="Times New Roman" w:eastAsia="Times New Roman" w:hAnsi="Times New Roman" w:cs="Times New Roman"/>
          <w:sz w:val="24"/>
          <w:szCs w:val="24"/>
        </w:rPr>
      </w:pPr>
    </w:p>
    <w:p w14:paraId="70B01E5C" w14:textId="6398FACF" w:rsidR="00DC4B51" w:rsidRDefault="00DC4B51" w:rsidP="0017125E">
      <w:pPr>
        <w:spacing w:after="0"/>
        <w:rPr>
          <w:rFonts w:ascii="Times New Roman" w:eastAsia="Times New Roman" w:hAnsi="Times New Roman" w:cs="Times New Roman"/>
          <w:sz w:val="24"/>
          <w:szCs w:val="24"/>
        </w:rPr>
      </w:pPr>
      <w:r w:rsidRPr="00AE619D">
        <w:rPr>
          <w:rFonts w:ascii="Times New Roman" w:eastAsia="Times New Roman" w:hAnsi="Times New Roman" w:cs="Times New Roman"/>
          <w:sz w:val="24"/>
          <w:szCs w:val="24"/>
          <w:u w:val="single"/>
        </w:rPr>
        <w:t>Evidence Retention</w:t>
      </w:r>
      <w:r>
        <w:rPr>
          <w:rFonts w:ascii="Times New Roman" w:eastAsia="Times New Roman" w:hAnsi="Times New Roman" w:cs="Times New Roman"/>
          <w:sz w:val="24"/>
          <w:szCs w:val="24"/>
          <w:u w:val="single"/>
        </w:rPr>
        <w:t xml:space="preserve"> Requirements</w:t>
      </w:r>
      <w:r w:rsidRPr="00AE619D">
        <w:rPr>
          <w:rFonts w:ascii="Times New Roman" w:eastAsia="Times New Roman" w:hAnsi="Times New Roman" w:cs="Times New Roman"/>
          <w:sz w:val="24"/>
          <w:szCs w:val="24"/>
          <w:u w:val="single"/>
        </w:rPr>
        <w:t xml:space="preserve"> for MOD-033-1</w:t>
      </w:r>
      <w:r>
        <w:rPr>
          <w:rFonts w:ascii="Times New Roman" w:eastAsia="Times New Roman" w:hAnsi="Times New Roman" w:cs="Times New Roman"/>
          <w:sz w:val="24"/>
          <w:szCs w:val="24"/>
        </w:rPr>
        <w:t>:</w:t>
      </w:r>
    </w:p>
    <w:p w14:paraId="59922A4E" w14:textId="7555781C" w:rsidR="00DC4B51" w:rsidRPr="00DC4B51" w:rsidRDefault="00DC4B51" w:rsidP="00DC4B51">
      <w:pPr>
        <w:spacing w:after="0"/>
        <w:rPr>
          <w:rFonts w:ascii="Times New Roman" w:eastAsia="Times New Roman" w:hAnsi="Times New Roman" w:cs="Times New Roman"/>
          <w:sz w:val="24"/>
          <w:szCs w:val="24"/>
        </w:rPr>
      </w:pPr>
      <w:r w:rsidRPr="00DC4B51">
        <w:rPr>
          <w:rFonts w:ascii="Times New Roman" w:eastAsia="Times New Roman" w:hAnsi="Times New Roman" w:cs="Times New Roman"/>
          <w:sz w:val="24"/>
          <w:szCs w:val="24"/>
        </w:rPr>
        <w:t>The following evidence retention periods identify t</w:t>
      </w:r>
      <w:r>
        <w:rPr>
          <w:rFonts w:ascii="Times New Roman" w:eastAsia="Times New Roman" w:hAnsi="Times New Roman" w:cs="Times New Roman"/>
          <w:sz w:val="24"/>
          <w:szCs w:val="24"/>
        </w:rPr>
        <w:t xml:space="preserve">he period of time an entity is </w:t>
      </w:r>
      <w:r w:rsidRPr="00DC4B51">
        <w:rPr>
          <w:rFonts w:ascii="Times New Roman" w:eastAsia="Times New Roman" w:hAnsi="Times New Roman" w:cs="Times New Roman"/>
          <w:sz w:val="24"/>
          <w:szCs w:val="24"/>
        </w:rPr>
        <w:t>required to retain specific evidence to demonst</w:t>
      </w:r>
      <w:r>
        <w:rPr>
          <w:rFonts w:ascii="Times New Roman" w:eastAsia="Times New Roman" w:hAnsi="Times New Roman" w:cs="Times New Roman"/>
          <w:sz w:val="24"/>
          <w:szCs w:val="24"/>
        </w:rPr>
        <w:t xml:space="preserve">rate compliance. For instances </w:t>
      </w:r>
      <w:r w:rsidRPr="00DC4B51">
        <w:rPr>
          <w:rFonts w:ascii="Times New Roman" w:eastAsia="Times New Roman" w:hAnsi="Times New Roman" w:cs="Times New Roman"/>
          <w:sz w:val="24"/>
          <w:szCs w:val="24"/>
        </w:rPr>
        <w:t xml:space="preserve">where the evidence retention period specified </w:t>
      </w:r>
      <w:r>
        <w:rPr>
          <w:rFonts w:ascii="Times New Roman" w:eastAsia="Times New Roman" w:hAnsi="Times New Roman" w:cs="Times New Roman"/>
          <w:sz w:val="24"/>
          <w:szCs w:val="24"/>
        </w:rPr>
        <w:t xml:space="preserve">below is shorter than the time </w:t>
      </w:r>
      <w:r w:rsidRPr="00DC4B51">
        <w:rPr>
          <w:rFonts w:ascii="Times New Roman" w:eastAsia="Times New Roman" w:hAnsi="Times New Roman" w:cs="Times New Roman"/>
          <w:sz w:val="24"/>
          <w:szCs w:val="24"/>
        </w:rPr>
        <w:t xml:space="preserve">since the last audit, the Compliance Enforcement </w:t>
      </w:r>
      <w:r>
        <w:rPr>
          <w:rFonts w:ascii="Times New Roman" w:eastAsia="Times New Roman" w:hAnsi="Times New Roman" w:cs="Times New Roman"/>
          <w:sz w:val="24"/>
          <w:szCs w:val="24"/>
        </w:rPr>
        <w:t xml:space="preserve">Authority may ask an entity to </w:t>
      </w:r>
      <w:r w:rsidRPr="00DC4B51">
        <w:rPr>
          <w:rFonts w:ascii="Times New Roman" w:eastAsia="Times New Roman" w:hAnsi="Times New Roman" w:cs="Times New Roman"/>
          <w:sz w:val="24"/>
          <w:szCs w:val="24"/>
        </w:rPr>
        <w:t>provide other evidence to show that it was compliant for the full time period since the last audit.</w:t>
      </w:r>
    </w:p>
    <w:p w14:paraId="576DC8A7" w14:textId="77777777" w:rsidR="00DC4B51" w:rsidRPr="00DC4B51" w:rsidRDefault="00DC4B51" w:rsidP="00DC4B51">
      <w:pPr>
        <w:spacing w:after="0"/>
        <w:rPr>
          <w:rFonts w:ascii="Times New Roman" w:eastAsia="Times New Roman" w:hAnsi="Times New Roman" w:cs="Times New Roman"/>
          <w:sz w:val="24"/>
          <w:szCs w:val="24"/>
        </w:rPr>
      </w:pPr>
      <w:r w:rsidRPr="00DC4B51">
        <w:rPr>
          <w:rFonts w:ascii="Times New Roman" w:eastAsia="Times New Roman" w:hAnsi="Times New Roman" w:cs="Times New Roman"/>
          <w:sz w:val="24"/>
          <w:szCs w:val="24"/>
        </w:rPr>
        <w:t xml:space="preserve">The applicable entity shall keep data or evidence to show compliance with </w:t>
      </w:r>
    </w:p>
    <w:p w14:paraId="1CE9A6F4" w14:textId="5FB98FF2" w:rsidR="00DC4B51" w:rsidRDefault="00DC4B51" w:rsidP="00DC4B51">
      <w:pPr>
        <w:spacing w:after="0"/>
        <w:rPr>
          <w:rFonts w:ascii="Times New Roman" w:eastAsia="Times New Roman" w:hAnsi="Times New Roman" w:cs="Times New Roman"/>
          <w:sz w:val="24"/>
          <w:szCs w:val="24"/>
        </w:rPr>
      </w:pPr>
      <w:r w:rsidRPr="00DC4B51">
        <w:rPr>
          <w:rFonts w:ascii="Times New Roman" w:eastAsia="Times New Roman" w:hAnsi="Times New Roman" w:cs="Times New Roman"/>
          <w:sz w:val="24"/>
          <w:szCs w:val="24"/>
        </w:rPr>
        <w:lastRenderedPageBreak/>
        <w:t>Requirements R1 through R2, and Measures M1 thr</w:t>
      </w:r>
      <w:r>
        <w:rPr>
          <w:rFonts w:ascii="Times New Roman" w:eastAsia="Times New Roman" w:hAnsi="Times New Roman" w:cs="Times New Roman"/>
          <w:sz w:val="24"/>
          <w:szCs w:val="24"/>
        </w:rPr>
        <w:t xml:space="preserve">ough M2, since the last audit, </w:t>
      </w:r>
      <w:r w:rsidRPr="00DC4B51">
        <w:rPr>
          <w:rFonts w:ascii="Times New Roman" w:eastAsia="Times New Roman" w:hAnsi="Times New Roman" w:cs="Times New Roman"/>
          <w:sz w:val="24"/>
          <w:szCs w:val="24"/>
        </w:rPr>
        <w:t>unless directed by its Compliance Enforcemen</w:t>
      </w:r>
      <w:r>
        <w:rPr>
          <w:rFonts w:ascii="Times New Roman" w:eastAsia="Times New Roman" w:hAnsi="Times New Roman" w:cs="Times New Roman"/>
          <w:sz w:val="24"/>
          <w:szCs w:val="24"/>
        </w:rPr>
        <w:t xml:space="preserve">t Authority to retain specific </w:t>
      </w:r>
      <w:r w:rsidRPr="00DC4B51">
        <w:rPr>
          <w:rFonts w:ascii="Times New Roman" w:eastAsia="Times New Roman" w:hAnsi="Times New Roman" w:cs="Times New Roman"/>
          <w:sz w:val="24"/>
          <w:szCs w:val="24"/>
        </w:rPr>
        <w:t>evidence for a longer period of time as part of an investigation.</w:t>
      </w:r>
    </w:p>
    <w:p w14:paraId="4D7B6C4E" w14:textId="77777777" w:rsidR="00DC4B51" w:rsidRPr="00DC4B51" w:rsidRDefault="00DC4B51" w:rsidP="00DC4B51">
      <w:pPr>
        <w:spacing w:after="0"/>
        <w:rPr>
          <w:rFonts w:ascii="Times New Roman" w:eastAsia="Times New Roman" w:hAnsi="Times New Roman" w:cs="Times New Roman"/>
          <w:sz w:val="24"/>
          <w:szCs w:val="24"/>
        </w:rPr>
      </w:pPr>
    </w:p>
    <w:p w14:paraId="4574B9AD" w14:textId="31DA71E1" w:rsidR="00DC4B51" w:rsidRDefault="00DC4B51" w:rsidP="00DC4B51">
      <w:pPr>
        <w:spacing w:after="0"/>
        <w:rPr>
          <w:rFonts w:ascii="Times New Roman" w:eastAsia="Times New Roman" w:hAnsi="Times New Roman" w:cs="Times New Roman"/>
          <w:sz w:val="24"/>
          <w:szCs w:val="24"/>
        </w:rPr>
      </w:pPr>
      <w:r w:rsidRPr="00DC4B51">
        <w:rPr>
          <w:rFonts w:ascii="Times New Roman" w:eastAsia="Times New Roman" w:hAnsi="Times New Roman" w:cs="Times New Roman"/>
          <w:sz w:val="24"/>
          <w:szCs w:val="24"/>
        </w:rPr>
        <w:t>If an applicable entity is found non-compliant, it shall keep information relate</w:t>
      </w:r>
      <w:r>
        <w:rPr>
          <w:rFonts w:ascii="Times New Roman" w:eastAsia="Times New Roman" w:hAnsi="Times New Roman" w:cs="Times New Roman"/>
          <w:sz w:val="24"/>
          <w:szCs w:val="24"/>
        </w:rPr>
        <w:t xml:space="preserve">d </w:t>
      </w:r>
      <w:r w:rsidRPr="00DC4B51">
        <w:rPr>
          <w:rFonts w:ascii="Times New Roman" w:eastAsia="Times New Roman" w:hAnsi="Times New Roman" w:cs="Times New Roman"/>
          <w:sz w:val="24"/>
          <w:szCs w:val="24"/>
        </w:rPr>
        <w:t>to the non-compliance until mitigation is complete</w:t>
      </w:r>
      <w:r>
        <w:rPr>
          <w:rFonts w:ascii="Times New Roman" w:eastAsia="Times New Roman" w:hAnsi="Times New Roman" w:cs="Times New Roman"/>
          <w:sz w:val="24"/>
          <w:szCs w:val="24"/>
        </w:rPr>
        <w:t xml:space="preserve"> and approved, or for the time </w:t>
      </w:r>
      <w:r w:rsidRPr="00DC4B51">
        <w:rPr>
          <w:rFonts w:ascii="Times New Roman" w:eastAsia="Times New Roman" w:hAnsi="Times New Roman" w:cs="Times New Roman"/>
          <w:sz w:val="24"/>
          <w:szCs w:val="24"/>
        </w:rPr>
        <w:t>specified above, whichever is longer.</w:t>
      </w:r>
    </w:p>
    <w:p w14:paraId="7AEC11FF" w14:textId="77777777" w:rsidR="00DC4B51" w:rsidRPr="00DC4B51" w:rsidRDefault="00DC4B51" w:rsidP="00DC4B51">
      <w:pPr>
        <w:spacing w:after="0"/>
        <w:rPr>
          <w:rFonts w:ascii="Times New Roman" w:eastAsia="Times New Roman" w:hAnsi="Times New Roman" w:cs="Times New Roman"/>
          <w:sz w:val="24"/>
          <w:szCs w:val="24"/>
        </w:rPr>
      </w:pPr>
    </w:p>
    <w:p w14:paraId="7C0773B5" w14:textId="1984137B" w:rsidR="00DC4B51" w:rsidRDefault="00DC4B51" w:rsidP="00DC4B51">
      <w:pPr>
        <w:spacing w:after="0"/>
        <w:rPr>
          <w:rFonts w:ascii="Times New Roman" w:eastAsia="Times New Roman" w:hAnsi="Times New Roman" w:cs="Times New Roman"/>
          <w:sz w:val="24"/>
          <w:szCs w:val="24"/>
        </w:rPr>
      </w:pPr>
      <w:r w:rsidRPr="00DC4B51">
        <w:rPr>
          <w:rFonts w:ascii="Times New Roman" w:eastAsia="Times New Roman" w:hAnsi="Times New Roman" w:cs="Times New Roman"/>
          <w:sz w:val="24"/>
          <w:szCs w:val="24"/>
        </w:rPr>
        <w:t xml:space="preserve">The Compliance Enforcement Authority shall keep </w:t>
      </w:r>
      <w:r>
        <w:rPr>
          <w:rFonts w:ascii="Times New Roman" w:eastAsia="Times New Roman" w:hAnsi="Times New Roman" w:cs="Times New Roman"/>
          <w:sz w:val="24"/>
          <w:szCs w:val="24"/>
        </w:rPr>
        <w:t xml:space="preserve">the last audit records and all </w:t>
      </w:r>
      <w:r w:rsidRPr="00DC4B51">
        <w:rPr>
          <w:rFonts w:ascii="Times New Roman" w:eastAsia="Times New Roman" w:hAnsi="Times New Roman" w:cs="Times New Roman"/>
          <w:sz w:val="24"/>
          <w:szCs w:val="24"/>
        </w:rPr>
        <w:t>requested and submitted subsequent audit records.</w:t>
      </w:r>
    </w:p>
    <w:p w14:paraId="735A8DA8" w14:textId="77777777" w:rsidR="0017125E" w:rsidRDefault="0017125E" w:rsidP="0017125E">
      <w:pPr>
        <w:spacing w:after="0"/>
        <w:rPr>
          <w:rFonts w:ascii="Times New Roman" w:eastAsia="Times New Roman" w:hAnsi="Times New Roman" w:cs="Times New Roman"/>
          <w:sz w:val="24"/>
          <w:szCs w:val="24"/>
        </w:rPr>
      </w:pPr>
    </w:p>
    <w:p w14:paraId="011BB542" w14:textId="7059A6A3" w:rsidR="002D51FB" w:rsidRDefault="002D51FB" w:rsidP="006C4EB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Reliability Standard MOD-033-1 </w:t>
      </w:r>
      <w:r w:rsidR="00ED0D38">
        <w:rPr>
          <w:rFonts w:ascii="Times New Roman" w:eastAsia="Times New Roman" w:hAnsi="Times New Roman" w:cs="Times New Roman"/>
          <w:sz w:val="24"/>
          <w:szCs w:val="24"/>
        </w:rPr>
        <w:t>“</w:t>
      </w:r>
      <w:r>
        <w:rPr>
          <w:rFonts w:ascii="Times New Roman" w:eastAsia="Times New Roman" w:hAnsi="Times New Roman" w:cs="Times New Roman"/>
          <w:sz w:val="24"/>
          <w:szCs w:val="24"/>
        </w:rPr>
        <w:t>requires applicable entities to establish consistent validation requirements to facilitate the collection of accurate data and building of planning models to analyze the reliability of the interconnected transmission system.</w:t>
      </w:r>
      <w:r w:rsidR="00ED0D38">
        <w:rPr>
          <w:rFonts w:ascii="Times New Roman" w:eastAsia="Times New Roman" w:hAnsi="Times New Roman" w:cs="Times New Roman"/>
          <w:sz w:val="24"/>
          <w:szCs w:val="24"/>
        </w:rPr>
        <w:t>”</w:t>
      </w:r>
      <w:r w:rsidR="00ED0D38" w:rsidRPr="00AE619D">
        <w:rPr>
          <w:rStyle w:val="FootnoteReference"/>
          <w:rFonts w:ascii="Times New Roman" w:eastAsia="Times New Roman" w:hAnsi="Times New Roman" w:cs="Times New Roman"/>
          <w:sz w:val="24"/>
          <w:szCs w:val="24"/>
          <w:vertAlign w:val="superscript"/>
        </w:rPr>
        <w:footnoteReference w:id="12"/>
      </w:r>
    </w:p>
    <w:p w14:paraId="05585FB1" w14:textId="77777777" w:rsidR="006A77B8" w:rsidRDefault="006A77B8" w:rsidP="006C4EB6">
      <w:pPr>
        <w:spacing w:after="0"/>
        <w:rPr>
          <w:rFonts w:ascii="Times New Roman" w:eastAsia="Times New Roman" w:hAnsi="Times New Roman" w:cs="Times New Roman"/>
          <w:sz w:val="24"/>
          <w:szCs w:val="24"/>
        </w:rPr>
      </w:pPr>
    </w:p>
    <w:p w14:paraId="639BC90B" w14:textId="41760003" w:rsidR="00FF012B" w:rsidRPr="006C4EB6" w:rsidRDefault="00FF012B" w:rsidP="006C4EB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NERC goes on </w:t>
      </w:r>
      <w:r w:rsidR="008076A1">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 xml:space="preserve">its petition to emphasize the importance of models in backing up power system studies which in turn predict system performance under various conditions.   </w:t>
      </w:r>
    </w:p>
    <w:p w14:paraId="2FFC980D" w14:textId="77777777" w:rsidR="00EB3E6F" w:rsidRPr="00EB3E6F" w:rsidRDefault="00EB3E6F" w:rsidP="00EB3E6F">
      <w:pPr>
        <w:spacing w:after="0"/>
        <w:rPr>
          <w:rFonts w:ascii="Times New Roman" w:hAnsi="Times New Roman" w:cs="Times New Roman"/>
          <w:sz w:val="24"/>
          <w:szCs w:val="24"/>
        </w:rPr>
      </w:pPr>
    </w:p>
    <w:p w14:paraId="2FFC980E" w14:textId="77777777" w:rsidR="00A72E7B"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14:paraId="58DAB5C4" w14:textId="083914D7" w:rsidR="00E705AE" w:rsidRDefault="00E705AE" w:rsidP="00EB3E6F">
      <w:pPr>
        <w:spacing w:after="0"/>
        <w:rPr>
          <w:rFonts w:ascii="Times New Roman" w:hAnsi="Times New Roman" w:cs="Times New Roman"/>
          <w:sz w:val="24"/>
          <w:szCs w:val="24"/>
        </w:rPr>
      </w:pPr>
    </w:p>
    <w:p w14:paraId="69F6637A" w14:textId="1364C24A" w:rsidR="00DB554D" w:rsidRDefault="007804F8" w:rsidP="00EB3E6F">
      <w:pPr>
        <w:spacing w:after="0"/>
        <w:rPr>
          <w:rFonts w:ascii="Times New Roman" w:hAnsi="Times New Roman" w:cs="Times New Roman"/>
          <w:sz w:val="24"/>
          <w:szCs w:val="24"/>
        </w:rPr>
      </w:pPr>
      <w:r w:rsidRPr="007804F8">
        <w:rPr>
          <w:rFonts w:ascii="Times New Roman" w:hAnsi="Times New Roman" w:cs="Times New Roman"/>
          <w:sz w:val="24"/>
          <w:szCs w:val="24"/>
        </w:rPr>
        <w:t>Reliability Standard MOD-032-1 consolidates NERC-approved Reliability Standards MOD-011-0, MOD-013-1 and MOD-014-0, as well as, Commission approved Reliability Standards MOD-010-0 and MOD-012-0, into one standard.</w:t>
      </w:r>
      <w:r w:rsidRPr="007804F8">
        <w:rPr>
          <w:rFonts w:ascii="Times New Roman" w:hAnsi="Times New Roman" w:cs="Times New Roman"/>
          <w:b/>
          <w:sz w:val="24"/>
          <w:szCs w:val="24"/>
          <w:vertAlign w:val="superscript"/>
        </w:rPr>
        <w:footnoteReference w:id="13"/>
      </w:r>
      <w:r w:rsidRPr="007804F8">
        <w:rPr>
          <w:rFonts w:ascii="Times New Roman" w:hAnsi="Times New Roman" w:cs="Times New Roman"/>
          <w:sz w:val="24"/>
          <w:szCs w:val="24"/>
        </w:rPr>
        <w:t xml:space="preserve">  Reliability Standard MOD-032-1 requires data submission by applicable data owners</w:t>
      </w:r>
      <w:r>
        <w:rPr>
          <w:rFonts w:ascii="Times New Roman" w:hAnsi="Times New Roman" w:cs="Times New Roman"/>
          <w:sz w:val="24"/>
          <w:szCs w:val="24"/>
        </w:rPr>
        <w:t xml:space="preserve"> (Balancing Authorities, Generation Owners, Load Serving Entities, Resource Planners, Transmission Owners</w:t>
      </w:r>
      <w:r w:rsidR="00DB554D">
        <w:rPr>
          <w:rFonts w:ascii="Times New Roman" w:hAnsi="Times New Roman" w:cs="Times New Roman"/>
          <w:sz w:val="24"/>
          <w:szCs w:val="24"/>
        </w:rPr>
        <w:t>, and Transmission Service Providers)</w:t>
      </w:r>
      <w:r w:rsidRPr="007804F8">
        <w:rPr>
          <w:rFonts w:ascii="Times New Roman" w:hAnsi="Times New Roman" w:cs="Times New Roman"/>
          <w:sz w:val="24"/>
          <w:szCs w:val="24"/>
        </w:rPr>
        <w:t xml:space="preserve"> to their respective transmission planners and planning coordinators to support the interconnection model building process in their interconnection.</w:t>
      </w:r>
      <w:r w:rsidR="00DB554D">
        <w:rPr>
          <w:rFonts w:ascii="Times New Roman" w:hAnsi="Times New Roman" w:cs="Times New Roman"/>
          <w:sz w:val="24"/>
          <w:szCs w:val="24"/>
        </w:rPr>
        <w:t xml:space="preserve">  Specifically, applicable data owners must provide steady-state, dynamics, and short circuit modeling data to their respective Planning Coordinators and Transmission Planners.</w:t>
      </w:r>
      <w:r w:rsidR="00ED0D38">
        <w:rPr>
          <w:rFonts w:ascii="Times New Roman" w:hAnsi="Times New Roman" w:cs="Times New Roman"/>
          <w:sz w:val="24"/>
          <w:szCs w:val="24"/>
        </w:rPr>
        <w:t xml:space="preserve">  A steady-state model is a snapshot in time </w:t>
      </w:r>
      <w:r w:rsidR="003E54BA">
        <w:rPr>
          <w:rFonts w:ascii="Times New Roman" w:hAnsi="Times New Roman" w:cs="Times New Roman"/>
          <w:sz w:val="24"/>
          <w:szCs w:val="24"/>
        </w:rPr>
        <w:t>of all system conditions (</w:t>
      </w:r>
      <w:r w:rsidR="00EB737F">
        <w:rPr>
          <w:rFonts w:ascii="Times New Roman" w:hAnsi="Times New Roman" w:cs="Times New Roman"/>
          <w:sz w:val="24"/>
          <w:szCs w:val="24"/>
        </w:rPr>
        <w:t xml:space="preserve">e.g. </w:t>
      </w:r>
      <w:r w:rsidR="003E54BA">
        <w:rPr>
          <w:rFonts w:ascii="Times New Roman" w:hAnsi="Times New Roman" w:cs="Times New Roman"/>
          <w:sz w:val="24"/>
          <w:szCs w:val="24"/>
        </w:rPr>
        <w:t xml:space="preserve">load, generation, transmission) </w:t>
      </w:r>
      <w:r w:rsidR="00ED0D38">
        <w:rPr>
          <w:rFonts w:ascii="Times New Roman" w:hAnsi="Times New Roman" w:cs="Times New Roman"/>
          <w:sz w:val="24"/>
          <w:szCs w:val="24"/>
        </w:rPr>
        <w:t>without a change in input</w:t>
      </w:r>
      <w:r w:rsidR="00EB737F">
        <w:rPr>
          <w:rFonts w:ascii="Times New Roman" w:hAnsi="Times New Roman" w:cs="Times New Roman"/>
          <w:sz w:val="24"/>
          <w:szCs w:val="24"/>
        </w:rPr>
        <w:t>.</w:t>
      </w:r>
      <w:r w:rsidR="003E54BA">
        <w:rPr>
          <w:rFonts w:ascii="Times New Roman" w:hAnsi="Times New Roman" w:cs="Times New Roman"/>
          <w:sz w:val="24"/>
          <w:szCs w:val="24"/>
        </w:rPr>
        <w:t xml:space="preserve"> </w:t>
      </w:r>
      <w:r w:rsidR="00EB737F">
        <w:rPr>
          <w:rFonts w:ascii="Times New Roman" w:hAnsi="Times New Roman" w:cs="Times New Roman"/>
          <w:sz w:val="24"/>
          <w:szCs w:val="24"/>
        </w:rPr>
        <w:t>T</w:t>
      </w:r>
      <w:r w:rsidR="003E54BA">
        <w:rPr>
          <w:rFonts w:ascii="Times New Roman" w:hAnsi="Times New Roman" w:cs="Times New Roman"/>
          <w:sz w:val="24"/>
          <w:szCs w:val="24"/>
        </w:rPr>
        <w:t>he models can be past, current, or future predicted points in time</w:t>
      </w:r>
      <w:r w:rsidR="00ED0D38">
        <w:rPr>
          <w:rFonts w:ascii="Times New Roman" w:hAnsi="Times New Roman" w:cs="Times New Roman"/>
          <w:sz w:val="24"/>
          <w:szCs w:val="24"/>
        </w:rPr>
        <w:t xml:space="preserve">.  </w:t>
      </w:r>
      <w:r w:rsidR="00EB737F">
        <w:rPr>
          <w:rFonts w:ascii="Times New Roman" w:hAnsi="Times New Roman" w:cs="Times New Roman"/>
          <w:sz w:val="24"/>
          <w:szCs w:val="24"/>
        </w:rPr>
        <w:t>For example, a</w:t>
      </w:r>
      <w:r w:rsidR="003F5952">
        <w:rPr>
          <w:rFonts w:ascii="Times New Roman" w:hAnsi="Times New Roman" w:cs="Times New Roman"/>
          <w:sz w:val="24"/>
          <w:szCs w:val="24"/>
        </w:rPr>
        <w:t xml:space="preserve"> dynamic model looks at generator rotor angle in faults</w:t>
      </w:r>
      <w:r w:rsidR="00EB737F">
        <w:rPr>
          <w:rFonts w:ascii="Times New Roman" w:hAnsi="Times New Roman" w:cs="Times New Roman"/>
          <w:sz w:val="24"/>
          <w:szCs w:val="24"/>
        </w:rPr>
        <w:t xml:space="preserve"> while a</w:t>
      </w:r>
      <w:r w:rsidR="003F5952">
        <w:rPr>
          <w:rFonts w:ascii="Times New Roman" w:hAnsi="Times New Roman" w:cs="Times New Roman"/>
          <w:sz w:val="24"/>
          <w:szCs w:val="24"/>
        </w:rPr>
        <w:t xml:space="preserve"> short circuit model looks for faults.  </w:t>
      </w:r>
      <w:r w:rsidRPr="007804F8">
        <w:rPr>
          <w:rFonts w:ascii="Times New Roman" w:hAnsi="Times New Roman" w:cs="Times New Roman"/>
          <w:sz w:val="24"/>
          <w:szCs w:val="24"/>
        </w:rPr>
        <w:t xml:space="preserve">  </w:t>
      </w:r>
    </w:p>
    <w:p w14:paraId="0CB69786" w14:textId="77777777" w:rsidR="00DB554D" w:rsidRDefault="00DB554D" w:rsidP="00EB3E6F">
      <w:pPr>
        <w:spacing w:after="0"/>
        <w:rPr>
          <w:rFonts w:ascii="Times New Roman" w:hAnsi="Times New Roman" w:cs="Times New Roman"/>
          <w:sz w:val="24"/>
          <w:szCs w:val="24"/>
        </w:rPr>
      </w:pPr>
    </w:p>
    <w:p w14:paraId="7CC8BE73" w14:textId="77777777" w:rsidR="0032296E" w:rsidRDefault="007804F8" w:rsidP="00EB3E6F">
      <w:pPr>
        <w:spacing w:after="0"/>
        <w:rPr>
          <w:rFonts w:ascii="Times New Roman" w:hAnsi="Times New Roman" w:cs="Times New Roman"/>
          <w:sz w:val="24"/>
          <w:szCs w:val="24"/>
        </w:rPr>
      </w:pPr>
      <w:r w:rsidRPr="007804F8">
        <w:rPr>
          <w:rFonts w:ascii="Times New Roman" w:hAnsi="Times New Roman" w:cs="Times New Roman"/>
          <w:sz w:val="24"/>
          <w:szCs w:val="24"/>
        </w:rPr>
        <w:t xml:space="preserve">Reliability Standard MOD-033-1 is a new standard that requires each planning coordinator to implement a documented process to perform </w:t>
      </w:r>
      <w:r w:rsidR="0032296E">
        <w:rPr>
          <w:rFonts w:ascii="Times New Roman" w:hAnsi="Times New Roman" w:cs="Times New Roman"/>
          <w:sz w:val="24"/>
          <w:szCs w:val="24"/>
        </w:rPr>
        <w:t xml:space="preserve">steady-state and dynamics </w:t>
      </w:r>
      <w:r w:rsidRPr="007804F8">
        <w:rPr>
          <w:rFonts w:ascii="Times New Roman" w:hAnsi="Times New Roman" w:cs="Times New Roman"/>
          <w:sz w:val="24"/>
          <w:szCs w:val="24"/>
        </w:rPr>
        <w:t xml:space="preserve">model validation within its planning area.  </w:t>
      </w:r>
    </w:p>
    <w:p w14:paraId="619F4E42" w14:textId="77777777" w:rsidR="0032296E" w:rsidRDefault="0032296E" w:rsidP="00EB3E6F">
      <w:pPr>
        <w:spacing w:after="0"/>
        <w:rPr>
          <w:rFonts w:ascii="Times New Roman" w:hAnsi="Times New Roman" w:cs="Times New Roman"/>
          <w:sz w:val="24"/>
          <w:szCs w:val="24"/>
        </w:rPr>
      </w:pPr>
    </w:p>
    <w:p w14:paraId="55645D54" w14:textId="3C9291D7" w:rsidR="007804F8" w:rsidRDefault="007804F8" w:rsidP="00EB3E6F">
      <w:pPr>
        <w:spacing w:after="0"/>
        <w:rPr>
          <w:rFonts w:ascii="Times New Roman" w:hAnsi="Times New Roman" w:cs="Times New Roman"/>
          <w:sz w:val="24"/>
          <w:szCs w:val="24"/>
        </w:rPr>
      </w:pPr>
      <w:r w:rsidRPr="007804F8">
        <w:rPr>
          <w:rFonts w:ascii="Times New Roman" w:hAnsi="Times New Roman" w:cs="Times New Roman"/>
          <w:sz w:val="24"/>
          <w:szCs w:val="24"/>
        </w:rPr>
        <w:t xml:space="preserve">The purpose </w:t>
      </w:r>
      <w:proofErr w:type="gramStart"/>
      <w:r w:rsidRPr="007804F8">
        <w:rPr>
          <w:rFonts w:ascii="Times New Roman" w:hAnsi="Times New Roman" w:cs="Times New Roman"/>
          <w:sz w:val="24"/>
          <w:szCs w:val="24"/>
        </w:rPr>
        <w:t xml:space="preserve">of </w:t>
      </w:r>
      <w:r w:rsidR="005A1755">
        <w:rPr>
          <w:rFonts w:ascii="Times New Roman" w:hAnsi="Times New Roman" w:cs="Times New Roman"/>
          <w:sz w:val="24"/>
          <w:szCs w:val="24"/>
        </w:rPr>
        <w:t xml:space="preserve"> the</w:t>
      </w:r>
      <w:proofErr w:type="gramEnd"/>
      <w:r w:rsidR="005A1755">
        <w:rPr>
          <w:rFonts w:ascii="Times New Roman" w:hAnsi="Times New Roman" w:cs="Times New Roman"/>
          <w:sz w:val="24"/>
          <w:szCs w:val="24"/>
        </w:rPr>
        <w:t xml:space="preserve"> </w:t>
      </w:r>
      <w:r w:rsidRPr="007804F8">
        <w:rPr>
          <w:rFonts w:ascii="Times New Roman" w:hAnsi="Times New Roman" w:cs="Times New Roman"/>
          <w:sz w:val="24"/>
          <w:szCs w:val="24"/>
        </w:rPr>
        <w:t>Reliability Standards</w:t>
      </w:r>
      <w:r w:rsidR="008C1A57">
        <w:rPr>
          <w:rFonts w:ascii="Times New Roman" w:hAnsi="Times New Roman" w:cs="Times New Roman"/>
          <w:sz w:val="24"/>
          <w:szCs w:val="24"/>
        </w:rPr>
        <w:t xml:space="preserve"> MOD-032-1 and MOD-033-1 are</w:t>
      </w:r>
      <w:r w:rsidRPr="007804F8">
        <w:rPr>
          <w:rFonts w:ascii="Times New Roman" w:hAnsi="Times New Roman" w:cs="Times New Roman"/>
          <w:sz w:val="24"/>
          <w:szCs w:val="24"/>
        </w:rPr>
        <w:t xml:space="preserve"> to establish comprehensive modeling data requirements, reporting procedures, and validation requirements necessary to accurately model the interconnected transmission system for the near</w:t>
      </w:r>
      <w:r w:rsidRPr="007804F8">
        <w:rPr>
          <w:rFonts w:ascii="Cambria Math" w:hAnsi="Cambria Math" w:cs="Cambria Math"/>
          <w:sz w:val="24"/>
          <w:szCs w:val="24"/>
        </w:rPr>
        <w:t>‐</w:t>
      </w:r>
      <w:r w:rsidRPr="007804F8">
        <w:rPr>
          <w:rFonts w:ascii="Times New Roman" w:hAnsi="Times New Roman" w:cs="Times New Roman"/>
          <w:sz w:val="24"/>
          <w:szCs w:val="24"/>
        </w:rPr>
        <w:t>term transmission planning horizon and the long</w:t>
      </w:r>
      <w:r w:rsidRPr="007804F8">
        <w:rPr>
          <w:rFonts w:ascii="Cambria Math" w:hAnsi="Cambria Math" w:cs="Cambria Math"/>
          <w:sz w:val="24"/>
          <w:szCs w:val="24"/>
        </w:rPr>
        <w:t>‐</w:t>
      </w:r>
      <w:r w:rsidRPr="007804F8">
        <w:rPr>
          <w:rFonts w:ascii="Times New Roman" w:hAnsi="Times New Roman" w:cs="Times New Roman"/>
          <w:sz w:val="24"/>
          <w:szCs w:val="24"/>
        </w:rPr>
        <w:t>term transmission planning horizon.</w:t>
      </w:r>
      <w:r w:rsidR="0032296E">
        <w:rPr>
          <w:rFonts w:ascii="Times New Roman" w:hAnsi="Times New Roman" w:cs="Times New Roman"/>
          <w:sz w:val="24"/>
          <w:szCs w:val="24"/>
        </w:rPr>
        <w:t xml:space="preserve">  The improvements made to modeling and validation in these two standards should increase the correlation between the power flow studies</w:t>
      </w:r>
      <w:r w:rsidR="003E54BA">
        <w:rPr>
          <w:rFonts w:ascii="Times New Roman" w:hAnsi="Times New Roman" w:cs="Times New Roman"/>
          <w:sz w:val="24"/>
          <w:szCs w:val="24"/>
        </w:rPr>
        <w:t>, as prepared by the Transmission Planner and Planning Coordinator,</w:t>
      </w:r>
      <w:r w:rsidR="0032296E">
        <w:rPr>
          <w:rFonts w:ascii="Times New Roman" w:hAnsi="Times New Roman" w:cs="Times New Roman"/>
          <w:sz w:val="24"/>
          <w:szCs w:val="24"/>
        </w:rPr>
        <w:t xml:space="preserve"> and the actual responses of the power system to disturbances.</w:t>
      </w:r>
      <w:r w:rsidR="0032296E" w:rsidRPr="0032296E">
        <w:rPr>
          <w:rStyle w:val="FootnoteReference"/>
          <w:rFonts w:ascii="Times New Roman" w:hAnsi="Times New Roman" w:cs="Times New Roman"/>
          <w:sz w:val="24"/>
          <w:szCs w:val="24"/>
          <w:vertAlign w:val="superscript"/>
        </w:rPr>
        <w:footnoteReference w:id="14"/>
      </w:r>
      <w:r w:rsidR="003E54BA">
        <w:rPr>
          <w:rFonts w:ascii="Times New Roman" w:hAnsi="Times New Roman" w:cs="Times New Roman"/>
          <w:sz w:val="24"/>
          <w:szCs w:val="24"/>
        </w:rPr>
        <w:t xml:space="preserve">  This information is used by all applicable entities so that each entity knows potential issues (load flow, VAR imbalance, etc.) with their system and can act to address those issues.</w:t>
      </w:r>
    </w:p>
    <w:p w14:paraId="2FFC9810" w14:textId="77777777" w:rsidR="00EB3E6F" w:rsidRPr="00EB3E6F" w:rsidRDefault="00EB3E6F" w:rsidP="00EB3E6F">
      <w:pPr>
        <w:spacing w:after="0"/>
        <w:rPr>
          <w:rFonts w:ascii="Times New Roman" w:hAnsi="Times New Roman" w:cs="Times New Roman"/>
          <w:sz w:val="24"/>
          <w:szCs w:val="24"/>
        </w:rPr>
      </w:pPr>
    </w:p>
    <w:p w14:paraId="2FFC9811"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14:paraId="2FFC9812" w14:textId="77777777" w:rsidR="00EB3E6F" w:rsidRDefault="00EB3E6F" w:rsidP="00EB3E6F">
      <w:pPr>
        <w:spacing w:after="0"/>
        <w:rPr>
          <w:rFonts w:ascii="Times New Roman" w:hAnsi="Times New Roman" w:cs="Times New Roman"/>
          <w:sz w:val="24"/>
          <w:szCs w:val="24"/>
        </w:rPr>
      </w:pPr>
    </w:p>
    <w:p w14:paraId="1F5B6569" w14:textId="36FCBFE7" w:rsidR="009C7480" w:rsidRDefault="000F0129" w:rsidP="000F0129">
      <w:pPr>
        <w:spacing w:after="0"/>
        <w:rPr>
          <w:rFonts w:ascii="Times New Roman" w:hAnsi="Times New Roman" w:cs="Times New Roman"/>
          <w:sz w:val="24"/>
          <w:szCs w:val="24"/>
        </w:rPr>
      </w:pPr>
      <w:r w:rsidRPr="00AD5F12">
        <w:rPr>
          <w:rFonts w:ascii="Times New Roman" w:hAnsi="Times New Roman" w:cs="Times New Roman"/>
          <w:sz w:val="24"/>
          <w:szCs w:val="24"/>
        </w:rPr>
        <w:t xml:space="preserve">The </w:t>
      </w:r>
      <w:proofErr w:type="gramStart"/>
      <w:r w:rsidRPr="00AD5F12">
        <w:rPr>
          <w:rFonts w:ascii="Times New Roman" w:hAnsi="Times New Roman" w:cs="Times New Roman"/>
          <w:sz w:val="24"/>
          <w:szCs w:val="24"/>
        </w:rPr>
        <w:t>use of current or improv</w:t>
      </w:r>
      <w:r w:rsidR="00F871B9">
        <w:rPr>
          <w:rFonts w:ascii="Times New Roman" w:hAnsi="Times New Roman" w:cs="Times New Roman"/>
          <w:sz w:val="24"/>
          <w:szCs w:val="24"/>
        </w:rPr>
        <w:t>ed technology are</w:t>
      </w:r>
      <w:proofErr w:type="gramEnd"/>
      <w:r w:rsidRPr="00AD5F12">
        <w:rPr>
          <w:rFonts w:ascii="Times New Roman" w:hAnsi="Times New Roman" w:cs="Times New Roman"/>
          <w:sz w:val="24"/>
          <w:szCs w:val="24"/>
        </w:rPr>
        <w:t xml:space="preserve"> not </w:t>
      </w:r>
      <w:r w:rsidR="00F871B9">
        <w:rPr>
          <w:rFonts w:ascii="Times New Roman" w:hAnsi="Times New Roman" w:cs="Times New Roman"/>
          <w:sz w:val="24"/>
          <w:szCs w:val="24"/>
        </w:rPr>
        <w:t xml:space="preserve">explicitly </w:t>
      </w:r>
      <w:r w:rsidRPr="00AD5F12">
        <w:rPr>
          <w:rFonts w:ascii="Times New Roman" w:hAnsi="Times New Roman" w:cs="Times New Roman"/>
          <w:sz w:val="24"/>
          <w:szCs w:val="24"/>
        </w:rPr>
        <w:t>c</w:t>
      </w:r>
      <w:r>
        <w:rPr>
          <w:rFonts w:ascii="Times New Roman" w:hAnsi="Times New Roman" w:cs="Times New Roman"/>
          <w:sz w:val="24"/>
          <w:szCs w:val="24"/>
        </w:rPr>
        <w:t>overed in Reliability Standards</w:t>
      </w:r>
      <w:r w:rsidR="00E8549C">
        <w:rPr>
          <w:rFonts w:ascii="Times New Roman" w:hAnsi="Times New Roman" w:cs="Times New Roman"/>
          <w:sz w:val="24"/>
          <w:szCs w:val="24"/>
        </w:rPr>
        <w:t>, and is therefore left to the discretion of each entity</w:t>
      </w:r>
      <w:r w:rsidRPr="00AD5F12">
        <w:rPr>
          <w:rFonts w:ascii="Times New Roman" w:hAnsi="Times New Roman" w:cs="Times New Roman"/>
          <w:sz w:val="24"/>
          <w:szCs w:val="24"/>
        </w:rPr>
        <w:t xml:space="preserve">.  </w:t>
      </w:r>
      <w:r w:rsidR="00E8549C" w:rsidRPr="00E8549C">
        <w:rPr>
          <w:rFonts w:ascii="Times New Roman" w:hAnsi="Times New Roman" w:cs="Times New Roman"/>
          <w:sz w:val="24"/>
          <w:szCs w:val="24"/>
          <w:highlight w:val="yellow"/>
        </w:rPr>
        <w:t xml:space="preserve"> </w:t>
      </w:r>
    </w:p>
    <w:p w14:paraId="20C4BFBF" w14:textId="77777777" w:rsidR="009C7480" w:rsidRDefault="009C7480" w:rsidP="000F0129">
      <w:pPr>
        <w:spacing w:after="0"/>
        <w:rPr>
          <w:rFonts w:ascii="Times New Roman" w:hAnsi="Times New Roman" w:cs="Times New Roman"/>
          <w:sz w:val="24"/>
          <w:szCs w:val="24"/>
        </w:rPr>
      </w:pPr>
    </w:p>
    <w:p w14:paraId="60FDAA43" w14:textId="71DB0422" w:rsidR="000F0129" w:rsidRDefault="00E8549C" w:rsidP="000F0129">
      <w:pPr>
        <w:spacing w:after="0"/>
        <w:rPr>
          <w:rFonts w:ascii="Times New Roman" w:hAnsi="Times New Roman" w:cs="Times New Roman"/>
          <w:sz w:val="24"/>
          <w:szCs w:val="24"/>
        </w:rPr>
      </w:pPr>
      <w:r w:rsidRPr="00E8549C">
        <w:rPr>
          <w:rFonts w:ascii="Times New Roman" w:hAnsi="Times New Roman" w:cs="Times New Roman"/>
          <w:sz w:val="24"/>
          <w:szCs w:val="24"/>
        </w:rPr>
        <w:t xml:space="preserve">The Reliability Standards do not </w:t>
      </w:r>
      <w:r w:rsidR="00BD7AF7">
        <w:rPr>
          <w:rFonts w:ascii="Times New Roman" w:hAnsi="Times New Roman" w:cs="Times New Roman"/>
          <w:sz w:val="24"/>
          <w:szCs w:val="24"/>
        </w:rPr>
        <w:t xml:space="preserve">mandate </w:t>
      </w:r>
      <w:r w:rsidRPr="00E8549C">
        <w:rPr>
          <w:rFonts w:ascii="Times New Roman" w:hAnsi="Times New Roman" w:cs="Times New Roman"/>
          <w:sz w:val="24"/>
          <w:szCs w:val="24"/>
        </w:rPr>
        <w:t>ho</w:t>
      </w:r>
      <w:r w:rsidR="00BD7AF7">
        <w:rPr>
          <w:rFonts w:ascii="Times New Roman" w:hAnsi="Times New Roman" w:cs="Times New Roman"/>
          <w:sz w:val="24"/>
          <w:szCs w:val="24"/>
        </w:rPr>
        <w:t>w data are reported</w:t>
      </w:r>
      <w:r w:rsidR="002E1C82">
        <w:rPr>
          <w:rFonts w:ascii="Times New Roman" w:hAnsi="Times New Roman" w:cs="Times New Roman"/>
          <w:sz w:val="24"/>
          <w:szCs w:val="24"/>
        </w:rPr>
        <w:t xml:space="preserve">, retained, </w:t>
      </w:r>
      <w:proofErr w:type="gramStart"/>
      <w:r w:rsidR="002E1C82">
        <w:rPr>
          <w:rFonts w:ascii="Times New Roman" w:hAnsi="Times New Roman" w:cs="Times New Roman"/>
          <w:sz w:val="24"/>
          <w:szCs w:val="24"/>
        </w:rPr>
        <w:t xml:space="preserve">or </w:t>
      </w:r>
      <w:r w:rsidR="009C7480">
        <w:rPr>
          <w:rFonts w:ascii="Times New Roman" w:hAnsi="Times New Roman" w:cs="Times New Roman"/>
          <w:sz w:val="24"/>
          <w:szCs w:val="24"/>
        </w:rPr>
        <w:t xml:space="preserve"> shared</w:t>
      </w:r>
      <w:proofErr w:type="gramEnd"/>
      <w:r w:rsidR="00BD7AF7">
        <w:rPr>
          <w:rFonts w:ascii="Times New Roman" w:hAnsi="Times New Roman" w:cs="Times New Roman"/>
          <w:sz w:val="24"/>
          <w:szCs w:val="24"/>
        </w:rPr>
        <w:t>.  For MOD-032-1, Reliability Coordinators and Transmission Planners are to jointly develop data reporting procedures.  For the model validation information needed for MOD-033-1</w:t>
      </w:r>
      <w:r w:rsidR="00862F84">
        <w:rPr>
          <w:rFonts w:ascii="Times New Roman" w:hAnsi="Times New Roman" w:cs="Times New Roman"/>
          <w:sz w:val="24"/>
          <w:szCs w:val="24"/>
        </w:rPr>
        <w:t xml:space="preserve"> and the data reporting in MOD-032-1</w:t>
      </w:r>
      <w:r w:rsidR="00BD7AF7">
        <w:rPr>
          <w:rFonts w:ascii="Times New Roman" w:hAnsi="Times New Roman" w:cs="Times New Roman"/>
          <w:sz w:val="24"/>
          <w:szCs w:val="24"/>
        </w:rPr>
        <w:t xml:space="preserve">, the </w:t>
      </w:r>
      <w:r w:rsidR="00921492">
        <w:rPr>
          <w:rFonts w:ascii="Times New Roman" w:hAnsi="Times New Roman" w:cs="Times New Roman"/>
          <w:sz w:val="24"/>
          <w:szCs w:val="24"/>
        </w:rPr>
        <w:t>standard</w:t>
      </w:r>
      <w:r w:rsidR="00862F84">
        <w:rPr>
          <w:rFonts w:ascii="Times New Roman" w:hAnsi="Times New Roman" w:cs="Times New Roman"/>
          <w:sz w:val="24"/>
          <w:szCs w:val="24"/>
        </w:rPr>
        <w:t>s</w:t>
      </w:r>
      <w:r w:rsidR="00921492">
        <w:rPr>
          <w:rFonts w:ascii="Times New Roman" w:hAnsi="Times New Roman" w:cs="Times New Roman"/>
          <w:sz w:val="24"/>
          <w:szCs w:val="24"/>
        </w:rPr>
        <w:t xml:space="preserve"> suggests that email or mail service are acceptable methods</w:t>
      </w:r>
      <w:r w:rsidR="00862F84">
        <w:rPr>
          <w:rFonts w:ascii="Times New Roman" w:hAnsi="Times New Roman" w:cs="Times New Roman"/>
          <w:sz w:val="24"/>
          <w:szCs w:val="24"/>
        </w:rPr>
        <w:t xml:space="preserve"> to deliver necessary data</w:t>
      </w:r>
      <w:r w:rsidR="00921492">
        <w:rPr>
          <w:rFonts w:ascii="Times New Roman" w:hAnsi="Times New Roman" w:cs="Times New Roman"/>
          <w:sz w:val="24"/>
          <w:szCs w:val="24"/>
        </w:rPr>
        <w:t>.</w:t>
      </w:r>
      <w:r w:rsidR="00862F84">
        <w:rPr>
          <w:rFonts w:ascii="Times New Roman" w:hAnsi="Times New Roman" w:cs="Times New Roman"/>
          <w:sz w:val="24"/>
          <w:szCs w:val="24"/>
        </w:rPr>
        <w:t xml:space="preserve">  For the record retention requirements, the Reliability Standards do not address how documents are submitted to compliance authorities.  For example, when a Regional Entity (not FERC) audits a respondent for compliance with this Reliability Standard, it may view the respondents’ email receipts showing that data was submitted properly.  </w:t>
      </w:r>
      <w:r w:rsidR="006278CC">
        <w:rPr>
          <w:rFonts w:ascii="Times New Roman" w:hAnsi="Times New Roman" w:cs="Times New Roman"/>
          <w:sz w:val="24"/>
          <w:szCs w:val="24"/>
        </w:rPr>
        <w:t>The Reliability Standards do not address how or whether the records would be transmitted from the respondent to the Regional Entity.  As a practical matter, the auditor would probably conduct an on-site visit to review the evidence</w:t>
      </w:r>
      <w:r w:rsidR="007E180A">
        <w:rPr>
          <w:rFonts w:ascii="Times New Roman" w:hAnsi="Times New Roman" w:cs="Times New Roman"/>
          <w:sz w:val="24"/>
          <w:szCs w:val="24"/>
        </w:rPr>
        <w:t>, which is separate from the Requirements obligation to send the data to applicable entities of the Reliability Standards</w:t>
      </w:r>
      <w:r w:rsidR="006278CC">
        <w:rPr>
          <w:rFonts w:ascii="Times New Roman" w:hAnsi="Times New Roman" w:cs="Times New Roman"/>
          <w:sz w:val="24"/>
          <w:szCs w:val="24"/>
        </w:rPr>
        <w:t xml:space="preserve">. </w:t>
      </w:r>
      <w:r w:rsidR="00921492">
        <w:rPr>
          <w:rFonts w:ascii="Times New Roman" w:hAnsi="Times New Roman" w:cs="Times New Roman"/>
          <w:sz w:val="24"/>
          <w:szCs w:val="24"/>
        </w:rPr>
        <w:t xml:space="preserve">  </w:t>
      </w:r>
    </w:p>
    <w:p w14:paraId="2FFC9813" w14:textId="77777777" w:rsidR="00EB3E6F" w:rsidRPr="00EB3E6F" w:rsidRDefault="00EB3E6F" w:rsidP="00EB3E6F">
      <w:pPr>
        <w:spacing w:after="0"/>
        <w:rPr>
          <w:rFonts w:ascii="Times New Roman" w:hAnsi="Times New Roman" w:cs="Times New Roman"/>
          <w:sz w:val="24"/>
          <w:szCs w:val="24"/>
        </w:rPr>
      </w:pPr>
    </w:p>
    <w:p w14:paraId="2FFC9814"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w:t>
      </w:r>
      <w:r w:rsidR="00074DC8">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w:t>
      </w:r>
      <w:r w:rsidRPr="00EB3E6F">
        <w:rPr>
          <w:rFonts w:ascii="Times New Roman" w:hAnsi="Times New Roman" w:cs="Times New Roman"/>
          <w:b/>
          <w:sz w:val="24"/>
          <w:szCs w:val="24"/>
        </w:rPr>
        <w:lastRenderedPageBreak/>
        <w:t>CANNOT BE USED OR MODIFIED FOR USE FOR THE PURPOSE(S) DESCRIBED IN INSTRUCTION NO. 2</w:t>
      </w:r>
    </w:p>
    <w:p w14:paraId="2FFC9815" w14:textId="77777777" w:rsidR="00EB3E6F" w:rsidRDefault="00EB3E6F" w:rsidP="00EB3E6F">
      <w:pPr>
        <w:spacing w:after="0"/>
        <w:rPr>
          <w:rFonts w:ascii="Times New Roman" w:hAnsi="Times New Roman" w:cs="Times New Roman"/>
          <w:sz w:val="24"/>
          <w:szCs w:val="24"/>
        </w:rPr>
      </w:pPr>
    </w:p>
    <w:p w14:paraId="7E87454C" w14:textId="497351F3" w:rsidR="000F0129" w:rsidRDefault="000F0129" w:rsidP="000F0129">
      <w:pPr>
        <w:spacing w:after="0"/>
        <w:rPr>
          <w:rFonts w:ascii="Times New Roman" w:hAnsi="Times New Roman" w:cs="Times New Roman"/>
          <w:sz w:val="24"/>
          <w:szCs w:val="24"/>
        </w:rPr>
      </w:pPr>
      <w:r>
        <w:rPr>
          <w:rFonts w:ascii="Times New Roman" w:hAnsi="Times New Roman" w:cs="Times New Roman"/>
          <w:sz w:val="24"/>
          <w:szCs w:val="24"/>
        </w:rPr>
        <w:t xml:space="preserve">The Commission periodically reviews filing requirements concurrent with OMB review or as the Commission deems necessary to eliminate duplicative filing and to minimize the filing burden.  Under this proceeding, the </w:t>
      </w:r>
      <w:r w:rsidRPr="00325A82">
        <w:rPr>
          <w:rFonts w:ascii="Times New Roman" w:hAnsi="Times New Roman" w:cs="Times New Roman"/>
          <w:sz w:val="24"/>
          <w:szCs w:val="24"/>
        </w:rPr>
        <w:t>Reliability Standard</w:t>
      </w:r>
      <w:r w:rsidR="00F871B9">
        <w:rPr>
          <w:rFonts w:ascii="Times New Roman" w:hAnsi="Times New Roman" w:cs="Times New Roman"/>
          <w:sz w:val="24"/>
          <w:szCs w:val="24"/>
        </w:rPr>
        <w:t>s</w:t>
      </w:r>
      <w:r>
        <w:rPr>
          <w:rFonts w:ascii="Times New Roman" w:hAnsi="Times New Roman" w:cs="Times New Roman"/>
          <w:sz w:val="24"/>
          <w:szCs w:val="24"/>
        </w:rPr>
        <w:t xml:space="preserve"> MOD-0</w:t>
      </w:r>
      <w:r w:rsidR="00F871B9">
        <w:rPr>
          <w:rFonts w:ascii="Times New Roman" w:hAnsi="Times New Roman" w:cs="Times New Roman"/>
          <w:sz w:val="24"/>
          <w:szCs w:val="24"/>
        </w:rPr>
        <w:t>32</w:t>
      </w:r>
      <w:r>
        <w:rPr>
          <w:rFonts w:ascii="Times New Roman" w:hAnsi="Times New Roman" w:cs="Times New Roman"/>
          <w:sz w:val="24"/>
          <w:szCs w:val="24"/>
        </w:rPr>
        <w:t>-</w:t>
      </w:r>
      <w:r w:rsidR="00F871B9">
        <w:rPr>
          <w:rFonts w:ascii="Times New Roman" w:hAnsi="Times New Roman" w:cs="Times New Roman"/>
          <w:sz w:val="24"/>
          <w:szCs w:val="24"/>
        </w:rPr>
        <w:t xml:space="preserve">1 and MOD-33-1 do </w:t>
      </w:r>
      <w:r>
        <w:rPr>
          <w:rFonts w:ascii="Times New Roman" w:hAnsi="Times New Roman" w:cs="Times New Roman"/>
          <w:sz w:val="24"/>
          <w:szCs w:val="24"/>
        </w:rPr>
        <w:t>not duplicate any other collections.</w:t>
      </w:r>
      <w:r w:rsidR="003151D4">
        <w:rPr>
          <w:rFonts w:ascii="Times New Roman" w:hAnsi="Times New Roman" w:cs="Times New Roman"/>
          <w:sz w:val="24"/>
          <w:szCs w:val="24"/>
        </w:rPr>
        <w:t xml:space="preserve">  </w:t>
      </w:r>
    </w:p>
    <w:p w14:paraId="267A6F32" w14:textId="77777777" w:rsidR="000F0129" w:rsidRDefault="000F0129" w:rsidP="000F0129">
      <w:pPr>
        <w:spacing w:after="0"/>
        <w:rPr>
          <w:rFonts w:ascii="Times New Roman" w:hAnsi="Times New Roman" w:cs="Times New Roman"/>
          <w:sz w:val="24"/>
          <w:szCs w:val="24"/>
        </w:rPr>
      </w:pPr>
    </w:p>
    <w:p w14:paraId="42088AEF" w14:textId="77777777" w:rsidR="000F0129" w:rsidRDefault="000F0129" w:rsidP="000F0129">
      <w:pPr>
        <w:spacing w:after="0"/>
        <w:rPr>
          <w:rFonts w:ascii="Times New Roman" w:hAnsi="Times New Roman" w:cs="Times New Roman"/>
          <w:sz w:val="24"/>
          <w:szCs w:val="24"/>
        </w:rPr>
      </w:pPr>
      <w:r>
        <w:rPr>
          <w:rFonts w:ascii="Times New Roman" w:hAnsi="Times New Roman" w:cs="Times New Roman"/>
          <w:sz w:val="24"/>
          <w:szCs w:val="24"/>
        </w:rPr>
        <w:t>The Commission is unaware of any other source of information similar to the additional requirements.</w:t>
      </w:r>
    </w:p>
    <w:p w14:paraId="2FFC9816" w14:textId="77777777" w:rsidR="00EB3E6F" w:rsidRPr="00EB3E6F" w:rsidRDefault="00EB3E6F" w:rsidP="00EB3E6F">
      <w:pPr>
        <w:spacing w:after="0"/>
        <w:rPr>
          <w:rFonts w:ascii="Times New Roman" w:hAnsi="Times New Roman" w:cs="Times New Roman"/>
          <w:sz w:val="24"/>
          <w:szCs w:val="24"/>
        </w:rPr>
      </w:pPr>
    </w:p>
    <w:p w14:paraId="2FFC9817"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14:paraId="2FFC9818" w14:textId="77777777" w:rsidR="00EB3E6F" w:rsidRDefault="00EB3E6F" w:rsidP="00EB3E6F">
      <w:pPr>
        <w:spacing w:after="0"/>
        <w:rPr>
          <w:rFonts w:ascii="Times New Roman" w:hAnsi="Times New Roman" w:cs="Times New Roman"/>
          <w:sz w:val="24"/>
          <w:szCs w:val="24"/>
        </w:rPr>
      </w:pPr>
    </w:p>
    <w:p w14:paraId="31FFFCB9" w14:textId="77777777" w:rsidR="001045A3" w:rsidRDefault="001045A3" w:rsidP="001045A3">
      <w:pPr>
        <w:spacing w:after="0"/>
        <w:rPr>
          <w:rFonts w:ascii="Times New Roman" w:hAnsi="Times New Roman" w:cs="Times New Roman"/>
          <w:sz w:val="24"/>
          <w:szCs w:val="24"/>
        </w:rPr>
      </w:pPr>
      <w:r>
        <w:rPr>
          <w:rFonts w:ascii="Times New Roman" w:hAnsi="Times New Roman" w:cs="Times New Roman"/>
          <w:sz w:val="24"/>
          <w:szCs w:val="24"/>
        </w:rPr>
        <w:t xml:space="preserve">Small entities generally can reduce their burden by taking part in a joint registration organization or a coordinated function registration.  These options allow an entity the ability to share its compliance burden with other similar entities.  </w:t>
      </w:r>
      <w:r w:rsidRPr="00256053">
        <w:rPr>
          <w:rFonts w:ascii="Times New Roman" w:hAnsi="Times New Roman" w:cs="Times New Roman"/>
          <w:sz w:val="24"/>
          <w:szCs w:val="24"/>
        </w:rPr>
        <w:t xml:space="preserve">Detailed information regarding these options </w:t>
      </w:r>
      <w:r>
        <w:rPr>
          <w:rFonts w:ascii="Times New Roman" w:hAnsi="Times New Roman" w:cs="Times New Roman"/>
          <w:sz w:val="24"/>
          <w:szCs w:val="24"/>
        </w:rPr>
        <w:t xml:space="preserve">is </w:t>
      </w:r>
      <w:r w:rsidRPr="00256053">
        <w:rPr>
          <w:rFonts w:ascii="Times New Roman" w:hAnsi="Times New Roman" w:cs="Times New Roman"/>
          <w:sz w:val="24"/>
          <w:szCs w:val="24"/>
        </w:rPr>
        <w:t>available in NERC’s Rules of Procedure at sections 507 and 508.</w:t>
      </w:r>
      <w:r w:rsidRPr="00B86FA9">
        <w:rPr>
          <w:rStyle w:val="FootnoteReference"/>
          <w:rFonts w:ascii="Times New Roman" w:hAnsi="Times New Roman" w:cs="Times New Roman"/>
          <w:sz w:val="24"/>
          <w:szCs w:val="24"/>
          <w:vertAlign w:val="superscript"/>
        </w:rPr>
        <w:footnoteReference w:id="15"/>
      </w:r>
    </w:p>
    <w:p w14:paraId="2FFC9819" w14:textId="77777777" w:rsidR="00EB3E6F" w:rsidRPr="00EB3E6F" w:rsidRDefault="00EB3E6F" w:rsidP="00EB3E6F">
      <w:pPr>
        <w:spacing w:after="0"/>
        <w:rPr>
          <w:rFonts w:ascii="Times New Roman" w:hAnsi="Times New Roman" w:cs="Times New Roman"/>
          <w:sz w:val="24"/>
          <w:szCs w:val="24"/>
        </w:rPr>
      </w:pPr>
    </w:p>
    <w:p w14:paraId="2FFC981A"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14:paraId="2FFC981B" w14:textId="77777777" w:rsidR="00EB3E6F" w:rsidRDefault="00EB3E6F" w:rsidP="00EB3E6F">
      <w:pPr>
        <w:spacing w:after="0"/>
        <w:rPr>
          <w:rFonts w:ascii="Times New Roman" w:hAnsi="Times New Roman" w:cs="Times New Roman"/>
          <w:sz w:val="24"/>
          <w:szCs w:val="24"/>
        </w:rPr>
      </w:pPr>
    </w:p>
    <w:p w14:paraId="2A009822" w14:textId="642D01EF" w:rsidR="00B06196" w:rsidRDefault="00FC2D64" w:rsidP="00EB3E6F">
      <w:pPr>
        <w:spacing w:after="0"/>
        <w:rPr>
          <w:rFonts w:ascii="Times New Roman" w:hAnsi="Times New Roman" w:cs="Times New Roman"/>
          <w:sz w:val="24"/>
          <w:szCs w:val="24"/>
        </w:rPr>
      </w:pPr>
      <w:r>
        <w:rPr>
          <w:rFonts w:ascii="Times New Roman" w:hAnsi="Times New Roman" w:cs="Times New Roman"/>
          <w:sz w:val="24"/>
          <w:szCs w:val="24"/>
        </w:rPr>
        <w:t xml:space="preserve">As already discussed, </w:t>
      </w:r>
      <w:r w:rsidRPr="00325A82">
        <w:rPr>
          <w:rFonts w:ascii="Times New Roman" w:hAnsi="Times New Roman" w:cs="Times New Roman"/>
          <w:sz w:val="24"/>
          <w:szCs w:val="24"/>
        </w:rPr>
        <w:t>Reliability Standard</w:t>
      </w:r>
      <w:r>
        <w:rPr>
          <w:rFonts w:ascii="Times New Roman" w:hAnsi="Times New Roman" w:cs="Times New Roman"/>
          <w:sz w:val="24"/>
          <w:szCs w:val="24"/>
        </w:rPr>
        <w:t>s MOD-032-1 and MOD-33-1 contain requirements related to modeling and data validation.</w:t>
      </w:r>
      <w:r w:rsidR="00B06196">
        <w:rPr>
          <w:rFonts w:ascii="Times New Roman" w:hAnsi="Times New Roman" w:cs="Times New Roman"/>
          <w:sz w:val="24"/>
          <w:szCs w:val="24"/>
        </w:rPr>
        <w:t xml:space="preserve">  Applicable entities </w:t>
      </w:r>
      <w:r w:rsidR="006278CC">
        <w:rPr>
          <w:rFonts w:ascii="Times New Roman" w:hAnsi="Times New Roman" w:cs="Times New Roman"/>
          <w:sz w:val="24"/>
          <w:szCs w:val="24"/>
        </w:rPr>
        <w:t xml:space="preserve">report </w:t>
      </w:r>
      <w:r w:rsidR="00B06196">
        <w:rPr>
          <w:rFonts w:ascii="Times New Roman" w:hAnsi="Times New Roman" w:cs="Times New Roman"/>
          <w:sz w:val="24"/>
          <w:szCs w:val="24"/>
        </w:rPr>
        <w:t xml:space="preserve">data needed for modeling to Planning Coordinators and Transmission Planners at least every 13 months.  Other requirements are done as needed.  The time frames were determined by the standards drafting team to meet the purposes of the standards. </w:t>
      </w:r>
    </w:p>
    <w:p w14:paraId="57F5C0A0" w14:textId="73D90C5E" w:rsidR="00812816" w:rsidRPr="00EB3E6F" w:rsidRDefault="00FC2D64" w:rsidP="00EB3E6F">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2FFC981D"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14:paraId="2FFC981E" w14:textId="77777777" w:rsidR="00EB3E6F" w:rsidRDefault="00EB3E6F" w:rsidP="00EB3E6F">
      <w:pPr>
        <w:spacing w:after="0"/>
        <w:rPr>
          <w:rFonts w:ascii="Times New Roman" w:hAnsi="Times New Roman" w:cs="Times New Roman"/>
          <w:sz w:val="24"/>
          <w:szCs w:val="24"/>
        </w:rPr>
      </w:pPr>
    </w:p>
    <w:p w14:paraId="149CD8F0" w14:textId="603B38CE" w:rsidR="00BB1395" w:rsidRDefault="00BB1395" w:rsidP="00EB3E6F">
      <w:pPr>
        <w:spacing w:after="0"/>
        <w:rPr>
          <w:rFonts w:ascii="Times New Roman" w:hAnsi="Times New Roman" w:cs="Times New Roman"/>
          <w:sz w:val="24"/>
          <w:szCs w:val="24"/>
        </w:rPr>
      </w:pPr>
      <w:r>
        <w:rPr>
          <w:rFonts w:ascii="Times New Roman" w:hAnsi="Times New Roman" w:cs="Times New Roman"/>
          <w:sz w:val="24"/>
          <w:szCs w:val="24"/>
        </w:rPr>
        <w:t>There are no special circumstances related to the information collection.</w:t>
      </w:r>
    </w:p>
    <w:p w14:paraId="2FFC981F" w14:textId="77777777" w:rsidR="00EB3E6F" w:rsidRPr="00EB3E6F" w:rsidRDefault="00EB3E6F" w:rsidP="00EB3E6F">
      <w:pPr>
        <w:spacing w:after="0"/>
        <w:rPr>
          <w:rFonts w:ascii="Times New Roman" w:hAnsi="Times New Roman" w:cs="Times New Roman"/>
          <w:sz w:val="24"/>
          <w:szCs w:val="24"/>
        </w:rPr>
      </w:pPr>
    </w:p>
    <w:p w14:paraId="2FFC9820"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14:paraId="2FFC9821" w14:textId="77777777" w:rsidR="00EB3E6F" w:rsidRDefault="00EB3E6F" w:rsidP="00EB3E6F">
      <w:pPr>
        <w:spacing w:after="0"/>
        <w:rPr>
          <w:rFonts w:ascii="Times New Roman" w:hAnsi="Times New Roman" w:cs="Times New Roman"/>
          <w:sz w:val="24"/>
          <w:szCs w:val="24"/>
        </w:rPr>
      </w:pPr>
    </w:p>
    <w:p w14:paraId="1ECAA023" w14:textId="006371C7" w:rsidR="001045A3" w:rsidRPr="001045A3" w:rsidRDefault="001045A3" w:rsidP="001045A3">
      <w:pPr>
        <w:spacing w:after="0"/>
        <w:rPr>
          <w:rFonts w:ascii="Times New Roman" w:hAnsi="Times New Roman" w:cs="Times New Roman"/>
          <w:sz w:val="24"/>
          <w:szCs w:val="24"/>
        </w:rPr>
      </w:pPr>
      <w:r w:rsidRPr="001045A3">
        <w:rPr>
          <w:rFonts w:ascii="Times New Roman" w:hAnsi="Times New Roman" w:cs="Times New Roman"/>
          <w:bCs/>
          <w:sz w:val="24"/>
          <w:szCs w:val="24"/>
        </w:rPr>
        <w:t>The ERO process to establish Reliability Standards is a collaborative process with the ERO, Regional Entities and other stakeholders developing and reviewing drafts, and providing comments, with the final proposed standard submitted to the FERC for review and approval.</w:t>
      </w:r>
      <w:r w:rsidRPr="001045A3">
        <w:rPr>
          <w:rFonts w:ascii="Times New Roman" w:hAnsi="Times New Roman" w:cs="Times New Roman"/>
          <w:b/>
          <w:bCs/>
          <w:sz w:val="24"/>
          <w:szCs w:val="24"/>
          <w:vertAlign w:val="superscript"/>
        </w:rPr>
        <w:footnoteReference w:id="16"/>
      </w:r>
      <w:r w:rsidRPr="001045A3">
        <w:rPr>
          <w:rFonts w:ascii="Times New Roman" w:hAnsi="Times New Roman" w:cs="Times New Roman"/>
          <w:bCs/>
          <w:sz w:val="24"/>
          <w:szCs w:val="24"/>
        </w:rPr>
        <w:t xml:space="preserve">  In addition, </w:t>
      </w:r>
      <w:r w:rsidR="00D229B1">
        <w:rPr>
          <w:rFonts w:ascii="Times New Roman" w:hAnsi="Times New Roman" w:cs="Times New Roman"/>
          <w:bCs/>
          <w:sz w:val="24"/>
          <w:szCs w:val="24"/>
        </w:rPr>
        <w:t xml:space="preserve">FERC published a notice </w:t>
      </w:r>
      <w:r w:rsidRPr="001045A3">
        <w:rPr>
          <w:rFonts w:ascii="Times New Roman" w:hAnsi="Times New Roman" w:cs="Times New Roman"/>
          <w:bCs/>
          <w:sz w:val="24"/>
          <w:szCs w:val="24"/>
        </w:rPr>
        <w:t xml:space="preserve">in the </w:t>
      </w:r>
      <w:r w:rsidRPr="001045A3">
        <w:rPr>
          <w:rFonts w:ascii="Times New Roman" w:hAnsi="Times New Roman" w:cs="Times New Roman"/>
          <w:bCs/>
          <w:sz w:val="24"/>
          <w:szCs w:val="24"/>
          <w:u w:val="single"/>
        </w:rPr>
        <w:t>Federal Register</w:t>
      </w:r>
      <w:r w:rsidRPr="001045A3">
        <w:rPr>
          <w:rFonts w:ascii="Times New Roman" w:hAnsi="Times New Roman" w:cs="Times New Roman"/>
          <w:bCs/>
          <w:sz w:val="24"/>
          <w:szCs w:val="24"/>
        </w:rPr>
        <w:t xml:space="preserve">, thereby providing public utilities and licensees, state commissions, Federal agencies, and other interested parties an opportunity to submit data, views, comments or suggestions concerning the proposed collection of data. </w:t>
      </w:r>
      <w:r w:rsidR="00D229B1">
        <w:rPr>
          <w:rFonts w:ascii="Times New Roman" w:hAnsi="Times New Roman" w:cs="Times New Roman"/>
          <w:sz w:val="24"/>
          <w:szCs w:val="24"/>
        </w:rPr>
        <w:t xml:space="preserve"> The notice</w:t>
      </w:r>
      <w:r w:rsidRPr="001045A3">
        <w:rPr>
          <w:rFonts w:ascii="Times New Roman" w:hAnsi="Times New Roman" w:cs="Times New Roman"/>
          <w:sz w:val="24"/>
          <w:szCs w:val="24"/>
        </w:rPr>
        <w:t xml:space="preserve"> was published in the Federal Register on </w:t>
      </w:r>
      <w:r w:rsidR="00D229B1">
        <w:rPr>
          <w:rFonts w:ascii="Times New Roman" w:hAnsi="Times New Roman" w:cs="Times New Roman"/>
          <w:sz w:val="24"/>
          <w:szCs w:val="24"/>
        </w:rPr>
        <w:t>May 14</w:t>
      </w:r>
      <w:r w:rsidRPr="001045A3">
        <w:rPr>
          <w:rFonts w:ascii="Times New Roman" w:hAnsi="Times New Roman" w:cs="Times New Roman"/>
          <w:sz w:val="24"/>
          <w:szCs w:val="24"/>
        </w:rPr>
        <w:t>, 201</w:t>
      </w:r>
      <w:r>
        <w:rPr>
          <w:rFonts w:ascii="Times New Roman" w:hAnsi="Times New Roman" w:cs="Times New Roman"/>
          <w:sz w:val="24"/>
          <w:szCs w:val="24"/>
        </w:rPr>
        <w:t>4</w:t>
      </w:r>
      <w:r w:rsidRPr="001045A3">
        <w:rPr>
          <w:rFonts w:ascii="Times New Roman" w:hAnsi="Times New Roman" w:cs="Times New Roman"/>
          <w:sz w:val="24"/>
          <w:szCs w:val="24"/>
        </w:rPr>
        <w:t xml:space="preserve"> (</w:t>
      </w:r>
      <w:r>
        <w:rPr>
          <w:rFonts w:ascii="Times New Roman" w:hAnsi="Times New Roman" w:cs="Times New Roman"/>
          <w:sz w:val="24"/>
          <w:szCs w:val="24"/>
        </w:rPr>
        <w:t>79</w:t>
      </w:r>
      <w:r w:rsidRPr="001045A3">
        <w:rPr>
          <w:rFonts w:ascii="Times New Roman" w:hAnsi="Times New Roman" w:cs="Times New Roman"/>
          <w:sz w:val="24"/>
          <w:szCs w:val="24"/>
        </w:rPr>
        <w:t xml:space="preserve"> FR </w:t>
      </w:r>
      <w:r w:rsidR="00D229B1">
        <w:rPr>
          <w:rFonts w:ascii="Times New Roman" w:hAnsi="Times New Roman" w:cs="Times New Roman"/>
          <w:sz w:val="24"/>
          <w:szCs w:val="24"/>
        </w:rPr>
        <w:t>27588</w:t>
      </w:r>
      <w:r w:rsidRPr="001045A3">
        <w:rPr>
          <w:rFonts w:ascii="Times New Roman" w:hAnsi="Times New Roman" w:cs="Times New Roman"/>
          <w:sz w:val="24"/>
          <w:szCs w:val="24"/>
        </w:rPr>
        <w:t>).</w:t>
      </w:r>
      <w:r w:rsidR="00223046" w:rsidRPr="00223046">
        <w:rPr>
          <w:rStyle w:val="FootnoteReference"/>
          <w:rFonts w:ascii="Times New Roman" w:hAnsi="Times New Roman" w:cs="Times New Roman"/>
          <w:sz w:val="24"/>
          <w:szCs w:val="24"/>
          <w:vertAlign w:val="superscript"/>
        </w:rPr>
        <w:footnoteReference w:id="17"/>
      </w:r>
      <w:r w:rsidR="00D229B1">
        <w:rPr>
          <w:rFonts w:ascii="Times New Roman" w:hAnsi="Times New Roman" w:cs="Times New Roman"/>
          <w:sz w:val="24"/>
          <w:szCs w:val="24"/>
        </w:rPr>
        <w:t xml:space="preserve">  We did not receive any comments in response to the public notice.</w:t>
      </w:r>
      <w:r w:rsidR="006278CC">
        <w:rPr>
          <w:rFonts w:ascii="Times New Roman" w:hAnsi="Times New Roman" w:cs="Times New Roman"/>
          <w:sz w:val="24"/>
          <w:szCs w:val="24"/>
        </w:rPr>
        <w:t xml:space="preserve">  FERC published </w:t>
      </w:r>
      <w:r w:rsidR="00C54058">
        <w:rPr>
          <w:rFonts w:ascii="Times New Roman" w:hAnsi="Times New Roman" w:cs="Times New Roman"/>
          <w:sz w:val="24"/>
          <w:szCs w:val="24"/>
        </w:rPr>
        <w:t xml:space="preserve">a second notice on </w:t>
      </w:r>
      <w:r w:rsidR="003958B8">
        <w:rPr>
          <w:rFonts w:ascii="Times New Roman" w:hAnsi="Times New Roman" w:cs="Times New Roman"/>
          <w:sz w:val="24"/>
          <w:szCs w:val="24"/>
        </w:rPr>
        <w:t>August 25, 2014 (79 FR 50639) alerting the public that we would be submitting the information collection requirements to OMB for approval</w:t>
      </w:r>
      <w:r w:rsidR="00FC36C2">
        <w:rPr>
          <w:rFonts w:ascii="Times New Roman" w:hAnsi="Times New Roman" w:cs="Times New Roman"/>
          <w:sz w:val="24"/>
          <w:szCs w:val="24"/>
        </w:rPr>
        <w:t xml:space="preserve"> and for the public to submit any relevant comments to OMB for consideration during review</w:t>
      </w:r>
      <w:r w:rsidR="003958B8">
        <w:rPr>
          <w:rFonts w:ascii="Times New Roman" w:hAnsi="Times New Roman" w:cs="Times New Roman"/>
          <w:sz w:val="24"/>
          <w:szCs w:val="24"/>
        </w:rPr>
        <w:t>.</w:t>
      </w:r>
      <w:r w:rsidR="00D229B1">
        <w:rPr>
          <w:rFonts w:ascii="Times New Roman" w:hAnsi="Times New Roman" w:cs="Times New Roman"/>
          <w:sz w:val="24"/>
          <w:szCs w:val="24"/>
        </w:rPr>
        <w:t xml:space="preserve">  </w:t>
      </w:r>
    </w:p>
    <w:p w14:paraId="541F9673" w14:textId="77777777" w:rsidR="00C040C0" w:rsidRPr="00EB3E6F" w:rsidRDefault="00C040C0" w:rsidP="00EB3E6F">
      <w:pPr>
        <w:spacing w:after="0"/>
        <w:rPr>
          <w:rFonts w:ascii="Times New Roman" w:hAnsi="Times New Roman" w:cs="Times New Roman"/>
          <w:sz w:val="24"/>
          <w:szCs w:val="24"/>
        </w:rPr>
      </w:pPr>
    </w:p>
    <w:p w14:paraId="2FFC9823" w14:textId="77777777" w:rsidR="00EB3E6F"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14:paraId="2FFC9824" w14:textId="77777777" w:rsidR="00D80FBD" w:rsidRDefault="00D80FBD" w:rsidP="00D80FBD">
      <w:pPr>
        <w:spacing w:after="0"/>
        <w:rPr>
          <w:rFonts w:ascii="Times New Roman" w:hAnsi="Times New Roman" w:cs="Times New Roman"/>
          <w:sz w:val="24"/>
          <w:szCs w:val="24"/>
        </w:rPr>
      </w:pPr>
    </w:p>
    <w:p w14:paraId="0F2DD1D2" w14:textId="6BD710AC" w:rsidR="00C040C0" w:rsidRDefault="00C040C0" w:rsidP="00D80FBD">
      <w:pPr>
        <w:spacing w:after="0"/>
        <w:rPr>
          <w:rFonts w:ascii="Times New Roman" w:hAnsi="Times New Roman" w:cs="Times New Roman"/>
          <w:sz w:val="24"/>
          <w:szCs w:val="24"/>
        </w:rPr>
      </w:pPr>
      <w:r>
        <w:rPr>
          <w:rFonts w:ascii="Times New Roman" w:hAnsi="Times New Roman" w:cs="Times New Roman"/>
          <w:sz w:val="24"/>
          <w:szCs w:val="24"/>
        </w:rPr>
        <w:t>There are no payments or gifts to the respondents.</w:t>
      </w:r>
    </w:p>
    <w:p w14:paraId="2FFC9825" w14:textId="77777777" w:rsidR="00D80FBD" w:rsidRPr="00D80FBD" w:rsidRDefault="00D80FBD" w:rsidP="00D80FBD">
      <w:pPr>
        <w:spacing w:after="0"/>
        <w:rPr>
          <w:rFonts w:ascii="Times New Roman" w:hAnsi="Times New Roman" w:cs="Times New Roman"/>
          <w:sz w:val="24"/>
          <w:szCs w:val="24"/>
        </w:rPr>
      </w:pPr>
    </w:p>
    <w:p w14:paraId="2FFC9826"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14:paraId="2FFC9827" w14:textId="77777777" w:rsidR="00D80FBD" w:rsidRDefault="00D80FBD" w:rsidP="00D80FBD">
      <w:pPr>
        <w:spacing w:after="0"/>
        <w:rPr>
          <w:rFonts w:ascii="Times New Roman" w:hAnsi="Times New Roman" w:cs="Times New Roman"/>
          <w:sz w:val="24"/>
          <w:szCs w:val="24"/>
        </w:rPr>
      </w:pPr>
    </w:p>
    <w:p w14:paraId="5721E95D" w14:textId="77777777" w:rsidR="00C040C0" w:rsidRDefault="00C040C0" w:rsidP="00C040C0">
      <w:pPr>
        <w:spacing w:after="0"/>
        <w:rPr>
          <w:rFonts w:ascii="Times New Roman" w:hAnsi="Times New Roman" w:cs="Times New Roman"/>
          <w:sz w:val="24"/>
          <w:szCs w:val="24"/>
        </w:rPr>
      </w:pPr>
      <w:r>
        <w:rPr>
          <w:rFonts w:ascii="Times New Roman" w:hAnsi="Times New Roman" w:cs="Times New Roman"/>
          <w:sz w:val="24"/>
          <w:szCs w:val="24"/>
        </w:rPr>
        <w:t xml:space="preserve">According to the </w:t>
      </w:r>
      <w:r w:rsidRPr="00147F3A">
        <w:rPr>
          <w:rFonts w:ascii="Times New Roman" w:hAnsi="Times New Roman" w:cs="Times New Roman"/>
          <w:sz w:val="24"/>
          <w:szCs w:val="24"/>
        </w:rPr>
        <w:t>NERC Rule of Procedure</w:t>
      </w:r>
      <w:r w:rsidRPr="001507E4">
        <w:rPr>
          <w:rStyle w:val="FootnoteReference"/>
          <w:rFonts w:ascii="Times New Roman" w:hAnsi="Times New Roman" w:cs="Times New Roman"/>
          <w:sz w:val="24"/>
          <w:szCs w:val="24"/>
          <w:vertAlign w:val="superscript"/>
        </w:rPr>
        <w:footnoteReference w:id="18"/>
      </w:r>
      <w:r w:rsidRPr="00147F3A">
        <w:rPr>
          <w:rFonts w:ascii="Times New Roman" w:hAnsi="Times New Roman" w:cs="Times New Roman"/>
          <w:sz w:val="24"/>
          <w:szCs w:val="24"/>
        </w:rPr>
        <w:t>, “…a Receiving Entity shall keep in confidence and not copy, disclose, or distribute any Confidential</w:t>
      </w:r>
      <w:r>
        <w:rPr>
          <w:rFonts w:ascii="Times New Roman" w:hAnsi="Times New Roman" w:cs="Times New Roman"/>
          <w:sz w:val="24"/>
          <w:szCs w:val="24"/>
        </w:rPr>
        <w:t xml:space="preserve"> Information or any part thereof without the permission of the Submitting Entity, except as otherwise legally required.”  This serves to protect confidential information submitted to NERC or Regional Entities.</w:t>
      </w:r>
    </w:p>
    <w:p w14:paraId="4B0277B1" w14:textId="77777777" w:rsidR="00C040C0" w:rsidRDefault="00C040C0" w:rsidP="00C040C0">
      <w:pPr>
        <w:spacing w:after="0"/>
        <w:rPr>
          <w:rFonts w:ascii="Times New Roman" w:hAnsi="Times New Roman" w:cs="Times New Roman"/>
          <w:sz w:val="24"/>
          <w:szCs w:val="24"/>
        </w:rPr>
      </w:pPr>
    </w:p>
    <w:p w14:paraId="38B69226" w14:textId="2DB021AA" w:rsidR="00C040C0" w:rsidRDefault="00C040C0" w:rsidP="00C040C0">
      <w:pPr>
        <w:spacing w:after="0"/>
        <w:rPr>
          <w:rFonts w:ascii="Times New Roman" w:hAnsi="Times New Roman" w:cs="Times New Roman"/>
          <w:sz w:val="24"/>
          <w:szCs w:val="24"/>
        </w:rPr>
      </w:pPr>
      <w:r>
        <w:rPr>
          <w:rFonts w:ascii="Times New Roman" w:hAnsi="Times New Roman" w:cs="Times New Roman"/>
          <w:sz w:val="24"/>
          <w:szCs w:val="24"/>
        </w:rPr>
        <w:t xml:space="preserve">Responding entities do not submit the information collected due to the Reliability Standards to FERC.  Rather, they submit the information to NERC, the regions, or maintain it internally.  </w:t>
      </w:r>
    </w:p>
    <w:p w14:paraId="34A776D8" w14:textId="77777777" w:rsidR="00C040C0" w:rsidRPr="00D80FBD" w:rsidRDefault="00C040C0" w:rsidP="00D80FBD">
      <w:pPr>
        <w:spacing w:after="0"/>
        <w:rPr>
          <w:rFonts w:ascii="Times New Roman" w:hAnsi="Times New Roman" w:cs="Times New Roman"/>
          <w:sz w:val="24"/>
          <w:szCs w:val="24"/>
        </w:rPr>
      </w:pPr>
    </w:p>
    <w:p w14:paraId="2FFC9829" w14:textId="1A43EF88"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PROVIDE ADDITIONAL JUSTIFICATION FOR ANY QUESTIONS OF A SENSITIVE NATURE</w:t>
      </w:r>
      <w:r w:rsidR="00C72C7A">
        <w:rPr>
          <w:rFonts w:ascii="Times New Roman" w:hAnsi="Times New Roman" w:cs="Times New Roman"/>
          <w:b/>
          <w:sz w:val="24"/>
          <w:szCs w:val="24"/>
        </w:rPr>
        <w:t>, SUCH AS SEXUAL BEHAVIOR AND ATTITUDES, RELIGIOUS BELIEFS, AND OTHER MATTERS THAT ARE COMMONLY CONSIDERED PRIVATE.</w:t>
      </w:r>
    </w:p>
    <w:p w14:paraId="2FFC982A" w14:textId="77777777" w:rsidR="00D80FBD" w:rsidRDefault="00D80FBD" w:rsidP="00D80FBD">
      <w:pPr>
        <w:spacing w:after="0"/>
        <w:rPr>
          <w:rFonts w:ascii="Times New Roman" w:hAnsi="Times New Roman" w:cs="Times New Roman"/>
          <w:sz w:val="24"/>
          <w:szCs w:val="24"/>
        </w:rPr>
      </w:pPr>
    </w:p>
    <w:p w14:paraId="2FFC982B" w14:textId="48E73F82" w:rsidR="00D80FBD" w:rsidRDefault="00C040C0" w:rsidP="00D80FBD">
      <w:pPr>
        <w:spacing w:after="0"/>
        <w:rPr>
          <w:rFonts w:ascii="Times New Roman" w:hAnsi="Times New Roman" w:cs="Times New Roman"/>
          <w:sz w:val="24"/>
          <w:szCs w:val="24"/>
        </w:rPr>
      </w:pPr>
      <w:r>
        <w:rPr>
          <w:rFonts w:ascii="Times New Roman" w:hAnsi="Times New Roman" w:cs="Times New Roman"/>
          <w:sz w:val="24"/>
          <w:szCs w:val="24"/>
        </w:rPr>
        <w:t>This collection does not include any questions of a sensitive nature.</w:t>
      </w:r>
    </w:p>
    <w:p w14:paraId="2B6B27EB" w14:textId="77777777" w:rsidR="00C040C0" w:rsidRPr="00D80FBD" w:rsidRDefault="00C040C0" w:rsidP="00D80FBD">
      <w:pPr>
        <w:spacing w:after="0"/>
        <w:rPr>
          <w:rFonts w:ascii="Times New Roman" w:hAnsi="Times New Roman" w:cs="Times New Roman"/>
          <w:sz w:val="24"/>
          <w:szCs w:val="24"/>
        </w:rPr>
      </w:pPr>
    </w:p>
    <w:p w14:paraId="2FFC982C"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14:paraId="2FFC982D" w14:textId="77777777" w:rsidR="00D80FBD" w:rsidRDefault="00D80FBD" w:rsidP="00D80FBD">
      <w:pPr>
        <w:spacing w:after="0"/>
        <w:rPr>
          <w:rFonts w:ascii="Times New Roman" w:hAnsi="Times New Roman" w:cs="Times New Roman"/>
          <w:sz w:val="24"/>
          <w:szCs w:val="24"/>
        </w:rPr>
      </w:pPr>
    </w:p>
    <w:p w14:paraId="30F09A45" w14:textId="7D9B8B98" w:rsidR="00565DED" w:rsidRDefault="00D55CF0" w:rsidP="00D80FBD">
      <w:pPr>
        <w:spacing w:after="0"/>
        <w:rPr>
          <w:rFonts w:ascii="Times New Roman" w:hAnsi="Times New Roman" w:cs="Times New Roman"/>
          <w:sz w:val="24"/>
          <w:szCs w:val="24"/>
        </w:rPr>
      </w:pPr>
      <w:r>
        <w:rPr>
          <w:rFonts w:ascii="Times New Roman" w:hAnsi="Times New Roman" w:cs="Times New Roman"/>
          <w:sz w:val="24"/>
          <w:szCs w:val="24"/>
        </w:rPr>
        <w:t>The existing burden for the FERC-725L information collection is as follows:</w:t>
      </w:r>
    </w:p>
    <w:p w14:paraId="7912CC47" w14:textId="77777777" w:rsidR="00D55CF0" w:rsidRDefault="00D55CF0" w:rsidP="00D80FBD">
      <w:pPr>
        <w:spacing w:after="0"/>
        <w:rPr>
          <w:rFonts w:ascii="Times New Roman" w:hAnsi="Times New Roman" w:cs="Times New Roman"/>
          <w:sz w:val="24"/>
          <w:szCs w:val="24"/>
        </w:rPr>
      </w:pPr>
    </w:p>
    <w:p w14:paraId="70580672" w14:textId="14E95689" w:rsidR="00D55CF0" w:rsidRPr="00DC0E01" w:rsidRDefault="00D55CF0" w:rsidP="00DC0E01">
      <w:pPr>
        <w:pStyle w:val="ListParagraph"/>
        <w:numPr>
          <w:ilvl w:val="0"/>
          <w:numId w:val="7"/>
        </w:numPr>
        <w:spacing w:after="0"/>
        <w:rPr>
          <w:rFonts w:ascii="Times New Roman" w:hAnsi="Times New Roman" w:cs="Times New Roman"/>
          <w:sz w:val="24"/>
          <w:szCs w:val="24"/>
        </w:rPr>
      </w:pPr>
      <w:r w:rsidRPr="00DC0E01">
        <w:rPr>
          <w:rFonts w:ascii="Times New Roman" w:hAnsi="Times New Roman" w:cs="Times New Roman"/>
          <w:sz w:val="24"/>
          <w:szCs w:val="24"/>
        </w:rPr>
        <w:t>FERC-725L:</w:t>
      </w:r>
    </w:p>
    <w:p w14:paraId="56A97772" w14:textId="29E9A5CD" w:rsidR="00D55CF0" w:rsidRPr="00DC0E01" w:rsidRDefault="00D55CF0" w:rsidP="00DC0E01">
      <w:pPr>
        <w:pStyle w:val="ListParagraph"/>
        <w:numPr>
          <w:ilvl w:val="1"/>
          <w:numId w:val="7"/>
        </w:numPr>
        <w:spacing w:after="0"/>
        <w:rPr>
          <w:rFonts w:ascii="Times New Roman" w:hAnsi="Times New Roman" w:cs="Times New Roman"/>
          <w:sz w:val="24"/>
          <w:szCs w:val="24"/>
        </w:rPr>
      </w:pPr>
      <w:r w:rsidRPr="00DC0E01">
        <w:rPr>
          <w:rFonts w:ascii="Times New Roman" w:hAnsi="Times New Roman" w:cs="Times New Roman"/>
          <w:sz w:val="24"/>
          <w:szCs w:val="24"/>
        </w:rPr>
        <w:t>Responses: 3,274</w:t>
      </w:r>
    </w:p>
    <w:p w14:paraId="20C47347" w14:textId="78B20E20" w:rsidR="00D55CF0" w:rsidRDefault="00D55CF0" w:rsidP="00DC0E01">
      <w:pPr>
        <w:pStyle w:val="ListParagraph"/>
        <w:numPr>
          <w:ilvl w:val="1"/>
          <w:numId w:val="7"/>
        </w:numPr>
        <w:spacing w:after="0"/>
        <w:rPr>
          <w:rFonts w:ascii="Times New Roman" w:hAnsi="Times New Roman" w:cs="Times New Roman"/>
          <w:sz w:val="24"/>
          <w:szCs w:val="24"/>
        </w:rPr>
      </w:pPr>
      <w:r w:rsidRPr="00DC0E01">
        <w:rPr>
          <w:rFonts w:ascii="Times New Roman" w:hAnsi="Times New Roman" w:cs="Times New Roman"/>
          <w:sz w:val="24"/>
          <w:szCs w:val="24"/>
        </w:rPr>
        <w:t>Burden Hours: 26,540</w:t>
      </w:r>
    </w:p>
    <w:p w14:paraId="02EA59E7" w14:textId="77777777" w:rsidR="00687339" w:rsidRDefault="00687339" w:rsidP="00687339">
      <w:pPr>
        <w:spacing w:after="0"/>
        <w:rPr>
          <w:rFonts w:ascii="Times New Roman" w:hAnsi="Times New Roman" w:cs="Times New Roman"/>
          <w:sz w:val="24"/>
          <w:szCs w:val="24"/>
        </w:rPr>
      </w:pPr>
    </w:p>
    <w:p w14:paraId="6774A297" w14:textId="5C166FE7" w:rsidR="00687339" w:rsidRDefault="00687339" w:rsidP="00687339">
      <w:pPr>
        <w:spacing w:after="0"/>
        <w:rPr>
          <w:rFonts w:ascii="Times New Roman" w:hAnsi="Times New Roman" w:cs="Times New Roman"/>
          <w:sz w:val="24"/>
          <w:szCs w:val="24"/>
        </w:rPr>
      </w:pPr>
      <w:r>
        <w:rPr>
          <w:rFonts w:ascii="Times New Roman" w:hAnsi="Times New Roman" w:cs="Times New Roman"/>
          <w:sz w:val="24"/>
          <w:szCs w:val="24"/>
        </w:rPr>
        <w:t xml:space="preserve">This burden was approved by OMB as part of a Commission rulemaking in Docket No. </w:t>
      </w:r>
      <w:proofErr w:type="gramStart"/>
      <w:r>
        <w:rPr>
          <w:rFonts w:ascii="Times New Roman" w:hAnsi="Times New Roman" w:cs="Times New Roman"/>
          <w:sz w:val="24"/>
          <w:szCs w:val="24"/>
        </w:rPr>
        <w:t>RM13-16.</w:t>
      </w:r>
      <w:proofErr w:type="gramEnd"/>
      <w:r>
        <w:rPr>
          <w:rFonts w:ascii="Times New Roman" w:hAnsi="Times New Roman" w:cs="Times New Roman"/>
          <w:sz w:val="24"/>
          <w:szCs w:val="24"/>
        </w:rPr>
        <w:t xml:space="preserve">  This final rule approved five Reliability Standards: MOD-025-2, MOD-026-1, MOD-027-1, PRC-019-1 and PRC-024-1</w:t>
      </w:r>
      <w:r w:rsidR="00B0450B">
        <w:rPr>
          <w:rFonts w:ascii="Times New Roman" w:hAnsi="Times New Roman" w:cs="Times New Roman"/>
          <w:sz w:val="24"/>
          <w:szCs w:val="24"/>
        </w:rPr>
        <w:t>.</w:t>
      </w:r>
      <w:r>
        <w:rPr>
          <w:rFonts w:ascii="Times New Roman" w:hAnsi="Times New Roman" w:cs="Times New Roman"/>
          <w:sz w:val="24"/>
          <w:szCs w:val="24"/>
        </w:rPr>
        <w:t xml:space="preserve"> (</w:t>
      </w:r>
      <w:r w:rsidR="00B0450B">
        <w:rPr>
          <w:rFonts w:ascii="Times New Roman" w:hAnsi="Times New Roman" w:cs="Times New Roman"/>
          <w:sz w:val="24"/>
          <w:szCs w:val="24"/>
        </w:rPr>
        <w:t>T</w:t>
      </w:r>
      <w:r>
        <w:rPr>
          <w:rFonts w:ascii="Times New Roman" w:hAnsi="Times New Roman" w:cs="Times New Roman"/>
          <w:sz w:val="24"/>
          <w:szCs w:val="24"/>
        </w:rPr>
        <w:t>he PRC standards are in information collection FERC-725G</w:t>
      </w:r>
      <w:r w:rsidR="00B0450B">
        <w:rPr>
          <w:rFonts w:ascii="Times New Roman" w:hAnsi="Times New Roman" w:cs="Times New Roman"/>
          <w:sz w:val="24"/>
          <w:szCs w:val="24"/>
        </w:rPr>
        <w:t>.</w:t>
      </w:r>
      <w:r>
        <w:rPr>
          <w:rFonts w:ascii="Times New Roman" w:hAnsi="Times New Roman" w:cs="Times New Roman"/>
          <w:sz w:val="24"/>
          <w:szCs w:val="24"/>
        </w:rPr>
        <w:t>)  The purpose of the Reliability Standards is to ensure that generators remain in operation during specified voltage and frequency excursions; properly coordinate protective relays and generator voltage regulator controls; and ensure that generator models accurately reflect the generator’s capabilities and equipment performance.</w:t>
      </w:r>
    </w:p>
    <w:p w14:paraId="738794DC" w14:textId="77777777" w:rsidR="00687339" w:rsidRDefault="00687339" w:rsidP="00687339">
      <w:pPr>
        <w:spacing w:after="0"/>
        <w:rPr>
          <w:rFonts w:ascii="Times New Roman" w:hAnsi="Times New Roman" w:cs="Times New Roman"/>
          <w:sz w:val="24"/>
          <w:szCs w:val="24"/>
        </w:rPr>
      </w:pPr>
    </w:p>
    <w:tbl>
      <w:tblPr>
        <w:tblW w:w="503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3"/>
        <w:gridCol w:w="1802"/>
        <w:gridCol w:w="1530"/>
        <w:gridCol w:w="1256"/>
        <w:gridCol w:w="1386"/>
        <w:gridCol w:w="1702"/>
      </w:tblGrid>
      <w:tr w:rsidR="00515603" w:rsidRPr="00515603" w14:paraId="12A499CF" w14:textId="77777777" w:rsidTr="001541CE">
        <w:trPr>
          <w:cantSplit/>
          <w:trHeight w:val="431"/>
        </w:trPr>
        <w:tc>
          <w:tcPr>
            <w:tcW w:w="5000" w:type="pct"/>
            <w:gridSpan w:val="6"/>
            <w:shd w:val="clear" w:color="auto" w:fill="D9D9D9" w:themeFill="background1" w:themeFillShade="D9"/>
          </w:tcPr>
          <w:p w14:paraId="13933D55" w14:textId="77777777" w:rsidR="00515603" w:rsidRPr="00515603" w:rsidRDefault="00515603" w:rsidP="00515603">
            <w:pPr>
              <w:spacing w:after="0"/>
              <w:rPr>
                <w:rFonts w:ascii="Times New Roman" w:hAnsi="Times New Roman" w:cs="Times New Roman"/>
                <w:b/>
                <w:sz w:val="24"/>
                <w:szCs w:val="24"/>
              </w:rPr>
            </w:pPr>
            <w:r w:rsidRPr="00515603">
              <w:rPr>
                <w:rFonts w:ascii="Times New Roman" w:hAnsi="Times New Roman" w:cs="Times New Roman"/>
                <w:b/>
                <w:sz w:val="24"/>
                <w:szCs w:val="24"/>
              </w:rPr>
              <w:t>MOD-025-2  (Verification and Data Reporting of Generator Real and Reactive Power Capability and Synchronous Condenser Reactive Power Capability)</w:t>
            </w:r>
          </w:p>
        </w:tc>
      </w:tr>
      <w:tr w:rsidR="00515603" w:rsidRPr="00515603" w14:paraId="45F3A833" w14:textId="77777777" w:rsidTr="001541CE">
        <w:trPr>
          <w:cantSplit/>
          <w:trHeight w:val="710"/>
        </w:trPr>
        <w:tc>
          <w:tcPr>
            <w:tcW w:w="1022" w:type="pct"/>
            <w:shd w:val="clear" w:color="auto" w:fill="D9D9D9" w:themeFill="background1" w:themeFillShade="D9"/>
            <w:vAlign w:val="bottom"/>
          </w:tcPr>
          <w:p w14:paraId="4FAD48F4" w14:textId="77777777" w:rsidR="00515603" w:rsidRPr="00515603" w:rsidRDefault="00515603" w:rsidP="00515603">
            <w:pPr>
              <w:spacing w:after="0"/>
              <w:rPr>
                <w:rFonts w:ascii="Times New Roman" w:hAnsi="Times New Roman" w:cs="Times New Roman"/>
                <w:b/>
                <w:sz w:val="24"/>
                <w:szCs w:val="24"/>
              </w:rPr>
            </w:pPr>
            <w:r w:rsidRPr="00515603">
              <w:rPr>
                <w:rFonts w:ascii="Times New Roman" w:hAnsi="Times New Roman" w:cs="Times New Roman"/>
                <w:b/>
                <w:sz w:val="24"/>
                <w:szCs w:val="24"/>
              </w:rPr>
              <w:t>FERC-725L</w:t>
            </w:r>
          </w:p>
        </w:tc>
        <w:tc>
          <w:tcPr>
            <w:tcW w:w="934" w:type="pct"/>
            <w:shd w:val="clear" w:color="auto" w:fill="D9D9D9" w:themeFill="background1" w:themeFillShade="D9"/>
            <w:vAlign w:val="bottom"/>
          </w:tcPr>
          <w:p w14:paraId="45D49FAB" w14:textId="3621CD59" w:rsidR="00515603" w:rsidRPr="00515603" w:rsidRDefault="00515603" w:rsidP="00510863">
            <w:pPr>
              <w:spacing w:after="0"/>
              <w:rPr>
                <w:rFonts w:ascii="Times New Roman" w:hAnsi="Times New Roman" w:cs="Times New Roman"/>
                <w:b/>
                <w:sz w:val="24"/>
                <w:szCs w:val="24"/>
              </w:rPr>
            </w:pPr>
            <w:r w:rsidRPr="00515603">
              <w:rPr>
                <w:rFonts w:ascii="Times New Roman" w:hAnsi="Times New Roman" w:cs="Times New Roman"/>
                <w:b/>
                <w:sz w:val="24"/>
                <w:szCs w:val="24"/>
              </w:rPr>
              <w:t>Number of Respondents</w:t>
            </w:r>
            <w:bookmarkStart w:id="1" w:name="_Ref397930889"/>
            <w:r w:rsidR="00510863" w:rsidRPr="00510863">
              <w:rPr>
                <w:rFonts w:ascii="Times New Roman" w:hAnsi="Times New Roman" w:cs="Times New Roman"/>
                <w:b/>
                <w:sz w:val="24"/>
                <w:szCs w:val="24"/>
                <w:vertAlign w:val="superscript"/>
              </w:rPr>
              <w:footnoteReference w:id="19"/>
            </w:r>
            <w:bookmarkEnd w:id="1"/>
            <w:r w:rsidRPr="00515603">
              <w:rPr>
                <w:rFonts w:ascii="Times New Roman" w:hAnsi="Times New Roman" w:cs="Times New Roman"/>
                <w:b/>
                <w:sz w:val="24"/>
                <w:szCs w:val="24"/>
              </w:rPr>
              <w:br/>
              <w:t>(1)</w:t>
            </w:r>
          </w:p>
        </w:tc>
        <w:tc>
          <w:tcPr>
            <w:tcW w:w="793" w:type="pct"/>
            <w:shd w:val="clear" w:color="auto" w:fill="D9D9D9" w:themeFill="background1" w:themeFillShade="D9"/>
            <w:vAlign w:val="bottom"/>
          </w:tcPr>
          <w:p w14:paraId="08FE3399" w14:textId="77777777" w:rsidR="00515603" w:rsidRPr="00515603" w:rsidRDefault="00515603" w:rsidP="00515603">
            <w:pPr>
              <w:spacing w:after="0"/>
              <w:rPr>
                <w:rFonts w:ascii="Times New Roman" w:hAnsi="Times New Roman" w:cs="Times New Roman"/>
                <w:b/>
                <w:sz w:val="24"/>
                <w:szCs w:val="24"/>
              </w:rPr>
            </w:pPr>
            <w:r w:rsidRPr="00515603">
              <w:rPr>
                <w:rFonts w:ascii="Times New Roman" w:hAnsi="Times New Roman" w:cs="Times New Roman"/>
                <w:b/>
                <w:sz w:val="24"/>
                <w:szCs w:val="24"/>
              </w:rPr>
              <w:t>Number of Responses per Respondent</w:t>
            </w:r>
          </w:p>
          <w:p w14:paraId="1B0E2B35" w14:textId="77777777" w:rsidR="00515603" w:rsidRPr="00515603" w:rsidRDefault="00515603" w:rsidP="00515603">
            <w:pPr>
              <w:spacing w:after="0"/>
              <w:rPr>
                <w:rFonts w:ascii="Times New Roman" w:hAnsi="Times New Roman" w:cs="Times New Roman"/>
                <w:b/>
                <w:sz w:val="24"/>
                <w:szCs w:val="24"/>
              </w:rPr>
            </w:pPr>
            <w:r w:rsidRPr="00515603">
              <w:rPr>
                <w:rFonts w:ascii="Times New Roman" w:hAnsi="Times New Roman" w:cs="Times New Roman"/>
                <w:b/>
                <w:sz w:val="24"/>
                <w:szCs w:val="24"/>
              </w:rPr>
              <w:t>(2)</w:t>
            </w:r>
          </w:p>
        </w:tc>
        <w:tc>
          <w:tcPr>
            <w:tcW w:w="651" w:type="pct"/>
            <w:shd w:val="clear" w:color="auto" w:fill="D9D9D9" w:themeFill="background1" w:themeFillShade="D9"/>
            <w:vAlign w:val="bottom"/>
          </w:tcPr>
          <w:p w14:paraId="099C53B1" w14:textId="77777777" w:rsidR="00515603" w:rsidRPr="00515603" w:rsidRDefault="00515603" w:rsidP="00515603">
            <w:pPr>
              <w:spacing w:after="0"/>
              <w:rPr>
                <w:rFonts w:ascii="Times New Roman" w:hAnsi="Times New Roman" w:cs="Times New Roman"/>
                <w:b/>
                <w:sz w:val="24"/>
                <w:szCs w:val="24"/>
              </w:rPr>
            </w:pPr>
            <w:r w:rsidRPr="00515603">
              <w:rPr>
                <w:rFonts w:ascii="Times New Roman" w:hAnsi="Times New Roman" w:cs="Times New Roman"/>
                <w:b/>
                <w:sz w:val="24"/>
                <w:szCs w:val="24"/>
              </w:rPr>
              <w:t>Average Burden Hours Per Response</w:t>
            </w:r>
          </w:p>
          <w:p w14:paraId="4D43730F" w14:textId="77777777" w:rsidR="00515603" w:rsidRPr="00515603" w:rsidRDefault="00515603" w:rsidP="00515603">
            <w:pPr>
              <w:spacing w:after="0"/>
              <w:rPr>
                <w:rFonts w:ascii="Times New Roman" w:hAnsi="Times New Roman" w:cs="Times New Roman"/>
                <w:b/>
                <w:sz w:val="24"/>
                <w:szCs w:val="24"/>
              </w:rPr>
            </w:pPr>
            <w:r w:rsidRPr="00515603">
              <w:rPr>
                <w:rFonts w:ascii="Times New Roman" w:hAnsi="Times New Roman" w:cs="Times New Roman"/>
                <w:b/>
                <w:sz w:val="24"/>
                <w:szCs w:val="24"/>
              </w:rPr>
              <w:t>(3)</w:t>
            </w:r>
          </w:p>
        </w:tc>
        <w:tc>
          <w:tcPr>
            <w:tcW w:w="718" w:type="pct"/>
            <w:shd w:val="clear" w:color="auto" w:fill="D9D9D9" w:themeFill="background1" w:themeFillShade="D9"/>
            <w:vAlign w:val="bottom"/>
          </w:tcPr>
          <w:p w14:paraId="2FA1E469" w14:textId="77777777" w:rsidR="00515603" w:rsidRPr="00515603" w:rsidRDefault="00515603" w:rsidP="00515603">
            <w:pPr>
              <w:spacing w:after="0"/>
              <w:rPr>
                <w:rFonts w:ascii="Times New Roman" w:hAnsi="Times New Roman" w:cs="Times New Roman"/>
                <w:b/>
                <w:sz w:val="24"/>
                <w:szCs w:val="24"/>
              </w:rPr>
            </w:pPr>
            <w:r w:rsidRPr="00515603">
              <w:rPr>
                <w:rFonts w:ascii="Times New Roman" w:hAnsi="Times New Roman" w:cs="Times New Roman"/>
                <w:b/>
                <w:sz w:val="24"/>
                <w:szCs w:val="24"/>
              </w:rPr>
              <w:t>Total Annual Burden Hours</w:t>
            </w:r>
          </w:p>
          <w:p w14:paraId="70C46170" w14:textId="77777777" w:rsidR="00515603" w:rsidRPr="00515603" w:rsidRDefault="00515603" w:rsidP="00515603">
            <w:pPr>
              <w:spacing w:after="0"/>
              <w:rPr>
                <w:rFonts w:ascii="Times New Roman" w:hAnsi="Times New Roman" w:cs="Times New Roman"/>
                <w:b/>
                <w:sz w:val="24"/>
                <w:szCs w:val="24"/>
              </w:rPr>
            </w:pPr>
            <w:r w:rsidRPr="00515603">
              <w:rPr>
                <w:rFonts w:ascii="Times New Roman" w:hAnsi="Times New Roman" w:cs="Times New Roman"/>
                <w:b/>
                <w:sz w:val="24"/>
                <w:szCs w:val="24"/>
              </w:rPr>
              <w:t>(1)x(2)x(3)</w:t>
            </w:r>
          </w:p>
        </w:tc>
        <w:tc>
          <w:tcPr>
            <w:tcW w:w="881" w:type="pct"/>
            <w:shd w:val="clear" w:color="auto" w:fill="D9D9D9" w:themeFill="background1" w:themeFillShade="D9"/>
            <w:vAlign w:val="bottom"/>
          </w:tcPr>
          <w:p w14:paraId="38DB08F6" w14:textId="170F1B44" w:rsidR="00515603" w:rsidRPr="00515603" w:rsidRDefault="00515603" w:rsidP="00510863">
            <w:pPr>
              <w:spacing w:after="0"/>
              <w:rPr>
                <w:rFonts w:ascii="Times New Roman" w:hAnsi="Times New Roman" w:cs="Times New Roman"/>
                <w:b/>
                <w:sz w:val="24"/>
                <w:szCs w:val="24"/>
              </w:rPr>
            </w:pPr>
            <w:r w:rsidRPr="00515603">
              <w:rPr>
                <w:rFonts w:ascii="Times New Roman" w:hAnsi="Times New Roman" w:cs="Times New Roman"/>
                <w:b/>
                <w:sz w:val="24"/>
                <w:szCs w:val="24"/>
              </w:rPr>
              <w:t>Total Annual Cost</w:t>
            </w:r>
            <w:bookmarkStart w:id="2" w:name="_Ref397930912"/>
            <w:r w:rsidR="00510863" w:rsidRPr="00510863">
              <w:rPr>
                <w:rFonts w:ascii="Times New Roman" w:hAnsi="Times New Roman" w:cs="Times New Roman"/>
                <w:b/>
                <w:sz w:val="24"/>
                <w:szCs w:val="24"/>
                <w:vertAlign w:val="superscript"/>
              </w:rPr>
              <w:footnoteReference w:id="20"/>
            </w:r>
            <w:bookmarkEnd w:id="2"/>
          </w:p>
        </w:tc>
      </w:tr>
      <w:tr w:rsidR="00515603" w:rsidRPr="00515603" w14:paraId="57A9629A" w14:textId="77777777" w:rsidTr="001541CE">
        <w:trPr>
          <w:cantSplit/>
          <w:trHeight w:val="710"/>
        </w:trPr>
        <w:tc>
          <w:tcPr>
            <w:tcW w:w="1022" w:type="pct"/>
          </w:tcPr>
          <w:p w14:paraId="2F887668"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lastRenderedPageBreak/>
              <w:t>Develop testing procedures, verification process, and process for collection of data</w:t>
            </w:r>
          </w:p>
        </w:tc>
        <w:tc>
          <w:tcPr>
            <w:tcW w:w="934" w:type="pct"/>
          </w:tcPr>
          <w:p w14:paraId="2133515E"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738</w:t>
            </w:r>
          </w:p>
          <w:p w14:paraId="48C557F8"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GO</w:t>
            </w:r>
          </w:p>
        </w:tc>
        <w:tc>
          <w:tcPr>
            <w:tcW w:w="793" w:type="pct"/>
          </w:tcPr>
          <w:p w14:paraId="55CC903F"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1</w:t>
            </w:r>
          </w:p>
        </w:tc>
        <w:tc>
          <w:tcPr>
            <w:tcW w:w="651" w:type="pct"/>
          </w:tcPr>
          <w:p w14:paraId="23C6A1D9"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8</w:t>
            </w:r>
          </w:p>
        </w:tc>
        <w:tc>
          <w:tcPr>
            <w:tcW w:w="718" w:type="pct"/>
          </w:tcPr>
          <w:p w14:paraId="163BB6F6"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 xml:space="preserve"> 5,904 </w:t>
            </w:r>
          </w:p>
          <w:p w14:paraId="0BE6A688"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one-time</w:t>
            </w:r>
          </w:p>
        </w:tc>
        <w:tc>
          <w:tcPr>
            <w:tcW w:w="881" w:type="pct"/>
          </w:tcPr>
          <w:p w14:paraId="2A8F547F"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$307,008</w:t>
            </w:r>
            <w:r w:rsidRPr="00515603">
              <w:rPr>
                <w:rFonts w:ascii="Times New Roman" w:hAnsi="Times New Roman" w:cs="Times New Roman"/>
                <w:sz w:val="24"/>
                <w:szCs w:val="24"/>
              </w:rPr>
              <w:br/>
              <w:t>one-time ($52/</w:t>
            </w:r>
            <w:proofErr w:type="spellStart"/>
            <w:r w:rsidRPr="00515603">
              <w:rPr>
                <w:rFonts w:ascii="Times New Roman" w:hAnsi="Times New Roman" w:cs="Times New Roman"/>
                <w:sz w:val="24"/>
                <w:szCs w:val="24"/>
              </w:rPr>
              <w:t>hr</w:t>
            </w:r>
            <w:proofErr w:type="spellEnd"/>
            <w:r w:rsidRPr="00515603">
              <w:rPr>
                <w:rFonts w:ascii="Times New Roman" w:hAnsi="Times New Roman" w:cs="Times New Roman"/>
                <w:sz w:val="24"/>
                <w:szCs w:val="24"/>
              </w:rPr>
              <w:t>)</w:t>
            </w:r>
          </w:p>
        </w:tc>
      </w:tr>
      <w:tr w:rsidR="00515603" w:rsidRPr="00515603" w14:paraId="6F3471D2" w14:textId="77777777" w:rsidTr="001541CE">
        <w:trPr>
          <w:cantSplit/>
          <w:trHeight w:val="719"/>
        </w:trPr>
        <w:tc>
          <w:tcPr>
            <w:tcW w:w="1022" w:type="pct"/>
          </w:tcPr>
          <w:p w14:paraId="18389F51"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Attachment 2</w:t>
            </w:r>
          </w:p>
        </w:tc>
        <w:tc>
          <w:tcPr>
            <w:tcW w:w="934" w:type="pct"/>
          </w:tcPr>
          <w:p w14:paraId="4F449315"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738</w:t>
            </w:r>
          </w:p>
          <w:p w14:paraId="14CB705D"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GO</w:t>
            </w:r>
          </w:p>
        </w:tc>
        <w:tc>
          <w:tcPr>
            <w:tcW w:w="793" w:type="pct"/>
          </w:tcPr>
          <w:p w14:paraId="5BA24A31"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1</w:t>
            </w:r>
          </w:p>
        </w:tc>
        <w:tc>
          <w:tcPr>
            <w:tcW w:w="651" w:type="pct"/>
          </w:tcPr>
          <w:p w14:paraId="7C0532A8"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6</w:t>
            </w:r>
          </w:p>
        </w:tc>
        <w:tc>
          <w:tcPr>
            <w:tcW w:w="718" w:type="pct"/>
          </w:tcPr>
          <w:p w14:paraId="6E7556B5"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4,428</w:t>
            </w:r>
          </w:p>
        </w:tc>
        <w:tc>
          <w:tcPr>
            <w:tcW w:w="881" w:type="pct"/>
          </w:tcPr>
          <w:p w14:paraId="268C4B60"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$309,960 ($70/</w:t>
            </w:r>
            <w:proofErr w:type="spellStart"/>
            <w:r w:rsidRPr="00515603">
              <w:rPr>
                <w:rFonts w:ascii="Times New Roman" w:hAnsi="Times New Roman" w:cs="Times New Roman"/>
                <w:sz w:val="24"/>
                <w:szCs w:val="24"/>
              </w:rPr>
              <w:t>hr</w:t>
            </w:r>
            <w:proofErr w:type="spellEnd"/>
            <w:r w:rsidRPr="00515603">
              <w:rPr>
                <w:rFonts w:ascii="Times New Roman" w:hAnsi="Times New Roman" w:cs="Times New Roman"/>
                <w:sz w:val="24"/>
                <w:szCs w:val="24"/>
              </w:rPr>
              <w:t>)</w:t>
            </w:r>
          </w:p>
        </w:tc>
      </w:tr>
      <w:tr w:rsidR="00515603" w:rsidRPr="00515603" w14:paraId="3850FD83" w14:textId="77777777" w:rsidTr="001541CE">
        <w:trPr>
          <w:cantSplit/>
          <w:trHeight w:val="701"/>
        </w:trPr>
        <w:tc>
          <w:tcPr>
            <w:tcW w:w="1022" w:type="pct"/>
          </w:tcPr>
          <w:p w14:paraId="49FF7E39" w14:textId="5DA30AAD" w:rsidR="00515603" w:rsidRPr="00515603" w:rsidRDefault="00515603" w:rsidP="00510863">
            <w:pPr>
              <w:spacing w:after="0"/>
              <w:rPr>
                <w:rFonts w:ascii="Times New Roman" w:hAnsi="Times New Roman" w:cs="Times New Roman"/>
                <w:sz w:val="24"/>
                <w:szCs w:val="24"/>
              </w:rPr>
            </w:pPr>
            <w:r w:rsidRPr="00515603">
              <w:rPr>
                <w:rFonts w:ascii="Times New Roman" w:hAnsi="Times New Roman" w:cs="Times New Roman"/>
                <w:sz w:val="24"/>
                <w:szCs w:val="24"/>
              </w:rPr>
              <w:t>Evidence Retention</w:t>
            </w:r>
          </w:p>
        </w:tc>
        <w:tc>
          <w:tcPr>
            <w:tcW w:w="934" w:type="pct"/>
          </w:tcPr>
          <w:p w14:paraId="699A3123"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738</w:t>
            </w:r>
          </w:p>
          <w:p w14:paraId="5B5C0326"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GO</w:t>
            </w:r>
          </w:p>
        </w:tc>
        <w:tc>
          <w:tcPr>
            <w:tcW w:w="793" w:type="pct"/>
          </w:tcPr>
          <w:p w14:paraId="73F1B72C"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1</w:t>
            </w:r>
          </w:p>
        </w:tc>
        <w:tc>
          <w:tcPr>
            <w:tcW w:w="651" w:type="pct"/>
          </w:tcPr>
          <w:p w14:paraId="1B0D022E"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1</w:t>
            </w:r>
          </w:p>
        </w:tc>
        <w:tc>
          <w:tcPr>
            <w:tcW w:w="718" w:type="pct"/>
          </w:tcPr>
          <w:p w14:paraId="5D196777"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738</w:t>
            </w:r>
          </w:p>
        </w:tc>
        <w:tc>
          <w:tcPr>
            <w:tcW w:w="881" w:type="pct"/>
          </w:tcPr>
          <w:p w14:paraId="32A32862"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$20,664 ($28/</w:t>
            </w:r>
            <w:proofErr w:type="spellStart"/>
            <w:r w:rsidRPr="00515603">
              <w:rPr>
                <w:rFonts w:ascii="Times New Roman" w:hAnsi="Times New Roman" w:cs="Times New Roman"/>
                <w:sz w:val="24"/>
                <w:szCs w:val="24"/>
              </w:rPr>
              <w:t>hr</w:t>
            </w:r>
            <w:proofErr w:type="spellEnd"/>
            <w:r w:rsidRPr="00515603">
              <w:rPr>
                <w:rFonts w:ascii="Times New Roman" w:hAnsi="Times New Roman" w:cs="Times New Roman"/>
                <w:sz w:val="24"/>
                <w:szCs w:val="24"/>
              </w:rPr>
              <w:t>)</w:t>
            </w:r>
          </w:p>
        </w:tc>
      </w:tr>
      <w:tr w:rsidR="00515603" w:rsidRPr="00515603" w14:paraId="5AC49181" w14:textId="77777777" w:rsidTr="001541CE">
        <w:trPr>
          <w:cantSplit/>
          <w:trHeight w:val="701"/>
        </w:trPr>
        <w:tc>
          <w:tcPr>
            <w:tcW w:w="1022" w:type="pct"/>
          </w:tcPr>
          <w:p w14:paraId="161A5020"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TOTAL</w:t>
            </w:r>
          </w:p>
        </w:tc>
        <w:tc>
          <w:tcPr>
            <w:tcW w:w="2378" w:type="pct"/>
            <w:gridSpan w:val="3"/>
            <w:shd w:val="clear" w:color="auto" w:fill="D9D9D9" w:themeFill="background1" w:themeFillShade="D9"/>
          </w:tcPr>
          <w:p w14:paraId="0A80A4AF" w14:textId="77777777" w:rsidR="00515603" w:rsidRPr="00515603" w:rsidRDefault="00515603" w:rsidP="00515603">
            <w:pPr>
              <w:spacing w:after="0"/>
              <w:rPr>
                <w:rFonts w:ascii="Times New Roman" w:hAnsi="Times New Roman" w:cs="Times New Roman"/>
                <w:sz w:val="24"/>
                <w:szCs w:val="24"/>
              </w:rPr>
            </w:pPr>
          </w:p>
        </w:tc>
        <w:tc>
          <w:tcPr>
            <w:tcW w:w="718" w:type="pct"/>
          </w:tcPr>
          <w:p w14:paraId="043A84E0"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11,070</w:t>
            </w:r>
          </w:p>
        </w:tc>
        <w:tc>
          <w:tcPr>
            <w:tcW w:w="881" w:type="pct"/>
          </w:tcPr>
          <w:p w14:paraId="54083ACC"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$637,632</w:t>
            </w:r>
          </w:p>
        </w:tc>
      </w:tr>
    </w:tbl>
    <w:p w14:paraId="420EE332" w14:textId="77777777" w:rsidR="00515603" w:rsidRPr="00515603" w:rsidRDefault="00515603" w:rsidP="00515603">
      <w:pPr>
        <w:spacing w:after="0"/>
        <w:rPr>
          <w:rFonts w:ascii="Times New Roman" w:hAnsi="Times New Roman" w:cs="Times New Roman"/>
          <w:sz w:val="24"/>
          <w:szCs w:val="24"/>
        </w:rPr>
      </w:pPr>
    </w:p>
    <w:tbl>
      <w:tblPr>
        <w:tblW w:w="503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3"/>
        <w:gridCol w:w="1802"/>
        <w:gridCol w:w="1530"/>
        <w:gridCol w:w="1256"/>
        <w:gridCol w:w="1386"/>
        <w:gridCol w:w="1702"/>
      </w:tblGrid>
      <w:tr w:rsidR="00515603" w:rsidRPr="00515603" w14:paraId="2E804E45" w14:textId="77777777" w:rsidTr="001541CE">
        <w:trPr>
          <w:cantSplit/>
          <w:trHeight w:val="431"/>
        </w:trPr>
        <w:tc>
          <w:tcPr>
            <w:tcW w:w="5000" w:type="pct"/>
            <w:gridSpan w:val="6"/>
            <w:shd w:val="clear" w:color="auto" w:fill="D9D9D9" w:themeFill="background1" w:themeFillShade="D9"/>
          </w:tcPr>
          <w:p w14:paraId="502ECD21" w14:textId="77777777" w:rsidR="00515603" w:rsidRPr="00515603" w:rsidRDefault="00515603" w:rsidP="00515603">
            <w:pPr>
              <w:spacing w:after="0"/>
              <w:rPr>
                <w:rFonts w:ascii="Times New Roman" w:hAnsi="Times New Roman" w:cs="Times New Roman"/>
                <w:b/>
                <w:sz w:val="24"/>
                <w:szCs w:val="24"/>
              </w:rPr>
            </w:pPr>
            <w:r w:rsidRPr="00515603">
              <w:rPr>
                <w:rFonts w:ascii="Times New Roman" w:hAnsi="Times New Roman" w:cs="Times New Roman"/>
                <w:b/>
                <w:sz w:val="24"/>
                <w:szCs w:val="24"/>
              </w:rPr>
              <w:t>MOD-026-1  (Verification of Models and Data for Generator Excitation Control System or Plant Volt/</w:t>
            </w:r>
            <w:proofErr w:type="spellStart"/>
            <w:r w:rsidRPr="00515603">
              <w:rPr>
                <w:rFonts w:ascii="Times New Roman" w:hAnsi="Times New Roman" w:cs="Times New Roman"/>
                <w:b/>
                <w:sz w:val="24"/>
                <w:szCs w:val="24"/>
              </w:rPr>
              <w:t>Var</w:t>
            </w:r>
            <w:proofErr w:type="spellEnd"/>
            <w:r w:rsidRPr="00515603">
              <w:rPr>
                <w:rFonts w:ascii="Times New Roman" w:hAnsi="Times New Roman" w:cs="Times New Roman"/>
                <w:b/>
                <w:sz w:val="24"/>
                <w:szCs w:val="24"/>
              </w:rPr>
              <w:t xml:space="preserve"> Control Functions)</w:t>
            </w:r>
          </w:p>
        </w:tc>
      </w:tr>
      <w:tr w:rsidR="00515603" w:rsidRPr="00515603" w14:paraId="65BA9090" w14:textId="77777777" w:rsidTr="001541CE">
        <w:trPr>
          <w:cantSplit/>
          <w:trHeight w:val="710"/>
        </w:trPr>
        <w:tc>
          <w:tcPr>
            <w:tcW w:w="1022" w:type="pct"/>
            <w:shd w:val="clear" w:color="auto" w:fill="D9D9D9" w:themeFill="background1" w:themeFillShade="D9"/>
            <w:vAlign w:val="bottom"/>
          </w:tcPr>
          <w:p w14:paraId="0B477A65" w14:textId="77777777" w:rsidR="00515603" w:rsidRPr="00515603" w:rsidRDefault="00515603" w:rsidP="00515603">
            <w:pPr>
              <w:spacing w:after="0"/>
              <w:rPr>
                <w:rFonts w:ascii="Times New Roman" w:hAnsi="Times New Roman" w:cs="Times New Roman"/>
                <w:b/>
                <w:sz w:val="24"/>
                <w:szCs w:val="24"/>
              </w:rPr>
            </w:pPr>
            <w:r w:rsidRPr="00515603">
              <w:rPr>
                <w:rFonts w:ascii="Times New Roman" w:hAnsi="Times New Roman" w:cs="Times New Roman"/>
                <w:b/>
                <w:sz w:val="24"/>
                <w:szCs w:val="24"/>
              </w:rPr>
              <w:t>FERC-725L</w:t>
            </w:r>
          </w:p>
        </w:tc>
        <w:tc>
          <w:tcPr>
            <w:tcW w:w="934" w:type="pct"/>
            <w:shd w:val="clear" w:color="auto" w:fill="D9D9D9" w:themeFill="background1" w:themeFillShade="D9"/>
            <w:vAlign w:val="bottom"/>
          </w:tcPr>
          <w:p w14:paraId="502F398D" w14:textId="5908498D" w:rsidR="00515603" w:rsidRPr="00515603" w:rsidRDefault="00515603" w:rsidP="00085DC1">
            <w:pPr>
              <w:spacing w:after="0"/>
              <w:rPr>
                <w:rFonts w:ascii="Times New Roman" w:hAnsi="Times New Roman" w:cs="Times New Roman"/>
                <w:b/>
                <w:sz w:val="24"/>
                <w:szCs w:val="24"/>
              </w:rPr>
            </w:pPr>
            <w:r w:rsidRPr="00515603">
              <w:rPr>
                <w:rFonts w:ascii="Times New Roman" w:hAnsi="Times New Roman" w:cs="Times New Roman"/>
                <w:b/>
                <w:sz w:val="24"/>
                <w:szCs w:val="24"/>
              </w:rPr>
              <w:t>Number of Respondents</w:t>
            </w:r>
            <w:r w:rsidRPr="00515603">
              <w:rPr>
                <w:rFonts w:ascii="Times New Roman" w:hAnsi="Times New Roman" w:cs="Times New Roman"/>
                <w:b/>
                <w:sz w:val="24"/>
                <w:szCs w:val="24"/>
              </w:rPr>
              <w:br/>
              <w:t>(1)</w:t>
            </w:r>
            <w:r w:rsidR="00085DC1" w:rsidRPr="00AE619D">
              <w:rPr>
                <w:rFonts w:ascii="Times New Roman" w:hAnsi="Times New Roman" w:cs="Times New Roman"/>
                <w:b/>
                <w:sz w:val="24"/>
                <w:szCs w:val="24"/>
                <w:vertAlign w:val="superscript"/>
              </w:rPr>
              <w:fldChar w:fldCharType="begin"/>
            </w:r>
            <w:r w:rsidR="00085DC1" w:rsidRPr="00AE619D">
              <w:rPr>
                <w:rFonts w:ascii="Times New Roman" w:hAnsi="Times New Roman" w:cs="Times New Roman"/>
                <w:b/>
                <w:sz w:val="24"/>
                <w:szCs w:val="24"/>
                <w:vertAlign w:val="superscript"/>
              </w:rPr>
              <w:instrText xml:space="preserve"> NOTEREF _Ref397930889 \h </w:instrText>
            </w:r>
            <w:r w:rsidR="00085DC1">
              <w:rPr>
                <w:rFonts w:ascii="Times New Roman" w:hAnsi="Times New Roman" w:cs="Times New Roman"/>
                <w:b/>
                <w:sz w:val="24"/>
                <w:szCs w:val="24"/>
                <w:vertAlign w:val="superscript"/>
              </w:rPr>
              <w:instrText xml:space="preserve"> \* MERGEFORMAT </w:instrText>
            </w:r>
            <w:r w:rsidR="00085DC1" w:rsidRPr="00AE619D">
              <w:rPr>
                <w:rFonts w:ascii="Times New Roman" w:hAnsi="Times New Roman" w:cs="Times New Roman"/>
                <w:b/>
                <w:sz w:val="24"/>
                <w:szCs w:val="24"/>
                <w:vertAlign w:val="superscript"/>
              </w:rPr>
            </w:r>
            <w:r w:rsidR="00085DC1" w:rsidRPr="00AE619D">
              <w:rPr>
                <w:rFonts w:ascii="Times New Roman" w:hAnsi="Times New Roman" w:cs="Times New Roman"/>
                <w:b/>
                <w:sz w:val="24"/>
                <w:szCs w:val="24"/>
                <w:vertAlign w:val="superscript"/>
              </w:rPr>
              <w:fldChar w:fldCharType="separate"/>
            </w:r>
            <w:r w:rsidR="00085DC1" w:rsidRPr="00AE619D">
              <w:rPr>
                <w:rFonts w:ascii="Times New Roman" w:hAnsi="Times New Roman" w:cs="Times New Roman"/>
                <w:b/>
                <w:sz w:val="24"/>
                <w:szCs w:val="24"/>
                <w:vertAlign w:val="superscript"/>
              </w:rPr>
              <w:t>18</w:t>
            </w:r>
            <w:r w:rsidR="00085DC1" w:rsidRPr="00AE619D">
              <w:rPr>
                <w:rFonts w:ascii="Times New Roman" w:hAnsi="Times New Roman" w:cs="Times New Roman"/>
                <w:b/>
                <w:sz w:val="24"/>
                <w:szCs w:val="24"/>
                <w:vertAlign w:val="superscript"/>
              </w:rPr>
              <w:fldChar w:fldCharType="end"/>
            </w:r>
            <w:r w:rsidR="00085DC1" w:rsidRPr="00085DC1" w:rsidDel="00085DC1">
              <w:rPr>
                <w:rFonts w:ascii="Times New Roman" w:hAnsi="Times New Roman" w:cs="Times New Roman"/>
                <w:b/>
                <w:sz w:val="24"/>
                <w:szCs w:val="24"/>
                <w:vertAlign w:val="superscript"/>
              </w:rPr>
              <w:t xml:space="preserve"> </w:t>
            </w:r>
          </w:p>
        </w:tc>
        <w:tc>
          <w:tcPr>
            <w:tcW w:w="793" w:type="pct"/>
            <w:shd w:val="clear" w:color="auto" w:fill="D9D9D9" w:themeFill="background1" w:themeFillShade="D9"/>
            <w:vAlign w:val="bottom"/>
          </w:tcPr>
          <w:p w14:paraId="3EBFAD4A" w14:textId="77777777" w:rsidR="00515603" w:rsidRPr="00515603" w:rsidRDefault="00515603" w:rsidP="00515603">
            <w:pPr>
              <w:spacing w:after="0"/>
              <w:rPr>
                <w:rFonts w:ascii="Times New Roman" w:hAnsi="Times New Roman" w:cs="Times New Roman"/>
                <w:b/>
                <w:sz w:val="24"/>
                <w:szCs w:val="24"/>
              </w:rPr>
            </w:pPr>
            <w:r w:rsidRPr="00515603">
              <w:rPr>
                <w:rFonts w:ascii="Times New Roman" w:hAnsi="Times New Roman" w:cs="Times New Roman"/>
                <w:b/>
                <w:sz w:val="24"/>
                <w:szCs w:val="24"/>
              </w:rPr>
              <w:t>Number of Responses per Respondent</w:t>
            </w:r>
          </w:p>
          <w:p w14:paraId="5A67CC45" w14:textId="77777777" w:rsidR="00515603" w:rsidRPr="00515603" w:rsidRDefault="00515603" w:rsidP="00515603">
            <w:pPr>
              <w:spacing w:after="0"/>
              <w:rPr>
                <w:rFonts w:ascii="Times New Roman" w:hAnsi="Times New Roman" w:cs="Times New Roman"/>
                <w:b/>
                <w:sz w:val="24"/>
                <w:szCs w:val="24"/>
              </w:rPr>
            </w:pPr>
            <w:r w:rsidRPr="00515603">
              <w:rPr>
                <w:rFonts w:ascii="Times New Roman" w:hAnsi="Times New Roman" w:cs="Times New Roman"/>
                <w:b/>
                <w:sz w:val="24"/>
                <w:szCs w:val="24"/>
              </w:rPr>
              <w:t>(2)</w:t>
            </w:r>
          </w:p>
        </w:tc>
        <w:tc>
          <w:tcPr>
            <w:tcW w:w="651" w:type="pct"/>
            <w:shd w:val="clear" w:color="auto" w:fill="D9D9D9" w:themeFill="background1" w:themeFillShade="D9"/>
            <w:vAlign w:val="bottom"/>
          </w:tcPr>
          <w:p w14:paraId="5B144B7B" w14:textId="77777777" w:rsidR="00515603" w:rsidRPr="00515603" w:rsidRDefault="00515603" w:rsidP="00515603">
            <w:pPr>
              <w:spacing w:after="0"/>
              <w:rPr>
                <w:rFonts w:ascii="Times New Roman" w:hAnsi="Times New Roman" w:cs="Times New Roman"/>
                <w:b/>
                <w:sz w:val="24"/>
                <w:szCs w:val="24"/>
              </w:rPr>
            </w:pPr>
            <w:r w:rsidRPr="00515603">
              <w:rPr>
                <w:rFonts w:ascii="Times New Roman" w:hAnsi="Times New Roman" w:cs="Times New Roman"/>
                <w:b/>
                <w:sz w:val="24"/>
                <w:szCs w:val="24"/>
              </w:rPr>
              <w:t>Average Burden Hours Per Response</w:t>
            </w:r>
          </w:p>
          <w:p w14:paraId="34A09469" w14:textId="77777777" w:rsidR="00515603" w:rsidRPr="00515603" w:rsidRDefault="00515603" w:rsidP="00515603">
            <w:pPr>
              <w:spacing w:after="0"/>
              <w:rPr>
                <w:rFonts w:ascii="Times New Roman" w:hAnsi="Times New Roman" w:cs="Times New Roman"/>
                <w:b/>
                <w:sz w:val="24"/>
                <w:szCs w:val="24"/>
              </w:rPr>
            </w:pPr>
            <w:r w:rsidRPr="00515603">
              <w:rPr>
                <w:rFonts w:ascii="Times New Roman" w:hAnsi="Times New Roman" w:cs="Times New Roman"/>
                <w:b/>
                <w:sz w:val="24"/>
                <w:szCs w:val="24"/>
              </w:rPr>
              <w:t>(3)</w:t>
            </w:r>
          </w:p>
        </w:tc>
        <w:tc>
          <w:tcPr>
            <w:tcW w:w="718" w:type="pct"/>
            <w:shd w:val="clear" w:color="auto" w:fill="D9D9D9" w:themeFill="background1" w:themeFillShade="D9"/>
            <w:vAlign w:val="bottom"/>
          </w:tcPr>
          <w:p w14:paraId="0F6A5B1C" w14:textId="77777777" w:rsidR="00515603" w:rsidRPr="00515603" w:rsidRDefault="00515603" w:rsidP="00515603">
            <w:pPr>
              <w:spacing w:after="0"/>
              <w:rPr>
                <w:rFonts w:ascii="Times New Roman" w:hAnsi="Times New Roman" w:cs="Times New Roman"/>
                <w:b/>
                <w:sz w:val="24"/>
                <w:szCs w:val="24"/>
              </w:rPr>
            </w:pPr>
            <w:r w:rsidRPr="00515603">
              <w:rPr>
                <w:rFonts w:ascii="Times New Roman" w:hAnsi="Times New Roman" w:cs="Times New Roman"/>
                <w:b/>
                <w:sz w:val="24"/>
                <w:szCs w:val="24"/>
              </w:rPr>
              <w:t>Total Annual Burden Hours</w:t>
            </w:r>
          </w:p>
          <w:p w14:paraId="7E360846" w14:textId="77777777" w:rsidR="00515603" w:rsidRPr="00515603" w:rsidRDefault="00515603" w:rsidP="00515603">
            <w:pPr>
              <w:spacing w:after="0"/>
              <w:rPr>
                <w:rFonts w:ascii="Times New Roman" w:hAnsi="Times New Roman" w:cs="Times New Roman"/>
                <w:b/>
                <w:sz w:val="24"/>
                <w:szCs w:val="24"/>
              </w:rPr>
            </w:pPr>
            <w:r w:rsidRPr="00515603">
              <w:rPr>
                <w:rFonts w:ascii="Times New Roman" w:hAnsi="Times New Roman" w:cs="Times New Roman"/>
                <w:b/>
                <w:sz w:val="24"/>
                <w:szCs w:val="24"/>
              </w:rPr>
              <w:t>(1)x(2)x(3)</w:t>
            </w:r>
          </w:p>
        </w:tc>
        <w:tc>
          <w:tcPr>
            <w:tcW w:w="881" w:type="pct"/>
            <w:shd w:val="clear" w:color="auto" w:fill="D9D9D9" w:themeFill="background1" w:themeFillShade="D9"/>
            <w:vAlign w:val="bottom"/>
          </w:tcPr>
          <w:p w14:paraId="79E87417" w14:textId="2DFA9B69" w:rsidR="00515603" w:rsidRPr="00515603" w:rsidRDefault="00515603" w:rsidP="00085DC1">
            <w:pPr>
              <w:spacing w:after="0"/>
              <w:rPr>
                <w:rFonts w:ascii="Times New Roman" w:hAnsi="Times New Roman" w:cs="Times New Roman"/>
                <w:b/>
                <w:sz w:val="24"/>
                <w:szCs w:val="24"/>
              </w:rPr>
            </w:pPr>
            <w:r w:rsidRPr="00515603">
              <w:rPr>
                <w:rFonts w:ascii="Times New Roman" w:hAnsi="Times New Roman" w:cs="Times New Roman"/>
                <w:b/>
                <w:sz w:val="24"/>
                <w:szCs w:val="24"/>
              </w:rPr>
              <w:t>Total Annual Cost</w:t>
            </w:r>
            <w:r w:rsidR="00085DC1" w:rsidRPr="00AE619D">
              <w:rPr>
                <w:rFonts w:ascii="Times New Roman" w:hAnsi="Times New Roman" w:cs="Times New Roman"/>
                <w:b/>
                <w:sz w:val="24"/>
                <w:szCs w:val="24"/>
                <w:vertAlign w:val="superscript"/>
              </w:rPr>
              <w:fldChar w:fldCharType="begin"/>
            </w:r>
            <w:r w:rsidR="00085DC1" w:rsidRPr="00AE619D">
              <w:rPr>
                <w:rFonts w:ascii="Times New Roman" w:hAnsi="Times New Roman" w:cs="Times New Roman"/>
                <w:b/>
                <w:sz w:val="24"/>
                <w:szCs w:val="24"/>
                <w:vertAlign w:val="superscript"/>
              </w:rPr>
              <w:instrText xml:space="preserve"> NOTEREF _Ref397930912 \h </w:instrText>
            </w:r>
            <w:r w:rsidR="00085DC1">
              <w:rPr>
                <w:rFonts w:ascii="Times New Roman" w:hAnsi="Times New Roman" w:cs="Times New Roman"/>
                <w:b/>
                <w:sz w:val="24"/>
                <w:szCs w:val="24"/>
                <w:vertAlign w:val="superscript"/>
              </w:rPr>
              <w:instrText xml:space="preserve"> \* MERGEFORMAT </w:instrText>
            </w:r>
            <w:r w:rsidR="00085DC1" w:rsidRPr="00AE619D">
              <w:rPr>
                <w:rFonts w:ascii="Times New Roman" w:hAnsi="Times New Roman" w:cs="Times New Roman"/>
                <w:b/>
                <w:sz w:val="24"/>
                <w:szCs w:val="24"/>
                <w:vertAlign w:val="superscript"/>
              </w:rPr>
            </w:r>
            <w:r w:rsidR="00085DC1" w:rsidRPr="00AE619D">
              <w:rPr>
                <w:rFonts w:ascii="Times New Roman" w:hAnsi="Times New Roman" w:cs="Times New Roman"/>
                <w:b/>
                <w:sz w:val="24"/>
                <w:szCs w:val="24"/>
                <w:vertAlign w:val="superscript"/>
              </w:rPr>
              <w:fldChar w:fldCharType="separate"/>
            </w:r>
            <w:r w:rsidR="00085DC1" w:rsidRPr="00AE619D">
              <w:rPr>
                <w:rFonts w:ascii="Times New Roman" w:hAnsi="Times New Roman" w:cs="Times New Roman"/>
                <w:b/>
                <w:sz w:val="24"/>
                <w:szCs w:val="24"/>
                <w:vertAlign w:val="superscript"/>
              </w:rPr>
              <w:t>19</w:t>
            </w:r>
            <w:r w:rsidR="00085DC1" w:rsidRPr="00AE619D">
              <w:rPr>
                <w:rFonts w:ascii="Times New Roman" w:hAnsi="Times New Roman" w:cs="Times New Roman"/>
                <w:b/>
                <w:sz w:val="24"/>
                <w:szCs w:val="24"/>
                <w:vertAlign w:val="superscript"/>
              </w:rPr>
              <w:fldChar w:fldCharType="end"/>
            </w:r>
          </w:p>
        </w:tc>
      </w:tr>
      <w:tr w:rsidR="00515603" w:rsidRPr="00515603" w14:paraId="41B0C044" w14:textId="77777777" w:rsidTr="001541CE">
        <w:trPr>
          <w:cantSplit/>
          <w:trHeight w:val="710"/>
        </w:trPr>
        <w:tc>
          <w:tcPr>
            <w:tcW w:w="1022" w:type="pct"/>
          </w:tcPr>
          <w:p w14:paraId="4148C80B"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Develop testing procedures, verification process, and process for collection of data</w:t>
            </w:r>
          </w:p>
        </w:tc>
        <w:tc>
          <w:tcPr>
            <w:tcW w:w="934" w:type="pct"/>
          </w:tcPr>
          <w:p w14:paraId="202F1EC5"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356</w:t>
            </w:r>
          </w:p>
          <w:p w14:paraId="4ABC3E10"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GO</w:t>
            </w:r>
          </w:p>
        </w:tc>
        <w:tc>
          <w:tcPr>
            <w:tcW w:w="793" w:type="pct"/>
          </w:tcPr>
          <w:p w14:paraId="32A5C521"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1</w:t>
            </w:r>
          </w:p>
        </w:tc>
        <w:tc>
          <w:tcPr>
            <w:tcW w:w="651" w:type="pct"/>
          </w:tcPr>
          <w:p w14:paraId="1C884A3F"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8</w:t>
            </w:r>
          </w:p>
        </w:tc>
        <w:tc>
          <w:tcPr>
            <w:tcW w:w="718" w:type="pct"/>
          </w:tcPr>
          <w:p w14:paraId="339522C3"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 xml:space="preserve"> 2,848 </w:t>
            </w:r>
          </w:p>
          <w:p w14:paraId="7B635E70"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one-time</w:t>
            </w:r>
          </w:p>
        </w:tc>
        <w:tc>
          <w:tcPr>
            <w:tcW w:w="881" w:type="pct"/>
          </w:tcPr>
          <w:p w14:paraId="2E2AF975"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$148,096</w:t>
            </w:r>
            <w:r w:rsidRPr="00515603">
              <w:rPr>
                <w:rFonts w:ascii="Times New Roman" w:hAnsi="Times New Roman" w:cs="Times New Roman"/>
                <w:sz w:val="24"/>
                <w:szCs w:val="24"/>
              </w:rPr>
              <w:br/>
              <w:t>one-time ($52/</w:t>
            </w:r>
            <w:proofErr w:type="spellStart"/>
            <w:r w:rsidRPr="00515603">
              <w:rPr>
                <w:rFonts w:ascii="Times New Roman" w:hAnsi="Times New Roman" w:cs="Times New Roman"/>
                <w:sz w:val="24"/>
                <w:szCs w:val="24"/>
              </w:rPr>
              <w:t>hr</w:t>
            </w:r>
            <w:proofErr w:type="spellEnd"/>
            <w:r w:rsidRPr="00515603">
              <w:rPr>
                <w:rFonts w:ascii="Times New Roman" w:hAnsi="Times New Roman" w:cs="Times New Roman"/>
                <w:sz w:val="24"/>
                <w:szCs w:val="24"/>
              </w:rPr>
              <w:t>)</w:t>
            </w:r>
          </w:p>
        </w:tc>
      </w:tr>
      <w:tr w:rsidR="00515603" w:rsidRPr="00515603" w14:paraId="2D14493E" w14:textId="77777777" w:rsidTr="001541CE">
        <w:trPr>
          <w:cantSplit/>
          <w:trHeight w:val="719"/>
        </w:trPr>
        <w:tc>
          <w:tcPr>
            <w:tcW w:w="1022" w:type="pct"/>
          </w:tcPr>
          <w:p w14:paraId="34CCC479"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 xml:space="preserve">Instructions for obtaining excitation control system or plant voltage/variance control function model </w:t>
            </w:r>
          </w:p>
        </w:tc>
        <w:tc>
          <w:tcPr>
            <w:tcW w:w="934" w:type="pct"/>
          </w:tcPr>
          <w:p w14:paraId="2E9A32A5"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187</w:t>
            </w:r>
          </w:p>
          <w:p w14:paraId="6C95B1DD"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TP</w:t>
            </w:r>
          </w:p>
        </w:tc>
        <w:tc>
          <w:tcPr>
            <w:tcW w:w="793" w:type="pct"/>
          </w:tcPr>
          <w:p w14:paraId="45D567E4"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1</w:t>
            </w:r>
          </w:p>
        </w:tc>
        <w:tc>
          <w:tcPr>
            <w:tcW w:w="651" w:type="pct"/>
          </w:tcPr>
          <w:p w14:paraId="26FF725E"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8</w:t>
            </w:r>
          </w:p>
        </w:tc>
        <w:tc>
          <w:tcPr>
            <w:tcW w:w="718" w:type="pct"/>
          </w:tcPr>
          <w:p w14:paraId="30D34023"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1,496</w:t>
            </w:r>
          </w:p>
        </w:tc>
        <w:tc>
          <w:tcPr>
            <w:tcW w:w="881" w:type="pct"/>
          </w:tcPr>
          <w:p w14:paraId="33505D33"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$104,720 ($70/</w:t>
            </w:r>
            <w:proofErr w:type="spellStart"/>
            <w:r w:rsidRPr="00515603">
              <w:rPr>
                <w:rFonts w:ascii="Times New Roman" w:hAnsi="Times New Roman" w:cs="Times New Roman"/>
                <w:sz w:val="24"/>
                <w:szCs w:val="24"/>
              </w:rPr>
              <w:t>hr</w:t>
            </w:r>
            <w:proofErr w:type="spellEnd"/>
            <w:r w:rsidRPr="00515603">
              <w:rPr>
                <w:rFonts w:ascii="Times New Roman" w:hAnsi="Times New Roman" w:cs="Times New Roman"/>
                <w:sz w:val="24"/>
                <w:szCs w:val="24"/>
              </w:rPr>
              <w:t>)</w:t>
            </w:r>
          </w:p>
        </w:tc>
      </w:tr>
      <w:tr w:rsidR="00515603" w:rsidRPr="00515603" w14:paraId="078FED4E" w14:textId="77777777" w:rsidTr="001541CE">
        <w:trPr>
          <w:cantSplit/>
          <w:trHeight w:val="701"/>
        </w:trPr>
        <w:tc>
          <w:tcPr>
            <w:tcW w:w="1022" w:type="pct"/>
          </w:tcPr>
          <w:p w14:paraId="7E4A8F95"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Documentation on generator verification</w:t>
            </w:r>
          </w:p>
        </w:tc>
        <w:tc>
          <w:tcPr>
            <w:tcW w:w="934" w:type="pct"/>
          </w:tcPr>
          <w:p w14:paraId="0D7352F3"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356</w:t>
            </w:r>
          </w:p>
          <w:p w14:paraId="1C41E5A8"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GO</w:t>
            </w:r>
          </w:p>
        </w:tc>
        <w:tc>
          <w:tcPr>
            <w:tcW w:w="793" w:type="pct"/>
          </w:tcPr>
          <w:p w14:paraId="27142C68"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1</w:t>
            </w:r>
          </w:p>
        </w:tc>
        <w:tc>
          <w:tcPr>
            <w:tcW w:w="651" w:type="pct"/>
          </w:tcPr>
          <w:p w14:paraId="4BF86B78"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8</w:t>
            </w:r>
          </w:p>
        </w:tc>
        <w:tc>
          <w:tcPr>
            <w:tcW w:w="718" w:type="pct"/>
          </w:tcPr>
          <w:p w14:paraId="143FC4B2"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2,848</w:t>
            </w:r>
          </w:p>
        </w:tc>
        <w:tc>
          <w:tcPr>
            <w:tcW w:w="881" w:type="pct"/>
          </w:tcPr>
          <w:p w14:paraId="6D699BEE"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$199,360 ($70/</w:t>
            </w:r>
            <w:proofErr w:type="spellStart"/>
            <w:r w:rsidRPr="00515603">
              <w:rPr>
                <w:rFonts w:ascii="Times New Roman" w:hAnsi="Times New Roman" w:cs="Times New Roman"/>
                <w:sz w:val="24"/>
                <w:szCs w:val="24"/>
              </w:rPr>
              <w:t>hr</w:t>
            </w:r>
            <w:proofErr w:type="spellEnd"/>
            <w:r w:rsidRPr="00515603">
              <w:rPr>
                <w:rFonts w:ascii="Times New Roman" w:hAnsi="Times New Roman" w:cs="Times New Roman"/>
                <w:sz w:val="24"/>
                <w:szCs w:val="24"/>
              </w:rPr>
              <w:t>)</w:t>
            </w:r>
          </w:p>
        </w:tc>
      </w:tr>
      <w:tr w:rsidR="00515603" w:rsidRPr="00515603" w14:paraId="5CDDDF6F" w14:textId="77777777" w:rsidTr="001541CE">
        <w:trPr>
          <w:cantSplit/>
          <w:trHeight w:val="701"/>
        </w:trPr>
        <w:tc>
          <w:tcPr>
            <w:tcW w:w="1022" w:type="pct"/>
          </w:tcPr>
          <w:p w14:paraId="378F75EB" w14:textId="2CE80F63" w:rsidR="00515603" w:rsidRPr="00515603" w:rsidRDefault="00515603" w:rsidP="00510863">
            <w:pPr>
              <w:spacing w:after="0"/>
              <w:rPr>
                <w:rFonts w:ascii="Times New Roman" w:hAnsi="Times New Roman" w:cs="Times New Roman"/>
                <w:sz w:val="24"/>
                <w:szCs w:val="24"/>
              </w:rPr>
            </w:pPr>
            <w:r w:rsidRPr="00515603">
              <w:rPr>
                <w:rFonts w:ascii="Times New Roman" w:hAnsi="Times New Roman" w:cs="Times New Roman"/>
                <w:sz w:val="24"/>
                <w:szCs w:val="24"/>
              </w:rPr>
              <w:lastRenderedPageBreak/>
              <w:t>Evidence Retention</w:t>
            </w:r>
          </w:p>
        </w:tc>
        <w:tc>
          <w:tcPr>
            <w:tcW w:w="934" w:type="pct"/>
          </w:tcPr>
          <w:p w14:paraId="15AB9523"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543</w:t>
            </w:r>
          </w:p>
          <w:p w14:paraId="72850E3E"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GO and TP</w:t>
            </w:r>
          </w:p>
        </w:tc>
        <w:tc>
          <w:tcPr>
            <w:tcW w:w="793" w:type="pct"/>
          </w:tcPr>
          <w:p w14:paraId="75805901"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1</w:t>
            </w:r>
          </w:p>
        </w:tc>
        <w:tc>
          <w:tcPr>
            <w:tcW w:w="651" w:type="pct"/>
          </w:tcPr>
          <w:p w14:paraId="57E37E90"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1</w:t>
            </w:r>
          </w:p>
        </w:tc>
        <w:tc>
          <w:tcPr>
            <w:tcW w:w="718" w:type="pct"/>
          </w:tcPr>
          <w:p w14:paraId="4D7B3640"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543</w:t>
            </w:r>
          </w:p>
        </w:tc>
        <w:tc>
          <w:tcPr>
            <w:tcW w:w="881" w:type="pct"/>
          </w:tcPr>
          <w:p w14:paraId="0ADD0A39"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$15,204 ($28/</w:t>
            </w:r>
            <w:proofErr w:type="spellStart"/>
            <w:r w:rsidRPr="00515603">
              <w:rPr>
                <w:rFonts w:ascii="Times New Roman" w:hAnsi="Times New Roman" w:cs="Times New Roman"/>
                <w:sz w:val="24"/>
                <w:szCs w:val="24"/>
              </w:rPr>
              <w:t>hr</w:t>
            </w:r>
            <w:proofErr w:type="spellEnd"/>
            <w:r w:rsidRPr="00515603">
              <w:rPr>
                <w:rFonts w:ascii="Times New Roman" w:hAnsi="Times New Roman" w:cs="Times New Roman"/>
                <w:sz w:val="24"/>
                <w:szCs w:val="24"/>
              </w:rPr>
              <w:t>)</w:t>
            </w:r>
          </w:p>
        </w:tc>
      </w:tr>
      <w:tr w:rsidR="00515603" w:rsidRPr="00515603" w14:paraId="42602732" w14:textId="77777777" w:rsidTr="001541CE">
        <w:trPr>
          <w:cantSplit/>
          <w:trHeight w:val="701"/>
        </w:trPr>
        <w:tc>
          <w:tcPr>
            <w:tcW w:w="1022" w:type="pct"/>
          </w:tcPr>
          <w:p w14:paraId="46D17E0A"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TOTAL</w:t>
            </w:r>
          </w:p>
        </w:tc>
        <w:tc>
          <w:tcPr>
            <w:tcW w:w="2378" w:type="pct"/>
            <w:gridSpan w:val="3"/>
            <w:shd w:val="clear" w:color="auto" w:fill="D9D9D9" w:themeFill="background1" w:themeFillShade="D9"/>
          </w:tcPr>
          <w:p w14:paraId="6DDD21DE" w14:textId="77777777" w:rsidR="00515603" w:rsidRPr="00515603" w:rsidRDefault="00515603" w:rsidP="00515603">
            <w:pPr>
              <w:spacing w:after="0"/>
              <w:rPr>
                <w:rFonts w:ascii="Times New Roman" w:hAnsi="Times New Roman" w:cs="Times New Roman"/>
                <w:sz w:val="24"/>
                <w:szCs w:val="24"/>
              </w:rPr>
            </w:pPr>
          </w:p>
        </w:tc>
        <w:tc>
          <w:tcPr>
            <w:tcW w:w="718" w:type="pct"/>
          </w:tcPr>
          <w:p w14:paraId="5769327D"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7,735</w:t>
            </w:r>
          </w:p>
        </w:tc>
        <w:tc>
          <w:tcPr>
            <w:tcW w:w="881" w:type="pct"/>
          </w:tcPr>
          <w:p w14:paraId="79C2D487"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$467,380</w:t>
            </w:r>
          </w:p>
        </w:tc>
      </w:tr>
    </w:tbl>
    <w:p w14:paraId="7DCC6F38" w14:textId="77777777" w:rsidR="00515603" w:rsidRPr="00515603" w:rsidRDefault="00515603" w:rsidP="00515603">
      <w:pPr>
        <w:spacing w:after="0"/>
        <w:rPr>
          <w:rFonts w:ascii="Times New Roman" w:hAnsi="Times New Roman" w:cs="Times New Roman"/>
          <w:sz w:val="24"/>
          <w:szCs w:val="24"/>
        </w:rPr>
      </w:pPr>
    </w:p>
    <w:tbl>
      <w:tblPr>
        <w:tblW w:w="503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1802"/>
        <w:gridCol w:w="1530"/>
        <w:gridCol w:w="1256"/>
        <w:gridCol w:w="1386"/>
        <w:gridCol w:w="1696"/>
      </w:tblGrid>
      <w:tr w:rsidR="00515603" w:rsidRPr="00515603" w14:paraId="2240F2AD" w14:textId="77777777" w:rsidTr="001541CE">
        <w:trPr>
          <w:cantSplit/>
          <w:trHeight w:val="431"/>
        </w:trPr>
        <w:tc>
          <w:tcPr>
            <w:tcW w:w="5000" w:type="pct"/>
            <w:gridSpan w:val="6"/>
            <w:shd w:val="clear" w:color="auto" w:fill="D9D9D9" w:themeFill="background1" w:themeFillShade="D9"/>
          </w:tcPr>
          <w:p w14:paraId="26D3B12E" w14:textId="77777777" w:rsidR="00515603" w:rsidRPr="00515603" w:rsidRDefault="00515603" w:rsidP="00515603">
            <w:pPr>
              <w:spacing w:after="0"/>
              <w:rPr>
                <w:rFonts w:ascii="Times New Roman" w:hAnsi="Times New Roman" w:cs="Times New Roman"/>
                <w:b/>
                <w:sz w:val="24"/>
                <w:szCs w:val="24"/>
              </w:rPr>
            </w:pPr>
            <w:r w:rsidRPr="00515603">
              <w:rPr>
                <w:rFonts w:ascii="Times New Roman" w:hAnsi="Times New Roman" w:cs="Times New Roman"/>
                <w:b/>
                <w:sz w:val="24"/>
                <w:szCs w:val="24"/>
              </w:rPr>
              <w:t>MOD-027-1  (Verification of Models and Data for Turbine/Governor and Load Control or Active Power/Frequency Control Functions)</w:t>
            </w:r>
          </w:p>
        </w:tc>
      </w:tr>
      <w:tr w:rsidR="00515603" w:rsidRPr="00515603" w14:paraId="776870A0" w14:textId="77777777" w:rsidTr="001541CE">
        <w:trPr>
          <w:cantSplit/>
          <w:trHeight w:val="710"/>
        </w:trPr>
        <w:tc>
          <w:tcPr>
            <w:tcW w:w="1025" w:type="pct"/>
            <w:shd w:val="clear" w:color="auto" w:fill="D9D9D9" w:themeFill="background1" w:themeFillShade="D9"/>
            <w:vAlign w:val="bottom"/>
          </w:tcPr>
          <w:p w14:paraId="30AA9CD5" w14:textId="77777777" w:rsidR="00515603" w:rsidRPr="00515603" w:rsidRDefault="00515603" w:rsidP="00515603">
            <w:pPr>
              <w:spacing w:after="0"/>
              <w:rPr>
                <w:rFonts w:ascii="Times New Roman" w:hAnsi="Times New Roman" w:cs="Times New Roman"/>
                <w:b/>
                <w:sz w:val="24"/>
                <w:szCs w:val="24"/>
              </w:rPr>
            </w:pPr>
            <w:r w:rsidRPr="00515603">
              <w:rPr>
                <w:rFonts w:ascii="Times New Roman" w:hAnsi="Times New Roman" w:cs="Times New Roman"/>
                <w:b/>
                <w:sz w:val="24"/>
                <w:szCs w:val="24"/>
              </w:rPr>
              <w:t>FERC-725L</w:t>
            </w:r>
          </w:p>
        </w:tc>
        <w:tc>
          <w:tcPr>
            <w:tcW w:w="934" w:type="pct"/>
            <w:shd w:val="clear" w:color="auto" w:fill="D9D9D9" w:themeFill="background1" w:themeFillShade="D9"/>
            <w:vAlign w:val="bottom"/>
          </w:tcPr>
          <w:p w14:paraId="1C4F63E2" w14:textId="0228E849" w:rsidR="00515603" w:rsidRPr="00515603" w:rsidRDefault="00515603" w:rsidP="00085DC1">
            <w:pPr>
              <w:spacing w:after="0"/>
              <w:rPr>
                <w:rFonts w:ascii="Times New Roman" w:hAnsi="Times New Roman" w:cs="Times New Roman"/>
                <w:b/>
                <w:sz w:val="24"/>
                <w:szCs w:val="24"/>
              </w:rPr>
            </w:pPr>
            <w:r w:rsidRPr="00515603">
              <w:rPr>
                <w:rFonts w:ascii="Times New Roman" w:hAnsi="Times New Roman" w:cs="Times New Roman"/>
                <w:b/>
                <w:sz w:val="24"/>
                <w:szCs w:val="24"/>
              </w:rPr>
              <w:t>Number of Respondents</w:t>
            </w:r>
            <w:r w:rsidRPr="00515603">
              <w:rPr>
                <w:rFonts w:ascii="Times New Roman" w:hAnsi="Times New Roman" w:cs="Times New Roman"/>
                <w:b/>
                <w:sz w:val="24"/>
                <w:szCs w:val="24"/>
              </w:rPr>
              <w:br/>
              <w:t>(1)</w:t>
            </w:r>
            <w:r w:rsidR="00085DC1" w:rsidRPr="00AE619D">
              <w:rPr>
                <w:rFonts w:ascii="Times New Roman" w:hAnsi="Times New Roman" w:cs="Times New Roman"/>
                <w:b/>
                <w:sz w:val="24"/>
                <w:szCs w:val="24"/>
                <w:vertAlign w:val="superscript"/>
              </w:rPr>
              <w:fldChar w:fldCharType="begin"/>
            </w:r>
            <w:r w:rsidR="00085DC1" w:rsidRPr="00AE619D">
              <w:rPr>
                <w:rFonts w:ascii="Times New Roman" w:hAnsi="Times New Roman" w:cs="Times New Roman"/>
                <w:b/>
                <w:sz w:val="24"/>
                <w:szCs w:val="24"/>
                <w:vertAlign w:val="superscript"/>
              </w:rPr>
              <w:instrText xml:space="preserve"> NOTEREF _Ref397930889 \h </w:instrText>
            </w:r>
            <w:r w:rsidR="00085DC1">
              <w:rPr>
                <w:rFonts w:ascii="Times New Roman" w:hAnsi="Times New Roman" w:cs="Times New Roman"/>
                <w:b/>
                <w:sz w:val="24"/>
                <w:szCs w:val="24"/>
                <w:vertAlign w:val="superscript"/>
              </w:rPr>
              <w:instrText xml:space="preserve"> \* MERGEFORMAT </w:instrText>
            </w:r>
            <w:r w:rsidR="00085DC1" w:rsidRPr="00AE619D">
              <w:rPr>
                <w:rFonts w:ascii="Times New Roman" w:hAnsi="Times New Roman" w:cs="Times New Roman"/>
                <w:b/>
                <w:sz w:val="24"/>
                <w:szCs w:val="24"/>
                <w:vertAlign w:val="superscript"/>
              </w:rPr>
            </w:r>
            <w:r w:rsidR="00085DC1" w:rsidRPr="00AE619D">
              <w:rPr>
                <w:rFonts w:ascii="Times New Roman" w:hAnsi="Times New Roman" w:cs="Times New Roman"/>
                <w:b/>
                <w:sz w:val="24"/>
                <w:szCs w:val="24"/>
                <w:vertAlign w:val="superscript"/>
              </w:rPr>
              <w:fldChar w:fldCharType="separate"/>
            </w:r>
            <w:r w:rsidR="00085DC1" w:rsidRPr="00AE619D">
              <w:rPr>
                <w:rFonts w:ascii="Times New Roman" w:hAnsi="Times New Roman" w:cs="Times New Roman"/>
                <w:b/>
                <w:sz w:val="24"/>
                <w:szCs w:val="24"/>
                <w:vertAlign w:val="superscript"/>
              </w:rPr>
              <w:t>18</w:t>
            </w:r>
            <w:r w:rsidR="00085DC1" w:rsidRPr="00AE619D">
              <w:rPr>
                <w:rFonts w:ascii="Times New Roman" w:hAnsi="Times New Roman" w:cs="Times New Roman"/>
                <w:b/>
                <w:sz w:val="24"/>
                <w:szCs w:val="24"/>
                <w:vertAlign w:val="superscript"/>
              </w:rPr>
              <w:fldChar w:fldCharType="end"/>
            </w:r>
            <w:r w:rsidR="00085DC1" w:rsidRPr="00085DC1" w:rsidDel="00085DC1">
              <w:rPr>
                <w:rFonts w:ascii="Times New Roman" w:hAnsi="Times New Roman" w:cs="Times New Roman"/>
                <w:b/>
                <w:sz w:val="24"/>
                <w:szCs w:val="24"/>
                <w:vertAlign w:val="superscript"/>
              </w:rPr>
              <w:t xml:space="preserve"> </w:t>
            </w:r>
          </w:p>
        </w:tc>
        <w:tc>
          <w:tcPr>
            <w:tcW w:w="793" w:type="pct"/>
            <w:shd w:val="clear" w:color="auto" w:fill="D9D9D9" w:themeFill="background1" w:themeFillShade="D9"/>
            <w:vAlign w:val="bottom"/>
          </w:tcPr>
          <w:p w14:paraId="2CB79A09" w14:textId="77777777" w:rsidR="00515603" w:rsidRPr="00515603" w:rsidRDefault="00515603" w:rsidP="00515603">
            <w:pPr>
              <w:spacing w:after="0"/>
              <w:rPr>
                <w:rFonts w:ascii="Times New Roman" w:hAnsi="Times New Roman" w:cs="Times New Roman"/>
                <w:b/>
                <w:sz w:val="24"/>
                <w:szCs w:val="24"/>
              </w:rPr>
            </w:pPr>
            <w:r w:rsidRPr="00515603">
              <w:rPr>
                <w:rFonts w:ascii="Times New Roman" w:hAnsi="Times New Roman" w:cs="Times New Roman"/>
                <w:b/>
                <w:sz w:val="24"/>
                <w:szCs w:val="24"/>
              </w:rPr>
              <w:t>Number of Responses per Respondent</w:t>
            </w:r>
          </w:p>
          <w:p w14:paraId="1A9D294F" w14:textId="77777777" w:rsidR="00515603" w:rsidRPr="00515603" w:rsidRDefault="00515603" w:rsidP="00515603">
            <w:pPr>
              <w:spacing w:after="0"/>
              <w:rPr>
                <w:rFonts w:ascii="Times New Roman" w:hAnsi="Times New Roman" w:cs="Times New Roman"/>
                <w:b/>
                <w:sz w:val="24"/>
                <w:szCs w:val="24"/>
              </w:rPr>
            </w:pPr>
            <w:r w:rsidRPr="00515603">
              <w:rPr>
                <w:rFonts w:ascii="Times New Roman" w:hAnsi="Times New Roman" w:cs="Times New Roman"/>
                <w:b/>
                <w:sz w:val="24"/>
                <w:szCs w:val="24"/>
              </w:rPr>
              <w:t>(2)</w:t>
            </w:r>
          </w:p>
        </w:tc>
        <w:tc>
          <w:tcPr>
            <w:tcW w:w="651" w:type="pct"/>
            <w:shd w:val="clear" w:color="auto" w:fill="D9D9D9" w:themeFill="background1" w:themeFillShade="D9"/>
            <w:vAlign w:val="bottom"/>
          </w:tcPr>
          <w:p w14:paraId="1A466D9B" w14:textId="77777777" w:rsidR="00515603" w:rsidRPr="00515603" w:rsidRDefault="00515603" w:rsidP="00515603">
            <w:pPr>
              <w:spacing w:after="0"/>
              <w:rPr>
                <w:rFonts w:ascii="Times New Roman" w:hAnsi="Times New Roman" w:cs="Times New Roman"/>
                <w:b/>
                <w:sz w:val="24"/>
                <w:szCs w:val="24"/>
              </w:rPr>
            </w:pPr>
            <w:r w:rsidRPr="00515603">
              <w:rPr>
                <w:rFonts w:ascii="Times New Roman" w:hAnsi="Times New Roman" w:cs="Times New Roman"/>
                <w:b/>
                <w:sz w:val="24"/>
                <w:szCs w:val="24"/>
              </w:rPr>
              <w:t>Average Burden Hours Per Response</w:t>
            </w:r>
          </w:p>
          <w:p w14:paraId="1AE785BD" w14:textId="77777777" w:rsidR="00515603" w:rsidRPr="00515603" w:rsidRDefault="00515603" w:rsidP="00515603">
            <w:pPr>
              <w:spacing w:after="0"/>
              <w:rPr>
                <w:rFonts w:ascii="Times New Roman" w:hAnsi="Times New Roman" w:cs="Times New Roman"/>
                <w:b/>
                <w:sz w:val="24"/>
                <w:szCs w:val="24"/>
              </w:rPr>
            </w:pPr>
            <w:r w:rsidRPr="00515603">
              <w:rPr>
                <w:rFonts w:ascii="Times New Roman" w:hAnsi="Times New Roman" w:cs="Times New Roman"/>
                <w:b/>
                <w:sz w:val="24"/>
                <w:szCs w:val="24"/>
              </w:rPr>
              <w:t>(3)</w:t>
            </w:r>
          </w:p>
        </w:tc>
        <w:tc>
          <w:tcPr>
            <w:tcW w:w="718" w:type="pct"/>
            <w:shd w:val="clear" w:color="auto" w:fill="D9D9D9" w:themeFill="background1" w:themeFillShade="D9"/>
            <w:vAlign w:val="bottom"/>
          </w:tcPr>
          <w:p w14:paraId="3F026081" w14:textId="77777777" w:rsidR="00515603" w:rsidRPr="00515603" w:rsidRDefault="00515603" w:rsidP="00515603">
            <w:pPr>
              <w:spacing w:after="0"/>
              <w:rPr>
                <w:rFonts w:ascii="Times New Roman" w:hAnsi="Times New Roman" w:cs="Times New Roman"/>
                <w:b/>
                <w:sz w:val="24"/>
                <w:szCs w:val="24"/>
              </w:rPr>
            </w:pPr>
            <w:r w:rsidRPr="00515603">
              <w:rPr>
                <w:rFonts w:ascii="Times New Roman" w:hAnsi="Times New Roman" w:cs="Times New Roman"/>
                <w:b/>
                <w:sz w:val="24"/>
                <w:szCs w:val="24"/>
              </w:rPr>
              <w:t>Total Annual Burden Hours</w:t>
            </w:r>
          </w:p>
          <w:p w14:paraId="593CFB38" w14:textId="77777777" w:rsidR="00515603" w:rsidRPr="00515603" w:rsidRDefault="00515603" w:rsidP="00515603">
            <w:pPr>
              <w:spacing w:after="0"/>
              <w:rPr>
                <w:rFonts w:ascii="Times New Roman" w:hAnsi="Times New Roman" w:cs="Times New Roman"/>
                <w:b/>
                <w:sz w:val="24"/>
                <w:szCs w:val="24"/>
              </w:rPr>
            </w:pPr>
            <w:r w:rsidRPr="00515603">
              <w:rPr>
                <w:rFonts w:ascii="Times New Roman" w:hAnsi="Times New Roman" w:cs="Times New Roman"/>
                <w:b/>
                <w:sz w:val="24"/>
                <w:szCs w:val="24"/>
              </w:rPr>
              <w:t>(1)x(2)x(3)</w:t>
            </w:r>
          </w:p>
        </w:tc>
        <w:tc>
          <w:tcPr>
            <w:tcW w:w="879" w:type="pct"/>
            <w:shd w:val="clear" w:color="auto" w:fill="D9D9D9" w:themeFill="background1" w:themeFillShade="D9"/>
            <w:vAlign w:val="bottom"/>
          </w:tcPr>
          <w:p w14:paraId="137E82B1" w14:textId="1ED17D4D" w:rsidR="00515603" w:rsidRPr="00515603" w:rsidRDefault="00515603" w:rsidP="00510863">
            <w:pPr>
              <w:spacing w:after="0"/>
              <w:rPr>
                <w:rFonts w:ascii="Times New Roman" w:hAnsi="Times New Roman" w:cs="Times New Roman"/>
                <w:b/>
                <w:sz w:val="24"/>
                <w:szCs w:val="24"/>
              </w:rPr>
            </w:pPr>
            <w:r w:rsidRPr="00515603">
              <w:rPr>
                <w:rFonts w:ascii="Times New Roman" w:hAnsi="Times New Roman" w:cs="Times New Roman"/>
                <w:b/>
                <w:sz w:val="24"/>
                <w:szCs w:val="24"/>
              </w:rPr>
              <w:t>Total Annual Cost</w:t>
            </w:r>
            <w:r w:rsidR="00085DC1" w:rsidRPr="00AE619D">
              <w:rPr>
                <w:rFonts w:ascii="Times New Roman" w:hAnsi="Times New Roman" w:cs="Times New Roman"/>
                <w:b/>
                <w:sz w:val="24"/>
                <w:szCs w:val="24"/>
                <w:vertAlign w:val="superscript"/>
              </w:rPr>
              <w:fldChar w:fldCharType="begin"/>
            </w:r>
            <w:r w:rsidR="00085DC1" w:rsidRPr="00AE619D">
              <w:rPr>
                <w:rFonts w:ascii="Times New Roman" w:hAnsi="Times New Roman" w:cs="Times New Roman"/>
                <w:b/>
                <w:sz w:val="24"/>
                <w:szCs w:val="24"/>
                <w:vertAlign w:val="superscript"/>
              </w:rPr>
              <w:instrText xml:space="preserve"> NOTEREF _Ref397930912 \h </w:instrText>
            </w:r>
            <w:r w:rsidR="00085DC1">
              <w:rPr>
                <w:rFonts w:ascii="Times New Roman" w:hAnsi="Times New Roman" w:cs="Times New Roman"/>
                <w:b/>
                <w:sz w:val="24"/>
                <w:szCs w:val="24"/>
                <w:vertAlign w:val="superscript"/>
              </w:rPr>
              <w:instrText xml:space="preserve"> \* MERGEFORMAT </w:instrText>
            </w:r>
            <w:r w:rsidR="00085DC1" w:rsidRPr="00AE619D">
              <w:rPr>
                <w:rFonts w:ascii="Times New Roman" w:hAnsi="Times New Roman" w:cs="Times New Roman"/>
                <w:b/>
                <w:sz w:val="24"/>
                <w:szCs w:val="24"/>
                <w:vertAlign w:val="superscript"/>
              </w:rPr>
            </w:r>
            <w:r w:rsidR="00085DC1" w:rsidRPr="00AE619D">
              <w:rPr>
                <w:rFonts w:ascii="Times New Roman" w:hAnsi="Times New Roman" w:cs="Times New Roman"/>
                <w:b/>
                <w:sz w:val="24"/>
                <w:szCs w:val="24"/>
                <w:vertAlign w:val="superscript"/>
              </w:rPr>
              <w:fldChar w:fldCharType="separate"/>
            </w:r>
            <w:r w:rsidR="00085DC1" w:rsidRPr="00AE619D">
              <w:rPr>
                <w:rFonts w:ascii="Times New Roman" w:hAnsi="Times New Roman" w:cs="Times New Roman"/>
                <w:b/>
                <w:sz w:val="24"/>
                <w:szCs w:val="24"/>
                <w:vertAlign w:val="superscript"/>
              </w:rPr>
              <w:t>19</w:t>
            </w:r>
            <w:r w:rsidR="00085DC1" w:rsidRPr="00AE619D">
              <w:rPr>
                <w:rFonts w:ascii="Times New Roman" w:hAnsi="Times New Roman" w:cs="Times New Roman"/>
                <w:b/>
                <w:sz w:val="24"/>
                <w:szCs w:val="24"/>
                <w:vertAlign w:val="superscript"/>
              </w:rPr>
              <w:fldChar w:fldCharType="end"/>
            </w:r>
            <w:r w:rsidR="001541CE" w:rsidRPr="00AE619D">
              <w:rPr>
                <w:rFonts w:ascii="Times New Roman" w:hAnsi="Times New Roman" w:cs="Times New Roman"/>
                <w:b/>
                <w:sz w:val="24"/>
                <w:szCs w:val="24"/>
                <w:vertAlign w:val="superscript"/>
              </w:rPr>
              <w:fldChar w:fldCharType="begin"/>
            </w:r>
            <w:r w:rsidR="001541CE" w:rsidRPr="00AE619D">
              <w:rPr>
                <w:rFonts w:ascii="Times New Roman" w:hAnsi="Times New Roman" w:cs="Times New Roman"/>
                <w:b/>
                <w:sz w:val="24"/>
                <w:szCs w:val="24"/>
                <w:vertAlign w:val="superscript"/>
              </w:rPr>
              <w:instrText xml:space="preserve"> NOTEREF _Ref397930912 \h </w:instrText>
            </w:r>
            <w:r w:rsidR="001541CE">
              <w:rPr>
                <w:rFonts w:ascii="Times New Roman" w:hAnsi="Times New Roman" w:cs="Times New Roman"/>
                <w:b/>
                <w:sz w:val="24"/>
                <w:szCs w:val="24"/>
                <w:vertAlign w:val="superscript"/>
              </w:rPr>
              <w:instrText xml:space="preserve"> \* MERGEFORMAT </w:instrText>
            </w:r>
            <w:r w:rsidR="001541CE" w:rsidRPr="00AE619D">
              <w:rPr>
                <w:rFonts w:ascii="Times New Roman" w:hAnsi="Times New Roman" w:cs="Times New Roman"/>
                <w:b/>
                <w:sz w:val="24"/>
                <w:szCs w:val="24"/>
                <w:vertAlign w:val="superscript"/>
              </w:rPr>
            </w:r>
            <w:r w:rsidR="001541CE" w:rsidRPr="00AE619D">
              <w:rPr>
                <w:rFonts w:ascii="Times New Roman" w:hAnsi="Times New Roman" w:cs="Times New Roman"/>
                <w:b/>
                <w:sz w:val="24"/>
                <w:szCs w:val="24"/>
                <w:vertAlign w:val="superscript"/>
              </w:rPr>
              <w:fldChar w:fldCharType="separate"/>
            </w:r>
            <w:r w:rsidR="001541CE" w:rsidRPr="00AE619D">
              <w:rPr>
                <w:rFonts w:ascii="Times New Roman" w:hAnsi="Times New Roman" w:cs="Times New Roman"/>
                <w:b/>
                <w:sz w:val="24"/>
                <w:szCs w:val="24"/>
                <w:vertAlign w:val="superscript"/>
              </w:rPr>
              <w:t>16</w:t>
            </w:r>
            <w:r w:rsidR="001541CE" w:rsidRPr="00AE619D">
              <w:rPr>
                <w:rFonts w:ascii="Times New Roman" w:hAnsi="Times New Roman" w:cs="Times New Roman"/>
                <w:b/>
                <w:sz w:val="24"/>
                <w:szCs w:val="24"/>
                <w:vertAlign w:val="superscript"/>
              </w:rPr>
              <w:fldChar w:fldCharType="end"/>
            </w:r>
          </w:p>
        </w:tc>
      </w:tr>
      <w:tr w:rsidR="00515603" w:rsidRPr="00515603" w14:paraId="44F0E7C5" w14:textId="77777777" w:rsidTr="001541CE">
        <w:trPr>
          <w:cantSplit/>
          <w:trHeight w:val="710"/>
        </w:trPr>
        <w:tc>
          <w:tcPr>
            <w:tcW w:w="1025" w:type="pct"/>
          </w:tcPr>
          <w:p w14:paraId="7CB5B065"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Develop testing procedures, verification process, and process for collection of data</w:t>
            </w:r>
          </w:p>
        </w:tc>
        <w:tc>
          <w:tcPr>
            <w:tcW w:w="934" w:type="pct"/>
          </w:tcPr>
          <w:p w14:paraId="613CFFB6"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356</w:t>
            </w:r>
          </w:p>
          <w:p w14:paraId="7C2ACE0B"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GO</w:t>
            </w:r>
          </w:p>
        </w:tc>
        <w:tc>
          <w:tcPr>
            <w:tcW w:w="793" w:type="pct"/>
          </w:tcPr>
          <w:p w14:paraId="112F6F8A"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1</w:t>
            </w:r>
          </w:p>
        </w:tc>
        <w:tc>
          <w:tcPr>
            <w:tcW w:w="651" w:type="pct"/>
          </w:tcPr>
          <w:p w14:paraId="63D6B834"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8</w:t>
            </w:r>
          </w:p>
        </w:tc>
        <w:tc>
          <w:tcPr>
            <w:tcW w:w="718" w:type="pct"/>
          </w:tcPr>
          <w:p w14:paraId="3F659023"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 xml:space="preserve"> 2,848 </w:t>
            </w:r>
          </w:p>
          <w:p w14:paraId="3657621C"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one-time</w:t>
            </w:r>
          </w:p>
        </w:tc>
        <w:tc>
          <w:tcPr>
            <w:tcW w:w="879" w:type="pct"/>
          </w:tcPr>
          <w:p w14:paraId="515BAC61"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$148,096</w:t>
            </w:r>
            <w:r w:rsidRPr="00515603">
              <w:rPr>
                <w:rFonts w:ascii="Times New Roman" w:hAnsi="Times New Roman" w:cs="Times New Roman"/>
                <w:sz w:val="24"/>
                <w:szCs w:val="24"/>
              </w:rPr>
              <w:br/>
              <w:t>one-time ($52/</w:t>
            </w:r>
            <w:proofErr w:type="spellStart"/>
            <w:r w:rsidRPr="00515603">
              <w:rPr>
                <w:rFonts w:ascii="Times New Roman" w:hAnsi="Times New Roman" w:cs="Times New Roman"/>
                <w:sz w:val="24"/>
                <w:szCs w:val="24"/>
              </w:rPr>
              <w:t>hr</w:t>
            </w:r>
            <w:proofErr w:type="spellEnd"/>
            <w:r w:rsidRPr="00515603">
              <w:rPr>
                <w:rFonts w:ascii="Times New Roman" w:hAnsi="Times New Roman" w:cs="Times New Roman"/>
                <w:sz w:val="24"/>
                <w:szCs w:val="24"/>
              </w:rPr>
              <w:t>)</w:t>
            </w:r>
          </w:p>
        </w:tc>
      </w:tr>
      <w:tr w:rsidR="00515603" w:rsidRPr="00515603" w14:paraId="09CC108E" w14:textId="77777777" w:rsidTr="001541CE">
        <w:trPr>
          <w:cantSplit/>
          <w:trHeight w:val="719"/>
        </w:trPr>
        <w:tc>
          <w:tcPr>
            <w:tcW w:w="1025" w:type="pct"/>
          </w:tcPr>
          <w:p w14:paraId="68F844EF"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 xml:space="preserve">Instructions for obtaining turbine/governor and load control or active power/frequency control model </w:t>
            </w:r>
          </w:p>
        </w:tc>
        <w:tc>
          <w:tcPr>
            <w:tcW w:w="934" w:type="pct"/>
          </w:tcPr>
          <w:p w14:paraId="177972E6"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187</w:t>
            </w:r>
          </w:p>
          <w:p w14:paraId="29398E83"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TP</w:t>
            </w:r>
          </w:p>
        </w:tc>
        <w:tc>
          <w:tcPr>
            <w:tcW w:w="793" w:type="pct"/>
          </w:tcPr>
          <w:p w14:paraId="201D10D5"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1</w:t>
            </w:r>
          </w:p>
        </w:tc>
        <w:tc>
          <w:tcPr>
            <w:tcW w:w="651" w:type="pct"/>
          </w:tcPr>
          <w:p w14:paraId="161B7BAC"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8</w:t>
            </w:r>
          </w:p>
        </w:tc>
        <w:tc>
          <w:tcPr>
            <w:tcW w:w="718" w:type="pct"/>
          </w:tcPr>
          <w:p w14:paraId="3764231E"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1,496</w:t>
            </w:r>
          </w:p>
        </w:tc>
        <w:tc>
          <w:tcPr>
            <w:tcW w:w="879" w:type="pct"/>
          </w:tcPr>
          <w:p w14:paraId="17A40121"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$104,720 ($70/</w:t>
            </w:r>
            <w:proofErr w:type="spellStart"/>
            <w:r w:rsidRPr="00515603">
              <w:rPr>
                <w:rFonts w:ascii="Times New Roman" w:hAnsi="Times New Roman" w:cs="Times New Roman"/>
                <w:sz w:val="24"/>
                <w:szCs w:val="24"/>
              </w:rPr>
              <w:t>hr</w:t>
            </w:r>
            <w:proofErr w:type="spellEnd"/>
            <w:r w:rsidRPr="00515603">
              <w:rPr>
                <w:rFonts w:ascii="Times New Roman" w:hAnsi="Times New Roman" w:cs="Times New Roman"/>
                <w:sz w:val="24"/>
                <w:szCs w:val="24"/>
              </w:rPr>
              <w:t>)</w:t>
            </w:r>
          </w:p>
        </w:tc>
      </w:tr>
      <w:tr w:rsidR="00515603" w:rsidRPr="00515603" w14:paraId="2A6ABE2A" w14:textId="77777777" w:rsidTr="001541CE">
        <w:trPr>
          <w:cantSplit/>
          <w:trHeight w:val="701"/>
        </w:trPr>
        <w:tc>
          <w:tcPr>
            <w:tcW w:w="1025" w:type="pct"/>
          </w:tcPr>
          <w:p w14:paraId="74A3C896"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Documentation on generator verification</w:t>
            </w:r>
          </w:p>
        </w:tc>
        <w:tc>
          <w:tcPr>
            <w:tcW w:w="934" w:type="pct"/>
          </w:tcPr>
          <w:p w14:paraId="4A531AC0"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356</w:t>
            </w:r>
          </w:p>
          <w:p w14:paraId="7136261E"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GO</w:t>
            </w:r>
          </w:p>
        </w:tc>
        <w:tc>
          <w:tcPr>
            <w:tcW w:w="793" w:type="pct"/>
          </w:tcPr>
          <w:p w14:paraId="45613C18"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1</w:t>
            </w:r>
          </w:p>
        </w:tc>
        <w:tc>
          <w:tcPr>
            <w:tcW w:w="651" w:type="pct"/>
          </w:tcPr>
          <w:p w14:paraId="3E4B2D79"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8</w:t>
            </w:r>
          </w:p>
        </w:tc>
        <w:tc>
          <w:tcPr>
            <w:tcW w:w="718" w:type="pct"/>
          </w:tcPr>
          <w:p w14:paraId="651C631B"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2,848</w:t>
            </w:r>
          </w:p>
        </w:tc>
        <w:tc>
          <w:tcPr>
            <w:tcW w:w="879" w:type="pct"/>
          </w:tcPr>
          <w:p w14:paraId="0D12EF15"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$199,360 ($70/</w:t>
            </w:r>
            <w:proofErr w:type="spellStart"/>
            <w:r w:rsidRPr="00515603">
              <w:rPr>
                <w:rFonts w:ascii="Times New Roman" w:hAnsi="Times New Roman" w:cs="Times New Roman"/>
                <w:sz w:val="24"/>
                <w:szCs w:val="24"/>
              </w:rPr>
              <w:t>hr</w:t>
            </w:r>
            <w:proofErr w:type="spellEnd"/>
            <w:r w:rsidRPr="00515603">
              <w:rPr>
                <w:rFonts w:ascii="Times New Roman" w:hAnsi="Times New Roman" w:cs="Times New Roman"/>
                <w:sz w:val="24"/>
                <w:szCs w:val="24"/>
              </w:rPr>
              <w:t>)</w:t>
            </w:r>
          </w:p>
        </w:tc>
      </w:tr>
      <w:tr w:rsidR="00515603" w:rsidRPr="00515603" w14:paraId="29A476DA" w14:textId="77777777" w:rsidTr="001541CE">
        <w:trPr>
          <w:cantSplit/>
          <w:trHeight w:val="701"/>
        </w:trPr>
        <w:tc>
          <w:tcPr>
            <w:tcW w:w="1025" w:type="pct"/>
          </w:tcPr>
          <w:p w14:paraId="5C0E1A50" w14:textId="52DD7426" w:rsidR="00515603" w:rsidRPr="00515603" w:rsidRDefault="00515603" w:rsidP="00510863">
            <w:pPr>
              <w:spacing w:after="0"/>
              <w:rPr>
                <w:rFonts w:ascii="Times New Roman" w:hAnsi="Times New Roman" w:cs="Times New Roman"/>
                <w:sz w:val="24"/>
                <w:szCs w:val="24"/>
              </w:rPr>
            </w:pPr>
            <w:r w:rsidRPr="00515603">
              <w:rPr>
                <w:rFonts w:ascii="Times New Roman" w:hAnsi="Times New Roman" w:cs="Times New Roman"/>
                <w:sz w:val="24"/>
                <w:szCs w:val="24"/>
              </w:rPr>
              <w:t>Evidence Retention</w:t>
            </w:r>
          </w:p>
        </w:tc>
        <w:tc>
          <w:tcPr>
            <w:tcW w:w="934" w:type="pct"/>
          </w:tcPr>
          <w:p w14:paraId="24144CBA"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543</w:t>
            </w:r>
          </w:p>
          <w:p w14:paraId="39D030FF"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GO and TP</w:t>
            </w:r>
          </w:p>
        </w:tc>
        <w:tc>
          <w:tcPr>
            <w:tcW w:w="793" w:type="pct"/>
          </w:tcPr>
          <w:p w14:paraId="02F46DAC"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1</w:t>
            </w:r>
          </w:p>
        </w:tc>
        <w:tc>
          <w:tcPr>
            <w:tcW w:w="651" w:type="pct"/>
          </w:tcPr>
          <w:p w14:paraId="76201A73"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1</w:t>
            </w:r>
          </w:p>
        </w:tc>
        <w:tc>
          <w:tcPr>
            <w:tcW w:w="718" w:type="pct"/>
          </w:tcPr>
          <w:p w14:paraId="48A3AC1C"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543</w:t>
            </w:r>
          </w:p>
        </w:tc>
        <w:tc>
          <w:tcPr>
            <w:tcW w:w="879" w:type="pct"/>
          </w:tcPr>
          <w:p w14:paraId="4A0E822B"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$15,204 ($28/</w:t>
            </w:r>
            <w:proofErr w:type="spellStart"/>
            <w:r w:rsidRPr="00515603">
              <w:rPr>
                <w:rFonts w:ascii="Times New Roman" w:hAnsi="Times New Roman" w:cs="Times New Roman"/>
                <w:sz w:val="24"/>
                <w:szCs w:val="24"/>
              </w:rPr>
              <w:t>hr</w:t>
            </w:r>
            <w:proofErr w:type="spellEnd"/>
            <w:r w:rsidRPr="00515603">
              <w:rPr>
                <w:rFonts w:ascii="Times New Roman" w:hAnsi="Times New Roman" w:cs="Times New Roman"/>
                <w:sz w:val="24"/>
                <w:szCs w:val="24"/>
              </w:rPr>
              <w:t>)</w:t>
            </w:r>
          </w:p>
        </w:tc>
      </w:tr>
      <w:tr w:rsidR="00515603" w:rsidRPr="00515603" w14:paraId="42FD347E" w14:textId="77777777" w:rsidTr="001541CE">
        <w:trPr>
          <w:cantSplit/>
          <w:trHeight w:val="224"/>
        </w:trPr>
        <w:tc>
          <w:tcPr>
            <w:tcW w:w="1025" w:type="pct"/>
          </w:tcPr>
          <w:p w14:paraId="25704AC2"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TOTAL</w:t>
            </w:r>
          </w:p>
        </w:tc>
        <w:tc>
          <w:tcPr>
            <w:tcW w:w="2377" w:type="pct"/>
            <w:gridSpan w:val="3"/>
            <w:shd w:val="clear" w:color="auto" w:fill="D9D9D9" w:themeFill="background1" w:themeFillShade="D9"/>
          </w:tcPr>
          <w:p w14:paraId="5FF0CBD7" w14:textId="77777777" w:rsidR="00515603" w:rsidRPr="00515603" w:rsidRDefault="00515603" w:rsidP="00515603">
            <w:pPr>
              <w:spacing w:after="0"/>
              <w:rPr>
                <w:rFonts w:ascii="Times New Roman" w:hAnsi="Times New Roman" w:cs="Times New Roman"/>
                <w:sz w:val="24"/>
                <w:szCs w:val="24"/>
              </w:rPr>
            </w:pPr>
          </w:p>
        </w:tc>
        <w:tc>
          <w:tcPr>
            <w:tcW w:w="718" w:type="pct"/>
          </w:tcPr>
          <w:p w14:paraId="33C8EF5E"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7,735</w:t>
            </w:r>
          </w:p>
        </w:tc>
        <w:tc>
          <w:tcPr>
            <w:tcW w:w="879" w:type="pct"/>
          </w:tcPr>
          <w:p w14:paraId="3E93B114" w14:textId="77777777" w:rsidR="00515603" w:rsidRPr="00515603" w:rsidRDefault="00515603" w:rsidP="00515603">
            <w:pPr>
              <w:spacing w:after="0"/>
              <w:rPr>
                <w:rFonts w:ascii="Times New Roman" w:hAnsi="Times New Roman" w:cs="Times New Roman"/>
                <w:sz w:val="24"/>
                <w:szCs w:val="24"/>
              </w:rPr>
            </w:pPr>
            <w:r w:rsidRPr="00515603">
              <w:rPr>
                <w:rFonts w:ascii="Times New Roman" w:hAnsi="Times New Roman" w:cs="Times New Roman"/>
                <w:sz w:val="24"/>
                <w:szCs w:val="24"/>
              </w:rPr>
              <w:t>$467,380</w:t>
            </w:r>
          </w:p>
        </w:tc>
      </w:tr>
    </w:tbl>
    <w:p w14:paraId="1CBA7DD9" w14:textId="77777777" w:rsidR="00515603" w:rsidRDefault="00515603" w:rsidP="00687339">
      <w:pPr>
        <w:spacing w:after="0"/>
        <w:rPr>
          <w:rFonts w:ascii="Times New Roman" w:hAnsi="Times New Roman" w:cs="Times New Roman"/>
          <w:sz w:val="24"/>
          <w:szCs w:val="24"/>
        </w:rPr>
      </w:pPr>
    </w:p>
    <w:p w14:paraId="397ABD55" w14:textId="77777777" w:rsidR="00515603" w:rsidRDefault="00515603" w:rsidP="00687339">
      <w:pPr>
        <w:spacing w:after="0"/>
        <w:rPr>
          <w:rFonts w:ascii="Times New Roman" w:hAnsi="Times New Roman" w:cs="Times New Roman"/>
          <w:sz w:val="24"/>
          <w:szCs w:val="24"/>
        </w:rPr>
      </w:pPr>
    </w:p>
    <w:p w14:paraId="3366A0A1" w14:textId="3014EEA1" w:rsidR="00687339" w:rsidRPr="00687339" w:rsidRDefault="00687339" w:rsidP="00687339">
      <w:pPr>
        <w:spacing w:after="0"/>
        <w:rPr>
          <w:rFonts w:ascii="Times New Roman" w:hAnsi="Times New Roman" w:cs="Times New Roman"/>
          <w:sz w:val="24"/>
          <w:szCs w:val="24"/>
        </w:rPr>
      </w:pPr>
      <w:r>
        <w:rPr>
          <w:rFonts w:ascii="Times New Roman" w:hAnsi="Times New Roman" w:cs="Times New Roman"/>
          <w:sz w:val="24"/>
          <w:szCs w:val="24"/>
        </w:rPr>
        <w:t xml:space="preserve">The additional burden </w:t>
      </w:r>
      <w:r w:rsidR="00896F4D">
        <w:rPr>
          <w:rFonts w:ascii="Times New Roman" w:hAnsi="Times New Roman" w:cs="Times New Roman"/>
          <w:sz w:val="24"/>
          <w:szCs w:val="24"/>
        </w:rPr>
        <w:t>proposed in this package is detailed in response to number 15 below.</w:t>
      </w:r>
    </w:p>
    <w:p w14:paraId="72BBD2B7" w14:textId="77777777" w:rsidR="00D55CF0" w:rsidRPr="00D80FBD" w:rsidRDefault="00D55CF0" w:rsidP="00D80FBD">
      <w:pPr>
        <w:spacing w:after="0"/>
        <w:rPr>
          <w:rFonts w:ascii="Times New Roman" w:hAnsi="Times New Roman" w:cs="Times New Roman"/>
          <w:sz w:val="24"/>
          <w:szCs w:val="24"/>
        </w:rPr>
      </w:pPr>
    </w:p>
    <w:p w14:paraId="2FFC982F" w14:textId="77777777" w:rsidR="00D80FBD" w:rsidRPr="00414F32" w:rsidRDefault="00E636D7"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14:paraId="2FFC9830" w14:textId="77777777" w:rsidR="00E636D7" w:rsidRDefault="00E636D7" w:rsidP="00E636D7">
      <w:pPr>
        <w:spacing w:after="0"/>
        <w:rPr>
          <w:rFonts w:ascii="Times New Roman" w:hAnsi="Times New Roman" w:cs="Times New Roman"/>
          <w:sz w:val="24"/>
          <w:szCs w:val="24"/>
        </w:rPr>
      </w:pPr>
    </w:p>
    <w:p w14:paraId="1CEFD131" w14:textId="3C70210A" w:rsidR="00BB0444" w:rsidRDefault="00533DA9" w:rsidP="00BB0444">
      <w:pPr>
        <w:spacing w:after="0"/>
        <w:rPr>
          <w:rFonts w:ascii="Times New Roman" w:hAnsi="Times New Roman" w:cs="Times New Roman"/>
          <w:sz w:val="24"/>
          <w:szCs w:val="24"/>
        </w:rPr>
      </w:pPr>
      <w:r>
        <w:rPr>
          <w:rFonts w:ascii="Times New Roman" w:hAnsi="Times New Roman" w:cs="Times New Roman"/>
          <w:sz w:val="24"/>
          <w:szCs w:val="24"/>
        </w:rPr>
        <w:lastRenderedPageBreak/>
        <w:t>For the order in RD14-5, all of the PRA-related industry costs relate to burden hours.  Commission staff addressed these costs in Question #15.  There are no PRA-related capital or start-up costs</w:t>
      </w:r>
      <w:r w:rsidR="0033266C">
        <w:rPr>
          <w:rFonts w:ascii="Times New Roman" w:hAnsi="Times New Roman" w:cs="Times New Roman"/>
          <w:sz w:val="24"/>
          <w:szCs w:val="24"/>
        </w:rPr>
        <w:t>, other than costs associated with burden hours</w:t>
      </w:r>
      <w:r w:rsidR="00BB0444" w:rsidRPr="008918DD">
        <w:rPr>
          <w:rFonts w:ascii="Times New Roman" w:hAnsi="Times New Roman" w:cs="Times New Roman"/>
          <w:sz w:val="24"/>
          <w:szCs w:val="24"/>
        </w:rPr>
        <w:t xml:space="preserve">. </w:t>
      </w:r>
    </w:p>
    <w:p w14:paraId="373902FE" w14:textId="77777777" w:rsidR="00BB0444" w:rsidRDefault="00BB0444" w:rsidP="00BB0444">
      <w:pPr>
        <w:spacing w:after="0"/>
        <w:rPr>
          <w:rFonts w:ascii="Times New Roman" w:hAnsi="Times New Roman" w:cs="Times New Roman"/>
          <w:sz w:val="24"/>
          <w:szCs w:val="24"/>
        </w:rPr>
      </w:pPr>
    </w:p>
    <w:p w14:paraId="21349AF9" w14:textId="34D262B2" w:rsidR="00BB0444" w:rsidRDefault="00BB0444" w:rsidP="00BB0444">
      <w:pPr>
        <w:spacing w:after="0"/>
        <w:rPr>
          <w:rFonts w:ascii="Times New Roman" w:hAnsi="Times New Roman" w:cs="Times New Roman"/>
          <w:sz w:val="24"/>
          <w:szCs w:val="24"/>
        </w:rPr>
      </w:pPr>
      <w:r>
        <w:rPr>
          <w:rFonts w:ascii="Times New Roman" w:hAnsi="Times New Roman" w:cs="Times New Roman"/>
          <w:sz w:val="24"/>
          <w:szCs w:val="24"/>
        </w:rPr>
        <w:t>Total Capital and Start-up cost: $0</w:t>
      </w:r>
    </w:p>
    <w:p w14:paraId="7A2A0DFB" w14:textId="77777777" w:rsidR="00BB0444" w:rsidRDefault="00BB0444" w:rsidP="00BB0444">
      <w:pPr>
        <w:spacing w:after="0"/>
        <w:rPr>
          <w:rFonts w:ascii="Times New Roman" w:hAnsi="Times New Roman" w:cs="Times New Roman"/>
          <w:sz w:val="24"/>
          <w:szCs w:val="24"/>
        </w:rPr>
      </w:pPr>
      <w:r>
        <w:rPr>
          <w:rFonts w:ascii="Times New Roman" w:hAnsi="Times New Roman" w:cs="Times New Roman"/>
          <w:sz w:val="24"/>
          <w:szCs w:val="24"/>
        </w:rPr>
        <w:t>Total Operation, Maintenance, and Purchase of Services: $0</w:t>
      </w:r>
    </w:p>
    <w:p w14:paraId="2FFC9831" w14:textId="3A6759FC" w:rsidR="00E636D7" w:rsidRPr="00E636D7" w:rsidRDefault="00E636D7" w:rsidP="00E636D7">
      <w:pPr>
        <w:spacing w:after="0"/>
        <w:rPr>
          <w:rFonts w:ascii="Times New Roman" w:hAnsi="Times New Roman" w:cs="Times New Roman"/>
          <w:sz w:val="24"/>
          <w:szCs w:val="24"/>
        </w:rPr>
      </w:pPr>
    </w:p>
    <w:p w14:paraId="2FFC9832" w14:textId="77777777" w:rsidR="00E636D7"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14:paraId="00120DD8" w14:textId="77777777" w:rsidR="009B0642" w:rsidRDefault="009B0642" w:rsidP="00A276F5">
      <w:pPr>
        <w:spacing w:after="0"/>
        <w:rPr>
          <w:rFonts w:ascii="Times New Roman" w:hAnsi="Times New Roman" w:cs="Times New Roman"/>
          <w:sz w:val="24"/>
          <w:szCs w:val="24"/>
        </w:rPr>
      </w:pPr>
    </w:p>
    <w:p w14:paraId="0883ADE2" w14:textId="19590291" w:rsidR="00037D84" w:rsidRDefault="00037D84" w:rsidP="00A276F5">
      <w:pPr>
        <w:spacing w:after="0"/>
        <w:rPr>
          <w:rFonts w:ascii="Times New Roman" w:hAnsi="Times New Roman" w:cs="Times New Roman"/>
          <w:sz w:val="24"/>
          <w:szCs w:val="24"/>
        </w:rPr>
      </w:pPr>
      <w:r>
        <w:rPr>
          <w:rFonts w:ascii="Times New Roman" w:hAnsi="Times New Roman" w:cs="Times New Roman"/>
          <w:sz w:val="24"/>
          <w:szCs w:val="24"/>
        </w:rPr>
        <w:t>The following table shows the cost imposed on the Federal Government.</w:t>
      </w:r>
    </w:p>
    <w:p w14:paraId="142FCACC" w14:textId="77777777" w:rsidR="00037D84" w:rsidRDefault="00037D84" w:rsidP="00A276F5">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BB0444" w:rsidRPr="00A276F5" w14:paraId="1608D69A" w14:textId="77777777" w:rsidTr="009814D7">
        <w:tc>
          <w:tcPr>
            <w:tcW w:w="3182" w:type="dxa"/>
            <w:shd w:val="clear" w:color="auto" w:fill="CCCCCC"/>
          </w:tcPr>
          <w:p w14:paraId="1EC9490E" w14:textId="52EF7E04" w:rsidR="00BB0444" w:rsidRPr="00355D34" w:rsidRDefault="00BB0444" w:rsidP="009814D7">
            <w:pPr>
              <w:spacing w:after="0" w:line="240" w:lineRule="auto"/>
              <w:rPr>
                <w:rFonts w:ascii="Times New Roman" w:hAnsi="Times New Roman" w:cs="Times New Roman"/>
                <w:b/>
                <w:sz w:val="24"/>
                <w:szCs w:val="24"/>
              </w:rPr>
            </w:pPr>
            <w:r>
              <w:rPr>
                <w:rFonts w:ascii="Times New Roman" w:hAnsi="Times New Roman" w:cs="Times New Roman"/>
                <w:b/>
                <w:sz w:val="24"/>
                <w:szCs w:val="24"/>
              </w:rPr>
              <w:t>FERC-725L</w:t>
            </w:r>
          </w:p>
        </w:tc>
        <w:tc>
          <w:tcPr>
            <w:tcW w:w="3201" w:type="dxa"/>
            <w:shd w:val="clear" w:color="auto" w:fill="CCCCCC"/>
          </w:tcPr>
          <w:p w14:paraId="2B045F80" w14:textId="77777777" w:rsidR="00BB0444" w:rsidRPr="00A276F5" w:rsidRDefault="00BB0444" w:rsidP="009814D7">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Number of Employees (FTEs)</w:t>
            </w:r>
            <w:r>
              <w:rPr>
                <w:rFonts w:ascii="Times New Roman" w:hAnsi="Times New Roman" w:cs="Times New Roman"/>
                <w:b/>
                <w:sz w:val="24"/>
                <w:szCs w:val="24"/>
              </w:rPr>
              <w:t xml:space="preserve"> or Number of Hours</w:t>
            </w:r>
          </w:p>
        </w:tc>
        <w:tc>
          <w:tcPr>
            <w:tcW w:w="2995" w:type="dxa"/>
            <w:shd w:val="clear" w:color="auto" w:fill="CCCCCC"/>
          </w:tcPr>
          <w:p w14:paraId="61D07AEE" w14:textId="77777777" w:rsidR="00BB0444" w:rsidRPr="00A276F5" w:rsidRDefault="00BB0444" w:rsidP="009814D7">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Estimated Annual Federal Cost</w:t>
            </w:r>
          </w:p>
        </w:tc>
      </w:tr>
      <w:tr w:rsidR="00BB0444" w:rsidRPr="00A276F5" w14:paraId="6E6A7BE8" w14:textId="77777777" w:rsidTr="009814D7">
        <w:tc>
          <w:tcPr>
            <w:tcW w:w="3182" w:type="dxa"/>
            <w:shd w:val="clear" w:color="auto" w:fill="auto"/>
          </w:tcPr>
          <w:p w14:paraId="6C1D9920" w14:textId="77777777" w:rsidR="00BB0444" w:rsidRPr="00A276F5" w:rsidRDefault="00BB0444" w:rsidP="009814D7">
            <w:pPr>
              <w:spacing w:after="0" w:line="240" w:lineRule="auto"/>
              <w:rPr>
                <w:rFonts w:ascii="Times New Roman" w:hAnsi="Times New Roman" w:cs="Times New Roman"/>
                <w:sz w:val="24"/>
                <w:szCs w:val="24"/>
              </w:rPr>
            </w:pPr>
            <w:r w:rsidRPr="00A276F5">
              <w:rPr>
                <w:rFonts w:ascii="Times New Roman" w:hAnsi="Times New Roman" w:cs="Times New Roman"/>
                <w:sz w:val="24"/>
                <w:szCs w:val="24"/>
              </w:rPr>
              <w:t>Analysis and Processing of filings</w:t>
            </w:r>
          </w:p>
        </w:tc>
        <w:tc>
          <w:tcPr>
            <w:tcW w:w="3201" w:type="dxa"/>
            <w:tcBorders>
              <w:bottom w:val="single" w:sz="4" w:space="0" w:color="auto"/>
            </w:tcBorders>
            <w:shd w:val="clear" w:color="auto" w:fill="auto"/>
            <w:vAlign w:val="center"/>
          </w:tcPr>
          <w:p w14:paraId="46884FE5" w14:textId="77777777" w:rsidR="00BB0444" w:rsidRPr="00A276F5" w:rsidRDefault="00BB0444" w:rsidP="009814D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2995" w:type="dxa"/>
            <w:shd w:val="clear" w:color="auto" w:fill="auto"/>
            <w:vAlign w:val="center"/>
          </w:tcPr>
          <w:p w14:paraId="766DD3FD" w14:textId="77777777" w:rsidR="00BB0444" w:rsidRPr="00A276F5" w:rsidRDefault="00BB0444" w:rsidP="009814D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BB0444" w:rsidRPr="00A276F5" w14:paraId="2A4FC6D7" w14:textId="77777777" w:rsidTr="009814D7">
        <w:tc>
          <w:tcPr>
            <w:tcW w:w="3182" w:type="dxa"/>
            <w:shd w:val="clear" w:color="auto" w:fill="auto"/>
          </w:tcPr>
          <w:p w14:paraId="06205BCF" w14:textId="2E1358A7" w:rsidR="00BB0444" w:rsidRPr="00A276F5" w:rsidRDefault="00BB0444" w:rsidP="009B0642">
            <w:pPr>
              <w:spacing w:after="0" w:line="240" w:lineRule="auto"/>
              <w:rPr>
                <w:rFonts w:ascii="Times New Roman" w:hAnsi="Times New Roman" w:cs="Times New Roman"/>
                <w:sz w:val="24"/>
                <w:szCs w:val="24"/>
              </w:rPr>
            </w:pPr>
            <w:r>
              <w:rPr>
                <w:rFonts w:ascii="Times New Roman" w:hAnsi="Times New Roman" w:cs="Times New Roman"/>
                <w:sz w:val="24"/>
                <w:szCs w:val="24"/>
              </w:rPr>
              <w:t>Paperwork Reduction Act Administrative Cost</w:t>
            </w:r>
            <w:r w:rsidR="00896F4D" w:rsidRPr="00896F4D">
              <w:rPr>
                <w:rStyle w:val="FootnoteReference"/>
                <w:rFonts w:ascii="Times New Roman" w:hAnsi="Times New Roman" w:cs="Times New Roman"/>
                <w:sz w:val="24"/>
                <w:szCs w:val="24"/>
                <w:vertAlign w:val="superscript"/>
              </w:rPr>
              <w:footnoteReference w:id="21"/>
            </w:r>
          </w:p>
        </w:tc>
        <w:tc>
          <w:tcPr>
            <w:tcW w:w="3201" w:type="dxa"/>
            <w:vMerge w:val="restart"/>
            <w:shd w:val="clear" w:color="auto" w:fill="D9D9D9" w:themeFill="background1" w:themeFillShade="D9"/>
            <w:vAlign w:val="center"/>
          </w:tcPr>
          <w:p w14:paraId="226ED6AA" w14:textId="77777777" w:rsidR="00BB0444" w:rsidRPr="00A276F5" w:rsidRDefault="00BB0444" w:rsidP="009814D7">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112DEFA8" w14:textId="7C4DD7D4" w:rsidR="00BB0444" w:rsidRPr="00A276F5" w:rsidRDefault="00D74F69" w:rsidP="009814D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$5,092</w:t>
            </w:r>
          </w:p>
        </w:tc>
      </w:tr>
      <w:tr w:rsidR="00BB0444" w:rsidRPr="00A276F5" w14:paraId="4BF83708" w14:textId="77777777" w:rsidTr="009814D7">
        <w:tc>
          <w:tcPr>
            <w:tcW w:w="3182" w:type="dxa"/>
            <w:shd w:val="clear" w:color="auto" w:fill="auto"/>
          </w:tcPr>
          <w:p w14:paraId="518BF288" w14:textId="77777777" w:rsidR="00BB0444" w:rsidRPr="00A276F5" w:rsidRDefault="00BB0444" w:rsidP="009814D7">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FERC Total</w:t>
            </w:r>
          </w:p>
        </w:tc>
        <w:tc>
          <w:tcPr>
            <w:tcW w:w="3201" w:type="dxa"/>
            <w:vMerge/>
            <w:shd w:val="clear" w:color="auto" w:fill="D9D9D9" w:themeFill="background1" w:themeFillShade="D9"/>
            <w:vAlign w:val="center"/>
          </w:tcPr>
          <w:p w14:paraId="00E42FBD" w14:textId="77777777" w:rsidR="00BB0444" w:rsidRPr="00A276F5" w:rsidRDefault="00BB0444" w:rsidP="009814D7">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4D082174" w14:textId="39FAB41A" w:rsidR="00BB0444" w:rsidRPr="00A276F5" w:rsidRDefault="009B0642" w:rsidP="009814D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345458">
              <w:rPr>
                <w:rFonts w:ascii="Times New Roman" w:hAnsi="Times New Roman" w:cs="Times New Roman"/>
                <w:sz w:val="24"/>
                <w:szCs w:val="24"/>
              </w:rPr>
              <w:t>5,</w:t>
            </w:r>
            <w:r>
              <w:rPr>
                <w:rFonts w:ascii="Times New Roman" w:hAnsi="Times New Roman" w:cs="Times New Roman"/>
                <w:sz w:val="24"/>
                <w:szCs w:val="24"/>
              </w:rPr>
              <w:t>0</w:t>
            </w:r>
            <w:r w:rsidR="00345458">
              <w:rPr>
                <w:rFonts w:ascii="Times New Roman" w:hAnsi="Times New Roman" w:cs="Times New Roman"/>
                <w:sz w:val="24"/>
                <w:szCs w:val="24"/>
              </w:rPr>
              <w:t>92</w:t>
            </w:r>
          </w:p>
        </w:tc>
      </w:tr>
    </w:tbl>
    <w:p w14:paraId="2FFC9835" w14:textId="77777777" w:rsidR="00A276F5" w:rsidRPr="00A276F5" w:rsidRDefault="00A276F5" w:rsidP="00A276F5">
      <w:pPr>
        <w:spacing w:after="0"/>
        <w:rPr>
          <w:rFonts w:ascii="Times New Roman" w:hAnsi="Times New Roman" w:cs="Times New Roman"/>
          <w:sz w:val="24"/>
          <w:szCs w:val="24"/>
        </w:rPr>
      </w:pPr>
    </w:p>
    <w:p w14:paraId="2FFC9836" w14:textId="77777777" w:rsidR="00A276F5"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14:paraId="2FFC9837" w14:textId="77777777" w:rsidR="00A276F5" w:rsidRDefault="00A276F5" w:rsidP="00A276F5">
      <w:pPr>
        <w:spacing w:after="0"/>
        <w:rPr>
          <w:rFonts w:ascii="Times New Roman" w:hAnsi="Times New Roman" w:cs="Times New Roman"/>
          <w:sz w:val="24"/>
          <w:szCs w:val="24"/>
        </w:rPr>
      </w:pPr>
    </w:p>
    <w:p w14:paraId="4A456B62" w14:textId="77777777" w:rsidR="000F55A8" w:rsidRDefault="00BB74FF" w:rsidP="00D55CF0">
      <w:pPr>
        <w:spacing w:after="0"/>
        <w:rPr>
          <w:rFonts w:ascii="Times New Roman" w:hAnsi="Times New Roman" w:cs="Times New Roman"/>
          <w:sz w:val="24"/>
          <w:szCs w:val="24"/>
        </w:rPr>
      </w:pPr>
      <w:r w:rsidRPr="00BB74FF">
        <w:rPr>
          <w:rFonts w:ascii="Times New Roman" w:hAnsi="Times New Roman" w:cs="Times New Roman"/>
          <w:sz w:val="24"/>
          <w:szCs w:val="24"/>
        </w:rPr>
        <w:t>The number of respondents is based on the NERC Registry as of April 30, 2014.</w:t>
      </w:r>
      <w:r w:rsidR="00D55CF0" w:rsidRPr="00B255DB">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1DD32BC" w14:textId="77777777" w:rsidR="000F55A8" w:rsidRDefault="000F55A8" w:rsidP="00D55CF0">
      <w:pPr>
        <w:spacing w:after="0"/>
        <w:rPr>
          <w:rFonts w:ascii="Times New Roman" w:hAnsi="Times New Roman" w:cs="Times New Roman"/>
          <w:sz w:val="24"/>
          <w:szCs w:val="24"/>
        </w:rPr>
      </w:pPr>
    </w:p>
    <w:p w14:paraId="6D85C2D0" w14:textId="3F8FA4B7" w:rsidR="004B3B78" w:rsidRPr="00AE619D" w:rsidRDefault="004B3B78" w:rsidP="00D55CF0">
      <w:pPr>
        <w:spacing w:after="0"/>
        <w:rPr>
          <w:rFonts w:ascii="Times New Roman" w:hAnsi="Times New Roman" w:cs="Times New Roman"/>
          <w:b/>
          <w:sz w:val="24"/>
          <w:szCs w:val="24"/>
        </w:rPr>
      </w:pPr>
      <w:r w:rsidRPr="00AE619D">
        <w:rPr>
          <w:rFonts w:ascii="Times New Roman" w:hAnsi="Times New Roman" w:cs="Times New Roman"/>
          <w:b/>
          <w:sz w:val="24"/>
          <w:szCs w:val="24"/>
        </w:rPr>
        <w:t>MOD-032-1 Burden Table</w:t>
      </w:r>
    </w:p>
    <w:p w14:paraId="16A0D05B" w14:textId="33558A23" w:rsidR="000F55A8" w:rsidRDefault="000F55A8" w:rsidP="00D55CF0">
      <w:pPr>
        <w:spacing w:after="0"/>
        <w:rPr>
          <w:rFonts w:ascii="Times New Roman" w:hAnsi="Times New Roman" w:cs="Times New Roman"/>
          <w:sz w:val="24"/>
          <w:szCs w:val="24"/>
        </w:rPr>
      </w:pPr>
      <w:r>
        <w:rPr>
          <w:rFonts w:ascii="Times New Roman" w:hAnsi="Times New Roman" w:cs="Times New Roman"/>
          <w:sz w:val="24"/>
          <w:szCs w:val="24"/>
        </w:rPr>
        <w:t xml:space="preserve">In the first row, “Develop data requirements and reporting procedures” means that </w:t>
      </w:r>
      <w:r w:rsidR="00DB7B80">
        <w:rPr>
          <w:rFonts w:ascii="Times New Roman" w:hAnsi="Times New Roman" w:cs="Times New Roman"/>
          <w:sz w:val="24"/>
          <w:szCs w:val="24"/>
        </w:rPr>
        <w:t>Planning Authorities and Transmission Planners</w:t>
      </w:r>
      <w:r>
        <w:rPr>
          <w:rFonts w:ascii="Times New Roman" w:hAnsi="Times New Roman" w:cs="Times New Roman"/>
          <w:sz w:val="24"/>
          <w:szCs w:val="24"/>
        </w:rPr>
        <w:t xml:space="preserve"> have to develop steady-state, dynamics, and short circuit modeling data requirements and reporting procedures.  </w:t>
      </w:r>
      <w:r w:rsidR="00DB7B80">
        <w:rPr>
          <w:rFonts w:ascii="Times New Roman" w:hAnsi="Times New Roman" w:cs="Times New Roman"/>
          <w:sz w:val="24"/>
          <w:szCs w:val="24"/>
        </w:rPr>
        <w:t xml:space="preserve">Certain data is required as listed in attachment 1 of Reliability Standard MOD-032-1. </w:t>
      </w:r>
    </w:p>
    <w:p w14:paraId="2A4A6F15" w14:textId="77777777" w:rsidR="00DB7B80" w:rsidRDefault="00DB7B80" w:rsidP="00D55CF0">
      <w:pPr>
        <w:spacing w:after="0"/>
        <w:rPr>
          <w:rFonts w:ascii="Times New Roman" w:hAnsi="Times New Roman" w:cs="Times New Roman"/>
          <w:sz w:val="24"/>
          <w:szCs w:val="24"/>
        </w:rPr>
      </w:pPr>
    </w:p>
    <w:p w14:paraId="4704B019" w14:textId="093E69CB" w:rsidR="00DB7B80" w:rsidRDefault="00DB7B80" w:rsidP="00D55CF0">
      <w:pPr>
        <w:spacing w:after="0"/>
        <w:rPr>
          <w:rFonts w:ascii="Times New Roman" w:hAnsi="Times New Roman" w:cs="Times New Roman"/>
          <w:sz w:val="24"/>
          <w:szCs w:val="24"/>
        </w:rPr>
      </w:pPr>
      <w:r>
        <w:rPr>
          <w:rFonts w:ascii="Times New Roman" w:hAnsi="Times New Roman" w:cs="Times New Roman"/>
          <w:sz w:val="24"/>
          <w:szCs w:val="24"/>
        </w:rPr>
        <w:t xml:space="preserve">In the second row, “Data Submittal” means that certain entities have to submit the data as described in the previous paragraph to the Planning Authorities. </w:t>
      </w:r>
    </w:p>
    <w:p w14:paraId="42F7EA79" w14:textId="77777777" w:rsidR="006C0D4C" w:rsidRDefault="006C0D4C" w:rsidP="00D55CF0">
      <w:pPr>
        <w:spacing w:after="0"/>
        <w:rPr>
          <w:rFonts w:ascii="Times New Roman" w:hAnsi="Times New Roman" w:cs="Times New Roman"/>
          <w:sz w:val="24"/>
          <w:szCs w:val="24"/>
        </w:rPr>
      </w:pPr>
    </w:p>
    <w:p w14:paraId="0B1C6D97" w14:textId="77777777" w:rsidR="006C0D4C" w:rsidRDefault="006C0D4C" w:rsidP="00D55CF0">
      <w:pPr>
        <w:spacing w:after="0"/>
        <w:rPr>
          <w:rFonts w:ascii="Times New Roman" w:hAnsi="Times New Roman" w:cs="Times New Roman"/>
          <w:sz w:val="24"/>
          <w:szCs w:val="24"/>
        </w:rPr>
      </w:pPr>
      <w:r>
        <w:rPr>
          <w:rFonts w:ascii="Times New Roman" w:hAnsi="Times New Roman" w:cs="Times New Roman"/>
          <w:sz w:val="24"/>
          <w:szCs w:val="24"/>
        </w:rPr>
        <w:t xml:space="preserve">In the third row, “Evidence Retention” refers to the fact that each entity is required to maintain evidence that it complied with the requirements of the standard.  </w:t>
      </w:r>
    </w:p>
    <w:p w14:paraId="0A3AF8EA" w14:textId="77777777" w:rsidR="004B3B78" w:rsidRDefault="004B3B78" w:rsidP="00D55CF0">
      <w:pPr>
        <w:spacing w:after="0"/>
        <w:rPr>
          <w:rFonts w:ascii="Times New Roman" w:hAnsi="Times New Roman" w:cs="Times New Roman"/>
          <w:sz w:val="24"/>
          <w:szCs w:val="24"/>
        </w:rPr>
      </w:pPr>
    </w:p>
    <w:p w14:paraId="5CA4EA55" w14:textId="3DBEACB9" w:rsidR="004B3B78" w:rsidRPr="00AE619D" w:rsidRDefault="004B3B78" w:rsidP="00D55CF0">
      <w:pPr>
        <w:spacing w:after="0"/>
        <w:rPr>
          <w:rFonts w:ascii="Times New Roman" w:hAnsi="Times New Roman" w:cs="Times New Roman"/>
          <w:b/>
          <w:sz w:val="24"/>
          <w:szCs w:val="24"/>
        </w:rPr>
      </w:pPr>
      <w:r>
        <w:rPr>
          <w:rFonts w:ascii="Times New Roman" w:hAnsi="Times New Roman" w:cs="Times New Roman"/>
          <w:b/>
          <w:sz w:val="24"/>
          <w:szCs w:val="24"/>
        </w:rPr>
        <w:t>MOD-033-1 Burden Table</w:t>
      </w:r>
    </w:p>
    <w:p w14:paraId="2C9752EA" w14:textId="67E89027" w:rsidR="004B3B78" w:rsidRDefault="006C0D4C" w:rsidP="00D55CF0">
      <w:pPr>
        <w:spacing w:after="0"/>
        <w:rPr>
          <w:rFonts w:ascii="Times New Roman" w:hAnsi="Times New Roman" w:cs="Times New Roman"/>
          <w:sz w:val="24"/>
          <w:szCs w:val="24"/>
        </w:rPr>
      </w:pPr>
      <w:r>
        <w:rPr>
          <w:rFonts w:ascii="Times New Roman" w:hAnsi="Times New Roman" w:cs="Times New Roman"/>
          <w:sz w:val="24"/>
          <w:szCs w:val="24"/>
        </w:rPr>
        <w:t xml:space="preserve">In the first row of the table for </w:t>
      </w:r>
      <w:r w:rsidR="00F16BF3">
        <w:rPr>
          <w:rFonts w:ascii="Times New Roman" w:hAnsi="Times New Roman" w:cs="Times New Roman"/>
          <w:sz w:val="24"/>
          <w:szCs w:val="24"/>
        </w:rPr>
        <w:t xml:space="preserve">Reliability Standard </w:t>
      </w:r>
      <w:r>
        <w:rPr>
          <w:rFonts w:ascii="Times New Roman" w:hAnsi="Times New Roman" w:cs="Times New Roman"/>
          <w:sz w:val="24"/>
          <w:szCs w:val="24"/>
        </w:rPr>
        <w:t>MOD-033-1</w:t>
      </w:r>
      <w:r w:rsidR="00F16BF3">
        <w:rPr>
          <w:rFonts w:ascii="Times New Roman" w:hAnsi="Times New Roman" w:cs="Times New Roman"/>
          <w:sz w:val="24"/>
          <w:szCs w:val="24"/>
        </w:rPr>
        <w:t>, “Develop data validation procedures” refers to the Planning Authorities</w:t>
      </w:r>
      <w:r w:rsidR="00C957D3">
        <w:rPr>
          <w:rFonts w:ascii="Times New Roman" w:hAnsi="Times New Roman" w:cs="Times New Roman"/>
          <w:sz w:val="24"/>
          <w:szCs w:val="24"/>
        </w:rPr>
        <w:t>’</w:t>
      </w:r>
      <w:r w:rsidR="00F16BF3">
        <w:rPr>
          <w:rFonts w:ascii="Times New Roman" w:hAnsi="Times New Roman" w:cs="Times New Roman"/>
          <w:sz w:val="24"/>
          <w:szCs w:val="24"/>
        </w:rPr>
        <w:t xml:space="preserve"> obligation to implement a data validation process that includes attributes related to comparison of</w:t>
      </w:r>
      <w:r w:rsidR="004B3B78">
        <w:rPr>
          <w:rFonts w:ascii="Times New Roman" w:hAnsi="Times New Roman" w:cs="Times New Roman"/>
          <w:sz w:val="24"/>
          <w:szCs w:val="24"/>
        </w:rPr>
        <w:t xml:space="preserve"> various models to actual system behavior.</w:t>
      </w:r>
    </w:p>
    <w:p w14:paraId="014BB344" w14:textId="77777777" w:rsidR="004B3B78" w:rsidRDefault="004B3B78" w:rsidP="00D55CF0">
      <w:pPr>
        <w:spacing w:after="0"/>
        <w:rPr>
          <w:rFonts w:ascii="Times New Roman" w:hAnsi="Times New Roman" w:cs="Times New Roman"/>
          <w:sz w:val="24"/>
          <w:szCs w:val="24"/>
        </w:rPr>
      </w:pPr>
    </w:p>
    <w:p w14:paraId="1DAD9774" w14:textId="5C9FBC29" w:rsidR="006C0D4C" w:rsidRDefault="004B3B78" w:rsidP="00D55CF0">
      <w:pPr>
        <w:spacing w:after="0"/>
        <w:rPr>
          <w:rFonts w:ascii="Times New Roman" w:hAnsi="Times New Roman" w:cs="Times New Roman"/>
          <w:sz w:val="24"/>
          <w:szCs w:val="24"/>
        </w:rPr>
      </w:pPr>
      <w:r>
        <w:rPr>
          <w:rFonts w:ascii="Times New Roman" w:hAnsi="Times New Roman" w:cs="Times New Roman"/>
          <w:sz w:val="24"/>
          <w:szCs w:val="24"/>
        </w:rPr>
        <w:t xml:space="preserve">In the second row, “Data Submittal” refers to the actual system behavior that Reliability Coordinators and Transmission Operators provide to Planning Authorities to complete the data validation process. </w:t>
      </w:r>
    </w:p>
    <w:p w14:paraId="46C8149C" w14:textId="77777777" w:rsidR="00747AE2" w:rsidRDefault="00747AE2" w:rsidP="00D55CF0">
      <w:pPr>
        <w:spacing w:after="0"/>
        <w:rPr>
          <w:rFonts w:ascii="Times New Roman" w:hAnsi="Times New Roman" w:cs="Times New Roman"/>
          <w:sz w:val="24"/>
          <w:szCs w:val="24"/>
        </w:rPr>
      </w:pPr>
    </w:p>
    <w:p w14:paraId="04CB9033" w14:textId="10679ABE" w:rsidR="00747AE2" w:rsidRDefault="00747AE2" w:rsidP="00747AE2">
      <w:pPr>
        <w:spacing w:after="0"/>
        <w:rPr>
          <w:rFonts w:ascii="Times New Roman" w:hAnsi="Times New Roman" w:cs="Times New Roman"/>
          <w:sz w:val="24"/>
          <w:szCs w:val="24"/>
        </w:rPr>
      </w:pPr>
      <w:r>
        <w:rPr>
          <w:rFonts w:ascii="Times New Roman" w:hAnsi="Times New Roman" w:cs="Times New Roman"/>
          <w:sz w:val="24"/>
          <w:szCs w:val="24"/>
        </w:rPr>
        <w:t xml:space="preserve">In the third row, “Evidence Retention” refers to the fact that each entity is required to maintain evidence that it complied with the requirements of the standard.  </w:t>
      </w:r>
    </w:p>
    <w:p w14:paraId="136BEEEB" w14:textId="77777777" w:rsidR="00747AE2" w:rsidRDefault="00747AE2" w:rsidP="00D55CF0">
      <w:pPr>
        <w:spacing w:after="0"/>
        <w:rPr>
          <w:rFonts w:ascii="Times New Roman" w:hAnsi="Times New Roman" w:cs="Times New Roman"/>
          <w:sz w:val="24"/>
          <w:szCs w:val="24"/>
        </w:rPr>
      </w:pPr>
    </w:p>
    <w:p w14:paraId="71A836EC" w14:textId="635174F6" w:rsidR="00747AE2" w:rsidRDefault="00747AE2" w:rsidP="00D55CF0">
      <w:pPr>
        <w:spacing w:after="0"/>
        <w:rPr>
          <w:rFonts w:ascii="Times New Roman" w:hAnsi="Times New Roman" w:cs="Times New Roman"/>
          <w:sz w:val="24"/>
          <w:szCs w:val="24"/>
        </w:rPr>
      </w:pPr>
      <w:r>
        <w:rPr>
          <w:rFonts w:ascii="Times New Roman" w:hAnsi="Times New Roman" w:cs="Times New Roman"/>
          <w:sz w:val="24"/>
          <w:szCs w:val="24"/>
        </w:rPr>
        <w:t xml:space="preserve">For both standards, the burden estimates are averages based on FERC staff’s professional experience.  </w:t>
      </w:r>
    </w:p>
    <w:p w14:paraId="4DF04C02" w14:textId="77777777" w:rsidR="000F55A8" w:rsidRDefault="000F55A8" w:rsidP="00D55CF0">
      <w:pPr>
        <w:spacing w:after="0"/>
        <w:rPr>
          <w:rFonts w:ascii="Times New Roman" w:hAnsi="Times New Roman" w:cs="Times New Roman"/>
          <w:sz w:val="24"/>
          <w:szCs w:val="24"/>
        </w:rPr>
      </w:pPr>
    </w:p>
    <w:p w14:paraId="2A9725D8" w14:textId="6435752D" w:rsidR="00D55CF0" w:rsidRPr="008B3249" w:rsidRDefault="00D55CF0" w:rsidP="00D55CF0">
      <w:pPr>
        <w:spacing w:after="0"/>
        <w:rPr>
          <w:rFonts w:ascii="Times New Roman" w:hAnsi="Times New Roman" w:cs="Times New Roman"/>
          <w:sz w:val="24"/>
          <w:szCs w:val="24"/>
        </w:rPr>
      </w:pPr>
      <w:r w:rsidRPr="00B255DB">
        <w:rPr>
          <w:rFonts w:ascii="Times New Roman" w:hAnsi="Times New Roman" w:cs="Times New Roman"/>
          <w:sz w:val="24"/>
          <w:szCs w:val="24"/>
        </w:rPr>
        <w:t xml:space="preserve">The Commission estimates the annual reporting burden and cost </w:t>
      </w:r>
      <w:r w:rsidR="00EF55E7">
        <w:rPr>
          <w:rFonts w:ascii="Times New Roman" w:hAnsi="Times New Roman" w:cs="Times New Roman"/>
          <w:sz w:val="24"/>
          <w:szCs w:val="24"/>
        </w:rPr>
        <w:t xml:space="preserve">for the changes </w:t>
      </w:r>
      <w:r w:rsidRPr="00B255DB">
        <w:rPr>
          <w:rFonts w:ascii="Times New Roman" w:hAnsi="Times New Roman" w:cs="Times New Roman"/>
          <w:sz w:val="24"/>
          <w:szCs w:val="24"/>
        </w:rPr>
        <w:t>as follows</w:t>
      </w:r>
      <w:r>
        <w:rPr>
          <w:rFonts w:ascii="Times New Roman" w:hAnsi="Times New Roman" w:cs="Times New Roman"/>
          <w:sz w:val="24"/>
          <w:szCs w:val="24"/>
        </w:rPr>
        <w:t>:</w:t>
      </w:r>
    </w:p>
    <w:p w14:paraId="039386C5" w14:textId="77777777" w:rsidR="00D55CF0" w:rsidRDefault="00D55CF0" w:rsidP="00D55CF0">
      <w:pPr>
        <w:spacing w:after="0"/>
        <w:rPr>
          <w:rFonts w:ascii="Times New Roman" w:hAnsi="Times New Roman" w:cs="Times New Roman"/>
          <w:sz w:val="24"/>
          <w:szCs w:val="24"/>
        </w:rPr>
      </w:pPr>
    </w:p>
    <w:tbl>
      <w:tblPr>
        <w:tblW w:w="503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3"/>
        <w:gridCol w:w="1802"/>
        <w:gridCol w:w="1530"/>
        <w:gridCol w:w="1256"/>
        <w:gridCol w:w="1386"/>
        <w:gridCol w:w="1702"/>
      </w:tblGrid>
      <w:tr w:rsidR="00BB74FF" w:rsidRPr="00BB74FF" w14:paraId="3EE82679" w14:textId="77777777" w:rsidTr="001541CE">
        <w:trPr>
          <w:cantSplit/>
        </w:trPr>
        <w:tc>
          <w:tcPr>
            <w:tcW w:w="5000" w:type="pct"/>
            <w:gridSpan w:val="6"/>
            <w:tcBorders>
              <w:bottom w:val="single" w:sz="4" w:space="0" w:color="auto"/>
            </w:tcBorders>
            <w:shd w:val="clear" w:color="auto" w:fill="D9D9D9"/>
          </w:tcPr>
          <w:p w14:paraId="11993DE5" w14:textId="77777777" w:rsidR="00BB74FF" w:rsidRPr="00BB74FF" w:rsidRDefault="00BB74FF" w:rsidP="00BB74FF">
            <w:pPr>
              <w:spacing w:after="0"/>
              <w:rPr>
                <w:rFonts w:ascii="Times New Roman" w:hAnsi="Times New Roman" w:cs="Times New Roman"/>
                <w:b/>
                <w:sz w:val="24"/>
                <w:szCs w:val="24"/>
              </w:rPr>
            </w:pPr>
            <w:r w:rsidRPr="00BB74FF">
              <w:rPr>
                <w:rFonts w:ascii="Times New Roman" w:hAnsi="Times New Roman" w:cs="Times New Roman"/>
                <w:b/>
                <w:sz w:val="24"/>
                <w:szCs w:val="24"/>
              </w:rPr>
              <w:t>MOD-032-1 (Data for Power System Modeling and Analysis)</w:t>
            </w:r>
          </w:p>
        </w:tc>
      </w:tr>
      <w:tr w:rsidR="00BB74FF" w:rsidRPr="00BB74FF" w14:paraId="062E7AAE" w14:textId="77777777" w:rsidTr="00BB74FF">
        <w:trPr>
          <w:cantSplit/>
        </w:trPr>
        <w:tc>
          <w:tcPr>
            <w:tcW w:w="1022" w:type="pct"/>
            <w:shd w:val="clear" w:color="auto" w:fill="D9D9D9"/>
            <w:vAlign w:val="bottom"/>
          </w:tcPr>
          <w:p w14:paraId="6B18D735" w14:textId="0E4EF616" w:rsidR="00BB74FF" w:rsidRPr="00BB74FF" w:rsidRDefault="00BB74FF" w:rsidP="003A79FC">
            <w:pPr>
              <w:spacing w:after="0"/>
              <w:jc w:val="center"/>
              <w:rPr>
                <w:rFonts w:ascii="Times New Roman" w:hAnsi="Times New Roman" w:cs="Times New Roman"/>
                <w:b/>
                <w:sz w:val="24"/>
                <w:szCs w:val="24"/>
              </w:rPr>
            </w:pPr>
            <w:r w:rsidRPr="00BB74FF">
              <w:rPr>
                <w:rFonts w:ascii="Times New Roman" w:hAnsi="Times New Roman" w:cs="Times New Roman"/>
                <w:b/>
                <w:sz w:val="24"/>
                <w:szCs w:val="24"/>
              </w:rPr>
              <w:t>FERC-725L</w:t>
            </w:r>
          </w:p>
        </w:tc>
        <w:tc>
          <w:tcPr>
            <w:tcW w:w="934" w:type="pct"/>
            <w:shd w:val="clear" w:color="auto" w:fill="D9D9D9"/>
            <w:vAlign w:val="bottom"/>
          </w:tcPr>
          <w:p w14:paraId="3304F1A2" w14:textId="77777777" w:rsidR="00BB74FF" w:rsidRPr="00BB74FF" w:rsidRDefault="00BB74FF" w:rsidP="00BB74FF">
            <w:pPr>
              <w:spacing w:after="0"/>
              <w:jc w:val="center"/>
              <w:rPr>
                <w:rFonts w:ascii="Times New Roman" w:hAnsi="Times New Roman" w:cs="Times New Roman"/>
                <w:b/>
                <w:sz w:val="24"/>
                <w:szCs w:val="24"/>
              </w:rPr>
            </w:pPr>
            <w:r w:rsidRPr="00BB74FF">
              <w:rPr>
                <w:rFonts w:ascii="Times New Roman" w:hAnsi="Times New Roman" w:cs="Times New Roman"/>
                <w:b/>
                <w:sz w:val="24"/>
                <w:szCs w:val="24"/>
              </w:rPr>
              <w:t>Number of Respondents</w:t>
            </w:r>
            <w:bookmarkStart w:id="3" w:name="_Ref366073937"/>
            <w:r w:rsidRPr="00BB74FF">
              <w:rPr>
                <w:rFonts w:ascii="Times New Roman" w:hAnsi="Times New Roman" w:cs="Times New Roman"/>
                <w:b/>
                <w:sz w:val="24"/>
                <w:szCs w:val="24"/>
                <w:vertAlign w:val="superscript"/>
              </w:rPr>
              <w:footnoteReference w:id="22"/>
            </w:r>
            <w:bookmarkEnd w:id="3"/>
            <w:r w:rsidRPr="00BB74FF">
              <w:rPr>
                <w:rFonts w:ascii="Times New Roman" w:hAnsi="Times New Roman" w:cs="Times New Roman"/>
                <w:b/>
                <w:sz w:val="24"/>
                <w:szCs w:val="24"/>
              </w:rPr>
              <w:br/>
              <w:t>(1)</w:t>
            </w:r>
          </w:p>
        </w:tc>
        <w:tc>
          <w:tcPr>
            <w:tcW w:w="793" w:type="pct"/>
            <w:shd w:val="clear" w:color="auto" w:fill="D9D9D9"/>
            <w:vAlign w:val="bottom"/>
          </w:tcPr>
          <w:p w14:paraId="5FB6A48C" w14:textId="77777777" w:rsidR="00BB74FF" w:rsidRPr="00BB74FF" w:rsidRDefault="00BB74FF" w:rsidP="00BB74FF">
            <w:pPr>
              <w:spacing w:after="0"/>
              <w:jc w:val="center"/>
              <w:rPr>
                <w:rFonts w:ascii="Times New Roman" w:hAnsi="Times New Roman" w:cs="Times New Roman"/>
                <w:b/>
                <w:sz w:val="24"/>
                <w:szCs w:val="24"/>
              </w:rPr>
            </w:pPr>
            <w:r w:rsidRPr="00BB74FF">
              <w:rPr>
                <w:rFonts w:ascii="Times New Roman" w:hAnsi="Times New Roman" w:cs="Times New Roman"/>
                <w:b/>
                <w:sz w:val="24"/>
                <w:szCs w:val="24"/>
              </w:rPr>
              <w:t>Number of Responses per Respondent</w:t>
            </w:r>
          </w:p>
          <w:p w14:paraId="7CD380BF" w14:textId="77777777" w:rsidR="00BB74FF" w:rsidRPr="00BB74FF" w:rsidRDefault="00BB74FF" w:rsidP="00BB74FF">
            <w:pPr>
              <w:spacing w:after="0"/>
              <w:jc w:val="center"/>
              <w:rPr>
                <w:rFonts w:ascii="Times New Roman" w:hAnsi="Times New Roman" w:cs="Times New Roman"/>
                <w:b/>
                <w:sz w:val="24"/>
                <w:szCs w:val="24"/>
              </w:rPr>
            </w:pPr>
            <w:r w:rsidRPr="00BB74FF">
              <w:rPr>
                <w:rFonts w:ascii="Times New Roman" w:hAnsi="Times New Roman" w:cs="Times New Roman"/>
                <w:b/>
                <w:sz w:val="24"/>
                <w:szCs w:val="24"/>
              </w:rPr>
              <w:t>(2)</w:t>
            </w:r>
          </w:p>
        </w:tc>
        <w:tc>
          <w:tcPr>
            <w:tcW w:w="651" w:type="pct"/>
            <w:shd w:val="clear" w:color="auto" w:fill="D9D9D9"/>
            <w:vAlign w:val="bottom"/>
          </w:tcPr>
          <w:p w14:paraId="58FF232F" w14:textId="77777777" w:rsidR="00BB74FF" w:rsidRPr="00BB74FF" w:rsidRDefault="00BB74FF" w:rsidP="00BB74FF">
            <w:pPr>
              <w:spacing w:after="0"/>
              <w:jc w:val="center"/>
              <w:rPr>
                <w:rFonts w:ascii="Times New Roman" w:hAnsi="Times New Roman" w:cs="Times New Roman"/>
                <w:b/>
                <w:sz w:val="24"/>
                <w:szCs w:val="24"/>
              </w:rPr>
            </w:pPr>
            <w:r w:rsidRPr="00BB74FF">
              <w:rPr>
                <w:rFonts w:ascii="Times New Roman" w:hAnsi="Times New Roman" w:cs="Times New Roman"/>
                <w:b/>
                <w:sz w:val="24"/>
                <w:szCs w:val="24"/>
              </w:rPr>
              <w:t>Average Burden Hours Per Response</w:t>
            </w:r>
          </w:p>
          <w:p w14:paraId="4EF5AF65" w14:textId="77777777" w:rsidR="00BB74FF" w:rsidRPr="00BB74FF" w:rsidRDefault="00BB74FF" w:rsidP="00BB74FF">
            <w:pPr>
              <w:spacing w:after="0"/>
              <w:jc w:val="center"/>
              <w:rPr>
                <w:rFonts w:ascii="Times New Roman" w:hAnsi="Times New Roman" w:cs="Times New Roman"/>
                <w:b/>
                <w:sz w:val="24"/>
                <w:szCs w:val="24"/>
              </w:rPr>
            </w:pPr>
            <w:r w:rsidRPr="00BB74FF">
              <w:rPr>
                <w:rFonts w:ascii="Times New Roman" w:hAnsi="Times New Roman" w:cs="Times New Roman"/>
                <w:b/>
                <w:sz w:val="24"/>
                <w:szCs w:val="24"/>
              </w:rPr>
              <w:t>(3)</w:t>
            </w:r>
          </w:p>
        </w:tc>
        <w:tc>
          <w:tcPr>
            <w:tcW w:w="718" w:type="pct"/>
            <w:shd w:val="clear" w:color="auto" w:fill="D9D9D9"/>
            <w:vAlign w:val="bottom"/>
          </w:tcPr>
          <w:p w14:paraId="4256900E" w14:textId="77777777" w:rsidR="00BB74FF" w:rsidRPr="00BB74FF" w:rsidRDefault="00BB74FF" w:rsidP="00BB74FF">
            <w:pPr>
              <w:spacing w:after="0"/>
              <w:jc w:val="center"/>
              <w:rPr>
                <w:rFonts w:ascii="Times New Roman" w:hAnsi="Times New Roman" w:cs="Times New Roman"/>
                <w:b/>
                <w:sz w:val="24"/>
                <w:szCs w:val="24"/>
              </w:rPr>
            </w:pPr>
            <w:r w:rsidRPr="00BB74FF">
              <w:rPr>
                <w:rFonts w:ascii="Times New Roman" w:hAnsi="Times New Roman" w:cs="Times New Roman"/>
                <w:b/>
                <w:sz w:val="24"/>
                <w:szCs w:val="24"/>
              </w:rPr>
              <w:t>Total Annual Burden Hours</w:t>
            </w:r>
          </w:p>
          <w:p w14:paraId="0DE1452D" w14:textId="77777777" w:rsidR="00BB74FF" w:rsidRPr="00BB74FF" w:rsidRDefault="00BB74FF" w:rsidP="00BB74FF">
            <w:pPr>
              <w:spacing w:after="0"/>
              <w:jc w:val="center"/>
              <w:rPr>
                <w:rFonts w:ascii="Times New Roman" w:hAnsi="Times New Roman" w:cs="Times New Roman"/>
                <w:b/>
                <w:sz w:val="24"/>
                <w:szCs w:val="24"/>
              </w:rPr>
            </w:pPr>
            <w:r w:rsidRPr="00BB74FF">
              <w:rPr>
                <w:rFonts w:ascii="Times New Roman" w:hAnsi="Times New Roman" w:cs="Times New Roman"/>
                <w:b/>
                <w:sz w:val="24"/>
                <w:szCs w:val="24"/>
              </w:rPr>
              <w:t>(1)x(2)x(3)</w:t>
            </w:r>
          </w:p>
        </w:tc>
        <w:tc>
          <w:tcPr>
            <w:tcW w:w="881" w:type="pct"/>
            <w:shd w:val="clear" w:color="auto" w:fill="D9D9D9"/>
            <w:vAlign w:val="bottom"/>
          </w:tcPr>
          <w:p w14:paraId="16278BE5" w14:textId="77777777" w:rsidR="00BB74FF" w:rsidRPr="00BB74FF" w:rsidRDefault="00BB74FF" w:rsidP="00BB74FF">
            <w:pPr>
              <w:spacing w:after="0"/>
              <w:jc w:val="center"/>
              <w:rPr>
                <w:rFonts w:ascii="Times New Roman" w:hAnsi="Times New Roman" w:cs="Times New Roman"/>
                <w:b/>
                <w:sz w:val="24"/>
                <w:szCs w:val="24"/>
              </w:rPr>
            </w:pPr>
            <w:r w:rsidRPr="00BB74FF">
              <w:rPr>
                <w:rFonts w:ascii="Times New Roman" w:hAnsi="Times New Roman" w:cs="Times New Roman"/>
                <w:b/>
                <w:sz w:val="24"/>
                <w:szCs w:val="24"/>
              </w:rPr>
              <w:t>Total Annual Cost</w:t>
            </w:r>
            <w:bookmarkStart w:id="4" w:name="_Ref366073887"/>
            <w:r w:rsidRPr="00BB74FF">
              <w:rPr>
                <w:rFonts w:ascii="Times New Roman" w:hAnsi="Times New Roman" w:cs="Times New Roman"/>
                <w:b/>
                <w:sz w:val="24"/>
                <w:szCs w:val="24"/>
                <w:vertAlign w:val="superscript"/>
              </w:rPr>
              <w:footnoteReference w:id="23"/>
            </w:r>
            <w:bookmarkEnd w:id="4"/>
          </w:p>
        </w:tc>
      </w:tr>
      <w:tr w:rsidR="00BB74FF" w:rsidRPr="00BB74FF" w14:paraId="204B233B" w14:textId="77777777" w:rsidTr="00BB74FF">
        <w:trPr>
          <w:cantSplit/>
        </w:trPr>
        <w:tc>
          <w:tcPr>
            <w:tcW w:w="1022" w:type="pct"/>
          </w:tcPr>
          <w:p w14:paraId="40251850" w14:textId="77777777" w:rsidR="00BB74FF" w:rsidRPr="00BB74FF" w:rsidRDefault="00BB74FF" w:rsidP="00BB74FF">
            <w:pPr>
              <w:spacing w:after="0"/>
              <w:rPr>
                <w:rFonts w:ascii="Times New Roman" w:hAnsi="Times New Roman" w:cs="Times New Roman"/>
                <w:sz w:val="24"/>
                <w:szCs w:val="24"/>
              </w:rPr>
            </w:pPr>
            <w:r w:rsidRPr="00BB74FF">
              <w:rPr>
                <w:rFonts w:ascii="Times New Roman" w:hAnsi="Times New Roman" w:cs="Times New Roman"/>
                <w:sz w:val="24"/>
                <w:szCs w:val="24"/>
              </w:rPr>
              <w:t>Develop data requirements and reporting procedures</w:t>
            </w:r>
          </w:p>
        </w:tc>
        <w:tc>
          <w:tcPr>
            <w:tcW w:w="934" w:type="pct"/>
            <w:vAlign w:val="bottom"/>
          </w:tcPr>
          <w:p w14:paraId="6A228A41" w14:textId="77777777" w:rsidR="00BB74FF" w:rsidRPr="00BB74FF" w:rsidRDefault="00BB74FF" w:rsidP="00BB74FF">
            <w:pPr>
              <w:spacing w:after="0"/>
              <w:jc w:val="right"/>
              <w:rPr>
                <w:rFonts w:ascii="Times New Roman" w:hAnsi="Times New Roman" w:cs="Times New Roman"/>
                <w:sz w:val="24"/>
                <w:szCs w:val="24"/>
              </w:rPr>
            </w:pPr>
            <w:r w:rsidRPr="00BB74FF">
              <w:rPr>
                <w:rFonts w:ascii="Times New Roman" w:hAnsi="Times New Roman" w:cs="Times New Roman"/>
                <w:sz w:val="24"/>
                <w:szCs w:val="24"/>
              </w:rPr>
              <w:t xml:space="preserve">200 </w:t>
            </w:r>
          </w:p>
          <w:p w14:paraId="4A1ECD9C" w14:textId="77777777" w:rsidR="00BB74FF" w:rsidRPr="00BB74FF" w:rsidRDefault="00BB74FF" w:rsidP="00BB74FF">
            <w:pPr>
              <w:spacing w:after="0"/>
              <w:jc w:val="right"/>
              <w:rPr>
                <w:rFonts w:ascii="Times New Roman" w:hAnsi="Times New Roman" w:cs="Times New Roman"/>
                <w:sz w:val="24"/>
                <w:szCs w:val="24"/>
              </w:rPr>
            </w:pPr>
            <w:r w:rsidRPr="00BB74FF">
              <w:rPr>
                <w:rFonts w:ascii="Times New Roman" w:hAnsi="Times New Roman" w:cs="Times New Roman"/>
                <w:sz w:val="24"/>
                <w:szCs w:val="24"/>
              </w:rPr>
              <w:t>(PA, TP)</w:t>
            </w:r>
          </w:p>
        </w:tc>
        <w:tc>
          <w:tcPr>
            <w:tcW w:w="793" w:type="pct"/>
            <w:vAlign w:val="bottom"/>
          </w:tcPr>
          <w:p w14:paraId="1AC2A607" w14:textId="77777777" w:rsidR="00BB74FF" w:rsidRPr="00BB74FF" w:rsidRDefault="00BB74FF" w:rsidP="00BB74FF">
            <w:pPr>
              <w:spacing w:after="0"/>
              <w:jc w:val="right"/>
              <w:rPr>
                <w:rFonts w:ascii="Times New Roman" w:hAnsi="Times New Roman" w:cs="Times New Roman"/>
                <w:sz w:val="24"/>
                <w:szCs w:val="24"/>
              </w:rPr>
            </w:pPr>
            <w:r w:rsidRPr="00BB74FF">
              <w:rPr>
                <w:rFonts w:ascii="Times New Roman" w:hAnsi="Times New Roman" w:cs="Times New Roman"/>
                <w:sz w:val="24"/>
                <w:szCs w:val="24"/>
              </w:rPr>
              <w:t>1</w:t>
            </w:r>
          </w:p>
        </w:tc>
        <w:tc>
          <w:tcPr>
            <w:tcW w:w="651" w:type="pct"/>
            <w:vAlign w:val="bottom"/>
          </w:tcPr>
          <w:p w14:paraId="3868118B" w14:textId="77777777" w:rsidR="00BB74FF" w:rsidRPr="00BB74FF" w:rsidRDefault="00BB74FF" w:rsidP="00BB74FF">
            <w:pPr>
              <w:spacing w:after="0"/>
              <w:jc w:val="right"/>
              <w:rPr>
                <w:rFonts w:ascii="Times New Roman" w:hAnsi="Times New Roman" w:cs="Times New Roman"/>
                <w:sz w:val="24"/>
                <w:szCs w:val="24"/>
              </w:rPr>
            </w:pPr>
            <w:r w:rsidRPr="00BB74FF">
              <w:rPr>
                <w:rFonts w:ascii="Times New Roman" w:hAnsi="Times New Roman" w:cs="Times New Roman"/>
                <w:sz w:val="24"/>
                <w:szCs w:val="24"/>
              </w:rPr>
              <w:t>8</w:t>
            </w:r>
          </w:p>
        </w:tc>
        <w:tc>
          <w:tcPr>
            <w:tcW w:w="718" w:type="pct"/>
            <w:vAlign w:val="bottom"/>
          </w:tcPr>
          <w:p w14:paraId="0B75C16A" w14:textId="77777777" w:rsidR="00BB74FF" w:rsidRPr="00BB74FF" w:rsidRDefault="00BB74FF" w:rsidP="00BB74FF">
            <w:pPr>
              <w:spacing w:after="0"/>
              <w:jc w:val="right"/>
              <w:rPr>
                <w:rFonts w:ascii="Times New Roman" w:hAnsi="Times New Roman" w:cs="Times New Roman"/>
                <w:sz w:val="24"/>
                <w:szCs w:val="24"/>
              </w:rPr>
            </w:pPr>
            <w:r w:rsidRPr="00BB74FF">
              <w:rPr>
                <w:rFonts w:ascii="Times New Roman" w:hAnsi="Times New Roman" w:cs="Times New Roman"/>
                <w:sz w:val="24"/>
                <w:szCs w:val="24"/>
              </w:rPr>
              <w:t xml:space="preserve">1,600 </w:t>
            </w:r>
          </w:p>
        </w:tc>
        <w:tc>
          <w:tcPr>
            <w:tcW w:w="881" w:type="pct"/>
            <w:vAlign w:val="bottom"/>
          </w:tcPr>
          <w:p w14:paraId="3F89B0A9" w14:textId="23FD4060" w:rsidR="00BB74FF" w:rsidRPr="00BB74FF" w:rsidRDefault="00BB74FF" w:rsidP="00BB74FF">
            <w:pPr>
              <w:spacing w:after="0"/>
              <w:jc w:val="right"/>
              <w:rPr>
                <w:rFonts w:ascii="Times New Roman" w:hAnsi="Times New Roman" w:cs="Times New Roman"/>
                <w:sz w:val="24"/>
                <w:szCs w:val="24"/>
              </w:rPr>
            </w:pPr>
            <w:r w:rsidRPr="00BB74FF">
              <w:rPr>
                <w:rFonts w:ascii="Times New Roman" w:hAnsi="Times New Roman" w:cs="Times New Roman"/>
                <w:sz w:val="24"/>
                <w:szCs w:val="24"/>
              </w:rPr>
              <w:t>$96,000</w:t>
            </w:r>
            <w:r w:rsidRPr="00BB74FF">
              <w:rPr>
                <w:rFonts w:ascii="Times New Roman" w:hAnsi="Times New Roman" w:cs="Times New Roman"/>
                <w:sz w:val="24"/>
                <w:szCs w:val="24"/>
              </w:rPr>
              <w:br/>
              <w:t>one-time (</w:t>
            </w:r>
            <w:r w:rsidR="00A86212">
              <w:rPr>
                <w:rFonts w:ascii="Times New Roman" w:hAnsi="Times New Roman" w:cs="Times New Roman"/>
                <w:sz w:val="24"/>
                <w:szCs w:val="24"/>
              </w:rPr>
              <w:t>@</w:t>
            </w:r>
            <w:r w:rsidRPr="00BB74FF">
              <w:rPr>
                <w:rFonts w:ascii="Times New Roman" w:hAnsi="Times New Roman" w:cs="Times New Roman"/>
                <w:sz w:val="24"/>
                <w:szCs w:val="24"/>
              </w:rPr>
              <w:t>$60/</w:t>
            </w:r>
            <w:proofErr w:type="spellStart"/>
            <w:r w:rsidRPr="00BB74FF">
              <w:rPr>
                <w:rFonts w:ascii="Times New Roman" w:hAnsi="Times New Roman" w:cs="Times New Roman"/>
                <w:sz w:val="24"/>
                <w:szCs w:val="24"/>
              </w:rPr>
              <w:t>hr</w:t>
            </w:r>
            <w:proofErr w:type="spellEnd"/>
            <w:r w:rsidRPr="00BB74FF">
              <w:rPr>
                <w:rFonts w:ascii="Times New Roman" w:hAnsi="Times New Roman" w:cs="Times New Roman"/>
                <w:sz w:val="24"/>
                <w:szCs w:val="24"/>
              </w:rPr>
              <w:t>)</w:t>
            </w:r>
          </w:p>
        </w:tc>
      </w:tr>
      <w:tr w:rsidR="00BB74FF" w:rsidRPr="00BB74FF" w14:paraId="467FE129" w14:textId="77777777" w:rsidTr="00BB74FF">
        <w:trPr>
          <w:cantSplit/>
          <w:trHeight w:val="467"/>
        </w:trPr>
        <w:tc>
          <w:tcPr>
            <w:tcW w:w="1022" w:type="pct"/>
          </w:tcPr>
          <w:p w14:paraId="7D934E1F" w14:textId="77777777" w:rsidR="00BB74FF" w:rsidRPr="00BB74FF" w:rsidRDefault="00BB74FF" w:rsidP="00BB74FF">
            <w:pPr>
              <w:spacing w:after="0"/>
              <w:rPr>
                <w:rFonts w:ascii="Times New Roman" w:hAnsi="Times New Roman" w:cs="Times New Roman"/>
                <w:sz w:val="24"/>
                <w:szCs w:val="24"/>
              </w:rPr>
            </w:pPr>
            <w:r w:rsidRPr="00BB74FF">
              <w:rPr>
                <w:rFonts w:ascii="Times New Roman" w:hAnsi="Times New Roman" w:cs="Times New Roman"/>
                <w:sz w:val="24"/>
                <w:szCs w:val="24"/>
              </w:rPr>
              <w:lastRenderedPageBreak/>
              <w:t>Data Submittal</w:t>
            </w:r>
          </w:p>
        </w:tc>
        <w:tc>
          <w:tcPr>
            <w:tcW w:w="934" w:type="pct"/>
            <w:vAlign w:val="bottom"/>
          </w:tcPr>
          <w:p w14:paraId="1728E43D" w14:textId="77777777" w:rsidR="00BB74FF" w:rsidRPr="00BB74FF" w:rsidRDefault="00BB74FF" w:rsidP="00BB74FF">
            <w:pPr>
              <w:spacing w:after="0"/>
              <w:jc w:val="right"/>
              <w:rPr>
                <w:rFonts w:ascii="Times New Roman" w:hAnsi="Times New Roman" w:cs="Times New Roman"/>
                <w:sz w:val="24"/>
                <w:szCs w:val="24"/>
              </w:rPr>
            </w:pPr>
            <w:r w:rsidRPr="00BB74FF">
              <w:rPr>
                <w:rFonts w:ascii="Times New Roman" w:hAnsi="Times New Roman" w:cs="Times New Roman"/>
                <w:sz w:val="24"/>
                <w:szCs w:val="24"/>
              </w:rPr>
              <w:t xml:space="preserve">1,355 </w:t>
            </w:r>
          </w:p>
          <w:p w14:paraId="16C8BE12" w14:textId="77777777" w:rsidR="00BB74FF" w:rsidRPr="00BB74FF" w:rsidRDefault="00BB74FF" w:rsidP="00BB74FF">
            <w:pPr>
              <w:spacing w:after="0"/>
              <w:jc w:val="right"/>
              <w:rPr>
                <w:rFonts w:ascii="Times New Roman" w:hAnsi="Times New Roman" w:cs="Times New Roman"/>
                <w:sz w:val="24"/>
                <w:szCs w:val="24"/>
              </w:rPr>
            </w:pPr>
            <w:r w:rsidRPr="00BB74FF">
              <w:rPr>
                <w:rFonts w:ascii="Times New Roman" w:hAnsi="Times New Roman" w:cs="Times New Roman"/>
                <w:sz w:val="24"/>
                <w:szCs w:val="24"/>
              </w:rPr>
              <w:t>(BA, GO, LSE, PA, RP, TO, TP, TSP)</w:t>
            </w:r>
          </w:p>
        </w:tc>
        <w:tc>
          <w:tcPr>
            <w:tcW w:w="793" w:type="pct"/>
            <w:vAlign w:val="bottom"/>
          </w:tcPr>
          <w:p w14:paraId="2E307E13" w14:textId="77777777" w:rsidR="00BB74FF" w:rsidRPr="00BB74FF" w:rsidRDefault="00BB74FF" w:rsidP="00BB74FF">
            <w:pPr>
              <w:spacing w:after="0"/>
              <w:jc w:val="right"/>
              <w:rPr>
                <w:rFonts w:ascii="Times New Roman" w:hAnsi="Times New Roman" w:cs="Times New Roman"/>
                <w:sz w:val="24"/>
                <w:szCs w:val="24"/>
              </w:rPr>
            </w:pPr>
            <w:r w:rsidRPr="00BB74FF">
              <w:rPr>
                <w:rFonts w:ascii="Times New Roman" w:hAnsi="Times New Roman" w:cs="Times New Roman"/>
                <w:sz w:val="24"/>
                <w:szCs w:val="24"/>
              </w:rPr>
              <w:t>1</w:t>
            </w:r>
          </w:p>
        </w:tc>
        <w:tc>
          <w:tcPr>
            <w:tcW w:w="651" w:type="pct"/>
            <w:vAlign w:val="bottom"/>
          </w:tcPr>
          <w:p w14:paraId="156167F6" w14:textId="77777777" w:rsidR="00BB74FF" w:rsidRPr="00BB74FF" w:rsidRDefault="00BB74FF" w:rsidP="00BB74FF">
            <w:pPr>
              <w:spacing w:after="0"/>
              <w:jc w:val="right"/>
              <w:rPr>
                <w:rFonts w:ascii="Times New Roman" w:hAnsi="Times New Roman" w:cs="Times New Roman"/>
                <w:sz w:val="24"/>
                <w:szCs w:val="24"/>
              </w:rPr>
            </w:pPr>
            <w:r w:rsidRPr="00BB74FF">
              <w:rPr>
                <w:rFonts w:ascii="Times New Roman" w:hAnsi="Times New Roman" w:cs="Times New Roman"/>
                <w:sz w:val="24"/>
                <w:szCs w:val="24"/>
              </w:rPr>
              <w:t>8</w:t>
            </w:r>
          </w:p>
        </w:tc>
        <w:tc>
          <w:tcPr>
            <w:tcW w:w="718" w:type="pct"/>
            <w:vAlign w:val="bottom"/>
          </w:tcPr>
          <w:p w14:paraId="54DDFFAA" w14:textId="77777777" w:rsidR="00BB74FF" w:rsidRPr="00BB74FF" w:rsidRDefault="00BB74FF" w:rsidP="00BB74FF">
            <w:pPr>
              <w:spacing w:after="0"/>
              <w:jc w:val="right"/>
              <w:rPr>
                <w:rFonts w:ascii="Times New Roman" w:hAnsi="Times New Roman" w:cs="Times New Roman"/>
                <w:sz w:val="24"/>
                <w:szCs w:val="24"/>
              </w:rPr>
            </w:pPr>
            <w:r w:rsidRPr="00BB74FF">
              <w:rPr>
                <w:rFonts w:ascii="Times New Roman" w:hAnsi="Times New Roman" w:cs="Times New Roman"/>
                <w:sz w:val="24"/>
                <w:szCs w:val="24"/>
              </w:rPr>
              <w:t>10,840</w:t>
            </w:r>
          </w:p>
        </w:tc>
        <w:tc>
          <w:tcPr>
            <w:tcW w:w="881" w:type="pct"/>
            <w:vAlign w:val="bottom"/>
          </w:tcPr>
          <w:p w14:paraId="63A5F88B" w14:textId="77777777" w:rsidR="00BB74FF" w:rsidRPr="00BB74FF" w:rsidRDefault="00BB74FF" w:rsidP="00BB74FF">
            <w:pPr>
              <w:spacing w:after="0"/>
              <w:jc w:val="right"/>
              <w:rPr>
                <w:rFonts w:ascii="Times New Roman" w:hAnsi="Times New Roman" w:cs="Times New Roman"/>
                <w:sz w:val="24"/>
                <w:szCs w:val="24"/>
              </w:rPr>
            </w:pPr>
            <w:r w:rsidRPr="00BB74FF">
              <w:rPr>
                <w:rFonts w:ascii="Times New Roman" w:hAnsi="Times New Roman" w:cs="Times New Roman"/>
                <w:sz w:val="24"/>
                <w:szCs w:val="24"/>
              </w:rPr>
              <w:t xml:space="preserve">$650,400 </w:t>
            </w:r>
          </w:p>
          <w:p w14:paraId="713CD9E4" w14:textId="459B76DF" w:rsidR="00BB74FF" w:rsidRPr="00BB74FF" w:rsidRDefault="00BB74FF" w:rsidP="00BB74FF">
            <w:pPr>
              <w:spacing w:after="0"/>
              <w:jc w:val="right"/>
              <w:rPr>
                <w:rFonts w:ascii="Times New Roman" w:hAnsi="Times New Roman" w:cs="Times New Roman"/>
                <w:sz w:val="24"/>
                <w:szCs w:val="24"/>
              </w:rPr>
            </w:pPr>
            <w:r w:rsidRPr="00BB74FF">
              <w:rPr>
                <w:rFonts w:ascii="Times New Roman" w:hAnsi="Times New Roman" w:cs="Times New Roman"/>
                <w:sz w:val="24"/>
                <w:szCs w:val="24"/>
              </w:rPr>
              <w:t>(</w:t>
            </w:r>
            <w:r w:rsidR="00A86212">
              <w:rPr>
                <w:rFonts w:ascii="Times New Roman" w:hAnsi="Times New Roman" w:cs="Times New Roman"/>
                <w:sz w:val="24"/>
                <w:szCs w:val="24"/>
              </w:rPr>
              <w:t>@</w:t>
            </w:r>
            <w:r w:rsidRPr="00BB74FF">
              <w:rPr>
                <w:rFonts w:ascii="Times New Roman" w:hAnsi="Times New Roman" w:cs="Times New Roman"/>
                <w:sz w:val="24"/>
                <w:szCs w:val="24"/>
              </w:rPr>
              <w:t>$60/</w:t>
            </w:r>
            <w:proofErr w:type="spellStart"/>
            <w:r w:rsidRPr="00BB74FF">
              <w:rPr>
                <w:rFonts w:ascii="Times New Roman" w:hAnsi="Times New Roman" w:cs="Times New Roman"/>
                <w:sz w:val="24"/>
                <w:szCs w:val="24"/>
              </w:rPr>
              <w:t>hr</w:t>
            </w:r>
            <w:proofErr w:type="spellEnd"/>
            <w:r w:rsidRPr="00BB74FF">
              <w:rPr>
                <w:rFonts w:ascii="Times New Roman" w:hAnsi="Times New Roman" w:cs="Times New Roman"/>
                <w:sz w:val="24"/>
                <w:szCs w:val="24"/>
              </w:rPr>
              <w:t>)</w:t>
            </w:r>
          </w:p>
        </w:tc>
      </w:tr>
      <w:tr w:rsidR="00BB74FF" w:rsidRPr="00BB74FF" w14:paraId="4B9AEA83" w14:textId="77777777" w:rsidTr="00BB74FF">
        <w:trPr>
          <w:cantSplit/>
          <w:trHeight w:val="485"/>
        </w:trPr>
        <w:tc>
          <w:tcPr>
            <w:tcW w:w="1022" w:type="pct"/>
          </w:tcPr>
          <w:p w14:paraId="32EDB9F0" w14:textId="77777777" w:rsidR="00BB74FF" w:rsidRPr="00BB74FF" w:rsidRDefault="00BB74FF" w:rsidP="00BB74FF">
            <w:pPr>
              <w:spacing w:after="0"/>
              <w:rPr>
                <w:rFonts w:ascii="Times New Roman" w:hAnsi="Times New Roman" w:cs="Times New Roman"/>
                <w:sz w:val="24"/>
                <w:szCs w:val="24"/>
              </w:rPr>
            </w:pPr>
            <w:r w:rsidRPr="00BB74FF">
              <w:rPr>
                <w:rFonts w:ascii="Times New Roman" w:hAnsi="Times New Roman" w:cs="Times New Roman"/>
                <w:sz w:val="24"/>
                <w:szCs w:val="24"/>
              </w:rPr>
              <w:t>Evidence Retention</w:t>
            </w:r>
          </w:p>
        </w:tc>
        <w:tc>
          <w:tcPr>
            <w:tcW w:w="934" w:type="pct"/>
            <w:tcBorders>
              <w:bottom w:val="single" w:sz="4" w:space="0" w:color="auto"/>
            </w:tcBorders>
            <w:vAlign w:val="bottom"/>
          </w:tcPr>
          <w:p w14:paraId="6502F012" w14:textId="77777777" w:rsidR="00BB74FF" w:rsidRPr="00BB74FF" w:rsidRDefault="00BB74FF" w:rsidP="00BB74FF">
            <w:pPr>
              <w:spacing w:after="0"/>
              <w:jc w:val="right"/>
              <w:rPr>
                <w:rFonts w:ascii="Times New Roman" w:hAnsi="Times New Roman" w:cs="Times New Roman"/>
                <w:sz w:val="24"/>
                <w:szCs w:val="24"/>
              </w:rPr>
            </w:pPr>
            <w:r w:rsidRPr="00BB74FF">
              <w:rPr>
                <w:rFonts w:ascii="Times New Roman" w:hAnsi="Times New Roman" w:cs="Times New Roman"/>
                <w:sz w:val="24"/>
                <w:szCs w:val="24"/>
              </w:rPr>
              <w:t xml:space="preserve">1,355 </w:t>
            </w:r>
          </w:p>
          <w:p w14:paraId="3CC0D21C" w14:textId="77777777" w:rsidR="00BB74FF" w:rsidRPr="00BB74FF" w:rsidRDefault="00BB74FF" w:rsidP="00BB74FF">
            <w:pPr>
              <w:spacing w:after="0"/>
              <w:jc w:val="right"/>
              <w:rPr>
                <w:rFonts w:ascii="Times New Roman" w:hAnsi="Times New Roman" w:cs="Times New Roman"/>
                <w:sz w:val="24"/>
                <w:szCs w:val="24"/>
              </w:rPr>
            </w:pPr>
            <w:r w:rsidRPr="00BB74FF">
              <w:rPr>
                <w:rFonts w:ascii="Times New Roman" w:hAnsi="Times New Roman" w:cs="Times New Roman"/>
                <w:sz w:val="24"/>
                <w:szCs w:val="24"/>
              </w:rPr>
              <w:t>(BA, GO, LSE, PA, RP, TO, TP, TSP)</w:t>
            </w:r>
          </w:p>
        </w:tc>
        <w:tc>
          <w:tcPr>
            <w:tcW w:w="793" w:type="pct"/>
            <w:tcBorders>
              <w:bottom w:val="single" w:sz="4" w:space="0" w:color="auto"/>
            </w:tcBorders>
            <w:vAlign w:val="bottom"/>
          </w:tcPr>
          <w:p w14:paraId="4C494168" w14:textId="77777777" w:rsidR="00BB74FF" w:rsidRPr="00BB74FF" w:rsidRDefault="00BB74FF" w:rsidP="00BB74FF">
            <w:pPr>
              <w:spacing w:after="0"/>
              <w:jc w:val="right"/>
              <w:rPr>
                <w:rFonts w:ascii="Times New Roman" w:hAnsi="Times New Roman" w:cs="Times New Roman"/>
                <w:sz w:val="24"/>
                <w:szCs w:val="24"/>
              </w:rPr>
            </w:pPr>
            <w:r w:rsidRPr="00BB74FF">
              <w:rPr>
                <w:rFonts w:ascii="Times New Roman" w:hAnsi="Times New Roman" w:cs="Times New Roman"/>
                <w:sz w:val="24"/>
                <w:szCs w:val="24"/>
              </w:rPr>
              <w:t>1</w:t>
            </w:r>
          </w:p>
        </w:tc>
        <w:tc>
          <w:tcPr>
            <w:tcW w:w="651" w:type="pct"/>
            <w:tcBorders>
              <w:bottom w:val="single" w:sz="4" w:space="0" w:color="auto"/>
            </w:tcBorders>
            <w:vAlign w:val="bottom"/>
          </w:tcPr>
          <w:p w14:paraId="315F0654" w14:textId="77777777" w:rsidR="00BB74FF" w:rsidRPr="00BB74FF" w:rsidRDefault="00BB74FF" w:rsidP="00BB74FF">
            <w:pPr>
              <w:spacing w:after="0"/>
              <w:jc w:val="right"/>
              <w:rPr>
                <w:rFonts w:ascii="Times New Roman" w:hAnsi="Times New Roman" w:cs="Times New Roman"/>
                <w:sz w:val="24"/>
                <w:szCs w:val="24"/>
              </w:rPr>
            </w:pPr>
            <w:r w:rsidRPr="00BB74FF">
              <w:rPr>
                <w:rFonts w:ascii="Times New Roman" w:hAnsi="Times New Roman" w:cs="Times New Roman"/>
                <w:sz w:val="24"/>
                <w:szCs w:val="24"/>
              </w:rPr>
              <w:t>1</w:t>
            </w:r>
          </w:p>
        </w:tc>
        <w:tc>
          <w:tcPr>
            <w:tcW w:w="718" w:type="pct"/>
            <w:vAlign w:val="bottom"/>
          </w:tcPr>
          <w:p w14:paraId="25828C4D" w14:textId="77777777" w:rsidR="00BB74FF" w:rsidRPr="00BB74FF" w:rsidRDefault="00BB74FF" w:rsidP="00BB74FF">
            <w:pPr>
              <w:spacing w:after="0"/>
              <w:jc w:val="right"/>
              <w:rPr>
                <w:rFonts w:ascii="Times New Roman" w:hAnsi="Times New Roman" w:cs="Times New Roman"/>
                <w:sz w:val="24"/>
                <w:szCs w:val="24"/>
              </w:rPr>
            </w:pPr>
            <w:r w:rsidRPr="00BB74FF">
              <w:rPr>
                <w:rFonts w:ascii="Times New Roman" w:hAnsi="Times New Roman" w:cs="Times New Roman"/>
                <w:sz w:val="24"/>
                <w:szCs w:val="24"/>
              </w:rPr>
              <w:t>1,355</w:t>
            </w:r>
          </w:p>
        </w:tc>
        <w:tc>
          <w:tcPr>
            <w:tcW w:w="881" w:type="pct"/>
            <w:vAlign w:val="bottom"/>
          </w:tcPr>
          <w:p w14:paraId="1C4D19E7" w14:textId="77777777" w:rsidR="00BB74FF" w:rsidRPr="00BB74FF" w:rsidRDefault="00BB74FF" w:rsidP="00BB74FF">
            <w:pPr>
              <w:spacing w:after="0"/>
              <w:jc w:val="right"/>
              <w:rPr>
                <w:rFonts w:ascii="Times New Roman" w:hAnsi="Times New Roman" w:cs="Times New Roman"/>
                <w:sz w:val="24"/>
                <w:szCs w:val="24"/>
              </w:rPr>
            </w:pPr>
            <w:r w:rsidRPr="00BB74FF">
              <w:rPr>
                <w:rFonts w:ascii="Times New Roman" w:hAnsi="Times New Roman" w:cs="Times New Roman"/>
                <w:sz w:val="24"/>
                <w:szCs w:val="24"/>
              </w:rPr>
              <w:t>$43,360</w:t>
            </w:r>
          </w:p>
          <w:p w14:paraId="54E761AC" w14:textId="782C143D" w:rsidR="00BB74FF" w:rsidRPr="00BB74FF" w:rsidRDefault="00BB74FF" w:rsidP="00BB74FF">
            <w:pPr>
              <w:spacing w:after="0"/>
              <w:jc w:val="right"/>
              <w:rPr>
                <w:rFonts w:ascii="Times New Roman" w:hAnsi="Times New Roman" w:cs="Times New Roman"/>
                <w:sz w:val="24"/>
                <w:szCs w:val="24"/>
              </w:rPr>
            </w:pPr>
            <w:r w:rsidRPr="00BB74FF">
              <w:rPr>
                <w:rFonts w:ascii="Times New Roman" w:hAnsi="Times New Roman" w:cs="Times New Roman"/>
                <w:sz w:val="24"/>
                <w:szCs w:val="24"/>
              </w:rPr>
              <w:t xml:space="preserve"> (</w:t>
            </w:r>
            <w:r w:rsidR="00A86212">
              <w:rPr>
                <w:rFonts w:ascii="Times New Roman" w:hAnsi="Times New Roman" w:cs="Times New Roman"/>
                <w:sz w:val="24"/>
                <w:szCs w:val="24"/>
              </w:rPr>
              <w:t>@</w:t>
            </w:r>
            <w:r w:rsidRPr="00BB74FF">
              <w:rPr>
                <w:rFonts w:ascii="Times New Roman" w:hAnsi="Times New Roman" w:cs="Times New Roman"/>
                <w:sz w:val="24"/>
                <w:szCs w:val="24"/>
              </w:rPr>
              <w:t>$32/</w:t>
            </w:r>
            <w:proofErr w:type="spellStart"/>
            <w:r w:rsidRPr="00BB74FF">
              <w:rPr>
                <w:rFonts w:ascii="Times New Roman" w:hAnsi="Times New Roman" w:cs="Times New Roman"/>
                <w:sz w:val="24"/>
                <w:szCs w:val="24"/>
              </w:rPr>
              <w:t>hr</w:t>
            </w:r>
            <w:proofErr w:type="spellEnd"/>
            <w:r w:rsidRPr="00BB74FF">
              <w:rPr>
                <w:rFonts w:ascii="Times New Roman" w:hAnsi="Times New Roman" w:cs="Times New Roman"/>
                <w:sz w:val="24"/>
                <w:szCs w:val="24"/>
              </w:rPr>
              <w:t>)</w:t>
            </w:r>
          </w:p>
        </w:tc>
      </w:tr>
      <w:tr w:rsidR="00BB74FF" w:rsidRPr="00BB74FF" w14:paraId="5DFBCE60" w14:textId="77777777" w:rsidTr="00BB74FF">
        <w:trPr>
          <w:cantSplit/>
          <w:trHeight w:val="485"/>
        </w:trPr>
        <w:tc>
          <w:tcPr>
            <w:tcW w:w="1022" w:type="pct"/>
            <w:tcBorders>
              <w:bottom w:val="single" w:sz="4" w:space="0" w:color="auto"/>
            </w:tcBorders>
          </w:tcPr>
          <w:p w14:paraId="11237411" w14:textId="77777777" w:rsidR="00BB74FF" w:rsidRPr="00BB74FF" w:rsidRDefault="00BB74FF" w:rsidP="00BB74FF">
            <w:pPr>
              <w:spacing w:after="0"/>
              <w:rPr>
                <w:rFonts w:ascii="Times New Roman" w:hAnsi="Times New Roman" w:cs="Times New Roman"/>
                <w:b/>
                <w:sz w:val="24"/>
                <w:szCs w:val="24"/>
              </w:rPr>
            </w:pPr>
            <w:r w:rsidRPr="00BB74FF">
              <w:rPr>
                <w:rFonts w:ascii="Times New Roman" w:hAnsi="Times New Roman" w:cs="Times New Roman"/>
                <w:b/>
                <w:sz w:val="24"/>
                <w:szCs w:val="24"/>
              </w:rPr>
              <w:t>TOTAL</w:t>
            </w:r>
          </w:p>
        </w:tc>
        <w:tc>
          <w:tcPr>
            <w:tcW w:w="2378" w:type="pct"/>
            <w:gridSpan w:val="3"/>
            <w:tcBorders>
              <w:bottom w:val="single" w:sz="4" w:space="0" w:color="auto"/>
            </w:tcBorders>
            <w:shd w:val="clear" w:color="auto" w:fill="D9D9D9"/>
            <w:vAlign w:val="bottom"/>
          </w:tcPr>
          <w:p w14:paraId="182866CD" w14:textId="77777777" w:rsidR="00BB74FF" w:rsidRPr="00BB74FF" w:rsidRDefault="00BB74FF" w:rsidP="00BB74FF">
            <w:pPr>
              <w:spacing w:after="0"/>
              <w:jc w:val="right"/>
              <w:rPr>
                <w:rFonts w:ascii="Times New Roman" w:hAnsi="Times New Roman" w:cs="Times New Roman"/>
                <w:sz w:val="24"/>
                <w:szCs w:val="24"/>
              </w:rPr>
            </w:pPr>
          </w:p>
        </w:tc>
        <w:tc>
          <w:tcPr>
            <w:tcW w:w="718" w:type="pct"/>
            <w:tcBorders>
              <w:bottom w:val="single" w:sz="4" w:space="0" w:color="auto"/>
            </w:tcBorders>
            <w:vAlign w:val="bottom"/>
          </w:tcPr>
          <w:p w14:paraId="60FC89E8" w14:textId="77777777" w:rsidR="00BB74FF" w:rsidRPr="00BB74FF" w:rsidRDefault="00BB74FF" w:rsidP="00BB74FF">
            <w:pPr>
              <w:spacing w:after="0"/>
              <w:jc w:val="right"/>
              <w:rPr>
                <w:rFonts w:ascii="Times New Roman" w:hAnsi="Times New Roman" w:cs="Times New Roman"/>
                <w:b/>
                <w:sz w:val="24"/>
                <w:szCs w:val="24"/>
              </w:rPr>
            </w:pPr>
            <w:r w:rsidRPr="00BB74FF">
              <w:rPr>
                <w:rFonts w:ascii="Times New Roman" w:hAnsi="Times New Roman" w:cs="Times New Roman"/>
                <w:b/>
                <w:sz w:val="24"/>
                <w:szCs w:val="24"/>
              </w:rPr>
              <w:t>13,795</w:t>
            </w:r>
          </w:p>
        </w:tc>
        <w:tc>
          <w:tcPr>
            <w:tcW w:w="881" w:type="pct"/>
            <w:tcBorders>
              <w:bottom w:val="single" w:sz="4" w:space="0" w:color="auto"/>
            </w:tcBorders>
            <w:vAlign w:val="bottom"/>
          </w:tcPr>
          <w:p w14:paraId="53437567" w14:textId="77777777" w:rsidR="00BB74FF" w:rsidRPr="00BB74FF" w:rsidRDefault="00BB74FF" w:rsidP="00BB74FF">
            <w:pPr>
              <w:spacing w:after="0"/>
              <w:jc w:val="right"/>
              <w:rPr>
                <w:rFonts w:ascii="Times New Roman" w:hAnsi="Times New Roman" w:cs="Times New Roman"/>
                <w:b/>
                <w:sz w:val="24"/>
                <w:szCs w:val="24"/>
              </w:rPr>
            </w:pPr>
            <w:r w:rsidRPr="00BB74FF">
              <w:rPr>
                <w:rFonts w:ascii="Times New Roman" w:hAnsi="Times New Roman" w:cs="Times New Roman"/>
                <w:b/>
                <w:sz w:val="24"/>
                <w:szCs w:val="24"/>
              </w:rPr>
              <w:t>$789,760</w:t>
            </w:r>
          </w:p>
        </w:tc>
      </w:tr>
    </w:tbl>
    <w:p w14:paraId="146ED725" w14:textId="77777777" w:rsidR="002E655B" w:rsidRDefault="002E655B" w:rsidP="00A276F5">
      <w:pPr>
        <w:spacing w:after="0"/>
        <w:rPr>
          <w:rFonts w:ascii="Times New Roman" w:hAnsi="Times New Roman" w:cs="Times New Roman"/>
          <w:sz w:val="24"/>
          <w:szCs w:val="24"/>
        </w:rPr>
      </w:pPr>
    </w:p>
    <w:tbl>
      <w:tblPr>
        <w:tblW w:w="503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1802"/>
        <w:gridCol w:w="1530"/>
        <w:gridCol w:w="1256"/>
        <w:gridCol w:w="1386"/>
        <w:gridCol w:w="1700"/>
      </w:tblGrid>
      <w:tr w:rsidR="00BB74FF" w:rsidRPr="00BB74FF" w14:paraId="4D2D93A7" w14:textId="77777777" w:rsidTr="001541CE">
        <w:trPr>
          <w:cantSplit/>
        </w:trPr>
        <w:tc>
          <w:tcPr>
            <w:tcW w:w="5000" w:type="pct"/>
            <w:gridSpan w:val="6"/>
            <w:tcBorders>
              <w:bottom w:val="single" w:sz="4" w:space="0" w:color="auto"/>
            </w:tcBorders>
            <w:shd w:val="clear" w:color="auto" w:fill="D9D9D9"/>
          </w:tcPr>
          <w:p w14:paraId="0209CDEC" w14:textId="77777777" w:rsidR="00BB74FF" w:rsidRPr="00BB74FF" w:rsidRDefault="00BB74FF" w:rsidP="00BB74FF">
            <w:pPr>
              <w:spacing w:after="0"/>
              <w:rPr>
                <w:rFonts w:ascii="Times New Roman" w:hAnsi="Times New Roman" w:cs="Times New Roman"/>
                <w:b/>
                <w:sz w:val="24"/>
                <w:szCs w:val="24"/>
              </w:rPr>
            </w:pPr>
            <w:r w:rsidRPr="00BB74FF">
              <w:rPr>
                <w:rFonts w:ascii="Times New Roman" w:hAnsi="Times New Roman" w:cs="Times New Roman"/>
                <w:b/>
                <w:sz w:val="24"/>
                <w:szCs w:val="24"/>
              </w:rPr>
              <w:t>MOD-033-1 (Steady-State and Dynamics System Model Validation)</w:t>
            </w:r>
          </w:p>
        </w:tc>
      </w:tr>
      <w:tr w:rsidR="00BB74FF" w:rsidRPr="00BB74FF" w14:paraId="684B336F" w14:textId="77777777" w:rsidTr="00BB74FF">
        <w:trPr>
          <w:cantSplit/>
        </w:trPr>
        <w:tc>
          <w:tcPr>
            <w:tcW w:w="1023" w:type="pct"/>
            <w:shd w:val="clear" w:color="auto" w:fill="D9D9D9"/>
            <w:vAlign w:val="bottom"/>
          </w:tcPr>
          <w:p w14:paraId="68863AFF" w14:textId="77777777" w:rsidR="00BB74FF" w:rsidRPr="00BB74FF" w:rsidRDefault="00BB74FF" w:rsidP="00BB74FF">
            <w:pPr>
              <w:spacing w:after="0"/>
              <w:jc w:val="center"/>
              <w:rPr>
                <w:rFonts w:ascii="Times New Roman" w:hAnsi="Times New Roman" w:cs="Times New Roman"/>
                <w:b/>
                <w:sz w:val="24"/>
                <w:szCs w:val="24"/>
              </w:rPr>
            </w:pPr>
            <w:r w:rsidRPr="00BB74FF">
              <w:rPr>
                <w:rFonts w:ascii="Times New Roman" w:hAnsi="Times New Roman" w:cs="Times New Roman"/>
                <w:b/>
                <w:sz w:val="24"/>
                <w:szCs w:val="24"/>
              </w:rPr>
              <w:t>FERC-725L</w:t>
            </w:r>
          </w:p>
        </w:tc>
        <w:tc>
          <w:tcPr>
            <w:tcW w:w="934" w:type="pct"/>
            <w:shd w:val="clear" w:color="auto" w:fill="D9D9D9"/>
            <w:vAlign w:val="bottom"/>
          </w:tcPr>
          <w:p w14:paraId="00922481" w14:textId="34B05E91" w:rsidR="00BB74FF" w:rsidRPr="00BB74FF" w:rsidRDefault="00BB74FF" w:rsidP="00BB74FF">
            <w:pPr>
              <w:spacing w:after="0"/>
              <w:jc w:val="center"/>
              <w:rPr>
                <w:rFonts w:ascii="Times New Roman" w:hAnsi="Times New Roman" w:cs="Times New Roman"/>
                <w:b/>
                <w:sz w:val="24"/>
                <w:szCs w:val="24"/>
              </w:rPr>
            </w:pPr>
            <w:r w:rsidRPr="00BB74FF">
              <w:rPr>
                <w:rFonts w:ascii="Times New Roman" w:hAnsi="Times New Roman" w:cs="Times New Roman"/>
                <w:b/>
                <w:sz w:val="24"/>
                <w:szCs w:val="24"/>
              </w:rPr>
              <w:t>Number of Respondents</w:t>
            </w:r>
            <w:r w:rsidRPr="00BB74FF">
              <w:rPr>
                <w:rFonts w:ascii="Times New Roman" w:hAnsi="Times New Roman" w:cs="Times New Roman"/>
                <w:b/>
                <w:sz w:val="24"/>
                <w:szCs w:val="24"/>
                <w:vertAlign w:val="superscript"/>
              </w:rPr>
              <w:fldChar w:fldCharType="begin"/>
            </w:r>
            <w:r w:rsidRPr="00BB74FF">
              <w:rPr>
                <w:rFonts w:ascii="Times New Roman" w:hAnsi="Times New Roman" w:cs="Times New Roman"/>
                <w:b/>
                <w:sz w:val="24"/>
                <w:szCs w:val="24"/>
                <w:vertAlign w:val="superscript"/>
              </w:rPr>
              <w:instrText xml:space="preserve"> NOTEREF _Ref366073937 \h  \* MERGEFORMAT </w:instrText>
            </w:r>
            <w:r w:rsidRPr="00BB74FF">
              <w:rPr>
                <w:rFonts w:ascii="Times New Roman" w:hAnsi="Times New Roman" w:cs="Times New Roman"/>
                <w:b/>
                <w:sz w:val="24"/>
                <w:szCs w:val="24"/>
                <w:vertAlign w:val="superscript"/>
              </w:rPr>
            </w:r>
            <w:r w:rsidRPr="00BB74FF">
              <w:rPr>
                <w:rFonts w:ascii="Times New Roman" w:hAnsi="Times New Roman" w:cs="Times New Roman"/>
                <w:b/>
                <w:sz w:val="24"/>
                <w:szCs w:val="24"/>
                <w:vertAlign w:val="superscript"/>
              </w:rPr>
              <w:fldChar w:fldCharType="separate"/>
            </w:r>
            <w:r w:rsidR="009B150F">
              <w:rPr>
                <w:rFonts w:ascii="Times New Roman" w:hAnsi="Times New Roman" w:cs="Times New Roman"/>
                <w:b/>
                <w:sz w:val="24"/>
                <w:szCs w:val="24"/>
                <w:vertAlign w:val="superscript"/>
              </w:rPr>
              <w:t>18</w:t>
            </w:r>
            <w:r w:rsidRPr="00BB74FF">
              <w:rPr>
                <w:rFonts w:ascii="Times New Roman" w:hAnsi="Times New Roman" w:cs="Times New Roman"/>
                <w:sz w:val="24"/>
                <w:szCs w:val="24"/>
              </w:rPr>
              <w:fldChar w:fldCharType="end"/>
            </w:r>
            <w:r w:rsidRPr="00BB74FF">
              <w:rPr>
                <w:rFonts w:ascii="Times New Roman" w:hAnsi="Times New Roman" w:cs="Times New Roman"/>
                <w:b/>
                <w:sz w:val="24"/>
                <w:szCs w:val="24"/>
              </w:rPr>
              <w:br/>
              <w:t>(1)</w:t>
            </w:r>
          </w:p>
        </w:tc>
        <w:tc>
          <w:tcPr>
            <w:tcW w:w="793" w:type="pct"/>
            <w:shd w:val="clear" w:color="auto" w:fill="D9D9D9"/>
            <w:vAlign w:val="bottom"/>
          </w:tcPr>
          <w:p w14:paraId="018F1081" w14:textId="77777777" w:rsidR="00BB74FF" w:rsidRPr="00BB74FF" w:rsidRDefault="00BB74FF" w:rsidP="00BB74FF">
            <w:pPr>
              <w:spacing w:after="0"/>
              <w:jc w:val="center"/>
              <w:rPr>
                <w:rFonts w:ascii="Times New Roman" w:hAnsi="Times New Roman" w:cs="Times New Roman"/>
                <w:b/>
                <w:sz w:val="24"/>
                <w:szCs w:val="24"/>
              </w:rPr>
            </w:pPr>
            <w:r w:rsidRPr="00BB74FF">
              <w:rPr>
                <w:rFonts w:ascii="Times New Roman" w:hAnsi="Times New Roman" w:cs="Times New Roman"/>
                <w:b/>
                <w:sz w:val="24"/>
                <w:szCs w:val="24"/>
              </w:rPr>
              <w:t>Number of Responses per Respondent</w:t>
            </w:r>
          </w:p>
          <w:p w14:paraId="6878DBB6" w14:textId="77777777" w:rsidR="00BB74FF" w:rsidRPr="00BB74FF" w:rsidRDefault="00BB74FF" w:rsidP="00BB74FF">
            <w:pPr>
              <w:spacing w:after="0"/>
              <w:jc w:val="center"/>
              <w:rPr>
                <w:rFonts w:ascii="Times New Roman" w:hAnsi="Times New Roman" w:cs="Times New Roman"/>
                <w:b/>
                <w:sz w:val="24"/>
                <w:szCs w:val="24"/>
              </w:rPr>
            </w:pPr>
            <w:r w:rsidRPr="00BB74FF">
              <w:rPr>
                <w:rFonts w:ascii="Times New Roman" w:hAnsi="Times New Roman" w:cs="Times New Roman"/>
                <w:b/>
                <w:sz w:val="24"/>
                <w:szCs w:val="24"/>
              </w:rPr>
              <w:t>(2)</w:t>
            </w:r>
          </w:p>
        </w:tc>
        <w:tc>
          <w:tcPr>
            <w:tcW w:w="651" w:type="pct"/>
            <w:shd w:val="clear" w:color="auto" w:fill="D9D9D9"/>
            <w:vAlign w:val="bottom"/>
          </w:tcPr>
          <w:p w14:paraId="7F91B8F4" w14:textId="77777777" w:rsidR="00BB74FF" w:rsidRPr="00BB74FF" w:rsidRDefault="00BB74FF" w:rsidP="00BB74FF">
            <w:pPr>
              <w:spacing w:after="0"/>
              <w:jc w:val="center"/>
              <w:rPr>
                <w:rFonts w:ascii="Times New Roman" w:hAnsi="Times New Roman" w:cs="Times New Roman"/>
                <w:b/>
                <w:sz w:val="24"/>
                <w:szCs w:val="24"/>
              </w:rPr>
            </w:pPr>
            <w:r w:rsidRPr="00BB74FF">
              <w:rPr>
                <w:rFonts w:ascii="Times New Roman" w:hAnsi="Times New Roman" w:cs="Times New Roman"/>
                <w:b/>
                <w:sz w:val="24"/>
                <w:szCs w:val="24"/>
              </w:rPr>
              <w:t>Average Burden Hours Per Response</w:t>
            </w:r>
          </w:p>
          <w:p w14:paraId="14716673" w14:textId="77777777" w:rsidR="00BB74FF" w:rsidRPr="00BB74FF" w:rsidRDefault="00BB74FF" w:rsidP="00BB74FF">
            <w:pPr>
              <w:spacing w:after="0"/>
              <w:jc w:val="center"/>
              <w:rPr>
                <w:rFonts w:ascii="Times New Roman" w:hAnsi="Times New Roman" w:cs="Times New Roman"/>
                <w:b/>
                <w:sz w:val="24"/>
                <w:szCs w:val="24"/>
              </w:rPr>
            </w:pPr>
            <w:r w:rsidRPr="00BB74FF">
              <w:rPr>
                <w:rFonts w:ascii="Times New Roman" w:hAnsi="Times New Roman" w:cs="Times New Roman"/>
                <w:b/>
                <w:sz w:val="24"/>
                <w:szCs w:val="24"/>
              </w:rPr>
              <w:t>(3)</w:t>
            </w:r>
          </w:p>
        </w:tc>
        <w:tc>
          <w:tcPr>
            <w:tcW w:w="718" w:type="pct"/>
            <w:shd w:val="clear" w:color="auto" w:fill="D9D9D9"/>
            <w:vAlign w:val="bottom"/>
          </w:tcPr>
          <w:p w14:paraId="5D73FC5A" w14:textId="77777777" w:rsidR="00BB74FF" w:rsidRPr="00BB74FF" w:rsidRDefault="00BB74FF" w:rsidP="00BB74FF">
            <w:pPr>
              <w:spacing w:after="0"/>
              <w:jc w:val="center"/>
              <w:rPr>
                <w:rFonts w:ascii="Times New Roman" w:hAnsi="Times New Roman" w:cs="Times New Roman"/>
                <w:b/>
                <w:sz w:val="24"/>
                <w:szCs w:val="24"/>
              </w:rPr>
            </w:pPr>
            <w:r w:rsidRPr="00BB74FF">
              <w:rPr>
                <w:rFonts w:ascii="Times New Roman" w:hAnsi="Times New Roman" w:cs="Times New Roman"/>
                <w:b/>
                <w:sz w:val="24"/>
                <w:szCs w:val="24"/>
              </w:rPr>
              <w:t>Total Annual Burden Hours</w:t>
            </w:r>
          </w:p>
          <w:p w14:paraId="45A4F9D6" w14:textId="77777777" w:rsidR="00BB74FF" w:rsidRPr="00BB74FF" w:rsidRDefault="00BB74FF" w:rsidP="00BB74FF">
            <w:pPr>
              <w:spacing w:after="0"/>
              <w:jc w:val="center"/>
              <w:rPr>
                <w:rFonts w:ascii="Times New Roman" w:hAnsi="Times New Roman" w:cs="Times New Roman"/>
                <w:b/>
                <w:sz w:val="24"/>
                <w:szCs w:val="24"/>
              </w:rPr>
            </w:pPr>
            <w:r w:rsidRPr="00BB74FF">
              <w:rPr>
                <w:rFonts w:ascii="Times New Roman" w:hAnsi="Times New Roman" w:cs="Times New Roman"/>
                <w:b/>
                <w:sz w:val="24"/>
                <w:szCs w:val="24"/>
              </w:rPr>
              <w:t>(1)x(2)x(3)</w:t>
            </w:r>
          </w:p>
        </w:tc>
        <w:tc>
          <w:tcPr>
            <w:tcW w:w="880" w:type="pct"/>
            <w:shd w:val="clear" w:color="auto" w:fill="D9D9D9"/>
            <w:vAlign w:val="bottom"/>
          </w:tcPr>
          <w:p w14:paraId="65116B38" w14:textId="6D28A3A9" w:rsidR="00BB74FF" w:rsidRPr="00BB74FF" w:rsidRDefault="00BB74FF" w:rsidP="00BB74FF">
            <w:pPr>
              <w:spacing w:after="0"/>
              <w:jc w:val="center"/>
              <w:rPr>
                <w:rFonts w:ascii="Times New Roman" w:hAnsi="Times New Roman" w:cs="Times New Roman"/>
                <w:b/>
                <w:sz w:val="24"/>
                <w:szCs w:val="24"/>
              </w:rPr>
            </w:pPr>
            <w:r w:rsidRPr="00BB74FF">
              <w:rPr>
                <w:rFonts w:ascii="Times New Roman" w:hAnsi="Times New Roman" w:cs="Times New Roman"/>
                <w:b/>
                <w:sz w:val="24"/>
                <w:szCs w:val="24"/>
              </w:rPr>
              <w:t>Total Annual Cost</w:t>
            </w:r>
            <w:r w:rsidRPr="00BB74FF">
              <w:rPr>
                <w:rFonts w:ascii="Times New Roman" w:hAnsi="Times New Roman" w:cs="Times New Roman"/>
                <w:b/>
                <w:sz w:val="24"/>
                <w:szCs w:val="24"/>
                <w:vertAlign w:val="superscript"/>
              </w:rPr>
              <w:fldChar w:fldCharType="begin"/>
            </w:r>
            <w:r w:rsidRPr="00BB74FF">
              <w:rPr>
                <w:rFonts w:ascii="Times New Roman" w:hAnsi="Times New Roman" w:cs="Times New Roman"/>
                <w:b/>
                <w:sz w:val="24"/>
                <w:szCs w:val="24"/>
                <w:vertAlign w:val="superscript"/>
              </w:rPr>
              <w:instrText xml:space="preserve"> NOTEREF _Ref366073887 \h  \* MERGEFORMAT </w:instrText>
            </w:r>
            <w:r w:rsidRPr="00BB74FF">
              <w:rPr>
                <w:rFonts w:ascii="Times New Roman" w:hAnsi="Times New Roman" w:cs="Times New Roman"/>
                <w:b/>
                <w:sz w:val="24"/>
                <w:szCs w:val="24"/>
                <w:vertAlign w:val="superscript"/>
              </w:rPr>
            </w:r>
            <w:r w:rsidRPr="00BB74FF">
              <w:rPr>
                <w:rFonts w:ascii="Times New Roman" w:hAnsi="Times New Roman" w:cs="Times New Roman"/>
                <w:b/>
                <w:sz w:val="24"/>
                <w:szCs w:val="24"/>
                <w:vertAlign w:val="superscript"/>
              </w:rPr>
              <w:fldChar w:fldCharType="separate"/>
            </w:r>
            <w:r w:rsidR="009B150F">
              <w:rPr>
                <w:rFonts w:ascii="Times New Roman" w:hAnsi="Times New Roman" w:cs="Times New Roman"/>
                <w:b/>
                <w:sz w:val="24"/>
                <w:szCs w:val="24"/>
                <w:vertAlign w:val="superscript"/>
              </w:rPr>
              <w:t>19</w:t>
            </w:r>
            <w:r w:rsidRPr="00BB74FF">
              <w:rPr>
                <w:rFonts w:ascii="Times New Roman" w:hAnsi="Times New Roman" w:cs="Times New Roman"/>
                <w:sz w:val="24"/>
                <w:szCs w:val="24"/>
              </w:rPr>
              <w:fldChar w:fldCharType="end"/>
            </w:r>
          </w:p>
        </w:tc>
      </w:tr>
      <w:tr w:rsidR="00BB74FF" w:rsidRPr="00BB74FF" w14:paraId="6964B5D2" w14:textId="77777777" w:rsidTr="00BC4C5F">
        <w:trPr>
          <w:cantSplit/>
        </w:trPr>
        <w:tc>
          <w:tcPr>
            <w:tcW w:w="1023" w:type="pct"/>
          </w:tcPr>
          <w:p w14:paraId="28011F57" w14:textId="77777777" w:rsidR="00BB74FF" w:rsidRPr="00BB74FF" w:rsidRDefault="00BB74FF" w:rsidP="00BB74FF">
            <w:pPr>
              <w:spacing w:after="0"/>
              <w:rPr>
                <w:rFonts w:ascii="Times New Roman" w:hAnsi="Times New Roman" w:cs="Times New Roman"/>
                <w:sz w:val="24"/>
                <w:szCs w:val="24"/>
              </w:rPr>
            </w:pPr>
            <w:r w:rsidRPr="00BB74FF">
              <w:rPr>
                <w:rFonts w:ascii="Times New Roman" w:hAnsi="Times New Roman" w:cs="Times New Roman"/>
                <w:sz w:val="24"/>
                <w:szCs w:val="24"/>
              </w:rPr>
              <w:t>Develop data validation procedures</w:t>
            </w:r>
          </w:p>
        </w:tc>
        <w:tc>
          <w:tcPr>
            <w:tcW w:w="934" w:type="pct"/>
            <w:vAlign w:val="bottom"/>
          </w:tcPr>
          <w:p w14:paraId="4E1C034D" w14:textId="77777777" w:rsidR="00BB74FF" w:rsidRPr="00BB74FF" w:rsidRDefault="00BB74FF" w:rsidP="00BC4C5F">
            <w:pPr>
              <w:spacing w:after="0"/>
              <w:jc w:val="right"/>
              <w:rPr>
                <w:rFonts w:ascii="Times New Roman" w:hAnsi="Times New Roman" w:cs="Times New Roman"/>
                <w:sz w:val="24"/>
                <w:szCs w:val="24"/>
              </w:rPr>
            </w:pPr>
            <w:r w:rsidRPr="00BB74FF">
              <w:rPr>
                <w:rFonts w:ascii="Times New Roman" w:hAnsi="Times New Roman" w:cs="Times New Roman"/>
                <w:sz w:val="24"/>
                <w:szCs w:val="24"/>
              </w:rPr>
              <w:t xml:space="preserve">75 </w:t>
            </w:r>
          </w:p>
          <w:p w14:paraId="23B791BE" w14:textId="77777777" w:rsidR="00BB74FF" w:rsidRPr="00BB74FF" w:rsidRDefault="00BB74FF" w:rsidP="00BC4C5F">
            <w:pPr>
              <w:spacing w:after="0"/>
              <w:jc w:val="right"/>
              <w:rPr>
                <w:rFonts w:ascii="Times New Roman" w:hAnsi="Times New Roman" w:cs="Times New Roman"/>
                <w:sz w:val="24"/>
                <w:szCs w:val="24"/>
              </w:rPr>
            </w:pPr>
            <w:r w:rsidRPr="00BB74FF">
              <w:rPr>
                <w:rFonts w:ascii="Times New Roman" w:hAnsi="Times New Roman" w:cs="Times New Roman"/>
                <w:sz w:val="24"/>
                <w:szCs w:val="24"/>
              </w:rPr>
              <w:t>(PA)</w:t>
            </w:r>
          </w:p>
          <w:p w14:paraId="545EE7A9" w14:textId="77777777" w:rsidR="00BB74FF" w:rsidRPr="00BB74FF" w:rsidRDefault="00BB74FF" w:rsidP="00BC4C5F">
            <w:pPr>
              <w:spacing w:after="0"/>
              <w:jc w:val="right"/>
              <w:rPr>
                <w:rFonts w:ascii="Times New Roman" w:hAnsi="Times New Roman" w:cs="Times New Roman"/>
                <w:sz w:val="24"/>
                <w:szCs w:val="24"/>
              </w:rPr>
            </w:pPr>
          </w:p>
        </w:tc>
        <w:tc>
          <w:tcPr>
            <w:tcW w:w="793" w:type="pct"/>
            <w:vAlign w:val="bottom"/>
          </w:tcPr>
          <w:p w14:paraId="57EA1CBA" w14:textId="77777777" w:rsidR="00BB74FF" w:rsidRPr="00BB74FF" w:rsidRDefault="00BB74FF" w:rsidP="00BC4C5F">
            <w:pPr>
              <w:spacing w:after="0"/>
              <w:jc w:val="right"/>
              <w:rPr>
                <w:rFonts w:ascii="Times New Roman" w:hAnsi="Times New Roman" w:cs="Times New Roman"/>
                <w:sz w:val="24"/>
                <w:szCs w:val="24"/>
              </w:rPr>
            </w:pPr>
            <w:r w:rsidRPr="00BB74FF">
              <w:rPr>
                <w:rFonts w:ascii="Times New Roman" w:hAnsi="Times New Roman" w:cs="Times New Roman"/>
                <w:sz w:val="24"/>
                <w:szCs w:val="24"/>
              </w:rPr>
              <w:t>1</w:t>
            </w:r>
          </w:p>
        </w:tc>
        <w:tc>
          <w:tcPr>
            <w:tcW w:w="651" w:type="pct"/>
            <w:vAlign w:val="bottom"/>
          </w:tcPr>
          <w:p w14:paraId="4B5CFFB5" w14:textId="77777777" w:rsidR="00BB74FF" w:rsidRPr="00BB74FF" w:rsidRDefault="00BB74FF" w:rsidP="00BC4C5F">
            <w:pPr>
              <w:spacing w:after="0"/>
              <w:jc w:val="right"/>
              <w:rPr>
                <w:rFonts w:ascii="Times New Roman" w:hAnsi="Times New Roman" w:cs="Times New Roman"/>
                <w:sz w:val="24"/>
                <w:szCs w:val="24"/>
              </w:rPr>
            </w:pPr>
            <w:r w:rsidRPr="00BB74FF">
              <w:rPr>
                <w:rFonts w:ascii="Times New Roman" w:hAnsi="Times New Roman" w:cs="Times New Roman"/>
                <w:sz w:val="24"/>
                <w:szCs w:val="24"/>
              </w:rPr>
              <w:t>8</w:t>
            </w:r>
          </w:p>
        </w:tc>
        <w:tc>
          <w:tcPr>
            <w:tcW w:w="718" w:type="pct"/>
            <w:vAlign w:val="bottom"/>
          </w:tcPr>
          <w:p w14:paraId="49CAB16C" w14:textId="77777777" w:rsidR="00BB74FF" w:rsidRPr="00BB74FF" w:rsidRDefault="00BB74FF" w:rsidP="00BC4C5F">
            <w:pPr>
              <w:spacing w:after="0"/>
              <w:jc w:val="right"/>
              <w:rPr>
                <w:rFonts w:ascii="Times New Roman" w:hAnsi="Times New Roman" w:cs="Times New Roman"/>
                <w:sz w:val="24"/>
                <w:szCs w:val="24"/>
              </w:rPr>
            </w:pPr>
            <w:r w:rsidRPr="00BB74FF">
              <w:rPr>
                <w:rFonts w:ascii="Times New Roman" w:hAnsi="Times New Roman" w:cs="Times New Roman"/>
                <w:sz w:val="24"/>
                <w:szCs w:val="24"/>
              </w:rPr>
              <w:t xml:space="preserve">600 </w:t>
            </w:r>
          </w:p>
        </w:tc>
        <w:tc>
          <w:tcPr>
            <w:tcW w:w="880" w:type="pct"/>
            <w:vAlign w:val="bottom"/>
          </w:tcPr>
          <w:p w14:paraId="000560F1" w14:textId="1EF9458E" w:rsidR="00BB74FF" w:rsidRPr="00BB74FF" w:rsidRDefault="00BB74FF" w:rsidP="00BC4C5F">
            <w:pPr>
              <w:spacing w:after="0"/>
              <w:jc w:val="right"/>
              <w:rPr>
                <w:rFonts w:ascii="Times New Roman" w:hAnsi="Times New Roman" w:cs="Times New Roman"/>
                <w:sz w:val="24"/>
                <w:szCs w:val="24"/>
              </w:rPr>
            </w:pPr>
            <w:r w:rsidRPr="00BB74FF">
              <w:rPr>
                <w:rFonts w:ascii="Times New Roman" w:hAnsi="Times New Roman" w:cs="Times New Roman"/>
                <w:sz w:val="24"/>
                <w:szCs w:val="24"/>
              </w:rPr>
              <w:t>$36,000</w:t>
            </w:r>
            <w:r w:rsidRPr="00BB74FF">
              <w:rPr>
                <w:rFonts w:ascii="Times New Roman" w:hAnsi="Times New Roman" w:cs="Times New Roman"/>
                <w:sz w:val="24"/>
                <w:szCs w:val="24"/>
              </w:rPr>
              <w:br/>
              <w:t>one-time (</w:t>
            </w:r>
            <w:r w:rsidR="005575EF">
              <w:rPr>
                <w:rFonts w:ascii="Times New Roman" w:hAnsi="Times New Roman" w:cs="Times New Roman"/>
                <w:sz w:val="24"/>
                <w:szCs w:val="24"/>
              </w:rPr>
              <w:t>@</w:t>
            </w:r>
            <w:r w:rsidRPr="00BB74FF">
              <w:rPr>
                <w:rFonts w:ascii="Times New Roman" w:hAnsi="Times New Roman" w:cs="Times New Roman"/>
                <w:sz w:val="24"/>
                <w:szCs w:val="24"/>
              </w:rPr>
              <w:t>$60/</w:t>
            </w:r>
            <w:proofErr w:type="spellStart"/>
            <w:r w:rsidRPr="00BB74FF">
              <w:rPr>
                <w:rFonts w:ascii="Times New Roman" w:hAnsi="Times New Roman" w:cs="Times New Roman"/>
                <w:sz w:val="24"/>
                <w:szCs w:val="24"/>
              </w:rPr>
              <w:t>hr</w:t>
            </w:r>
            <w:proofErr w:type="spellEnd"/>
            <w:r w:rsidRPr="00BB74FF">
              <w:rPr>
                <w:rFonts w:ascii="Times New Roman" w:hAnsi="Times New Roman" w:cs="Times New Roman"/>
                <w:sz w:val="24"/>
                <w:szCs w:val="24"/>
              </w:rPr>
              <w:t>)</w:t>
            </w:r>
          </w:p>
        </w:tc>
      </w:tr>
      <w:tr w:rsidR="00BB74FF" w:rsidRPr="00BB74FF" w14:paraId="6EC5D613" w14:textId="77777777" w:rsidTr="00BC4C5F">
        <w:trPr>
          <w:cantSplit/>
          <w:trHeight w:val="467"/>
        </w:trPr>
        <w:tc>
          <w:tcPr>
            <w:tcW w:w="1023" w:type="pct"/>
          </w:tcPr>
          <w:p w14:paraId="57A022F0" w14:textId="77777777" w:rsidR="00BB74FF" w:rsidRPr="00BB74FF" w:rsidRDefault="00BB74FF" w:rsidP="00BB74FF">
            <w:pPr>
              <w:spacing w:after="0"/>
              <w:rPr>
                <w:rFonts w:ascii="Times New Roman" w:hAnsi="Times New Roman" w:cs="Times New Roman"/>
                <w:sz w:val="24"/>
                <w:szCs w:val="24"/>
              </w:rPr>
            </w:pPr>
            <w:r w:rsidRPr="00BB74FF">
              <w:rPr>
                <w:rFonts w:ascii="Times New Roman" w:hAnsi="Times New Roman" w:cs="Times New Roman"/>
                <w:sz w:val="24"/>
                <w:szCs w:val="24"/>
              </w:rPr>
              <w:t>Data Submittal</w:t>
            </w:r>
          </w:p>
        </w:tc>
        <w:tc>
          <w:tcPr>
            <w:tcW w:w="934" w:type="pct"/>
            <w:vAlign w:val="bottom"/>
          </w:tcPr>
          <w:p w14:paraId="35693D3C" w14:textId="77777777" w:rsidR="00BB74FF" w:rsidRPr="00BB74FF" w:rsidRDefault="00BB74FF" w:rsidP="00BC4C5F">
            <w:pPr>
              <w:spacing w:after="0"/>
              <w:jc w:val="right"/>
              <w:rPr>
                <w:rFonts w:ascii="Times New Roman" w:hAnsi="Times New Roman" w:cs="Times New Roman"/>
                <w:sz w:val="24"/>
                <w:szCs w:val="24"/>
              </w:rPr>
            </w:pPr>
            <w:r w:rsidRPr="00BB74FF">
              <w:rPr>
                <w:rFonts w:ascii="Times New Roman" w:hAnsi="Times New Roman" w:cs="Times New Roman"/>
                <w:sz w:val="24"/>
                <w:szCs w:val="24"/>
              </w:rPr>
              <w:t xml:space="preserve">196 </w:t>
            </w:r>
          </w:p>
          <w:p w14:paraId="215EFDCA" w14:textId="77777777" w:rsidR="00BB74FF" w:rsidRPr="00BB74FF" w:rsidRDefault="00BB74FF" w:rsidP="00BC4C5F">
            <w:pPr>
              <w:spacing w:after="0"/>
              <w:jc w:val="right"/>
              <w:rPr>
                <w:rFonts w:ascii="Times New Roman" w:hAnsi="Times New Roman" w:cs="Times New Roman"/>
                <w:sz w:val="24"/>
                <w:szCs w:val="24"/>
              </w:rPr>
            </w:pPr>
            <w:r w:rsidRPr="00BB74FF">
              <w:rPr>
                <w:rFonts w:ascii="Times New Roman" w:hAnsi="Times New Roman" w:cs="Times New Roman"/>
                <w:sz w:val="24"/>
                <w:szCs w:val="24"/>
              </w:rPr>
              <w:t>(RC, TOP)</w:t>
            </w:r>
          </w:p>
        </w:tc>
        <w:tc>
          <w:tcPr>
            <w:tcW w:w="793" w:type="pct"/>
            <w:vAlign w:val="bottom"/>
          </w:tcPr>
          <w:p w14:paraId="543B03CD" w14:textId="77777777" w:rsidR="00BB74FF" w:rsidRPr="00BB74FF" w:rsidRDefault="00BB74FF" w:rsidP="00BC4C5F">
            <w:pPr>
              <w:spacing w:after="0"/>
              <w:jc w:val="right"/>
              <w:rPr>
                <w:rFonts w:ascii="Times New Roman" w:hAnsi="Times New Roman" w:cs="Times New Roman"/>
                <w:sz w:val="24"/>
                <w:szCs w:val="24"/>
              </w:rPr>
            </w:pPr>
            <w:r w:rsidRPr="00BB74FF">
              <w:rPr>
                <w:rFonts w:ascii="Times New Roman" w:hAnsi="Times New Roman" w:cs="Times New Roman"/>
                <w:sz w:val="24"/>
                <w:szCs w:val="24"/>
              </w:rPr>
              <w:t>1</w:t>
            </w:r>
          </w:p>
        </w:tc>
        <w:tc>
          <w:tcPr>
            <w:tcW w:w="651" w:type="pct"/>
            <w:vAlign w:val="bottom"/>
          </w:tcPr>
          <w:p w14:paraId="770DAC02" w14:textId="77777777" w:rsidR="00BB74FF" w:rsidRPr="00BB74FF" w:rsidRDefault="00BB74FF" w:rsidP="00BC4C5F">
            <w:pPr>
              <w:spacing w:after="0"/>
              <w:jc w:val="right"/>
              <w:rPr>
                <w:rFonts w:ascii="Times New Roman" w:hAnsi="Times New Roman" w:cs="Times New Roman"/>
                <w:sz w:val="24"/>
                <w:szCs w:val="24"/>
              </w:rPr>
            </w:pPr>
            <w:r w:rsidRPr="00BB74FF">
              <w:rPr>
                <w:rFonts w:ascii="Times New Roman" w:hAnsi="Times New Roman" w:cs="Times New Roman"/>
                <w:sz w:val="24"/>
                <w:szCs w:val="24"/>
              </w:rPr>
              <w:t>8</w:t>
            </w:r>
          </w:p>
        </w:tc>
        <w:tc>
          <w:tcPr>
            <w:tcW w:w="718" w:type="pct"/>
            <w:vAlign w:val="bottom"/>
          </w:tcPr>
          <w:p w14:paraId="628CAF14" w14:textId="77777777" w:rsidR="00BB74FF" w:rsidRPr="00BB74FF" w:rsidRDefault="00BB74FF" w:rsidP="00BC4C5F">
            <w:pPr>
              <w:spacing w:after="0"/>
              <w:jc w:val="right"/>
              <w:rPr>
                <w:rFonts w:ascii="Times New Roman" w:hAnsi="Times New Roman" w:cs="Times New Roman"/>
                <w:sz w:val="24"/>
                <w:szCs w:val="24"/>
              </w:rPr>
            </w:pPr>
            <w:r w:rsidRPr="00BB74FF">
              <w:rPr>
                <w:rFonts w:ascii="Times New Roman" w:hAnsi="Times New Roman" w:cs="Times New Roman"/>
                <w:sz w:val="24"/>
                <w:szCs w:val="24"/>
              </w:rPr>
              <w:t>1,568</w:t>
            </w:r>
          </w:p>
        </w:tc>
        <w:tc>
          <w:tcPr>
            <w:tcW w:w="880" w:type="pct"/>
            <w:vAlign w:val="bottom"/>
          </w:tcPr>
          <w:p w14:paraId="4A2570E6" w14:textId="77777777" w:rsidR="00BB74FF" w:rsidRPr="00BB74FF" w:rsidRDefault="00BB74FF" w:rsidP="00BC4C5F">
            <w:pPr>
              <w:spacing w:after="0"/>
              <w:jc w:val="right"/>
              <w:rPr>
                <w:rFonts w:ascii="Times New Roman" w:hAnsi="Times New Roman" w:cs="Times New Roman"/>
                <w:sz w:val="24"/>
                <w:szCs w:val="24"/>
              </w:rPr>
            </w:pPr>
            <w:r w:rsidRPr="00BB74FF">
              <w:rPr>
                <w:rFonts w:ascii="Times New Roman" w:hAnsi="Times New Roman" w:cs="Times New Roman"/>
                <w:sz w:val="24"/>
                <w:szCs w:val="24"/>
              </w:rPr>
              <w:t>$94,080</w:t>
            </w:r>
          </w:p>
          <w:p w14:paraId="19691135" w14:textId="5BEE210A" w:rsidR="00BB74FF" w:rsidRPr="00BB74FF" w:rsidRDefault="00BB74FF" w:rsidP="00BC4C5F">
            <w:pPr>
              <w:spacing w:after="0"/>
              <w:jc w:val="right"/>
              <w:rPr>
                <w:rFonts w:ascii="Times New Roman" w:hAnsi="Times New Roman" w:cs="Times New Roman"/>
                <w:sz w:val="24"/>
                <w:szCs w:val="24"/>
              </w:rPr>
            </w:pPr>
            <w:r w:rsidRPr="00BB74FF">
              <w:rPr>
                <w:rFonts w:ascii="Times New Roman" w:hAnsi="Times New Roman" w:cs="Times New Roman"/>
                <w:sz w:val="24"/>
                <w:szCs w:val="24"/>
              </w:rPr>
              <w:t>(</w:t>
            </w:r>
            <w:r w:rsidR="005575EF">
              <w:rPr>
                <w:rFonts w:ascii="Times New Roman" w:hAnsi="Times New Roman" w:cs="Times New Roman"/>
                <w:sz w:val="24"/>
                <w:szCs w:val="24"/>
              </w:rPr>
              <w:t>@</w:t>
            </w:r>
            <w:r w:rsidRPr="00BB74FF">
              <w:rPr>
                <w:rFonts w:ascii="Times New Roman" w:hAnsi="Times New Roman" w:cs="Times New Roman"/>
                <w:sz w:val="24"/>
                <w:szCs w:val="24"/>
              </w:rPr>
              <w:t>$60/</w:t>
            </w:r>
            <w:proofErr w:type="spellStart"/>
            <w:r w:rsidRPr="00BB74FF">
              <w:rPr>
                <w:rFonts w:ascii="Times New Roman" w:hAnsi="Times New Roman" w:cs="Times New Roman"/>
                <w:sz w:val="24"/>
                <w:szCs w:val="24"/>
              </w:rPr>
              <w:t>hr</w:t>
            </w:r>
            <w:proofErr w:type="spellEnd"/>
            <w:r w:rsidRPr="00BB74FF">
              <w:rPr>
                <w:rFonts w:ascii="Times New Roman" w:hAnsi="Times New Roman" w:cs="Times New Roman"/>
                <w:sz w:val="24"/>
                <w:szCs w:val="24"/>
              </w:rPr>
              <w:t>)</w:t>
            </w:r>
          </w:p>
        </w:tc>
      </w:tr>
      <w:tr w:rsidR="00BB74FF" w:rsidRPr="00BB74FF" w14:paraId="62C2559C" w14:textId="77777777" w:rsidTr="00BC4C5F">
        <w:trPr>
          <w:cantSplit/>
          <w:trHeight w:val="485"/>
        </w:trPr>
        <w:tc>
          <w:tcPr>
            <w:tcW w:w="1023" w:type="pct"/>
          </w:tcPr>
          <w:p w14:paraId="36B27D1B" w14:textId="77777777" w:rsidR="00BB74FF" w:rsidRPr="00BB74FF" w:rsidRDefault="00BB74FF" w:rsidP="00BB74FF">
            <w:pPr>
              <w:spacing w:after="0"/>
              <w:rPr>
                <w:rFonts w:ascii="Times New Roman" w:hAnsi="Times New Roman" w:cs="Times New Roman"/>
                <w:sz w:val="24"/>
                <w:szCs w:val="24"/>
              </w:rPr>
            </w:pPr>
            <w:r w:rsidRPr="00BB74FF">
              <w:rPr>
                <w:rFonts w:ascii="Times New Roman" w:hAnsi="Times New Roman" w:cs="Times New Roman"/>
                <w:sz w:val="24"/>
                <w:szCs w:val="24"/>
              </w:rPr>
              <w:t>Evidence Retention</w:t>
            </w:r>
          </w:p>
        </w:tc>
        <w:tc>
          <w:tcPr>
            <w:tcW w:w="934" w:type="pct"/>
            <w:tcBorders>
              <w:bottom w:val="single" w:sz="4" w:space="0" w:color="auto"/>
            </w:tcBorders>
            <w:vAlign w:val="bottom"/>
          </w:tcPr>
          <w:p w14:paraId="7876455A" w14:textId="6EC3EF1E" w:rsidR="00BB74FF" w:rsidRPr="00BB74FF" w:rsidRDefault="00BB74FF" w:rsidP="00BC4C5F">
            <w:pPr>
              <w:spacing w:after="0"/>
              <w:jc w:val="right"/>
              <w:rPr>
                <w:rFonts w:ascii="Times New Roman" w:hAnsi="Times New Roman" w:cs="Times New Roman"/>
                <w:sz w:val="24"/>
                <w:szCs w:val="24"/>
              </w:rPr>
            </w:pPr>
            <w:r w:rsidRPr="00BB74FF">
              <w:rPr>
                <w:rFonts w:ascii="Times New Roman" w:hAnsi="Times New Roman" w:cs="Times New Roman"/>
                <w:sz w:val="24"/>
                <w:szCs w:val="24"/>
              </w:rPr>
              <w:t>20</w:t>
            </w:r>
            <w:r w:rsidR="006F79F1">
              <w:rPr>
                <w:rFonts w:ascii="Times New Roman" w:hAnsi="Times New Roman" w:cs="Times New Roman"/>
                <w:sz w:val="24"/>
                <w:szCs w:val="24"/>
              </w:rPr>
              <w:t>0</w:t>
            </w:r>
          </w:p>
          <w:p w14:paraId="6C4F9803" w14:textId="77777777" w:rsidR="00BB74FF" w:rsidRPr="00BB74FF" w:rsidRDefault="00BB74FF" w:rsidP="00BC4C5F">
            <w:pPr>
              <w:spacing w:after="0"/>
              <w:jc w:val="right"/>
              <w:rPr>
                <w:rFonts w:ascii="Times New Roman" w:hAnsi="Times New Roman" w:cs="Times New Roman"/>
                <w:sz w:val="24"/>
                <w:szCs w:val="24"/>
              </w:rPr>
            </w:pPr>
            <w:r w:rsidRPr="00BB74FF">
              <w:rPr>
                <w:rFonts w:ascii="Times New Roman" w:hAnsi="Times New Roman" w:cs="Times New Roman"/>
                <w:sz w:val="24"/>
                <w:szCs w:val="24"/>
              </w:rPr>
              <w:t>(PA, RC, TOP)</w:t>
            </w:r>
          </w:p>
        </w:tc>
        <w:tc>
          <w:tcPr>
            <w:tcW w:w="793" w:type="pct"/>
            <w:tcBorders>
              <w:bottom w:val="single" w:sz="4" w:space="0" w:color="auto"/>
            </w:tcBorders>
            <w:vAlign w:val="bottom"/>
          </w:tcPr>
          <w:p w14:paraId="448790EB" w14:textId="77777777" w:rsidR="00BB74FF" w:rsidRPr="00BB74FF" w:rsidRDefault="00BB74FF" w:rsidP="00BC4C5F">
            <w:pPr>
              <w:spacing w:after="0"/>
              <w:jc w:val="right"/>
              <w:rPr>
                <w:rFonts w:ascii="Times New Roman" w:hAnsi="Times New Roman" w:cs="Times New Roman"/>
                <w:sz w:val="24"/>
                <w:szCs w:val="24"/>
              </w:rPr>
            </w:pPr>
            <w:r w:rsidRPr="00BB74FF">
              <w:rPr>
                <w:rFonts w:ascii="Times New Roman" w:hAnsi="Times New Roman" w:cs="Times New Roman"/>
                <w:sz w:val="24"/>
                <w:szCs w:val="24"/>
              </w:rPr>
              <w:t>1</w:t>
            </w:r>
          </w:p>
        </w:tc>
        <w:tc>
          <w:tcPr>
            <w:tcW w:w="651" w:type="pct"/>
            <w:tcBorders>
              <w:bottom w:val="single" w:sz="4" w:space="0" w:color="auto"/>
            </w:tcBorders>
            <w:vAlign w:val="bottom"/>
          </w:tcPr>
          <w:p w14:paraId="1FCF5B85" w14:textId="77777777" w:rsidR="00BB74FF" w:rsidRPr="00BB74FF" w:rsidRDefault="00BB74FF" w:rsidP="00BC4C5F">
            <w:pPr>
              <w:spacing w:after="0"/>
              <w:jc w:val="right"/>
              <w:rPr>
                <w:rFonts w:ascii="Times New Roman" w:hAnsi="Times New Roman" w:cs="Times New Roman"/>
                <w:sz w:val="24"/>
                <w:szCs w:val="24"/>
              </w:rPr>
            </w:pPr>
            <w:r w:rsidRPr="00BB74FF">
              <w:rPr>
                <w:rFonts w:ascii="Times New Roman" w:hAnsi="Times New Roman" w:cs="Times New Roman"/>
                <w:sz w:val="24"/>
                <w:szCs w:val="24"/>
              </w:rPr>
              <w:t>1</w:t>
            </w:r>
          </w:p>
        </w:tc>
        <w:tc>
          <w:tcPr>
            <w:tcW w:w="718" w:type="pct"/>
            <w:vAlign w:val="bottom"/>
          </w:tcPr>
          <w:p w14:paraId="70F6B01D" w14:textId="77777777" w:rsidR="00BB74FF" w:rsidRPr="00BB74FF" w:rsidRDefault="00BB74FF" w:rsidP="00BC4C5F">
            <w:pPr>
              <w:spacing w:after="0"/>
              <w:jc w:val="right"/>
              <w:rPr>
                <w:rFonts w:ascii="Times New Roman" w:hAnsi="Times New Roman" w:cs="Times New Roman"/>
                <w:sz w:val="24"/>
                <w:szCs w:val="24"/>
              </w:rPr>
            </w:pPr>
            <w:r w:rsidRPr="00BB74FF">
              <w:rPr>
                <w:rFonts w:ascii="Times New Roman" w:hAnsi="Times New Roman" w:cs="Times New Roman"/>
                <w:sz w:val="24"/>
                <w:szCs w:val="24"/>
              </w:rPr>
              <w:t>200</w:t>
            </w:r>
          </w:p>
        </w:tc>
        <w:tc>
          <w:tcPr>
            <w:tcW w:w="880" w:type="pct"/>
            <w:vAlign w:val="bottom"/>
          </w:tcPr>
          <w:p w14:paraId="42CF4E95" w14:textId="77777777" w:rsidR="00BB74FF" w:rsidRPr="00BB74FF" w:rsidRDefault="00BB74FF" w:rsidP="00BC4C5F">
            <w:pPr>
              <w:spacing w:after="0"/>
              <w:jc w:val="right"/>
              <w:rPr>
                <w:rFonts w:ascii="Times New Roman" w:hAnsi="Times New Roman" w:cs="Times New Roman"/>
                <w:sz w:val="24"/>
                <w:szCs w:val="24"/>
              </w:rPr>
            </w:pPr>
            <w:r w:rsidRPr="00BB74FF">
              <w:rPr>
                <w:rFonts w:ascii="Times New Roman" w:hAnsi="Times New Roman" w:cs="Times New Roman"/>
                <w:sz w:val="24"/>
                <w:szCs w:val="24"/>
              </w:rPr>
              <w:t>$6,400</w:t>
            </w:r>
          </w:p>
          <w:p w14:paraId="26068252" w14:textId="77777777" w:rsidR="00BB74FF" w:rsidRPr="00BB74FF" w:rsidRDefault="00BB74FF" w:rsidP="00BC4C5F">
            <w:pPr>
              <w:spacing w:after="0"/>
              <w:jc w:val="right"/>
              <w:rPr>
                <w:rFonts w:ascii="Times New Roman" w:hAnsi="Times New Roman" w:cs="Times New Roman"/>
                <w:sz w:val="24"/>
                <w:szCs w:val="24"/>
              </w:rPr>
            </w:pPr>
            <w:r w:rsidRPr="00BB74FF">
              <w:rPr>
                <w:rFonts w:ascii="Times New Roman" w:hAnsi="Times New Roman" w:cs="Times New Roman"/>
                <w:sz w:val="24"/>
                <w:szCs w:val="24"/>
              </w:rPr>
              <w:t xml:space="preserve"> ($32/</w:t>
            </w:r>
            <w:proofErr w:type="spellStart"/>
            <w:r w:rsidRPr="00BB74FF">
              <w:rPr>
                <w:rFonts w:ascii="Times New Roman" w:hAnsi="Times New Roman" w:cs="Times New Roman"/>
                <w:sz w:val="24"/>
                <w:szCs w:val="24"/>
              </w:rPr>
              <w:t>hr</w:t>
            </w:r>
            <w:proofErr w:type="spellEnd"/>
            <w:r w:rsidRPr="00BB74FF">
              <w:rPr>
                <w:rFonts w:ascii="Times New Roman" w:hAnsi="Times New Roman" w:cs="Times New Roman"/>
                <w:sz w:val="24"/>
                <w:szCs w:val="24"/>
              </w:rPr>
              <w:t>)</w:t>
            </w:r>
          </w:p>
        </w:tc>
      </w:tr>
      <w:tr w:rsidR="00BB74FF" w:rsidRPr="00BB74FF" w14:paraId="49BEE811" w14:textId="77777777" w:rsidTr="00BC4C5F">
        <w:trPr>
          <w:cantSplit/>
          <w:trHeight w:val="485"/>
        </w:trPr>
        <w:tc>
          <w:tcPr>
            <w:tcW w:w="1023" w:type="pct"/>
            <w:tcBorders>
              <w:bottom w:val="single" w:sz="4" w:space="0" w:color="auto"/>
            </w:tcBorders>
          </w:tcPr>
          <w:p w14:paraId="545B28FF" w14:textId="77777777" w:rsidR="00BB74FF" w:rsidRPr="00BB74FF" w:rsidRDefault="00BB74FF" w:rsidP="00BB74FF">
            <w:pPr>
              <w:spacing w:after="0"/>
              <w:rPr>
                <w:rFonts w:ascii="Times New Roman" w:hAnsi="Times New Roman" w:cs="Times New Roman"/>
                <w:b/>
                <w:sz w:val="24"/>
                <w:szCs w:val="24"/>
              </w:rPr>
            </w:pPr>
            <w:r w:rsidRPr="00BB74FF">
              <w:rPr>
                <w:rFonts w:ascii="Times New Roman" w:hAnsi="Times New Roman" w:cs="Times New Roman"/>
                <w:b/>
                <w:sz w:val="24"/>
                <w:szCs w:val="24"/>
              </w:rPr>
              <w:t>TOTAL</w:t>
            </w:r>
          </w:p>
        </w:tc>
        <w:tc>
          <w:tcPr>
            <w:tcW w:w="2378" w:type="pct"/>
            <w:gridSpan w:val="3"/>
            <w:tcBorders>
              <w:bottom w:val="single" w:sz="4" w:space="0" w:color="auto"/>
            </w:tcBorders>
            <w:shd w:val="clear" w:color="auto" w:fill="D9D9D9"/>
            <w:vAlign w:val="bottom"/>
          </w:tcPr>
          <w:p w14:paraId="4840AAFC" w14:textId="77777777" w:rsidR="00BB74FF" w:rsidRPr="00BB74FF" w:rsidRDefault="00BB74FF" w:rsidP="00BC4C5F">
            <w:pPr>
              <w:spacing w:after="0"/>
              <w:jc w:val="right"/>
              <w:rPr>
                <w:rFonts w:ascii="Times New Roman" w:hAnsi="Times New Roman" w:cs="Times New Roman"/>
                <w:b/>
                <w:sz w:val="24"/>
                <w:szCs w:val="24"/>
              </w:rPr>
            </w:pPr>
          </w:p>
        </w:tc>
        <w:tc>
          <w:tcPr>
            <w:tcW w:w="718" w:type="pct"/>
            <w:tcBorders>
              <w:bottom w:val="single" w:sz="4" w:space="0" w:color="auto"/>
            </w:tcBorders>
            <w:vAlign w:val="bottom"/>
          </w:tcPr>
          <w:p w14:paraId="73EC520C" w14:textId="77777777" w:rsidR="00BB74FF" w:rsidRPr="00BB74FF" w:rsidRDefault="00BB74FF" w:rsidP="00BC4C5F">
            <w:pPr>
              <w:spacing w:after="0"/>
              <w:jc w:val="right"/>
              <w:rPr>
                <w:rFonts w:ascii="Times New Roman" w:hAnsi="Times New Roman" w:cs="Times New Roman"/>
                <w:b/>
                <w:sz w:val="24"/>
                <w:szCs w:val="24"/>
              </w:rPr>
            </w:pPr>
            <w:r w:rsidRPr="00BB74FF">
              <w:rPr>
                <w:rFonts w:ascii="Times New Roman" w:hAnsi="Times New Roman" w:cs="Times New Roman"/>
                <w:b/>
                <w:sz w:val="24"/>
                <w:szCs w:val="24"/>
              </w:rPr>
              <w:t>2,368</w:t>
            </w:r>
          </w:p>
        </w:tc>
        <w:tc>
          <w:tcPr>
            <w:tcW w:w="880" w:type="pct"/>
            <w:tcBorders>
              <w:bottom w:val="single" w:sz="4" w:space="0" w:color="auto"/>
            </w:tcBorders>
            <w:vAlign w:val="bottom"/>
          </w:tcPr>
          <w:p w14:paraId="4C1481A8" w14:textId="77777777" w:rsidR="00BB74FF" w:rsidRPr="00BB74FF" w:rsidRDefault="00BB74FF" w:rsidP="00BC4C5F">
            <w:pPr>
              <w:spacing w:after="0"/>
              <w:jc w:val="right"/>
              <w:rPr>
                <w:rFonts w:ascii="Times New Roman" w:hAnsi="Times New Roman" w:cs="Times New Roman"/>
                <w:b/>
                <w:sz w:val="24"/>
                <w:szCs w:val="24"/>
              </w:rPr>
            </w:pPr>
            <w:r w:rsidRPr="00BB74FF">
              <w:rPr>
                <w:rFonts w:ascii="Times New Roman" w:hAnsi="Times New Roman" w:cs="Times New Roman"/>
                <w:b/>
                <w:sz w:val="24"/>
                <w:szCs w:val="24"/>
              </w:rPr>
              <w:t>$136,480</w:t>
            </w:r>
          </w:p>
        </w:tc>
      </w:tr>
    </w:tbl>
    <w:p w14:paraId="0F4CF0D2" w14:textId="77777777" w:rsidR="00BB74FF" w:rsidRDefault="00BB74FF" w:rsidP="00A276F5">
      <w:pPr>
        <w:spacing w:after="0"/>
        <w:rPr>
          <w:rFonts w:ascii="Times New Roman" w:hAnsi="Times New Roman" w:cs="Times New Roman"/>
          <w:sz w:val="24"/>
          <w:szCs w:val="24"/>
        </w:rPr>
      </w:pPr>
    </w:p>
    <w:p w14:paraId="7B406CF2" w14:textId="59766F46" w:rsidR="002E655B" w:rsidRDefault="00BC4C5F" w:rsidP="00A276F5">
      <w:pPr>
        <w:spacing w:after="0"/>
        <w:rPr>
          <w:rFonts w:ascii="Times New Roman" w:hAnsi="Times New Roman" w:cs="Times New Roman"/>
          <w:sz w:val="24"/>
          <w:szCs w:val="24"/>
        </w:rPr>
      </w:pPr>
      <w:r>
        <w:rPr>
          <w:rFonts w:ascii="Times New Roman" w:hAnsi="Times New Roman" w:cs="Times New Roman"/>
          <w:sz w:val="24"/>
          <w:szCs w:val="24"/>
        </w:rPr>
        <w:t>The following table shows the additional responses and annual time burden add</w:t>
      </w:r>
      <w:r w:rsidR="005575EF">
        <w:rPr>
          <w:rFonts w:ascii="Times New Roman" w:hAnsi="Times New Roman" w:cs="Times New Roman"/>
          <w:sz w:val="24"/>
          <w:szCs w:val="24"/>
        </w:rPr>
        <w:t>ed</w:t>
      </w:r>
      <w:r>
        <w:rPr>
          <w:rFonts w:ascii="Times New Roman" w:hAnsi="Times New Roman" w:cs="Times New Roman"/>
          <w:sz w:val="24"/>
          <w:szCs w:val="24"/>
        </w:rPr>
        <w:t xml:space="preserve"> by the two standards.</w:t>
      </w:r>
    </w:p>
    <w:p w14:paraId="5041CEA1" w14:textId="77777777" w:rsidR="002046DB" w:rsidRDefault="002046DB" w:rsidP="00A276F5">
      <w:pPr>
        <w:spacing w:after="0"/>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2046DB" w:rsidRPr="00D80FBD" w14:paraId="185CC9AA" w14:textId="77777777" w:rsidTr="009814D7">
        <w:trPr>
          <w:trHeight w:val="870"/>
        </w:trPr>
        <w:tc>
          <w:tcPr>
            <w:tcW w:w="2679" w:type="dxa"/>
            <w:shd w:val="clear" w:color="auto" w:fill="D9D9D9"/>
            <w:vAlign w:val="bottom"/>
          </w:tcPr>
          <w:p w14:paraId="1FB1C6C6" w14:textId="77777777" w:rsidR="002046DB" w:rsidRPr="00D80FBD" w:rsidRDefault="002046DB" w:rsidP="009814D7">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FERC-</w:t>
            </w:r>
            <w:r>
              <w:rPr>
                <w:rFonts w:ascii="Times New Roman" w:hAnsi="Times New Roman" w:cs="Times New Roman"/>
                <w:b/>
                <w:sz w:val="24"/>
                <w:szCs w:val="24"/>
              </w:rPr>
              <w:t>725L</w:t>
            </w:r>
          </w:p>
        </w:tc>
        <w:tc>
          <w:tcPr>
            <w:tcW w:w="1461" w:type="dxa"/>
            <w:shd w:val="clear" w:color="auto" w:fill="D9D9D9"/>
            <w:vAlign w:val="bottom"/>
          </w:tcPr>
          <w:p w14:paraId="02235E6B" w14:textId="77777777" w:rsidR="002046DB" w:rsidRPr="00D80FBD" w:rsidRDefault="002046DB" w:rsidP="009814D7">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Total Request</w:t>
            </w:r>
          </w:p>
        </w:tc>
        <w:tc>
          <w:tcPr>
            <w:tcW w:w="1620" w:type="dxa"/>
            <w:shd w:val="clear" w:color="auto" w:fill="D9D9D9"/>
            <w:vAlign w:val="bottom"/>
          </w:tcPr>
          <w:p w14:paraId="21E9E319" w14:textId="77777777" w:rsidR="002046DB" w:rsidRPr="00D80FBD" w:rsidRDefault="002046DB" w:rsidP="009814D7">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Previously Approved</w:t>
            </w:r>
          </w:p>
        </w:tc>
        <w:tc>
          <w:tcPr>
            <w:tcW w:w="1800" w:type="dxa"/>
            <w:shd w:val="clear" w:color="auto" w:fill="D9D9D9"/>
            <w:vAlign w:val="bottom"/>
          </w:tcPr>
          <w:p w14:paraId="24BA00B7" w14:textId="77777777" w:rsidR="002046DB" w:rsidRPr="00D80FBD" w:rsidRDefault="002046DB" w:rsidP="009814D7">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Adjustment in Estimate</w:t>
            </w:r>
          </w:p>
        </w:tc>
        <w:tc>
          <w:tcPr>
            <w:tcW w:w="1800" w:type="dxa"/>
            <w:shd w:val="clear" w:color="auto" w:fill="D9D9D9"/>
            <w:vAlign w:val="bottom"/>
          </w:tcPr>
          <w:p w14:paraId="0EBA33AA" w14:textId="77777777" w:rsidR="002046DB" w:rsidRPr="00D80FBD" w:rsidRDefault="002046DB" w:rsidP="009814D7">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Agency Discretion</w:t>
            </w:r>
          </w:p>
        </w:tc>
      </w:tr>
      <w:tr w:rsidR="002046DB" w:rsidRPr="00D80FBD" w14:paraId="53AC0E47" w14:textId="77777777" w:rsidTr="009814D7">
        <w:trPr>
          <w:trHeight w:val="591"/>
        </w:trPr>
        <w:tc>
          <w:tcPr>
            <w:tcW w:w="2679" w:type="dxa"/>
            <w:shd w:val="clear" w:color="auto" w:fill="auto"/>
          </w:tcPr>
          <w:p w14:paraId="3AB14E7B" w14:textId="77777777" w:rsidR="002046DB" w:rsidRPr="00D80FBD" w:rsidRDefault="002046DB" w:rsidP="009814D7">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Number of Responses</w:t>
            </w:r>
          </w:p>
        </w:tc>
        <w:tc>
          <w:tcPr>
            <w:tcW w:w="1461" w:type="dxa"/>
            <w:shd w:val="clear" w:color="auto" w:fill="auto"/>
            <w:vAlign w:val="center"/>
          </w:tcPr>
          <w:p w14:paraId="3F1CA8B7" w14:textId="1D5B48DF" w:rsidR="002046DB" w:rsidRPr="00FC440E" w:rsidRDefault="00055A5F" w:rsidP="009814D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5,104</w:t>
            </w:r>
          </w:p>
        </w:tc>
        <w:tc>
          <w:tcPr>
            <w:tcW w:w="1620" w:type="dxa"/>
            <w:shd w:val="clear" w:color="auto" w:fill="auto"/>
            <w:vAlign w:val="center"/>
          </w:tcPr>
          <w:p w14:paraId="49813AC3" w14:textId="3F103E76" w:rsidR="002046DB" w:rsidRPr="00D80FBD" w:rsidRDefault="002046DB" w:rsidP="009814D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3,274</w:t>
            </w:r>
          </w:p>
        </w:tc>
        <w:tc>
          <w:tcPr>
            <w:tcW w:w="1800" w:type="dxa"/>
            <w:shd w:val="clear" w:color="auto" w:fill="auto"/>
            <w:vAlign w:val="center"/>
          </w:tcPr>
          <w:p w14:paraId="7DB83336" w14:textId="429F7449" w:rsidR="002046DB" w:rsidRPr="00D80FBD" w:rsidRDefault="002046DB" w:rsidP="009814D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14:paraId="1E919FCC" w14:textId="21488EB9" w:rsidR="002046DB" w:rsidRPr="00D80FBD" w:rsidRDefault="006F79F1" w:rsidP="009814D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1,8</w:t>
            </w:r>
            <w:r w:rsidR="00055A5F">
              <w:rPr>
                <w:rFonts w:ascii="Times New Roman" w:hAnsi="Times New Roman" w:cs="Times New Roman"/>
                <w:sz w:val="24"/>
                <w:szCs w:val="24"/>
              </w:rPr>
              <w:t>30</w:t>
            </w:r>
          </w:p>
        </w:tc>
      </w:tr>
      <w:tr w:rsidR="002046DB" w:rsidRPr="00D80FBD" w14:paraId="26B3AA81" w14:textId="77777777" w:rsidTr="009814D7">
        <w:trPr>
          <w:trHeight w:val="575"/>
        </w:trPr>
        <w:tc>
          <w:tcPr>
            <w:tcW w:w="2679" w:type="dxa"/>
            <w:shd w:val="clear" w:color="auto" w:fill="auto"/>
          </w:tcPr>
          <w:p w14:paraId="0AACAA57" w14:textId="77777777" w:rsidR="002046DB" w:rsidRPr="00D80FBD" w:rsidRDefault="002046DB" w:rsidP="009814D7">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Time Burden (</w:t>
            </w:r>
            <w:proofErr w:type="spellStart"/>
            <w:r w:rsidRPr="00D80FBD">
              <w:rPr>
                <w:rFonts w:ascii="Times New Roman" w:hAnsi="Times New Roman" w:cs="Times New Roman"/>
                <w:sz w:val="24"/>
                <w:szCs w:val="24"/>
              </w:rPr>
              <w:t>Hr</w:t>
            </w:r>
            <w:proofErr w:type="spellEnd"/>
            <w:r w:rsidRPr="00D80FBD">
              <w:rPr>
                <w:rFonts w:ascii="Times New Roman" w:hAnsi="Times New Roman" w:cs="Times New Roman"/>
                <w:sz w:val="24"/>
                <w:szCs w:val="24"/>
              </w:rPr>
              <w:t>)</w:t>
            </w:r>
          </w:p>
        </w:tc>
        <w:tc>
          <w:tcPr>
            <w:tcW w:w="1461" w:type="dxa"/>
            <w:shd w:val="clear" w:color="auto" w:fill="auto"/>
            <w:vAlign w:val="center"/>
          </w:tcPr>
          <w:p w14:paraId="1D0F7857" w14:textId="23D342D8" w:rsidR="002046DB" w:rsidRPr="00FC440E" w:rsidRDefault="006F79F1" w:rsidP="009814D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42,703</w:t>
            </w:r>
          </w:p>
        </w:tc>
        <w:tc>
          <w:tcPr>
            <w:tcW w:w="1620" w:type="dxa"/>
            <w:shd w:val="clear" w:color="auto" w:fill="auto"/>
            <w:vAlign w:val="center"/>
          </w:tcPr>
          <w:p w14:paraId="758865F0" w14:textId="410AE2E3" w:rsidR="002046DB" w:rsidRPr="00D80FBD" w:rsidRDefault="002046DB" w:rsidP="009814D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26,540</w:t>
            </w:r>
          </w:p>
        </w:tc>
        <w:tc>
          <w:tcPr>
            <w:tcW w:w="1800" w:type="dxa"/>
            <w:shd w:val="clear" w:color="auto" w:fill="auto"/>
            <w:vAlign w:val="center"/>
          </w:tcPr>
          <w:p w14:paraId="0CBB9B35" w14:textId="2ADCDE77" w:rsidR="002046DB" w:rsidRPr="00D80FBD" w:rsidRDefault="002046DB" w:rsidP="009814D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14:paraId="143DECD7" w14:textId="08430622" w:rsidR="002046DB" w:rsidRPr="00D80FBD" w:rsidRDefault="003A79FC" w:rsidP="009814D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16,163</w:t>
            </w:r>
          </w:p>
        </w:tc>
      </w:tr>
      <w:tr w:rsidR="002046DB" w:rsidRPr="00D80FBD" w14:paraId="7819BBD1" w14:textId="77777777" w:rsidTr="009814D7">
        <w:trPr>
          <w:trHeight w:val="295"/>
        </w:trPr>
        <w:tc>
          <w:tcPr>
            <w:tcW w:w="2679" w:type="dxa"/>
            <w:tcBorders>
              <w:bottom w:val="single" w:sz="4" w:space="0" w:color="auto"/>
            </w:tcBorders>
            <w:shd w:val="clear" w:color="auto" w:fill="auto"/>
          </w:tcPr>
          <w:p w14:paraId="55A0EBC2" w14:textId="77777777" w:rsidR="002046DB" w:rsidRPr="00D80FBD" w:rsidRDefault="002046DB" w:rsidP="009814D7">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Cost Burden ($)</w:t>
            </w:r>
          </w:p>
        </w:tc>
        <w:tc>
          <w:tcPr>
            <w:tcW w:w="1461" w:type="dxa"/>
            <w:tcBorders>
              <w:bottom w:val="single" w:sz="4" w:space="0" w:color="auto"/>
            </w:tcBorders>
            <w:shd w:val="clear" w:color="auto" w:fill="auto"/>
            <w:vAlign w:val="center"/>
          </w:tcPr>
          <w:p w14:paraId="1981439A" w14:textId="4D95D89D" w:rsidR="002046DB" w:rsidRPr="000C7221" w:rsidRDefault="00103E52" w:rsidP="009814D7">
            <w:pPr>
              <w:spacing w:after="0" w:line="240" w:lineRule="auto"/>
              <w:jc w:val="right"/>
              <w:rPr>
                <w:rFonts w:ascii="Times New Roman" w:hAnsi="Times New Roman" w:cs="Times New Roman"/>
                <w:sz w:val="24"/>
                <w:szCs w:val="24"/>
                <w:highlight w:val="yellow"/>
              </w:rPr>
            </w:pPr>
            <w:r>
              <w:rPr>
                <w:rFonts w:ascii="Times New Roman" w:hAnsi="Times New Roman" w:cs="Times New Roman"/>
                <w:sz w:val="24"/>
                <w:szCs w:val="24"/>
              </w:rPr>
              <w:t>$0</w:t>
            </w:r>
          </w:p>
        </w:tc>
        <w:tc>
          <w:tcPr>
            <w:tcW w:w="1620" w:type="dxa"/>
            <w:tcBorders>
              <w:bottom w:val="single" w:sz="4" w:space="0" w:color="auto"/>
            </w:tcBorders>
            <w:shd w:val="clear" w:color="auto" w:fill="auto"/>
            <w:vAlign w:val="center"/>
          </w:tcPr>
          <w:p w14:paraId="0F0B216C" w14:textId="2CFABD7E" w:rsidR="002046DB" w:rsidRPr="00D80FBD" w:rsidRDefault="00103E52" w:rsidP="009814D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14:paraId="390DE1BC" w14:textId="5F889122" w:rsidR="002046DB" w:rsidRPr="00D80FBD" w:rsidRDefault="00103E52" w:rsidP="009814D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14:paraId="6499B74C" w14:textId="12037E4E" w:rsidR="002046DB" w:rsidRPr="00D80FBD" w:rsidRDefault="00103E52" w:rsidP="009814D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bl>
    <w:p w14:paraId="2FFC9839" w14:textId="77777777" w:rsidR="00970FE4" w:rsidRDefault="00970FE4" w:rsidP="00A276F5">
      <w:pPr>
        <w:spacing w:after="0"/>
        <w:rPr>
          <w:rFonts w:ascii="Times New Roman" w:hAnsi="Times New Roman" w:cs="Times New Roman"/>
          <w:sz w:val="24"/>
          <w:szCs w:val="24"/>
        </w:rPr>
      </w:pPr>
    </w:p>
    <w:p w14:paraId="0BC16BE7" w14:textId="51E6FFDC" w:rsidR="00BE74DE" w:rsidRDefault="00BE74DE" w:rsidP="00A276F5">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Of the 16,163 additional hours </w:t>
      </w:r>
      <w:r w:rsidR="00E56CF5">
        <w:rPr>
          <w:rFonts w:ascii="Times New Roman" w:hAnsi="Times New Roman" w:cs="Times New Roman"/>
          <w:sz w:val="24"/>
          <w:szCs w:val="24"/>
        </w:rPr>
        <w:t xml:space="preserve">and 1,830 additional responses </w:t>
      </w:r>
      <w:r>
        <w:rPr>
          <w:rFonts w:ascii="Times New Roman" w:hAnsi="Times New Roman" w:cs="Times New Roman"/>
          <w:sz w:val="24"/>
          <w:szCs w:val="24"/>
        </w:rPr>
        <w:t>requested here,</w:t>
      </w:r>
      <w:r w:rsidR="00345458" w:rsidRPr="004D59AF">
        <w:rPr>
          <w:rStyle w:val="FootnoteReference"/>
          <w:rFonts w:ascii="Times New Roman" w:hAnsi="Times New Roman" w:cs="Times New Roman"/>
          <w:sz w:val="24"/>
          <w:szCs w:val="24"/>
          <w:vertAlign w:val="superscript"/>
        </w:rPr>
        <w:footnoteReference w:id="24"/>
      </w:r>
      <w:r w:rsidRPr="004D59AF">
        <w:rPr>
          <w:rFonts w:ascii="Times New Roman" w:hAnsi="Times New Roman" w:cs="Times New Roman"/>
          <w:sz w:val="24"/>
          <w:szCs w:val="24"/>
          <w:vertAlign w:val="superscript"/>
        </w:rPr>
        <w:t xml:space="preserve"> </w:t>
      </w:r>
      <w:r>
        <w:rPr>
          <w:rFonts w:ascii="Times New Roman" w:hAnsi="Times New Roman" w:cs="Times New Roman"/>
          <w:sz w:val="24"/>
          <w:szCs w:val="24"/>
        </w:rPr>
        <w:t>2,200 hours</w:t>
      </w:r>
      <w:r w:rsidR="00E56CF5">
        <w:rPr>
          <w:rFonts w:ascii="Times New Roman" w:hAnsi="Times New Roman" w:cs="Times New Roman"/>
          <w:sz w:val="24"/>
          <w:szCs w:val="24"/>
        </w:rPr>
        <w:t xml:space="preserve"> and 275 responses</w:t>
      </w:r>
      <w:r>
        <w:rPr>
          <w:rFonts w:ascii="Times New Roman" w:hAnsi="Times New Roman" w:cs="Times New Roman"/>
          <w:sz w:val="24"/>
          <w:szCs w:val="24"/>
        </w:rPr>
        <w:t xml:space="preserve"> are associated with one-time tasks that will be completed in mid-2015.  </w:t>
      </w:r>
      <w:r w:rsidR="00E56CF5">
        <w:rPr>
          <w:rFonts w:ascii="Times New Roman" w:hAnsi="Times New Roman" w:cs="Times New Roman"/>
          <w:sz w:val="24"/>
          <w:szCs w:val="24"/>
        </w:rPr>
        <w:t xml:space="preserve">After completion the Commission intends to remove the one-time burden hours.  </w:t>
      </w:r>
      <w:r>
        <w:rPr>
          <w:rFonts w:ascii="Times New Roman" w:hAnsi="Times New Roman" w:cs="Times New Roman"/>
          <w:sz w:val="24"/>
          <w:szCs w:val="24"/>
        </w:rPr>
        <w:t xml:space="preserve"> </w:t>
      </w:r>
    </w:p>
    <w:p w14:paraId="165538F0" w14:textId="77777777" w:rsidR="00BE74DE" w:rsidRDefault="00BE74DE" w:rsidP="00A276F5">
      <w:pPr>
        <w:spacing w:after="0"/>
        <w:rPr>
          <w:rFonts w:ascii="Times New Roman" w:hAnsi="Times New Roman" w:cs="Times New Roman"/>
          <w:sz w:val="24"/>
          <w:szCs w:val="24"/>
        </w:rPr>
      </w:pPr>
    </w:p>
    <w:p w14:paraId="02DA0724" w14:textId="29533990" w:rsidR="006F79F1" w:rsidRDefault="006F79F1" w:rsidP="00A276F5">
      <w:pPr>
        <w:spacing w:after="0"/>
        <w:rPr>
          <w:rFonts w:ascii="Times New Roman" w:hAnsi="Times New Roman" w:cs="Times New Roman"/>
          <w:sz w:val="24"/>
          <w:szCs w:val="24"/>
        </w:rPr>
      </w:pPr>
      <w:r>
        <w:rPr>
          <w:rFonts w:ascii="Times New Roman" w:hAnsi="Times New Roman" w:cs="Times New Roman"/>
          <w:sz w:val="24"/>
          <w:szCs w:val="24"/>
        </w:rPr>
        <w:t xml:space="preserve">The </w:t>
      </w:r>
      <w:r w:rsidR="00BE74DE">
        <w:rPr>
          <w:rFonts w:ascii="Times New Roman" w:hAnsi="Times New Roman" w:cs="Times New Roman"/>
          <w:sz w:val="24"/>
          <w:szCs w:val="24"/>
        </w:rPr>
        <w:t xml:space="preserve">burden increase is necessary in order to meet the requirements of the new Reliability Standards.  These standards improve </w:t>
      </w:r>
      <w:r w:rsidR="00BE74DE" w:rsidRPr="007804F8">
        <w:rPr>
          <w:rFonts w:ascii="Times New Roman" w:hAnsi="Times New Roman" w:cs="Times New Roman"/>
          <w:sz w:val="24"/>
          <w:szCs w:val="24"/>
        </w:rPr>
        <w:t>modeling data requirements, reporting procedures, and validation requirements</w:t>
      </w:r>
      <w:r w:rsidR="00BE74DE">
        <w:rPr>
          <w:rFonts w:ascii="Times New Roman" w:hAnsi="Times New Roman" w:cs="Times New Roman"/>
          <w:sz w:val="24"/>
          <w:szCs w:val="24"/>
        </w:rPr>
        <w:t xml:space="preserve"> which are</w:t>
      </w:r>
      <w:r w:rsidR="00BE74DE" w:rsidRPr="007804F8">
        <w:rPr>
          <w:rFonts w:ascii="Times New Roman" w:hAnsi="Times New Roman" w:cs="Times New Roman"/>
          <w:sz w:val="24"/>
          <w:szCs w:val="24"/>
        </w:rPr>
        <w:t xml:space="preserve"> necessary to accurately model the interconnected transmission system for the near</w:t>
      </w:r>
      <w:r w:rsidR="00BE74DE" w:rsidRPr="007804F8">
        <w:rPr>
          <w:rFonts w:ascii="Cambria Math" w:hAnsi="Cambria Math" w:cs="Cambria Math"/>
          <w:sz w:val="24"/>
          <w:szCs w:val="24"/>
        </w:rPr>
        <w:t>‐</w:t>
      </w:r>
      <w:r w:rsidR="00BE74DE" w:rsidRPr="007804F8">
        <w:rPr>
          <w:rFonts w:ascii="Times New Roman" w:hAnsi="Times New Roman" w:cs="Times New Roman"/>
          <w:sz w:val="24"/>
          <w:szCs w:val="24"/>
        </w:rPr>
        <w:t>term transmission planning horizon</w:t>
      </w:r>
      <w:r w:rsidR="00747AE2">
        <w:rPr>
          <w:rFonts w:ascii="Times New Roman" w:hAnsi="Times New Roman" w:cs="Times New Roman"/>
          <w:sz w:val="24"/>
          <w:szCs w:val="24"/>
        </w:rPr>
        <w:t xml:space="preserve"> (less than a year)</w:t>
      </w:r>
      <w:r w:rsidR="00BE74DE" w:rsidRPr="007804F8">
        <w:rPr>
          <w:rFonts w:ascii="Times New Roman" w:hAnsi="Times New Roman" w:cs="Times New Roman"/>
          <w:sz w:val="24"/>
          <w:szCs w:val="24"/>
        </w:rPr>
        <w:t xml:space="preserve"> and the long</w:t>
      </w:r>
      <w:r w:rsidR="00BE74DE" w:rsidRPr="007804F8">
        <w:rPr>
          <w:rFonts w:ascii="Cambria Math" w:hAnsi="Cambria Math" w:cs="Cambria Math"/>
          <w:sz w:val="24"/>
          <w:szCs w:val="24"/>
        </w:rPr>
        <w:t>‐</w:t>
      </w:r>
      <w:r w:rsidR="00BE74DE" w:rsidRPr="007804F8">
        <w:rPr>
          <w:rFonts w:ascii="Times New Roman" w:hAnsi="Times New Roman" w:cs="Times New Roman"/>
          <w:sz w:val="24"/>
          <w:szCs w:val="24"/>
        </w:rPr>
        <w:t>term transmission planning horizon</w:t>
      </w:r>
      <w:r w:rsidR="00747AE2">
        <w:rPr>
          <w:rFonts w:ascii="Times New Roman" w:hAnsi="Times New Roman" w:cs="Times New Roman"/>
          <w:sz w:val="24"/>
          <w:szCs w:val="24"/>
        </w:rPr>
        <w:t xml:space="preserve"> (greater than a year)</w:t>
      </w:r>
      <w:r w:rsidR="00BE74DE" w:rsidRPr="007804F8">
        <w:rPr>
          <w:rFonts w:ascii="Times New Roman" w:hAnsi="Times New Roman" w:cs="Times New Roman"/>
          <w:sz w:val="24"/>
          <w:szCs w:val="24"/>
        </w:rPr>
        <w:t>.</w:t>
      </w:r>
    </w:p>
    <w:p w14:paraId="01509CAA" w14:textId="77777777" w:rsidR="006F79F1" w:rsidRPr="00A276F5" w:rsidRDefault="006F79F1" w:rsidP="00A276F5">
      <w:pPr>
        <w:spacing w:after="0"/>
        <w:rPr>
          <w:rFonts w:ascii="Times New Roman" w:hAnsi="Times New Roman" w:cs="Times New Roman"/>
          <w:sz w:val="24"/>
          <w:szCs w:val="24"/>
        </w:rPr>
      </w:pPr>
    </w:p>
    <w:p w14:paraId="2FFC983A" w14:textId="77777777" w:rsidR="00A276F5"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14:paraId="2FFC983B" w14:textId="77777777" w:rsidR="00414F32" w:rsidRDefault="00414F32" w:rsidP="00414F32">
      <w:pPr>
        <w:spacing w:after="0"/>
        <w:rPr>
          <w:rFonts w:ascii="Times New Roman" w:hAnsi="Times New Roman" w:cs="Times New Roman"/>
          <w:sz w:val="24"/>
          <w:szCs w:val="24"/>
        </w:rPr>
      </w:pPr>
    </w:p>
    <w:p w14:paraId="2FFC983C" w14:textId="79B6923A" w:rsidR="00414F32" w:rsidRDefault="00733582" w:rsidP="00414F32">
      <w:pPr>
        <w:spacing w:after="0"/>
        <w:rPr>
          <w:rFonts w:ascii="Times New Roman" w:hAnsi="Times New Roman" w:cs="Times New Roman"/>
          <w:sz w:val="24"/>
          <w:szCs w:val="24"/>
        </w:rPr>
      </w:pPr>
      <w:r>
        <w:rPr>
          <w:rFonts w:ascii="Times New Roman" w:hAnsi="Times New Roman" w:cs="Times New Roman"/>
          <w:sz w:val="24"/>
          <w:szCs w:val="24"/>
        </w:rPr>
        <w:t>There is no tabulating, statistical, or tabulating analysis or publication plans for this collection of information.</w:t>
      </w:r>
    </w:p>
    <w:p w14:paraId="2B14C081" w14:textId="77777777" w:rsidR="00BB0444" w:rsidRPr="00414F32" w:rsidRDefault="00BB0444" w:rsidP="00414F32">
      <w:pPr>
        <w:spacing w:after="0"/>
        <w:rPr>
          <w:rFonts w:ascii="Times New Roman" w:hAnsi="Times New Roman" w:cs="Times New Roman"/>
          <w:sz w:val="24"/>
          <w:szCs w:val="24"/>
        </w:rPr>
      </w:pPr>
    </w:p>
    <w:p w14:paraId="2FFC983D" w14:textId="77777777" w:rsidR="00414F32"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14:paraId="2FFC983E" w14:textId="77777777" w:rsidR="00414F32" w:rsidRDefault="00414F32" w:rsidP="00414F32">
      <w:pPr>
        <w:spacing w:after="0"/>
        <w:rPr>
          <w:rFonts w:ascii="Times New Roman" w:hAnsi="Times New Roman" w:cs="Times New Roman"/>
          <w:sz w:val="24"/>
          <w:szCs w:val="24"/>
        </w:rPr>
      </w:pPr>
    </w:p>
    <w:p w14:paraId="3275BEA2" w14:textId="77777777" w:rsidR="00487721" w:rsidRPr="00076203" w:rsidRDefault="00487721" w:rsidP="00487721">
      <w:pPr>
        <w:spacing w:after="0"/>
        <w:rPr>
          <w:rFonts w:ascii="Times New Roman" w:hAnsi="Times New Roman"/>
          <w:sz w:val="24"/>
          <w:szCs w:val="24"/>
        </w:rPr>
      </w:pPr>
      <w:r>
        <w:rPr>
          <w:rFonts w:ascii="Times New Roman" w:hAnsi="Times New Roman"/>
          <w:sz w:val="24"/>
          <w:szCs w:val="24"/>
        </w:rPr>
        <w:t>The expiration date</w:t>
      </w:r>
      <w:r w:rsidRPr="00E84A39">
        <w:rPr>
          <w:rFonts w:ascii="Times New Roman" w:hAnsi="Times New Roman"/>
          <w:sz w:val="24"/>
          <w:szCs w:val="24"/>
        </w:rPr>
        <w:t xml:space="preserve"> </w:t>
      </w:r>
      <w:r>
        <w:rPr>
          <w:rFonts w:ascii="Times New Roman" w:hAnsi="Times New Roman"/>
          <w:sz w:val="24"/>
          <w:szCs w:val="24"/>
        </w:rPr>
        <w:t>is</w:t>
      </w:r>
      <w:r w:rsidRPr="00E84A39">
        <w:rPr>
          <w:rFonts w:ascii="Times New Roman" w:hAnsi="Times New Roman"/>
          <w:sz w:val="24"/>
          <w:szCs w:val="24"/>
        </w:rPr>
        <w:t xml:space="preserve"> displayed </w:t>
      </w:r>
      <w:r>
        <w:rPr>
          <w:rFonts w:ascii="Times New Roman" w:hAnsi="Times New Roman"/>
          <w:sz w:val="24"/>
          <w:szCs w:val="24"/>
        </w:rPr>
        <w:t xml:space="preserve">in a table posted </w:t>
      </w:r>
      <w:r w:rsidRPr="00E84A39">
        <w:rPr>
          <w:rFonts w:ascii="Times New Roman" w:hAnsi="Times New Roman"/>
          <w:sz w:val="24"/>
          <w:szCs w:val="24"/>
        </w:rPr>
        <w:t xml:space="preserve">on ferc.gov </w:t>
      </w:r>
      <w:r>
        <w:rPr>
          <w:rFonts w:ascii="Times New Roman" w:hAnsi="Times New Roman"/>
          <w:sz w:val="24"/>
          <w:szCs w:val="24"/>
        </w:rPr>
        <w:t>at</w:t>
      </w:r>
      <w:r w:rsidRPr="00E84A39">
        <w:rPr>
          <w:rFonts w:ascii="Times New Roman" w:hAnsi="Times New Roman"/>
          <w:sz w:val="24"/>
          <w:szCs w:val="24"/>
        </w:rPr>
        <w:t xml:space="preserve"> </w:t>
      </w:r>
      <w:hyperlink r:id="rId13" w:history="1">
        <w:r w:rsidRPr="00E84A39">
          <w:rPr>
            <w:rStyle w:val="Hyperlink"/>
            <w:rFonts w:ascii="Times New Roman" w:hAnsi="Times New Roman"/>
            <w:sz w:val="24"/>
            <w:szCs w:val="24"/>
          </w:rPr>
          <w:t>http://www.ferc.gov/docs-filing/info-collections.asp</w:t>
        </w:r>
      </w:hyperlink>
      <w:r w:rsidRPr="00E84A39">
        <w:rPr>
          <w:rFonts w:ascii="Times New Roman" w:hAnsi="Times New Roman"/>
          <w:sz w:val="24"/>
          <w:szCs w:val="24"/>
        </w:rPr>
        <w:t>.</w:t>
      </w:r>
    </w:p>
    <w:p w14:paraId="34F351A9" w14:textId="77777777" w:rsidR="00BB0444" w:rsidRPr="00414F32" w:rsidRDefault="00BB0444" w:rsidP="00414F32">
      <w:pPr>
        <w:spacing w:after="0"/>
        <w:rPr>
          <w:rFonts w:ascii="Times New Roman" w:hAnsi="Times New Roman" w:cs="Times New Roman"/>
          <w:sz w:val="24"/>
          <w:szCs w:val="24"/>
        </w:rPr>
      </w:pPr>
    </w:p>
    <w:p w14:paraId="2FFC9840" w14:textId="77777777" w:rsid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14:paraId="2FFC9841" w14:textId="77777777" w:rsidR="0057700F" w:rsidRDefault="0057700F" w:rsidP="0057700F">
      <w:pPr>
        <w:spacing w:after="0"/>
        <w:rPr>
          <w:rFonts w:ascii="Times New Roman" w:hAnsi="Times New Roman" w:cs="Times New Roman"/>
          <w:b/>
          <w:sz w:val="24"/>
          <w:szCs w:val="24"/>
        </w:rPr>
      </w:pPr>
    </w:p>
    <w:p w14:paraId="27251043" w14:textId="77777777" w:rsidR="00BB0444" w:rsidRPr="005F6467" w:rsidRDefault="00BB0444" w:rsidP="00BB0444">
      <w:pPr>
        <w:spacing w:after="0"/>
        <w:rPr>
          <w:rFonts w:ascii="Times New Roman" w:hAnsi="Times New Roman" w:cs="Times New Roman"/>
          <w:sz w:val="24"/>
          <w:szCs w:val="24"/>
        </w:rPr>
      </w:pPr>
      <w:r w:rsidRPr="005F6467">
        <w:rPr>
          <w:rFonts w:ascii="Times New Roman" w:hAnsi="Times New Roman" w:cs="Times New Roman"/>
          <w:sz w:val="24"/>
          <w:szCs w:val="24"/>
        </w:rPr>
        <w:t>The Commission does not use the data collected for this reporting requirement for statistical purposes.  Therefore, the Commission does not use as stated in item (</w:t>
      </w:r>
      <w:proofErr w:type="spellStart"/>
      <w:r w:rsidRPr="005F6467">
        <w:rPr>
          <w:rFonts w:ascii="Times New Roman" w:hAnsi="Times New Roman" w:cs="Times New Roman"/>
          <w:sz w:val="24"/>
          <w:szCs w:val="24"/>
        </w:rPr>
        <w:t>i</w:t>
      </w:r>
      <w:proofErr w:type="spellEnd"/>
      <w:r w:rsidRPr="005F6467">
        <w:rPr>
          <w:rFonts w:ascii="Times New Roman" w:hAnsi="Times New Roman" w:cs="Times New Roman"/>
          <w:sz w:val="24"/>
          <w:szCs w:val="24"/>
        </w:rPr>
        <w:t>) of the certification to OMB "effective and efficient statistical survey methodology."  The information collected is case specific to each information collection.</w:t>
      </w:r>
    </w:p>
    <w:p w14:paraId="2FFC9842" w14:textId="77777777" w:rsidR="00970FE4" w:rsidRDefault="00970FE4" w:rsidP="0057700F">
      <w:pPr>
        <w:spacing w:after="0"/>
        <w:rPr>
          <w:rFonts w:ascii="Times New Roman" w:hAnsi="Times New Roman" w:cs="Times New Roman"/>
          <w:sz w:val="24"/>
          <w:szCs w:val="24"/>
        </w:rPr>
      </w:pPr>
    </w:p>
    <w:p w14:paraId="2FFC9843" w14:textId="77777777" w:rsidR="00414F32" w:rsidRPr="007A2F92" w:rsidRDefault="00414F32" w:rsidP="007A2F92">
      <w:pPr>
        <w:spacing w:after="0"/>
        <w:rPr>
          <w:rFonts w:ascii="Times New Roman" w:hAnsi="Times New Roman" w:cs="Times New Roman"/>
          <w:sz w:val="24"/>
          <w:szCs w:val="24"/>
        </w:rPr>
      </w:pPr>
    </w:p>
    <w:sectPr w:rsidR="00414F32" w:rsidRPr="007A2F92">
      <w:headerReference w:type="default" r:id="rId14"/>
      <w:footerReference w:type="default" r:id="rId1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D46CB4" w15:done="0"/>
  <w15:commentEx w15:paraId="74D123D4" w15:done="0"/>
  <w15:commentEx w15:paraId="2BA0BEF7" w15:done="0"/>
  <w15:commentEx w15:paraId="3DF5184F" w15:done="0"/>
  <w15:commentEx w15:paraId="17571E0D" w15:done="0"/>
  <w15:commentEx w15:paraId="41F4A604" w15:done="0"/>
  <w15:commentEx w15:paraId="1B5D47D1" w15:done="0"/>
  <w15:commentEx w15:paraId="7F23694B" w15:done="0"/>
  <w15:commentEx w15:paraId="6C9EF614" w15:done="0"/>
  <w15:commentEx w15:paraId="6C71925A" w15:done="0"/>
  <w15:commentEx w15:paraId="755E6E2F" w15:done="0"/>
  <w15:commentEx w15:paraId="5C543C00" w15:done="0"/>
  <w15:commentEx w15:paraId="40E6DD4C" w15:done="0"/>
  <w15:commentEx w15:paraId="6FFA0B3F" w15:done="0"/>
  <w15:commentEx w15:paraId="201A36E3" w15:done="0"/>
  <w15:commentEx w15:paraId="3363F77D" w15:done="0"/>
  <w15:commentEx w15:paraId="08815F70" w15:done="0"/>
  <w15:commentEx w15:paraId="3A07BC96" w15:done="0"/>
  <w15:commentEx w15:paraId="6F9F43D5" w15:done="0"/>
  <w15:commentEx w15:paraId="4D622DC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4C7D21" w14:textId="77777777" w:rsidR="00BF389C" w:rsidRDefault="00BF389C" w:rsidP="00FD66F1">
      <w:pPr>
        <w:spacing w:after="0" w:line="240" w:lineRule="auto"/>
      </w:pPr>
      <w:r>
        <w:separator/>
      </w:r>
    </w:p>
  </w:endnote>
  <w:endnote w:type="continuationSeparator" w:id="0">
    <w:p w14:paraId="2310FB35" w14:textId="77777777" w:rsidR="00BF389C" w:rsidRDefault="00BF389C" w:rsidP="00FD66F1">
      <w:pPr>
        <w:spacing w:after="0" w:line="240" w:lineRule="auto"/>
      </w:pPr>
      <w:r>
        <w:continuationSeparator/>
      </w:r>
    </w:p>
  </w:endnote>
  <w:endnote w:type="continuationNotice" w:id="1">
    <w:p w14:paraId="7679E9B8" w14:textId="77777777" w:rsidR="00BF389C" w:rsidRDefault="00BF38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11206"/>
      <w:docPartObj>
        <w:docPartGallery w:val="Page Numbers (Bottom of Page)"/>
        <w:docPartUnique/>
      </w:docPartObj>
    </w:sdtPr>
    <w:sdtEndPr>
      <w:rPr>
        <w:rFonts w:ascii="Times New Roman" w:hAnsi="Times New Roman" w:cs="Times New Roman"/>
        <w:noProof/>
      </w:rPr>
    </w:sdtEndPr>
    <w:sdtContent>
      <w:p w14:paraId="2FFC984C" w14:textId="77777777" w:rsidR="00BF389C" w:rsidRPr="00812816" w:rsidRDefault="00BF389C">
        <w:pPr>
          <w:pStyle w:val="Footer"/>
          <w:jc w:val="right"/>
          <w:rPr>
            <w:rFonts w:ascii="Times New Roman" w:hAnsi="Times New Roman" w:cs="Times New Roman"/>
          </w:rPr>
        </w:pPr>
        <w:r w:rsidRPr="00812816">
          <w:rPr>
            <w:rFonts w:ascii="Times New Roman" w:hAnsi="Times New Roman" w:cs="Times New Roman"/>
          </w:rPr>
          <w:fldChar w:fldCharType="begin"/>
        </w:r>
        <w:r w:rsidRPr="00812816">
          <w:rPr>
            <w:rFonts w:ascii="Times New Roman" w:hAnsi="Times New Roman" w:cs="Times New Roman"/>
          </w:rPr>
          <w:instrText xml:space="preserve"> PAGE   \* MERGEFORMAT </w:instrText>
        </w:r>
        <w:r w:rsidRPr="00812816">
          <w:rPr>
            <w:rFonts w:ascii="Times New Roman" w:hAnsi="Times New Roman" w:cs="Times New Roman"/>
          </w:rPr>
          <w:fldChar w:fldCharType="separate"/>
        </w:r>
        <w:r w:rsidR="004933CC">
          <w:rPr>
            <w:rFonts w:ascii="Times New Roman" w:hAnsi="Times New Roman" w:cs="Times New Roman"/>
            <w:noProof/>
          </w:rPr>
          <w:t>1</w:t>
        </w:r>
        <w:r w:rsidRPr="00812816">
          <w:rPr>
            <w:rFonts w:ascii="Times New Roman" w:hAnsi="Times New Roman" w:cs="Times New Roman"/>
            <w:noProof/>
          </w:rPr>
          <w:fldChar w:fldCharType="end"/>
        </w:r>
      </w:p>
    </w:sdtContent>
  </w:sdt>
  <w:p w14:paraId="2FFC984D" w14:textId="77777777" w:rsidR="00BF389C" w:rsidRDefault="00BF38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575D42" w14:textId="77777777" w:rsidR="00BF389C" w:rsidRDefault="00BF389C" w:rsidP="00FD66F1">
      <w:pPr>
        <w:spacing w:after="0" w:line="240" w:lineRule="auto"/>
      </w:pPr>
      <w:r>
        <w:separator/>
      </w:r>
    </w:p>
  </w:footnote>
  <w:footnote w:type="continuationSeparator" w:id="0">
    <w:p w14:paraId="5B7EEB76" w14:textId="77777777" w:rsidR="00BF389C" w:rsidRDefault="00BF389C" w:rsidP="00FD66F1">
      <w:pPr>
        <w:spacing w:after="0" w:line="240" w:lineRule="auto"/>
      </w:pPr>
      <w:r>
        <w:continuationSeparator/>
      </w:r>
    </w:p>
  </w:footnote>
  <w:footnote w:type="continuationNotice" w:id="1">
    <w:p w14:paraId="584AE7B9" w14:textId="77777777" w:rsidR="00BF389C" w:rsidRDefault="00BF389C">
      <w:pPr>
        <w:spacing w:after="0" w:line="240" w:lineRule="auto"/>
      </w:pPr>
    </w:p>
  </w:footnote>
  <w:footnote w:id="2">
    <w:p w14:paraId="30459CA7" w14:textId="77777777" w:rsidR="00BF389C" w:rsidRPr="00DB554D" w:rsidRDefault="00BF389C" w:rsidP="00DB5D8F">
      <w:pPr>
        <w:pStyle w:val="FootnoteText"/>
        <w:ind w:firstLine="720"/>
      </w:pPr>
      <w:r w:rsidRPr="00DB554D">
        <w:rPr>
          <w:rStyle w:val="FootnoteReference"/>
        </w:rPr>
        <w:footnoteRef/>
      </w:r>
      <w:r w:rsidRPr="00DB554D">
        <w:t xml:space="preserve">  In Order No. 693, the Commission approved Reliability Standards MOD-010 and MOD-012.  Regarding Reliability Standards MOD-011, MOD-013, MOD-014, and MOD-015, the Commission in Order No. 693 did not approve or remand the standards, pending the receipt of additional information.  </w:t>
      </w:r>
      <w:r w:rsidRPr="00DB554D">
        <w:rPr>
          <w:i/>
          <w:iCs/>
        </w:rPr>
        <w:t>Mandatory Reliability Standards for the Bulk-Power System</w:t>
      </w:r>
      <w:r w:rsidRPr="00DB554D">
        <w:t xml:space="preserve">, Order No. 693, 72 FR 16416 (Apr. 4, 2007), at PP 1131-1222, </w:t>
      </w:r>
      <w:r w:rsidRPr="00DB554D">
        <w:rPr>
          <w:i/>
          <w:iCs/>
        </w:rPr>
        <w:t xml:space="preserve">order on </w:t>
      </w:r>
      <w:proofErr w:type="spellStart"/>
      <w:r w:rsidRPr="00DB554D">
        <w:rPr>
          <w:i/>
          <w:iCs/>
        </w:rPr>
        <w:t>reh’g</w:t>
      </w:r>
      <w:proofErr w:type="spellEnd"/>
      <w:r w:rsidRPr="00DB554D">
        <w:t>, Order No. 693-A, 120 FERC ¶ 61,053 (2007).</w:t>
      </w:r>
    </w:p>
  </w:footnote>
  <w:footnote w:id="3">
    <w:p w14:paraId="5A4BC520" w14:textId="77777777" w:rsidR="00BF389C" w:rsidRPr="001045A3" w:rsidRDefault="00BF389C" w:rsidP="002173B0">
      <w:pPr>
        <w:pStyle w:val="FootnoteText"/>
        <w:ind w:firstLine="720"/>
      </w:pPr>
      <w:r w:rsidRPr="001045A3">
        <w:rPr>
          <w:rStyle w:val="FootnoteReference"/>
        </w:rPr>
        <w:footnoteRef/>
      </w:r>
      <w:r w:rsidRPr="001045A3">
        <w:t xml:space="preserve"> Energy Policy Act of 2005, Pub. L. No 109-58, Title XII, Subtitle A, 119 Stat. 594, 941 (2005), to be codified at 16 U.S.C. 824o.</w:t>
      </w:r>
    </w:p>
  </w:footnote>
  <w:footnote w:id="4">
    <w:p w14:paraId="27D639FD" w14:textId="77777777" w:rsidR="00BF389C" w:rsidRPr="001045A3" w:rsidRDefault="00BF389C" w:rsidP="002173B0">
      <w:pPr>
        <w:pStyle w:val="FootnoteText"/>
        <w:ind w:firstLine="720"/>
      </w:pPr>
      <w:r w:rsidRPr="001045A3">
        <w:rPr>
          <w:rStyle w:val="FootnoteReference"/>
        </w:rPr>
        <w:footnoteRef/>
      </w:r>
      <w:r w:rsidRPr="001045A3">
        <w:rPr>
          <w:lang w:val="es-ES"/>
        </w:rPr>
        <w:t xml:space="preserve"> 16 USC </w:t>
      </w:r>
      <w:proofErr w:type="gramStart"/>
      <w:r w:rsidRPr="001045A3">
        <w:rPr>
          <w:lang w:val="es-ES"/>
        </w:rPr>
        <w:t>824o(</w:t>
      </w:r>
      <w:proofErr w:type="gramEnd"/>
      <w:r w:rsidRPr="001045A3">
        <w:rPr>
          <w:lang w:val="es-ES"/>
        </w:rPr>
        <w:t>e)(3) (2012)</w:t>
      </w:r>
      <w:r w:rsidRPr="001045A3">
        <w:rPr>
          <w:lang w:val="pt-BR"/>
        </w:rPr>
        <w:t>.</w:t>
      </w:r>
    </w:p>
  </w:footnote>
  <w:footnote w:id="5">
    <w:p w14:paraId="607B5ED3" w14:textId="77777777" w:rsidR="00BF389C" w:rsidRPr="001045A3" w:rsidRDefault="00BF389C" w:rsidP="002173B0">
      <w:pPr>
        <w:pStyle w:val="FootnoteText"/>
        <w:ind w:firstLine="720"/>
      </w:pPr>
      <w:r w:rsidRPr="001045A3">
        <w:rPr>
          <w:rStyle w:val="FootnoteReference"/>
        </w:rPr>
        <w:footnoteRef/>
      </w:r>
      <w:r w:rsidRPr="001045A3">
        <w:t xml:space="preserve"> Rules Concerning Certification of the Electric Reliability Organization; Procedures for the Establishment, Approval and Enforcement of Electric Reliability Standards, Order No. 672, 71 FR 8662 (February 17, 2006), FERC Stats. </w:t>
      </w:r>
      <w:proofErr w:type="gramStart"/>
      <w:r w:rsidRPr="001045A3">
        <w:t xml:space="preserve">&amp; </w:t>
      </w:r>
      <w:proofErr w:type="spellStart"/>
      <w:r w:rsidRPr="001045A3">
        <w:t>Regs</w:t>
      </w:r>
      <w:proofErr w:type="spellEnd"/>
      <w:r w:rsidRPr="001045A3">
        <w:t>.</w:t>
      </w:r>
      <w:proofErr w:type="gramEnd"/>
      <w:r w:rsidRPr="001045A3">
        <w:t xml:space="preserve"> ¶ 31,204 (2006), order on </w:t>
      </w:r>
      <w:proofErr w:type="spellStart"/>
      <w:r w:rsidRPr="001045A3">
        <w:t>reh’g</w:t>
      </w:r>
      <w:proofErr w:type="spellEnd"/>
      <w:r w:rsidRPr="001045A3">
        <w:t xml:space="preserve">, Order No. 672-A, 71 FR 19814 (April 18, 2006), FERC Stats. </w:t>
      </w:r>
      <w:proofErr w:type="gramStart"/>
      <w:r w:rsidRPr="001045A3">
        <w:t xml:space="preserve">&amp; </w:t>
      </w:r>
      <w:proofErr w:type="spellStart"/>
      <w:r w:rsidRPr="001045A3">
        <w:t>Regs</w:t>
      </w:r>
      <w:proofErr w:type="spellEnd"/>
      <w:r w:rsidRPr="001045A3">
        <w:t>.</w:t>
      </w:r>
      <w:proofErr w:type="gramEnd"/>
      <w:r w:rsidRPr="001045A3">
        <w:t xml:space="preserve"> </w:t>
      </w:r>
      <w:proofErr w:type="gramStart"/>
      <w:r w:rsidRPr="001045A3">
        <w:t>¶ 31,212 (2006).</w:t>
      </w:r>
      <w:proofErr w:type="gramEnd"/>
    </w:p>
  </w:footnote>
  <w:footnote w:id="6">
    <w:p w14:paraId="77F19C2A" w14:textId="77777777" w:rsidR="00BF389C" w:rsidRPr="001045A3" w:rsidRDefault="00BF389C" w:rsidP="002173B0">
      <w:pPr>
        <w:pStyle w:val="FootnoteText"/>
        <w:ind w:firstLine="720"/>
      </w:pPr>
      <w:r w:rsidRPr="001045A3">
        <w:rPr>
          <w:rStyle w:val="FootnoteReference"/>
        </w:rPr>
        <w:footnoteRef/>
      </w:r>
      <w:r w:rsidRPr="001045A3">
        <w:t xml:space="preserve"> North American Electric Reliability Corp., 116 FERC ¶ 61,062 (ERO Certification Order), order on </w:t>
      </w:r>
      <w:proofErr w:type="spellStart"/>
      <w:r w:rsidRPr="001045A3">
        <w:t>reh’g</w:t>
      </w:r>
      <w:proofErr w:type="spellEnd"/>
      <w:r w:rsidRPr="001045A3">
        <w:t xml:space="preserve"> &amp; compliance, 117 FERC ¶ 61,126 (ERO Rehearing Order) (2006), order on compliance, 118 FERC ¶ 61,030 (2007) (January 2007 Compliance Order).</w:t>
      </w:r>
    </w:p>
  </w:footnote>
  <w:footnote w:id="7">
    <w:p w14:paraId="0B00FD75" w14:textId="77777777" w:rsidR="00BF389C" w:rsidRPr="001045A3" w:rsidRDefault="00BF389C" w:rsidP="002173B0">
      <w:pPr>
        <w:pStyle w:val="FootnoteText"/>
        <w:ind w:firstLine="720"/>
      </w:pPr>
      <w:r w:rsidRPr="001045A3">
        <w:rPr>
          <w:rStyle w:val="FootnoteReference"/>
        </w:rPr>
        <w:footnoteRef/>
      </w:r>
      <w:r w:rsidRPr="001045A3">
        <w:t xml:space="preserve"> Section 215(a</w:t>
      </w:r>
      <w:proofErr w:type="gramStart"/>
      <w:r w:rsidRPr="001045A3">
        <w:t>)(</w:t>
      </w:r>
      <w:proofErr w:type="gramEnd"/>
      <w:r w:rsidRPr="001045A3">
        <w:t xml:space="preserve">3) of the FPA defines the term Reliability Standard to mean "a requirement, approved by the Commission under this section, to provide for reliable operation of the Bulk-Power System. This term includes requirements for the operation of existing Bulk-Power System facilities, including cybersecurity protection, and the design of planned additions or modifications to such facilities to the extent necessary to provide for the reliable operation of the Bulk-Power System, but the term does not include any requirement to enlarge such facilities or to construct new transmission capacity or generation capacity.” 16 U.S.C. </w:t>
      </w:r>
      <w:proofErr w:type="gramStart"/>
      <w:r w:rsidRPr="001045A3">
        <w:t>824o(</w:t>
      </w:r>
      <w:proofErr w:type="gramEnd"/>
      <w:r w:rsidRPr="001045A3">
        <w:t>a)(3).</w:t>
      </w:r>
    </w:p>
  </w:footnote>
  <w:footnote w:id="8">
    <w:p w14:paraId="40083145" w14:textId="77777777" w:rsidR="00BF389C" w:rsidRPr="001045A3" w:rsidRDefault="00BF389C" w:rsidP="00DB554D">
      <w:pPr>
        <w:pStyle w:val="FootnoteText"/>
        <w:ind w:firstLine="720"/>
      </w:pPr>
      <w:r w:rsidRPr="001045A3">
        <w:rPr>
          <w:rStyle w:val="FootnoteReference"/>
        </w:rPr>
        <w:footnoteRef/>
      </w:r>
      <w:r w:rsidRPr="001045A3">
        <w:t xml:space="preserve"> Order No. 672 at P 262, 321-37.</w:t>
      </w:r>
    </w:p>
  </w:footnote>
  <w:footnote w:id="9">
    <w:p w14:paraId="69216DF4" w14:textId="388C2044" w:rsidR="00BF389C" w:rsidRDefault="00BF389C" w:rsidP="00DB554D">
      <w:pPr>
        <w:pStyle w:val="FootnoteText"/>
        <w:ind w:firstLine="720"/>
      </w:pPr>
      <w:r>
        <w:rPr>
          <w:rStyle w:val="FootnoteReference"/>
        </w:rPr>
        <w:footnoteRef/>
      </w:r>
      <w:r>
        <w:t xml:space="preserve"> </w:t>
      </w:r>
      <w:proofErr w:type="gramStart"/>
      <w:r>
        <w:t>NERC Petition at 2.</w:t>
      </w:r>
      <w:proofErr w:type="gramEnd"/>
    </w:p>
  </w:footnote>
  <w:footnote w:id="10">
    <w:p w14:paraId="2968E292" w14:textId="7007A014" w:rsidR="00BF389C" w:rsidRDefault="00BF389C" w:rsidP="00DB554D">
      <w:pPr>
        <w:pStyle w:val="FootnoteText"/>
        <w:ind w:firstLine="720"/>
      </w:pPr>
      <w:r>
        <w:rPr>
          <w:rStyle w:val="FootnoteReference"/>
        </w:rPr>
        <w:footnoteRef/>
      </w:r>
      <w:r>
        <w:t xml:space="preserve"> </w:t>
      </w:r>
      <w:proofErr w:type="gramStart"/>
      <w:r>
        <w:t>NERC Petition at 3.</w:t>
      </w:r>
      <w:proofErr w:type="gramEnd"/>
    </w:p>
  </w:footnote>
  <w:footnote w:id="11">
    <w:p w14:paraId="58285877" w14:textId="54B6EB30" w:rsidR="00BF389C" w:rsidRDefault="00BF389C" w:rsidP="00AE619D">
      <w:pPr>
        <w:pStyle w:val="FootnoteText"/>
        <w:ind w:firstLine="720"/>
      </w:pPr>
      <w:r>
        <w:rPr>
          <w:rStyle w:val="FootnoteReference"/>
        </w:rPr>
        <w:footnoteRef/>
      </w:r>
      <w:r>
        <w:t xml:space="preserve"> See Reliability Standard MOD-032-1 (Background)</w:t>
      </w:r>
    </w:p>
  </w:footnote>
  <w:footnote w:id="12">
    <w:p w14:paraId="3A5AB8A5" w14:textId="3C14B8F8" w:rsidR="00BF389C" w:rsidRDefault="00BF389C" w:rsidP="00AE619D">
      <w:pPr>
        <w:pStyle w:val="FootnoteText"/>
        <w:ind w:firstLine="720"/>
      </w:pPr>
      <w:r>
        <w:rPr>
          <w:rStyle w:val="FootnoteReference"/>
        </w:rPr>
        <w:footnoteRef/>
      </w:r>
      <w:r>
        <w:t xml:space="preserve"> </w:t>
      </w:r>
      <w:proofErr w:type="gramStart"/>
      <w:r>
        <w:t>Reliability Standard MOD-033-1 (Purpose).</w:t>
      </w:r>
      <w:proofErr w:type="gramEnd"/>
    </w:p>
  </w:footnote>
  <w:footnote w:id="13">
    <w:p w14:paraId="55126F61" w14:textId="77777777" w:rsidR="00BF389C" w:rsidRPr="00DB554D" w:rsidRDefault="00BF389C" w:rsidP="007804F8">
      <w:pPr>
        <w:pStyle w:val="FootnoteText"/>
        <w:ind w:firstLine="720"/>
      </w:pPr>
      <w:r w:rsidRPr="00DB554D">
        <w:rPr>
          <w:rStyle w:val="FootnoteReference"/>
        </w:rPr>
        <w:footnoteRef/>
      </w:r>
      <w:r w:rsidRPr="00DB554D">
        <w:t xml:space="preserve">  In Order No. 693, the Commission approved Reliability Standards MOD-010 and MOD-012.  Regarding Reliability Standards MOD-011, MOD-013, MOD-014, and MOD-015, the Commission in Order No. 693 did not approve or remand the standards, pending the receipt of additional information.  </w:t>
      </w:r>
      <w:r w:rsidRPr="00DB554D">
        <w:rPr>
          <w:i/>
          <w:iCs/>
        </w:rPr>
        <w:t>Mandatory Reliability Standards for the Bulk-Power System</w:t>
      </w:r>
      <w:r w:rsidRPr="00DB554D">
        <w:t xml:space="preserve">, Order No. 693, 72 FR 16416 (Apr. 4, 2007), at PP 1131-1222, </w:t>
      </w:r>
      <w:r w:rsidRPr="00DB554D">
        <w:rPr>
          <w:i/>
          <w:iCs/>
        </w:rPr>
        <w:t xml:space="preserve">order on </w:t>
      </w:r>
      <w:proofErr w:type="spellStart"/>
      <w:r w:rsidRPr="00DB554D">
        <w:rPr>
          <w:i/>
          <w:iCs/>
        </w:rPr>
        <w:t>reh’g</w:t>
      </w:r>
      <w:proofErr w:type="spellEnd"/>
      <w:r w:rsidRPr="00DB554D">
        <w:t>, Order No. 693-A, 120 FERC ¶ 61,053 (2007).</w:t>
      </w:r>
    </w:p>
  </w:footnote>
  <w:footnote w:id="14">
    <w:p w14:paraId="748A6EEC" w14:textId="257781EE" w:rsidR="00BF389C" w:rsidRDefault="00BF389C" w:rsidP="0032296E">
      <w:pPr>
        <w:pStyle w:val="FootnoteText"/>
        <w:ind w:firstLine="720"/>
      </w:pPr>
      <w:r>
        <w:rPr>
          <w:rStyle w:val="FootnoteReference"/>
        </w:rPr>
        <w:footnoteRef/>
      </w:r>
      <w:r>
        <w:t xml:space="preserve"> NERC Petition at 5</w:t>
      </w:r>
    </w:p>
  </w:footnote>
  <w:footnote w:id="15">
    <w:p w14:paraId="448F2664" w14:textId="4F879F04" w:rsidR="00BF389C" w:rsidRPr="00C72C7A" w:rsidRDefault="00BF389C" w:rsidP="00D229B1">
      <w:pPr>
        <w:pStyle w:val="FootnoteText"/>
        <w:ind w:firstLine="720"/>
      </w:pPr>
      <w:r w:rsidRPr="001045A3">
        <w:rPr>
          <w:rStyle w:val="FootnoteReference"/>
        </w:rPr>
        <w:footnoteRef/>
      </w:r>
      <w:r w:rsidRPr="001045A3">
        <w:t xml:space="preserve"> </w:t>
      </w:r>
      <w:proofErr w:type="gramStart"/>
      <w:r w:rsidRPr="00C72C7A">
        <w:t xml:space="preserve">Available at </w:t>
      </w:r>
      <w:hyperlink r:id="rId1" w:history="1">
        <w:r w:rsidRPr="00DD6273">
          <w:rPr>
            <w:rStyle w:val="Hyperlink"/>
          </w:rPr>
          <w:t>http://www.nerc.com/FilingsOrders/us/RuleOfProcedureDL/NERC_ROP_Effective_20140701_updated_20140602.pdf</w:t>
        </w:r>
      </w:hyperlink>
      <w:r w:rsidRPr="00C72C7A">
        <w:t>.</w:t>
      </w:r>
      <w:proofErr w:type="gramEnd"/>
    </w:p>
  </w:footnote>
  <w:footnote w:id="16">
    <w:p w14:paraId="5E6E1171" w14:textId="77777777" w:rsidR="00BF389C" w:rsidRPr="00812816" w:rsidRDefault="00BF389C" w:rsidP="00D229B1">
      <w:pPr>
        <w:pStyle w:val="FootnoteText"/>
        <w:spacing w:after="240"/>
        <w:ind w:firstLine="720"/>
      </w:pPr>
      <w:r w:rsidRPr="00D229B1">
        <w:rPr>
          <w:rStyle w:val="FootnoteReference"/>
        </w:rPr>
        <w:footnoteRef/>
      </w:r>
      <w:r w:rsidRPr="00D229B1">
        <w:t xml:space="preserve"> </w:t>
      </w:r>
      <w:r w:rsidRPr="00812816">
        <w:t xml:space="preserve">Details of the current ERO standard processes are available on the NERC website at </w:t>
      </w:r>
      <w:hyperlink r:id="rId2" w:history="1">
        <w:r w:rsidRPr="00812816">
          <w:rPr>
            <w:rStyle w:val="Hyperlink"/>
          </w:rPr>
          <w:t>http://www.nerc.com/docs/standards/sar/Appendix_3A_Standard_Processes_Manual_20100903_2_.pdf</w:t>
        </w:r>
      </w:hyperlink>
      <w:r w:rsidRPr="00812816">
        <w:t>.</w:t>
      </w:r>
    </w:p>
  </w:footnote>
  <w:footnote w:id="17">
    <w:p w14:paraId="06C15FB9" w14:textId="5A2A94AD" w:rsidR="00BF389C" w:rsidRDefault="00BF389C" w:rsidP="00223046">
      <w:pPr>
        <w:pStyle w:val="FootnoteText"/>
        <w:ind w:firstLine="720"/>
      </w:pPr>
      <w:r>
        <w:rPr>
          <w:rStyle w:val="FootnoteReference"/>
        </w:rPr>
        <w:footnoteRef/>
      </w:r>
      <w:r>
        <w:t xml:space="preserve"> In the initial public notice we stated that the modified information collection was “FERC-725A”.  We have corrected the applicable collection (now FERC-725L) in the subsequent notice, in the supporting statement and in OMB’s online submittal system.  </w:t>
      </w:r>
    </w:p>
  </w:footnote>
  <w:footnote w:id="18">
    <w:p w14:paraId="4F119545" w14:textId="77777777" w:rsidR="00BF389C" w:rsidRPr="001045A3" w:rsidRDefault="00BF389C" w:rsidP="00214C6F">
      <w:pPr>
        <w:pStyle w:val="FootnoteText"/>
        <w:ind w:firstLine="720"/>
      </w:pPr>
      <w:r w:rsidRPr="001045A3">
        <w:rPr>
          <w:rStyle w:val="FootnoteReference"/>
        </w:rPr>
        <w:footnoteRef/>
      </w:r>
      <w:r w:rsidRPr="001045A3">
        <w:t xml:space="preserve"> Section 1502, paragraph 2, available at NERCs website</w:t>
      </w:r>
    </w:p>
  </w:footnote>
  <w:footnote w:id="19">
    <w:p w14:paraId="49CFAEDE" w14:textId="77777777" w:rsidR="00BF389C" w:rsidRPr="00AE619D" w:rsidRDefault="00BF389C" w:rsidP="00510863">
      <w:pPr>
        <w:pStyle w:val="FootnoteText"/>
        <w:ind w:firstLine="720"/>
      </w:pPr>
      <w:r w:rsidRPr="00AE619D">
        <w:rPr>
          <w:rStyle w:val="FootnoteReference"/>
        </w:rPr>
        <w:footnoteRef/>
      </w:r>
      <w:r w:rsidRPr="00AE619D">
        <w:t xml:space="preserve"> GO = Generator Owner, TP = Transmission Planner.  </w:t>
      </w:r>
    </w:p>
    <w:p w14:paraId="3F7444D4" w14:textId="77777777" w:rsidR="00BF389C" w:rsidRPr="00AE619D" w:rsidRDefault="00BF389C" w:rsidP="00510863">
      <w:pPr>
        <w:pStyle w:val="FootnoteText"/>
      </w:pPr>
      <w:r w:rsidRPr="00AE619D">
        <w:t>Assuming 10 generators per generator owner, using EIA-860 2012 generator data (</w:t>
      </w:r>
      <w:hyperlink r:id="rId3" w:history="1">
        <w:r w:rsidRPr="00AE619D">
          <w:rPr>
            <w:rStyle w:val="Hyperlink"/>
          </w:rPr>
          <w:t>http://www.eia.gov/electricity/data/eia860/</w:t>
        </w:r>
      </w:hyperlink>
      <w:r w:rsidRPr="00AE619D">
        <w:t>) total number of units &gt; 20 MW are 7,379, which results in 738 generator owners.</w:t>
      </w:r>
    </w:p>
  </w:footnote>
  <w:footnote w:id="20">
    <w:p w14:paraId="3995CDB4" w14:textId="77777777" w:rsidR="00BF389C" w:rsidRPr="00AE619D" w:rsidRDefault="00BF389C" w:rsidP="00510863">
      <w:pPr>
        <w:pStyle w:val="FootnoteText"/>
        <w:ind w:firstLine="720"/>
      </w:pPr>
      <w:r w:rsidRPr="00AE619D">
        <w:rPr>
          <w:rStyle w:val="FootnoteReference"/>
        </w:rPr>
        <w:footnoteRef/>
      </w:r>
      <w:r w:rsidRPr="00AE619D">
        <w:t xml:space="preserve"> The estimates for cost per hour are derived as follows:</w:t>
      </w:r>
    </w:p>
    <w:p w14:paraId="43014F9A" w14:textId="77777777" w:rsidR="00BF389C" w:rsidRPr="00AE619D" w:rsidRDefault="00BF389C" w:rsidP="00510863">
      <w:pPr>
        <w:pStyle w:val="ListParagraph"/>
        <w:numPr>
          <w:ilvl w:val="0"/>
          <w:numId w:val="8"/>
        </w:numPr>
        <w:spacing w:after="0" w:line="240" w:lineRule="auto"/>
        <w:ind w:left="0" w:firstLine="0"/>
        <w:rPr>
          <w:rFonts w:ascii="Times New Roman" w:hAnsi="Times New Roman" w:cs="Times New Roman"/>
          <w:sz w:val="20"/>
          <w:szCs w:val="20"/>
        </w:rPr>
      </w:pPr>
      <w:r w:rsidRPr="00AE619D">
        <w:rPr>
          <w:rFonts w:ascii="Times New Roman" w:hAnsi="Times New Roman" w:cs="Times New Roman"/>
          <w:sz w:val="20"/>
          <w:szCs w:val="20"/>
        </w:rPr>
        <w:t xml:space="preserve">$52/hour, the average of the salary plus benefits for an engineer, from Bureau of Labor and Statistics at </w:t>
      </w:r>
      <w:hyperlink r:id="rId4" w:history="1">
        <w:r w:rsidRPr="00AE619D">
          <w:rPr>
            <w:rStyle w:val="Hyperlink"/>
            <w:rFonts w:ascii="Times New Roman" w:hAnsi="Times New Roman" w:cs="Times New Roman"/>
            <w:sz w:val="20"/>
            <w:szCs w:val="20"/>
          </w:rPr>
          <w:t>http://bls.gov/oes/current/naics3_221000.htm</w:t>
        </w:r>
      </w:hyperlink>
    </w:p>
    <w:p w14:paraId="24579F4A" w14:textId="77777777" w:rsidR="00BF389C" w:rsidRPr="00AE619D" w:rsidRDefault="00BF389C" w:rsidP="00510863">
      <w:pPr>
        <w:pStyle w:val="ListParagraph"/>
        <w:numPr>
          <w:ilvl w:val="0"/>
          <w:numId w:val="8"/>
        </w:numPr>
        <w:spacing w:after="0" w:line="240" w:lineRule="auto"/>
        <w:ind w:left="0" w:firstLine="0"/>
        <w:rPr>
          <w:rFonts w:ascii="Times New Roman" w:hAnsi="Times New Roman" w:cs="Times New Roman"/>
          <w:sz w:val="20"/>
          <w:szCs w:val="20"/>
        </w:rPr>
      </w:pPr>
      <w:r w:rsidRPr="00AE619D">
        <w:rPr>
          <w:rFonts w:ascii="Times New Roman" w:hAnsi="Times New Roman" w:cs="Times New Roman"/>
          <w:sz w:val="20"/>
          <w:szCs w:val="20"/>
        </w:rPr>
        <w:t xml:space="preserve">$70/hour, the average of the salary plus benefits for a manager and an engineer, from Bureau of Labor and Statistics at </w:t>
      </w:r>
      <w:hyperlink r:id="rId5" w:tooltip="blocked::http://bls.gov/oes/current/naics3_221000.htm" w:history="1">
        <w:r w:rsidRPr="00AE619D">
          <w:rPr>
            <w:rStyle w:val="Hyperlink"/>
            <w:rFonts w:ascii="Times New Roman" w:hAnsi="Times New Roman" w:cs="Times New Roman"/>
            <w:sz w:val="20"/>
            <w:szCs w:val="20"/>
          </w:rPr>
          <w:t>http://bls.gov/oes/current/naics3_221000.htm</w:t>
        </w:r>
      </w:hyperlink>
    </w:p>
    <w:p w14:paraId="50869347" w14:textId="77777777" w:rsidR="00BF389C" w:rsidRPr="00D76EC9" w:rsidRDefault="00BF389C" w:rsidP="00510863">
      <w:pPr>
        <w:pStyle w:val="ListParagraph"/>
        <w:numPr>
          <w:ilvl w:val="0"/>
          <w:numId w:val="8"/>
        </w:numPr>
        <w:spacing w:after="0" w:line="240" w:lineRule="auto"/>
        <w:ind w:left="0" w:firstLine="0"/>
        <w:rPr>
          <w:rFonts w:ascii="Times New Roman" w:hAnsi="Times New Roman" w:cs="Times New Roman"/>
          <w:sz w:val="24"/>
          <w:szCs w:val="24"/>
        </w:rPr>
      </w:pPr>
      <w:r w:rsidRPr="00AE619D">
        <w:rPr>
          <w:rFonts w:ascii="Times New Roman" w:hAnsi="Times New Roman" w:cs="Times New Roman"/>
          <w:sz w:val="20"/>
          <w:szCs w:val="20"/>
        </w:rPr>
        <w:t>$28/hour, based on a Commission staff study of record retention burden cost.</w:t>
      </w:r>
      <w:r w:rsidRPr="00D76EC9">
        <w:rPr>
          <w:rFonts w:ascii="Times New Roman" w:hAnsi="Times New Roman" w:cs="Times New Roman"/>
          <w:sz w:val="24"/>
          <w:szCs w:val="24"/>
        </w:rPr>
        <w:t xml:space="preserve"> </w:t>
      </w:r>
    </w:p>
  </w:footnote>
  <w:footnote w:id="21">
    <w:p w14:paraId="373CC10E" w14:textId="5E557132" w:rsidR="00BF389C" w:rsidRDefault="00BF389C" w:rsidP="003A79FC">
      <w:pPr>
        <w:pStyle w:val="FootnoteText"/>
        <w:ind w:firstLine="720"/>
      </w:pPr>
      <w:r>
        <w:rPr>
          <w:rStyle w:val="FootnoteReference"/>
        </w:rPr>
        <w:footnoteRef/>
      </w:r>
      <w:r>
        <w:t xml:space="preserve"> </w:t>
      </w:r>
      <w:r w:rsidRPr="00896F4D">
        <w:t xml:space="preserve">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(not just </w:t>
      </w:r>
      <w:r>
        <w:t>the Order</w:t>
      </w:r>
      <w:r w:rsidRPr="00896F4D">
        <w:t xml:space="preserve"> in Docket No. R</w:t>
      </w:r>
      <w:r>
        <w:t>D</w:t>
      </w:r>
      <w:r w:rsidRPr="00896F4D">
        <w:t>14-</w:t>
      </w:r>
      <w:proofErr w:type="gramStart"/>
      <w:r>
        <w:t>5</w:t>
      </w:r>
      <w:r w:rsidRPr="00896F4D">
        <w:t>),</w:t>
      </w:r>
      <w:proofErr w:type="gramEnd"/>
      <w:r w:rsidRPr="00896F4D">
        <w:t xml:space="preserve"> and other changes to the collection.  </w:t>
      </w:r>
    </w:p>
  </w:footnote>
  <w:footnote w:id="22">
    <w:p w14:paraId="63E6FA0A" w14:textId="1D6B259E" w:rsidR="00BF389C" w:rsidRPr="00BC4C5F" w:rsidRDefault="00BF389C" w:rsidP="00BC4C5F">
      <w:pPr>
        <w:pStyle w:val="FootnoteText"/>
        <w:ind w:firstLine="720"/>
      </w:pPr>
      <w:r w:rsidRPr="00BC4C5F">
        <w:rPr>
          <w:rStyle w:val="FootnoteReference"/>
        </w:rPr>
        <w:footnoteRef/>
      </w:r>
      <w:r w:rsidRPr="00BC4C5F">
        <w:t xml:space="preserve">  PA = Planning Authority, GO = Generator Owner, TP = Transmission Planner, BA = Balancing Authority, LSE = Load Serving Entity, RP = Resource Planner, TSP = Transmission Service Provider, RC = Reliability Coordinator, TOP = Transmission Operator.  </w:t>
      </w:r>
    </w:p>
  </w:footnote>
  <w:footnote w:id="23">
    <w:p w14:paraId="2F1341E0" w14:textId="77777777" w:rsidR="00BF389C" w:rsidRPr="00BC4C5F" w:rsidRDefault="00BF389C" w:rsidP="00BB74FF">
      <w:pPr>
        <w:pStyle w:val="FootnoteText"/>
        <w:ind w:firstLine="720"/>
      </w:pPr>
      <w:r w:rsidRPr="00BC4C5F">
        <w:rPr>
          <w:rStyle w:val="FootnoteReference"/>
        </w:rPr>
        <w:footnoteRef/>
      </w:r>
      <w:r w:rsidRPr="00BC4C5F">
        <w:t xml:space="preserve">  The estimates for cost per hour (rounded to the nearest dollar) are derived as follows: </w:t>
      </w:r>
    </w:p>
    <w:p w14:paraId="10D30BF7" w14:textId="77777777" w:rsidR="00BF389C" w:rsidRPr="00BC4C5F" w:rsidRDefault="00BF389C" w:rsidP="00BB74FF">
      <w:pPr>
        <w:numPr>
          <w:ilvl w:val="0"/>
          <w:numId w:val="8"/>
        </w:numPr>
        <w:spacing w:after="0" w:line="240" w:lineRule="auto"/>
        <w:contextualSpacing/>
        <w:rPr>
          <w:rFonts w:ascii="Times New Roman" w:hAnsi="Times New Roman" w:cs="Times New Roman"/>
          <w:sz w:val="20"/>
          <w:szCs w:val="20"/>
        </w:rPr>
      </w:pPr>
      <w:r w:rsidRPr="00BC4C5F">
        <w:rPr>
          <w:rFonts w:ascii="Times New Roman" w:hAnsi="Times New Roman" w:cs="Times New Roman"/>
          <w:sz w:val="20"/>
          <w:szCs w:val="20"/>
        </w:rPr>
        <w:t xml:space="preserve">$60/hour, the average salary plus benefits per engineer (from Bureau of Labor Statistics at </w:t>
      </w:r>
      <w:hyperlink r:id="rId6" w:history="1">
        <w:r w:rsidRPr="00BC4C5F">
          <w:rPr>
            <w:rFonts w:ascii="Times New Roman" w:hAnsi="Times New Roman" w:cs="Times New Roman"/>
            <w:color w:val="0000FF"/>
            <w:sz w:val="20"/>
            <w:szCs w:val="20"/>
            <w:u w:val="single"/>
          </w:rPr>
          <w:t>http://bls.gov/oes/current/naics3_221000.htm</w:t>
        </w:r>
      </w:hyperlink>
      <w:r w:rsidRPr="00BC4C5F">
        <w:rPr>
          <w:rFonts w:ascii="Times New Roman" w:hAnsi="Times New Roman" w:cs="Times New Roman"/>
          <w:color w:val="0000FF"/>
          <w:sz w:val="20"/>
          <w:szCs w:val="20"/>
          <w:u w:val="single"/>
        </w:rPr>
        <w:t>)</w:t>
      </w:r>
    </w:p>
    <w:p w14:paraId="0B7EB131" w14:textId="2E3E2605" w:rsidR="00BF389C" w:rsidRPr="00BC4C5F" w:rsidRDefault="00BF389C" w:rsidP="00BB74FF">
      <w:pPr>
        <w:pStyle w:val="FootnoteText"/>
        <w:numPr>
          <w:ilvl w:val="0"/>
          <w:numId w:val="8"/>
        </w:numPr>
      </w:pPr>
      <w:r w:rsidRPr="00BC4C5F">
        <w:t xml:space="preserve">$32/hour, the salary plus </w:t>
      </w:r>
      <w:r w:rsidRPr="004D59AF">
        <w:t>benefits for</w:t>
      </w:r>
      <w:r w:rsidRPr="00BC4C5F">
        <w:t xml:space="preserve"> information and record clerks (from Bureau of Labor Statistics at </w:t>
      </w:r>
      <w:hyperlink r:id="rId7" w:tooltip="blocked::http://bls.gov/oes/current/naics3_221000.htm" w:history="1">
        <w:r w:rsidRPr="00BC4C5F">
          <w:rPr>
            <w:color w:val="0000FF"/>
            <w:u w:val="single"/>
          </w:rPr>
          <w:t>http://bls.gov/oes/current/naics3_221000.htm</w:t>
        </w:r>
      </w:hyperlink>
      <w:r w:rsidRPr="00BC4C5F">
        <w:rPr>
          <w:color w:val="0000FF"/>
          <w:u w:val="single"/>
        </w:rPr>
        <w:t>)</w:t>
      </w:r>
      <w:r w:rsidRPr="00BC4C5F">
        <w:t xml:space="preserve">  </w:t>
      </w:r>
    </w:p>
  </w:footnote>
  <w:footnote w:id="24">
    <w:p w14:paraId="25F278E2" w14:textId="4551F87E" w:rsidR="00BF389C" w:rsidRDefault="00BF389C">
      <w:pPr>
        <w:pStyle w:val="FootnoteText"/>
      </w:pPr>
      <w:r>
        <w:rPr>
          <w:rStyle w:val="FootnoteReference"/>
        </w:rPr>
        <w:footnoteRef/>
      </w:r>
      <w:r>
        <w:t xml:space="preserve"> In the tables, the data retention burden is not counted as a unique response except in the case of four unique PAs in the MOD-033-1 table.  Hence the total </w:t>
      </w:r>
      <w:proofErr w:type="gramStart"/>
      <w:r>
        <w:t>number of responses are</w:t>
      </w:r>
      <w:proofErr w:type="gramEnd"/>
      <w:r>
        <w:t xml:space="preserve"> 1,830 (200+1,355+75+196+4 = 1,830).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2EDF3" w14:textId="77777777" w:rsidR="00BF389C" w:rsidRDefault="00BF389C" w:rsidP="00723C6B">
    <w:pPr>
      <w:pStyle w:val="Header"/>
      <w:rPr>
        <w:rFonts w:ascii="Times New Roman" w:hAnsi="Times New Roman" w:cs="Times New Roman"/>
        <w:sz w:val="24"/>
        <w:szCs w:val="24"/>
      </w:rPr>
    </w:pPr>
    <w:r>
      <w:rPr>
        <w:rFonts w:ascii="Times New Roman" w:hAnsi="Times New Roman" w:cs="Times New Roman"/>
        <w:sz w:val="24"/>
        <w:szCs w:val="24"/>
      </w:rPr>
      <w:t>FERC-725L (OMB Control No. 1902-0261)</w:t>
    </w:r>
  </w:p>
  <w:p w14:paraId="2FFC984A" w14:textId="7660414E" w:rsidR="00BF389C" w:rsidRDefault="00BF389C">
    <w:pPr>
      <w:pStyle w:val="Header"/>
      <w:rPr>
        <w:rFonts w:ascii="Times New Roman" w:hAnsi="Times New Roman" w:cs="Times New Roman"/>
        <w:sz w:val="24"/>
        <w:szCs w:val="24"/>
      </w:rPr>
    </w:pP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modified by RD14-5 Delegated Letter Order Issued May 1, 2014</w:t>
    </w:r>
  </w:p>
  <w:p w14:paraId="36F32D56" w14:textId="4B1B7312" w:rsidR="00BF389C" w:rsidRDefault="00BF389C">
    <w:pPr>
      <w:pStyle w:val="Header"/>
      <w:rPr>
        <w:rFonts w:ascii="Times New Roman" w:hAnsi="Times New Roman" w:cs="Times New Roman"/>
        <w:sz w:val="24"/>
        <w:szCs w:val="24"/>
      </w:rPr>
    </w:pPr>
    <w:r>
      <w:rPr>
        <w:rFonts w:ascii="Times New Roman" w:hAnsi="Times New Roman" w:cs="Times New Roman"/>
        <w:sz w:val="24"/>
        <w:szCs w:val="24"/>
      </w:rPr>
      <w:t>Updated 10/30/14</w:t>
    </w:r>
  </w:p>
  <w:p w14:paraId="15FE05B6" w14:textId="77777777" w:rsidR="00BF389C" w:rsidRDefault="00BF38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308EC"/>
    <w:multiLevelType w:val="hybridMultilevel"/>
    <w:tmpl w:val="D180B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D37B58"/>
    <w:multiLevelType w:val="hybridMultilevel"/>
    <w:tmpl w:val="44666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0F39DC"/>
    <w:multiLevelType w:val="hybridMultilevel"/>
    <w:tmpl w:val="F44C9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4">
    <w:nsid w:val="453C6417"/>
    <w:multiLevelType w:val="hybridMultilevel"/>
    <w:tmpl w:val="53A8C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3435EA"/>
    <w:multiLevelType w:val="hybridMultilevel"/>
    <w:tmpl w:val="2AA2F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7"/>
  </w:num>
  <w:num w:numId="4">
    <w:abstractNumId w:val="8"/>
  </w:num>
  <w:num w:numId="5">
    <w:abstractNumId w:val="0"/>
  </w:num>
  <w:num w:numId="6">
    <w:abstractNumId w:val="2"/>
  </w:num>
  <w:num w:numId="7">
    <w:abstractNumId w:val="1"/>
  </w:num>
  <w:num w:numId="8">
    <w:abstractNumId w:val="4"/>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thony May">
    <w15:presenceInfo w15:providerId="AD" w15:userId="S-1-5-21-842925246-1078145449-725345543-104159"/>
  </w15:person>
  <w15:person w15:author="Richard Palmer">
    <w15:presenceInfo w15:providerId="AD" w15:userId="S-1-5-21-842925246-1078145449-725345543-96275"/>
  </w15:person>
  <w15:person w15:author="Michael Gandolfo">
    <w15:presenceInfo w15:providerId="Windows Live" w15:userId="2e9e18d3d620c2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proofState w:spelling="clean" w:grammar="clean"/>
  <w:trackRevisions/>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20EE"/>
    <w:rsid w:val="0000478A"/>
    <w:rsid w:val="0002242D"/>
    <w:rsid w:val="00022602"/>
    <w:rsid w:val="00032733"/>
    <w:rsid w:val="00035845"/>
    <w:rsid w:val="00037D84"/>
    <w:rsid w:val="00055A5F"/>
    <w:rsid w:val="00065616"/>
    <w:rsid w:val="00074DC8"/>
    <w:rsid w:val="00085DC1"/>
    <w:rsid w:val="00096FAB"/>
    <w:rsid w:val="000B0C37"/>
    <w:rsid w:val="000D59DF"/>
    <w:rsid w:val="000D7E27"/>
    <w:rsid w:val="000E56B4"/>
    <w:rsid w:val="000F0129"/>
    <w:rsid w:val="000F55A8"/>
    <w:rsid w:val="00103E52"/>
    <w:rsid w:val="001045A3"/>
    <w:rsid w:val="00113FA7"/>
    <w:rsid w:val="00143103"/>
    <w:rsid w:val="001541CE"/>
    <w:rsid w:val="001554C2"/>
    <w:rsid w:val="001559C9"/>
    <w:rsid w:val="0017125E"/>
    <w:rsid w:val="00181727"/>
    <w:rsid w:val="00185730"/>
    <w:rsid w:val="001B44FA"/>
    <w:rsid w:val="001D24F1"/>
    <w:rsid w:val="001D2739"/>
    <w:rsid w:val="0020084D"/>
    <w:rsid w:val="002046DB"/>
    <w:rsid w:val="00214C6F"/>
    <w:rsid w:val="002173B0"/>
    <w:rsid w:val="00223046"/>
    <w:rsid w:val="00234C35"/>
    <w:rsid w:val="00262F48"/>
    <w:rsid w:val="0026674D"/>
    <w:rsid w:val="00292AAE"/>
    <w:rsid w:val="002B13E2"/>
    <w:rsid w:val="002D4EC3"/>
    <w:rsid w:val="002D51FB"/>
    <w:rsid w:val="002D52DA"/>
    <w:rsid w:val="002E1C82"/>
    <w:rsid w:val="002E655B"/>
    <w:rsid w:val="002F20D3"/>
    <w:rsid w:val="002F244F"/>
    <w:rsid w:val="00301720"/>
    <w:rsid w:val="00315109"/>
    <w:rsid w:val="003151D4"/>
    <w:rsid w:val="0032296E"/>
    <w:rsid w:val="0033266C"/>
    <w:rsid w:val="00345458"/>
    <w:rsid w:val="003928C2"/>
    <w:rsid w:val="003958B8"/>
    <w:rsid w:val="003A79FC"/>
    <w:rsid w:val="003B1AC0"/>
    <w:rsid w:val="003B2026"/>
    <w:rsid w:val="003B561A"/>
    <w:rsid w:val="003C0353"/>
    <w:rsid w:val="003E54BA"/>
    <w:rsid w:val="003F1D69"/>
    <w:rsid w:val="003F5952"/>
    <w:rsid w:val="004021F5"/>
    <w:rsid w:val="00405B9A"/>
    <w:rsid w:val="00414F32"/>
    <w:rsid w:val="00434D19"/>
    <w:rsid w:val="00454708"/>
    <w:rsid w:val="00482D0B"/>
    <w:rsid w:val="00487721"/>
    <w:rsid w:val="0049325A"/>
    <w:rsid w:val="004933CC"/>
    <w:rsid w:val="004B3B78"/>
    <w:rsid w:val="004B4C95"/>
    <w:rsid w:val="004C136C"/>
    <w:rsid w:val="004C4C89"/>
    <w:rsid w:val="004D59AF"/>
    <w:rsid w:val="004F6977"/>
    <w:rsid w:val="00510863"/>
    <w:rsid w:val="005137E4"/>
    <w:rsid w:val="00515603"/>
    <w:rsid w:val="00522F69"/>
    <w:rsid w:val="00530828"/>
    <w:rsid w:val="0053287C"/>
    <w:rsid w:val="00533DA9"/>
    <w:rsid w:val="00544C75"/>
    <w:rsid w:val="005575EF"/>
    <w:rsid w:val="00562DF2"/>
    <w:rsid w:val="00565DED"/>
    <w:rsid w:val="005677DD"/>
    <w:rsid w:val="00571C5E"/>
    <w:rsid w:val="0057700F"/>
    <w:rsid w:val="00577390"/>
    <w:rsid w:val="005A1755"/>
    <w:rsid w:val="005A2792"/>
    <w:rsid w:val="005B13EB"/>
    <w:rsid w:val="005B77CE"/>
    <w:rsid w:val="005E6CD3"/>
    <w:rsid w:val="005F1C3C"/>
    <w:rsid w:val="005F7D8E"/>
    <w:rsid w:val="006166FA"/>
    <w:rsid w:val="006209E5"/>
    <w:rsid w:val="006278CC"/>
    <w:rsid w:val="0063043A"/>
    <w:rsid w:val="00641D0D"/>
    <w:rsid w:val="006426C6"/>
    <w:rsid w:val="00664BC0"/>
    <w:rsid w:val="00674DFA"/>
    <w:rsid w:val="00675B9F"/>
    <w:rsid w:val="006864FC"/>
    <w:rsid w:val="00687339"/>
    <w:rsid w:val="00690136"/>
    <w:rsid w:val="0069110F"/>
    <w:rsid w:val="006A77B8"/>
    <w:rsid w:val="006B0709"/>
    <w:rsid w:val="006C0D4C"/>
    <w:rsid w:val="006C4EB6"/>
    <w:rsid w:val="006D18B7"/>
    <w:rsid w:val="006F79F1"/>
    <w:rsid w:val="00723C6B"/>
    <w:rsid w:val="007253B8"/>
    <w:rsid w:val="00733582"/>
    <w:rsid w:val="00733D98"/>
    <w:rsid w:val="00740A8E"/>
    <w:rsid w:val="007426EE"/>
    <w:rsid w:val="00743DFF"/>
    <w:rsid w:val="00746B30"/>
    <w:rsid w:val="00747AE2"/>
    <w:rsid w:val="0075200C"/>
    <w:rsid w:val="00773AEB"/>
    <w:rsid w:val="00776DE0"/>
    <w:rsid w:val="007804F8"/>
    <w:rsid w:val="0078363D"/>
    <w:rsid w:val="007872B4"/>
    <w:rsid w:val="00787670"/>
    <w:rsid w:val="0079527C"/>
    <w:rsid w:val="007A2F92"/>
    <w:rsid w:val="007E180A"/>
    <w:rsid w:val="007E7C0F"/>
    <w:rsid w:val="008076A1"/>
    <w:rsid w:val="00812816"/>
    <w:rsid w:val="00820482"/>
    <w:rsid w:val="00832E0E"/>
    <w:rsid w:val="008619E1"/>
    <w:rsid w:val="00862F84"/>
    <w:rsid w:val="008723B0"/>
    <w:rsid w:val="00876F75"/>
    <w:rsid w:val="00882402"/>
    <w:rsid w:val="0089676C"/>
    <w:rsid w:val="00896F4D"/>
    <w:rsid w:val="008A17A1"/>
    <w:rsid w:val="008A21A4"/>
    <w:rsid w:val="008A5E6D"/>
    <w:rsid w:val="008B32C8"/>
    <w:rsid w:val="008B703B"/>
    <w:rsid w:val="008C1A57"/>
    <w:rsid w:val="008C288D"/>
    <w:rsid w:val="008C53E9"/>
    <w:rsid w:val="008E70CD"/>
    <w:rsid w:val="009003C7"/>
    <w:rsid w:val="00913A8B"/>
    <w:rsid w:val="00921492"/>
    <w:rsid w:val="00942BF5"/>
    <w:rsid w:val="00946B72"/>
    <w:rsid w:val="00970FE4"/>
    <w:rsid w:val="009814D7"/>
    <w:rsid w:val="009A49A6"/>
    <w:rsid w:val="009B0642"/>
    <w:rsid w:val="009B150F"/>
    <w:rsid w:val="009B6841"/>
    <w:rsid w:val="009C7480"/>
    <w:rsid w:val="009E1190"/>
    <w:rsid w:val="00A07B9C"/>
    <w:rsid w:val="00A14EF2"/>
    <w:rsid w:val="00A276F5"/>
    <w:rsid w:val="00A72E7B"/>
    <w:rsid w:val="00A86212"/>
    <w:rsid w:val="00A96B65"/>
    <w:rsid w:val="00A97889"/>
    <w:rsid w:val="00AA1360"/>
    <w:rsid w:val="00AB6D51"/>
    <w:rsid w:val="00AD13E5"/>
    <w:rsid w:val="00AD281F"/>
    <w:rsid w:val="00AD34B0"/>
    <w:rsid w:val="00AD3DE5"/>
    <w:rsid w:val="00AE1C8E"/>
    <w:rsid w:val="00AE619D"/>
    <w:rsid w:val="00AF1231"/>
    <w:rsid w:val="00B0450B"/>
    <w:rsid w:val="00B06196"/>
    <w:rsid w:val="00B255DB"/>
    <w:rsid w:val="00B43276"/>
    <w:rsid w:val="00B931AC"/>
    <w:rsid w:val="00BA1C7D"/>
    <w:rsid w:val="00BA7C56"/>
    <w:rsid w:val="00BB0444"/>
    <w:rsid w:val="00BB1395"/>
    <w:rsid w:val="00BB419D"/>
    <w:rsid w:val="00BB74FF"/>
    <w:rsid w:val="00BC2EE7"/>
    <w:rsid w:val="00BC4C5F"/>
    <w:rsid w:val="00BD4222"/>
    <w:rsid w:val="00BD5C4A"/>
    <w:rsid w:val="00BD7AF7"/>
    <w:rsid w:val="00BE74DE"/>
    <w:rsid w:val="00BF389C"/>
    <w:rsid w:val="00C01698"/>
    <w:rsid w:val="00C040C0"/>
    <w:rsid w:val="00C117FE"/>
    <w:rsid w:val="00C24B6E"/>
    <w:rsid w:val="00C26DCE"/>
    <w:rsid w:val="00C312C1"/>
    <w:rsid w:val="00C510DD"/>
    <w:rsid w:val="00C54058"/>
    <w:rsid w:val="00C62BCE"/>
    <w:rsid w:val="00C72C7A"/>
    <w:rsid w:val="00C957D3"/>
    <w:rsid w:val="00C96DCD"/>
    <w:rsid w:val="00CA495F"/>
    <w:rsid w:val="00CA59C3"/>
    <w:rsid w:val="00CB484D"/>
    <w:rsid w:val="00D229B1"/>
    <w:rsid w:val="00D2565D"/>
    <w:rsid w:val="00D30720"/>
    <w:rsid w:val="00D55CF0"/>
    <w:rsid w:val="00D74F69"/>
    <w:rsid w:val="00D80FBD"/>
    <w:rsid w:val="00DB2B2E"/>
    <w:rsid w:val="00DB554D"/>
    <w:rsid w:val="00DB5D8F"/>
    <w:rsid w:val="00DB7B80"/>
    <w:rsid w:val="00DC0E01"/>
    <w:rsid w:val="00DC4B51"/>
    <w:rsid w:val="00DC4E36"/>
    <w:rsid w:val="00E10F06"/>
    <w:rsid w:val="00E11CA6"/>
    <w:rsid w:val="00E14565"/>
    <w:rsid w:val="00E20612"/>
    <w:rsid w:val="00E23B4C"/>
    <w:rsid w:val="00E324BC"/>
    <w:rsid w:val="00E502BA"/>
    <w:rsid w:val="00E56CF5"/>
    <w:rsid w:val="00E6361F"/>
    <w:rsid w:val="00E636D7"/>
    <w:rsid w:val="00E6703B"/>
    <w:rsid w:val="00E705AE"/>
    <w:rsid w:val="00E8549C"/>
    <w:rsid w:val="00E87A4F"/>
    <w:rsid w:val="00EB3E6F"/>
    <w:rsid w:val="00EB737F"/>
    <w:rsid w:val="00ED0D38"/>
    <w:rsid w:val="00ED5560"/>
    <w:rsid w:val="00EF55E7"/>
    <w:rsid w:val="00F12DC2"/>
    <w:rsid w:val="00F12FF7"/>
    <w:rsid w:val="00F152DF"/>
    <w:rsid w:val="00F16BF3"/>
    <w:rsid w:val="00F452E7"/>
    <w:rsid w:val="00F7206B"/>
    <w:rsid w:val="00F739C7"/>
    <w:rsid w:val="00F85870"/>
    <w:rsid w:val="00F871B9"/>
    <w:rsid w:val="00F97ABB"/>
    <w:rsid w:val="00FA6A11"/>
    <w:rsid w:val="00FC2D64"/>
    <w:rsid w:val="00FC36C2"/>
    <w:rsid w:val="00FC3B5F"/>
    <w:rsid w:val="00FD66F1"/>
    <w:rsid w:val="00FF0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FFC9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rsid w:val="0000478A"/>
    <w:rPr>
      <w:color w:val="0000FF"/>
      <w:u w:val="single"/>
    </w:rPr>
  </w:style>
  <w:style w:type="paragraph" w:styleId="Revision">
    <w:name w:val="Revision"/>
    <w:hidden/>
    <w:uiPriority w:val="99"/>
    <w:semiHidden/>
    <w:rsid w:val="0033266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rsid w:val="0000478A"/>
    <w:rPr>
      <w:color w:val="0000FF"/>
      <w:u w:val="single"/>
    </w:rPr>
  </w:style>
  <w:style w:type="paragraph" w:styleId="Revision">
    <w:name w:val="Revision"/>
    <w:hidden/>
    <w:uiPriority w:val="99"/>
    <w:semiHidden/>
    <w:rsid w:val="003326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476095">
      <w:bodyDiv w:val="1"/>
      <w:marLeft w:val="0"/>
      <w:marRight w:val="0"/>
      <w:marTop w:val="0"/>
      <w:marBottom w:val="0"/>
      <w:divBdr>
        <w:top w:val="none" w:sz="0" w:space="0" w:color="auto"/>
        <w:left w:val="none" w:sz="0" w:space="0" w:color="auto"/>
        <w:bottom w:val="none" w:sz="0" w:space="0" w:color="auto"/>
        <w:right w:val="none" w:sz="0" w:space="0" w:color="auto"/>
      </w:divBdr>
    </w:div>
    <w:div w:id="142626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info-collections.as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eia.gov/electricity/data/eia860/" TargetMode="External"/><Relationship Id="rId7" Type="http://schemas.openxmlformats.org/officeDocument/2006/relationships/hyperlink" Target="http://bls.gov/oes/current/naics3_221000.htm" TargetMode="External"/><Relationship Id="rId2" Type="http://schemas.openxmlformats.org/officeDocument/2006/relationships/hyperlink" Target="http://www.nerc.com/docs/standards/sar/Appendix_3A_Standard_Processes_Manual_20100903_2_.pdf" TargetMode="External"/><Relationship Id="rId1" Type="http://schemas.openxmlformats.org/officeDocument/2006/relationships/hyperlink" Target="http://www.nerc.com/FilingsOrders/us/RuleOfProcedureDL/NERC_ROP_Effective_20140701_updated_20140602.pdf" TargetMode="External"/><Relationship Id="rId6" Type="http://schemas.openxmlformats.org/officeDocument/2006/relationships/hyperlink" Target="http://bls.gov/oes/current/naics3_221000.htm" TargetMode="External"/><Relationship Id="rId5" Type="http://schemas.openxmlformats.org/officeDocument/2006/relationships/hyperlink" Target="http://bls.gov/oes/current/naics3_221000.htm" TargetMode="External"/><Relationship Id="rId4" Type="http://schemas.openxmlformats.org/officeDocument/2006/relationships/hyperlink" Target="http://bls.gov/oes/current/naics3_221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2" ma:contentTypeDescription="Create a new document." ma:contentTypeScope="" ma:versionID="50f21749c83d5a1fa3edc2888aee1b51">
  <xsd:schema xmlns:xsd="http://www.w3.org/2001/XMLSchema" xmlns:xs="http://www.w3.org/2001/XMLSchema" xmlns:p="http://schemas.microsoft.com/office/2006/metadata/properties" xmlns:ns2="d6eefc7d-9817-4fa6-84d5-3bc009be21b8" targetNamespace="http://schemas.microsoft.com/office/2006/metadata/properties" ma:root="true" ma:fieldsID="0a0f5a41ca190a1522e4c7f33c9824fc"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ntns:customXsn xmlns:ntns="http://schemas.microsoft.com/office/2006/metadata/customXsn">
  <ntns:xsnLocation>http://share3.ferc.gov/sites/ProgramOffices/OED/CIO/Information Collection/Forms/Document/22bba65aa4d8dbfccustomXsn.xsn</ntns:xsnLocation>
  <ntns:cached>False</ntns:cached>
  <ntns:openByDefault>True</ntns:openByDefault>
  <ntns:xsnScope>http://share3.ferc.gov/sites/ProgramOffices/OED/CIO/Information Collection</ntns:xsnScope>
</ntns:customXsn>
</file>

<file path=customXml/item4.xml><?xml version="1.0" encoding="utf-8"?>
<p:properties xmlns:p="http://schemas.microsoft.com/office/2006/metadata/properties" xmlns:xsi="http://www.w3.org/2001/XMLSchema-instance">
  <documentManagement>
    <Date xmlns="d6eefc7d-9817-4fa6-84d5-3bc009be21b8">2014-10-30T00:00:00-04:00</Date>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725L</_x0031__x002e__x0020_Collection_x0020_Number>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RD14-5</_x0031__x002e__x0020_Docket_x0020_Number>
    <_x0033__x002e__x0020_Collection_x0020_Number xmlns="d6eefc7d-9817-4fa6-84d5-3bc009be21b8"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8D78B-B7F7-4AFB-BBC5-BF463D994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C6C5CF-3CE0-47E8-B44B-CB4D7C85D04F}">
  <ds:schemaRefs>
    <ds:schemaRef ds:uri="http://schemas.microsoft.com/sharepoint/v3/contenttype/forms"/>
  </ds:schemaRefs>
</ds:datastoreItem>
</file>

<file path=customXml/itemProps3.xml><?xml version="1.0" encoding="utf-8"?>
<ds:datastoreItem xmlns:ds="http://schemas.openxmlformats.org/officeDocument/2006/customXml" ds:itemID="{C3196919-E7D0-4CD5-B544-2BC44B2A096B}">
  <ds:schemaRefs>
    <ds:schemaRef ds:uri="http://schemas.microsoft.com/office/2006/metadata/customXsn"/>
  </ds:schemaRefs>
</ds:datastoreItem>
</file>

<file path=customXml/itemProps4.xml><?xml version="1.0" encoding="utf-8"?>
<ds:datastoreItem xmlns:ds="http://schemas.openxmlformats.org/officeDocument/2006/customXml" ds:itemID="{DC3A4479-0543-455B-A152-110FB41B2830}">
  <ds:schemaRefs>
    <ds:schemaRef ds:uri="http://purl.org/dc/dcmitype/"/>
    <ds:schemaRef ds:uri="d6eefc7d-9817-4fa6-84d5-3bc009be21b8"/>
    <ds:schemaRef ds:uri="http://purl.org/dc/terms/"/>
    <ds:schemaRef ds:uri="http://www.w3.org/XML/1998/namespac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7CB79C9C-1809-4465-94AC-620B7BAB0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4324</Words>
  <Characters>25643</Characters>
  <Application>Microsoft Office Word</Application>
  <DocSecurity>0</DocSecurity>
  <Lines>466</Lines>
  <Paragraphs>158</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29809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Palmer</dc:creator>
  <cp:lastModifiedBy>Ellen Brown</cp:lastModifiedBy>
  <cp:revision>2</cp:revision>
  <dcterms:created xsi:type="dcterms:W3CDTF">2014-10-30T19:27:00Z</dcterms:created>
  <dcterms:modified xsi:type="dcterms:W3CDTF">2014-10-30T19:27:00Z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