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1B8" w:rsidRPr="005B3B43" w:rsidRDefault="00A151B8" w:rsidP="00A151B8">
      <w:pPr>
        <w:pStyle w:val="Heading2"/>
        <w:tabs>
          <w:tab w:val="right" w:pos="9360"/>
        </w:tabs>
        <w:rPr>
          <w:rFonts w:asciiTheme="minorHAnsi" w:hAnsiTheme="minorHAnsi"/>
          <w:b w:val="0"/>
          <w:highlight w:val="yellow"/>
        </w:rPr>
      </w:pPr>
      <w:r w:rsidRPr="00C81A90">
        <w:rPr>
          <w:rFonts w:asciiTheme="minorHAnsi" w:hAnsiTheme="minorHAnsi" w:cstheme="minorHAnsi"/>
          <w:b w:val="0"/>
        </w:rPr>
        <w:tab/>
      </w:r>
      <w:r w:rsidR="00FA3006">
        <w:rPr>
          <w:rFonts w:asciiTheme="minorHAnsi" w:hAnsiTheme="minorHAnsi" w:cstheme="minorHAnsi"/>
          <w:b w:val="0"/>
        </w:rPr>
        <w:t>September 22</w:t>
      </w:r>
      <w:r w:rsidR="008A1671">
        <w:rPr>
          <w:rFonts w:asciiTheme="minorHAnsi" w:hAnsiTheme="minorHAnsi"/>
          <w:b w:val="0"/>
        </w:rPr>
        <w:t xml:space="preserve">, </w:t>
      </w:r>
      <w:r w:rsidRPr="005B3B43">
        <w:rPr>
          <w:rFonts w:asciiTheme="minorHAnsi" w:hAnsiTheme="minorHAnsi"/>
          <w:b w:val="0"/>
        </w:rPr>
        <w:t>201</w:t>
      </w:r>
      <w:r w:rsidR="00252812">
        <w:rPr>
          <w:rFonts w:asciiTheme="minorHAnsi" w:hAnsiTheme="minorHAnsi"/>
          <w:b w:val="0"/>
        </w:rPr>
        <w:t>4</w:t>
      </w:r>
    </w:p>
    <w:p w:rsidR="00A151B8" w:rsidRPr="00817385" w:rsidRDefault="00A151B8" w:rsidP="00485958">
      <w:pPr>
        <w:spacing w:before="1080" w:after="240"/>
        <w:jc w:val="center"/>
        <w:rPr>
          <w:rFonts w:asciiTheme="minorHAnsi" w:hAnsiTheme="minorHAnsi" w:cstheme="minorHAnsi"/>
          <w:b/>
          <w:color w:val="1F497D" w:themeColor="text2"/>
          <w:sz w:val="72"/>
          <w:szCs w:val="72"/>
        </w:rPr>
      </w:pPr>
      <w:r w:rsidRPr="00817385">
        <w:rPr>
          <w:rFonts w:asciiTheme="minorHAnsi" w:hAnsiTheme="minorHAnsi" w:cstheme="minorHAnsi"/>
          <w:b/>
          <w:color w:val="1F497D" w:themeColor="text2"/>
          <w:sz w:val="72"/>
          <w:szCs w:val="72"/>
        </w:rPr>
        <w:t>U.S. Department of Education</w:t>
      </w:r>
    </w:p>
    <w:p w:rsidR="00A151B8" w:rsidRPr="00CA1046" w:rsidRDefault="00A151B8" w:rsidP="00140E9C">
      <w:pPr>
        <w:spacing w:before="240" w:after="240"/>
        <w:jc w:val="center"/>
        <w:rPr>
          <w:rFonts w:ascii="Calibri" w:hAnsi="Calibri"/>
          <w:b/>
          <w:sz w:val="28"/>
          <w:szCs w:val="28"/>
        </w:rPr>
      </w:pPr>
      <w:proofErr w:type="gramStart"/>
      <w:r w:rsidRPr="00CA1046">
        <w:rPr>
          <w:rFonts w:ascii="Calibri" w:hAnsi="Calibri"/>
          <w:b/>
          <w:sz w:val="28"/>
          <w:szCs w:val="28"/>
        </w:rPr>
        <w:t>PPSS TO 13.</w:t>
      </w:r>
      <w:proofErr w:type="gramEnd"/>
      <w:r w:rsidRPr="00CA1046">
        <w:rPr>
          <w:rFonts w:ascii="Calibri" w:hAnsi="Calibri"/>
          <w:b/>
          <w:sz w:val="28"/>
          <w:szCs w:val="28"/>
        </w:rPr>
        <w:t xml:space="preserve"> </w:t>
      </w:r>
      <w:r w:rsidR="007D5F95">
        <w:rPr>
          <w:rFonts w:ascii="Calibri" w:hAnsi="Calibri"/>
          <w:b/>
          <w:sz w:val="28"/>
          <w:szCs w:val="28"/>
        </w:rPr>
        <w:t>High School Reform Study</w:t>
      </w:r>
    </w:p>
    <w:p w:rsidR="00A151B8" w:rsidRPr="00331961" w:rsidRDefault="000C4DA3" w:rsidP="00485958">
      <w:pPr>
        <w:spacing w:before="240" w:after="240"/>
        <w:jc w:val="center"/>
        <w:rPr>
          <w:rFonts w:ascii="Calibri" w:hAnsi="Calibri"/>
          <w:b/>
          <w:sz w:val="28"/>
          <w:szCs w:val="28"/>
        </w:rPr>
      </w:pPr>
      <w:r w:rsidRPr="00331961">
        <w:rPr>
          <w:rFonts w:ascii="Calibri" w:hAnsi="Calibri"/>
          <w:b/>
          <w:sz w:val="28"/>
          <w:szCs w:val="28"/>
        </w:rPr>
        <w:t>Information</w:t>
      </w:r>
      <w:r w:rsidR="00846CEA" w:rsidRPr="00331961">
        <w:rPr>
          <w:rFonts w:ascii="Calibri" w:hAnsi="Calibri"/>
          <w:b/>
          <w:sz w:val="28"/>
          <w:szCs w:val="28"/>
        </w:rPr>
        <w:t xml:space="preserve"> Package</w:t>
      </w:r>
    </w:p>
    <w:p w:rsidR="00A151B8" w:rsidRPr="00CA1046" w:rsidRDefault="00A151B8" w:rsidP="00A151B8">
      <w:pPr>
        <w:rPr>
          <w:rFonts w:ascii="Calibri" w:hAnsi="Calibri" w:cstheme="minorHAnsi"/>
          <w:highlight w:val="yellow"/>
        </w:rPr>
      </w:pPr>
    </w:p>
    <w:p w:rsidR="00A151B8" w:rsidRPr="00C81A90" w:rsidRDefault="00A151B8" w:rsidP="00A151B8">
      <w:pPr>
        <w:rPr>
          <w:rFonts w:asciiTheme="minorHAnsi" w:hAnsiTheme="minorHAnsi" w:cstheme="minorHAnsi"/>
          <w:highlight w:val="yellow"/>
        </w:rPr>
      </w:pPr>
    </w:p>
    <w:p w:rsidR="00A151B8" w:rsidRPr="00C81A90" w:rsidRDefault="00A151B8" w:rsidP="00A151B8">
      <w:pPr>
        <w:tabs>
          <w:tab w:val="left" w:pos="360"/>
        </w:tabs>
        <w:rPr>
          <w:rFonts w:asciiTheme="minorHAnsi" w:hAnsiTheme="minorHAnsi" w:cstheme="minorHAnsi"/>
          <w:sz w:val="22"/>
          <w:highlight w:val="yellow"/>
        </w:rPr>
      </w:pPr>
    </w:p>
    <w:p w:rsidR="00A151B8" w:rsidRDefault="00A151B8" w:rsidP="00A151B8">
      <w:pPr>
        <w:pBdr>
          <w:bottom w:val="single" w:sz="4" w:space="1" w:color="auto"/>
        </w:pBdr>
        <w:jc w:val="center"/>
        <w:rPr>
          <w:rFonts w:asciiTheme="majorHAnsi" w:hAnsiTheme="majorHAnsi" w:cstheme="majorHAnsi"/>
          <w:b/>
          <w:color w:val="1F497D"/>
          <w:sz w:val="116"/>
          <w:szCs w:val="116"/>
        </w:rPr>
        <w:sectPr w:rsidR="00A151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A151B8" w:rsidRPr="00CA1046" w:rsidRDefault="00A151B8" w:rsidP="00A151B8">
      <w:pPr>
        <w:rPr>
          <w:rFonts w:ascii="Calibri" w:hAnsi="Calibri"/>
        </w:rPr>
      </w:pPr>
    </w:p>
    <w:p w:rsidR="00A151B8" w:rsidRPr="00CA1046" w:rsidRDefault="00A151B8" w:rsidP="00FA3006">
      <w:pPr>
        <w:jc w:val="right"/>
        <w:rPr>
          <w:rFonts w:ascii="Calibri" w:hAnsi="Calibri"/>
        </w:rPr>
      </w:pPr>
      <w:r>
        <w:rPr>
          <w:rFonts w:ascii="Calibri" w:hAnsi="Calibri"/>
          <w:b/>
          <w:sz w:val="40"/>
          <w:szCs w:val="40"/>
        </w:rPr>
        <w:br w:type="page"/>
      </w:r>
      <w:r w:rsidRPr="00CA1046">
        <w:rPr>
          <w:rFonts w:ascii="Calibri" w:hAnsi="Calibri"/>
        </w:rPr>
        <w:lastRenderedPageBreak/>
        <w:tab/>
      </w:r>
      <w:r w:rsidR="00FA3006">
        <w:rPr>
          <w:rFonts w:ascii="Calibri" w:hAnsi="Calibri"/>
        </w:rPr>
        <w:t>September 22</w:t>
      </w:r>
      <w:r w:rsidRPr="00CA1046">
        <w:rPr>
          <w:rFonts w:ascii="Calibri" w:hAnsi="Calibri"/>
        </w:rPr>
        <w:t>, 201</w:t>
      </w:r>
      <w:r w:rsidR="00D30DF7">
        <w:rPr>
          <w:rFonts w:ascii="Calibri" w:hAnsi="Calibri"/>
        </w:rPr>
        <w:t>4</w:t>
      </w:r>
    </w:p>
    <w:p w:rsidR="00A151B8" w:rsidRPr="00CA1046" w:rsidRDefault="00A151B8" w:rsidP="00A151B8">
      <w:pPr>
        <w:rPr>
          <w:rFonts w:ascii="Calibri" w:hAnsi="Calibri"/>
          <w:highlight w:val="yellow"/>
        </w:rPr>
      </w:pPr>
    </w:p>
    <w:p w:rsidR="00A151B8" w:rsidRPr="00CA1046" w:rsidRDefault="00A151B8" w:rsidP="00A151B8">
      <w:pPr>
        <w:rPr>
          <w:rFonts w:ascii="Calibri" w:hAnsi="Calibri"/>
        </w:rPr>
      </w:pPr>
    </w:p>
    <w:p w:rsidR="00A151B8" w:rsidRPr="00CA1046" w:rsidRDefault="00846CEA" w:rsidP="00A151B8">
      <w:pPr>
        <w:tabs>
          <w:tab w:val="center" w:pos="4680"/>
          <w:tab w:val="left" w:pos="8418"/>
        </w:tabs>
        <w:spacing w:before="240" w:after="120"/>
        <w:jc w:val="center"/>
        <w:rPr>
          <w:rFonts w:ascii="Calibri" w:hAnsi="Calibri"/>
          <w:b/>
          <w:sz w:val="40"/>
          <w:szCs w:val="40"/>
        </w:rPr>
      </w:pPr>
      <w:r>
        <w:rPr>
          <w:rFonts w:ascii="Calibri" w:hAnsi="Calibri"/>
          <w:b/>
          <w:sz w:val="40"/>
          <w:szCs w:val="40"/>
        </w:rPr>
        <w:t>OMB Clearance Package</w:t>
      </w:r>
    </w:p>
    <w:p w:rsidR="00A151B8" w:rsidRPr="00CA1046" w:rsidRDefault="00A151B8" w:rsidP="00A151B8">
      <w:pPr>
        <w:rPr>
          <w:rFonts w:ascii="Calibri" w:hAnsi="Calibri"/>
          <w:highlight w:val="yellow"/>
        </w:rPr>
      </w:pPr>
    </w:p>
    <w:p w:rsidR="00A151B8" w:rsidRPr="00CA1046" w:rsidRDefault="00A151B8" w:rsidP="00A151B8">
      <w:pPr>
        <w:rPr>
          <w:rFonts w:ascii="Calibri" w:hAnsi="Calibri"/>
          <w:highlight w:val="yellow"/>
        </w:rPr>
      </w:pPr>
    </w:p>
    <w:p w:rsidR="00A151B8" w:rsidRPr="00CA1046" w:rsidRDefault="00A151B8" w:rsidP="00A151B8">
      <w:pPr>
        <w:spacing w:after="240"/>
        <w:rPr>
          <w:rFonts w:ascii="Calibri" w:hAnsi="Calibri"/>
          <w:sz w:val="28"/>
          <w:szCs w:val="28"/>
        </w:rPr>
      </w:pPr>
      <w:proofErr w:type="gramStart"/>
      <w:r w:rsidRPr="00CA1046">
        <w:rPr>
          <w:rFonts w:ascii="Calibri" w:hAnsi="Calibri"/>
          <w:sz w:val="28"/>
          <w:szCs w:val="28"/>
        </w:rPr>
        <w:t xml:space="preserve">PPSS Task </w:t>
      </w:r>
      <w:r w:rsidR="00BE4962">
        <w:rPr>
          <w:rFonts w:ascii="Calibri" w:hAnsi="Calibri"/>
          <w:sz w:val="28"/>
          <w:szCs w:val="28"/>
        </w:rPr>
        <w:t xml:space="preserve">Order </w:t>
      </w:r>
      <w:r w:rsidRPr="00CA1046">
        <w:rPr>
          <w:rFonts w:ascii="Calibri" w:hAnsi="Calibri"/>
          <w:sz w:val="28"/>
          <w:szCs w:val="28"/>
        </w:rPr>
        <w:t>13.</w:t>
      </w:r>
      <w:proofErr w:type="gramEnd"/>
      <w:r w:rsidRPr="00CA1046">
        <w:rPr>
          <w:rFonts w:ascii="Calibri" w:hAnsi="Calibri"/>
          <w:sz w:val="28"/>
          <w:szCs w:val="28"/>
        </w:rPr>
        <w:t xml:space="preserve"> </w:t>
      </w:r>
      <w:r w:rsidR="007D5F95">
        <w:rPr>
          <w:rFonts w:ascii="Calibri" w:hAnsi="Calibri"/>
          <w:sz w:val="28"/>
          <w:szCs w:val="28"/>
        </w:rPr>
        <w:t>High School Reform Study</w:t>
      </w:r>
      <w:r w:rsidRPr="00CA1046">
        <w:rPr>
          <w:rFonts w:ascii="Calibri" w:hAnsi="Calibri"/>
          <w:sz w:val="28"/>
          <w:szCs w:val="28"/>
        </w:rPr>
        <w:br/>
      </w:r>
    </w:p>
    <w:p w:rsidR="00A151B8" w:rsidRPr="007B2D78" w:rsidRDefault="00A151B8" w:rsidP="00A151B8">
      <w:pPr>
        <w:spacing w:after="240"/>
        <w:rPr>
          <w:rFonts w:ascii="Calibri" w:hAnsi="Calibri"/>
          <w:sz w:val="22"/>
          <w:highlight w:val="yellow"/>
        </w:rPr>
      </w:pPr>
      <w:r w:rsidRPr="007B2D78">
        <w:rPr>
          <w:rFonts w:ascii="Calibri" w:hAnsi="Calibri"/>
          <w:sz w:val="22"/>
        </w:rPr>
        <w:t xml:space="preserve">Contract </w:t>
      </w:r>
      <w:r>
        <w:rPr>
          <w:rFonts w:ascii="Calibri" w:hAnsi="Calibri"/>
          <w:sz w:val="22"/>
        </w:rPr>
        <w:t>Number</w:t>
      </w:r>
      <w:r w:rsidRPr="007B2D78">
        <w:rPr>
          <w:rFonts w:ascii="Calibri" w:hAnsi="Calibri"/>
          <w:sz w:val="22"/>
        </w:rPr>
        <w:t xml:space="preserve"> GS-10F-05</w:t>
      </w:r>
      <w:r w:rsidR="00252812">
        <w:rPr>
          <w:rFonts w:ascii="Calibri" w:hAnsi="Calibri"/>
          <w:sz w:val="22"/>
        </w:rPr>
        <w:t>5</w:t>
      </w:r>
      <w:r w:rsidRPr="007B2D78">
        <w:rPr>
          <w:rFonts w:ascii="Calibri" w:hAnsi="Calibri"/>
          <w:sz w:val="22"/>
        </w:rPr>
        <w:t>4N, Order # ED-PEP-11-O-0090/TO13</w:t>
      </w:r>
      <w:r w:rsidRPr="007B2D78">
        <w:rPr>
          <w:rFonts w:ascii="Calibri" w:hAnsi="Calibri"/>
          <w:sz w:val="22"/>
        </w:rPr>
        <w:br/>
        <w:t>SRI Project #P21496</w:t>
      </w:r>
    </w:p>
    <w:p w:rsidR="00A151B8" w:rsidRPr="002406B4" w:rsidRDefault="00A151B8" w:rsidP="00A151B8"/>
    <w:p w:rsidR="00A151B8" w:rsidRPr="002406B4" w:rsidRDefault="00A151B8" w:rsidP="00A151B8"/>
    <w:p w:rsidR="00A151B8" w:rsidRPr="002406B4" w:rsidRDefault="0013260B" w:rsidP="0013260B">
      <w:pPr>
        <w:tabs>
          <w:tab w:val="left" w:pos="7176"/>
        </w:tabs>
      </w:pPr>
      <w:r>
        <w:tab/>
      </w:r>
    </w:p>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2406B4" w:rsidRDefault="00A151B8" w:rsidP="00A151B8"/>
    <w:p w:rsidR="00A151B8" w:rsidRPr="00332D36" w:rsidRDefault="00A151B8" w:rsidP="00A151B8">
      <w:pPr>
        <w:rPr>
          <w:rFonts w:ascii="Calibri" w:hAnsi="Calibri"/>
          <w:b/>
          <w:sz w:val="22"/>
        </w:rPr>
      </w:pPr>
      <w:r w:rsidRPr="00332D36">
        <w:rPr>
          <w:rFonts w:ascii="Calibri" w:hAnsi="Calibri"/>
          <w:b/>
          <w:sz w:val="22"/>
        </w:rPr>
        <w:t>Submitted to:</w:t>
      </w:r>
    </w:p>
    <w:p w:rsidR="00A151B8" w:rsidRPr="00332D36" w:rsidRDefault="00252812" w:rsidP="00A151B8">
      <w:pPr>
        <w:tabs>
          <w:tab w:val="left" w:pos="360"/>
        </w:tabs>
        <w:rPr>
          <w:rFonts w:ascii="Calibri" w:hAnsi="Calibri"/>
          <w:sz w:val="22"/>
        </w:rPr>
      </w:pPr>
      <w:r>
        <w:rPr>
          <w:rFonts w:ascii="Calibri" w:hAnsi="Calibri"/>
          <w:sz w:val="22"/>
        </w:rPr>
        <w:t>Joanne Bogart</w:t>
      </w:r>
      <w:r w:rsidR="00A151B8" w:rsidRPr="00332D36">
        <w:rPr>
          <w:rFonts w:ascii="Calibri" w:hAnsi="Calibri"/>
          <w:sz w:val="22"/>
        </w:rPr>
        <w:br/>
        <w:t>Policy and Program Studies Service</w:t>
      </w:r>
    </w:p>
    <w:p w:rsidR="00A151B8" w:rsidRPr="00332D36" w:rsidRDefault="00A151B8" w:rsidP="00A151B8">
      <w:pPr>
        <w:tabs>
          <w:tab w:val="left" w:pos="360"/>
        </w:tabs>
        <w:rPr>
          <w:rFonts w:ascii="Calibri" w:hAnsi="Calibri"/>
          <w:sz w:val="22"/>
        </w:rPr>
      </w:pPr>
      <w:r w:rsidRPr="00332D36">
        <w:rPr>
          <w:rFonts w:ascii="Calibri" w:hAnsi="Calibri"/>
          <w:sz w:val="22"/>
        </w:rPr>
        <w:t>U.S. Department of Education</w:t>
      </w:r>
    </w:p>
    <w:p w:rsidR="00A151B8" w:rsidRPr="00332D36" w:rsidRDefault="00A151B8" w:rsidP="00A151B8">
      <w:pPr>
        <w:tabs>
          <w:tab w:val="left" w:pos="360"/>
        </w:tabs>
        <w:rPr>
          <w:rFonts w:ascii="Calibri" w:hAnsi="Calibri"/>
          <w:sz w:val="22"/>
        </w:rPr>
      </w:pPr>
      <w:r w:rsidRPr="00332D36">
        <w:rPr>
          <w:rFonts w:ascii="Calibri" w:hAnsi="Calibri"/>
          <w:sz w:val="22"/>
        </w:rPr>
        <w:t>400 Maryland Avenue, SW</w:t>
      </w:r>
    </w:p>
    <w:p w:rsidR="00A151B8" w:rsidRPr="00332D36" w:rsidRDefault="00A151B8" w:rsidP="00A151B8">
      <w:pPr>
        <w:tabs>
          <w:tab w:val="left" w:pos="360"/>
        </w:tabs>
        <w:rPr>
          <w:rFonts w:ascii="Calibri" w:hAnsi="Calibri"/>
          <w:sz w:val="22"/>
        </w:rPr>
      </w:pPr>
      <w:r w:rsidRPr="00332D36">
        <w:rPr>
          <w:rFonts w:ascii="Calibri" w:hAnsi="Calibri"/>
          <w:sz w:val="22"/>
        </w:rPr>
        <w:t>Washington, DC</w:t>
      </w:r>
      <w:r w:rsidR="00C9527F">
        <w:rPr>
          <w:rFonts w:ascii="Calibri" w:hAnsi="Calibri"/>
          <w:sz w:val="22"/>
        </w:rPr>
        <w:t xml:space="preserve"> </w:t>
      </w:r>
      <w:r w:rsidRPr="00332D36">
        <w:rPr>
          <w:rFonts w:ascii="Calibri" w:hAnsi="Calibri"/>
          <w:sz w:val="22"/>
        </w:rPr>
        <w:t>20202</w:t>
      </w:r>
    </w:p>
    <w:p w:rsidR="00A151B8" w:rsidRDefault="00A151B8" w:rsidP="00A151B8">
      <w:pPr>
        <w:rPr>
          <w:rFonts w:ascii="Calibri" w:hAnsi="Calibri"/>
          <w:sz w:val="22"/>
        </w:rPr>
      </w:pPr>
    </w:p>
    <w:p w:rsidR="00BE4962" w:rsidRDefault="00BE4962" w:rsidP="00A151B8">
      <w:pPr>
        <w:rPr>
          <w:rFonts w:ascii="Calibri" w:hAnsi="Calibri"/>
          <w:sz w:val="22"/>
        </w:rPr>
      </w:pPr>
    </w:p>
    <w:p w:rsidR="00A151B8" w:rsidRPr="00332D36" w:rsidRDefault="00A151B8" w:rsidP="00A151B8">
      <w:pPr>
        <w:rPr>
          <w:rFonts w:ascii="Calibri" w:hAnsi="Calibri"/>
          <w:b/>
          <w:sz w:val="22"/>
        </w:rPr>
      </w:pPr>
      <w:r w:rsidRPr="00332D36">
        <w:rPr>
          <w:rFonts w:ascii="Calibri" w:hAnsi="Calibri"/>
          <w:b/>
          <w:sz w:val="22"/>
        </w:rPr>
        <w:t>Prepared by:</w:t>
      </w:r>
    </w:p>
    <w:p w:rsidR="00A151B8" w:rsidRPr="00332D36" w:rsidRDefault="00E06C71" w:rsidP="00A151B8">
      <w:pPr>
        <w:rPr>
          <w:rFonts w:ascii="Calibri" w:hAnsi="Calibri"/>
          <w:sz w:val="22"/>
        </w:rPr>
      </w:pPr>
      <w:r>
        <w:rPr>
          <w:rFonts w:ascii="Calibri" w:hAnsi="Calibri"/>
          <w:sz w:val="22"/>
        </w:rPr>
        <w:t>Christine Padilla, Ellen Schiller, and Rebecca Schmidt, SRI International</w:t>
      </w:r>
      <w:r w:rsidR="00BE4962" w:rsidRPr="00332D36">
        <w:rPr>
          <w:rFonts w:ascii="Calibri" w:hAnsi="Calibri"/>
          <w:sz w:val="22"/>
        </w:rPr>
        <w:br/>
      </w:r>
      <w:r w:rsidR="00D6362F">
        <w:rPr>
          <w:rFonts w:ascii="Calibri" w:hAnsi="Calibri"/>
          <w:sz w:val="22"/>
        </w:rPr>
        <w:t xml:space="preserve">Deborah Herget, </w:t>
      </w:r>
      <w:r w:rsidR="00F64B6F">
        <w:rPr>
          <w:rFonts w:ascii="Calibri" w:hAnsi="Calibri"/>
          <w:sz w:val="22"/>
        </w:rPr>
        <w:t>RT</w:t>
      </w:r>
      <w:r w:rsidR="00D6362F">
        <w:rPr>
          <w:rFonts w:ascii="Calibri" w:hAnsi="Calibri"/>
          <w:sz w:val="22"/>
        </w:rPr>
        <w:t>I International</w:t>
      </w:r>
      <w:r w:rsidR="00A151B8" w:rsidRPr="00332D36">
        <w:rPr>
          <w:rFonts w:ascii="Calibri" w:hAnsi="Calibri"/>
          <w:sz w:val="22"/>
        </w:rPr>
        <w:br/>
      </w:r>
    </w:p>
    <w:p w:rsidR="00A151B8" w:rsidRDefault="00A151B8" w:rsidP="00A151B8">
      <w:pPr>
        <w:rPr>
          <w:rFonts w:ascii="Arial" w:hAnsi="Arial" w:cs="Arial"/>
          <w:b/>
        </w:rPr>
        <w:sectPr w:rsidR="00A151B8">
          <w:headerReference w:type="default" r:id="rId15"/>
          <w:footerReference w:type="default" r:id="rId16"/>
          <w:pgSz w:w="12240" w:h="15840"/>
          <w:pgMar w:top="1440" w:right="1440" w:bottom="1440" w:left="1440" w:header="720" w:footer="720" w:gutter="0"/>
          <w:cols w:space="720"/>
          <w:docGrid w:linePitch="360"/>
        </w:sectPr>
      </w:pPr>
    </w:p>
    <w:p w:rsidR="00C027EF" w:rsidRPr="00DD057B" w:rsidRDefault="00C027EF" w:rsidP="00AA66CB">
      <w:pPr>
        <w:rPr>
          <w:rFonts w:ascii="Calibri" w:hAnsi="Calibri"/>
          <w:b/>
          <w:sz w:val="22"/>
        </w:rPr>
      </w:pPr>
    </w:p>
    <w:p w:rsidR="00BB1E45" w:rsidRPr="00C91BC5" w:rsidRDefault="00BB1E45" w:rsidP="00BB1E45">
      <w:pPr>
        <w:pStyle w:val="PPSSTOTitle"/>
        <w:rPr>
          <w:color w:val="auto"/>
        </w:rPr>
      </w:pPr>
      <w:bookmarkStart w:id="0" w:name="_Toc392765500"/>
      <w:r w:rsidRPr="00C91BC5">
        <w:rPr>
          <w:color w:val="auto"/>
        </w:rPr>
        <w:t>Revised Supporting Statement, Part B</w:t>
      </w:r>
      <w:r w:rsidRPr="00C91BC5">
        <w:rPr>
          <w:color w:val="auto"/>
        </w:rPr>
        <w:br/>
        <w:t>Paperwork Reduction Act Submission</w:t>
      </w:r>
      <w:bookmarkEnd w:id="0"/>
    </w:p>
    <w:p w:rsidR="00BB1E45" w:rsidRPr="00D164E3" w:rsidRDefault="00BB1E45" w:rsidP="00BB1E45">
      <w:pPr>
        <w:pStyle w:val="PPSSTOHeading1"/>
      </w:pPr>
      <w:bookmarkStart w:id="1" w:name="_Toc314224409"/>
      <w:bookmarkStart w:id="2" w:name="_Toc392765501"/>
      <w:r w:rsidRPr="00D164E3">
        <w:t>B. Collection of Information Employing Statistical Methods</w:t>
      </w:r>
      <w:bookmarkEnd w:id="1"/>
      <w:bookmarkEnd w:id="2"/>
    </w:p>
    <w:p w:rsidR="00BB1E45" w:rsidRPr="00D164E3" w:rsidRDefault="00BB1E45" w:rsidP="00F84F3B">
      <w:pPr>
        <w:pStyle w:val="PPSSTOHeading2"/>
        <w:spacing w:before="0" w:after="0"/>
        <w:rPr>
          <w:rFonts w:cs="Arial"/>
        </w:rPr>
      </w:pPr>
      <w:bookmarkStart w:id="3" w:name="_Toc314224410"/>
      <w:bookmarkStart w:id="4" w:name="_Toc392765502"/>
      <w:r w:rsidRPr="00D164E3">
        <w:t>B.1. Sampling Design</w:t>
      </w:r>
      <w:bookmarkStart w:id="5" w:name="_Toc314224413"/>
      <w:bookmarkEnd w:id="3"/>
      <w:bookmarkEnd w:id="4"/>
    </w:p>
    <w:p w:rsidR="00745714" w:rsidRPr="00745714" w:rsidRDefault="00745714" w:rsidP="00745714">
      <w:pPr>
        <w:pStyle w:val="PPSSTOHeading3"/>
      </w:pPr>
      <w:r w:rsidRPr="00745714">
        <w:t>Potential Respondent Universe</w:t>
      </w:r>
    </w:p>
    <w:p w:rsidR="00337F4E" w:rsidRDefault="00745714" w:rsidP="00745714">
      <w:pPr>
        <w:pStyle w:val="PPSSTOText"/>
      </w:pPr>
      <w:r>
        <w:t xml:space="preserve">The study will include a survey of a </w:t>
      </w:r>
      <w:r w:rsidR="002475EF">
        <w:t xml:space="preserve">nationally </w:t>
      </w:r>
      <w:r>
        <w:t>representative sample of high school principals. The study will examine the prevalence and characteristics of high school reform strategies, particularly dropout prevention strategies. The proposed survey of 2,0</w:t>
      </w:r>
      <w:r w:rsidR="00B32B0E">
        <w:t>88</w:t>
      </w:r>
      <w:r>
        <w:t xml:space="preserve"> schools is appropriate to provide descriptive information on these questions </w:t>
      </w:r>
      <w:r w:rsidR="00F6270C">
        <w:t xml:space="preserve">based on </w:t>
      </w:r>
      <w:r>
        <w:t>a representative sample of the universe of public high schools (see section B.2 for a discussion of the degree of precision this sample will provide).</w:t>
      </w:r>
    </w:p>
    <w:p w:rsidR="000027F0" w:rsidRDefault="000027F0" w:rsidP="00745714">
      <w:pPr>
        <w:pStyle w:val="PPSSTOText"/>
      </w:pPr>
      <w:r>
        <w:t>Selection of the sample and administration of the survey will be carried out by the Research Triangle Institute (RTI</w:t>
      </w:r>
      <w:r w:rsidR="00754EEB">
        <w:t>).</w:t>
      </w:r>
      <w:r>
        <w:t xml:space="preserve"> </w:t>
      </w:r>
    </w:p>
    <w:p w:rsidR="00745714" w:rsidRDefault="00745714" w:rsidP="00756D82">
      <w:pPr>
        <w:pStyle w:val="PPSSTOText"/>
      </w:pPr>
      <w:r>
        <w:t xml:space="preserve">The sampling frame for this survey </w:t>
      </w:r>
      <w:r w:rsidR="00BC72CE">
        <w:t>is based on the Common Core of Data</w:t>
      </w:r>
      <w:r w:rsidR="00C96CCD">
        <w:t xml:space="preserve"> (CCD)</w:t>
      </w:r>
      <w:r w:rsidR="00BC72CE">
        <w:t xml:space="preserve">. Public high schools </w:t>
      </w:r>
      <w:r>
        <w:t>provid</w:t>
      </w:r>
      <w:r w:rsidR="00BC72CE">
        <w:t>ing</w:t>
      </w:r>
      <w:r>
        <w:t xml:space="preserve"> instruction to 12</w:t>
      </w:r>
      <w:r w:rsidRPr="00800271">
        <w:t>th</w:t>
      </w:r>
      <w:r w:rsidR="00D36D8F">
        <w:t>-</w:t>
      </w:r>
      <w:r>
        <w:t>grade students in the fall of 201</w:t>
      </w:r>
      <w:r w:rsidR="00024D08">
        <w:t>0</w:t>
      </w:r>
      <w:r w:rsidR="00BC72CE">
        <w:t xml:space="preserve"> will be included unless </w:t>
      </w:r>
      <w:r w:rsidR="00754EEB">
        <w:t>(</w:t>
      </w:r>
      <w:r w:rsidR="00BC72CE">
        <w:t>1</w:t>
      </w:r>
      <w:r w:rsidR="005A3FBA">
        <w:t xml:space="preserve">) the lowest offered grade </w:t>
      </w:r>
      <w:r w:rsidR="00BC72CE">
        <w:t xml:space="preserve">is </w:t>
      </w:r>
      <w:r w:rsidR="005A3FBA">
        <w:t>11</w:t>
      </w:r>
      <w:r w:rsidR="005A3FBA" w:rsidRPr="00800271">
        <w:t>th</w:t>
      </w:r>
      <w:r w:rsidR="005A3FBA">
        <w:t xml:space="preserve"> grade</w:t>
      </w:r>
      <w:r w:rsidR="00BC72CE">
        <w:t xml:space="preserve"> or higher</w:t>
      </w:r>
      <w:r w:rsidR="00BA0A3C">
        <w:t>,</w:t>
      </w:r>
      <w:r w:rsidR="00BC72CE">
        <w:t xml:space="preserve"> </w:t>
      </w:r>
      <w:r w:rsidR="00754EEB">
        <w:t>(</w:t>
      </w:r>
      <w:r w:rsidR="00BC72CE">
        <w:t>2</w:t>
      </w:r>
      <w:r w:rsidR="005A3FBA">
        <w:t>)</w:t>
      </w:r>
      <w:r w:rsidR="00BC72CE">
        <w:t xml:space="preserve"> there </w:t>
      </w:r>
      <w:r w:rsidR="00754EEB">
        <w:t xml:space="preserve">are </w:t>
      </w:r>
      <w:r w:rsidR="00BC72CE">
        <w:t>fewer</w:t>
      </w:r>
      <w:r w:rsidR="005A3FBA">
        <w:t xml:space="preserve"> </w:t>
      </w:r>
      <w:r w:rsidR="00BC72CE">
        <w:t>than</w:t>
      </w:r>
      <w:r w:rsidR="005A3FBA">
        <w:t xml:space="preserve"> five stud</w:t>
      </w:r>
      <w:r w:rsidR="00BC72CE">
        <w:t>ents in grades 9 through 12</w:t>
      </w:r>
      <w:r w:rsidR="00BA0A3C">
        <w:t>,</w:t>
      </w:r>
      <w:r w:rsidR="00BC72CE">
        <w:t xml:space="preserve"> </w:t>
      </w:r>
      <w:r w:rsidR="005A3FBA">
        <w:t xml:space="preserve"> </w:t>
      </w:r>
      <w:r w:rsidR="00754EEB">
        <w:t>(3</w:t>
      </w:r>
      <w:r w:rsidR="005A3FBA">
        <w:t xml:space="preserve">) the percentage of students enrolled in grades 9 through 12 is </w:t>
      </w:r>
      <w:r w:rsidR="00BC72CE">
        <w:t>under</w:t>
      </w:r>
      <w:r w:rsidR="005A3FBA">
        <w:t xml:space="preserve"> 20 percent of the total school enrollment </w:t>
      </w:r>
      <w:r w:rsidR="005A3FBA" w:rsidRPr="000027F0">
        <w:rPr>
          <w:i/>
        </w:rPr>
        <w:t>and</w:t>
      </w:r>
      <w:r w:rsidR="005A3FBA">
        <w:t xml:space="preserve"> the total num</w:t>
      </w:r>
      <w:r w:rsidR="00BC72CE">
        <w:t>ber of stud</w:t>
      </w:r>
      <w:r w:rsidR="002475EF">
        <w:t>ents in grades 9 through 12 is fewer</w:t>
      </w:r>
      <w:r w:rsidR="00BC72CE">
        <w:t xml:space="preserve"> than 20</w:t>
      </w:r>
      <w:r w:rsidR="00756D82">
        <w:t xml:space="preserve">, or the school name contains one of nine keywords </w:t>
      </w:r>
      <w:r w:rsidR="00F6270C">
        <w:t xml:space="preserve">indicating </w:t>
      </w:r>
      <w:r w:rsidR="00756D82">
        <w:t xml:space="preserve">juvenile detention center or hospital.  </w:t>
      </w:r>
      <w:r w:rsidR="00C96CCD" w:rsidRPr="00C96CCD">
        <w:t>Of the 103,813</w:t>
      </w:r>
      <w:r w:rsidR="002475EF">
        <w:t xml:space="preserve"> </w:t>
      </w:r>
      <w:r w:rsidR="00D13F1A">
        <w:t>total</w:t>
      </w:r>
      <w:r w:rsidR="00C96CCD" w:rsidRPr="00C96CCD">
        <w:t xml:space="preserve"> schools listed in the 2010</w:t>
      </w:r>
      <w:r w:rsidR="00357718">
        <w:t>–</w:t>
      </w:r>
      <w:r w:rsidR="00C96CCD" w:rsidRPr="00C96CCD">
        <w:t xml:space="preserve">11 CCD, </w:t>
      </w:r>
      <w:r w:rsidR="00EF6094">
        <w:t>22,4</w:t>
      </w:r>
      <w:r w:rsidR="00756D82">
        <w:t>47</w:t>
      </w:r>
      <w:r w:rsidR="00F6270C">
        <w:t xml:space="preserve"> high schools</w:t>
      </w:r>
      <w:r w:rsidR="00C96CCD" w:rsidRPr="00C96CCD">
        <w:t xml:space="preserve"> </w:t>
      </w:r>
      <w:r w:rsidR="00D13F1A">
        <w:t>meet the criteria to be included</w:t>
      </w:r>
      <w:r w:rsidR="00C96CCD">
        <w:t xml:space="preserve"> in the</w:t>
      </w:r>
      <w:r w:rsidR="00C96CCD" w:rsidRPr="00C96CCD">
        <w:t xml:space="preserve"> sampling frame.</w:t>
      </w:r>
    </w:p>
    <w:p w:rsidR="00753129" w:rsidRDefault="00753129" w:rsidP="00753129">
      <w:pPr>
        <w:pStyle w:val="PPSSTOHeading3"/>
      </w:pPr>
      <w:r>
        <w:t>Sample Selection Process</w:t>
      </w:r>
    </w:p>
    <w:p w:rsidR="004A27FE" w:rsidRDefault="000027F0" w:rsidP="00B50609">
      <w:pPr>
        <w:pStyle w:val="PPSSTOText"/>
      </w:pPr>
      <w:r w:rsidRPr="00754EEB">
        <w:t xml:space="preserve">The sample will be selected using </w:t>
      </w:r>
      <w:r w:rsidR="00754EEB" w:rsidRPr="00754EEB">
        <w:t xml:space="preserve">a </w:t>
      </w:r>
      <w:r w:rsidRPr="00754EEB">
        <w:t xml:space="preserve">stratified random sampling approach. </w:t>
      </w:r>
      <w:r w:rsidR="00753129" w:rsidRPr="00754EEB">
        <w:t>The research team at RTI classified s</w:t>
      </w:r>
      <w:r w:rsidRPr="00754EEB">
        <w:t>chool</w:t>
      </w:r>
      <w:r w:rsidR="002475EF">
        <w:t>s in the sampling frame into</w:t>
      </w:r>
      <w:r w:rsidRPr="00754EEB">
        <w:t xml:space="preserve"> locale (urban, suburban, and rural) and graduation rate (high and low) strata.</w:t>
      </w:r>
      <w:r w:rsidR="00753129" w:rsidRPr="00754EEB">
        <w:t xml:space="preserve"> RTI combined the </w:t>
      </w:r>
      <w:r w:rsidR="00CF6F38">
        <w:t>12</w:t>
      </w:r>
      <w:r w:rsidR="00CF6F38" w:rsidRPr="00754EEB">
        <w:t xml:space="preserve"> </w:t>
      </w:r>
      <w:r w:rsidR="00753129" w:rsidRPr="00754EEB">
        <w:t>locale codes provided in the CCD into three broader groups.</w:t>
      </w:r>
      <w:r w:rsidR="004A27FE">
        <w:t xml:space="preserve"> </w:t>
      </w:r>
      <w:r w:rsidR="00B50609">
        <w:t xml:space="preserve">Exhibit 2 shows the three values of the locale sampling strata and their relationship to the 12 locale codes available in the CCD. </w:t>
      </w:r>
    </w:p>
    <w:p w:rsidR="00140E9C" w:rsidRDefault="00140E9C">
      <w:pPr>
        <w:rPr>
          <w:rFonts w:asciiTheme="minorHAnsi" w:eastAsia="Times New Roman" w:hAnsiTheme="minorHAnsi" w:cstheme="minorHAnsi"/>
          <w:b/>
          <w:szCs w:val="20"/>
        </w:rPr>
      </w:pPr>
      <w:bookmarkStart w:id="6" w:name="_Ref384298466"/>
      <w:r>
        <w:br w:type="page"/>
      </w:r>
    </w:p>
    <w:p w:rsidR="00753129" w:rsidRPr="00A86CEC" w:rsidRDefault="00753129" w:rsidP="00753129">
      <w:pPr>
        <w:pStyle w:val="PPSSTOExhibitTitle"/>
      </w:pPr>
      <w:bookmarkStart w:id="7" w:name="_Toc392766095"/>
      <w:proofErr w:type="gramStart"/>
      <w:r>
        <w:lastRenderedPageBreak/>
        <w:t xml:space="preserve">Exhibit </w:t>
      </w:r>
      <w:bookmarkEnd w:id="6"/>
      <w:r w:rsidR="00156301">
        <w:t>2</w:t>
      </w:r>
      <w:r w:rsidRPr="00A86CEC">
        <w:t>.</w:t>
      </w:r>
      <w:proofErr w:type="gramEnd"/>
      <w:r w:rsidRPr="00A86CEC">
        <w:t xml:space="preserve"> Sampling Locale and CCD Locale Codes</w:t>
      </w:r>
      <w:bookmarkEnd w:id="7"/>
    </w:p>
    <w:tbl>
      <w:tblPr>
        <w:tblW w:w="6380" w:type="dxa"/>
        <w:jc w:val="center"/>
        <w:tblLook w:val="04A0" w:firstRow="1" w:lastRow="0" w:firstColumn="1" w:lastColumn="0" w:noHBand="0" w:noVBand="1"/>
      </w:tblPr>
      <w:tblGrid>
        <w:gridCol w:w="1600"/>
        <w:gridCol w:w="4780"/>
      </w:tblGrid>
      <w:tr w:rsidR="00753129" w:rsidRPr="00471BB6">
        <w:trPr>
          <w:trHeight w:val="300"/>
          <w:jc w:val="center"/>
        </w:trPr>
        <w:tc>
          <w:tcPr>
            <w:tcW w:w="1600" w:type="dxa"/>
            <w:tcBorders>
              <w:top w:val="single" w:sz="4" w:space="0" w:color="auto"/>
              <w:bottom w:val="single" w:sz="4" w:space="0" w:color="auto"/>
            </w:tcBorders>
            <w:shd w:val="clear" w:color="auto" w:fill="auto"/>
            <w:noWrap/>
            <w:vAlign w:val="bottom"/>
          </w:tcPr>
          <w:p w:rsidR="00753129" w:rsidRPr="00471BB6" w:rsidRDefault="00753129" w:rsidP="00C12C14">
            <w:pPr>
              <w:rPr>
                <w:rFonts w:ascii="Calibri" w:hAnsi="Calibri"/>
                <w:b/>
                <w:bCs/>
                <w:color w:val="000000"/>
                <w:sz w:val="22"/>
              </w:rPr>
            </w:pPr>
            <w:r w:rsidRPr="00471BB6">
              <w:rPr>
                <w:rFonts w:ascii="Calibri" w:hAnsi="Calibri"/>
                <w:b/>
                <w:bCs/>
                <w:color w:val="000000"/>
                <w:sz w:val="22"/>
              </w:rPr>
              <w:t>Sampling Locale</w:t>
            </w:r>
          </w:p>
        </w:tc>
        <w:tc>
          <w:tcPr>
            <w:tcW w:w="4780" w:type="dxa"/>
            <w:tcBorders>
              <w:top w:val="single" w:sz="4" w:space="0" w:color="auto"/>
              <w:bottom w:val="single" w:sz="4" w:space="0" w:color="auto"/>
            </w:tcBorders>
            <w:shd w:val="clear" w:color="auto" w:fill="auto"/>
            <w:noWrap/>
            <w:vAlign w:val="bottom"/>
          </w:tcPr>
          <w:p w:rsidR="00753129" w:rsidRPr="00471BB6" w:rsidRDefault="00753129" w:rsidP="00C12C14">
            <w:pPr>
              <w:rPr>
                <w:rFonts w:ascii="Calibri" w:hAnsi="Calibri"/>
                <w:b/>
                <w:bCs/>
                <w:color w:val="000000"/>
                <w:sz w:val="22"/>
              </w:rPr>
            </w:pPr>
            <w:r w:rsidRPr="00471BB6">
              <w:rPr>
                <w:rFonts w:ascii="Calibri" w:hAnsi="Calibri"/>
                <w:b/>
                <w:bCs/>
                <w:color w:val="000000"/>
                <w:sz w:val="22"/>
              </w:rPr>
              <w:t>CCD Locale</w:t>
            </w:r>
          </w:p>
        </w:tc>
      </w:tr>
      <w:tr w:rsidR="00753129" w:rsidRPr="00471BB6">
        <w:trPr>
          <w:trHeight w:val="300"/>
          <w:jc w:val="center"/>
        </w:trPr>
        <w:tc>
          <w:tcPr>
            <w:tcW w:w="1600" w:type="dxa"/>
            <w:tcBorders>
              <w:top w:val="single" w:sz="4" w:space="0" w:color="auto"/>
            </w:tcBorders>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Urban</w:t>
            </w:r>
          </w:p>
        </w:tc>
        <w:tc>
          <w:tcPr>
            <w:tcW w:w="4780" w:type="dxa"/>
            <w:tcBorders>
              <w:top w:val="single" w:sz="4" w:space="0" w:color="auto"/>
            </w:tcBorders>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11- City, Large Territory</w:t>
            </w:r>
          </w:p>
        </w:tc>
      </w:tr>
      <w:tr w:rsidR="00753129" w:rsidRPr="00471BB6">
        <w:trPr>
          <w:trHeight w:val="300"/>
          <w:jc w:val="center"/>
        </w:trPr>
        <w:tc>
          <w:tcPr>
            <w:tcW w:w="160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Urban</w:t>
            </w:r>
          </w:p>
        </w:tc>
        <w:tc>
          <w:tcPr>
            <w:tcW w:w="478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12- City, Midsize Territory</w:t>
            </w:r>
          </w:p>
        </w:tc>
      </w:tr>
      <w:tr w:rsidR="00753129" w:rsidRPr="00471BB6">
        <w:trPr>
          <w:trHeight w:val="300"/>
          <w:jc w:val="center"/>
        </w:trPr>
        <w:tc>
          <w:tcPr>
            <w:tcW w:w="160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Urban</w:t>
            </w:r>
          </w:p>
        </w:tc>
        <w:tc>
          <w:tcPr>
            <w:tcW w:w="478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13- City, Small Territory</w:t>
            </w:r>
          </w:p>
        </w:tc>
      </w:tr>
      <w:tr w:rsidR="00753129" w:rsidRPr="00471BB6">
        <w:trPr>
          <w:trHeight w:val="300"/>
          <w:jc w:val="center"/>
        </w:trPr>
        <w:tc>
          <w:tcPr>
            <w:tcW w:w="160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Suburban</w:t>
            </w:r>
          </w:p>
        </w:tc>
        <w:tc>
          <w:tcPr>
            <w:tcW w:w="4780" w:type="dxa"/>
            <w:shd w:val="clear" w:color="auto" w:fill="auto"/>
            <w:noWrap/>
            <w:vAlign w:val="bottom"/>
          </w:tcPr>
          <w:p w:rsidR="00753129" w:rsidRPr="00471BB6" w:rsidRDefault="00753129" w:rsidP="00683314">
            <w:pPr>
              <w:rPr>
                <w:rFonts w:ascii="Calibri" w:hAnsi="Calibri"/>
                <w:color w:val="000000"/>
                <w:sz w:val="22"/>
              </w:rPr>
            </w:pPr>
            <w:r w:rsidRPr="00471BB6">
              <w:rPr>
                <w:rFonts w:ascii="Calibri" w:hAnsi="Calibri"/>
                <w:color w:val="000000"/>
                <w:sz w:val="22"/>
              </w:rPr>
              <w:t>21- Suburb, Large Territory</w:t>
            </w:r>
          </w:p>
        </w:tc>
      </w:tr>
      <w:tr w:rsidR="00753129" w:rsidRPr="00471BB6">
        <w:trPr>
          <w:trHeight w:val="300"/>
          <w:jc w:val="center"/>
        </w:trPr>
        <w:tc>
          <w:tcPr>
            <w:tcW w:w="160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Suburban</w:t>
            </w:r>
          </w:p>
        </w:tc>
        <w:tc>
          <w:tcPr>
            <w:tcW w:w="478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22- Suburb, Midsize Territory</w:t>
            </w:r>
          </w:p>
        </w:tc>
      </w:tr>
      <w:tr w:rsidR="00753129" w:rsidRPr="00471BB6">
        <w:trPr>
          <w:trHeight w:val="300"/>
          <w:jc w:val="center"/>
        </w:trPr>
        <w:tc>
          <w:tcPr>
            <w:tcW w:w="160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Suburban</w:t>
            </w:r>
          </w:p>
        </w:tc>
        <w:tc>
          <w:tcPr>
            <w:tcW w:w="478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23- Suburb, Small Territory</w:t>
            </w:r>
          </w:p>
        </w:tc>
      </w:tr>
      <w:tr w:rsidR="00753129" w:rsidRPr="00471BB6">
        <w:trPr>
          <w:trHeight w:val="300"/>
          <w:jc w:val="center"/>
        </w:trPr>
        <w:tc>
          <w:tcPr>
            <w:tcW w:w="160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Suburban</w:t>
            </w:r>
          </w:p>
        </w:tc>
        <w:tc>
          <w:tcPr>
            <w:tcW w:w="478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31- Town, Fringe Territory</w:t>
            </w:r>
          </w:p>
        </w:tc>
      </w:tr>
      <w:tr w:rsidR="00753129" w:rsidRPr="00471BB6">
        <w:trPr>
          <w:trHeight w:val="300"/>
          <w:jc w:val="center"/>
        </w:trPr>
        <w:tc>
          <w:tcPr>
            <w:tcW w:w="160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Suburban</w:t>
            </w:r>
          </w:p>
        </w:tc>
        <w:tc>
          <w:tcPr>
            <w:tcW w:w="478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32- Town, Distant Territory</w:t>
            </w:r>
          </w:p>
        </w:tc>
      </w:tr>
      <w:tr w:rsidR="00753129" w:rsidRPr="00471BB6">
        <w:trPr>
          <w:trHeight w:val="300"/>
          <w:jc w:val="center"/>
        </w:trPr>
        <w:tc>
          <w:tcPr>
            <w:tcW w:w="160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Suburban</w:t>
            </w:r>
          </w:p>
        </w:tc>
        <w:tc>
          <w:tcPr>
            <w:tcW w:w="478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33- Town, Remote Territory</w:t>
            </w:r>
          </w:p>
        </w:tc>
      </w:tr>
      <w:tr w:rsidR="00753129" w:rsidRPr="00471BB6">
        <w:trPr>
          <w:trHeight w:val="300"/>
          <w:jc w:val="center"/>
        </w:trPr>
        <w:tc>
          <w:tcPr>
            <w:tcW w:w="160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Rural</w:t>
            </w:r>
          </w:p>
        </w:tc>
        <w:tc>
          <w:tcPr>
            <w:tcW w:w="478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41- Rural, Fringe Census</w:t>
            </w:r>
            <w:r w:rsidR="00735AC4">
              <w:rPr>
                <w:rFonts w:ascii="Calibri" w:hAnsi="Calibri"/>
                <w:color w:val="000000"/>
                <w:sz w:val="22"/>
              </w:rPr>
              <w:t>-</w:t>
            </w:r>
            <w:r w:rsidRPr="00471BB6">
              <w:rPr>
                <w:rFonts w:ascii="Calibri" w:hAnsi="Calibri"/>
                <w:color w:val="000000"/>
                <w:sz w:val="22"/>
              </w:rPr>
              <w:t>defined Rural Territory</w:t>
            </w:r>
          </w:p>
        </w:tc>
      </w:tr>
      <w:tr w:rsidR="00753129" w:rsidRPr="00471BB6">
        <w:trPr>
          <w:trHeight w:val="300"/>
          <w:jc w:val="center"/>
        </w:trPr>
        <w:tc>
          <w:tcPr>
            <w:tcW w:w="160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Rural</w:t>
            </w:r>
          </w:p>
        </w:tc>
        <w:tc>
          <w:tcPr>
            <w:tcW w:w="4780" w:type="dxa"/>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42- Rural, Distant Census-defined Rural Territory</w:t>
            </w:r>
          </w:p>
        </w:tc>
      </w:tr>
      <w:tr w:rsidR="00753129" w:rsidRPr="00471BB6">
        <w:trPr>
          <w:trHeight w:val="300"/>
          <w:jc w:val="center"/>
        </w:trPr>
        <w:tc>
          <w:tcPr>
            <w:tcW w:w="1600" w:type="dxa"/>
            <w:tcBorders>
              <w:bottom w:val="single" w:sz="4" w:space="0" w:color="auto"/>
            </w:tcBorders>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Rural</w:t>
            </w:r>
          </w:p>
        </w:tc>
        <w:tc>
          <w:tcPr>
            <w:tcW w:w="4780" w:type="dxa"/>
            <w:tcBorders>
              <w:bottom w:val="single" w:sz="4" w:space="0" w:color="auto"/>
            </w:tcBorders>
            <w:shd w:val="clear" w:color="auto" w:fill="auto"/>
            <w:noWrap/>
            <w:vAlign w:val="bottom"/>
          </w:tcPr>
          <w:p w:rsidR="00753129" w:rsidRPr="00471BB6" w:rsidRDefault="00753129" w:rsidP="00C12C14">
            <w:pPr>
              <w:rPr>
                <w:rFonts w:ascii="Calibri" w:hAnsi="Calibri"/>
                <w:color w:val="000000"/>
                <w:sz w:val="22"/>
              </w:rPr>
            </w:pPr>
            <w:r w:rsidRPr="00471BB6">
              <w:rPr>
                <w:rFonts w:ascii="Calibri" w:hAnsi="Calibri"/>
                <w:color w:val="000000"/>
                <w:sz w:val="22"/>
              </w:rPr>
              <w:t>43- Rural, Remote Census-defined Rural Territory</w:t>
            </w:r>
          </w:p>
        </w:tc>
      </w:tr>
    </w:tbl>
    <w:p w:rsidR="00753129" w:rsidRDefault="00753129" w:rsidP="00753129">
      <w:pPr>
        <w:rPr>
          <w:bCs/>
          <w:sz w:val="22"/>
        </w:rPr>
      </w:pPr>
    </w:p>
    <w:p w:rsidR="00753129" w:rsidRPr="00336720" w:rsidRDefault="00D13F1A" w:rsidP="000027F0">
      <w:pPr>
        <w:pStyle w:val="PPSSTOText"/>
      </w:pPr>
      <w:r w:rsidRPr="00336720">
        <w:t xml:space="preserve">Graduation rates for each school were gathered from the </w:t>
      </w:r>
      <w:proofErr w:type="spellStart"/>
      <w:r w:rsidRPr="00336720">
        <w:t>ED</w:t>
      </w:r>
      <w:r w:rsidRPr="00336720">
        <w:rPr>
          <w:i/>
        </w:rPr>
        <w:t>Facts</w:t>
      </w:r>
      <w:proofErr w:type="spellEnd"/>
      <w:r w:rsidRPr="00336720">
        <w:t xml:space="preserve"> data bases, which is a central repository of performance data supplied by K-12 state education agencies. </w:t>
      </w:r>
      <w:r w:rsidR="00276FCB" w:rsidRPr="00866C0D">
        <w:t xml:space="preserve">To identify the </w:t>
      </w:r>
      <w:r w:rsidR="00753129" w:rsidRPr="00453DEE">
        <w:t>two graduation rate strata</w:t>
      </w:r>
      <w:r w:rsidR="00276FCB" w:rsidRPr="00453DEE">
        <w:t xml:space="preserve"> (</w:t>
      </w:r>
      <w:r w:rsidR="00753129" w:rsidRPr="00453DEE">
        <w:t>high and</w:t>
      </w:r>
      <w:r w:rsidR="00276FCB" w:rsidRPr="00453DEE">
        <w:t xml:space="preserve"> </w:t>
      </w:r>
      <w:r w:rsidR="00753129" w:rsidRPr="00453DEE">
        <w:t>low</w:t>
      </w:r>
      <w:r w:rsidR="00276FCB" w:rsidRPr="008043AA">
        <w:t>), t</w:t>
      </w:r>
      <w:r w:rsidR="00706883" w:rsidRPr="00336720">
        <w:t>he RTI research team established a threshold of 80</w:t>
      </w:r>
      <w:r w:rsidR="00754EEB" w:rsidRPr="00336720">
        <w:t xml:space="preserve"> percent</w:t>
      </w:r>
      <w:r w:rsidR="00706883" w:rsidRPr="00336720">
        <w:t xml:space="preserve"> to define high graduation rates</w:t>
      </w:r>
      <w:r w:rsidR="002907FA" w:rsidRPr="00336720">
        <w:t xml:space="preserve"> based on the </w:t>
      </w:r>
      <w:r w:rsidR="00CF6F38" w:rsidRPr="00336720">
        <w:t>all rate</w:t>
      </w:r>
      <w:r w:rsidR="008C1525" w:rsidRPr="00336720">
        <w:t>_</w:t>
      </w:r>
      <w:r w:rsidR="002907FA" w:rsidRPr="00336720">
        <w:t xml:space="preserve">1011 variable on the </w:t>
      </w:r>
      <w:proofErr w:type="spellStart"/>
      <w:r w:rsidR="002907FA" w:rsidRPr="00336720">
        <w:t>ED</w:t>
      </w:r>
      <w:r w:rsidR="002907FA" w:rsidRPr="00336720">
        <w:rPr>
          <w:i/>
        </w:rPr>
        <w:t>Facts</w:t>
      </w:r>
      <w:proofErr w:type="spellEnd"/>
      <w:r w:rsidR="002907FA" w:rsidRPr="00336720">
        <w:t xml:space="preserve"> website</w:t>
      </w:r>
      <w:r w:rsidRPr="00336720">
        <w:t>. The decision to use an 80 percent threshold was made because</w:t>
      </w:r>
      <w:r w:rsidR="002907FA" w:rsidRPr="00336720">
        <w:t xml:space="preserve"> approximately 50 percent of schools reported graduation rates of 80 percent or less</w:t>
      </w:r>
      <w:r w:rsidR="00706883" w:rsidRPr="00336720">
        <w:t>. Because schools often reported graduation rates in categories (e.g., 80 to 85</w:t>
      </w:r>
      <w:r w:rsidR="00754EEB" w:rsidRPr="00336720">
        <w:t xml:space="preserve"> percent</w:t>
      </w:r>
      <w:r w:rsidR="00706883" w:rsidRPr="00336720">
        <w:t>) rather than a specific number, some additional decision rules were necessary. There were three categories that included 80</w:t>
      </w:r>
      <w:r w:rsidR="00754EEB" w:rsidRPr="00336720">
        <w:t xml:space="preserve"> percent</w:t>
      </w:r>
      <w:r w:rsidR="00706883" w:rsidRPr="00336720">
        <w:t xml:space="preserve"> as a lower bound (80 to 85 percent; 80 to 89 percent; and greater than or equal to 80</w:t>
      </w:r>
      <w:r w:rsidR="00754EEB" w:rsidRPr="00336720">
        <w:t xml:space="preserve"> percent</w:t>
      </w:r>
      <w:r w:rsidR="00706883" w:rsidRPr="00336720">
        <w:t xml:space="preserve">). All schools included in any of these three categories were included in the “high graduation rate” category. </w:t>
      </w:r>
    </w:p>
    <w:p w:rsidR="00706883" w:rsidRPr="002907FA" w:rsidRDefault="00706883" w:rsidP="00706883">
      <w:pPr>
        <w:pStyle w:val="PPSSTOText"/>
      </w:pPr>
      <w:r w:rsidRPr="00336720">
        <w:t>There were 3,</w:t>
      </w:r>
      <w:r w:rsidR="00756D82" w:rsidRPr="00336720">
        <w:t>302</w:t>
      </w:r>
      <w:r w:rsidRPr="00336720">
        <w:t xml:space="preserve"> schools without graduation rate information in </w:t>
      </w:r>
      <w:proofErr w:type="spellStart"/>
      <w:r w:rsidRPr="00336720">
        <w:t>ED</w:t>
      </w:r>
      <w:r w:rsidRPr="00336720">
        <w:rPr>
          <w:i/>
        </w:rPr>
        <w:t>Facts</w:t>
      </w:r>
      <w:proofErr w:type="spellEnd"/>
      <w:r w:rsidRPr="00336720">
        <w:t>. RTI used an imputation approach to assign these schools to either the high or low graduation rate stratum. The imputation process began by examining the distribution of the high/low graduation rate classification for the 19,</w:t>
      </w:r>
      <w:r w:rsidR="00756D82" w:rsidRPr="00336720">
        <w:t>145</w:t>
      </w:r>
      <w:r w:rsidRPr="00336720">
        <w:t xml:space="preserve"> schools by sampling locale. </w:t>
      </w:r>
      <w:r w:rsidR="005B2ADE">
        <w:t xml:space="preserve">Exhibit 3 </w:t>
      </w:r>
      <w:r w:rsidRPr="00336720">
        <w:t>shows the distribution of these 19,</w:t>
      </w:r>
      <w:r w:rsidR="00756D82" w:rsidRPr="00336720">
        <w:t>145</w:t>
      </w:r>
      <w:r w:rsidRPr="00336720">
        <w:t xml:space="preserve"> schools by sampling locale and graduation rate classification.</w:t>
      </w:r>
    </w:p>
    <w:p w:rsidR="00706883" w:rsidRPr="00276FCB" w:rsidRDefault="00706883" w:rsidP="00706883">
      <w:pPr>
        <w:pStyle w:val="PPSSTOExhibitTitle"/>
      </w:pPr>
      <w:bookmarkStart w:id="8" w:name="_Toc392766096"/>
      <w:r w:rsidRPr="00276FCB">
        <w:t xml:space="preserve">Exhibit </w:t>
      </w:r>
      <w:r w:rsidR="00156301">
        <w:t>3</w:t>
      </w:r>
      <w:r w:rsidRPr="00276FCB">
        <w:t xml:space="preserve">: </w:t>
      </w:r>
      <w:r w:rsidR="00FC2343">
        <w:t xml:space="preserve">Initial </w:t>
      </w:r>
      <w:r w:rsidRPr="00276FCB">
        <w:t>Distribution of HSRS Sampling Frame Schools by Sampling Strata</w:t>
      </w:r>
      <w:bookmarkEnd w:id="8"/>
    </w:p>
    <w:p w:rsidR="00706883" w:rsidRPr="00276FCB" w:rsidRDefault="00706883" w:rsidP="002907FA">
      <w:pPr>
        <w:pStyle w:val="PPSSTOExhibitTitle"/>
        <w:spacing w:before="0"/>
      </w:pPr>
    </w:p>
    <w:tbl>
      <w:tblPr>
        <w:tblW w:w="6045" w:type="dxa"/>
        <w:jc w:val="center"/>
        <w:tblLook w:val="04A0" w:firstRow="1" w:lastRow="0" w:firstColumn="1" w:lastColumn="0" w:noHBand="0" w:noVBand="1"/>
      </w:tblPr>
      <w:tblGrid>
        <w:gridCol w:w="1455"/>
        <w:gridCol w:w="990"/>
        <w:gridCol w:w="1440"/>
        <w:gridCol w:w="1080"/>
        <w:gridCol w:w="1080"/>
      </w:tblGrid>
      <w:tr w:rsidR="00706883" w:rsidRPr="00276FCB">
        <w:trPr>
          <w:trHeight w:val="510"/>
          <w:jc w:val="center"/>
        </w:trPr>
        <w:tc>
          <w:tcPr>
            <w:tcW w:w="1455" w:type="dxa"/>
            <w:tcBorders>
              <w:top w:val="single" w:sz="6" w:space="0" w:color="auto"/>
              <w:bottom w:val="single" w:sz="4" w:space="0" w:color="auto"/>
            </w:tcBorders>
            <w:shd w:val="clear" w:color="auto" w:fill="auto"/>
          </w:tcPr>
          <w:p w:rsidR="00706883" w:rsidRPr="00276FCB" w:rsidRDefault="00706883" w:rsidP="00C12C14">
            <w:pPr>
              <w:rPr>
                <w:rFonts w:ascii="Arial" w:hAnsi="Arial" w:cs="Arial"/>
                <w:b/>
                <w:bCs/>
                <w:color w:val="000000"/>
                <w:sz w:val="20"/>
              </w:rPr>
            </w:pPr>
            <w:r w:rsidRPr="00276FCB">
              <w:rPr>
                <w:rFonts w:ascii="Arial" w:hAnsi="Arial" w:cs="Arial"/>
                <w:b/>
                <w:bCs/>
                <w:color w:val="000000"/>
                <w:sz w:val="20"/>
              </w:rPr>
              <w:t>Graduation Rate\Locale</w:t>
            </w:r>
          </w:p>
        </w:tc>
        <w:tc>
          <w:tcPr>
            <w:tcW w:w="990" w:type="dxa"/>
            <w:tcBorders>
              <w:top w:val="single" w:sz="6" w:space="0" w:color="auto"/>
              <w:bottom w:val="single" w:sz="4" w:space="0" w:color="auto"/>
            </w:tcBorders>
            <w:shd w:val="clear" w:color="auto" w:fill="auto"/>
          </w:tcPr>
          <w:p w:rsidR="00706883" w:rsidRPr="00276FCB" w:rsidRDefault="00706883" w:rsidP="00C12C14">
            <w:pPr>
              <w:jc w:val="right"/>
              <w:rPr>
                <w:rFonts w:ascii="Arial" w:hAnsi="Arial" w:cs="Arial"/>
                <w:b/>
                <w:bCs/>
                <w:color w:val="000000"/>
                <w:sz w:val="20"/>
              </w:rPr>
            </w:pPr>
            <w:r w:rsidRPr="00276FCB">
              <w:rPr>
                <w:rFonts w:ascii="Arial" w:hAnsi="Arial" w:cs="Arial"/>
                <w:b/>
                <w:bCs/>
                <w:color w:val="000000"/>
                <w:sz w:val="20"/>
              </w:rPr>
              <w:t>Rural</w:t>
            </w:r>
          </w:p>
        </w:tc>
        <w:tc>
          <w:tcPr>
            <w:tcW w:w="1440" w:type="dxa"/>
            <w:tcBorders>
              <w:top w:val="single" w:sz="6" w:space="0" w:color="auto"/>
              <w:bottom w:val="single" w:sz="4" w:space="0" w:color="auto"/>
            </w:tcBorders>
            <w:shd w:val="clear" w:color="auto" w:fill="auto"/>
          </w:tcPr>
          <w:p w:rsidR="00706883" w:rsidRPr="00276FCB" w:rsidRDefault="00706883" w:rsidP="00C12C14">
            <w:pPr>
              <w:jc w:val="right"/>
              <w:rPr>
                <w:rFonts w:ascii="Arial" w:hAnsi="Arial" w:cs="Arial"/>
                <w:b/>
                <w:bCs/>
                <w:color w:val="000000"/>
                <w:sz w:val="20"/>
              </w:rPr>
            </w:pPr>
            <w:r w:rsidRPr="00276FCB">
              <w:rPr>
                <w:rFonts w:ascii="Arial" w:hAnsi="Arial" w:cs="Arial"/>
                <w:b/>
                <w:bCs/>
                <w:color w:val="000000"/>
                <w:sz w:val="20"/>
              </w:rPr>
              <w:t>Suburban</w:t>
            </w:r>
          </w:p>
        </w:tc>
        <w:tc>
          <w:tcPr>
            <w:tcW w:w="1080" w:type="dxa"/>
            <w:tcBorders>
              <w:top w:val="single" w:sz="6" w:space="0" w:color="auto"/>
              <w:bottom w:val="single" w:sz="4" w:space="0" w:color="auto"/>
            </w:tcBorders>
            <w:shd w:val="clear" w:color="auto" w:fill="auto"/>
          </w:tcPr>
          <w:p w:rsidR="00706883" w:rsidRPr="00276FCB" w:rsidRDefault="00706883" w:rsidP="00C12C14">
            <w:pPr>
              <w:jc w:val="right"/>
              <w:rPr>
                <w:rFonts w:ascii="Arial" w:hAnsi="Arial" w:cs="Arial"/>
                <w:b/>
                <w:bCs/>
                <w:color w:val="000000"/>
                <w:sz w:val="20"/>
              </w:rPr>
            </w:pPr>
            <w:r w:rsidRPr="00276FCB">
              <w:rPr>
                <w:rFonts w:ascii="Arial" w:hAnsi="Arial" w:cs="Arial"/>
                <w:b/>
                <w:bCs/>
                <w:color w:val="000000"/>
                <w:sz w:val="20"/>
              </w:rPr>
              <w:t>Urban</w:t>
            </w:r>
          </w:p>
        </w:tc>
        <w:tc>
          <w:tcPr>
            <w:tcW w:w="1080" w:type="dxa"/>
            <w:tcBorders>
              <w:top w:val="single" w:sz="6" w:space="0" w:color="auto"/>
              <w:bottom w:val="single" w:sz="4" w:space="0" w:color="auto"/>
            </w:tcBorders>
            <w:shd w:val="clear" w:color="auto" w:fill="auto"/>
          </w:tcPr>
          <w:p w:rsidR="00706883" w:rsidRPr="00276FCB" w:rsidRDefault="00706883" w:rsidP="00C12C14">
            <w:pPr>
              <w:jc w:val="right"/>
              <w:rPr>
                <w:rFonts w:ascii="Arial" w:hAnsi="Arial" w:cs="Arial"/>
                <w:b/>
                <w:bCs/>
                <w:color w:val="000000"/>
                <w:sz w:val="20"/>
              </w:rPr>
            </w:pPr>
            <w:r w:rsidRPr="00276FCB">
              <w:rPr>
                <w:rFonts w:ascii="Arial" w:hAnsi="Arial" w:cs="Arial"/>
                <w:b/>
                <w:bCs/>
                <w:color w:val="000000"/>
                <w:sz w:val="20"/>
              </w:rPr>
              <w:t>Total</w:t>
            </w:r>
          </w:p>
        </w:tc>
      </w:tr>
      <w:tr w:rsidR="00706883" w:rsidRPr="00276FCB">
        <w:trPr>
          <w:trHeight w:val="300"/>
          <w:jc w:val="center"/>
        </w:trPr>
        <w:tc>
          <w:tcPr>
            <w:tcW w:w="1455" w:type="dxa"/>
            <w:tcBorders>
              <w:top w:val="single" w:sz="4" w:space="0" w:color="auto"/>
            </w:tcBorders>
            <w:shd w:val="clear" w:color="auto" w:fill="auto"/>
          </w:tcPr>
          <w:p w:rsidR="00706883" w:rsidRPr="00276FCB" w:rsidRDefault="00706883" w:rsidP="00C12C14">
            <w:pPr>
              <w:jc w:val="center"/>
              <w:rPr>
                <w:rFonts w:ascii="Arial" w:hAnsi="Arial" w:cs="Arial"/>
                <w:b/>
                <w:bCs/>
                <w:color w:val="000000"/>
                <w:sz w:val="20"/>
              </w:rPr>
            </w:pPr>
            <w:r w:rsidRPr="00276FCB">
              <w:rPr>
                <w:rFonts w:ascii="Arial" w:hAnsi="Arial" w:cs="Arial"/>
                <w:b/>
                <w:bCs/>
                <w:color w:val="000000"/>
                <w:sz w:val="20"/>
              </w:rPr>
              <w:t>Total</w:t>
            </w:r>
          </w:p>
        </w:tc>
        <w:tc>
          <w:tcPr>
            <w:tcW w:w="990" w:type="dxa"/>
            <w:tcBorders>
              <w:top w:val="single" w:sz="4" w:space="0" w:color="auto"/>
            </w:tcBorders>
            <w:shd w:val="clear" w:color="auto" w:fill="auto"/>
          </w:tcPr>
          <w:p w:rsidR="00706883" w:rsidRPr="00276FCB" w:rsidRDefault="00706883" w:rsidP="00C12C14">
            <w:pPr>
              <w:jc w:val="right"/>
              <w:rPr>
                <w:rFonts w:ascii="Arial" w:hAnsi="Arial" w:cs="Arial"/>
                <w:color w:val="000000"/>
                <w:sz w:val="20"/>
              </w:rPr>
            </w:pPr>
            <w:r w:rsidRPr="00276FCB">
              <w:rPr>
                <w:rFonts w:ascii="Arial" w:hAnsi="Arial" w:cs="Arial"/>
                <w:color w:val="000000"/>
                <w:sz w:val="20"/>
              </w:rPr>
              <w:t>7,8</w:t>
            </w:r>
            <w:r w:rsidR="00EF6094">
              <w:rPr>
                <w:rFonts w:ascii="Arial" w:hAnsi="Arial" w:cs="Arial"/>
                <w:color w:val="000000"/>
                <w:sz w:val="20"/>
              </w:rPr>
              <w:t>28</w:t>
            </w:r>
          </w:p>
        </w:tc>
        <w:tc>
          <w:tcPr>
            <w:tcW w:w="1440" w:type="dxa"/>
            <w:tcBorders>
              <w:top w:val="single" w:sz="4" w:space="0" w:color="auto"/>
            </w:tcBorders>
            <w:shd w:val="clear" w:color="auto" w:fill="auto"/>
          </w:tcPr>
          <w:p w:rsidR="00706883" w:rsidRPr="00276FCB" w:rsidRDefault="00706883" w:rsidP="00EF6094">
            <w:pPr>
              <w:jc w:val="right"/>
              <w:rPr>
                <w:rFonts w:ascii="Arial" w:hAnsi="Arial" w:cs="Arial"/>
                <w:color w:val="000000"/>
                <w:sz w:val="20"/>
              </w:rPr>
            </w:pPr>
            <w:r w:rsidRPr="00276FCB">
              <w:rPr>
                <w:rFonts w:ascii="Arial" w:hAnsi="Arial" w:cs="Arial"/>
                <w:color w:val="000000"/>
                <w:sz w:val="20"/>
              </w:rPr>
              <w:t>7,0</w:t>
            </w:r>
            <w:r w:rsidR="00EF6094">
              <w:rPr>
                <w:rFonts w:ascii="Arial" w:hAnsi="Arial" w:cs="Arial"/>
                <w:color w:val="000000"/>
                <w:sz w:val="20"/>
              </w:rPr>
              <w:t>5</w:t>
            </w:r>
            <w:r w:rsidR="00756D82">
              <w:rPr>
                <w:rFonts w:ascii="Arial" w:hAnsi="Arial" w:cs="Arial"/>
                <w:color w:val="000000"/>
                <w:sz w:val="20"/>
              </w:rPr>
              <w:t>7</w:t>
            </w:r>
          </w:p>
        </w:tc>
        <w:tc>
          <w:tcPr>
            <w:tcW w:w="1080" w:type="dxa"/>
            <w:tcBorders>
              <w:top w:val="single" w:sz="4" w:space="0" w:color="auto"/>
            </w:tcBorders>
            <w:shd w:val="clear" w:color="auto" w:fill="auto"/>
          </w:tcPr>
          <w:p w:rsidR="00706883" w:rsidRPr="00276FCB" w:rsidRDefault="00706883" w:rsidP="00EF6094">
            <w:pPr>
              <w:jc w:val="right"/>
              <w:rPr>
                <w:rFonts w:ascii="Arial" w:hAnsi="Arial" w:cs="Arial"/>
                <w:color w:val="000000"/>
                <w:sz w:val="20"/>
              </w:rPr>
            </w:pPr>
            <w:r w:rsidRPr="00276FCB">
              <w:rPr>
                <w:rFonts w:ascii="Arial" w:hAnsi="Arial" w:cs="Arial"/>
                <w:color w:val="000000"/>
                <w:sz w:val="20"/>
              </w:rPr>
              <w:t>4,2</w:t>
            </w:r>
            <w:r w:rsidR="00EF6094">
              <w:rPr>
                <w:rFonts w:ascii="Arial" w:hAnsi="Arial" w:cs="Arial"/>
                <w:color w:val="000000"/>
                <w:sz w:val="20"/>
              </w:rPr>
              <w:t>6</w:t>
            </w:r>
            <w:r w:rsidR="00756D82">
              <w:rPr>
                <w:rFonts w:ascii="Arial" w:hAnsi="Arial" w:cs="Arial"/>
                <w:color w:val="000000"/>
                <w:sz w:val="20"/>
              </w:rPr>
              <w:t>0</w:t>
            </w:r>
          </w:p>
        </w:tc>
        <w:tc>
          <w:tcPr>
            <w:tcW w:w="1080" w:type="dxa"/>
            <w:tcBorders>
              <w:top w:val="single" w:sz="4" w:space="0" w:color="auto"/>
            </w:tcBorders>
            <w:shd w:val="clear" w:color="auto" w:fill="auto"/>
          </w:tcPr>
          <w:p w:rsidR="00706883" w:rsidRPr="00276FCB" w:rsidRDefault="00706883" w:rsidP="00EF6094">
            <w:pPr>
              <w:jc w:val="right"/>
              <w:rPr>
                <w:rFonts w:ascii="Arial" w:hAnsi="Arial" w:cs="Arial"/>
                <w:color w:val="000000"/>
                <w:sz w:val="20"/>
              </w:rPr>
            </w:pPr>
            <w:r w:rsidRPr="00276FCB">
              <w:rPr>
                <w:rFonts w:ascii="Arial" w:hAnsi="Arial" w:cs="Arial"/>
                <w:color w:val="000000"/>
                <w:sz w:val="20"/>
              </w:rPr>
              <w:t>19,</w:t>
            </w:r>
            <w:r w:rsidR="00EF6094">
              <w:rPr>
                <w:rFonts w:ascii="Arial" w:hAnsi="Arial" w:cs="Arial"/>
                <w:color w:val="000000"/>
                <w:sz w:val="20"/>
              </w:rPr>
              <w:t>1</w:t>
            </w:r>
            <w:r w:rsidR="00756D82">
              <w:rPr>
                <w:rFonts w:ascii="Arial" w:hAnsi="Arial" w:cs="Arial"/>
                <w:color w:val="000000"/>
                <w:sz w:val="20"/>
              </w:rPr>
              <w:t>45</w:t>
            </w:r>
          </w:p>
        </w:tc>
      </w:tr>
      <w:tr w:rsidR="00706883" w:rsidRPr="00276FCB">
        <w:trPr>
          <w:trHeight w:val="300"/>
          <w:jc w:val="center"/>
        </w:trPr>
        <w:tc>
          <w:tcPr>
            <w:tcW w:w="1455" w:type="dxa"/>
            <w:tcBorders>
              <w:top w:val="nil"/>
            </w:tcBorders>
            <w:shd w:val="clear" w:color="auto" w:fill="auto"/>
          </w:tcPr>
          <w:p w:rsidR="00706883" w:rsidRPr="00276FCB" w:rsidRDefault="00706883" w:rsidP="00C12C14">
            <w:pPr>
              <w:jc w:val="center"/>
              <w:rPr>
                <w:rFonts w:ascii="Arial" w:hAnsi="Arial" w:cs="Arial"/>
                <w:b/>
                <w:bCs/>
                <w:color w:val="000000"/>
                <w:sz w:val="20"/>
              </w:rPr>
            </w:pPr>
            <w:r w:rsidRPr="00276FCB">
              <w:rPr>
                <w:rFonts w:ascii="Arial" w:hAnsi="Arial" w:cs="Arial"/>
                <w:b/>
                <w:bCs/>
                <w:color w:val="000000"/>
                <w:sz w:val="20"/>
              </w:rPr>
              <w:t>High</w:t>
            </w:r>
          </w:p>
        </w:tc>
        <w:tc>
          <w:tcPr>
            <w:tcW w:w="990" w:type="dxa"/>
            <w:tcBorders>
              <w:top w:val="nil"/>
            </w:tcBorders>
            <w:shd w:val="clear" w:color="auto" w:fill="auto"/>
          </w:tcPr>
          <w:p w:rsidR="00706883" w:rsidRPr="00276FCB" w:rsidRDefault="00706883" w:rsidP="00EF6094">
            <w:pPr>
              <w:jc w:val="right"/>
              <w:rPr>
                <w:rFonts w:ascii="Arial" w:hAnsi="Arial" w:cs="Arial"/>
                <w:color w:val="000000"/>
                <w:sz w:val="20"/>
              </w:rPr>
            </w:pPr>
            <w:r w:rsidRPr="00276FCB">
              <w:rPr>
                <w:rFonts w:ascii="Arial" w:hAnsi="Arial" w:cs="Arial"/>
                <w:color w:val="000000"/>
                <w:sz w:val="20"/>
              </w:rPr>
              <w:t>5,35</w:t>
            </w:r>
            <w:r w:rsidR="00EF6094">
              <w:rPr>
                <w:rFonts w:ascii="Arial" w:hAnsi="Arial" w:cs="Arial"/>
                <w:color w:val="000000"/>
                <w:sz w:val="20"/>
              </w:rPr>
              <w:t>1</w:t>
            </w:r>
          </w:p>
        </w:tc>
        <w:tc>
          <w:tcPr>
            <w:tcW w:w="1440" w:type="dxa"/>
            <w:tcBorders>
              <w:top w:val="nil"/>
            </w:tcBorders>
            <w:shd w:val="clear" w:color="auto" w:fill="auto"/>
          </w:tcPr>
          <w:p w:rsidR="00706883" w:rsidRPr="00276FCB" w:rsidRDefault="00706883" w:rsidP="00C12C14">
            <w:pPr>
              <w:jc w:val="right"/>
              <w:rPr>
                <w:rFonts w:ascii="Arial" w:hAnsi="Arial" w:cs="Arial"/>
                <w:color w:val="000000"/>
                <w:sz w:val="20"/>
              </w:rPr>
            </w:pPr>
            <w:r w:rsidRPr="00276FCB">
              <w:rPr>
                <w:rFonts w:ascii="Arial" w:hAnsi="Arial" w:cs="Arial"/>
                <w:color w:val="000000"/>
                <w:sz w:val="20"/>
              </w:rPr>
              <w:t>4</w:t>
            </w:r>
            <w:r w:rsidR="00EF6094">
              <w:rPr>
                <w:rFonts w:ascii="Arial" w:hAnsi="Arial" w:cs="Arial"/>
                <w:color w:val="000000"/>
                <w:sz w:val="20"/>
              </w:rPr>
              <w:t>,</w:t>
            </w:r>
            <w:r w:rsidRPr="00276FCB">
              <w:rPr>
                <w:rFonts w:ascii="Arial" w:hAnsi="Arial" w:cs="Arial"/>
                <w:color w:val="000000"/>
                <w:sz w:val="20"/>
              </w:rPr>
              <w:t>449</w:t>
            </w:r>
          </w:p>
        </w:tc>
        <w:tc>
          <w:tcPr>
            <w:tcW w:w="1080" w:type="dxa"/>
            <w:tcBorders>
              <w:top w:val="nil"/>
            </w:tcBorders>
            <w:shd w:val="clear" w:color="auto" w:fill="auto"/>
          </w:tcPr>
          <w:p w:rsidR="00706883" w:rsidRPr="00276FCB" w:rsidRDefault="00706883" w:rsidP="00C12C14">
            <w:pPr>
              <w:jc w:val="right"/>
              <w:rPr>
                <w:rFonts w:ascii="Arial" w:hAnsi="Arial" w:cs="Arial"/>
                <w:color w:val="000000"/>
                <w:sz w:val="20"/>
              </w:rPr>
            </w:pPr>
            <w:r w:rsidRPr="00276FCB">
              <w:rPr>
                <w:rFonts w:ascii="Arial" w:hAnsi="Arial" w:cs="Arial"/>
                <w:color w:val="000000"/>
                <w:sz w:val="20"/>
              </w:rPr>
              <w:t>1,74</w:t>
            </w:r>
            <w:r w:rsidR="00EF6094">
              <w:rPr>
                <w:rFonts w:ascii="Arial" w:hAnsi="Arial" w:cs="Arial"/>
                <w:color w:val="000000"/>
                <w:sz w:val="20"/>
              </w:rPr>
              <w:t>8</w:t>
            </w:r>
          </w:p>
        </w:tc>
        <w:tc>
          <w:tcPr>
            <w:tcW w:w="1080" w:type="dxa"/>
            <w:tcBorders>
              <w:top w:val="nil"/>
            </w:tcBorders>
            <w:shd w:val="clear" w:color="auto" w:fill="auto"/>
          </w:tcPr>
          <w:p w:rsidR="00706883" w:rsidRPr="00276FCB" w:rsidRDefault="00706883" w:rsidP="00C12C14">
            <w:pPr>
              <w:jc w:val="right"/>
              <w:rPr>
                <w:rFonts w:ascii="Arial" w:hAnsi="Arial" w:cs="Arial"/>
                <w:color w:val="000000"/>
                <w:sz w:val="20"/>
              </w:rPr>
            </w:pPr>
            <w:r w:rsidRPr="00276FCB">
              <w:rPr>
                <w:rFonts w:ascii="Arial" w:hAnsi="Arial" w:cs="Arial"/>
                <w:color w:val="000000"/>
                <w:sz w:val="20"/>
              </w:rPr>
              <w:t>11,5</w:t>
            </w:r>
            <w:r w:rsidR="00EF6094">
              <w:rPr>
                <w:rFonts w:ascii="Arial" w:hAnsi="Arial" w:cs="Arial"/>
                <w:color w:val="000000"/>
                <w:sz w:val="20"/>
              </w:rPr>
              <w:t>48</w:t>
            </w:r>
          </w:p>
        </w:tc>
      </w:tr>
      <w:tr w:rsidR="00706883" w:rsidRPr="00117DC6">
        <w:trPr>
          <w:trHeight w:val="300"/>
          <w:jc w:val="center"/>
        </w:trPr>
        <w:tc>
          <w:tcPr>
            <w:tcW w:w="1455" w:type="dxa"/>
            <w:tcBorders>
              <w:top w:val="nil"/>
              <w:bottom w:val="single" w:sz="6" w:space="0" w:color="auto"/>
            </w:tcBorders>
            <w:shd w:val="clear" w:color="auto" w:fill="auto"/>
          </w:tcPr>
          <w:p w:rsidR="00706883" w:rsidRPr="00276FCB" w:rsidRDefault="00706883" w:rsidP="00C12C14">
            <w:pPr>
              <w:jc w:val="center"/>
              <w:rPr>
                <w:rFonts w:ascii="Arial" w:hAnsi="Arial" w:cs="Arial"/>
                <w:b/>
                <w:bCs/>
                <w:color w:val="000000"/>
                <w:sz w:val="20"/>
              </w:rPr>
            </w:pPr>
            <w:r w:rsidRPr="00276FCB">
              <w:rPr>
                <w:rFonts w:ascii="Arial" w:hAnsi="Arial" w:cs="Arial"/>
                <w:b/>
                <w:bCs/>
                <w:color w:val="000000"/>
                <w:sz w:val="20"/>
              </w:rPr>
              <w:t>Low</w:t>
            </w:r>
          </w:p>
        </w:tc>
        <w:tc>
          <w:tcPr>
            <w:tcW w:w="990" w:type="dxa"/>
            <w:tcBorders>
              <w:top w:val="nil"/>
              <w:bottom w:val="single" w:sz="6" w:space="0" w:color="auto"/>
            </w:tcBorders>
            <w:shd w:val="clear" w:color="auto" w:fill="auto"/>
          </w:tcPr>
          <w:p w:rsidR="00706883" w:rsidRPr="00276FCB" w:rsidRDefault="00706883" w:rsidP="00EF6094">
            <w:pPr>
              <w:jc w:val="right"/>
              <w:rPr>
                <w:rFonts w:ascii="Arial" w:hAnsi="Arial" w:cs="Arial"/>
                <w:color w:val="000000"/>
                <w:sz w:val="20"/>
              </w:rPr>
            </w:pPr>
            <w:r w:rsidRPr="00276FCB">
              <w:rPr>
                <w:rFonts w:ascii="Arial" w:hAnsi="Arial" w:cs="Arial"/>
                <w:color w:val="000000"/>
                <w:sz w:val="20"/>
              </w:rPr>
              <w:t>2,4</w:t>
            </w:r>
            <w:r w:rsidR="00EF6094">
              <w:rPr>
                <w:rFonts w:ascii="Arial" w:hAnsi="Arial" w:cs="Arial"/>
                <w:color w:val="000000"/>
                <w:sz w:val="20"/>
              </w:rPr>
              <w:t>77</w:t>
            </w:r>
          </w:p>
        </w:tc>
        <w:tc>
          <w:tcPr>
            <w:tcW w:w="1440" w:type="dxa"/>
            <w:tcBorders>
              <w:top w:val="nil"/>
              <w:bottom w:val="single" w:sz="6" w:space="0" w:color="auto"/>
            </w:tcBorders>
            <w:shd w:val="clear" w:color="auto" w:fill="auto"/>
          </w:tcPr>
          <w:p w:rsidR="00706883" w:rsidRPr="00276FCB" w:rsidRDefault="00706883" w:rsidP="00EF6094">
            <w:pPr>
              <w:jc w:val="right"/>
              <w:rPr>
                <w:rFonts w:ascii="Arial" w:hAnsi="Arial" w:cs="Arial"/>
                <w:color w:val="000000"/>
                <w:sz w:val="20"/>
              </w:rPr>
            </w:pPr>
            <w:r w:rsidRPr="00276FCB">
              <w:rPr>
                <w:rFonts w:ascii="Arial" w:hAnsi="Arial" w:cs="Arial"/>
                <w:color w:val="000000"/>
                <w:sz w:val="20"/>
              </w:rPr>
              <w:t>2,6</w:t>
            </w:r>
            <w:r w:rsidR="00756D82">
              <w:rPr>
                <w:rFonts w:ascii="Arial" w:hAnsi="Arial" w:cs="Arial"/>
                <w:color w:val="000000"/>
                <w:sz w:val="20"/>
              </w:rPr>
              <w:t>08</w:t>
            </w:r>
          </w:p>
        </w:tc>
        <w:tc>
          <w:tcPr>
            <w:tcW w:w="1080" w:type="dxa"/>
            <w:tcBorders>
              <w:top w:val="nil"/>
              <w:bottom w:val="single" w:sz="6" w:space="0" w:color="auto"/>
            </w:tcBorders>
            <w:shd w:val="clear" w:color="auto" w:fill="auto"/>
          </w:tcPr>
          <w:p w:rsidR="00706883" w:rsidRPr="00276FCB" w:rsidRDefault="00706883" w:rsidP="00C12C14">
            <w:pPr>
              <w:jc w:val="right"/>
              <w:rPr>
                <w:rFonts w:ascii="Arial" w:hAnsi="Arial" w:cs="Arial"/>
                <w:color w:val="000000"/>
                <w:sz w:val="20"/>
              </w:rPr>
            </w:pPr>
            <w:r w:rsidRPr="00276FCB">
              <w:rPr>
                <w:rFonts w:ascii="Arial" w:hAnsi="Arial" w:cs="Arial"/>
                <w:color w:val="000000"/>
                <w:sz w:val="20"/>
              </w:rPr>
              <w:t>2,5</w:t>
            </w:r>
            <w:r w:rsidR="00756D82">
              <w:rPr>
                <w:rFonts w:ascii="Arial" w:hAnsi="Arial" w:cs="Arial"/>
                <w:color w:val="000000"/>
                <w:sz w:val="20"/>
              </w:rPr>
              <w:t>12</w:t>
            </w:r>
          </w:p>
        </w:tc>
        <w:tc>
          <w:tcPr>
            <w:tcW w:w="1080" w:type="dxa"/>
            <w:tcBorders>
              <w:top w:val="nil"/>
              <w:bottom w:val="single" w:sz="6" w:space="0" w:color="auto"/>
            </w:tcBorders>
            <w:shd w:val="clear" w:color="auto" w:fill="auto"/>
          </w:tcPr>
          <w:p w:rsidR="00706883" w:rsidRPr="00117DC6" w:rsidRDefault="00706883" w:rsidP="00C12C14">
            <w:pPr>
              <w:jc w:val="right"/>
              <w:rPr>
                <w:rFonts w:ascii="Arial" w:hAnsi="Arial" w:cs="Arial"/>
                <w:color w:val="000000"/>
                <w:sz w:val="20"/>
              </w:rPr>
            </w:pPr>
            <w:r w:rsidRPr="00276FCB">
              <w:rPr>
                <w:rFonts w:ascii="Arial" w:hAnsi="Arial" w:cs="Arial"/>
                <w:color w:val="000000"/>
                <w:sz w:val="20"/>
              </w:rPr>
              <w:t>7,</w:t>
            </w:r>
            <w:r w:rsidR="00756D82">
              <w:rPr>
                <w:rFonts w:ascii="Arial" w:hAnsi="Arial" w:cs="Arial"/>
                <w:color w:val="000000"/>
                <w:sz w:val="20"/>
              </w:rPr>
              <w:t>597</w:t>
            </w:r>
          </w:p>
        </w:tc>
      </w:tr>
    </w:tbl>
    <w:p w:rsidR="002907FA" w:rsidRDefault="002907FA" w:rsidP="00706883">
      <w:pPr>
        <w:pStyle w:val="PPSSTOText"/>
        <w:rPr>
          <w:highlight w:val="cyan"/>
        </w:rPr>
      </w:pPr>
    </w:p>
    <w:p w:rsidR="00706883" w:rsidRPr="00965884" w:rsidRDefault="00706883" w:rsidP="00706883">
      <w:pPr>
        <w:pStyle w:val="PPSSTOText"/>
      </w:pPr>
      <w:r w:rsidRPr="00965884">
        <w:t>The percentage of schools classified as high graduation rate was calculated separately for each locale sampling stratum; 68.</w:t>
      </w:r>
      <w:r w:rsidR="00756D82">
        <w:t>4</w:t>
      </w:r>
      <w:r w:rsidR="00754EEB" w:rsidRPr="00965884">
        <w:t xml:space="preserve"> percent</w:t>
      </w:r>
      <w:r w:rsidRPr="00965884">
        <w:t xml:space="preserve"> of rural schools were classified as high graduation rate, 6</w:t>
      </w:r>
      <w:r w:rsidR="00756D82">
        <w:t>3</w:t>
      </w:r>
      <w:r w:rsidR="00754EEB" w:rsidRPr="00965884">
        <w:t xml:space="preserve"> percent</w:t>
      </w:r>
      <w:r w:rsidRPr="00965884">
        <w:t xml:space="preserve"> of suburban schools were classified as high graduation rate, and 4</w:t>
      </w:r>
      <w:r w:rsidR="00756D82">
        <w:t>1.0</w:t>
      </w:r>
      <w:r w:rsidR="00754EEB" w:rsidRPr="00965884">
        <w:t xml:space="preserve"> percent</w:t>
      </w:r>
      <w:r w:rsidRPr="00965884">
        <w:t xml:space="preserve"> of urban schools were classified as high graduation rate. Each of the 3,</w:t>
      </w:r>
      <w:r w:rsidR="00756D82">
        <w:t>302</w:t>
      </w:r>
      <w:r w:rsidRPr="00965884">
        <w:t xml:space="preserve"> schools</w:t>
      </w:r>
      <w:r w:rsidR="00336720">
        <w:t xml:space="preserve"> with unknown graduation rates</w:t>
      </w:r>
      <w:r w:rsidRPr="00965884">
        <w:t xml:space="preserve"> </w:t>
      </w:r>
      <w:r w:rsidR="00336720" w:rsidRPr="00965884">
        <w:t>w</w:t>
      </w:r>
      <w:r w:rsidR="00336720">
        <w:t>as</w:t>
      </w:r>
      <w:r w:rsidR="00336720" w:rsidRPr="00965884">
        <w:t xml:space="preserve"> </w:t>
      </w:r>
      <w:r w:rsidRPr="00965884">
        <w:lastRenderedPageBreak/>
        <w:t>randomly assigned to the high graduation rate stratum with probability 68.</w:t>
      </w:r>
      <w:r w:rsidR="00756D82">
        <w:t>4</w:t>
      </w:r>
      <w:r w:rsidRPr="00965884">
        <w:t xml:space="preserve"> if the school was classified as rural, with probability 6</w:t>
      </w:r>
      <w:r w:rsidR="00756D82">
        <w:t>3.0</w:t>
      </w:r>
      <w:r w:rsidRPr="00965884">
        <w:t xml:space="preserve"> if the school was classified as suburban, and with probability 4</w:t>
      </w:r>
      <w:r w:rsidR="00756D82">
        <w:t>1.0</w:t>
      </w:r>
      <w:r w:rsidRPr="00965884">
        <w:t xml:space="preserve"> if the school was classified as urban. </w:t>
      </w:r>
    </w:p>
    <w:p w:rsidR="000027F0" w:rsidRDefault="00753129" w:rsidP="000027F0">
      <w:pPr>
        <w:pStyle w:val="PPSSTOText"/>
      </w:pPr>
      <w:r w:rsidRPr="0071143B">
        <w:t>T</w:t>
      </w:r>
      <w:r w:rsidR="000027F0" w:rsidRPr="0071143B">
        <w:t xml:space="preserve">he </w:t>
      </w:r>
      <w:r w:rsidR="0071143B" w:rsidRPr="0071143B">
        <w:t xml:space="preserve">final </w:t>
      </w:r>
      <w:r w:rsidR="000027F0" w:rsidRPr="0071143B">
        <w:t>distribution of the 22,</w:t>
      </w:r>
      <w:r w:rsidR="00756D82">
        <w:t>447</w:t>
      </w:r>
      <w:r w:rsidR="000027F0" w:rsidRPr="0071143B">
        <w:t xml:space="preserve"> schools by strata is shown in </w:t>
      </w:r>
      <w:r w:rsidR="00563BCC">
        <w:fldChar w:fldCharType="begin"/>
      </w:r>
      <w:r w:rsidR="00563BCC">
        <w:instrText xml:space="preserve"> REF _Ref384298071 \h  \* MERGEFORMAT </w:instrText>
      </w:r>
      <w:r w:rsidR="00563BCC">
        <w:fldChar w:fldCharType="separate"/>
      </w:r>
      <w:r w:rsidR="000C4DA3" w:rsidRPr="00276FCB">
        <w:t xml:space="preserve">Exhibit </w:t>
      </w:r>
      <w:r w:rsidR="000C4DA3">
        <w:t>3</w:t>
      </w:r>
      <w:r w:rsidR="00563BCC">
        <w:fldChar w:fldCharType="end"/>
      </w:r>
      <w:r>
        <w:t>.</w:t>
      </w:r>
    </w:p>
    <w:p w:rsidR="00753129" w:rsidRPr="00276FCB" w:rsidRDefault="00753129" w:rsidP="00753129">
      <w:pPr>
        <w:pStyle w:val="PPSSTOExhibitTitle"/>
      </w:pPr>
      <w:bookmarkStart w:id="9" w:name="_Ref384298071"/>
      <w:bookmarkStart w:id="10" w:name="_Toc392766097"/>
      <w:proofErr w:type="gramStart"/>
      <w:r w:rsidRPr="00276FCB">
        <w:t xml:space="preserve">Exhibit </w:t>
      </w:r>
      <w:bookmarkEnd w:id="9"/>
      <w:r w:rsidR="00156301">
        <w:t>4</w:t>
      </w:r>
      <w:r w:rsidRPr="00276FCB">
        <w:t>.</w:t>
      </w:r>
      <w:proofErr w:type="gramEnd"/>
      <w:r w:rsidRPr="00276FCB">
        <w:t xml:space="preserve"> </w:t>
      </w:r>
      <w:r w:rsidR="00FC2343">
        <w:t xml:space="preserve">Final </w:t>
      </w:r>
      <w:r w:rsidRPr="00276FCB">
        <w:t>Distribution of HSRS Sampling Frame Schools by Sampling Strata</w:t>
      </w:r>
      <w:bookmarkEnd w:id="10"/>
    </w:p>
    <w:p w:rsidR="00753129" w:rsidRPr="00276FCB" w:rsidRDefault="00753129" w:rsidP="00753129">
      <w:pPr>
        <w:autoSpaceDE w:val="0"/>
        <w:autoSpaceDN w:val="0"/>
        <w:adjustRightInd w:val="0"/>
        <w:rPr>
          <w:b/>
        </w:rPr>
      </w:pPr>
    </w:p>
    <w:tbl>
      <w:tblPr>
        <w:tblW w:w="6045" w:type="dxa"/>
        <w:jc w:val="center"/>
        <w:tblLook w:val="04A0" w:firstRow="1" w:lastRow="0" w:firstColumn="1" w:lastColumn="0" w:noHBand="0" w:noVBand="1"/>
      </w:tblPr>
      <w:tblGrid>
        <w:gridCol w:w="1455"/>
        <w:gridCol w:w="990"/>
        <w:gridCol w:w="1440"/>
        <w:gridCol w:w="1080"/>
        <w:gridCol w:w="1080"/>
      </w:tblGrid>
      <w:tr w:rsidR="00753129" w:rsidRPr="00276FCB">
        <w:trPr>
          <w:trHeight w:val="510"/>
          <w:jc w:val="center"/>
        </w:trPr>
        <w:tc>
          <w:tcPr>
            <w:tcW w:w="1455" w:type="dxa"/>
            <w:tcBorders>
              <w:top w:val="single" w:sz="6" w:space="0" w:color="auto"/>
              <w:bottom w:val="single" w:sz="4" w:space="0" w:color="auto"/>
            </w:tcBorders>
            <w:shd w:val="clear" w:color="auto" w:fill="auto"/>
          </w:tcPr>
          <w:p w:rsidR="00753129" w:rsidRPr="00276FCB" w:rsidRDefault="00753129" w:rsidP="00C12C14">
            <w:pPr>
              <w:rPr>
                <w:rFonts w:ascii="Arial" w:hAnsi="Arial" w:cs="Arial"/>
                <w:b/>
                <w:bCs/>
                <w:color w:val="000000"/>
                <w:sz w:val="20"/>
              </w:rPr>
            </w:pPr>
            <w:r w:rsidRPr="00276FCB">
              <w:rPr>
                <w:rFonts w:ascii="Arial" w:hAnsi="Arial" w:cs="Arial"/>
                <w:b/>
                <w:bCs/>
                <w:color w:val="000000"/>
                <w:sz w:val="20"/>
              </w:rPr>
              <w:t>Graduation Rate\Locale</w:t>
            </w:r>
          </w:p>
        </w:tc>
        <w:tc>
          <w:tcPr>
            <w:tcW w:w="990" w:type="dxa"/>
            <w:tcBorders>
              <w:top w:val="single" w:sz="6" w:space="0" w:color="auto"/>
              <w:bottom w:val="single" w:sz="4" w:space="0" w:color="auto"/>
            </w:tcBorders>
            <w:shd w:val="clear" w:color="auto" w:fill="auto"/>
          </w:tcPr>
          <w:p w:rsidR="00753129" w:rsidRPr="00276FCB" w:rsidRDefault="00753129" w:rsidP="00C12C14">
            <w:pPr>
              <w:jc w:val="right"/>
              <w:rPr>
                <w:rFonts w:ascii="Arial" w:hAnsi="Arial" w:cs="Arial"/>
                <w:b/>
                <w:bCs/>
                <w:color w:val="000000"/>
                <w:sz w:val="20"/>
              </w:rPr>
            </w:pPr>
            <w:r w:rsidRPr="00276FCB">
              <w:rPr>
                <w:rFonts w:ascii="Arial" w:hAnsi="Arial" w:cs="Arial"/>
                <w:b/>
                <w:bCs/>
                <w:color w:val="000000"/>
                <w:sz w:val="20"/>
              </w:rPr>
              <w:t>Rural</w:t>
            </w:r>
          </w:p>
        </w:tc>
        <w:tc>
          <w:tcPr>
            <w:tcW w:w="1440" w:type="dxa"/>
            <w:tcBorders>
              <w:top w:val="single" w:sz="6" w:space="0" w:color="auto"/>
              <w:bottom w:val="single" w:sz="4" w:space="0" w:color="auto"/>
            </w:tcBorders>
            <w:shd w:val="clear" w:color="auto" w:fill="auto"/>
          </w:tcPr>
          <w:p w:rsidR="00753129" w:rsidRPr="00276FCB" w:rsidRDefault="00753129" w:rsidP="00C12C14">
            <w:pPr>
              <w:jc w:val="right"/>
              <w:rPr>
                <w:rFonts w:ascii="Arial" w:hAnsi="Arial" w:cs="Arial"/>
                <w:b/>
                <w:bCs/>
                <w:color w:val="000000"/>
                <w:sz w:val="20"/>
              </w:rPr>
            </w:pPr>
            <w:r w:rsidRPr="00276FCB">
              <w:rPr>
                <w:rFonts w:ascii="Arial" w:hAnsi="Arial" w:cs="Arial"/>
                <w:b/>
                <w:bCs/>
                <w:color w:val="000000"/>
                <w:sz w:val="20"/>
              </w:rPr>
              <w:t>Suburban</w:t>
            </w:r>
          </w:p>
        </w:tc>
        <w:tc>
          <w:tcPr>
            <w:tcW w:w="1080" w:type="dxa"/>
            <w:tcBorders>
              <w:top w:val="single" w:sz="6" w:space="0" w:color="auto"/>
              <w:bottom w:val="single" w:sz="4" w:space="0" w:color="auto"/>
            </w:tcBorders>
            <w:shd w:val="clear" w:color="auto" w:fill="auto"/>
          </w:tcPr>
          <w:p w:rsidR="00753129" w:rsidRPr="00276FCB" w:rsidRDefault="00753129" w:rsidP="00C12C14">
            <w:pPr>
              <w:jc w:val="right"/>
              <w:rPr>
                <w:rFonts w:ascii="Arial" w:hAnsi="Arial" w:cs="Arial"/>
                <w:b/>
                <w:bCs/>
                <w:color w:val="000000"/>
                <w:sz w:val="20"/>
              </w:rPr>
            </w:pPr>
            <w:r w:rsidRPr="00276FCB">
              <w:rPr>
                <w:rFonts w:ascii="Arial" w:hAnsi="Arial" w:cs="Arial"/>
                <w:b/>
                <w:bCs/>
                <w:color w:val="000000"/>
                <w:sz w:val="20"/>
              </w:rPr>
              <w:t>Urban</w:t>
            </w:r>
          </w:p>
        </w:tc>
        <w:tc>
          <w:tcPr>
            <w:tcW w:w="1080" w:type="dxa"/>
            <w:tcBorders>
              <w:top w:val="single" w:sz="6" w:space="0" w:color="auto"/>
              <w:bottom w:val="single" w:sz="4" w:space="0" w:color="auto"/>
            </w:tcBorders>
            <w:shd w:val="clear" w:color="auto" w:fill="auto"/>
          </w:tcPr>
          <w:p w:rsidR="00753129" w:rsidRPr="00276FCB" w:rsidRDefault="00753129" w:rsidP="00C12C14">
            <w:pPr>
              <w:jc w:val="right"/>
              <w:rPr>
                <w:rFonts w:ascii="Arial" w:hAnsi="Arial" w:cs="Arial"/>
                <w:b/>
                <w:bCs/>
                <w:color w:val="000000"/>
                <w:sz w:val="20"/>
              </w:rPr>
            </w:pPr>
            <w:r w:rsidRPr="00276FCB">
              <w:rPr>
                <w:rFonts w:ascii="Arial" w:hAnsi="Arial" w:cs="Arial"/>
                <w:b/>
                <w:bCs/>
                <w:color w:val="000000"/>
                <w:sz w:val="20"/>
              </w:rPr>
              <w:t>Total</w:t>
            </w:r>
          </w:p>
        </w:tc>
      </w:tr>
      <w:tr w:rsidR="00753129" w:rsidRPr="00276FCB">
        <w:trPr>
          <w:trHeight w:val="300"/>
          <w:jc w:val="center"/>
        </w:trPr>
        <w:tc>
          <w:tcPr>
            <w:tcW w:w="1455" w:type="dxa"/>
            <w:tcBorders>
              <w:top w:val="single" w:sz="4" w:space="0" w:color="auto"/>
            </w:tcBorders>
            <w:shd w:val="clear" w:color="auto" w:fill="auto"/>
          </w:tcPr>
          <w:p w:rsidR="00753129" w:rsidRPr="00276FCB" w:rsidRDefault="00753129" w:rsidP="00753129">
            <w:pPr>
              <w:jc w:val="center"/>
              <w:rPr>
                <w:rFonts w:ascii="Arial" w:hAnsi="Arial" w:cs="Arial"/>
                <w:b/>
                <w:bCs/>
                <w:color w:val="000000"/>
                <w:sz w:val="20"/>
              </w:rPr>
            </w:pPr>
            <w:r w:rsidRPr="00276FCB">
              <w:rPr>
                <w:rFonts w:ascii="Arial" w:hAnsi="Arial" w:cs="Arial"/>
                <w:b/>
                <w:bCs/>
                <w:color w:val="000000"/>
                <w:sz w:val="20"/>
              </w:rPr>
              <w:t>Total</w:t>
            </w:r>
          </w:p>
        </w:tc>
        <w:tc>
          <w:tcPr>
            <w:tcW w:w="990" w:type="dxa"/>
            <w:tcBorders>
              <w:top w:val="single" w:sz="4" w:space="0" w:color="auto"/>
            </w:tcBorders>
            <w:shd w:val="clear" w:color="auto" w:fill="auto"/>
          </w:tcPr>
          <w:p w:rsidR="00753129" w:rsidRPr="00276FCB" w:rsidRDefault="00753129" w:rsidP="00C12C14">
            <w:pPr>
              <w:jc w:val="right"/>
              <w:rPr>
                <w:rFonts w:ascii="Arial" w:hAnsi="Arial" w:cs="Arial"/>
                <w:color w:val="000000"/>
                <w:sz w:val="20"/>
              </w:rPr>
            </w:pPr>
            <w:r w:rsidRPr="00276FCB">
              <w:rPr>
                <w:rFonts w:ascii="Arial" w:hAnsi="Arial" w:cs="Arial"/>
                <w:color w:val="000000"/>
                <w:sz w:val="20"/>
              </w:rPr>
              <w:t>9,</w:t>
            </w:r>
            <w:r w:rsidR="00756D82">
              <w:rPr>
                <w:rFonts w:ascii="Arial" w:hAnsi="Arial" w:cs="Arial"/>
                <w:color w:val="000000"/>
                <w:sz w:val="20"/>
              </w:rPr>
              <w:t>141</w:t>
            </w:r>
          </w:p>
        </w:tc>
        <w:tc>
          <w:tcPr>
            <w:tcW w:w="1440" w:type="dxa"/>
            <w:tcBorders>
              <w:top w:val="single" w:sz="4" w:space="0" w:color="auto"/>
            </w:tcBorders>
            <w:shd w:val="clear" w:color="auto" w:fill="auto"/>
          </w:tcPr>
          <w:p w:rsidR="00753129" w:rsidRPr="00276FCB" w:rsidRDefault="00753129" w:rsidP="00C12C14">
            <w:pPr>
              <w:jc w:val="right"/>
              <w:rPr>
                <w:rFonts w:ascii="Arial" w:hAnsi="Arial" w:cs="Arial"/>
                <w:color w:val="000000"/>
                <w:sz w:val="20"/>
              </w:rPr>
            </w:pPr>
            <w:r w:rsidRPr="00276FCB">
              <w:rPr>
                <w:rFonts w:ascii="Arial" w:hAnsi="Arial" w:cs="Arial"/>
                <w:color w:val="000000"/>
                <w:sz w:val="20"/>
              </w:rPr>
              <w:t>8,</w:t>
            </w:r>
            <w:r w:rsidR="00756D82">
              <w:rPr>
                <w:rFonts w:ascii="Arial" w:hAnsi="Arial" w:cs="Arial"/>
                <w:color w:val="000000"/>
                <w:sz w:val="20"/>
              </w:rPr>
              <w:t>180</w:t>
            </w:r>
          </w:p>
        </w:tc>
        <w:tc>
          <w:tcPr>
            <w:tcW w:w="1080" w:type="dxa"/>
            <w:tcBorders>
              <w:top w:val="single" w:sz="4" w:space="0" w:color="auto"/>
            </w:tcBorders>
            <w:shd w:val="clear" w:color="auto" w:fill="auto"/>
          </w:tcPr>
          <w:p w:rsidR="00753129" w:rsidRPr="00276FCB" w:rsidRDefault="00753129" w:rsidP="00C12C14">
            <w:pPr>
              <w:jc w:val="right"/>
              <w:rPr>
                <w:rFonts w:ascii="Arial" w:hAnsi="Arial" w:cs="Arial"/>
                <w:color w:val="000000"/>
                <w:sz w:val="20"/>
              </w:rPr>
            </w:pPr>
            <w:r w:rsidRPr="00276FCB">
              <w:rPr>
                <w:rFonts w:ascii="Arial" w:hAnsi="Arial" w:cs="Arial"/>
                <w:color w:val="000000"/>
                <w:sz w:val="20"/>
              </w:rPr>
              <w:t>5,</w:t>
            </w:r>
            <w:r w:rsidR="00EF6094">
              <w:rPr>
                <w:rFonts w:ascii="Arial" w:hAnsi="Arial" w:cs="Arial"/>
                <w:color w:val="000000"/>
                <w:sz w:val="20"/>
              </w:rPr>
              <w:t>1</w:t>
            </w:r>
            <w:r w:rsidR="00756D82">
              <w:rPr>
                <w:rFonts w:ascii="Arial" w:hAnsi="Arial" w:cs="Arial"/>
                <w:color w:val="000000"/>
                <w:sz w:val="20"/>
              </w:rPr>
              <w:t>26</w:t>
            </w:r>
          </w:p>
        </w:tc>
        <w:tc>
          <w:tcPr>
            <w:tcW w:w="1080" w:type="dxa"/>
            <w:tcBorders>
              <w:top w:val="single" w:sz="4" w:space="0" w:color="auto"/>
            </w:tcBorders>
            <w:shd w:val="clear" w:color="auto" w:fill="auto"/>
          </w:tcPr>
          <w:p w:rsidR="00753129" w:rsidRPr="00276FCB" w:rsidRDefault="00753129" w:rsidP="00C12C14">
            <w:pPr>
              <w:jc w:val="right"/>
              <w:rPr>
                <w:rFonts w:ascii="Arial" w:hAnsi="Arial" w:cs="Arial"/>
                <w:color w:val="000000"/>
                <w:sz w:val="20"/>
              </w:rPr>
            </w:pPr>
            <w:r w:rsidRPr="00276FCB">
              <w:rPr>
                <w:rFonts w:ascii="Arial" w:hAnsi="Arial" w:cs="Arial"/>
                <w:color w:val="000000"/>
                <w:sz w:val="20"/>
              </w:rPr>
              <w:t>22,</w:t>
            </w:r>
            <w:r w:rsidR="00756D82">
              <w:rPr>
                <w:rFonts w:ascii="Arial" w:hAnsi="Arial" w:cs="Arial"/>
                <w:color w:val="000000"/>
                <w:sz w:val="20"/>
              </w:rPr>
              <w:t>447</w:t>
            </w:r>
          </w:p>
        </w:tc>
      </w:tr>
      <w:tr w:rsidR="00753129" w:rsidRPr="00276FCB">
        <w:trPr>
          <w:trHeight w:val="300"/>
          <w:jc w:val="center"/>
        </w:trPr>
        <w:tc>
          <w:tcPr>
            <w:tcW w:w="1455" w:type="dxa"/>
            <w:tcBorders>
              <w:top w:val="nil"/>
            </w:tcBorders>
            <w:shd w:val="clear" w:color="auto" w:fill="auto"/>
          </w:tcPr>
          <w:p w:rsidR="00753129" w:rsidRPr="00276FCB" w:rsidRDefault="00753129" w:rsidP="00753129">
            <w:pPr>
              <w:jc w:val="center"/>
              <w:rPr>
                <w:rFonts w:ascii="Arial" w:hAnsi="Arial" w:cs="Arial"/>
                <w:b/>
                <w:bCs/>
                <w:color w:val="000000"/>
                <w:sz w:val="20"/>
              </w:rPr>
            </w:pPr>
            <w:r w:rsidRPr="00276FCB">
              <w:rPr>
                <w:rFonts w:ascii="Arial" w:hAnsi="Arial" w:cs="Arial"/>
                <w:b/>
                <w:bCs/>
                <w:color w:val="000000"/>
                <w:sz w:val="20"/>
              </w:rPr>
              <w:t>High</w:t>
            </w:r>
          </w:p>
        </w:tc>
        <w:tc>
          <w:tcPr>
            <w:tcW w:w="990" w:type="dxa"/>
            <w:tcBorders>
              <w:top w:val="nil"/>
            </w:tcBorders>
            <w:shd w:val="clear" w:color="auto" w:fill="auto"/>
          </w:tcPr>
          <w:p w:rsidR="00753129" w:rsidRPr="00276FCB" w:rsidRDefault="000B5017" w:rsidP="00C12C14">
            <w:pPr>
              <w:jc w:val="right"/>
              <w:rPr>
                <w:rFonts w:ascii="Arial" w:hAnsi="Arial" w:cs="Arial"/>
                <w:color w:val="000000"/>
                <w:sz w:val="20"/>
              </w:rPr>
            </w:pPr>
            <w:r>
              <w:rPr>
                <w:rFonts w:ascii="Arial" w:hAnsi="Arial" w:cs="Arial"/>
                <w:color w:val="000000"/>
                <w:sz w:val="20"/>
              </w:rPr>
              <w:t>6,260</w:t>
            </w:r>
          </w:p>
        </w:tc>
        <w:tc>
          <w:tcPr>
            <w:tcW w:w="1440" w:type="dxa"/>
            <w:tcBorders>
              <w:top w:val="nil"/>
            </w:tcBorders>
            <w:shd w:val="clear" w:color="auto" w:fill="auto"/>
          </w:tcPr>
          <w:p w:rsidR="00753129" w:rsidRPr="00276FCB" w:rsidRDefault="00753129" w:rsidP="00C12C14">
            <w:pPr>
              <w:jc w:val="right"/>
              <w:rPr>
                <w:rFonts w:ascii="Arial" w:hAnsi="Arial" w:cs="Arial"/>
                <w:color w:val="000000"/>
                <w:sz w:val="20"/>
              </w:rPr>
            </w:pPr>
            <w:r w:rsidRPr="00276FCB">
              <w:rPr>
                <w:rFonts w:ascii="Arial" w:hAnsi="Arial" w:cs="Arial"/>
                <w:color w:val="000000"/>
                <w:sz w:val="20"/>
              </w:rPr>
              <w:t>5,</w:t>
            </w:r>
            <w:r w:rsidR="00756D82">
              <w:rPr>
                <w:rFonts w:ascii="Arial" w:hAnsi="Arial" w:cs="Arial"/>
                <w:color w:val="000000"/>
                <w:sz w:val="20"/>
              </w:rPr>
              <w:t>1</w:t>
            </w:r>
            <w:r w:rsidR="000B5017">
              <w:rPr>
                <w:rFonts w:ascii="Arial" w:hAnsi="Arial" w:cs="Arial"/>
                <w:color w:val="000000"/>
                <w:sz w:val="20"/>
              </w:rPr>
              <w:t>64</w:t>
            </w:r>
          </w:p>
        </w:tc>
        <w:tc>
          <w:tcPr>
            <w:tcW w:w="1080" w:type="dxa"/>
            <w:tcBorders>
              <w:top w:val="nil"/>
            </w:tcBorders>
            <w:shd w:val="clear" w:color="auto" w:fill="auto"/>
          </w:tcPr>
          <w:p w:rsidR="00753129" w:rsidRPr="00276FCB" w:rsidRDefault="00753129" w:rsidP="00C12C14">
            <w:pPr>
              <w:jc w:val="right"/>
              <w:rPr>
                <w:rFonts w:ascii="Arial" w:hAnsi="Arial" w:cs="Arial"/>
                <w:color w:val="000000"/>
                <w:sz w:val="20"/>
              </w:rPr>
            </w:pPr>
            <w:r w:rsidRPr="00276FCB">
              <w:rPr>
                <w:rFonts w:ascii="Arial" w:hAnsi="Arial" w:cs="Arial"/>
                <w:color w:val="000000"/>
                <w:sz w:val="20"/>
              </w:rPr>
              <w:t>2,</w:t>
            </w:r>
            <w:r w:rsidR="000B5017">
              <w:rPr>
                <w:rFonts w:ascii="Arial" w:hAnsi="Arial" w:cs="Arial"/>
                <w:color w:val="000000"/>
                <w:sz w:val="20"/>
              </w:rPr>
              <w:t>086</w:t>
            </w:r>
          </w:p>
        </w:tc>
        <w:tc>
          <w:tcPr>
            <w:tcW w:w="1080" w:type="dxa"/>
            <w:tcBorders>
              <w:top w:val="nil"/>
            </w:tcBorders>
            <w:shd w:val="clear" w:color="auto" w:fill="auto"/>
          </w:tcPr>
          <w:p w:rsidR="00753129" w:rsidRPr="00276FCB" w:rsidRDefault="00753129" w:rsidP="00C12C14">
            <w:pPr>
              <w:jc w:val="right"/>
              <w:rPr>
                <w:rFonts w:ascii="Arial" w:hAnsi="Arial" w:cs="Arial"/>
                <w:color w:val="000000"/>
                <w:sz w:val="20"/>
              </w:rPr>
            </w:pPr>
            <w:r w:rsidRPr="00276FCB">
              <w:rPr>
                <w:rFonts w:ascii="Arial" w:hAnsi="Arial" w:cs="Arial"/>
                <w:color w:val="000000"/>
                <w:sz w:val="20"/>
              </w:rPr>
              <w:t>13,</w:t>
            </w:r>
            <w:r w:rsidR="000B5017">
              <w:rPr>
                <w:rFonts w:ascii="Arial" w:hAnsi="Arial" w:cs="Arial"/>
                <w:color w:val="000000"/>
                <w:sz w:val="20"/>
              </w:rPr>
              <w:t>510</w:t>
            </w:r>
          </w:p>
        </w:tc>
      </w:tr>
      <w:tr w:rsidR="00753129" w:rsidRPr="00117DC6">
        <w:trPr>
          <w:trHeight w:val="300"/>
          <w:jc w:val="center"/>
        </w:trPr>
        <w:tc>
          <w:tcPr>
            <w:tcW w:w="1455" w:type="dxa"/>
            <w:tcBorders>
              <w:top w:val="nil"/>
              <w:bottom w:val="single" w:sz="6" w:space="0" w:color="auto"/>
            </w:tcBorders>
            <w:shd w:val="clear" w:color="auto" w:fill="auto"/>
          </w:tcPr>
          <w:p w:rsidR="00753129" w:rsidRPr="00276FCB" w:rsidRDefault="00753129" w:rsidP="00753129">
            <w:pPr>
              <w:jc w:val="center"/>
              <w:rPr>
                <w:rFonts w:ascii="Arial" w:hAnsi="Arial" w:cs="Arial"/>
                <w:b/>
                <w:bCs/>
                <w:color w:val="000000"/>
                <w:sz w:val="20"/>
              </w:rPr>
            </w:pPr>
            <w:r w:rsidRPr="00276FCB">
              <w:rPr>
                <w:rFonts w:ascii="Arial" w:hAnsi="Arial" w:cs="Arial"/>
                <w:b/>
                <w:bCs/>
                <w:color w:val="000000"/>
                <w:sz w:val="20"/>
              </w:rPr>
              <w:t>Low</w:t>
            </w:r>
          </w:p>
        </w:tc>
        <w:tc>
          <w:tcPr>
            <w:tcW w:w="990" w:type="dxa"/>
            <w:tcBorders>
              <w:top w:val="nil"/>
              <w:bottom w:val="single" w:sz="6" w:space="0" w:color="auto"/>
            </w:tcBorders>
            <w:shd w:val="clear" w:color="auto" w:fill="auto"/>
          </w:tcPr>
          <w:p w:rsidR="00753129" w:rsidRPr="00276FCB" w:rsidRDefault="000B5017" w:rsidP="00C12C14">
            <w:pPr>
              <w:jc w:val="right"/>
              <w:rPr>
                <w:rFonts w:ascii="Arial" w:hAnsi="Arial" w:cs="Arial"/>
                <w:color w:val="000000"/>
                <w:sz w:val="20"/>
              </w:rPr>
            </w:pPr>
            <w:r>
              <w:rPr>
                <w:rFonts w:ascii="Arial" w:hAnsi="Arial" w:cs="Arial"/>
                <w:color w:val="000000"/>
                <w:sz w:val="20"/>
              </w:rPr>
              <w:t>2,881</w:t>
            </w:r>
          </w:p>
        </w:tc>
        <w:tc>
          <w:tcPr>
            <w:tcW w:w="1440" w:type="dxa"/>
            <w:tcBorders>
              <w:top w:val="nil"/>
              <w:bottom w:val="single" w:sz="6" w:space="0" w:color="auto"/>
            </w:tcBorders>
            <w:shd w:val="clear" w:color="auto" w:fill="auto"/>
          </w:tcPr>
          <w:p w:rsidR="00753129" w:rsidRPr="00276FCB" w:rsidRDefault="00753129" w:rsidP="00C12C14">
            <w:pPr>
              <w:jc w:val="right"/>
              <w:rPr>
                <w:rFonts w:ascii="Arial" w:hAnsi="Arial" w:cs="Arial"/>
                <w:color w:val="000000"/>
                <w:sz w:val="20"/>
              </w:rPr>
            </w:pPr>
            <w:r w:rsidRPr="00276FCB">
              <w:rPr>
                <w:rFonts w:ascii="Arial" w:hAnsi="Arial" w:cs="Arial"/>
                <w:color w:val="000000"/>
                <w:sz w:val="20"/>
              </w:rPr>
              <w:t>3,0</w:t>
            </w:r>
            <w:r w:rsidR="000B5017">
              <w:rPr>
                <w:rFonts w:ascii="Arial" w:hAnsi="Arial" w:cs="Arial"/>
                <w:color w:val="000000"/>
                <w:sz w:val="20"/>
              </w:rPr>
              <w:t>16</w:t>
            </w:r>
          </w:p>
        </w:tc>
        <w:tc>
          <w:tcPr>
            <w:tcW w:w="1080" w:type="dxa"/>
            <w:tcBorders>
              <w:top w:val="nil"/>
              <w:bottom w:val="single" w:sz="6" w:space="0" w:color="auto"/>
            </w:tcBorders>
            <w:shd w:val="clear" w:color="auto" w:fill="auto"/>
          </w:tcPr>
          <w:p w:rsidR="00753129" w:rsidRPr="00276FCB" w:rsidRDefault="000B5017" w:rsidP="00C12C14">
            <w:pPr>
              <w:jc w:val="right"/>
              <w:rPr>
                <w:rFonts w:ascii="Arial" w:hAnsi="Arial" w:cs="Arial"/>
                <w:color w:val="000000"/>
                <w:sz w:val="20"/>
              </w:rPr>
            </w:pPr>
            <w:r>
              <w:rPr>
                <w:rFonts w:ascii="Arial" w:hAnsi="Arial" w:cs="Arial"/>
                <w:color w:val="000000"/>
                <w:sz w:val="20"/>
              </w:rPr>
              <w:t>3,040</w:t>
            </w:r>
          </w:p>
        </w:tc>
        <w:tc>
          <w:tcPr>
            <w:tcW w:w="1080" w:type="dxa"/>
            <w:tcBorders>
              <w:top w:val="nil"/>
              <w:bottom w:val="single" w:sz="6" w:space="0" w:color="auto"/>
            </w:tcBorders>
            <w:shd w:val="clear" w:color="auto" w:fill="auto"/>
          </w:tcPr>
          <w:p w:rsidR="00753129" w:rsidRPr="00117DC6" w:rsidRDefault="000B5017" w:rsidP="00C12C14">
            <w:pPr>
              <w:jc w:val="right"/>
              <w:rPr>
                <w:rFonts w:ascii="Arial" w:hAnsi="Arial" w:cs="Arial"/>
                <w:color w:val="000000"/>
                <w:sz w:val="20"/>
              </w:rPr>
            </w:pPr>
            <w:r>
              <w:rPr>
                <w:rFonts w:ascii="Arial" w:hAnsi="Arial" w:cs="Arial"/>
                <w:color w:val="000000"/>
                <w:sz w:val="20"/>
              </w:rPr>
              <w:t>8,937</w:t>
            </w:r>
          </w:p>
        </w:tc>
      </w:tr>
    </w:tbl>
    <w:p w:rsidR="00BC72CE" w:rsidRDefault="00BC72CE" w:rsidP="00745714">
      <w:pPr>
        <w:pStyle w:val="PPSSTOText"/>
      </w:pPr>
    </w:p>
    <w:p w:rsidR="00BB1E45" w:rsidRDefault="00BB1E45" w:rsidP="00D75310">
      <w:pPr>
        <w:pStyle w:val="PPSSTOHeading2"/>
      </w:pPr>
      <w:bookmarkStart w:id="11" w:name="_Toc392765503"/>
      <w:r w:rsidRPr="00D75310">
        <w:t>B.2. Procedures for Collection of Information</w:t>
      </w:r>
      <w:bookmarkEnd w:id="5"/>
      <w:bookmarkEnd w:id="11"/>
      <w:r w:rsidR="006E2EE4">
        <w:t xml:space="preserve"> </w:t>
      </w:r>
    </w:p>
    <w:p w:rsidR="00753129" w:rsidRDefault="00BB1E45" w:rsidP="00F84F3B">
      <w:pPr>
        <w:pStyle w:val="PPSSTOHeading3"/>
        <w:spacing w:after="0"/>
      </w:pPr>
      <w:bookmarkStart w:id="12" w:name="_Toc314224414"/>
      <w:r w:rsidRPr="00D164E3">
        <w:t xml:space="preserve">Initial </w:t>
      </w:r>
      <w:bookmarkEnd w:id="12"/>
      <w:r w:rsidR="00EF6C06">
        <w:t>Contact and Follow up</w:t>
      </w:r>
    </w:p>
    <w:p w:rsidR="00BB1E45" w:rsidRDefault="00EF6C06" w:rsidP="00753129">
      <w:pPr>
        <w:pStyle w:val="PPSSTOText"/>
        <w:rPr>
          <w:szCs w:val="24"/>
        </w:rPr>
      </w:pPr>
      <w:r w:rsidRPr="00473D60">
        <w:rPr>
          <w:szCs w:val="24"/>
        </w:rPr>
        <w:t xml:space="preserve">Procedures for collecting data for </w:t>
      </w:r>
      <w:r w:rsidR="00C44220">
        <w:rPr>
          <w:szCs w:val="24"/>
        </w:rPr>
        <w:t xml:space="preserve">the </w:t>
      </w:r>
      <w:r w:rsidR="007A5F1E">
        <w:rPr>
          <w:szCs w:val="24"/>
        </w:rPr>
        <w:t>High School Reform Study (</w:t>
      </w:r>
      <w:r w:rsidRPr="00473D60">
        <w:rPr>
          <w:szCs w:val="24"/>
        </w:rPr>
        <w:t>HSRS</w:t>
      </w:r>
      <w:r w:rsidR="007A5F1E">
        <w:rPr>
          <w:szCs w:val="24"/>
        </w:rPr>
        <w:t>)</w:t>
      </w:r>
      <w:r w:rsidRPr="00473D60">
        <w:rPr>
          <w:szCs w:val="24"/>
        </w:rPr>
        <w:t xml:space="preserve"> will commence upon receipt of OMB approval</w:t>
      </w:r>
      <w:r w:rsidR="00846A17" w:rsidRPr="00A13462">
        <w:rPr>
          <w:szCs w:val="24"/>
        </w:rPr>
        <w:t xml:space="preserve"> anticipated </w:t>
      </w:r>
      <w:r w:rsidR="008C1525">
        <w:rPr>
          <w:szCs w:val="24"/>
        </w:rPr>
        <w:t>November 2014.</w:t>
      </w:r>
      <w:r w:rsidRPr="005637A9">
        <w:rPr>
          <w:szCs w:val="24"/>
        </w:rPr>
        <w:t xml:space="preserve"> Once OMB approval is received, a letter will be sent to school districts to notify them that the study team will </w:t>
      </w:r>
      <w:r w:rsidR="00336720">
        <w:rPr>
          <w:szCs w:val="24"/>
        </w:rPr>
        <w:t>contact</w:t>
      </w:r>
      <w:r w:rsidRPr="005637A9">
        <w:rPr>
          <w:szCs w:val="24"/>
        </w:rPr>
        <w:t xml:space="preserve"> selected schools in their district in about a week. If it is known that a school district requires a research application prior to contacting schools, that application will be submitted along with the district letter. Project staff will be prepared to comply with all district protocols and will not contact schools until district approval is received. The district letter will include a toll-free number that they can call to alert project staff if there are requirements to be met </w:t>
      </w:r>
      <w:r w:rsidR="00CF6F38">
        <w:rPr>
          <w:szCs w:val="24"/>
        </w:rPr>
        <w:t>before</w:t>
      </w:r>
      <w:r w:rsidRPr="005637A9">
        <w:rPr>
          <w:szCs w:val="24"/>
        </w:rPr>
        <w:t xml:space="preserve"> contacting schools. If project staff are already in contact with schools </w:t>
      </w:r>
      <w:r w:rsidR="00D13F1A">
        <w:rPr>
          <w:szCs w:val="24"/>
        </w:rPr>
        <w:t xml:space="preserve">and are informed by school or school district staff that specific </w:t>
      </w:r>
      <w:r w:rsidRPr="005637A9">
        <w:rPr>
          <w:szCs w:val="24"/>
        </w:rPr>
        <w:t>district requirements</w:t>
      </w:r>
      <w:r w:rsidR="00D13F1A">
        <w:rPr>
          <w:szCs w:val="24"/>
        </w:rPr>
        <w:t xml:space="preserve"> must be met before schools may commit to participating in a research study</w:t>
      </w:r>
      <w:r w:rsidRPr="005637A9">
        <w:rPr>
          <w:szCs w:val="24"/>
        </w:rPr>
        <w:t xml:space="preserve">, school contact will cease until </w:t>
      </w:r>
      <w:r w:rsidR="00D13F1A">
        <w:rPr>
          <w:szCs w:val="24"/>
        </w:rPr>
        <w:t xml:space="preserve">the </w:t>
      </w:r>
      <w:r w:rsidRPr="005637A9">
        <w:rPr>
          <w:szCs w:val="24"/>
        </w:rPr>
        <w:t xml:space="preserve">district </w:t>
      </w:r>
      <w:r w:rsidR="00D13F1A">
        <w:rPr>
          <w:szCs w:val="24"/>
        </w:rPr>
        <w:t xml:space="preserve">requirements are met and </w:t>
      </w:r>
      <w:r w:rsidRPr="005637A9">
        <w:rPr>
          <w:szCs w:val="24"/>
        </w:rPr>
        <w:t>approval is received</w:t>
      </w:r>
      <w:r w:rsidR="00D13F1A">
        <w:rPr>
          <w:szCs w:val="24"/>
        </w:rPr>
        <w:t xml:space="preserve"> to resume contact with the school</w:t>
      </w:r>
      <w:r w:rsidRPr="005637A9">
        <w:rPr>
          <w:szCs w:val="24"/>
        </w:rPr>
        <w:t>.</w:t>
      </w:r>
    </w:p>
    <w:p w:rsidR="00EF6C06" w:rsidRDefault="00EF6C06" w:rsidP="00753129">
      <w:pPr>
        <w:pStyle w:val="PPSSTOText"/>
        <w:rPr>
          <w:szCs w:val="24"/>
        </w:rPr>
      </w:pPr>
      <w:r w:rsidRPr="00473D60">
        <w:rPr>
          <w:szCs w:val="24"/>
        </w:rPr>
        <w:t>Data collection with school administrators will commence about one week after district letters are sent. A letter and study fact sheet will be mailed to the principal that will emphasize the importance of the study and will provide the URL, user ID, and password to</w:t>
      </w:r>
      <w:r w:rsidR="00846A17" w:rsidRPr="00473D60">
        <w:rPr>
          <w:szCs w:val="24"/>
        </w:rPr>
        <w:t xml:space="preserve"> access the online survey</w:t>
      </w:r>
      <w:r w:rsidRPr="00473D60">
        <w:rPr>
          <w:szCs w:val="24"/>
        </w:rPr>
        <w:t>. School administrators will be informed that they may comp</w:t>
      </w:r>
      <w:r w:rsidR="00846A17" w:rsidRPr="00473D60">
        <w:rPr>
          <w:szCs w:val="24"/>
        </w:rPr>
        <w:t>lete the 30-minute survey</w:t>
      </w:r>
      <w:r w:rsidRPr="00473D60">
        <w:rPr>
          <w:szCs w:val="24"/>
        </w:rPr>
        <w:t xml:space="preserve"> or ask a designee to do so. A designee may be any person at the school who is knowledgeable </w:t>
      </w:r>
      <w:r w:rsidR="00CF6F38">
        <w:rPr>
          <w:szCs w:val="24"/>
        </w:rPr>
        <w:t>about</w:t>
      </w:r>
      <w:r w:rsidR="00CF6F38" w:rsidRPr="00473D60">
        <w:rPr>
          <w:szCs w:val="24"/>
        </w:rPr>
        <w:t xml:space="preserve"> </w:t>
      </w:r>
      <w:r w:rsidR="00846A17" w:rsidRPr="00473D60">
        <w:rPr>
          <w:szCs w:val="24"/>
        </w:rPr>
        <w:t xml:space="preserve">school policies and programs. </w:t>
      </w:r>
      <w:r w:rsidRPr="00473D60">
        <w:rPr>
          <w:szCs w:val="24"/>
        </w:rPr>
        <w:t>If they prefer to have someone else complet</w:t>
      </w:r>
      <w:r w:rsidR="00846A17" w:rsidRPr="00473D60">
        <w:rPr>
          <w:szCs w:val="24"/>
        </w:rPr>
        <w:t>e the form,</w:t>
      </w:r>
      <w:r w:rsidRPr="00473D60">
        <w:rPr>
          <w:szCs w:val="24"/>
        </w:rPr>
        <w:t xml:space="preserve"> the administrator </w:t>
      </w:r>
      <w:r w:rsidR="00846A17" w:rsidRPr="00473D60">
        <w:rPr>
          <w:szCs w:val="24"/>
        </w:rPr>
        <w:t xml:space="preserve">will be asked </w:t>
      </w:r>
      <w:r w:rsidRPr="00473D60">
        <w:rPr>
          <w:szCs w:val="24"/>
        </w:rPr>
        <w:t xml:space="preserve">to share the login information on the </w:t>
      </w:r>
      <w:r w:rsidR="00846A17" w:rsidRPr="00473D60">
        <w:rPr>
          <w:szCs w:val="24"/>
        </w:rPr>
        <w:t xml:space="preserve">notification </w:t>
      </w:r>
      <w:r w:rsidRPr="00473D60">
        <w:rPr>
          <w:szCs w:val="24"/>
        </w:rPr>
        <w:t>letter. The fir</w:t>
      </w:r>
      <w:r w:rsidR="00846A17" w:rsidRPr="00473D60">
        <w:rPr>
          <w:szCs w:val="24"/>
        </w:rPr>
        <w:t>st question on the survey</w:t>
      </w:r>
      <w:r w:rsidRPr="00473D60">
        <w:rPr>
          <w:szCs w:val="24"/>
        </w:rPr>
        <w:t xml:space="preserve"> will ask for the name and title of the per</w:t>
      </w:r>
      <w:r w:rsidR="00846A17" w:rsidRPr="00473D60">
        <w:rPr>
          <w:szCs w:val="24"/>
        </w:rPr>
        <w:t>son completing the survey</w:t>
      </w:r>
      <w:r w:rsidRPr="00473D60">
        <w:rPr>
          <w:szCs w:val="24"/>
        </w:rPr>
        <w:t>. A toll-free number and email address will be provided so school staff may contact project staff with questions as needed.</w:t>
      </w:r>
      <w:r w:rsidR="004B01CC">
        <w:rPr>
          <w:szCs w:val="24"/>
        </w:rPr>
        <w:t xml:space="preserve"> Copies of letters and the fact sheet can be found in </w:t>
      </w:r>
      <w:r w:rsidR="004B01CC" w:rsidRPr="00800271">
        <w:rPr>
          <w:szCs w:val="24"/>
        </w:rPr>
        <w:t>Appendix B</w:t>
      </w:r>
      <w:r w:rsidR="004B01CC">
        <w:rPr>
          <w:szCs w:val="24"/>
        </w:rPr>
        <w:t>.</w:t>
      </w:r>
    </w:p>
    <w:p w:rsidR="00846A17" w:rsidRPr="00473D60" w:rsidRDefault="00846A17" w:rsidP="00753129">
      <w:pPr>
        <w:pStyle w:val="PPSSTOText"/>
        <w:rPr>
          <w:szCs w:val="24"/>
        </w:rPr>
      </w:pPr>
      <w:r w:rsidRPr="00473D60">
        <w:rPr>
          <w:szCs w:val="24"/>
        </w:rPr>
        <w:t xml:space="preserve">Prompting calls will begin with </w:t>
      </w:r>
      <w:proofErr w:type="spellStart"/>
      <w:r w:rsidRPr="00473D60">
        <w:rPr>
          <w:szCs w:val="24"/>
        </w:rPr>
        <w:t>nonrespondin</w:t>
      </w:r>
      <w:r w:rsidR="004B01CC" w:rsidRPr="00473D60">
        <w:rPr>
          <w:szCs w:val="24"/>
        </w:rPr>
        <w:t>g</w:t>
      </w:r>
      <w:proofErr w:type="spellEnd"/>
      <w:r w:rsidR="004B01CC" w:rsidRPr="00473D60">
        <w:rPr>
          <w:szCs w:val="24"/>
        </w:rPr>
        <w:t xml:space="preserve"> schools after about </w:t>
      </w:r>
      <w:r w:rsidR="00CF6F38">
        <w:rPr>
          <w:szCs w:val="24"/>
        </w:rPr>
        <w:t>three</w:t>
      </w:r>
      <w:r w:rsidR="00CF6F38" w:rsidRPr="00473D60">
        <w:rPr>
          <w:szCs w:val="24"/>
        </w:rPr>
        <w:t xml:space="preserve"> </w:t>
      </w:r>
      <w:r w:rsidR="004B01CC" w:rsidRPr="00473D60">
        <w:rPr>
          <w:szCs w:val="24"/>
        </w:rPr>
        <w:t>weeks</w:t>
      </w:r>
      <w:r w:rsidRPr="00473D60">
        <w:rPr>
          <w:szCs w:val="24"/>
        </w:rPr>
        <w:t xml:space="preserve"> to answer any questions about the study, remind administrators that the</w:t>
      </w:r>
      <w:r w:rsidR="004B01CC" w:rsidRPr="00473D60">
        <w:rPr>
          <w:szCs w:val="24"/>
        </w:rPr>
        <w:t>y may delegate the survey</w:t>
      </w:r>
      <w:r w:rsidRPr="00473D60">
        <w:rPr>
          <w:szCs w:val="24"/>
        </w:rPr>
        <w:t xml:space="preserve"> to another knowledgeable staff member</w:t>
      </w:r>
      <w:r w:rsidR="004B01CC" w:rsidRPr="00473D60">
        <w:rPr>
          <w:szCs w:val="24"/>
        </w:rPr>
        <w:t xml:space="preserve">, and encourage participation. </w:t>
      </w:r>
      <w:r w:rsidR="00866C0D">
        <w:rPr>
          <w:szCs w:val="24"/>
        </w:rPr>
        <w:t>Administrators may</w:t>
      </w:r>
      <w:r w:rsidRPr="00473D60">
        <w:rPr>
          <w:szCs w:val="24"/>
        </w:rPr>
        <w:t xml:space="preserve"> co</w:t>
      </w:r>
      <w:r w:rsidR="004B01CC" w:rsidRPr="00473D60">
        <w:rPr>
          <w:szCs w:val="24"/>
        </w:rPr>
        <w:t>mplete the survey</w:t>
      </w:r>
      <w:r w:rsidRPr="00473D60">
        <w:rPr>
          <w:szCs w:val="24"/>
        </w:rPr>
        <w:t xml:space="preserve"> as an interview by phone should </w:t>
      </w:r>
      <w:r w:rsidR="00866C0D">
        <w:rPr>
          <w:szCs w:val="24"/>
        </w:rPr>
        <w:t>they</w:t>
      </w:r>
      <w:r w:rsidRPr="00473D60">
        <w:rPr>
          <w:szCs w:val="24"/>
        </w:rPr>
        <w:t xml:space="preserve"> prefer a phone inte</w:t>
      </w:r>
      <w:r w:rsidR="004B01CC" w:rsidRPr="00473D60">
        <w:rPr>
          <w:szCs w:val="24"/>
        </w:rPr>
        <w:t>rview to an online survey</w:t>
      </w:r>
      <w:r w:rsidRPr="00473D60">
        <w:rPr>
          <w:szCs w:val="24"/>
        </w:rPr>
        <w:t>.</w:t>
      </w:r>
    </w:p>
    <w:p w:rsidR="00846A17" w:rsidRPr="00473D60" w:rsidRDefault="00846A17" w:rsidP="00753129">
      <w:pPr>
        <w:pStyle w:val="PPSSTOText"/>
      </w:pPr>
      <w:r w:rsidRPr="00473D60">
        <w:rPr>
          <w:szCs w:val="24"/>
        </w:rPr>
        <w:t xml:space="preserve">Up to </w:t>
      </w:r>
      <w:r w:rsidR="00ED72C5">
        <w:rPr>
          <w:szCs w:val="24"/>
        </w:rPr>
        <w:t>three</w:t>
      </w:r>
      <w:r w:rsidRPr="00473D60">
        <w:rPr>
          <w:szCs w:val="24"/>
        </w:rPr>
        <w:t xml:space="preserve"> mailings will be sent to the school over the data collection period to remind staff to comp</w:t>
      </w:r>
      <w:r w:rsidR="004B01CC" w:rsidRPr="00473D60">
        <w:rPr>
          <w:szCs w:val="24"/>
        </w:rPr>
        <w:t xml:space="preserve">lete the online survey. </w:t>
      </w:r>
      <w:r w:rsidRPr="00473D60">
        <w:rPr>
          <w:szCs w:val="24"/>
        </w:rPr>
        <w:t>Email reminders will be sent every 10 days.</w:t>
      </w:r>
    </w:p>
    <w:p w:rsidR="00753129" w:rsidRDefault="00753129" w:rsidP="00753129">
      <w:pPr>
        <w:pStyle w:val="PPSSTOText"/>
      </w:pPr>
      <w:r>
        <w:lastRenderedPageBreak/>
        <w:t xml:space="preserve">The research team will email a link to a secure </w:t>
      </w:r>
      <w:r w:rsidR="00D66F8F">
        <w:t>w</w:t>
      </w:r>
      <w:r>
        <w:t>eb-based version of the survey to the school principal in eac</w:t>
      </w:r>
      <w:r w:rsidR="00BF3E05">
        <w:t>h of the 2,088 sampled schools o</w:t>
      </w:r>
      <w:r>
        <w:t xml:space="preserve">n </w:t>
      </w:r>
      <w:r w:rsidRPr="00BF3E05">
        <w:t>December</w:t>
      </w:r>
      <w:r w:rsidR="00BF3E05" w:rsidRPr="00BF3E05">
        <w:t xml:space="preserve"> 1,</w:t>
      </w:r>
      <w:r w:rsidRPr="00BF3E05">
        <w:t xml:space="preserve"> 2014</w:t>
      </w:r>
      <w:r>
        <w:t xml:space="preserve">. The survey will remain open through </w:t>
      </w:r>
      <w:r w:rsidR="00BF3E05" w:rsidRPr="00BF3E05">
        <w:t>June</w:t>
      </w:r>
      <w:r w:rsidRPr="00BF3E05">
        <w:t xml:space="preserve"> 1,</w:t>
      </w:r>
      <w:r>
        <w:t xml:space="preserve"> 2015. In </w:t>
      </w:r>
      <w:r w:rsidR="00BF3E05">
        <w:t>June</w:t>
      </w:r>
      <w:r>
        <w:t xml:space="preserve">, the researchers </w:t>
      </w:r>
      <w:r w:rsidRPr="005A308D">
        <w:t>will download the survey data and begin cleaning and analysis. A full draft of the survey is included in Appendix A.</w:t>
      </w:r>
    </w:p>
    <w:p w:rsidR="00CC5B69" w:rsidRDefault="00CC5B69" w:rsidP="00CC5B69">
      <w:pPr>
        <w:pStyle w:val="PPSSTOHeading3"/>
        <w:spacing w:after="0"/>
      </w:pPr>
      <w:bookmarkStart w:id="13" w:name="_Toc314224418"/>
      <w:r>
        <w:t>Statistical Methodology and Estimation Procedures</w:t>
      </w:r>
    </w:p>
    <w:p w:rsidR="00CC5B69" w:rsidRDefault="00CC5B69" w:rsidP="00CC5B69">
      <w:pPr>
        <w:pStyle w:val="PPSSTOText"/>
        <w:rPr>
          <w:szCs w:val="24"/>
        </w:rPr>
      </w:pPr>
      <w:r>
        <w:rPr>
          <w:szCs w:val="24"/>
        </w:rPr>
        <w:t xml:space="preserve">The study will examine descriptive statistics on each survey question. For example, the researchers will produce tables with the frequency and percentage of schools responding “Yes” to each question that asks if a particular strategy is available at the school such as: “In the 2014-15 school </w:t>
      </w:r>
      <w:proofErr w:type="gramStart"/>
      <w:r>
        <w:rPr>
          <w:szCs w:val="24"/>
        </w:rPr>
        <w:t>year</w:t>
      </w:r>
      <w:proofErr w:type="gramEnd"/>
      <w:r>
        <w:rPr>
          <w:szCs w:val="24"/>
        </w:rPr>
        <w:t>, does your school have formal adult mentor(s)?” These data will answer the question about the prevalence and key high school reforms in the nations’ public high schools. Researchers will weight responses to the total number of schools in each stratum, and will report the standard error of each reported percentage in the appendix. Where appropriate, the study may also examine survey responses by school characteristics such as school type (e.g., regular school, alternative school) and school enrollment. The source of these variables is either the Common Core of Data (CCD) or survey background questions.</w:t>
      </w:r>
    </w:p>
    <w:p w:rsidR="00BB1E45" w:rsidRPr="00D164E3" w:rsidRDefault="00BB1E45" w:rsidP="00F84F3B">
      <w:pPr>
        <w:pStyle w:val="PPSSTOHeading3"/>
        <w:spacing w:before="0" w:after="0"/>
      </w:pPr>
      <w:r w:rsidRPr="00D164E3">
        <w:t>Degree of Accuracy Needed</w:t>
      </w:r>
      <w:bookmarkEnd w:id="13"/>
    </w:p>
    <w:p w:rsidR="00BF3E05" w:rsidRPr="00140E9C" w:rsidRDefault="00BF3E05" w:rsidP="00912EB7">
      <w:pPr>
        <w:spacing w:before="120"/>
      </w:pPr>
      <w:r w:rsidRPr="00140E9C">
        <w:rPr>
          <w:rFonts w:asciiTheme="minorHAnsi" w:hAnsiTheme="minorHAnsi" w:cstheme="minorHAnsi"/>
          <w:sz w:val="22"/>
        </w:rPr>
        <w:t>RTI determined sample sizes by estimating the number of responding sample members to achieve certain power requirements, adjusting that number upward to account for 25</w:t>
      </w:r>
      <w:r w:rsidR="00276FCB" w:rsidRPr="00140E9C">
        <w:rPr>
          <w:rFonts w:asciiTheme="minorHAnsi" w:hAnsiTheme="minorHAnsi" w:cstheme="minorHAnsi"/>
          <w:sz w:val="22"/>
        </w:rPr>
        <w:t xml:space="preserve"> percent</w:t>
      </w:r>
      <w:r w:rsidRPr="00140E9C">
        <w:rPr>
          <w:rFonts w:asciiTheme="minorHAnsi" w:hAnsiTheme="minorHAnsi" w:cstheme="minorHAnsi"/>
          <w:sz w:val="22"/>
        </w:rPr>
        <w:t xml:space="preserve"> school nonparticipation and for design effects arising out of potential weight adjustments</w:t>
      </w:r>
      <w:r w:rsidR="00453DEE" w:rsidRPr="00140E9C">
        <w:rPr>
          <w:rStyle w:val="FootnoteReference"/>
          <w:rFonts w:asciiTheme="minorHAnsi" w:hAnsiTheme="minorHAnsi" w:cstheme="minorHAnsi"/>
          <w:sz w:val="22"/>
        </w:rPr>
        <w:footnoteReference w:id="1"/>
      </w:r>
      <w:r w:rsidR="00453DEE" w:rsidRPr="00140E9C">
        <w:rPr>
          <w:rFonts w:asciiTheme="minorHAnsi" w:hAnsiTheme="minorHAnsi" w:cstheme="minorHAnsi"/>
          <w:sz w:val="22"/>
        </w:rPr>
        <w:t xml:space="preserve"> </w:t>
      </w:r>
      <w:r w:rsidRPr="00453DEE">
        <w:rPr>
          <w:rFonts w:asciiTheme="minorHAnsi" w:hAnsiTheme="minorHAnsi" w:cstheme="minorHAnsi"/>
          <w:sz w:val="22"/>
        </w:rPr>
        <w:t>as well as imputation misclassification.</w:t>
      </w:r>
    </w:p>
    <w:p w:rsidR="00BF3E05" w:rsidRPr="00BF3E05" w:rsidRDefault="00BF3E05" w:rsidP="00BF3E05">
      <w:pPr>
        <w:pStyle w:val="PPSSTOText"/>
      </w:pPr>
      <w:r>
        <w:t xml:space="preserve">RTI estimated precision requirements using four assumptions. First, statistical tests will employ an alpha of </w:t>
      </w:r>
      <w:r w:rsidRPr="00BF3E05">
        <w:t>0.05</w:t>
      </w:r>
      <w:r>
        <w:rPr>
          <w:i/>
        </w:rPr>
        <w:t xml:space="preserve"> </w:t>
      </w:r>
      <w:r>
        <w:t>and will have a required power of 80 percent</w:t>
      </w:r>
      <w:r w:rsidRPr="00004F1F">
        <w:t>. Second</w:t>
      </w:r>
      <w:r w:rsidR="00004F1F" w:rsidRPr="00004F1F">
        <w:t xml:space="preserve">, the underlying proportion was assumed to be </w:t>
      </w:r>
      <w:r w:rsidRPr="00004F1F">
        <w:t xml:space="preserve">.30 </w:t>
      </w:r>
      <w:r w:rsidR="00004F1F" w:rsidRPr="00004F1F">
        <w:t xml:space="preserve">for purposes of </w:t>
      </w:r>
      <w:r w:rsidRPr="00004F1F">
        <w:t>calculat</w:t>
      </w:r>
      <w:r w:rsidR="00004F1F" w:rsidRPr="00004F1F">
        <w:t>ing</w:t>
      </w:r>
      <w:r w:rsidRPr="00004F1F">
        <w:t xml:space="preserve"> sample sizes for estimates and tests of proportions. Third, the design effect will be less than 1.6. Finally, the researchers expect a 25</w:t>
      </w:r>
      <w:r w:rsidR="00004F1F">
        <w:t xml:space="preserve"> percent</w:t>
      </w:r>
      <w:r w:rsidRPr="00004F1F">
        <w:t xml:space="preserve"> nonresponse or non</w:t>
      </w:r>
      <w:r>
        <w:t>participation rate by schools.</w:t>
      </w:r>
    </w:p>
    <w:p w:rsidR="00BF3E05" w:rsidRPr="009F4243" w:rsidRDefault="00BF3E05" w:rsidP="00BF3E05">
      <w:pPr>
        <w:pStyle w:val="PPSSTOText"/>
      </w:pPr>
      <w:r w:rsidRPr="00A86CEC">
        <w:t xml:space="preserve">The selected total sample size of 2,088 </w:t>
      </w:r>
      <w:r w:rsidR="002475EF">
        <w:t xml:space="preserve">schools </w:t>
      </w:r>
      <w:r w:rsidRPr="00A86CEC">
        <w:t xml:space="preserve">is designed to support comparisons between schools from any </w:t>
      </w:r>
      <w:r w:rsidRPr="009F4243">
        <w:t>two strata such that there is 80 percent power to detect a 15 percent difference in proportions. The sample of 2,088 is allocated equally to each of the six strata so that 348 schools will be sampled from each stratum in order to obtain 261 responding schools per stratum.</w:t>
      </w:r>
    </w:p>
    <w:p w:rsidR="00BB1E45" w:rsidRPr="00D164E3" w:rsidRDefault="00BF3E05" w:rsidP="00BB1E45">
      <w:pPr>
        <w:pStyle w:val="PPSSTOText"/>
      </w:pPr>
      <w:r w:rsidRPr="009F4243">
        <w:t>These sample size calculations are sensitive to assumptions about nonresponse rates and to misclassification rates associated with imputation of graduation rate status. A reserve sample will be established, comprising 174 schools in each of the six sampling strata, so that additional schools are available if the nonresponse rate is substantially higher than 25</w:t>
      </w:r>
      <w:r w:rsidR="00734C34">
        <w:t xml:space="preserve"> percent</w:t>
      </w:r>
      <w:r w:rsidRPr="009F4243">
        <w:t xml:space="preserve">. The reserve sample </w:t>
      </w:r>
      <w:r w:rsidR="00453DEE" w:rsidRPr="009F4243">
        <w:t xml:space="preserve">also </w:t>
      </w:r>
      <w:r w:rsidRPr="009F4243">
        <w:t>could be used to supplement the initial sample of 2,088</w:t>
      </w:r>
      <w:r w:rsidR="00453DEE">
        <w:t xml:space="preserve"> schools</w:t>
      </w:r>
      <w:r w:rsidRPr="009F4243">
        <w:t xml:space="preserve"> if the imputation classification was found to have a high error rate. However, misclassified schools must not be excluded from data collection; rather, additional schools could be added from the reserve sample in order to try </w:t>
      </w:r>
      <w:r w:rsidR="00825E59">
        <w:t>to</w:t>
      </w:r>
      <w:r w:rsidR="00825E59" w:rsidRPr="009F4243">
        <w:t xml:space="preserve"> </w:t>
      </w:r>
      <w:r w:rsidRPr="009F4243">
        <w:t>obtain 261 responding schools in each sampling stratum. The degree to which this may be possible depends on actual field data collection experiences and costs.</w:t>
      </w:r>
      <w:r w:rsidRPr="00A86CEC">
        <w:t xml:space="preserve"> </w:t>
      </w:r>
    </w:p>
    <w:p w:rsidR="00BB1E45" w:rsidRPr="00D164E3" w:rsidRDefault="00BB1E45" w:rsidP="00BB1E45">
      <w:pPr>
        <w:pStyle w:val="PPSSTOHeading3"/>
      </w:pPr>
      <w:bookmarkStart w:id="14" w:name="_Toc314224419"/>
      <w:r w:rsidRPr="00D164E3">
        <w:t>Use of Periodic Data Collection</w:t>
      </w:r>
      <w:bookmarkEnd w:id="14"/>
    </w:p>
    <w:p w:rsidR="00BB1E45" w:rsidRDefault="00BB1E45" w:rsidP="00BB1E45">
      <w:pPr>
        <w:pStyle w:val="PPSSTOText"/>
      </w:pPr>
      <w:r w:rsidRPr="00D164E3">
        <w:t xml:space="preserve">The </w:t>
      </w:r>
      <w:r w:rsidR="006E2EE4">
        <w:t>survey will only be administered once during the 2014</w:t>
      </w:r>
      <w:r w:rsidR="00C10AB1">
        <w:t>–</w:t>
      </w:r>
      <w:r w:rsidR="006E2EE4">
        <w:t>15 school year</w:t>
      </w:r>
      <w:r w:rsidRPr="00D164E3">
        <w:t xml:space="preserve">. </w:t>
      </w:r>
    </w:p>
    <w:p w:rsidR="00D961B4" w:rsidRPr="00D75310" w:rsidRDefault="00D961B4" w:rsidP="00D961B4">
      <w:pPr>
        <w:pStyle w:val="PPSSTOHeading2"/>
      </w:pPr>
      <w:bookmarkStart w:id="15" w:name="_Toc314224420"/>
      <w:bookmarkStart w:id="16" w:name="_Toc392765504"/>
      <w:r w:rsidRPr="00D75310">
        <w:lastRenderedPageBreak/>
        <w:t>B.3. Methods for Maximizing Response Rate and Dealing with Nonresponse</w:t>
      </w:r>
      <w:bookmarkEnd w:id="15"/>
      <w:bookmarkEnd w:id="16"/>
      <w:r>
        <w:t xml:space="preserve"> </w:t>
      </w:r>
    </w:p>
    <w:p w:rsidR="00D961B4" w:rsidRPr="00D164E3" w:rsidRDefault="00D961B4" w:rsidP="00D961B4">
      <w:pPr>
        <w:pStyle w:val="PPSSTOHeading3"/>
        <w:spacing w:after="0"/>
      </w:pPr>
      <w:bookmarkStart w:id="17" w:name="_Toc314224421"/>
      <w:r w:rsidRPr="00D164E3">
        <w:t>Response Rate</w:t>
      </w:r>
      <w:bookmarkEnd w:id="17"/>
    </w:p>
    <w:p w:rsidR="00AF1DC2" w:rsidRDefault="00D961B4" w:rsidP="00D961B4">
      <w:pPr>
        <w:pStyle w:val="PPSSTOText"/>
        <w:rPr>
          <w:rFonts w:cstheme="majorBidi"/>
        </w:rPr>
      </w:pPr>
      <w:r w:rsidRPr="00473D60">
        <w:rPr>
          <w:rFonts w:cstheme="majorBidi"/>
        </w:rPr>
        <w:t xml:space="preserve">The approach for gaining cooperation from school administrators includes a series of mailings and emails with follow-up telephone calls to prompt for outstanding </w:t>
      </w:r>
      <w:r w:rsidR="00AF1DC2">
        <w:rPr>
          <w:rFonts w:cstheme="majorBidi"/>
        </w:rPr>
        <w:t xml:space="preserve">incomplete </w:t>
      </w:r>
      <w:r w:rsidRPr="00473D60">
        <w:rPr>
          <w:rFonts w:cstheme="majorBidi"/>
        </w:rPr>
        <w:t xml:space="preserve">surveys. Letters to school districts and schools will be printed on Department letterhead and signed by high-ranking officials at the U.S. Department of Education’s </w:t>
      </w:r>
      <w:r>
        <w:rPr>
          <w:rFonts w:cstheme="majorBidi"/>
        </w:rPr>
        <w:t>Office of Planning, Evaluation and Policy Development</w:t>
      </w:r>
      <w:r w:rsidRPr="00473D60">
        <w:rPr>
          <w:rFonts w:cstheme="majorBidi"/>
        </w:rPr>
        <w:t xml:space="preserve"> as well as the High School Graduation Initiative (HSGI). The inclusion of an HSGI signature on the letter will lend legitimacy to the study as many sampled schools and school districts will be familiar with the HSGI grant program </w:t>
      </w:r>
      <w:r>
        <w:rPr>
          <w:rFonts w:cstheme="majorBidi"/>
        </w:rPr>
        <w:t>that</w:t>
      </w:r>
      <w:r w:rsidRPr="00473D60">
        <w:rPr>
          <w:rFonts w:cstheme="majorBidi"/>
        </w:rPr>
        <w:t xml:space="preserve"> supports dropout prevention and reentry efforts. </w:t>
      </w:r>
    </w:p>
    <w:p w:rsidR="00D961B4" w:rsidRPr="00473D60" w:rsidRDefault="00AF1DC2" w:rsidP="00D961B4">
      <w:pPr>
        <w:pStyle w:val="PPSSTOText"/>
      </w:pPr>
      <w:r>
        <w:t xml:space="preserve">With an estimated 2,088 schools in the sample and an expected 80 percent participation rate </w:t>
      </w:r>
      <w:r w:rsidRPr="00041A40">
        <w:t>(see B.2),</w:t>
      </w:r>
      <w:r>
        <w:t xml:space="preserve"> 1,670 school administrators should complete the survey.  </w:t>
      </w:r>
      <w:r w:rsidR="00D961B4" w:rsidRPr="00473D60">
        <w:rPr>
          <w:rFonts w:cstheme="majorBidi"/>
        </w:rPr>
        <w:t>A six-month data collection is planned to allow school administrators to participate at a time most convenient to them. At the end of data collection, a school analytic weight will be constructed that will account for school nonresponse.</w:t>
      </w:r>
    </w:p>
    <w:p w:rsidR="00D961B4" w:rsidRPr="00D164E3" w:rsidRDefault="00D961B4" w:rsidP="00D961B4">
      <w:pPr>
        <w:pStyle w:val="PPSSTOHeading3"/>
        <w:spacing w:before="0" w:after="0"/>
      </w:pPr>
      <w:bookmarkStart w:id="18" w:name="_Toc314224422"/>
      <w:r w:rsidRPr="00D164E3">
        <w:t>Generalizability of the Sample</w:t>
      </w:r>
      <w:bookmarkEnd w:id="18"/>
    </w:p>
    <w:p w:rsidR="00D961B4" w:rsidRPr="00D164E3" w:rsidRDefault="00D961B4" w:rsidP="00D961B4">
      <w:pPr>
        <w:pStyle w:val="PPSSTOText"/>
      </w:pPr>
      <w:r w:rsidRPr="000C2357">
        <w:t xml:space="preserve">The research design for </w:t>
      </w:r>
      <w:r>
        <w:t>the survey</w:t>
      </w:r>
      <w:r w:rsidRPr="000C2357">
        <w:t xml:space="preserve"> relies on a </w:t>
      </w:r>
      <w:r>
        <w:t>simple random</w:t>
      </w:r>
      <w:r w:rsidRPr="000C2357">
        <w:t xml:space="preserve"> sample</w:t>
      </w:r>
      <w:r>
        <w:t xml:space="preserve"> stratified by locale and graduation rate</w:t>
      </w:r>
      <w:r w:rsidRPr="000C2357">
        <w:t xml:space="preserve"> intended to </w:t>
      </w:r>
      <w:r>
        <w:t>capture descriptive information</w:t>
      </w:r>
      <w:r w:rsidRPr="000C2357">
        <w:t xml:space="preserve">. As such, the findings </w:t>
      </w:r>
      <w:r>
        <w:t xml:space="preserve">from the survey </w:t>
      </w:r>
      <w:r w:rsidRPr="000C2357">
        <w:t xml:space="preserve">will be generalizable to </w:t>
      </w:r>
      <w:r>
        <w:t>all public high schools within the sampling frame as well as each locale and schools with high and low graduation rates.</w:t>
      </w:r>
    </w:p>
    <w:p w:rsidR="00D961B4" w:rsidRPr="00D164E3" w:rsidRDefault="00D961B4" w:rsidP="00D961B4">
      <w:pPr>
        <w:pStyle w:val="PPSSTOHeading2"/>
      </w:pPr>
      <w:bookmarkStart w:id="19" w:name="_Toc314224423"/>
      <w:bookmarkStart w:id="20" w:name="_Toc392765505"/>
      <w:r w:rsidRPr="00D164E3">
        <w:t>B.4. Test of Procedures and Methods</w:t>
      </w:r>
      <w:bookmarkEnd w:id="19"/>
      <w:bookmarkEnd w:id="20"/>
    </w:p>
    <w:p w:rsidR="00D961B4" w:rsidRPr="000C2357" w:rsidRDefault="00D961B4" w:rsidP="00D961B4">
      <w:pPr>
        <w:pStyle w:val="PPSSTOText"/>
      </w:pPr>
      <w:r w:rsidRPr="000C2357">
        <w:t xml:space="preserve">The research team has conducted internal pretesting of </w:t>
      </w:r>
      <w:r>
        <w:t>survey</w:t>
      </w:r>
      <w:r w:rsidRPr="000C2357">
        <w:t xml:space="preserve"> items to ensure clarity. Additionally, the </w:t>
      </w:r>
      <w:r>
        <w:t>research team</w:t>
      </w:r>
      <w:r w:rsidRPr="000C2357">
        <w:t xml:space="preserve"> </w:t>
      </w:r>
      <w:r>
        <w:t>confirmed</w:t>
      </w:r>
      <w:r w:rsidRPr="000C2357">
        <w:t xml:space="preserve"> that all </w:t>
      </w:r>
      <w:r>
        <w:t>items</w:t>
      </w:r>
      <w:r w:rsidRPr="000C2357">
        <w:t xml:space="preserve"> </w:t>
      </w:r>
      <w:r>
        <w:t>are related</w:t>
      </w:r>
      <w:r w:rsidRPr="000C2357">
        <w:t xml:space="preserve"> to the research questions, ensuring the s</w:t>
      </w:r>
      <w:r>
        <w:t>urvey</w:t>
      </w:r>
      <w:r w:rsidRPr="000C2357">
        <w:t xml:space="preserve"> will capture all </w:t>
      </w:r>
      <w:r>
        <w:t>necessary</w:t>
      </w:r>
      <w:r w:rsidRPr="000C2357">
        <w:t xml:space="preserve"> information.</w:t>
      </w:r>
    </w:p>
    <w:p w:rsidR="00D961B4" w:rsidRDefault="00D961B4" w:rsidP="00D961B4">
      <w:pPr>
        <w:pStyle w:val="PPSSTOText"/>
      </w:pPr>
      <w:r w:rsidRPr="000C2357">
        <w:t xml:space="preserve">Many of the </w:t>
      </w:r>
      <w:r>
        <w:t xml:space="preserve">survey </w:t>
      </w:r>
      <w:r w:rsidRPr="000C2357">
        <w:t xml:space="preserve">questions have been adapted from relevant questions used in other </w:t>
      </w:r>
      <w:r>
        <w:t>national surveys of high school reforms</w:t>
      </w:r>
      <w:r w:rsidRPr="000C2357">
        <w:t>. For example,</w:t>
      </w:r>
      <w:r>
        <w:t xml:space="preserve"> some</w:t>
      </w:r>
      <w:r w:rsidRPr="000C2357">
        <w:t xml:space="preserve"> questions related </w:t>
      </w:r>
      <w:r>
        <w:t xml:space="preserve">to credit recovery programs </w:t>
      </w:r>
      <w:r w:rsidRPr="000C2357">
        <w:t xml:space="preserve">have their roots in questions </w:t>
      </w:r>
      <w:r>
        <w:t>on the</w:t>
      </w:r>
      <w:r w:rsidRPr="00C316D8">
        <w:t xml:space="preserve"> Fast Response Survey System</w:t>
      </w:r>
      <w:r>
        <w:t>–Alternative Schools and Programs Survey (2008) and Distance Education Survey (2010)</w:t>
      </w:r>
      <w:r w:rsidRPr="000C2357">
        <w:t xml:space="preserve">. </w:t>
      </w:r>
    </w:p>
    <w:p w:rsidR="00D961B4" w:rsidRPr="000C2357" w:rsidRDefault="00D961B4" w:rsidP="00D961B4">
      <w:pPr>
        <w:pStyle w:val="PPSSTOText"/>
      </w:pPr>
      <w:r w:rsidRPr="003E7154">
        <w:t xml:space="preserve">The research team will pilot the survey items with nine </w:t>
      </w:r>
      <w:r>
        <w:t>regionally dispersed</w:t>
      </w:r>
      <w:r w:rsidRPr="003E7154">
        <w:t xml:space="preserve"> district administrators in July. After the pilot participants test the instruments (i.e., take the survey), the researchers will have phone conversations with each </w:t>
      </w:r>
      <w:r>
        <w:t>participant</w:t>
      </w:r>
      <w:r w:rsidRPr="003E7154">
        <w:t xml:space="preserve"> to discuss clarity of wording and flow, interpret</w:t>
      </w:r>
      <w:r>
        <w:t>ations of</w:t>
      </w:r>
      <w:r w:rsidRPr="003E7154">
        <w:t xml:space="preserve"> the questions, and any other issues that </w:t>
      </w:r>
      <w:r>
        <w:t>emerge</w:t>
      </w:r>
      <w:r w:rsidRPr="003E7154">
        <w:t>. The researchers will revise the instruments based on this feedback.</w:t>
      </w:r>
    </w:p>
    <w:p w:rsidR="00D961B4" w:rsidRPr="00D164E3" w:rsidRDefault="00D961B4" w:rsidP="00D961B4">
      <w:pPr>
        <w:pStyle w:val="PPSSTOHeading2"/>
      </w:pPr>
      <w:bookmarkStart w:id="21" w:name="_Toc314224424"/>
      <w:bookmarkStart w:id="22" w:name="_Toc361408462"/>
      <w:bookmarkStart w:id="23" w:name="_Toc392765506"/>
      <w:r w:rsidRPr="00D164E3">
        <w:t>B.5. Consultations on Statistical Aspects of the Design</w:t>
      </w:r>
      <w:bookmarkEnd w:id="21"/>
      <w:bookmarkEnd w:id="22"/>
      <w:bookmarkEnd w:id="23"/>
    </w:p>
    <w:p w:rsidR="00D961B4" w:rsidRPr="00D164E3" w:rsidRDefault="00D961B4" w:rsidP="00D961B4">
      <w:pPr>
        <w:pStyle w:val="PPSSTOText"/>
      </w:pPr>
      <w:r w:rsidRPr="00D164E3">
        <w:t xml:space="preserve">The </w:t>
      </w:r>
      <w:r>
        <w:t>research team consulted with Dr. David Wilson, Senior Research Scientist at RTI International, on sampling for the survey. He can be reached at 919-541-6990.</w:t>
      </w:r>
    </w:p>
    <w:p w:rsidR="00D961B4" w:rsidRPr="00D164E3" w:rsidRDefault="00D961B4" w:rsidP="00D961B4">
      <w:pPr>
        <w:pStyle w:val="PPSSTOHeading3"/>
        <w:spacing w:before="0" w:after="0"/>
      </w:pPr>
      <w:bookmarkStart w:id="24" w:name="_Toc354406156"/>
      <w:r w:rsidRPr="00D164E3">
        <w:t>Agency</w:t>
      </w:r>
      <w:bookmarkEnd w:id="24"/>
    </w:p>
    <w:p w:rsidR="00D961B4" w:rsidRPr="00D164E3" w:rsidRDefault="00D961B4" w:rsidP="00D961B4">
      <w:pPr>
        <w:pStyle w:val="PPSSTOText"/>
      </w:pPr>
      <w:r>
        <w:t>Joanne Bogart</w:t>
      </w:r>
      <w:r w:rsidRPr="00D164E3">
        <w:t xml:space="preserve"> of the U.S. Department of Education is the Contracting Officer’s</w:t>
      </w:r>
      <w:r>
        <w:t xml:space="preserve"> Representative for the study. She</w:t>
      </w:r>
      <w:r w:rsidRPr="00D164E3">
        <w:t xml:space="preserve"> can be reached at </w:t>
      </w:r>
      <w:r w:rsidRPr="00DB5F85">
        <w:t>202-205-7855.</w:t>
      </w:r>
    </w:p>
    <w:p w:rsidR="00D961B4" w:rsidRPr="00D164E3" w:rsidRDefault="00D961B4" w:rsidP="00D961B4">
      <w:pPr>
        <w:pStyle w:val="PPSSTOHeading3"/>
        <w:spacing w:before="0" w:after="0"/>
      </w:pPr>
      <w:bookmarkStart w:id="25" w:name="_Toc354406157"/>
      <w:r w:rsidRPr="00D164E3">
        <w:t>Contractors</w:t>
      </w:r>
      <w:bookmarkEnd w:id="25"/>
    </w:p>
    <w:p w:rsidR="00D961B4" w:rsidRDefault="00D961B4" w:rsidP="00D961B4">
      <w:pPr>
        <w:pStyle w:val="PPSSTOText"/>
      </w:pPr>
      <w:r w:rsidRPr="00D164E3">
        <w:t xml:space="preserve">SRI International and </w:t>
      </w:r>
      <w:r>
        <w:t>RTI</w:t>
      </w:r>
      <w:r w:rsidRPr="00D164E3">
        <w:t xml:space="preserve"> will be </w:t>
      </w:r>
      <w:r>
        <w:t>responsible for data collection</w:t>
      </w:r>
      <w:r w:rsidRPr="00D164E3">
        <w:t xml:space="preserve">, under the direction of </w:t>
      </w:r>
      <w:r w:rsidRPr="00D164E3">
        <w:br/>
      </w:r>
      <w:r>
        <w:t>Ellen Schiller</w:t>
      </w:r>
      <w:r w:rsidRPr="00D164E3">
        <w:t xml:space="preserve">, who can be reached at </w:t>
      </w:r>
      <w:r>
        <w:t>703-247-8503</w:t>
      </w:r>
      <w:r w:rsidRPr="00D164E3">
        <w:t>.</w:t>
      </w:r>
    </w:p>
    <w:p w:rsidR="00D961B4" w:rsidRPr="00D164E3" w:rsidRDefault="00D961B4" w:rsidP="00D961B4">
      <w:pPr>
        <w:pStyle w:val="PPSSTOText"/>
      </w:pPr>
    </w:p>
    <w:p w:rsidR="00D961B4" w:rsidRPr="00D75310" w:rsidRDefault="00D961B4" w:rsidP="00D961B4">
      <w:pPr>
        <w:pStyle w:val="PPSSTOHeading1"/>
      </w:pPr>
      <w:bookmarkStart w:id="26" w:name="_Toc392765507"/>
      <w:bookmarkStart w:id="27" w:name="_GoBack"/>
      <w:bookmarkEnd w:id="27"/>
      <w:r w:rsidRPr="00D75310">
        <w:t>References</w:t>
      </w:r>
      <w:bookmarkEnd w:id="26"/>
    </w:p>
    <w:p w:rsidR="00D961B4" w:rsidRDefault="00D961B4" w:rsidP="00D961B4">
      <w:pPr>
        <w:tabs>
          <w:tab w:val="left" w:pos="-720"/>
        </w:tabs>
        <w:suppressAutoHyphens/>
        <w:spacing w:before="40" w:after="40"/>
        <w:ind w:left="360" w:hanging="360"/>
        <w:rPr>
          <w:rFonts w:ascii="Calibri" w:hAnsi="Calibri" w:cs="Calibri"/>
          <w:sz w:val="22"/>
        </w:rPr>
      </w:pPr>
      <w:proofErr w:type="gramStart"/>
      <w:r>
        <w:rPr>
          <w:rFonts w:ascii="Calibri" w:hAnsi="Calibri" w:cs="Calibri"/>
          <w:sz w:val="22"/>
        </w:rPr>
        <w:t>Alliance for Excellent Education.</w:t>
      </w:r>
      <w:proofErr w:type="gramEnd"/>
      <w:r>
        <w:rPr>
          <w:rFonts w:ascii="Calibri" w:hAnsi="Calibri" w:cs="Calibri"/>
          <w:sz w:val="22"/>
        </w:rPr>
        <w:t xml:space="preserve"> (2013). </w:t>
      </w:r>
      <w:proofErr w:type="gramStart"/>
      <w:r w:rsidRPr="00C316D8">
        <w:rPr>
          <w:rFonts w:ascii="Calibri" w:hAnsi="Calibri" w:cs="Calibri"/>
          <w:i/>
          <w:sz w:val="22"/>
        </w:rPr>
        <w:t>The</w:t>
      </w:r>
      <w:proofErr w:type="gramEnd"/>
      <w:r w:rsidRPr="00C316D8">
        <w:rPr>
          <w:rFonts w:ascii="Calibri" w:hAnsi="Calibri" w:cs="Calibri"/>
          <w:i/>
          <w:sz w:val="22"/>
        </w:rPr>
        <w:t xml:space="preserve"> </w:t>
      </w:r>
      <w:r>
        <w:rPr>
          <w:rFonts w:ascii="Calibri" w:hAnsi="Calibri" w:cs="Calibri"/>
          <w:i/>
          <w:sz w:val="22"/>
        </w:rPr>
        <w:t>e</w:t>
      </w:r>
      <w:r w:rsidRPr="00C316D8">
        <w:rPr>
          <w:rFonts w:ascii="Calibri" w:hAnsi="Calibri" w:cs="Calibri"/>
          <w:i/>
          <w:sz w:val="22"/>
        </w:rPr>
        <w:t xml:space="preserve">conomic </w:t>
      </w:r>
      <w:r>
        <w:rPr>
          <w:rFonts w:ascii="Calibri" w:hAnsi="Calibri" w:cs="Calibri"/>
          <w:i/>
          <w:sz w:val="22"/>
        </w:rPr>
        <w:t>b</w:t>
      </w:r>
      <w:r w:rsidRPr="00C316D8">
        <w:rPr>
          <w:rFonts w:ascii="Calibri" w:hAnsi="Calibri" w:cs="Calibri"/>
          <w:i/>
          <w:sz w:val="22"/>
        </w:rPr>
        <w:t xml:space="preserve">enefits of </w:t>
      </w:r>
      <w:r>
        <w:rPr>
          <w:rFonts w:ascii="Calibri" w:hAnsi="Calibri" w:cs="Calibri"/>
          <w:i/>
          <w:sz w:val="22"/>
        </w:rPr>
        <w:t>i</w:t>
      </w:r>
      <w:r w:rsidRPr="00C316D8">
        <w:rPr>
          <w:rFonts w:ascii="Calibri" w:hAnsi="Calibri" w:cs="Calibri"/>
          <w:i/>
          <w:sz w:val="22"/>
        </w:rPr>
        <w:t xml:space="preserve">ncreasing the </w:t>
      </w:r>
      <w:r>
        <w:rPr>
          <w:rFonts w:ascii="Calibri" w:hAnsi="Calibri" w:cs="Calibri"/>
          <w:i/>
          <w:sz w:val="22"/>
        </w:rPr>
        <w:t>h</w:t>
      </w:r>
      <w:r w:rsidRPr="00C316D8">
        <w:rPr>
          <w:rFonts w:ascii="Calibri" w:hAnsi="Calibri" w:cs="Calibri"/>
          <w:i/>
          <w:sz w:val="22"/>
        </w:rPr>
        <w:t xml:space="preserve">igh </w:t>
      </w:r>
      <w:r>
        <w:rPr>
          <w:rFonts w:ascii="Calibri" w:hAnsi="Calibri" w:cs="Calibri"/>
          <w:i/>
          <w:sz w:val="22"/>
        </w:rPr>
        <w:t>s</w:t>
      </w:r>
      <w:r w:rsidRPr="00C316D8">
        <w:rPr>
          <w:rFonts w:ascii="Calibri" w:hAnsi="Calibri" w:cs="Calibri"/>
          <w:i/>
          <w:sz w:val="22"/>
        </w:rPr>
        <w:t xml:space="preserve">chool </w:t>
      </w:r>
      <w:r>
        <w:rPr>
          <w:rFonts w:ascii="Calibri" w:hAnsi="Calibri" w:cs="Calibri"/>
          <w:i/>
          <w:sz w:val="22"/>
        </w:rPr>
        <w:t>g</w:t>
      </w:r>
      <w:r w:rsidRPr="00C316D8">
        <w:rPr>
          <w:rFonts w:ascii="Calibri" w:hAnsi="Calibri" w:cs="Calibri"/>
          <w:i/>
          <w:sz w:val="22"/>
        </w:rPr>
        <w:t xml:space="preserve">raduation </w:t>
      </w:r>
      <w:r>
        <w:rPr>
          <w:rFonts w:ascii="Calibri" w:hAnsi="Calibri" w:cs="Calibri"/>
          <w:i/>
          <w:sz w:val="22"/>
        </w:rPr>
        <w:t>r</w:t>
      </w:r>
      <w:r w:rsidRPr="00C316D8">
        <w:rPr>
          <w:rFonts w:ascii="Calibri" w:hAnsi="Calibri" w:cs="Calibri"/>
          <w:i/>
          <w:sz w:val="22"/>
        </w:rPr>
        <w:t xml:space="preserve">ate for </w:t>
      </w:r>
      <w:r>
        <w:rPr>
          <w:rFonts w:ascii="Calibri" w:hAnsi="Calibri" w:cs="Calibri"/>
          <w:i/>
          <w:sz w:val="22"/>
        </w:rPr>
        <w:t>p</w:t>
      </w:r>
      <w:r w:rsidRPr="00C316D8">
        <w:rPr>
          <w:rFonts w:ascii="Calibri" w:hAnsi="Calibri" w:cs="Calibri"/>
          <w:i/>
          <w:sz w:val="22"/>
        </w:rPr>
        <w:t xml:space="preserve">ublic </w:t>
      </w:r>
      <w:r>
        <w:rPr>
          <w:rFonts w:ascii="Calibri" w:hAnsi="Calibri" w:cs="Calibri"/>
          <w:i/>
          <w:sz w:val="22"/>
        </w:rPr>
        <w:t>s</w:t>
      </w:r>
      <w:r w:rsidRPr="00C316D8">
        <w:rPr>
          <w:rFonts w:ascii="Calibri" w:hAnsi="Calibri" w:cs="Calibri"/>
          <w:i/>
          <w:sz w:val="22"/>
        </w:rPr>
        <w:t xml:space="preserve">chool </w:t>
      </w:r>
      <w:r>
        <w:rPr>
          <w:rFonts w:ascii="Calibri" w:hAnsi="Calibri" w:cs="Calibri"/>
          <w:i/>
          <w:sz w:val="22"/>
        </w:rPr>
        <w:t>s</w:t>
      </w:r>
      <w:r w:rsidRPr="00C316D8">
        <w:rPr>
          <w:rFonts w:ascii="Calibri" w:hAnsi="Calibri" w:cs="Calibri"/>
          <w:i/>
          <w:sz w:val="22"/>
        </w:rPr>
        <w:t>tudents in the United States</w:t>
      </w:r>
      <w:r>
        <w:rPr>
          <w:rFonts w:ascii="Calibri" w:hAnsi="Calibri" w:cs="Calibri"/>
          <w:sz w:val="22"/>
        </w:rPr>
        <w:t>. Washington, DC: Alliance for Excellent Education.</w:t>
      </w:r>
    </w:p>
    <w:p w:rsidR="00D961B4" w:rsidRPr="00D417F5" w:rsidRDefault="00D961B4" w:rsidP="00D961B4">
      <w:pPr>
        <w:tabs>
          <w:tab w:val="left" w:pos="-720"/>
        </w:tabs>
        <w:suppressAutoHyphens/>
        <w:spacing w:before="40" w:after="40"/>
        <w:ind w:left="360" w:hanging="360"/>
        <w:rPr>
          <w:rFonts w:ascii="Calibri" w:hAnsi="Calibri" w:cs="Calibri"/>
          <w:sz w:val="22"/>
        </w:rPr>
      </w:pPr>
      <w:r>
        <w:rPr>
          <w:rFonts w:ascii="Calibri" w:hAnsi="Calibri" w:cs="Calibri"/>
          <w:sz w:val="22"/>
        </w:rPr>
        <w:t xml:space="preserve">Amos, J. (2008). </w:t>
      </w:r>
      <w:r w:rsidRPr="00C316D8">
        <w:rPr>
          <w:rFonts w:ascii="Calibri" w:hAnsi="Calibri" w:cs="Calibri"/>
          <w:i/>
          <w:sz w:val="22"/>
        </w:rPr>
        <w:t xml:space="preserve">Dropouts, </w:t>
      </w:r>
      <w:r>
        <w:rPr>
          <w:rFonts w:ascii="Calibri" w:hAnsi="Calibri" w:cs="Calibri"/>
          <w:i/>
          <w:sz w:val="22"/>
        </w:rPr>
        <w:t>d</w:t>
      </w:r>
      <w:r w:rsidRPr="00C316D8">
        <w:rPr>
          <w:rFonts w:ascii="Calibri" w:hAnsi="Calibri" w:cs="Calibri"/>
          <w:i/>
          <w:sz w:val="22"/>
        </w:rPr>
        <w:t xml:space="preserve">iplomas, and </w:t>
      </w:r>
      <w:r>
        <w:rPr>
          <w:rFonts w:ascii="Calibri" w:hAnsi="Calibri" w:cs="Calibri"/>
          <w:i/>
          <w:sz w:val="22"/>
        </w:rPr>
        <w:t>d</w:t>
      </w:r>
      <w:r w:rsidRPr="00C316D8">
        <w:rPr>
          <w:rFonts w:ascii="Calibri" w:hAnsi="Calibri" w:cs="Calibri"/>
          <w:i/>
          <w:sz w:val="22"/>
        </w:rPr>
        <w:t xml:space="preserve">ollars: U.S. </w:t>
      </w:r>
      <w:r>
        <w:rPr>
          <w:rFonts w:ascii="Calibri" w:hAnsi="Calibri" w:cs="Calibri"/>
          <w:i/>
          <w:sz w:val="22"/>
        </w:rPr>
        <w:t>h</w:t>
      </w:r>
      <w:r w:rsidRPr="00C316D8">
        <w:rPr>
          <w:rFonts w:ascii="Calibri" w:hAnsi="Calibri" w:cs="Calibri"/>
          <w:i/>
          <w:sz w:val="22"/>
        </w:rPr>
        <w:t xml:space="preserve">igh </w:t>
      </w:r>
      <w:r>
        <w:rPr>
          <w:rFonts w:ascii="Calibri" w:hAnsi="Calibri" w:cs="Calibri"/>
          <w:i/>
          <w:sz w:val="22"/>
        </w:rPr>
        <w:t>s</w:t>
      </w:r>
      <w:r w:rsidRPr="00C316D8">
        <w:rPr>
          <w:rFonts w:ascii="Calibri" w:hAnsi="Calibri" w:cs="Calibri"/>
          <w:i/>
          <w:sz w:val="22"/>
        </w:rPr>
        <w:t xml:space="preserve">chools and the </w:t>
      </w:r>
      <w:r>
        <w:rPr>
          <w:rFonts w:ascii="Calibri" w:hAnsi="Calibri" w:cs="Calibri"/>
          <w:i/>
          <w:sz w:val="22"/>
        </w:rPr>
        <w:t>n</w:t>
      </w:r>
      <w:r w:rsidRPr="00C316D8">
        <w:rPr>
          <w:rFonts w:ascii="Calibri" w:hAnsi="Calibri" w:cs="Calibri"/>
          <w:i/>
          <w:sz w:val="22"/>
        </w:rPr>
        <w:t xml:space="preserve">ation’s </w:t>
      </w:r>
      <w:r>
        <w:rPr>
          <w:rFonts w:ascii="Calibri" w:hAnsi="Calibri" w:cs="Calibri"/>
          <w:i/>
          <w:sz w:val="22"/>
        </w:rPr>
        <w:t>e</w:t>
      </w:r>
      <w:r w:rsidRPr="00C316D8">
        <w:rPr>
          <w:rFonts w:ascii="Calibri" w:hAnsi="Calibri" w:cs="Calibri"/>
          <w:i/>
          <w:sz w:val="22"/>
        </w:rPr>
        <w:t>conomy</w:t>
      </w:r>
      <w:r>
        <w:rPr>
          <w:rFonts w:ascii="Calibri" w:hAnsi="Calibri" w:cs="Calibri"/>
          <w:sz w:val="22"/>
        </w:rPr>
        <w:t xml:space="preserve">. Washington, DC: Alliance for Excellent Education. </w:t>
      </w:r>
    </w:p>
    <w:p w:rsidR="00D961B4" w:rsidRDefault="00D961B4" w:rsidP="00D961B4">
      <w:pPr>
        <w:tabs>
          <w:tab w:val="left" w:pos="-720"/>
        </w:tabs>
        <w:suppressAutoHyphens/>
        <w:spacing w:before="40" w:after="40"/>
        <w:ind w:left="360" w:hanging="360"/>
        <w:rPr>
          <w:rFonts w:ascii="Calibri" w:hAnsi="Calibri" w:cs="Calibri"/>
          <w:sz w:val="22"/>
        </w:rPr>
      </w:pPr>
      <w:proofErr w:type="spellStart"/>
      <w:proofErr w:type="gramStart"/>
      <w:r w:rsidRPr="008238C3">
        <w:rPr>
          <w:rFonts w:ascii="Calibri" w:hAnsi="Calibri" w:cs="Calibri"/>
          <w:sz w:val="22"/>
        </w:rPr>
        <w:t>Carnevale</w:t>
      </w:r>
      <w:proofErr w:type="spellEnd"/>
      <w:r w:rsidRPr="008238C3">
        <w:rPr>
          <w:rFonts w:ascii="Calibri" w:hAnsi="Calibri" w:cs="Calibri"/>
          <w:sz w:val="22"/>
        </w:rPr>
        <w:t>, A.</w:t>
      </w:r>
      <w:r>
        <w:rPr>
          <w:rFonts w:ascii="Calibri" w:hAnsi="Calibri" w:cs="Calibri"/>
          <w:sz w:val="22"/>
        </w:rPr>
        <w:t xml:space="preserve"> </w:t>
      </w:r>
      <w:r w:rsidRPr="008238C3">
        <w:rPr>
          <w:rFonts w:ascii="Calibri" w:hAnsi="Calibri" w:cs="Calibri"/>
          <w:sz w:val="22"/>
        </w:rPr>
        <w:t>P., Smith, N.</w:t>
      </w:r>
      <w:r>
        <w:rPr>
          <w:rFonts w:ascii="Calibri" w:hAnsi="Calibri" w:cs="Calibri"/>
          <w:sz w:val="22"/>
        </w:rPr>
        <w:t>,</w:t>
      </w:r>
      <w:r w:rsidRPr="008238C3">
        <w:rPr>
          <w:rFonts w:ascii="Calibri" w:hAnsi="Calibri" w:cs="Calibri"/>
          <w:sz w:val="22"/>
        </w:rPr>
        <w:t xml:space="preserve"> </w:t>
      </w:r>
      <w:r>
        <w:rPr>
          <w:rFonts w:ascii="Calibri" w:hAnsi="Calibri" w:cs="Calibri"/>
          <w:sz w:val="22"/>
        </w:rPr>
        <w:t>&amp;</w:t>
      </w:r>
      <w:r w:rsidRPr="008238C3">
        <w:rPr>
          <w:rFonts w:ascii="Calibri" w:hAnsi="Calibri" w:cs="Calibri"/>
          <w:sz w:val="22"/>
        </w:rPr>
        <w:t xml:space="preserve"> </w:t>
      </w:r>
      <w:proofErr w:type="spellStart"/>
      <w:r w:rsidRPr="008238C3">
        <w:rPr>
          <w:rFonts w:ascii="Calibri" w:hAnsi="Calibri" w:cs="Calibri"/>
          <w:sz w:val="22"/>
        </w:rPr>
        <w:t>Strohl</w:t>
      </w:r>
      <w:proofErr w:type="spellEnd"/>
      <w:r w:rsidRPr="008238C3">
        <w:rPr>
          <w:rFonts w:ascii="Calibri" w:hAnsi="Calibri" w:cs="Calibri"/>
          <w:sz w:val="22"/>
        </w:rPr>
        <w:t>, J. (2010).</w:t>
      </w:r>
      <w:proofErr w:type="gramEnd"/>
      <w:r w:rsidRPr="008238C3">
        <w:rPr>
          <w:rFonts w:ascii="Calibri" w:hAnsi="Calibri" w:cs="Calibri"/>
          <w:sz w:val="22"/>
        </w:rPr>
        <w:t xml:space="preserve"> </w:t>
      </w:r>
      <w:r w:rsidRPr="008238C3">
        <w:rPr>
          <w:rFonts w:ascii="Calibri" w:hAnsi="Calibri" w:cs="Calibri"/>
          <w:i/>
          <w:sz w:val="22"/>
        </w:rPr>
        <w:t>Help wanted: Projections of jobs and education requirements through 2018.</w:t>
      </w:r>
      <w:r w:rsidRPr="008238C3">
        <w:rPr>
          <w:rFonts w:ascii="Calibri" w:hAnsi="Calibri" w:cs="Calibri"/>
          <w:sz w:val="22"/>
        </w:rPr>
        <w:t xml:space="preserve"> Washington, DC: Center on Education and the Workforce, Georgetown University.</w:t>
      </w:r>
    </w:p>
    <w:p w:rsidR="00D961B4" w:rsidRDefault="00D961B4" w:rsidP="00D961B4">
      <w:pPr>
        <w:tabs>
          <w:tab w:val="left" w:pos="-720"/>
        </w:tabs>
        <w:suppressAutoHyphens/>
        <w:spacing w:before="40" w:after="40"/>
        <w:ind w:left="360" w:hanging="360"/>
        <w:rPr>
          <w:rFonts w:ascii="Calibri" w:hAnsi="Calibri" w:cs="Calibri"/>
          <w:sz w:val="22"/>
        </w:rPr>
      </w:pPr>
      <w:proofErr w:type="spellStart"/>
      <w:r>
        <w:rPr>
          <w:rFonts w:ascii="Calibri" w:hAnsi="Calibri" w:cs="Calibri"/>
          <w:sz w:val="22"/>
        </w:rPr>
        <w:t>Rumberger</w:t>
      </w:r>
      <w:proofErr w:type="spellEnd"/>
      <w:r>
        <w:rPr>
          <w:rFonts w:ascii="Calibri" w:hAnsi="Calibri" w:cs="Calibri"/>
          <w:sz w:val="22"/>
        </w:rPr>
        <w:t>, R. W. (2013). Poverty and high school d</w:t>
      </w:r>
      <w:r w:rsidRPr="00BE4987">
        <w:rPr>
          <w:rFonts w:ascii="Calibri" w:hAnsi="Calibri" w:cs="Calibri"/>
          <w:sz w:val="22"/>
        </w:rPr>
        <w:t>ropouts</w:t>
      </w:r>
      <w:r>
        <w:rPr>
          <w:rFonts w:ascii="Calibri" w:hAnsi="Calibri" w:cs="Calibri"/>
          <w:sz w:val="22"/>
        </w:rPr>
        <w:t xml:space="preserve">: </w:t>
      </w:r>
      <w:r w:rsidRPr="00BE4987">
        <w:rPr>
          <w:rFonts w:ascii="Calibri" w:hAnsi="Calibri" w:cs="Calibri"/>
          <w:sz w:val="22"/>
        </w:rPr>
        <w:t xml:space="preserve">The impact of family and community </w:t>
      </w:r>
      <w:r>
        <w:rPr>
          <w:rFonts w:ascii="Calibri" w:hAnsi="Calibri" w:cs="Calibri"/>
          <w:sz w:val="22"/>
        </w:rPr>
        <w:t xml:space="preserve">poverty on high school dropouts, </w:t>
      </w:r>
      <w:r w:rsidRPr="00BE4987">
        <w:rPr>
          <w:rFonts w:ascii="Calibri" w:hAnsi="Calibri" w:cs="Calibri"/>
          <w:i/>
          <w:sz w:val="22"/>
        </w:rPr>
        <w:t>The SES Indicator</w:t>
      </w:r>
      <w:r>
        <w:rPr>
          <w:rFonts w:ascii="Calibri" w:hAnsi="Calibri" w:cs="Calibri"/>
          <w:i/>
          <w:sz w:val="22"/>
        </w:rPr>
        <w:t xml:space="preserve"> (6)</w:t>
      </w:r>
      <w:r>
        <w:rPr>
          <w:rFonts w:ascii="Calibri" w:hAnsi="Calibri" w:cs="Calibri"/>
          <w:sz w:val="22"/>
        </w:rPr>
        <w:t>2, May, 2013.</w:t>
      </w:r>
    </w:p>
    <w:p w:rsidR="00D961B4" w:rsidRPr="00BE4987" w:rsidRDefault="00D961B4" w:rsidP="00D961B4">
      <w:pPr>
        <w:tabs>
          <w:tab w:val="left" w:pos="-720"/>
        </w:tabs>
        <w:suppressAutoHyphens/>
        <w:spacing w:before="40" w:after="40"/>
        <w:ind w:left="360" w:hanging="360"/>
        <w:rPr>
          <w:rFonts w:ascii="Calibri" w:hAnsi="Calibri" w:cs="Calibri"/>
          <w:sz w:val="22"/>
        </w:rPr>
      </w:pPr>
      <w:proofErr w:type="spellStart"/>
      <w:proofErr w:type="gramStart"/>
      <w:r>
        <w:rPr>
          <w:rFonts w:ascii="Calibri" w:hAnsi="Calibri" w:cs="Calibri"/>
          <w:sz w:val="22"/>
        </w:rPr>
        <w:t>Stetser</w:t>
      </w:r>
      <w:proofErr w:type="spellEnd"/>
      <w:r>
        <w:rPr>
          <w:rFonts w:ascii="Calibri" w:hAnsi="Calibri" w:cs="Calibri"/>
          <w:sz w:val="22"/>
        </w:rPr>
        <w:t>, M. C., &amp; Stillwell, R. (2014).</w:t>
      </w:r>
      <w:proofErr w:type="gramEnd"/>
      <w:r>
        <w:rPr>
          <w:rFonts w:ascii="Calibri" w:hAnsi="Calibri" w:cs="Calibri"/>
          <w:sz w:val="22"/>
        </w:rPr>
        <w:t xml:space="preserve"> </w:t>
      </w:r>
      <w:r w:rsidRPr="00BA26B9">
        <w:rPr>
          <w:rFonts w:ascii="Calibri" w:hAnsi="Calibri" w:cs="Calibri"/>
          <w:i/>
          <w:sz w:val="22"/>
        </w:rPr>
        <w:t xml:space="preserve">Public high school four-year on-time graduation rates and event dropout rates: School years 2010-11 and 2011-12, </w:t>
      </w:r>
      <w:proofErr w:type="gramStart"/>
      <w:r w:rsidRPr="00BA26B9">
        <w:rPr>
          <w:rFonts w:ascii="Calibri" w:hAnsi="Calibri" w:cs="Calibri"/>
          <w:i/>
          <w:sz w:val="22"/>
        </w:rPr>
        <w:t>First</w:t>
      </w:r>
      <w:proofErr w:type="gramEnd"/>
      <w:r w:rsidRPr="00BA26B9">
        <w:rPr>
          <w:rFonts w:ascii="Calibri" w:hAnsi="Calibri" w:cs="Calibri"/>
          <w:i/>
          <w:sz w:val="22"/>
        </w:rPr>
        <w:t xml:space="preserve"> look (NCES 2014-391)</w:t>
      </w:r>
      <w:r>
        <w:rPr>
          <w:rFonts w:ascii="Calibri" w:hAnsi="Calibri" w:cs="Calibri"/>
          <w:sz w:val="22"/>
        </w:rPr>
        <w:t>. Washington, DC: National Center for Education Statistics, U.S. Department of Education.</w:t>
      </w:r>
    </w:p>
    <w:p w:rsidR="00D961B4" w:rsidRDefault="00D961B4" w:rsidP="00D961B4">
      <w:pPr>
        <w:spacing w:before="40" w:after="20"/>
        <w:rPr>
          <w:rFonts w:asciiTheme="minorHAnsi" w:hAnsiTheme="minorHAnsi"/>
          <w:sz w:val="22"/>
        </w:rPr>
      </w:pPr>
    </w:p>
    <w:p w:rsidR="00D961B4" w:rsidRDefault="00D961B4" w:rsidP="00D961B4">
      <w:pPr>
        <w:spacing w:before="40" w:after="20"/>
        <w:rPr>
          <w:rFonts w:asciiTheme="minorHAnsi" w:hAnsiTheme="minorHAnsi"/>
          <w:sz w:val="22"/>
        </w:rPr>
      </w:pPr>
    </w:p>
    <w:p w:rsidR="007C686B" w:rsidRPr="00363332" w:rsidRDefault="007C686B" w:rsidP="00363332">
      <w:pPr>
        <w:tabs>
          <w:tab w:val="left" w:pos="-720"/>
        </w:tabs>
        <w:suppressAutoHyphens/>
        <w:spacing w:before="40" w:after="40"/>
        <w:rPr>
          <w:rFonts w:ascii="Calibri" w:hAnsi="Calibri" w:cs="Calibri"/>
          <w:sz w:val="22"/>
        </w:rPr>
      </w:pPr>
    </w:p>
    <w:sectPr w:rsidR="007C686B" w:rsidRPr="00363332" w:rsidSect="00AE39B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1F6" w:rsidRDefault="002A21F6" w:rsidP="00AA66CB">
      <w:r>
        <w:separator/>
      </w:r>
    </w:p>
  </w:endnote>
  <w:endnote w:type="continuationSeparator" w:id="0">
    <w:p w:rsidR="002A21F6" w:rsidRDefault="002A21F6" w:rsidP="00AA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2B" w:rsidRDefault="009B37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2B" w:rsidRDefault="009B37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2B" w:rsidRDefault="009B37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Default="00CC5B69">
    <w:pPr>
      <w:pStyle w:val="Foote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Pr="007B403F" w:rsidRDefault="00CC5B69" w:rsidP="00796F04">
    <w:pPr>
      <w:pStyle w:val="Footer"/>
      <w:rPr>
        <w:rFonts w:asciiTheme="minorHAnsi" w:hAnsiTheme="minorHAnsi"/>
        <w:sz w:val="20"/>
      </w:rPr>
    </w:pPr>
    <w:r>
      <w:rPr>
        <w:rFonts w:asciiTheme="minorHAnsi" w:hAnsiTheme="minorHAnsi"/>
        <w:sz w:val="20"/>
      </w:rPr>
      <w:t>P21496, Task 4: Draft OMB Package</w:t>
    </w:r>
  </w:p>
  <w:p w:rsidR="00CC5B69" w:rsidRPr="003B13FF" w:rsidRDefault="00CC5B69" w:rsidP="00796F04">
    <w:pPr>
      <w:pBdr>
        <w:top w:val="single" w:sz="4" w:space="1" w:color="auto"/>
      </w:pBdr>
      <w:tabs>
        <w:tab w:val="right" w:pos="9360"/>
      </w:tabs>
      <w:rPr>
        <w:rFonts w:asciiTheme="minorHAnsi" w:hAnsiTheme="minorHAnsi" w:cstheme="minorHAnsi"/>
        <w:sz w:val="18"/>
        <w:szCs w:val="18"/>
      </w:rPr>
    </w:pPr>
    <w:r w:rsidRPr="003B13FF">
      <w:rPr>
        <w:rFonts w:asciiTheme="minorHAnsi" w:hAnsiTheme="minorHAnsi" w:cstheme="minorHAnsi"/>
        <w:sz w:val="18"/>
        <w:szCs w:val="18"/>
      </w:rPr>
      <w:tab/>
    </w:r>
    <w:r>
      <w:fldChar w:fldCharType="begin"/>
    </w:r>
    <w:r>
      <w:instrText xml:space="preserve"> PAGE   \* MERGEFORMAT </w:instrText>
    </w:r>
    <w:r>
      <w:fldChar w:fldCharType="separate"/>
    </w:r>
    <w:r w:rsidR="002C499A" w:rsidRPr="002C499A">
      <w:rPr>
        <w:rFonts w:asciiTheme="minorHAnsi" w:hAnsiTheme="minorHAnsi" w:cstheme="minorHAnsi"/>
        <w:noProof/>
        <w:sz w:val="18"/>
        <w:szCs w:val="18"/>
      </w:rPr>
      <w:t>9</w:t>
    </w:r>
    <w:r>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1F6" w:rsidRDefault="002A21F6" w:rsidP="00AA66CB">
      <w:r>
        <w:separator/>
      </w:r>
    </w:p>
  </w:footnote>
  <w:footnote w:type="continuationSeparator" w:id="0">
    <w:p w:rsidR="002A21F6" w:rsidRDefault="002A21F6" w:rsidP="00AA66CB">
      <w:r>
        <w:continuationSeparator/>
      </w:r>
    </w:p>
  </w:footnote>
  <w:footnote w:id="1">
    <w:p w:rsidR="00CC5B69" w:rsidRDefault="00CC5B69" w:rsidP="002B6B12">
      <w:pPr>
        <w:pStyle w:val="FootnoteText"/>
        <w:spacing w:line="240" w:lineRule="auto"/>
        <w:ind w:left="187" w:hanging="187"/>
      </w:pPr>
      <w:r>
        <w:rPr>
          <w:rStyle w:val="FootnoteReference"/>
        </w:rPr>
        <w:footnoteRef/>
      </w:r>
      <w:r>
        <w:t xml:space="preserve"> </w:t>
      </w:r>
      <w:r w:rsidRPr="00140E9C">
        <w:rPr>
          <w:sz w:val="18"/>
          <w:szCs w:val="18"/>
        </w:rPr>
        <w:t>Design effects quantify the extent to which the survey’s sampling error varies from the sampling error expected when using a simple random sample.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2B" w:rsidRDefault="009B37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2B" w:rsidRDefault="009B37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2B" w:rsidRDefault="009B37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Default="00CC5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A677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6E56898"/>
    <w:multiLevelType w:val="hybridMultilevel"/>
    <w:tmpl w:val="C45E04B2"/>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2109C"/>
    <w:multiLevelType w:val="hybridMultilevel"/>
    <w:tmpl w:val="5A34E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676A1"/>
    <w:multiLevelType w:val="hybridMultilevel"/>
    <w:tmpl w:val="C77EC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3E26CB"/>
    <w:multiLevelType w:val="hybridMultilevel"/>
    <w:tmpl w:val="C77EC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946FC"/>
    <w:multiLevelType w:val="hybridMultilevel"/>
    <w:tmpl w:val="0714CE08"/>
    <w:lvl w:ilvl="0" w:tplc="566279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78276C"/>
    <w:multiLevelType w:val="hybridMultilevel"/>
    <w:tmpl w:val="9F840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F02FEF"/>
    <w:multiLevelType w:val="hybridMultilevel"/>
    <w:tmpl w:val="399A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181740"/>
    <w:multiLevelType w:val="hybridMultilevel"/>
    <w:tmpl w:val="A20AFE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1"/>
  </w:num>
  <w:num w:numId="6">
    <w:abstractNumId w:val="4"/>
  </w:num>
  <w:num w:numId="7">
    <w:abstractNumId w:val="6"/>
  </w:num>
  <w:num w:numId="8">
    <w:abstractNumId w:val="8"/>
  </w:num>
  <w:num w:numId="9">
    <w:abstractNumId w:val="2"/>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CB"/>
    <w:rsid w:val="0000040D"/>
    <w:rsid w:val="000027F0"/>
    <w:rsid w:val="00002BB5"/>
    <w:rsid w:val="00004DC9"/>
    <w:rsid w:val="00004F1F"/>
    <w:rsid w:val="00017943"/>
    <w:rsid w:val="00020ADC"/>
    <w:rsid w:val="00024D08"/>
    <w:rsid w:val="0002513E"/>
    <w:rsid w:val="00026EFB"/>
    <w:rsid w:val="0003262B"/>
    <w:rsid w:val="00041A40"/>
    <w:rsid w:val="00043E57"/>
    <w:rsid w:val="000442BF"/>
    <w:rsid w:val="00046973"/>
    <w:rsid w:val="000512EF"/>
    <w:rsid w:val="00055921"/>
    <w:rsid w:val="000602BA"/>
    <w:rsid w:val="0006058E"/>
    <w:rsid w:val="000610DC"/>
    <w:rsid w:val="00065ACE"/>
    <w:rsid w:val="0006793A"/>
    <w:rsid w:val="00075990"/>
    <w:rsid w:val="00077CCC"/>
    <w:rsid w:val="00083475"/>
    <w:rsid w:val="00084B84"/>
    <w:rsid w:val="0009249D"/>
    <w:rsid w:val="0009442A"/>
    <w:rsid w:val="00094E21"/>
    <w:rsid w:val="00095221"/>
    <w:rsid w:val="00096BD4"/>
    <w:rsid w:val="000A19E7"/>
    <w:rsid w:val="000B5017"/>
    <w:rsid w:val="000B6112"/>
    <w:rsid w:val="000C07ED"/>
    <w:rsid w:val="000C486F"/>
    <w:rsid w:val="000C4DA3"/>
    <w:rsid w:val="000D0A73"/>
    <w:rsid w:val="000D0FA9"/>
    <w:rsid w:val="000D1C08"/>
    <w:rsid w:val="000D2563"/>
    <w:rsid w:val="000D28D2"/>
    <w:rsid w:val="000D2E5A"/>
    <w:rsid w:val="000D4765"/>
    <w:rsid w:val="000D496C"/>
    <w:rsid w:val="000D67EC"/>
    <w:rsid w:val="000D7DA5"/>
    <w:rsid w:val="000E03C0"/>
    <w:rsid w:val="000E04AA"/>
    <w:rsid w:val="000E2947"/>
    <w:rsid w:val="000E4DED"/>
    <w:rsid w:val="000E5B89"/>
    <w:rsid w:val="000E7C3C"/>
    <w:rsid w:val="00100B65"/>
    <w:rsid w:val="001011CA"/>
    <w:rsid w:val="00101269"/>
    <w:rsid w:val="00104940"/>
    <w:rsid w:val="00107673"/>
    <w:rsid w:val="00117186"/>
    <w:rsid w:val="0012385C"/>
    <w:rsid w:val="001315B9"/>
    <w:rsid w:val="0013260B"/>
    <w:rsid w:val="00132620"/>
    <w:rsid w:val="00132A91"/>
    <w:rsid w:val="00132D74"/>
    <w:rsid w:val="001369FD"/>
    <w:rsid w:val="00140E9C"/>
    <w:rsid w:val="001440B4"/>
    <w:rsid w:val="00144E61"/>
    <w:rsid w:val="001475D7"/>
    <w:rsid w:val="00150A85"/>
    <w:rsid w:val="00156301"/>
    <w:rsid w:val="00156F37"/>
    <w:rsid w:val="001603DA"/>
    <w:rsid w:val="001718C7"/>
    <w:rsid w:val="00171CAC"/>
    <w:rsid w:val="00171CE4"/>
    <w:rsid w:val="001737C3"/>
    <w:rsid w:val="00173BD1"/>
    <w:rsid w:val="00174457"/>
    <w:rsid w:val="001759A9"/>
    <w:rsid w:val="00186099"/>
    <w:rsid w:val="001867FB"/>
    <w:rsid w:val="00194E7F"/>
    <w:rsid w:val="00196699"/>
    <w:rsid w:val="00197689"/>
    <w:rsid w:val="001A03F0"/>
    <w:rsid w:val="001A1937"/>
    <w:rsid w:val="001A2536"/>
    <w:rsid w:val="001A2682"/>
    <w:rsid w:val="001A377B"/>
    <w:rsid w:val="001B28B7"/>
    <w:rsid w:val="001C61BB"/>
    <w:rsid w:val="001C7D5C"/>
    <w:rsid w:val="001D378D"/>
    <w:rsid w:val="001D3E92"/>
    <w:rsid w:val="001E477F"/>
    <w:rsid w:val="001F03C4"/>
    <w:rsid w:val="00202329"/>
    <w:rsid w:val="0021350F"/>
    <w:rsid w:val="00221BA1"/>
    <w:rsid w:val="00222388"/>
    <w:rsid w:val="00225AB4"/>
    <w:rsid w:val="00236619"/>
    <w:rsid w:val="00243FFD"/>
    <w:rsid w:val="00244763"/>
    <w:rsid w:val="002475EF"/>
    <w:rsid w:val="00250D07"/>
    <w:rsid w:val="00250E2B"/>
    <w:rsid w:val="00252812"/>
    <w:rsid w:val="002619A4"/>
    <w:rsid w:val="002652EF"/>
    <w:rsid w:val="00270ED4"/>
    <w:rsid w:val="002720D6"/>
    <w:rsid w:val="002728C9"/>
    <w:rsid w:val="00273F31"/>
    <w:rsid w:val="00276FCB"/>
    <w:rsid w:val="00284B9B"/>
    <w:rsid w:val="002857FB"/>
    <w:rsid w:val="00285911"/>
    <w:rsid w:val="00286D8A"/>
    <w:rsid w:val="00287B4B"/>
    <w:rsid w:val="002907FA"/>
    <w:rsid w:val="00293598"/>
    <w:rsid w:val="00293790"/>
    <w:rsid w:val="00293C8A"/>
    <w:rsid w:val="00293D5C"/>
    <w:rsid w:val="00296698"/>
    <w:rsid w:val="002A21F6"/>
    <w:rsid w:val="002A4367"/>
    <w:rsid w:val="002A49A0"/>
    <w:rsid w:val="002A6D42"/>
    <w:rsid w:val="002B0AD8"/>
    <w:rsid w:val="002B12B9"/>
    <w:rsid w:val="002B2B04"/>
    <w:rsid w:val="002B325D"/>
    <w:rsid w:val="002B506D"/>
    <w:rsid w:val="002B6B12"/>
    <w:rsid w:val="002B6C57"/>
    <w:rsid w:val="002C15DE"/>
    <w:rsid w:val="002C3C89"/>
    <w:rsid w:val="002C499A"/>
    <w:rsid w:val="002C4CE0"/>
    <w:rsid w:val="002C6AB1"/>
    <w:rsid w:val="002F1D13"/>
    <w:rsid w:val="002F3C81"/>
    <w:rsid w:val="00301410"/>
    <w:rsid w:val="00304FBC"/>
    <w:rsid w:val="0031239A"/>
    <w:rsid w:val="0031312F"/>
    <w:rsid w:val="00314F40"/>
    <w:rsid w:val="00321CA6"/>
    <w:rsid w:val="00322702"/>
    <w:rsid w:val="00322C53"/>
    <w:rsid w:val="00325975"/>
    <w:rsid w:val="00327BAB"/>
    <w:rsid w:val="00331789"/>
    <w:rsid w:val="00331961"/>
    <w:rsid w:val="00335224"/>
    <w:rsid w:val="0033670E"/>
    <w:rsid w:val="00336720"/>
    <w:rsid w:val="00337F4E"/>
    <w:rsid w:val="0034107F"/>
    <w:rsid w:val="003427CB"/>
    <w:rsid w:val="003452FD"/>
    <w:rsid w:val="00345926"/>
    <w:rsid w:val="00347AE9"/>
    <w:rsid w:val="00351FAC"/>
    <w:rsid w:val="00353F58"/>
    <w:rsid w:val="00354F81"/>
    <w:rsid w:val="0035694B"/>
    <w:rsid w:val="00356EE2"/>
    <w:rsid w:val="00357718"/>
    <w:rsid w:val="00363332"/>
    <w:rsid w:val="0037075D"/>
    <w:rsid w:val="00370B69"/>
    <w:rsid w:val="00371F01"/>
    <w:rsid w:val="0037330A"/>
    <w:rsid w:val="003739FD"/>
    <w:rsid w:val="00374036"/>
    <w:rsid w:val="00376FB4"/>
    <w:rsid w:val="00377742"/>
    <w:rsid w:val="00386148"/>
    <w:rsid w:val="0039210E"/>
    <w:rsid w:val="003929FF"/>
    <w:rsid w:val="003936FF"/>
    <w:rsid w:val="0039412B"/>
    <w:rsid w:val="00394575"/>
    <w:rsid w:val="0039476B"/>
    <w:rsid w:val="003B0C83"/>
    <w:rsid w:val="003B75B1"/>
    <w:rsid w:val="003C16BF"/>
    <w:rsid w:val="003C2F82"/>
    <w:rsid w:val="003C42E1"/>
    <w:rsid w:val="003C4F17"/>
    <w:rsid w:val="003D0ED1"/>
    <w:rsid w:val="003D1551"/>
    <w:rsid w:val="003D179F"/>
    <w:rsid w:val="003E00FD"/>
    <w:rsid w:val="003E37C9"/>
    <w:rsid w:val="003E7154"/>
    <w:rsid w:val="003F5C29"/>
    <w:rsid w:val="00403270"/>
    <w:rsid w:val="0040369C"/>
    <w:rsid w:val="00405B49"/>
    <w:rsid w:val="0040703D"/>
    <w:rsid w:val="004113C5"/>
    <w:rsid w:val="00413DF9"/>
    <w:rsid w:val="004142D2"/>
    <w:rsid w:val="00416919"/>
    <w:rsid w:val="00417EC4"/>
    <w:rsid w:val="00427CC6"/>
    <w:rsid w:val="00433BF0"/>
    <w:rsid w:val="00436EFC"/>
    <w:rsid w:val="00441EB5"/>
    <w:rsid w:val="00442316"/>
    <w:rsid w:val="00447892"/>
    <w:rsid w:val="00450816"/>
    <w:rsid w:val="00453DC1"/>
    <w:rsid w:val="00453DEE"/>
    <w:rsid w:val="00457D3F"/>
    <w:rsid w:val="00460F2D"/>
    <w:rsid w:val="004633CC"/>
    <w:rsid w:val="00463AE7"/>
    <w:rsid w:val="00466DE2"/>
    <w:rsid w:val="0047227F"/>
    <w:rsid w:val="00473D60"/>
    <w:rsid w:val="00484C68"/>
    <w:rsid w:val="00485958"/>
    <w:rsid w:val="00486BA6"/>
    <w:rsid w:val="00496236"/>
    <w:rsid w:val="004A27FE"/>
    <w:rsid w:val="004B01CC"/>
    <w:rsid w:val="004B2555"/>
    <w:rsid w:val="004B4C04"/>
    <w:rsid w:val="004B7A3F"/>
    <w:rsid w:val="004C3107"/>
    <w:rsid w:val="004D5E41"/>
    <w:rsid w:val="004D758A"/>
    <w:rsid w:val="004D7DE5"/>
    <w:rsid w:val="004E097F"/>
    <w:rsid w:val="004F007C"/>
    <w:rsid w:val="00504E2C"/>
    <w:rsid w:val="00505F5E"/>
    <w:rsid w:val="005066CA"/>
    <w:rsid w:val="005074DF"/>
    <w:rsid w:val="00510085"/>
    <w:rsid w:val="00520A1F"/>
    <w:rsid w:val="00522AF8"/>
    <w:rsid w:val="00523868"/>
    <w:rsid w:val="005303B3"/>
    <w:rsid w:val="00534858"/>
    <w:rsid w:val="005450D2"/>
    <w:rsid w:val="00545651"/>
    <w:rsid w:val="00545D36"/>
    <w:rsid w:val="005532FD"/>
    <w:rsid w:val="00554824"/>
    <w:rsid w:val="00555C52"/>
    <w:rsid w:val="005637A9"/>
    <w:rsid w:val="00563BCC"/>
    <w:rsid w:val="005673AD"/>
    <w:rsid w:val="005755B2"/>
    <w:rsid w:val="00581DE5"/>
    <w:rsid w:val="0058244A"/>
    <w:rsid w:val="00587EB7"/>
    <w:rsid w:val="00590176"/>
    <w:rsid w:val="00591F19"/>
    <w:rsid w:val="00592D14"/>
    <w:rsid w:val="00593BE4"/>
    <w:rsid w:val="00595D2A"/>
    <w:rsid w:val="005A3FBA"/>
    <w:rsid w:val="005A40A4"/>
    <w:rsid w:val="005B2ADE"/>
    <w:rsid w:val="005B2FE5"/>
    <w:rsid w:val="005B3B43"/>
    <w:rsid w:val="005B49C0"/>
    <w:rsid w:val="005C4F4D"/>
    <w:rsid w:val="005C6788"/>
    <w:rsid w:val="005D305F"/>
    <w:rsid w:val="005D7518"/>
    <w:rsid w:val="005E21D4"/>
    <w:rsid w:val="005E53B2"/>
    <w:rsid w:val="005E5941"/>
    <w:rsid w:val="005E6334"/>
    <w:rsid w:val="005E6A18"/>
    <w:rsid w:val="00600F26"/>
    <w:rsid w:val="00606DDA"/>
    <w:rsid w:val="0061176F"/>
    <w:rsid w:val="00613047"/>
    <w:rsid w:val="00613E55"/>
    <w:rsid w:val="006241FA"/>
    <w:rsid w:val="0062594E"/>
    <w:rsid w:val="00626A41"/>
    <w:rsid w:val="0063283A"/>
    <w:rsid w:val="006328CD"/>
    <w:rsid w:val="00632E60"/>
    <w:rsid w:val="00633A1F"/>
    <w:rsid w:val="00644DAC"/>
    <w:rsid w:val="00645957"/>
    <w:rsid w:val="0064699C"/>
    <w:rsid w:val="00652A41"/>
    <w:rsid w:val="0065518D"/>
    <w:rsid w:val="006573AA"/>
    <w:rsid w:val="00660CC3"/>
    <w:rsid w:val="00660D78"/>
    <w:rsid w:val="006615E8"/>
    <w:rsid w:val="00665CA8"/>
    <w:rsid w:val="006726C9"/>
    <w:rsid w:val="0067779A"/>
    <w:rsid w:val="00681594"/>
    <w:rsid w:val="00681D66"/>
    <w:rsid w:val="00683314"/>
    <w:rsid w:val="0068382B"/>
    <w:rsid w:val="00684008"/>
    <w:rsid w:val="0068597A"/>
    <w:rsid w:val="00686AF6"/>
    <w:rsid w:val="00686AFB"/>
    <w:rsid w:val="00692CEF"/>
    <w:rsid w:val="00693C8D"/>
    <w:rsid w:val="006B7D0E"/>
    <w:rsid w:val="006C2012"/>
    <w:rsid w:val="006C2E5A"/>
    <w:rsid w:val="006D59ED"/>
    <w:rsid w:val="006E2EE4"/>
    <w:rsid w:val="006E535B"/>
    <w:rsid w:val="00705759"/>
    <w:rsid w:val="00706883"/>
    <w:rsid w:val="00710414"/>
    <w:rsid w:val="0071134F"/>
    <w:rsid w:val="0071143B"/>
    <w:rsid w:val="00714CE7"/>
    <w:rsid w:val="0071511B"/>
    <w:rsid w:val="0071540F"/>
    <w:rsid w:val="00722751"/>
    <w:rsid w:val="00730409"/>
    <w:rsid w:val="00734C34"/>
    <w:rsid w:val="00735AC4"/>
    <w:rsid w:val="00744FDF"/>
    <w:rsid w:val="00745714"/>
    <w:rsid w:val="00750C2F"/>
    <w:rsid w:val="00751092"/>
    <w:rsid w:val="00751121"/>
    <w:rsid w:val="00753129"/>
    <w:rsid w:val="0075315E"/>
    <w:rsid w:val="00754C4A"/>
    <w:rsid w:val="00754EEB"/>
    <w:rsid w:val="00756D82"/>
    <w:rsid w:val="00760FEC"/>
    <w:rsid w:val="00764C13"/>
    <w:rsid w:val="00772122"/>
    <w:rsid w:val="00782202"/>
    <w:rsid w:val="00785507"/>
    <w:rsid w:val="007936BF"/>
    <w:rsid w:val="0079381C"/>
    <w:rsid w:val="00793E56"/>
    <w:rsid w:val="00796F04"/>
    <w:rsid w:val="007A2C2A"/>
    <w:rsid w:val="007A3C35"/>
    <w:rsid w:val="007A5F1E"/>
    <w:rsid w:val="007B0047"/>
    <w:rsid w:val="007B5DC4"/>
    <w:rsid w:val="007B799C"/>
    <w:rsid w:val="007B7F08"/>
    <w:rsid w:val="007C0A97"/>
    <w:rsid w:val="007C3263"/>
    <w:rsid w:val="007C686B"/>
    <w:rsid w:val="007C78EA"/>
    <w:rsid w:val="007D09AC"/>
    <w:rsid w:val="007D0E57"/>
    <w:rsid w:val="007D23E4"/>
    <w:rsid w:val="007D38E1"/>
    <w:rsid w:val="007D580E"/>
    <w:rsid w:val="007D5F95"/>
    <w:rsid w:val="007E14AF"/>
    <w:rsid w:val="007E3BEC"/>
    <w:rsid w:val="007E4C4B"/>
    <w:rsid w:val="007E62DC"/>
    <w:rsid w:val="007E6AC5"/>
    <w:rsid w:val="007F0B39"/>
    <w:rsid w:val="007F0E65"/>
    <w:rsid w:val="007F16CE"/>
    <w:rsid w:val="007F36CF"/>
    <w:rsid w:val="007F43DD"/>
    <w:rsid w:val="007F445C"/>
    <w:rsid w:val="00800271"/>
    <w:rsid w:val="00802066"/>
    <w:rsid w:val="008043AA"/>
    <w:rsid w:val="008127CE"/>
    <w:rsid w:val="0081451A"/>
    <w:rsid w:val="00820057"/>
    <w:rsid w:val="00822F06"/>
    <w:rsid w:val="008238C3"/>
    <w:rsid w:val="00825E59"/>
    <w:rsid w:val="00827F98"/>
    <w:rsid w:val="00834BEA"/>
    <w:rsid w:val="0084479E"/>
    <w:rsid w:val="008460D4"/>
    <w:rsid w:val="00846A17"/>
    <w:rsid w:val="00846CEA"/>
    <w:rsid w:val="008545D9"/>
    <w:rsid w:val="00855CA3"/>
    <w:rsid w:val="00863DCF"/>
    <w:rsid w:val="00866C0D"/>
    <w:rsid w:val="00867A70"/>
    <w:rsid w:val="0087678F"/>
    <w:rsid w:val="00876850"/>
    <w:rsid w:val="00876990"/>
    <w:rsid w:val="0087755E"/>
    <w:rsid w:val="0088084F"/>
    <w:rsid w:val="00880B75"/>
    <w:rsid w:val="00880FD9"/>
    <w:rsid w:val="00881F4D"/>
    <w:rsid w:val="008939A8"/>
    <w:rsid w:val="00895E3D"/>
    <w:rsid w:val="008977CB"/>
    <w:rsid w:val="008A1671"/>
    <w:rsid w:val="008A2435"/>
    <w:rsid w:val="008B0121"/>
    <w:rsid w:val="008B0707"/>
    <w:rsid w:val="008B2CA5"/>
    <w:rsid w:val="008B36ED"/>
    <w:rsid w:val="008B3835"/>
    <w:rsid w:val="008B66C4"/>
    <w:rsid w:val="008C09FA"/>
    <w:rsid w:val="008C1525"/>
    <w:rsid w:val="008C3CFE"/>
    <w:rsid w:val="008D034C"/>
    <w:rsid w:val="008D11FB"/>
    <w:rsid w:val="008D17BD"/>
    <w:rsid w:val="008D49D6"/>
    <w:rsid w:val="008E06F4"/>
    <w:rsid w:val="008E21E2"/>
    <w:rsid w:val="008E2638"/>
    <w:rsid w:val="008E27C6"/>
    <w:rsid w:val="008E2E25"/>
    <w:rsid w:val="008E574B"/>
    <w:rsid w:val="008E61CF"/>
    <w:rsid w:val="008E76EA"/>
    <w:rsid w:val="008E78AD"/>
    <w:rsid w:val="008F0E88"/>
    <w:rsid w:val="008F47DC"/>
    <w:rsid w:val="008F4871"/>
    <w:rsid w:val="00905BAB"/>
    <w:rsid w:val="009077E4"/>
    <w:rsid w:val="00912EB7"/>
    <w:rsid w:val="00916F7D"/>
    <w:rsid w:val="00921930"/>
    <w:rsid w:val="009267CB"/>
    <w:rsid w:val="00926E09"/>
    <w:rsid w:val="00926EDB"/>
    <w:rsid w:val="00927850"/>
    <w:rsid w:val="00932502"/>
    <w:rsid w:val="00934BA4"/>
    <w:rsid w:val="00936E6C"/>
    <w:rsid w:val="009400D5"/>
    <w:rsid w:val="0095108A"/>
    <w:rsid w:val="00953DDF"/>
    <w:rsid w:val="00960391"/>
    <w:rsid w:val="00962C3A"/>
    <w:rsid w:val="0096498D"/>
    <w:rsid w:val="009651B0"/>
    <w:rsid w:val="00965884"/>
    <w:rsid w:val="0096591F"/>
    <w:rsid w:val="00974A27"/>
    <w:rsid w:val="00974CD5"/>
    <w:rsid w:val="00985449"/>
    <w:rsid w:val="00986408"/>
    <w:rsid w:val="009900F4"/>
    <w:rsid w:val="009A440C"/>
    <w:rsid w:val="009A793D"/>
    <w:rsid w:val="009B372B"/>
    <w:rsid w:val="009B5DF7"/>
    <w:rsid w:val="009C4F1C"/>
    <w:rsid w:val="009C696A"/>
    <w:rsid w:val="009D217D"/>
    <w:rsid w:val="009D27FD"/>
    <w:rsid w:val="009D34DA"/>
    <w:rsid w:val="009E370F"/>
    <w:rsid w:val="009E76A6"/>
    <w:rsid w:val="009F4243"/>
    <w:rsid w:val="009F7299"/>
    <w:rsid w:val="00A038F4"/>
    <w:rsid w:val="00A07BCA"/>
    <w:rsid w:val="00A1148B"/>
    <w:rsid w:val="00A12777"/>
    <w:rsid w:val="00A13462"/>
    <w:rsid w:val="00A151B8"/>
    <w:rsid w:val="00A20946"/>
    <w:rsid w:val="00A20EC7"/>
    <w:rsid w:val="00A25E70"/>
    <w:rsid w:val="00A2735B"/>
    <w:rsid w:val="00A273D9"/>
    <w:rsid w:val="00A30D3A"/>
    <w:rsid w:val="00A36668"/>
    <w:rsid w:val="00A424B9"/>
    <w:rsid w:val="00A43D2A"/>
    <w:rsid w:val="00A52F9A"/>
    <w:rsid w:val="00A54FD2"/>
    <w:rsid w:val="00A560A4"/>
    <w:rsid w:val="00A65E91"/>
    <w:rsid w:val="00A76531"/>
    <w:rsid w:val="00A90A1C"/>
    <w:rsid w:val="00A939DC"/>
    <w:rsid w:val="00AA0994"/>
    <w:rsid w:val="00AA0E21"/>
    <w:rsid w:val="00AA3FC4"/>
    <w:rsid w:val="00AA5180"/>
    <w:rsid w:val="00AA66CB"/>
    <w:rsid w:val="00AB1304"/>
    <w:rsid w:val="00AB4437"/>
    <w:rsid w:val="00AC614D"/>
    <w:rsid w:val="00AD453F"/>
    <w:rsid w:val="00AD56E5"/>
    <w:rsid w:val="00AE1087"/>
    <w:rsid w:val="00AE39B7"/>
    <w:rsid w:val="00AE6BCC"/>
    <w:rsid w:val="00AE79CC"/>
    <w:rsid w:val="00AF1DC2"/>
    <w:rsid w:val="00AF270B"/>
    <w:rsid w:val="00AF3377"/>
    <w:rsid w:val="00AF3BB7"/>
    <w:rsid w:val="00AF43DC"/>
    <w:rsid w:val="00AF5E91"/>
    <w:rsid w:val="00B02E1A"/>
    <w:rsid w:val="00B0665F"/>
    <w:rsid w:val="00B13F3D"/>
    <w:rsid w:val="00B15AA4"/>
    <w:rsid w:val="00B17FED"/>
    <w:rsid w:val="00B2012D"/>
    <w:rsid w:val="00B21842"/>
    <w:rsid w:val="00B2429D"/>
    <w:rsid w:val="00B31688"/>
    <w:rsid w:val="00B32B0E"/>
    <w:rsid w:val="00B343BB"/>
    <w:rsid w:val="00B3538F"/>
    <w:rsid w:val="00B4131A"/>
    <w:rsid w:val="00B47AB0"/>
    <w:rsid w:val="00B50609"/>
    <w:rsid w:val="00B54976"/>
    <w:rsid w:val="00B60E93"/>
    <w:rsid w:val="00B64B40"/>
    <w:rsid w:val="00B66D1B"/>
    <w:rsid w:val="00B66DC3"/>
    <w:rsid w:val="00B70366"/>
    <w:rsid w:val="00B81983"/>
    <w:rsid w:val="00B82159"/>
    <w:rsid w:val="00B91048"/>
    <w:rsid w:val="00B912D8"/>
    <w:rsid w:val="00B93290"/>
    <w:rsid w:val="00B945E9"/>
    <w:rsid w:val="00B97B2E"/>
    <w:rsid w:val="00BA0A3C"/>
    <w:rsid w:val="00BA26B9"/>
    <w:rsid w:val="00BA4745"/>
    <w:rsid w:val="00BA4B70"/>
    <w:rsid w:val="00BB1E45"/>
    <w:rsid w:val="00BB70E4"/>
    <w:rsid w:val="00BB718D"/>
    <w:rsid w:val="00BC5151"/>
    <w:rsid w:val="00BC72CE"/>
    <w:rsid w:val="00BD057C"/>
    <w:rsid w:val="00BD1CBA"/>
    <w:rsid w:val="00BD266F"/>
    <w:rsid w:val="00BE1451"/>
    <w:rsid w:val="00BE4962"/>
    <w:rsid w:val="00BE4987"/>
    <w:rsid w:val="00BF3E05"/>
    <w:rsid w:val="00C027EF"/>
    <w:rsid w:val="00C0389E"/>
    <w:rsid w:val="00C046C0"/>
    <w:rsid w:val="00C05B30"/>
    <w:rsid w:val="00C1036B"/>
    <w:rsid w:val="00C10AB1"/>
    <w:rsid w:val="00C11C3D"/>
    <w:rsid w:val="00C12C14"/>
    <w:rsid w:val="00C13446"/>
    <w:rsid w:val="00C201B7"/>
    <w:rsid w:val="00C231C9"/>
    <w:rsid w:val="00C268A2"/>
    <w:rsid w:val="00C316D8"/>
    <w:rsid w:val="00C326EC"/>
    <w:rsid w:val="00C32B31"/>
    <w:rsid w:val="00C427DA"/>
    <w:rsid w:val="00C44220"/>
    <w:rsid w:val="00C444D7"/>
    <w:rsid w:val="00C5291D"/>
    <w:rsid w:val="00C52F9A"/>
    <w:rsid w:val="00C57978"/>
    <w:rsid w:val="00C60B18"/>
    <w:rsid w:val="00C615B6"/>
    <w:rsid w:val="00C62C1B"/>
    <w:rsid w:val="00C62C58"/>
    <w:rsid w:val="00C72076"/>
    <w:rsid w:val="00C74D15"/>
    <w:rsid w:val="00C91BC5"/>
    <w:rsid w:val="00C94BC1"/>
    <w:rsid w:val="00C9527F"/>
    <w:rsid w:val="00C95537"/>
    <w:rsid w:val="00C95BA0"/>
    <w:rsid w:val="00C96CCD"/>
    <w:rsid w:val="00C9739A"/>
    <w:rsid w:val="00CA3EF7"/>
    <w:rsid w:val="00CA49AA"/>
    <w:rsid w:val="00CA7775"/>
    <w:rsid w:val="00CB2C4A"/>
    <w:rsid w:val="00CB3A11"/>
    <w:rsid w:val="00CB7FB0"/>
    <w:rsid w:val="00CC5B69"/>
    <w:rsid w:val="00CC7458"/>
    <w:rsid w:val="00CD1C4D"/>
    <w:rsid w:val="00CD4AC5"/>
    <w:rsid w:val="00CD71F0"/>
    <w:rsid w:val="00CD7DEB"/>
    <w:rsid w:val="00CE2FAA"/>
    <w:rsid w:val="00CE369E"/>
    <w:rsid w:val="00CE4074"/>
    <w:rsid w:val="00CE6436"/>
    <w:rsid w:val="00CE68D8"/>
    <w:rsid w:val="00CE7EF9"/>
    <w:rsid w:val="00CF6F38"/>
    <w:rsid w:val="00CF6FB4"/>
    <w:rsid w:val="00D0227F"/>
    <w:rsid w:val="00D02D8E"/>
    <w:rsid w:val="00D02DD0"/>
    <w:rsid w:val="00D03EFF"/>
    <w:rsid w:val="00D1326C"/>
    <w:rsid w:val="00D13F1A"/>
    <w:rsid w:val="00D14E1C"/>
    <w:rsid w:val="00D24DFD"/>
    <w:rsid w:val="00D2775C"/>
    <w:rsid w:val="00D27AAB"/>
    <w:rsid w:val="00D30DF7"/>
    <w:rsid w:val="00D32A67"/>
    <w:rsid w:val="00D335E0"/>
    <w:rsid w:val="00D36D8F"/>
    <w:rsid w:val="00D36E16"/>
    <w:rsid w:val="00D37980"/>
    <w:rsid w:val="00D37B36"/>
    <w:rsid w:val="00D37FBD"/>
    <w:rsid w:val="00D46463"/>
    <w:rsid w:val="00D46702"/>
    <w:rsid w:val="00D47752"/>
    <w:rsid w:val="00D543B6"/>
    <w:rsid w:val="00D547F0"/>
    <w:rsid w:val="00D6362F"/>
    <w:rsid w:val="00D66F8F"/>
    <w:rsid w:val="00D679B6"/>
    <w:rsid w:val="00D7134D"/>
    <w:rsid w:val="00D71DDA"/>
    <w:rsid w:val="00D75310"/>
    <w:rsid w:val="00D8339E"/>
    <w:rsid w:val="00D848A2"/>
    <w:rsid w:val="00D84DBC"/>
    <w:rsid w:val="00D85AA5"/>
    <w:rsid w:val="00D9028D"/>
    <w:rsid w:val="00D91C57"/>
    <w:rsid w:val="00D961B4"/>
    <w:rsid w:val="00D97B43"/>
    <w:rsid w:val="00D97BBD"/>
    <w:rsid w:val="00DA2264"/>
    <w:rsid w:val="00DB0487"/>
    <w:rsid w:val="00DB397E"/>
    <w:rsid w:val="00DB5F85"/>
    <w:rsid w:val="00DC73AA"/>
    <w:rsid w:val="00DC741E"/>
    <w:rsid w:val="00DD057B"/>
    <w:rsid w:val="00DD50B1"/>
    <w:rsid w:val="00DD71B7"/>
    <w:rsid w:val="00DD73A3"/>
    <w:rsid w:val="00DD7DA3"/>
    <w:rsid w:val="00DD7F5B"/>
    <w:rsid w:val="00DE0106"/>
    <w:rsid w:val="00DE1068"/>
    <w:rsid w:val="00DF2A8E"/>
    <w:rsid w:val="00E06C71"/>
    <w:rsid w:val="00E07388"/>
    <w:rsid w:val="00E07A0B"/>
    <w:rsid w:val="00E1500C"/>
    <w:rsid w:val="00E15159"/>
    <w:rsid w:val="00E15A52"/>
    <w:rsid w:val="00E22EB0"/>
    <w:rsid w:val="00E247C0"/>
    <w:rsid w:val="00E25056"/>
    <w:rsid w:val="00E26145"/>
    <w:rsid w:val="00E379BC"/>
    <w:rsid w:val="00E41F77"/>
    <w:rsid w:val="00E422C3"/>
    <w:rsid w:val="00E423A4"/>
    <w:rsid w:val="00E424AF"/>
    <w:rsid w:val="00E473DC"/>
    <w:rsid w:val="00E50C5C"/>
    <w:rsid w:val="00E51F59"/>
    <w:rsid w:val="00E5283B"/>
    <w:rsid w:val="00E5469C"/>
    <w:rsid w:val="00E554B4"/>
    <w:rsid w:val="00E55507"/>
    <w:rsid w:val="00E55EA8"/>
    <w:rsid w:val="00E62284"/>
    <w:rsid w:val="00E66D27"/>
    <w:rsid w:val="00E711CA"/>
    <w:rsid w:val="00E721A7"/>
    <w:rsid w:val="00E804AF"/>
    <w:rsid w:val="00E815CD"/>
    <w:rsid w:val="00E86819"/>
    <w:rsid w:val="00E92EB4"/>
    <w:rsid w:val="00E93EB2"/>
    <w:rsid w:val="00E956B6"/>
    <w:rsid w:val="00E96D5A"/>
    <w:rsid w:val="00EA1F8B"/>
    <w:rsid w:val="00EA39B0"/>
    <w:rsid w:val="00EA6847"/>
    <w:rsid w:val="00EB271F"/>
    <w:rsid w:val="00EB4756"/>
    <w:rsid w:val="00EC0E27"/>
    <w:rsid w:val="00EC1349"/>
    <w:rsid w:val="00ED4198"/>
    <w:rsid w:val="00ED72C5"/>
    <w:rsid w:val="00ED7428"/>
    <w:rsid w:val="00EE2834"/>
    <w:rsid w:val="00EE43CA"/>
    <w:rsid w:val="00EE4571"/>
    <w:rsid w:val="00EE73B3"/>
    <w:rsid w:val="00EF5357"/>
    <w:rsid w:val="00EF5D92"/>
    <w:rsid w:val="00EF6094"/>
    <w:rsid w:val="00EF6C06"/>
    <w:rsid w:val="00F023A1"/>
    <w:rsid w:val="00F02C64"/>
    <w:rsid w:val="00F07312"/>
    <w:rsid w:val="00F11C35"/>
    <w:rsid w:val="00F11DA8"/>
    <w:rsid w:val="00F1270B"/>
    <w:rsid w:val="00F17081"/>
    <w:rsid w:val="00F223E7"/>
    <w:rsid w:val="00F2528C"/>
    <w:rsid w:val="00F2606D"/>
    <w:rsid w:val="00F2770F"/>
    <w:rsid w:val="00F36BCA"/>
    <w:rsid w:val="00F37D3C"/>
    <w:rsid w:val="00F40218"/>
    <w:rsid w:val="00F42952"/>
    <w:rsid w:val="00F455D3"/>
    <w:rsid w:val="00F53D2F"/>
    <w:rsid w:val="00F54458"/>
    <w:rsid w:val="00F6270C"/>
    <w:rsid w:val="00F64B6F"/>
    <w:rsid w:val="00F71DC0"/>
    <w:rsid w:val="00F74BF3"/>
    <w:rsid w:val="00F84F3B"/>
    <w:rsid w:val="00F929C7"/>
    <w:rsid w:val="00F930BE"/>
    <w:rsid w:val="00F945E6"/>
    <w:rsid w:val="00F951ED"/>
    <w:rsid w:val="00FA3006"/>
    <w:rsid w:val="00FA7B0B"/>
    <w:rsid w:val="00FB3EE0"/>
    <w:rsid w:val="00FB57AF"/>
    <w:rsid w:val="00FC2343"/>
    <w:rsid w:val="00FC4B7C"/>
    <w:rsid w:val="00FC6466"/>
    <w:rsid w:val="00FD0749"/>
    <w:rsid w:val="00FD0D46"/>
    <w:rsid w:val="00FD16E6"/>
    <w:rsid w:val="00FD6DDA"/>
    <w:rsid w:val="00FD7847"/>
    <w:rsid w:val="00FD7D38"/>
    <w:rsid w:val="00FE1920"/>
    <w:rsid w:val="00FE1BF1"/>
    <w:rsid w:val="00FE2372"/>
    <w:rsid w:val="00FE305D"/>
    <w:rsid w:val="00FE3E38"/>
    <w:rsid w:val="00FE7EA2"/>
    <w:rsid w:val="00FF1DC3"/>
    <w:rsid w:val="00FF62B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CB"/>
    <w:rPr>
      <w:rFonts w:ascii="Times New Roman" w:hAnsi="Times New Roman"/>
      <w:sz w:val="24"/>
      <w:szCs w:val="22"/>
    </w:rPr>
  </w:style>
  <w:style w:type="paragraph" w:styleId="Heading1">
    <w:name w:val="heading 1"/>
    <w:basedOn w:val="Normal"/>
    <w:next w:val="Normal"/>
    <w:link w:val="Heading1Char"/>
    <w:uiPriority w:val="9"/>
    <w:qFormat/>
    <w:locked/>
    <w:rsid w:val="00BB1E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A66CB"/>
    <w:pPr>
      <w:widowControl w:val="0"/>
      <w:spacing w:before="240" w:after="120" w:line="360" w:lineRule="exact"/>
      <w:outlineLvl w:val="1"/>
    </w:pPr>
    <w:rPr>
      <w:rFonts w:ascii="Arial" w:eastAsia="Times New Roman" w:hAnsi="Arial"/>
      <w:b/>
      <w:szCs w:val="20"/>
    </w:rPr>
  </w:style>
  <w:style w:type="paragraph" w:styleId="Heading3">
    <w:name w:val="heading 3"/>
    <w:basedOn w:val="Normal"/>
    <w:next w:val="Normal"/>
    <w:link w:val="Heading3Char"/>
    <w:uiPriority w:val="9"/>
    <w:unhideWhenUsed/>
    <w:qFormat/>
    <w:locked/>
    <w:rsid w:val="00BB1E45"/>
    <w:pPr>
      <w:keepNext/>
      <w:keepLines/>
      <w:spacing w:before="200"/>
      <w:outlineLvl w:val="2"/>
    </w:pPr>
    <w:rPr>
      <w:rFonts w:asciiTheme="majorHAnsi" w:eastAsiaTheme="majorEastAsia" w:hAnsiTheme="majorHAnsi" w:cstheme="majorBidi"/>
      <w:b/>
      <w:bCs/>
      <w:color w:val="4F81BD"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AA66CB"/>
    <w:rPr>
      <w:rFonts w:ascii="Arial" w:hAnsi="Arial" w:cs="Times New Roman"/>
      <w:b/>
      <w:sz w:val="20"/>
      <w:szCs w:val="20"/>
    </w:rPr>
  </w:style>
  <w:style w:type="paragraph" w:styleId="ListParagraph">
    <w:name w:val="List Paragraph"/>
    <w:basedOn w:val="Normal"/>
    <w:uiPriority w:val="34"/>
    <w:qFormat/>
    <w:rsid w:val="00AA66CB"/>
    <w:pPr>
      <w:spacing w:after="200" w:line="276" w:lineRule="auto"/>
      <w:ind w:left="720"/>
      <w:contextualSpacing/>
    </w:pPr>
    <w:rPr>
      <w:rFonts w:ascii="Calibri" w:hAnsi="Calibri"/>
      <w:sz w:val="22"/>
    </w:rPr>
  </w:style>
  <w:style w:type="paragraph" w:styleId="FootnoteText">
    <w:name w:val="footnote text"/>
    <w:basedOn w:val="Normal"/>
    <w:link w:val="FootnoteTextChar"/>
    <w:uiPriority w:val="99"/>
    <w:rsid w:val="00AA66CB"/>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locked/>
    <w:rsid w:val="00AA66CB"/>
    <w:rPr>
      <w:rFonts w:ascii="Calibri" w:hAnsi="Calibri" w:cs="Times New Roman"/>
      <w:sz w:val="20"/>
      <w:szCs w:val="20"/>
    </w:rPr>
  </w:style>
  <w:style w:type="character" w:styleId="FootnoteReference">
    <w:name w:val="footnote reference"/>
    <w:basedOn w:val="DefaultParagraphFont"/>
    <w:uiPriority w:val="99"/>
    <w:rsid w:val="00AA66CB"/>
    <w:rPr>
      <w:rFonts w:cs="Times New Roman"/>
      <w:vertAlign w:val="superscript"/>
    </w:rPr>
  </w:style>
  <w:style w:type="paragraph" w:styleId="BalloonText">
    <w:name w:val="Balloon Text"/>
    <w:basedOn w:val="Normal"/>
    <w:link w:val="BalloonTextChar"/>
    <w:uiPriority w:val="99"/>
    <w:semiHidden/>
    <w:rsid w:val="00EA68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6847"/>
    <w:rPr>
      <w:rFonts w:ascii="Tahoma" w:hAnsi="Tahoma" w:cs="Tahoma"/>
      <w:sz w:val="16"/>
      <w:szCs w:val="16"/>
    </w:rPr>
  </w:style>
  <w:style w:type="character" w:styleId="CommentReference">
    <w:name w:val="annotation reference"/>
    <w:basedOn w:val="DefaultParagraphFont"/>
    <w:uiPriority w:val="99"/>
    <w:rsid w:val="00026EFB"/>
    <w:rPr>
      <w:rFonts w:cs="Times New Roman"/>
      <w:sz w:val="16"/>
      <w:szCs w:val="16"/>
    </w:rPr>
  </w:style>
  <w:style w:type="paragraph" w:styleId="CommentText">
    <w:name w:val="annotation text"/>
    <w:basedOn w:val="Normal"/>
    <w:link w:val="CommentTextChar"/>
    <w:uiPriority w:val="99"/>
    <w:rsid w:val="00026EFB"/>
    <w:rPr>
      <w:sz w:val="20"/>
      <w:szCs w:val="20"/>
    </w:rPr>
  </w:style>
  <w:style w:type="character" w:customStyle="1" w:styleId="CommentTextChar">
    <w:name w:val="Comment Text Char"/>
    <w:basedOn w:val="DefaultParagraphFont"/>
    <w:link w:val="CommentText"/>
    <w:uiPriority w:val="99"/>
    <w:locked/>
    <w:rsid w:val="00026EF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26EFB"/>
    <w:rPr>
      <w:b/>
      <w:bCs/>
    </w:rPr>
  </w:style>
  <w:style w:type="character" w:customStyle="1" w:styleId="CommentSubjectChar">
    <w:name w:val="Comment Subject Char"/>
    <w:basedOn w:val="CommentTextChar"/>
    <w:link w:val="CommentSubject"/>
    <w:uiPriority w:val="99"/>
    <w:semiHidden/>
    <w:locked/>
    <w:rsid w:val="00026EFB"/>
    <w:rPr>
      <w:rFonts w:ascii="Times New Roman" w:hAnsi="Times New Roman" w:cs="Times New Roman"/>
      <w:b/>
      <w:bCs/>
      <w:sz w:val="20"/>
      <w:szCs w:val="20"/>
    </w:rPr>
  </w:style>
  <w:style w:type="paragraph" w:styleId="Header">
    <w:name w:val="header"/>
    <w:basedOn w:val="Normal"/>
    <w:link w:val="HeaderChar"/>
    <w:uiPriority w:val="99"/>
    <w:unhideWhenUsed/>
    <w:rsid w:val="00A151B8"/>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A151B8"/>
    <w:rPr>
      <w:rFonts w:ascii="Times New Roman" w:eastAsiaTheme="minorHAnsi" w:hAnsi="Times New Roman" w:cstheme="minorBidi"/>
      <w:sz w:val="24"/>
      <w:szCs w:val="22"/>
    </w:rPr>
  </w:style>
  <w:style w:type="paragraph" w:styleId="Footer">
    <w:name w:val="footer"/>
    <w:basedOn w:val="Normal"/>
    <w:link w:val="FooterChar"/>
    <w:uiPriority w:val="99"/>
    <w:unhideWhenUsed/>
    <w:rsid w:val="00A151B8"/>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A151B8"/>
    <w:rPr>
      <w:rFonts w:ascii="Times New Roman" w:eastAsiaTheme="minorHAnsi" w:hAnsi="Times New Roman" w:cstheme="minorBidi"/>
      <w:sz w:val="24"/>
      <w:szCs w:val="22"/>
    </w:rPr>
  </w:style>
  <w:style w:type="character" w:customStyle="1" w:styleId="Heading1Char">
    <w:name w:val="Heading 1 Char"/>
    <w:basedOn w:val="DefaultParagraphFont"/>
    <w:link w:val="Heading1"/>
    <w:uiPriority w:val="9"/>
    <w:rsid w:val="00BB1E4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B1E45"/>
    <w:rPr>
      <w:rFonts w:asciiTheme="majorHAnsi" w:eastAsiaTheme="majorEastAsia" w:hAnsiTheme="majorHAnsi" w:cstheme="majorBidi"/>
      <w:b/>
      <w:bCs/>
      <w:color w:val="4F81BD" w:themeColor="accent1"/>
      <w:sz w:val="24"/>
    </w:rPr>
  </w:style>
  <w:style w:type="paragraph" w:customStyle="1" w:styleId="PPSSTOBullet">
    <w:name w:val="PPSS TO Bullet"/>
    <w:basedOn w:val="Normal"/>
    <w:qFormat/>
    <w:rsid w:val="00BB1E45"/>
    <w:pPr>
      <w:numPr>
        <w:numId w:val="1"/>
      </w:numPr>
      <w:tabs>
        <w:tab w:val="num" w:pos="360"/>
      </w:tabs>
      <w:spacing w:before="60" w:after="60"/>
      <w:ind w:left="0" w:firstLine="0"/>
    </w:pPr>
    <w:rPr>
      <w:rFonts w:asciiTheme="minorHAnsi" w:eastAsia="Times New Roman" w:hAnsiTheme="minorHAnsi" w:cstheme="minorHAnsi"/>
      <w:sz w:val="22"/>
    </w:rPr>
  </w:style>
  <w:style w:type="paragraph" w:customStyle="1" w:styleId="PPSSTOExhibitTitle">
    <w:name w:val="PPSS TO Exhibit Title"/>
    <w:basedOn w:val="Normal"/>
    <w:qFormat/>
    <w:rsid w:val="00BB1E45"/>
    <w:pPr>
      <w:spacing w:before="240"/>
      <w:jc w:val="center"/>
    </w:pPr>
    <w:rPr>
      <w:rFonts w:asciiTheme="minorHAnsi" w:eastAsia="Times New Roman" w:hAnsiTheme="minorHAnsi" w:cstheme="minorHAnsi"/>
      <w:b/>
      <w:szCs w:val="20"/>
    </w:rPr>
  </w:style>
  <w:style w:type="paragraph" w:customStyle="1" w:styleId="PPSSTOColumnHeading">
    <w:name w:val="PPSS TO Column Heading"/>
    <w:basedOn w:val="PPSSTOExhibitTitle"/>
    <w:qFormat/>
    <w:rsid w:val="00BB1E45"/>
    <w:pPr>
      <w:spacing w:before="40" w:after="40"/>
    </w:pPr>
    <w:rPr>
      <w:sz w:val="20"/>
    </w:rPr>
  </w:style>
  <w:style w:type="paragraph" w:customStyle="1" w:styleId="PPSSTOHeading1">
    <w:name w:val="PPSS TO Heading 1"/>
    <w:basedOn w:val="Normal"/>
    <w:qFormat/>
    <w:rsid w:val="00BB1E45"/>
    <w:pPr>
      <w:spacing w:before="240" w:after="120"/>
    </w:pPr>
    <w:rPr>
      <w:rFonts w:asciiTheme="minorHAnsi" w:eastAsia="Times New Roman" w:hAnsiTheme="minorHAnsi" w:cstheme="minorHAnsi"/>
      <w:b/>
      <w:color w:val="000000" w:themeColor="text1"/>
      <w:szCs w:val="20"/>
    </w:rPr>
  </w:style>
  <w:style w:type="paragraph" w:customStyle="1" w:styleId="PPSSTOHeading2">
    <w:name w:val="PPSS TO Heading 2"/>
    <w:basedOn w:val="Normal"/>
    <w:qFormat/>
    <w:rsid w:val="00BB1E45"/>
    <w:pPr>
      <w:spacing w:before="120" w:after="120"/>
      <w:ind w:left="360"/>
    </w:pPr>
    <w:rPr>
      <w:rFonts w:asciiTheme="minorHAnsi" w:eastAsia="Times New Roman" w:hAnsiTheme="minorHAnsi" w:cstheme="minorHAnsi"/>
      <w:b/>
      <w:color w:val="000000" w:themeColor="text1"/>
      <w:szCs w:val="20"/>
    </w:rPr>
  </w:style>
  <w:style w:type="paragraph" w:customStyle="1" w:styleId="PPSSTOHeading3">
    <w:name w:val="PPSS TO Heading 3"/>
    <w:basedOn w:val="Normal"/>
    <w:qFormat/>
    <w:rsid w:val="00BB1E45"/>
    <w:pPr>
      <w:spacing w:before="120" w:after="120"/>
      <w:ind w:left="360"/>
    </w:pPr>
    <w:rPr>
      <w:rFonts w:asciiTheme="minorHAnsi" w:eastAsia="Times New Roman" w:hAnsiTheme="minorHAnsi" w:cstheme="minorHAnsi"/>
      <w:i/>
      <w:szCs w:val="20"/>
    </w:rPr>
  </w:style>
  <w:style w:type="paragraph" w:customStyle="1" w:styleId="PPSSTOTableCellNumber">
    <w:name w:val="PPSS TO Table Cell Number"/>
    <w:basedOn w:val="PPSSTOExhibitTitle"/>
    <w:qFormat/>
    <w:rsid w:val="00BB1E45"/>
    <w:pPr>
      <w:spacing w:before="40" w:after="40"/>
      <w:jc w:val="right"/>
    </w:pPr>
    <w:rPr>
      <w:b w:val="0"/>
      <w:sz w:val="20"/>
    </w:rPr>
  </w:style>
  <w:style w:type="paragraph" w:customStyle="1" w:styleId="PPSSTOTableCellText">
    <w:name w:val="PPSS TO Table Cell Text"/>
    <w:basedOn w:val="PPSSTOExhibitTitle"/>
    <w:qFormat/>
    <w:rsid w:val="00BB1E45"/>
    <w:pPr>
      <w:spacing w:before="40" w:after="40"/>
      <w:jc w:val="left"/>
    </w:pPr>
    <w:rPr>
      <w:b w:val="0"/>
      <w:sz w:val="20"/>
    </w:rPr>
  </w:style>
  <w:style w:type="paragraph" w:customStyle="1" w:styleId="PPSSTOTablefootnote">
    <w:name w:val="PPSS TO Table footnote"/>
    <w:basedOn w:val="PPSSTOExhibitTitle"/>
    <w:qFormat/>
    <w:rsid w:val="00BB1E45"/>
    <w:pPr>
      <w:spacing w:before="40" w:after="40"/>
      <w:jc w:val="left"/>
    </w:pPr>
    <w:rPr>
      <w:b w:val="0"/>
      <w:sz w:val="16"/>
      <w:szCs w:val="16"/>
    </w:rPr>
  </w:style>
  <w:style w:type="paragraph" w:customStyle="1" w:styleId="PPSSTOTableRowHeading">
    <w:name w:val="PPSS TO Table Row Heading"/>
    <w:basedOn w:val="PPSSTOExhibitTitle"/>
    <w:qFormat/>
    <w:rsid w:val="00BB1E45"/>
    <w:pPr>
      <w:spacing w:before="40" w:after="40"/>
      <w:jc w:val="left"/>
    </w:pPr>
    <w:rPr>
      <w:b w:val="0"/>
      <w:sz w:val="20"/>
    </w:rPr>
  </w:style>
  <w:style w:type="paragraph" w:customStyle="1" w:styleId="PPSSTOText">
    <w:name w:val="PPSS TO Text"/>
    <w:basedOn w:val="Normal"/>
    <w:qFormat/>
    <w:rsid w:val="00BB1E45"/>
    <w:pPr>
      <w:spacing w:before="120" w:after="120"/>
    </w:pPr>
    <w:rPr>
      <w:rFonts w:asciiTheme="minorHAnsi" w:eastAsia="Times New Roman" w:hAnsiTheme="minorHAnsi" w:cstheme="minorHAnsi"/>
      <w:sz w:val="22"/>
    </w:rPr>
  </w:style>
  <w:style w:type="paragraph" w:customStyle="1" w:styleId="PPSSTOTitle">
    <w:name w:val="PPSS TO Title"/>
    <w:basedOn w:val="Normal"/>
    <w:qFormat/>
    <w:rsid w:val="00BB1E45"/>
    <w:pPr>
      <w:spacing w:after="240"/>
      <w:jc w:val="center"/>
    </w:pPr>
    <w:rPr>
      <w:rFonts w:asciiTheme="minorHAnsi" w:eastAsia="Times New Roman" w:hAnsiTheme="minorHAnsi" w:cstheme="minorHAnsi"/>
      <w:b/>
      <w:color w:val="17365D" w:themeColor="text2" w:themeShade="BF"/>
      <w:sz w:val="28"/>
      <w:szCs w:val="28"/>
    </w:rPr>
  </w:style>
  <w:style w:type="paragraph" w:styleId="Revision">
    <w:name w:val="Revision"/>
    <w:hidden/>
    <w:uiPriority w:val="99"/>
    <w:semiHidden/>
    <w:rsid w:val="00BB1E45"/>
    <w:rPr>
      <w:rFonts w:ascii="Courier" w:eastAsia="Times New Roman" w:hAnsi="Courier"/>
      <w:sz w:val="24"/>
    </w:rPr>
  </w:style>
  <w:style w:type="paragraph" w:customStyle="1" w:styleId="PPSSTOReferences">
    <w:name w:val="PPSS TO References"/>
    <w:basedOn w:val="Normal"/>
    <w:qFormat/>
    <w:rsid w:val="00BB1E45"/>
    <w:pPr>
      <w:tabs>
        <w:tab w:val="left" w:pos="-720"/>
      </w:tabs>
      <w:suppressAutoHyphens/>
      <w:spacing w:before="40" w:after="40"/>
      <w:ind w:left="360" w:hanging="360"/>
    </w:pPr>
    <w:rPr>
      <w:rFonts w:asciiTheme="minorHAnsi" w:eastAsia="Times New Roman" w:hAnsiTheme="minorHAnsi" w:cstheme="minorHAnsi"/>
      <w:sz w:val="22"/>
    </w:rPr>
  </w:style>
  <w:style w:type="paragraph" w:customStyle="1" w:styleId="PPSSTOFootnotes">
    <w:name w:val="PPSS TO Footnotes"/>
    <w:basedOn w:val="Normal"/>
    <w:qFormat/>
    <w:rsid w:val="00BB1E45"/>
    <w:rPr>
      <w:rFonts w:asciiTheme="minorHAnsi" w:eastAsia="Times New Roman" w:hAnsiTheme="minorHAnsi" w:cstheme="minorHAnsi"/>
      <w:color w:val="000000" w:themeColor="text1"/>
      <w:sz w:val="20"/>
      <w:szCs w:val="20"/>
    </w:rPr>
  </w:style>
  <w:style w:type="character" w:styleId="PageNumber">
    <w:name w:val="page number"/>
    <w:basedOn w:val="DefaultParagraphFont"/>
    <w:rsid w:val="00BB1E45"/>
  </w:style>
  <w:style w:type="paragraph" w:styleId="TOCHeading">
    <w:name w:val="TOC Heading"/>
    <w:basedOn w:val="Heading1"/>
    <w:next w:val="Normal"/>
    <w:uiPriority w:val="39"/>
    <w:semiHidden/>
    <w:unhideWhenUsed/>
    <w:qFormat/>
    <w:rsid w:val="00BB1E45"/>
    <w:pPr>
      <w:spacing w:line="276" w:lineRule="auto"/>
      <w:outlineLvl w:val="9"/>
    </w:pPr>
    <w:rPr>
      <w:lang w:eastAsia="ja-JP"/>
    </w:rPr>
  </w:style>
  <w:style w:type="paragraph" w:styleId="TOC2">
    <w:name w:val="toc 2"/>
    <w:basedOn w:val="Normal"/>
    <w:next w:val="Normal"/>
    <w:autoRedefine/>
    <w:uiPriority w:val="39"/>
    <w:locked/>
    <w:rsid w:val="00BB1E45"/>
    <w:pPr>
      <w:spacing w:after="100"/>
      <w:ind w:left="240"/>
    </w:pPr>
    <w:rPr>
      <w:rFonts w:ascii="Courier" w:eastAsia="Times New Roman" w:hAnsi="Courier"/>
      <w:szCs w:val="20"/>
    </w:rPr>
  </w:style>
  <w:style w:type="character" w:styleId="Hyperlink">
    <w:name w:val="Hyperlink"/>
    <w:basedOn w:val="DefaultParagraphFont"/>
    <w:uiPriority w:val="99"/>
    <w:unhideWhenUsed/>
    <w:rsid w:val="00BB1E45"/>
    <w:rPr>
      <w:color w:val="0000FF" w:themeColor="hyperlink"/>
      <w:u w:val="single"/>
    </w:rPr>
  </w:style>
  <w:style w:type="paragraph" w:styleId="TOC1">
    <w:name w:val="toc 1"/>
    <w:basedOn w:val="Normal"/>
    <w:next w:val="Normal"/>
    <w:autoRedefine/>
    <w:uiPriority w:val="39"/>
    <w:locked/>
    <w:rsid w:val="00377742"/>
    <w:pPr>
      <w:tabs>
        <w:tab w:val="right" w:leader="dot" w:pos="9350"/>
      </w:tabs>
      <w:spacing w:after="100"/>
    </w:pPr>
    <w:rPr>
      <w:rFonts w:asciiTheme="minorHAnsi" w:eastAsia="Times New Roman" w:hAnsiTheme="minorHAnsi"/>
      <w:szCs w:val="20"/>
    </w:rPr>
  </w:style>
  <w:style w:type="paragraph" w:styleId="TOC3">
    <w:name w:val="toc 3"/>
    <w:basedOn w:val="Normal"/>
    <w:next w:val="Normal"/>
    <w:autoRedefine/>
    <w:uiPriority w:val="39"/>
    <w:locked/>
    <w:rsid w:val="00BB1E45"/>
    <w:pPr>
      <w:spacing w:after="100"/>
      <w:ind w:left="480"/>
    </w:pPr>
    <w:rPr>
      <w:rFonts w:ascii="Courier" w:eastAsia="Times New Roman" w:hAnsi="Courier"/>
      <w:szCs w:val="20"/>
    </w:rPr>
  </w:style>
  <w:style w:type="table" w:styleId="TableGrid">
    <w:name w:val="Table Grid"/>
    <w:basedOn w:val="TableNormal"/>
    <w:uiPriority w:val="59"/>
    <w:locked/>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BB1E45"/>
    <w:rPr>
      <w:rFonts w:ascii="Courier" w:eastAsia="Times New Roman" w:hAnsi="Courier"/>
      <w:szCs w:val="20"/>
    </w:rPr>
  </w:style>
  <w:style w:type="table" w:customStyle="1" w:styleId="TableGrid1">
    <w:name w:val="Table Grid1"/>
    <w:basedOn w:val="TableNormal"/>
    <w:next w:val="TableGrid"/>
    <w:uiPriority w:val="59"/>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uiPriority w:val="1"/>
    <w:qFormat/>
    <w:rsid w:val="00BB1E45"/>
    <w:rPr>
      <w:i/>
    </w:rPr>
  </w:style>
  <w:style w:type="character" w:styleId="Strong">
    <w:name w:val="Strong"/>
    <w:basedOn w:val="DefaultParagraphFont"/>
    <w:qFormat/>
    <w:locked/>
    <w:rsid w:val="00BB1E45"/>
    <w:rPr>
      <w:b/>
      <w:bCs/>
    </w:rPr>
  </w:style>
  <w:style w:type="numbering" w:customStyle="1" w:styleId="NoList1">
    <w:name w:val="No List1"/>
    <w:next w:val="NoList"/>
    <w:uiPriority w:val="99"/>
    <w:semiHidden/>
    <w:unhideWhenUsed/>
    <w:rsid w:val="00BB1E45"/>
  </w:style>
  <w:style w:type="paragraph" w:customStyle="1" w:styleId="Topics">
    <w:name w:val="Topics"/>
    <w:basedOn w:val="Normal"/>
    <w:rsid w:val="00BB1E45"/>
    <w:pPr>
      <w:spacing w:after="240"/>
      <w:ind w:left="720" w:hanging="720"/>
    </w:pPr>
    <w:rPr>
      <w:rFonts w:eastAsia="Times New Roman"/>
      <w:szCs w:val="24"/>
    </w:rPr>
  </w:style>
  <w:style w:type="paragraph" w:customStyle="1" w:styleId="bullet">
    <w:name w:val="bullet"/>
    <w:basedOn w:val="Normal"/>
    <w:rsid w:val="00BB1E45"/>
    <w:rPr>
      <w:rFonts w:eastAsia="Times New Roman" w:cs="MS Sans Serif"/>
      <w:szCs w:val="20"/>
    </w:rPr>
  </w:style>
  <w:style w:type="paragraph" w:styleId="NormalWeb">
    <w:name w:val="Normal (Web)"/>
    <w:basedOn w:val="Normal"/>
    <w:uiPriority w:val="99"/>
    <w:semiHidden/>
    <w:unhideWhenUsed/>
    <w:rsid w:val="00BB1E45"/>
    <w:pPr>
      <w:spacing w:before="100" w:beforeAutospacing="1" w:after="100" w:afterAutospacing="1"/>
    </w:pPr>
    <w:rPr>
      <w:rFonts w:eastAsia="Times New Roman"/>
      <w:szCs w:val="24"/>
    </w:rPr>
  </w:style>
  <w:style w:type="numbering" w:customStyle="1" w:styleId="NoList2">
    <w:name w:val="No List2"/>
    <w:next w:val="NoList"/>
    <w:uiPriority w:val="99"/>
    <w:semiHidden/>
    <w:unhideWhenUsed/>
    <w:rsid w:val="00BB1E45"/>
  </w:style>
  <w:style w:type="character" w:customStyle="1" w:styleId="msoins0">
    <w:name w:val="msoins"/>
    <w:basedOn w:val="DefaultParagraphFont"/>
    <w:rsid w:val="00BB1E45"/>
  </w:style>
  <w:style w:type="numbering" w:customStyle="1" w:styleId="NoList11">
    <w:name w:val="No List11"/>
    <w:next w:val="NoList"/>
    <w:uiPriority w:val="99"/>
    <w:semiHidden/>
    <w:unhideWhenUsed/>
    <w:rsid w:val="00BB1E45"/>
  </w:style>
  <w:style w:type="paragraph" w:customStyle="1" w:styleId="Default">
    <w:name w:val="Default"/>
    <w:rsid w:val="00BB1E45"/>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BB1E45"/>
    <w:rPr>
      <w:rFonts w:ascii="Lucida Grande" w:eastAsia="Times New Roman" w:hAnsi="Lucida Grande" w:cs="Lucida Grande"/>
      <w:sz w:val="22"/>
    </w:rPr>
  </w:style>
  <w:style w:type="character" w:customStyle="1" w:styleId="DocumentMapChar">
    <w:name w:val="Document Map Char"/>
    <w:basedOn w:val="DefaultParagraphFont"/>
    <w:link w:val="DocumentMap1"/>
    <w:uiPriority w:val="99"/>
    <w:semiHidden/>
    <w:rsid w:val="00BB1E45"/>
    <w:rPr>
      <w:rFonts w:ascii="Lucida Grande" w:eastAsia="Times New Roman" w:hAnsi="Lucida Grande" w:cs="Lucida Grande"/>
      <w:sz w:val="22"/>
      <w:szCs w:val="22"/>
    </w:rPr>
  </w:style>
  <w:style w:type="paragraph" w:styleId="DocumentMap">
    <w:name w:val="Document Map"/>
    <w:basedOn w:val="Normal"/>
    <w:link w:val="DocumentMapChar1"/>
    <w:uiPriority w:val="99"/>
    <w:semiHidden/>
    <w:unhideWhenUsed/>
    <w:rsid w:val="00BB1E45"/>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BB1E45"/>
    <w:rPr>
      <w:rFonts w:ascii="Tahoma" w:eastAsia="Times New Roman" w:hAnsi="Tahoma" w:cs="Tahoma"/>
      <w:sz w:val="16"/>
      <w:szCs w:val="16"/>
    </w:rPr>
  </w:style>
  <w:style w:type="paragraph" w:styleId="ListBullet">
    <w:name w:val="List Bullet"/>
    <w:basedOn w:val="Normal"/>
    <w:uiPriority w:val="99"/>
    <w:unhideWhenUsed/>
    <w:rsid w:val="00BB1E45"/>
    <w:pPr>
      <w:numPr>
        <w:numId w:val="2"/>
      </w:numPr>
      <w:contextualSpacing/>
    </w:pPr>
    <w:rPr>
      <w:rFonts w:ascii="Courier" w:eastAsia="Times New Roman" w:hAnsi="Courier"/>
      <w:szCs w:val="20"/>
    </w:rPr>
  </w:style>
  <w:style w:type="paragraph" w:styleId="Title">
    <w:name w:val="Title"/>
    <w:basedOn w:val="Normal"/>
    <w:link w:val="TitleChar"/>
    <w:uiPriority w:val="99"/>
    <w:qFormat/>
    <w:locked/>
    <w:rsid w:val="00BB1E45"/>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BB1E45"/>
    <w:rPr>
      <w:rFonts w:ascii="Arial" w:eastAsia="Times New Roman" w:hAnsi="Arial"/>
      <w:b/>
      <w:kern w:val="28"/>
      <w:sz w:val="32"/>
    </w:rPr>
  </w:style>
  <w:style w:type="table" w:customStyle="1" w:styleId="PPSS-Tables1">
    <w:name w:val="PPSS-Tables1"/>
    <w:basedOn w:val="TableNormal"/>
    <w:next w:val="TableList3"/>
    <w:locked/>
    <w:rsid w:val="00BB1E45"/>
    <w:rPr>
      <w:rFonts w:ascii="Times New Roman" w:eastAsia="Times New Roman" w:hAnsi="Times New Roman"/>
      <w:color w:val="00000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B1E45"/>
    <w:rPr>
      <w:rFonts w:ascii="Times New Roman" w:eastAsia="Times New Roman" w:hAnsi="Times New Roman"/>
      <w:sz w:val="22"/>
      <w:szCs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styleId="NoSpacing">
    <w:name w:val="No Spacing"/>
    <w:uiPriority w:val="1"/>
    <w:qFormat/>
    <w:rsid w:val="00BB1E45"/>
    <w:rPr>
      <w:rFonts w:asciiTheme="minorHAnsi" w:eastAsiaTheme="minorHAnsi" w:hAnsiTheme="minorHAnsi" w:cstheme="minorBidi"/>
      <w:sz w:val="22"/>
      <w:szCs w:val="22"/>
    </w:rPr>
  </w:style>
  <w:style w:type="paragraph" w:customStyle="1" w:styleId="PPSSTOPropText">
    <w:name w:val="PPSS TO Prop Text"/>
    <w:basedOn w:val="Normal"/>
    <w:qFormat/>
    <w:locked/>
    <w:rsid w:val="00BB1E45"/>
    <w:pPr>
      <w:spacing w:before="40" w:after="20"/>
      <w:ind w:firstLine="360"/>
    </w:pPr>
    <w:rPr>
      <w:rFonts w:eastAsia="Times New Roman"/>
      <w:szCs w:val="24"/>
    </w:rPr>
  </w:style>
  <w:style w:type="character" w:styleId="FollowedHyperlink">
    <w:name w:val="FollowedHyperlink"/>
    <w:basedOn w:val="DefaultParagraphFont"/>
    <w:uiPriority w:val="99"/>
    <w:semiHidden/>
    <w:unhideWhenUsed/>
    <w:rsid w:val="00BB1E45"/>
    <w:rPr>
      <w:color w:val="800080" w:themeColor="followedHyperlink"/>
      <w:u w:val="single"/>
    </w:rPr>
  </w:style>
  <w:style w:type="paragraph" w:styleId="Caption">
    <w:name w:val="caption"/>
    <w:basedOn w:val="Normal"/>
    <w:next w:val="Normal"/>
    <w:unhideWhenUsed/>
    <w:qFormat/>
    <w:locked/>
    <w:rsid w:val="00AF43DC"/>
    <w:pPr>
      <w:spacing w:after="200"/>
    </w:pPr>
    <w:rPr>
      <w:i/>
      <w:iCs/>
      <w:color w:val="1F497D" w:themeColor="text2"/>
      <w:sz w:val="18"/>
      <w:szCs w:val="18"/>
    </w:rPr>
  </w:style>
  <w:style w:type="paragraph" w:customStyle="1" w:styleId="TableHeader">
    <w:name w:val="Table Header"/>
    <w:basedOn w:val="Normal"/>
    <w:qFormat/>
    <w:rsid w:val="00AF43DC"/>
    <w:pPr>
      <w:jc w:val="center"/>
    </w:pPr>
    <w:rPr>
      <w:rFonts w:asciiTheme="minorHAnsi" w:eastAsiaTheme="minorHAnsi" w:hAnsiTheme="minorHAnsi" w:cstheme="minorBidi"/>
      <w:b/>
      <w:sz w:val="20"/>
      <w:szCs w:val="20"/>
    </w:rPr>
  </w:style>
  <w:style w:type="paragraph" w:customStyle="1" w:styleId="TableText-left">
    <w:name w:val="Table Text - left"/>
    <w:basedOn w:val="Normal"/>
    <w:qFormat/>
    <w:rsid w:val="00AF43DC"/>
    <w:rPr>
      <w:rFonts w:asciiTheme="minorHAnsi" w:eastAsiaTheme="minorHAnsi" w:hAnsiTheme="minorHAnsi" w:cstheme="minorBidi"/>
      <w:sz w:val="20"/>
      <w:szCs w:val="20"/>
    </w:rPr>
  </w:style>
  <w:style w:type="paragraph" w:customStyle="1" w:styleId="TableText-centered">
    <w:name w:val="Table Text - centered"/>
    <w:basedOn w:val="TableText-left"/>
    <w:qFormat/>
    <w:rsid w:val="00AF43DC"/>
    <w:pPr>
      <w:jc w:val="center"/>
    </w:pPr>
  </w:style>
  <w:style w:type="paragraph" w:styleId="BodyText">
    <w:name w:val="Body Text"/>
    <w:basedOn w:val="Normal"/>
    <w:link w:val="BodyTextChar"/>
    <w:semiHidden/>
    <w:unhideWhenUsed/>
    <w:rsid w:val="00D02D8E"/>
    <w:pPr>
      <w:spacing w:before="120" w:after="120"/>
      <w:ind w:firstLine="720"/>
    </w:pPr>
    <w:rPr>
      <w:rFonts w:eastAsia="Times New Roman"/>
      <w:szCs w:val="20"/>
    </w:rPr>
  </w:style>
  <w:style w:type="character" w:customStyle="1" w:styleId="BodyTextChar">
    <w:name w:val="Body Text Char"/>
    <w:basedOn w:val="DefaultParagraphFont"/>
    <w:link w:val="BodyText"/>
    <w:semiHidden/>
    <w:rsid w:val="00D02D8E"/>
    <w:rPr>
      <w:rFonts w:ascii="Times New Roman" w:eastAsia="Times New Roman" w:hAnsi="Times New Roman"/>
      <w:sz w:val="24"/>
    </w:rPr>
  </w:style>
  <w:style w:type="paragraph" w:customStyle="1" w:styleId="SubjectLine">
    <w:name w:val="Subject Line"/>
    <w:basedOn w:val="Normal"/>
    <w:next w:val="BodyText"/>
    <w:rsid w:val="00D02D8E"/>
    <w:pPr>
      <w:spacing w:after="220" w:line="220" w:lineRule="atLeast"/>
    </w:pPr>
    <w:rPr>
      <w:rFonts w:ascii="Arial Black" w:eastAsia="Times New Roman" w:hAnsi="Arial Black" w:cs="Arial"/>
      <w:spacing w:val="-10"/>
      <w:sz w:val="20"/>
      <w:szCs w:val="20"/>
    </w:rPr>
  </w:style>
  <w:style w:type="paragraph" w:styleId="Salutation">
    <w:name w:val="Salutation"/>
    <w:basedOn w:val="Normal"/>
    <w:next w:val="SubjectLine"/>
    <w:link w:val="SalutationChar"/>
    <w:semiHidden/>
    <w:unhideWhenUsed/>
    <w:rsid w:val="00D02D8E"/>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semiHidden/>
    <w:rsid w:val="00D02D8E"/>
    <w:rPr>
      <w:rFonts w:ascii="Arial" w:eastAsia="Times New Roman" w:hAnsi="Arial" w:cs="Arial"/>
      <w:spacing w:val="-5"/>
    </w:rPr>
  </w:style>
  <w:style w:type="paragraph" w:customStyle="1" w:styleId="a10">
    <w:name w:val="a10"/>
    <w:basedOn w:val="Footer"/>
    <w:rsid w:val="00D02D8E"/>
    <w:pPr>
      <w:tabs>
        <w:tab w:val="clear" w:pos="4680"/>
        <w:tab w:val="clear" w:pos="9360"/>
      </w:tabs>
      <w:jc w:val="center"/>
    </w:pPr>
    <w:rPr>
      <w:rFonts w:ascii="Arial" w:eastAsia="Times New Roman" w:hAnsi="Arial" w:cs="Times New Roman"/>
      <w:sz w:val="20"/>
      <w:szCs w:val="20"/>
    </w:rPr>
  </w:style>
  <w:style w:type="paragraph" w:customStyle="1" w:styleId="a11text">
    <w:name w:val="a11text"/>
    <w:basedOn w:val="Normal"/>
    <w:rsid w:val="00D02D8E"/>
    <w:pPr>
      <w:spacing w:after="120"/>
    </w:pPr>
    <w:rPr>
      <w:rFonts w:eastAsia="Times New Roman"/>
      <w:sz w:val="22"/>
    </w:rPr>
  </w:style>
  <w:style w:type="character" w:customStyle="1" w:styleId="apple-converted-space">
    <w:name w:val="apple-converted-space"/>
    <w:rsid w:val="00D02D8E"/>
  </w:style>
  <w:style w:type="paragraph" w:styleId="EndnoteText">
    <w:name w:val="endnote text"/>
    <w:basedOn w:val="Normal"/>
    <w:link w:val="EndnoteTextChar"/>
    <w:uiPriority w:val="99"/>
    <w:semiHidden/>
    <w:unhideWhenUsed/>
    <w:rsid w:val="008E06F4"/>
    <w:rPr>
      <w:sz w:val="20"/>
      <w:szCs w:val="20"/>
    </w:rPr>
  </w:style>
  <w:style w:type="character" w:customStyle="1" w:styleId="EndnoteTextChar">
    <w:name w:val="Endnote Text Char"/>
    <w:basedOn w:val="DefaultParagraphFont"/>
    <w:link w:val="EndnoteText"/>
    <w:uiPriority w:val="99"/>
    <w:semiHidden/>
    <w:rsid w:val="008E06F4"/>
    <w:rPr>
      <w:rFonts w:ascii="Times New Roman" w:hAnsi="Times New Roman"/>
    </w:rPr>
  </w:style>
  <w:style w:type="character" w:styleId="EndnoteReference">
    <w:name w:val="endnote reference"/>
    <w:basedOn w:val="DefaultParagraphFont"/>
    <w:uiPriority w:val="99"/>
    <w:semiHidden/>
    <w:unhideWhenUsed/>
    <w:rsid w:val="008E06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CB"/>
    <w:rPr>
      <w:rFonts w:ascii="Times New Roman" w:hAnsi="Times New Roman"/>
      <w:sz w:val="24"/>
      <w:szCs w:val="22"/>
    </w:rPr>
  </w:style>
  <w:style w:type="paragraph" w:styleId="Heading1">
    <w:name w:val="heading 1"/>
    <w:basedOn w:val="Normal"/>
    <w:next w:val="Normal"/>
    <w:link w:val="Heading1Char"/>
    <w:uiPriority w:val="9"/>
    <w:qFormat/>
    <w:locked/>
    <w:rsid w:val="00BB1E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A66CB"/>
    <w:pPr>
      <w:widowControl w:val="0"/>
      <w:spacing w:before="240" w:after="120" w:line="360" w:lineRule="exact"/>
      <w:outlineLvl w:val="1"/>
    </w:pPr>
    <w:rPr>
      <w:rFonts w:ascii="Arial" w:eastAsia="Times New Roman" w:hAnsi="Arial"/>
      <w:b/>
      <w:szCs w:val="20"/>
    </w:rPr>
  </w:style>
  <w:style w:type="paragraph" w:styleId="Heading3">
    <w:name w:val="heading 3"/>
    <w:basedOn w:val="Normal"/>
    <w:next w:val="Normal"/>
    <w:link w:val="Heading3Char"/>
    <w:uiPriority w:val="9"/>
    <w:unhideWhenUsed/>
    <w:qFormat/>
    <w:locked/>
    <w:rsid w:val="00BB1E45"/>
    <w:pPr>
      <w:keepNext/>
      <w:keepLines/>
      <w:spacing w:before="200"/>
      <w:outlineLvl w:val="2"/>
    </w:pPr>
    <w:rPr>
      <w:rFonts w:asciiTheme="majorHAnsi" w:eastAsiaTheme="majorEastAsia" w:hAnsiTheme="majorHAnsi" w:cstheme="majorBidi"/>
      <w:b/>
      <w:bCs/>
      <w:color w:val="4F81BD"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AA66CB"/>
    <w:rPr>
      <w:rFonts w:ascii="Arial" w:hAnsi="Arial" w:cs="Times New Roman"/>
      <w:b/>
      <w:sz w:val="20"/>
      <w:szCs w:val="20"/>
    </w:rPr>
  </w:style>
  <w:style w:type="paragraph" w:styleId="ListParagraph">
    <w:name w:val="List Paragraph"/>
    <w:basedOn w:val="Normal"/>
    <w:uiPriority w:val="34"/>
    <w:qFormat/>
    <w:rsid w:val="00AA66CB"/>
    <w:pPr>
      <w:spacing w:after="200" w:line="276" w:lineRule="auto"/>
      <w:ind w:left="720"/>
      <w:contextualSpacing/>
    </w:pPr>
    <w:rPr>
      <w:rFonts w:ascii="Calibri" w:hAnsi="Calibri"/>
      <w:sz w:val="22"/>
    </w:rPr>
  </w:style>
  <w:style w:type="paragraph" w:styleId="FootnoteText">
    <w:name w:val="footnote text"/>
    <w:basedOn w:val="Normal"/>
    <w:link w:val="FootnoteTextChar"/>
    <w:uiPriority w:val="99"/>
    <w:rsid w:val="00AA66CB"/>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locked/>
    <w:rsid w:val="00AA66CB"/>
    <w:rPr>
      <w:rFonts w:ascii="Calibri" w:hAnsi="Calibri" w:cs="Times New Roman"/>
      <w:sz w:val="20"/>
      <w:szCs w:val="20"/>
    </w:rPr>
  </w:style>
  <w:style w:type="character" w:styleId="FootnoteReference">
    <w:name w:val="footnote reference"/>
    <w:basedOn w:val="DefaultParagraphFont"/>
    <w:uiPriority w:val="99"/>
    <w:rsid w:val="00AA66CB"/>
    <w:rPr>
      <w:rFonts w:cs="Times New Roman"/>
      <w:vertAlign w:val="superscript"/>
    </w:rPr>
  </w:style>
  <w:style w:type="paragraph" w:styleId="BalloonText">
    <w:name w:val="Balloon Text"/>
    <w:basedOn w:val="Normal"/>
    <w:link w:val="BalloonTextChar"/>
    <w:uiPriority w:val="99"/>
    <w:semiHidden/>
    <w:rsid w:val="00EA68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6847"/>
    <w:rPr>
      <w:rFonts w:ascii="Tahoma" w:hAnsi="Tahoma" w:cs="Tahoma"/>
      <w:sz w:val="16"/>
      <w:szCs w:val="16"/>
    </w:rPr>
  </w:style>
  <w:style w:type="character" w:styleId="CommentReference">
    <w:name w:val="annotation reference"/>
    <w:basedOn w:val="DefaultParagraphFont"/>
    <w:uiPriority w:val="99"/>
    <w:rsid w:val="00026EFB"/>
    <w:rPr>
      <w:rFonts w:cs="Times New Roman"/>
      <w:sz w:val="16"/>
      <w:szCs w:val="16"/>
    </w:rPr>
  </w:style>
  <w:style w:type="paragraph" w:styleId="CommentText">
    <w:name w:val="annotation text"/>
    <w:basedOn w:val="Normal"/>
    <w:link w:val="CommentTextChar"/>
    <w:uiPriority w:val="99"/>
    <w:rsid w:val="00026EFB"/>
    <w:rPr>
      <w:sz w:val="20"/>
      <w:szCs w:val="20"/>
    </w:rPr>
  </w:style>
  <w:style w:type="character" w:customStyle="1" w:styleId="CommentTextChar">
    <w:name w:val="Comment Text Char"/>
    <w:basedOn w:val="DefaultParagraphFont"/>
    <w:link w:val="CommentText"/>
    <w:uiPriority w:val="99"/>
    <w:locked/>
    <w:rsid w:val="00026EF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26EFB"/>
    <w:rPr>
      <w:b/>
      <w:bCs/>
    </w:rPr>
  </w:style>
  <w:style w:type="character" w:customStyle="1" w:styleId="CommentSubjectChar">
    <w:name w:val="Comment Subject Char"/>
    <w:basedOn w:val="CommentTextChar"/>
    <w:link w:val="CommentSubject"/>
    <w:uiPriority w:val="99"/>
    <w:semiHidden/>
    <w:locked/>
    <w:rsid w:val="00026EFB"/>
    <w:rPr>
      <w:rFonts w:ascii="Times New Roman" w:hAnsi="Times New Roman" w:cs="Times New Roman"/>
      <w:b/>
      <w:bCs/>
      <w:sz w:val="20"/>
      <w:szCs w:val="20"/>
    </w:rPr>
  </w:style>
  <w:style w:type="paragraph" w:styleId="Header">
    <w:name w:val="header"/>
    <w:basedOn w:val="Normal"/>
    <w:link w:val="HeaderChar"/>
    <w:uiPriority w:val="99"/>
    <w:unhideWhenUsed/>
    <w:rsid w:val="00A151B8"/>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A151B8"/>
    <w:rPr>
      <w:rFonts w:ascii="Times New Roman" w:eastAsiaTheme="minorHAnsi" w:hAnsi="Times New Roman" w:cstheme="minorBidi"/>
      <w:sz w:val="24"/>
      <w:szCs w:val="22"/>
    </w:rPr>
  </w:style>
  <w:style w:type="paragraph" w:styleId="Footer">
    <w:name w:val="footer"/>
    <w:basedOn w:val="Normal"/>
    <w:link w:val="FooterChar"/>
    <w:uiPriority w:val="99"/>
    <w:unhideWhenUsed/>
    <w:rsid w:val="00A151B8"/>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A151B8"/>
    <w:rPr>
      <w:rFonts w:ascii="Times New Roman" w:eastAsiaTheme="minorHAnsi" w:hAnsi="Times New Roman" w:cstheme="minorBidi"/>
      <w:sz w:val="24"/>
      <w:szCs w:val="22"/>
    </w:rPr>
  </w:style>
  <w:style w:type="character" w:customStyle="1" w:styleId="Heading1Char">
    <w:name w:val="Heading 1 Char"/>
    <w:basedOn w:val="DefaultParagraphFont"/>
    <w:link w:val="Heading1"/>
    <w:uiPriority w:val="9"/>
    <w:rsid w:val="00BB1E4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B1E45"/>
    <w:rPr>
      <w:rFonts w:asciiTheme="majorHAnsi" w:eastAsiaTheme="majorEastAsia" w:hAnsiTheme="majorHAnsi" w:cstheme="majorBidi"/>
      <w:b/>
      <w:bCs/>
      <w:color w:val="4F81BD" w:themeColor="accent1"/>
      <w:sz w:val="24"/>
    </w:rPr>
  </w:style>
  <w:style w:type="paragraph" w:customStyle="1" w:styleId="PPSSTOBullet">
    <w:name w:val="PPSS TO Bullet"/>
    <w:basedOn w:val="Normal"/>
    <w:qFormat/>
    <w:rsid w:val="00BB1E45"/>
    <w:pPr>
      <w:numPr>
        <w:numId w:val="1"/>
      </w:numPr>
      <w:tabs>
        <w:tab w:val="num" w:pos="360"/>
      </w:tabs>
      <w:spacing w:before="60" w:after="60"/>
      <w:ind w:left="0" w:firstLine="0"/>
    </w:pPr>
    <w:rPr>
      <w:rFonts w:asciiTheme="minorHAnsi" w:eastAsia="Times New Roman" w:hAnsiTheme="minorHAnsi" w:cstheme="minorHAnsi"/>
      <w:sz w:val="22"/>
    </w:rPr>
  </w:style>
  <w:style w:type="paragraph" w:customStyle="1" w:styleId="PPSSTOExhibitTitle">
    <w:name w:val="PPSS TO Exhibit Title"/>
    <w:basedOn w:val="Normal"/>
    <w:qFormat/>
    <w:rsid w:val="00BB1E45"/>
    <w:pPr>
      <w:spacing w:before="240"/>
      <w:jc w:val="center"/>
    </w:pPr>
    <w:rPr>
      <w:rFonts w:asciiTheme="minorHAnsi" w:eastAsia="Times New Roman" w:hAnsiTheme="minorHAnsi" w:cstheme="minorHAnsi"/>
      <w:b/>
      <w:szCs w:val="20"/>
    </w:rPr>
  </w:style>
  <w:style w:type="paragraph" w:customStyle="1" w:styleId="PPSSTOColumnHeading">
    <w:name w:val="PPSS TO Column Heading"/>
    <w:basedOn w:val="PPSSTOExhibitTitle"/>
    <w:qFormat/>
    <w:rsid w:val="00BB1E45"/>
    <w:pPr>
      <w:spacing w:before="40" w:after="40"/>
    </w:pPr>
    <w:rPr>
      <w:sz w:val="20"/>
    </w:rPr>
  </w:style>
  <w:style w:type="paragraph" w:customStyle="1" w:styleId="PPSSTOHeading1">
    <w:name w:val="PPSS TO Heading 1"/>
    <w:basedOn w:val="Normal"/>
    <w:qFormat/>
    <w:rsid w:val="00BB1E45"/>
    <w:pPr>
      <w:spacing w:before="240" w:after="120"/>
    </w:pPr>
    <w:rPr>
      <w:rFonts w:asciiTheme="minorHAnsi" w:eastAsia="Times New Roman" w:hAnsiTheme="minorHAnsi" w:cstheme="minorHAnsi"/>
      <w:b/>
      <w:color w:val="000000" w:themeColor="text1"/>
      <w:szCs w:val="20"/>
    </w:rPr>
  </w:style>
  <w:style w:type="paragraph" w:customStyle="1" w:styleId="PPSSTOHeading2">
    <w:name w:val="PPSS TO Heading 2"/>
    <w:basedOn w:val="Normal"/>
    <w:qFormat/>
    <w:rsid w:val="00BB1E45"/>
    <w:pPr>
      <w:spacing w:before="120" w:after="120"/>
      <w:ind w:left="360"/>
    </w:pPr>
    <w:rPr>
      <w:rFonts w:asciiTheme="minorHAnsi" w:eastAsia="Times New Roman" w:hAnsiTheme="minorHAnsi" w:cstheme="minorHAnsi"/>
      <w:b/>
      <w:color w:val="000000" w:themeColor="text1"/>
      <w:szCs w:val="20"/>
    </w:rPr>
  </w:style>
  <w:style w:type="paragraph" w:customStyle="1" w:styleId="PPSSTOHeading3">
    <w:name w:val="PPSS TO Heading 3"/>
    <w:basedOn w:val="Normal"/>
    <w:qFormat/>
    <w:rsid w:val="00BB1E45"/>
    <w:pPr>
      <w:spacing w:before="120" w:after="120"/>
      <w:ind w:left="360"/>
    </w:pPr>
    <w:rPr>
      <w:rFonts w:asciiTheme="minorHAnsi" w:eastAsia="Times New Roman" w:hAnsiTheme="minorHAnsi" w:cstheme="minorHAnsi"/>
      <w:i/>
      <w:szCs w:val="20"/>
    </w:rPr>
  </w:style>
  <w:style w:type="paragraph" w:customStyle="1" w:styleId="PPSSTOTableCellNumber">
    <w:name w:val="PPSS TO Table Cell Number"/>
    <w:basedOn w:val="PPSSTOExhibitTitle"/>
    <w:qFormat/>
    <w:rsid w:val="00BB1E45"/>
    <w:pPr>
      <w:spacing w:before="40" w:after="40"/>
      <w:jc w:val="right"/>
    </w:pPr>
    <w:rPr>
      <w:b w:val="0"/>
      <w:sz w:val="20"/>
    </w:rPr>
  </w:style>
  <w:style w:type="paragraph" w:customStyle="1" w:styleId="PPSSTOTableCellText">
    <w:name w:val="PPSS TO Table Cell Text"/>
    <w:basedOn w:val="PPSSTOExhibitTitle"/>
    <w:qFormat/>
    <w:rsid w:val="00BB1E45"/>
    <w:pPr>
      <w:spacing w:before="40" w:after="40"/>
      <w:jc w:val="left"/>
    </w:pPr>
    <w:rPr>
      <w:b w:val="0"/>
      <w:sz w:val="20"/>
    </w:rPr>
  </w:style>
  <w:style w:type="paragraph" w:customStyle="1" w:styleId="PPSSTOTablefootnote">
    <w:name w:val="PPSS TO Table footnote"/>
    <w:basedOn w:val="PPSSTOExhibitTitle"/>
    <w:qFormat/>
    <w:rsid w:val="00BB1E45"/>
    <w:pPr>
      <w:spacing w:before="40" w:after="40"/>
      <w:jc w:val="left"/>
    </w:pPr>
    <w:rPr>
      <w:b w:val="0"/>
      <w:sz w:val="16"/>
      <w:szCs w:val="16"/>
    </w:rPr>
  </w:style>
  <w:style w:type="paragraph" w:customStyle="1" w:styleId="PPSSTOTableRowHeading">
    <w:name w:val="PPSS TO Table Row Heading"/>
    <w:basedOn w:val="PPSSTOExhibitTitle"/>
    <w:qFormat/>
    <w:rsid w:val="00BB1E45"/>
    <w:pPr>
      <w:spacing w:before="40" w:after="40"/>
      <w:jc w:val="left"/>
    </w:pPr>
    <w:rPr>
      <w:b w:val="0"/>
      <w:sz w:val="20"/>
    </w:rPr>
  </w:style>
  <w:style w:type="paragraph" w:customStyle="1" w:styleId="PPSSTOText">
    <w:name w:val="PPSS TO Text"/>
    <w:basedOn w:val="Normal"/>
    <w:qFormat/>
    <w:rsid w:val="00BB1E45"/>
    <w:pPr>
      <w:spacing w:before="120" w:after="120"/>
    </w:pPr>
    <w:rPr>
      <w:rFonts w:asciiTheme="minorHAnsi" w:eastAsia="Times New Roman" w:hAnsiTheme="minorHAnsi" w:cstheme="minorHAnsi"/>
      <w:sz w:val="22"/>
    </w:rPr>
  </w:style>
  <w:style w:type="paragraph" w:customStyle="1" w:styleId="PPSSTOTitle">
    <w:name w:val="PPSS TO Title"/>
    <w:basedOn w:val="Normal"/>
    <w:qFormat/>
    <w:rsid w:val="00BB1E45"/>
    <w:pPr>
      <w:spacing w:after="240"/>
      <w:jc w:val="center"/>
    </w:pPr>
    <w:rPr>
      <w:rFonts w:asciiTheme="minorHAnsi" w:eastAsia="Times New Roman" w:hAnsiTheme="minorHAnsi" w:cstheme="minorHAnsi"/>
      <w:b/>
      <w:color w:val="17365D" w:themeColor="text2" w:themeShade="BF"/>
      <w:sz w:val="28"/>
      <w:szCs w:val="28"/>
    </w:rPr>
  </w:style>
  <w:style w:type="paragraph" w:styleId="Revision">
    <w:name w:val="Revision"/>
    <w:hidden/>
    <w:uiPriority w:val="99"/>
    <w:semiHidden/>
    <w:rsid w:val="00BB1E45"/>
    <w:rPr>
      <w:rFonts w:ascii="Courier" w:eastAsia="Times New Roman" w:hAnsi="Courier"/>
      <w:sz w:val="24"/>
    </w:rPr>
  </w:style>
  <w:style w:type="paragraph" w:customStyle="1" w:styleId="PPSSTOReferences">
    <w:name w:val="PPSS TO References"/>
    <w:basedOn w:val="Normal"/>
    <w:qFormat/>
    <w:rsid w:val="00BB1E45"/>
    <w:pPr>
      <w:tabs>
        <w:tab w:val="left" w:pos="-720"/>
      </w:tabs>
      <w:suppressAutoHyphens/>
      <w:spacing w:before="40" w:after="40"/>
      <w:ind w:left="360" w:hanging="360"/>
    </w:pPr>
    <w:rPr>
      <w:rFonts w:asciiTheme="minorHAnsi" w:eastAsia="Times New Roman" w:hAnsiTheme="minorHAnsi" w:cstheme="minorHAnsi"/>
      <w:sz w:val="22"/>
    </w:rPr>
  </w:style>
  <w:style w:type="paragraph" w:customStyle="1" w:styleId="PPSSTOFootnotes">
    <w:name w:val="PPSS TO Footnotes"/>
    <w:basedOn w:val="Normal"/>
    <w:qFormat/>
    <w:rsid w:val="00BB1E45"/>
    <w:rPr>
      <w:rFonts w:asciiTheme="minorHAnsi" w:eastAsia="Times New Roman" w:hAnsiTheme="minorHAnsi" w:cstheme="minorHAnsi"/>
      <w:color w:val="000000" w:themeColor="text1"/>
      <w:sz w:val="20"/>
      <w:szCs w:val="20"/>
    </w:rPr>
  </w:style>
  <w:style w:type="character" w:styleId="PageNumber">
    <w:name w:val="page number"/>
    <w:basedOn w:val="DefaultParagraphFont"/>
    <w:rsid w:val="00BB1E45"/>
  </w:style>
  <w:style w:type="paragraph" w:styleId="TOCHeading">
    <w:name w:val="TOC Heading"/>
    <w:basedOn w:val="Heading1"/>
    <w:next w:val="Normal"/>
    <w:uiPriority w:val="39"/>
    <w:semiHidden/>
    <w:unhideWhenUsed/>
    <w:qFormat/>
    <w:rsid w:val="00BB1E45"/>
    <w:pPr>
      <w:spacing w:line="276" w:lineRule="auto"/>
      <w:outlineLvl w:val="9"/>
    </w:pPr>
    <w:rPr>
      <w:lang w:eastAsia="ja-JP"/>
    </w:rPr>
  </w:style>
  <w:style w:type="paragraph" w:styleId="TOC2">
    <w:name w:val="toc 2"/>
    <w:basedOn w:val="Normal"/>
    <w:next w:val="Normal"/>
    <w:autoRedefine/>
    <w:uiPriority w:val="39"/>
    <w:locked/>
    <w:rsid w:val="00BB1E45"/>
    <w:pPr>
      <w:spacing w:after="100"/>
      <w:ind w:left="240"/>
    </w:pPr>
    <w:rPr>
      <w:rFonts w:ascii="Courier" w:eastAsia="Times New Roman" w:hAnsi="Courier"/>
      <w:szCs w:val="20"/>
    </w:rPr>
  </w:style>
  <w:style w:type="character" w:styleId="Hyperlink">
    <w:name w:val="Hyperlink"/>
    <w:basedOn w:val="DefaultParagraphFont"/>
    <w:uiPriority w:val="99"/>
    <w:unhideWhenUsed/>
    <w:rsid w:val="00BB1E45"/>
    <w:rPr>
      <w:color w:val="0000FF" w:themeColor="hyperlink"/>
      <w:u w:val="single"/>
    </w:rPr>
  </w:style>
  <w:style w:type="paragraph" w:styleId="TOC1">
    <w:name w:val="toc 1"/>
    <w:basedOn w:val="Normal"/>
    <w:next w:val="Normal"/>
    <w:autoRedefine/>
    <w:uiPriority w:val="39"/>
    <w:locked/>
    <w:rsid w:val="00377742"/>
    <w:pPr>
      <w:tabs>
        <w:tab w:val="right" w:leader="dot" w:pos="9350"/>
      </w:tabs>
      <w:spacing w:after="100"/>
    </w:pPr>
    <w:rPr>
      <w:rFonts w:asciiTheme="minorHAnsi" w:eastAsia="Times New Roman" w:hAnsiTheme="minorHAnsi"/>
      <w:szCs w:val="20"/>
    </w:rPr>
  </w:style>
  <w:style w:type="paragraph" w:styleId="TOC3">
    <w:name w:val="toc 3"/>
    <w:basedOn w:val="Normal"/>
    <w:next w:val="Normal"/>
    <w:autoRedefine/>
    <w:uiPriority w:val="39"/>
    <w:locked/>
    <w:rsid w:val="00BB1E45"/>
    <w:pPr>
      <w:spacing w:after="100"/>
      <w:ind w:left="480"/>
    </w:pPr>
    <w:rPr>
      <w:rFonts w:ascii="Courier" w:eastAsia="Times New Roman" w:hAnsi="Courier"/>
      <w:szCs w:val="20"/>
    </w:rPr>
  </w:style>
  <w:style w:type="table" w:styleId="TableGrid">
    <w:name w:val="Table Grid"/>
    <w:basedOn w:val="TableNormal"/>
    <w:uiPriority w:val="59"/>
    <w:locked/>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BB1E45"/>
    <w:rPr>
      <w:rFonts w:ascii="Courier" w:eastAsia="Times New Roman" w:hAnsi="Courier"/>
      <w:szCs w:val="20"/>
    </w:rPr>
  </w:style>
  <w:style w:type="table" w:customStyle="1" w:styleId="TableGrid1">
    <w:name w:val="Table Grid1"/>
    <w:basedOn w:val="TableNormal"/>
    <w:next w:val="TableGrid"/>
    <w:uiPriority w:val="59"/>
    <w:rsid w:val="00BB1E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uiPriority w:val="1"/>
    <w:qFormat/>
    <w:rsid w:val="00BB1E45"/>
    <w:rPr>
      <w:i/>
    </w:rPr>
  </w:style>
  <w:style w:type="character" w:styleId="Strong">
    <w:name w:val="Strong"/>
    <w:basedOn w:val="DefaultParagraphFont"/>
    <w:qFormat/>
    <w:locked/>
    <w:rsid w:val="00BB1E45"/>
    <w:rPr>
      <w:b/>
      <w:bCs/>
    </w:rPr>
  </w:style>
  <w:style w:type="numbering" w:customStyle="1" w:styleId="NoList1">
    <w:name w:val="No List1"/>
    <w:next w:val="NoList"/>
    <w:uiPriority w:val="99"/>
    <w:semiHidden/>
    <w:unhideWhenUsed/>
    <w:rsid w:val="00BB1E45"/>
  </w:style>
  <w:style w:type="paragraph" w:customStyle="1" w:styleId="Topics">
    <w:name w:val="Topics"/>
    <w:basedOn w:val="Normal"/>
    <w:rsid w:val="00BB1E45"/>
    <w:pPr>
      <w:spacing w:after="240"/>
      <w:ind w:left="720" w:hanging="720"/>
    </w:pPr>
    <w:rPr>
      <w:rFonts w:eastAsia="Times New Roman"/>
      <w:szCs w:val="24"/>
    </w:rPr>
  </w:style>
  <w:style w:type="paragraph" w:customStyle="1" w:styleId="bullet">
    <w:name w:val="bullet"/>
    <w:basedOn w:val="Normal"/>
    <w:rsid w:val="00BB1E45"/>
    <w:rPr>
      <w:rFonts w:eastAsia="Times New Roman" w:cs="MS Sans Serif"/>
      <w:szCs w:val="20"/>
    </w:rPr>
  </w:style>
  <w:style w:type="paragraph" w:styleId="NormalWeb">
    <w:name w:val="Normal (Web)"/>
    <w:basedOn w:val="Normal"/>
    <w:uiPriority w:val="99"/>
    <w:semiHidden/>
    <w:unhideWhenUsed/>
    <w:rsid w:val="00BB1E45"/>
    <w:pPr>
      <w:spacing w:before="100" w:beforeAutospacing="1" w:after="100" w:afterAutospacing="1"/>
    </w:pPr>
    <w:rPr>
      <w:rFonts w:eastAsia="Times New Roman"/>
      <w:szCs w:val="24"/>
    </w:rPr>
  </w:style>
  <w:style w:type="numbering" w:customStyle="1" w:styleId="NoList2">
    <w:name w:val="No List2"/>
    <w:next w:val="NoList"/>
    <w:uiPriority w:val="99"/>
    <w:semiHidden/>
    <w:unhideWhenUsed/>
    <w:rsid w:val="00BB1E45"/>
  </w:style>
  <w:style w:type="character" w:customStyle="1" w:styleId="msoins0">
    <w:name w:val="msoins"/>
    <w:basedOn w:val="DefaultParagraphFont"/>
    <w:rsid w:val="00BB1E45"/>
  </w:style>
  <w:style w:type="numbering" w:customStyle="1" w:styleId="NoList11">
    <w:name w:val="No List11"/>
    <w:next w:val="NoList"/>
    <w:uiPriority w:val="99"/>
    <w:semiHidden/>
    <w:unhideWhenUsed/>
    <w:rsid w:val="00BB1E45"/>
  </w:style>
  <w:style w:type="paragraph" w:customStyle="1" w:styleId="Default">
    <w:name w:val="Default"/>
    <w:rsid w:val="00BB1E45"/>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BB1E45"/>
    <w:rPr>
      <w:rFonts w:ascii="Lucida Grande" w:eastAsia="Times New Roman" w:hAnsi="Lucida Grande" w:cs="Lucida Grande"/>
      <w:sz w:val="22"/>
    </w:rPr>
  </w:style>
  <w:style w:type="character" w:customStyle="1" w:styleId="DocumentMapChar">
    <w:name w:val="Document Map Char"/>
    <w:basedOn w:val="DefaultParagraphFont"/>
    <w:link w:val="DocumentMap1"/>
    <w:uiPriority w:val="99"/>
    <w:semiHidden/>
    <w:rsid w:val="00BB1E45"/>
    <w:rPr>
      <w:rFonts w:ascii="Lucida Grande" w:eastAsia="Times New Roman" w:hAnsi="Lucida Grande" w:cs="Lucida Grande"/>
      <w:sz w:val="22"/>
      <w:szCs w:val="22"/>
    </w:rPr>
  </w:style>
  <w:style w:type="paragraph" w:styleId="DocumentMap">
    <w:name w:val="Document Map"/>
    <w:basedOn w:val="Normal"/>
    <w:link w:val="DocumentMapChar1"/>
    <w:uiPriority w:val="99"/>
    <w:semiHidden/>
    <w:unhideWhenUsed/>
    <w:rsid w:val="00BB1E45"/>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BB1E45"/>
    <w:rPr>
      <w:rFonts w:ascii="Tahoma" w:eastAsia="Times New Roman" w:hAnsi="Tahoma" w:cs="Tahoma"/>
      <w:sz w:val="16"/>
      <w:szCs w:val="16"/>
    </w:rPr>
  </w:style>
  <w:style w:type="paragraph" w:styleId="ListBullet">
    <w:name w:val="List Bullet"/>
    <w:basedOn w:val="Normal"/>
    <w:uiPriority w:val="99"/>
    <w:unhideWhenUsed/>
    <w:rsid w:val="00BB1E45"/>
    <w:pPr>
      <w:numPr>
        <w:numId w:val="2"/>
      </w:numPr>
      <w:contextualSpacing/>
    </w:pPr>
    <w:rPr>
      <w:rFonts w:ascii="Courier" w:eastAsia="Times New Roman" w:hAnsi="Courier"/>
      <w:szCs w:val="20"/>
    </w:rPr>
  </w:style>
  <w:style w:type="paragraph" w:styleId="Title">
    <w:name w:val="Title"/>
    <w:basedOn w:val="Normal"/>
    <w:link w:val="TitleChar"/>
    <w:uiPriority w:val="99"/>
    <w:qFormat/>
    <w:locked/>
    <w:rsid w:val="00BB1E45"/>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BB1E45"/>
    <w:rPr>
      <w:rFonts w:ascii="Arial" w:eastAsia="Times New Roman" w:hAnsi="Arial"/>
      <w:b/>
      <w:kern w:val="28"/>
      <w:sz w:val="32"/>
    </w:rPr>
  </w:style>
  <w:style w:type="table" w:customStyle="1" w:styleId="PPSS-Tables1">
    <w:name w:val="PPSS-Tables1"/>
    <w:basedOn w:val="TableNormal"/>
    <w:next w:val="TableList3"/>
    <w:locked/>
    <w:rsid w:val="00BB1E45"/>
    <w:rPr>
      <w:rFonts w:ascii="Times New Roman" w:eastAsia="Times New Roman" w:hAnsi="Times New Roman"/>
      <w:color w:val="00000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B1E45"/>
    <w:rPr>
      <w:rFonts w:ascii="Times New Roman" w:eastAsia="Times New Roman" w:hAnsi="Times New Roman"/>
      <w:sz w:val="22"/>
      <w:szCs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styleId="NoSpacing">
    <w:name w:val="No Spacing"/>
    <w:uiPriority w:val="1"/>
    <w:qFormat/>
    <w:rsid w:val="00BB1E45"/>
    <w:rPr>
      <w:rFonts w:asciiTheme="minorHAnsi" w:eastAsiaTheme="minorHAnsi" w:hAnsiTheme="minorHAnsi" w:cstheme="minorBidi"/>
      <w:sz w:val="22"/>
      <w:szCs w:val="22"/>
    </w:rPr>
  </w:style>
  <w:style w:type="paragraph" w:customStyle="1" w:styleId="PPSSTOPropText">
    <w:name w:val="PPSS TO Prop Text"/>
    <w:basedOn w:val="Normal"/>
    <w:qFormat/>
    <w:locked/>
    <w:rsid w:val="00BB1E45"/>
    <w:pPr>
      <w:spacing w:before="40" w:after="20"/>
      <w:ind w:firstLine="360"/>
    </w:pPr>
    <w:rPr>
      <w:rFonts w:eastAsia="Times New Roman"/>
      <w:szCs w:val="24"/>
    </w:rPr>
  </w:style>
  <w:style w:type="character" w:styleId="FollowedHyperlink">
    <w:name w:val="FollowedHyperlink"/>
    <w:basedOn w:val="DefaultParagraphFont"/>
    <w:uiPriority w:val="99"/>
    <w:semiHidden/>
    <w:unhideWhenUsed/>
    <w:rsid w:val="00BB1E45"/>
    <w:rPr>
      <w:color w:val="800080" w:themeColor="followedHyperlink"/>
      <w:u w:val="single"/>
    </w:rPr>
  </w:style>
  <w:style w:type="paragraph" w:styleId="Caption">
    <w:name w:val="caption"/>
    <w:basedOn w:val="Normal"/>
    <w:next w:val="Normal"/>
    <w:unhideWhenUsed/>
    <w:qFormat/>
    <w:locked/>
    <w:rsid w:val="00AF43DC"/>
    <w:pPr>
      <w:spacing w:after="200"/>
    </w:pPr>
    <w:rPr>
      <w:i/>
      <w:iCs/>
      <w:color w:val="1F497D" w:themeColor="text2"/>
      <w:sz w:val="18"/>
      <w:szCs w:val="18"/>
    </w:rPr>
  </w:style>
  <w:style w:type="paragraph" w:customStyle="1" w:styleId="TableHeader">
    <w:name w:val="Table Header"/>
    <w:basedOn w:val="Normal"/>
    <w:qFormat/>
    <w:rsid w:val="00AF43DC"/>
    <w:pPr>
      <w:jc w:val="center"/>
    </w:pPr>
    <w:rPr>
      <w:rFonts w:asciiTheme="minorHAnsi" w:eastAsiaTheme="minorHAnsi" w:hAnsiTheme="minorHAnsi" w:cstheme="minorBidi"/>
      <w:b/>
      <w:sz w:val="20"/>
      <w:szCs w:val="20"/>
    </w:rPr>
  </w:style>
  <w:style w:type="paragraph" w:customStyle="1" w:styleId="TableText-left">
    <w:name w:val="Table Text - left"/>
    <w:basedOn w:val="Normal"/>
    <w:qFormat/>
    <w:rsid w:val="00AF43DC"/>
    <w:rPr>
      <w:rFonts w:asciiTheme="minorHAnsi" w:eastAsiaTheme="minorHAnsi" w:hAnsiTheme="minorHAnsi" w:cstheme="minorBidi"/>
      <w:sz w:val="20"/>
      <w:szCs w:val="20"/>
    </w:rPr>
  </w:style>
  <w:style w:type="paragraph" w:customStyle="1" w:styleId="TableText-centered">
    <w:name w:val="Table Text - centered"/>
    <w:basedOn w:val="TableText-left"/>
    <w:qFormat/>
    <w:rsid w:val="00AF43DC"/>
    <w:pPr>
      <w:jc w:val="center"/>
    </w:pPr>
  </w:style>
  <w:style w:type="paragraph" w:styleId="BodyText">
    <w:name w:val="Body Text"/>
    <w:basedOn w:val="Normal"/>
    <w:link w:val="BodyTextChar"/>
    <w:semiHidden/>
    <w:unhideWhenUsed/>
    <w:rsid w:val="00D02D8E"/>
    <w:pPr>
      <w:spacing w:before="120" w:after="120"/>
      <w:ind w:firstLine="720"/>
    </w:pPr>
    <w:rPr>
      <w:rFonts w:eastAsia="Times New Roman"/>
      <w:szCs w:val="20"/>
    </w:rPr>
  </w:style>
  <w:style w:type="character" w:customStyle="1" w:styleId="BodyTextChar">
    <w:name w:val="Body Text Char"/>
    <w:basedOn w:val="DefaultParagraphFont"/>
    <w:link w:val="BodyText"/>
    <w:semiHidden/>
    <w:rsid w:val="00D02D8E"/>
    <w:rPr>
      <w:rFonts w:ascii="Times New Roman" w:eastAsia="Times New Roman" w:hAnsi="Times New Roman"/>
      <w:sz w:val="24"/>
    </w:rPr>
  </w:style>
  <w:style w:type="paragraph" w:customStyle="1" w:styleId="SubjectLine">
    <w:name w:val="Subject Line"/>
    <w:basedOn w:val="Normal"/>
    <w:next w:val="BodyText"/>
    <w:rsid w:val="00D02D8E"/>
    <w:pPr>
      <w:spacing w:after="220" w:line="220" w:lineRule="atLeast"/>
    </w:pPr>
    <w:rPr>
      <w:rFonts w:ascii="Arial Black" w:eastAsia="Times New Roman" w:hAnsi="Arial Black" w:cs="Arial"/>
      <w:spacing w:val="-10"/>
      <w:sz w:val="20"/>
      <w:szCs w:val="20"/>
    </w:rPr>
  </w:style>
  <w:style w:type="paragraph" w:styleId="Salutation">
    <w:name w:val="Salutation"/>
    <w:basedOn w:val="Normal"/>
    <w:next w:val="SubjectLine"/>
    <w:link w:val="SalutationChar"/>
    <w:semiHidden/>
    <w:unhideWhenUsed/>
    <w:rsid w:val="00D02D8E"/>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semiHidden/>
    <w:rsid w:val="00D02D8E"/>
    <w:rPr>
      <w:rFonts w:ascii="Arial" w:eastAsia="Times New Roman" w:hAnsi="Arial" w:cs="Arial"/>
      <w:spacing w:val="-5"/>
    </w:rPr>
  </w:style>
  <w:style w:type="paragraph" w:customStyle="1" w:styleId="a10">
    <w:name w:val="a10"/>
    <w:basedOn w:val="Footer"/>
    <w:rsid w:val="00D02D8E"/>
    <w:pPr>
      <w:tabs>
        <w:tab w:val="clear" w:pos="4680"/>
        <w:tab w:val="clear" w:pos="9360"/>
      </w:tabs>
      <w:jc w:val="center"/>
    </w:pPr>
    <w:rPr>
      <w:rFonts w:ascii="Arial" w:eastAsia="Times New Roman" w:hAnsi="Arial" w:cs="Times New Roman"/>
      <w:sz w:val="20"/>
      <w:szCs w:val="20"/>
    </w:rPr>
  </w:style>
  <w:style w:type="paragraph" w:customStyle="1" w:styleId="a11text">
    <w:name w:val="a11text"/>
    <w:basedOn w:val="Normal"/>
    <w:rsid w:val="00D02D8E"/>
    <w:pPr>
      <w:spacing w:after="120"/>
    </w:pPr>
    <w:rPr>
      <w:rFonts w:eastAsia="Times New Roman"/>
      <w:sz w:val="22"/>
    </w:rPr>
  </w:style>
  <w:style w:type="character" w:customStyle="1" w:styleId="apple-converted-space">
    <w:name w:val="apple-converted-space"/>
    <w:rsid w:val="00D02D8E"/>
  </w:style>
  <w:style w:type="paragraph" w:styleId="EndnoteText">
    <w:name w:val="endnote text"/>
    <w:basedOn w:val="Normal"/>
    <w:link w:val="EndnoteTextChar"/>
    <w:uiPriority w:val="99"/>
    <w:semiHidden/>
    <w:unhideWhenUsed/>
    <w:rsid w:val="008E06F4"/>
    <w:rPr>
      <w:sz w:val="20"/>
      <w:szCs w:val="20"/>
    </w:rPr>
  </w:style>
  <w:style w:type="character" w:customStyle="1" w:styleId="EndnoteTextChar">
    <w:name w:val="Endnote Text Char"/>
    <w:basedOn w:val="DefaultParagraphFont"/>
    <w:link w:val="EndnoteText"/>
    <w:uiPriority w:val="99"/>
    <w:semiHidden/>
    <w:rsid w:val="008E06F4"/>
    <w:rPr>
      <w:rFonts w:ascii="Times New Roman" w:hAnsi="Times New Roman"/>
    </w:rPr>
  </w:style>
  <w:style w:type="character" w:styleId="EndnoteReference">
    <w:name w:val="endnote reference"/>
    <w:basedOn w:val="DefaultParagraphFont"/>
    <w:uiPriority w:val="99"/>
    <w:semiHidden/>
    <w:unhideWhenUsed/>
    <w:rsid w:val="008E06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7021">
      <w:bodyDiv w:val="1"/>
      <w:marLeft w:val="0"/>
      <w:marRight w:val="0"/>
      <w:marTop w:val="0"/>
      <w:marBottom w:val="0"/>
      <w:divBdr>
        <w:top w:val="none" w:sz="0" w:space="0" w:color="auto"/>
        <w:left w:val="none" w:sz="0" w:space="0" w:color="auto"/>
        <w:bottom w:val="none" w:sz="0" w:space="0" w:color="auto"/>
        <w:right w:val="none" w:sz="0" w:space="0" w:color="auto"/>
      </w:divBdr>
    </w:div>
    <w:div w:id="293339862">
      <w:marLeft w:val="0"/>
      <w:marRight w:val="0"/>
      <w:marTop w:val="0"/>
      <w:marBottom w:val="0"/>
      <w:divBdr>
        <w:top w:val="none" w:sz="0" w:space="0" w:color="auto"/>
        <w:left w:val="none" w:sz="0" w:space="0" w:color="auto"/>
        <w:bottom w:val="none" w:sz="0" w:space="0" w:color="auto"/>
        <w:right w:val="none" w:sz="0" w:space="0" w:color="auto"/>
      </w:divBdr>
      <w:divsChild>
        <w:div w:id="293339864">
          <w:marLeft w:val="0"/>
          <w:marRight w:val="0"/>
          <w:marTop w:val="0"/>
          <w:marBottom w:val="0"/>
          <w:divBdr>
            <w:top w:val="none" w:sz="0" w:space="0" w:color="auto"/>
            <w:left w:val="none" w:sz="0" w:space="0" w:color="auto"/>
            <w:bottom w:val="none" w:sz="0" w:space="0" w:color="auto"/>
            <w:right w:val="none" w:sz="0" w:space="0" w:color="auto"/>
          </w:divBdr>
          <w:divsChild>
            <w:div w:id="293339863">
              <w:marLeft w:val="0"/>
              <w:marRight w:val="0"/>
              <w:marTop w:val="0"/>
              <w:marBottom w:val="0"/>
              <w:divBdr>
                <w:top w:val="none" w:sz="0" w:space="0" w:color="auto"/>
                <w:left w:val="none" w:sz="0" w:space="0" w:color="auto"/>
                <w:bottom w:val="none" w:sz="0" w:space="0" w:color="auto"/>
                <w:right w:val="none" w:sz="0" w:space="0" w:color="auto"/>
              </w:divBdr>
              <w:divsChild>
                <w:div w:id="293339865">
                  <w:marLeft w:val="0"/>
                  <w:marRight w:val="0"/>
                  <w:marTop w:val="0"/>
                  <w:marBottom w:val="0"/>
                  <w:divBdr>
                    <w:top w:val="none" w:sz="0" w:space="0" w:color="auto"/>
                    <w:left w:val="none" w:sz="0" w:space="0" w:color="auto"/>
                    <w:bottom w:val="none" w:sz="0" w:space="0" w:color="auto"/>
                    <w:right w:val="none" w:sz="0" w:space="0" w:color="auto"/>
                  </w:divBdr>
                  <w:divsChild>
                    <w:div w:id="293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47493">
      <w:bodyDiv w:val="1"/>
      <w:marLeft w:val="0"/>
      <w:marRight w:val="0"/>
      <w:marTop w:val="0"/>
      <w:marBottom w:val="0"/>
      <w:divBdr>
        <w:top w:val="none" w:sz="0" w:space="0" w:color="auto"/>
        <w:left w:val="none" w:sz="0" w:space="0" w:color="auto"/>
        <w:bottom w:val="none" w:sz="0" w:space="0" w:color="auto"/>
        <w:right w:val="none" w:sz="0" w:space="0" w:color="auto"/>
      </w:divBdr>
    </w:div>
    <w:div w:id="19235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D424F-0778-4B39-91C9-5576AE42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LoGerfo, Laura</cp:lastModifiedBy>
  <cp:revision>3</cp:revision>
  <cp:lastPrinted>2014-07-10T23:49:00Z</cp:lastPrinted>
  <dcterms:created xsi:type="dcterms:W3CDTF">2014-09-22T16:27:00Z</dcterms:created>
  <dcterms:modified xsi:type="dcterms:W3CDTF">2014-09-22T16:31:00Z</dcterms:modified>
</cp:coreProperties>
</file>