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FF" w:rsidRPr="0079536B" w:rsidRDefault="00D276FF">
      <w:pPr>
        <w:jc w:val="center"/>
        <w:rPr>
          <w:rFonts w:ascii="Arial Narrow" w:hAnsi="Arial Narrow" w:cs="Arial"/>
          <w:b/>
        </w:rPr>
      </w:pPr>
      <w:bookmarkStart w:id="0" w:name="_GoBack"/>
      <w:bookmarkEnd w:id="0"/>
      <w:r w:rsidRPr="0079536B">
        <w:rPr>
          <w:rFonts w:ascii="Arial Narrow" w:hAnsi="Arial Narrow" w:cs="Arial"/>
          <w:b/>
        </w:rPr>
        <w:t>SUPPORTING STATEMENT</w:t>
      </w:r>
    </w:p>
    <w:p w:rsidR="00D276FF" w:rsidRPr="0079536B" w:rsidRDefault="00D276FF">
      <w:pPr>
        <w:jc w:val="center"/>
        <w:rPr>
          <w:rFonts w:ascii="Arial Narrow" w:hAnsi="Arial Narrow" w:cs="Arial"/>
          <w:b/>
        </w:rPr>
      </w:pPr>
    </w:p>
    <w:p w:rsidR="00B50DAD" w:rsidRPr="0079536B" w:rsidRDefault="00B50DAD" w:rsidP="00B50DAD">
      <w:pPr>
        <w:jc w:val="center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 xml:space="preserve">Community Development Financial </w:t>
      </w:r>
      <w:smartTag w:uri="urn:schemas-microsoft-com:office:smarttags" w:element="place">
        <w:smartTag w:uri="urn:schemas-microsoft-com:office:smarttags" w:element="PlaceName">
          <w:r w:rsidRPr="0079536B">
            <w:rPr>
              <w:rFonts w:ascii="Arial Narrow" w:hAnsi="Arial Narrow" w:cs="Arial"/>
            </w:rPr>
            <w:t>Institutions</w:t>
          </w:r>
        </w:smartTag>
        <w:r w:rsidRPr="0079536B">
          <w:rPr>
            <w:rFonts w:ascii="Arial Narrow" w:hAnsi="Arial Narrow" w:cs="Arial"/>
          </w:rPr>
          <w:t xml:space="preserve"> </w:t>
        </w:r>
        <w:smartTag w:uri="urn:schemas-microsoft-com:office:smarttags" w:element="PlaceName">
          <w:r w:rsidRPr="0079536B">
            <w:rPr>
              <w:rFonts w:ascii="Arial Narrow" w:hAnsi="Arial Narrow" w:cs="Arial"/>
            </w:rPr>
            <w:t>Capacity</w:t>
          </w:r>
        </w:smartTag>
        <w:r w:rsidRPr="0079536B">
          <w:rPr>
            <w:rFonts w:ascii="Arial Narrow" w:hAnsi="Arial Narrow" w:cs="Arial"/>
          </w:rPr>
          <w:t xml:space="preserve"> </w:t>
        </w:r>
        <w:smartTag w:uri="urn:schemas-microsoft-com:office:smarttags" w:element="PlaceType">
          <w:r w:rsidRPr="0079536B">
            <w:rPr>
              <w:rFonts w:ascii="Arial Narrow" w:hAnsi="Arial Narrow" w:cs="Arial"/>
            </w:rPr>
            <w:t>Building</w:t>
          </w:r>
        </w:smartTag>
      </w:smartTag>
      <w:r w:rsidRPr="0079536B">
        <w:rPr>
          <w:rFonts w:ascii="Arial Narrow" w:hAnsi="Arial Narrow" w:cs="Arial"/>
        </w:rPr>
        <w:t xml:space="preserve"> Initiative</w:t>
      </w:r>
    </w:p>
    <w:p w:rsidR="00B50DAD" w:rsidRPr="0079536B" w:rsidRDefault="00B50DAD" w:rsidP="00B50DAD">
      <w:pPr>
        <w:jc w:val="center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 xml:space="preserve">OMB </w:t>
      </w:r>
      <w:r w:rsidR="00DA2317">
        <w:rPr>
          <w:rFonts w:ascii="Arial Narrow" w:hAnsi="Arial Narrow" w:cs="Arial"/>
        </w:rPr>
        <w:t>Control Number:  1559-0042</w:t>
      </w:r>
    </w:p>
    <w:p w:rsidR="00D276FF" w:rsidRPr="0079536B" w:rsidRDefault="00D276FF">
      <w:pPr>
        <w:jc w:val="center"/>
        <w:rPr>
          <w:rFonts w:ascii="Arial Narrow" w:hAnsi="Arial Narrow" w:cs="Arial"/>
          <w:b/>
        </w:rPr>
      </w:pPr>
    </w:p>
    <w:p w:rsidR="00D276FF" w:rsidRPr="0079536B" w:rsidRDefault="00D276FF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rFonts w:ascii="Arial Narrow" w:hAnsi="Arial Narrow" w:cs="Arial"/>
        </w:rPr>
      </w:pPr>
      <w:r w:rsidRPr="0079536B">
        <w:rPr>
          <w:rFonts w:ascii="Arial Narrow" w:hAnsi="Arial Narrow" w:cs="Arial"/>
          <w:b/>
        </w:rPr>
        <w:t xml:space="preserve">COLLECTION OF INFORMATION EMPLOYING STATISTICAL </w:t>
      </w:r>
      <w:r w:rsidRPr="0079536B">
        <w:rPr>
          <w:rFonts w:ascii="Arial Narrow" w:hAnsi="Arial Narrow" w:cs="Arial"/>
          <w:b/>
        </w:rPr>
        <w:tab/>
        <w:t>METHODS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B1.</w:t>
      </w:r>
      <w:r w:rsidRPr="0079536B">
        <w:rPr>
          <w:rFonts w:ascii="Arial Narrow" w:hAnsi="Arial Narrow" w:cs="Arial"/>
        </w:rPr>
        <w:tab/>
      </w:r>
      <w:r w:rsidRPr="0079536B">
        <w:rPr>
          <w:rFonts w:ascii="Arial Narrow" w:hAnsi="Arial Narrow" w:cs="Arial"/>
          <w:u w:val="single"/>
        </w:rPr>
        <w:t>UNIVERSE AND RESPONDENT SELECTION</w:t>
      </w:r>
    </w:p>
    <w:p w:rsidR="00D276FF" w:rsidRPr="0079536B" w:rsidRDefault="00D276FF">
      <w:pPr>
        <w:rPr>
          <w:rFonts w:ascii="Arial Narrow" w:hAnsi="Arial Narrow" w:cs="Arial"/>
        </w:rPr>
      </w:pPr>
    </w:p>
    <w:p w:rsidR="00D276FF" w:rsidRPr="0079536B" w:rsidRDefault="00D276FF">
      <w:pPr>
        <w:ind w:left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 xml:space="preserve">Surveys covered under this generic clearance will vary with regard to the universe and respondent selection.  The potential universe for some surveys will include </w:t>
      </w:r>
      <w:r w:rsidR="008D36F4" w:rsidRPr="0079536B">
        <w:rPr>
          <w:rFonts w:ascii="Arial Narrow" w:hAnsi="Arial Narrow" w:cs="Arial"/>
        </w:rPr>
        <w:t>some subset of Certified CDFIs, and those entities which are working towards certification</w:t>
      </w:r>
      <w:r w:rsidR="00CC69C6" w:rsidRPr="0079536B">
        <w:rPr>
          <w:rFonts w:ascii="Arial Narrow" w:hAnsi="Arial Narrow" w:cs="Arial"/>
        </w:rPr>
        <w:t xml:space="preserve"> (there are currently</w:t>
      </w:r>
      <w:r w:rsidR="00BF62A1" w:rsidRPr="0079536B">
        <w:rPr>
          <w:rFonts w:ascii="Arial Narrow" w:hAnsi="Arial Narrow" w:cs="Arial"/>
        </w:rPr>
        <w:t xml:space="preserve"> </w:t>
      </w:r>
      <w:r w:rsidR="00DA2317">
        <w:rPr>
          <w:rFonts w:ascii="Arial Narrow" w:hAnsi="Arial Narrow" w:cs="Arial"/>
        </w:rPr>
        <w:t>approximately 800</w:t>
      </w:r>
      <w:r w:rsidR="00BF62A1" w:rsidRPr="0079536B">
        <w:rPr>
          <w:rFonts w:ascii="Arial Narrow" w:hAnsi="Arial Narrow" w:cs="Arial"/>
        </w:rPr>
        <w:t xml:space="preserve"> Certified CDFIs)</w:t>
      </w:r>
      <w:r w:rsidRPr="0079536B">
        <w:rPr>
          <w:rFonts w:ascii="Arial Narrow" w:hAnsi="Arial Narrow" w:cs="Arial"/>
        </w:rPr>
        <w:t xml:space="preserve">.  </w:t>
      </w:r>
      <w:r w:rsidR="00CC69C6" w:rsidRPr="0079536B">
        <w:rPr>
          <w:rFonts w:ascii="Arial Narrow" w:hAnsi="Arial Narrow" w:cs="Arial"/>
        </w:rPr>
        <w:t>It is possible that for some surveys,</w:t>
      </w:r>
      <w:r w:rsidRPr="0079536B">
        <w:rPr>
          <w:rFonts w:ascii="Arial Narrow" w:hAnsi="Arial Narrow" w:cs="Arial"/>
        </w:rPr>
        <w:t xml:space="preserve"> the universe </w:t>
      </w:r>
      <w:r w:rsidR="00CC69C6" w:rsidRPr="0079536B">
        <w:rPr>
          <w:rFonts w:ascii="Arial Narrow" w:hAnsi="Arial Narrow" w:cs="Arial"/>
        </w:rPr>
        <w:t>would</w:t>
      </w:r>
      <w:r w:rsidRPr="0079536B">
        <w:rPr>
          <w:rFonts w:ascii="Arial Narrow" w:hAnsi="Arial Narrow" w:cs="Arial"/>
        </w:rPr>
        <w:t xml:space="preserve"> include </w:t>
      </w:r>
      <w:r w:rsidR="00CC69C6" w:rsidRPr="0079536B">
        <w:rPr>
          <w:rFonts w:ascii="Arial Narrow" w:hAnsi="Arial Narrow" w:cs="Arial"/>
        </w:rPr>
        <w:t xml:space="preserve">all </w:t>
      </w:r>
      <w:r w:rsidR="00BF62A1" w:rsidRPr="0079536B">
        <w:rPr>
          <w:rFonts w:ascii="Arial Narrow" w:hAnsi="Arial Narrow" w:cs="Arial"/>
        </w:rPr>
        <w:t>of these entities</w:t>
      </w:r>
      <w:r w:rsidRPr="0079536B">
        <w:rPr>
          <w:rFonts w:ascii="Arial Narrow" w:hAnsi="Arial Narrow" w:cs="Arial"/>
        </w:rPr>
        <w:t>.</w:t>
      </w:r>
      <w:r w:rsidR="00BF62A1" w:rsidRPr="0079536B">
        <w:rPr>
          <w:rFonts w:ascii="Arial Narrow" w:hAnsi="Arial Narrow" w:cs="Arial"/>
        </w:rPr>
        <w:t xml:space="preserve">  </w:t>
      </w:r>
    </w:p>
    <w:p w:rsidR="00BF62A1" w:rsidRPr="0079536B" w:rsidRDefault="00BF62A1">
      <w:pPr>
        <w:ind w:left="720"/>
        <w:rPr>
          <w:rFonts w:ascii="Arial Narrow" w:hAnsi="Arial Narrow" w:cs="Arial"/>
        </w:rPr>
      </w:pPr>
    </w:p>
    <w:p w:rsidR="00BF62A1" w:rsidRPr="0079536B" w:rsidRDefault="00BF62A1">
      <w:pPr>
        <w:ind w:left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In other cases, surveys may be sent to specific organizations that have participated in training or technical assistance through the Capacity Building Initiative.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B2.</w:t>
      </w:r>
      <w:r w:rsidRPr="0079536B">
        <w:rPr>
          <w:rFonts w:ascii="Arial Narrow" w:hAnsi="Arial Narrow" w:cs="Arial"/>
        </w:rPr>
        <w:tab/>
      </w:r>
      <w:r w:rsidRPr="0079536B">
        <w:rPr>
          <w:rFonts w:ascii="Arial Narrow" w:hAnsi="Arial Narrow" w:cs="Arial"/>
          <w:u w:val="single"/>
        </w:rPr>
        <w:t>PROCEDURES FOR COLLECTING INFORMATION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BF62A1" w:rsidP="0079536B">
      <w:pPr>
        <w:ind w:left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 xml:space="preserve">In general, the </w:t>
      </w:r>
      <w:r w:rsidR="0079536B">
        <w:rPr>
          <w:rFonts w:ascii="Arial Narrow" w:hAnsi="Arial Narrow" w:cs="Arial"/>
        </w:rPr>
        <w:t xml:space="preserve">CDFI </w:t>
      </w:r>
      <w:r w:rsidRPr="0079536B">
        <w:rPr>
          <w:rFonts w:ascii="Arial Narrow" w:hAnsi="Arial Narrow" w:cs="Arial"/>
        </w:rPr>
        <w:t xml:space="preserve">Fund anticipates collecting data via </w:t>
      </w:r>
      <w:r w:rsidR="00BB4C25" w:rsidRPr="0079536B">
        <w:rPr>
          <w:rFonts w:ascii="Arial Narrow" w:hAnsi="Arial Narrow" w:cs="Arial"/>
        </w:rPr>
        <w:t xml:space="preserve">surveys (electronic and paper-based), phone calls, and focus groups. 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B3.</w:t>
      </w:r>
      <w:r w:rsidRPr="0079536B">
        <w:rPr>
          <w:rFonts w:ascii="Arial Narrow" w:hAnsi="Arial Narrow" w:cs="Arial"/>
        </w:rPr>
        <w:tab/>
      </w:r>
      <w:r w:rsidRPr="0079536B">
        <w:rPr>
          <w:rFonts w:ascii="Arial Narrow" w:hAnsi="Arial Narrow" w:cs="Arial"/>
          <w:u w:val="single"/>
        </w:rPr>
        <w:t>METHODS TO MAXIMIZE RESPONSE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ind w:left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Surveys employing non-response follow-up techniques will use multiple contacts by telephone and/or additional mailing of the questionnaire to ensure an adequate response.</w:t>
      </w:r>
      <w:r w:rsidR="00734DFD" w:rsidRPr="0079536B">
        <w:rPr>
          <w:rFonts w:ascii="Arial Narrow" w:hAnsi="Arial Narrow" w:cs="Arial"/>
        </w:rPr>
        <w:t xml:space="preserve">  The </w:t>
      </w:r>
      <w:r w:rsidR="0070586B">
        <w:rPr>
          <w:rFonts w:ascii="Arial Narrow" w:hAnsi="Arial Narrow" w:cs="Arial"/>
        </w:rPr>
        <w:t xml:space="preserve">CDFI </w:t>
      </w:r>
      <w:r w:rsidR="00734DFD" w:rsidRPr="0079536B">
        <w:rPr>
          <w:rFonts w:ascii="Arial Narrow" w:hAnsi="Arial Narrow" w:cs="Arial"/>
        </w:rPr>
        <w:t xml:space="preserve">Fund’s website, </w:t>
      </w:r>
      <w:proofErr w:type="spellStart"/>
      <w:r w:rsidR="00734DFD" w:rsidRPr="0079536B">
        <w:rPr>
          <w:rFonts w:ascii="Arial Narrow" w:hAnsi="Arial Narrow" w:cs="Arial"/>
        </w:rPr>
        <w:t>GovDelivery</w:t>
      </w:r>
      <w:proofErr w:type="spellEnd"/>
      <w:r w:rsidR="00734DFD" w:rsidRPr="0079536B">
        <w:rPr>
          <w:rFonts w:ascii="Arial Narrow" w:hAnsi="Arial Narrow" w:cs="Arial"/>
        </w:rPr>
        <w:t xml:space="preserve"> email lists, and other public communications channels will also be used to increase response rates.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B4.</w:t>
      </w:r>
      <w:r w:rsidRPr="0079536B">
        <w:rPr>
          <w:rFonts w:ascii="Arial Narrow" w:hAnsi="Arial Narrow" w:cs="Arial"/>
        </w:rPr>
        <w:tab/>
      </w:r>
      <w:r w:rsidRPr="0079536B">
        <w:rPr>
          <w:rFonts w:ascii="Arial Narrow" w:hAnsi="Arial Narrow" w:cs="Arial"/>
          <w:u w:val="single"/>
        </w:rPr>
        <w:t>TESTING OF PROCEDURES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 w:rsidP="0070586B">
      <w:pPr>
        <w:ind w:left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 xml:space="preserve">In most cases, a pretest of the data collection instruments will be conducted prior to its use.  </w:t>
      </w:r>
      <w:r w:rsidR="009438AA" w:rsidRPr="0079536B">
        <w:rPr>
          <w:rFonts w:ascii="Arial Narrow" w:hAnsi="Arial Narrow" w:cs="Arial"/>
        </w:rPr>
        <w:t xml:space="preserve">The </w:t>
      </w:r>
      <w:r w:rsidR="0070586B">
        <w:rPr>
          <w:rFonts w:ascii="Arial Narrow" w:hAnsi="Arial Narrow" w:cs="Arial"/>
        </w:rPr>
        <w:t xml:space="preserve">CDFI </w:t>
      </w:r>
      <w:r w:rsidR="009438AA" w:rsidRPr="0079536B">
        <w:rPr>
          <w:rFonts w:ascii="Arial Narrow" w:hAnsi="Arial Narrow" w:cs="Arial"/>
        </w:rPr>
        <w:t xml:space="preserve">Fund will employ procedures to review and test questions to ensure that questions and instructions are clear, relevant, and unambiguous.  </w:t>
      </w:r>
    </w:p>
    <w:p w:rsidR="00D276FF" w:rsidRPr="0079536B" w:rsidRDefault="00D276FF">
      <w:pPr>
        <w:ind w:firstLine="180"/>
        <w:rPr>
          <w:rFonts w:ascii="Arial Narrow" w:hAnsi="Arial Narrow" w:cs="Arial"/>
        </w:rPr>
      </w:pPr>
    </w:p>
    <w:p w:rsidR="00D276FF" w:rsidRPr="0079536B" w:rsidRDefault="00D276FF" w:rsidP="0070586B">
      <w:pPr>
        <w:ind w:firstLine="18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>B5.</w:t>
      </w:r>
      <w:r w:rsidRPr="0079536B">
        <w:rPr>
          <w:rFonts w:ascii="Arial Narrow" w:hAnsi="Arial Narrow" w:cs="Arial"/>
        </w:rPr>
        <w:tab/>
      </w:r>
      <w:r w:rsidRPr="0079536B">
        <w:rPr>
          <w:rFonts w:ascii="Arial Narrow" w:hAnsi="Arial Narrow" w:cs="Arial"/>
          <w:u w:val="single"/>
        </w:rPr>
        <w:t>CONTACTS FOR STATISTICAL ASPECTS AND DATA COLLECTION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ind w:left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 xml:space="preserve">The contact person for questions regarding any statistical aspects employed or data collection procedures used will be provided to OMB before each survey.  Administrative questions regarding the </w:t>
      </w:r>
      <w:r w:rsidR="009438AA" w:rsidRPr="0079536B">
        <w:rPr>
          <w:rFonts w:ascii="Arial Narrow" w:hAnsi="Arial Narrow" w:cs="Arial"/>
        </w:rPr>
        <w:t>Fund’s</w:t>
      </w:r>
      <w:r w:rsidRPr="0079536B">
        <w:rPr>
          <w:rFonts w:ascii="Arial Narrow" w:hAnsi="Arial Narrow" w:cs="Arial"/>
        </w:rPr>
        <w:t xml:space="preserve"> use of this generic clearance should be directed to:</w:t>
      </w:r>
    </w:p>
    <w:p w:rsidR="00D276FF" w:rsidRPr="0079536B" w:rsidRDefault="00D276FF">
      <w:pPr>
        <w:ind w:left="360"/>
        <w:rPr>
          <w:rFonts w:ascii="Arial Narrow" w:hAnsi="Arial Narrow" w:cs="Arial"/>
        </w:rPr>
      </w:pPr>
    </w:p>
    <w:p w:rsidR="00D276FF" w:rsidRPr="0079536B" w:rsidRDefault="00D276FF">
      <w:pPr>
        <w:ind w:left="1440" w:hanging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ab/>
      </w:r>
      <w:r w:rsidR="00DA2317">
        <w:rPr>
          <w:rFonts w:ascii="Arial Narrow" w:hAnsi="Arial Narrow" w:cs="Arial"/>
        </w:rPr>
        <w:t>Mark Kudlowitz</w:t>
      </w:r>
    </w:p>
    <w:p w:rsidR="00D276FF" w:rsidRPr="0079536B" w:rsidRDefault="009438AA">
      <w:pPr>
        <w:ind w:left="1440" w:hanging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ab/>
      </w:r>
      <w:r w:rsidR="00D276FF" w:rsidRPr="0079536B">
        <w:rPr>
          <w:rFonts w:ascii="Arial Narrow" w:hAnsi="Arial Narrow" w:cs="Arial"/>
        </w:rPr>
        <w:t>Manager</w:t>
      </w:r>
      <w:r w:rsidRPr="0079536B">
        <w:rPr>
          <w:rFonts w:ascii="Arial Narrow" w:hAnsi="Arial Narrow" w:cs="Arial"/>
        </w:rPr>
        <w:t>, CDFI Program</w:t>
      </w:r>
    </w:p>
    <w:p w:rsidR="00DA2317" w:rsidRPr="00DA2317" w:rsidRDefault="00D276FF" w:rsidP="00DA2317">
      <w:pPr>
        <w:ind w:left="1440" w:hanging="720"/>
        <w:rPr>
          <w:rFonts w:ascii="Arial Narrow" w:hAnsi="Arial Narrow" w:cs="Arial"/>
        </w:rPr>
      </w:pPr>
      <w:r w:rsidRPr="0079536B">
        <w:rPr>
          <w:rFonts w:ascii="Arial Narrow" w:hAnsi="Arial Narrow" w:cs="Arial"/>
        </w:rPr>
        <w:tab/>
      </w:r>
      <w:r w:rsidR="00DA2317" w:rsidRPr="00DA2317">
        <w:rPr>
          <w:rFonts w:ascii="Arial Narrow" w:hAnsi="Arial Narrow" w:cs="Arial"/>
        </w:rPr>
        <w:t>Community Development Financial Institutions Fund</w:t>
      </w:r>
      <w:r w:rsidR="00DA2317">
        <w:rPr>
          <w:rFonts w:ascii="Arial Narrow" w:hAnsi="Arial Narrow" w:cs="Arial"/>
        </w:rPr>
        <w:t xml:space="preserve">, </w:t>
      </w:r>
      <w:r w:rsidR="00DA2317" w:rsidRPr="00DA2317">
        <w:rPr>
          <w:rFonts w:ascii="Arial Narrow" w:hAnsi="Arial Narrow" w:cs="Arial"/>
        </w:rPr>
        <w:t>U.S. Department of the Treasury</w:t>
      </w:r>
    </w:p>
    <w:p w:rsidR="00DA2317" w:rsidRPr="00DA2317" w:rsidRDefault="00DA2317" w:rsidP="00DA2317">
      <w:pPr>
        <w:ind w:left="1440"/>
        <w:rPr>
          <w:rFonts w:ascii="Arial Narrow" w:hAnsi="Arial Narrow" w:cs="Arial"/>
        </w:rPr>
      </w:pPr>
      <w:r w:rsidRPr="00DA2317">
        <w:rPr>
          <w:rFonts w:ascii="Arial Narrow" w:hAnsi="Arial Narrow" w:cs="Arial"/>
        </w:rPr>
        <w:t>1500 Pennsylvania Avenue, NW</w:t>
      </w:r>
    </w:p>
    <w:p w:rsidR="00D276FF" w:rsidRPr="0079536B" w:rsidRDefault="00DA2317" w:rsidP="00DA2317">
      <w:pPr>
        <w:ind w:left="1440"/>
        <w:rPr>
          <w:rFonts w:ascii="Arial Narrow" w:hAnsi="Arial Narrow" w:cs="Arial"/>
        </w:rPr>
      </w:pPr>
      <w:r w:rsidRPr="00DA2317">
        <w:rPr>
          <w:rFonts w:ascii="Arial Narrow" w:hAnsi="Arial Narrow" w:cs="Arial"/>
        </w:rPr>
        <w:t>Washington, D.C. 20020</w:t>
      </w:r>
    </w:p>
    <w:sectPr w:rsidR="00D276FF" w:rsidRPr="0079536B" w:rsidSect="0079536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fmt="numberInDash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73" w:rsidRDefault="00A66773">
      <w:r>
        <w:separator/>
      </w:r>
    </w:p>
  </w:endnote>
  <w:endnote w:type="continuationSeparator" w:id="0">
    <w:p w:rsidR="00A66773" w:rsidRDefault="00A6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6B" w:rsidRDefault="00705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86B" w:rsidRDefault="007058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6B" w:rsidRDefault="00705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317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70586B" w:rsidRDefault="00705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73" w:rsidRDefault="00A66773">
      <w:r>
        <w:separator/>
      </w:r>
    </w:p>
  </w:footnote>
  <w:footnote w:type="continuationSeparator" w:id="0">
    <w:p w:rsidR="00A66773" w:rsidRDefault="00A6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2EA0"/>
    <w:multiLevelType w:val="hybridMultilevel"/>
    <w:tmpl w:val="CBE6BA22"/>
    <w:lvl w:ilvl="0" w:tplc="54584E96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5B091B"/>
    <w:multiLevelType w:val="hybridMultilevel"/>
    <w:tmpl w:val="47F039C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FB0A90"/>
    <w:multiLevelType w:val="hybridMultilevel"/>
    <w:tmpl w:val="C344B976"/>
    <w:lvl w:ilvl="0" w:tplc="A328A1B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B2"/>
    <w:rsid w:val="0010256E"/>
    <w:rsid w:val="00103C6A"/>
    <w:rsid w:val="0014098C"/>
    <w:rsid w:val="001F7EE7"/>
    <w:rsid w:val="002078E5"/>
    <w:rsid w:val="002256F9"/>
    <w:rsid w:val="002414CC"/>
    <w:rsid w:val="002E734D"/>
    <w:rsid w:val="0040553D"/>
    <w:rsid w:val="005B3796"/>
    <w:rsid w:val="00652CDA"/>
    <w:rsid w:val="0070586B"/>
    <w:rsid w:val="00734DFD"/>
    <w:rsid w:val="0079536B"/>
    <w:rsid w:val="007B5650"/>
    <w:rsid w:val="007E6ABB"/>
    <w:rsid w:val="007F6EE5"/>
    <w:rsid w:val="00801687"/>
    <w:rsid w:val="00837083"/>
    <w:rsid w:val="008D36F4"/>
    <w:rsid w:val="008D4396"/>
    <w:rsid w:val="0092552A"/>
    <w:rsid w:val="009438AA"/>
    <w:rsid w:val="00967F98"/>
    <w:rsid w:val="00A47543"/>
    <w:rsid w:val="00A66773"/>
    <w:rsid w:val="00AD1D42"/>
    <w:rsid w:val="00B11F42"/>
    <w:rsid w:val="00B36F65"/>
    <w:rsid w:val="00B50DAD"/>
    <w:rsid w:val="00B57CC2"/>
    <w:rsid w:val="00BB4C25"/>
    <w:rsid w:val="00BB7567"/>
    <w:rsid w:val="00BE2CB2"/>
    <w:rsid w:val="00BF62A1"/>
    <w:rsid w:val="00CC4CA8"/>
    <w:rsid w:val="00CC69C6"/>
    <w:rsid w:val="00D02BF1"/>
    <w:rsid w:val="00D276FF"/>
    <w:rsid w:val="00DA2317"/>
    <w:rsid w:val="00E15366"/>
    <w:rsid w:val="00E5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20, 2004</vt:lpstr>
    </vt:vector>
  </TitlesOfParts>
  <Company>US Mint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20, 2004</dc:title>
  <dc:creator>MMAdmin</dc:creator>
  <cp:lastModifiedBy>Fishman, Brette</cp:lastModifiedBy>
  <cp:revision>2</cp:revision>
  <cp:lastPrinted>2005-01-06T13:52:00Z</cp:lastPrinted>
  <dcterms:created xsi:type="dcterms:W3CDTF">2014-08-25T13:14:00Z</dcterms:created>
  <dcterms:modified xsi:type="dcterms:W3CDTF">2014-08-25T13:14:00Z</dcterms:modified>
</cp:coreProperties>
</file>