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3C" w:rsidRPr="008D443C" w:rsidRDefault="004813D1">
      <w:r>
        <w:t xml:space="preserve">July </w:t>
      </w:r>
      <w:r w:rsidR="001717E4">
        <w:t>22</w:t>
      </w:r>
      <w:r>
        <w:t>, 2014</w:t>
      </w:r>
    </w:p>
    <w:p w:rsidR="008D443C" w:rsidRDefault="008D443C">
      <w:r w:rsidRPr="008D443C">
        <w:t xml:space="preserve">Memorandum for:  </w:t>
      </w:r>
      <w:r>
        <w:t>ICF International</w:t>
      </w:r>
    </w:p>
    <w:p w:rsidR="008D443C" w:rsidRPr="008D443C" w:rsidRDefault="008D443C">
      <w:r>
        <w:t>From:</w:t>
      </w:r>
      <w:r>
        <w:tab/>
      </w:r>
      <w:r>
        <w:tab/>
        <w:t xml:space="preserve">        EBSA</w:t>
      </w:r>
    </w:p>
    <w:p w:rsidR="007059CF" w:rsidRPr="008D443C" w:rsidRDefault="008D443C">
      <w:r>
        <w:t xml:space="preserve">Subject:                   </w:t>
      </w:r>
      <w:r w:rsidR="00380EFC" w:rsidRPr="008D443C">
        <w:t xml:space="preserve">408(b)2 Focus Group Sample Selection </w:t>
      </w:r>
    </w:p>
    <w:p w:rsidR="00D5509D" w:rsidRDefault="00D5509D" w:rsidP="00D5509D">
      <w:pPr>
        <w:ind w:firstLine="720"/>
        <w:rPr>
          <w:rFonts w:cs="Times New Roman"/>
          <w:szCs w:val="24"/>
        </w:rPr>
      </w:pPr>
      <w:r w:rsidRPr="00AE1C99">
        <w:t xml:space="preserve">EBSA is providing to ICF </w:t>
      </w:r>
      <w:r w:rsidR="004813D1">
        <w:t>three</w:t>
      </w:r>
      <w:r w:rsidR="004813D1" w:rsidRPr="00AE1C99">
        <w:t xml:space="preserve"> </w:t>
      </w:r>
      <w:r w:rsidRPr="00AE1C99">
        <w:t>data set</w:t>
      </w:r>
      <w:r w:rsidR="004813D1">
        <w:t xml:space="preserve">s to be used in selecting plans for the focus groups. </w:t>
      </w:r>
      <w:r w:rsidRPr="00AE1C99">
        <w:t xml:space="preserve"> </w:t>
      </w:r>
      <w:r w:rsidRPr="00AE1C99">
        <w:rPr>
          <w:rFonts w:cs="Times New Roman"/>
          <w:szCs w:val="24"/>
        </w:rPr>
        <w:t xml:space="preserve">  The data set</w:t>
      </w:r>
      <w:r w:rsidR="004813D1">
        <w:rPr>
          <w:rFonts w:cs="Times New Roman"/>
          <w:szCs w:val="24"/>
        </w:rPr>
        <w:t>s</w:t>
      </w:r>
      <w:r w:rsidRPr="00AE1C99">
        <w:rPr>
          <w:rFonts w:cs="Times New Roman"/>
          <w:szCs w:val="24"/>
        </w:rPr>
        <w:t xml:space="preserve"> </w:t>
      </w:r>
      <w:r w:rsidR="004813D1">
        <w:rPr>
          <w:rFonts w:cs="Times New Roman"/>
          <w:szCs w:val="24"/>
        </w:rPr>
        <w:t>are</w:t>
      </w:r>
      <w:r w:rsidR="004813D1" w:rsidRPr="00AE1C99">
        <w:rPr>
          <w:rFonts w:cs="Times New Roman"/>
          <w:szCs w:val="24"/>
        </w:rPr>
        <w:t xml:space="preserve"> </w:t>
      </w:r>
      <w:r w:rsidRPr="00AE1C99">
        <w:rPr>
          <w:rFonts w:cs="Times New Roman"/>
          <w:szCs w:val="24"/>
        </w:rPr>
        <w:t>based on the OPR 2011 Form 5500 Private Pension Plan Research File which contains information from the Form 5500, Short Form (SF), and schedules H and I.  The full research file is available on the EBSA website.</w:t>
      </w:r>
      <w:r w:rsidRPr="00AE1C99">
        <w:rPr>
          <w:rStyle w:val="FootnoteReference"/>
          <w:rFonts w:cs="Times New Roman"/>
          <w:szCs w:val="24"/>
        </w:rPr>
        <w:footnoteReference w:id="1"/>
      </w:r>
      <w:r w:rsidR="0060040F">
        <w:rPr>
          <w:rFonts w:cs="Times New Roman"/>
          <w:szCs w:val="24"/>
        </w:rPr>
        <w:t xml:space="preserve"> </w:t>
      </w:r>
      <w:r w:rsidRPr="00AE1C99">
        <w:rPr>
          <w:rFonts w:cs="Times New Roman"/>
          <w:szCs w:val="24"/>
        </w:rPr>
        <w:t xml:space="preserve">A few additional variables were added to the research file.  </w:t>
      </w:r>
    </w:p>
    <w:p w:rsidR="004813D1" w:rsidRPr="00AE1C99" w:rsidRDefault="004813D1" w:rsidP="00D5509D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The data sets contain</w:t>
      </w:r>
      <w:r w:rsidRPr="00AE1C99">
        <w:rPr>
          <w:rFonts w:cs="Times New Roman"/>
          <w:szCs w:val="24"/>
        </w:rPr>
        <w:t xml:space="preserve"> 51 variables.</w:t>
      </w:r>
      <w:r w:rsidRPr="004813D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first data set contains plans with less than one hundred participants and has </w:t>
      </w:r>
      <w:r w:rsidRPr="00AE1C99">
        <w:rPr>
          <w:rFonts w:cs="Times New Roman"/>
          <w:szCs w:val="24"/>
        </w:rPr>
        <w:t xml:space="preserve">270,114 </w:t>
      </w:r>
      <w:r w:rsidRPr="00F64D09">
        <w:rPr>
          <w:rFonts w:cs="Times New Roman"/>
          <w:szCs w:val="24"/>
        </w:rPr>
        <w:t xml:space="preserve">plan observations.  The second data set contains plans with </w:t>
      </w:r>
      <w:r w:rsidR="007172A9" w:rsidRPr="00F64D09">
        <w:rPr>
          <w:rFonts w:cs="Times New Roman"/>
          <w:szCs w:val="24"/>
        </w:rPr>
        <w:t>between 100 and 999</w:t>
      </w:r>
      <w:r w:rsidRPr="00F64D09">
        <w:rPr>
          <w:rFonts w:cs="Times New Roman"/>
          <w:szCs w:val="24"/>
        </w:rPr>
        <w:t xml:space="preserve"> participants and has </w:t>
      </w:r>
      <w:r w:rsidR="007172A9" w:rsidRPr="00F64D09">
        <w:rPr>
          <w:rFonts w:cs="Times New Roman"/>
          <w:szCs w:val="24"/>
        </w:rPr>
        <w:t>51,8</w:t>
      </w:r>
      <w:r w:rsidR="002E1331" w:rsidRPr="00F64D09">
        <w:rPr>
          <w:rFonts w:cs="Times New Roman"/>
          <w:szCs w:val="24"/>
        </w:rPr>
        <w:t>07</w:t>
      </w:r>
      <w:r w:rsidRPr="00F64D09">
        <w:rPr>
          <w:rFonts w:cs="Times New Roman"/>
          <w:szCs w:val="24"/>
        </w:rPr>
        <w:t xml:space="preserve"> plan observations</w:t>
      </w:r>
      <w:r w:rsidR="007172A9" w:rsidRPr="00F64D09">
        <w:rPr>
          <w:rFonts w:cs="Times New Roman"/>
          <w:szCs w:val="24"/>
        </w:rPr>
        <w:t>.  The third data set contains plans with between 1,000 or more participants and has 8,2</w:t>
      </w:r>
      <w:r w:rsidR="002E1331" w:rsidRPr="00F64D09">
        <w:rPr>
          <w:rFonts w:cs="Times New Roman"/>
          <w:szCs w:val="24"/>
        </w:rPr>
        <w:t>17</w:t>
      </w:r>
      <w:r w:rsidR="007172A9" w:rsidRPr="00F64D09">
        <w:rPr>
          <w:rFonts w:cs="Times New Roman"/>
          <w:szCs w:val="24"/>
        </w:rPr>
        <w:t xml:space="preserve"> plan</w:t>
      </w:r>
      <w:r w:rsidR="007172A9" w:rsidRPr="00AE1C99">
        <w:rPr>
          <w:rFonts w:cs="Times New Roman"/>
          <w:szCs w:val="24"/>
        </w:rPr>
        <w:t xml:space="preserve"> observations</w:t>
      </w:r>
      <w:r w:rsidR="007172A9">
        <w:rPr>
          <w:rFonts w:cs="Times New Roman"/>
          <w:szCs w:val="24"/>
        </w:rPr>
        <w:t>.</w:t>
      </w:r>
    </w:p>
    <w:p w:rsidR="00D5509D" w:rsidRPr="00AE1C99" w:rsidRDefault="00D5509D" w:rsidP="00D5509D">
      <w:pPr>
        <w:ind w:firstLine="720"/>
        <w:rPr>
          <w:rFonts w:cs="Times New Roman"/>
          <w:szCs w:val="24"/>
        </w:rPr>
      </w:pPr>
      <w:r w:rsidRPr="00AE1C99">
        <w:rPr>
          <w:rFonts w:cs="Times New Roman"/>
          <w:szCs w:val="24"/>
        </w:rPr>
        <w:t>EBSA is also providi</w:t>
      </w:r>
      <w:r w:rsidR="00C31C77" w:rsidRPr="00AE1C99">
        <w:rPr>
          <w:rFonts w:cs="Times New Roman"/>
          <w:szCs w:val="24"/>
        </w:rPr>
        <w:t>ng the 2011 Pension User Guide</w:t>
      </w:r>
      <w:r w:rsidRPr="00AE1C99">
        <w:rPr>
          <w:rFonts w:cs="Times New Roman"/>
          <w:szCs w:val="24"/>
        </w:rPr>
        <w:t xml:space="preserve"> that describes the research file. </w:t>
      </w:r>
      <w:r w:rsidR="00C31C77" w:rsidRPr="00AE1C99">
        <w:rPr>
          <w:rFonts w:cs="Times New Roman"/>
          <w:szCs w:val="24"/>
        </w:rPr>
        <w:t>This document contains a codebook of the variables in the research file.</w:t>
      </w:r>
      <w:r w:rsidRPr="00AE1C99">
        <w:rPr>
          <w:rFonts w:cs="Times New Roman"/>
          <w:szCs w:val="24"/>
        </w:rPr>
        <w:t xml:space="preserve"> This is also on the EBSA website.  Also being furnished is a condensed codebook containing only the variables in the Final Data set</w:t>
      </w:r>
      <w:r w:rsidR="00C31C77" w:rsidRPr="00AE1C99">
        <w:rPr>
          <w:rFonts w:cs="Times New Roman"/>
          <w:szCs w:val="24"/>
        </w:rPr>
        <w:t xml:space="preserve"> with the additional variables added</w:t>
      </w:r>
      <w:r w:rsidRPr="00AE1C99">
        <w:rPr>
          <w:rFonts w:cs="Times New Roman"/>
          <w:szCs w:val="24"/>
        </w:rPr>
        <w:t>.</w:t>
      </w:r>
    </w:p>
    <w:p w:rsidR="00D5509D" w:rsidRPr="00AE1C99" w:rsidRDefault="00D5509D" w:rsidP="0039321D">
      <w:pPr>
        <w:ind w:firstLine="720"/>
        <w:rPr>
          <w:rFonts w:cs="Times New Roman"/>
          <w:szCs w:val="24"/>
        </w:rPr>
      </w:pPr>
      <w:r w:rsidRPr="00AE1C99">
        <w:rPr>
          <w:rFonts w:cs="Times New Roman"/>
          <w:szCs w:val="24"/>
        </w:rPr>
        <w:t>The dataset con</w:t>
      </w:r>
      <w:r w:rsidR="0060040F">
        <w:rPr>
          <w:rFonts w:cs="Times New Roman"/>
          <w:szCs w:val="24"/>
        </w:rPr>
        <w:t>tains only plans meeting the following criteria:</w:t>
      </w:r>
    </w:p>
    <w:p w:rsidR="007063C1" w:rsidRPr="00AE1C99" w:rsidRDefault="007063C1" w:rsidP="0046641A">
      <w:pPr>
        <w:pStyle w:val="ListParagraph"/>
        <w:numPr>
          <w:ilvl w:val="0"/>
          <w:numId w:val="1"/>
        </w:numPr>
        <w:ind w:left="1080"/>
        <w:rPr>
          <w:b/>
        </w:rPr>
      </w:pPr>
      <w:r w:rsidRPr="00AE1C99">
        <w:t>Keep</w:t>
      </w:r>
      <w:r w:rsidR="00F12162" w:rsidRPr="00AE1C99">
        <w:t>s</w:t>
      </w:r>
      <w:r w:rsidRPr="00AE1C99">
        <w:t xml:space="preserve"> </w:t>
      </w:r>
      <w:r w:rsidR="00840CAA" w:rsidRPr="00AE1C99">
        <w:t xml:space="preserve">only </w:t>
      </w:r>
      <w:r w:rsidR="0039321D" w:rsidRPr="00AE1C99">
        <w:t xml:space="preserve">plans where there are positive administrative provider payments </w:t>
      </w:r>
      <w:r w:rsidRPr="00AE1C99">
        <w:t xml:space="preserve"> </w:t>
      </w:r>
      <w:r w:rsidR="0039321D" w:rsidRPr="00AE1C99">
        <w:t>(</w:t>
      </w:r>
      <w:r w:rsidRPr="00AE1C99">
        <w:t xml:space="preserve">SF5500 </w:t>
      </w:r>
      <w:r w:rsidR="0039321D" w:rsidRPr="00AE1C99">
        <w:t xml:space="preserve">lines </w:t>
      </w:r>
      <w:r w:rsidRPr="00AE1C99">
        <w:t xml:space="preserve">8F+8G&gt;0  </w:t>
      </w:r>
      <w:r w:rsidR="00840CAA" w:rsidRPr="00AE1C99">
        <w:t xml:space="preserve"> or on F5500 </w:t>
      </w:r>
      <w:r w:rsidR="0039321D" w:rsidRPr="00AE1C99">
        <w:t xml:space="preserve"> </w:t>
      </w:r>
      <w:r w:rsidR="008D3E41" w:rsidRPr="00AE1C99">
        <w:t>Schedule H Part II (</w:t>
      </w:r>
      <w:proofErr w:type="spellStart"/>
      <w:r w:rsidR="008D3E41" w:rsidRPr="00AE1C99">
        <w:t>i</w:t>
      </w:r>
      <w:proofErr w:type="spellEnd"/>
      <w:r w:rsidR="008D3E41" w:rsidRPr="00AE1C99">
        <w:t xml:space="preserve">) </w:t>
      </w:r>
      <w:r w:rsidR="0039321D" w:rsidRPr="00AE1C99">
        <w:t>line</w:t>
      </w:r>
      <w:r w:rsidR="008D3E41" w:rsidRPr="00AE1C99">
        <w:t xml:space="preserve"> 5 &gt;0   ;  Schedule I  Part I </w:t>
      </w:r>
      <w:r w:rsidR="0039321D" w:rsidRPr="00AE1C99">
        <w:t>(</w:t>
      </w:r>
      <w:r w:rsidR="008D3E41" w:rsidRPr="00AE1C99">
        <w:t>2</w:t>
      </w:r>
      <w:r w:rsidR="0039321D" w:rsidRPr="00AE1C99">
        <w:t>)</w:t>
      </w:r>
      <w:r w:rsidR="008D3E41" w:rsidRPr="00AE1C99">
        <w:t xml:space="preserve"> </w:t>
      </w:r>
      <w:r w:rsidR="0039321D" w:rsidRPr="00AE1C99">
        <w:t xml:space="preserve">lines </w:t>
      </w:r>
      <w:proofErr w:type="spellStart"/>
      <w:r w:rsidR="008D3E41" w:rsidRPr="00AE1C99">
        <w:t>h+i</w:t>
      </w:r>
      <w:proofErr w:type="spellEnd"/>
      <w:r w:rsidR="008D3E41" w:rsidRPr="00AE1C99">
        <w:t>&gt;0</w:t>
      </w:r>
    </w:p>
    <w:p w:rsidR="007063C1" w:rsidRPr="00AE1C99" w:rsidRDefault="00840CAA" w:rsidP="0046641A">
      <w:pPr>
        <w:pStyle w:val="ListParagraph"/>
        <w:numPr>
          <w:ilvl w:val="0"/>
          <w:numId w:val="1"/>
        </w:numPr>
        <w:ind w:left="1080"/>
        <w:rPr>
          <w:b/>
        </w:rPr>
      </w:pPr>
      <w:r w:rsidRPr="00AE1C99">
        <w:t>Exclude</w:t>
      </w:r>
      <w:r w:rsidR="00F12162" w:rsidRPr="00AE1C99">
        <w:t>s</w:t>
      </w:r>
      <w:r w:rsidRPr="00AE1C99">
        <w:t xml:space="preserve"> pension</w:t>
      </w:r>
      <w:r w:rsidR="00F462C4" w:rsidRPr="00AE1C99">
        <w:t xml:space="preserve"> benefit codes </w:t>
      </w:r>
      <w:r w:rsidR="007063C1" w:rsidRPr="00AE1C99">
        <w:t xml:space="preserve">“3F”, </w:t>
      </w:r>
      <w:r w:rsidR="00720F78" w:rsidRPr="00AE1C99">
        <w:t xml:space="preserve">“3C”, </w:t>
      </w:r>
      <w:r w:rsidR="007063C1" w:rsidRPr="00AE1C99">
        <w:t>“3E”, “2N” and “3B”.</w:t>
      </w:r>
    </w:p>
    <w:p w:rsidR="00F462C4" w:rsidRPr="00AE1C99" w:rsidRDefault="0039321D" w:rsidP="00F462C4">
      <w:pPr>
        <w:pStyle w:val="ListParagraph"/>
        <w:numPr>
          <w:ilvl w:val="0"/>
          <w:numId w:val="1"/>
        </w:numPr>
        <w:ind w:left="1080"/>
        <w:rPr>
          <w:b/>
        </w:rPr>
      </w:pPr>
      <w:r w:rsidRPr="00AE1C99">
        <w:t>Exclude</w:t>
      </w:r>
      <w:r w:rsidR="00F12162" w:rsidRPr="00AE1C99">
        <w:t>s</w:t>
      </w:r>
      <w:r w:rsidRPr="00AE1C99">
        <w:t xml:space="preserve"> plans </w:t>
      </w:r>
      <w:r w:rsidR="00F462C4" w:rsidRPr="00AE1C99">
        <w:t>with less than $1</w:t>
      </w:r>
      <w:r w:rsidRPr="00AE1C99">
        <w:t>,</w:t>
      </w:r>
      <w:r w:rsidR="00F462C4" w:rsidRPr="00AE1C99">
        <w:t xml:space="preserve">000 in assets per participant.  </w:t>
      </w:r>
    </w:p>
    <w:p w:rsidR="008D3E41" w:rsidRPr="00AE1C99" w:rsidRDefault="008D3E41" w:rsidP="008D3E41">
      <w:pPr>
        <w:pStyle w:val="ListParagraph"/>
        <w:ind w:left="1080"/>
        <w:rPr>
          <w:b/>
        </w:rPr>
      </w:pPr>
    </w:p>
    <w:p w:rsidR="00816845" w:rsidRPr="00AE1C99" w:rsidRDefault="008D3E41" w:rsidP="00816845">
      <w:r w:rsidRPr="00AE1C99">
        <w:t>ICF</w:t>
      </w:r>
      <w:r w:rsidR="00393198" w:rsidRPr="00AE1C99">
        <w:t xml:space="preserve"> is to draw from the data set</w:t>
      </w:r>
      <w:r w:rsidR="007172A9">
        <w:t>s</w:t>
      </w:r>
      <w:r w:rsidR="00393198" w:rsidRPr="00AE1C99">
        <w:t xml:space="preserve"> plans to contact in order to obtain subjects for the Focus Groups.  ICF is to use the following criteria when </w:t>
      </w:r>
      <w:r w:rsidR="00856A7E" w:rsidRPr="00AE1C99">
        <w:t xml:space="preserve">constructing the focus groups: </w:t>
      </w:r>
    </w:p>
    <w:p w:rsidR="007063C1" w:rsidRPr="00AE1C99" w:rsidRDefault="007063C1" w:rsidP="0046641A">
      <w:pPr>
        <w:pStyle w:val="ListParagraph"/>
        <w:numPr>
          <w:ilvl w:val="0"/>
          <w:numId w:val="1"/>
        </w:numPr>
        <w:ind w:left="1080"/>
        <w:rPr>
          <w:b/>
        </w:rPr>
      </w:pPr>
      <w:r w:rsidRPr="00AE1C99">
        <w:t>Geography</w:t>
      </w:r>
      <w:r w:rsidR="0060040F">
        <w:t xml:space="preserve">- </w:t>
      </w:r>
      <w:r w:rsidR="00720F78" w:rsidRPr="00AE1C99">
        <w:t>Focus groups will occur in cities where ICF has offices.  DOL anticipates using zip code information on the Form 5500 to locate plans in the area.</w:t>
      </w:r>
    </w:p>
    <w:p w:rsidR="00D87FE4" w:rsidRPr="00AE1C99" w:rsidRDefault="00480E4D" w:rsidP="00AE1C99">
      <w:pPr>
        <w:pStyle w:val="ListParagraph"/>
        <w:numPr>
          <w:ilvl w:val="1"/>
          <w:numId w:val="1"/>
        </w:numPr>
        <w:rPr>
          <w:b/>
        </w:rPr>
      </w:pPr>
      <w:r w:rsidRPr="00AE1C99">
        <w:t>ICF will pick the cities based on the locations of their offices.  They will have groups geographically dispersed throughout the continental United States.  ICF will provide a list</w:t>
      </w:r>
      <w:r w:rsidR="00393198" w:rsidRPr="00AE1C99">
        <w:t xml:space="preserve"> of cities</w:t>
      </w:r>
      <w:r w:rsidRPr="00AE1C99">
        <w:t xml:space="preserve"> for final DOL approval before sample selection begins.</w:t>
      </w:r>
    </w:p>
    <w:p w:rsidR="00393198" w:rsidRPr="00AE1C99" w:rsidRDefault="00C31C77" w:rsidP="00C31C77">
      <w:pPr>
        <w:pStyle w:val="ListParagraph"/>
        <w:numPr>
          <w:ilvl w:val="1"/>
          <w:numId w:val="1"/>
        </w:numPr>
        <w:rPr>
          <w:b/>
        </w:rPr>
      </w:pPr>
      <w:r w:rsidRPr="00AE1C99">
        <w:lastRenderedPageBreak/>
        <w:t xml:space="preserve">The zip code variable for plans filing the short form is sf_spons_us_zip and for plans filing the Form 5500 it is </w:t>
      </w:r>
      <w:proofErr w:type="spellStart"/>
      <w:r w:rsidR="0060040F">
        <w:t>spons_dfe_mail_us_zip</w:t>
      </w:r>
      <w:proofErr w:type="spellEnd"/>
      <w:r w:rsidR="0060040F">
        <w:t>.</w:t>
      </w:r>
    </w:p>
    <w:p w:rsidR="005B63BF" w:rsidRPr="00AE1C99" w:rsidRDefault="005B63BF" w:rsidP="00AE1C99">
      <w:pPr>
        <w:pStyle w:val="ListParagraph"/>
        <w:numPr>
          <w:ilvl w:val="0"/>
          <w:numId w:val="1"/>
        </w:numPr>
        <w:ind w:left="1080"/>
        <w:rPr>
          <w:b/>
        </w:rPr>
      </w:pPr>
      <w:r w:rsidRPr="00AE1C99">
        <w:t>Finding</w:t>
      </w:r>
      <w:r w:rsidR="00AE1C99" w:rsidRPr="00AE1C99">
        <w:t xml:space="preserve"> the responsible</w:t>
      </w:r>
      <w:r w:rsidRPr="00AE1C99">
        <w:t xml:space="preserve"> plan fiduciary</w:t>
      </w:r>
      <w:r w:rsidR="00AD0D60" w:rsidRPr="00AE1C99">
        <w:t xml:space="preserve">- </w:t>
      </w:r>
      <w:r w:rsidR="00AE1C99" w:rsidRPr="00AE1C99">
        <w:t>While the plans sponsor and the plan administrator could be different people, in all plans in the data set they report the same phone number.</w:t>
      </w:r>
      <w:r w:rsidR="00AD0D60" w:rsidRPr="00AE1C99">
        <w:t xml:space="preserve">  </w:t>
      </w:r>
      <w:r w:rsidR="00132203">
        <w:t>ICF should ensure that the individual invited to do the focus group is a “</w:t>
      </w:r>
      <w:r w:rsidR="00AD0D60" w:rsidRPr="00AE1C99">
        <w:t xml:space="preserve">responsible plan </w:t>
      </w:r>
      <w:r w:rsidR="00957CA8">
        <w:t>fiduciary</w:t>
      </w:r>
      <w:proofErr w:type="gramStart"/>
      <w:r w:rsidR="00957CA8">
        <w:t>,</w:t>
      </w:r>
      <w:r w:rsidR="00DD7261">
        <w:t>.</w:t>
      </w:r>
      <w:proofErr w:type="gramEnd"/>
      <w:r w:rsidR="00132203">
        <w:t>”</w:t>
      </w:r>
      <w:r w:rsidR="00957CA8" w:rsidRPr="00957CA8">
        <w:t xml:space="preserve"> </w:t>
      </w:r>
      <w:r w:rsidR="00957CA8">
        <w:t>a plan fiduciary with authority to cause the plan to enter into a service arrangement.</w:t>
      </w:r>
      <w:r w:rsidR="00957CA8" w:rsidRPr="00AE1C99" w:rsidDel="00132203">
        <w:t xml:space="preserve"> </w:t>
      </w:r>
    </w:p>
    <w:p w:rsidR="00D87FE4" w:rsidRPr="00AE1C99" w:rsidRDefault="00253F66" w:rsidP="0046641A">
      <w:pPr>
        <w:pStyle w:val="ListParagraph"/>
        <w:numPr>
          <w:ilvl w:val="0"/>
          <w:numId w:val="1"/>
        </w:numPr>
        <w:ind w:left="1080"/>
        <w:rPr>
          <w:b/>
        </w:rPr>
      </w:pPr>
      <w:r>
        <w:t xml:space="preserve">For the small plans </w:t>
      </w:r>
      <w:r w:rsidR="00393198" w:rsidRPr="00AE1C99">
        <w:t>EBSA wants each focus group to contain plans with varying size</w:t>
      </w:r>
      <w:r w:rsidR="003347BA">
        <w:t>s</w:t>
      </w:r>
      <w:r w:rsidR="00393198" w:rsidRPr="00AE1C99">
        <w:t xml:space="preserve"> based on the number of plan participants.  EBSA would like about 1/3 of each focus group to come from each of the following categories: </w:t>
      </w:r>
      <w:r w:rsidR="005B63BF" w:rsidRPr="00AE1C99">
        <w:t>1-24,</w:t>
      </w:r>
      <w:r w:rsidR="007063C1" w:rsidRPr="00AE1C99">
        <w:t xml:space="preserve"> </w:t>
      </w:r>
      <w:r w:rsidR="005B63BF" w:rsidRPr="00AE1C99">
        <w:t xml:space="preserve">25-74, </w:t>
      </w:r>
      <w:r w:rsidR="003347BA">
        <w:t xml:space="preserve">and </w:t>
      </w:r>
      <w:r w:rsidR="005B63BF" w:rsidRPr="00AE1C99">
        <w:t>75-100</w:t>
      </w:r>
      <w:r w:rsidR="009D7372" w:rsidRPr="00AE1C99">
        <w:t xml:space="preserve"> participants</w:t>
      </w:r>
      <w:r w:rsidR="00393198" w:rsidRPr="00AE1C99">
        <w:t>.</w:t>
      </w:r>
      <w:r w:rsidR="005B63BF" w:rsidRPr="00AE1C99">
        <w:t xml:space="preserve"> </w:t>
      </w:r>
    </w:p>
    <w:p w:rsidR="0039321D" w:rsidRPr="00AE1C99" w:rsidRDefault="00253F66" w:rsidP="0039321D">
      <w:pPr>
        <w:pStyle w:val="ListParagraph"/>
        <w:numPr>
          <w:ilvl w:val="0"/>
          <w:numId w:val="1"/>
        </w:numPr>
        <w:ind w:left="1080"/>
        <w:rPr>
          <w:b/>
        </w:rPr>
      </w:pPr>
      <w:r>
        <w:t xml:space="preserve">For the small plans </w:t>
      </w:r>
      <w:r w:rsidR="00C31C77" w:rsidRPr="00AE1C99">
        <w:t>EBSA</w:t>
      </w:r>
      <w:r w:rsidR="00393198" w:rsidRPr="00AE1C99">
        <w:t xml:space="preserve"> would like to include in each focus group a mix of plans filing the Form 5500 versus the Short Form.  </w:t>
      </w:r>
      <w:r w:rsidR="00C31C77" w:rsidRPr="00AE1C99">
        <w:t>It is believed</w:t>
      </w:r>
      <w:r w:rsidR="0039321D" w:rsidRPr="00AE1C99">
        <w:t xml:space="preserve"> this could be a proxy for bundled versus unbundled</w:t>
      </w:r>
      <w:r w:rsidR="0060040F">
        <w:t xml:space="preserve"> services to the plan</w:t>
      </w:r>
      <w:r w:rsidR="00393198" w:rsidRPr="00AE1C99">
        <w:t xml:space="preserve">. </w:t>
      </w:r>
      <w:r w:rsidR="00C40436" w:rsidRPr="00AE1C99">
        <w:t xml:space="preserve"> </w:t>
      </w:r>
      <w:r w:rsidR="00876604" w:rsidRPr="00AE1C99">
        <w:t xml:space="preserve">Filing type </w:t>
      </w:r>
      <w:r w:rsidR="00C40436" w:rsidRPr="00AE1C99">
        <w:t>is also correlated with plan size.</w:t>
      </w:r>
      <w:r w:rsidR="00393198" w:rsidRPr="00AE1C99">
        <w:t xml:space="preserve"> About 17 percent of plans filed the Form 5500 while</w:t>
      </w:r>
      <w:r w:rsidR="00C40436" w:rsidRPr="00AE1C99">
        <w:t xml:space="preserve"> about 83 percent of plans filed</w:t>
      </w:r>
      <w:r w:rsidR="00393198" w:rsidRPr="00AE1C99">
        <w:t xml:space="preserve"> the Short Form.</w:t>
      </w:r>
      <w:r>
        <w:t xml:space="preserve">  The variable </w:t>
      </w:r>
      <w:proofErr w:type="spellStart"/>
      <w:proofErr w:type="gramStart"/>
      <w:r>
        <w:t>fsource</w:t>
      </w:r>
      <w:proofErr w:type="spellEnd"/>
      <w:r>
        <w:t xml:space="preserve">  with</w:t>
      </w:r>
      <w:proofErr w:type="gramEnd"/>
      <w:r w:rsidR="001717E4">
        <w:t xml:space="preserve"> value</w:t>
      </w:r>
      <w:r>
        <w:t xml:space="preserve"> “f” for Form 5500, and “s” for short form is used to differentiate the two.</w:t>
      </w:r>
    </w:p>
    <w:p w:rsidR="0039321D" w:rsidRPr="00AE1C99" w:rsidRDefault="00876604" w:rsidP="00393198">
      <w:pPr>
        <w:pStyle w:val="ListParagraph"/>
        <w:ind w:left="1080"/>
        <w:rPr>
          <w:b/>
        </w:rPr>
      </w:pPr>
      <w:r w:rsidRPr="00AE1C99">
        <w:rPr>
          <w:b/>
        </w:rPr>
        <w:t xml:space="preserve">    </w: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9428"/>
      </w:tblGrid>
      <w:tr w:rsidR="00F23076" w:rsidRPr="00F23076" w:rsidTr="00F23076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30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Plans by the Number of Participants and Filing Type</w:t>
            </w:r>
          </w:p>
        </w:tc>
      </w:tr>
    </w:tbl>
    <w:p w:rsidR="00F23076" w:rsidRPr="00F23076" w:rsidRDefault="00F23076" w:rsidP="00F230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Tabulate: Table 1"/>
      </w:tblPr>
      <w:tblGrid>
        <w:gridCol w:w="830"/>
        <w:gridCol w:w="210"/>
        <w:gridCol w:w="1264"/>
        <w:gridCol w:w="1357"/>
        <w:gridCol w:w="930"/>
      </w:tblGrid>
      <w:tr w:rsidR="00F23076" w:rsidRPr="00F23076" w:rsidTr="00F23076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F</w:t>
            </w:r>
            <w:r>
              <w:rPr>
                <w:rFonts w:eastAsia="Times New Roman" w:cs="Times New Roman"/>
                <w:b/>
                <w:bCs/>
                <w:szCs w:val="24"/>
              </w:rPr>
              <w:t>orm 5500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S</w:t>
            </w:r>
            <w:r>
              <w:rPr>
                <w:rFonts w:eastAsia="Times New Roman" w:cs="Times New Roman"/>
                <w:b/>
                <w:bCs/>
                <w:szCs w:val="24"/>
              </w:rPr>
              <w:t>hort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Total</w:t>
            </w:r>
          </w:p>
        </w:tc>
      </w:tr>
      <w:tr w:rsidR="00F23076" w:rsidRPr="00F23076" w:rsidTr="00F230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 xml:space="preserve">1-25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27,627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139,446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167,073</w:t>
            </w:r>
          </w:p>
        </w:tc>
      </w:tr>
      <w:tr w:rsidR="00F23076" w:rsidRPr="00F23076" w:rsidTr="00F230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 xml:space="preserve">26-75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13,917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72,769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86,686</w:t>
            </w:r>
          </w:p>
        </w:tc>
      </w:tr>
      <w:tr w:rsidR="00F23076" w:rsidRPr="00F23076" w:rsidTr="00F230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76-100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4,029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12,326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16,355</w:t>
            </w:r>
          </w:p>
        </w:tc>
      </w:tr>
      <w:tr w:rsidR="00F23076" w:rsidRPr="00F23076" w:rsidTr="00F230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F2307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45</w:t>
            </w:r>
            <w:r w:rsidR="00BE5F4D">
              <w:rPr>
                <w:rFonts w:eastAsia="Times New Roman" w:cs="Times New Roman"/>
                <w:szCs w:val="24"/>
              </w:rPr>
              <w:t>,</w:t>
            </w:r>
            <w:r w:rsidRPr="00F23076">
              <w:rPr>
                <w:rFonts w:eastAsia="Times New Roman" w:cs="Times New Roman"/>
                <w:szCs w:val="24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224</w:t>
            </w:r>
            <w:r w:rsidR="00BE5F4D">
              <w:rPr>
                <w:rFonts w:eastAsia="Times New Roman" w:cs="Times New Roman"/>
                <w:szCs w:val="24"/>
              </w:rPr>
              <w:t>,</w:t>
            </w:r>
            <w:r w:rsidRPr="00F23076">
              <w:rPr>
                <w:rFonts w:eastAsia="Times New Roman" w:cs="Times New Roman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3076" w:rsidRPr="00F23076" w:rsidRDefault="00F23076" w:rsidP="00F23076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23076">
              <w:rPr>
                <w:rFonts w:eastAsia="Times New Roman" w:cs="Times New Roman"/>
                <w:szCs w:val="24"/>
              </w:rPr>
              <w:t>270</w:t>
            </w:r>
            <w:r w:rsidR="00BE5F4D">
              <w:rPr>
                <w:rFonts w:eastAsia="Times New Roman" w:cs="Times New Roman"/>
                <w:szCs w:val="24"/>
              </w:rPr>
              <w:t>,</w:t>
            </w:r>
            <w:r w:rsidRPr="00F23076">
              <w:rPr>
                <w:rFonts w:eastAsia="Times New Roman" w:cs="Times New Roman"/>
                <w:szCs w:val="24"/>
              </w:rPr>
              <w:t>114</w:t>
            </w:r>
          </w:p>
        </w:tc>
      </w:tr>
    </w:tbl>
    <w:p w:rsidR="00AC2BC9" w:rsidRPr="00F64D09" w:rsidRDefault="00AC2BC9" w:rsidP="00AC2BC9">
      <w:pPr>
        <w:pStyle w:val="ListParagraph"/>
        <w:numPr>
          <w:ilvl w:val="0"/>
          <w:numId w:val="1"/>
        </w:numPr>
        <w:ind w:left="1080"/>
        <w:rPr>
          <w:b/>
        </w:rPr>
      </w:pPr>
      <w:r>
        <w:t xml:space="preserve">For plans from the 100-999 participants group EBSA </w:t>
      </w:r>
      <w:r w:rsidRPr="00AE1C99">
        <w:t xml:space="preserve">wants </w:t>
      </w:r>
      <w:r>
        <w:t>the</w:t>
      </w:r>
      <w:r w:rsidRPr="00AE1C99">
        <w:t xml:space="preserve"> focus group to contain plans with varying size</w:t>
      </w:r>
      <w:r>
        <w:t>s</w:t>
      </w:r>
      <w:r w:rsidRPr="00AE1C99">
        <w:t xml:space="preserve"> based on the number of plan participants.  EBSA would like about 1/3 of each focus group to come from each of the following categories: </w:t>
      </w:r>
      <w:r>
        <w:t>100-399</w:t>
      </w:r>
      <w:r w:rsidRPr="00AE1C99">
        <w:t xml:space="preserve">, </w:t>
      </w:r>
      <w:r>
        <w:t>400-699</w:t>
      </w:r>
      <w:r w:rsidRPr="00AE1C99">
        <w:t xml:space="preserve">, </w:t>
      </w:r>
      <w:r>
        <w:t>and 700-999</w:t>
      </w:r>
      <w:r w:rsidRPr="00AE1C99">
        <w:t xml:space="preserve"> participants. </w:t>
      </w:r>
    </w:p>
    <w:p w:rsidR="00757A0D" w:rsidRPr="00AE1C99" w:rsidRDefault="00757A0D" w:rsidP="00757A0D">
      <w:pPr>
        <w:pStyle w:val="ListParagraph"/>
        <w:numPr>
          <w:ilvl w:val="0"/>
          <w:numId w:val="1"/>
        </w:numPr>
        <w:ind w:left="1080"/>
        <w:rPr>
          <w:b/>
        </w:rPr>
      </w:pPr>
      <w:r>
        <w:t xml:space="preserve">For plans from the 1,000+ participants group EBSA </w:t>
      </w:r>
      <w:r w:rsidRPr="00AE1C99">
        <w:t xml:space="preserve">wants </w:t>
      </w:r>
      <w:r>
        <w:t>the</w:t>
      </w:r>
      <w:r w:rsidRPr="00AE1C99">
        <w:t xml:space="preserve"> focus group to contain plans with varying</w:t>
      </w:r>
      <w:r w:rsidR="001B588E">
        <w:t xml:space="preserve"> size</w:t>
      </w:r>
      <w:r>
        <w:t>, but is not providing</w:t>
      </w:r>
      <w:r w:rsidR="001B588E">
        <w:t xml:space="preserve"> </w:t>
      </w:r>
      <w:r w:rsidR="007D0667">
        <w:t xml:space="preserve">a </w:t>
      </w:r>
      <w:r w:rsidR="001B588E">
        <w:t>quota</w:t>
      </w:r>
      <w:r w:rsidR="006320A9">
        <w:t>.  EBSA does want some from the smaller</w:t>
      </w:r>
      <w:r w:rsidR="001B588E">
        <w:t xml:space="preserve"> end of the </w:t>
      </w:r>
      <w:r w:rsidR="001717E4">
        <w:t xml:space="preserve">size </w:t>
      </w:r>
      <w:r w:rsidR="001B588E">
        <w:t>range.</w:t>
      </w:r>
      <w:r w:rsidRPr="00AE1C99">
        <w:t xml:space="preserve"> </w:t>
      </w:r>
    </w:p>
    <w:p w:rsidR="00757A0D" w:rsidRPr="00AE1C99" w:rsidRDefault="00757A0D" w:rsidP="00F64D09">
      <w:pPr>
        <w:pStyle w:val="ListParagraph"/>
        <w:ind w:left="1080"/>
        <w:rPr>
          <w:b/>
        </w:rPr>
      </w:pPr>
    </w:p>
    <w:p w:rsidR="00D87FE4" w:rsidRPr="00F64D09" w:rsidRDefault="006E6C16" w:rsidP="00F64D09">
      <w:pPr>
        <w:ind w:firstLine="720"/>
      </w:pPr>
      <w:r>
        <w:t xml:space="preserve">ICF can access </w:t>
      </w:r>
      <w:r w:rsidR="00957CA8">
        <w:t xml:space="preserve">each </w:t>
      </w:r>
      <w:r w:rsidR="00876604" w:rsidRPr="00AE1C99">
        <w:t>plan</w:t>
      </w:r>
      <w:r w:rsidR="00957CA8">
        <w:t>’s</w:t>
      </w:r>
      <w:r w:rsidR="00876604" w:rsidRPr="00AE1C99">
        <w:t xml:space="preserve"> filing of the 2011 Form 5500 on the EBSA public website.</w:t>
      </w:r>
      <w:r w:rsidR="00876604" w:rsidRPr="00AE1C99">
        <w:rPr>
          <w:rStyle w:val="FootnoteReference"/>
        </w:rPr>
        <w:footnoteReference w:id="2"/>
      </w:r>
      <w:r w:rsidR="00876604" w:rsidRPr="00AE1C99">
        <w:t xml:space="preserve">  The values of variables opr_ein and opr_pn allow a unique identifica</w:t>
      </w:r>
      <w:bookmarkStart w:id="0" w:name="_GoBack"/>
      <w:bookmarkEnd w:id="0"/>
      <w:r w:rsidR="00876604" w:rsidRPr="00AE1C99">
        <w:t>tion.</w:t>
      </w:r>
    </w:p>
    <w:sectPr w:rsidR="00D87FE4" w:rsidRPr="00F64D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19" w:rsidRDefault="00061D19" w:rsidP="00D5509D">
      <w:pPr>
        <w:spacing w:after="0" w:line="240" w:lineRule="auto"/>
      </w:pPr>
      <w:r>
        <w:separator/>
      </w:r>
    </w:p>
  </w:endnote>
  <w:endnote w:type="continuationSeparator" w:id="0">
    <w:p w:rsidR="00061D19" w:rsidRDefault="00061D19" w:rsidP="00D5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43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BE6" w:rsidRDefault="00425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BE6" w:rsidRDefault="00425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19" w:rsidRDefault="00061D19" w:rsidP="00D5509D">
      <w:pPr>
        <w:spacing w:after="0" w:line="240" w:lineRule="auto"/>
      </w:pPr>
      <w:r>
        <w:separator/>
      </w:r>
    </w:p>
  </w:footnote>
  <w:footnote w:type="continuationSeparator" w:id="0">
    <w:p w:rsidR="00061D19" w:rsidRDefault="00061D19" w:rsidP="00D5509D">
      <w:pPr>
        <w:spacing w:after="0" w:line="240" w:lineRule="auto"/>
      </w:pPr>
      <w:r>
        <w:continuationSeparator/>
      </w:r>
    </w:p>
  </w:footnote>
  <w:footnote w:id="1">
    <w:p w:rsidR="00D5509D" w:rsidRDefault="00D550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509D">
        <w:t>http://www.dol.gov/ebsa/publications/form5500dataresearch.html#planbulletins</w:t>
      </w:r>
    </w:p>
  </w:footnote>
  <w:footnote w:id="2">
    <w:p w:rsidR="00876604" w:rsidRDefault="008766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76604">
          <w:rPr>
            <w:rStyle w:val="Hyperlink"/>
          </w:rPr>
          <w:t>https://www.efast.dol.gov/portal/app/disseminate?execution=e1s1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100E"/>
    <w:multiLevelType w:val="hybridMultilevel"/>
    <w:tmpl w:val="514C5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56CC7"/>
    <w:multiLevelType w:val="hybridMultilevel"/>
    <w:tmpl w:val="E90E5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6B94"/>
    <w:multiLevelType w:val="hybridMultilevel"/>
    <w:tmpl w:val="B952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FC"/>
    <w:rsid w:val="00005660"/>
    <w:rsid w:val="000250F4"/>
    <w:rsid w:val="00026FD7"/>
    <w:rsid w:val="00061D19"/>
    <w:rsid w:val="00084E9E"/>
    <w:rsid w:val="00132203"/>
    <w:rsid w:val="001717E4"/>
    <w:rsid w:val="001B588E"/>
    <w:rsid w:val="001C07AD"/>
    <w:rsid w:val="001C66A2"/>
    <w:rsid w:val="00221D52"/>
    <w:rsid w:val="00253F66"/>
    <w:rsid w:val="002E1331"/>
    <w:rsid w:val="003347BA"/>
    <w:rsid w:val="00346F12"/>
    <w:rsid w:val="00380EFC"/>
    <w:rsid w:val="00393198"/>
    <w:rsid w:val="0039321D"/>
    <w:rsid w:val="00425BE6"/>
    <w:rsid w:val="0046641A"/>
    <w:rsid w:val="00470127"/>
    <w:rsid w:val="00480E4D"/>
    <w:rsid w:val="004813D1"/>
    <w:rsid w:val="00484912"/>
    <w:rsid w:val="005B63BF"/>
    <w:rsid w:val="0060040F"/>
    <w:rsid w:val="006320A9"/>
    <w:rsid w:val="006E6C16"/>
    <w:rsid w:val="007059CF"/>
    <w:rsid w:val="007063C1"/>
    <w:rsid w:val="007172A9"/>
    <w:rsid w:val="00720F78"/>
    <w:rsid w:val="007538E0"/>
    <w:rsid w:val="00757A0D"/>
    <w:rsid w:val="007D0667"/>
    <w:rsid w:val="00814562"/>
    <w:rsid w:val="00816845"/>
    <w:rsid w:val="00840CAA"/>
    <w:rsid w:val="00853C0A"/>
    <w:rsid w:val="00856A7E"/>
    <w:rsid w:val="00870B24"/>
    <w:rsid w:val="00876604"/>
    <w:rsid w:val="008D3E41"/>
    <w:rsid w:val="008D443C"/>
    <w:rsid w:val="009061C8"/>
    <w:rsid w:val="00957CA8"/>
    <w:rsid w:val="009B1BD9"/>
    <w:rsid w:val="009D7372"/>
    <w:rsid w:val="00A73D45"/>
    <w:rsid w:val="00AC2BC9"/>
    <w:rsid w:val="00AD0D60"/>
    <w:rsid w:val="00AE1C99"/>
    <w:rsid w:val="00B93A07"/>
    <w:rsid w:val="00BE5F4D"/>
    <w:rsid w:val="00C31C77"/>
    <w:rsid w:val="00C40436"/>
    <w:rsid w:val="00CE3B26"/>
    <w:rsid w:val="00D5509D"/>
    <w:rsid w:val="00D87FE4"/>
    <w:rsid w:val="00DB5FE4"/>
    <w:rsid w:val="00DD7261"/>
    <w:rsid w:val="00F12162"/>
    <w:rsid w:val="00F23076"/>
    <w:rsid w:val="00F462C4"/>
    <w:rsid w:val="00F64D09"/>
    <w:rsid w:val="00FD7383"/>
    <w:rsid w:val="00FD7E38"/>
    <w:rsid w:val="00FE4DDD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66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BE6"/>
  </w:style>
  <w:style w:type="paragraph" w:styleId="Footer">
    <w:name w:val="footer"/>
    <w:basedOn w:val="Normal"/>
    <w:link w:val="FooterChar"/>
    <w:uiPriority w:val="99"/>
    <w:unhideWhenUsed/>
    <w:rsid w:val="0042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BE6"/>
  </w:style>
  <w:style w:type="character" w:styleId="CommentReference">
    <w:name w:val="annotation reference"/>
    <w:basedOn w:val="DefaultParagraphFont"/>
    <w:uiPriority w:val="99"/>
    <w:semiHidden/>
    <w:unhideWhenUsed/>
    <w:rsid w:val="00132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2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66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BE6"/>
  </w:style>
  <w:style w:type="paragraph" w:styleId="Footer">
    <w:name w:val="footer"/>
    <w:basedOn w:val="Normal"/>
    <w:link w:val="FooterChar"/>
    <w:uiPriority w:val="99"/>
    <w:unhideWhenUsed/>
    <w:rsid w:val="0042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BE6"/>
  </w:style>
  <w:style w:type="character" w:styleId="CommentReference">
    <w:name w:val="annotation reference"/>
    <w:basedOn w:val="DefaultParagraphFont"/>
    <w:uiPriority w:val="99"/>
    <w:semiHidden/>
    <w:unhideWhenUsed/>
    <w:rsid w:val="00132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2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318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fast.dol.gov/portal/app/disseminate?execution=e1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BB14-A1D4-4438-AAE5-1D47B885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Butikofer, James - EBSA</dc:creator>
  <cp:lastModifiedBy>Butikofer, James - EBSA</cp:lastModifiedBy>
  <cp:revision>11</cp:revision>
  <cp:lastPrinted>2013-07-29T17:49:00Z</cp:lastPrinted>
  <dcterms:created xsi:type="dcterms:W3CDTF">2014-07-15T19:41:00Z</dcterms:created>
  <dcterms:modified xsi:type="dcterms:W3CDTF">2014-07-22T17:57:00Z</dcterms:modified>
</cp:coreProperties>
</file>