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2CF1" w:rsidRDefault="00D41C09" w:rsidP="00D41C09">
      <w:pPr>
        <w:pStyle w:val="CoverTextRed16pt"/>
        <w:ind w:left="6120"/>
        <w:rPr>
          <w:noProof/>
        </w:rPr>
      </w:pPr>
      <w:bookmarkStart w:id="0" w:name="_GoBack"/>
      <w:bookmarkEnd w:id="0"/>
      <w:r w:rsidRPr="00D41C09">
        <w:rPr>
          <w:noProof/>
        </w:rPr>
        <w:t>Supporting Statement for OMB Clearance Request</w:t>
      </w:r>
    </w:p>
    <w:p w:rsidR="00D41C09" w:rsidRDefault="00D41C09" w:rsidP="00D41C09">
      <w:pPr>
        <w:pStyle w:val="CoverTextRed16pt"/>
        <w:ind w:left="6120"/>
        <w:rPr>
          <w:noProof/>
        </w:rPr>
      </w:pPr>
    </w:p>
    <w:p w:rsidR="00D41C09" w:rsidRDefault="00F64AE0" w:rsidP="00D41C09">
      <w:pPr>
        <w:pStyle w:val="CoverTextRed16pt"/>
        <w:ind w:left="6120"/>
        <w:rPr>
          <w:noProof/>
        </w:rPr>
      </w:pPr>
      <w:r>
        <w:rPr>
          <w:noProof/>
        </w:rPr>
        <w:t xml:space="preserve">Part B: </w:t>
      </w:r>
      <w:r w:rsidRPr="00F64AE0">
        <w:rPr>
          <w:noProof/>
        </w:rPr>
        <w:t>Statistical Methods</w:t>
      </w:r>
    </w:p>
    <w:p w:rsidR="009565D4" w:rsidRDefault="009565D4" w:rsidP="00D41C09">
      <w:pPr>
        <w:pStyle w:val="CoverText-Address"/>
        <w:ind w:left="6120"/>
        <w:rPr>
          <w:noProof/>
        </w:rPr>
      </w:pPr>
    </w:p>
    <w:p w:rsidR="009565D4" w:rsidRDefault="009565D4" w:rsidP="00D41C09">
      <w:pPr>
        <w:pStyle w:val="CoverText-Address"/>
        <w:ind w:left="6120"/>
        <w:rPr>
          <w:noProof/>
        </w:rPr>
      </w:pPr>
    </w:p>
    <w:p w:rsidR="009565D4" w:rsidRDefault="003C36E5" w:rsidP="00D41C09">
      <w:pPr>
        <w:pStyle w:val="CoverTextRed16pt"/>
        <w:ind w:left="6120"/>
        <w:rPr>
          <w:noProof/>
          <w:sz w:val="24"/>
          <w:szCs w:val="24"/>
        </w:rPr>
      </w:pPr>
      <w:r>
        <w:rPr>
          <w:noProof/>
          <w:sz w:val="24"/>
          <w:szCs w:val="24"/>
        </w:rPr>
        <w:t xml:space="preserve"> Pathways for Advancing Careers and Education (PACE) </w:t>
      </w:r>
      <w:r w:rsidR="00D41C09" w:rsidRPr="00D41C09">
        <w:rPr>
          <w:noProof/>
          <w:sz w:val="24"/>
          <w:szCs w:val="24"/>
        </w:rPr>
        <w:t xml:space="preserve">– </w:t>
      </w:r>
      <w:r w:rsidR="001D2E20">
        <w:rPr>
          <w:noProof/>
          <w:sz w:val="24"/>
          <w:szCs w:val="24"/>
        </w:rPr>
        <w:t xml:space="preserve">Second </w:t>
      </w:r>
      <w:r w:rsidR="00D41C09" w:rsidRPr="00D41C09">
        <w:rPr>
          <w:noProof/>
          <w:sz w:val="24"/>
          <w:szCs w:val="24"/>
        </w:rPr>
        <w:t>Follow-up Data Collection</w:t>
      </w:r>
    </w:p>
    <w:p w:rsidR="00D41C09" w:rsidRDefault="00D41C09" w:rsidP="00D41C09">
      <w:pPr>
        <w:pStyle w:val="CoverTextRed16pt"/>
        <w:ind w:left="6120"/>
        <w:rPr>
          <w:noProof/>
          <w:sz w:val="24"/>
          <w:szCs w:val="24"/>
        </w:rPr>
      </w:pPr>
    </w:p>
    <w:p w:rsidR="00D41C09" w:rsidRPr="00D41C09" w:rsidRDefault="00D41C09" w:rsidP="00D41C09">
      <w:pPr>
        <w:pStyle w:val="CoverTextRed16pt"/>
        <w:ind w:left="6120"/>
        <w:rPr>
          <w:sz w:val="24"/>
          <w:szCs w:val="24"/>
        </w:rPr>
      </w:pPr>
      <w:r w:rsidRPr="00D41C09">
        <w:rPr>
          <w:sz w:val="24"/>
          <w:szCs w:val="24"/>
        </w:rPr>
        <w:t>OMB No. 0970-0397</w:t>
      </w:r>
    </w:p>
    <w:p w:rsidR="001E2CF1" w:rsidRDefault="001E2CF1" w:rsidP="00D41C09">
      <w:pPr>
        <w:pStyle w:val="CoverText-Address"/>
        <w:ind w:left="6120"/>
      </w:pPr>
    </w:p>
    <w:p w:rsidR="009565D4" w:rsidRDefault="009565D4" w:rsidP="00D41C09">
      <w:pPr>
        <w:pStyle w:val="CoverText-Address"/>
        <w:ind w:left="6120"/>
      </w:pPr>
    </w:p>
    <w:p w:rsidR="009565D4" w:rsidRDefault="009565D4" w:rsidP="00D41C09">
      <w:pPr>
        <w:pStyle w:val="CoverText-Address"/>
        <w:ind w:left="6120"/>
      </w:pPr>
    </w:p>
    <w:p w:rsidR="009565D4" w:rsidRPr="001E2CF1" w:rsidRDefault="00A24D6F" w:rsidP="00D41C09">
      <w:pPr>
        <w:pStyle w:val="CoverText-Address"/>
        <w:ind w:left="6120"/>
      </w:pPr>
      <w:r>
        <w:t xml:space="preserve">November </w:t>
      </w:r>
      <w:r w:rsidR="00772406">
        <w:t>2014</w:t>
      </w:r>
    </w:p>
    <w:p w:rsidR="001E2CF1" w:rsidRDefault="001E2CF1" w:rsidP="00D41C09">
      <w:pPr>
        <w:tabs>
          <w:tab w:val="left" w:pos="720"/>
          <w:tab w:val="left" w:pos="1080"/>
          <w:tab w:val="left" w:pos="1440"/>
          <w:tab w:val="left" w:pos="1800"/>
          <w:tab w:val="left" w:pos="6660"/>
        </w:tabs>
        <w:spacing w:after="0"/>
        <w:ind w:left="6120" w:right="-540"/>
        <w:jc w:val="right"/>
        <w:rPr>
          <w:rFonts w:ascii="Arial" w:hAnsi="Arial"/>
          <w:szCs w:val="24"/>
        </w:rPr>
      </w:pPr>
    </w:p>
    <w:p w:rsidR="00D41C09" w:rsidRPr="001E2CF1" w:rsidRDefault="00D41C09" w:rsidP="00D41C09">
      <w:pPr>
        <w:tabs>
          <w:tab w:val="left" w:pos="720"/>
          <w:tab w:val="left" w:pos="1080"/>
          <w:tab w:val="left" w:pos="1440"/>
          <w:tab w:val="left" w:pos="1800"/>
          <w:tab w:val="left" w:pos="6660"/>
        </w:tabs>
        <w:spacing w:after="0"/>
        <w:ind w:left="6120" w:right="-540"/>
        <w:jc w:val="right"/>
        <w:rPr>
          <w:rFonts w:ascii="Arial" w:hAnsi="Arial"/>
          <w:szCs w:val="24"/>
        </w:rPr>
      </w:pPr>
    </w:p>
    <w:p w:rsidR="009565D4" w:rsidRDefault="00F5649A" w:rsidP="00D41C09">
      <w:pPr>
        <w:pStyle w:val="CoverText11pt"/>
        <w:ind w:left="6120"/>
      </w:pPr>
      <w:r>
        <w:t>Submitted by</w:t>
      </w:r>
      <w:r w:rsidR="001E2CF1" w:rsidRPr="001E2CF1">
        <w:t>:</w:t>
      </w:r>
    </w:p>
    <w:p w:rsidR="00D41C09" w:rsidRDefault="00D41C09" w:rsidP="00D41C09">
      <w:pPr>
        <w:pStyle w:val="CoverText-Address"/>
        <w:ind w:left="6120"/>
      </w:pPr>
      <w:r>
        <w:t>Brendan Kelly</w:t>
      </w:r>
      <w:r w:rsidR="007B2C9F">
        <w:t xml:space="preserve"> </w:t>
      </w:r>
    </w:p>
    <w:p w:rsidR="00D41C09" w:rsidRDefault="00D41C09" w:rsidP="00D41C09">
      <w:pPr>
        <w:pStyle w:val="CoverText-Address"/>
        <w:ind w:left="6120"/>
      </w:pPr>
      <w:r>
        <w:t>Office of Planning, Research</w:t>
      </w:r>
      <w:r>
        <w:br/>
        <w:t>and Evaluation</w:t>
      </w:r>
    </w:p>
    <w:p w:rsidR="00D41C09" w:rsidRDefault="00D41C09" w:rsidP="00D41C09">
      <w:pPr>
        <w:pStyle w:val="CoverText-Address"/>
        <w:ind w:left="6120"/>
      </w:pPr>
      <w:r>
        <w:t>Administration for Children</w:t>
      </w:r>
      <w:r>
        <w:br/>
        <w:t>and Families</w:t>
      </w:r>
    </w:p>
    <w:p w:rsidR="001E2CF1" w:rsidRDefault="00D41C09" w:rsidP="00D41C09">
      <w:pPr>
        <w:pStyle w:val="CoverText-Address"/>
        <w:ind w:left="6120"/>
      </w:pPr>
      <w:r w:rsidRPr="00D41C09">
        <w:rPr>
          <w:b/>
          <w:color w:val="DA291C"/>
        </w:rPr>
        <w:t>U.S. Department of Health and Human</w:t>
      </w:r>
      <w:r>
        <w:rPr>
          <w:b/>
          <w:color w:val="DA291C"/>
        </w:rPr>
        <w:t xml:space="preserve"> </w:t>
      </w:r>
      <w:r w:rsidRPr="00D41C09">
        <w:rPr>
          <w:b/>
          <w:color w:val="DA291C"/>
        </w:rPr>
        <w:t>Services</w:t>
      </w:r>
    </w:p>
    <w:p w:rsidR="009565D4" w:rsidRDefault="009565D4" w:rsidP="00D41C09">
      <w:pPr>
        <w:pStyle w:val="CoverText-Address"/>
        <w:ind w:left="6120"/>
      </w:pPr>
    </w:p>
    <w:p w:rsidR="009565D4" w:rsidRPr="001E2CF1" w:rsidRDefault="009565D4" w:rsidP="00D41C09">
      <w:pPr>
        <w:pStyle w:val="CoverText-Address"/>
        <w:ind w:left="6120"/>
      </w:pPr>
    </w:p>
    <w:p w:rsidR="001E2CF1" w:rsidRPr="001E2CF1" w:rsidRDefault="001E2CF1" w:rsidP="00D41C09">
      <w:pPr>
        <w:pStyle w:val="CoverText-Address"/>
        <w:ind w:left="6120"/>
      </w:pPr>
    </w:p>
    <w:p w:rsidR="001E2CF1" w:rsidRPr="001E2CF1" w:rsidRDefault="001E2CF1" w:rsidP="00354503">
      <w:pPr>
        <w:pStyle w:val="CoverText-Address"/>
      </w:pPr>
    </w:p>
    <w:p w:rsidR="00157E04" w:rsidRDefault="00157E04" w:rsidP="00D979EA">
      <w:pPr>
        <w:sectPr w:rsidR="00157E04" w:rsidSect="007969A4">
          <w:headerReference w:type="default" r:id="rId9"/>
          <w:footerReference w:type="default" r:id="rId10"/>
          <w:pgSz w:w="12240" w:h="15840" w:code="1"/>
          <w:pgMar w:top="1440" w:right="1440" w:bottom="1440" w:left="1800" w:header="720" w:footer="720" w:gutter="0"/>
          <w:pgNumType w:fmt="lowerRoman" w:start="1"/>
          <w:cols w:space="720"/>
          <w:docGrid w:linePitch="299"/>
        </w:sectPr>
      </w:pPr>
    </w:p>
    <w:p w:rsidR="007B1904" w:rsidRPr="006B1DA6" w:rsidRDefault="00D41C09" w:rsidP="006B1DA6">
      <w:pPr>
        <w:pStyle w:val="ReportTitle-TOCPage"/>
      </w:pPr>
      <w:r w:rsidRPr="00D41C09">
        <w:lastRenderedPageBreak/>
        <w:t>Supporting Statement for OMB Clearance Request</w:t>
      </w:r>
      <w:r>
        <w:t xml:space="preserve"> – </w:t>
      </w:r>
      <w:r w:rsidR="00F64AE0">
        <w:t xml:space="preserve">Part B: </w:t>
      </w:r>
      <w:r w:rsidR="00F64AE0" w:rsidRPr="00F64AE0">
        <w:t>Statistical Methods</w:t>
      </w:r>
    </w:p>
    <w:p w:rsidR="00752119" w:rsidRPr="00A178FC" w:rsidRDefault="00752119" w:rsidP="00D979EA">
      <w:pPr>
        <w:pStyle w:val="TOCHeader"/>
      </w:pPr>
      <w:r w:rsidRPr="00A178FC">
        <w:t>Table of Contents</w:t>
      </w:r>
    </w:p>
    <w:p w:rsidR="005D7D75" w:rsidRDefault="009C740C">
      <w:pPr>
        <w:pStyle w:val="TOC1"/>
        <w:tabs>
          <w:tab w:val="right" w:leader="dot" w:pos="8990"/>
        </w:tabs>
        <w:rPr>
          <w:rFonts w:asciiTheme="minorHAnsi" w:eastAsiaTheme="minorEastAsia" w:hAnsiTheme="minorHAnsi" w:cstheme="minorBidi"/>
          <w:b w:val="0"/>
          <w:noProof/>
          <w:szCs w:val="22"/>
        </w:rPr>
      </w:pPr>
      <w:r>
        <w:fldChar w:fldCharType="begin"/>
      </w:r>
      <w:r w:rsidR="001178CA">
        <w:instrText xml:space="preserve"> TOC \o "1-3" \h \z \u </w:instrText>
      </w:r>
      <w:r>
        <w:fldChar w:fldCharType="separate"/>
      </w:r>
      <w:hyperlink w:anchor="_Toc403652242" w:history="1">
        <w:r w:rsidR="005D7D75" w:rsidRPr="006313F1">
          <w:rPr>
            <w:rStyle w:val="Hyperlink"/>
            <w:noProof/>
          </w:rPr>
          <w:t>Introduction</w:t>
        </w:r>
        <w:r w:rsidR="005D7D75">
          <w:rPr>
            <w:noProof/>
            <w:webHidden/>
          </w:rPr>
          <w:tab/>
        </w:r>
        <w:r w:rsidR="005D7D75">
          <w:rPr>
            <w:noProof/>
            <w:webHidden/>
          </w:rPr>
          <w:fldChar w:fldCharType="begin"/>
        </w:r>
        <w:r w:rsidR="005D7D75">
          <w:rPr>
            <w:noProof/>
            <w:webHidden/>
          </w:rPr>
          <w:instrText xml:space="preserve"> PAGEREF _Toc403652242 \h </w:instrText>
        </w:r>
        <w:r w:rsidR="005D7D75">
          <w:rPr>
            <w:noProof/>
            <w:webHidden/>
          </w:rPr>
        </w:r>
        <w:r w:rsidR="005D7D75">
          <w:rPr>
            <w:noProof/>
            <w:webHidden/>
          </w:rPr>
          <w:fldChar w:fldCharType="separate"/>
        </w:r>
        <w:r w:rsidR="005D7D75">
          <w:rPr>
            <w:noProof/>
            <w:webHidden/>
          </w:rPr>
          <w:t>1</w:t>
        </w:r>
        <w:r w:rsidR="005D7D75">
          <w:rPr>
            <w:noProof/>
            <w:webHidden/>
          </w:rPr>
          <w:fldChar w:fldCharType="end"/>
        </w:r>
      </w:hyperlink>
    </w:p>
    <w:p w:rsidR="005D7D75" w:rsidRDefault="00FE7D6B">
      <w:pPr>
        <w:pStyle w:val="TOC2"/>
        <w:rPr>
          <w:rFonts w:asciiTheme="minorHAnsi" w:eastAsiaTheme="minorEastAsia" w:hAnsiTheme="minorHAnsi" w:cstheme="minorBidi"/>
          <w:szCs w:val="22"/>
        </w:rPr>
      </w:pPr>
      <w:hyperlink w:anchor="_Toc403652243" w:history="1">
        <w:r w:rsidR="005D7D75" w:rsidRPr="006313F1">
          <w:rPr>
            <w:rStyle w:val="Hyperlink"/>
          </w:rPr>
          <w:t>B.1</w:t>
        </w:r>
        <w:r w:rsidR="005D7D75">
          <w:rPr>
            <w:rFonts w:asciiTheme="minorHAnsi" w:eastAsiaTheme="minorEastAsia" w:hAnsiTheme="minorHAnsi" w:cstheme="minorBidi"/>
            <w:szCs w:val="22"/>
          </w:rPr>
          <w:tab/>
        </w:r>
        <w:r w:rsidR="005D7D75" w:rsidRPr="006313F1">
          <w:rPr>
            <w:rStyle w:val="Hyperlink"/>
          </w:rPr>
          <w:t>Respondent Universe and Sampling Methods</w:t>
        </w:r>
        <w:r w:rsidR="005D7D75">
          <w:rPr>
            <w:webHidden/>
          </w:rPr>
          <w:tab/>
        </w:r>
        <w:r w:rsidR="005D7D75">
          <w:rPr>
            <w:webHidden/>
          </w:rPr>
          <w:fldChar w:fldCharType="begin"/>
        </w:r>
        <w:r w:rsidR="005D7D75">
          <w:rPr>
            <w:webHidden/>
          </w:rPr>
          <w:instrText xml:space="preserve"> PAGEREF _Toc403652243 \h </w:instrText>
        </w:r>
        <w:r w:rsidR="005D7D75">
          <w:rPr>
            <w:webHidden/>
          </w:rPr>
        </w:r>
        <w:r w:rsidR="005D7D75">
          <w:rPr>
            <w:webHidden/>
          </w:rPr>
          <w:fldChar w:fldCharType="separate"/>
        </w:r>
        <w:r w:rsidR="005D7D75">
          <w:rPr>
            <w:webHidden/>
          </w:rPr>
          <w:t>1</w:t>
        </w:r>
        <w:r w:rsidR="005D7D75">
          <w:rPr>
            <w:webHidden/>
          </w:rPr>
          <w:fldChar w:fldCharType="end"/>
        </w:r>
      </w:hyperlink>
    </w:p>
    <w:p w:rsidR="005D7D75" w:rsidRDefault="00FE7D6B">
      <w:pPr>
        <w:pStyle w:val="TOC3"/>
        <w:rPr>
          <w:rFonts w:asciiTheme="minorHAnsi" w:eastAsiaTheme="minorEastAsia" w:hAnsiTheme="minorHAnsi" w:cstheme="minorBidi"/>
          <w:szCs w:val="22"/>
        </w:rPr>
      </w:pPr>
      <w:hyperlink w:anchor="_Toc403652244" w:history="1">
        <w:r w:rsidR="005D7D75" w:rsidRPr="006313F1">
          <w:rPr>
            <w:rStyle w:val="Hyperlink"/>
          </w:rPr>
          <w:t>B.1.1</w:t>
        </w:r>
        <w:r w:rsidR="005D7D75">
          <w:rPr>
            <w:rFonts w:asciiTheme="minorHAnsi" w:eastAsiaTheme="minorEastAsia" w:hAnsiTheme="minorHAnsi" w:cstheme="minorBidi"/>
            <w:szCs w:val="22"/>
          </w:rPr>
          <w:tab/>
        </w:r>
        <w:r w:rsidR="005D7D75" w:rsidRPr="006313F1">
          <w:rPr>
            <w:rStyle w:val="Hyperlink"/>
          </w:rPr>
          <w:t>PACE</w:t>
        </w:r>
        <w:r w:rsidR="005D7D75">
          <w:rPr>
            <w:rStyle w:val="Hyperlink"/>
          </w:rPr>
          <w:t xml:space="preserve"> </w:t>
        </w:r>
        <w:r w:rsidR="005D7D75" w:rsidRPr="006313F1">
          <w:rPr>
            <w:rStyle w:val="Hyperlink"/>
          </w:rPr>
          <w:t>Programs and Study Participants</w:t>
        </w:r>
        <w:r w:rsidR="005D7D75">
          <w:rPr>
            <w:webHidden/>
          </w:rPr>
          <w:tab/>
        </w:r>
        <w:r w:rsidR="005D7D75">
          <w:rPr>
            <w:webHidden/>
          </w:rPr>
          <w:fldChar w:fldCharType="begin"/>
        </w:r>
        <w:r w:rsidR="005D7D75">
          <w:rPr>
            <w:webHidden/>
          </w:rPr>
          <w:instrText xml:space="preserve"> PAGEREF _Toc403652244 \h </w:instrText>
        </w:r>
        <w:r w:rsidR="005D7D75">
          <w:rPr>
            <w:webHidden/>
          </w:rPr>
        </w:r>
        <w:r w:rsidR="005D7D75">
          <w:rPr>
            <w:webHidden/>
          </w:rPr>
          <w:fldChar w:fldCharType="separate"/>
        </w:r>
        <w:r w:rsidR="005D7D75">
          <w:rPr>
            <w:webHidden/>
          </w:rPr>
          <w:t>1</w:t>
        </w:r>
        <w:r w:rsidR="005D7D75">
          <w:rPr>
            <w:webHidden/>
          </w:rPr>
          <w:fldChar w:fldCharType="end"/>
        </w:r>
      </w:hyperlink>
    </w:p>
    <w:p w:rsidR="005D7D75" w:rsidRDefault="00FE7D6B">
      <w:pPr>
        <w:pStyle w:val="TOC3"/>
        <w:rPr>
          <w:rFonts w:asciiTheme="minorHAnsi" w:eastAsiaTheme="minorEastAsia" w:hAnsiTheme="minorHAnsi" w:cstheme="minorBidi"/>
          <w:szCs w:val="22"/>
        </w:rPr>
      </w:pPr>
      <w:hyperlink w:anchor="_Toc403652245" w:history="1">
        <w:r w:rsidR="005D7D75" w:rsidRPr="006313F1">
          <w:rPr>
            <w:rStyle w:val="Hyperlink"/>
          </w:rPr>
          <w:t>B.1.3</w:t>
        </w:r>
        <w:r w:rsidR="005D7D75">
          <w:rPr>
            <w:rFonts w:asciiTheme="minorHAnsi" w:eastAsiaTheme="minorEastAsia" w:hAnsiTheme="minorHAnsi" w:cstheme="minorBidi"/>
            <w:szCs w:val="22"/>
          </w:rPr>
          <w:tab/>
        </w:r>
        <w:r w:rsidR="005D7D75" w:rsidRPr="006313F1">
          <w:rPr>
            <w:rStyle w:val="Hyperlink"/>
          </w:rPr>
          <w:t>Target Response Rates</w:t>
        </w:r>
        <w:r w:rsidR="005D7D75">
          <w:rPr>
            <w:webHidden/>
          </w:rPr>
          <w:tab/>
        </w:r>
        <w:r w:rsidR="005D7D75">
          <w:rPr>
            <w:webHidden/>
          </w:rPr>
          <w:fldChar w:fldCharType="begin"/>
        </w:r>
        <w:r w:rsidR="005D7D75">
          <w:rPr>
            <w:webHidden/>
          </w:rPr>
          <w:instrText xml:space="preserve"> PAGEREF _Toc403652245 \h </w:instrText>
        </w:r>
        <w:r w:rsidR="005D7D75">
          <w:rPr>
            <w:webHidden/>
          </w:rPr>
        </w:r>
        <w:r w:rsidR="005D7D75">
          <w:rPr>
            <w:webHidden/>
          </w:rPr>
          <w:fldChar w:fldCharType="separate"/>
        </w:r>
        <w:r w:rsidR="005D7D75">
          <w:rPr>
            <w:webHidden/>
          </w:rPr>
          <w:t>3</w:t>
        </w:r>
        <w:r w:rsidR="005D7D75">
          <w:rPr>
            <w:webHidden/>
          </w:rPr>
          <w:fldChar w:fldCharType="end"/>
        </w:r>
      </w:hyperlink>
    </w:p>
    <w:p w:rsidR="005D7D75" w:rsidRDefault="00FE7D6B">
      <w:pPr>
        <w:pStyle w:val="TOC2"/>
        <w:rPr>
          <w:rFonts w:asciiTheme="minorHAnsi" w:eastAsiaTheme="minorEastAsia" w:hAnsiTheme="minorHAnsi" w:cstheme="minorBidi"/>
          <w:szCs w:val="22"/>
        </w:rPr>
      </w:pPr>
      <w:hyperlink w:anchor="_Toc403652246" w:history="1">
        <w:r w:rsidR="005D7D75" w:rsidRPr="006313F1">
          <w:rPr>
            <w:rStyle w:val="Hyperlink"/>
          </w:rPr>
          <w:t>B.2</w:t>
        </w:r>
        <w:r w:rsidR="005D7D75">
          <w:rPr>
            <w:rFonts w:asciiTheme="minorHAnsi" w:eastAsiaTheme="minorEastAsia" w:hAnsiTheme="minorHAnsi" w:cstheme="minorBidi"/>
            <w:szCs w:val="22"/>
          </w:rPr>
          <w:tab/>
        </w:r>
        <w:r w:rsidR="005D7D75" w:rsidRPr="006313F1">
          <w:rPr>
            <w:rStyle w:val="Hyperlink"/>
          </w:rPr>
          <w:t>Procedures for Collection of Information</w:t>
        </w:r>
        <w:r w:rsidR="005D7D75">
          <w:rPr>
            <w:webHidden/>
          </w:rPr>
          <w:tab/>
        </w:r>
        <w:r w:rsidR="005D7D75">
          <w:rPr>
            <w:webHidden/>
          </w:rPr>
          <w:fldChar w:fldCharType="begin"/>
        </w:r>
        <w:r w:rsidR="005D7D75">
          <w:rPr>
            <w:webHidden/>
          </w:rPr>
          <w:instrText xml:space="preserve"> PAGEREF _Toc403652246 \h </w:instrText>
        </w:r>
        <w:r w:rsidR="005D7D75">
          <w:rPr>
            <w:webHidden/>
          </w:rPr>
        </w:r>
        <w:r w:rsidR="005D7D75">
          <w:rPr>
            <w:webHidden/>
          </w:rPr>
          <w:fldChar w:fldCharType="separate"/>
        </w:r>
        <w:r w:rsidR="005D7D75">
          <w:rPr>
            <w:webHidden/>
          </w:rPr>
          <w:t>4</w:t>
        </w:r>
        <w:r w:rsidR="005D7D75">
          <w:rPr>
            <w:webHidden/>
          </w:rPr>
          <w:fldChar w:fldCharType="end"/>
        </w:r>
      </w:hyperlink>
    </w:p>
    <w:p w:rsidR="005D7D75" w:rsidRDefault="00FE7D6B">
      <w:pPr>
        <w:pStyle w:val="TOC3"/>
        <w:rPr>
          <w:rFonts w:asciiTheme="minorHAnsi" w:eastAsiaTheme="minorEastAsia" w:hAnsiTheme="minorHAnsi" w:cstheme="minorBidi"/>
          <w:szCs w:val="22"/>
        </w:rPr>
      </w:pPr>
      <w:hyperlink w:anchor="_Toc403652247" w:history="1">
        <w:r w:rsidR="005D7D75" w:rsidRPr="006313F1">
          <w:rPr>
            <w:rStyle w:val="Hyperlink"/>
          </w:rPr>
          <w:t>B.2.1</w:t>
        </w:r>
        <w:r w:rsidR="005D7D75">
          <w:rPr>
            <w:rFonts w:asciiTheme="minorHAnsi" w:eastAsiaTheme="minorEastAsia" w:hAnsiTheme="minorHAnsi" w:cstheme="minorBidi"/>
            <w:szCs w:val="22"/>
          </w:rPr>
          <w:tab/>
        </w:r>
        <w:r w:rsidR="005D7D75" w:rsidRPr="006313F1">
          <w:rPr>
            <w:rStyle w:val="Hyperlink"/>
          </w:rPr>
          <w:t>Sample Design</w:t>
        </w:r>
        <w:r w:rsidR="005D7D75">
          <w:rPr>
            <w:webHidden/>
          </w:rPr>
          <w:tab/>
        </w:r>
        <w:r w:rsidR="005D7D75">
          <w:rPr>
            <w:webHidden/>
          </w:rPr>
          <w:fldChar w:fldCharType="begin"/>
        </w:r>
        <w:r w:rsidR="005D7D75">
          <w:rPr>
            <w:webHidden/>
          </w:rPr>
          <w:instrText xml:space="preserve"> PAGEREF _Toc403652247 \h </w:instrText>
        </w:r>
        <w:r w:rsidR="005D7D75">
          <w:rPr>
            <w:webHidden/>
          </w:rPr>
        </w:r>
        <w:r w:rsidR="005D7D75">
          <w:rPr>
            <w:webHidden/>
          </w:rPr>
          <w:fldChar w:fldCharType="separate"/>
        </w:r>
        <w:r w:rsidR="005D7D75">
          <w:rPr>
            <w:webHidden/>
          </w:rPr>
          <w:t>4</w:t>
        </w:r>
        <w:r w:rsidR="005D7D75">
          <w:rPr>
            <w:webHidden/>
          </w:rPr>
          <w:fldChar w:fldCharType="end"/>
        </w:r>
      </w:hyperlink>
    </w:p>
    <w:p w:rsidR="005D7D75" w:rsidRDefault="00FE7D6B">
      <w:pPr>
        <w:pStyle w:val="TOC3"/>
        <w:rPr>
          <w:rFonts w:asciiTheme="minorHAnsi" w:eastAsiaTheme="minorEastAsia" w:hAnsiTheme="minorHAnsi" w:cstheme="minorBidi"/>
          <w:szCs w:val="22"/>
        </w:rPr>
      </w:pPr>
      <w:hyperlink w:anchor="_Toc403652248" w:history="1">
        <w:r w:rsidR="005D7D75" w:rsidRPr="006313F1">
          <w:rPr>
            <w:rStyle w:val="Hyperlink"/>
          </w:rPr>
          <w:t>B.2.3</w:t>
        </w:r>
        <w:r w:rsidR="005D7D75">
          <w:rPr>
            <w:rFonts w:asciiTheme="minorHAnsi" w:eastAsiaTheme="minorEastAsia" w:hAnsiTheme="minorHAnsi" w:cstheme="minorBidi"/>
            <w:szCs w:val="22"/>
          </w:rPr>
          <w:tab/>
        </w:r>
        <w:r w:rsidR="005D7D75" w:rsidRPr="006313F1">
          <w:rPr>
            <w:rStyle w:val="Hyperlink"/>
          </w:rPr>
          <w:t>Estimation Procedures</w:t>
        </w:r>
        <w:r w:rsidR="005D7D75">
          <w:rPr>
            <w:webHidden/>
          </w:rPr>
          <w:tab/>
        </w:r>
        <w:r w:rsidR="005D7D75">
          <w:rPr>
            <w:webHidden/>
          </w:rPr>
          <w:fldChar w:fldCharType="begin"/>
        </w:r>
        <w:r w:rsidR="005D7D75">
          <w:rPr>
            <w:webHidden/>
          </w:rPr>
          <w:instrText xml:space="preserve"> PAGEREF _Toc403652248 \h </w:instrText>
        </w:r>
        <w:r w:rsidR="005D7D75">
          <w:rPr>
            <w:webHidden/>
          </w:rPr>
        </w:r>
        <w:r w:rsidR="005D7D75">
          <w:rPr>
            <w:webHidden/>
          </w:rPr>
          <w:fldChar w:fldCharType="separate"/>
        </w:r>
        <w:r w:rsidR="005D7D75">
          <w:rPr>
            <w:webHidden/>
          </w:rPr>
          <w:t>6</w:t>
        </w:r>
        <w:r w:rsidR="005D7D75">
          <w:rPr>
            <w:webHidden/>
          </w:rPr>
          <w:fldChar w:fldCharType="end"/>
        </w:r>
      </w:hyperlink>
    </w:p>
    <w:p w:rsidR="005D7D75" w:rsidRDefault="00FE7D6B">
      <w:pPr>
        <w:pStyle w:val="TOC3"/>
        <w:rPr>
          <w:rFonts w:asciiTheme="minorHAnsi" w:eastAsiaTheme="minorEastAsia" w:hAnsiTheme="minorHAnsi" w:cstheme="minorBidi"/>
          <w:szCs w:val="22"/>
        </w:rPr>
      </w:pPr>
      <w:hyperlink w:anchor="_Toc403652249" w:history="1">
        <w:r w:rsidR="005D7D75" w:rsidRPr="006313F1">
          <w:rPr>
            <w:rStyle w:val="Hyperlink"/>
          </w:rPr>
          <w:t>B.2.4</w:t>
        </w:r>
        <w:r w:rsidR="005D7D75">
          <w:rPr>
            <w:rFonts w:asciiTheme="minorHAnsi" w:eastAsiaTheme="minorEastAsia" w:hAnsiTheme="minorHAnsi" w:cstheme="minorBidi"/>
            <w:szCs w:val="22"/>
          </w:rPr>
          <w:tab/>
        </w:r>
        <w:r w:rsidR="005D7D75" w:rsidRPr="006313F1">
          <w:rPr>
            <w:rStyle w:val="Hyperlink"/>
          </w:rPr>
          <w:t>Degree of Accuracy Required</w:t>
        </w:r>
        <w:r w:rsidR="005D7D75">
          <w:rPr>
            <w:webHidden/>
          </w:rPr>
          <w:tab/>
        </w:r>
        <w:r w:rsidR="005D7D75">
          <w:rPr>
            <w:webHidden/>
          </w:rPr>
          <w:fldChar w:fldCharType="begin"/>
        </w:r>
        <w:r w:rsidR="005D7D75">
          <w:rPr>
            <w:webHidden/>
          </w:rPr>
          <w:instrText xml:space="preserve"> PAGEREF _Toc403652249 \h </w:instrText>
        </w:r>
        <w:r w:rsidR="005D7D75">
          <w:rPr>
            <w:webHidden/>
          </w:rPr>
        </w:r>
        <w:r w:rsidR="005D7D75">
          <w:rPr>
            <w:webHidden/>
          </w:rPr>
          <w:fldChar w:fldCharType="separate"/>
        </w:r>
        <w:r w:rsidR="005D7D75">
          <w:rPr>
            <w:webHidden/>
          </w:rPr>
          <w:t>6</w:t>
        </w:r>
        <w:r w:rsidR="005D7D75">
          <w:rPr>
            <w:webHidden/>
          </w:rPr>
          <w:fldChar w:fldCharType="end"/>
        </w:r>
      </w:hyperlink>
    </w:p>
    <w:p w:rsidR="005D7D75" w:rsidRDefault="00FE7D6B">
      <w:pPr>
        <w:pStyle w:val="TOC3"/>
        <w:rPr>
          <w:rFonts w:asciiTheme="minorHAnsi" w:eastAsiaTheme="minorEastAsia" w:hAnsiTheme="minorHAnsi" w:cstheme="minorBidi"/>
          <w:szCs w:val="22"/>
        </w:rPr>
      </w:pPr>
      <w:hyperlink w:anchor="_Toc403652250" w:history="1">
        <w:r w:rsidR="005D7D75" w:rsidRPr="006313F1">
          <w:rPr>
            <w:rStyle w:val="Hyperlink"/>
          </w:rPr>
          <w:t>B.2.5</w:t>
        </w:r>
        <w:r w:rsidR="005D7D75">
          <w:rPr>
            <w:rFonts w:asciiTheme="minorHAnsi" w:eastAsiaTheme="minorEastAsia" w:hAnsiTheme="minorHAnsi" w:cstheme="minorBidi"/>
            <w:szCs w:val="22"/>
          </w:rPr>
          <w:tab/>
        </w:r>
        <w:r w:rsidR="005D7D75" w:rsidRPr="006313F1">
          <w:rPr>
            <w:rStyle w:val="Hyperlink"/>
          </w:rPr>
          <w:t>Who Will Collect the Information and How It Will Be Done</w:t>
        </w:r>
        <w:r w:rsidR="005D7D75">
          <w:rPr>
            <w:webHidden/>
          </w:rPr>
          <w:tab/>
        </w:r>
        <w:r w:rsidR="005D7D75">
          <w:rPr>
            <w:webHidden/>
          </w:rPr>
          <w:fldChar w:fldCharType="begin"/>
        </w:r>
        <w:r w:rsidR="005D7D75">
          <w:rPr>
            <w:webHidden/>
          </w:rPr>
          <w:instrText xml:space="preserve"> PAGEREF _Toc403652250 \h </w:instrText>
        </w:r>
        <w:r w:rsidR="005D7D75">
          <w:rPr>
            <w:webHidden/>
          </w:rPr>
        </w:r>
        <w:r w:rsidR="005D7D75">
          <w:rPr>
            <w:webHidden/>
          </w:rPr>
          <w:fldChar w:fldCharType="separate"/>
        </w:r>
        <w:r w:rsidR="005D7D75">
          <w:rPr>
            <w:webHidden/>
          </w:rPr>
          <w:t>7</w:t>
        </w:r>
        <w:r w:rsidR="005D7D75">
          <w:rPr>
            <w:webHidden/>
          </w:rPr>
          <w:fldChar w:fldCharType="end"/>
        </w:r>
      </w:hyperlink>
    </w:p>
    <w:p w:rsidR="005D7D75" w:rsidRDefault="00FE7D6B">
      <w:pPr>
        <w:pStyle w:val="TOC3"/>
        <w:rPr>
          <w:rFonts w:asciiTheme="minorHAnsi" w:eastAsiaTheme="minorEastAsia" w:hAnsiTheme="minorHAnsi" w:cstheme="minorBidi"/>
          <w:szCs w:val="22"/>
        </w:rPr>
      </w:pPr>
      <w:hyperlink w:anchor="_Toc403652251" w:history="1">
        <w:r w:rsidR="005D7D75" w:rsidRPr="006313F1">
          <w:rPr>
            <w:rStyle w:val="Hyperlink"/>
          </w:rPr>
          <w:t>B.2.6</w:t>
        </w:r>
        <w:r w:rsidR="005D7D75">
          <w:rPr>
            <w:rFonts w:asciiTheme="minorHAnsi" w:eastAsiaTheme="minorEastAsia" w:hAnsiTheme="minorHAnsi" w:cstheme="minorBidi"/>
            <w:szCs w:val="22"/>
          </w:rPr>
          <w:tab/>
        </w:r>
        <w:r w:rsidR="005D7D75" w:rsidRPr="006313F1">
          <w:rPr>
            <w:rStyle w:val="Hyperlink"/>
          </w:rPr>
          <w:t>Procedures with Special Populations</w:t>
        </w:r>
        <w:r w:rsidR="005D7D75">
          <w:rPr>
            <w:webHidden/>
          </w:rPr>
          <w:tab/>
        </w:r>
        <w:r w:rsidR="005D7D75">
          <w:rPr>
            <w:webHidden/>
          </w:rPr>
          <w:fldChar w:fldCharType="begin"/>
        </w:r>
        <w:r w:rsidR="005D7D75">
          <w:rPr>
            <w:webHidden/>
          </w:rPr>
          <w:instrText xml:space="preserve"> PAGEREF _Toc403652251 \h </w:instrText>
        </w:r>
        <w:r w:rsidR="005D7D75">
          <w:rPr>
            <w:webHidden/>
          </w:rPr>
        </w:r>
        <w:r w:rsidR="005D7D75">
          <w:rPr>
            <w:webHidden/>
          </w:rPr>
          <w:fldChar w:fldCharType="separate"/>
        </w:r>
        <w:r w:rsidR="005D7D75">
          <w:rPr>
            <w:webHidden/>
          </w:rPr>
          <w:t>8</w:t>
        </w:r>
        <w:r w:rsidR="005D7D75">
          <w:rPr>
            <w:webHidden/>
          </w:rPr>
          <w:fldChar w:fldCharType="end"/>
        </w:r>
      </w:hyperlink>
    </w:p>
    <w:p w:rsidR="005D7D75" w:rsidRDefault="00FE7D6B">
      <w:pPr>
        <w:pStyle w:val="TOC2"/>
        <w:rPr>
          <w:rFonts w:asciiTheme="minorHAnsi" w:eastAsiaTheme="minorEastAsia" w:hAnsiTheme="minorHAnsi" w:cstheme="minorBidi"/>
          <w:szCs w:val="22"/>
        </w:rPr>
      </w:pPr>
      <w:hyperlink w:anchor="_Toc403652252" w:history="1">
        <w:r w:rsidR="005D7D75" w:rsidRPr="006313F1">
          <w:rPr>
            <w:rStyle w:val="Hyperlink"/>
          </w:rPr>
          <w:t>B.3</w:t>
        </w:r>
        <w:r w:rsidR="005D7D75">
          <w:rPr>
            <w:rFonts w:asciiTheme="minorHAnsi" w:eastAsiaTheme="minorEastAsia" w:hAnsiTheme="minorHAnsi" w:cstheme="minorBidi"/>
            <w:szCs w:val="22"/>
          </w:rPr>
          <w:tab/>
        </w:r>
        <w:r w:rsidR="005D7D75" w:rsidRPr="006313F1">
          <w:rPr>
            <w:rStyle w:val="Hyperlink"/>
          </w:rPr>
          <w:t>Methods to Maximize Response Rates and Deal with Non-response</w:t>
        </w:r>
        <w:r w:rsidR="005D7D75">
          <w:rPr>
            <w:webHidden/>
          </w:rPr>
          <w:tab/>
        </w:r>
        <w:r w:rsidR="005D7D75">
          <w:rPr>
            <w:webHidden/>
          </w:rPr>
          <w:fldChar w:fldCharType="begin"/>
        </w:r>
        <w:r w:rsidR="005D7D75">
          <w:rPr>
            <w:webHidden/>
          </w:rPr>
          <w:instrText xml:space="preserve"> PAGEREF _Toc403652252 \h </w:instrText>
        </w:r>
        <w:r w:rsidR="005D7D75">
          <w:rPr>
            <w:webHidden/>
          </w:rPr>
        </w:r>
        <w:r w:rsidR="005D7D75">
          <w:rPr>
            <w:webHidden/>
          </w:rPr>
          <w:fldChar w:fldCharType="separate"/>
        </w:r>
        <w:r w:rsidR="005D7D75">
          <w:rPr>
            <w:webHidden/>
          </w:rPr>
          <w:t>8</w:t>
        </w:r>
        <w:r w:rsidR="005D7D75">
          <w:rPr>
            <w:webHidden/>
          </w:rPr>
          <w:fldChar w:fldCharType="end"/>
        </w:r>
      </w:hyperlink>
    </w:p>
    <w:p w:rsidR="005D7D75" w:rsidRDefault="00FE7D6B">
      <w:pPr>
        <w:pStyle w:val="TOC3"/>
        <w:rPr>
          <w:rFonts w:asciiTheme="minorHAnsi" w:eastAsiaTheme="minorEastAsia" w:hAnsiTheme="minorHAnsi" w:cstheme="minorBidi"/>
          <w:szCs w:val="22"/>
        </w:rPr>
      </w:pPr>
      <w:hyperlink w:anchor="_Toc403652253" w:history="1">
        <w:r w:rsidR="005D7D75" w:rsidRPr="006313F1">
          <w:rPr>
            <w:rStyle w:val="Hyperlink"/>
          </w:rPr>
          <w:t>B.3.1</w:t>
        </w:r>
        <w:r w:rsidR="005D7D75">
          <w:rPr>
            <w:rFonts w:asciiTheme="minorHAnsi" w:eastAsiaTheme="minorEastAsia" w:hAnsiTheme="minorHAnsi" w:cstheme="minorBidi"/>
            <w:szCs w:val="22"/>
          </w:rPr>
          <w:tab/>
        </w:r>
        <w:r w:rsidR="005D7D75" w:rsidRPr="006313F1">
          <w:rPr>
            <w:rStyle w:val="Hyperlink"/>
          </w:rPr>
          <w:t>Participant Tracking and Locating</w:t>
        </w:r>
        <w:r w:rsidR="005D7D75">
          <w:rPr>
            <w:webHidden/>
          </w:rPr>
          <w:tab/>
        </w:r>
        <w:r w:rsidR="005D7D75">
          <w:rPr>
            <w:webHidden/>
          </w:rPr>
          <w:fldChar w:fldCharType="begin"/>
        </w:r>
        <w:r w:rsidR="005D7D75">
          <w:rPr>
            <w:webHidden/>
          </w:rPr>
          <w:instrText xml:space="preserve"> PAGEREF _Toc403652253 \h </w:instrText>
        </w:r>
        <w:r w:rsidR="005D7D75">
          <w:rPr>
            <w:webHidden/>
          </w:rPr>
        </w:r>
        <w:r w:rsidR="005D7D75">
          <w:rPr>
            <w:webHidden/>
          </w:rPr>
          <w:fldChar w:fldCharType="separate"/>
        </w:r>
        <w:r w:rsidR="005D7D75">
          <w:rPr>
            <w:webHidden/>
          </w:rPr>
          <w:t>8</w:t>
        </w:r>
        <w:r w:rsidR="005D7D75">
          <w:rPr>
            <w:webHidden/>
          </w:rPr>
          <w:fldChar w:fldCharType="end"/>
        </w:r>
      </w:hyperlink>
    </w:p>
    <w:p w:rsidR="005D7D75" w:rsidRDefault="00FE7D6B">
      <w:pPr>
        <w:pStyle w:val="TOC3"/>
        <w:rPr>
          <w:rFonts w:asciiTheme="minorHAnsi" w:eastAsiaTheme="minorEastAsia" w:hAnsiTheme="minorHAnsi" w:cstheme="minorBidi"/>
          <w:szCs w:val="22"/>
        </w:rPr>
      </w:pPr>
      <w:hyperlink w:anchor="_Toc403652254" w:history="1">
        <w:r w:rsidR="005D7D75" w:rsidRPr="006313F1">
          <w:rPr>
            <w:rStyle w:val="Hyperlink"/>
          </w:rPr>
          <w:t>B.3.2</w:t>
        </w:r>
        <w:r w:rsidR="005D7D75">
          <w:rPr>
            <w:rFonts w:asciiTheme="minorHAnsi" w:eastAsiaTheme="minorEastAsia" w:hAnsiTheme="minorHAnsi" w:cstheme="minorBidi"/>
            <w:szCs w:val="22"/>
          </w:rPr>
          <w:tab/>
        </w:r>
        <w:r w:rsidR="005D7D75" w:rsidRPr="006313F1">
          <w:rPr>
            <w:rStyle w:val="Hyperlink"/>
          </w:rPr>
          <w:t>Tokens of Appreciation</w:t>
        </w:r>
        <w:r w:rsidR="005D7D75">
          <w:rPr>
            <w:webHidden/>
          </w:rPr>
          <w:tab/>
        </w:r>
        <w:r w:rsidR="005D7D75">
          <w:rPr>
            <w:webHidden/>
          </w:rPr>
          <w:fldChar w:fldCharType="begin"/>
        </w:r>
        <w:r w:rsidR="005D7D75">
          <w:rPr>
            <w:webHidden/>
          </w:rPr>
          <w:instrText xml:space="preserve"> PAGEREF _Toc403652254 \h </w:instrText>
        </w:r>
        <w:r w:rsidR="005D7D75">
          <w:rPr>
            <w:webHidden/>
          </w:rPr>
        </w:r>
        <w:r w:rsidR="005D7D75">
          <w:rPr>
            <w:webHidden/>
          </w:rPr>
          <w:fldChar w:fldCharType="separate"/>
        </w:r>
        <w:r w:rsidR="005D7D75">
          <w:rPr>
            <w:webHidden/>
          </w:rPr>
          <w:t>9</w:t>
        </w:r>
        <w:r w:rsidR="005D7D75">
          <w:rPr>
            <w:webHidden/>
          </w:rPr>
          <w:fldChar w:fldCharType="end"/>
        </w:r>
      </w:hyperlink>
    </w:p>
    <w:p w:rsidR="005D7D75" w:rsidRDefault="00FE7D6B">
      <w:pPr>
        <w:pStyle w:val="TOC3"/>
        <w:rPr>
          <w:rFonts w:asciiTheme="minorHAnsi" w:eastAsiaTheme="minorEastAsia" w:hAnsiTheme="minorHAnsi" w:cstheme="minorBidi"/>
          <w:szCs w:val="22"/>
        </w:rPr>
      </w:pPr>
      <w:hyperlink w:anchor="_Toc403652255" w:history="1">
        <w:r w:rsidR="005D7D75" w:rsidRPr="006313F1">
          <w:rPr>
            <w:rStyle w:val="Hyperlink"/>
          </w:rPr>
          <w:t>B.3.3</w:t>
        </w:r>
        <w:r w:rsidR="005D7D75">
          <w:rPr>
            <w:rFonts w:asciiTheme="minorHAnsi" w:eastAsiaTheme="minorEastAsia" w:hAnsiTheme="minorHAnsi" w:cstheme="minorBidi"/>
            <w:szCs w:val="22"/>
          </w:rPr>
          <w:tab/>
        </w:r>
        <w:r w:rsidR="005D7D75" w:rsidRPr="006313F1">
          <w:rPr>
            <w:rStyle w:val="Hyperlink"/>
          </w:rPr>
          <w:t>Sample Control during the Data Collection Period</w:t>
        </w:r>
        <w:r w:rsidR="005D7D75">
          <w:rPr>
            <w:webHidden/>
          </w:rPr>
          <w:tab/>
        </w:r>
        <w:r w:rsidR="005D7D75">
          <w:rPr>
            <w:webHidden/>
          </w:rPr>
          <w:fldChar w:fldCharType="begin"/>
        </w:r>
        <w:r w:rsidR="005D7D75">
          <w:rPr>
            <w:webHidden/>
          </w:rPr>
          <w:instrText xml:space="preserve"> PAGEREF _Toc403652255 \h </w:instrText>
        </w:r>
        <w:r w:rsidR="005D7D75">
          <w:rPr>
            <w:webHidden/>
          </w:rPr>
        </w:r>
        <w:r w:rsidR="005D7D75">
          <w:rPr>
            <w:webHidden/>
          </w:rPr>
          <w:fldChar w:fldCharType="separate"/>
        </w:r>
        <w:r w:rsidR="005D7D75">
          <w:rPr>
            <w:webHidden/>
          </w:rPr>
          <w:t>9</w:t>
        </w:r>
        <w:r w:rsidR="005D7D75">
          <w:rPr>
            <w:webHidden/>
          </w:rPr>
          <w:fldChar w:fldCharType="end"/>
        </w:r>
      </w:hyperlink>
    </w:p>
    <w:p w:rsidR="005D7D75" w:rsidRDefault="00FE7D6B">
      <w:pPr>
        <w:pStyle w:val="TOC2"/>
        <w:rPr>
          <w:rFonts w:asciiTheme="minorHAnsi" w:eastAsiaTheme="minorEastAsia" w:hAnsiTheme="minorHAnsi" w:cstheme="minorBidi"/>
          <w:szCs w:val="22"/>
        </w:rPr>
      </w:pPr>
      <w:hyperlink w:anchor="_Toc403652256" w:history="1">
        <w:r w:rsidR="005D7D75" w:rsidRPr="006313F1">
          <w:rPr>
            <w:rStyle w:val="Hyperlink"/>
          </w:rPr>
          <w:t>B.4</w:t>
        </w:r>
        <w:r w:rsidR="005D7D75">
          <w:rPr>
            <w:rFonts w:asciiTheme="minorHAnsi" w:eastAsiaTheme="minorEastAsia" w:hAnsiTheme="minorHAnsi" w:cstheme="minorBidi"/>
            <w:szCs w:val="22"/>
          </w:rPr>
          <w:tab/>
        </w:r>
        <w:r w:rsidR="005D7D75" w:rsidRPr="006313F1">
          <w:rPr>
            <w:rStyle w:val="Hyperlink"/>
          </w:rPr>
          <w:t>Tests of Procedures or Methods to be Undertaken</w:t>
        </w:r>
        <w:r w:rsidR="005D7D75">
          <w:rPr>
            <w:webHidden/>
          </w:rPr>
          <w:tab/>
        </w:r>
        <w:r w:rsidR="005D7D75">
          <w:rPr>
            <w:webHidden/>
          </w:rPr>
          <w:fldChar w:fldCharType="begin"/>
        </w:r>
        <w:r w:rsidR="005D7D75">
          <w:rPr>
            <w:webHidden/>
          </w:rPr>
          <w:instrText xml:space="preserve"> PAGEREF _Toc403652256 \h </w:instrText>
        </w:r>
        <w:r w:rsidR="005D7D75">
          <w:rPr>
            <w:webHidden/>
          </w:rPr>
        </w:r>
        <w:r w:rsidR="005D7D75">
          <w:rPr>
            <w:webHidden/>
          </w:rPr>
          <w:fldChar w:fldCharType="separate"/>
        </w:r>
        <w:r w:rsidR="005D7D75">
          <w:rPr>
            <w:webHidden/>
          </w:rPr>
          <w:t>10</w:t>
        </w:r>
        <w:r w:rsidR="005D7D75">
          <w:rPr>
            <w:webHidden/>
          </w:rPr>
          <w:fldChar w:fldCharType="end"/>
        </w:r>
      </w:hyperlink>
    </w:p>
    <w:p w:rsidR="005D7D75" w:rsidRDefault="00FE7D6B">
      <w:pPr>
        <w:pStyle w:val="TOC2"/>
        <w:rPr>
          <w:rFonts w:asciiTheme="minorHAnsi" w:eastAsiaTheme="minorEastAsia" w:hAnsiTheme="minorHAnsi" w:cstheme="minorBidi"/>
          <w:szCs w:val="22"/>
        </w:rPr>
      </w:pPr>
      <w:hyperlink w:anchor="_Toc403652257" w:history="1">
        <w:r w:rsidR="005D7D75" w:rsidRPr="006313F1">
          <w:rPr>
            <w:rStyle w:val="Hyperlink"/>
          </w:rPr>
          <w:t>B.5</w:t>
        </w:r>
        <w:r w:rsidR="005D7D75">
          <w:rPr>
            <w:rFonts w:asciiTheme="minorHAnsi" w:eastAsiaTheme="minorEastAsia" w:hAnsiTheme="minorHAnsi" w:cstheme="minorBidi"/>
            <w:szCs w:val="22"/>
          </w:rPr>
          <w:tab/>
        </w:r>
        <w:r w:rsidR="005D7D75" w:rsidRPr="006313F1">
          <w:rPr>
            <w:rStyle w:val="Hyperlink"/>
          </w:rPr>
          <w:t>Individuals Consulted on Statistical Aspects of the Design</w:t>
        </w:r>
        <w:r w:rsidR="005D7D75">
          <w:rPr>
            <w:webHidden/>
          </w:rPr>
          <w:tab/>
        </w:r>
        <w:r w:rsidR="005D7D75">
          <w:rPr>
            <w:webHidden/>
          </w:rPr>
          <w:fldChar w:fldCharType="begin"/>
        </w:r>
        <w:r w:rsidR="005D7D75">
          <w:rPr>
            <w:webHidden/>
          </w:rPr>
          <w:instrText xml:space="preserve"> PAGEREF _Toc403652257 \h </w:instrText>
        </w:r>
        <w:r w:rsidR="005D7D75">
          <w:rPr>
            <w:webHidden/>
          </w:rPr>
        </w:r>
        <w:r w:rsidR="005D7D75">
          <w:rPr>
            <w:webHidden/>
          </w:rPr>
          <w:fldChar w:fldCharType="separate"/>
        </w:r>
        <w:r w:rsidR="005D7D75">
          <w:rPr>
            <w:webHidden/>
          </w:rPr>
          <w:t>10</w:t>
        </w:r>
        <w:r w:rsidR="005D7D75">
          <w:rPr>
            <w:webHidden/>
          </w:rPr>
          <w:fldChar w:fldCharType="end"/>
        </w:r>
      </w:hyperlink>
    </w:p>
    <w:p w:rsidR="005D7D75" w:rsidRDefault="00FE7D6B">
      <w:pPr>
        <w:pStyle w:val="TOC2"/>
        <w:rPr>
          <w:rFonts w:asciiTheme="minorHAnsi" w:eastAsiaTheme="minorEastAsia" w:hAnsiTheme="minorHAnsi" w:cstheme="minorBidi"/>
          <w:szCs w:val="22"/>
        </w:rPr>
      </w:pPr>
      <w:hyperlink w:anchor="_Toc403652258" w:history="1">
        <w:r w:rsidR="005D7D75" w:rsidRPr="006313F1">
          <w:rPr>
            <w:rStyle w:val="Hyperlink"/>
          </w:rPr>
          <w:t>References</w:t>
        </w:r>
        <w:r w:rsidR="005D7D75">
          <w:rPr>
            <w:webHidden/>
          </w:rPr>
          <w:tab/>
        </w:r>
        <w:r w:rsidR="005D7D75">
          <w:rPr>
            <w:webHidden/>
          </w:rPr>
          <w:fldChar w:fldCharType="begin"/>
        </w:r>
        <w:r w:rsidR="005D7D75">
          <w:rPr>
            <w:webHidden/>
          </w:rPr>
          <w:instrText xml:space="preserve"> PAGEREF _Toc403652258 \h </w:instrText>
        </w:r>
        <w:r w:rsidR="005D7D75">
          <w:rPr>
            <w:webHidden/>
          </w:rPr>
        </w:r>
        <w:r w:rsidR="005D7D75">
          <w:rPr>
            <w:webHidden/>
          </w:rPr>
          <w:fldChar w:fldCharType="separate"/>
        </w:r>
        <w:r w:rsidR="005D7D75">
          <w:rPr>
            <w:webHidden/>
          </w:rPr>
          <w:t>12</w:t>
        </w:r>
        <w:r w:rsidR="005D7D75">
          <w:rPr>
            <w:webHidden/>
          </w:rPr>
          <w:fldChar w:fldCharType="end"/>
        </w:r>
      </w:hyperlink>
    </w:p>
    <w:p w:rsidR="00A324EA" w:rsidRPr="00A33A46" w:rsidRDefault="009C740C" w:rsidP="00D979EA">
      <w:pPr>
        <w:pStyle w:val="BodyText"/>
      </w:pPr>
      <w:r>
        <w:fldChar w:fldCharType="end"/>
      </w:r>
    </w:p>
    <w:p w:rsidR="006B1DA6" w:rsidRDefault="006B1DA6" w:rsidP="00D979EA">
      <w:pPr>
        <w:pStyle w:val="BodyText"/>
        <w:sectPr w:rsidR="006B1DA6" w:rsidSect="00D41C09">
          <w:headerReference w:type="default" r:id="rId11"/>
          <w:footerReference w:type="default" r:id="rId12"/>
          <w:pgSz w:w="12240" w:h="15840" w:code="1"/>
          <w:pgMar w:top="1440" w:right="1440" w:bottom="1440" w:left="1800" w:header="864" w:footer="720" w:gutter="0"/>
          <w:pgNumType w:fmt="lowerRoman" w:start="1"/>
          <w:cols w:space="720"/>
          <w:docGrid w:linePitch="299"/>
        </w:sectPr>
      </w:pPr>
    </w:p>
    <w:p w:rsidR="00F64AE0" w:rsidRPr="00934279" w:rsidRDefault="00F64AE0" w:rsidP="007F0500">
      <w:pPr>
        <w:pStyle w:val="Heading1"/>
      </w:pPr>
      <w:bookmarkStart w:id="1" w:name="_Toc290302448"/>
      <w:bookmarkStart w:id="2" w:name="_Toc329063932"/>
      <w:bookmarkStart w:id="3" w:name="_Toc403652242"/>
      <w:bookmarkStart w:id="4" w:name="_Toc255223835"/>
      <w:r w:rsidRPr="00934279">
        <w:lastRenderedPageBreak/>
        <w:t>Introduction</w:t>
      </w:r>
      <w:bookmarkEnd w:id="1"/>
      <w:bookmarkEnd w:id="2"/>
      <w:bookmarkEnd w:id="3"/>
    </w:p>
    <w:p w:rsidR="00F64AE0" w:rsidRPr="00F64AE0" w:rsidRDefault="00F64AE0" w:rsidP="00185072">
      <w:r w:rsidRPr="002337A5">
        <w:t xml:space="preserve">This document presents Part B of the Supporting Statement for </w:t>
      </w:r>
      <w:r>
        <w:t>the</w:t>
      </w:r>
      <w:r w:rsidR="001D2E20">
        <w:t xml:space="preserve"> 36-month</w:t>
      </w:r>
      <w:r>
        <w:t xml:space="preserve"> follow-up data collection activities that are part of the </w:t>
      </w:r>
      <w:r w:rsidR="00A24D6F">
        <w:t xml:space="preserve">Pathways for Advancing Careers and Education (PACE) </w:t>
      </w:r>
      <w:r w:rsidR="0080558A">
        <w:t xml:space="preserve">PACE </w:t>
      </w:r>
      <w:r>
        <w:t>evaluation</w:t>
      </w:r>
      <w:r w:rsidRPr="002337A5">
        <w:t xml:space="preserve"> sponsored by </w:t>
      </w:r>
      <w:r>
        <w:t>t</w:t>
      </w:r>
      <w:r w:rsidRPr="00E165C4">
        <w:t xml:space="preserve">he </w:t>
      </w:r>
      <w:r w:rsidR="00D35262">
        <w:t xml:space="preserve">Office of Planning, Research and Evaluation in the </w:t>
      </w:r>
      <w:r w:rsidRPr="00E165C4">
        <w:t xml:space="preserve">Administration for Children and Families (ACF) in the U.S. Department of </w:t>
      </w:r>
      <w:r w:rsidRPr="00185072">
        <w:t>Health</w:t>
      </w:r>
      <w:r w:rsidRPr="00E165C4">
        <w:t xml:space="preserve"> and Human Services (HHS)</w:t>
      </w:r>
      <w:r w:rsidR="006767E7">
        <w:t>.</w:t>
      </w:r>
      <w:r w:rsidR="00A24D6F">
        <w:rPr>
          <w:rStyle w:val="FootnoteReference"/>
        </w:rPr>
        <w:footnoteReference w:id="1"/>
      </w:r>
      <w:r w:rsidR="006767E7">
        <w:t xml:space="preserve"> </w:t>
      </w:r>
      <w:r w:rsidR="00D5353C">
        <w:t>(</w:t>
      </w:r>
      <w:r w:rsidR="00121970">
        <w:t xml:space="preserve">For a description of prior data collection activities, </w:t>
      </w:r>
      <w:r w:rsidR="00121970" w:rsidRPr="00121970">
        <w:t>see previous information collection request (# 0970-0397) approved August 2013</w:t>
      </w:r>
      <w:r w:rsidR="00D5353C">
        <w:t>)</w:t>
      </w:r>
      <w:r w:rsidR="00121970">
        <w:t xml:space="preserve"> </w:t>
      </w:r>
    </w:p>
    <w:p w:rsidR="00F64AE0" w:rsidRDefault="00F64AE0" w:rsidP="00F64AE0">
      <w:pPr>
        <w:pStyle w:val="Heading2"/>
      </w:pPr>
      <w:bookmarkStart w:id="5" w:name="_Toc290302449"/>
      <w:bookmarkStart w:id="6" w:name="_Toc329063933"/>
      <w:bookmarkStart w:id="7" w:name="_Toc403652243"/>
      <w:r>
        <w:t>B.1</w:t>
      </w:r>
      <w:r>
        <w:tab/>
      </w:r>
      <w:bookmarkEnd w:id="4"/>
      <w:bookmarkEnd w:id="5"/>
      <w:r>
        <w:t>Respondent Universe and Sampling Methods</w:t>
      </w:r>
      <w:bookmarkEnd w:id="6"/>
      <w:bookmarkEnd w:id="7"/>
      <w:r w:rsidRPr="004D7679">
        <w:t xml:space="preserve"> </w:t>
      </w:r>
    </w:p>
    <w:p w:rsidR="00F64AE0" w:rsidRDefault="00F64AE0" w:rsidP="00185072">
      <w:r>
        <w:t>For the</w:t>
      </w:r>
      <w:r w:rsidR="00121970">
        <w:t xml:space="preserve"> 36-month</w:t>
      </w:r>
      <w:r>
        <w:t xml:space="preserve"> follow-up data collection</w:t>
      </w:r>
      <w:r w:rsidR="001D2E20">
        <w:t>, the respondent universe for</w:t>
      </w:r>
      <w:r>
        <w:t xml:space="preserve"> the </w:t>
      </w:r>
      <w:r w:rsidR="0080558A">
        <w:t>PACE</w:t>
      </w:r>
      <w:r>
        <w:t xml:space="preserve"> evaluation </w:t>
      </w:r>
      <w:r w:rsidR="001D2E20">
        <w:t>includes</w:t>
      </w:r>
      <w:r>
        <w:t xml:space="preserve"> </w:t>
      </w:r>
      <w:r w:rsidR="0080558A">
        <w:t>PACE</w:t>
      </w:r>
      <w:r>
        <w:t xml:space="preserve"> study participants.</w:t>
      </w:r>
      <w:r w:rsidR="00121970">
        <w:t xml:space="preserve"> </w:t>
      </w:r>
    </w:p>
    <w:p w:rsidR="008F6D12" w:rsidRPr="002E48E4" w:rsidRDefault="008F6D12" w:rsidP="008F6D12">
      <w:pPr>
        <w:pStyle w:val="Heading3"/>
      </w:pPr>
      <w:bookmarkStart w:id="8" w:name="_Toc403652244"/>
      <w:bookmarkStart w:id="9" w:name="_Toc329063934"/>
      <w:r w:rsidRPr="002E48E4">
        <w:t>B.</w:t>
      </w:r>
      <w:r>
        <w:t>1.1</w:t>
      </w:r>
      <w:r w:rsidRPr="002E48E4">
        <w:tab/>
      </w:r>
      <w:r w:rsidR="0080558A">
        <w:t>PACE</w:t>
      </w:r>
      <w:r>
        <w:t xml:space="preserve"> Programs and Study Participants</w:t>
      </w:r>
      <w:bookmarkEnd w:id="8"/>
    </w:p>
    <w:bookmarkEnd w:id="9"/>
    <w:p w:rsidR="00F64AE0" w:rsidRDefault="00F64AE0" w:rsidP="00185072">
      <w:r>
        <w:t xml:space="preserve">The </w:t>
      </w:r>
      <w:r w:rsidR="0080558A">
        <w:t>PACE</w:t>
      </w:r>
      <w:r>
        <w:t xml:space="preserve"> study recruit</w:t>
      </w:r>
      <w:r w:rsidR="007B2C9F">
        <w:t>ed</w:t>
      </w:r>
      <w:r>
        <w:t xml:space="preserve"> programs that have innovative career pathway programs in place and </w:t>
      </w:r>
      <w:r w:rsidR="005D3B83">
        <w:t xml:space="preserve">could </w:t>
      </w:r>
      <w:r>
        <w:t>implement random assignment tests of these programs</w:t>
      </w:r>
      <w:r w:rsidR="006767E7">
        <w:t xml:space="preserve">. </w:t>
      </w:r>
      <w:r>
        <w:t xml:space="preserve">Program selection began with conversations between key stakeholders and the </w:t>
      </w:r>
      <w:r w:rsidR="0080558A">
        <w:t>PACE</w:t>
      </w:r>
      <w:r>
        <w:t xml:space="preserve"> research team</w:t>
      </w:r>
      <w:r w:rsidR="006767E7">
        <w:t xml:space="preserve">. </w:t>
      </w:r>
      <w:r>
        <w:t xml:space="preserve">Each program selected into </w:t>
      </w:r>
      <w:r w:rsidR="0080558A">
        <w:t>PACE</w:t>
      </w:r>
      <w:r>
        <w:t xml:space="preserve"> satisfied criteria in </w:t>
      </w:r>
      <w:r w:rsidR="007B2C9F">
        <w:t xml:space="preserve">three </w:t>
      </w:r>
      <w:r w:rsidRPr="00185072">
        <w:t>categories</w:t>
      </w:r>
      <w:r>
        <w:t xml:space="preserve">: </w:t>
      </w:r>
    </w:p>
    <w:p w:rsidR="00F64AE0" w:rsidRDefault="006A4B15" w:rsidP="00F64AE0">
      <w:pPr>
        <w:pStyle w:val="Bullets"/>
      </w:pPr>
      <w:r>
        <w:t>P</w:t>
      </w:r>
      <w:r w:rsidR="00F64AE0" w:rsidRPr="001026C5">
        <w:t>rogrammatic criteria</w:t>
      </w:r>
      <w:r w:rsidR="00F64AE0">
        <w:t xml:space="preserve"> which fit the career</w:t>
      </w:r>
      <w:r w:rsidR="00F74E06">
        <w:t xml:space="preserve"> pathways framework and include</w:t>
      </w:r>
      <w:r w:rsidR="00F64AE0">
        <w:t xml:space="preserve"> assessments, </w:t>
      </w:r>
      <w:r w:rsidR="00D35262">
        <w:t xml:space="preserve">basic skills and occupational </w:t>
      </w:r>
      <w:r w:rsidR="00F64AE0" w:rsidRPr="00F64AE0">
        <w:t>instruction</w:t>
      </w:r>
      <w:r w:rsidR="00F64AE0">
        <w:t xml:space="preserve">, support-related services, and </w:t>
      </w:r>
      <w:r w:rsidR="00D35262">
        <w:t>employment connections</w:t>
      </w:r>
      <w:r w:rsidR="00F64AE0" w:rsidRPr="001026C5">
        <w:t xml:space="preserve">; </w:t>
      </w:r>
    </w:p>
    <w:p w:rsidR="00F64AE0" w:rsidRDefault="006A4B15" w:rsidP="00F64AE0">
      <w:pPr>
        <w:pStyle w:val="Bullets"/>
      </w:pPr>
      <w:r>
        <w:t>T</w:t>
      </w:r>
      <w:r w:rsidR="00F64AE0" w:rsidRPr="001026C5">
        <w:t>echnical criteria that emphasize the statistical requirements of the evaluation design</w:t>
      </w:r>
      <w:r w:rsidR="00F74E06">
        <w:t>,</w:t>
      </w:r>
      <w:r w:rsidR="00F64AE0">
        <w:t xml:space="preserve"> such as programs with the capacity to serve a minimum of </w:t>
      </w:r>
      <w:r w:rsidR="00680440">
        <w:t>5</w:t>
      </w:r>
      <w:r w:rsidR="00F64AE0">
        <w:t>00 participants and to recruit a minimum of 1,</w:t>
      </w:r>
      <w:r w:rsidR="00680440">
        <w:t>0</w:t>
      </w:r>
      <w:r w:rsidR="00F64AE0">
        <w:t>00 eligible applicants over a two-year enrollment period;</w:t>
      </w:r>
      <w:r w:rsidR="007B2C9F">
        <w:t xml:space="preserve"> and</w:t>
      </w:r>
    </w:p>
    <w:p w:rsidR="00F64AE0" w:rsidRDefault="006A4B15" w:rsidP="00F64AE0">
      <w:pPr>
        <w:pStyle w:val="Bullets"/>
      </w:pPr>
      <w:r>
        <w:t>R</w:t>
      </w:r>
      <w:r w:rsidR="00F64AE0" w:rsidRPr="001026C5">
        <w:t>esearch capacity criteria that address the site’</w:t>
      </w:r>
      <w:r w:rsidR="00F64AE0">
        <w:t>s</w:t>
      </w:r>
      <w:r w:rsidR="00F64AE0" w:rsidRPr="001026C5">
        <w:t xml:space="preserve"> ability to implement a</w:t>
      </w:r>
      <w:r w:rsidR="007B2C9F">
        <w:t>n experimental evaluation.</w:t>
      </w:r>
    </w:p>
    <w:p w:rsidR="00F64AE0" w:rsidRDefault="007B2C9F" w:rsidP="007B2C9F">
      <w:pPr>
        <w:pStyle w:val="BulletsLast"/>
        <w:numPr>
          <w:ilvl w:val="0"/>
          <w:numId w:val="0"/>
        </w:numPr>
      </w:pPr>
      <w:r>
        <w:t xml:space="preserve">Additionally, ACF required </w:t>
      </w:r>
      <w:r w:rsidR="00F64AE0">
        <w:t xml:space="preserve">that three of the programs be Health Profession Opportunity Grant </w:t>
      </w:r>
      <w:r w:rsidR="006A4B15">
        <w:t xml:space="preserve">(HPOG) </w:t>
      </w:r>
      <w:r w:rsidR="00F64AE0">
        <w:t>recipients.</w:t>
      </w:r>
      <w:r w:rsidR="00F64AE0">
        <w:rPr>
          <w:rStyle w:val="FootnoteReference"/>
          <w:rFonts w:cstheme="minorHAnsi"/>
        </w:rPr>
        <w:footnoteReference w:id="2"/>
      </w:r>
      <w:r w:rsidR="00F64AE0">
        <w:t xml:space="preserve">  </w:t>
      </w:r>
    </w:p>
    <w:p w:rsidR="00F64AE0" w:rsidRDefault="00F64AE0" w:rsidP="00185072">
      <w:r>
        <w:t xml:space="preserve">The nine programs selected all </w:t>
      </w:r>
      <w:r w:rsidRPr="00F64AE0">
        <w:t>promote</w:t>
      </w:r>
      <w:r w:rsidRPr="00C4643F">
        <w:t xml:space="preserve"> completion of certificates and degrees </w:t>
      </w:r>
      <w:r>
        <w:t xml:space="preserve">in occupations in high demand and, to this end, incorporate multiple steps on the career ladder, with college credit or articulation agreements available for completers of the </w:t>
      </w:r>
      <w:r w:rsidRPr="00185072">
        <w:t>lower</w:t>
      </w:r>
      <w:r>
        <w:t xml:space="preserve"> rungs</w:t>
      </w:r>
      <w:r w:rsidR="00FE353A">
        <w:t xml:space="preserve"> (see Appendix A</w:t>
      </w:r>
      <w:r w:rsidR="006A4B15">
        <w:t xml:space="preserve"> for a depiction </w:t>
      </w:r>
      <w:r w:rsidR="006A4B15">
        <w:lastRenderedPageBreak/>
        <w:t xml:space="preserve">of the career pathways </w:t>
      </w:r>
      <w:r w:rsidR="00A25D07">
        <w:t>theory of change</w:t>
      </w:r>
      <w:r w:rsidR="006A4B15">
        <w:t>)</w:t>
      </w:r>
      <w:r w:rsidR="006767E7">
        <w:t xml:space="preserve">. </w:t>
      </w:r>
      <w:r>
        <w:t xml:space="preserve">While varying in specific </w:t>
      </w:r>
      <w:r w:rsidRPr="00C4643F">
        <w:t xml:space="preserve">strategies and </w:t>
      </w:r>
      <w:r>
        <w:t xml:space="preserve">target </w:t>
      </w:r>
      <w:r w:rsidRPr="00C4643F">
        <w:t>populations</w:t>
      </w:r>
      <w:r>
        <w:t xml:space="preserve">, they all provide </w:t>
      </w:r>
      <w:r w:rsidR="00D35262">
        <w:t xml:space="preserve">some level of the </w:t>
      </w:r>
      <w:r>
        <w:t xml:space="preserve">core career pathways services </w:t>
      </w:r>
      <w:r w:rsidR="00D35262">
        <w:t>(</w:t>
      </w:r>
      <w:r>
        <w:t>assessment, instruction, supports and employment connections</w:t>
      </w:r>
      <w:r w:rsidR="00D35262">
        <w:t>) although the emphasi</w:t>
      </w:r>
      <w:r w:rsidR="009D3237">
        <w:t>s</w:t>
      </w:r>
      <w:r w:rsidR="00D35262">
        <w:t xml:space="preserve"> placed on each varies by program</w:t>
      </w:r>
      <w:r w:rsidR="006767E7">
        <w:t xml:space="preserve">. </w:t>
      </w:r>
      <w:r>
        <w:t xml:space="preserve">Appendix </w:t>
      </w:r>
      <w:r w:rsidR="00FE353A">
        <w:t>B</w:t>
      </w:r>
      <w:r>
        <w:t xml:space="preserve"> provides summaries of the nine </w:t>
      </w:r>
      <w:r w:rsidR="0080558A">
        <w:t>PACE</w:t>
      </w:r>
      <w:r>
        <w:t xml:space="preserve"> programs.</w:t>
      </w:r>
    </w:p>
    <w:p w:rsidR="00720846" w:rsidRDefault="00720846" w:rsidP="002244DD">
      <w:r>
        <w:t xml:space="preserve">The </w:t>
      </w:r>
      <w:r w:rsidR="0080558A">
        <w:t>PACE</w:t>
      </w:r>
      <w:r>
        <w:t xml:space="preserve"> program selection process spanned a period of over two years and included detailed assessments of more than 200 potential programs</w:t>
      </w:r>
      <w:r w:rsidR="001148CD">
        <w:t xml:space="preserve">. </w:t>
      </w:r>
      <w:r>
        <w:t xml:space="preserve">After winnowing down the list of prospective programs based on a combination of factors, such as the intervention, its goals, the primary program components, program eligibility criteria, and the number of participants that enroll in the program annually, the </w:t>
      </w:r>
      <w:r w:rsidR="0080558A">
        <w:t>PACE</w:t>
      </w:r>
      <w:r>
        <w:t xml:space="preserve"> team recruited nine promising career pathways programs into the study</w:t>
      </w:r>
      <w:r w:rsidR="001148CD">
        <w:t xml:space="preserve">. </w:t>
      </w:r>
    </w:p>
    <w:p w:rsidR="00F64AE0" w:rsidRDefault="00F64AE0" w:rsidP="00185072">
      <w:pPr>
        <w:rPr>
          <w:rFonts w:cstheme="minorHAnsi"/>
        </w:rPr>
      </w:pPr>
      <w:r>
        <w:t>The</w:t>
      </w:r>
      <w:r w:rsidRPr="0062155B">
        <w:t xml:space="preserve"> universe of potential respondents is low-income </w:t>
      </w:r>
      <w:r w:rsidRPr="00185072">
        <w:t>adults</w:t>
      </w:r>
      <w:r>
        <w:t xml:space="preserve"> (age 18 or older)</w:t>
      </w:r>
      <w:r w:rsidRPr="0062155B">
        <w:t xml:space="preserve"> who are interested in occupational skills training and who reside in the geographical areas where </w:t>
      </w:r>
      <w:r w:rsidR="0080558A">
        <w:t>PACE</w:t>
      </w:r>
      <w:r w:rsidRPr="0062155B">
        <w:t xml:space="preserve"> sites are located. </w:t>
      </w:r>
      <w:r w:rsidR="005D3B83" w:rsidRPr="005D3B83">
        <w:t>The target sample size in eight of the nine sites r</w:t>
      </w:r>
      <w:r w:rsidR="005D3B83">
        <w:t>anges from 500 to roughly 1,2</w:t>
      </w:r>
      <w:r w:rsidR="005D3B83" w:rsidRPr="005D3B83">
        <w:t>00, with most near 1,000—equally distributed between with about 500 in each of the two research groups. The ninth site has an estimated sample of 2,540 across eight sub-sites, with 1,695 in the treatment group and 845 in the control group</w:t>
      </w:r>
      <w:r w:rsidR="001148CD">
        <w:t xml:space="preserve">. </w:t>
      </w:r>
    </w:p>
    <w:p w:rsidR="00F64AE0" w:rsidRDefault="0080558A" w:rsidP="00185072">
      <w:r>
        <w:t>PACE</w:t>
      </w:r>
      <w:r w:rsidR="00F64AE0">
        <w:t xml:space="preserve"> study participants will be the subjects </w:t>
      </w:r>
      <w:r w:rsidR="00121970">
        <w:t>of the</w:t>
      </w:r>
      <w:r w:rsidR="00F64AE0">
        <w:t xml:space="preserve"> data collection instruments for which this OMB package requests clearance (</w:t>
      </w:r>
      <w:r w:rsidR="006E057D">
        <w:t>the 36-</w:t>
      </w:r>
      <w:r w:rsidR="003642FD">
        <w:t>m</w:t>
      </w:r>
      <w:r w:rsidR="00121970">
        <w:t xml:space="preserve">onth </w:t>
      </w:r>
      <w:r w:rsidR="003642FD">
        <w:t>f</w:t>
      </w:r>
      <w:r w:rsidR="006E057D">
        <w:t xml:space="preserve">ollow up </w:t>
      </w:r>
      <w:r w:rsidR="003642FD">
        <w:t>s</w:t>
      </w:r>
      <w:r w:rsidR="00121970">
        <w:t xml:space="preserve">urvey and the </w:t>
      </w:r>
      <w:r w:rsidR="006E057D">
        <w:t>36-</w:t>
      </w:r>
      <w:r w:rsidR="003642FD">
        <w:t>m</w:t>
      </w:r>
      <w:r w:rsidR="006E057D">
        <w:t xml:space="preserve">onth </w:t>
      </w:r>
      <w:r w:rsidR="003642FD">
        <w:t>t</w:t>
      </w:r>
      <w:r w:rsidR="006E057D">
        <w:t xml:space="preserve">racking </w:t>
      </w:r>
      <w:r w:rsidR="003642FD">
        <w:t>l</w:t>
      </w:r>
      <w:r w:rsidR="006E057D">
        <w:t>etters</w:t>
      </w:r>
      <w:r w:rsidR="00F64AE0">
        <w:t>)</w:t>
      </w:r>
      <w:r w:rsidR="006767E7">
        <w:t xml:space="preserve">. </w:t>
      </w:r>
      <w:r w:rsidR="00F64AE0">
        <w:t>The respondent universe for</w:t>
      </w:r>
      <w:r w:rsidR="00F125F9">
        <w:t xml:space="preserve"> 36-month survey and</w:t>
      </w:r>
      <w:r w:rsidR="00F64AE0">
        <w:t xml:space="preserve"> the </w:t>
      </w:r>
      <w:r w:rsidR="00F125F9">
        <w:t>36-month tracking</w:t>
      </w:r>
      <w:r w:rsidR="00F64AE0">
        <w:t xml:space="preserve"> form is the universe of study participants in both the treatment and control groups. Program staff </w:t>
      </w:r>
      <w:r w:rsidR="00717620">
        <w:t>recruit</w:t>
      </w:r>
      <w:r w:rsidR="00177A79">
        <w:t>s</w:t>
      </w:r>
      <w:r w:rsidR="00717620">
        <w:t xml:space="preserve"> individuals, </w:t>
      </w:r>
      <w:r w:rsidR="00F64AE0">
        <w:t>determine</w:t>
      </w:r>
      <w:r w:rsidR="00177A79">
        <w:t>s</w:t>
      </w:r>
      <w:r w:rsidR="00F64AE0">
        <w:t xml:space="preserve"> eligibility, and if the individual is eligible, obtain</w:t>
      </w:r>
      <w:r w:rsidR="00177A79">
        <w:t>s</w:t>
      </w:r>
      <w:r w:rsidR="00F64AE0">
        <w:t xml:space="preserve"> informed consent from those who volunteer</w:t>
      </w:r>
      <w:r w:rsidR="00717620">
        <w:t xml:space="preserve"> to be in the study. The specific steps are as follows</w:t>
      </w:r>
      <w:r w:rsidR="006A4B15">
        <w:t xml:space="preserve">: </w:t>
      </w:r>
      <w:r w:rsidR="00177A79">
        <w:t>P</w:t>
      </w:r>
      <w:r w:rsidR="00F64AE0" w:rsidRPr="00687C8E">
        <w:t>rogram staff inform</w:t>
      </w:r>
      <w:r w:rsidR="00177A79">
        <w:t>s</w:t>
      </w:r>
      <w:r w:rsidR="00F64AE0" w:rsidRPr="00687C8E">
        <w:t xml:space="preserve"> </w:t>
      </w:r>
      <w:r w:rsidR="00F64AE0" w:rsidRPr="00185072">
        <w:t>eligible</w:t>
      </w:r>
      <w:r w:rsidR="00F64AE0" w:rsidRPr="00687C8E">
        <w:t xml:space="preserve"> individuals about the study. Staff then administers the </w:t>
      </w:r>
      <w:r w:rsidR="006A4B15">
        <w:t>participant agreement</w:t>
      </w:r>
      <w:r w:rsidR="00F64AE0" w:rsidRPr="00687C8E">
        <w:t xml:space="preserve"> form, which describes the study and requires individual</w:t>
      </w:r>
      <w:r w:rsidR="00F64AE0">
        <w:t>s</w:t>
      </w:r>
      <w:r w:rsidR="00F64AE0" w:rsidRPr="00687C8E">
        <w:t xml:space="preserve"> to sign the form if </w:t>
      </w:r>
      <w:r w:rsidR="00F64AE0">
        <w:t xml:space="preserve">they </w:t>
      </w:r>
      <w:r w:rsidR="00F64AE0" w:rsidRPr="00687C8E">
        <w:t xml:space="preserve">wish to participate in the evaluation. Those who refuse to sign the consent form are not included in the study and are not eligible for the </w:t>
      </w:r>
      <w:r w:rsidR="00F64AE0">
        <w:t>career pathways program</w:t>
      </w:r>
      <w:r w:rsidR="00F64AE0" w:rsidRPr="00687C8E">
        <w:t>. They</w:t>
      </w:r>
      <w:r w:rsidR="00F64AE0">
        <w:t xml:space="preserve"> will</w:t>
      </w:r>
      <w:r w:rsidR="00F64AE0" w:rsidRPr="00687C8E">
        <w:t xml:space="preserve"> receive information about other services in the community</w:t>
      </w:r>
      <w:r w:rsidR="006767E7">
        <w:t xml:space="preserve">. </w:t>
      </w:r>
      <w:r w:rsidR="00F64AE0">
        <w:t xml:space="preserve">Appendix </w:t>
      </w:r>
      <w:r w:rsidR="004A0C24">
        <w:t>G</w:t>
      </w:r>
      <w:r w:rsidR="00F64AE0">
        <w:t xml:space="preserve"> contains </w:t>
      </w:r>
      <w:r w:rsidR="00364F46">
        <w:t>two</w:t>
      </w:r>
      <w:r w:rsidR="00F64AE0">
        <w:t xml:space="preserve"> </w:t>
      </w:r>
      <w:r>
        <w:t>PACE</w:t>
      </w:r>
      <w:r w:rsidR="00F64AE0">
        <w:t xml:space="preserve"> Participation Agreement</w:t>
      </w:r>
      <w:r w:rsidR="00364F46">
        <w:t xml:space="preserve">s: one for </w:t>
      </w:r>
      <w:r>
        <w:t>PACE</w:t>
      </w:r>
      <w:r w:rsidR="00364F46">
        <w:t xml:space="preserve"> sites that are HPOG grantees and one for </w:t>
      </w:r>
      <w:r>
        <w:t>PACE</w:t>
      </w:r>
      <w:r w:rsidR="00364F46">
        <w:t xml:space="preserve"> sites with no HPOG funds</w:t>
      </w:r>
      <w:r w:rsidR="00F64AE0">
        <w:t>.</w:t>
      </w:r>
      <w:r w:rsidR="006C2C8D">
        <w:t xml:space="preserve">  These agreements were approved in </w:t>
      </w:r>
      <w:r w:rsidR="00F97131">
        <w:t>November 2011</w:t>
      </w:r>
      <w:r w:rsidR="006C2C8D">
        <w:t xml:space="preserve"> under OMB</w:t>
      </w:r>
      <w:r w:rsidR="00F97131">
        <w:t xml:space="preserve"> No. 970-0397)</w:t>
      </w:r>
      <w:r w:rsidR="006C2C8D">
        <w:t>.</w:t>
      </w:r>
    </w:p>
    <w:p w:rsidR="00F64AE0" w:rsidRPr="006F653A" w:rsidRDefault="00F64AE0" w:rsidP="00185072">
      <w:pPr>
        <w:rPr>
          <w:rFonts w:cstheme="minorHAnsi"/>
        </w:rPr>
      </w:pPr>
      <w:r>
        <w:t>For those who consent, program staff collects b</w:t>
      </w:r>
      <w:r w:rsidRPr="00687C8E">
        <w:t>aseline data</w:t>
      </w:r>
      <w:r>
        <w:t xml:space="preserve">, which includes </w:t>
      </w:r>
      <w:r w:rsidRPr="00687C8E">
        <w:t xml:space="preserve">the </w:t>
      </w:r>
      <w:r>
        <w:t>Basic I</w:t>
      </w:r>
      <w:r w:rsidRPr="00687C8E">
        <w:t xml:space="preserve">nformation </w:t>
      </w:r>
      <w:r>
        <w:t>F</w:t>
      </w:r>
      <w:r w:rsidRPr="00687C8E">
        <w:t>orm (BIF)</w:t>
      </w:r>
      <w:r>
        <w:t xml:space="preserve"> and Self-Administered Questionnaire (SAQ)</w:t>
      </w:r>
      <w:r w:rsidR="00F125F9">
        <w:t>, and the research team collects follow-up data with the 15-month follow up survey</w:t>
      </w:r>
      <w:r w:rsidR="006767E7">
        <w:t xml:space="preserve">. </w:t>
      </w:r>
      <w:r>
        <w:t xml:space="preserve">OMB approved these forms under the previous </w:t>
      </w:r>
      <w:r w:rsidR="00177A79">
        <w:t>request for clearance</w:t>
      </w:r>
      <w:r>
        <w:t xml:space="preserve"> (OMB No. 0970-0397</w:t>
      </w:r>
      <w:r w:rsidR="00F125F9">
        <w:t>).</w:t>
      </w:r>
      <w:r w:rsidR="006767E7">
        <w:t xml:space="preserve"> </w:t>
      </w:r>
      <w:r>
        <w:t xml:space="preserve">Program staff </w:t>
      </w:r>
      <w:r w:rsidR="00595451">
        <w:t xml:space="preserve">(and in the case of the Year Up site, participants) </w:t>
      </w:r>
      <w:r>
        <w:t>enter</w:t>
      </w:r>
      <w:r w:rsidRPr="00687C8E">
        <w:t xml:space="preserve"> information from the BIF into a web-based </w:t>
      </w:r>
      <w:r>
        <w:t>system</w:t>
      </w:r>
      <w:r w:rsidRPr="00687C8E">
        <w:t xml:space="preserve"> developed specifically for the evaluation</w:t>
      </w:r>
      <w:r w:rsidR="006767E7">
        <w:t xml:space="preserve">. </w:t>
      </w:r>
      <w:proofErr w:type="gramStart"/>
      <w:r>
        <w:t>Staff then use</w:t>
      </w:r>
      <w:proofErr w:type="gramEnd"/>
      <w:r>
        <w:t xml:space="preserve"> the system to conduct r</w:t>
      </w:r>
      <w:r w:rsidRPr="00687C8E">
        <w:t>andom assignment</w:t>
      </w:r>
      <w:r>
        <w:t xml:space="preserve"> to the treatment or control group</w:t>
      </w:r>
      <w:r w:rsidR="006767E7">
        <w:t xml:space="preserve">. </w:t>
      </w:r>
      <w:r>
        <w:t>T</w:t>
      </w:r>
      <w:r w:rsidRPr="00687C8E">
        <w:t xml:space="preserve">hose assigned to the treatment group are offered the provided </w:t>
      </w:r>
      <w:r>
        <w:t xml:space="preserve">services </w:t>
      </w:r>
      <w:r w:rsidRPr="00687C8E">
        <w:t xml:space="preserve">while those assigned to the control group are not able to participate in the </w:t>
      </w:r>
      <w:r>
        <w:t xml:space="preserve">program </w:t>
      </w:r>
      <w:r w:rsidRPr="00687C8E">
        <w:t>but can access other services in the community</w:t>
      </w:r>
      <w:r w:rsidR="006767E7">
        <w:t xml:space="preserve">. </w:t>
      </w:r>
      <w:r>
        <w:rPr>
          <w:rFonts w:cstheme="minorHAnsi"/>
        </w:rPr>
        <w:t>Exhibit B</w:t>
      </w:r>
      <w:r w:rsidR="000A18D8">
        <w:rPr>
          <w:rFonts w:cstheme="minorHAnsi"/>
        </w:rPr>
        <w:t>-</w:t>
      </w:r>
      <w:r>
        <w:rPr>
          <w:rFonts w:cstheme="minorHAnsi"/>
        </w:rPr>
        <w:t xml:space="preserve">1 summarizes the general </w:t>
      </w:r>
      <w:r w:rsidR="00717620">
        <w:rPr>
          <w:rFonts w:cstheme="minorHAnsi"/>
        </w:rPr>
        <w:t>process above.</w:t>
      </w:r>
    </w:p>
    <w:p w:rsidR="002244DD" w:rsidRDefault="002244DD">
      <w:pPr>
        <w:spacing w:after="0" w:line="240" w:lineRule="auto"/>
        <w:rPr>
          <w:rFonts w:ascii="Arial" w:hAnsi="Arial"/>
          <w:b/>
          <w:bCs/>
          <w:sz w:val="20"/>
        </w:rPr>
      </w:pPr>
      <w:r>
        <w:br w:type="page"/>
      </w:r>
    </w:p>
    <w:p w:rsidR="00F64AE0" w:rsidRDefault="00F64AE0" w:rsidP="00F64AE0">
      <w:pPr>
        <w:pStyle w:val="Caption"/>
      </w:pPr>
      <w:proofErr w:type="gramStart"/>
      <w:r>
        <w:lastRenderedPageBreak/>
        <w:t>Exhibit B</w:t>
      </w:r>
      <w:r w:rsidR="000A18D8">
        <w:t>-</w:t>
      </w:r>
      <w:r>
        <w:t>1</w:t>
      </w:r>
      <w:r w:rsidR="000A18D8">
        <w:t>.</w:t>
      </w:r>
      <w:proofErr w:type="gramEnd"/>
      <w:r w:rsidR="000A18D8">
        <w:tab/>
      </w:r>
      <w:r w:rsidR="0080558A">
        <w:t>PACE</w:t>
      </w:r>
      <w:r>
        <w:t xml:space="preserve"> Study Participant Recruitment and Random Assignment Process</w:t>
      </w:r>
    </w:p>
    <w:p w:rsidR="00680440" w:rsidRPr="00680440" w:rsidRDefault="00680440" w:rsidP="00680440"/>
    <w:p w:rsidR="000A18D8" w:rsidRDefault="000A18D8" w:rsidP="000A18D8">
      <w:pPr>
        <w:jc w:val="center"/>
      </w:pPr>
      <w:r>
        <w:rPr>
          <w:noProof/>
        </w:rPr>
        <w:drawing>
          <wp:inline distT="0" distB="0" distL="0" distR="0" wp14:anchorId="1FA15224" wp14:editId="0AD90300">
            <wp:extent cx="3486150" cy="3860451"/>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490058" cy="3864778"/>
                    </a:xfrm>
                    <a:prstGeom prst="rect">
                      <a:avLst/>
                    </a:prstGeom>
                    <a:noFill/>
                  </pic:spPr>
                </pic:pic>
              </a:graphicData>
            </a:graphic>
          </wp:inline>
        </w:drawing>
      </w:r>
    </w:p>
    <w:p w:rsidR="00F64AE0" w:rsidRPr="00185072" w:rsidRDefault="00F64AE0" w:rsidP="00185072">
      <w:bookmarkStart w:id="10" w:name="_Toc255223838"/>
      <w:bookmarkStart w:id="11" w:name="_Toc290302450"/>
    </w:p>
    <w:p w:rsidR="00F64AE0" w:rsidRPr="002E48E4" w:rsidRDefault="00F64AE0" w:rsidP="00F64AE0">
      <w:pPr>
        <w:pStyle w:val="Heading3"/>
      </w:pPr>
      <w:bookmarkStart w:id="12" w:name="_Toc329063936"/>
      <w:bookmarkStart w:id="13" w:name="_Toc403652245"/>
      <w:r w:rsidRPr="002E48E4">
        <w:t>B.</w:t>
      </w:r>
      <w:r>
        <w:t>1.3</w:t>
      </w:r>
      <w:r w:rsidRPr="002E48E4">
        <w:tab/>
      </w:r>
      <w:r>
        <w:t>Target Response Rates</w:t>
      </w:r>
      <w:bookmarkEnd w:id="12"/>
      <w:bookmarkEnd w:id="13"/>
    </w:p>
    <w:p w:rsidR="0007441C" w:rsidRDefault="00717620" w:rsidP="00185072">
      <w:r>
        <w:t xml:space="preserve">Overall, </w:t>
      </w:r>
      <w:r w:rsidR="006A4B15">
        <w:t>the research team</w:t>
      </w:r>
      <w:r>
        <w:t xml:space="preserve"> expect</w:t>
      </w:r>
      <w:r w:rsidR="006A4B15">
        <w:t>s</w:t>
      </w:r>
      <w:r>
        <w:t xml:space="preserve"> response rates to be sufficiently high in this study to produce valid and reliable results that can be generalized to the universe of the study. The response rate for the baseline data collection is 100 percent. The expected rate for the </w:t>
      </w:r>
      <w:r w:rsidR="005A3A97" w:rsidRPr="0033156E">
        <w:t>15-month</w:t>
      </w:r>
      <w:r w:rsidR="005A3A97">
        <w:t xml:space="preserve"> </w:t>
      </w:r>
      <w:r>
        <w:t>follow-up survey</w:t>
      </w:r>
      <w:r w:rsidR="00F125F9">
        <w:t xml:space="preserve"> (which is currently underway)</w:t>
      </w:r>
      <w:r w:rsidR="00772406">
        <w:t xml:space="preserve"> and 36-month follow-up are</w:t>
      </w:r>
      <w:r>
        <w:t xml:space="preserve"> 80 percent</w:t>
      </w:r>
      <w:r w:rsidR="00AC06AC">
        <w:t>, which is based on experiences in other studies</w:t>
      </w:r>
      <w:r w:rsidR="00177A79">
        <w:t xml:space="preserve"> with similar populations and follow-up intervals</w:t>
      </w:r>
      <w:r>
        <w:t xml:space="preserve">. </w:t>
      </w:r>
    </w:p>
    <w:p w:rsidR="0007441C" w:rsidRDefault="0007441C" w:rsidP="0007441C">
      <w:r w:rsidRPr="008C73B1">
        <w:t xml:space="preserve">Based on response rates to date, the </w:t>
      </w:r>
      <w:r w:rsidR="0080558A">
        <w:t>PACE</w:t>
      </w:r>
      <w:r w:rsidRPr="008C73B1">
        <w:t xml:space="preserve"> team expects to achieve an 80 percent response rate on the 15 month survey.  </w:t>
      </w:r>
      <w:r>
        <w:t xml:space="preserve">The following table shows response rates for cohorts released to date.  </w:t>
      </w:r>
    </w:p>
    <w:tbl>
      <w:tblPr>
        <w:tblW w:w="8620" w:type="dxa"/>
        <w:tblInd w:w="93" w:type="dxa"/>
        <w:tblLook w:val="04A0" w:firstRow="1" w:lastRow="0" w:firstColumn="1" w:lastColumn="0" w:noHBand="0" w:noVBand="1"/>
      </w:tblPr>
      <w:tblGrid>
        <w:gridCol w:w="3060"/>
        <w:gridCol w:w="1660"/>
        <w:gridCol w:w="1660"/>
        <w:gridCol w:w="1120"/>
        <w:gridCol w:w="1120"/>
      </w:tblGrid>
      <w:tr w:rsidR="0007441C" w:rsidRPr="008C73B1" w:rsidTr="00CE61CB">
        <w:trPr>
          <w:trHeight w:val="900"/>
          <w:tblHeader/>
        </w:trPr>
        <w:tc>
          <w:tcPr>
            <w:tcW w:w="30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441C" w:rsidRPr="008C73B1" w:rsidRDefault="0007441C" w:rsidP="005E16F3">
            <w:pPr>
              <w:spacing w:after="0" w:line="240" w:lineRule="auto"/>
              <w:jc w:val="center"/>
              <w:rPr>
                <w:rFonts w:ascii="Calibri" w:hAnsi="Calibri"/>
                <w:b/>
                <w:bCs/>
                <w:color w:val="000000"/>
              </w:rPr>
            </w:pPr>
            <w:r w:rsidRPr="008C73B1">
              <w:rPr>
                <w:rFonts w:ascii="Calibri" w:hAnsi="Calibri"/>
                <w:b/>
                <w:bCs/>
                <w:color w:val="000000"/>
              </w:rPr>
              <w:t>Random Assignment Month</w:t>
            </w:r>
            <w:r w:rsidR="0060479A">
              <w:rPr>
                <w:rFonts w:ascii="Calibri" w:hAnsi="Calibri"/>
                <w:b/>
                <w:bCs/>
                <w:color w:val="000000"/>
              </w:rPr>
              <w:t xml:space="preserve"> (Cohort)</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07441C" w:rsidRPr="008C73B1" w:rsidRDefault="0007441C" w:rsidP="005E16F3">
            <w:pPr>
              <w:spacing w:after="0" w:line="240" w:lineRule="auto"/>
              <w:jc w:val="center"/>
              <w:rPr>
                <w:rFonts w:ascii="Calibri" w:hAnsi="Calibri"/>
                <w:b/>
                <w:bCs/>
                <w:color w:val="000000"/>
              </w:rPr>
            </w:pPr>
            <w:r w:rsidRPr="008C73B1">
              <w:rPr>
                <w:rFonts w:ascii="Calibri" w:hAnsi="Calibri"/>
                <w:b/>
                <w:bCs/>
                <w:color w:val="000000"/>
              </w:rPr>
              <w:t>Number of Cases</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07441C" w:rsidRPr="008C73B1" w:rsidRDefault="0007441C" w:rsidP="005E16F3">
            <w:pPr>
              <w:spacing w:after="0" w:line="240" w:lineRule="auto"/>
              <w:jc w:val="center"/>
              <w:rPr>
                <w:rFonts w:ascii="Calibri" w:hAnsi="Calibri"/>
                <w:b/>
                <w:bCs/>
                <w:color w:val="000000"/>
              </w:rPr>
            </w:pPr>
            <w:r w:rsidRPr="008C73B1">
              <w:rPr>
                <w:rFonts w:ascii="Calibri" w:hAnsi="Calibri"/>
                <w:b/>
                <w:bCs/>
                <w:color w:val="000000"/>
              </w:rPr>
              <w:t>Percent of Total Sample</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rsidR="0007441C" w:rsidRPr="008C73B1" w:rsidRDefault="0007441C" w:rsidP="005E16F3">
            <w:pPr>
              <w:spacing w:after="0" w:line="240" w:lineRule="auto"/>
              <w:jc w:val="center"/>
              <w:rPr>
                <w:rFonts w:ascii="Calibri" w:hAnsi="Calibri"/>
                <w:b/>
                <w:bCs/>
                <w:color w:val="000000"/>
              </w:rPr>
            </w:pPr>
            <w:r w:rsidRPr="008C73B1">
              <w:rPr>
                <w:rFonts w:ascii="Calibri" w:hAnsi="Calibri"/>
                <w:b/>
                <w:bCs/>
                <w:color w:val="000000"/>
              </w:rPr>
              <w:t>Expected Response Rate</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rsidR="0007441C" w:rsidRPr="008C73B1" w:rsidRDefault="0007441C" w:rsidP="005E16F3">
            <w:pPr>
              <w:spacing w:after="0" w:line="240" w:lineRule="auto"/>
              <w:jc w:val="center"/>
              <w:rPr>
                <w:rFonts w:ascii="Calibri" w:hAnsi="Calibri"/>
                <w:b/>
                <w:bCs/>
                <w:color w:val="000000"/>
              </w:rPr>
            </w:pPr>
            <w:r w:rsidRPr="008C73B1">
              <w:rPr>
                <w:rFonts w:ascii="Calibri" w:hAnsi="Calibri"/>
                <w:b/>
                <w:bCs/>
                <w:color w:val="000000"/>
              </w:rPr>
              <w:t>Response Rate to Date</w:t>
            </w:r>
          </w:p>
        </w:tc>
      </w:tr>
      <w:tr w:rsidR="0007441C" w:rsidRPr="008C73B1" w:rsidTr="005E16F3">
        <w:trPr>
          <w:trHeight w:val="300"/>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rsidR="0007441C" w:rsidRPr="008C73B1" w:rsidRDefault="0007441C" w:rsidP="005E16F3">
            <w:pPr>
              <w:spacing w:after="0" w:line="240" w:lineRule="auto"/>
              <w:jc w:val="right"/>
              <w:rPr>
                <w:rFonts w:ascii="Calibri" w:hAnsi="Calibri"/>
                <w:color w:val="000000"/>
              </w:rPr>
            </w:pPr>
            <w:r w:rsidRPr="008C73B1">
              <w:rPr>
                <w:rFonts w:ascii="Calibri" w:hAnsi="Calibri"/>
                <w:color w:val="000000"/>
              </w:rPr>
              <w:t>November 2011</w:t>
            </w:r>
          </w:p>
        </w:tc>
        <w:tc>
          <w:tcPr>
            <w:tcW w:w="1660" w:type="dxa"/>
            <w:tcBorders>
              <w:top w:val="nil"/>
              <w:left w:val="nil"/>
              <w:bottom w:val="single" w:sz="4" w:space="0" w:color="auto"/>
              <w:right w:val="single" w:sz="4" w:space="0" w:color="auto"/>
            </w:tcBorders>
            <w:shd w:val="clear" w:color="auto" w:fill="auto"/>
            <w:noWrap/>
            <w:vAlign w:val="bottom"/>
            <w:hideMark/>
          </w:tcPr>
          <w:p w:rsidR="0007441C" w:rsidRPr="008C73B1" w:rsidRDefault="0007441C" w:rsidP="005E16F3">
            <w:pPr>
              <w:spacing w:after="0" w:line="240" w:lineRule="auto"/>
              <w:jc w:val="center"/>
              <w:rPr>
                <w:rFonts w:ascii="Calibri" w:hAnsi="Calibri"/>
                <w:color w:val="000000"/>
              </w:rPr>
            </w:pPr>
            <w:r w:rsidRPr="008C73B1">
              <w:rPr>
                <w:rFonts w:ascii="Calibri" w:hAnsi="Calibri"/>
                <w:color w:val="000000"/>
              </w:rPr>
              <w:t>48</w:t>
            </w:r>
          </w:p>
        </w:tc>
        <w:tc>
          <w:tcPr>
            <w:tcW w:w="1660" w:type="dxa"/>
            <w:tcBorders>
              <w:top w:val="nil"/>
              <w:left w:val="nil"/>
              <w:bottom w:val="single" w:sz="4" w:space="0" w:color="auto"/>
              <w:right w:val="single" w:sz="4" w:space="0" w:color="auto"/>
            </w:tcBorders>
            <w:shd w:val="clear" w:color="auto" w:fill="auto"/>
            <w:noWrap/>
            <w:vAlign w:val="bottom"/>
            <w:hideMark/>
          </w:tcPr>
          <w:p w:rsidR="0007441C" w:rsidRPr="008C73B1" w:rsidRDefault="0007441C" w:rsidP="005E16F3">
            <w:pPr>
              <w:spacing w:after="0" w:line="240" w:lineRule="auto"/>
              <w:jc w:val="center"/>
              <w:rPr>
                <w:rFonts w:ascii="Calibri" w:hAnsi="Calibri"/>
                <w:color w:val="000000"/>
              </w:rPr>
            </w:pPr>
            <w:r w:rsidRPr="008C73B1">
              <w:rPr>
                <w:rFonts w:ascii="Calibri" w:hAnsi="Calibri"/>
                <w:color w:val="000000"/>
              </w:rPr>
              <w:t>1%</w:t>
            </w:r>
          </w:p>
        </w:tc>
        <w:tc>
          <w:tcPr>
            <w:tcW w:w="1120" w:type="dxa"/>
            <w:tcBorders>
              <w:top w:val="nil"/>
              <w:left w:val="nil"/>
              <w:bottom w:val="single" w:sz="4" w:space="0" w:color="auto"/>
              <w:right w:val="single" w:sz="4" w:space="0" w:color="auto"/>
            </w:tcBorders>
            <w:shd w:val="clear" w:color="auto" w:fill="auto"/>
            <w:noWrap/>
            <w:vAlign w:val="bottom"/>
            <w:hideMark/>
          </w:tcPr>
          <w:p w:rsidR="0007441C" w:rsidRPr="008C73B1" w:rsidRDefault="0007441C" w:rsidP="005E16F3">
            <w:pPr>
              <w:spacing w:after="0" w:line="240" w:lineRule="auto"/>
              <w:jc w:val="center"/>
              <w:rPr>
                <w:rFonts w:ascii="Calibri" w:hAnsi="Calibri"/>
                <w:color w:val="000000"/>
              </w:rPr>
            </w:pPr>
            <w:r w:rsidRPr="008C73B1">
              <w:rPr>
                <w:rFonts w:ascii="Calibri" w:hAnsi="Calibri"/>
                <w:color w:val="000000"/>
              </w:rPr>
              <w:t>75%</w:t>
            </w:r>
          </w:p>
        </w:tc>
        <w:tc>
          <w:tcPr>
            <w:tcW w:w="1120" w:type="dxa"/>
            <w:tcBorders>
              <w:top w:val="nil"/>
              <w:left w:val="nil"/>
              <w:bottom w:val="single" w:sz="4" w:space="0" w:color="auto"/>
              <w:right w:val="single" w:sz="4" w:space="0" w:color="auto"/>
            </w:tcBorders>
            <w:shd w:val="clear" w:color="auto" w:fill="auto"/>
            <w:noWrap/>
            <w:vAlign w:val="bottom"/>
            <w:hideMark/>
          </w:tcPr>
          <w:p w:rsidR="0007441C" w:rsidRPr="008C73B1" w:rsidRDefault="0007441C" w:rsidP="005E16F3">
            <w:pPr>
              <w:spacing w:after="0" w:line="240" w:lineRule="auto"/>
              <w:jc w:val="center"/>
              <w:rPr>
                <w:rFonts w:ascii="Calibri" w:hAnsi="Calibri"/>
                <w:color w:val="000000"/>
              </w:rPr>
            </w:pPr>
            <w:r w:rsidRPr="008C73B1">
              <w:rPr>
                <w:rFonts w:ascii="Calibri" w:hAnsi="Calibri"/>
                <w:color w:val="000000"/>
              </w:rPr>
              <w:t>75%</w:t>
            </w:r>
          </w:p>
        </w:tc>
      </w:tr>
      <w:tr w:rsidR="0007441C" w:rsidRPr="008C73B1" w:rsidTr="005E16F3">
        <w:trPr>
          <w:trHeight w:val="300"/>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rsidR="0007441C" w:rsidRPr="008C73B1" w:rsidRDefault="0007441C" w:rsidP="005E16F3">
            <w:pPr>
              <w:spacing w:after="0" w:line="240" w:lineRule="auto"/>
              <w:jc w:val="right"/>
              <w:rPr>
                <w:rFonts w:ascii="Calibri" w:hAnsi="Calibri"/>
                <w:color w:val="000000"/>
              </w:rPr>
            </w:pPr>
            <w:r w:rsidRPr="008C73B1">
              <w:rPr>
                <w:rFonts w:ascii="Calibri" w:hAnsi="Calibri"/>
                <w:color w:val="000000"/>
              </w:rPr>
              <w:t>December 2011</w:t>
            </w:r>
          </w:p>
        </w:tc>
        <w:tc>
          <w:tcPr>
            <w:tcW w:w="1660" w:type="dxa"/>
            <w:tcBorders>
              <w:top w:val="nil"/>
              <w:left w:val="nil"/>
              <w:bottom w:val="single" w:sz="4" w:space="0" w:color="auto"/>
              <w:right w:val="single" w:sz="4" w:space="0" w:color="auto"/>
            </w:tcBorders>
            <w:shd w:val="clear" w:color="auto" w:fill="auto"/>
            <w:noWrap/>
            <w:vAlign w:val="bottom"/>
            <w:hideMark/>
          </w:tcPr>
          <w:p w:rsidR="0007441C" w:rsidRPr="008C73B1" w:rsidRDefault="0007441C" w:rsidP="005E16F3">
            <w:pPr>
              <w:spacing w:after="0" w:line="240" w:lineRule="auto"/>
              <w:jc w:val="center"/>
              <w:rPr>
                <w:rFonts w:ascii="Calibri" w:hAnsi="Calibri"/>
                <w:color w:val="000000"/>
              </w:rPr>
            </w:pPr>
            <w:r w:rsidRPr="008C73B1">
              <w:rPr>
                <w:rFonts w:ascii="Calibri" w:hAnsi="Calibri"/>
                <w:color w:val="000000"/>
              </w:rPr>
              <w:t>67</w:t>
            </w:r>
          </w:p>
        </w:tc>
        <w:tc>
          <w:tcPr>
            <w:tcW w:w="1660" w:type="dxa"/>
            <w:tcBorders>
              <w:top w:val="nil"/>
              <w:left w:val="nil"/>
              <w:bottom w:val="single" w:sz="4" w:space="0" w:color="auto"/>
              <w:right w:val="single" w:sz="4" w:space="0" w:color="auto"/>
            </w:tcBorders>
            <w:shd w:val="clear" w:color="auto" w:fill="auto"/>
            <w:noWrap/>
            <w:vAlign w:val="bottom"/>
            <w:hideMark/>
          </w:tcPr>
          <w:p w:rsidR="0007441C" w:rsidRPr="008C73B1" w:rsidRDefault="0007441C" w:rsidP="005E16F3">
            <w:pPr>
              <w:spacing w:after="0" w:line="240" w:lineRule="auto"/>
              <w:jc w:val="center"/>
              <w:rPr>
                <w:rFonts w:ascii="Calibri" w:hAnsi="Calibri"/>
                <w:color w:val="000000"/>
              </w:rPr>
            </w:pPr>
            <w:r w:rsidRPr="008C73B1">
              <w:rPr>
                <w:rFonts w:ascii="Calibri" w:hAnsi="Calibri"/>
                <w:color w:val="000000"/>
              </w:rPr>
              <w:t>1%</w:t>
            </w:r>
          </w:p>
        </w:tc>
        <w:tc>
          <w:tcPr>
            <w:tcW w:w="1120" w:type="dxa"/>
            <w:tcBorders>
              <w:top w:val="nil"/>
              <w:left w:val="nil"/>
              <w:bottom w:val="single" w:sz="4" w:space="0" w:color="auto"/>
              <w:right w:val="single" w:sz="4" w:space="0" w:color="auto"/>
            </w:tcBorders>
            <w:shd w:val="clear" w:color="auto" w:fill="auto"/>
            <w:noWrap/>
            <w:vAlign w:val="bottom"/>
            <w:hideMark/>
          </w:tcPr>
          <w:p w:rsidR="0007441C" w:rsidRPr="008C73B1" w:rsidRDefault="0007441C" w:rsidP="005E16F3">
            <w:pPr>
              <w:spacing w:after="0" w:line="240" w:lineRule="auto"/>
              <w:jc w:val="center"/>
              <w:rPr>
                <w:rFonts w:ascii="Calibri" w:hAnsi="Calibri"/>
                <w:color w:val="000000"/>
              </w:rPr>
            </w:pPr>
            <w:r w:rsidRPr="008C73B1">
              <w:rPr>
                <w:rFonts w:ascii="Calibri" w:hAnsi="Calibri"/>
                <w:color w:val="000000"/>
              </w:rPr>
              <w:t>78%</w:t>
            </w:r>
          </w:p>
        </w:tc>
        <w:tc>
          <w:tcPr>
            <w:tcW w:w="1120" w:type="dxa"/>
            <w:tcBorders>
              <w:top w:val="nil"/>
              <w:left w:val="nil"/>
              <w:bottom w:val="single" w:sz="4" w:space="0" w:color="auto"/>
              <w:right w:val="single" w:sz="4" w:space="0" w:color="auto"/>
            </w:tcBorders>
            <w:shd w:val="clear" w:color="auto" w:fill="auto"/>
            <w:noWrap/>
            <w:vAlign w:val="bottom"/>
            <w:hideMark/>
          </w:tcPr>
          <w:p w:rsidR="0007441C" w:rsidRPr="008C73B1" w:rsidRDefault="0007441C" w:rsidP="005E16F3">
            <w:pPr>
              <w:spacing w:after="0" w:line="240" w:lineRule="auto"/>
              <w:jc w:val="center"/>
              <w:rPr>
                <w:rFonts w:ascii="Calibri" w:hAnsi="Calibri"/>
                <w:color w:val="000000"/>
              </w:rPr>
            </w:pPr>
            <w:r w:rsidRPr="008C73B1">
              <w:rPr>
                <w:rFonts w:ascii="Calibri" w:hAnsi="Calibri"/>
                <w:color w:val="000000"/>
              </w:rPr>
              <w:t>78%</w:t>
            </w:r>
          </w:p>
        </w:tc>
      </w:tr>
      <w:tr w:rsidR="0007441C" w:rsidRPr="008C73B1" w:rsidTr="005E16F3">
        <w:trPr>
          <w:trHeight w:val="300"/>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rsidR="0007441C" w:rsidRPr="008C73B1" w:rsidRDefault="0007441C" w:rsidP="005E16F3">
            <w:pPr>
              <w:spacing w:after="0" w:line="240" w:lineRule="auto"/>
              <w:jc w:val="right"/>
              <w:rPr>
                <w:rFonts w:ascii="Calibri" w:hAnsi="Calibri"/>
                <w:color w:val="000000"/>
              </w:rPr>
            </w:pPr>
            <w:r w:rsidRPr="008C73B1">
              <w:rPr>
                <w:rFonts w:ascii="Calibri" w:hAnsi="Calibri"/>
                <w:color w:val="000000"/>
              </w:rPr>
              <w:t>January 2012</w:t>
            </w:r>
          </w:p>
        </w:tc>
        <w:tc>
          <w:tcPr>
            <w:tcW w:w="1660" w:type="dxa"/>
            <w:tcBorders>
              <w:top w:val="nil"/>
              <w:left w:val="nil"/>
              <w:bottom w:val="single" w:sz="4" w:space="0" w:color="auto"/>
              <w:right w:val="single" w:sz="4" w:space="0" w:color="auto"/>
            </w:tcBorders>
            <w:shd w:val="clear" w:color="auto" w:fill="auto"/>
            <w:noWrap/>
            <w:vAlign w:val="bottom"/>
            <w:hideMark/>
          </w:tcPr>
          <w:p w:rsidR="0007441C" w:rsidRPr="008C73B1" w:rsidRDefault="0007441C" w:rsidP="005E16F3">
            <w:pPr>
              <w:spacing w:after="0" w:line="240" w:lineRule="auto"/>
              <w:jc w:val="center"/>
              <w:rPr>
                <w:rFonts w:ascii="Calibri" w:hAnsi="Calibri"/>
                <w:color w:val="000000"/>
              </w:rPr>
            </w:pPr>
            <w:r w:rsidRPr="008C73B1">
              <w:rPr>
                <w:rFonts w:ascii="Calibri" w:hAnsi="Calibri"/>
                <w:color w:val="000000"/>
              </w:rPr>
              <w:t>69</w:t>
            </w:r>
          </w:p>
        </w:tc>
        <w:tc>
          <w:tcPr>
            <w:tcW w:w="1660" w:type="dxa"/>
            <w:tcBorders>
              <w:top w:val="nil"/>
              <w:left w:val="nil"/>
              <w:bottom w:val="single" w:sz="4" w:space="0" w:color="auto"/>
              <w:right w:val="single" w:sz="4" w:space="0" w:color="auto"/>
            </w:tcBorders>
            <w:shd w:val="clear" w:color="auto" w:fill="auto"/>
            <w:noWrap/>
            <w:vAlign w:val="bottom"/>
            <w:hideMark/>
          </w:tcPr>
          <w:p w:rsidR="0007441C" w:rsidRPr="008C73B1" w:rsidRDefault="0007441C" w:rsidP="005E16F3">
            <w:pPr>
              <w:spacing w:after="0" w:line="240" w:lineRule="auto"/>
              <w:jc w:val="center"/>
              <w:rPr>
                <w:rFonts w:ascii="Calibri" w:hAnsi="Calibri"/>
                <w:color w:val="000000"/>
              </w:rPr>
            </w:pPr>
            <w:r w:rsidRPr="008C73B1">
              <w:rPr>
                <w:rFonts w:ascii="Calibri" w:hAnsi="Calibri"/>
                <w:color w:val="000000"/>
              </w:rPr>
              <w:t>1%</w:t>
            </w:r>
          </w:p>
        </w:tc>
        <w:tc>
          <w:tcPr>
            <w:tcW w:w="1120" w:type="dxa"/>
            <w:tcBorders>
              <w:top w:val="nil"/>
              <w:left w:val="nil"/>
              <w:bottom w:val="single" w:sz="4" w:space="0" w:color="auto"/>
              <w:right w:val="single" w:sz="4" w:space="0" w:color="auto"/>
            </w:tcBorders>
            <w:shd w:val="clear" w:color="auto" w:fill="auto"/>
            <w:noWrap/>
            <w:vAlign w:val="bottom"/>
            <w:hideMark/>
          </w:tcPr>
          <w:p w:rsidR="0007441C" w:rsidRPr="008C73B1" w:rsidRDefault="0007441C" w:rsidP="009E08B0">
            <w:pPr>
              <w:spacing w:after="0" w:line="240" w:lineRule="auto"/>
              <w:jc w:val="center"/>
              <w:rPr>
                <w:rFonts w:ascii="Calibri" w:hAnsi="Calibri"/>
                <w:color w:val="000000"/>
              </w:rPr>
            </w:pPr>
            <w:r w:rsidRPr="008C73B1">
              <w:rPr>
                <w:rFonts w:ascii="Calibri" w:hAnsi="Calibri"/>
                <w:color w:val="000000"/>
              </w:rPr>
              <w:t>6</w:t>
            </w:r>
            <w:r w:rsidR="009E08B0">
              <w:rPr>
                <w:rFonts w:ascii="Calibri" w:hAnsi="Calibri"/>
                <w:color w:val="000000"/>
              </w:rPr>
              <w:t>4</w:t>
            </w:r>
            <w:r w:rsidRPr="008C73B1">
              <w:rPr>
                <w:rFonts w:ascii="Calibri" w:hAnsi="Calibri"/>
                <w:color w:val="000000"/>
              </w:rPr>
              <w:t>%</w:t>
            </w:r>
          </w:p>
        </w:tc>
        <w:tc>
          <w:tcPr>
            <w:tcW w:w="1120" w:type="dxa"/>
            <w:tcBorders>
              <w:top w:val="nil"/>
              <w:left w:val="nil"/>
              <w:bottom w:val="single" w:sz="4" w:space="0" w:color="auto"/>
              <w:right w:val="single" w:sz="4" w:space="0" w:color="auto"/>
            </w:tcBorders>
            <w:shd w:val="clear" w:color="auto" w:fill="auto"/>
            <w:noWrap/>
            <w:vAlign w:val="bottom"/>
            <w:hideMark/>
          </w:tcPr>
          <w:p w:rsidR="0007441C" w:rsidRPr="008C73B1" w:rsidRDefault="0007441C" w:rsidP="005E16F3">
            <w:pPr>
              <w:spacing w:after="0" w:line="240" w:lineRule="auto"/>
              <w:jc w:val="center"/>
              <w:rPr>
                <w:rFonts w:ascii="Calibri" w:hAnsi="Calibri"/>
                <w:color w:val="000000"/>
              </w:rPr>
            </w:pPr>
            <w:r w:rsidRPr="008C73B1">
              <w:rPr>
                <w:rFonts w:ascii="Calibri" w:hAnsi="Calibri"/>
                <w:color w:val="000000"/>
              </w:rPr>
              <w:t>64%</w:t>
            </w:r>
          </w:p>
        </w:tc>
      </w:tr>
      <w:tr w:rsidR="0007441C" w:rsidRPr="008C73B1" w:rsidTr="005E16F3">
        <w:trPr>
          <w:trHeight w:val="300"/>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rsidR="0007441C" w:rsidRPr="008C73B1" w:rsidRDefault="0007441C" w:rsidP="005E16F3">
            <w:pPr>
              <w:spacing w:after="0" w:line="240" w:lineRule="auto"/>
              <w:jc w:val="right"/>
              <w:rPr>
                <w:rFonts w:ascii="Calibri" w:hAnsi="Calibri"/>
                <w:color w:val="000000"/>
              </w:rPr>
            </w:pPr>
            <w:r w:rsidRPr="008C73B1">
              <w:rPr>
                <w:rFonts w:ascii="Calibri" w:hAnsi="Calibri"/>
                <w:color w:val="000000"/>
              </w:rPr>
              <w:t>February 2012</w:t>
            </w:r>
          </w:p>
        </w:tc>
        <w:tc>
          <w:tcPr>
            <w:tcW w:w="1660" w:type="dxa"/>
            <w:tcBorders>
              <w:top w:val="nil"/>
              <w:left w:val="nil"/>
              <w:bottom w:val="single" w:sz="4" w:space="0" w:color="auto"/>
              <w:right w:val="single" w:sz="4" w:space="0" w:color="auto"/>
            </w:tcBorders>
            <w:shd w:val="clear" w:color="auto" w:fill="auto"/>
            <w:noWrap/>
            <w:vAlign w:val="bottom"/>
            <w:hideMark/>
          </w:tcPr>
          <w:p w:rsidR="0007441C" w:rsidRPr="008C73B1" w:rsidRDefault="0007441C" w:rsidP="005E16F3">
            <w:pPr>
              <w:spacing w:after="0" w:line="240" w:lineRule="auto"/>
              <w:jc w:val="center"/>
              <w:rPr>
                <w:rFonts w:ascii="Calibri" w:hAnsi="Calibri"/>
                <w:color w:val="000000"/>
              </w:rPr>
            </w:pPr>
            <w:r w:rsidRPr="008C73B1">
              <w:rPr>
                <w:rFonts w:ascii="Calibri" w:hAnsi="Calibri"/>
                <w:color w:val="000000"/>
              </w:rPr>
              <w:t>73</w:t>
            </w:r>
          </w:p>
        </w:tc>
        <w:tc>
          <w:tcPr>
            <w:tcW w:w="1660" w:type="dxa"/>
            <w:tcBorders>
              <w:top w:val="nil"/>
              <w:left w:val="nil"/>
              <w:bottom w:val="single" w:sz="4" w:space="0" w:color="auto"/>
              <w:right w:val="single" w:sz="4" w:space="0" w:color="auto"/>
            </w:tcBorders>
            <w:shd w:val="clear" w:color="auto" w:fill="auto"/>
            <w:noWrap/>
            <w:vAlign w:val="bottom"/>
            <w:hideMark/>
          </w:tcPr>
          <w:p w:rsidR="0007441C" w:rsidRPr="008C73B1" w:rsidRDefault="0007441C" w:rsidP="005E16F3">
            <w:pPr>
              <w:spacing w:after="0" w:line="240" w:lineRule="auto"/>
              <w:jc w:val="center"/>
              <w:rPr>
                <w:rFonts w:ascii="Calibri" w:hAnsi="Calibri"/>
                <w:color w:val="000000"/>
              </w:rPr>
            </w:pPr>
            <w:r w:rsidRPr="008C73B1">
              <w:rPr>
                <w:rFonts w:ascii="Calibri" w:hAnsi="Calibri"/>
                <w:color w:val="000000"/>
              </w:rPr>
              <w:t>1%</w:t>
            </w:r>
          </w:p>
        </w:tc>
        <w:tc>
          <w:tcPr>
            <w:tcW w:w="1120" w:type="dxa"/>
            <w:tcBorders>
              <w:top w:val="nil"/>
              <w:left w:val="nil"/>
              <w:bottom w:val="single" w:sz="4" w:space="0" w:color="auto"/>
              <w:right w:val="single" w:sz="4" w:space="0" w:color="auto"/>
            </w:tcBorders>
            <w:shd w:val="clear" w:color="auto" w:fill="auto"/>
            <w:noWrap/>
            <w:vAlign w:val="bottom"/>
            <w:hideMark/>
          </w:tcPr>
          <w:p w:rsidR="0007441C" w:rsidRPr="008C73B1" w:rsidRDefault="005407A4" w:rsidP="005E16F3">
            <w:pPr>
              <w:spacing w:after="0" w:line="240" w:lineRule="auto"/>
              <w:jc w:val="center"/>
              <w:rPr>
                <w:rFonts w:ascii="Calibri" w:hAnsi="Calibri"/>
                <w:color w:val="000000"/>
              </w:rPr>
            </w:pPr>
            <w:r>
              <w:rPr>
                <w:rFonts w:ascii="Calibri" w:hAnsi="Calibri"/>
                <w:color w:val="000000"/>
              </w:rPr>
              <w:t>77%</w:t>
            </w:r>
          </w:p>
        </w:tc>
        <w:tc>
          <w:tcPr>
            <w:tcW w:w="1120" w:type="dxa"/>
            <w:tcBorders>
              <w:top w:val="nil"/>
              <w:left w:val="nil"/>
              <w:bottom w:val="single" w:sz="4" w:space="0" w:color="auto"/>
              <w:right w:val="single" w:sz="4" w:space="0" w:color="auto"/>
            </w:tcBorders>
            <w:shd w:val="clear" w:color="auto" w:fill="auto"/>
            <w:noWrap/>
            <w:vAlign w:val="bottom"/>
            <w:hideMark/>
          </w:tcPr>
          <w:p w:rsidR="0007441C" w:rsidRPr="008C73B1" w:rsidRDefault="0007441C" w:rsidP="005E16F3">
            <w:pPr>
              <w:spacing w:after="0" w:line="240" w:lineRule="auto"/>
              <w:jc w:val="center"/>
              <w:rPr>
                <w:rFonts w:ascii="Calibri" w:hAnsi="Calibri"/>
                <w:color w:val="000000"/>
              </w:rPr>
            </w:pPr>
            <w:r w:rsidRPr="008C73B1">
              <w:rPr>
                <w:rFonts w:ascii="Calibri" w:hAnsi="Calibri"/>
                <w:color w:val="000000"/>
              </w:rPr>
              <w:t>77%</w:t>
            </w:r>
          </w:p>
        </w:tc>
      </w:tr>
      <w:tr w:rsidR="0007441C" w:rsidRPr="008C73B1" w:rsidTr="005E16F3">
        <w:trPr>
          <w:trHeight w:val="300"/>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rsidR="0007441C" w:rsidRPr="008C73B1" w:rsidRDefault="0007441C" w:rsidP="005E16F3">
            <w:pPr>
              <w:spacing w:after="0" w:line="240" w:lineRule="auto"/>
              <w:jc w:val="right"/>
              <w:rPr>
                <w:rFonts w:ascii="Calibri" w:hAnsi="Calibri"/>
                <w:color w:val="000000"/>
              </w:rPr>
            </w:pPr>
            <w:r w:rsidRPr="008C73B1">
              <w:rPr>
                <w:rFonts w:ascii="Calibri" w:hAnsi="Calibri"/>
                <w:color w:val="000000"/>
              </w:rPr>
              <w:t>March 2012</w:t>
            </w:r>
          </w:p>
        </w:tc>
        <w:tc>
          <w:tcPr>
            <w:tcW w:w="1660" w:type="dxa"/>
            <w:tcBorders>
              <w:top w:val="nil"/>
              <w:left w:val="nil"/>
              <w:bottom w:val="single" w:sz="4" w:space="0" w:color="auto"/>
              <w:right w:val="single" w:sz="4" w:space="0" w:color="auto"/>
            </w:tcBorders>
            <w:shd w:val="clear" w:color="auto" w:fill="auto"/>
            <w:noWrap/>
            <w:vAlign w:val="bottom"/>
            <w:hideMark/>
          </w:tcPr>
          <w:p w:rsidR="0007441C" w:rsidRPr="008C73B1" w:rsidRDefault="0007441C" w:rsidP="005E16F3">
            <w:pPr>
              <w:spacing w:after="0" w:line="240" w:lineRule="auto"/>
              <w:jc w:val="center"/>
              <w:rPr>
                <w:rFonts w:ascii="Calibri" w:hAnsi="Calibri"/>
                <w:color w:val="000000"/>
              </w:rPr>
            </w:pPr>
            <w:r w:rsidRPr="008C73B1">
              <w:rPr>
                <w:rFonts w:ascii="Calibri" w:hAnsi="Calibri"/>
                <w:color w:val="000000"/>
              </w:rPr>
              <w:t>79</w:t>
            </w:r>
          </w:p>
        </w:tc>
        <w:tc>
          <w:tcPr>
            <w:tcW w:w="1660" w:type="dxa"/>
            <w:tcBorders>
              <w:top w:val="nil"/>
              <w:left w:val="nil"/>
              <w:bottom w:val="single" w:sz="4" w:space="0" w:color="auto"/>
              <w:right w:val="single" w:sz="4" w:space="0" w:color="auto"/>
            </w:tcBorders>
            <w:shd w:val="clear" w:color="auto" w:fill="auto"/>
            <w:noWrap/>
            <w:vAlign w:val="bottom"/>
            <w:hideMark/>
          </w:tcPr>
          <w:p w:rsidR="0007441C" w:rsidRPr="008C73B1" w:rsidRDefault="0007441C" w:rsidP="005E16F3">
            <w:pPr>
              <w:spacing w:after="0" w:line="240" w:lineRule="auto"/>
              <w:jc w:val="center"/>
              <w:rPr>
                <w:rFonts w:ascii="Calibri" w:hAnsi="Calibri"/>
                <w:color w:val="000000"/>
              </w:rPr>
            </w:pPr>
            <w:r w:rsidRPr="008C73B1">
              <w:rPr>
                <w:rFonts w:ascii="Calibri" w:hAnsi="Calibri"/>
                <w:color w:val="000000"/>
              </w:rPr>
              <w:t>1%</w:t>
            </w:r>
          </w:p>
        </w:tc>
        <w:tc>
          <w:tcPr>
            <w:tcW w:w="1120" w:type="dxa"/>
            <w:tcBorders>
              <w:top w:val="nil"/>
              <w:left w:val="nil"/>
              <w:bottom w:val="single" w:sz="4" w:space="0" w:color="auto"/>
              <w:right w:val="single" w:sz="4" w:space="0" w:color="auto"/>
            </w:tcBorders>
            <w:shd w:val="clear" w:color="auto" w:fill="auto"/>
            <w:noWrap/>
            <w:vAlign w:val="bottom"/>
            <w:hideMark/>
          </w:tcPr>
          <w:p w:rsidR="0007441C" w:rsidRPr="008C73B1" w:rsidRDefault="005407A4" w:rsidP="005E16F3">
            <w:pPr>
              <w:spacing w:after="0" w:line="240" w:lineRule="auto"/>
              <w:jc w:val="center"/>
              <w:rPr>
                <w:rFonts w:ascii="Calibri" w:hAnsi="Calibri"/>
                <w:color w:val="000000"/>
              </w:rPr>
            </w:pPr>
            <w:r>
              <w:rPr>
                <w:rFonts w:ascii="Calibri" w:hAnsi="Calibri"/>
                <w:color w:val="000000"/>
              </w:rPr>
              <w:t>72%</w:t>
            </w:r>
          </w:p>
        </w:tc>
        <w:tc>
          <w:tcPr>
            <w:tcW w:w="1120" w:type="dxa"/>
            <w:tcBorders>
              <w:top w:val="nil"/>
              <w:left w:val="nil"/>
              <w:bottom w:val="single" w:sz="4" w:space="0" w:color="auto"/>
              <w:right w:val="single" w:sz="4" w:space="0" w:color="auto"/>
            </w:tcBorders>
            <w:shd w:val="clear" w:color="auto" w:fill="auto"/>
            <w:noWrap/>
            <w:vAlign w:val="bottom"/>
            <w:hideMark/>
          </w:tcPr>
          <w:p w:rsidR="0007441C" w:rsidRPr="008C73B1" w:rsidRDefault="0007441C" w:rsidP="005E16F3">
            <w:pPr>
              <w:spacing w:after="0" w:line="240" w:lineRule="auto"/>
              <w:jc w:val="center"/>
              <w:rPr>
                <w:rFonts w:ascii="Calibri" w:hAnsi="Calibri"/>
                <w:color w:val="000000"/>
              </w:rPr>
            </w:pPr>
            <w:r w:rsidRPr="008C73B1">
              <w:rPr>
                <w:rFonts w:ascii="Calibri" w:hAnsi="Calibri"/>
                <w:color w:val="000000"/>
              </w:rPr>
              <w:t>72%</w:t>
            </w:r>
          </w:p>
        </w:tc>
      </w:tr>
      <w:tr w:rsidR="0007441C" w:rsidRPr="008C73B1" w:rsidTr="005E16F3">
        <w:trPr>
          <w:trHeight w:val="300"/>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rsidR="0007441C" w:rsidRPr="008C73B1" w:rsidRDefault="0007441C" w:rsidP="005E16F3">
            <w:pPr>
              <w:spacing w:after="0" w:line="240" w:lineRule="auto"/>
              <w:jc w:val="right"/>
              <w:rPr>
                <w:rFonts w:ascii="Calibri" w:hAnsi="Calibri"/>
                <w:color w:val="000000"/>
              </w:rPr>
            </w:pPr>
            <w:r w:rsidRPr="008C73B1">
              <w:rPr>
                <w:rFonts w:ascii="Calibri" w:hAnsi="Calibri"/>
                <w:color w:val="000000"/>
              </w:rPr>
              <w:lastRenderedPageBreak/>
              <w:t>April 2012</w:t>
            </w:r>
          </w:p>
        </w:tc>
        <w:tc>
          <w:tcPr>
            <w:tcW w:w="1660" w:type="dxa"/>
            <w:tcBorders>
              <w:top w:val="nil"/>
              <w:left w:val="nil"/>
              <w:bottom w:val="single" w:sz="4" w:space="0" w:color="auto"/>
              <w:right w:val="single" w:sz="4" w:space="0" w:color="auto"/>
            </w:tcBorders>
            <w:shd w:val="clear" w:color="auto" w:fill="auto"/>
            <w:noWrap/>
            <w:vAlign w:val="bottom"/>
            <w:hideMark/>
          </w:tcPr>
          <w:p w:rsidR="0007441C" w:rsidRPr="008C73B1" w:rsidRDefault="0007441C" w:rsidP="005E16F3">
            <w:pPr>
              <w:spacing w:after="0" w:line="240" w:lineRule="auto"/>
              <w:jc w:val="center"/>
              <w:rPr>
                <w:rFonts w:ascii="Calibri" w:hAnsi="Calibri"/>
                <w:color w:val="000000"/>
              </w:rPr>
            </w:pPr>
            <w:r w:rsidRPr="008C73B1">
              <w:rPr>
                <w:rFonts w:ascii="Calibri" w:hAnsi="Calibri"/>
                <w:color w:val="000000"/>
              </w:rPr>
              <w:t>130</w:t>
            </w:r>
          </w:p>
        </w:tc>
        <w:tc>
          <w:tcPr>
            <w:tcW w:w="1660" w:type="dxa"/>
            <w:tcBorders>
              <w:top w:val="nil"/>
              <w:left w:val="nil"/>
              <w:bottom w:val="single" w:sz="4" w:space="0" w:color="auto"/>
              <w:right w:val="single" w:sz="4" w:space="0" w:color="auto"/>
            </w:tcBorders>
            <w:shd w:val="clear" w:color="auto" w:fill="auto"/>
            <w:noWrap/>
            <w:vAlign w:val="bottom"/>
            <w:hideMark/>
          </w:tcPr>
          <w:p w:rsidR="0007441C" w:rsidRPr="008C73B1" w:rsidRDefault="0007441C" w:rsidP="005E16F3">
            <w:pPr>
              <w:spacing w:after="0" w:line="240" w:lineRule="auto"/>
              <w:jc w:val="center"/>
              <w:rPr>
                <w:rFonts w:ascii="Calibri" w:hAnsi="Calibri"/>
                <w:color w:val="000000"/>
              </w:rPr>
            </w:pPr>
            <w:r w:rsidRPr="008C73B1">
              <w:rPr>
                <w:rFonts w:ascii="Calibri" w:hAnsi="Calibri"/>
                <w:color w:val="000000"/>
              </w:rPr>
              <w:t>1%</w:t>
            </w:r>
          </w:p>
        </w:tc>
        <w:tc>
          <w:tcPr>
            <w:tcW w:w="1120" w:type="dxa"/>
            <w:tcBorders>
              <w:top w:val="nil"/>
              <w:left w:val="nil"/>
              <w:bottom w:val="single" w:sz="4" w:space="0" w:color="auto"/>
              <w:right w:val="single" w:sz="4" w:space="0" w:color="auto"/>
            </w:tcBorders>
            <w:shd w:val="clear" w:color="auto" w:fill="auto"/>
            <w:noWrap/>
            <w:vAlign w:val="bottom"/>
            <w:hideMark/>
          </w:tcPr>
          <w:p w:rsidR="0007441C" w:rsidRPr="008C73B1" w:rsidRDefault="009E08B0" w:rsidP="005E16F3">
            <w:pPr>
              <w:spacing w:after="0" w:line="240" w:lineRule="auto"/>
              <w:jc w:val="center"/>
              <w:rPr>
                <w:rFonts w:ascii="Calibri" w:hAnsi="Calibri"/>
                <w:color w:val="000000"/>
              </w:rPr>
            </w:pPr>
            <w:r>
              <w:rPr>
                <w:rFonts w:ascii="Calibri" w:hAnsi="Calibri"/>
                <w:color w:val="000000"/>
              </w:rPr>
              <w:t>7</w:t>
            </w:r>
            <w:r w:rsidR="005407A4">
              <w:rPr>
                <w:rFonts w:ascii="Calibri" w:hAnsi="Calibri"/>
                <w:color w:val="000000"/>
              </w:rPr>
              <w:t>7%</w:t>
            </w:r>
          </w:p>
        </w:tc>
        <w:tc>
          <w:tcPr>
            <w:tcW w:w="1120" w:type="dxa"/>
            <w:tcBorders>
              <w:top w:val="nil"/>
              <w:left w:val="nil"/>
              <w:bottom w:val="single" w:sz="4" w:space="0" w:color="auto"/>
              <w:right w:val="single" w:sz="4" w:space="0" w:color="auto"/>
            </w:tcBorders>
            <w:shd w:val="clear" w:color="auto" w:fill="auto"/>
            <w:noWrap/>
            <w:vAlign w:val="bottom"/>
            <w:hideMark/>
          </w:tcPr>
          <w:p w:rsidR="0007441C" w:rsidRPr="008C73B1" w:rsidRDefault="0007441C" w:rsidP="005E16F3">
            <w:pPr>
              <w:spacing w:after="0" w:line="240" w:lineRule="auto"/>
              <w:jc w:val="center"/>
              <w:rPr>
                <w:rFonts w:ascii="Calibri" w:hAnsi="Calibri"/>
                <w:color w:val="000000"/>
              </w:rPr>
            </w:pPr>
            <w:r w:rsidRPr="008C73B1">
              <w:rPr>
                <w:rFonts w:ascii="Calibri" w:hAnsi="Calibri"/>
                <w:color w:val="000000"/>
              </w:rPr>
              <w:t>77%</w:t>
            </w:r>
          </w:p>
        </w:tc>
      </w:tr>
      <w:tr w:rsidR="0007441C" w:rsidRPr="008C73B1" w:rsidTr="005E16F3">
        <w:trPr>
          <w:trHeight w:val="300"/>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rsidR="0007441C" w:rsidRPr="008C73B1" w:rsidRDefault="0007441C" w:rsidP="005E16F3">
            <w:pPr>
              <w:spacing w:after="0" w:line="240" w:lineRule="auto"/>
              <w:jc w:val="right"/>
              <w:rPr>
                <w:rFonts w:ascii="Calibri" w:hAnsi="Calibri"/>
                <w:color w:val="000000"/>
              </w:rPr>
            </w:pPr>
            <w:r w:rsidRPr="008C73B1">
              <w:rPr>
                <w:rFonts w:ascii="Calibri" w:hAnsi="Calibri"/>
                <w:color w:val="000000"/>
              </w:rPr>
              <w:t>May 2012</w:t>
            </w:r>
          </w:p>
        </w:tc>
        <w:tc>
          <w:tcPr>
            <w:tcW w:w="1660" w:type="dxa"/>
            <w:tcBorders>
              <w:top w:val="nil"/>
              <w:left w:val="nil"/>
              <w:bottom w:val="single" w:sz="4" w:space="0" w:color="auto"/>
              <w:right w:val="single" w:sz="4" w:space="0" w:color="auto"/>
            </w:tcBorders>
            <w:shd w:val="clear" w:color="auto" w:fill="auto"/>
            <w:noWrap/>
            <w:vAlign w:val="bottom"/>
            <w:hideMark/>
          </w:tcPr>
          <w:p w:rsidR="0007441C" w:rsidRPr="008C73B1" w:rsidRDefault="0007441C" w:rsidP="005E16F3">
            <w:pPr>
              <w:spacing w:after="0" w:line="240" w:lineRule="auto"/>
              <w:jc w:val="center"/>
              <w:rPr>
                <w:rFonts w:ascii="Calibri" w:hAnsi="Calibri"/>
                <w:color w:val="000000"/>
              </w:rPr>
            </w:pPr>
            <w:r w:rsidRPr="008C73B1">
              <w:rPr>
                <w:rFonts w:ascii="Calibri" w:hAnsi="Calibri"/>
                <w:color w:val="000000"/>
              </w:rPr>
              <w:t>132</w:t>
            </w:r>
          </w:p>
        </w:tc>
        <w:tc>
          <w:tcPr>
            <w:tcW w:w="1660" w:type="dxa"/>
            <w:tcBorders>
              <w:top w:val="nil"/>
              <w:left w:val="nil"/>
              <w:bottom w:val="single" w:sz="4" w:space="0" w:color="auto"/>
              <w:right w:val="single" w:sz="4" w:space="0" w:color="auto"/>
            </w:tcBorders>
            <w:shd w:val="clear" w:color="auto" w:fill="auto"/>
            <w:noWrap/>
            <w:vAlign w:val="bottom"/>
            <w:hideMark/>
          </w:tcPr>
          <w:p w:rsidR="0007441C" w:rsidRPr="008C73B1" w:rsidRDefault="0007441C" w:rsidP="005E16F3">
            <w:pPr>
              <w:spacing w:after="0" w:line="240" w:lineRule="auto"/>
              <w:jc w:val="center"/>
              <w:rPr>
                <w:rFonts w:ascii="Calibri" w:hAnsi="Calibri"/>
                <w:color w:val="000000"/>
              </w:rPr>
            </w:pPr>
            <w:r w:rsidRPr="008C73B1">
              <w:rPr>
                <w:rFonts w:ascii="Calibri" w:hAnsi="Calibri"/>
                <w:color w:val="000000"/>
              </w:rPr>
              <w:t>1%</w:t>
            </w:r>
          </w:p>
        </w:tc>
        <w:tc>
          <w:tcPr>
            <w:tcW w:w="1120" w:type="dxa"/>
            <w:tcBorders>
              <w:top w:val="nil"/>
              <w:left w:val="nil"/>
              <w:bottom w:val="single" w:sz="4" w:space="0" w:color="auto"/>
              <w:right w:val="single" w:sz="4" w:space="0" w:color="auto"/>
            </w:tcBorders>
            <w:shd w:val="clear" w:color="auto" w:fill="auto"/>
            <w:noWrap/>
            <w:vAlign w:val="bottom"/>
            <w:hideMark/>
          </w:tcPr>
          <w:p w:rsidR="0007441C" w:rsidRPr="008C73B1" w:rsidRDefault="005407A4" w:rsidP="005E16F3">
            <w:pPr>
              <w:spacing w:after="0" w:line="240" w:lineRule="auto"/>
              <w:jc w:val="center"/>
              <w:rPr>
                <w:rFonts w:ascii="Calibri" w:hAnsi="Calibri"/>
                <w:color w:val="000000"/>
              </w:rPr>
            </w:pPr>
            <w:r>
              <w:rPr>
                <w:rFonts w:ascii="Calibri" w:hAnsi="Calibri"/>
                <w:color w:val="000000"/>
              </w:rPr>
              <w:t>80%</w:t>
            </w:r>
          </w:p>
        </w:tc>
        <w:tc>
          <w:tcPr>
            <w:tcW w:w="1120" w:type="dxa"/>
            <w:tcBorders>
              <w:top w:val="nil"/>
              <w:left w:val="nil"/>
              <w:bottom w:val="single" w:sz="4" w:space="0" w:color="auto"/>
              <w:right w:val="single" w:sz="4" w:space="0" w:color="auto"/>
            </w:tcBorders>
            <w:shd w:val="clear" w:color="auto" w:fill="auto"/>
            <w:noWrap/>
            <w:vAlign w:val="bottom"/>
            <w:hideMark/>
          </w:tcPr>
          <w:p w:rsidR="0007441C" w:rsidRPr="008C73B1" w:rsidRDefault="0007441C" w:rsidP="005E16F3">
            <w:pPr>
              <w:spacing w:after="0" w:line="240" w:lineRule="auto"/>
              <w:jc w:val="center"/>
              <w:rPr>
                <w:rFonts w:ascii="Calibri" w:hAnsi="Calibri"/>
                <w:color w:val="000000"/>
              </w:rPr>
            </w:pPr>
            <w:r w:rsidRPr="008C73B1">
              <w:rPr>
                <w:rFonts w:ascii="Calibri" w:hAnsi="Calibri"/>
                <w:color w:val="000000"/>
              </w:rPr>
              <w:t>80%</w:t>
            </w:r>
          </w:p>
        </w:tc>
      </w:tr>
      <w:tr w:rsidR="0007441C" w:rsidRPr="008C73B1" w:rsidTr="005E16F3">
        <w:trPr>
          <w:trHeight w:val="300"/>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rsidR="0007441C" w:rsidRPr="008C73B1" w:rsidRDefault="0007441C" w:rsidP="005E16F3">
            <w:pPr>
              <w:spacing w:after="0" w:line="240" w:lineRule="auto"/>
              <w:jc w:val="right"/>
              <w:rPr>
                <w:rFonts w:ascii="Calibri" w:hAnsi="Calibri"/>
                <w:color w:val="000000"/>
              </w:rPr>
            </w:pPr>
            <w:r w:rsidRPr="008C73B1">
              <w:rPr>
                <w:rFonts w:ascii="Calibri" w:hAnsi="Calibri"/>
                <w:color w:val="000000"/>
              </w:rPr>
              <w:t>June 2012</w:t>
            </w:r>
          </w:p>
        </w:tc>
        <w:tc>
          <w:tcPr>
            <w:tcW w:w="1660" w:type="dxa"/>
            <w:tcBorders>
              <w:top w:val="nil"/>
              <w:left w:val="nil"/>
              <w:bottom w:val="single" w:sz="4" w:space="0" w:color="auto"/>
              <w:right w:val="single" w:sz="4" w:space="0" w:color="auto"/>
            </w:tcBorders>
            <w:shd w:val="clear" w:color="auto" w:fill="auto"/>
            <w:noWrap/>
            <w:vAlign w:val="bottom"/>
            <w:hideMark/>
          </w:tcPr>
          <w:p w:rsidR="0007441C" w:rsidRPr="008C73B1" w:rsidRDefault="0007441C" w:rsidP="005E16F3">
            <w:pPr>
              <w:spacing w:after="0" w:line="240" w:lineRule="auto"/>
              <w:jc w:val="center"/>
              <w:rPr>
                <w:rFonts w:ascii="Calibri" w:hAnsi="Calibri"/>
                <w:color w:val="000000"/>
              </w:rPr>
            </w:pPr>
            <w:r w:rsidRPr="008C73B1">
              <w:rPr>
                <w:rFonts w:ascii="Calibri" w:hAnsi="Calibri"/>
                <w:color w:val="000000"/>
              </w:rPr>
              <w:t>170</w:t>
            </w:r>
          </w:p>
        </w:tc>
        <w:tc>
          <w:tcPr>
            <w:tcW w:w="1660" w:type="dxa"/>
            <w:tcBorders>
              <w:top w:val="nil"/>
              <w:left w:val="nil"/>
              <w:bottom w:val="single" w:sz="4" w:space="0" w:color="auto"/>
              <w:right w:val="single" w:sz="4" w:space="0" w:color="auto"/>
            </w:tcBorders>
            <w:shd w:val="clear" w:color="auto" w:fill="auto"/>
            <w:noWrap/>
            <w:vAlign w:val="bottom"/>
            <w:hideMark/>
          </w:tcPr>
          <w:p w:rsidR="0007441C" w:rsidRPr="008C73B1" w:rsidRDefault="0007441C" w:rsidP="005E16F3">
            <w:pPr>
              <w:spacing w:after="0" w:line="240" w:lineRule="auto"/>
              <w:jc w:val="center"/>
              <w:rPr>
                <w:rFonts w:ascii="Calibri" w:hAnsi="Calibri"/>
                <w:color w:val="000000"/>
              </w:rPr>
            </w:pPr>
            <w:r w:rsidRPr="008C73B1">
              <w:rPr>
                <w:rFonts w:ascii="Calibri" w:hAnsi="Calibri"/>
                <w:color w:val="000000"/>
              </w:rPr>
              <w:t>2%</w:t>
            </w:r>
          </w:p>
        </w:tc>
        <w:tc>
          <w:tcPr>
            <w:tcW w:w="1120" w:type="dxa"/>
            <w:tcBorders>
              <w:top w:val="nil"/>
              <w:left w:val="nil"/>
              <w:bottom w:val="single" w:sz="4" w:space="0" w:color="auto"/>
              <w:right w:val="single" w:sz="4" w:space="0" w:color="auto"/>
            </w:tcBorders>
            <w:shd w:val="clear" w:color="auto" w:fill="auto"/>
            <w:noWrap/>
            <w:vAlign w:val="bottom"/>
            <w:hideMark/>
          </w:tcPr>
          <w:p w:rsidR="0007441C" w:rsidRPr="008C73B1" w:rsidRDefault="005407A4" w:rsidP="005E16F3">
            <w:pPr>
              <w:spacing w:after="0" w:line="240" w:lineRule="auto"/>
              <w:jc w:val="center"/>
              <w:rPr>
                <w:rFonts w:ascii="Calibri" w:hAnsi="Calibri"/>
                <w:color w:val="000000"/>
              </w:rPr>
            </w:pPr>
            <w:r>
              <w:rPr>
                <w:rFonts w:ascii="Calibri" w:hAnsi="Calibri"/>
                <w:color w:val="000000"/>
              </w:rPr>
              <w:t>81%</w:t>
            </w:r>
          </w:p>
        </w:tc>
        <w:tc>
          <w:tcPr>
            <w:tcW w:w="1120" w:type="dxa"/>
            <w:tcBorders>
              <w:top w:val="nil"/>
              <w:left w:val="nil"/>
              <w:bottom w:val="single" w:sz="4" w:space="0" w:color="auto"/>
              <w:right w:val="single" w:sz="4" w:space="0" w:color="auto"/>
            </w:tcBorders>
            <w:shd w:val="clear" w:color="auto" w:fill="auto"/>
            <w:noWrap/>
            <w:vAlign w:val="bottom"/>
            <w:hideMark/>
          </w:tcPr>
          <w:p w:rsidR="0007441C" w:rsidRPr="008C73B1" w:rsidRDefault="0007441C" w:rsidP="005E16F3">
            <w:pPr>
              <w:spacing w:after="0" w:line="240" w:lineRule="auto"/>
              <w:jc w:val="center"/>
              <w:rPr>
                <w:rFonts w:ascii="Calibri" w:hAnsi="Calibri"/>
                <w:color w:val="000000"/>
              </w:rPr>
            </w:pPr>
            <w:r w:rsidRPr="008C73B1">
              <w:rPr>
                <w:rFonts w:ascii="Calibri" w:hAnsi="Calibri"/>
                <w:color w:val="000000"/>
              </w:rPr>
              <w:t>81%</w:t>
            </w:r>
          </w:p>
        </w:tc>
      </w:tr>
      <w:tr w:rsidR="0007441C" w:rsidRPr="008C73B1" w:rsidTr="005E16F3">
        <w:trPr>
          <w:trHeight w:val="300"/>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rsidR="0007441C" w:rsidRPr="008C73B1" w:rsidRDefault="0007441C" w:rsidP="005E16F3">
            <w:pPr>
              <w:spacing w:after="0" w:line="240" w:lineRule="auto"/>
              <w:jc w:val="right"/>
              <w:rPr>
                <w:rFonts w:ascii="Calibri" w:hAnsi="Calibri"/>
                <w:color w:val="000000"/>
              </w:rPr>
            </w:pPr>
            <w:r w:rsidRPr="008C73B1">
              <w:rPr>
                <w:rFonts w:ascii="Calibri" w:hAnsi="Calibri"/>
                <w:color w:val="000000"/>
              </w:rPr>
              <w:t>July 2012</w:t>
            </w:r>
          </w:p>
        </w:tc>
        <w:tc>
          <w:tcPr>
            <w:tcW w:w="1660" w:type="dxa"/>
            <w:tcBorders>
              <w:top w:val="nil"/>
              <w:left w:val="nil"/>
              <w:bottom w:val="single" w:sz="4" w:space="0" w:color="auto"/>
              <w:right w:val="single" w:sz="4" w:space="0" w:color="auto"/>
            </w:tcBorders>
            <w:shd w:val="clear" w:color="auto" w:fill="auto"/>
            <w:noWrap/>
            <w:vAlign w:val="bottom"/>
            <w:hideMark/>
          </w:tcPr>
          <w:p w:rsidR="0007441C" w:rsidRPr="008C73B1" w:rsidRDefault="0007441C" w:rsidP="005E16F3">
            <w:pPr>
              <w:spacing w:after="0" w:line="240" w:lineRule="auto"/>
              <w:jc w:val="center"/>
              <w:rPr>
                <w:rFonts w:ascii="Calibri" w:hAnsi="Calibri"/>
                <w:color w:val="000000"/>
              </w:rPr>
            </w:pPr>
            <w:r w:rsidRPr="008C73B1">
              <w:rPr>
                <w:rFonts w:ascii="Calibri" w:hAnsi="Calibri"/>
                <w:color w:val="000000"/>
              </w:rPr>
              <w:t>209</w:t>
            </w:r>
          </w:p>
        </w:tc>
        <w:tc>
          <w:tcPr>
            <w:tcW w:w="1660" w:type="dxa"/>
            <w:tcBorders>
              <w:top w:val="nil"/>
              <w:left w:val="nil"/>
              <w:bottom w:val="single" w:sz="4" w:space="0" w:color="auto"/>
              <w:right w:val="single" w:sz="4" w:space="0" w:color="auto"/>
            </w:tcBorders>
            <w:shd w:val="clear" w:color="auto" w:fill="auto"/>
            <w:noWrap/>
            <w:vAlign w:val="bottom"/>
            <w:hideMark/>
          </w:tcPr>
          <w:p w:rsidR="0007441C" w:rsidRPr="008C73B1" w:rsidRDefault="0007441C" w:rsidP="005E16F3">
            <w:pPr>
              <w:spacing w:after="0" w:line="240" w:lineRule="auto"/>
              <w:jc w:val="center"/>
              <w:rPr>
                <w:rFonts w:ascii="Calibri" w:hAnsi="Calibri"/>
                <w:color w:val="000000"/>
              </w:rPr>
            </w:pPr>
            <w:r w:rsidRPr="008C73B1">
              <w:rPr>
                <w:rFonts w:ascii="Calibri" w:hAnsi="Calibri"/>
                <w:color w:val="000000"/>
              </w:rPr>
              <w:t>2%</w:t>
            </w:r>
          </w:p>
        </w:tc>
        <w:tc>
          <w:tcPr>
            <w:tcW w:w="1120" w:type="dxa"/>
            <w:tcBorders>
              <w:top w:val="nil"/>
              <w:left w:val="nil"/>
              <w:bottom w:val="single" w:sz="4" w:space="0" w:color="auto"/>
              <w:right w:val="single" w:sz="4" w:space="0" w:color="auto"/>
            </w:tcBorders>
            <w:shd w:val="clear" w:color="auto" w:fill="auto"/>
            <w:noWrap/>
            <w:vAlign w:val="bottom"/>
            <w:hideMark/>
          </w:tcPr>
          <w:p w:rsidR="0007441C" w:rsidRPr="008C73B1" w:rsidRDefault="00C776C8" w:rsidP="005E16F3">
            <w:pPr>
              <w:spacing w:after="0" w:line="240" w:lineRule="auto"/>
              <w:jc w:val="center"/>
              <w:rPr>
                <w:rFonts w:ascii="Calibri" w:hAnsi="Calibri"/>
                <w:color w:val="000000"/>
              </w:rPr>
            </w:pPr>
            <w:r>
              <w:rPr>
                <w:rFonts w:ascii="Calibri" w:hAnsi="Calibri"/>
                <w:color w:val="000000"/>
              </w:rPr>
              <w:t>74</w:t>
            </w:r>
            <w:r w:rsidR="005407A4">
              <w:rPr>
                <w:rFonts w:ascii="Calibri" w:hAnsi="Calibri"/>
                <w:color w:val="000000"/>
              </w:rPr>
              <w:t>%</w:t>
            </w:r>
          </w:p>
        </w:tc>
        <w:tc>
          <w:tcPr>
            <w:tcW w:w="1120" w:type="dxa"/>
            <w:tcBorders>
              <w:top w:val="nil"/>
              <w:left w:val="nil"/>
              <w:bottom w:val="single" w:sz="4" w:space="0" w:color="auto"/>
              <w:right w:val="single" w:sz="4" w:space="0" w:color="auto"/>
            </w:tcBorders>
            <w:shd w:val="clear" w:color="auto" w:fill="auto"/>
            <w:noWrap/>
            <w:vAlign w:val="bottom"/>
            <w:hideMark/>
          </w:tcPr>
          <w:p w:rsidR="0007441C" w:rsidRPr="008C73B1" w:rsidRDefault="0007441C" w:rsidP="005E16F3">
            <w:pPr>
              <w:spacing w:after="0" w:line="240" w:lineRule="auto"/>
              <w:jc w:val="center"/>
              <w:rPr>
                <w:rFonts w:ascii="Calibri" w:hAnsi="Calibri"/>
                <w:color w:val="000000"/>
              </w:rPr>
            </w:pPr>
            <w:r w:rsidRPr="008C73B1">
              <w:rPr>
                <w:rFonts w:ascii="Calibri" w:hAnsi="Calibri"/>
                <w:color w:val="000000"/>
              </w:rPr>
              <w:t>74%</w:t>
            </w:r>
          </w:p>
        </w:tc>
      </w:tr>
      <w:tr w:rsidR="0007441C" w:rsidRPr="008C73B1" w:rsidTr="005E16F3">
        <w:trPr>
          <w:trHeight w:val="300"/>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rsidR="0007441C" w:rsidRPr="008C73B1" w:rsidRDefault="0007441C" w:rsidP="005E16F3">
            <w:pPr>
              <w:spacing w:after="0" w:line="240" w:lineRule="auto"/>
              <w:jc w:val="right"/>
              <w:rPr>
                <w:rFonts w:ascii="Calibri" w:hAnsi="Calibri"/>
                <w:color w:val="000000"/>
              </w:rPr>
            </w:pPr>
            <w:r w:rsidRPr="008C73B1">
              <w:rPr>
                <w:rFonts w:ascii="Calibri" w:hAnsi="Calibri"/>
                <w:color w:val="000000"/>
              </w:rPr>
              <w:t>August 2012</w:t>
            </w:r>
          </w:p>
        </w:tc>
        <w:tc>
          <w:tcPr>
            <w:tcW w:w="1660" w:type="dxa"/>
            <w:tcBorders>
              <w:top w:val="nil"/>
              <w:left w:val="nil"/>
              <w:bottom w:val="single" w:sz="4" w:space="0" w:color="auto"/>
              <w:right w:val="single" w:sz="4" w:space="0" w:color="auto"/>
            </w:tcBorders>
            <w:shd w:val="clear" w:color="auto" w:fill="auto"/>
            <w:noWrap/>
            <w:vAlign w:val="bottom"/>
            <w:hideMark/>
          </w:tcPr>
          <w:p w:rsidR="0007441C" w:rsidRPr="008C73B1" w:rsidRDefault="0007441C" w:rsidP="005E16F3">
            <w:pPr>
              <w:spacing w:after="0" w:line="240" w:lineRule="auto"/>
              <w:jc w:val="center"/>
              <w:rPr>
                <w:rFonts w:ascii="Calibri" w:hAnsi="Calibri"/>
                <w:color w:val="000000"/>
              </w:rPr>
            </w:pPr>
            <w:r w:rsidRPr="008C73B1">
              <w:rPr>
                <w:rFonts w:ascii="Calibri" w:hAnsi="Calibri"/>
                <w:color w:val="000000"/>
              </w:rPr>
              <w:t>305</w:t>
            </w:r>
          </w:p>
        </w:tc>
        <w:tc>
          <w:tcPr>
            <w:tcW w:w="1660" w:type="dxa"/>
            <w:tcBorders>
              <w:top w:val="nil"/>
              <w:left w:val="nil"/>
              <w:bottom w:val="single" w:sz="4" w:space="0" w:color="auto"/>
              <w:right w:val="single" w:sz="4" w:space="0" w:color="auto"/>
            </w:tcBorders>
            <w:shd w:val="clear" w:color="auto" w:fill="auto"/>
            <w:noWrap/>
            <w:vAlign w:val="bottom"/>
            <w:hideMark/>
          </w:tcPr>
          <w:p w:rsidR="0007441C" w:rsidRPr="008C73B1" w:rsidRDefault="0007441C" w:rsidP="005E16F3">
            <w:pPr>
              <w:spacing w:after="0" w:line="240" w:lineRule="auto"/>
              <w:jc w:val="center"/>
              <w:rPr>
                <w:rFonts w:ascii="Calibri" w:hAnsi="Calibri"/>
                <w:color w:val="000000"/>
              </w:rPr>
            </w:pPr>
            <w:r w:rsidRPr="008C73B1">
              <w:rPr>
                <w:rFonts w:ascii="Calibri" w:hAnsi="Calibri"/>
                <w:color w:val="000000"/>
              </w:rPr>
              <w:t>3%</w:t>
            </w:r>
          </w:p>
        </w:tc>
        <w:tc>
          <w:tcPr>
            <w:tcW w:w="1120" w:type="dxa"/>
            <w:tcBorders>
              <w:top w:val="nil"/>
              <w:left w:val="nil"/>
              <w:bottom w:val="single" w:sz="4" w:space="0" w:color="auto"/>
              <w:right w:val="single" w:sz="4" w:space="0" w:color="auto"/>
            </w:tcBorders>
            <w:shd w:val="clear" w:color="auto" w:fill="auto"/>
            <w:noWrap/>
            <w:vAlign w:val="bottom"/>
            <w:hideMark/>
          </w:tcPr>
          <w:p w:rsidR="0007441C" w:rsidRPr="008C73B1" w:rsidRDefault="005407A4" w:rsidP="005E16F3">
            <w:pPr>
              <w:spacing w:after="0" w:line="240" w:lineRule="auto"/>
              <w:jc w:val="center"/>
              <w:rPr>
                <w:rFonts w:ascii="Calibri" w:hAnsi="Calibri"/>
                <w:color w:val="000000"/>
              </w:rPr>
            </w:pPr>
            <w:r>
              <w:rPr>
                <w:rFonts w:ascii="Calibri" w:hAnsi="Calibri"/>
                <w:color w:val="000000"/>
              </w:rPr>
              <w:t>77%</w:t>
            </w:r>
          </w:p>
        </w:tc>
        <w:tc>
          <w:tcPr>
            <w:tcW w:w="1120" w:type="dxa"/>
            <w:tcBorders>
              <w:top w:val="nil"/>
              <w:left w:val="nil"/>
              <w:bottom w:val="single" w:sz="4" w:space="0" w:color="auto"/>
              <w:right w:val="single" w:sz="4" w:space="0" w:color="auto"/>
            </w:tcBorders>
            <w:shd w:val="clear" w:color="auto" w:fill="auto"/>
            <w:noWrap/>
            <w:vAlign w:val="bottom"/>
            <w:hideMark/>
          </w:tcPr>
          <w:p w:rsidR="0007441C" w:rsidRPr="008C73B1" w:rsidRDefault="0007441C" w:rsidP="005E16F3">
            <w:pPr>
              <w:spacing w:after="0" w:line="240" w:lineRule="auto"/>
              <w:jc w:val="center"/>
              <w:rPr>
                <w:rFonts w:ascii="Calibri" w:hAnsi="Calibri"/>
                <w:color w:val="000000"/>
              </w:rPr>
            </w:pPr>
            <w:r w:rsidRPr="008C73B1">
              <w:rPr>
                <w:rFonts w:ascii="Calibri" w:hAnsi="Calibri"/>
                <w:color w:val="000000"/>
              </w:rPr>
              <w:t>74%</w:t>
            </w:r>
          </w:p>
        </w:tc>
      </w:tr>
      <w:tr w:rsidR="0007441C" w:rsidRPr="008C73B1" w:rsidTr="005E16F3">
        <w:trPr>
          <w:trHeight w:val="300"/>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rsidR="0007441C" w:rsidRPr="008C73B1" w:rsidRDefault="0007441C" w:rsidP="005E16F3">
            <w:pPr>
              <w:spacing w:after="0" w:line="240" w:lineRule="auto"/>
              <w:jc w:val="right"/>
              <w:rPr>
                <w:rFonts w:ascii="Calibri" w:hAnsi="Calibri"/>
                <w:color w:val="000000"/>
              </w:rPr>
            </w:pPr>
            <w:r w:rsidRPr="008C73B1">
              <w:rPr>
                <w:rFonts w:ascii="Calibri" w:hAnsi="Calibri"/>
                <w:color w:val="000000"/>
              </w:rPr>
              <w:t>September 2012</w:t>
            </w:r>
          </w:p>
        </w:tc>
        <w:tc>
          <w:tcPr>
            <w:tcW w:w="1660" w:type="dxa"/>
            <w:tcBorders>
              <w:top w:val="nil"/>
              <w:left w:val="nil"/>
              <w:bottom w:val="single" w:sz="4" w:space="0" w:color="auto"/>
              <w:right w:val="single" w:sz="4" w:space="0" w:color="auto"/>
            </w:tcBorders>
            <w:shd w:val="clear" w:color="auto" w:fill="auto"/>
            <w:noWrap/>
            <w:vAlign w:val="bottom"/>
            <w:hideMark/>
          </w:tcPr>
          <w:p w:rsidR="0007441C" w:rsidRPr="008C73B1" w:rsidRDefault="0007441C" w:rsidP="005E16F3">
            <w:pPr>
              <w:spacing w:after="0" w:line="240" w:lineRule="auto"/>
              <w:jc w:val="center"/>
              <w:rPr>
                <w:rFonts w:ascii="Calibri" w:hAnsi="Calibri"/>
                <w:color w:val="000000"/>
              </w:rPr>
            </w:pPr>
            <w:r w:rsidRPr="008C73B1">
              <w:rPr>
                <w:rFonts w:ascii="Calibri" w:hAnsi="Calibri"/>
                <w:color w:val="000000"/>
              </w:rPr>
              <w:t>145</w:t>
            </w:r>
          </w:p>
        </w:tc>
        <w:tc>
          <w:tcPr>
            <w:tcW w:w="1660" w:type="dxa"/>
            <w:tcBorders>
              <w:top w:val="nil"/>
              <w:left w:val="nil"/>
              <w:bottom w:val="single" w:sz="4" w:space="0" w:color="auto"/>
              <w:right w:val="single" w:sz="4" w:space="0" w:color="auto"/>
            </w:tcBorders>
            <w:shd w:val="clear" w:color="auto" w:fill="auto"/>
            <w:noWrap/>
            <w:vAlign w:val="bottom"/>
            <w:hideMark/>
          </w:tcPr>
          <w:p w:rsidR="0007441C" w:rsidRPr="008C73B1" w:rsidRDefault="0007441C" w:rsidP="005E16F3">
            <w:pPr>
              <w:spacing w:after="0" w:line="240" w:lineRule="auto"/>
              <w:jc w:val="center"/>
              <w:rPr>
                <w:rFonts w:ascii="Calibri" w:hAnsi="Calibri"/>
                <w:color w:val="000000"/>
              </w:rPr>
            </w:pPr>
            <w:r w:rsidRPr="008C73B1">
              <w:rPr>
                <w:rFonts w:ascii="Calibri" w:hAnsi="Calibri"/>
                <w:color w:val="000000"/>
              </w:rPr>
              <w:t>2%</w:t>
            </w:r>
          </w:p>
        </w:tc>
        <w:tc>
          <w:tcPr>
            <w:tcW w:w="1120" w:type="dxa"/>
            <w:tcBorders>
              <w:top w:val="nil"/>
              <w:left w:val="nil"/>
              <w:bottom w:val="single" w:sz="4" w:space="0" w:color="auto"/>
              <w:right w:val="single" w:sz="4" w:space="0" w:color="auto"/>
            </w:tcBorders>
            <w:shd w:val="clear" w:color="auto" w:fill="auto"/>
            <w:noWrap/>
            <w:vAlign w:val="bottom"/>
            <w:hideMark/>
          </w:tcPr>
          <w:p w:rsidR="0007441C" w:rsidRPr="008C73B1" w:rsidRDefault="007E0B87" w:rsidP="005E16F3">
            <w:pPr>
              <w:spacing w:after="0" w:line="240" w:lineRule="auto"/>
              <w:jc w:val="center"/>
              <w:rPr>
                <w:rFonts w:ascii="Calibri" w:hAnsi="Calibri"/>
                <w:color w:val="000000"/>
              </w:rPr>
            </w:pPr>
            <w:r>
              <w:rPr>
                <w:rFonts w:ascii="Calibri" w:hAnsi="Calibri"/>
                <w:color w:val="000000"/>
              </w:rPr>
              <w:t>77</w:t>
            </w:r>
            <w:r w:rsidR="0007441C" w:rsidRPr="008C73B1">
              <w:rPr>
                <w:rFonts w:ascii="Calibri" w:hAnsi="Calibri"/>
                <w:color w:val="000000"/>
              </w:rPr>
              <w:t>%</w:t>
            </w:r>
          </w:p>
        </w:tc>
        <w:tc>
          <w:tcPr>
            <w:tcW w:w="1120" w:type="dxa"/>
            <w:tcBorders>
              <w:top w:val="nil"/>
              <w:left w:val="nil"/>
              <w:bottom w:val="single" w:sz="4" w:space="0" w:color="auto"/>
              <w:right w:val="single" w:sz="4" w:space="0" w:color="auto"/>
            </w:tcBorders>
            <w:shd w:val="clear" w:color="auto" w:fill="auto"/>
            <w:noWrap/>
            <w:vAlign w:val="bottom"/>
            <w:hideMark/>
          </w:tcPr>
          <w:p w:rsidR="0007441C" w:rsidRPr="008C73B1" w:rsidRDefault="0007441C" w:rsidP="005E16F3">
            <w:pPr>
              <w:spacing w:after="0" w:line="240" w:lineRule="auto"/>
              <w:jc w:val="center"/>
              <w:rPr>
                <w:rFonts w:ascii="Calibri" w:hAnsi="Calibri"/>
                <w:color w:val="000000"/>
              </w:rPr>
            </w:pPr>
            <w:r w:rsidRPr="008C73B1">
              <w:rPr>
                <w:rFonts w:ascii="Calibri" w:hAnsi="Calibri"/>
                <w:color w:val="000000"/>
              </w:rPr>
              <w:t>68%</w:t>
            </w:r>
          </w:p>
        </w:tc>
      </w:tr>
      <w:tr w:rsidR="0007441C" w:rsidRPr="008C73B1" w:rsidTr="005E16F3">
        <w:trPr>
          <w:trHeight w:val="300"/>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rsidR="0007441C" w:rsidRPr="008C73B1" w:rsidRDefault="0007441C" w:rsidP="005E16F3">
            <w:pPr>
              <w:spacing w:after="0" w:line="240" w:lineRule="auto"/>
              <w:jc w:val="right"/>
              <w:rPr>
                <w:rFonts w:ascii="Calibri" w:hAnsi="Calibri"/>
                <w:color w:val="000000"/>
              </w:rPr>
            </w:pPr>
            <w:r w:rsidRPr="008C73B1">
              <w:rPr>
                <w:rFonts w:ascii="Calibri" w:hAnsi="Calibri"/>
                <w:color w:val="000000"/>
              </w:rPr>
              <w:t>October 2012</w:t>
            </w:r>
          </w:p>
        </w:tc>
        <w:tc>
          <w:tcPr>
            <w:tcW w:w="1660" w:type="dxa"/>
            <w:tcBorders>
              <w:top w:val="nil"/>
              <w:left w:val="nil"/>
              <w:bottom w:val="single" w:sz="4" w:space="0" w:color="auto"/>
              <w:right w:val="single" w:sz="4" w:space="0" w:color="auto"/>
            </w:tcBorders>
            <w:shd w:val="clear" w:color="auto" w:fill="auto"/>
            <w:noWrap/>
            <w:vAlign w:val="bottom"/>
            <w:hideMark/>
          </w:tcPr>
          <w:p w:rsidR="0007441C" w:rsidRPr="008C73B1" w:rsidRDefault="0007441C" w:rsidP="005E16F3">
            <w:pPr>
              <w:spacing w:after="0" w:line="240" w:lineRule="auto"/>
              <w:jc w:val="center"/>
              <w:rPr>
                <w:rFonts w:ascii="Calibri" w:hAnsi="Calibri"/>
                <w:color w:val="000000"/>
              </w:rPr>
            </w:pPr>
            <w:r w:rsidRPr="008C73B1">
              <w:rPr>
                <w:rFonts w:ascii="Calibri" w:hAnsi="Calibri"/>
                <w:color w:val="000000"/>
              </w:rPr>
              <w:t>202</w:t>
            </w:r>
          </w:p>
        </w:tc>
        <w:tc>
          <w:tcPr>
            <w:tcW w:w="1660" w:type="dxa"/>
            <w:tcBorders>
              <w:top w:val="nil"/>
              <w:left w:val="nil"/>
              <w:bottom w:val="single" w:sz="4" w:space="0" w:color="auto"/>
              <w:right w:val="single" w:sz="4" w:space="0" w:color="auto"/>
            </w:tcBorders>
            <w:shd w:val="clear" w:color="auto" w:fill="auto"/>
            <w:noWrap/>
            <w:vAlign w:val="bottom"/>
            <w:hideMark/>
          </w:tcPr>
          <w:p w:rsidR="0007441C" w:rsidRPr="008C73B1" w:rsidRDefault="0007441C" w:rsidP="005E16F3">
            <w:pPr>
              <w:spacing w:after="0" w:line="240" w:lineRule="auto"/>
              <w:jc w:val="center"/>
              <w:rPr>
                <w:rFonts w:ascii="Calibri" w:hAnsi="Calibri"/>
                <w:color w:val="000000"/>
              </w:rPr>
            </w:pPr>
            <w:r w:rsidRPr="008C73B1">
              <w:rPr>
                <w:rFonts w:ascii="Calibri" w:hAnsi="Calibri"/>
                <w:color w:val="000000"/>
              </w:rPr>
              <w:t>2%</w:t>
            </w:r>
          </w:p>
        </w:tc>
        <w:tc>
          <w:tcPr>
            <w:tcW w:w="1120" w:type="dxa"/>
            <w:tcBorders>
              <w:top w:val="nil"/>
              <w:left w:val="nil"/>
              <w:bottom w:val="single" w:sz="4" w:space="0" w:color="auto"/>
              <w:right w:val="single" w:sz="4" w:space="0" w:color="auto"/>
            </w:tcBorders>
            <w:shd w:val="clear" w:color="auto" w:fill="auto"/>
            <w:noWrap/>
            <w:vAlign w:val="bottom"/>
            <w:hideMark/>
          </w:tcPr>
          <w:p w:rsidR="0007441C" w:rsidRPr="008C73B1" w:rsidRDefault="0007441C" w:rsidP="005E16F3">
            <w:pPr>
              <w:spacing w:after="0" w:line="240" w:lineRule="auto"/>
              <w:jc w:val="center"/>
              <w:rPr>
                <w:rFonts w:ascii="Calibri" w:hAnsi="Calibri"/>
                <w:color w:val="000000"/>
              </w:rPr>
            </w:pPr>
            <w:r w:rsidRPr="008C73B1">
              <w:rPr>
                <w:rFonts w:ascii="Calibri" w:hAnsi="Calibri"/>
                <w:color w:val="000000"/>
              </w:rPr>
              <w:t>80%</w:t>
            </w:r>
          </w:p>
        </w:tc>
        <w:tc>
          <w:tcPr>
            <w:tcW w:w="1120" w:type="dxa"/>
            <w:tcBorders>
              <w:top w:val="nil"/>
              <w:left w:val="nil"/>
              <w:bottom w:val="single" w:sz="4" w:space="0" w:color="auto"/>
              <w:right w:val="single" w:sz="4" w:space="0" w:color="auto"/>
            </w:tcBorders>
            <w:shd w:val="clear" w:color="auto" w:fill="auto"/>
            <w:noWrap/>
            <w:vAlign w:val="bottom"/>
            <w:hideMark/>
          </w:tcPr>
          <w:p w:rsidR="0007441C" w:rsidRPr="008C73B1" w:rsidRDefault="0007441C" w:rsidP="005E16F3">
            <w:pPr>
              <w:spacing w:after="0" w:line="240" w:lineRule="auto"/>
              <w:jc w:val="center"/>
              <w:rPr>
                <w:rFonts w:ascii="Calibri" w:hAnsi="Calibri"/>
                <w:color w:val="000000"/>
              </w:rPr>
            </w:pPr>
            <w:r w:rsidRPr="008C73B1">
              <w:rPr>
                <w:rFonts w:ascii="Calibri" w:hAnsi="Calibri"/>
                <w:color w:val="000000"/>
              </w:rPr>
              <w:t>70%</w:t>
            </w:r>
          </w:p>
        </w:tc>
      </w:tr>
      <w:tr w:rsidR="0007441C" w:rsidRPr="008C73B1" w:rsidTr="005E16F3">
        <w:trPr>
          <w:trHeight w:val="300"/>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rsidR="0007441C" w:rsidRPr="008C73B1" w:rsidRDefault="0007441C" w:rsidP="005E16F3">
            <w:pPr>
              <w:spacing w:after="0" w:line="240" w:lineRule="auto"/>
              <w:jc w:val="right"/>
              <w:rPr>
                <w:rFonts w:ascii="Calibri" w:hAnsi="Calibri"/>
                <w:color w:val="000000"/>
              </w:rPr>
            </w:pPr>
            <w:r w:rsidRPr="008C73B1">
              <w:rPr>
                <w:rFonts w:ascii="Calibri" w:hAnsi="Calibri"/>
                <w:color w:val="000000"/>
              </w:rPr>
              <w:t>November 2012</w:t>
            </w:r>
          </w:p>
        </w:tc>
        <w:tc>
          <w:tcPr>
            <w:tcW w:w="1660" w:type="dxa"/>
            <w:tcBorders>
              <w:top w:val="nil"/>
              <w:left w:val="nil"/>
              <w:bottom w:val="single" w:sz="4" w:space="0" w:color="auto"/>
              <w:right w:val="single" w:sz="4" w:space="0" w:color="auto"/>
            </w:tcBorders>
            <w:shd w:val="clear" w:color="auto" w:fill="auto"/>
            <w:noWrap/>
            <w:vAlign w:val="bottom"/>
            <w:hideMark/>
          </w:tcPr>
          <w:p w:rsidR="0007441C" w:rsidRPr="008C73B1" w:rsidRDefault="0007441C" w:rsidP="005E16F3">
            <w:pPr>
              <w:spacing w:after="0" w:line="240" w:lineRule="auto"/>
              <w:jc w:val="center"/>
              <w:rPr>
                <w:rFonts w:ascii="Calibri" w:hAnsi="Calibri"/>
                <w:color w:val="000000"/>
              </w:rPr>
            </w:pPr>
            <w:r w:rsidRPr="008C73B1">
              <w:rPr>
                <w:rFonts w:ascii="Calibri" w:hAnsi="Calibri"/>
                <w:color w:val="000000"/>
              </w:rPr>
              <w:t>238</w:t>
            </w:r>
          </w:p>
        </w:tc>
        <w:tc>
          <w:tcPr>
            <w:tcW w:w="1660" w:type="dxa"/>
            <w:tcBorders>
              <w:top w:val="nil"/>
              <w:left w:val="nil"/>
              <w:bottom w:val="single" w:sz="4" w:space="0" w:color="auto"/>
              <w:right w:val="single" w:sz="4" w:space="0" w:color="auto"/>
            </w:tcBorders>
            <w:shd w:val="clear" w:color="auto" w:fill="auto"/>
            <w:noWrap/>
            <w:vAlign w:val="bottom"/>
            <w:hideMark/>
          </w:tcPr>
          <w:p w:rsidR="0007441C" w:rsidRPr="008C73B1" w:rsidRDefault="0007441C" w:rsidP="005E16F3">
            <w:pPr>
              <w:spacing w:after="0" w:line="240" w:lineRule="auto"/>
              <w:jc w:val="center"/>
              <w:rPr>
                <w:rFonts w:ascii="Calibri" w:hAnsi="Calibri"/>
                <w:color w:val="000000"/>
              </w:rPr>
            </w:pPr>
            <w:r w:rsidRPr="008C73B1">
              <w:rPr>
                <w:rFonts w:ascii="Calibri" w:hAnsi="Calibri"/>
                <w:color w:val="000000"/>
              </w:rPr>
              <w:t>3%</w:t>
            </w:r>
          </w:p>
        </w:tc>
        <w:tc>
          <w:tcPr>
            <w:tcW w:w="1120" w:type="dxa"/>
            <w:tcBorders>
              <w:top w:val="nil"/>
              <w:left w:val="nil"/>
              <w:bottom w:val="single" w:sz="4" w:space="0" w:color="auto"/>
              <w:right w:val="single" w:sz="4" w:space="0" w:color="auto"/>
            </w:tcBorders>
            <w:shd w:val="clear" w:color="auto" w:fill="auto"/>
            <w:noWrap/>
            <w:vAlign w:val="bottom"/>
            <w:hideMark/>
          </w:tcPr>
          <w:p w:rsidR="0007441C" w:rsidRPr="008C73B1" w:rsidRDefault="0007441C" w:rsidP="005E16F3">
            <w:pPr>
              <w:spacing w:after="0" w:line="240" w:lineRule="auto"/>
              <w:jc w:val="center"/>
              <w:rPr>
                <w:rFonts w:ascii="Calibri" w:hAnsi="Calibri"/>
                <w:color w:val="000000"/>
              </w:rPr>
            </w:pPr>
            <w:r w:rsidRPr="008C73B1">
              <w:rPr>
                <w:rFonts w:ascii="Calibri" w:hAnsi="Calibri"/>
                <w:color w:val="000000"/>
              </w:rPr>
              <w:t>80%</w:t>
            </w:r>
          </w:p>
        </w:tc>
        <w:tc>
          <w:tcPr>
            <w:tcW w:w="1120" w:type="dxa"/>
            <w:tcBorders>
              <w:top w:val="nil"/>
              <w:left w:val="nil"/>
              <w:bottom w:val="single" w:sz="4" w:space="0" w:color="auto"/>
              <w:right w:val="single" w:sz="4" w:space="0" w:color="auto"/>
            </w:tcBorders>
            <w:shd w:val="clear" w:color="auto" w:fill="auto"/>
            <w:noWrap/>
            <w:vAlign w:val="bottom"/>
            <w:hideMark/>
          </w:tcPr>
          <w:p w:rsidR="0007441C" w:rsidRPr="008C73B1" w:rsidRDefault="0007441C" w:rsidP="005E16F3">
            <w:pPr>
              <w:spacing w:after="0" w:line="240" w:lineRule="auto"/>
              <w:jc w:val="center"/>
              <w:rPr>
                <w:rFonts w:ascii="Calibri" w:hAnsi="Calibri"/>
                <w:color w:val="000000"/>
              </w:rPr>
            </w:pPr>
            <w:r w:rsidRPr="008C73B1">
              <w:rPr>
                <w:rFonts w:ascii="Calibri" w:hAnsi="Calibri"/>
                <w:color w:val="000000"/>
              </w:rPr>
              <w:t>67%</w:t>
            </w:r>
          </w:p>
        </w:tc>
      </w:tr>
      <w:tr w:rsidR="0007441C" w:rsidRPr="008C73B1" w:rsidTr="005E16F3">
        <w:trPr>
          <w:trHeight w:val="300"/>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rsidR="0007441C" w:rsidRPr="008C73B1" w:rsidRDefault="0007441C" w:rsidP="005E16F3">
            <w:pPr>
              <w:spacing w:after="0" w:line="240" w:lineRule="auto"/>
              <w:jc w:val="right"/>
              <w:rPr>
                <w:rFonts w:ascii="Calibri" w:hAnsi="Calibri"/>
                <w:color w:val="000000"/>
              </w:rPr>
            </w:pPr>
            <w:r w:rsidRPr="008C73B1">
              <w:rPr>
                <w:rFonts w:ascii="Calibri" w:hAnsi="Calibri"/>
                <w:color w:val="000000"/>
              </w:rPr>
              <w:t>December 2012</w:t>
            </w:r>
          </w:p>
        </w:tc>
        <w:tc>
          <w:tcPr>
            <w:tcW w:w="1660" w:type="dxa"/>
            <w:tcBorders>
              <w:top w:val="nil"/>
              <w:left w:val="nil"/>
              <w:bottom w:val="single" w:sz="4" w:space="0" w:color="auto"/>
              <w:right w:val="single" w:sz="4" w:space="0" w:color="auto"/>
            </w:tcBorders>
            <w:shd w:val="clear" w:color="auto" w:fill="auto"/>
            <w:noWrap/>
            <w:vAlign w:val="bottom"/>
            <w:hideMark/>
          </w:tcPr>
          <w:p w:rsidR="0007441C" w:rsidRPr="008C73B1" w:rsidRDefault="0007441C" w:rsidP="005E16F3">
            <w:pPr>
              <w:spacing w:after="0" w:line="240" w:lineRule="auto"/>
              <w:jc w:val="center"/>
              <w:rPr>
                <w:rFonts w:ascii="Calibri" w:hAnsi="Calibri"/>
                <w:color w:val="000000"/>
              </w:rPr>
            </w:pPr>
            <w:r w:rsidRPr="008C73B1">
              <w:rPr>
                <w:rFonts w:ascii="Calibri" w:hAnsi="Calibri"/>
                <w:color w:val="000000"/>
              </w:rPr>
              <w:t>220</w:t>
            </w:r>
          </w:p>
        </w:tc>
        <w:tc>
          <w:tcPr>
            <w:tcW w:w="1660" w:type="dxa"/>
            <w:tcBorders>
              <w:top w:val="nil"/>
              <w:left w:val="nil"/>
              <w:bottom w:val="single" w:sz="4" w:space="0" w:color="auto"/>
              <w:right w:val="single" w:sz="4" w:space="0" w:color="auto"/>
            </w:tcBorders>
            <w:shd w:val="clear" w:color="auto" w:fill="auto"/>
            <w:noWrap/>
            <w:vAlign w:val="bottom"/>
            <w:hideMark/>
          </w:tcPr>
          <w:p w:rsidR="0007441C" w:rsidRPr="008C73B1" w:rsidRDefault="0007441C" w:rsidP="005E16F3">
            <w:pPr>
              <w:spacing w:after="0" w:line="240" w:lineRule="auto"/>
              <w:jc w:val="center"/>
              <w:rPr>
                <w:rFonts w:ascii="Calibri" w:hAnsi="Calibri"/>
                <w:color w:val="000000"/>
              </w:rPr>
            </w:pPr>
            <w:r w:rsidRPr="008C73B1">
              <w:rPr>
                <w:rFonts w:ascii="Calibri" w:hAnsi="Calibri"/>
                <w:color w:val="000000"/>
              </w:rPr>
              <w:t>2%</w:t>
            </w:r>
          </w:p>
        </w:tc>
        <w:tc>
          <w:tcPr>
            <w:tcW w:w="1120" w:type="dxa"/>
            <w:tcBorders>
              <w:top w:val="nil"/>
              <w:left w:val="nil"/>
              <w:bottom w:val="single" w:sz="4" w:space="0" w:color="auto"/>
              <w:right w:val="single" w:sz="4" w:space="0" w:color="auto"/>
            </w:tcBorders>
            <w:shd w:val="clear" w:color="auto" w:fill="auto"/>
            <w:noWrap/>
            <w:vAlign w:val="bottom"/>
            <w:hideMark/>
          </w:tcPr>
          <w:p w:rsidR="0007441C" w:rsidRPr="008C73B1" w:rsidRDefault="0007441C" w:rsidP="005E16F3">
            <w:pPr>
              <w:spacing w:after="0" w:line="240" w:lineRule="auto"/>
              <w:jc w:val="center"/>
              <w:rPr>
                <w:rFonts w:ascii="Calibri" w:hAnsi="Calibri"/>
                <w:color w:val="000000"/>
              </w:rPr>
            </w:pPr>
            <w:r w:rsidRPr="008C73B1">
              <w:rPr>
                <w:rFonts w:ascii="Calibri" w:hAnsi="Calibri"/>
                <w:color w:val="000000"/>
              </w:rPr>
              <w:t>80%</w:t>
            </w:r>
          </w:p>
        </w:tc>
        <w:tc>
          <w:tcPr>
            <w:tcW w:w="1120" w:type="dxa"/>
            <w:tcBorders>
              <w:top w:val="nil"/>
              <w:left w:val="nil"/>
              <w:bottom w:val="single" w:sz="4" w:space="0" w:color="auto"/>
              <w:right w:val="single" w:sz="4" w:space="0" w:color="auto"/>
            </w:tcBorders>
            <w:shd w:val="clear" w:color="auto" w:fill="auto"/>
            <w:noWrap/>
            <w:vAlign w:val="bottom"/>
            <w:hideMark/>
          </w:tcPr>
          <w:p w:rsidR="0007441C" w:rsidRPr="008C73B1" w:rsidRDefault="0007441C" w:rsidP="005E16F3">
            <w:pPr>
              <w:spacing w:after="0" w:line="240" w:lineRule="auto"/>
              <w:jc w:val="center"/>
              <w:rPr>
                <w:rFonts w:ascii="Calibri" w:hAnsi="Calibri"/>
                <w:color w:val="000000"/>
              </w:rPr>
            </w:pPr>
            <w:r w:rsidRPr="008C73B1">
              <w:rPr>
                <w:rFonts w:ascii="Calibri" w:hAnsi="Calibri"/>
                <w:color w:val="000000"/>
              </w:rPr>
              <w:t>57%</w:t>
            </w:r>
          </w:p>
        </w:tc>
      </w:tr>
      <w:tr w:rsidR="0007441C" w:rsidRPr="008C73B1" w:rsidTr="005E16F3">
        <w:trPr>
          <w:trHeight w:val="300"/>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rsidR="0007441C" w:rsidRPr="008C73B1" w:rsidRDefault="0007441C" w:rsidP="005E16F3">
            <w:pPr>
              <w:spacing w:after="0" w:line="240" w:lineRule="auto"/>
              <w:jc w:val="right"/>
              <w:rPr>
                <w:rFonts w:ascii="Calibri" w:hAnsi="Calibri"/>
                <w:color w:val="000000"/>
              </w:rPr>
            </w:pPr>
            <w:r w:rsidRPr="008C73B1">
              <w:rPr>
                <w:rFonts w:ascii="Calibri" w:hAnsi="Calibri"/>
                <w:color w:val="000000"/>
              </w:rPr>
              <w:t>January 2013</w:t>
            </w:r>
          </w:p>
        </w:tc>
        <w:tc>
          <w:tcPr>
            <w:tcW w:w="1660" w:type="dxa"/>
            <w:tcBorders>
              <w:top w:val="nil"/>
              <w:left w:val="nil"/>
              <w:bottom w:val="single" w:sz="4" w:space="0" w:color="auto"/>
              <w:right w:val="single" w:sz="4" w:space="0" w:color="auto"/>
            </w:tcBorders>
            <w:shd w:val="clear" w:color="auto" w:fill="auto"/>
            <w:noWrap/>
            <w:vAlign w:val="bottom"/>
            <w:hideMark/>
          </w:tcPr>
          <w:p w:rsidR="0007441C" w:rsidRPr="008C73B1" w:rsidRDefault="0007441C" w:rsidP="005E16F3">
            <w:pPr>
              <w:spacing w:after="0" w:line="240" w:lineRule="auto"/>
              <w:jc w:val="center"/>
              <w:rPr>
                <w:rFonts w:ascii="Calibri" w:hAnsi="Calibri"/>
                <w:color w:val="000000"/>
              </w:rPr>
            </w:pPr>
            <w:r w:rsidRPr="008C73B1">
              <w:rPr>
                <w:rFonts w:ascii="Calibri" w:hAnsi="Calibri"/>
                <w:color w:val="000000"/>
              </w:rPr>
              <w:t>356</w:t>
            </w:r>
          </w:p>
        </w:tc>
        <w:tc>
          <w:tcPr>
            <w:tcW w:w="1660" w:type="dxa"/>
            <w:tcBorders>
              <w:top w:val="nil"/>
              <w:left w:val="nil"/>
              <w:bottom w:val="single" w:sz="4" w:space="0" w:color="auto"/>
              <w:right w:val="single" w:sz="4" w:space="0" w:color="auto"/>
            </w:tcBorders>
            <w:shd w:val="clear" w:color="auto" w:fill="auto"/>
            <w:noWrap/>
            <w:vAlign w:val="bottom"/>
            <w:hideMark/>
          </w:tcPr>
          <w:p w:rsidR="0007441C" w:rsidRPr="008C73B1" w:rsidRDefault="0007441C" w:rsidP="005E16F3">
            <w:pPr>
              <w:spacing w:after="0" w:line="240" w:lineRule="auto"/>
              <w:jc w:val="center"/>
              <w:rPr>
                <w:rFonts w:ascii="Calibri" w:hAnsi="Calibri"/>
                <w:color w:val="000000"/>
              </w:rPr>
            </w:pPr>
            <w:r w:rsidRPr="008C73B1">
              <w:rPr>
                <w:rFonts w:ascii="Calibri" w:hAnsi="Calibri"/>
                <w:color w:val="000000"/>
              </w:rPr>
              <w:t>4%</w:t>
            </w:r>
          </w:p>
        </w:tc>
        <w:tc>
          <w:tcPr>
            <w:tcW w:w="1120" w:type="dxa"/>
            <w:tcBorders>
              <w:top w:val="nil"/>
              <w:left w:val="nil"/>
              <w:bottom w:val="single" w:sz="4" w:space="0" w:color="auto"/>
              <w:right w:val="single" w:sz="4" w:space="0" w:color="auto"/>
            </w:tcBorders>
            <w:shd w:val="clear" w:color="auto" w:fill="auto"/>
            <w:noWrap/>
            <w:vAlign w:val="bottom"/>
            <w:hideMark/>
          </w:tcPr>
          <w:p w:rsidR="0007441C" w:rsidRPr="008C73B1" w:rsidRDefault="0007441C" w:rsidP="005E16F3">
            <w:pPr>
              <w:spacing w:after="0" w:line="240" w:lineRule="auto"/>
              <w:jc w:val="center"/>
              <w:rPr>
                <w:rFonts w:ascii="Calibri" w:hAnsi="Calibri"/>
                <w:color w:val="000000"/>
              </w:rPr>
            </w:pPr>
            <w:r w:rsidRPr="008C73B1">
              <w:rPr>
                <w:rFonts w:ascii="Calibri" w:hAnsi="Calibri"/>
                <w:color w:val="000000"/>
              </w:rPr>
              <w:t>80%</w:t>
            </w:r>
          </w:p>
        </w:tc>
        <w:tc>
          <w:tcPr>
            <w:tcW w:w="1120" w:type="dxa"/>
            <w:tcBorders>
              <w:top w:val="nil"/>
              <w:left w:val="nil"/>
              <w:bottom w:val="single" w:sz="4" w:space="0" w:color="auto"/>
              <w:right w:val="single" w:sz="4" w:space="0" w:color="auto"/>
            </w:tcBorders>
            <w:shd w:val="clear" w:color="auto" w:fill="auto"/>
            <w:noWrap/>
            <w:vAlign w:val="bottom"/>
            <w:hideMark/>
          </w:tcPr>
          <w:p w:rsidR="0007441C" w:rsidRPr="008C73B1" w:rsidRDefault="0007441C" w:rsidP="005E16F3">
            <w:pPr>
              <w:spacing w:after="0" w:line="240" w:lineRule="auto"/>
              <w:jc w:val="center"/>
              <w:rPr>
                <w:rFonts w:ascii="Calibri" w:hAnsi="Calibri"/>
                <w:color w:val="000000"/>
              </w:rPr>
            </w:pPr>
            <w:r w:rsidRPr="008C73B1">
              <w:rPr>
                <w:rFonts w:ascii="Calibri" w:hAnsi="Calibri"/>
                <w:color w:val="000000"/>
              </w:rPr>
              <w:t>53%</w:t>
            </w:r>
          </w:p>
        </w:tc>
      </w:tr>
      <w:tr w:rsidR="0007441C" w:rsidRPr="008C73B1" w:rsidTr="005E16F3">
        <w:trPr>
          <w:trHeight w:val="300"/>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rsidR="0007441C" w:rsidRPr="008C73B1" w:rsidRDefault="0007441C" w:rsidP="005E16F3">
            <w:pPr>
              <w:spacing w:after="0" w:line="240" w:lineRule="auto"/>
              <w:jc w:val="right"/>
              <w:rPr>
                <w:rFonts w:ascii="Calibri" w:hAnsi="Calibri"/>
                <w:color w:val="000000"/>
              </w:rPr>
            </w:pPr>
            <w:r w:rsidRPr="008C73B1">
              <w:rPr>
                <w:rFonts w:ascii="Calibri" w:hAnsi="Calibri"/>
                <w:color w:val="000000"/>
              </w:rPr>
              <w:t>February 2013</w:t>
            </w:r>
          </w:p>
        </w:tc>
        <w:tc>
          <w:tcPr>
            <w:tcW w:w="1660" w:type="dxa"/>
            <w:tcBorders>
              <w:top w:val="nil"/>
              <w:left w:val="nil"/>
              <w:bottom w:val="single" w:sz="4" w:space="0" w:color="auto"/>
              <w:right w:val="single" w:sz="4" w:space="0" w:color="auto"/>
            </w:tcBorders>
            <w:shd w:val="clear" w:color="auto" w:fill="auto"/>
            <w:noWrap/>
            <w:vAlign w:val="bottom"/>
            <w:hideMark/>
          </w:tcPr>
          <w:p w:rsidR="0007441C" w:rsidRPr="008C73B1" w:rsidRDefault="0007441C" w:rsidP="005E16F3">
            <w:pPr>
              <w:spacing w:after="0" w:line="240" w:lineRule="auto"/>
              <w:jc w:val="center"/>
              <w:rPr>
                <w:rFonts w:ascii="Calibri" w:hAnsi="Calibri"/>
                <w:color w:val="000000"/>
              </w:rPr>
            </w:pPr>
            <w:r w:rsidRPr="008C73B1">
              <w:rPr>
                <w:rFonts w:ascii="Calibri" w:hAnsi="Calibri"/>
                <w:color w:val="000000"/>
              </w:rPr>
              <w:t>363</w:t>
            </w:r>
          </w:p>
        </w:tc>
        <w:tc>
          <w:tcPr>
            <w:tcW w:w="1660" w:type="dxa"/>
            <w:tcBorders>
              <w:top w:val="nil"/>
              <w:left w:val="nil"/>
              <w:bottom w:val="single" w:sz="4" w:space="0" w:color="auto"/>
              <w:right w:val="single" w:sz="4" w:space="0" w:color="auto"/>
            </w:tcBorders>
            <w:shd w:val="clear" w:color="auto" w:fill="auto"/>
            <w:noWrap/>
            <w:vAlign w:val="bottom"/>
            <w:hideMark/>
          </w:tcPr>
          <w:p w:rsidR="0007441C" w:rsidRPr="008C73B1" w:rsidRDefault="0007441C" w:rsidP="005E16F3">
            <w:pPr>
              <w:spacing w:after="0" w:line="240" w:lineRule="auto"/>
              <w:jc w:val="center"/>
              <w:rPr>
                <w:rFonts w:ascii="Calibri" w:hAnsi="Calibri"/>
                <w:color w:val="000000"/>
              </w:rPr>
            </w:pPr>
            <w:r w:rsidRPr="008C73B1">
              <w:rPr>
                <w:rFonts w:ascii="Calibri" w:hAnsi="Calibri"/>
                <w:color w:val="000000"/>
              </w:rPr>
              <w:t>4%</w:t>
            </w:r>
          </w:p>
        </w:tc>
        <w:tc>
          <w:tcPr>
            <w:tcW w:w="1120" w:type="dxa"/>
            <w:tcBorders>
              <w:top w:val="nil"/>
              <w:left w:val="nil"/>
              <w:bottom w:val="single" w:sz="4" w:space="0" w:color="auto"/>
              <w:right w:val="single" w:sz="4" w:space="0" w:color="auto"/>
            </w:tcBorders>
            <w:shd w:val="clear" w:color="auto" w:fill="auto"/>
            <w:noWrap/>
            <w:vAlign w:val="bottom"/>
            <w:hideMark/>
          </w:tcPr>
          <w:p w:rsidR="0007441C" w:rsidRPr="008C73B1" w:rsidRDefault="005407A4" w:rsidP="005E16F3">
            <w:pPr>
              <w:spacing w:after="0" w:line="240" w:lineRule="auto"/>
              <w:jc w:val="center"/>
              <w:rPr>
                <w:rFonts w:ascii="Calibri" w:hAnsi="Calibri"/>
                <w:color w:val="000000"/>
              </w:rPr>
            </w:pPr>
            <w:r>
              <w:rPr>
                <w:rFonts w:ascii="Calibri" w:hAnsi="Calibri"/>
                <w:color w:val="000000"/>
              </w:rPr>
              <w:t>81%</w:t>
            </w:r>
          </w:p>
        </w:tc>
        <w:tc>
          <w:tcPr>
            <w:tcW w:w="1120" w:type="dxa"/>
            <w:tcBorders>
              <w:top w:val="nil"/>
              <w:left w:val="nil"/>
              <w:bottom w:val="single" w:sz="4" w:space="0" w:color="auto"/>
              <w:right w:val="single" w:sz="4" w:space="0" w:color="auto"/>
            </w:tcBorders>
            <w:shd w:val="clear" w:color="auto" w:fill="auto"/>
            <w:noWrap/>
            <w:vAlign w:val="bottom"/>
            <w:hideMark/>
          </w:tcPr>
          <w:p w:rsidR="0007441C" w:rsidRPr="008C73B1" w:rsidRDefault="0007441C" w:rsidP="005E16F3">
            <w:pPr>
              <w:spacing w:after="0" w:line="240" w:lineRule="auto"/>
              <w:jc w:val="center"/>
              <w:rPr>
                <w:rFonts w:ascii="Calibri" w:hAnsi="Calibri"/>
                <w:color w:val="000000"/>
              </w:rPr>
            </w:pPr>
            <w:r w:rsidRPr="008C73B1">
              <w:rPr>
                <w:rFonts w:ascii="Calibri" w:hAnsi="Calibri"/>
                <w:color w:val="000000"/>
              </w:rPr>
              <w:t>36%</w:t>
            </w:r>
          </w:p>
        </w:tc>
      </w:tr>
      <w:tr w:rsidR="0007441C" w:rsidRPr="008C73B1" w:rsidTr="005E16F3">
        <w:trPr>
          <w:trHeight w:val="300"/>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rsidR="0007441C" w:rsidRPr="008C73B1" w:rsidRDefault="0007441C" w:rsidP="005E16F3">
            <w:pPr>
              <w:spacing w:after="0" w:line="240" w:lineRule="auto"/>
              <w:jc w:val="right"/>
              <w:rPr>
                <w:rFonts w:ascii="Calibri" w:hAnsi="Calibri"/>
                <w:color w:val="000000"/>
              </w:rPr>
            </w:pPr>
            <w:r w:rsidRPr="008C73B1">
              <w:rPr>
                <w:rFonts w:ascii="Calibri" w:hAnsi="Calibri"/>
                <w:color w:val="000000"/>
              </w:rPr>
              <w:t>March 2013</w:t>
            </w:r>
          </w:p>
        </w:tc>
        <w:tc>
          <w:tcPr>
            <w:tcW w:w="1660" w:type="dxa"/>
            <w:tcBorders>
              <w:top w:val="nil"/>
              <w:left w:val="nil"/>
              <w:bottom w:val="single" w:sz="4" w:space="0" w:color="auto"/>
              <w:right w:val="single" w:sz="4" w:space="0" w:color="auto"/>
            </w:tcBorders>
            <w:shd w:val="clear" w:color="auto" w:fill="auto"/>
            <w:noWrap/>
            <w:vAlign w:val="bottom"/>
            <w:hideMark/>
          </w:tcPr>
          <w:p w:rsidR="0007441C" w:rsidRPr="008C73B1" w:rsidRDefault="0007441C" w:rsidP="005E16F3">
            <w:pPr>
              <w:spacing w:after="0" w:line="240" w:lineRule="auto"/>
              <w:jc w:val="center"/>
              <w:rPr>
                <w:rFonts w:ascii="Calibri" w:hAnsi="Calibri"/>
                <w:color w:val="000000"/>
              </w:rPr>
            </w:pPr>
            <w:r w:rsidRPr="008C73B1">
              <w:rPr>
                <w:rFonts w:ascii="Calibri" w:hAnsi="Calibri"/>
                <w:color w:val="000000"/>
              </w:rPr>
              <w:t>319</w:t>
            </w:r>
          </w:p>
        </w:tc>
        <w:tc>
          <w:tcPr>
            <w:tcW w:w="1660" w:type="dxa"/>
            <w:tcBorders>
              <w:top w:val="nil"/>
              <w:left w:val="nil"/>
              <w:bottom w:val="single" w:sz="4" w:space="0" w:color="auto"/>
              <w:right w:val="single" w:sz="4" w:space="0" w:color="auto"/>
            </w:tcBorders>
            <w:shd w:val="clear" w:color="auto" w:fill="auto"/>
            <w:noWrap/>
            <w:vAlign w:val="bottom"/>
            <w:hideMark/>
          </w:tcPr>
          <w:p w:rsidR="0007441C" w:rsidRPr="008C73B1" w:rsidRDefault="0007441C" w:rsidP="005E16F3">
            <w:pPr>
              <w:spacing w:after="0" w:line="240" w:lineRule="auto"/>
              <w:jc w:val="center"/>
              <w:rPr>
                <w:rFonts w:ascii="Calibri" w:hAnsi="Calibri"/>
                <w:color w:val="000000"/>
              </w:rPr>
            </w:pPr>
            <w:r w:rsidRPr="008C73B1">
              <w:rPr>
                <w:rFonts w:ascii="Calibri" w:hAnsi="Calibri"/>
                <w:color w:val="000000"/>
              </w:rPr>
              <w:t>3%</w:t>
            </w:r>
          </w:p>
        </w:tc>
        <w:tc>
          <w:tcPr>
            <w:tcW w:w="1120" w:type="dxa"/>
            <w:tcBorders>
              <w:top w:val="nil"/>
              <w:left w:val="nil"/>
              <w:bottom w:val="single" w:sz="4" w:space="0" w:color="auto"/>
              <w:right w:val="single" w:sz="4" w:space="0" w:color="auto"/>
            </w:tcBorders>
            <w:shd w:val="clear" w:color="auto" w:fill="auto"/>
            <w:noWrap/>
            <w:vAlign w:val="bottom"/>
            <w:hideMark/>
          </w:tcPr>
          <w:p w:rsidR="0007441C" w:rsidRPr="008C73B1" w:rsidRDefault="005407A4" w:rsidP="005E16F3">
            <w:pPr>
              <w:spacing w:after="0" w:line="240" w:lineRule="auto"/>
              <w:jc w:val="center"/>
              <w:rPr>
                <w:rFonts w:ascii="Calibri" w:hAnsi="Calibri"/>
                <w:color w:val="000000"/>
              </w:rPr>
            </w:pPr>
            <w:r>
              <w:rPr>
                <w:rFonts w:ascii="Calibri" w:hAnsi="Calibri"/>
                <w:color w:val="000000"/>
              </w:rPr>
              <w:t>81%</w:t>
            </w:r>
          </w:p>
        </w:tc>
        <w:tc>
          <w:tcPr>
            <w:tcW w:w="1120" w:type="dxa"/>
            <w:tcBorders>
              <w:top w:val="nil"/>
              <w:left w:val="nil"/>
              <w:bottom w:val="single" w:sz="4" w:space="0" w:color="auto"/>
              <w:right w:val="single" w:sz="4" w:space="0" w:color="auto"/>
            </w:tcBorders>
            <w:shd w:val="clear" w:color="auto" w:fill="auto"/>
            <w:noWrap/>
            <w:vAlign w:val="bottom"/>
            <w:hideMark/>
          </w:tcPr>
          <w:p w:rsidR="0007441C" w:rsidRPr="008C73B1" w:rsidRDefault="0007441C" w:rsidP="005E16F3">
            <w:pPr>
              <w:spacing w:after="0" w:line="240" w:lineRule="auto"/>
              <w:jc w:val="center"/>
              <w:rPr>
                <w:rFonts w:ascii="Calibri" w:hAnsi="Calibri"/>
                <w:color w:val="000000"/>
              </w:rPr>
            </w:pPr>
            <w:r w:rsidRPr="008C73B1">
              <w:rPr>
                <w:rFonts w:ascii="Calibri" w:hAnsi="Calibri"/>
                <w:color w:val="000000"/>
              </w:rPr>
              <w:t>21%</w:t>
            </w:r>
          </w:p>
        </w:tc>
      </w:tr>
      <w:tr w:rsidR="0007441C" w:rsidRPr="008C73B1" w:rsidTr="005E16F3">
        <w:trPr>
          <w:trHeight w:val="300"/>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rsidR="0007441C" w:rsidRPr="008C73B1" w:rsidRDefault="0007441C" w:rsidP="005E16F3">
            <w:pPr>
              <w:spacing w:after="0" w:line="240" w:lineRule="auto"/>
              <w:jc w:val="right"/>
              <w:rPr>
                <w:rFonts w:ascii="Calibri" w:hAnsi="Calibri"/>
                <w:color w:val="000000"/>
              </w:rPr>
            </w:pPr>
            <w:r w:rsidRPr="008C73B1">
              <w:rPr>
                <w:rFonts w:ascii="Calibri" w:hAnsi="Calibri"/>
                <w:color w:val="000000"/>
              </w:rPr>
              <w:t>April 2013</w:t>
            </w:r>
          </w:p>
        </w:tc>
        <w:tc>
          <w:tcPr>
            <w:tcW w:w="1660" w:type="dxa"/>
            <w:tcBorders>
              <w:top w:val="nil"/>
              <w:left w:val="nil"/>
              <w:bottom w:val="single" w:sz="4" w:space="0" w:color="auto"/>
              <w:right w:val="single" w:sz="4" w:space="0" w:color="auto"/>
            </w:tcBorders>
            <w:shd w:val="clear" w:color="auto" w:fill="auto"/>
            <w:noWrap/>
            <w:vAlign w:val="bottom"/>
            <w:hideMark/>
          </w:tcPr>
          <w:p w:rsidR="0007441C" w:rsidRPr="008C73B1" w:rsidRDefault="0007441C" w:rsidP="005E16F3">
            <w:pPr>
              <w:spacing w:after="0" w:line="240" w:lineRule="auto"/>
              <w:jc w:val="center"/>
              <w:rPr>
                <w:rFonts w:ascii="Calibri" w:hAnsi="Calibri"/>
                <w:color w:val="000000"/>
              </w:rPr>
            </w:pPr>
            <w:r w:rsidRPr="008C73B1">
              <w:rPr>
                <w:rFonts w:ascii="Calibri" w:hAnsi="Calibri"/>
                <w:color w:val="000000"/>
              </w:rPr>
              <w:t>330</w:t>
            </w:r>
          </w:p>
        </w:tc>
        <w:tc>
          <w:tcPr>
            <w:tcW w:w="1660" w:type="dxa"/>
            <w:tcBorders>
              <w:top w:val="nil"/>
              <w:left w:val="nil"/>
              <w:bottom w:val="single" w:sz="4" w:space="0" w:color="auto"/>
              <w:right w:val="single" w:sz="4" w:space="0" w:color="auto"/>
            </w:tcBorders>
            <w:shd w:val="clear" w:color="auto" w:fill="auto"/>
            <w:noWrap/>
            <w:vAlign w:val="bottom"/>
            <w:hideMark/>
          </w:tcPr>
          <w:p w:rsidR="0007441C" w:rsidRPr="008C73B1" w:rsidRDefault="0007441C" w:rsidP="005E16F3">
            <w:pPr>
              <w:spacing w:after="0" w:line="240" w:lineRule="auto"/>
              <w:jc w:val="center"/>
              <w:rPr>
                <w:rFonts w:ascii="Calibri" w:hAnsi="Calibri"/>
                <w:color w:val="000000"/>
              </w:rPr>
            </w:pPr>
            <w:r w:rsidRPr="008C73B1">
              <w:rPr>
                <w:rFonts w:ascii="Calibri" w:hAnsi="Calibri"/>
                <w:color w:val="000000"/>
              </w:rPr>
              <w:t>4%</w:t>
            </w:r>
          </w:p>
        </w:tc>
        <w:tc>
          <w:tcPr>
            <w:tcW w:w="1120" w:type="dxa"/>
            <w:tcBorders>
              <w:top w:val="nil"/>
              <w:left w:val="nil"/>
              <w:bottom w:val="single" w:sz="4" w:space="0" w:color="auto"/>
              <w:right w:val="single" w:sz="4" w:space="0" w:color="auto"/>
            </w:tcBorders>
            <w:shd w:val="clear" w:color="auto" w:fill="auto"/>
            <w:noWrap/>
            <w:vAlign w:val="bottom"/>
            <w:hideMark/>
          </w:tcPr>
          <w:p w:rsidR="0007441C" w:rsidRPr="008C73B1" w:rsidRDefault="005407A4" w:rsidP="005E16F3">
            <w:pPr>
              <w:spacing w:after="0" w:line="240" w:lineRule="auto"/>
              <w:jc w:val="center"/>
              <w:rPr>
                <w:rFonts w:ascii="Calibri" w:hAnsi="Calibri"/>
                <w:color w:val="000000"/>
              </w:rPr>
            </w:pPr>
            <w:r>
              <w:rPr>
                <w:rFonts w:ascii="Calibri" w:hAnsi="Calibri"/>
                <w:color w:val="000000"/>
              </w:rPr>
              <w:t>81%</w:t>
            </w:r>
          </w:p>
        </w:tc>
        <w:tc>
          <w:tcPr>
            <w:tcW w:w="1120" w:type="dxa"/>
            <w:tcBorders>
              <w:top w:val="nil"/>
              <w:left w:val="nil"/>
              <w:bottom w:val="single" w:sz="4" w:space="0" w:color="auto"/>
              <w:right w:val="single" w:sz="4" w:space="0" w:color="auto"/>
            </w:tcBorders>
            <w:shd w:val="clear" w:color="auto" w:fill="auto"/>
            <w:noWrap/>
            <w:vAlign w:val="bottom"/>
            <w:hideMark/>
          </w:tcPr>
          <w:p w:rsidR="0007441C" w:rsidRPr="008C73B1" w:rsidRDefault="0007441C" w:rsidP="005E16F3">
            <w:pPr>
              <w:spacing w:after="0" w:line="240" w:lineRule="auto"/>
              <w:jc w:val="center"/>
              <w:rPr>
                <w:rFonts w:ascii="Calibri" w:hAnsi="Calibri"/>
                <w:color w:val="000000"/>
              </w:rPr>
            </w:pPr>
            <w:r w:rsidRPr="008C73B1">
              <w:rPr>
                <w:rFonts w:ascii="Calibri" w:hAnsi="Calibri"/>
                <w:color w:val="000000"/>
              </w:rPr>
              <w:t>4%</w:t>
            </w:r>
          </w:p>
        </w:tc>
      </w:tr>
      <w:tr w:rsidR="0007441C" w:rsidRPr="008C73B1" w:rsidTr="005E16F3">
        <w:trPr>
          <w:trHeight w:val="300"/>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rsidR="0007441C" w:rsidRPr="008C73B1" w:rsidRDefault="0007441C" w:rsidP="005E16F3">
            <w:pPr>
              <w:spacing w:after="0" w:line="240" w:lineRule="auto"/>
              <w:rPr>
                <w:rFonts w:ascii="Calibri" w:hAnsi="Calibri"/>
                <w:b/>
                <w:bCs/>
                <w:color w:val="000000"/>
              </w:rPr>
            </w:pPr>
            <w:r w:rsidRPr="008C73B1">
              <w:rPr>
                <w:rFonts w:ascii="Calibri" w:hAnsi="Calibri"/>
                <w:b/>
                <w:bCs/>
                <w:color w:val="000000"/>
              </w:rPr>
              <w:t>Total Sample Released to Date</w:t>
            </w:r>
          </w:p>
        </w:tc>
        <w:tc>
          <w:tcPr>
            <w:tcW w:w="1660" w:type="dxa"/>
            <w:tcBorders>
              <w:top w:val="nil"/>
              <w:left w:val="nil"/>
              <w:bottom w:val="single" w:sz="4" w:space="0" w:color="auto"/>
              <w:right w:val="single" w:sz="4" w:space="0" w:color="auto"/>
            </w:tcBorders>
            <w:shd w:val="clear" w:color="auto" w:fill="auto"/>
            <w:noWrap/>
            <w:vAlign w:val="bottom"/>
            <w:hideMark/>
          </w:tcPr>
          <w:p w:rsidR="0007441C" w:rsidRPr="008C73B1" w:rsidRDefault="0007441C" w:rsidP="005E16F3">
            <w:pPr>
              <w:spacing w:after="0" w:line="240" w:lineRule="auto"/>
              <w:jc w:val="center"/>
              <w:rPr>
                <w:rFonts w:ascii="Calibri" w:hAnsi="Calibri"/>
                <w:b/>
                <w:bCs/>
                <w:color w:val="000000"/>
              </w:rPr>
            </w:pPr>
            <w:r w:rsidRPr="008C73B1">
              <w:rPr>
                <w:rFonts w:ascii="Calibri" w:hAnsi="Calibri"/>
                <w:b/>
                <w:bCs/>
                <w:color w:val="000000"/>
              </w:rPr>
              <w:t>3455</w:t>
            </w:r>
          </w:p>
        </w:tc>
        <w:tc>
          <w:tcPr>
            <w:tcW w:w="1660" w:type="dxa"/>
            <w:tcBorders>
              <w:top w:val="nil"/>
              <w:left w:val="nil"/>
              <w:bottom w:val="single" w:sz="4" w:space="0" w:color="auto"/>
              <w:right w:val="single" w:sz="4" w:space="0" w:color="auto"/>
            </w:tcBorders>
            <w:shd w:val="clear" w:color="auto" w:fill="auto"/>
            <w:noWrap/>
            <w:vAlign w:val="bottom"/>
            <w:hideMark/>
          </w:tcPr>
          <w:p w:rsidR="0007441C" w:rsidRPr="008C73B1" w:rsidRDefault="0007441C" w:rsidP="005E16F3">
            <w:pPr>
              <w:spacing w:after="0" w:line="240" w:lineRule="auto"/>
              <w:jc w:val="center"/>
              <w:rPr>
                <w:rFonts w:ascii="Calibri" w:hAnsi="Calibri"/>
                <w:b/>
                <w:bCs/>
                <w:color w:val="000000"/>
              </w:rPr>
            </w:pPr>
            <w:r w:rsidRPr="008C73B1">
              <w:rPr>
                <w:rFonts w:ascii="Calibri" w:hAnsi="Calibri"/>
                <w:b/>
                <w:bCs/>
                <w:color w:val="000000"/>
              </w:rPr>
              <w:t>37%</w:t>
            </w:r>
          </w:p>
        </w:tc>
        <w:tc>
          <w:tcPr>
            <w:tcW w:w="1120" w:type="dxa"/>
            <w:tcBorders>
              <w:top w:val="nil"/>
              <w:left w:val="nil"/>
              <w:bottom w:val="single" w:sz="4" w:space="0" w:color="auto"/>
              <w:right w:val="single" w:sz="4" w:space="0" w:color="auto"/>
            </w:tcBorders>
            <w:shd w:val="clear" w:color="auto" w:fill="auto"/>
            <w:noWrap/>
            <w:vAlign w:val="bottom"/>
            <w:hideMark/>
          </w:tcPr>
          <w:p w:rsidR="0007441C" w:rsidRPr="008C73B1" w:rsidRDefault="005407A4" w:rsidP="001A49B3">
            <w:pPr>
              <w:spacing w:after="0" w:line="240" w:lineRule="auto"/>
              <w:jc w:val="center"/>
              <w:rPr>
                <w:rFonts w:ascii="Calibri" w:hAnsi="Calibri"/>
                <w:b/>
                <w:bCs/>
                <w:color w:val="000000"/>
              </w:rPr>
            </w:pPr>
            <w:r>
              <w:rPr>
                <w:rFonts w:ascii="Calibri" w:hAnsi="Calibri"/>
                <w:b/>
                <w:bCs/>
                <w:color w:val="000000"/>
              </w:rPr>
              <w:t>79%</w:t>
            </w:r>
          </w:p>
        </w:tc>
        <w:tc>
          <w:tcPr>
            <w:tcW w:w="1120" w:type="dxa"/>
            <w:tcBorders>
              <w:top w:val="nil"/>
              <w:left w:val="nil"/>
              <w:bottom w:val="single" w:sz="4" w:space="0" w:color="auto"/>
              <w:right w:val="single" w:sz="4" w:space="0" w:color="auto"/>
            </w:tcBorders>
            <w:shd w:val="clear" w:color="auto" w:fill="auto"/>
            <w:noWrap/>
            <w:vAlign w:val="bottom"/>
            <w:hideMark/>
          </w:tcPr>
          <w:p w:rsidR="0007441C" w:rsidRPr="008C73B1" w:rsidRDefault="0007441C" w:rsidP="005E16F3">
            <w:pPr>
              <w:spacing w:after="0" w:line="240" w:lineRule="auto"/>
              <w:jc w:val="center"/>
              <w:rPr>
                <w:rFonts w:ascii="Calibri" w:hAnsi="Calibri"/>
                <w:b/>
                <w:bCs/>
                <w:color w:val="000000"/>
              </w:rPr>
            </w:pPr>
            <w:r w:rsidRPr="008C73B1">
              <w:rPr>
                <w:rFonts w:ascii="Calibri" w:hAnsi="Calibri"/>
                <w:b/>
                <w:bCs/>
                <w:color w:val="000000"/>
              </w:rPr>
              <w:t>55%</w:t>
            </w:r>
          </w:p>
        </w:tc>
      </w:tr>
      <w:tr w:rsidR="0007441C" w:rsidRPr="008C73B1" w:rsidTr="005E16F3">
        <w:trPr>
          <w:trHeight w:val="300"/>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rsidR="0007441C" w:rsidRPr="008C73B1" w:rsidRDefault="0007441C" w:rsidP="005E16F3">
            <w:pPr>
              <w:spacing w:after="0" w:line="240" w:lineRule="auto"/>
              <w:rPr>
                <w:rFonts w:ascii="Calibri" w:hAnsi="Calibri"/>
                <w:b/>
                <w:bCs/>
                <w:color w:val="000000"/>
              </w:rPr>
            </w:pPr>
            <w:r w:rsidRPr="008C73B1">
              <w:rPr>
                <w:rFonts w:ascii="Calibri" w:hAnsi="Calibri"/>
                <w:b/>
                <w:bCs/>
                <w:color w:val="000000"/>
              </w:rPr>
              <w:t>Total Projected Sample</w:t>
            </w:r>
          </w:p>
        </w:tc>
        <w:tc>
          <w:tcPr>
            <w:tcW w:w="1660" w:type="dxa"/>
            <w:tcBorders>
              <w:top w:val="nil"/>
              <w:left w:val="nil"/>
              <w:bottom w:val="single" w:sz="4" w:space="0" w:color="auto"/>
              <w:right w:val="single" w:sz="4" w:space="0" w:color="auto"/>
            </w:tcBorders>
            <w:shd w:val="clear" w:color="auto" w:fill="auto"/>
            <w:noWrap/>
            <w:vAlign w:val="bottom"/>
            <w:hideMark/>
          </w:tcPr>
          <w:p w:rsidR="0007441C" w:rsidRPr="008C73B1" w:rsidRDefault="0007441C" w:rsidP="005E16F3">
            <w:pPr>
              <w:spacing w:after="0" w:line="240" w:lineRule="auto"/>
              <w:jc w:val="center"/>
              <w:rPr>
                <w:rFonts w:ascii="Calibri" w:hAnsi="Calibri"/>
                <w:b/>
                <w:bCs/>
                <w:color w:val="000000"/>
              </w:rPr>
            </w:pPr>
            <w:r w:rsidRPr="008C73B1">
              <w:rPr>
                <w:rFonts w:ascii="Calibri" w:hAnsi="Calibri"/>
                <w:b/>
                <w:bCs/>
                <w:color w:val="000000"/>
              </w:rPr>
              <w:t>9232</w:t>
            </w:r>
          </w:p>
        </w:tc>
        <w:tc>
          <w:tcPr>
            <w:tcW w:w="1660" w:type="dxa"/>
            <w:tcBorders>
              <w:top w:val="nil"/>
              <w:left w:val="nil"/>
              <w:bottom w:val="single" w:sz="4" w:space="0" w:color="auto"/>
              <w:right w:val="single" w:sz="4" w:space="0" w:color="auto"/>
            </w:tcBorders>
            <w:shd w:val="clear" w:color="auto" w:fill="auto"/>
            <w:noWrap/>
            <w:vAlign w:val="bottom"/>
            <w:hideMark/>
          </w:tcPr>
          <w:p w:rsidR="0007441C" w:rsidRPr="008C73B1" w:rsidRDefault="0007441C" w:rsidP="005E16F3">
            <w:pPr>
              <w:spacing w:after="0" w:line="240" w:lineRule="auto"/>
              <w:jc w:val="center"/>
              <w:rPr>
                <w:rFonts w:ascii="Calibri" w:hAnsi="Calibri"/>
                <w:b/>
                <w:bCs/>
                <w:color w:val="000000"/>
              </w:rPr>
            </w:pPr>
            <w:r w:rsidRPr="008C73B1">
              <w:rPr>
                <w:rFonts w:ascii="Calibri" w:hAnsi="Calibri"/>
                <w:b/>
                <w:bCs/>
                <w:color w:val="000000"/>
              </w:rPr>
              <w:t>100%</w:t>
            </w:r>
          </w:p>
        </w:tc>
        <w:tc>
          <w:tcPr>
            <w:tcW w:w="1120" w:type="dxa"/>
            <w:tcBorders>
              <w:top w:val="nil"/>
              <w:left w:val="nil"/>
              <w:bottom w:val="single" w:sz="4" w:space="0" w:color="auto"/>
              <w:right w:val="single" w:sz="4" w:space="0" w:color="auto"/>
            </w:tcBorders>
            <w:shd w:val="clear" w:color="auto" w:fill="auto"/>
            <w:noWrap/>
            <w:vAlign w:val="bottom"/>
            <w:hideMark/>
          </w:tcPr>
          <w:p w:rsidR="0007441C" w:rsidRPr="008C73B1" w:rsidRDefault="0007441C" w:rsidP="005E16F3">
            <w:pPr>
              <w:spacing w:after="0" w:line="240" w:lineRule="auto"/>
              <w:jc w:val="center"/>
              <w:rPr>
                <w:rFonts w:ascii="Calibri" w:hAnsi="Calibri"/>
                <w:b/>
                <w:bCs/>
                <w:color w:val="000000"/>
              </w:rPr>
            </w:pPr>
            <w:r w:rsidRPr="008C73B1">
              <w:rPr>
                <w:rFonts w:ascii="Calibri" w:hAnsi="Calibri"/>
                <w:b/>
                <w:bCs/>
                <w:color w:val="000000"/>
              </w:rPr>
              <w:t>80%</w:t>
            </w:r>
          </w:p>
        </w:tc>
        <w:tc>
          <w:tcPr>
            <w:tcW w:w="1120" w:type="dxa"/>
            <w:tcBorders>
              <w:top w:val="nil"/>
              <w:left w:val="nil"/>
              <w:bottom w:val="single" w:sz="4" w:space="0" w:color="auto"/>
              <w:right w:val="single" w:sz="4" w:space="0" w:color="auto"/>
            </w:tcBorders>
            <w:shd w:val="clear" w:color="auto" w:fill="auto"/>
            <w:noWrap/>
            <w:vAlign w:val="bottom"/>
            <w:hideMark/>
          </w:tcPr>
          <w:p w:rsidR="0007441C" w:rsidRPr="008C73B1" w:rsidRDefault="0007441C" w:rsidP="005E16F3">
            <w:pPr>
              <w:spacing w:after="0" w:line="240" w:lineRule="auto"/>
              <w:jc w:val="center"/>
              <w:rPr>
                <w:rFonts w:ascii="Calibri" w:hAnsi="Calibri"/>
                <w:b/>
                <w:bCs/>
                <w:color w:val="000000"/>
              </w:rPr>
            </w:pPr>
            <w:r w:rsidRPr="008C73B1">
              <w:rPr>
                <w:rFonts w:ascii="Calibri" w:hAnsi="Calibri"/>
                <w:b/>
                <w:bCs/>
                <w:color w:val="000000"/>
              </w:rPr>
              <w:t> </w:t>
            </w:r>
          </w:p>
        </w:tc>
      </w:tr>
    </w:tbl>
    <w:p w:rsidR="0007441C" w:rsidRDefault="0007441C" w:rsidP="0007441C"/>
    <w:p w:rsidR="0007441C" w:rsidRDefault="0007441C" w:rsidP="0007441C">
      <w:r>
        <w:t>As it shows, t</w:t>
      </w:r>
      <w:r w:rsidRPr="008C73B1">
        <w:t xml:space="preserve">he </w:t>
      </w:r>
      <w:r w:rsidR="0080558A">
        <w:t>PACE</w:t>
      </w:r>
      <w:r w:rsidRPr="008C73B1">
        <w:t xml:space="preserve"> survey sample is released in monthly cohorts 15 months after random assignment. As of August 4, </w:t>
      </w:r>
      <w:r>
        <w:t xml:space="preserve">2014, </w:t>
      </w:r>
      <w:r w:rsidRPr="008C73B1">
        <w:t xml:space="preserve">the overall response rate is 55 percent, but </w:t>
      </w:r>
      <w:r>
        <w:t xml:space="preserve">this figure </w:t>
      </w:r>
      <w:r w:rsidRPr="008C73B1">
        <w:t xml:space="preserve">includes a mix of monthly cohorts that are finalized and cohorts that have been released in the previous week and month where survey work has just started. The </w:t>
      </w:r>
      <w:r>
        <w:t xml:space="preserve">eight </w:t>
      </w:r>
      <w:r w:rsidRPr="008C73B1">
        <w:t>earliest monthly cohorts</w:t>
      </w:r>
      <w:r>
        <w:t xml:space="preserve"> (November 2011 through Ju</w:t>
      </w:r>
      <w:r w:rsidR="001A49B3">
        <w:t>ly</w:t>
      </w:r>
      <w:r>
        <w:t>2012)</w:t>
      </w:r>
      <w:r w:rsidRPr="008C73B1">
        <w:t>, comprising</w:t>
      </w:r>
      <w:r w:rsidR="001A49B3">
        <w:t xml:space="preserve"> 977</w:t>
      </w:r>
      <w:r w:rsidRPr="008C73B1">
        <w:t xml:space="preserve"> sample members, </w:t>
      </w:r>
      <w:r>
        <w:t>are</w:t>
      </w:r>
      <w:r w:rsidRPr="008C73B1">
        <w:t xml:space="preserve"> closed. The overall response rate for these completed cohorts is </w:t>
      </w:r>
      <w:r>
        <w:t>about 7</w:t>
      </w:r>
      <w:r w:rsidR="001A49B3">
        <w:t xml:space="preserve">6 </w:t>
      </w:r>
      <w:r w:rsidRPr="008C73B1">
        <w:t xml:space="preserve">percent. </w:t>
      </w:r>
      <w:r>
        <w:t xml:space="preserve">These cohorts were released prior to the approval and adoption of a contact information update protocol. The fact that the survey team </w:t>
      </w:r>
      <w:r w:rsidRPr="008C73B1">
        <w:t>obtained a 7</w:t>
      </w:r>
      <w:r w:rsidR="001A49B3">
        <w:t>6</w:t>
      </w:r>
      <w:r w:rsidRPr="008C73B1">
        <w:t xml:space="preserve"> percent response rate with these cohorts</w:t>
      </w:r>
      <w:r>
        <w:t xml:space="preserve"> in the absence of updated contact information gives ACF and the survey team </w:t>
      </w:r>
      <w:r w:rsidRPr="008C73B1">
        <w:t>confidence that an 80 percent response rate overall will be achieved.</w:t>
      </w:r>
      <w:r>
        <w:t xml:space="preserve"> Although </w:t>
      </w:r>
      <w:r w:rsidRPr="008C73B1">
        <w:t>none of the cohorts</w:t>
      </w:r>
      <w:r>
        <w:t xml:space="preserve"> in which the contact information update protocol was employed are</w:t>
      </w:r>
      <w:r w:rsidRPr="008C73B1">
        <w:t xml:space="preserve"> completed, </w:t>
      </w:r>
      <w:r>
        <w:t xml:space="preserve">the survey team has </w:t>
      </w:r>
      <w:r w:rsidRPr="008C73B1">
        <w:t xml:space="preserve">higher completion rates in the first few months of the survey period than for the earlier cohorts. For the later cohorts, </w:t>
      </w:r>
      <w:r>
        <w:t xml:space="preserve">the survey team </w:t>
      </w:r>
      <w:r w:rsidRPr="008C73B1">
        <w:t>obtain</w:t>
      </w:r>
      <w:r>
        <w:t>ed</w:t>
      </w:r>
      <w:r w:rsidRPr="008C73B1">
        <w:t xml:space="preserve"> a 35 to 40 percent response rate </w:t>
      </w:r>
      <w:r>
        <w:t xml:space="preserve">in the telephone center in the first eight weeks. This is generally the threshold for transferring the case to the field interviewing team. The survey team took twice as long (16 weeks) to reach this benchmark with the earlier cohorts (those without contact updates). The survey team </w:t>
      </w:r>
      <w:r w:rsidRPr="008C73B1">
        <w:t>expect</w:t>
      </w:r>
      <w:r>
        <w:t>s</w:t>
      </w:r>
      <w:r w:rsidRPr="008C73B1">
        <w:t xml:space="preserve"> to obtain response rates above 80 percent for the</w:t>
      </w:r>
      <w:r>
        <w:t>se</w:t>
      </w:r>
      <w:r w:rsidRPr="008C73B1">
        <w:t xml:space="preserve"> later cohorts to compensate for the </w:t>
      </w:r>
      <w:r w:rsidR="001A49B3">
        <w:t xml:space="preserve">76 </w:t>
      </w:r>
      <w:r w:rsidRPr="008C73B1">
        <w:t>percent rate in the early cohorts</w:t>
      </w:r>
      <w:r>
        <w:t>,</w:t>
      </w:r>
      <w:r w:rsidRPr="008C73B1">
        <w:t xml:space="preserve"> and </w:t>
      </w:r>
      <w:r>
        <w:t xml:space="preserve">thus </w:t>
      </w:r>
      <w:r w:rsidRPr="008C73B1">
        <w:t xml:space="preserve">reach </w:t>
      </w:r>
      <w:r>
        <w:t>the</w:t>
      </w:r>
      <w:r w:rsidRPr="008C73B1">
        <w:t xml:space="preserve"> 80 percent response rate goal.</w:t>
      </w:r>
    </w:p>
    <w:p w:rsidR="00F64AE0" w:rsidRPr="004D7679" w:rsidRDefault="00F64AE0" w:rsidP="00CE61CB">
      <w:pPr>
        <w:pStyle w:val="Heading2"/>
      </w:pPr>
      <w:bookmarkStart w:id="14" w:name="_Toc329063937"/>
      <w:bookmarkStart w:id="15" w:name="_Toc403652246"/>
      <w:r>
        <w:t>B.2</w:t>
      </w:r>
      <w:r>
        <w:tab/>
      </w:r>
      <w:bookmarkEnd w:id="10"/>
      <w:r w:rsidRPr="00F64AE0">
        <w:t>Procedures</w:t>
      </w:r>
      <w:r w:rsidRPr="004D7679">
        <w:t xml:space="preserve"> for Collecti</w:t>
      </w:r>
      <w:r>
        <w:t>on of</w:t>
      </w:r>
      <w:r w:rsidRPr="004D7679">
        <w:t xml:space="preserve"> Information</w:t>
      </w:r>
      <w:bookmarkEnd w:id="11"/>
      <w:bookmarkEnd w:id="14"/>
      <w:bookmarkEnd w:id="15"/>
    </w:p>
    <w:p w:rsidR="00F64AE0" w:rsidRPr="002E48E4" w:rsidRDefault="00F64AE0" w:rsidP="00F64AE0">
      <w:pPr>
        <w:pStyle w:val="Heading3"/>
      </w:pPr>
      <w:bookmarkStart w:id="16" w:name="_Toc255223839"/>
      <w:bookmarkStart w:id="17" w:name="_Toc290302451"/>
      <w:bookmarkStart w:id="18" w:name="_Toc329063938"/>
      <w:bookmarkStart w:id="19" w:name="_Toc403652247"/>
      <w:r w:rsidRPr="002E48E4">
        <w:t>B.2.1</w:t>
      </w:r>
      <w:r w:rsidRPr="002E48E4">
        <w:tab/>
        <w:t>Sample Design</w:t>
      </w:r>
      <w:bookmarkEnd w:id="16"/>
      <w:bookmarkEnd w:id="17"/>
      <w:bookmarkEnd w:id="18"/>
      <w:bookmarkEnd w:id="19"/>
    </w:p>
    <w:p w:rsidR="00717620" w:rsidRDefault="00717620" w:rsidP="00717620">
      <w:pPr>
        <w:tabs>
          <w:tab w:val="left" w:pos="0"/>
          <w:tab w:val="left" w:pos="720"/>
          <w:tab w:val="left" w:pos="1094"/>
          <w:tab w:val="left" w:pos="1440"/>
          <w:tab w:val="left" w:pos="1800"/>
          <w:tab w:val="left" w:pos="8985"/>
        </w:tabs>
      </w:pPr>
      <w:bookmarkStart w:id="20" w:name="_Toc255223840"/>
      <w:bookmarkStart w:id="21" w:name="_Toc290302452"/>
      <w:bookmarkStart w:id="22" w:name="_Toc329063939"/>
      <w:r>
        <w:t>The target sample</w:t>
      </w:r>
      <w:r w:rsidR="00575610">
        <w:t xml:space="preserve"> size for the </w:t>
      </w:r>
      <w:r w:rsidR="0080558A">
        <w:t>PACE</w:t>
      </w:r>
      <w:r w:rsidR="00575610">
        <w:t xml:space="preserve"> study is </w:t>
      </w:r>
      <w:r w:rsidR="005D3B83">
        <w:t>9,232</w:t>
      </w:r>
      <w:r>
        <w:t xml:space="preserve"> individuals. All but one of the nine study sites will </w:t>
      </w:r>
      <w:r w:rsidR="005D3B83">
        <w:t xml:space="preserve">ultimately </w:t>
      </w:r>
      <w:r>
        <w:t xml:space="preserve">recruit </w:t>
      </w:r>
      <w:r w:rsidR="005D3B83">
        <w:t xml:space="preserve">between 500 and </w:t>
      </w:r>
      <w:r>
        <w:t>1,</w:t>
      </w:r>
      <w:r w:rsidR="005D3B83">
        <w:t>2</w:t>
      </w:r>
      <w:r>
        <w:t xml:space="preserve">00 individuals interested in career pathways services </w:t>
      </w:r>
      <w:r w:rsidR="00177A79">
        <w:t xml:space="preserve">and </w:t>
      </w:r>
      <w:r>
        <w:t xml:space="preserve">who agree to participate in the study. The ninth site, the Year Up program, will </w:t>
      </w:r>
      <w:r w:rsidR="00177A79">
        <w:t>recruit</w:t>
      </w:r>
      <w:r>
        <w:t xml:space="preserve"> about 2,</w:t>
      </w:r>
      <w:r w:rsidR="005D3B83">
        <w:t>540</w:t>
      </w:r>
      <w:r w:rsidR="00177A79">
        <w:t xml:space="preserve"> </w:t>
      </w:r>
      <w:r>
        <w:t xml:space="preserve">individuals. In eight sites, half of the sample members in each site will be assigned to the treatment </w:t>
      </w:r>
      <w:r>
        <w:lastRenderedPageBreak/>
        <w:t>group to receive the career pathways intervention and the other half will be assigned to a control group. In Year Up</w:t>
      </w:r>
      <w:r w:rsidR="00680440">
        <w:t>, t</w:t>
      </w:r>
      <w:r>
        <w:t>he ratio will be two-thirds and one-third, respectively. Sample members assigned to the control group will have access to all other services provided in the community</w:t>
      </w:r>
      <w:r w:rsidR="001148CD">
        <w:t xml:space="preserve">. </w:t>
      </w:r>
    </w:p>
    <w:p w:rsidR="00B5595B" w:rsidRDefault="00717620" w:rsidP="00717620">
      <w:pPr>
        <w:tabs>
          <w:tab w:val="left" w:pos="0"/>
          <w:tab w:val="left" w:pos="720"/>
          <w:tab w:val="left" w:pos="1094"/>
          <w:tab w:val="left" w:pos="1440"/>
          <w:tab w:val="left" w:pos="1800"/>
          <w:tab w:val="left" w:pos="8985"/>
        </w:tabs>
      </w:pPr>
      <w:r>
        <w:t xml:space="preserve">All randomly assigned individuals will be included in participant tracking and follow-up data collection. For the </w:t>
      </w:r>
      <w:r w:rsidR="00563E3B">
        <w:t>36</w:t>
      </w:r>
      <w:r w:rsidR="005D3B83">
        <w:t>-</w:t>
      </w:r>
      <w:r w:rsidR="005F2EA4">
        <w:t xml:space="preserve">month </w:t>
      </w:r>
      <w:r>
        <w:t xml:space="preserve">follow-up survey, </w:t>
      </w:r>
      <w:r w:rsidR="005F2EA4">
        <w:t xml:space="preserve">the research team will </w:t>
      </w:r>
      <w:r>
        <w:t xml:space="preserve">attempt </w:t>
      </w:r>
      <w:r w:rsidR="005F2EA4">
        <w:t xml:space="preserve">to contact and interview </w:t>
      </w:r>
      <w:r>
        <w:t>all m</w:t>
      </w:r>
      <w:r w:rsidR="00047407">
        <w:t>embers of the study sample (</w:t>
      </w:r>
      <w:r w:rsidR="005D3B83">
        <w:t>9,232</w:t>
      </w:r>
      <w:r>
        <w:t xml:space="preserve"> individuals)</w:t>
      </w:r>
      <w:r w:rsidR="0097080D">
        <w:t xml:space="preserve"> and expects to complete interviews with 80 percent of them (7,386)</w:t>
      </w:r>
      <w:r>
        <w:t xml:space="preserve">. Therefore, no sampling is required </w:t>
      </w:r>
      <w:r w:rsidR="005D3B83">
        <w:t xml:space="preserve">among </w:t>
      </w:r>
      <w:r w:rsidR="0080558A">
        <w:t>PACE</w:t>
      </w:r>
      <w:r w:rsidR="005D3B83">
        <w:t xml:space="preserve"> study participants </w:t>
      </w:r>
      <w:r>
        <w:t>for the tracking or the follow-up survey</w:t>
      </w:r>
      <w:r w:rsidR="001148CD">
        <w:t xml:space="preserve">. </w:t>
      </w:r>
      <w:r w:rsidR="00800709">
        <w:t xml:space="preserve">However, the 36-month survey includes a parenting and child outcome module, and the research team plans to sample the focal child.  </w:t>
      </w:r>
    </w:p>
    <w:p w:rsidR="00800709" w:rsidRPr="00976204" w:rsidRDefault="00800709" w:rsidP="00800709">
      <w:pPr>
        <w:rPr>
          <w:b/>
        </w:rPr>
      </w:pPr>
      <w:r w:rsidRPr="00976204">
        <w:rPr>
          <w:b/>
        </w:rPr>
        <w:t xml:space="preserve">Sampling Plan for </w:t>
      </w:r>
      <w:r>
        <w:rPr>
          <w:b/>
        </w:rPr>
        <w:t>S</w:t>
      </w:r>
      <w:r w:rsidRPr="00976204">
        <w:rPr>
          <w:b/>
        </w:rPr>
        <w:t xml:space="preserve">tudy of </w:t>
      </w:r>
      <w:r>
        <w:rPr>
          <w:b/>
        </w:rPr>
        <w:t>I</w:t>
      </w:r>
      <w:r w:rsidRPr="00976204">
        <w:rPr>
          <w:b/>
        </w:rPr>
        <w:t xml:space="preserve">mpacts on </w:t>
      </w:r>
      <w:r>
        <w:rPr>
          <w:b/>
        </w:rPr>
        <w:t>C</w:t>
      </w:r>
      <w:r w:rsidRPr="00976204">
        <w:rPr>
          <w:b/>
        </w:rPr>
        <w:t xml:space="preserve">hild </w:t>
      </w:r>
      <w:r>
        <w:rPr>
          <w:b/>
        </w:rPr>
        <w:t>O</w:t>
      </w:r>
      <w:r w:rsidRPr="00976204">
        <w:rPr>
          <w:b/>
        </w:rPr>
        <w:t>utcomes</w:t>
      </w:r>
    </w:p>
    <w:p w:rsidR="00800709" w:rsidRDefault="00800709" w:rsidP="00800709">
      <w:r>
        <w:t xml:space="preserve">In order to assess the program impacts on children, we will administer a set of questions to respondents with children. The child module to all respondents who report at least one child in the household between the ages of 3 and 18 years who has resided with the respondent more than half time during the 12 months prior to the survey. Each household will be asked about a specific focal child in the household regardless of how many children are eligible. The sampling plan calls for selecting approximately equal numbers of children from each of three age categories:  preschool-age children aged 3 through 5 and not yet in kindergarten; children in kindergarten through grade 5; and children in grades 6 through 12.  The procedure for selecting a focal child from each household will depend on the configuration of children from each age category present in the household.  Specifically, there are seven possible household configurations of age groups in households with at least one child present: </w:t>
      </w:r>
    </w:p>
    <w:p w:rsidR="00800709" w:rsidRPr="00627E6C" w:rsidRDefault="00800709" w:rsidP="00800709">
      <w:pPr>
        <w:pStyle w:val="ListParagraph"/>
        <w:numPr>
          <w:ilvl w:val="0"/>
          <w:numId w:val="19"/>
        </w:numPr>
        <w:spacing w:after="200" w:line="276" w:lineRule="auto"/>
      </w:pPr>
      <w:r w:rsidRPr="00627E6C">
        <w:t>Preschool child(</w:t>
      </w:r>
      <w:proofErr w:type="spellStart"/>
      <w:r w:rsidRPr="00627E6C">
        <w:t>ren</w:t>
      </w:r>
      <w:proofErr w:type="spellEnd"/>
      <w:r w:rsidRPr="00627E6C">
        <w:t xml:space="preserve">) only </w:t>
      </w:r>
    </w:p>
    <w:p w:rsidR="00800709" w:rsidRPr="00627E6C" w:rsidRDefault="00800709" w:rsidP="00800709">
      <w:pPr>
        <w:pStyle w:val="ListParagraph"/>
        <w:numPr>
          <w:ilvl w:val="0"/>
          <w:numId w:val="19"/>
        </w:numPr>
        <w:spacing w:after="200" w:line="276" w:lineRule="auto"/>
      </w:pPr>
      <w:r w:rsidRPr="00627E6C">
        <w:t>Child(</w:t>
      </w:r>
      <w:proofErr w:type="spellStart"/>
      <w:r w:rsidRPr="00627E6C">
        <w:t>ren</w:t>
      </w:r>
      <w:proofErr w:type="spellEnd"/>
      <w:r w:rsidRPr="00627E6C">
        <w:t>) in K – 5</w:t>
      </w:r>
      <w:r w:rsidRPr="00627E6C">
        <w:rPr>
          <w:vertAlign w:val="superscript"/>
        </w:rPr>
        <w:t>th</w:t>
      </w:r>
      <w:r w:rsidRPr="00627E6C">
        <w:t xml:space="preserve"> grade only </w:t>
      </w:r>
    </w:p>
    <w:p w:rsidR="00800709" w:rsidRPr="00627E6C" w:rsidRDefault="00800709" w:rsidP="00800709">
      <w:pPr>
        <w:pStyle w:val="ListParagraph"/>
        <w:numPr>
          <w:ilvl w:val="0"/>
          <w:numId w:val="19"/>
        </w:numPr>
        <w:spacing w:after="200" w:line="276" w:lineRule="auto"/>
      </w:pPr>
      <w:r w:rsidRPr="00627E6C">
        <w:t>Children in 6</w:t>
      </w:r>
      <w:r w:rsidRPr="00627E6C">
        <w:rPr>
          <w:vertAlign w:val="superscript"/>
        </w:rPr>
        <w:t>th</w:t>
      </w:r>
      <w:r w:rsidRPr="00627E6C">
        <w:t xml:space="preserve"> – 12</w:t>
      </w:r>
      <w:r w:rsidRPr="00627E6C">
        <w:rPr>
          <w:vertAlign w:val="superscript"/>
        </w:rPr>
        <w:t>th</w:t>
      </w:r>
      <w:r w:rsidRPr="00627E6C">
        <w:t xml:space="preserve"> grades only</w:t>
      </w:r>
    </w:p>
    <w:p w:rsidR="00800709" w:rsidRPr="00627E6C" w:rsidRDefault="00800709" w:rsidP="00800709">
      <w:pPr>
        <w:pStyle w:val="ListParagraph"/>
        <w:numPr>
          <w:ilvl w:val="0"/>
          <w:numId w:val="19"/>
        </w:numPr>
        <w:spacing w:after="200" w:line="276" w:lineRule="auto"/>
      </w:pPr>
      <w:r w:rsidRPr="00627E6C">
        <w:t>Preschool and K -5</w:t>
      </w:r>
      <w:r w:rsidRPr="00627E6C">
        <w:rPr>
          <w:vertAlign w:val="superscript"/>
        </w:rPr>
        <w:t>th</w:t>
      </w:r>
      <w:r w:rsidRPr="00627E6C">
        <w:t xml:space="preserve"> grade children </w:t>
      </w:r>
    </w:p>
    <w:p w:rsidR="00800709" w:rsidRPr="00627E6C" w:rsidRDefault="00800709" w:rsidP="00800709">
      <w:pPr>
        <w:pStyle w:val="ListParagraph"/>
        <w:numPr>
          <w:ilvl w:val="0"/>
          <w:numId w:val="19"/>
        </w:numPr>
        <w:spacing w:after="200" w:line="276" w:lineRule="auto"/>
      </w:pPr>
      <w:r w:rsidRPr="00627E6C">
        <w:t>K – 5</w:t>
      </w:r>
      <w:r w:rsidRPr="00627E6C">
        <w:rPr>
          <w:vertAlign w:val="superscript"/>
        </w:rPr>
        <w:t>th</w:t>
      </w:r>
      <w:r w:rsidRPr="00627E6C">
        <w:t xml:space="preserve"> grade and 6</w:t>
      </w:r>
      <w:r w:rsidRPr="00627E6C">
        <w:rPr>
          <w:vertAlign w:val="superscript"/>
        </w:rPr>
        <w:t>th</w:t>
      </w:r>
      <w:r w:rsidRPr="00627E6C">
        <w:t xml:space="preserve"> – 12 grade children</w:t>
      </w:r>
    </w:p>
    <w:p w:rsidR="00800709" w:rsidRPr="00627E6C" w:rsidRDefault="00800709" w:rsidP="00800709">
      <w:pPr>
        <w:pStyle w:val="ListParagraph"/>
        <w:numPr>
          <w:ilvl w:val="0"/>
          <w:numId w:val="19"/>
        </w:numPr>
        <w:spacing w:after="200" w:line="276" w:lineRule="auto"/>
      </w:pPr>
      <w:r w:rsidRPr="00627E6C">
        <w:t>Preschool and children 6</w:t>
      </w:r>
      <w:r w:rsidRPr="00627E6C">
        <w:rPr>
          <w:vertAlign w:val="superscript"/>
        </w:rPr>
        <w:t>th</w:t>
      </w:r>
      <w:r w:rsidRPr="00627E6C">
        <w:t xml:space="preserve"> – 12 grade children</w:t>
      </w:r>
    </w:p>
    <w:p w:rsidR="00800709" w:rsidRPr="00627E6C" w:rsidRDefault="00800709" w:rsidP="00800709">
      <w:pPr>
        <w:pStyle w:val="ListParagraph"/>
        <w:numPr>
          <w:ilvl w:val="0"/>
          <w:numId w:val="19"/>
        </w:numPr>
        <w:spacing w:after="200" w:line="276" w:lineRule="auto"/>
      </w:pPr>
      <w:r w:rsidRPr="00627E6C">
        <w:t>Preschool-age, K – 5</w:t>
      </w:r>
      <w:r w:rsidRPr="00627E6C">
        <w:rPr>
          <w:vertAlign w:val="superscript"/>
        </w:rPr>
        <w:t>th</w:t>
      </w:r>
      <w:r w:rsidRPr="00627E6C">
        <w:t xml:space="preserve"> grade, and 6</w:t>
      </w:r>
      <w:r w:rsidRPr="00627E6C">
        <w:rPr>
          <w:vertAlign w:val="superscript"/>
        </w:rPr>
        <w:t>th</w:t>
      </w:r>
      <w:r w:rsidRPr="00627E6C">
        <w:t xml:space="preserve"> – 12 grade children. </w:t>
      </w:r>
    </w:p>
    <w:p w:rsidR="00800709" w:rsidRPr="00527D1D" w:rsidRDefault="00800709" w:rsidP="00800709">
      <w:pPr>
        <w:tabs>
          <w:tab w:val="left" w:pos="4188"/>
        </w:tabs>
      </w:pPr>
      <w:r>
        <w:t>The sampling plan is as follows:</w:t>
      </w:r>
    </w:p>
    <w:p w:rsidR="00800709" w:rsidRPr="00627E6C" w:rsidRDefault="00800709" w:rsidP="00800709">
      <w:pPr>
        <w:pStyle w:val="ListParagraph"/>
        <w:numPr>
          <w:ilvl w:val="0"/>
          <w:numId w:val="20"/>
        </w:numPr>
        <w:spacing w:after="200" w:line="276" w:lineRule="auto"/>
      </w:pPr>
      <w:r w:rsidRPr="00627E6C">
        <w:t>For household configurations 1, 2, and 3, only one age group will be sampled; if there are multiple children in that age group, one child will be selected at random.</w:t>
      </w:r>
    </w:p>
    <w:p w:rsidR="00800709" w:rsidRPr="00627E6C" w:rsidRDefault="00800709" w:rsidP="00800709">
      <w:pPr>
        <w:pStyle w:val="ListParagraph"/>
        <w:numPr>
          <w:ilvl w:val="0"/>
          <w:numId w:val="20"/>
        </w:numPr>
        <w:spacing w:after="200" w:line="276" w:lineRule="auto"/>
      </w:pPr>
      <w:r w:rsidRPr="00627E6C">
        <w:t>For household configurations 4 and 5, a K – 5</w:t>
      </w:r>
      <w:r w:rsidRPr="00627E6C">
        <w:rPr>
          <w:vertAlign w:val="superscript"/>
        </w:rPr>
        <w:t>th</w:t>
      </w:r>
      <w:r w:rsidRPr="00627E6C">
        <w:t xml:space="preserve"> grade child will be selected from 30</w:t>
      </w:r>
      <w:r>
        <w:t xml:space="preserve"> percent</w:t>
      </w:r>
      <w:r w:rsidRPr="00627E6C">
        <w:t xml:space="preserve"> of households and a child from the other age category in the household (preschool-age or 6</w:t>
      </w:r>
      <w:r w:rsidRPr="00627E6C">
        <w:rPr>
          <w:vertAlign w:val="superscript"/>
        </w:rPr>
        <w:t>th</w:t>
      </w:r>
      <w:r w:rsidRPr="00627E6C">
        <w:t xml:space="preserve"> – 12</w:t>
      </w:r>
      <w:r w:rsidRPr="00627E6C">
        <w:rPr>
          <w:vertAlign w:val="superscript"/>
        </w:rPr>
        <w:t>th</w:t>
      </w:r>
      <w:r w:rsidRPr="00627E6C">
        <w:t xml:space="preserve"> grade) will be selected from 70</w:t>
      </w:r>
      <w:r>
        <w:t xml:space="preserve"> percent</w:t>
      </w:r>
      <w:r w:rsidRPr="00627E6C">
        <w:t xml:space="preserve"> of households. </w:t>
      </w:r>
    </w:p>
    <w:p w:rsidR="00800709" w:rsidRPr="00627E6C" w:rsidRDefault="00800709" w:rsidP="00800709">
      <w:pPr>
        <w:pStyle w:val="ListParagraph"/>
        <w:numPr>
          <w:ilvl w:val="0"/>
          <w:numId w:val="20"/>
        </w:numPr>
        <w:spacing w:after="200" w:line="276" w:lineRule="auto"/>
      </w:pPr>
      <w:r w:rsidRPr="00627E6C">
        <w:t>For household configuration 6, a preschool child will be selected from 50</w:t>
      </w:r>
      <w:r>
        <w:t xml:space="preserve"> percent</w:t>
      </w:r>
      <w:r w:rsidRPr="00627E6C">
        <w:t xml:space="preserve"> of the households, and a child in 6</w:t>
      </w:r>
      <w:r w:rsidRPr="00627E6C">
        <w:rPr>
          <w:vertAlign w:val="superscript"/>
        </w:rPr>
        <w:t>th</w:t>
      </w:r>
      <w:r w:rsidRPr="00627E6C">
        <w:t xml:space="preserve"> – 12</w:t>
      </w:r>
      <w:r w:rsidRPr="00627E6C">
        <w:rPr>
          <w:vertAlign w:val="superscript"/>
        </w:rPr>
        <w:t xml:space="preserve">th </w:t>
      </w:r>
      <w:r w:rsidRPr="00627E6C">
        <w:t>grade will be selected from 50</w:t>
      </w:r>
      <w:r>
        <w:t xml:space="preserve"> percent</w:t>
      </w:r>
      <w:r w:rsidRPr="00627E6C">
        <w:t xml:space="preserve"> of the households. </w:t>
      </w:r>
    </w:p>
    <w:p w:rsidR="00800709" w:rsidRPr="00627E6C" w:rsidRDefault="00800709" w:rsidP="00800709">
      <w:pPr>
        <w:pStyle w:val="ListParagraph"/>
        <w:numPr>
          <w:ilvl w:val="0"/>
          <w:numId w:val="20"/>
        </w:numPr>
        <w:spacing w:after="200" w:line="276" w:lineRule="auto"/>
      </w:pPr>
      <w:r w:rsidRPr="00627E6C">
        <w:t>For household configuration 7, a child in K – 5</w:t>
      </w:r>
      <w:r w:rsidRPr="00627E6C">
        <w:rPr>
          <w:vertAlign w:val="superscript"/>
        </w:rPr>
        <w:t>th</w:t>
      </w:r>
      <w:r w:rsidRPr="00627E6C">
        <w:t xml:space="preserve"> grade will be selected from 20</w:t>
      </w:r>
      <w:r>
        <w:t xml:space="preserve"> percent</w:t>
      </w:r>
      <w:r w:rsidRPr="00627E6C">
        <w:t xml:space="preserve"> of households, a preschool-age child will be selected from 40</w:t>
      </w:r>
      <w:r>
        <w:t xml:space="preserve"> percent</w:t>
      </w:r>
      <w:r w:rsidRPr="00627E6C">
        <w:t xml:space="preserve"> of households, and a child in 6</w:t>
      </w:r>
      <w:r w:rsidRPr="00627E6C">
        <w:rPr>
          <w:vertAlign w:val="superscript"/>
        </w:rPr>
        <w:t>th</w:t>
      </w:r>
      <w:r w:rsidRPr="00627E6C">
        <w:t xml:space="preserve"> – 12</w:t>
      </w:r>
      <w:r w:rsidRPr="00627E6C">
        <w:rPr>
          <w:vertAlign w:val="superscript"/>
        </w:rPr>
        <w:t>th</w:t>
      </w:r>
      <w:r w:rsidRPr="00627E6C">
        <w:t xml:space="preserve"> will be selected from 40</w:t>
      </w:r>
      <w:r>
        <w:t xml:space="preserve"> percent</w:t>
      </w:r>
      <w:r w:rsidRPr="00627E6C">
        <w:t xml:space="preserve"> of households. </w:t>
      </w:r>
    </w:p>
    <w:p w:rsidR="005D3B83" w:rsidRDefault="00800709" w:rsidP="00800709">
      <w:pPr>
        <w:tabs>
          <w:tab w:val="left" w:pos="0"/>
          <w:tab w:val="left" w:pos="720"/>
          <w:tab w:val="left" w:pos="1094"/>
          <w:tab w:val="left" w:pos="1440"/>
          <w:tab w:val="left" w:pos="1800"/>
          <w:tab w:val="left" w:pos="8985"/>
        </w:tabs>
      </w:pPr>
      <w:r>
        <w:lastRenderedPageBreak/>
        <w:t xml:space="preserve">Sampling weights will be used to account for the differential sampling ratios for some child age categories in some household configurations. By applying the sampling weights, the sample for estimating program impacts on children will represent the distribution of the seven household configurations among study households. </w:t>
      </w:r>
    </w:p>
    <w:p w:rsidR="00F64AE0" w:rsidRDefault="00800709" w:rsidP="00F64AE0">
      <w:pPr>
        <w:pStyle w:val="Heading3"/>
      </w:pPr>
      <w:bookmarkStart w:id="23" w:name="_Toc403652248"/>
      <w:r>
        <w:t>B.2.3</w:t>
      </w:r>
      <w:r>
        <w:tab/>
      </w:r>
      <w:r w:rsidR="00F64AE0">
        <w:t>Estimation Procedures</w:t>
      </w:r>
      <w:bookmarkEnd w:id="20"/>
      <w:bookmarkEnd w:id="21"/>
      <w:bookmarkEnd w:id="22"/>
      <w:bookmarkEnd w:id="23"/>
    </w:p>
    <w:p w:rsidR="00F64AE0" w:rsidRDefault="00717620" w:rsidP="00185072">
      <w:r>
        <w:t>The research team will use a</w:t>
      </w:r>
      <w:r w:rsidR="00F64AE0">
        <w:t xml:space="preserve"> variety of estimation techniques</w:t>
      </w:r>
      <w:r w:rsidR="006767E7">
        <w:t xml:space="preserve">. </w:t>
      </w:r>
      <w:r w:rsidR="00F64AE0">
        <w:t xml:space="preserve">The primary analysis of treatment effects on </w:t>
      </w:r>
      <w:r w:rsidR="00563E3B">
        <w:t xml:space="preserve">36-month </w:t>
      </w:r>
      <w:r w:rsidR="00F64AE0" w:rsidRPr="005A3A97">
        <w:t>outcomes</w:t>
      </w:r>
      <w:r w:rsidR="00F64AE0">
        <w:t xml:space="preserve"> will be intent-to-treat, i.e., they will estimate effects on those who are offered access to the program</w:t>
      </w:r>
      <w:r w:rsidR="006767E7">
        <w:t xml:space="preserve">. </w:t>
      </w:r>
      <w:r w:rsidR="00F64AE0">
        <w:t xml:space="preserve">Given the rich set of baseline </w:t>
      </w:r>
      <w:r w:rsidR="00F64AE0" w:rsidRPr="00185072">
        <w:t>data</w:t>
      </w:r>
      <w:r w:rsidR="00F64AE0">
        <w:t xml:space="preserve"> collected, </w:t>
      </w:r>
      <w:r w:rsidR="00F64AE0" w:rsidRPr="001208B7">
        <w:t xml:space="preserve">regression analysis </w:t>
      </w:r>
      <w:r w:rsidR="00F64AE0">
        <w:t xml:space="preserve">will be used </w:t>
      </w:r>
      <w:r w:rsidR="00F64AE0" w:rsidRPr="001208B7">
        <w:t>to improve the precision of the estimates while preserving their unbiased character</w:t>
      </w:r>
      <w:r w:rsidR="006767E7">
        <w:t xml:space="preserve">. </w:t>
      </w:r>
      <w:r w:rsidR="00F64AE0" w:rsidRPr="001208B7">
        <w:t xml:space="preserve">The estimates of precision presented in the next section assume such regression adjustments, with precision gains </w:t>
      </w:r>
      <w:r w:rsidR="00C910B4" w:rsidRPr="001208B7">
        <w:t>based on those obtained in similar studies</w:t>
      </w:r>
      <w:r w:rsidR="006A4B15">
        <w:t xml:space="preserve"> such as the National Job Training Partnership Act (JTPA) evaluation</w:t>
      </w:r>
      <w:r w:rsidR="00630689">
        <w:t xml:space="preserve"> (Orr et. al. 1996)</w:t>
      </w:r>
      <w:r w:rsidR="00C910B4" w:rsidRPr="001208B7">
        <w:t>.</w:t>
      </w:r>
      <w:r w:rsidR="00C910B4">
        <w:t xml:space="preserve"> </w:t>
      </w:r>
      <w:r w:rsidR="006767E7">
        <w:t xml:space="preserve"> </w:t>
      </w:r>
      <w:r w:rsidR="00F64AE0">
        <w:t>Plans are also being developed to study sources of variation in outcomes as an exploratory study</w:t>
      </w:r>
      <w:r w:rsidR="006767E7">
        <w:t xml:space="preserve">. </w:t>
      </w:r>
      <w:r w:rsidR="00F64AE0">
        <w:t>Some of the estimation techniques employed for that will not rely on randomization for inference but rather rely on the completeness of baseline covariates to remove selection biases</w:t>
      </w:r>
      <w:r w:rsidR="006767E7">
        <w:t xml:space="preserve">. </w:t>
      </w:r>
    </w:p>
    <w:p w:rsidR="00F64AE0" w:rsidRDefault="00F64AE0" w:rsidP="00F64AE0">
      <w:pPr>
        <w:pStyle w:val="Heading3"/>
      </w:pPr>
      <w:bookmarkStart w:id="24" w:name="_Toc255223841"/>
      <w:bookmarkStart w:id="25" w:name="_Toc290302453"/>
      <w:bookmarkStart w:id="26" w:name="_Toc329063940"/>
      <w:bookmarkStart w:id="27" w:name="_Toc403652249"/>
      <w:r>
        <w:t>B.2.</w:t>
      </w:r>
      <w:r w:rsidR="00800709">
        <w:t>4</w:t>
      </w:r>
      <w:r>
        <w:tab/>
        <w:t>Degree of Accuracy Required</w:t>
      </w:r>
      <w:bookmarkEnd w:id="24"/>
      <w:bookmarkEnd w:id="25"/>
      <w:bookmarkEnd w:id="26"/>
      <w:bookmarkEnd w:id="27"/>
    </w:p>
    <w:p w:rsidR="005B3218" w:rsidRDefault="005B3218" w:rsidP="005B3218">
      <w:r>
        <w:t>The baseline data collected will be used in the future in conjunction with follow-up survey data and administrative data to estimate impacts of career pathways interventions. The research team has estimated the minimum detectable impacts (MDIs). As shown in Exhibit B.2 below, the MDI is the smallest true impact that the study will have an 80 percent probability of detecting when the test for the hypothesis of “no impact” has just a 10 percent chance of finding an impact if the true impact is zero.</w:t>
      </w:r>
    </w:p>
    <w:p w:rsidR="007523C2" w:rsidRDefault="005B3218" w:rsidP="00D5353C">
      <w:r w:rsidRPr="00FE7668">
        <w:t>MDI estimates fo</w:t>
      </w:r>
      <w:r>
        <w:t>r two sample sizes are shown in Exhibit B.2</w:t>
      </w:r>
      <w:r w:rsidRPr="00FE7668">
        <w:t xml:space="preserve">—one for the typical </w:t>
      </w:r>
      <w:r w:rsidR="0080558A">
        <w:t>PACE</w:t>
      </w:r>
      <w:r w:rsidRPr="00FE7668">
        <w:t xml:space="preserve"> site (treatment and control groups both 500)</w:t>
      </w:r>
      <w:r w:rsidR="003642FD">
        <w:t xml:space="preserve">, one for smaller </w:t>
      </w:r>
      <w:r w:rsidR="0080558A">
        <w:t>PACE</w:t>
      </w:r>
      <w:r w:rsidR="003642FD">
        <w:t xml:space="preserve"> sites (300 each for treatments and controls)</w:t>
      </w:r>
      <w:r w:rsidRPr="00FE7668">
        <w:t xml:space="preserve"> and one for Year Up (1,</w:t>
      </w:r>
      <w:r w:rsidR="003642FD">
        <w:t>695</w:t>
      </w:r>
      <w:r w:rsidRPr="00FE7668">
        <w:t xml:space="preserve"> treatment, </w:t>
      </w:r>
      <w:r w:rsidR="003642FD">
        <w:t>845</w:t>
      </w:r>
      <w:r w:rsidRPr="00FE7668">
        <w:t xml:space="preserve"> control). MDI</w:t>
      </w:r>
      <w:r>
        <w:t xml:space="preserve">s are displayed for </w:t>
      </w:r>
      <w:r w:rsidRPr="00FE7668">
        <w:t>outcomes treated as confirmatory at the</w:t>
      </w:r>
      <w:r>
        <w:t xml:space="preserve"> </w:t>
      </w:r>
      <w:r w:rsidR="005A3A97" w:rsidRPr="005A3A97">
        <w:t>15</w:t>
      </w:r>
      <w:r w:rsidR="00D43435" w:rsidRPr="00D43435">
        <w:t>-month</w:t>
      </w:r>
      <w:r w:rsidRPr="00FE7668">
        <w:t xml:space="preserve"> follow-up point (percent with substantial progress in career pathways training) and at the 36-month point and beyond (average annual earnings)</w:t>
      </w:r>
      <w:r w:rsidR="001148CD">
        <w:t xml:space="preserve">. </w:t>
      </w:r>
      <w:r w:rsidRPr="00FE7668">
        <w:t xml:space="preserve"> </w:t>
      </w:r>
    </w:p>
    <w:p w:rsidR="00F64AE0" w:rsidRDefault="00F64AE0" w:rsidP="00F64AE0">
      <w:pPr>
        <w:pStyle w:val="Caption"/>
      </w:pPr>
      <w:proofErr w:type="gramStart"/>
      <w:r>
        <w:t>Exhibit B</w:t>
      </w:r>
      <w:r w:rsidR="000A18D8">
        <w:t>-</w:t>
      </w:r>
      <w:r>
        <w:t>2.</w:t>
      </w:r>
      <w:proofErr w:type="gramEnd"/>
      <w:r>
        <w:tab/>
      </w:r>
      <w:r w:rsidRPr="00FE7668">
        <w:t>Minimum Detectable Impacts for Confirmatory Hypotheses</w:t>
      </w:r>
    </w:p>
    <w:tbl>
      <w:tblPr>
        <w:tblStyle w:val="TableGrid1"/>
        <w:tblW w:w="0" w:type="auto"/>
        <w:tblInd w:w="10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881"/>
        <w:gridCol w:w="3165"/>
        <w:gridCol w:w="3062"/>
      </w:tblGrid>
      <w:tr w:rsidR="00045F32" w:rsidRPr="00E20961" w:rsidTr="002244DD">
        <w:tc>
          <w:tcPr>
            <w:tcW w:w="2881" w:type="dxa"/>
            <w:shd w:val="clear" w:color="auto" w:fill="C3C6A8" w:themeFill="accent4"/>
            <w:vAlign w:val="bottom"/>
          </w:tcPr>
          <w:p w:rsidR="00045F32" w:rsidRPr="00E20961" w:rsidRDefault="00045F32" w:rsidP="001A12C7">
            <w:pPr>
              <w:pStyle w:val="Table"/>
              <w:framePr w:hSpace="0" w:wrap="auto" w:vAnchor="margin" w:hAnchor="text" w:xAlign="left" w:yAlign="inline"/>
              <w:spacing w:before="60" w:after="60" w:line="240" w:lineRule="auto"/>
            </w:pPr>
            <w:r w:rsidRPr="00E20961">
              <w:t>Statistic</w:t>
            </w:r>
          </w:p>
        </w:tc>
        <w:tc>
          <w:tcPr>
            <w:tcW w:w="3165" w:type="dxa"/>
            <w:shd w:val="clear" w:color="auto" w:fill="C3C6A8" w:themeFill="accent4"/>
            <w:vAlign w:val="bottom"/>
          </w:tcPr>
          <w:p w:rsidR="00045F32" w:rsidRPr="00E20961" w:rsidRDefault="00045F32" w:rsidP="001A12C7">
            <w:pPr>
              <w:pStyle w:val="Table"/>
              <w:framePr w:hSpace="0" w:wrap="auto" w:vAnchor="margin" w:hAnchor="text" w:xAlign="left" w:yAlign="inline"/>
              <w:spacing w:before="60" w:after="60" w:line="240" w:lineRule="auto"/>
            </w:pPr>
            <w:r w:rsidRPr="00E20961">
              <w:t xml:space="preserve">% with Substantial Educational Progress (Confirmatory </w:t>
            </w:r>
            <w:r>
              <w:t xml:space="preserve">at </w:t>
            </w:r>
            <w:r w:rsidRPr="00E20961">
              <w:t>15 months)</w:t>
            </w:r>
          </w:p>
        </w:tc>
        <w:tc>
          <w:tcPr>
            <w:tcW w:w="3062" w:type="dxa"/>
            <w:shd w:val="clear" w:color="auto" w:fill="C3C6A8" w:themeFill="accent4"/>
            <w:vAlign w:val="bottom"/>
          </w:tcPr>
          <w:p w:rsidR="00045F32" w:rsidRPr="00E20961" w:rsidRDefault="00045F32" w:rsidP="001A12C7">
            <w:pPr>
              <w:pStyle w:val="Table"/>
              <w:framePr w:hSpace="0" w:wrap="auto" w:vAnchor="margin" w:hAnchor="text" w:xAlign="left" w:yAlign="inline"/>
              <w:spacing w:before="60" w:after="60" w:line="240" w:lineRule="auto"/>
            </w:pPr>
            <w:r w:rsidRPr="00E20961">
              <w:t xml:space="preserve">Average </w:t>
            </w:r>
            <w:r>
              <w:t>Quarterly</w:t>
            </w:r>
            <w:r w:rsidRPr="00E20961">
              <w:t xml:space="preserve"> Earnings (Confirmatory </w:t>
            </w:r>
            <w:r>
              <w:t xml:space="preserve">at </w:t>
            </w:r>
            <w:r w:rsidRPr="00E20961">
              <w:t>36, 60 months)</w:t>
            </w:r>
          </w:p>
        </w:tc>
      </w:tr>
      <w:tr w:rsidR="00045F32" w:rsidRPr="00E20961" w:rsidTr="002244DD">
        <w:tc>
          <w:tcPr>
            <w:tcW w:w="2881" w:type="dxa"/>
            <w:vAlign w:val="center"/>
          </w:tcPr>
          <w:p w:rsidR="00045F32" w:rsidRPr="00DA19C3" w:rsidRDefault="00045F32" w:rsidP="001A12C7">
            <w:pPr>
              <w:pStyle w:val="Table"/>
              <w:framePr w:hSpace="0" w:wrap="auto" w:vAnchor="margin" w:hAnchor="text" w:xAlign="left" w:yAlign="inline"/>
              <w:spacing w:before="120" w:after="120" w:line="240" w:lineRule="auto"/>
              <w:jc w:val="left"/>
              <w:rPr>
                <w:b w:val="0"/>
              </w:rPr>
            </w:pPr>
            <w:r w:rsidRPr="00DA19C3">
              <w:rPr>
                <w:b w:val="0"/>
              </w:rPr>
              <w:t>MDE for Sample Sizes with:</w:t>
            </w:r>
          </w:p>
        </w:tc>
        <w:tc>
          <w:tcPr>
            <w:tcW w:w="3165" w:type="dxa"/>
            <w:vAlign w:val="center"/>
          </w:tcPr>
          <w:p w:rsidR="00045F32" w:rsidRPr="00DA19C3" w:rsidRDefault="00045F32" w:rsidP="001A12C7">
            <w:pPr>
              <w:pStyle w:val="Table"/>
              <w:framePr w:hSpace="0" w:wrap="auto" w:vAnchor="margin" w:hAnchor="text" w:xAlign="left" w:yAlign="inline"/>
              <w:spacing w:before="120" w:after="120" w:line="240" w:lineRule="auto"/>
              <w:jc w:val="left"/>
              <w:rPr>
                <w:b w:val="0"/>
              </w:rPr>
            </w:pPr>
          </w:p>
        </w:tc>
        <w:tc>
          <w:tcPr>
            <w:tcW w:w="3062" w:type="dxa"/>
            <w:vAlign w:val="center"/>
          </w:tcPr>
          <w:p w:rsidR="00045F32" w:rsidRPr="00DA19C3" w:rsidRDefault="00045F32" w:rsidP="001A12C7">
            <w:pPr>
              <w:pStyle w:val="Table"/>
              <w:framePr w:hSpace="0" w:wrap="auto" w:vAnchor="margin" w:hAnchor="text" w:xAlign="left" w:yAlign="inline"/>
              <w:spacing w:before="120" w:after="120" w:line="240" w:lineRule="auto"/>
              <w:jc w:val="left"/>
              <w:rPr>
                <w:b w:val="0"/>
              </w:rPr>
            </w:pPr>
          </w:p>
        </w:tc>
      </w:tr>
      <w:tr w:rsidR="00045F32" w:rsidRPr="00E20961" w:rsidTr="002244DD">
        <w:tc>
          <w:tcPr>
            <w:tcW w:w="2881" w:type="dxa"/>
            <w:shd w:val="clear" w:color="auto" w:fill="D0D3D4" w:themeFill="accent3"/>
            <w:vAlign w:val="center"/>
          </w:tcPr>
          <w:p w:rsidR="00045F32" w:rsidRPr="00DA19C3" w:rsidRDefault="00045F32" w:rsidP="001A12C7">
            <w:pPr>
              <w:pStyle w:val="Table"/>
              <w:framePr w:hSpace="0" w:wrap="auto" w:vAnchor="margin" w:hAnchor="text" w:xAlign="left" w:yAlign="inline"/>
              <w:spacing w:before="120" w:after="120" w:line="240" w:lineRule="auto"/>
              <w:jc w:val="left"/>
              <w:rPr>
                <w:b w:val="0"/>
              </w:rPr>
            </w:pPr>
            <w:r w:rsidRPr="00DA19C3">
              <w:rPr>
                <w:b w:val="0"/>
              </w:rPr>
              <w:t>500 T: 500 C (most programs)</w:t>
            </w:r>
          </w:p>
        </w:tc>
        <w:tc>
          <w:tcPr>
            <w:tcW w:w="3165" w:type="dxa"/>
            <w:shd w:val="clear" w:color="auto" w:fill="D0D3D4" w:themeFill="accent3"/>
            <w:vAlign w:val="center"/>
          </w:tcPr>
          <w:p w:rsidR="00045F32" w:rsidRPr="00DA19C3" w:rsidRDefault="00045F32" w:rsidP="001A12C7">
            <w:pPr>
              <w:pStyle w:val="Table"/>
              <w:framePr w:hSpace="0" w:wrap="auto" w:vAnchor="margin" w:hAnchor="text" w:xAlign="left" w:yAlign="inline"/>
              <w:spacing w:before="120" w:after="120" w:line="240" w:lineRule="auto"/>
              <w:jc w:val="left"/>
              <w:rPr>
                <w:b w:val="0"/>
              </w:rPr>
            </w:pPr>
            <w:r w:rsidRPr="00DA19C3">
              <w:rPr>
                <w:b w:val="0"/>
              </w:rPr>
              <w:t>6.2</w:t>
            </w:r>
          </w:p>
        </w:tc>
        <w:tc>
          <w:tcPr>
            <w:tcW w:w="3062" w:type="dxa"/>
            <w:shd w:val="clear" w:color="auto" w:fill="D0D3D4" w:themeFill="accent3"/>
            <w:vAlign w:val="center"/>
          </w:tcPr>
          <w:p w:rsidR="00045F32" w:rsidRPr="00DA19C3" w:rsidRDefault="00045F32" w:rsidP="001A12C7">
            <w:pPr>
              <w:pStyle w:val="Table"/>
              <w:framePr w:hSpace="0" w:wrap="auto" w:vAnchor="margin" w:hAnchor="text" w:xAlign="left" w:yAlign="inline"/>
              <w:spacing w:before="120" w:after="120" w:line="240" w:lineRule="auto"/>
              <w:jc w:val="left"/>
              <w:rPr>
                <w:b w:val="0"/>
              </w:rPr>
            </w:pPr>
            <w:r w:rsidRPr="00DA19C3">
              <w:rPr>
                <w:b w:val="0"/>
              </w:rPr>
              <w:t>$324</w:t>
            </w:r>
          </w:p>
        </w:tc>
      </w:tr>
      <w:tr w:rsidR="00045F32" w:rsidRPr="00E20961" w:rsidTr="002244DD">
        <w:tc>
          <w:tcPr>
            <w:tcW w:w="2881" w:type="dxa"/>
            <w:vAlign w:val="center"/>
          </w:tcPr>
          <w:p w:rsidR="00045F32" w:rsidRPr="00DA19C3" w:rsidRDefault="00045F32" w:rsidP="001A12C7">
            <w:pPr>
              <w:pStyle w:val="Table"/>
              <w:framePr w:hSpace="0" w:wrap="auto" w:vAnchor="margin" w:hAnchor="text" w:xAlign="left" w:yAlign="inline"/>
              <w:spacing w:before="120" w:after="120" w:line="240" w:lineRule="auto"/>
              <w:jc w:val="left"/>
              <w:rPr>
                <w:b w:val="0"/>
              </w:rPr>
            </w:pPr>
            <w:r w:rsidRPr="00DA19C3">
              <w:rPr>
                <w:b w:val="0"/>
              </w:rPr>
              <w:t>300 T: 300 C (recruitment shortfall)</w:t>
            </w:r>
          </w:p>
        </w:tc>
        <w:tc>
          <w:tcPr>
            <w:tcW w:w="3165" w:type="dxa"/>
            <w:vAlign w:val="center"/>
          </w:tcPr>
          <w:p w:rsidR="00045F32" w:rsidRPr="00DA19C3" w:rsidRDefault="00045F32" w:rsidP="001A12C7">
            <w:pPr>
              <w:pStyle w:val="Table"/>
              <w:framePr w:hSpace="0" w:wrap="auto" w:vAnchor="margin" w:hAnchor="text" w:xAlign="left" w:yAlign="inline"/>
              <w:spacing w:before="120" w:after="120" w:line="240" w:lineRule="auto"/>
              <w:jc w:val="left"/>
              <w:rPr>
                <w:b w:val="0"/>
              </w:rPr>
            </w:pPr>
            <w:r w:rsidRPr="00DA19C3">
              <w:rPr>
                <w:b w:val="0"/>
              </w:rPr>
              <w:t>8.0</w:t>
            </w:r>
          </w:p>
        </w:tc>
        <w:tc>
          <w:tcPr>
            <w:tcW w:w="3062" w:type="dxa"/>
            <w:vAlign w:val="center"/>
          </w:tcPr>
          <w:p w:rsidR="00045F32" w:rsidRPr="00DA19C3" w:rsidRDefault="00045F32" w:rsidP="001A12C7">
            <w:pPr>
              <w:pStyle w:val="Table"/>
              <w:framePr w:hSpace="0" w:wrap="auto" w:vAnchor="margin" w:hAnchor="text" w:xAlign="left" w:yAlign="inline"/>
              <w:spacing w:before="120" w:after="120" w:line="240" w:lineRule="auto"/>
              <w:jc w:val="left"/>
              <w:rPr>
                <w:b w:val="0"/>
              </w:rPr>
            </w:pPr>
            <w:r w:rsidRPr="00DA19C3">
              <w:rPr>
                <w:b w:val="0"/>
              </w:rPr>
              <w:t>$418</w:t>
            </w:r>
          </w:p>
        </w:tc>
      </w:tr>
      <w:tr w:rsidR="00045F32" w:rsidRPr="00E20961" w:rsidTr="002244DD">
        <w:tc>
          <w:tcPr>
            <w:tcW w:w="2881" w:type="dxa"/>
            <w:shd w:val="clear" w:color="auto" w:fill="D0D3D4" w:themeFill="accent3"/>
            <w:vAlign w:val="center"/>
          </w:tcPr>
          <w:p w:rsidR="00045F32" w:rsidRPr="00DA19C3" w:rsidRDefault="00045F32" w:rsidP="003642FD">
            <w:pPr>
              <w:pStyle w:val="Table"/>
              <w:framePr w:hSpace="0" w:wrap="auto" w:vAnchor="margin" w:hAnchor="text" w:xAlign="left" w:yAlign="inline"/>
              <w:spacing w:before="120" w:after="120" w:line="240" w:lineRule="auto"/>
              <w:jc w:val="left"/>
              <w:rPr>
                <w:b w:val="0"/>
              </w:rPr>
            </w:pPr>
            <w:r w:rsidRPr="00DA19C3">
              <w:rPr>
                <w:b w:val="0"/>
              </w:rPr>
              <w:t>1695 T: 84</w:t>
            </w:r>
            <w:r w:rsidR="003642FD">
              <w:rPr>
                <w:b w:val="0"/>
              </w:rPr>
              <w:t>5</w:t>
            </w:r>
            <w:r w:rsidRPr="00DA19C3">
              <w:rPr>
                <w:b w:val="0"/>
              </w:rPr>
              <w:t xml:space="preserve"> C (Year Up)</w:t>
            </w:r>
          </w:p>
        </w:tc>
        <w:tc>
          <w:tcPr>
            <w:tcW w:w="3165" w:type="dxa"/>
            <w:shd w:val="clear" w:color="auto" w:fill="D0D3D4" w:themeFill="accent3"/>
            <w:vAlign w:val="center"/>
          </w:tcPr>
          <w:p w:rsidR="00045F32" w:rsidRPr="00DA19C3" w:rsidRDefault="00045F32" w:rsidP="001A12C7">
            <w:pPr>
              <w:pStyle w:val="Table"/>
              <w:framePr w:hSpace="0" w:wrap="auto" w:vAnchor="margin" w:hAnchor="text" w:xAlign="left" w:yAlign="inline"/>
              <w:spacing w:before="120" w:after="120" w:line="240" w:lineRule="auto"/>
              <w:jc w:val="left"/>
              <w:rPr>
                <w:b w:val="0"/>
              </w:rPr>
            </w:pPr>
            <w:r w:rsidRPr="00DA19C3">
              <w:rPr>
                <w:b w:val="0"/>
              </w:rPr>
              <w:t>4.1</w:t>
            </w:r>
          </w:p>
        </w:tc>
        <w:tc>
          <w:tcPr>
            <w:tcW w:w="3062" w:type="dxa"/>
            <w:shd w:val="clear" w:color="auto" w:fill="D0D3D4" w:themeFill="accent3"/>
            <w:vAlign w:val="center"/>
          </w:tcPr>
          <w:p w:rsidR="00045F32" w:rsidRPr="00DA19C3" w:rsidRDefault="00045F32" w:rsidP="001A12C7">
            <w:pPr>
              <w:pStyle w:val="Table"/>
              <w:framePr w:hSpace="0" w:wrap="auto" w:vAnchor="margin" w:hAnchor="text" w:xAlign="left" w:yAlign="inline"/>
              <w:spacing w:before="120" w:after="120" w:line="240" w:lineRule="auto"/>
              <w:jc w:val="left"/>
              <w:rPr>
                <w:b w:val="0"/>
              </w:rPr>
            </w:pPr>
            <w:r w:rsidRPr="00DA19C3">
              <w:rPr>
                <w:b w:val="0"/>
              </w:rPr>
              <w:t>$207</w:t>
            </w:r>
          </w:p>
        </w:tc>
      </w:tr>
      <w:tr w:rsidR="00045F32" w:rsidRPr="00E20961" w:rsidTr="002244DD">
        <w:tc>
          <w:tcPr>
            <w:tcW w:w="2881" w:type="dxa"/>
            <w:vAlign w:val="center"/>
          </w:tcPr>
          <w:p w:rsidR="00045F32" w:rsidRPr="00DA19C3" w:rsidRDefault="00045F32" w:rsidP="001A12C7">
            <w:pPr>
              <w:pStyle w:val="Table"/>
              <w:framePr w:hSpace="0" w:wrap="auto" w:vAnchor="margin" w:hAnchor="text" w:xAlign="left" w:yAlign="inline"/>
              <w:spacing w:before="120" w:after="120" w:line="240" w:lineRule="auto"/>
              <w:jc w:val="left"/>
              <w:rPr>
                <w:b w:val="0"/>
              </w:rPr>
            </w:pPr>
            <w:r w:rsidRPr="00DA19C3">
              <w:rPr>
                <w:b w:val="0"/>
              </w:rPr>
              <w:t>Control Group Mean</w:t>
            </w:r>
          </w:p>
        </w:tc>
        <w:tc>
          <w:tcPr>
            <w:tcW w:w="3165" w:type="dxa"/>
            <w:vAlign w:val="center"/>
          </w:tcPr>
          <w:p w:rsidR="00045F32" w:rsidRPr="00DA19C3" w:rsidRDefault="00045F32" w:rsidP="001A12C7">
            <w:pPr>
              <w:pStyle w:val="Table"/>
              <w:framePr w:hSpace="0" w:wrap="auto" w:vAnchor="margin" w:hAnchor="text" w:xAlign="left" w:yAlign="inline"/>
              <w:spacing w:before="120" w:after="120" w:line="240" w:lineRule="auto"/>
              <w:jc w:val="left"/>
              <w:rPr>
                <w:b w:val="0"/>
              </w:rPr>
            </w:pPr>
            <w:r w:rsidRPr="00DA19C3">
              <w:rPr>
                <w:b w:val="0"/>
              </w:rPr>
              <w:t>50.0</w:t>
            </w:r>
          </w:p>
        </w:tc>
        <w:tc>
          <w:tcPr>
            <w:tcW w:w="3062" w:type="dxa"/>
            <w:vAlign w:val="center"/>
          </w:tcPr>
          <w:p w:rsidR="00045F32" w:rsidRPr="00DA19C3" w:rsidRDefault="00045F32" w:rsidP="001A12C7">
            <w:pPr>
              <w:pStyle w:val="Table"/>
              <w:framePr w:hSpace="0" w:wrap="auto" w:vAnchor="margin" w:hAnchor="text" w:xAlign="left" w:yAlign="inline"/>
              <w:spacing w:before="120" w:after="120" w:line="240" w:lineRule="auto"/>
              <w:jc w:val="left"/>
              <w:rPr>
                <w:b w:val="0"/>
              </w:rPr>
            </w:pPr>
            <w:r w:rsidRPr="00DA19C3">
              <w:rPr>
                <w:b w:val="0"/>
              </w:rPr>
              <w:t>$2,863</w:t>
            </w:r>
          </w:p>
        </w:tc>
      </w:tr>
    </w:tbl>
    <w:p w:rsidR="00045F32" w:rsidRPr="0045330E" w:rsidRDefault="00045F32" w:rsidP="00045F32">
      <w:pPr>
        <w:spacing w:line="240" w:lineRule="auto"/>
        <w:rPr>
          <w:sz w:val="20"/>
        </w:rPr>
      </w:pPr>
      <w:r w:rsidRPr="0045330E">
        <w:rPr>
          <w:sz w:val="20"/>
        </w:rPr>
        <w:t xml:space="preserve">Note:  MDEs based on 80% power with a 10% significance level in a one-tailed test, assuming baseline variables explain 15% of the variance in the binary outcome and 30% of the variance in earnings. We have set the variance for credential attainment conservatively at the highest possible level for a dichotomous outcome, 25% (based on the assumption that 50% of the control group experiences the outcome). The variance estimate </w:t>
      </w:r>
      <w:r w:rsidRPr="0045330E">
        <w:rPr>
          <w:sz w:val="20"/>
        </w:rPr>
        <w:lastRenderedPageBreak/>
        <w:t>for earnings in both sample size categories comes from special tabulations of survey data from the second follow-up year of a small random assignment test of Year Up.</w:t>
      </w:r>
      <w:r w:rsidRPr="0045330E">
        <w:rPr>
          <w:sz w:val="20"/>
          <w:vertAlign w:val="superscript"/>
        </w:rPr>
        <w:footnoteReference w:id="3"/>
      </w:r>
    </w:p>
    <w:p w:rsidR="00F64AE0" w:rsidRPr="00FE7668" w:rsidRDefault="00076BD5" w:rsidP="00185072">
      <w:r>
        <w:t>The research team estimates t</w:t>
      </w:r>
      <w:r w:rsidR="005B3218" w:rsidRPr="00FE7668">
        <w:t xml:space="preserve">hese MDIs </w:t>
      </w:r>
      <w:r>
        <w:t xml:space="preserve">are </w:t>
      </w:r>
      <w:r w:rsidR="005B3218" w:rsidRPr="00FE7668">
        <w:t>sufficient to detect impacts likely to be policy relevant</w:t>
      </w:r>
      <w:r w:rsidR="00DD2CCF">
        <w:t xml:space="preserve"> </w:t>
      </w:r>
      <w:r w:rsidR="00340F9F">
        <w:t>in each site</w:t>
      </w:r>
      <w:r>
        <w:t xml:space="preserve">. </w:t>
      </w:r>
      <w:r w:rsidR="00F64AE0" w:rsidRPr="00FE7668">
        <w:t>Recent evaluations with positive findings provide a range of estimates for impacts on pertinent post-secondary training outcomes and earnings</w:t>
      </w:r>
      <w:r w:rsidR="006767E7">
        <w:t xml:space="preserve">. </w:t>
      </w:r>
      <w:r w:rsidR="00F64AE0" w:rsidRPr="00FE7668">
        <w:t xml:space="preserve">Estimates are available for two </w:t>
      </w:r>
      <w:r w:rsidR="0080558A">
        <w:t>PACE</w:t>
      </w:r>
      <w:r w:rsidR="00F64AE0" w:rsidRPr="00FE7668">
        <w:t xml:space="preserve"> programs</w:t>
      </w:r>
      <w:r w:rsidR="006767E7">
        <w:t xml:space="preserve">. </w:t>
      </w:r>
      <w:r w:rsidR="00F64AE0" w:rsidRPr="00FE7668">
        <w:t>A non-experimental analysis of I-BEST found impacts of greater than 20 percentage points on certificate/degree receipt but did not find statistically significant impacts on earnings (Zeidenberg et al. 2010)</w:t>
      </w:r>
      <w:r w:rsidR="006767E7">
        <w:t xml:space="preserve">. </w:t>
      </w:r>
      <w:r w:rsidR="00F64AE0" w:rsidRPr="00FE7668">
        <w:t>An experimental evaluation of Year Up (</w:t>
      </w:r>
      <w:proofErr w:type="spellStart"/>
      <w:r w:rsidR="00F64AE0" w:rsidRPr="00185072">
        <w:t>Roder</w:t>
      </w:r>
      <w:proofErr w:type="spellEnd"/>
      <w:r w:rsidR="00F64AE0" w:rsidRPr="00FE7668">
        <w:t xml:space="preserve"> &amp; Elliot 2011) found positive second-year impacts on college attendance of six percentage points (insignificant) and on average annual earnings of $3,641 (significant). </w:t>
      </w:r>
    </w:p>
    <w:p w:rsidR="00F64AE0" w:rsidRPr="00FE7668" w:rsidRDefault="00F64AE0" w:rsidP="00185072">
      <w:r w:rsidRPr="00FE7668">
        <w:t xml:space="preserve">Other recent experiments have tested related innovations operated by community colleges and </w:t>
      </w:r>
      <w:r w:rsidR="005B3218">
        <w:t xml:space="preserve">community-based </w:t>
      </w:r>
      <w:r w:rsidR="00680440">
        <w:t>organizations</w:t>
      </w:r>
      <w:r w:rsidR="006767E7">
        <w:t xml:space="preserve">. </w:t>
      </w:r>
      <w:r w:rsidRPr="00FE7668">
        <w:t xml:space="preserve">The community college experiments generally test narrower and typically shorter interventions than </w:t>
      </w:r>
      <w:r w:rsidR="0080558A">
        <w:t>PACE</w:t>
      </w:r>
      <w:r w:rsidRPr="00FE7668">
        <w:t>—approaches such as enhanced guidance and student supports, performance-based scholarships, and short-term learning communities aimed at developmental education students—and, as such, impact analyses to date focused on more incremental outcomes such as semester-to-semester persistence and credits earned</w:t>
      </w:r>
      <w:r w:rsidR="006767E7">
        <w:t xml:space="preserve">. </w:t>
      </w:r>
      <w:r w:rsidRPr="00FE7668">
        <w:t xml:space="preserve">Statistically significant </w:t>
      </w:r>
      <w:r w:rsidRPr="00185072">
        <w:t>findings</w:t>
      </w:r>
      <w:r w:rsidRPr="00FE7668">
        <w:t xml:space="preserve"> tended to be in the 5-10 percentage point range, and initial findings in this range have led to broader demonstrations.</w:t>
      </w:r>
      <w:r w:rsidRPr="00FE7668">
        <w:rPr>
          <w:rStyle w:val="FootnoteReference"/>
        </w:rPr>
        <w:footnoteReference w:id="4"/>
      </w:r>
      <w:r w:rsidRPr="00FE7668">
        <w:t xml:space="preserve"> The </w:t>
      </w:r>
      <w:proofErr w:type="spellStart"/>
      <w:r w:rsidRPr="00FE7668">
        <w:t>Sectoral</w:t>
      </w:r>
      <w:proofErr w:type="spellEnd"/>
      <w:r w:rsidRPr="00FE7668">
        <w:t xml:space="preserve"> Employment Impact Study, an experiment testing short-term customized training by community</w:t>
      </w:r>
      <w:r>
        <w:t>-</w:t>
      </w:r>
      <w:r w:rsidRPr="00FE7668">
        <w:t xml:space="preserve">based organizations, found $4,011 average impacts on second-year earnings but did not analyze post-secondary training impacts (Maguire et al. 2010). </w:t>
      </w:r>
    </w:p>
    <w:p w:rsidR="00F64AE0" w:rsidRPr="00FE7668" w:rsidRDefault="00F64AE0" w:rsidP="002244DD">
      <w:pPr>
        <w:spacing w:line="276" w:lineRule="auto"/>
      </w:pPr>
      <w:r w:rsidRPr="00FE7668">
        <w:t>Looking further back, a 2001 meta-analysis of 31 government-sponsored voluntary training programs from the 1960s</w:t>
      </w:r>
      <w:r>
        <w:t xml:space="preserve"> to 1990s</w:t>
      </w:r>
      <w:r w:rsidRPr="00FE7668">
        <w:t xml:space="preserve"> (Greenberg et al., 2003) collected impacts on annual earnings and converted them into 1999 dollars</w:t>
      </w:r>
      <w:r w:rsidR="006767E7">
        <w:t xml:space="preserve">. </w:t>
      </w:r>
      <w:r w:rsidRPr="00FE7668">
        <w:t>Adjusting their figures forward to 2012 with the CPI figure of 37</w:t>
      </w:r>
      <w:r>
        <w:t xml:space="preserve"> percent</w:t>
      </w:r>
      <w:r w:rsidRPr="00FE7668">
        <w:t>, the average intervention effect was $1,417 for women and just $318 for men (though estimates for men are substantially larger—$1,365—when restricted to random assignment studies).</w:t>
      </w:r>
      <w:r w:rsidRPr="00FE7668">
        <w:rPr>
          <w:rStyle w:val="FootnoteReference"/>
        </w:rPr>
        <w:footnoteReference w:id="5"/>
      </w:r>
    </w:p>
    <w:p w:rsidR="00F64AE0" w:rsidRPr="004D7679" w:rsidRDefault="00F64AE0" w:rsidP="007F0500">
      <w:pPr>
        <w:pStyle w:val="Heading3"/>
      </w:pPr>
      <w:bookmarkStart w:id="28" w:name="_Toc255223842"/>
      <w:bookmarkStart w:id="29" w:name="_Toc271096971"/>
      <w:bookmarkStart w:id="30" w:name="_Toc290302454"/>
      <w:bookmarkStart w:id="31" w:name="_Toc329063941"/>
      <w:bookmarkStart w:id="32" w:name="_Toc403652250"/>
      <w:r>
        <w:t>B.2.</w:t>
      </w:r>
      <w:r w:rsidR="00800709">
        <w:t>5</w:t>
      </w:r>
      <w:r>
        <w:tab/>
      </w:r>
      <w:bookmarkEnd w:id="28"/>
      <w:bookmarkEnd w:id="29"/>
      <w:r w:rsidRPr="004D7679">
        <w:t>Who Will Collect the Information and How It Will Be Done</w:t>
      </w:r>
      <w:bookmarkEnd w:id="30"/>
      <w:bookmarkEnd w:id="31"/>
      <w:bookmarkEnd w:id="32"/>
    </w:p>
    <w:p w:rsidR="005B3218" w:rsidRPr="002244DD" w:rsidRDefault="00F64AE0" w:rsidP="002244DD">
      <w:pPr>
        <w:autoSpaceDE w:val="0"/>
        <w:autoSpaceDN w:val="0"/>
        <w:adjustRightInd w:val="0"/>
        <w:spacing w:after="0" w:line="276" w:lineRule="auto"/>
        <w:rPr>
          <w:sz w:val="24"/>
          <w:szCs w:val="24"/>
        </w:rPr>
      </w:pPr>
      <w:r>
        <w:t>The</w:t>
      </w:r>
      <w:r w:rsidR="00563E3B">
        <w:t xml:space="preserve"> second</w:t>
      </w:r>
      <w:r>
        <w:t xml:space="preserve"> follow-up survey will be administered </w:t>
      </w:r>
      <w:r w:rsidR="00563E3B">
        <w:t>36</w:t>
      </w:r>
      <w:r w:rsidR="00563E3B" w:rsidRPr="00D43435">
        <w:t xml:space="preserve"> </w:t>
      </w:r>
      <w:r w:rsidR="00D43435" w:rsidRPr="00D43435">
        <w:t>months</w:t>
      </w:r>
      <w:r>
        <w:t xml:space="preserve"> following </w:t>
      </w:r>
      <w:r w:rsidR="00C7764B">
        <w:t xml:space="preserve">enrollment in the study and </w:t>
      </w:r>
      <w:r>
        <w:t>random assignment</w:t>
      </w:r>
      <w:r w:rsidR="006767E7">
        <w:t xml:space="preserve">. </w:t>
      </w:r>
      <w:r>
        <w:t xml:space="preserve">The </w:t>
      </w:r>
      <w:r w:rsidR="0080558A">
        <w:t>PACE</w:t>
      </w:r>
      <w:r>
        <w:t xml:space="preserve"> data collection team will </w:t>
      </w:r>
      <w:r w:rsidR="00A6492E">
        <w:t xml:space="preserve">send tracking letters at four-month intervals, starting in month </w:t>
      </w:r>
      <w:r w:rsidR="005265F1">
        <w:t>19</w:t>
      </w:r>
      <w:r w:rsidR="001148CD">
        <w:t xml:space="preserve">. </w:t>
      </w:r>
      <w:r w:rsidR="00A6492E">
        <w:t>The tracking letter asks the study participant to update his/her contact information as needed, as well as that of the three contacts listed on the Basic Information Form</w:t>
      </w:r>
      <w:r w:rsidR="001148CD">
        <w:t xml:space="preserve">. </w:t>
      </w:r>
      <w:r w:rsidR="00A6492E">
        <w:t>Study participants will receive a $2 prepayment with each tracking letter to thank them for their time</w:t>
      </w:r>
      <w:r w:rsidR="001148CD">
        <w:t xml:space="preserve">. </w:t>
      </w:r>
      <w:r w:rsidR="00AD4749">
        <w:t>In the 36th month—approximately one week before the sample for a particular cohort is released</w:t>
      </w:r>
      <w:r w:rsidR="007C1934">
        <w:t>—</w:t>
      </w:r>
      <w:r w:rsidR="00A6492E">
        <w:lastRenderedPageBreak/>
        <w:t xml:space="preserve">the data collection team will send </w:t>
      </w:r>
      <w:r w:rsidR="005B3218">
        <w:t>study participants</w:t>
      </w:r>
      <w:r>
        <w:t xml:space="preserve"> a</w:t>
      </w:r>
      <w:r w:rsidR="00A6492E">
        <w:t>n advance</w:t>
      </w:r>
      <w:r>
        <w:t xml:space="preserve"> letter </w:t>
      </w:r>
      <w:r w:rsidR="00F25918">
        <w:t xml:space="preserve">(see Appendix </w:t>
      </w:r>
      <w:r w:rsidR="004A0C24">
        <w:t>H</w:t>
      </w:r>
      <w:r w:rsidR="00D56865">
        <w:t>)</w:t>
      </w:r>
      <w:r w:rsidR="00F25918">
        <w:t xml:space="preserve"> </w:t>
      </w:r>
      <w:r>
        <w:t xml:space="preserve">reminding them of their participation in the </w:t>
      </w:r>
      <w:r w:rsidR="0080558A">
        <w:t>PACE</w:t>
      </w:r>
      <w:r>
        <w:t xml:space="preserve"> study and informing them that they will soon receive a call from an </w:t>
      </w:r>
      <w:r w:rsidR="0080558A">
        <w:t>PACE</w:t>
      </w:r>
      <w:r>
        <w:t xml:space="preserve"> interviewer who will want to interview them over the telephone</w:t>
      </w:r>
      <w:r w:rsidR="006767E7">
        <w:t xml:space="preserve">. </w:t>
      </w:r>
      <w:r>
        <w:t>The letter will remind the sample member that their participation is voluntary and that they will receive $</w:t>
      </w:r>
      <w:r w:rsidR="00A6492E">
        <w:t>40</w:t>
      </w:r>
      <w:r>
        <w:t xml:space="preserve"> upon completion of the interview</w:t>
      </w:r>
      <w:r w:rsidR="006767E7">
        <w:t xml:space="preserve">. </w:t>
      </w:r>
      <w:r w:rsidR="00A6492E">
        <w:t xml:space="preserve">The advance letter will </w:t>
      </w:r>
      <w:r w:rsidR="00417789">
        <w:t xml:space="preserve">also </w:t>
      </w:r>
      <w:r w:rsidR="00A6492E">
        <w:t>include $5 to thank them in advance for participating</w:t>
      </w:r>
      <w:r w:rsidR="00667ECD">
        <w:t xml:space="preserve">, </w:t>
      </w:r>
      <w:r w:rsidR="00417789">
        <w:t>as th</w:t>
      </w:r>
      <w:r w:rsidR="00417789">
        <w:rPr>
          <w:sz w:val="24"/>
          <w:szCs w:val="24"/>
        </w:rPr>
        <w:t>ere is an extensive literature documenting the effectiveness of prepayments in increasing response rates (see discussion in Part A)</w:t>
      </w:r>
      <w:r w:rsidR="001148CD">
        <w:rPr>
          <w:sz w:val="24"/>
          <w:szCs w:val="24"/>
        </w:rPr>
        <w:t xml:space="preserve">. </w:t>
      </w:r>
      <w:r>
        <w:t>Centralized interviewers using computer-assisted telephone interview (CATI) software will conduct the follow-up survey</w:t>
      </w:r>
      <w:r w:rsidR="006767E7">
        <w:t xml:space="preserve">. </w:t>
      </w:r>
      <w:r>
        <w:t xml:space="preserve">Interviewers will be trained on the study protocols and their performance </w:t>
      </w:r>
      <w:r w:rsidR="00680440">
        <w:t xml:space="preserve">will be </w:t>
      </w:r>
      <w:r>
        <w:t xml:space="preserve">regularly monitored. The interviewers will first try to reach the sample member by calling the specified contact numbers to administer the </w:t>
      </w:r>
      <w:r w:rsidR="00A6492E">
        <w:t>6</w:t>
      </w:r>
      <w:r>
        <w:t>0-minute follow-up survey</w:t>
      </w:r>
      <w:r w:rsidR="006767E7">
        <w:t xml:space="preserve">. </w:t>
      </w:r>
      <w:r>
        <w:t>For sample members who cannot be reached at the original phone number provided, interviewers will attempt to locate new telephone numbers for the sample members by calling the secondary contacts provided</w:t>
      </w:r>
      <w:r w:rsidR="00C7764B">
        <w:t xml:space="preserve"> for this purpose</w:t>
      </w:r>
      <w:r w:rsidR="006767E7">
        <w:t xml:space="preserve">. </w:t>
      </w:r>
      <w:r>
        <w:t>Once the centralized interviewers have exhausted all leads, the case will be transferred to the field</w:t>
      </w:r>
      <w:r w:rsidR="00A6492E">
        <w:t xml:space="preserve"> staff</w:t>
      </w:r>
      <w:r>
        <w:t xml:space="preserve"> to locate </w:t>
      </w:r>
      <w:r w:rsidR="00A6492E">
        <w:t xml:space="preserve">and interview </w:t>
      </w:r>
      <w:r>
        <w:t>the sample member in-person</w:t>
      </w:r>
      <w:r w:rsidR="006767E7">
        <w:t xml:space="preserve">. </w:t>
      </w:r>
      <w:r>
        <w:t xml:space="preserve">When field </w:t>
      </w:r>
      <w:proofErr w:type="gramStart"/>
      <w:r>
        <w:t>staff succeed</w:t>
      </w:r>
      <w:proofErr w:type="gramEnd"/>
      <w:r>
        <w:t xml:space="preserve"> in finding </w:t>
      </w:r>
      <w:r w:rsidR="00C7764B">
        <w:t xml:space="preserve">a </w:t>
      </w:r>
      <w:r>
        <w:t>sample member</w:t>
      </w:r>
      <w:r w:rsidR="00C7764B">
        <w:t xml:space="preserve"> and </w:t>
      </w:r>
      <w:r w:rsidR="00A6492E">
        <w:t xml:space="preserve">gains agreement to participate in </w:t>
      </w:r>
      <w:r>
        <w:t xml:space="preserve">the survey, the field staff will </w:t>
      </w:r>
      <w:r w:rsidR="00A6492E">
        <w:t>use computer-assisted personal interviewing (CAPI) technology to interview the individual on site</w:t>
      </w:r>
      <w:r w:rsidR="006767E7">
        <w:t xml:space="preserve">. </w:t>
      </w:r>
      <w:r w:rsidR="00680440">
        <w:t>The research team will attempt to interview all sample members within six months of their release date</w:t>
      </w:r>
      <w:r w:rsidR="00C7764B">
        <w:t xml:space="preserve"> (</w:t>
      </w:r>
      <w:r w:rsidR="00563E3B">
        <w:t>36</w:t>
      </w:r>
      <w:r w:rsidR="00563E3B" w:rsidRPr="00D43435">
        <w:t xml:space="preserve"> </w:t>
      </w:r>
      <w:r w:rsidR="00D43435" w:rsidRPr="00D43435">
        <w:t>months</w:t>
      </w:r>
      <w:r w:rsidR="00C7764B">
        <w:t xml:space="preserve"> following random assignment)</w:t>
      </w:r>
      <w:r w:rsidR="00680440">
        <w:t>.</w:t>
      </w:r>
    </w:p>
    <w:p w:rsidR="00FF0650" w:rsidRDefault="00FF0650" w:rsidP="002244DD">
      <w:pPr>
        <w:spacing w:line="276" w:lineRule="auto"/>
      </w:pPr>
      <w:r>
        <w:t>Copies of the proposed instruments can be found in the Appendices.</w:t>
      </w:r>
    </w:p>
    <w:p w:rsidR="00F64AE0" w:rsidRDefault="00F64AE0" w:rsidP="007F0500">
      <w:pPr>
        <w:pStyle w:val="Heading3"/>
      </w:pPr>
      <w:bookmarkStart w:id="33" w:name="_Toc290302455"/>
      <w:bookmarkStart w:id="34" w:name="_Toc329063942"/>
      <w:bookmarkStart w:id="35" w:name="_Toc403652251"/>
      <w:r>
        <w:t>B.2.</w:t>
      </w:r>
      <w:r w:rsidR="00800709">
        <w:t>6</w:t>
      </w:r>
      <w:r>
        <w:tab/>
        <w:t>Procedures with Special Populations</w:t>
      </w:r>
      <w:bookmarkEnd w:id="33"/>
      <w:bookmarkEnd w:id="34"/>
      <w:bookmarkEnd w:id="35"/>
    </w:p>
    <w:p w:rsidR="00F64AE0" w:rsidRDefault="00F64AE0" w:rsidP="00185072">
      <w:r>
        <w:t xml:space="preserve">The follow-up </w:t>
      </w:r>
      <w:r w:rsidR="00C7764B">
        <w:t xml:space="preserve">survey </w:t>
      </w:r>
      <w:r>
        <w:t xml:space="preserve">instrument will be available in English and </w:t>
      </w:r>
      <w:r w:rsidRPr="00185072">
        <w:t>Spanish</w:t>
      </w:r>
      <w:r>
        <w:t>. Interviewers will be available to conduct the interview in either language</w:t>
      </w:r>
      <w:r w:rsidR="006767E7">
        <w:t xml:space="preserve">. </w:t>
      </w:r>
      <w:r>
        <w:t>Persons who speak neither English nor Spanish, deaf persons, and persons on extended overseas assignment or travel will be ineligible for follow-up, but information will be collected on reasons for ineligibility</w:t>
      </w:r>
      <w:r w:rsidR="006767E7">
        <w:t xml:space="preserve">. </w:t>
      </w:r>
      <w:r>
        <w:t>Also, tracking will continue in case they become eligible for future follow-up activities.</w:t>
      </w:r>
      <w:r w:rsidR="001B2C57">
        <w:t xml:space="preserve"> Persons who are incarcerated or institutionalized will be eligible for follow-up only if the institution authorizes the contact</w:t>
      </w:r>
      <w:r w:rsidR="00C7764B">
        <w:t xml:space="preserve"> with the individual</w:t>
      </w:r>
      <w:r w:rsidR="001B2C57">
        <w:t>.</w:t>
      </w:r>
    </w:p>
    <w:p w:rsidR="00F64AE0" w:rsidRDefault="00F64AE0" w:rsidP="007F0500">
      <w:pPr>
        <w:pStyle w:val="Heading2"/>
      </w:pPr>
      <w:bookmarkStart w:id="36" w:name="_Toc255223843"/>
      <w:bookmarkStart w:id="37" w:name="_Toc290302456"/>
      <w:bookmarkStart w:id="38" w:name="_Toc329063943"/>
      <w:bookmarkStart w:id="39" w:name="_Toc403652252"/>
      <w:r>
        <w:t>B.3</w:t>
      </w:r>
      <w:r>
        <w:tab/>
        <w:t>Methods to Maximize Response Rates</w:t>
      </w:r>
      <w:bookmarkEnd w:id="36"/>
      <w:bookmarkEnd w:id="37"/>
      <w:r>
        <w:t xml:space="preserve"> and Deal with Non-response</w:t>
      </w:r>
      <w:bookmarkEnd w:id="38"/>
      <w:bookmarkEnd w:id="39"/>
    </w:p>
    <w:p w:rsidR="00C910B4" w:rsidRDefault="00F64AE0" w:rsidP="00185072">
      <w:r>
        <w:t>The goal will be to administer the follow-up survey to all study participants in each site, reaching a target response rate of at least 80 percent</w:t>
      </w:r>
      <w:r w:rsidR="006767E7">
        <w:t xml:space="preserve">. </w:t>
      </w:r>
      <w:r>
        <w:t xml:space="preserve">To achieve this response rate, the </w:t>
      </w:r>
      <w:r w:rsidR="0080558A">
        <w:t>PACE</w:t>
      </w:r>
      <w:r>
        <w:t xml:space="preserve"> team developed a comprehensive plan to minimize sample attrition and maxim</w:t>
      </w:r>
      <w:r w:rsidRPr="00185072">
        <w:t>ize response rates</w:t>
      </w:r>
      <w:r w:rsidR="006767E7">
        <w:t xml:space="preserve">. </w:t>
      </w:r>
      <w:r w:rsidRPr="00185072">
        <w:t xml:space="preserve">This plan involves regular tracking and locating of all study participants, </w:t>
      </w:r>
      <w:r w:rsidR="00A07F8D">
        <w:t>providing tokens of appreciation</w:t>
      </w:r>
      <w:r>
        <w:t>, and sample control during the data collection period.</w:t>
      </w:r>
    </w:p>
    <w:p w:rsidR="00F64AE0" w:rsidRPr="002E48E4" w:rsidRDefault="00F64AE0" w:rsidP="007F0500">
      <w:pPr>
        <w:pStyle w:val="Heading3"/>
      </w:pPr>
      <w:bookmarkStart w:id="40" w:name="_Toc329063944"/>
      <w:bookmarkStart w:id="41" w:name="_Toc403652253"/>
      <w:r w:rsidRPr="002E48E4">
        <w:t>B.</w:t>
      </w:r>
      <w:r>
        <w:t>3</w:t>
      </w:r>
      <w:r w:rsidRPr="002E48E4">
        <w:t>.1</w:t>
      </w:r>
      <w:r w:rsidRPr="002E48E4">
        <w:tab/>
      </w:r>
      <w:r>
        <w:t>Participant Tracking and Locating</w:t>
      </w:r>
      <w:bookmarkEnd w:id="40"/>
      <w:bookmarkEnd w:id="41"/>
    </w:p>
    <w:p w:rsidR="00F64AE0" w:rsidRDefault="00F64AE0" w:rsidP="00185072">
      <w:r>
        <w:t xml:space="preserve">The </w:t>
      </w:r>
      <w:r w:rsidR="0080558A">
        <w:t>PACE</w:t>
      </w:r>
      <w:r>
        <w:t xml:space="preserve"> team develop</w:t>
      </w:r>
      <w:r w:rsidR="00E030F3">
        <w:t>ed</w:t>
      </w:r>
      <w:r>
        <w:t xml:space="preserve"> a comprehensive participant tracking system, in order to maximize response to the </w:t>
      </w:r>
      <w:r w:rsidR="0080558A">
        <w:t>PACE</w:t>
      </w:r>
      <w:r>
        <w:t xml:space="preserve"> follow-up surveys</w:t>
      </w:r>
      <w:r w:rsidR="006767E7">
        <w:t xml:space="preserve">. </w:t>
      </w:r>
      <w:r>
        <w:t>This multi-stage locating strategy blends active locating efforts (which involve direct participant contact) with passive locating efforts (which rely on various consumer database searches)</w:t>
      </w:r>
      <w:r w:rsidR="006767E7">
        <w:t xml:space="preserve">. </w:t>
      </w:r>
      <w:r>
        <w:t xml:space="preserve">At each point of contact with a participant (through tracking letters and at the end of the survey), </w:t>
      </w:r>
      <w:r w:rsidR="006A4B15">
        <w:t>the research team</w:t>
      </w:r>
      <w:r>
        <w:t xml:space="preserve"> will collect updated name, address, </w:t>
      </w:r>
      <w:r w:rsidRPr="00185072">
        <w:t>telephone</w:t>
      </w:r>
      <w:r>
        <w:t xml:space="preserve"> and email information</w:t>
      </w:r>
      <w:r w:rsidR="006767E7">
        <w:t xml:space="preserve">. </w:t>
      </w:r>
      <w:r>
        <w:t xml:space="preserve">In addition, </w:t>
      </w:r>
      <w:r w:rsidR="001B2C57">
        <w:t xml:space="preserve">the research team </w:t>
      </w:r>
      <w:r>
        <w:t>will also collect contact data for up to t</w:t>
      </w:r>
      <w:r w:rsidR="00680440">
        <w:t>hree</w:t>
      </w:r>
      <w:r>
        <w:t xml:space="preserve"> people that do not live with the participant, but will likely know how to reach him or her</w:t>
      </w:r>
      <w:r w:rsidR="006767E7">
        <w:t xml:space="preserve">. </w:t>
      </w:r>
      <w:r>
        <w:t xml:space="preserve">Interviewers only use secondary contact data if </w:t>
      </w:r>
      <w:r w:rsidR="006A4B15">
        <w:t>the</w:t>
      </w:r>
      <w:r>
        <w:t xml:space="preserve"> primary contact information proves to be invalid</w:t>
      </w:r>
      <w:r w:rsidR="006674DF">
        <w:t>—</w:t>
      </w:r>
      <w:r>
        <w:t xml:space="preserve">for example, if </w:t>
      </w:r>
      <w:r w:rsidR="006A4B15">
        <w:t>they</w:t>
      </w:r>
      <w:r>
        <w:t xml:space="preserve"> </w:t>
      </w:r>
      <w:r>
        <w:lastRenderedPageBreak/>
        <w:t>encounter a disconnected telephone numbe</w:t>
      </w:r>
      <w:r w:rsidR="006A4B15">
        <w:t>r</w:t>
      </w:r>
      <w:r>
        <w:t xml:space="preserve"> or a returned letter marked as undeliverable.</w:t>
      </w:r>
      <w:r w:rsidR="00FF0650">
        <w:t xml:space="preserve"> Appendix </w:t>
      </w:r>
      <w:r w:rsidR="004A0C24">
        <w:t>E</w:t>
      </w:r>
      <w:r w:rsidR="00FF0650">
        <w:t xml:space="preserve"> shows a copy of the tracking letter.</w:t>
      </w:r>
    </w:p>
    <w:p w:rsidR="00F64AE0" w:rsidRDefault="00F64AE0" w:rsidP="00185072">
      <w:r>
        <w:t xml:space="preserve">In addition to the direct contact with participants, </w:t>
      </w:r>
      <w:r w:rsidR="006A4B15">
        <w:t>the research team</w:t>
      </w:r>
      <w:r>
        <w:t xml:space="preserve"> will </w:t>
      </w:r>
      <w:r w:rsidRPr="00185072">
        <w:t>conduct</w:t>
      </w:r>
      <w:r>
        <w:t xml:space="preserve"> several database searches to obtain additional contact information</w:t>
      </w:r>
      <w:r w:rsidR="006767E7">
        <w:t xml:space="preserve">. </w:t>
      </w:r>
      <w:r>
        <w:t>Passive tracking resources are comparatively inexpensive and generally available, although some sources require special arrangements for access.</w:t>
      </w:r>
    </w:p>
    <w:p w:rsidR="00F64AE0" w:rsidRPr="002E48E4" w:rsidRDefault="00F64AE0" w:rsidP="007F0500">
      <w:pPr>
        <w:pStyle w:val="Heading3"/>
      </w:pPr>
      <w:bookmarkStart w:id="42" w:name="_Toc329063945"/>
      <w:bookmarkStart w:id="43" w:name="_Toc403652254"/>
      <w:r w:rsidRPr="002E48E4">
        <w:t>B.</w:t>
      </w:r>
      <w:r>
        <w:t>3.2</w:t>
      </w:r>
      <w:r w:rsidRPr="002E48E4">
        <w:tab/>
      </w:r>
      <w:bookmarkEnd w:id="42"/>
      <w:r w:rsidR="00A07F8D">
        <w:t>Tokens of Appreciation</w:t>
      </w:r>
      <w:bookmarkEnd w:id="43"/>
    </w:p>
    <w:p w:rsidR="00F64AE0" w:rsidRDefault="00F64AE0" w:rsidP="00185072">
      <w:r>
        <w:t xml:space="preserve">Offering appropriate </w:t>
      </w:r>
      <w:r w:rsidR="00A07F8D">
        <w:t>monetary gift</w:t>
      </w:r>
      <w:r w:rsidR="006674DF">
        <w:t>s</w:t>
      </w:r>
      <w:r>
        <w:t xml:space="preserve"> to study participants </w:t>
      </w:r>
      <w:r w:rsidR="00A07F8D">
        <w:t xml:space="preserve">in appreciation for their time </w:t>
      </w:r>
      <w:r>
        <w:t xml:space="preserve">can help ensure a high response rate, which is necessary to ensure unbiased impact estimates. Study participants will be </w:t>
      </w:r>
      <w:r w:rsidR="00A07F8D">
        <w:t xml:space="preserve">provided </w:t>
      </w:r>
      <w:r w:rsidRPr="008175A1">
        <w:t>$</w:t>
      </w:r>
      <w:r w:rsidR="00A6492E">
        <w:t>40</w:t>
      </w:r>
      <w:r>
        <w:t xml:space="preserve"> after completing the first follow-up survey</w:t>
      </w:r>
      <w:r w:rsidR="006767E7">
        <w:t>.</w:t>
      </w:r>
      <w:r w:rsidR="006A4B15">
        <w:t xml:space="preserve"> As noted above, i</w:t>
      </w:r>
      <w:r>
        <w:t xml:space="preserve">n addition to the survey, every four months the participants will receive a tracking letter with a contact update form, which </w:t>
      </w:r>
      <w:r w:rsidRPr="00185072">
        <w:t>lists</w:t>
      </w:r>
      <w:r>
        <w:t xml:space="preserve"> the contact information they had previously provided</w:t>
      </w:r>
      <w:r w:rsidR="006767E7">
        <w:t xml:space="preserve">. </w:t>
      </w:r>
      <w:r>
        <w:t>The letter will ask them to update this contact information by calling a toll-free number or returning the contact update form in the enclosed postage-free business reply envelope</w:t>
      </w:r>
      <w:r w:rsidR="006767E7">
        <w:t xml:space="preserve">. </w:t>
      </w:r>
      <w:r w:rsidR="00A6492E">
        <w:t xml:space="preserve">Each tracking letter will include a $2 </w:t>
      </w:r>
      <w:proofErr w:type="gramStart"/>
      <w:r w:rsidR="00A6492E">
        <w:t xml:space="preserve">prepayment </w:t>
      </w:r>
      <w:r w:rsidR="00630689">
        <w:t xml:space="preserve"> to</w:t>
      </w:r>
      <w:proofErr w:type="gramEnd"/>
      <w:r w:rsidR="00630689">
        <w:t xml:space="preserve"> thank the participant for his or her time</w:t>
      </w:r>
      <w:r w:rsidR="006767E7">
        <w:t xml:space="preserve">. </w:t>
      </w:r>
      <w:r w:rsidR="00A6492E">
        <w:t>Study participants will also receive $5 in their advance letter</w:t>
      </w:r>
      <w:r w:rsidR="001148CD">
        <w:t xml:space="preserve">. </w:t>
      </w:r>
    </w:p>
    <w:p w:rsidR="00F64AE0" w:rsidRPr="002E48E4" w:rsidRDefault="00F64AE0" w:rsidP="007F0500">
      <w:pPr>
        <w:pStyle w:val="Heading3"/>
      </w:pPr>
      <w:bookmarkStart w:id="44" w:name="_Toc329063946"/>
      <w:bookmarkStart w:id="45" w:name="_Toc403652255"/>
      <w:r w:rsidRPr="002E48E4">
        <w:t>B.</w:t>
      </w:r>
      <w:r>
        <w:t>3.3</w:t>
      </w:r>
      <w:r w:rsidRPr="002E48E4">
        <w:tab/>
      </w:r>
      <w:r>
        <w:t xml:space="preserve">Sample Control </w:t>
      </w:r>
      <w:r w:rsidR="00FF0650">
        <w:t>during</w:t>
      </w:r>
      <w:r>
        <w:t xml:space="preserve"> the Data Collection Period</w:t>
      </w:r>
      <w:bookmarkEnd w:id="44"/>
      <w:bookmarkEnd w:id="45"/>
    </w:p>
    <w:p w:rsidR="00F64AE0" w:rsidRDefault="00F64AE0" w:rsidP="00185072">
      <w:r>
        <w:t xml:space="preserve">During the data collection period, the </w:t>
      </w:r>
      <w:r w:rsidR="006A4B15">
        <w:t>research team</w:t>
      </w:r>
      <w:r w:rsidR="001B2C57">
        <w:t xml:space="preserve"> wi</w:t>
      </w:r>
      <w:r>
        <w:t xml:space="preserve">ll </w:t>
      </w:r>
      <w:r w:rsidRPr="00185072">
        <w:t>minimize</w:t>
      </w:r>
      <w:r>
        <w:t xml:space="preserve"> non-response levels and the risk of non-response bias in the following ways:</w:t>
      </w:r>
    </w:p>
    <w:p w:rsidR="00F64AE0" w:rsidRPr="0069074F" w:rsidRDefault="00F64AE0" w:rsidP="007F0500">
      <w:pPr>
        <w:pStyle w:val="Bullets"/>
      </w:pPr>
      <w:r w:rsidRPr="0069074F">
        <w:t xml:space="preserve">Using trained interviewers </w:t>
      </w:r>
      <w:r w:rsidR="000F1402">
        <w:t xml:space="preserve">(in the phone center and in the field) </w:t>
      </w:r>
      <w:r w:rsidRPr="0069074F">
        <w:t xml:space="preserve">who are skilled at working with </w:t>
      </w:r>
      <w:r w:rsidR="001B2C57">
        <w:t>low-income adults</w:t>
      </w:r>
      <w:r w:rsidRPr="0069074F">
        <w:t xml:space="preserve"> and skilled in maintaining rapport with respondents, to minimize the number of break-offs and incidence of non-response bias</w:t>
      </w:r>
      <w:r w:rsidR="001148CD">
        <w:t xml:space="preserve">. </w:t>
      </w:r>
    </w:p>
    <w:p w:rsidR="005F2EA4" w:rsidRDefault="005F2EA4" w:rsidP="005F2EA4">
      <w:pPr>
        <w:pStyle w:val="Bullets"/>
      </w:pPr>
      <w:r>
        <w:t xml:space="preserve">Using a </w:t>
      </w:r>
      <w:r w:rsidR="006C2C8D">
        <w:t>contact information update</w:t>
      </w:r>
      <w:r>
        <w:t xml:space="preserve"> letter</w:t>
      </w:r>
      <w:r w:rsidR="00C37CE5">
        <w:t xml:space="preserve"> at 19, 23, 27, 31, and 35 months post RA </w:t>
      </w:r>
      <w:r>
        <w:t xml:space="preserve">to keep the sample member engaged in the study and to enable the research team to locate them for the follow-up data collection activities. (See Appendix </w:t>
      </w:r>
      <w:r w:rsidR="004A0C24">
        <w:t>F</w:t>
      </w:r>
      <w:r>
        <w:t xml:space="preserve"> for a copy of the </w:t>
      </w:r>
      <w:r w:rsidR="006C2C8D">
        <w:t>contact information update</w:t>
      </w:r>
      <w:r>
        <w:t xml:space="preserve"> letter.)</w:t>
      </w:r>
    </w:p>
    <w:p w:rsidR="005F2EA4" w:rsidRDefault="00F64AE0" w:rsidP="005F2EA4">
      <w:pPr>
        <w:pStyle w:val="Bullets"/>
      </w:pPr>
      <w:r w:rsidRPr="0069074F">
        <w:t xml:space="preserve">Using an advance letter that clearly conveys the purpose of the survey to study participants, the incentive structure, and reassurances about </w:t>
      </w:r>
      <w:r w:rsidR="006A4B15">
        <w:t>privacy</w:t>
      </w:r>
      <w:r w:rsidRPr="0069074F">
        <w:t>, so they will perceive that cooperating is worthwhile.</w:t>
      </w:r>
      <w:r w:rsidR="005F2EA4">
        <w:t xml:space="preserve"> (See Appendix </w:t>
      </w:r>
      <w:r w:rsidR="004A0C24">
        <w:t>G</w:t>
      </w:r>
      <w:r w:rsidR="005F2EA4">
        <w:t xml:space="preserve"> for a copy of the advance letter.) </w:t>
      </w:r>
    </w:p>
    <w:p w:rsidR="00C37CE5" w:rsidRPr="0069074F" w:rsidRDefault="00C37CE5" w:rsidP="005F2EA4">
      <w:pPr>
        <w:pStyle w:val="Bullets"/>
      </w:pPr>
      <w:r>
        <w:t>Sending email reminders to non</w:t>
      </w:r>
      <w:r w:rsidR="00E030F3">
        <w:t>-</w:t>
      </w:r>
      <w:r>
        <w:t>respondents (for whom we have an email address) informing them of the study and allowing them the opportunity to schedule an interview</w:t>
      </w:r>
      <w:r w:rsidR="00F97131">
        <w:t xml:space="preserve"> (Appendix </w:t>
      </w:r>
      <w:r w:rsidR="004A0C24">
        <w:t>I</w:t>
      </w:r>
      <w:r w:rsidR="00F97131">
        <w:t>)</w:t>
      </w:r>
      <w:r>
        <w:t>.</w:t>
      </w:r>
    </w:p>
    <w:p w:rsidR="00F64AE0" w:rsidRPr="0069074F" w:rsidRDefault="00F64AE0" w:rsidP="007F0500">
      <w:pPr>
        <w:pStyle w:val="Bullets"/>
      </w:pPr>
      <w:r w:rsidRPr="0069074F">
        <w:t>Providing a toll-free study hotline number</w:t>
      </w:r>
      <w:r w:rsidR="002244DD">
        <w:t>—which</w:t>
      </w:r>
      <w:r w:rsidRPr="0069074F">
        <w:t xml:space="preserve"> will be included in all communications to study participants</w:t>
      </w:r>
      <w:r w:rsidR="002244DD">
        <w:t xml:space="preserve">—for </w:t>
      </w:r>
      <w:r w:rsidRPr="0069074F">
        <w:t xml:space="preserve">them to use to ask questions about the survey, to update their contact information, </w:t>
      </w:r>
      <w:r w:rsidR="006674DF">
        <w:t xml:space="preserve">and </w:t>
      </w:r>
      <w:r w:rsidRPr="0069074F">
        <w:t xml:space="preserve">to indicate a preferred time to be called </w:t>
      </w:r>
      <w:r w:rsidR="006A4B15">
        <w:t xml:space="preserve">for </w:t>
      </w:r>
      <w:r w:rsidRPr="0069074F">
        <w:t xml:space="preserve">the </w:t>
      </w:r>
      <w:r w:rsidR="006A4B15">
        <w:t>survey</w:t>
      </w:r>
      <w:r w:rsidRPr="0069074F">
        <w:t>.</w:t>
      </w:r>
    </w:p>
    <w:p w:rsidR="00F64AE0" w:rsidRDefault="00F64AE0" w:rsidP="007F0500">
      <w:pPr>
        <w:pStyle w:val="Bullets"/>
      </w:pPr>
      <w:r w:rsidRPr="0069074F">
        <w:t xml:space="preserve">Taking additional tracking and locating steps, as needed, when </w:t>
      </w:r>
      <w:r w:rsidR="006A4B15">
        <w:t>the research team</w:t>
      </w:r>
      <w:r w:rsidRPr="0069074F">
        <w:t xml:space="preserve"> do</w:t>
      </w:r>
      <w:r w:rsidR="006A4B15">
        <w:t>es</w:t>
      </w:r>
      <w:r w:rsidRPr="0069074F">
        <w:t xml:space="preserve"> not find sample members at the phone numbers or addresses previously collected.</w:t>
      </w:r>
    </w:p>
    <w:p w:rsidR="000F1402" w:rsidRDefault="000F1402" w:rsidP="007F0500">
      <w:pPr>
        <w:pStyle w:val="Bullets"/>
      </w:pPr>
      <w:r>
        <w:t>Using customized materials in the field, such as “tried to reach you” flyers with study information and the toll-free number</w:t>
      </w:r>
      <w:r w:rsidR="00F97131">
        <w:t xml:space="preserve"> (Appendix </w:t>
      </w:r>
      <w:r w:rsidR="004A0C24">
        <w:t>J</w:t>
      </w:r>
      <w:r w:rsidR="00F97131">
        <w:t>)</w:t>
      </w:r>
      <w:r>
        <w:t>.</w:t>
      </w:r>
    </w:p>
    <w:p w:rsidR="00C37CE5" w:rsidRPr="0069074F" w:rsidRDefault="00C37CE5" w:rsidP="007F0500">
      <w:pPr>
        <w:pStyle w:val="Bullets"/>
      </w:pPr>
      <w:r>
        <w:t xml:space="preserve">Employing a rigorous telephone </w:t>
      </w:r>
      <w:r w:rsidR="00F97131">
        <w:t>process</w:t>
      </w:r>
      <w:r>
        <w:t xml:space="preserve"> to ensure that all available contact information is utilized to make contact with participants</w:t>
      </w:r>
      <w:r w:rsidR="001148CD">
        <w:t xml:space="preserve">. </w:t>
      </w:r>
      <w:r>
        <w:t xml:space="preserve">The approach includes a maximum of 30 telephone contact </w:t>
      </w:r>
      <w:r>
        <w:lastRenderedPageBreak/>
        <w:t>attempts and two months in the field</w:t>
      </w:r>
      <w:r w:rsidR="001148CD">
        <w:t xml:space="preserve">. </w:t>
      </w:r>
      <w:r>
        <w:t>Spanish-speaking telephone interviewers will be available for participants with identified language barriers.</w:t>
      </w:r>
    </w:p>
    <w:p w:rsidR="00F64AE0" w:rsidRPr="0069074F" w:rsidRDefault="00F64AE0" w:rsidP="007F0500">
      <w:pPr>
        <w:pStyle w:val="BulletsLast"/>
      </w:pPr>
      <w:r w:rsidRPr="0069074F">
        <w:t xml:space="preserve">Requiring the survey supervisors to manage the sample to ensure that a relatively equal response rate for treatment and control groups in each </w:t>
      </w:r>
      <w:r w:rsidR="0080558A">
        <w:t>PACE</w:t>
      </w:r>
      <w:r w:rsidRPr="0069074F">
        <w:t xml:space="preserve"> site is achieved.</w:t>
      </w:r>
    </w:p>
    <w:p w:rsidR="00F64AE0" w:rsidRDefault="00F64AE0" w:rsidP="00185072">
      <w:r w:rsidRPr="0069074F">
        <w:rPr>
          <w:szCs w:val="22"/>
        </w:rPr>
        <w:t>Throug</w:t>
      </w:r>
      <w:r>
        <w:t xml:space="preserve">h these methods, the </w:t>
      </w:r>
      <w:r w:rsidR="006A4B15">
        <w:t xml:space="preserve">research team </w:t>
      </w:r>
      <w:r w:rsidRPr="00185072">
        <w:t>anticipates</w:t>
      </w:r>
      <w:r>
        <w:t xml:space="preserve"> being able to achieve the targeted 80 percent response rate for the follow-up survey.</w:t>
      </w:r>
      <w:r w:rsidR="00F97131">
        <w:rPr>
          <w:rStyle w:val="FootnoteReference"/>
        </w:rPr>
        <w:footnoteReference w:id="6"/>
      </w:r>
    </w:p>
    <w:p w:rsidR="00F64AE0" w:rsidRDefault="00F64AE0" w:rsidP="007F0500">
      <w:pPr>
        <w:pStyle w:val="Heading2"/>
      </w:pPr>
      <w:bookmarkStart w:id="46" w:name="_Toc255223845"/>
      <w:bookmarkStart w:id="47" w:name="_Toc290302457"/>
      <w:bookmarkStart w:id="48" w:name="_Toc329063947"/>
      <w:bookmarkStart w:id="49" w:name="_Toc403652256"/>
      <w:r>
        <w:t>B.4</w:t>
      </w:r>
      <w:r>
        <w:tab/>
        <w:t>Tests of Procedures</w:t>
      </w:r>
      <w:bookmarkEnd w:id="46"/>
      <w:bookmarkEnd w:id="47"/>
      <w:r>
        <w:t xml:space="preserve"> or Methods to be </w:t>
      </w:r>
      <w:proofErr w:type="gramStart"/>
      <w:r>
        <w:t>Undertaken</w:t>
      </w:r>
      <w:bookmarkEnd w:id="48"/>
      <w:bookmarkEnd w:id="49"/>
      <w:proofErr w:type="gramEnd"/>
    </w:p>
    <w:p w:rsidR="00D442ED" w:rsidRDefault="00D442ED" w:rsidP="00D442ED"/>
    <w:p w:rsidR="00D442ED" w:rsidRPr="00D442ED" w:rsidRDefault="00D442ED" w:rsidP="00D442ED">
      <w:pPr>
        <w:rPr>
          <w:rFonts w:eastAsia="Calibri"/>
          <w:szCs w:val="22"/>
        </w:rPr>
      </w:pPr>
      <w:r w:rsidRPr="00D442ED">
        <w:rPr>
          <w:rFonts w:eastAsia="Calibri"/>
          <w:szCs w:val="22"/>
        </w:rPr>
        <w:t>To ensure the length of the instrument is within the burden estimate, we took efforts to pretest and edit the instruments to keep burden to a minimum. During internal pretesting, all instruments were closely examined to eliminate unnecessary respondent burden and questions deemed to be unnecessary were eliminated.  External pretesting was conducted with f</w:t>
      </w:r>
      <w:r>
        <w:rPr>
          <w:rFonts w:eastAsia="Calibri"/>
          <w:szCs w:val="22"/>
        </w:rPr>
        <w:t>ive</w:t>
      </w:r>
      <w:r w:rsidRPr="00D442ED">
        <w:rPr>
          <w:rFonts w:eastAsia="Calibri"/>
          <w:szCs w:val="22"/>
        </w:rPr>
        <w:t xml:space="preserve"> respondents and the length of the instrument was found to be consistent with the burden estimate.  Some instrument revisions were made to improve question clarity and response categories. Edits made as a result of the pretest have been incorporated in the </w:t>
      </w:r>
      <w:r>
        <w:rPr>
          <w:rFonts w:eastAsia="Calibri"/>
          <w:szCs w:val="22"/>
        </w:rPr>
        <w:t>instruments attached in Appendix</w:t>
      </w:r>
      <w:r w:rsidRPr="00D442ED">
        <w:rPr>
          <w:rFonts w:eastAsia="Calibri"/>
          <w:szCs w:val="22"/>
        </w:rPr>
        <w:t xml:space="preserve"> C.</w:t>
      </w:r>
    </w:p>
    <w:p w:rsidR="00D442ED" w:rsidRDefault="00D442ED" w:rsidP="00185072"/>
    <w:p w:rsidR="00F64AE0" w:rsidRDefault="00F64AE0" w:rsidP="007F0500">
      <w:pPr>
        <w:pStyle w:val="Heading2"/>
      </w:pPr>
      <w:bookmarkStart w:id="50" w:name="_Toc255223846"/>
      <w:bookmarkStart w:id="51" w:name="_Toc290302458"/>
      <w:bookmarkStart w:id="52" w:name="_Toc329063948"/>
      <w:bookmarkStart w:id="53" w:name="_Toc403652257"/>
      <w:r>
        <w:t>B.5</w:t>
      </w:r>
      <w:r>
        <w:tab/>
      </w:r>
      <w:bookmarkEnd w:id="50"/>
      <w:r w:rsidRPr="004D7679">
        <w:t>Individuals Consulted on Statistical Aspects of the Design</w:t>
      </w:r>
      <w:bookmarkEnd w:id="51"/>
      <w:bookmarkEnd w:id="52"/>
      <w:bookmarkEnd w:id="53"/>
    </w:p>
    <w:p w:rsidR="00F64AE0" w:rsidRDefault="00F64AE0" w:rsidP="00185072">
      <w:r>
        <w:t>The individuals shown in Exhibit B-</w:t>
      </w:r>
      <w:r w:rsidR="002D60DF">
        <w:t>5</w:t>
      </w:r>
      <w:r>
        <w:t xml:space="preserve"> assisted ACF in the </w:t>
      </w:r>
      <w:r w:rsidRPr="00185072">
        <w:t>statistical</w:t>
      </w:r>
      <w:r>
        <w:t xml:space="preserve"> design of the evaluation.</w:t>
      </w:r>
    </w:p>
    <w:p w:rsidR="00F64AE0" w:rsidRDefault="00F64AE0" w:rsidP="007F0500">
      <w:pPr>
        <w:pStyle w:val="Caption"/>
      </w:pPr>
      <w:proofErr w:type="gramStart"/>
      <w:r>
        <w:t>Exhibit B-</w:t>
      </w:r>
      <w:r w:rsidR="002D60DF">
        <w:t>5</w:t>
      </w:r>
      <w:r w:rsidR="007F0500">
        <w:t>.</w:t>
      </w:r>
      <w:proofErr w:type="gramEnd"/>
      <w:r w:rsidR="007F0500">
        <w:tab/>
      </w:r>
      <w:r>
        <w:t>Individuals Consulted on the Study Design</w:t>
      </w:r>
    </w:p>
    <w:tbl>
      <w:tblPr>
        <w:tblW w:w="6660" w:type="dxa"/>
        <w:tblInd w:w="118" w:type="dxa"/>
        <w:tblBorders>
          <w:top w:val="single" w:sz="4" w:space="0" w:color="666969"/>
          <w:left w:val="single" w:sz="4" w:space="0" w:color="666969"/>
          <w:bottom w:val="single" w:sz="4" w:space="0" w:color="666969"/>
          <w:right w:val="single" w:sz="4" w:space="0" w:color="666969"/>
          <w:insideH w:val="single" w:sz="4" w:space="0" w:color="666969"/>
          <w:insideV w:val="single" w:sz="4" w:space="0" w:color="666969"/>
        </w:tblBorders>
        <w:tblLayout w:type="fixed"/>
        <w:tblCellMar>
          <w:left w:w="118" w:type="dxa"/>
          <w:right w:w="118" w:type="dxa"/>
        </w:tblCellMar>
        <w:tblLook w:val="0000" w:firstRow="0" w:lastRow="0" w:firstColumn="0" w:lastColumn="0" w:noHBand="0" w:noVBand="0"/>
      </w:tblPr>
      <w:tblGrid>
        <w:gridCol w:w="3960"/>
        <w:gridCol w:w="2700"/>
      </w:tblGrid>
      <w:tr w:rsidR="008F648B" w:rsidRPr="005F542C" w:rsidTr="008F648B">
        <w:trPr>
          <w:trHeight w:val="378"/>
        </w:trPr>
        <w:tc>
          <w:tcPr>
            <w:tcW w:w="3960" w:type="dxa"/>
            <w:shd w:val="clear" w:color="auto" w:fill="C3C6A8" w:themeFill="accent4"/>
            <w:vAlign w:val="center"/>
          </w:tcPr>
          <w:p w:rsidR="008F648B" w:rsidRPr="005F542C" w:rsidRDefault="008F648B" w:rsidP="007F0500">
            <w:pPr>
              <w:keepNext/>
              <w:spacing w:after="0"/>
              <w:rPr>
                <w:rFonts w:ascii="Arial" w:hAnsi="Arial" w:cs="Arial"/>
                <w:b/>
                <w:bCs/>
                <w:sz w:val="20"/>
              </w:rPr>
            </w:pPr>
            <w:bookmarkStart w:id="54" w:name="_Toc58747360"/>
            <w:r w:rsidRPr="005F542C">
              <w:rPr>
                <w:rFonts w:ascii="Arial" w:hAnsi="Arial" w:cs="Arial"/>
                <w:b/>
                <w:bCs/>
                <w:sz w:val="20"/>
              </w:rPr>
              <w:t>Name</w:t>
            </w:r>
            <w:bookmarkEnd w:id="54"/>
          </w:p>
        </w:tc>
        <w:tc>
          <w:tcPr>
            <w:tcW w:w="2700" w:type="dxa"/>
            <w:shd w:val="clear" w:color="auto" w:fill="C3C6A8" w:themeFill="accent4"/>
            <w:vAlign w:val="center"/>
          </w:tcPr>
          <w:p w:rsidR="008F648B" w:rsidRPr="005F542C" w:rsidRDefault="008F648B" w:rsidP="007F0500">
            <w:pPr>
              <w:keepNext/>
              <w:spacing w:after="0"/>
              <w:rPr>
                <w:rFonts w:ascii="Arial" w:hAnsi="Arial" w:cs="Arial"/>
                <w:b/>
                <w:bCs/>
                <w:sz w:val="20"/>
              </w:rPr>
            </w:pPr>
            <w:r w:rsidRPr="005F542C">
              <w:rPr>
                <w:rFonts w:ascii="Arial" w:hAnsi="Arial" w:cs="Arial"/>
                <w:b/>
                <w:bCs/>
                <w:sz w:val="20"/>
              </w:rPr>
              <w:t>Role in Study</w:t>
            </w:r>
          </w:p>
        </w:tc>
      </w:tr>
      <w:tr w:rsidR="008F648B" w:rsidRPr="005F542C" w:rsidTr="008F648B">
        <w:trPr>
          <w:trHeight w:val="576"/>
        </w:trPr>
        <w:tc>
          <w:tcPr>
            <w:tcW w:w="3960" w:type="dxa"/>
            <w:shd w:val="clear" w:color="auto" w:fill="auto"/>
            <w:vAlign w:val="center"/>
          </w:tcPr>
          <w:p w:rsidR="008F648B" w:rsidRDefault="008F648B" w:rsidP="007F0500">
            <w:pPr>
              <w:keepNext/>
              <w:spacing w:after="0"/>
              <w:rPr>
                <w:rFonts w:ascii="Arial" w:hAnsi="Arial" w:cs="Arial"/>
                <w:sz w:val="20"/>
              </w:rPr>
            </w:pPr>
            <w:r>
              <w:rPr>
                <w:rFonts w:ascii="Arial" w:hAnsi="Arial" w:cs="Arial"/>
                <w:sz w:val="20"/>
              </w:rPr>
              <w:t>Karen Gardiner</w:t>
            </w:r>
          </w:p>
          <w:p w:rsidR="008F648B" w:rsidRPr="005F542C" w:rsidRDefault="008F648B" w:rsidP="007F0500">
            <w:pPr>
              <w:keepNext/>
              <w:spacing w:after="0"/>
              <w:rPr>
                <w:rFonts w:ascii="Arial" w:hAnsi="Arial" w:cs="Arial"/>
                <w:sz w:val="20"/>
              </w:rPr>
            </w:pPr>
            <w:r w:rsidRPr="005F542C">
              <w:rPr>
                <w:rFonts w:ascii="Arial" w:hAnsi="Arial" w:cs="Arial"/>
                <w:sz w:val="20"/>
              </w:rPr>
              <w:t>Abt Associates</w:t>
            </w:r>
            <w:r>
              <w:rPr>
                <w:rFonts w:ascii="Arial" w:hAnsi="Arial" w:cs="Arial"/>
                <w:sz w:val="20"/>
              </w:rPr>
              <w:t xml:space="preserve"> Inc.</w:t>
            </w:r>
          </w:p>
        </w:tc>
        <w:tc>
          <w:tcPr>
            <w:tcW w:w="2700" w:type="dxa"/>
            <w:shd w:val="clear" w:color="auto" w:fill="auto"/>
            <w:vAlign w:val="center"/>
          </w:tcPr>
          <w:p w:rsidR="008F648B" w:rsidRPr="005F542C" w:rsidRDefault="008F648B" w:rsidP="007F0500">
            <w:pPr>
              <w:keepNext/>
              <w:spacing w:after="0"/>
              <w:rPr>
                <w:rFonts w:ascii="Arial" w:hAnsi="Arial" w:cs="Arial"/>
                <w:sz w:val="20"/>
              </w:rPr>
            </w:pPr>
            <w:r>
              <w:rPr>
                <w:rFonts w:ascii="Arial" w:hAnsi="Arial" w:cs="Arial"/>
                <w:sz w:val="20"/>
              </w:rPr>
              <w:t>Project Director</w:t>
            </w:r>
          </w:p>
        </w:tc>
      </w:tr>
      <w:tr w:rsidR="008F648B" w:rsidRPr="005F542C" w:rsidTr="008F648B">
        <w:trPr>
          <w:trHeight w:val="576"/>
        </w:trPr>
        <w:tc>
          <w:tcPr>
            <w:tcW w:w="3960" w:type="dxa"/>
            <w:shd w:val="clear" w:color="auto" w:fill="D0D3D4" w:themeFill="accent3"/>
            <w:vAlign w:val="center"/>
          </w:tcPr>
          <w:p w:rsidR="008F648B" w:rsidRDefault="008F648B" w:rsidP="007F0500">
            <w:pPr>
              <w:keepNext/>
              <w:spacing w:after="0"/>
              <w:rPr>
                <w:rFonts w:ascii="Arial" w:hAnsi="Arial" w:cs="Arial"/>
                <w:sz w:val="20"/>
              </w:rPr>
            </w:pPr>
            <w:r w:rsidRPr="005F542C">
              <w:rPr>
                <w:rFonts w:ascii="Arial" w:hAnsi="Arial" w:cs="Arial"/>
                <w:sz w:val="20"/>
              </w:rPr>
              <w:t xml:space="preserve">Dr. </w:t>
            </w:r>
            <w:r>
              <w:rPr>
                <w:rFonts w:ascii="Arial" w:hAnsi="Arial" w:cs="Arial"/>
                <w:sz w:val="20"/>
              </w:rPr>
              <w:t>Howard Rolston</w:t>
            </w:r>
          </w:p>
          <w:p w:rsidR="008F648B" w:rsidRPr="005F542C" w:rsidRDefault="008F648B" w:rsidP="007F0500">
            <w:pPr>
              <w:keepNext/>
              <w:spacing w:after="0"/>
              <w:rPr>
                <w:rFonts w:ascii="Arial" w:hAnsi="Arial" w:cs="Arial"/>
                <w:sz w:val="20"/>
              </w:rPr>
            </w:pPr>
            <w:r>
              <w:rPr>
                <w:rFonts w:ascii="Arial" w:hAnsi="Arial" w:cs="Arial"/>
                <w:sz w:val="20"/>
              </w:rPr>
              <w:t>Abt Associates Inc.</w:t>
            </w:r>
          </w:p>
        </w:tc>
        <w:tc>
          <w:tcPr>
            <w:tcW w:w="2700" w:type="dxa"/>
            <w:shd w:val="clear" w:color="auto" w:fill="D0D3D4" w:themeFill="accent3"/>
            <w:vAlign w:val="center"/>
          </w:tcPr>
          <w:p w:rsidR="008F648B" w:rsidRPr="005F542C" w:rsidRDefault="008F648B" w:rsidP="007F0500">
            <w:pPr>
              <w:keepNext/>
              <w:spacing w:after="0"/>
              <w:rPr>
                <w:rFonts w:ascii="Arial" w:hAnsi="Arial" w:cs="Arial"/>
                <w:sz w:val="20"/>
              </w:rPr>
            </w:pPr>
            <w:r w:rsidRPr="005F542C">
              <w:rPr>
                <w:rFonts w:ascii="Arial" w:hAnsi="Arial" w:cs="Arial"/>
                <w:sz w:val="20"/>
              </w:rPr>
              <w:t>Principal Investigator</w:t>
            </w:r>
          </w:p>
        </w:tc>
      </w:tr>
      <w:tr w:rsidR="008F648B" w:rsidRPr="005F542C" w:rsidTr="008F648B">
        <w:trPr>
          <w:trHeight w:val="576"/>
        </w:trPr>
        <w:tc>
          <w:tcPr>
            <w:tcW w:w="3960" w:type="dxa"/>
            <w:vAlign w:val="center"/>
          </w:tcPr>
          <w:p w:rsidR="008F648B" w:rsidRDefault="008F648B" w:rsidP="007F0500">
            <w:pPr>
              <w:keepNext/>
              <w:spacing w:after="0"/>
              <w:rPr>
                <w:rFonts w:ascii="Arial" w:hAnsi="Arial" w:cs="Arial"/>
                <w:sz w:val="20"/>
              </w:rPr>
            </w:pPr>
            <w:r w:rsidRPr="005F542C">
              <w:rPr>
                <w:rFonts w:ascii="Arial" w:hAnsi="Arial" w:cs="Arial"/>
                <w:sz w:val="20"/>
              </w:rPr>
              <w:t xml:space="preserve">Dr. </w:t>
            </w:r>
            <w:r>
              <w:rPr>
                <w:rFonts w:ascii="Arial" w:hAnsi="Arial" w:cs="Arial"/>
                <w:sz w:val="20"/>
              </w:rPr>
              <w:t>David Fein</w:t>
            </w:r>
          </w:p>
          <w:p w:rsidR="008F648B" w:rsidRPr="005F542C" w:rsidRDefault="008F648B" w:rsidP="007F0500">
            <w:pPr>
              <w:keepNext/>
              <w:spacing w:after="0"/>
              <w:rPr>
                <w:rFonts w:ascii="Arial" w:hAnsi="Arial" w:cs="Arial"/>
                <w:sz w:val="20"/>
              </w:rPr>
            </w:pPr>
            <w:r w:rsidRPr="005F542C">
              <w:rPr>
                <w:rFonts w:ascii="Arial" w:hAnsi="Arial" w:cs="Arial"/>
                <w:sz w:val="20"/>
              </w:rPr>
              <w:t>Abt Associates</w:t>
            </w:r>
            <w:r>
              <w:rPr>
                <w:rFonts w:ascii="Arial" w:hAnsi="Arial" w:cs="Arial"/>
                <w:sz w:val="20"/>
              </w:rPr>
              <w:t xml:space="preserve"> Inc.</w:t>
            </w:r>
          </w:p>
        </w:tc>
        <w:tc>
          <w:tcPr>
            <w:tcW w:w="2700" w:type="dxa"/>
            <w:vAlign w:val="center"/>
          </w:tcPr>
          <w:p w:rsidR="008F648B" w:rsidRPr="005F542C" w:rsidRDefault="008F648B" w:rsidP="007F0500">
            <w:pPr>
              <w:keepNext/>
              <w:spacing w:after="0"/>
              <w:rPr>
                <w:rFonts w:ascii="Arial" w:hAnsi="Arial" w:cs="Arial"/>
                <w:sz w:val="20"/>
              </w:rPr>
            </w:pPr>
            <w:r w:rsidRPr="005F542C">
              <w:rPr>
                <w:rFonts w:ascii="Arial" w:hAnsi="Arial" w:cs="Arial"/>
                <w:sz w:val="20"/>
              </w:rPr>
              <w:t>Principal Investigator</w:t>
            </w:r>
          </w:p>
        </w:tc>
      </w:tr>
      <w:tr w:rsidR="008F648B" w:rsidRPr="005F542C" w:rsidTr="008F648B">
        <w:trPr>
          <w:trHeight w:val="576"/>
        </w:trPr>
        <w:tc>
          <w:tcPr>
            <w:tcW w:w="3960" w:type="dxa"/>
            <w:shd w:val="clear" w:color="auto" w:fill="D0D3D4" w:themeFill="accent3"/>
            <w:vAlign w:val="center"/>
          </w:tcPr>
          <w:p w:rsidR="008F648B" w:rsidRDefault="008F648B" w:rsidP="007F0500">
            <w:pPr>
              <w:keepNext/>
              <w:spacing w:after="0"/>
              <w:rPr>
                <w:rFonts w:ascii="Arial" w:hAnsi="Arial" w:cs="Arial"/>
                <w:sz w:val="20"/>
              </w:rPr>
            </w:pPr>
            <w:r>
              <w:rPr>
                <w:rFonts w:ascii="Arial" w:hAnsi="Arial" w:cs="Arial"/>
                <w:sz w:val="20"/>
              </w:rPr>
              <w:t>David Judkins</w:t>
            </w:r>
          </w:p>
          <w:p w:rsidR="008F648B" w:rsidRPr="005F542C" w:rsidRDefault="008F648B" w:rsidP="007F0500">
            <w:pPr>
              <w:keepNext/>
              <w:spacing w:after="0"/>
              <w:rPr>
                <w:rFonts w:ascii="Arial" w:hAnsi="Arial" w:cs="Arial"/>
                <w:sz w:val="20"/>
              </w:rPr>
            </w:pPr>
            <w:r>
              <w:rPr>
                <w:rFonts w:ascii="Arial" w:hAnsi="Arial" w:cs="Arial"/>
                <w:sz w:val="20"/>
              </w:rPr>
              <w:t>Abt Associates Inc.</w:t>
            </w:r>
          </w:p>
        </w:tc>
        <w:tc>
          <w:tcPr>
            <w:tcW w:w="2700" w:type="dxa"/>
            <w:shd w:val="clear" w:color="auto" w:fill="D0D3D4" w:themeFill="accent3"/>
            <w:vAlign w:val="center"/>
          </w:tcPr>
          <w:p w:rsidR="008F648B" w:rsidRPr="005F542C" w:rsidRDefault="00680539" w:rsidP="007F0500">
            <w:pPr>
              <w:keepNext/>
              <w:spacing w:after="0"/>
              <w:rPr>
                <w:rFonts w:ascii="Arial" w:hAnsi="Arial" w:cs="Arial"/>
                <w:sz w:val="20"/>
              </w:rPr>
            </w:pPr>
            <w:r>
              <w:rPr>
                <w:rFonts w:ascii="Arial" w:hAnsi="Arial" w:cs="Arial"/>
                <w:sz w:val="20"/>
              </w:rPr>
              <w:t xml:space="preserve">Director of Analysis </w:t>
            </w:r>
          </w:p>
        </w:tc>
      </w:tr>
    </w:tbl>
    <w:p w:rsidR="00F64AE0" w:rsidRPr="007F0500" w:rsidRDefault="00F64AE0" w:rsidP="007F0500"/>
    <w:p w:rsidR="00F64AE0" w:rsidRDefault="00F64AE0" w:rsidP="00F64AE0">
      <w:pPr>
        <w:tabs>
          <w:tab w:val="left" w:pos="0"/>
          <w:tab w:val="left" w:pos="720"/>
          <w:tab w:val="left" w:pos="1094"/>
          <w:tab w:val="left" w:pos="1440"/>
          <w:tab w:val="left" w:pos="1800"/>
          <w:tab w:val="left" w:pos="8985"/>
        </w:tabs>
      </w:pPr>
      <w:r>
        <w:t>Inquiries regarding the statistical aspects of the study’s planned analysis should be directed to:</w:t>
      </w:r>
    </w:p>
    <w:p w:rsidR="00F64AE0" w:rsidRDefault="00F64AE0" w:rsidP="00185072">
      <w:pPr>
        <w:tabs>
          <w:tab w:val="left" w:pos="2880"/>
          <w:tab w:val="left" w:pos="8985"/>
        </w:tabs>
        <w:spacing w:after="0"/>
        <w:ind w:left="720"/>
      </w:pPr>
      <w:r>
        <w:t>Karen Gardiner</w:t>
      </w:r>
      <w:r>
        <w:tab/>
      </w:r>
      <w:r w:rsidR="0080558A">
        <w:t>PACE</w:t>
      </w:r>
      <w:r>
        <w:t xml:space="preserve"> Project Director</w:t>
      </w:r>
    </w:p>
    <w:p w:rsidR="00F64AE0" w:rsidRDefault="00F64AE0" w:rsidP="00185072">
      <w:pPr>
        <w:tabs>
          <w:tab w:val="left" w:pos="2880"/>
          <w:tab w:val="left" w:pos="8985"/>
        </w:tabs>
        <w:spacing w:after="0"/>
        <w:ind w:left="720"/>
      </w:pPr>
      <w:r>
        <w:t>David Fein</w:t>
      </w:r>
      <w:r>
        <w:tab/>
      </w:r>
      <w:r w:rsidR="0080558A">
        <w:t>PACE</w:t>
      </w:r>
      <w:r>
        <w:t xml:space="preserve"> Principal Investigator</w:t>
      </w:r>
    </w:p>
    <w:p w:rsidR="00680539" w:rsidRDefault="00680539" w:rsidP="00185072">
      <w:pPr>
        <w:tabs>
          <w:tab w:val="left" w:pos="2880"/>
          <w:tab w:val="left" w:pos="8985"/>
        </w:tabs>
        <w:spacing w:after="0"/>
        <w:ind w:left="720"/>
      </w:pPr>
      <w:r>
        <w:t>David Judkins</w:t>
      </w:r>
      <w:r>
        <w:tab/>
      </w:r>
      <w:r w:rsidR="0080558A">
        <w:t>PACE</w:t>
      </w:r>
      <w:r>
        <w:t xml:space="preserve"> Director of Analysis</w:t>
      </w:r>
    </w:p>
    <w:p w:rsidR="00F64AE0" w:rsidRDefault="00F64AE0" w:rsidP="00185072">
      <w:pPr>
        <w:tabs>
          <w:tab w:val="left" w:pos="2880"/>
          <w:tab w:val="left" w:pos="8985"/>
        </w:tabs>
        <w:spacing w:after="0"/>
        <w:ind w:left="720"/>
      </w:pPr>
      <w:r>
        <w:t>Brendan Kelly</w:t>
      </w:r>
      <w:r>
        <w:tab/>
        <w:t>Office of Planning, Research &amp; Evaluation</w:t>
      </w:r>
    </w:p>
    <w:p w:rsidR="009E25F1" w:rsidRDefault="00F64AE0" w:rsidP="00B26981">
      <w:pPr>
        <w:tabs>
          <w:tab w:val="left" w:pos="2880"/>
          <w:tab w:val="left" w:pos="8985"/>
        </w:tabs>
        <w:spacing w:after="0"/>
        <w:ind w:left="720"/>
      </w:pPr>
      <w:r>
        <w:lastRenderedPageBreak/>
        <w:tab/>
        <w:t>Administration of Children and Families, US DHHS</w:t>
      </w:r>
    </w:p>
    <w:p w:rsidR="00FC7A91" w:rsidRDefault="00FC7A91">
      <w:pPr>
        <w:spacing w:after="0" w:line="240" w:lineRule="auto"/>
        <w:rPr>
          <w:rFonts w:ascii="Arial" w:hAnsi="Arial" w:cs="Arial"/>
          <w:b/>
          <w:bCs/>
          <w:iCs/>
          <w:color w:val="000000" w:themeColor="text1"/>
          <w:sz w:val="24"/>
          <w:szCs w:val="28"/>
        </w:rPr>
      </w:pPr>
      <w:r>
        <w:br w:type="page"/>
      </w:r>
    </w:p>
    <w:p w:rsidR="009E25F1" w:rsidRDefault="009E25F1" w:rsidP="009E25F1">
      <w:pPr>
        <w:pStyle w:val="Heading2"/>
      </w:pPr>
      <w:bookmarkStart w:id="55" w:name="_Toc403652258"/>
      <w:r>
        <w:lastRenderedPageBreak/>
        <w:t>References</w:t>
      </w:r>
      <w:bookmarkEnd w:id="55"/>
    </w:p>
    <w:p w:rsidR="00265A1C" w:rsidRPr="002244DD" w:rsidRDefault="00265A1C" w:rsidP="002244DD">
      <w:pPr>
        <w:pStyle w:val="BodyText"/>
        <w:ind w:left="360" w:hanging="360"/>
        <w:rPr>
          <w:rFonts w:eastAsiaTheme="minorHAnsi"/>
          <w:szCs w:val="22"/>
        </w:rPr>
      </w:pPr>
      <w:r w:rsidRPr="00630689">
        <w:rPr>
          <w:rFonts w:eastAsiaTheme="minorHAnsi"/>
          <w:szCs w:val="22"/>
        </w:rPr>
        <w:t xml:space="preserve">Church, Allan H. 1993. “The Effective of Incentives on Mail Survey Response Rates: A Meta-Analysis.” </w:t>
      </w:r>
      <w:r w:rsidRPr="00630689">
        <w:rPr>
          <w:rFonts w:eastAsiaTheme="minorHAnsi"/>
          <w:i/>
          <w:szCs w:val="22"/>
        </w:rPr>
        <w:t>Public Opinion Quarterly</w:t>
      </w:r>
      <w:r w:rsidRPr="00630689">
        <w:rPr>
          <w:rFonts w:eastAsiaTheme="minorHAnsi"/>
          <w:szCs w:val="22"/>
        </w:rPr>
        <w:t xml:space="preserve"> 57:62-79.</w:t>
      </w:r>
    </w:p>
    <w:p w:rsidR="00795811" w:rsidRPr="00795811" w:rsidRDefault="00795811" w:rsidP="00795811">
      <w:pPr>
        <w:pStyle w:val="NormalWeb"/>
        <w:ind w:left="720" w:hanging="720"/>
        <w:rPr>
          <w:sz w:val="22"/>
          <w:szCs w:val="22"/>
        </w:rPr>
      </w:pPr>
      <w:proofErr w:type="gramStart"/>
      <w:r w:rsidRPr="00795811">
        <w:rPr>
          <w:sz w:val="22"/>
          <w:szCs w:val="22"/>
        </w:rPr>
        <w:t>Clark, Stephen M. and Stephane P. Mack.</w:t>
      </w:r>
      <w:proofErr w:type="gramEnd"/>
      <w:r w:rsidRPr="00795811">
        <w:rPr>
          <w:sz w:val="22"/>
          <w:szCs w:val="22"/>
        </w:rPr>
        <w:t xml:space="preserve"> 2009. “SIPP 2008 Incentive Analysis.” </w:t>
      </w:r>
      <w:proofErr w:type="gramStart"/>
      <w:r w:rsidRPr="00795811">
        <w:rPr>
          <w:sz w:val="22"/>
          <w:szCs w:val="22"/>
        </w:rPr>
        <w:t>Presented at the research conference of the Federal Committee on Statistical Methodology, November 3, Washington D.C.</w:t>
      </w:r>
      <w:proofErr w:type="gramEnd"/>
    </w:p>
    <w:p w:rsidR="00FC7A91" w:rsidRPr="002244DD" w:rsidRDefault="00FC7A91" w:rsidP="00FC7A91">
      <w:pPr>
        <w:pStyle w:val="NormalWeb"/>
        <w:ind w:left="720" w:hanging="720"/>
        <w:rPr>
          <w:sz w:val="22"/>
          <w:szCs w:val="22"/>
        </w:rPr>
      </w:pPr>
      <w:proofErr w:type="gramStart"/>
      <w:r w:rsidRPr="002244DD">
        <w:rPr>
          <w:sz w:val="22"/>
          <w:szCs w:val="22"/>
        </w:rPr>
        <w:t>Creighton, K., King, K., and Martin, E. (2007).</w:t>
      </w:r>
      <w:proofErr w:type="gramEnd"/>
      <w:r w:rsidRPr="002244DD">
        <w:rPr>
          <w:sz w:val="22"/>
          <w:szCs w:val="22"/>
        </w:rPr>
        <w:t xml:space="preserve"> </w:t>
      </w:r>
      <w:proofErr w:type="gramStart"/>
      <w:r w:rsidRPr="002244DD">
        <w:rPr>
          <w:sz w:val="22"/>
          <w:szCs w:val="22"/>
        </w:rPr>
        <w:t>The use of monetary incentives in Census Bureau longitudinal surveys.</w:t>
      </w:r>
      <w:proofErr w:type="gramEnd"/>
      <w:r w:rsidRPr="002244DD">
        <w:rPr>
          <w:sz w:val="22"/>
          <w:szCs w:val="22"/>
        </w:rPr>
        <w:t xml:space="preserve"> Washington, DC: U.S. Census Bureau.</w:t>
      </w:r>
    </w:p>
    <w:p w:rsidR="00795811" w:rsidRPr="00795811" w:rsidRDefault="00795811" w:rsidP="00795811">
      <w:pPr>
        <w:pStyle w:val="NormalWeb"/>
        <w:ind w:left="720" w:hanging="720"/>
        <w:rPr>
          <w:sz w:val="22"/>
          <w:szCs w:val="22"/>
        </w:rPr>
      </w:pPr>
      <w:proofErr w:type="gramStart"/>
      <w:r w:rsidRPr="00795811">
        <w:rPr>
          <w:sz w:val="22"/>
          <w:szCs w:val="22"/>
        </w:rPr>
        <w:t xml:space="preserve">Deng, </w:t>
      </w:r>
      <w:proofErr w:type="spellStart"/>
      <w:r w:rsidRPr="00795811">
        <w:rPr>
          <w:sz w:val="22"/>
          <w:szCs w:val="22"/>
        </w:rPr>
        <w:t>Yiting</w:t>
      </w:r>
      <w:proofErr w:type="spellEnd"/>
      <w:r w:rsidRPr="00795811">
        <w:rPr>
          <w:sz w:val="22"/>
          <w:szCs w:val="22"/>
        </w:rPr>
        <w:t xml:space="preserve">, D. Sunshine </w:t>
      </w:r>
      <w:proofErr w:type="spellStart"/>
      <w:r w:rsidRPr="00795811">
        <w:rPr>
          <w:sz w:val="22"/>
          <w:szCs w:val="22"/>
        </w:rPr>
        <w:t>Hillygus</w:t>
      </w:r>
      <w:proofErr w:type="spellEnd"/>
      <w:r w:rsidRPr="00795811">
        <w:rPr>
          <w:sz w:val="22"/>
          <w:szCs w:val="22"/>
        </w:rPr>
        <w:t xml:space="preserve">, Jerome P. Reiter, </w:t>
      </w:r>
      <w:proofErr w:type="spellStart"/>
      <w:r w:rsidRPr="00795811">
        <w:rPr>
          <w:sz w:val="22"/>
          <w:szCs w:val="22"/>
        </w:rPr>
        <w:t>Yajuan</w:t>
      </w:r>
      <w:proofErr w:type="spellEnd"/>
      <w:r w:rsidRPr="00795811">
        <w:rPr>
          <w:sz w:val="22"/>
          <w:szCs w:val="22"/>
        </w:rPr>
        <w:t xml:space="preserve"> Si, and </w:t>
      </w:r>
      <w:proofErr w:type="spellStart"/>
      <w:r w:rsidRPr="00795811">
        <w:rPr>
          <w:sz w:val="22"/>
          <w:szCs w:val="22"/>
        </w:rPr>
        <w:t>Siyu</w:t>
      </w:r>
      <w:proofErr w:type="spellEnd"/>
      <w:r w:rsidRPr="00795811">
        <w:rPr>
          <w:sz w:val="22"/>
          <w:szCs w:val="22"/>
        </w:rPr>
        <w:t xml:space="preserve"> Zheng.</w:t>
      </w:r>
      <w:proofErr w:type="gramEnd"/>
      <w:r w:rsidRPr="00795811">
        <w:rPr>
          <w:sz w:val="22"/>
          <w:szCs w:val="22"/>
        </w:rPr>
        <w:t xml:space="preserve"> 2013. “Handling Attrition in Longitudinal Studies: The Case for Refreshment Samples.” </w:t>
      </w:r>
      <w:r w:rsidRPr="00CE61CB">
        <w:rPr>
          <w:i/>
          <w:sz w:val="22"/>
          <w:szCs w:val="22"/>
        </w:rPr>
        <w:t>Statistical Science</w:t>
      </w:r>
      <w:r w:rsidRPr="00795811">
        <w:rPr>
          <w:sz w:val="22"/>
          <w:szCs w:val="22"/>
        </w:rPr>
        <w:t xml:space="preserve"> 28(2):238-56.</w:t>
      </w:r>
    </w:p>
    <w:p w:rsidR="00FC7A91" w:rsidRPr="002244DD" w:rsidRDefault="00FC7A91" w:rsidP="00FC7A91">
      <w:pPr>
        <w:pStyle w:val="NormalWeb"/>
        <w:ind w:left="720" w:hanging="720"/>
        <w:rPr>
          <w:sz w:val="22"/>
          <w:szCs w:val="22"/>
        </w:rPr>
      </w:pPr>
      <w:proofErr w:type="gramStart"/>
      <w:r w:rsidRPr="002244DD">
        <w:rPr>
          <w:sz w:val="22"/>
          <w:szCs w:val="22"/>
        </w:rPr>
        <w:t>Duffer, A. et al., (1994).</w:t>
      </w:r>
      <w:proofErr w:type="gramEnd"/>
      <w:r w:rsidRPr="002244DD">
        <w:rPr>
          <w:sz w:val="22"/>
          <w:szCs w:val="22"/>
        </w:rPr>
        <w:t xml:space="preserve"> </w:t>
      </w:r>
      <w:proofErr w:type="gramStart"/>
      <w:r w:rsidRPr="002244DD">
        <w:rPr>
          <w:sz w:val="22"/>
          <w:szCs w:val="22"/>
        </w:rPr>
        <w:t>Effects of incentive payments on response rates and field costs in a pretest of a national CAPI survey.</w:t>
      </w:r>
      <w:proofErr w:type="gramEnd"/>
      <w:r w:rsidRPr="002244DD">
        <w:rPr>
          <w:sz w:val="22"/>
          <w:szCs w:val="22"/>
        </w:rPr>
        <w:t xml:space="preserve"> Chapel Hill: Research Triangle Institute</w:t>
      </w:r>
    </w:p>
    <w:p w:rsidR="00FC7A91" w:rsidRPr="002244DD" w:rsidRDefault="00FC7A91" w:rsidP="00FC7A91">
      <w:pPr>
        <w:pStyle w:val="NormalWeb"/>
        <w:ind w:left="720" w:hanging="720"/>
        <w:rPr>
          <w:sz w:val="22"/>
          <w:szCs w:val="22"/>
        </w:rPr>
      </w:pPr>
      <w:proofErr w:type="gramStart"/>
      <w:r w:rsidRPr="002244DD">
        <w:rPr>
          <w:sz w:val="22"/>
          <w:szCs w:val="22"/>
        </w:rPr>
        <w:t>Educational Testing Service (1991).</w:t>
      </w:r>
      <w:proofErr w:type="gramEnd"/>
      <w:r w:rsidRPr="002244DD">
        <w:rPr>
          <w:sz w:val="22"/>
          <w:szCs w:val="22"/>
        </w:rPr>
        <w:t xml:space="preserve"> National Adult Literacy Survey addendum to clearance package, volume II: Analyses of the NALS field test, pp. 2-3.</w:t>
      </w:r>
    </w:p>
    <w:p w:rsidR="00265A1C" w:rsidRPr="00800709" w:rsidRDefault="00265A1C" w:rsidP="00265A1C">
      <w:pPr>
        <w:pStyle w:val="BodyText"/>
        <w:ind w:left="360" w:hanging="360"/>
        <w:rPr>
          <w:rFonts w:eastAsiaTheme="minorHAnsi"/>
          <w:szCs w:val="22"/>
        </w:rPr>
      </w:pPr>
      <w:r w:rsidRPr="00630689">
        <w:rPr>
          <w:rFonts w:eastAsiaTheme="minorHAnsi"/>
          <w:szCs w:val="22"/>
        </w:rPr>
        <w:t>Edwards, P</w:t>
      </w:r>
      <w:r w:rsidR="00753D53" w:rsidRPr="00630689">
        <w:rPr>
          <w:rFonts w:eastAsiaTheme="minorHAnsi"/>
          <w:szCs w:val="22"/>
        </w:rPr>
        <w:t xml:space="preserve">., </w:t>
      </w:r>
      <w:r w:rsidRPr="00630689">
        <w:rPr>
          <w:rFonts w:eastAsiaTheme="minorHAnsi"/>
          <w:szCs w:val="22"/>
        </w:rPr>
        <w:t xml:space="preserve">Cooper, </w:t>
      </w:r>
      <w:r w:rsidR="00753D53" w:rsidRPr="00630689">
        <w:rPr>
          <w:rFonts w:eastAsiaTheme="minorHAnsi"/>
          <w:szCs w:val="22"/>
        </w:rPr>
        <w:t xml:space="preserve">R., </w:t>
      </w:r>
      <w:r w:rsidRPr="005229BE">
        <w:rPr>
          <w:rFonts w:eastAsiaTheme="minorHAnsi"/>
          <w:szCs w:val="22"/>
        </w:rPr>
        <w:t>Roberts,</w:t>
      </w:r>
      <w:r w:rsidR="00753D53" w:rsidRPr="005229BE">
        <w:rPr>
          <w:rFonts w:eastAsiaTheme="minorHAnsi"/>
          <w:szCs w:val="22"/>
        </w:rPr>
        <w:t xml:space="preserve"> I.,</w:t>
      </w:r>
      <w:r w:rsidRPr="005229BE">
        <w:rPr>
          <w:rFonts w:eastAsiaTheme="minorHAnsi"/>
          <w:szCs w:val="22"/>
        </w:rPr>
        <w:t xml:space="preserve"> and Frost</w:t>
      </w:r>
      <w:r w:rsidR="00753D53" w:rsidRPr="005229BE">
        <w:rPr>
          <w:rFonts w:eastAsiaTheme="minorHAnsi"/>
          <w:szCs w:val="22"/>
        </w:rPr>
        <w:t>, C</w:t>
      </w:r>
      <w:r w:rsidRPr="005229BE">
        <w:rPr>
          <w:rFonts w:eastAsiaTheme="minorHAnsi"/>
          <w:szCs w:val="22"/>
        </w:rPr>
        <w:t xml:space="preserve">. 2005. </w:t>
      </w:r>
      <w:proofErr w:type="gramStart"/>
      <w:r w:rsidRPr="001A12C7">
        <w:rPr>
          <w:rFonts w:eastAsiaTheme="minorHAnsi"/>
          <w:szCs w:val="22"/>
        </w:rPr>
        <w:t xml:space="preserve">Meta-Analysis of </w:t>
      </w:r>
      <w:proofErr w:type="spellStart"/>
      <w:r w:rsidRPr="001A12C7">
        <w:rPr>
          <w:rFonts w:eastAsiaTheme="minorHAnsi"/>
          <w:szCs w:val="22"/>
        </w:rPr>
        <w:t>Randomised</w:t>
      </w:r>
      <w:proofErr w:type="spellEnd"/>
      <w:r w:rsidRPr="001A12C7">
        <w:rPr>
          <w:rFonts w:eastAsiaTheme="minorHAnsi"/>
          <w:szCs w:val="22"/>
        </w:rPr>
        <w:t xml:space="preserve"> Trials of Monetary Incentives and Response to Mailed Questionnaires.</w:t>
      </w:r>
      <w:proofErr w:type="gramEnd"/>
      <w:r w:rsidRPr="001A12C7">
        <w:rPr>
          <w:rFonts w:eastAsiaTheme="minorHAnsi"/>
          <w:szCs w:val="22"/>
        </w:rPr>
        <w:t xml:space="preserve"> </w:t>
      </w:r>
      <w:r w:rsidRPr="00800709">
        <w:rPr>
          <w:rFonts w:eastAsiaTheme="minorHAnsi"/>
          <w:i/>
          <w:szCs w:val="22"/>
        </w:rPr>
        <w:t>Journal of Epidemiology and Community Health</w:t>
      </w:r>
      <w:r w:rsidRPr="00800709">
        <w:rPr>
          <w:rFonts w:eastAsiaTheme="minorHAnsi"/>
          <w:szCs w:val="22"/>
        </w:rPr>
        <w:t xml:space="preserve"> 59:987-99.</w:t>
      </w:r>
    </w:p>
    <w:p w:rsidR="00265A1C" w:rsidRPr="002244DD" w:rsidRDefault="00265A1C" w:rsidP="002244DD">
      <w:pPr>
        <w:pStyle w:val="BodyText"/>
        <w:ind w:left="360" w:hanging="360"/>
        <w:rPr>
          <w:rFonts w:eastAsiaTheme="minorHAnsi"/>
          <w:szCs w:val="22"/>
        </w:rPr>
      </w:pPr>
      <w:proofErr w:type="gramStart"/>
      <w:r w:rsidRPr="00800709">
        <w:rPr>
          <w:rFonts w:eastAsiaTheme="minorHAnsi"/>
          <w:szCs w:val="22"/>
        </w:rPr>
        <w:t>Edwards, P</w:t>
      </w:r>
      <w:r w:rsidR="00753D53" w:rsidRPr="00800709">
        <w:rPr>
          <w:rFonts w:eastAsiaTheme="minorHAnsi"/>
          <w:szCs w:val="22"/>
        </w:rPr>
        <w:t xml:space="preserve">., </w:t>
      </w:r>
      <w:r w:rsidRPr="00800709">
        <w:rPr>
          <w:rFonts w:eastAsiaTheme="minorHAnsi"/>
          <w:szCs w:val="22"/>
        </w:rPr>
        <w:t>Roberts,</w:t>
      </w:r>
      <w:r w:rsidR="00753D53" w:rsidRPr="00800709">
        <w:rPr>
          <w:rFonts w:eastAsiaTheme="minorHAnsi"/>
          <w:szCs w:val="22"/>
        </w:rPr>
        <w:t xml:space="preserve"> I., </w:t>
      </w:r>
      <w:r w:rsidRPr="00800709">
        <w:rPr>
          <w:rFonts w:eastAsiaTheme="minorHAnsi"/>
          <w:szCs w:val="22"/>
        </w:rPr>
        <w:t xml:space="preserve">Clarke, </w:t>
      </w:r>
      <w:r w:rsidR="00753D53" w:rsidRPr="00800709">
        <w:rPr>
          <w:rFonts w:eastAsiaTheme="minorHAnsi"/>
          <w:szCs w:val="22"/>
        </w:rPr>
        <w:t xml:space="preserve">M., </w:t>
      </w:r>
      <w:proofErr w:type="spellStart"/>
      <w:r w:rsidRPr="002244DD">
        <w:rPr>
          <w:rFonts w:eastAsiaTheme="minorHAnsi"/>
          <w:szCs w:val="22"/>
        </w:rPr>
        <w:t>DiGuiseppi</w:t>
      </w:r>
      <w:proofErr w:type="spellEnd"/>
      <w:r w:rsidRPr="002244DD">
        <w:rPr>
          <w:rFonts w:eastAsiaTheme="minorHAnsi"/>
          <w:szCs w:val="22"/>
        </w:rPr>
        <w:t xml:space="preserve">, </w:t>
      </w:r>
      <w:r w:rsidR="00753D53" w:rsidRPr="002244DD">
        <w:rPr>
          <w:rFonts w:eastAsiaTheme="minorHAnsi"/>
          <w:szCs w:val="22"/>
        </w:rPr>
        <w:t xml:space="preserve">C., </w:t>
      </w:r>
      <w:proofErr w:type="spellStart"/>
      <w:r w:rsidRPr="002244DD">
        <w:rPr>
          <w:rFonts w:eastAsiaTheme="minorHAnsi"/>
          <w:szCs w:val="22"/>
        </w:rPr>
        <w:t>Pratap</w:t>
      </w:r>
      <w:proofErr w:type="spellEnd"/>
      <w:r w:rsidRPr="002244DD">
        <w:rPr>
          <w:rFonts w:eastAsiaTheme="minorHAnsi"/>
          <w:szCs w:val="22"/>
        </w:rPr>
        <w:t xml:space="preserve">, </w:t>
      </w:r>
      <w:r w:rsidR="00753D53" w:rsidRPr="002244DD">
        <w:rPr>
          <w:rFonts w:eastAsiaTheme="minorHAnsi"/>
          <w:szCs w:val="22"/>
        </w:rPr>
        <w:t xml:space="preserve">S., </w:t>
      </w:r>
      <w:r w:rsidRPr="002244DD">
        <w:rPr>
          <w:rFonts w:eastAsiaTheme="minorHAnsi"/>
          <w:szCs w:val="22"/>
        </w:rPr>
        <w:t xml:space="preserve">Wentz, </w:t>
      </w:r>
      <w:r w:rsidR="00753D53" w:rsidRPr="002244DD">
        <w:rPr>
          <w:rFonts w:eastAsiaTheme="minorHAnsi"/>
          <w:szCs w:val="22"/>
        </w:rPr>
        <w:t xml:space="preserve">R., </w:t>
      </w:r>
      <w:r w:rsidRPr="002244DD">
        <w:rPr>
          <w:rFonts w:eastAsiaTheme="minorHAnsi"/>
          <w:szCs w:val="22"/>
        </w:rPr>
        <w:t>and Kwan</w:t>
      </w:r>
      <w:r w:rsidR="00753D53" w:rsidRPr="002244DD">
        <w:rPr>
          <w:rFonts w:eastAsiaTheme="minorHAnsi"/>
          <w:szCs w:val="22"/>
        </w:rPr>
        <w:t>, I</w:t>
      </w:r>
      <w:r w:rsidRPr="002244DD">
        <w:rPr>
          <w:rFonts w:eastAsiaTheme="minorHAnsi"/>
          <w:szCs w:val="22"/>
        </w:rPr>
        <w:t>. 2002.</w:t>
      </w:r>
      <w:proofErr w:type="gramEnd"/>
      <w:r w:rsidRPr="002244DD">
        <w:rPr>
          <w:rFonts w:eastAsiaTheme="minorHAnsi"/>
          <w:szCs w:val="22"/>
        </w:rPr>
        <w:t xml:space="preserve"> </w:t>
      </w:r>
      <w:proofErr w:type="gramStart"/>
      <w:r w:rsidRPr="002244DD">
        <w:rPr>
          <w:rFonts w:eastAsiaTheme="minorHAnsi"/>
          <w:szCs w:val="22"/>
        </w:rPr>
        <w:t>Increasing Response Rates to Postal Questionnaires: Systematic Review.</w:t>
      </w:r>
      <w:proofErr w:type="gramEnd"/>
      <w:r w:rsidRPr="002244DD">
        <w:rPr>
          <w:rFonts w:eastAsiaTheme="minorHAnsi"/>
          <w:szCs w:val="22"/>
        </w:rPr>
        <w:t xml:space="preserve"> </w:t>
      </w:r>
      <w:r w:rsidRPr="002244DD">
        <w:rPr>
          <w:rFonts w:eastAsiaTheme="minorHAnsi"/>
          <w:i/>
          <w:szCs w:val="22"/>
        </w:rPr>
        <w:t>British Medical Journal</w:t>
      </w:r>
      <w:r w:rsidRPr="002244DD">
        <w:rPr>
          <w:rFonts w:eastAsiaTheme="minorHAnsi"/>
          <w:szCs w:val="22"/>
        </w:rPr>
        <w:t xml:space="preserve"> 324:1883-85.</w:t>
      </w:r>
    </w:p>
    <w:p w:rsidR="00795811" w:rsidRPr="00795811" w:rsidRDefault="00795811" w:rsidP="00795811">
      <w:pPr>
        <w:pStyle w:val="NormalWeb"/>
        <w:ind w:left="720" w:hanging="720"/>
        <w:rPr>
          <w:sz w:val="22"/>
          <w:szCs w:val="22"/>
        </w:rPr>
      </w:pPr>
      <w:proofErr w:type="gramStart"/>
      <w:r w:rsidRPr="00795811">
        <w:rPr>
          <w:sz w:val="22"/>
          <w:szCs w:val="22"/>
        </w:rPr>
        <w:t>Fitzgerald, John, Peter Gottschalk, and Robert Moffitt.</w:t>
      </w:r>
      <w:proofErr w:type="gramEnd"/>
      <w:r w:rsidRPr="00795811">
        <w:rPr>
          <w:sz w:val="22"/>
          <w:szCs w:val="22"/>
        </w:rPr>
        <w:t xml:space="preserve"> 1998. “An Analysis of Sample Attrition in Panel Data: The Michigan Panel Study of Income Dynamics.” NBER Technical Working Paper No. 220.</w:t>
      </w:r>
    </w:p>
    <w:p w:rsidR="00FC7A91" w:rsidRPr="002244DD" w:rsidRDefault="00FC7A91" w:rsidP="00FC7A91">
      <w:pPr>
        <w:pStyle w:val="NormalWeb"/>
        <w:ind w:left="720" w:hanging="720"/>
        <w:rPr>
          <w:sz w:val="22"/>
          <w:szCs w:val="22"/>
        </w:rPr>
      </w:pPr>
      <w:proofErr w:type="gramStart"/>
      <w:r w:rsidRPr="002244DD">
        <w:rPr>
          <w:sz w:val="22"/>
          <w:szCs w:val="22"/>
        </w:rPr>
        <w:t xml:space="preserve">Greenberg, D., </w:t>
      </w:r>
      <w:proofErr w:type="spellStart"/>
      <w:r w:rsidRPr="002244DD">
        <w:rPr>
          <w:sz w:val="22"/>
          <w:szCs w:val="22"/>
        </w:rPr>
        <w:t>Michalopoulos</w:t>
      </w:r>
      <w:proofErr w:type="spellEnd"/>
      <w:r w:rsidRPr="002244DD">
        <w:rPr>
          <w:sz w:val="22"/>
          <w:szCs w:val="22"/>
        </w:rPr>
        <w:t>, C., and Robins, P. (2003).</w:t>
      </w:r>
      <w:proofErr w:type="gramEnd"/>
      <w:r w:rsidRPr="002244DD">
        <w:rPr>
          <w:sz w:val="22"/>
          <w:szCs w:val="22"/>
        </w:rPr>
        <w:t xml:space="preserve"> </w:t>
      </w:r>
      <w:proofErr w:type="gramStart"/>
      <w:r w:rsidRPr="002244DD">
        <w:rPr>
          <w:sz w:val="22"/>
          <w:szCs w:val="22"/>
        </w:rPr>
        <w:t>A Meta-Analysis of Government-Sponsored Training Programs.</w:t>
      </w:r>
      <w:proofErr w:type="gramEnd"/>
      <w:r w:rsidRPr="002244DD">
        <w:rPr>
          <w:sz w:val="22"/>
          <w:szCs w:val="22"/>
        </w:rPr>
        <w:t xml:space="preserve"> Industrial and Labor Relations Review. </w:t>
      </w:r>
    </w:p>
    <w:p w:rsidR="00795811" w:rsidRPr="00795811" w:rsidRDefault="00795811" w:rsidP="00795811">
      <w:pPr>
        <w:pStyle w:val="NormalWeb"/>
        <w:ind w:left="720" w:hanging="720"/>
        <w:rPr>
          <w:sz w:val="22"/>
          <w:szCs w:val="22"/>
        </w:rPr>
      </w:pPr>
      <w:r w:rsidRPr="00795811">
        <w:rPr>
          <w:sz w:val="22"/>
          <w:szCs w:val="22"/>
        </w:rPr>
        <w:t xml:space="preserve">Hernandez, Donald J. 1999. </w:t>
      </w:r>
      <w:proofErr w:type="gramStart"/>
      <w:r w:rsidRPr="00795811">
        <w:rPr>
          <w:sz w:val="22"/>
          <w:szCs w:val="22"/>
        </w:rPr>
        <w:t>“Comparing Response Rates for SPD, PSID, and NLSY.”</w:t>
      </w:r>
      <w:proofErr w:type="gramEnd"/>
      <w:r w:rsidRPr="00795811">
        <w:rPr>
          <w:sz w:val="22"/>
          <w:szCs w:val="22"/>
        </w:rPr>
        <w:t xml:space="preserve"> Memorandum, January 28. (http://www.census.gov/spd/workpaper/spd-comp.htm; retrieved August 6, 2014)</w:t>
      </w:r>
    </w:p>
    <w:p w:rsidR="00795811" w:rsidRPr="002244DD" w:rsidRDefault="00795811" w:rsidP="00795811">
      <w:pPr>
        <w:pStyle w:val="NormalWeb"/>
        <w:ind w:left="720" w:hanging="720"/>
        <w:rPr>
          <w:sz w:val="22"/>
          <w:szCs w:val="22"/>
        </w:rPr>
      </w:pPr>
      <w:r w:rsidRPr="00795811">
        <w:rPr>
          <w:sz w:val="22"/>
          <w:szCs w:val="22"/>
        </w:rPr>
        <w:t xml:space="preserve">Hill, Martha. 1991. The Panel Study of Income Dynamics: A User’s Guide. </w:t>
      </w:r>
      <w:proofErr w:type="gramStart"/>
      <w:r w:rsidRPr="00795811">
        <w:rPr>
          <w:sz w:val="22"/>
          <w:szCs w:val="22"/>
        </w:rPr>
        <w:t>Vol. 2.</w:t>
      </w:r>
      <w:proofErr w:type="gramEnd"/>
      <w:r w:rsidRPr="00795811">
        <w:rPr>
          <w:sz w:val="22"/>
          <w:szCs w:val="22"/>
        </w:rPr>
        <w:t xml:space="preserve"> Newbury, CA: Sage.</w:t>
      </w:r>
    </w:p>
    <w:p w:rsidR="00FC7A91" w:rsidRPr="002244DD" w:rsidRDefault="00FC7A91" w:rsidP="00FC7A91">
      <w:pPr>
        <w:pStyle w:val="NormalWeb"/>
        <w:ind w:left="720" w:hanging="720"/>
        <w:rPr>
          <w:sz w:val="22"/>
          <w:szCs w:val="22"/>
        </w:rPr>
      </w:pPr>
      <w:proofErr w:type="spellStart"/>
      <w:proofErr w:type="gramStart"/>
      <w:r w:rsidRPr="002244DD">
        <w:rPr>
          <w:sz w:val="22"/>
          <w:szCs w:val="22"/>
        </w:rPr>
        <w:t>Kennet</w:t>
      </w:r>
      <w:proofErr w:type="spellEnd"/>
      <w:r w:rsidRPr="002244DD">
        <w:rPr>
          <w:sz w:val="22"/>
          <w:szCs w:val="22"/>
        </w:rPr>
        <w:t xml:space="preserve">, J., and </w:t>
      </w:r>
      <w:proofErr w:type="spellStart"/>
      <w:r w:rsidRPr="002244DD">
        <w:rPr>
          <w:sz w:val="22"/>
          <w:szCs w:val="22"/>
        </w:rPr>
        <w:t>Gfroerer</w:t>
      </w:r>
      <w:proofErr w:type="spellEnd"/>
      <w:r w:rsidRPr="002244DD">
        <w:rPr>
          <w:sz w:val="22"/>
          <w:szCs w:val="22"/>
        </w:rPr>
        <w:t>, J. (Eds.).</w:t>
      </w:r>
      <w:proofErr w:type="gramEnd"/>
      <w:r w:rsidRPr="002244DD">
        <w:rPr>
          <w:sz w:val="22"/>
          <w:szCs w:val="22"/>
        </w:rPr>
        <w:t xml:space="preserve"> </w:t>
      </w:r>
      <w:proofErr w:type="gramStart"/>
      <w:r w:rsidRPr="002244DD">
        <w:rPr>
          <w:sz w:val="22"/>
          <w:szCs w:val="22"/>
        </w:rPr>
        <w:t>(2005). Evaluating and improving methods used in</w:t>
      </w:r>
      <w:r w:rsidR="005229BE">
        <w:rPr>
          <w:sz w:val="22"/>
          <w:szCs w:val="22"/>
        </w:rPr>
        <w:t xml:space="preserve"> </w:t>
      </w:r>
      <w:r w:rsidRPr="002244DD">
        <w:rPr>
          <w:sz w:val="22"/>
          <w:szCs w:val="22"/>
        </w:rPr>
        <w:t>the National Survey on Drug Use and Health (DHHS Publication No.</w:t>
      </w:r>
      <w:proofErr w:type="gramEnd"/>
      <w:r w:rsidRPr="002244DD">
        <w:rPr>
          <w:sz w:val="22"/>
          <w:szCs w:val="22"/>
        </w:rPr>
        <w:t xml:space="preserve"> SMA 05-4044,</w:t>
      </w:r>
    </w:p>
    <w:p w:rsidR="00753D53" w:rsidRPr="002244DD" w:rsidRDefault="00753D53" w:rsidP="00FC7A91">
      <w:pPr>
        <w:pStyle w:val="NormalWeb"/>
        <w:ind w:left="720" w:hanging="720"/>
        <w:rPr>
          <w:sz w:val="22"/>
          <w:szCs w:val="22"/>
        </w:rPr>
      </w:pPr>
      <w:proofErr w:type="gramStart"/>
      <w:r w:rsidRPr="002244DD">
        <w:rPr>
          <w:sz w:val="22"/>
          <w:szCs w:val="22"/>
        </w:rPr>
        <w:t>Little, T.D., Jorgensen, M.S., Lang, K.M., and Moore, W. (2014).</w:t>
      </w:r>
      <w:proofErr w:type="gramEnd"/>
      <w:r w:rsidRPr="002244DD">
        <w:rPr>
          <w:sz w:val="22"/>
          <w:szCs w:val="22"/>
        </w:rPr>
        <w:t xml:space="preserve"> </w:t>
      </w:r>
      <w:proofErr w:type="gramStart"/>
      <w:r w:rsidRPr="002244DD">
        <w:rPr>
          <w:sz w:val="22"/>
          <w:szCs w:val="22"/>
        </w:rPr>
        <w:t>On the joys of missing data</w:t>
      </w:r>
      <w:r w:rsidR="001148CD" w:rsidRPr="002244DD">
        <w:rPr>
          <w:sz w:val="22"/>
          <w:szCs w:val="22"/>
        </w:rPr>
        <w:t>.</w:t>
      </w:r>
      <w:proofErr w:type="gramEnd"/>
      <w:r w:rsidR="001148CD" w:rsidRPr="002244DD">
        <w:rPr>
          <w:sz w:val="22"/>
          <w:szCs w:val="22"/>
        </w:rPr>
        <w:t xml:space="preserve"> </w:t>
      </w:r>
      <w:r w:rsidRPr="002244DD">
        <w:rPr>
          <w:i/>
          <w:sz w:val="22"/>
          <w:szCs w:val="22"/>
        </w:rPr>
        <w:t>Journal of Pediatric Psychology</w:t>
      </w:r>
      <w:r w:rsidRPr="002244DD">
        <w:rPr>
          <w:sz w:val="22"/>
          <w:szCs w:val="22"/>
        </w:rPr>
        <w:t>, 39(2), 151-162.</w:t>
      </w:r>
    </w:p>
    <w:p w:rsidR="00FC7A91" w:rsidRPr="002244DD" w:rsidRDefault="00FC7A91" w:rsidP="00FC7A91">
      <w:pPr>
        <w:pStyle w:val="NormalWeb"/>
        <w:ind w:left="720" w:hanging="720"/>
        <w:rPr>
          <w:sz w:val="22"/>
          <w:szCs w:val="22"/>
        </w:rPr>
      </w:pPr>
      <w:proofErr w:type="gramStart"/>
      <w:r w:rsidRPr="002244DD">
        <w:rPr>
          <w:sz w:val="22"/>
          <w:szCs w:val="22"/>
        </w:rPr>
        <w:lastRenderedPageBreak/>
        <w:t>Methodology Series M-5.</w:t>
      </w:r>
      <w:proofErr w:type="gramEnd"/>
      <w:r w:rsidRPr="002244DD">
        <w:rPr>
          <w:sz w:val="22"/>
          <w:szCs w:val="22"/>
        </w:rPr>
        <w:t xml:space="preserve"> Rockville, MD: Substance Abuse and Mental Health</w:t>
      </w:r>
    </w:p>
    <w:p w:rsidR="00FC7A91" w:rsidRPr="002244DD" w:rsidRDefault="00FC7A91" w:rsidP="00FC7A91">
      <w:pPr>
        <w:pStyle w:val="NormalWeb"/>
        <w:ind w:left="720" w:hanging="720"/>
        <w:rPr>
          <w:sz w:val="22"/>
          <w:szCs w:val="22"/>
        </w:rPr>
      </w:pPr>
      <w:r w:rsidRPr="002244DD">
        <w:rPr>
          <w:sz w:val="22"/>
          <w:szCs w:val="22"/>
        </w:rPr>
        <w:t>Services Administration, Office of Applied Studies.</w:t>
      </w:r>
    </w:p>
    <w:p w:rsidR="00FC7A91" w:rsidRPr="002244DD" w:rsidRDefault="00FC7A91" w:rsidP="00FC7A91">
      <w:pPr>
        <w:pStyle w:val="NormalWeb"/>
        <w:ind w:left="720" w:hanging="720"/>
        <w:rPr>
          <w:sz w:val="22"/>
          <w:szCs w:val="22"/>
        </w:rPr>
      </w:pPr>
      <w:proofErr w:type="gramStart"/>
      <w:r w:rsidRPr="002244DD">
        <w:rPr>
          <w:sz w:val="22"/>
          <w:szCs w:val="22"/>
        </w:rPr>
        <w:t>Maguire, S., Freely, J., Clymer, C., Conway, M., and Schwartz, D. (2010).</w:t>
      </w:r>
      <w:proofErr w:type="gramEnd"/>
      <w:r w:rsidRPr="002244DD">
        <w:rPr>
          <w:sz w:val="22"/>
          <w:szCs w:val="22"/>
        </w:rPr>
        <w:t xml:space="preserve"> Tuning In to Local Labor Markets: Findings From the </w:t>
      </w:r>
      <w:proofErr w:type="spellStart"/>
      <w:r w:rsidRPr="002244DD">
        <w:rPr>
          <w:sz w:val="22"/>
          <w:szCs w:val="22"/>
        </w:rPr>
        <w:t>Sectoral</w:t>
      </w:r>
      <w:proofErr w:type="spellEnd"/>
      <w:r w:rsidRPr="002244DD">
        <w:rPr>
          <w:sz w:val="22"/>
          <w:szCs w:val="22"/>
        </w:rPr>
        <w:t xml:space="preserve"> Employment Impact Study</w:t>
      </w:r>
      <w:r w:rsidR="001148CD" w:rsidRPr="002244DD">
        <w:rPr>
          <w:sz w:val="22"/>
          <w:szCs w:val="22"/>
        </w:rPr>
        <w:t xml:space="preserve">. </w:t>
      </w:r>
      <w:r w:rsidRPr="002244DD">
        <w:rPr>
          <w:sz w:val="22"/>
          <w:szCs w:val="22"/>
        </w:rPr>
        <w:t>Philadelphia, PA: Public/Private Ventures.</w:t>
      </w:r>
    </w:p>
    <w:p w:rsidR="00856C69" w:rsidRPr="002244DD" w:rsidRDefault="00856C69" w:rsidP="002244DD">
      <w:pPr>
        <w:pStyle w:val="NormalWeb"/>
        <w:ind w:left="720" w:hanging="720"/>
        <w:rPr>
          <w:sz w:val="22"/>
          <w:szCs w:val="22"/>
        </w:rPr>
      </w:pPr>
      <w:proofErr w:type="gramStart"/>
      <w:r w:rsidRPr="002244DD">
        <w:rPr>
          <w:sz w:val="22"/>
          <w:szCs w:val="22"/>
        </w:rPr>
        <w:t>Nisar, H., Klerman, J. and Juras, R. (2013).</w:t>
      </w:r>
      <w:proofErr w:type="gramEnd"/>
      <w:r w:rsidRPr="002244DD">
        <w:rPr>
          <w:sz w:val="22"/>
          <w:szCs w:val="22"/>
        </w:rPr>
        <w:t xml:space="preserve"> Designing training evaluations: New estimates of design parameters and their implications for design (working paper). Cambridge, MA: Abt Associates.</w:t>
      </w:r>
    </w:p>
    <w:p w:rsidR="00FC7A91" w:rsidRPr="002244DD" w:rsidRDefault="00FC7A91" w:rsidP="00FC7A91">
      <w:pPr>
        <w:pStyle w:val="NormalWeb"/>
        <w:ind w:left="720" w:hanging="720"/>
        <w:rPr>
          <w:sz w:val="22"/>
          <w:szCs w:val="22"/>
        </w:rPr>
      </w:pPr>
      <w:proofErr w:type="gramStart"/>
      <w:r w:rsidRPr="002244DD">
        <w:rPr>
          <w:sz w:val="22"/>
          <w:szCs w:val="22"/>
        </w:rPr>
        <w:t>Orr, L.L., Bloom, H.S., Bell, S.H., Lin, W., Cave, G., and Doolittle, F. (1996).</w:t>
      </w:r>
      <w:proofErr w:type="gramEnd"/>
      <w:r w:rsidRPr="002244DD">
        <w:rPr>
          <w:sz w:val="22"/>
          <w:szCs w:val="22"/>
        </w:rPr>
        <w:t xml:space="preserve"> Does Job Training for the Disadvantaged Work?  </w:t>
      </w:r>
      <w:proofErr w:type="gramStart"/>
      <w:r w:rsidRPr="002244DD">
        <w:rPr>
          <w:sz w:val="22"/>
          <w:szCs w:val="22"/>
        </w:rPr>
        <w:t>Evidence from the National JTPA Study.</w:t>
      </w:r>
      <w:proofErr w:type="gramEnd"/>
      <w:r w:rsidRPr="002244DD">
        <w:rPr>
          <w:sz w:val="22"/>
          <w:szCs w:val="22"/>
        </w:rPr>
        <w:t xml:space="preserve"> Washington, DC: Urban Institute Press.</w:t>
      </w:r>
    </w:p>
    <w:p w:rsidR="00265A1C" w:rsidRPr="002244DD" w:rsidRDefault="00FC7A91" w:rsidP="00FC7A91">
      <w:pPr>
        <w:pStyle w:val="NormalWeb"/>
        <w:ind w:left="720" w:hanging="720"/>
        <w:rPr>
          <w:sz w:val="22"/>
          <w:szCs w:val="22"/>
        </w:rPr>
      </w:pPr>
      <w:proofErr w:type="spellStart"/>
      <w:proofErr w:type="gramStart"/>
      <w:r w:rsidRPr="002244DD">
        <w:rPr>
          <w:sz w:val="22"/>
          <w:szCs w:val="22"/>
        </w:rPr>
        <w:t>Roder</w:t>
      </w:r>
      <w:proofErr w:type="spellEnd"/>
      <w:r w:rsidRPr="002244DD">
        <w:rPr>
          <w:sz w:val="22"/>
          <w:szCs w:val="22"/>
        </w:rPr>
        <w:t>, A., and Elliott, M</w:t>
      </w:r>
      <w:r w:rsidR="001148CD" w:rsidRPr="002244DD">
        <w:rPr>
          <w:sz w:val="22"/>
          <w:szCs w:val="22"/>
        </w:rPr>
        <w:t xml:space="preserve">. </w:t>
      </w:r>
      <w:r w:rsidRPr="002244DD">
        <w:rPr>
          <w:sz w:val="22"/>
          <w:szCs w:val="22"/>
        </w:rPr>
        <w:t>(2011).</w:t>
      </w:r>
      <w:proofErr w:type="gramEnd"/>
      <w:r w:rsidRPr="002244DD">
        <w:rPr>
          <w:sz w:val="22"/>
          <w:szCs w:val="22"/>
        </w:rPr>
        <w:t xml:space="preserve"> A Promising Start: Year Up’s Initial Impacts on Low-Income Young Adults’ Careers. New York, NY: Economic Mobility Corporation.</w:t>
      </w:r>
    </w:p>
    <w:p w:rsidR="00603F48" w:rsidRPr="002244DD" w:rsidRDefault="00603F48" w:rsidP="00FC7A91">
      <w:pPr>
        <w:pStyle w:val="NormalWeb"/>
        <w:ind w:left="720" w:hanging="720"/>
        <w:rPr>
          <w:sz w:val="22"/>
          <w:szCs w:val="22"/>
        </w:rPr>
      </w:pPr>
      <w:proofErr w:type="gramStart"/>
      <w:r w:rsidRPr="002244DD">
        <w:rPr>
          <w:sz w:val="22"/>
          <w:szCs w:val="22"/>
        </w:rPr>
        <w:t>Scrivener, S</w:t>
      </w:r>
      <w:r w:rsidR="00753D53" w:rsidRPr="002244DD">
        <w:rPr>
          <w:sz w:val="22"/>
          <w:szCs w:val="22"/>
        </w:rPr>
        <w:t>.</w:t>
      </w:r>
      <w:r w:rsidRPr="002244DD">
        <w:rPr>
          <w:sz w:val="22"/>
          <w:szCs w:val="22"/>
        </w:rPr>
        <w:t xml:space="preserve"> and </w:t>
      </w:r>
      <w:proofErr w:type="spellStart"/>
      <w:r w:rsidR="00753D53" w:rsidRPr="002244DD">
        <w:rPr>
          <w:sz w:val="22"/>
          <w:szCs w:val="22"/>
        </w:rPr>
        <w:t>Coghlan</w:t>
      </w:r>
      <w:proofErr w:type="spellEnd"/>
      <w:r w:rsidR="00753D53" w:rsidRPr="002244DD">
        <w:rPr>
          <w:sz w:val="22"/>
          <w:szCs w:val="22"/>
        </w:rPr>
        <w:t>, E.</w:t>
      </w:r>
      <w:r w:rsidRPr="002244DD">
        <w:rPr>
          <w:sz w:val="22"/>
          <w:szCs w:val="22"/>
        </w:rPr>
        <w:t xml:space="preserve"> (2011)</w:t>
      </w:r>
      <w:r w:rsidR="001148CD" w:rsidRPr="002244DD">
        <w:rPr>
          <w:sz w:val="22"/>
          <w:szCs w:val="22"/>
        </w:rPr>
        <w:t>.</w:t>
      </w:r>
      <w:proofErr w:type="gramEnd"/>
      <w:r w:rsidR="001148CD" w:rsidRPr="002244DD">
        <w:rPr>
          <w:sz w:val="22"/>
          <w:szCs w:val="22"/>
        </w:rPr>
        <w:t xml:space="preserve"> </w:t>
      </w:r>
      <w:proofErr w:type="gramStart"/>
      <w:r w:rsidRPr="002244DD">
        <w:rPr>
          <w:sz w:val="22"/>
          <w:szCs w:val="22"/>
        </w:rPr>
        <w:t>Opening Doors to Student Success: A Synthesis of Findings from an Evaluation at Six Community Colleges</w:t>
      </w:r>
      <w:r w:rsidR="001148CD" w:rsidRPr="002244DD">
        <w:rPr>
          <w:sz w:val="22"/>
          <w:szCs w:val="22"/>
        </w:rPr>
        <w:t>.</w:t>
      </w:r>
      <w:proofErr w:type="gramEnd"/>
      <w:r w:rsidR="001148CD" w:rsidRPr="002244DD">
        <w:rPr>
          <w:sz w:val="22"/>
          <w:szCs w:val="22"/>
        </w:rPr>
        <w:t xml:space="preserve"> </w:t>
      </w:r>
      <w:r w:rsidRPr="002244DD">
        <w:rPr>
          <w:sz w:val="22"/>
          <w:szCs w:val="22"/>
        </w:rPr>
        <w:t>New York: MDRC.</w:t>
      </w:r>
    </w:p>
    <w:p w:rsidR="00B348B8" w:rsidRPr="002244DD" w:rsidRDefault="00B348B8" w:rsidP="00FC7A91">
      <w:pPr>
        <w:pStyle w:val="NormalWeb"/>
        <w:ind w:left="720" w:hanging="720"/>
        <w:rPr>
          <w:sz w:val="22"/>
          <w:szCs w:val="22"/>
        </w:rPr>
      </w:pPr>
      <w:proofErr w:type="spellStart"/>
      <w:proofErr w:type="gramStart"/>
      <w:r w:rsidRPr="002244DD">
        <w:rPr>
          <w:sz w:val="22"/>
          <w:szCs w:val="22"/>
        </w:rPr>
        <w:t>Sommo</w:t>
      </w:r>
      <w:proofErr w:type="spellEnd"/>
      <w:r w:rsidRPr="002244DD">
        <w:rPr>
          <w:sz w:val="22"/>
          <w:szCs w:val="22"/>
        </w:rPr>
        <w:t>, C., Mayer,</w:t>
      </w:r>
      <w:r w:rsidR="00753D53" w:rsidRPr="002244DD">
        <w:rPr>
          <w:sz w:val="22"/>
          <w:szCs w:val="22"/>
        </w:rPr>
        <w:t xml:space="preserve"> A.,</w:t>
      </w:r>
      <w:r w:rsidRPr="002244DD">
        <w:rPr>
          <w:sz w:val="22"/>
          <w:szCs w:val="22"/>
        </w:rPr>
        <w:t xml:space="preserve"> Rudd, </w:t>
      </w:r>
      <w:r w:rsidR="00753D53" w:rsidRPr="002244DD">
        <w:rPr>
          <w:sz w:val="22"/>
          <w:szCs w:val="22"/>
        </w:rPr>
        <w:t xml:space="preserve">T., and </w:t>
      </w:r>
      <w:proofErr w:type="spellStart"/>
      <w:r w:rsidRPr="002244DD">
        <w:rPr>
          <w:sz w:val="22"/>
          <w:szCs w:val="22"/>
        </w:rPr>
        <w:t>Cullinan</w:t>
      </w:r>
      <w:proofErr w:type="spellEnd"/>
      <w:r w:rsidR="00753D53" w:rsidRPr="002244DD">
        <w:rPr>
          <w:sz w:val="22"/>
          <w:szCs w:val="22"/>
        </w:rPr>
        <w:t>, D.</w:t>
      </w:r>
      <w:r w:rsidRPr="002244DD">
        <w:rPr>
          <w:sz w:val="22"/>
          <w:szCs w:val="22"/>
        </w:rPr>
        <w:t xml:space="preserve"> (2012).</w:t>
      </w:r>
      <w:proofErr w:type="gramEnd"/>
      <w:r w:rsidRPr="002244DD">
        <w:rPr>
          <w:sz w:val="22"/>
          <w:szCs w:val="22"/>
        </w:rPr>
        <w:t xml:space="preserve"> Commencement Day: Six-Year Effects of a Freshman Learning Community Program at Kingsborough Community College</w:t>
      </w:r>
      <w:r w:rsidR="001148CD" w:rsidRPr="002244DD">
        <w:rPr>
          <w:sz w:val="22"/>
          <w:szCs w:val="22"/>
        </w:rPr>
        <w:t xml:space="preserve">. </w:t>
      </w:r>
      <w:r w:rsidRPr="002244DD">
        <w:rPr>
          <w:sz w:val="22"/>
          <w:szCs w:val="22"/>
        </w:rPr>
        <w:t xml:space="preserve">New York: </w:t>
      </w:r>
      <w:proofErr w:type="spellStart"/>
      <w:r w:rsidRPr="002244DD">
        <w:rPr>
          <w:sz w:val="22"/>
          <w:szCs w:val="22"/>
        </w:rPr>
        <w:t>MDRC.Weiss</w:t>
      </w:r>
      <w:proofErr w:type="spellEnd"/>
      <w:r w:rsidRPr="002244DD">
        <w:rPr>
          <w:sz w:val="22"/>
          <w:szCs w:val="22"/>
        </w:rPr>
        <w:t>, M</w:t>
      </w:r>
      <w:r w:rsidR="00753D53" w:rsidRPr="002244DD">
        <w:rPr>
          <w:sz w:val="22"/>
          <w:szCs w:val="22"/>
        </w:rPr>
        <w:t>.</w:t>
      </w:r>
      <w:r w:rsidRPr="002244DD">
        <w:rPr>
          <w:sz w:val="22"/>
          <w:szCs w:val="22"/>
        </w:rPr>
        <w:t xml:space="preserve">, </w:t>
      </w:r>
      <w:r w:rsidR="00753D53" w:rsidRPr="002244DD">
        <w:rPr>
          <w:sz w:val="22"/>
          <w:szCs w:val="22"/>
        </w:rPr>
        <w:t>B</w:t>
      </w:r>
      <w:r w:rsidRPr="002244DD">
        <w:rPr>
          <w:sz w:val="22"/>
          <w:szCs w:val="22"/>
        </w:rPr>
        <w:t xml:space="preserve">rock, </w:t>
      </w:r>
      <w:r w:rsidR="00753D53" w:rsidRPr="002244DD">
        <w:rPr>
          <w:sz w:val="22"/>
          <w:szCs w:val="22"/>
        </w:rPr>
        <w:t xml:space="preserve">T., </w:t>
      </w:r>
      <w:proofErr w:type="spellStart"/>
      <w:r w:rsidRPr="002244DD">
        <w:rPr>
          <w:sz w:val="22"/>
          <w:szCs w:val="22"/>
        </w:rPr>
        <w:t>Sommo</w:t>
      </w:r>
      <w:proofErr w:type="spellEnd"/>
      <w:r w:rsidRPr="002244DD">
        <w:rPr>
          <w:sz w:val="22"/>
          <w:szCs w:val="22"/>
        </w:rPr>
        <w:t>,</w:t>
      </w:r>
      <w:r w:rsidR="00753D53" w:rsidRPr="002244DD">
        <w:rPr>
          <w:sz w:val="22"/>
          <w:szCs w:val="22"/>
        </w:rPr>
        <w:t xml:space="preserve"> C.,</w:t>
      </w:r>
      <w:r w:rsidRPr="002244DD">
        <w:rPr>
          <w:sz w:val="22"/>
          <w:szCs w:val="22"/>
        </w:rPr>
        <w:t xml:space="preserve"> Rudd, </w:t>
      </w:r>
      <w:r w:rsidR="00753D53" w:rsidRPr="002244DD">
        <w:rPr>
          <w:sz w:val="22"/>
          <w:szCs w:val="22"/>
        </w:rPr>
        <w:t xml:space="preserve">T., and </w:t>
      </w:r>
      <w:r w:rsidRPr="002244DD">
        <w:rPr>
          <w:sz w:val="22"/>
          <w:szCs w:val="22"/>
        </w:rPr>
        <w:t>Turner</w:t>
      </w:r>
      <w:r w:rsidR="00753D53" w:rsidRPr="002244DD">
        <w:rPr>
          <w:sz w:val="22"/>
          <w:szCs w:val="22"/>
        </w:rPr>
        <w:t>, M.</w:t>
      </w:r>
      <w:r w:rsidRPr="002244DD">
        <w:rPr>
          <w:sz w:val="22"/>
          <w:szCs w:val="22"/>
        </w:rPr>
        <w:t xml:space="preserve"> (2011)</w:t>
      </w:r>
      <w:r w:rsidR="001148CD" w:rsidRPr="002244DD">
        <w:rPr>
          <w:sz w:val="22"/>
          <w:szCs w:val="22"/>
        </w:rPr>
        <w:t xml:space="preserve">. </w:t>
      </w:r>
      <w:proofErr w:type="gramStart"/>
      <w:r w:rsidRPr="002244DD">
        <w:rPr>
          <w:sz w:val="22"/>
          <w:szCs w:val="22"/>
        </w:rPr>
        <w:t>Serving Community College Students on Probation: Four-Year Findings from Chaffey College’s Opening Doors Program</w:t>
      </w:r>
      <w:r w:rsidR="001148CD" w:rsidRPr="002244DD">
        <w:rPr>
          <w:sz w:val="22"/>
          <w:szCs w:val="22"/>
        </w:rPr>
        <w:t>.</w:t>
      </w:r>
      <w:proofErr w:type="gramEnd"/>
      <w:r w:rsidR="001148CD" w:rsidRPr="002244DD">
        <w:rPr>
          <w:sz w:val="22"/>
          <w:szCs w:val="22"/>
        </w:rPr>
        <w:t xml:space="preserve"> </w:t>
      </w:r>
      <w:r w:rsidRPr="002244DD">
        <w:rPr>
          <w:sz w:val="22"/>
          <w:szCs w:val="22"/>
        </w:rPr>
        <w:t>New York: MDRC.</w:t>
      </w:r>
    </w:p>
    <w:p w:rsidR="00FC7A91" w:rsidRPr="002244DD" w:rsidRDefault="00265A1C" w:rsidP="002244DD">
      <w:pPr>
        <w:pStyle w:val="BodyText"/>
        <w:ind w:left="360" w:hanging="360"/>
        <w:rPr>
          <w:rFonts w:eastAsiaTheme="minorHAnsi"/>
          <w:szCs w:val="22"/>
        </w:rPr>
      </w:pPr>
      <w:proofErr w:type="spellStart"/>
      <w:r w:rsidRPr="00630689">
        <w:rPr>
          <w:rFonts w:eastAsiaTheme="minorHAnsi"/>
          <w:szCs w:val="22"/>
        </w:rPr>
        <w:t>Yammarino</w:t>
      </w:r>
      <w:proofErr w:type="spellEnd"/>
      <w:r w:rsidRPr="00630689">
        <w:rPr>
          <w:rFonts w:eastAsiaTheme="minorHAnsi"/>
          <w:szCs w:val="22"/>
        </w:rPr>
        <w:t>, F</w:t>
      </w:r>
      <w:r w:rsidR="00753D53" w:rsidRPr="00630689">
        <w:rPr>
          <w:rFonts w:eastAsiaTheme="minorHAnsi"/>
          <w:szCs w:val="22"/>
        </w:rPr>
        <w:t xml:space="preserve">., </w:t>
      </w:r>
      <w:r w:rsidRPr="005229BE">
        <w:rPr>
          <w:rFonts w:eastAsiaTheme="minorHAnsi"/>
          <w:szCs w:val="22"/>
        </w:rPr>
        <w:t xml:space="preserve">Skinner, </w:t>
      </w:r>
      <w:r w:rsidR="00753D53" w:rsidRPr="005229BE">
        <w:rPr>
          <w:rFonts w:eastAsiaTheme="minorHAnsi"/>
          <w:szCs w:val="22"/>
        </w:rPr>
        <w:t xml:space="preserve">S. </w:t>
      </w:r>
      <w:r w:rsidRPr="005229BE">
        <w:rPr>
          <w:rFonts w:eastAsiaTheme="minorHAnsi"/>
          <w:szCs w:val="22"/>
        </w:rPr>
        <w:t>and Childers</w:t>
      </w:r>
      <w:r w:rsidR="00753D53" w:rsidRPr="005229BE">
        <w:rPr>
          <w:rFonts w:eastAsiaTheme="minorHAnsi"/>
          <w:szCs w:val="22"/>
        </w:rPr>
        <w:t xml:space="preserve">, T. </w:t>
      </w:r>
      <w:proofErr w:type="gramStart"/>
      <w:r w:rsidR="00753D53" w:rsidRPr="005229BE">
        <w:rPr>
          <w:rFonts w:eastAsiaTheme="minorHAnsi"/>
          <w:szCs w:val="22"/>
        </w:rPr>
        <w:t>(</w:t>
      </w:r>
      <w:r w:rsidRPr="001A12C7">
        <w:rPr>
          <w:rFonts w:eastAsiaTheme="minorHAnsi"/>
          <w:szCs w:val="22"/>
        </w:rPr>
        <w:t xml:space="preserve"> 1991</w:t>
      </w:r>
      <w:proofErr w:type="gramEnd"/>
      <w:r w:rsidR="00753D53" w:rsidRPr="001A12C7">
        <w:rPr>
          <w:rFonts w:eastAsiaTheme="minorHAnsi"/>
          <w:szCs w:val="22"/>
        </w:rPr>
        <w:t>)</w:t>
      </w:r>
      <w:r w:rsidRPr="001A12C7">
        <w:rPr>
          <w:rFonts w:eastAsiaTheme="minorHAnsi"/>
          <w:szCs w:val="22"/>
        </w:rPr>
        <w:t xml:space="preserve">. </w:t>
      </w:r>
      <w:proofErr w:type="gramStart"/>
      <w:r w:rsidRPr="001A12C7">
        <w:rPr>
          <w:rFonts w:eastAsiaTheme="minorHAnsi"/>
          <w:szCs w:val="22"/>
        </w:rPr>
        <w:t>Understanding Mail Survey Response Behavior: A Meta-Analysis.</w:t>
      </w:r>
      <w:proofErr w:type="gramEnd"/>
      <w:r w:rsidRPr="00630689">
        <w:rPr>
          <w:rFonts w:eastAsiaTheme="minorHAnsi"/>
          <w:szCs w:val="22"/>
        </w:rPr>
        <w:t xml:space="preserve"> </w:t>
      </w:r>
      <w:r w:rsidRPr="00800709">
        <w:rPr>
          <w:rFonts w:eastAsiaTheme="minorHAnsi"/>
          <w:i/>
          <w:szCs w:val="22"/>
        </w:rPr>
        <w:t>Public Opinion Quarterly</w:t>
      </w:r>
      <w:r w:rsidRPr="00800709">
        <w:rPr>
          <w:rFonts w:eastAsiaTheme="minorHAnsi"/>
          <w:szCs w:val="22"/>
        </w:rPr>
        <w:t xml:space="preserve"> 55:613-39.</w:t>
      </w:r>
      <w:r w:rsidR="00FC7A91" w:rsidRPr="00800709">
        <w:rPr>
          <w:szCs w:val="22"/>
        </w:rPr>
        <w:t xml:space="preserve"> </w:t>
      </w:r>
    </w:p>
    <w:p w:rsidR="00FC7A91" w:rsidRDefault="00FC7A91" w:rsidP="00FC7A91">
      <w:pPr>
        <w:pStyle w:val="NormalWeb"/>
        <w:ind w:left="720" w:hanging="720"/>
        <w:rPr>
          <w:sz w:val="22"/>
          <w:szCs w:val="22"/>
        </w:rPr>
      </w:pPr>
      <w:proofErr w:type="gramStart"/>
      <w:r w:rsidRPr="002244DD">
        <w:rPr>
          <w:sz w:val="22"/>
          <w:szCs w:val="22"/>
        </w:rPr>
        <w:t>Zeidenberg, M., Cho, S., and Jenkins, D. (2010).</w:t>
      </w:r>
      <w:proofErr w:type="gramEnd"/>
      <w:r w:rsidRPr="002244DD">
        <w:rPr>
          <w:sz w:val="22"/>
          <w:szCs w:val="22"/>
        </w:rPr>
        <w:t xml:space="preserve"> Washington State's Integrated Basic Education and Skills Training Program (</w:t>
      </w:r>
      <w:proofErr w:type="gramStart"/>
      <w:r w:rsidRPr="002244DD">
        <w:rPr>
          <w:sz w:val="22"/>
          <w:szCs w:val="22"/>
        </w:rPr>
        <w:t>I-</w:t>
      </w:r>
      <w:proofErr w:type="gramEnd"/>
      <w:r w:rsidRPr="002244DD">
        <w:rPr>
          <w:sz w:val="22"/>
          <w:szCs w:val="22"/>
        </w:rPr>
        <w:t>BEST): New Evidence of Effectiveness (CCRC Working Paper No. 20). New York: Community College Research Center, Teachers College, Columbia University.</w:t>
      </w:r>
    </w:p>
    <w:p w:rsidR="00795811" w:rsidRPr="002244DD" w:rsidRDefault="00795811" w:rsidP="00795811">
      <w:pPr>
        <w:pStyle w:val="NormalWeb"/>
        <w:ind w:left="720" w:hanging="720"/>
        <w:rPr>
          <w:sz w:val="22"/>
          <w:szCs w:val="22"/>
        </w:rPr>
      </w:pPr>
    </w:p>
    <w:sectPr w:rsidR="00795811" w:rsidRPr="002244DD" w:rsidSect="00D41C09">
      <w:footerReference w:type="default" r:id="rId14"/>
      <w:pgSz w:w="12240" w:h="15840" w:code="1"/>
      <w:pgMar w:top="1440" w:right="1440" w:bottom="1440" w:left="1800" w:header="864" w:footer="720"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12C7" w:rsidRDefault="001A12C7" w:rsidP="00D979EA">
      <w:r>
        <w:separator/>
      </w:r>
    </w:p>
  </w:endnote>
  <w:endnote w:type="continuationSeparator" w:id="0">
    <w:p w:rsidR="001A12C7" w:rsidRDefault="001A12C7" w:rsidP="00D97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old">
    <w:panose1 w:val="020B0704020202020204"/>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12C7" w:rsidRDefault="001A12C7" w:rsidP="00744E2C">
    <w:pPr>
      <w:pStyle w:val="Footer"/>
      <w:pBdr>
        <w:top w:val="none" w:sz="0" w:space="0" w:color="auto"/>
      </w:pBd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12C7" w:rsidRPr="0066134E" w:rsidRDefault="001A12C7" w:rsidP="00D979EA">
    <w:pPr>
      <w:pStyle w:val="Footer"/>
    </w:pPr>
    <w:r w:rsidRPr="0066134E">
      <w:tab/>
    </w:r>
    <w:r w:rsidRPr="0066134E">
      <w:rPr>
        <w:rStyle w:val="PageNumber"/>
        <w:b/>
      </w:rPr>
      <w:tab/>
    </w:r>
    <w:r>
      <w:rPr>
        <w:rStyle w:val="PageNumber"/>
        <w:b/>
      </w:rPr>
      <w:t>Contents</w:t>
    </w:r>
    <w:r>
      <w:rPr>
        <w:rStyle w:val="PageNumber"/>
        <w:b/>
      </w:rPr>
      <w:t> </w:t>
    </w:r>
    <w:r>
      <w:rPr>
        <w:rStyle w:val="PageNumber"/>
        <w:rFonts w:cs="Arial"/>
        <w:b/>
      </w:rPr>
      <w:t>▌</w:t>
    </w:r>
    <w:r>
      <w:rPr>
        <w:rStyle w:val="PageNumber"/>
        <w:b/>
      </w:rPr>
      <w:t xml:space="preserve">pg. </w:t>
    </w:r>
    <w:r w:rsidRPr="002064D3">
      <w:rPr>
        <w:rStyle w:val="PageNumber"/>
        <w:b/>
        <w:color w:val="DA291C"/>
      </w:rPr>
      <w:fldChar w:fldCharType="begin"/>
    </w:r>
    <w:r w:rsidRPr="002064D3">
      <w:rPr>
        <w:rStyle w:val="PageNumber"/>
        <w:b/>
        <w:color w:val="DA291C"/>
      </w:rPr>
      <w:instrText xml:space="preserve"> PAGE   \* MERGEFORMAT </w:instrText>
    </w:r>
    <w:r w:rsidRPr="002064D3">
      <w:rPr>
        <w:rStyle w:val="PageNumber"/>
        <w:b/>
        <w:color w:val="DA291C"/>
      </w:rPr>
      <w:fldChar w:fldCharType="separate"/>
    </w:r>
    <w:r w:rsidR="00FE7D6B">
      <w:rPr>
        <w:rStyle w:val="PageNumber"/>
        <w:b/>
        <w:noProof/>
        <w:color w:val="DA291C"/>
      </w:rPr>
      <w:t>i</w:t>
    </w:r>
    <w:r w:rsidRPr="002064D3">
      <w:rPr>
        <w:rStyle w:val="PageNumber"/>
        <w:b/>
        <w:noProof/>
        <w:color w:val="DA291C"/>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12C7" w:rsidRPr="0066134E" w:rsidRDefault="001A12C7" w:rsidP="00D979EA">
    <w:pPr>
      <w:pStyle w:val="Footer"/>
    </w:pPr>
    <w:r w:rsidRPr="0066134E">
      <w:tab/>
    </w:r>
    <w:r w:rsidRPr="0066134E">
      <w:rPr>
        <w:rStyle w:val="PageNumber"/>
        <w:b/>
      </w:rPr>
      <w:tab/>
    </w:r>
    <w:r w:rsidRPr="00F64AE0">
      <w:rPr>
        <w:rStyle w:val="PageNumber"/>
        <w:b/>
      </w:rPr>
      <w:t>Part B: Statistical Methods</w:t>
    </w:r>
    <w:r>
      <w:rPr>
        <w:rStyle w:val="PageNumber"/>
        <w:b/>
      </w:rPr>
      <w:t> </w:t>
    </w:r>
    <w:r>
      <w:rPr>
        <w:rStyle w:val="PageNumber"/>
        <w:rFonts w:cs="Arial"/>
        <w:b/>
      </w:rPr>
      <w:t>▌</w:t>
    </w:r>
    <w:r>
      <w:rPr>
        <w:rStyle w:val="PageNumber"/>
        <w:b/>
      </w:rPr>
      <w:t xml:space="preserve">pg. </w:t>
    </w:r>
    <w:r w:rsidRPr="002064D3">
      <w:rPr>
        <w:rStyle w:val="PageNumber"/>
        <w:b/>
        <w:color w:val="DA291C"/>
      </w:rPr>
      <w:fldChar w:fldCharType="begin"/>
    </w:r>
    <w:r w:rsidRPr="002064D3">
      <w:rPr>
        <w:rStyle w:val="PageNumber"/>
        <w:b/>
        <w:color w:val="DA291C"/>
      </w:rPr>
      <w:instrText xml:space="preserve"> PAGE   \* MERGEFORMAT </w:instrText>
    </w:r>
    <w:r w:rsidRPr="002064D3">
      <w:rPr>
        <w:rStyle w:val="PageNumber"/>
        <w:b/>
        <w:color w:val="DA291C"/>
      </w:rPr>
      <w:fldChar w:fldCharType="separate"/>
    </w:r>
    <w:r w:rsidR="00FE7D6B">
      <w:rPr>
        <w:rStyle w:val="PageNumber"/>
        <w:b/>
        <w:noProof/>
        <w:color w:val="DA291C"/>
      </w:rPr>
      <w:t>13</w:t>
    </w:r>
    <w:r w:rsidRPr="002064D3">
      <w:rPr>
        <w:rStyle w:val="PageNumber"/>
        <w:b/>
        <w:noProof/>
        <w:color w:val="DA291C"/>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12C7" w:rsidRDefault="001A12C7" w:rsidP="00D979EA">
      <w:r>
        <w:separator/>
      </w:r>
    </w:p>
  </w:footnote>
  <w:footnote w:type="continuationSeparator" w:id="0">
    <w:p w:rsidR="001A12C7" w:rsidRDefault="001A12C7" w:rsidP="00D979EA">
      <w:r>
        <w:continuationSeparator/>
      </w:r>
    </w:p>
  </w:footnote>
  <w:footnote w:id="1">
    <w:p w:rsidR="00A24D6F" w:rsidRDefault="00A24D6F">
      <w:pPr>
        <w:pStyle w:val="FootnoteText"/>
      </w:pPr>
      <w:r>
        <w:rPr>
          <w:rStyle w:val="FootnoteReference"/>
        </w:rPr>
        <w:footnoteRef/>
      </w:r>
      <w:r w:rsidR="0080558A">
        <w:t xml:space="preserve">From the project inception in 2007 through October 2014 the project was called </w:t>
      </w:r>
      <w:r w:rsidRPr="007B2C9F">
        <w:t>Innovative Strategies for Increasing Self-Sufficiency</w:t>
      </w:r>
      <w:r w:rsidR="0080558A">
        <w:t>.</w:t>
      </w:r>
    </w:p>
  </w:footnote>
  <w:footnote w:id="2">
    <w:p w:rsidR="001A12C7" w:rsidRDefault="001A12C7" w:rsidP="00F64AE0">
      <w:pPr>
        <w:pStyle w:val="FootnoteText"/>
      </w:pPr>
      <w:r>
        <w:rPr>
          <w:rStyle w:val="FootnoteReference"/>
        </w:rPr>
        <w:footnoteRef/>
      </w:r>
      <w:r>
        <w:t xml:space="preserve"> </w:t>
      </w:r>
      <w:r>
        <w:tab/>
        <w:t>The</w:t>
      </w:r>
      <w:r w:rsidRPr="00AB1C83">
        <w:t xml:space="preserve"> Health Profession Opportunity Grants (HPOG) program provides education and training to </w:t>
      </w:r>
      <w:r>
        <w:t xml:space="preserve">Temporary Assistance to Needy Families </w:t>
      </w:r>
      <w:r w:rsidRPr="00AB1C83">
        <w:t>recipients and other low-income individuals for occupations in the health care field that pay well and are expected to either experience labor shortages or be in high demand. The HPOG program is administered by the Office of Family Assistance within A</w:t>
      </w:r>
      <w:r>
        <w:t>CF</w:t>
      </w:r>
      <w:r w:rsidRPr="00AB1C83">
        <w:t>. In FY 2010, $67</w:t>
      </w:r>
      <w:r>
        <w:t xml:space="preserve"> million</w:t>
      </w:r>
      <w:r w:rsidRPr="00AB1C83">
        <w:t xml:space="preserve"> in grant awards were made to 32 entities located across 23 states, including four tribal colleges and one tribal organization. These demonstration projects are intended to address two challenges: the increasing shortfall in supply of healthcare professionals in the face of expanding demand; and the increasing requirement for a post-secondary education to secure a well-paying job. Grant funds may be used for training and education as well as supportive services such as case management, child care, and transportation. http://www.acf.hhs.gov/programs/opre/welfare_employ/evaluation_hpog/overview.html</w:t>
      </w:r>
    </w:p>
  </w:footnote>
  <w:footnote w:id="3">
    <w:p w:rsidR="001A12C7" w:rsidRDefault="001A12C7" w:rsidP="00045F32">
      <w:pPr>
        <w:pStyle w:val="FootnoteText"/>
        <w:spacing w:after="60" w:line="240" w:lineRule="auto"/>
      </w:pPr>
      <w:r>
        <w:rPr>
          <w:rStyle w:val="FootnoteReference"/>
        </w:rPr>
        <w:footnoteRef/>
      </w:r>
      <w:r>
        <w:tab/>
        <w:t xml:space="preserve">These earnings variance estimates (derived from standard deviations of $12,748 and $10,160 in annual earnings for treatment and control groups, respectively) were the only variance estimates available for populations actually served in </w:t>
      </w:r>
      <w:r w:rsidR="0080558A">
        <w:t>PACE</w:t>
      </w:r>
      <w:r>
        <w:t xml:space="preserve"> sites. Though based on a small survey sample (120 treatment, 44 control), they are very close to estimates P/PV provided </w:t>
      </w:r>
      <w:r w:rsidR="0080558A">
        <w:t>PACE</w:t>
      </w:r>
      <w:r>
        <w:t xml:space="preserve"> for participants in its </w:t>
      </w:r>
      <w:proofErr w:type="spellStart"/>
      <w:r>
        <w:t>sectoral</w:t>
      </w:r>
      <w:proofErr w:type="spellEnd"/>
      <w:r>
        <w:t xml:space="preserve"> demonstration project, which involved a wider age range than the youth (18–24) targeted in Year Up. The projected variance reductions due to use of baseline variables are from Nisar, Klerman, and Juras (2013). </w:t>
      </w:r>
    </w:p>
  </w:footnote>
  <w:footnote w:id="4">
    <w:p w:rsidR="001A12C7" w:rsidRDefault="001A12C7" w:rsidP="007F0500">
      <w:pPr>
        <w:pStyle w:val="FootnoteText"/>
      </w:pPr>
      <w:r>
        <w:rPr>
          <w:rStyle w:val="FootnoteReference"/>
        </w:rPr>
        <w:footnoteRef/>
      </w:r>
      <w:r>
        <w:t xml:space="preserve"> </w:t>
      </w:r>
      <w:r>
        <w:tab/>
        <w:t>See, for example, Kingsborough learning community (</w:t>
      </w:r>
      <w:proofErr w:type="spellStart"/>
      <w:r>
        <w:t>Scrivner</w:t>
      </w:r>
      <w:proofErr w:type="spellEnd"/>
      <w:r>
        <w:t xml:space="preserve"> et al, 2008); Louisiana performance scholarship (</w:t>
      </w:r>
      <w:proofErr w:type="spellStart"/>
      <w:r>
        <w:t>Scriver</w:t>
      </w:r>
      <w:proofErr w:type="spellEnd"/>
      <w:r>
        <w:t xml:space="preserve"> and </w:t>
      </w:r>
      <w:proofErr w:type="spellStart"/>
      <w:r>
        <w:t>Coghlan</w:t>
      </w:r>
      <w:proofErr w:type="spellEnd"/>
      <w:r>
        <w:t>, 2011); Chafee College (Weiss et al, 2011).</w:t>
      </w:r>
      <w:r w:rsidDel="00603F48">
        <w:t xml:space="preserve"> </w:t>
      </w:r>
    </w:p>
  </w:footnote>
  <w:footnote w:id="5">
    <w:p w:rsidR="001A12C7" w:rsidRDefault="001A12C7" w:rsidP="007F0500">
      <w:pPr>
        <w:pStyle w:val="FootnoteText"/>
      </w:pPr>
      <w:r>
        <w:rPr>
          <w:rStyle w:val="FootnoteReference"/>
        </w:rPr>
        <w:footnoteRef/>
      </w:r>
      <w:r>
        <w:t xml:space="preserve"> </w:t>
      </w:r>
      <w:r>
        <w:tab/>
        <w:t>Authors’ calculations based on estimated mean, fraction experimental, coefficient on experimental dummy in Greenberg et al. (2003, Tables 3 &amp; 5).</w:t>
      </w:r>
    </w:p>
  </w:footnote>
  <w:footnote w:id="6">
    <w:p w:rsidR="00F97131" w:rsidRDefault="00F97131">
      <w:pPr>
        <w:pStyle w:val="FootnoteText"/>
      </w:pPr>
      <w:r>
        <w:rPr>
          <w:rStyle w:val="FootnoteReference"/>
        </w:rPr>
        <w:footnoteRef/>
      </w:r>
      <w:r>
        <w:t xml:space="preserve"> </w:t>
      </w:r>
      <w:r w:rsidR="003B4366">
        <w:t xml:space="preserve"> As noted earlier, b</w:t>
      </w:r>
      <w:r>
        <w:t xml:space="preserve">ased on response rates to date, the </w:t>
      </w:r>
      <w:r w:rsidR="0080558A">
        <w:t>PACE</w:t>
      </w:r>
      <w:r>
        <w:t xml:space="preserve"> team expects to achieve an 80 percent response rate on the 15 month survey.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12C7" w:rsidRPr="0005750B" w:rsidRDefault="001A12C7" w:rsidP="0005750B">
    <w:pPr>
      <w:pStyle w:val="Header"/>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12C7" w:rsidRDefault="001A12C7" w:rsidP="0082033D">
    <w:pPr>
      <w:pStyle w:val="Header"/>
    </w:pPr>
    <w:r w:rsidRPr="00D41C09">
      <w:t>Supporting Statement for OMB Clearance Request</w:t>
    </w: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0B4E454"/>
    <w:lvl w:ilvl="0">
      <w:start w:val="1"/>
      <w:numFmt w:val="decimal"/>
      <w:lvlText w:val="%1."/>
      <w:lvlJc w:val="left"/>
      <w:pPr>
        <w:tabs>
          <w:tab w:val="num" w:pos="1800"/>
        </w:tabs>
        <w:ind w:left="1800" w:hanging="360"/>
      </w:pPr>
    </w:lvl>
  </w:abstractNum>
  <w:abstractNum w:abstractNumId="1">
    <w:nsid w:val="FFFFFF7D"/>
    <w:multiLevelType w:val="singleLevel"/>
    <w:tmpl w:val="108E9D52"/>
    <w:lvl w:ilvl="0">
      <w:start w:val="1"/>
      <w:numFmt w:val="decimal"/>
      <w:lvlText w:val="%1."/>
      <w:lvlJc w:val="left"/>
      <w:pPr>
        <w:tabs>
          <w:tab w:val="num" w:pos="1440"/>
        </w:tabs>
        <w:ind w:left="1440" w:hanging="360"/>
      </w:pPr>
    </w:lvl>
  </w:abstractNum>
  <w:abstractNum w:abstractNumId="2">
    <w:nsid w:val="FFFFFF7E"/>
    <w:multiLevelType w:val="singleLevel"/>
    <w:tmpl w:val="7C76437C"/>
    <w:lvl w:ilvl="0">
      <w:start w:val="1"/>
      <w:numFmt w:val="decimal"/>
      <w:lvlText w:val="%1."/>
      <w:lvlJc w:val="left"/>
      <w:pPr>
        <w:tabs>
          <w:tab w:val="num" w:pos="1080"/>
        </w:tabs>
        <w:ind w:left="1080" w:hanging="360"/>
      </w:pPr>
    </w:lvl>
  </w:abstractNum>
  <w:abstractNum w:abstractNumId="3">
    <w:nsid w:val="FFFFFF7F"/>
    <w:multiLevelType w:val="singleLevel"/>
    <w:tmpl w:val="34BC77DE"/>
    <w:lvl w:ilvl="0">
      <w:start w:val="1"/>
      <w:numFmt w:val="decimal"/>
      <w:lvlText w:val="%1."/>
      <w:lvlJc w:val="left"/>
      <w:pPr>
        <w:tabs>
          <w:tab w:val="num" w:pos="720"/>
        </w:tabs>
        <w:ind w:left="720" w:hanging="360"/>
      </w:pPr>
    </w:lvl>
  </w:abstractNum>
  <w:abstractNum w:abstractNumId="4">
    <w:nsid w:val="FFFFFF80"/>
    <w:multiLevelType w:val="singleLevel"/>
    <w:tmpl w:val="AAD656F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C4CBD4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04A21D8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E796FF9A"/>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8CA62F9A"/>
    <w:lvl w:ilvl="0">
      <w:start w:val="1"/>
      <w:numFmt w:val="decimal"/>
      <w:lvlText w:val="%1."/>
      <w:lvlJc w:val="left"/>
      <w:pPr>
        <w:tabs>
          <w:tab w:val="num" w:pos="360"/>
        </w:tabs>
        <w:ind w:left="360" w:hanging="360"/>
      </w:pPr>
    </w:lvl>
  </w:abstractNum>
  <w:abstractNum w:abstractNumId="9">
    <w:nsid w:val="FFFFFF89"/>
    <w:multiLevelType w:val="singleLevel"/>
    <w:tmpl w:val="A1EC772A"/>
    <w:lvl w:ilvl="0">
      <w:start w:val="1"/>
      <w:numFmt w:val="bullet"/>
      <w:lvlText w:val=""/>
      <w:lvlJc w:val="left"/>
      <w:pPr>
        <w:tabs>
          <w:tab w:val="num" w:pos="360"/>
        </w:tabs>
        <w:ind w:left="360" w:hanging="360"/>
      </w:pPr>
      <w:rPr>
        <w:rFonts w:ascii="Symbol" w:hAnsi="Symbol" w:hint="default"/>
      </w:rPr>
    </w:lvl>
  </w:abstractNum>
  <w:abstractNum w:abstractNumId="10">
    <w:nsid w:val="0F903C69"/>
    <w:multiLevelType w:val="hybridMultilevel"/>
    <w:tmpl w:val="A2226A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B3E61F1"/>
    <w:multiLevelType w:val="hybridMultilevel"/>
    <w:tmpl w:val="9DD8E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4AC259B"/>
    <w:multiLevelType w:val="singleLevel"/>
    <w:tmpl w:val="01AC6EA0"/>
    <w:lvl w:ilvl="0">
      <w:start w:val="1"/>
      <w:numFmt w:val="decimal"/>
      <w:pStyle w:val="Numbers"/>
      <w:lvlText w:val="%1."/>
      <w:lvlJc w:val="left"/>
      <w:pPr>
        <w:tabs>
          <w:tab w:val="num" w:pos="1080"/>
        </w:tabs>
        <w:ind w:left="1080" w:hanging="360"/>
      </w:pPr>
    </w:lvl>
  </w:abstractNum>
  <w:abstractNum w:abstractNumId="13">
    <w:nsid w:val="307361EB"/>
    <w:multiLevelType w:val="hybridMultilevel"/>
    <w:tmpl w:val="D974B436"/>
    <w:lvl w:ilvl="0" w:tplc="661CB3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EAD33C4"/>
    <w:multiLevelType w:val="multilevel"/>
    <w:tmpl w:val="2C8E9D5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15">
    <w:nsid w:val="6D8E3C46"/>
    <w:multiLevelType w:val="hybridMultilevel"/>
    <w:tmpl w:val="2F5A0A1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17">
    <w:nsid w:val="774146A3"/>
    <w:multiLevelType w:val="hybridMultilevel"/>
    <w:tmpl w:val="F61C4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AD63DA6"/>
    <w:multiLevelType w:val="singleLevel"/>
    <w:tmpl w:val="D1227EF6"/>
    <w:lvl w:ilvl="0">
      <w:start w:val="1"/>
      <w:numFmt w:val="bullet"/>
      <w:pStyle w:val="Bullets"/>
      <w:lvlText w:val=""/>
      <w:lvlJc w:val="left"/>
      <w:pPr>
        <w:ind w:left="360" w:hanging="360"/>
      </w:pPr>
      <w:rPr>
        <w:rFonts w:ascii="Symbol" w:hAnsi="Symbol" w:hint="default"/>
        <w:color w:val="DA291C"/>
        <w:sz w:val="22"/>
      </w:rPr>
    </w:lvl>
  </w:abstractNum>
  <w:abstractNum w:abstractNumId="19">
    <w:nsid w:val="7FCF753D"/>
    <w:multiLevelType w:val="hybridMultilevel"/>
    <w:tmpl w:val="A1E6A41C"/>
    <w:lvl w:ilvl="0" w:tplc="31A62D50">
      <w:start w:val="1"/>
      <w:numFmt w:val="bullet"/>
      <w:pStyle w:val="Bullet2"/>
      <w:lvlText w:val=""/>
      <w:lvlJc w:val="left"/>
      <w:pPr>
        <w:tabs>
          <w:tab w:val="num" w:pos="720"/>
        </w:tabs>
        <w:ind w:left="720" w:hanging="360"/>
      </w:pPr>
      <w:rPr>
        <w:rFonts w:ascii="Symbol" w:hAnsi="Symbol" w:hint="default"/>
        <w:color w:val="0000A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6"/>
  </w:num>
  <w:num w:numId="3">
    <w:abstractNumId w:val="18"/>
  </w:num>
  <w:num w:numId="4">
    <w:abstractNumId w:val="14"/>
  </w:num>
  <w:num w:numId="5">
    <w:abstractNumId w:val="19"/>
  </w:num>
  <w:num w:numId="6">
    <w:abstractNumId w:val="17"/>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0"/>
  </w:num>
  <w:num w:numId="18">
    <w:abstractNumId w:val="13"/>
  </w:num>
  <w:num w:numId="19">
    <w:abstractNumId w:val="15"/>
  </w:num>
  <w:num w:numId="20">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8" w:dllVersion="513" w:checkStyle="1"/>
  <w:proofState w:spelling="clean" w:grammar="clean"/>
  <w:attachedTemplate r:id="rId1"/>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trackRevisions/>
  <w:defaultTabStop w:val="360"/>
  <w:drawingGridHorizontalSpacing w:val="110"/>
  <w:drawingGridVerticalSpacing w:val="299"/>
  <w:displayHorizontalDrawingGridEvery w:val="0"/>
  <w:displayVerticalDrawingGridEvery w:val="0"/>
  <w:noPunctuationKerning/>
  <w:characterSpacingControl w:val="doNotCompress"/>
  <w:hdrShapeDefaults>
    <o:shapedefaults v:ext="edit" spidmax="47105">
      <o:colormru v:ext="edit" colors="#e1e1ff,#069,#bad1e8,#afd787,#cde6b4,#d1e8ba,#0000ac"/>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1C09"/>
    <w:rsid w:val="00003527"/>
    <w:rsid w:val="00003A2C"/>
    <w:rsid w:val="00006B3A"/>
    <w:rsid w:val="000136F3"/>
    <w:rsid w:val="00016E17"/>
    <w:rsid w:val="0002216E"/>
    <w:rsid w:val="00040E00"/>
    <w:rsid w:val="000419A5"/>
    <w:rsid w:val="00045F32"/>
    <w:rsid w:val="00046728"/>
    <w:rsid w:val="00047407"/>
    <w:rsid w:val="000525E0"/>
    <w:rsid w:val="00053EEF"/>
    <w:rsid w:val="000543DC"/>
    <w:rsid w:val="00055022"/>
    <w:rsid w:val="0005750B"/>
    <w:rsid w:val="0006045E"/>
    <w:rsid w:val="0006587B"/>
    <w:rsid w:val="00070322"/>
    <w:rsid w:val="0007441C"/>
    <w:rsid w:val="00076BD5"/>
    <w:rsid w:val="00082D01"/>
    <w:rsid w:val="00087856"/>
    <w:rsid w:val="000902AA"/>
    <w:rsid w:val="0009567F"/>
    <w:rsid w:val="00095D40"/>
    <w:rsid w:val="000A00A2"/>
    <w:rsid w:val="000A18D8"/>
    <w:rsid w:val="000A1C6D"/>
    <w:rsid w:val="000A7D69"/>
    <w:rsid w:val="000B33D1"/>
    <w:rsid w:val="000C01A2"/>
    <w:rsid w:val="000C0A39"/>
    <w:rsid w:val="000C3040"/>
    <w:rsid w:val="000D53F1"/>
    <w:rsid w:val="000D5777"/>
    <w:rsid w:val="000E6B75"/>
    <w:rsid w:val="000F0F33"/>
    <w:rsid w:val="000F1402"/>
    <w:rsid w:val="000F53F4"/>
    <w:rsid w:val="001034D7"/>
    <w:rsid w:val="00104F2A"/>
    <w:rsid w:val="00107A04"/>
    <w:rsid w:val="00110BF6"/>
    <w:rsid w:val="0011170B"/>
    <w:rsid w:val="001148CD"/>
    <w:rsid w:val="001178CA"/>
    <w:rsid w:val="00121970"/>
    <w:rsid w:val="001307A5"/>
    <w:rsid w:val="00137821"/>
    <w:rsid w:val="00152153"/>
    <w:rsid w:val="00157E04"/>
    <w:rsid w:val="00160657"/>
    <w:rsid w:val="00160B87"/>
    <w:rsid w:val="001677DC"/>
    <w:rsid w:val="001707D1"/>
    <w:rsid w:val="00172119"/>
    <w:rsid w:val="00177A79"/>
    <w:rsid w:val="00185072"/>
    <w:rsid w:val="001A020A"/>
    <w:rsid w:val="001A04CE"/>
    <w:rsid w:val="001A0E0A"/>
    <w:rsid w:val="001A12C7"/>
    <w:rsid w:val="001A23B5"/>
    <w:rsid w:val="001A403F"/>
    <w:rsid w:val="001A4633"/>
    <w:rsid w:val="001A49B3"/>
    <w:rsid w:val="001B01E6"/>
    <w:rsid w:val="001B2C57"/>
    <w:rsid w:val="001B4509"/>
    <w:rsid w:val="001C0891"/>
    <w:rsid w:val="001C10AF"/>
    <w:rsid w:val="001C4D7E"/>
    <w:rsid w:val="001D2E20"/>
    <w:rsid w:val="001D4FDD"/>
    <w:rsid w:val="001E2CF1"/>
    <w:rsid w:val="00200E58"/>
    <w:rsid w:val="002064D3"/>
    <w:rsid w:val="0020677B"/>
    <w:rsid w:val="00206871"/>
    <w:rsid w:val="00207592"/>
    <w:rsid w:val="00207B50"/>
    <w:rsid w:val="002106BF"/>
    <w:rsid w:val="002176B8"/>
    <w:rsid w:val="002216AD"/>
    <w:rsid w:val="00221D99"/>
    <w:rsid w:val="00223A9F"/>
    <w:rsid w:val="002244DD"/>
    <w:rsid w:val="00226023"/>
    <w:rsid w:val="0022674D"/>
    <w:rsid w:val="00227977"/>
    <w:rsid w:val="0023449A"/>
    <w:rsid w:val="00235F88"/>
    <w:rsid w:val="00255975"/>
    <w:rsid w:val="00265A1C"/>
    <w:rsid w:val="002702F7"/>
    <w:rsid w:val="00273EAA"/>
    <w:rsid w:val="00276702"/>
    <w:rsid w:val="0028328D"/>
    <w:rsid w:val="002838F5"/>
    <w:rsid w:val="00285BB6"/>
    <w:rsid w:val="0029491C"/>
    <w:rsid w:val="002A4078"/>
    <w:rsid w:val="002A5CE0"/>
    <w:rsid w:val="002B2F3C"/>
    <w:rsid w:val="002C32AB"/>
    <w:rsid w:val="002C41F9"/>
    <w:rsid w:val="002C4495"/>
    <w:rsid w:val="002C5AC8"/>
    <w:rsid w:val="002C76AB"/>
    <w:rsid w:val="002D4536"/>
    <w:rsid w:val="002D60DF"/>
    <w:rsid w:val="002F48C8"/>
    <w:rsid w:val="002F55CE"/>
    <w:rsid w:val="002F76F5"/>
    <w:rsid w:val="00300550"/>
    <w:rsid w:val="003023B8"/>
    <w:rsid w:val="00314A8A"/>
    <w:rsid w:val="00323863"/>
    <w:rsid w:val="00324EC2"/>
    <w:rsid w:val="003279F2"/>
    <w:rsid w:val="0033156E"/>
    <w:rsid w:val="00340F9F"/>
    <w:rsid w:val="00342BA9"/>
    <w:rsid w:val="003455BC"/>
    <w:rsid w:val="003465C6"/>
    <w:rsid w:val="00354503"/>
    <w:rsid w:val="003623F0"/>
    <w:rsid w:val="003642FD"/>
    <w:rsid w:val="00364F46"/>
    <w:rsid w:val="00370164"/>
    <w:rsid w:val="003711CD"/>
    <w:rsid w:val="00380DB1"/>
    <w:rsid w:val="00383BFC"/>
    <w:rsid w:val="00384611"/>
    <w:rsid w:val="00384CA0"/>
    <w:rsid w:val="003870BA"/>
    <w:rsid w:val="00395A89"/>
    <w:rsid w:val="003A2AF3"/>
    <w:rsid w:val="003A2FA8"/>
    <w:rsid w:val="003A3403"/>
    <w:rsid w:val="003B4366"/>
    <w:rsid w:val="003B4770"/>
    <w:rsid w:val="003C20BF"/>
    <w:rsid w:val="003C36E5"/>
    <w:rsid w:val="003D5616"/>
    <w:rsid w:val="003D7B21"/>
    <w:rsid w:val="003E264B"/>
    <w:rsid w:val="003E666B"/>
    <w:rsid w:val="003E68C4"/>
    <w:rsid w:val="003F3C8F"/>
    <w:rsid w:val="003F3E19"/>
    <w:rsid w:val="003F5716"/>
    <w:rsid w:val="003F6592"/>
    <w:rsid w:val="00417789"/>
    <w:rsid w:val="00423092"/>
    <w:rsid w:val="004253E8"/>
    <w:rsid w:val="00427EA9"/>
    <w:rsid w:val="004319BC"/>
    <w:rsid w:val="004350B0"/>
    <w:rsid w:val="00436CE5"/>
    <w:rsid w:val="00470AB4"/>
    <w:rsid w:val="00472E16"/>
    <w:rsid w:val="004734DF"/>
    <w:rsid w:val="00486943"/>
    <w:rsid w:val="00495B91"/>
    <w:rsid w:val="004A0C24"/>
    <w:rsid w:val="004A3245"/>
    <w:rsid w:val="004A5408"/>
    <w:rsid w:val="004C18DF"/>
    <w:rsid w:val="004C29E5"/>
    <w:rsid w:val="004C2B46"/>
    <w:rsid w:val="004D4C6D"/>
    <w:rsid w:val="004E01A4"/>
    <w:rsid w:val="004E4417"/>
    <w:rsid w:val="004F6742"/>
    <w:rsid w:val="004F709B"/>
    <w:rsid w:val="00503049"/>
    <w:rsid w:val="00506B3A"/>
    <w:rsid w:val="005148E9"/>
    <w:rsid w:val="005229BE"/>
    <w:rsid w:val="005265F1"/>
    <w:rsid w:val="00534B03"/>
    <w:rsid w:val="00534C33"/>
    <w:rsid w:val="0053675A"/>
    <w:rsid w:val="00536DB4"/>
    <w:rsid w:val="0054025D"/>
    <w:rsid w:val="005407A4"/>
    <w:rsid w:val="00550E86"/>
    <w:rsid w:val="0055123E"/>
    <w:rsid w:val="00563E3B"/>
    <w:rsid w:val="00574572"/>
    <w:rsid w:val="00575610"/>
    <w:rsid w:val="00585CA4"/>
    <w:rsid w:val="0058726D"/>
    <w:rsid w:val="00595451"/>
    <w:rsid w:val="00597948"/>
    <w:rsid w:val="005A3A97"/>
    <w:rsid w:val="005B0FBC"/>
    <w:rsid w:val="005B1AC5"/>
    <w:rsid w:val="005B3218"/>
    <w:rsid w:val="005B6A25"/>
    <w:rsid w:val="005C4647"/>
    <w:rsid w:val="005C55D5"/>
    <w:rsid w:val="005D3B83"/>
    <w:rsid w:val="005D7D75"/>
    <w:rsid w:val="005E0CF2"/>
    <w:rsid w:val="005E2AEA"/>
    <w:rsid w:val="005E6B70"/>
    <w:rsid w:val="005F16F8"/>
    <w:rsid w:val="005F2EA4"/>
    <w:rsid w:val="00603F48"/>
    <w:rsid w:val="0060479A"/>
    <w:rsid w:val="006122D8"/>
    <w:rsid w:val="0061247A"/>
    <w:rsid w:val="00615938"/>
    <w:rsid w:val="0063014E"/>
    <w:rsid w:val="00630689"/>
    <w:rsid w:val="00643346"/>
    <w:rsid w:val="006470E4"/>
    <w:rsid w:val="0065112D"/>
    <w:rsid w:val="00651D7E"/>
    <w:rsid w:val="0066134E"/>
    <w:rsid w:val="00662B5E"/>
    <w:rsid w:val="006674DF"/>
    <w:rsid w:val="00667ECD"/>
    <w:rsid w:val="0067662D"/>
    <w:rsid w:val="006767E7"/>
    <w:rsid w:val="00680440"/>
    <w:rsid w:val="00680539"/>
    <w:rsid w:val="006814BB"/>
    <w:rsid w:val="006840EB"/>
    <w:rsid w:val="00692840"/>
    <w:rsid w:val="0069342C"/>
    <w:rsid w:val="006A4B15"/>
    <w:rsid w:val="006A541C"/>
    <w:rsid w:val="006A5B3B"/>
    <w:rsid w:val="006B01E8"/>
    <w:rsid w:val="006B1DA6"/>
    <w:rsid w:val="006B2702"/>
    <w:rsid w:val="006C2C8D"/>
    <w:rsid w:val="006C7A4C"/>
    <w:rsid w:val="006D031E"/>
    <w:rsid w:val="006D406B"/>
    <w:rsid w:val="006E057D"/>
    <w:rsid w:val="006E2B32"/>
    <w:rsid w:val="006F2B34"/>
    <w:rsid w:val="007057ED"/>
    <w:rsid w:val="0070672F"/>
    <w:rsid w:val="007105A6"/>
    <w:rsid w:val="00715417"/>
    <w:rsid w:val="00717620"/>
    <w:rsid w:val="00720846"/>
    <w:rsid w:val="00726DD4"/>
    <w:rsid w:val="00730F56"/>
    <w:rsid w:val="00740B80"/>
    <w:rsid w:val="00744E2C"/>
    <w:rsid w:val="00752119"/>
    <w:rsid w:val="007523C2"/>
    <w:rsid w:val="00752F1C"/>
    <w:rsid w:val="00753D53"/>
    <w:rsid w:val="00754264"/>
    <w:rsid w:val="00754408"/>
    <w:rsid w:val="007578BE"/>
    <w:rsid w:val="007631C7"/>
    <w:rsid w:val="00763CCC"/>
    <w:rsid w:val="00772406"/>
    <w:rsid w:val="0077411B"/>
    <w:rsid w:val="00776C72"/>
    <w:rsid w:val="0078258F"/>
    <w:rsid w:val="007846BC"/>
    <w:rsid w:val="00794B6E"/>
    <w:rsid w:val="00795811"/>
    <w:rsid w:val="007969A4"/>
    <w:rsid w:val="007A0114"/>
    <w:rsid w:val="007B1321"/>
    <w:rsid w:val="007B1904"/>
    <w:rsid w:val="007B2C9F"/>
    <w:rsid w:val="007C1934"/>
    <w:rsid w:val="007D1D5B"/>
    <w:rsid w:val="007D6370"/>
    <w:rsid w:val="007D7CDE"/>
    <w:rsid w:val="007E092F"/>
    <w:rsid w:val="007E0B87"/>
    <w:rsid w:val="007E5EC0"/>
    <w:rsid w:val="007F0500"/>
    <w:rsid w:val="00800709"/>
    <w:rsid w:val="0080098A"/>
    <w:rsid w:val="00801761"/>
    <w:rsid w:val="0080558A"/>
    <w:rsid w:val="008111EB"/>
    <w:rsid w:val="008130C9"/>
    <w:rsid w:val="00813D02"/>
    <w:rsid w:val="00814833"/>
    <w:rsid w:val="00815DC5"/>
    <w:rsid w:val="0082033D"/>
    <w:rsid w:val="008222AD"/>
    <w:rsid w:val="0083104D"/>
    <w:rsid w:val="00831165"/>
    <w:rsid w:val="008349AE"/>
    <w:rsid w:val="00846D77"/>
    <w:rsid w:val="00852480"/>
    <w:rsid w:val="00854565"/>
    <w:rsid w:val="0085461C"/>
    <w:rsid w:val="00856632"/>
    <w:rsid w:val="00856C69"/>
    <w:rsid w:val="00867308"/>
    <w:rsid w:val="00872CA4"/>
    <w:rsid w:val="00875D90"/>
    <w:rsid w:val="008945B3"/>
    <w:rsid w:val="008957D4"/>
    <w:rsid w:val="008B0543"/>
    <w:rsid w:val="008C0888"/>
    <w:rsid w:val="008C3505"/>
    <w:rsid w:val="008D30EA"/>
    <w:rsid w:val="008D55C8"/>
    <w:rsid w:val="008E20DE"/>
    <w:rsid w:val="008F1770"/>
    <w:rsid w:val="008F648B"/>
    <w:rsid w:val="008F6D12"/>
    <w:rsid w:val="009013C5"/>
    <w:rsid w:val="009061A4"/>
    <w:rsid w:val="00911F60"/>
    <w:rsid w:val="00912E02"/>
    <w:rsid w:val="00942024"/>
    <w:rsid w:val="0094389F"/>
    <w:rsid w:val="00944550"/>
    <w:rsid w:val="00950B2F"/>
    <w:rsid w:val="009550AD"/>
    <w:rsid w:val="009565D4"/>
    <w:rsid w:val="00967086"/>
    <w:rsid w:val="00967D7C"/>
    <w:rsid w:val="0097080D"/>
    <w:rsid w:val="00977D73"/>
    <w:rsid w:val="00982387"/>
    <w:rsid w:val="0099262A"/>
    <w:rsid w:val="009A05F3"/>
    <w:rsid w:val="009B56DA"/>
    <w:rsid w:val="009B7278"/>
    <w:rsid w:val="009C029A"/>
    <w:rsid w:val="009C740C"/>
    <w:rsid w:val="009D13BB"/>
    <w:rsid w:val="009D3237"/>
    <w:rsid w:val="009D4193"/>
    <w:rsid w:val="009D50EB"/>
    <w:rsid w:val="009E08B0"/>
    <w:rsid w:val="009E25F1"/>
    <w:rsid w:val="009E32F5"/>
    <w:rsid w:val="009E6279"/>
    <w:rsid w:val="009F2649"/>
    <w:rsid w:val="009F704C"/>
    <w:rsid w:val="00A0215D"/>
    <w:rsid w:val="00A06666"/>
    <w:rsid w:val="00A07F8D"/>
    <w:rsid w:val="00A105E0"/>
    <w:rsid w:val="00A24D6F"/>
    <w:rsid w:val="00A25D07"/>
    <w:rsid w:val="00A3018B"/>
    <w:rsid w:val="00A3128D"/>
    <w:rsid w:val="00A324EA"/>
    <w:rsid w:val="00A33A46"/>
    <w:rsid w:val="00A45B43"/>
    <w:rsid w:val="00A4794A"/>
    <w:rsid w:val="00A533DE"/>
    <w:rsid w:val="00A53E2B"/>
    <w:rsid w:val="00A6492E"/>
    <w:rsid w:val="00A71AF3"/>
    <w:rsid w:val="00A817CE"/>
    <w:rsid w:val="00A81DA9"/>
    <w:rsid w:val="00A83DD9"/>
    <w:rsid w:val="00A928FA"/>
    <w:rsid w:val="00A92B79"/>
    <w:rsid w:val="00A97857"/>
    <w:rsid w:val="00AA1165"/>
    <w:rsid w:val="00AA7B0B"/>
    <w:rsid w:val="00AB32CF"/>
    <w:rsid w:val="00AC06AC"/>
    <w:rsid w:val="00AC59EB"/>
    <w:rsid w:val="00AD2235"/>
    <w:rsid w:val="00AD4749"/>
    <w:rsid w:val="00AF629C"/>
    <w:rsid w:val="00B02599"/>
    <w:rsid w:val="00B14060"/>
    <w:rsid w:val="00B14CFC"/>
    <w:rsid w:val="00B16B3C"/>
    <w:rsid w:val="00B25EE3"/>
    <w:rsid w:val="00B26981"/>
    <w:rsid w:val="00B269D4"/>
    <w:rsid w:val="00B3357C"/>
    <w:rsid w:val="00B348B8"/>
    <w:rsid w:val="00B4690B"/>
    <w:rsid w:val="00B5595B"/>
    <w:rsid w:val="00B61C4A"/>
    <w:rsid w:val="00B61EC9"/>
    <w:rsid w:val="00B679AD"/>
    <w:rsid w:val="00B67A91"/>
    <w:rsid w:val="00B70C51"/>
    <w:rsid w:val="00B7744A"/>
    <w:rsid w:val="00B82D4D"/>
    <w:rsid w:val="00B87EE6"/>
    <w:rsid w:val="00B91511"/>
    <w:rsid w:val="00B9260A"/>
    <w:rsid w:val="00B958FD"/>
    <w:rsid w:val="00B96ABD"/>
    <w:rsid w:val="00BD581D"/>
    <w:rsid w:val="00BD5E11"/>
    <w:rsid w:val="00BE4BAD"/>
    <w:rsid w:val="00BF18DC"/>
    <w:rsid w:val="00BF5B67"/>
    <w:rsid w:val="00C0245F"/>
    <w:rsid w:val="00C04B4F"/>
    <w:rsid w:val="00C11A93"/>
    <w:rsid w:val="00C13DE2"/>
    <w:rsid w:val="00C14408"/>
    <w:rsid w:val="00C14776"/>
    <w:rsid w:val="00C17F58"/>
    <w:rsid w:val="00C273B5"/>
    <w:rsid w:val="00C307E7"/>
    <w:rsid w:val="00C34A92"/>
    <w:rsid w:val="00C35829"/>
    <w:rsid w:val="00C370A7"/>
    <w:rsid w:val="00C37CE5"/>
    <w:rsid w:val="00C47DE3"/>
    <w:rsid w:val="00C521A9"/>
    <w:rsid w:val="00C57E90"/>
    <w:rsid w:val="00C62F1C"/>
    <w:rsid w:val="00C6380F"/>
    <w:rsid w:val="00C744A3"/>
    <w:rsid w:val="00C7764B"/>
    <w:rsid w:val="00C776C8"/>
    <w:rsid w:val="00C81DB5"/>
    <w:rsid w:val="00C900FF"/>
    <w:rsid w:val="00C910B4"/>
    <w:rsid w:val="00CB3FC8"/>
    <w:rsid w:val="00CB442A"/>
    <w:rsid w:val="00CD063C"/>
    <w:rsid w:val="00CD4B2E"/>
    <w:rsid w:val="00CD4DE4"/>
    <w:rsid w:val="00CD6527"/>
    <w:rsid w:val="00CD6B3F"/>
    <w:rsid w:val="00CE61CB"/>
    <w:rsid w:val="00CF3E63"/>
    <w:rsid w:val="00CF561E"/>
    <w:rsid w:val="00D143BA"/>
    <w:rsid w:val="00D20DD2"/>
    <w:rsid w:val="00D235BE"/>
    <w:rsid w:val="00D30D2A"/>
    <w:rsid w:val="00D34EEE"/>
    <w:rsid w:val="00D35262"/>
    <w:rsid w:val="00D37BAF"/>
    <w:rsid w:val="00D41C09"/>
    <w:rsid w:val="00D42829"/>
    <w:rsid w:val="00D43435"/>
    <w:rsid w:val="00D442ED"/>
    <w:rsid w:val="00D51B1E"/>
    <w:rsid w:val="00D5353C"/>
    <w:rsid w:val="00D55FB0"/>
    <w:rsid w:val="00D56865"/>
    <w:rsid w:val="00D73DAD"/>
    <w:rsid w:val="00D7560D"/>
    <w:rsid w:val="00D93759"/>
    <w:rsid w:val="00D96598"/>
    <w:rsid w:val="00D979EA"/>
    <w:rsid w:val="00DA02B9"/>
    <w:rsid w:val="00DA42EA"/>
    <w:rsid w:val="00DA7FEA"/>
    <w:rsid w:val="00DB269B"/>
    <w:rsid w:val="00DC02B5"/>
    <w:rsid w:val="00DC4E32"/>
    <w:rsid w:val="00DD27D1"/>
    <w:rsid w:val="00DD2CCF"/>
    <w:rsid w:val="00DE221A"/>
    <w:rsid w:val="00DE2334"/>
    <w:rsid w:val="00DE4E91"/>
    <w:rsid w:val="00DE5C1E"/>
    <w:rsid w:val="00DE6649"/>
    <w:rsid w:val="00DF68F0"/>
    <w:rsid w:val="00DF6CDE"/>
    <w:rsid w:val="00E0105D"/>
    <w:rsid w:val="00E0113D"/>
    <w:rsid w:val="00E030F3"/>
    <w:rsid w:val="00E039CB"/>
    <w:rsid w:val="00E1423B"/>
    <w:rsid w:val="00E17B84"/>
    <w:rsid w:val="00E308F3"/>
    <w:rsid w:val="00E317E1"/>
    <w:rsid w:val="00E33231"/>
    <w:rsid w:val="00E6186E"/>
    <w:rsid w:val="00E662E8"/>
    <w:rsid w:val="00E72F03"/>
    <w:rsid w:val="00E7429A"/>
    <w:rsid w:val="00E75D89"/>
    <w:rsid w:val="00E84434"/>
    <w:rsid w:val="00E93E89"/>
    <w:rsid w:val="00EA0512"/>
    <w:rsid w:val="00EB30F5"/>
    <w:rsid w:val="00EB3F86"/>
    <w:rsid w:val="00EB5C8B"/>
    <w:rsid w:val="00EB748B"/>
    <w:rsid w:val="00EC3CC1"/>
    <w:rsid w:val="00EC47CA"/>
    <w:rsid w:val="00EC50AE"/>
    <w:rsid w:val="00ED263C"/>
    <w:rsid w:val="00ED2A92"/>
    <w:rsid w:val="00ED423B"/>
    <w:rsid w:val="00ED503D"/>
    <w:rsid w:val="00EE11FD"/>
    <w:rsid w:val="00EE1D07"/>
    <w:rsid w:val="00F06600"/>
    <w:rsid w:val="00F125F9"/>
    <w:rsid w:val="00F12FAE"/>
    <w:rsid w:val="00F13235"/>
    <w:rsid w:val="00F1494E"/>
    <w:rsid w:val="00F20BDE"/>
    <w:rsid w:val="00F23798"/>
    <w:rsid w:val="00F2547B"/>
    <w:rsid w:val="00F25918"/>
    <w:rsid w:val="00F260AC"/>
    <w:rsid w:val="00F26DFB"/>
    <w:rsid w:val="00F27043"/>
    <w:rsid w:val="00F32C54"/>
    <w:rsid w:val="00F32E6E"/>
    <w:rsid w:val="00F4263A"/>
    <w:rsid w:val="00F47E96"/>
    <w:rsid w:val="00F50A3A"/>
    <w:rsid w:val="00F51D3D"/>
    <w:rsid w:val="00F55B86"/>
    <w:rsid w:val="00F5649A"/>
    <w:rsid w:val="00F62A1E"/>
    <w:rsid w:val="00F64AE0"/>
    <w:rsid w:val="00F64DB9"/>
    <w:rsid w:val="00F65513"/>
    <w:rsid w:val="00F73FC5"/>
    <w:rsid w:val="00F74E06"/>
    <w:rsid w:val="00F83D72"/>
    <w:rsid w:val="00F85399"/>
    <w:rsid w:val="00F910AF"/>
    <w:rsid w:val="00F93183"/>
    <w:rsid w:val="00F97131"/>
    <w:rsid w:val="00FA035F"/>
    <w:rsid w:val="00FA686C"/>
    <w:rsid w:val="00FA6932"/>
    <w:rsid w:val="00FB1D6F"/>
    <w:rsid w:val="00FB254C"/>
    <w:rsid w:val="00FB3972"/>
    <w:rsid w:val="00FB70DE"/>
    <w:rsid w:val="00FC2BD1"/>
    <w:rsid w:val="00FC7A91"/>
    <w:rsid w:val="00FD17C2"/>
    <w:rsid w:val="00FD634F"/>
    <w:rsid w:val="00FE0A7C"/>
    <w:rsid w:val="00FE2611"/>
    <w:rsid w:val="00FE353A"/>
    <w:rsid w:val="00FE7D6B"/>
    <w:rsid w:val="00FF0650"/>
    <w:rsid w:val="00FF2067"/>
    <w:rsid w:val="00FF3F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colormru v:ext="edit" colors="#e1e1ff,#069,#bad1e8,#afd787,#cde6b4,#d1e8ba,#0000ac"/>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lsdException w:name="annotation text" w:uiPriority="99"/>
    <w:lsdException w:name="caption" w:uiPriority="35"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64AE0"/>
    <w:pPr>
      <w:spacing w:after="180" w:line="264" w:lineRule="auto"/>
    </w:pPr>
    <w:rPr>
      <w:sz w:val="22"/>
    </w:rPr>
  </w:style>
  <w:style w:type="paragraph" w:styleId="Heading1">
    <w:name w:val="heading 1"/>
    <w:basedOn w:val="Normal"/>
    <w:next w:val="BodyText"/>
    <w:qFormat/>
    <w:rsid w:val="007F0500"/>
    <w:pPr>
      <w:keepNext/>
      <w:keepLines/>
      <w:pBdr>
        <w:top w:val="single" w:sz="6" w:space="3" w:color="DA291C"/>
        <w:bottom w:val="single" w:sz="6" w:space="3" w:color="DA291C"/>
      </w:pBdr>
      <w:shd w:val="clear" w:color="auto" w:fill="DA291C"/>
      <w:outlineLvl w:val="0"/>
    </w:pPr>
    <w:rPr>
      <w:rFonts w:ascii="Arial" w:hAnsi="Arial"/>
      <w:b/>
      <w:color w:val="FFFFFF"/>
      <w:kern w:val="28"/>
      <w:sz w:val="28"/>
    </w:rPr>
  </w:style>
  <w:style w:type="paragraph" w:styleId="Heading2">
    <w:name w:val="heading 2"/>
    <w:basedOn w:val="Normal"/>
    <w:next w:val="BodyText"/>
    <w:qFormat/>
    <w:rsid w:val="00F64AE0"/>
    <w:pPr>
      <w:keepNext/>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link w:val="Heading3Char"/>
    <w:qFormat/>
    <w:rsid w:val="00F64AE0"/>
    <w:pPr>
      <w:keepNext/>
      <w:spacing w:before="60" w:after="120"/>
      <w:outlineLvl w:val="2"/>
    </w:pPr>
    <w:rPr>
      <w:rFonts w:ascii="Arial" w:hAnsi="Arial"/>
      <w:b/>
      <w:color w:val="DA291C"/>
      <w:sz w:val="20"/>
    </w:rPr>
  </w:style>
  <w:style w:type="paragraph" w:styleId="Heading4">
    <w:name w:val="heading 4"/>
    <w:basedOn w:val="Normal"/>
    <w:next w:val="BodyText"/>
    <w:qFormat/>
    <w:rsid w:val="001034D7"/>
    <w:pPr>
      <w:keepNext/>
      <w:numPr>
        <w:ilvl w:val="3"/>
        <w:numId w:val="4"/>
      </w:numPr>
      <w:spacing w:before="60" w:after="60"/>
      <w:outlineLvl w:val="3"/>
    </w:pPr>
    <w:rPr>
      <w:rFonts w:ascii="Arial" w:hAnsi="Arial"/>
      <w:b/>
      <w:color w:val="DA291C"/>
      <w:sz w:val="20"/>
    </w:rPr>
  </w:style>
  <w:style w:type="paragraph" w:styleId="Heading5">
    <w:name w:val="heading 5"/>
    <w:basedOn w:val="Normal"/>
    <w:next w:val="BodyText"/>
    <w:qFormat/>
    <w:rsid w:val="001034D7"/>
    <w:pPr>
      <w:keepNext/>
      <w:keepLines/>
      <w:numPr>
        <w:ilvl w:val="4"/>
        <w:numId w:val="4"/>
      </w:numPr>
      <w:spacing w:before="60" w:after="120"/>
      <w:outlineLvl w:val="4"/>
    </w:pPr>
    <w:rPr>
      <w:b/>
      <w:i/>
      <w:color w:val="DA291C"/>
    </w:rPr>
  </w:style>
  <w:style w:type="paragraph" w:styleId="Heading6">
    <w:name w:val="heading 6"/>
    <w:basedOn w:val="Normal"/>
    <w:next w:val="Normal"/>
    <w:qFormat/>
    <w:rsid w:val="00495B91"/>
    <w:pPr>
      <w:numPr>
        <w:ilvl w:val="5"/>
        <w:numId w:val="4"/>
      </w:numPr>
      <w:spacing w:before="60" w:after="60"/>
      <w:outlineLvl w:val="5"/>
    </w:pPr>
    <w:rPr>
      <w:b/>
      <w:bCs/>
      <w:szCs w:val="22"/>
    </w:rPr>
  </w:style>
  <w:style w:type="paragraph" w:styleId="Heading7">
    <w:name w:val="heading 7"/>
    <w:basedOn w:val="Normal"/>
    <w:next w:val="Normal"/>
    <w:qFormat/>
    <w:rsid w:val="003A3403"/>
    <w:pPr>
      <w:numPr>
        <w:ilvl w:val="6"/>
        <w:numId w:val="4"/>
      </w:numPr>
      <w:spacing w:before="240" w:after="60"/>
      <w:outlineLvl w:val="6"/>
    </w:pPr>
    <w:rPr>
      <w:sz w:val="24"/>
      <w:szCs w:val="24"/>
    </w:rPr>
  </w:style>
  <w:style w:type="paragraph" w:styleId="Heading8">
    <w:name w:val="heading 8"/>
    <w:basedOn w:val="Normal"/>
    <w:next w:val="Normal"/>
    <w:qFormat/>
    <w:rsid w:val="003A3403"/>
    <w:pPr>
      <w:numPr>
        <w:ilvl w:val="7"/>
        <w:numId w:val="4"/>
      </w:numPr>
      <w:spacing w:before="240" w:after="60"/>
      <w:outlineLvl w:val="7"/>
    </w:pPr>
    <w:rPr>
      <w:i/>
      <w:iCs/>
      <w:sz w:val="24"/>
      <w:szCs w:val="24"/>
    </w:rPr>
  </w:style>
  <w:style w:type="paragraph" w:styleId="Heading9">
    <w:name w:val="heading 9"/>
    <w:basedOn w:val="Normal"/>
    <w:next w:val="Normal"/>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line="240" w:lineRule="auto"/>
      <w:jc w:val="center"/>
    </w:pPr>
    <w:rPr>
      <w:rFonts w:ascii="Arial" w:hAnsi="Arial" w:cs="Arial"/>
      <w:b/>
      <w:color w:val="F8F8F8"/>
      <w:sz w:val="20"/>
    </w:rPr>
  </w:style>
  <w:style w:type="paragraph" w:styleId="BodyText">
    <w:name w:val="Body Text"/>
    <w:basedOn w:val="Normal"/>
    <w:link w:val="BodyTextChar"/>
    <w:rsid w:val="0005750B"/>
  </w:style>
  <w:style w:type="character" w:customStyle="1" w:styleId="BodyTextChar">
    <w:name w:val="Body Text Char"/>
    <w:basedOn w:val="DefaultParagraphFont"/>
    <w:link w:val="BodyText"/>
    <w:rsid w:val="0005750B"/>
    <w:rPr>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link w:val="BulletsChar"/>
    <w:rsid w:val="001034D7"/>
    <w:pPr>
      <w:numPr>
        <w:numId w:val="3"/>
      </w:numPr>
      <w:spacing w:after="120"/>
    </w:pPr>
  </w:style>
  <w:style w:type="paragraph" w:customStyle="1" w:styleId="RefNumbers">
    <w:name w:val="Ref Numbers"/>
    <w:basedOn w:val="BodyText"/>
    <w:pPr>
      <w:numPr>
        <w:numId w:val="2"/>
      </w:numPr>
      <w:spacing w:after="240"/>
    </w:pPr>
  </w:style>
  <w:style w:type="paragraph" w:styleId="Header">
    <w:name w:val="header"/>
    <w:basedOn w:val="Normal"/>
    <w:rsid w:val="001034D7"/>
    <w:pPr>
      <w:pBdr>
        <w:bottom w:val="single" w:sz="12" w:space="1" w:color="898D8D"/>
      </w:pBdr>
      <w:tabs>
        <w:tab w:val="center" w:pos="4507"/>
        <w:tab w:val="right" w:pos="9000"/>
      </w:tabs>
    </w:pPr>
    <w:rPr>
      <w:rFonts w:ascii="Arial" w:hAnsi="Arial"/>
      <w:b/>
      <w:color w:val="595959" w:themeColor="text1" w:themeTint="A6"/>
      <w:sz w:val="18"/>
    </w:rPr>
  </w:style>
  <w:style w:type="paragraph" w:styleId="TOC1">
    <w:name w:val="toc 1"/>
    <w:basedOn w:val="BodyText"/>
    <w:next w:val="BodyText"/>
    <w:uiPriority w:val="39"/>
    <w:pPr>
      <w:spacing w:before="240"/>
    </w:pPr>
    <w:rPr>
      <w:b/>
    </w:rPr>
  </w:style>
  <w:style w:type="character" w:styleId="CommentReference">
    <w:name w:val="annotation reference"/>
    <w:basedOn w:val="DefaultParagraphFont"/>
    <w:uiPriority w:val="99"/>
    <w:rPr>
      <w:sz w:val="16"/>
    </w:rPr>
  </w:style>
  <w:style w:type="paragraph" w:styleId="TOC2">
    <w:name w:val="toc 2"/>
    <w:basedOn w:val="BodyText"/>
    <w:next w:val="BodyText"/>
    <w:uiPriority w:val="39"/>
    <w:rsid w:val="003465C6"/>
    <w:pPr>
      <w:tabs>
        <w:tab w:val="left" w:pos="1260"/>
        <w:tab w:val="right" w:leader="dot" w:pos="8990"/>
      </w:tabs>
      <w:ind w:left="1260" w:hanging="720"/>
    </w:pPr>
    <w:rPr>
      <w:noProof/>
    </w:rPr>
  </w:style>
  <w:style w:type="paragraph" w:styleId="TOC3">
    <w:name w:val="toc 3"/>
    <w:basedOn w:val="BodyText"/>
    <w:next w:val="BodyText"/>
    <w:uiPriority w:val="39"/>
    <w:rsid w:val="003465C6"/>
    <w:pPr>
      <w:tabs>
        <w:tab w:val="left" w:pos="1980"/>
        <w:tab w:val="right" w:leader="dot" w:pos="8990"/>
      </w:tabs>
      <w:ind w:left="1980" w:hanging="720"/>
    </w:pPr>
    <w:rPr>
      <w:noProof/>
    </w:rPr>
  </w:style>
  <w:style w:type="paragraph" w:styleId="TOC4">
    <w:name w:val="toc 4"/>
    <w:basedOn w:val="BodyText"/>
    <w:next w:val="BodyText"/>
    <w:semiHidden/>
    <w:pPr>
      <w:ind w:left="1728"/>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otnoteReference">
    <w:name w:val="footnote reference"/>
    <w:basedOn w:val="DefaultParagraphFont"/>
    <w:uiPriority w:val="99"/>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aliases w:val="F1"/>
    <w:basedOn w:val="Normal"/>
    <w:link w:val="FootnoteTextChar"/>
    <w:uiPriority w:val="99"/>
    <w:pPr>
      <w:spacing w:after="120"/>
      <w:ind w:left="360" w:hanging="360"/>
    </w:pPr>
    <w:rPr>
      <w:sz w:val="20"/>
    </w:rPr>
  </w:style>
  <w:style w:type="paragraph" w:styleId="Index1">
    <w:name w:val="index 1"/>
    <w:basedOn w:val="Normal"/>
    <w:next w:val="Normal"/>
    <w:autoRedefine/>
    <w:semiHidden/>
    <w:pPr>
      <w:ind w:left="220" w:hanging="220"/>
    </w:pPr>
    <w:rPr>
      <w:sz w:val="20"/>
    </w:rPr>
  </w:style>
  <w:style w:type="paragraph" w:styleId="Index2">
    <w:name w:val="index 2"/>
    <w:basedOn w:val="Normal"/>
    <w:next w:val="Normal"/>
    <w:autoRedefine/>
    <w:semiHidden/>
    <w:pPr>
      <w:ind w:left="440" w:hanging="220"/>
    </w:pPr>
    <w:rPr>
      <w:sz w:val="20"/>
    </w:rPr>
  </w:style>
  <w:style w:type="paragraph" w:styleId="Index3">
    <w:name w:val="index 3"/>
    <w:basedOn w:val="Normal"/>
    <w:next w:val="Normal"/>
    <w:autoRedefine/>
    <w:semiHidden/>
    <w:pPr>
      <w:ind w:left="660" w:hanging="220"/>
    </w:pPr>
    <w:rPr>
      <w:sz w:val="20"/>
    </w:rPr>
  </w:style>
  <w:style w:type="paragraph" w:customStyle="1" w:styleId="Numbers">
    <w:name w:val="Numbers"/>
    <w:basedOn w:val="BodyText"/>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uiPriority w:val="99"/>
    <w:rsid w:val="00D34EEE"/>
    <w:rPr>
      <w:sz w:val="20"/>
    </w:rPr>
  </w:style>
  <w:style w:type="paragraph" w:styleId="CommentSubject">
    <w:name w:val="annotation subject"/>
    <w:basedOn w:val="CommentText"/>
    <w:next w:val="CommentText"/>
    <w:semiHidden/>
    <w:rsid w:val="00D34EEE"/>
    <w:rPr>
      <w:b/>
      <w:bCs/>
    </w:rPr>
  </w:style>
  <w:style w:type="paragraph" w:styleId="BalloonText">
    <w:name w:val="Balloon Text"/>
    <w:basedOn w:val="Normal"/>
    <w:semiHidden/>
    <w:rsid w:val="00D34EEE"/>
    <w:rPr>
      <w:rFonts w:ascii="Tahoma" w:hAnsi="Tahoma" w:cs="Tahoma"/>
      <w:sz w:val="16"/>
      <w:szCs w:val="16"/>
    </w:rPr>
  </w:style>
  <w:style w:type="table" w:styleId="TableGrid">
    <w:name w:val="Table Grid"/>
    <w:basedOn w:val="TableNormal"/>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6B1DA6"/>
    <w:pPr>
      <w:pBdr>
        <w:top w:val="single" w:sz="2" w:space="2" w:color="DA291C"/>
        <w:bottom w:val="single" w:sz="2" w:space="2" w:color="DA291C"/>
      </w:pBdr>
      <w:shd w:val="clear" w:color="auto" w:fill="DA291C"/>
      <w:tabs>
        <w:tab w:val="left" w:pos="1170"/>
      </w:tabs>
    </w:pPr>
    <w:rPr>
      <w:rFonts w:ascii="Arial Bold" w:hAnsi="Arial Bold"/>
      <w:b/>
      <w:color w:val="FFFFFF"/>
      <w:sz w:val="24"/>
      <w:szCs w:val="24"/>
    </w:rPr>
  </w:style>
  <w:style w:type="paragraph" w:styleId="Caption">
    <w:name w:val="caption"/>
    <w:basedOn w:val="Normal"/>
    <w:next w:val="Normal"/>
    <w:uiPriority w:val="35"/>
    <w:qFormat/>
    <w:rsid w:val="00F64AE0"/>
    <w:pPr>
      <w:keepNext/>
      <w:keepLines/>
      <w:widowControl w:val="0"/>
      <w:tabs>
        <w:tab w:val="left" w:pos="1440"/>
      </w:tabs>
      <w:spacing w:after="120"/>
      <w:ind w:left="1440" w:hanging="1440"/>
    </w:pPr>
    <w:rPr>
      <w:rFonts w:ascii="Arial" w:hAnsi="Arial"/>
      <w:b/>
      <w:bCs/>
      <w:sz w:val="20"/>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5"/>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aliases w:val="F1 Char"/>
    <w:basedOn w:val="DefaultParagraphFont"/>
    <w:link w:val="FootnoteText"/>
    <w:uiPriority w:val="99"/>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paragraph" w:customStyle="1" w:styleId="AbtHeadA">
    <w:name w:val="AbtHead A"/>
    <w:basedOn w:val="BodyText"/>
    <w:next w:val="BodyText"/>
    <w:link w:val="AbtHeadAChar"/>
    <w:rsid w:val="00F64AE0"/>
    <w:pPr>
      <w:keepNext/>
      <w:keepLines/>
      <w:pBdr>
        <w:top w:val="single" w:sz="6" w:space="1" w:color="000080"/>
        <w:bottom w:val="single" w:sz="6" w:space="3" w:color="000080"/>
      </w:pBdr>
      <w:shd w:val="clear" w:color="auto" w:fill="000080"/>
      <w:spacing w:after="240"/>
      <w:outlineLvl w:val="0"/>
    </w:pPr>
    <w:rPr>
      <w:rFonts w:ascii="Arial Bold" w:hAnsi="Arial Bold"/>
      <w:b/>
      <w:color w:val="FFFFFF"/>
      <w:sz w:val="28"/>
    </w:rPr>
  </w:style>
  <w:style w:type="paragraph" w:customStyle="1" w:styleId="AbtHeadB">
    <w:name w:val="AbtHead B"/>
    <w:basedOn w:val="BodyText"/>
    <w:next w:val="BodyText"/>
    <w:rsid w:val="00F64AE0"/>
    <w:pPr>
      <w:keepNext/>
      <w:keepLines/>
      <w:spacing w:after="120"/>
      <w:outlineLvl w:val="1"/>
    </w:pPr>
    <w:rPr>
      <w:rFonts w:ascii="Arial Bold" w:hAnsi="Arial Bold"/>
      <w:b/>
      <w:color w:val="000080"/>
      <w:sz w:val="24"/>
    </w:rPr>
  </w:style>
  <w:style w:type="paragraph" w:customStyle="1" w:styleId="AbtHeadC">
    <w:name w:val="AbtHead C"/>
    <w:basedOn w:val="BodyText"/>
    <w:next w:val="BodyText"/>
    <w:rsid w:val="00F64AE0"/>
    <w:pPr>
      <w:keepNext/>
      <w:keepLines/>
      <w:spacing w:after="120"/>
      <w:outlineLvl w:val="2"/>
    </w:pPr>
    <w:rPr>
      <w:rFonts w:ascii="Arial" w:hAnsi="Arial"/>
      <w:b/>
      <w:color w:val="000080"/>
      <w:sz w:val="20"/>
    </w:rPr>
  </w:style>
  <w:style w:type="character" w:customStyle="1" w:styleId="FootnoteTextChar1">
    <w:name w:val="Footnote Text Char1"/>
    <w:aliases w:val="F1 Char1"/>
    <w:semiHidden/>
    <w:locked/>
    <w:rsid w:val="00F64AE0"/>
    <w:rPr>
      <w:rFonts w:cs="Times New Roman"/>
      <w:lang w:val="en-US" w:eastAsia="en-US" w:bidi="ar-SA"/>
    </w:rPr>
  </w:style>
  <w:style w:type="character" w:customStyle="1" w:styleId="CommentTextChar">
    <w:name w:val="Comment Text Char"/>
    <w:link w:val="CommentText"/>
    <w:uiPriority w:val="99"/>
    <w:locked/>
    <w:rsid w:val="00F64AE0"/>
  </w:style>
  <w:style w:type="character" w:customStyle="1" w:styleId="AbtHeadAChar">
    <w:name w:val="AbtHead A Char"/>
    <w:link w:val="AbtHeadA"/>
    <w:locked/>
    <w:rsid w:val="00F64AE0"/>
    <w:rPr>
      <w:rFonts w:ascii="Arial Bold" w:hAnsi="Arial Bold"/>
      <w:b/>
      <w:color w:val="FFFFFF"/>
      <w:sz w:val="28"/>
      <w:shd w:val="clear" w:color="auto" w:fill="000080"/>
    </w:rPr>
  </w:style>
  <w:style w:type="paragraph" w:customStyle="1" w:styleId="ExhibitTitle">
    <w:name w:val="ExhibitTitle"/>
    <w:basedOn w:val="Normal"/>
    <w:rsid w:val="00F64AE0"/>
    <w:pPr>
      <w:tabs>
        <w:tab w:val="left" w:pos="1440"/>
      </w:tabs>
      <w:spacing w:after="120"/>
      <w:ind w:left="1440" w:hanging="1440"/>
    </w:pPr>
    <w:rPr>
      <w:rFonts w:ascii="Arial" w:hAnsi="Arial" w:cs="Arial"/>
      <w:b/>
      <w:sz w:val="20"/>
      <w:szCs w:val="22"/>
    </w:rPr>
  </w:style>
  <w:style w:type="paragraph" w:customStyle="1" w:styleId="Bullet">
    <w:name w:val="Bullet"/>
    <w:rsid w:val="00F64AE0"/>
    <w:pPr>
      <w:tabs>
        <w:tab w:val="num" w:pos="720"/>
      </w:tabs>
      <w:spacing w:after="180"/>
      <w:ind w:left="720" w:right="360" w:hanging="288"/>
      <w:jc w:val="both"/>
    </w:pPr>
    <w:rPr>
      <w:sz w:val="24"/>
    </w:rPr>
  </w:style>
  <w:style w:type="paragraph" w:styleId="NormalWeb">
    <w:name w:val="Normal (Web)"/>
    <w:basedOn w:val="Normal"/>
    <w:rsid w:val="00F64AE0"/>
    <w:pPr>
      <w:spacing w:before="100" w:beforeAutospacing="1" w:after="100" w:afterAutospacing="1" w:line="240" w:lineRule="auto"/>
    </w:pPr>
    <w:rPr>
      <w:sz w:val="24"/>
      <w:szCs w:val="24"/>
    </w:rPr>
  </w:style>
  <w:style w:type="table" w:customStyle="1" w:styleId="TableGrid1">
    <w:name w:val="Table Grid1"/>
    <w:basedOn w:val="TableNormal"/>
    <w:next w:val="TableGrid"/>
    <w:uiPriority w:val="59"/>
    <w:rsid w:val="00F64AE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hibitTitle0">
    <w:name w:val="Exhibit Title"/>
    <w:basedOn w:val="Caption"/>
    <w:next w:val="BodyText"/>
    <w:rsid w:val="00F64AE0"/>
    <w:pPr>
      <w:tabs>
        <w:tab w:val="clear" w:pos="1440"/>
      </w:tabs>
      <w:spacing w:after="40" w:line="276" w:lineRule="auto"/>
      <w:ind w:left="0" w:firstLine="0"/>
    </w:pPr>
    <w:rPr>
      <w:rFonts w:ascii="Arial Bold" w:eastAsiaTheme="minorHAnsi" w:hAnsi="Arial Bold" w:cstheme="minorBidi"/>
      <w:szCs w:val="22"/>
    </w:rPr>
  </w:style>
  <w:style w:type="character" w:customStyle="1" w:styleId="BulletsChar">
    <w:name w:val="Bullets Char"/>
    <w:link w:val="Bullets"/>
    <w:locked/>
    <w:rsid w:val="00F64AE0"/>
    <w:rPr>
      <w:sz w:val="22"/>
    </w:rPr>
  </w:style>
  <w:style w:type="paragraph" w:styleId="Revision">
    <w:name w:val="Revision"/>
    <w:hidden/>
    <w:uiPriority w:val="99"/>
    <w:semiHidden/>
    <w:rsid w:val="009B7278"/>
    <w:rPr>
      <w:sz w:val="22"/>
    </w:rPr>
  </w:style>
  <w:style w:type="paragraph" w:styleId="ListParagraph">
    <w:name w:val="List Paragraph"/>
    <w:basedOn w:val="Normal"/>
    <w:uiPriority w:val="34"/>
    <w:qFormat/>
    <w:rsid w:val="00720846"/>
    <w:pPr>
      <w:ind w:left="720"/>
      <w:contextualSpacing/>
    </w:pPr>
  </w:style>
  <w:style w:type="paragraph" w:customStyle="1" w:styleId="Table">
    <w:name w:val="Table"/>
    <w:basedOn w:val="Normal"/>
    <w:rsid w:val="00045F32"/>
    <w:pPr>
      <w:framePr w:hSpace="180" w:wrap="around" w:vAnchor="text" w:hAnchor="margin" w:x="108" w:y="177"/>
      <w:spacing w:after="200" w:line="276" w:lineRule="auto"/>
      <w:jc w:val="center"/>
    </w:pPr>
    <w:rPr>
      <w:rFonts w:ascii="Arial Narrow" w:eastAsiaTheme="minorHAnsi" w:hAnsi="Arial Narrow" w:cstheme="minorBidi"/>
      <w:b/>
      <w:sz w:val="20"/>
      <w:szCs w:val="22"/>
    </w:rPr>
  </w:style>
  <w:style w:type="paragraph" w:customStyle="1" w:styleId="body">
    <w:name w:val="body"/>
    <w:basedOn w:val="BodyText"/>
    <w:rsid w:val="00856C69"/>
    <w:pPr>
      <w:spacing w:after="240"/>
    </w:pPr>
    <w:rPr>
      <w:rFonts w:asciiTheme="minorHAnsi" w:eastAsiaTheme="minorHAnsi" w:hAnsiTheme="minorHAnsi" w:cstheme="minorBidi"/>
      <w:szCs w:val="22"/>
    </w:rPr>
  </w:style>
  <w:style w:type="character" w:customStyle="1" w:styleId="Heading3Char">
    <w:name w:val="Heading 3 Char"/>
    <w:basedOn w:val="DefaultParagraphFont"/>
    <w:link w:val="Heading3"/>
    <w:rsid w:val="00800709"/>
    <w:rPr>
      <w:rFonts w:ascii="Arial" w:hAnsi="Arial"/>
      <w:b/>
      <w:color w:val="DA291C"/>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lsdException w:name="annotation text" w:uiPriority="99"/>
    <w:lsdException w:name="caption" w:uiPriority="35"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64AE0"/>
    <w:pPr>
      <w:spacing w:after="180" w:line="264" w:lineRule="auto"/>
    </w:pPr>
    <w:rPr>
      <w:sz w:val="22"/>
    </w:rPr>
  </w:style>
  <w:style w:type="paragraph" w:styleId="Heading1">
    <w:name w:val="heading 1"/>
    <w:basedOn w:val="Normal"/>
    <w:next w:val="BodyText"/>
    <w:qFormat/>
    <w:rsid w:val="007F0500"/>
    <w:pPr>
      <w:keepNext/>
      <w:keepLines/>
      <w:pBdr>
        <w:top w:val="single" w:sz="6" w:space="3" w:color="DA291C"/>
        <w:bottom w:val="single" w:sz="6" w:space="3" w:color="DA291C"/>
      </w:pBdr>
      <w:shd w:val="clear" w:color="auto" w:fill="DA291C"/>
      <w:outlineLvl w:val="0"/>
    </w:pPr>
    <w:rPr>
      <w:rFonts w:ascii="Arial" w:hAnsi="Arial"/>
      <w:b/>
      <w:color w:val="FFFFFF"/>
      <w:kern w:val="28"/>
      <w:sz w:val="28"/>
    </w:rPr>
  </w:style>
  <w:style w:type="paragraph" w:styleId="Heading2">
    <w:name w:val="heading 2"/>
    <w:basedOn w:val="Normal"/>
    <w:next w:val="BodyText"/>
    <w:qFormat/>
    <w:rsid w:val="00F64AE0"/>
    <w:pPr>
      <w:keepNext/>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link w:val="Heading3Char"/>
    <w:qFormat/>
    <w:rsid w:val="00F64AE0"/>
    <w:pPr>
      <w:keepNext/>
      <w:spacing w:before="60" w:after="120"/>
      <w:outlineLvl w:val="2"/>
    </w:pPr>
    <w:rPr>
      <w:rFonts w:ascii="Arial" w:hAnsi="Arial"/>
      <w:b/>
      <w:color w:val="DA291C"/>
      <w:sz w:val="20"/>
    </w:rPr>
  </w:style>
  <w:style w:type="paragraph" w:styleId="Heading4">
    <w:name w:val="heading 4"/>
    <w:basedOn w:val="Normal"/>
    <w:next w:val="BodyText"/>
    <w:qFormat/>
    <w:rsid w:val="001034D7"/>
    <w:pPr>
      <w:keepNext/>
      <w:numPr>
        <w:ilvl w:val="3"/>
        <w:numId w:val="4"/>
      </w:numPr>
      <w:spacing w:before="60" w:after="60"/>
      <w:outlineLvl w:val="3"/>
    </w:pPr>
    <w:rPr>
      <w:rFonts w:ascii="Arial" w:hAnsi="Arial"/>
      <w:b/>
      <w:color w:val="DA291C"/>
      <w:sz w:val="20"/>
    </w:rPr>
  </w:style>
  <w:style w:type="paragraph" w:styleId="Heading5">
    <w:name w:val="heading 5"/>
    <w:basedOn w:val="Normal"/>
    <w:next w:val="BodyText"/>
    <w:qFormat/>
    <w:rsid w:val="001034D7"/>
    <w:pPr>
      <w:keepNext/>
      <w:keepLines/>
      <w:numPr>
        <w:ilvl w:val="4"/>
        <w:numId w:val="4"/>
      </w:numPr>
      <w:spacing w:before="60" w:after="120"/>
      <w:outlineLvl w:val="4"/>
    </w:pPr>
    <w:rPr>
      <w:b/>
      <w:i/>
      <w:color w:val="DA291C"/>
    </w:rPr>
  </w:style>
  <w:style w:type="paragraph" w:styleId="Heading6">
    <w:name w:val="heading 6"/>
    <w:basedOn w:val="Normal"/>
    <w:next w:val="Normal"/>
    <w:qFormat/>
    <w:rsid w:val="00495B91"/>
    <w:pPr>
      <w:numPr>
        <w:ilvl w:val="5"/>
        <w:numId w:val="4"/>
      </w:numPr>
      <w:spacing w:before="60" w:after="60"/>
      <w:outlineLvl w:val="5"/>
    </w:pPr>
    <w:rPr>
      <w:b/>
      <w:bCs/>
      <w:szCs w:val="22"/>
    </w:rPr>
  </w:style>
  <w:style w:type="paragraph" w:styleId="Heading7">
    <w:name w:val="heading 7"/>
    <w:basedOn w:val="Normal"/>
    <w:next w:val="Normal"/>
    <w:qFormat/>
    <w:rsid w:val="003A3403"/>
    <w:pPr>
      <w:numPr>
        <w:ilvl w:val="6"/>
        <w:numId w:val="4"/>
      </w:numPr>
      <w:spacing w:before="240" w:after="60"/>
      <w:outlineLvl w:val="6"/>
    </w:pPr>
    <w:rPr>
      <w:sz w:val="24"/>
      <w:szCs w:val="24"/>
    </w:rPr>
  </w:style>
  <w:style w:type="paragraph" w:styleId="Heading8">
    <w:name w:val="heading 8"/>
    <w:basedOn w:val="Normal"/>
    <w:next w:val="Normal"/>
    <w:qFormat/>
    <w:rsid w:val="003A3403"/>
    <w:pPr>
      <w:numPr>
        <w:ilvl w:val="7"/>
        <w:numId w:val="4"/>
      </w:numPr>
      <w:spacing w:before="240" w:after="60"/>
      <w:outlineLvl w:val="7"/>
    </w:pPr>
    <w:rPr>
      <w:i/>
      <w:iCs/>
      <w:sz w:val="24"/>
      <w:szCs w:val="24"/>
    </w:rPr>
  </w:style>
  <w:style w:type="paragraph" w:styleId="Heading9">
    <w:name w:val="heading 9"/>
    <w:basedOn w:val="Normal"/>
    <w:next w:val="Normal"/>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line="240" w:lineRule="auto"/>
      <w:jc w:val="center"/>
    </w:pPr>
    <w:rPr>
      <w:rFonts w:ascii="Arial" w:hAnsi="Arial" w:cs="Arial"/>
      <w:b/>
      <w:color w:val="F8F8F8"/>
      <w:sz w:val="20"/>
    </w:rPr>
  </w:style>
  <w:style w:type="paragraph" w:styleId="BodyText">
    <w:name w:val="Body Text"/>
    <w:basedOn w:val="Normal"/>
    <w:link w:val="BodyTextChar"/>
    <w:rsid w:val="0005750B"/>
  </w:style>
  <w:style w:type="character" w:customStyle="1" w:styleId="BodyTextChar">
    <w:name w:val="Body Text Char"/>
    <w:basedOn w:val="DefaultParagraphFont"/>
    <w:link w:val="BodyText"/>
    <w:rsid w:val="0005750B"/>
    <w:rPr>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link w:val="BulletsChar"/>
    <w:rsid w:val="001034D7"/>
    <w:pPr>
      <w:numPr>
        <w:numId w:val="3"/>
      </w:numPr>
      <w:spacing w:after="120"/>
    </w:pPr>
  </w:style>
  <w:style w:type="paragraph" w:customStyle="1" w:styleId="RefNumbers">
    <w:name w:val="Ref Numbers"/>
    <w:basedOn w:val="BodyText"/>
    <w:pPr>
      <w:numPr>
        <w:numId w:val="2"/>
      </w:numPr>
      <w:spacing w:after="240"/>
    </w:pPr>
  </w:style>
  <w:style w:type="paragraph" w:styleId="Header">
    <w:name w:val="header"/>
    <w:basedOn w:val="Normal"/>
    <w:rsid w:val="001034D7"/>
    <w:pPr>
      <w:pBdr>
        <w:bottom w:val="single" w:sz="12" w:space="1" w:color="898D8D"/>
      </w:pBdr>
      <w:tabs>
        <w:tab w:val="center" w:pos="4507"/>
        <w:tab w:val="right" w:pos="9000"/>
      </w:tabs>
    </w:pPr>
    <w:rPr>
      <w:rFonts w:ascii="Arial" w:hAnsi="Arial"/>
      <w:b/>
      <w:color w:val="595959" w:themeColor="text1" w:themeTint="A6"/>
      <w:sz w:val="18"/>
    </w:rPr>
  </w:style>
  <w:style w:type="paragraph" w:styleId="TOC1">
    <w:name w:val="toc 1"/>
    <w:basedOn w:val="BodyText"/>
    <w:next w:val="BodyText"/>
    <w:uiPriority w:val="39"/>
    <w:pPr>
      <w:spacing w:before="240"/>
    </w:pPr>
    <w:rPr>
      <w:b/>
    </w:rPr>
  </w:style>
  <w:style w:type="character" w:styleId="CommentReference">
    <w:name w:val="annotation reference"/>
    <w:basedOn w:val="DefaultParagraphFont"/>
    <w:uiPriority w:val="99"/>
    <w:rPr>
      <w:sz w:val="16"/>
    </w:rPr>
  </w:style>
  <w:style w:type="paragraph" w:styleId="TOC2">
    <w:name w:val="toc 2"/>
    <w:basedOn w:val="BodyText"/>
    <w:next w:val="BodyText"/>
    <w:uiPriority w:val="39"/>
    <w:rsid w:val="003465C6"/>
    <w:pPr>
      <w:tabs>
        <w:tab w:val="left" w:pos="1260"/>
        <w:tab w:val="right" w:leader="dot" w:pos="8990"/>
      </w:tabs>
      <w:ind w:left="1260" w:hanging="720"/>
    </w:pPr>
    <w:rPr>
      <w:noProof/>
    </w:rPr>
  </w:style>
  <w:style w:type="paragraph" w:styleId="TOC3">
    <w:name w:val="toc 3"/>
    <w:basedOn w:val="BodyText"/>
    <w:next w:val="BodyText"/>
    <w:uiPriority w:val="39"/>
    <w:rsid w:val="003465C6"/>
    <w:pPr>
      <w:tabs>
        <w:tab w:val="left" w:pos="1980"/>
        <w:tab w:val="right" w:leader="dot" w:pos="8990"/>
      </w:tabs>
      <w:ind w:left="1980" w:hanging="720"/>
    </w:pPr>
    <w:rPr>
      <w:noProof/>
    </w:rPr>
  </w:style>
  <w:style w:type="paragraph" w:styleId="TOC4">
    <w:name w:val="toc 4"/>
    <w:basedOn w:val="BodyText"/>
    <w:next w:val="BodyText"/>
    <w:semiHidden/>
    <w:pPr>
      <w:ind w:left="1728"/>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otnoteReference">
    <w:name w:val="footnote reference"/>
    <w:basedOn w:val="DefaultParagraphFont"/>
    <w:uiPriority w:val="99"/>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aliases w:val="F1"/>
    <w:basedOn w:val="Normal"/>
    <w:link w:val="FootnoteTextChar"/>
    <w:uiPriority w:val="99"/>
    <w:pPr>
      <w:spacing w:after="120"/>
      <w:ind w:left="360" w:hanging="360"/>
    </w:pPr>
    <w:rPr>
      <w:sz w:val="20"/>
    </w:rPr>
  </w:style>
  <w:style w:type="paragraph" w:styleId="Index1">
    <w:name w:val="index 1"/>
    <w:basedOn w:val="Normal"/>
    <w:next w:val="Normal"/>
    <w:autoRedefine/>
    <w:semiHidden/>
    <w:pPr>
      <w:ind w:left="220" w:hanging="220"/>
    </w:pPr>
    <w:rPr>
      <w:sz w:val="20"/>
    </w:rPr>
  </w:style>
  <w:style w:type="paragraph" w:styleId="Index2">
    <w:name w:val="index 2"/>
    <w:basedOn w:val="Normal"/>
    <w:next w:val="Normal"/>
    <w:autoRedefine/>
    <w:semiHidden/>
    <w:pPr>
      <w:ind w:left="440" w:hanging="220"/>
    </w:pPr>
    <w:rPr>
      <w:sz w:val="20"/>
    </w:rPr>
  </w:style>
  <w:style w:type="paragraph" w:styleId="Index3">
    <w:name w:val="index 3"/>
    <w:basedOn w:val="Normal"/>
    <w:next w:val="Normal"/>
    <w:autoRedefine/>
    <w:semiHidden/>
    <w:pPr>
      <w:ind w:left="660" w:hanging="220"/>
    </w:pPr>
    <w:rPr>
      <w:sz w:val="20"/>
    </w:rPr>
  </w:style>
  <w:style w:type="paragraph" w:customStyle="1" w:styleId="Numbers">
    <w:name w:val="Numbers"/>
    <w:basedOn w:val="BodyText"/>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uiPriority w:val="99"/>
    <w:rsid w:val="00D34EEE"/>
    <w:rPr>
      <w:sz w:val="20"/>
    </w:rPr>
  </w:style>
  <w:style w:type="paragraph" w:styleId="CommentSubject">
    <w:name w:val="annotation subject"/>
    <w:basedOn w:val="CommentText"/>
    <w:next w:val="CommentText"/>
    <w:semiHidden/>
    <w:rsid w:val="00D34EEE"/>
    <w:rPr>
      <w:b/>
      <w:bCs/>
    </w:rPr>
  </w:style>
  <w:style w:type="paragraph" w:styleId="BalloonText">
    <w:name w:val="Balloon Text"/>
    <w:basedOn w:val="Normal"/>
    <w:semiHidden/>
    <w:rsid w:val="00D34EEE"/>
    <w:rPr>
      <w:rFonts w:ascii="Tahoma" w:hAnsi="Tahoma" w:cs="Tahoma"/>
      <w:sz w:val="16"/>
      <w:szCs w:val="16"/>
    </w:rPr>
  </w:style>
  <w:style w:type="table" w:styleId="TableGrid">
    <w:name w:val="Table Grid"/>
    <w:basedOn w:val="TableNormal"/>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6B1DA6"/>
    <w:pPr>
      <w:pBdr>
        <w:top w:val="single" w:sz="2" w:space="2" w:color="DA291C"/>
        <w:bottom w:val="single" w:sz="2" w:space="2" w:color="DA291C"/>
      </w:pBdr>
      <w:shd w:val="clear" w:color="auto" w:fill="DA291C"/>
      <w:tabs>
        <w:tab w:val="left" w:pos="1170"/>
      </w:tabs>
    </w:pPr>
    <w:rPr>
      <w:rFonts w:ascii="Arial Bold" w:hAnsi="Arial Bold"/>
      <w:b/>
      <w:color w:val="FFFFFF"/>
      <w:sz w:val="24"/>
      <w:szCs w:val="24"/>
    </w:rPr>
  </w:style>
  <w:style w:type="paragraph" w:styleId="Caption">
    <w:name w:val="caption"/>
    <w:basedOn w:val="Normal"/>
    <w:next w:val="Normal"/>
    <w:uiPriority w:val="35"/>
    <w:qFormat/>
    <w:rsid w:val="00F64AE0"/>
    <w:pPr>
      <w:keepNext/>
      <w:keepLines/>
      <w:widowControl w:val="0"/>
      <w:tabs>
        <w:tab w:val="left" w:pos="1440"/>
      </w:tabs>
      <w:spacing w:after="120"/>
      <w:ind w:left="1440" w:hanging="1440"/>
    </w:pPr>
    <w:rPr>
      <w:rFonts w:ascii="Arial" w:hAnsi="Arial"/>
      <w:b/>
      <w:bCs/>
      <w:sz w:val="20"/>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5"/>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aliases w:val="F1 Char"/>
    <w:basedOn w:val="DefaultParagraphFont"/>
    <w:link w:val="FootnoteText"/>
    <w:uiPriority w:val="99"/>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paragraph" w:customStyle="1" w:styleId="AbtHeadA">
    <w:name w:val="AbtHead A"/>
    <w:basedOn w:val="BodyText"/>
    <w:next w:val="BodyText"/>
    <w:link w:val="AbtHeadAChar"/>
    <w:rsid w:val="00F64AE0"/>
    <w:pPr>
      <w:keepNext/>
      <w:keepLines/>
      <w:pBdr>
        <w:top w:val="single" w:sz="6" w:space="1" w:color="000080"/>
        <w:bottom w:val="single" w:sz="6" w:space="3" w:color="000080"/>
      </w:pBdr>
      <w:shd w:val="clear" w:color="auto" w:fill="000080"/>
      <w:spacing w:after="240"/>
      <w:outlineLvl w:val="0"/>
    </w:pPr>
    <w:rPr>
      <w:rFonts w:ascii="Arial Bold" w:hAnsi="Arial Bold"/>
      <w:b/>
      <w:color w:val="FFFFFF"/>
      <w:sz w:val="28"/>
    </w:rPr>
  </w:style>
  <w:style w:type="paragraph" w:customStyle="1" w:styleId="AbtHeadB">
    <w:name w:val="AbtHead B"/>
    <w:basedOn w:val="BodyText"/>
    <w:next w:val="BodyText"/>
    <w:rsid w:val="00F64AE0"/>
    <w:pPr>
      <w:keepNext/>
      <w:keepLines/>
      <w:spacing w:after="120"/>
      <w:outlineLvl w:val="1"/>
    </w:pPr>
    <w:rPr>
      <w:rFonts w:ascii="Arial Bold" w:hAnsi="Arial Bold"/>
      <w:b/>
      <w:color w:val="000080"/>
      <w:sz w:val="24"/>
    </w:rPr>
  </w:style>
  <w:style w:type="paragraph" w:customStyle="1" w:styleId="AbtHeadC">
    <w:name w:val="AbtHead C"/>
    <w:basedOn w:val="BodyText"/>
    <w:next w:val="BodyText"/>
    <w:rsid w:val="00F64AE0"/>
    <w:pPr>
      <w:keepNext/>
      <w:keepLines/>
      <w:spacing w:after="120"/>
      <w:outlineLvl w:val="2"/>
    </w:pPr>
    <w:rPr>
      <w:rFonts w:ascii="Arial" w:hAnsi="Arial"/>
      <w:b/>
      <w:color w:val="000080"/>
      <w:sz w:val="20"/>
    </w:rPr>
  </w:style>
  <w:style w:type="character" w:customStyle="1" w:styleId="FootnoteTextChar1">
    <w:name w:val="Footnote Text Char1"/>
    <w:aliases w:val="F1 Char1"/>
    <w:semiHidden/>
    <w:locked/>
    <w:rsid w:val="00F64AE0"/>
    <w:rPr>
      <w:rFonts w:cs="Times New Roman"/>
      <w:lang w:val="en-US" w:eastAsia="en-US" w:bidi="ar-SA"/>
    </w:rPr>
  </w:style>
  <w:style w:type="character" w:customStyle="1" w:styleId="CommentTextChar">
    <w:name w:val="Comment Text Char"/>
    <w:link w:val="CommentText"/>
    <w:uiPriority w:val="99"/>
    <w:locked/>
    <w:rsid w:val="00F64AE0"/>
  </w:style>
  <w:style w:type="character" w:customStyle="1" w:styleId="AbtHeadAChar">
    <w:name w:val="AbtHead A Char"/>
    <w:link w:val="AbtHeadA"/>
    <w:locked/>
    <w:rsid w:val="00F64AE0"/>
    <w:rPr>
      <w:rFonts w:ascii="Arial Bold" w:hAnsi="Arial Bold"/>
      <w:b/>
      <w:color w:val="FFFFFF"/>
      <w:sz w:val="28"/>
      <w:shd w:val="clear" w:color="auto" w:fill="000080"/>
    </w:rPr>
  </w:style>
  <w:style w:type="paragraph" w:customStyle="1" w:styleId="ExhibitTitle">
    <w:name w:val="ExhibitTitle"/>
    <w:basedOn w:val="Normal"/>
    <w:rsid w:val="00F64AE0"/>
    <w:pPr>
      <w:tabs>
        <w:tab w:val="left" w:pos="1440"/>
      </w:tabs>
      <w:spacing w:after="120"/>
      <w:ind w:left="1440" w:hanging="1440"/>
    </w:pPr>
    <w:rPr>
      <w:rFonts w:ascii="Arial" w:hAnsi="Arial" w:cs="Arial"/>
      <w:b/>
      <w:sz w:val="20"/>
      <w:szCs w:val="22"/>
    </w:rPr>
  </w:style>
  <w:style w:type="paragraph" w:customStyle="1" w:styleId="Bullet">
    <w:name w:val="Bullet"/>
    <w:rsid w:val="00F64AE0"/>
    <w:pPr>
      <w:tabs>
        <w:tab w:val="num" w:pos="720"/>
      </w:tabs>
      <w:spacing w:after="180"/>
      <w:ind w:left="720" w:right="360" w:hanging="288"/>
      <w:jc w:val="both"/>
    </w:pPr>
    <w:rPr>
      <w:sz w:val="24"/>
    </w:rPr>
  </w:style>
  <w:style w:type="paragraph" w:styleId="NormalWeb">
    <w:name w:val="Normal (Web)"/>
    <w:basedOn w:val="Normal"/>
    <w:rsid w:val="00F64AE0"/>
    <w:pPr>
      <w:spacing w:before="100" w:beforeAutospacing="1" w:after="100" w:afterAutospacing="1" w:line="240" w:lineRule="auto"/>
    </w:pPr>
    <w:rPr>
      <w:sz w:val="24"/>
      <w:szCs w:val="24"/>
    </w:rPr>
  </w:style>
  <w:style w:type="table" w:customStyle="1" w:styleId="TableGrid1">
    <w:name w:val="Table Grid1"/>
    <w:basedOn w:val="TableNormal"/>
    <w:next w:val="TableGrid"/>
    <w:uiPriority w:val="59"/>
    <w:rsid w:val="00F64AE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hibitTitle0">
    <w:name w:val="Exhibit Title"/>
    <w:basedOn w:val="Caption"/>
    <w:next w:val="BodyText"/>
    <w:rsid w:val="00F64AE0"/>
    <w:pPr>
      <w:tabs>
        <w:tab w:val="clear" w:pos="1440"/>
      </w:tabs>
      <w:spacing w:after="40" w:line="276" w:lineRule="auto"/>
      <w:ind w:left="0" w:firstLine="0"/>
    </w:pPr>
    <w:rPr>
      <w:rFonts w:ascii="Arial Bold" w:eastAsiaTheme="minorHAnsi" w:hAnsi="Arial Bold" w:cstheme="minorBidi"/>
      <w:szCs w:val="22"/>
    </w:rPr>
  </w:style>
  <w:style w:type="character" w:customStyle="1" w:styleId="BulletsChar">
    <w:name w:val="Bullets Char"/>
    <w:link w:val="Bullets"/>
    <w:locked/>
    <w:rsid w:val="00F64AE0"/>
    <w:rPr>
      <w:sz w:val="22"/>
    </w:rPr>
  </w:style>
  <w:style w:type="paragraph" w:styleId="Revision">
    <w:name w:val="Revision"/>
    <w:hidden/>
    <w:uiPriority w:val="99"/>
    <w:semiHidden/>
    <w:rsid w:val="009B7278"/>
    <w:rPr>
      <w:sz w:val="22"/>
    </w:rPr>
  </w:style>
  <w:style w:type="paragraph" w:styleId="ListParagraph">
    <w:name w:val="List Paragraph"/>
    <w:basedOn w:val="Normal"/>
    <w:uiPriority w:val="34"/>
    <w:qFormat/>
    <w:rsid w:val="00720846"/>
    <w:pPr>
      <w:ind w:left="720"/>
      <w:contextualSpacing/>
    </w:pPr>
  </w:style>
  <w:style w:type="paragraph" w:customStyle="1" w:styleId="Table">
    <w:name w:val="Table"/>
    <w:basedOn w:val="Normal"/>
    <w:rsid w:val="00045F32"/>
    <w:pPr>
      <w:framePr w:hSpace="180" w:wrap="around" w:vAnchor="text" w:hAnchor="margin" w:x="108" w:y="177"/>
      <w:spacing w:after="200" w:line="276" w:lineRule="auto"/>
      <w:jc w:val="center"/>
    </w:pPr>
    <w:rPr>
      <w:rFonts w:ascii="Arial Narrow" w:eastAsiaTheme="minorHAnsi" w:hAnsi="Arial Narrow" w:cstheme="minorBidi"/>
      <w:b/>
      <w:sz w:val="20"/>
      <w:szCs w:val="22"/>
    </w:rPr>
  </w:style>
  <w:style w:type="paragraph" w:customStyle="1" w:styleId="body">
    <w:name w:val="body"/>
    <w:basedOn w:val="BodyText"/>
    <w:rsid w:val="00856C69"/>
    <w:pPr>
      <w:spacing w:after="240"/>
    </w:pPr>
    <w:rPr>
      <w:rFonts w:asciiTheme="minorHAnsi" w:eastAsiaTheme="minorHAnsi" w:hAnsiTheme="minorHAnsi" w:cstheme="minorBidi"/>
      <w:szCs w:val="22"/>
    </w:rPr>
  </w:style>
  <w:style w:type="character" w:customStyle="1" w:styleId="Heading3Char">
    <w:name w:val="Heading 3 Char"/>
    <w:basedOn w:val="DefaultParagraphFont"/>
    <w:link w:val="Heading3"/>
    <w:rsid w:val="00800709"/>
    <w:rPr>
      <w:rFonts w:ascii="Arial" w:hAnsi="Arial"/>
      <w:b/>
      <w:color w:val="DA291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8781">
      <w:bodyDiv w:val="1"/>
      <w:marLeft w:val="0"/>
      <w:marRight w:val="0"/>
      <w:marTop w:val="0"/>
      <w:marBottom w:val="0"/>
      <w:divBdr>
        <w:top w:val="none" w:sz="0" w:space="0" w:color="auto"/>
        <w:left w:val="none" w:sz="0" w:space="0" w:color="auto"/>
        <w:bottom w:val="none" w:sz="0" w:space="0" w:color="auto"/>
        <w:right w:val="none" w:sz="0" w:space="0" w:color="auto"/>
      </w:divBdr>
    </w:div>
    <w:div w:id="1528178199">
      <w:bodyDiv w:val="1"/>
      <w:marLeft w:val="0"/>
      <w:marRight w:val="0"/>
      <w:marTop w:val="0"/>
      <w:marBottom w:val="0"/>
      <w:divBdr>
        <w:top w:val="none" w:sz="0" w:space="0" w:color="auto"/>
        <w:left w:val="none" w:sz="0" w:space="0" w:color="auto"/>
        <w:bottom w:val="none" w:sz="0" w:space="0" w:color="auto"/>
        <w:right w:val="none" w:sz="0" w:space="0" w:color="auto"/>
      </w:divBdr>
      <w:divsChild>
        <w:div w:id="807550729">
          <w:marLeft w:val="0"/>
          <w:marRight w:val="0"/>
          <w:marTop w:val="0"/>
          <w:marBottom w:val="0"/>
          <w:divBdr>
            <w:top w:val="none" w:sz="0" w:space="0" w:color="auto"/>
            <w:left w:val="none" w:sz="0" w:space="0" w:color="auto"/>
            <w:bottom w:val="none" w:sz="0" w:space="0" w:color="auto"/>
            <w:right w:val="none" w:sz="0" w:space="0" w:color="auto"/>
          </w:divBdr>
          <w:divsChild>
            <w:div w:id="37011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templates\abttemplates\Abt%20Standards\Abt%20Report%207-15-2011.dotm" TargetMode="External"/></Relationships>
</file>

<file path=word/theme/theme1.xml><?xml version="1.0" encoding="utf-8"?>
<a:theme xmlns:a="http://schemas.openxmlformats.org/drawingml/2006/main" name="Office Theme">
  <a:themeElements>
    <a:clrScheme name="Abt New Branding Colors">
      <a:dk1>
        <a:sysClr val="windowText" lastClr="000000"/>
      </a:dk1>
      <a:lt1>
        <a:srgbClr val="B7C9D3"/>
      </a:lt1>
      <a:dk2>
        <a:srgbClr val="898D8D"/>
      </a:dk2>
      <a:lt2>
        <a:srgbClr val="D0D3D4"/>
      </a:lt2>
      <a:accent1>
        <a:srgbClr val="DA291C"/>
      </a:accent1>
      <a:accent2>
        <a:srgbClr val="898D8D"/>
      </a:accent2>
      <a:accent3>
        <a:srgbClr val="D0D3D4"/>
      </a:accent3>
      <a:accent4>
        <a:srgbClr val="C3C6A8"/>
      </a:accent4>
      <a:accent5>
        <a:srgbClr val="DFD1A7"/>
      </a:accent5>
      <a:accent6>
        <a:srgbClr val="E87722"/>
      </a:accent6>
      <a:hlink>
        <a:srgbClr val="0070C0"/>
      </a:hlink>
      <a:folHlink>
        <a:srgbClr val="0070C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AECDCC-2744-4FA2-A516-EA124D78AE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Abt Report 7-15-2011.dotm</Template>
  <TotalTime>0</TotalTime>
  <Pages>15</Pages>
  <Words>4981</Words>
  <Characters>28600</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Abt Single-Sided Body Template</vt:lpstr>
    </vt:vector>
  </TitlesOfParts>
  <Company>Abt Associates Inc.</Company>
  <LinksUpToDate>false</LinksUpToDate>
  <CharactersWithSpaces>33514</CharactersWithSpaces>
  <SharedDoc>false</SharedDoc>
  <HLinks>
    <vt:vector size="18" baseType="variant">
      <vt:variant>
        <vt:i4>1507382</vt:i4>
      </vt:variant>
      <vt:variant>
        <vt:i4>14</vt:i4>
      </vt:variant>
      <vt:variant>
        <vt:i4>0</vt:i4>
      </vt:variant>
      <vt:variant>
        <vt:i4>5</vt:i4>
      </vt:variant>
      <vt:variant>
        <vt:lpwstr/>
      </vt:variant>
      <vt:variant>
        <vt:lpwstr>_Toc245919048</vt:lpwstr>
      </vt:variant>
      <vt:variant>
        <vt:i4>1507382</vt:i4>
      </vt:variant>
      <vt:variant>
        <vt:i4>8</vt:i4>
      </vt:variant>
      <vt:variant>
        <vt:i4>0</vt:i4>
      </vt:variant>
      <vt:variant>
        <vt:i4>5</vt:i4>
      </vt:variant>
      <vt:variant>
        <vt:lpwstr/>
      </vt:variant>
      <vt:variant>
        <vt:lpwstr>_Toc245919047</vt:lpwstr>
      </vt:variant>
      <vt:variant>
        <vt:i4>1507382</vt:i4>
      </vt:variant>
      <vt:variant>
        <vt:i4>2</vt:i4>
      </vt:variant>
      <vt:variant>
        <vt:i4>0</vt:i4>
      </vt:variant>
      <vt:variant>
        <vt:i4>5</vt:i4>
      </vt:variant>
      <vt:variant>
        <vt:lpwstr/>
      </vt:variant>
      <vt:variant>
        <vt:lpwstr>_Toc245919046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Single-Sided Body Template</dc:title>
  <dc:creator>Missy Robinson</dc:creator>
  <cp:keywords>Single-Sided body Templates</cp:keywords>
  <cp:lastModifiedBy>Molly</cp:lastModifiedBy>
  <cp:revision>3</cp:revision>
  <cp:lastPrinted>2014-08-07T11:56:00Z</cp:lastPrinted>
  <dcterms:created xsi:type="dcterms:W3CDTF">2014-11-18T20:22:00Z</dcterms:created>
  <dcterms:modified xsi:type="dcterms:W3CDTF">2014-12-03T17:17:00Z</dcterms:modified>
  <cp:category>Templates</cp:category>
</cp:coreProperties>
</file>