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6CB" w:rsidRDefault="007D46CB" w:rsidP="007D46CB">
      <w:pPr>
        <w:spacing w:before="240" w:line="240" w:lineRule="auto"/>
        <w:jc w:val="center"/>
        <w:rPr>
          <w:rFonts w:asciiTheme="majorHAnsi" w:hAnsiTheme="majorHAnsi" w:cstheme="majorHAnsi"/>
          <w:b/>
        </w:rPr>
      </w:pPr>
      <w:bookmarkStart w:id="0" w:name="OLE_LINK3"/>
      <w:bookmarkStart w:id="1" w:name="OLE_LINK4"/>
      <w:bookmarkStart w:id="2" w:name="OLE_LINK1"/>
      <w:bookmarkStart w:id="3" w:name="_Toc254700527"/>
      <w:bookmarkStart w:id="4" w:name="_Toc254700528"/>
      <w:bookmarkStart w:id="5" w:name="_GoBack"/>
      <w:bookmarkEnd w:id="5"/>
      <w:r w:rsidRPr="007D46CB">
        <w:rPr>
          <w:rFonts w:asciiTheme="majorHAnsi" w:hAnsiTheme="majorHAnsi" w:cstheme="majorHAnsi"/>
          <w:b/>
        </w:rPr>
        <w:t xml:space="preserve">COMMUNITY-BASED </w:t>
      </w:r>
      <w:r>
        <w:rPr>
          <w:rFonts w:asciiTheme="majorHAnsi" w:hAnsiTheme="majorHAnsi" w:cstheme="majorHAnsi"/>
          <w:b/>
        </w:rPr>
        <w:t xml:space="preserve">CARE TRANSITIONS PROGRAM (CCTP) </w:t>
      </w:r>
      <w:r w:rsidRPr="007D46CB">
        <w:rPr>
          <w:rFonts w:asciiTheme="majorHAnsi" w:hAnsiTheme="majorHAnsi" w:cstheme="majorHAnsi"/>
          <w:b/>
        </w:rPr>
        <w:t>IMPLEMENTATION AND MONITORING</w:t>
      </w:r>
      <w:bookmarkEnd w:id="0"/>
      <w:bookmarkEnd w:id="1"/>
      <w:bookmarkEnd w:id="2"/>
    </w:p>
    <w:p w:rsidR="007D46CB" w:rsidRDefault="007D46CB" w:rsidP="007D46CB">
      <w:pPr>
        <w:spacing w:line="240" w:lineRule="auto"/>
        <w:jc w:val="center"/>
        <w:rPr>
          <w:rFonts w:asciiTheme="majorHAnsi" w:hAnsiTheme="majorHAnsi" w:cstheme="majorHAnsi"/>
          <w:b/>
        </w:rPr>
      </w:pPr>
      <w:r w:rsidRPr="007D46CB">
        <w:rPr>
          <w:rFonts w:asciiTheme="majorHAnsi" w:hAnsiTheme="majorHAnsi" w:cstheme="majorHAnsi"/>
          <w:b/>
        </w:rPr>
        <w:br/>
        <w:t>OMB CLEARANCE APPLICATION</w:t>
      </w:r>
    </w:p>
    <w:p w:rsidR="00EA5EC2" w:rsidRPr="007D46CB" w:rsidRDefault="007D46CB" w:rsidP="007D46CB">
      <w:pPr>
        <w:spacing w:line="240" w:lineRule="auto"/>
        <w:jc w:val="center"/>
        <w:rPr>
          <w:rFonts w:asciiTheme="majorHAnsi" w:hAnsiTheme="majorHAnsi" w:cstheme="majorHAnsi"/>
          <w:b/>
        </w:rPr>
      </w:pPr>
      <w:r w:rsidRPr="007D46CB">
        <w:rPr>
          <w:rFonts w:asciiTheme="majorHAnsi" w:hAnsiTheme="majorHAnsi" w:cstheme="majorHAnsi"/>
          <w:b/>
        </w:rPr>
        <w:br/>
      </w:r>
      <w:bookmarkEnd w:id="3"/>
      <w:r w:rsidRPr="007D46CB">
        <w:rPr>
          <w:rFonts w:asciiTheme="majorHAnsi" w:hAnsiTheme="majorHAnsi" w:cstheme="majorHAnsi"/>
          <w:b/>
        </w:rPr>
        <w:t>CENTERS FOR MEDICARE &amp; MEDICAID SERVICES</w:t>
      </w:r>
    </w:p>
    <w:p w:rsidR="00EA5EC2" w:rsidRPr="00E6255A" w:rsidRDefault="00EA5EC2" w:rsidP="00EA5EC2">
      <w:pPr>
        <w:rPr>
          <w:rFonts w:ascii="Garamond" w:hAnsi="Garamond"/>
        </w:rPr>
      </w:pPr>
    </w:p>
    <w:p w:rsidR="00EA5EC2" w:rsidRPr="00E6255A" w:rsidRDefault="00EA5EC2" w:rsidP="00EA5EC2">
      <w:pPr>
        <w:rPr>
          <w:rFonts w:ascii="Garamond" w:hAnsi="Garamond"/>
        </w:rPr>
      </w:pPr>
    </w:p>
    <w:p w:rsidR="00EA5EC2" w:rsidRPr="00E6255A" w:rsidRDefault="00EA5EC2" w:rsidP="00EA5EC2">
      <w:pPr>
        <w:rPr>
          <w:rFonts w:ascii="Garamond" w:hAnsi="Garamond"/>
        </w:rPr>
      </w:pPr>
    </w:p>
    <w:p w:rsidR="00EA5EC2" w:rsidRPr="002537AF" w:rsidRDefault="000F7C0D" w:rsidP="002537AF">
      <w:pPr>
        <w:jc w:val="center"/>
        <w:rPr>
          <w:rFonts w:asciiTheme="minorHAnsi" w:hAnsiTheme="minorHAnsi" w:cstheme="minorHAnsi"/>
        </w:rPr>
      </w:pPr>
      <w:r>
        <w:rPr>
          <w:rFonts w:asciiTheme="minorHAnsi" w:hAnsiTheme="minorHAnsi" w:cstheme="minorHAnsi"/>
        </w:rPr>
        <w:t>June 1</w:t>
      </w:r>
      <w:r w:rsidR="002537AF" w:rsidRPr="002537AF">
        <w:rPr>
          <w:rFonts w:asciiTheme="minorHAnsi" w:hAnsiTheme="minorHAnsi" w:cstheme="minorHAnsi"/>
        </w:rPr>
        <w:t>, 2012</w:t>
      </w:r>
    </w:p>
    <w:p w:rsidR="00EA5EC2" w:rsidRPr="00E6255A" w:rsidRDefault="00EA5EC2" w:rsidP="00EA5EC2">
      <w:pPr>
        <w:rPr>
          <w:rFonts w:ascii="Garamond" w:hAnsi="Garamond"/>
        </w:rPr>
      </w:pPr>
    </w:p>
    <w:p w:rsidR="00EA5EC2" w:rsidRPr="00E6255A" w:rsidRDefault="00EA5EC2" w:rsidP="00EA5EC2">
      <w:pPr>
        <w:rPr>
          <w:rFonts w:ascii="Garamond" w:hAnsi="Garamond"/>
        </w:rPr>
      </w:pPr>
    </w:p>
    <w:p w:rsidR="00EA5EC2" w:rsidRPr="00E6255A" w:rsidRDefault="00EA5EC2" w:rsidP="00EA5EC2">
      <w:pPr>
        <w:rPr>
          <w:rFonts w:ascii="Garamond" w:hAnsi="Garamond"/>
        </w:rPr>
      </w:pPr>
    </w:p>
    <w:p w:rsidR="00EA5EC2" w:rsidRPr="00EA5EC2" w:rsidRDefault="00EA5EC2" w:rsidP="00EA5EC2">
      <w:pPr>
        <w:ind w:firstLine="0"/>
        <w:rPr>
          <w:rFonts w:asciiTheme="minorHAnsi" w:hAnsiTheme="minorHAnsi" w:cstheme="minorHAnsi"/>
          <w:sz w:val="20"/>
          <w:szCs w:val="20"/>
        </w:rPr>
      </w:pPr>
      <w:r w:rsidRPr="00EA5EC2">
        <w:rPr>
          <w:rFonts w:asciiTheme="minorHAnsi" w:hAnsiTheme="minorHAnsi" w:cstheme="minorHAnsi"/>
          <w:sz w:val="20"/>
          <w:szCs w:val="20"/>
        </w:rPr>
        <w:t>Submitted by:</w:t>
      </w:r>
    </w:p>
    <w:p w:rsidR="00EA5EC2" w:rsidRPr="00EA5EC2" w:rsidRDefault="00EA5EC2" w:rsidP="00EA5EC2">
      <w:pPr>
        <w:spacing w:line="240" w:lineRule="auto"/>
        <w:rPr>
          <w:rFonts w:asciiTheme="minorHAnsi" w:hAnsiTheme="minorHAnsi" w:cstheme="minorHAnsi"/>
          <w:sz w:val="20"/>
          <w:szCs w:val="20"/>
        </w:rPr>
      </w:pPr>
      <w:r w:rsidRPr="00EA5EC2">
        <w:rPr>
          <w:rFonts w:asciiTheme="minorHAnsi" w:hAnsiTheme="minorHAnsi" w:cstheme="minorHAnsi"/>
          <w:sz w:val="20"/>
          <w:szCs w:val="20"/>
        </w:rPr>
        <w:t>Centers for Medicare &amp; Medicaid Services</w:t>
      </w:r>
    </w:p>
    <w:p w:rsidR="00EA5EC2" w:rsidRPr="00EA5EC2" w:rsidRDefault="00EA5EC2" w:rsidP="00EA5EC2">
      <w:pPr>
        <w:spacing w:line="240" w:lineRule="auto"/>
        <w:rPr>
          <w:rFonts w:asciiTheme="minorHAnsi" w:hAnsiTheme="minorHAnsi" w:cstheme="minorHAnsi"/>
          <w:sz w:val="20"/>
          <w:szCs w:val="20"/>
        </w:rPr>
      </w:pPr>
      <w:r w:rsidRPr="00EA5EC2">
        <w:rPr>
          <w:rFonts w:asciiTheme="minorHAnsi" w:hAnsiTheme="minorHAnsi" w:cstheme="minorHAnsi"/>
          <w:sz w:val="20"/>
          <w:szCs w:val="20"/>
        </w:rPr>
        <w:t>U.S. Department of Health and Human Services</w:t>
      </w:r>
    </w:p>
    <w:p w:rsidR="00EA5EC2" w:rsidRPr="00EA5EC2" w:rsidRDefault="00EA5EC2" w:rsidP="00EA5EC2">
      <w:pPr>
        <w:spacing w:line="240" w:lineRule="auto"/>
        <w:rPr>
          <w:rFonts w:asciiTheme="minorHAnsi" w:hAnsiTheme="minorHAnsi" w:cstheme="minorHAnsi"/>
          <w:sz w:val="20"/>
          <w:szCs w:val="20"/>
        </w:rPr>
      </w:pPr>
      <w:r w:rsidRPr="00EA5EC2">
        <w:rPr>
          <w:rFonts w:asciiTheme="minorHAnsi" w:hAnsiTheme="minorHAnsi" w:cstheme="minorHAnsi"/>
          <w:sz w:val="20"/>
          <w:szCs w:val="20"/>
        </w:rPr>
        <w:t>Medicare Demonstrations Program</w:t>
      </w:r>
    </w:p>
    <w:p w:rsidR="00EA5EC2" w:rsidRPr="00EA5EC2" w:rsidRDefault="00EA5EC2" w:rsidP="00EA5EC2">
      <w:pPr>
        <w:spacing w:line="240" w:lineRule="auto"/>
        <w:rPr>
          <w:rFonts w:asciiTheme="minorHAnsi" w:hAnsiTheme="minorHAnsi" w:cstheme="minorHAnsi"/>
          <w:sz w:val="20"/>
          <w:szCs w:val="20"/>
        </w:rPr>
      </w:pPr>
      <w:proofErr w:type="gramStart"/>
      <w:r w:rsidRPr="00EA5EC2">
        <w:rPr>
          <w:rFonts w:asciiTheme="minorHAnsi" w:hAnsiTheme="minorHAnsi" w:cstheme="minorHAnsi"/>
          <w:sz w:val="20"/>
          <w:szCs w:val="20"/>
        </w:rPr>
        <w:t>Rm. C4-17-26, 7500 Security Blvd.</w:t>
      </w:r>
      <w:proofErr w:type="gramEnd"/>
    </w:p>
    <w:p w:rsidR="00EA5EC2" w:rsidRPr="00EA5EC2" w:rsidRDefault="00EA5EC2" w:rsidP="00EA5EC2">
      <w:pPr>
        <w:spacing w:line="240" w:lineRule="auto"/>
        <w:rPr>
          <w:rFonts w:asciiTheme="minorHAnsi" w:hAnsiTheme="minorHAnsi" w:cstheme="minorHAnsi"/>
          <w:sz w:val="20"/>
          <w:szCs w:val="20"/>
        </w:rPr>
      </w:pPr>
      <w:r w:rsidRPr="00EA5EC2">
        <w:rPr>
          <w:rFonts w:asciiTheme="minorHAnsi" w:hAnsiTheme="minorHAnsi" w:cstheme="minorHAnsi"/>
          <w:sz w:val="20"/>
          <w:szCs w:val="20"/>
        </w:rPr>
        <w:t>Baltimore, MD  21244-1850</w:t>
      </w:r>
    </w:p>
    <w:p w:rsidR="00EA5EC2" w:rsidRDefault="00EA5EC2" w:rsidP="00B80BB6">
      <w:pPr>
        <w:spacing w:after="480" w:line="240" w:lineRule="auto"/>
        <w:ind w:firstLine="0"/>
        <w:jc w:val="center"/>
        <w:rPr>
          <w:rFonts w:ascii="Arial" w:hAnsi="Arial" w:cs="Arial"/>
        </w:rPr>
      </w:pPr>
    </w:p>
    <w:p w:rsidR="00EA5EC2" w:rsidRDefault="00EA5EC2" w:rsidP="00EA5EC2">
      <w:pPr>
        <w:spacing w:after="480" w:line="240" w:lineRule="auto"/>
        <w:ind w:firstLine="0"/>
        <w:rPr>
          <w:rFonts w:ascii="Arial" w:hAnsi="Arial" w:cs="Arial"/>
        </w:rPr>
      </w:pPr>
    </w:p>
    <w:p w:rsidR="00EA5EC2" w:rsidRPr="00EA5EC2" w:rsidRDefault="00EA5EC2" w:rsidP="00B80BB6">
      <w:pPr>
        <w:spacing w:after="480" w:line="240" w:lineRule="auto"/>
        <w:ind w:firstLine="0"/>
        <w:jc w:val="center"/>
        <w:rPr>
          <w:rFonts w:ascii="Arial" w:hAnsi="Arial" w:cs="Arial"/>
        </w:rPr>
        <w:sectPr w:rsidR="00EA5EC2" w:rsidRPr="00EA5EC2" w:rsidSect="00DA37C5">
          <w:footerReference w:type="default" r:id="rId8"/>
          <w:endnotePr>
            <w:numFmt w:val="decimal"/>
          </w:endnotePr>
          <w:pgSz w:w="12240" w:h="15840" w:code="1"/>
          <w:pgMar w:top="1440" w:right="1440" w:bottom="576" w:left="1440" w:header="720" w:footer="576" w:gutter="0"/>
          <w:cols w:space="720"/>
          <w:titlePg/>
          <w:docGrid w:linePitch="326"/>
        </w:sectPr>
      </w:pPr>
    </w:p>
    <w:p w:rsidR="00B80BB6" w:rsidRDefault="00B80BB6" w:rsidP="002D2256">
      <w:pPr>
        <w:spacing w:after="480" w:line="240" w:lineRule="auto"/>
        <w:ind w:firstLine="0"/>
        <w:jc w:val="center"/>
        <w:rPr>
          <w:rFonts w:ascii="Arial" w:hAnsi="Arial" w:cs="Arial"/>
          <w:b/>
        </w:rPr>
      </w:pPr>
      <w:r>
        <w:rPr>
          <w:rFonts w:ascii="Arial" w:hAnsi="Arial" w:cs="Arial"/>
          <w:b/>
        </w:rPr>
        <w:lastRenderedPageBreak/>
        <w:t>CONTENTS</w:t>
      </w:r>
    </w:p>
    <w:p w:rsidR="009758C4" w:rsidRDefault="007838ED">
      <w:pPr>
        <w:pStyle w:val="TOC2"/>
        <w:rPr>
          <w:rFonts w:asciiTheme="minorHAnsi" w:eastAsiaTheme="minorEastAsia" w:hAnsiTheme="minorHAnsi" w:cstheme="minorBidi"/>
          <w:sz w:val="22"/>
          <w:szCs w:val="22"/>
        </w:rPr>
      </w:pPr>
      <w:r>
        <w:rPr>
          <w:rFonts w:cs="Arial"/>
          <w:b/>
        </w:rPr>
        <w:fldChar w:fldCharType="begin"/>
      </w:r>
      <w:r w:rsidR="00B80BB6">
        <w:rPr>
          <w:rFonts w:cs="Arial"/>
          <w:b/>
        </w:rPr>
        <w:instrText xml:space="preserve"> TOC \o "1-3" \z \t "Heading 1_Black,1,Heading 1_Red,1,Heading 1_Blue,1,Heading 2_Black,2,Heading 2_Red,2,Heading 2_Blue,2,Mark for Appendix Heading_Black,8,Mark for Appendix Heading_Blue,8,Mark for Appendix Heading_Red,8" </w:instrText>
      </w:r>
      <w:r>
        <w:rPr>
          <w:rFonts w:cs="Arial"/>
          <w:b/>
        </w:rPr>
        <w:fldChar w:fldCharType="separate"/>
      </w:r>
      <w:r w:rsidR="009758C4">
        <w:t>A.</w:t>
      </w:r>
      <w:r w:rsidR="009758C4">
        <w:rPr>
          <w:rFonts w:asciiTheme="minorHAnsi" w:eastAsiaTheme="minorEastAsia" w:hAnsiTheme="minorHAnsi" w:cstheme="minorBidi"/>
          <w:sz w:val="22"/>
          <w:szCs w:val="22"/>
        </w:rPr>
        <w:tab/>
      </w:r>
      <w:r w:rsidR="009758C4">
        <w:t>JUSTIFICATION</w:t>
      </w:r>
      <w:r w:rsidR="009758C4">
        <w:rPr>
          <w:webHidden/>
        </w:rPr>
        <w:tab/>
      </w:r>
      <w:r>
        <w:rPr>
          <w:webHidden/>
        </w:rPr>
        <w:fldChar w:fldCharType="begin"/>
      </w:r>
      <w:r w:rsidR="009758C4">
        <w:rPr>
          <w:webHidden/>
        </w:rPr>
        <w:instrText xml:space="preserve"> PAGEREF _Toc297117392 \h </w:instrText>
      </w:r>
      <w:r>
        <w:rPr>
          <w:webHidden/>
        </w:rPr>
      </w:r>
      <w:r>
        <w:rPr>
          <w:webHidden/>
        </w:rPr>
        <w:fldChar w:fldCharType="separate"/>
      </w:r>
      <w:r w:rsidR="003D4A93">
        <w:rPr>
          <w:webHidden/>
        </w:rPr>
        <w:t>1</w:t>
      </w:r>
      <w:r>
        <w:rPr>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Circumstances Making the Collection of Information Necessary</w:t>
      </w:r>
      <w:r>
        <w:rPr>
          <w:noProof/>
          <w:webHidden/>
        </w:rPr>
        <w:tab/>
      </w:r>
      <w:r w:rsidR="007838ED">
        <w:rPr>
          <w:noProof/>
          <w:webHidden/>
        </w:rPr>
        <w:fldChar w:fldCharType="begin"/>
      </w:r>
      <w:r>
        <w:rPr>
          <w:noProof/>
          <w:webHidden/>
        </w:rPr>
        <w:instrText xml:space="preserve"> PAGEREF _Toc297117393 \h </w:instrText>
      </w:r>
      <w:r w:rsidR="007838ED">
        <w:rPr>
          <w:noProof/>
          <w:webHidden/>
        </w:rPr>
      </w:r>
      <w:r w:rsidR="007838ED">
        <w:rPr>
          <w:noProof/>
          <w:webHidden/>
        </w:rPr>
        <w:fldChar w:fldCharType="separate"/>
      </w:r>
      <w:r w:rsidR="003D4A93">
        <w:rPr>
          <w:noProof/>
          <w:webHidden/>
        </w:rPr>
        <w:t>1</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Purpose and Use of Information Collection</w:t>
      </w:r>
      <w:r>
        <w:rPr>
          <w:noProof/>
          <w:webHidden/>
        </w:rPr>
        <w:tab/>
      </w:r>
      <w:r w:rsidR="007838ED">
        <w:rPr>
          <w:noProof/>
          <w:webHidden/>
        </w:rPr>
        <w:fldChar w:fldCharType="begin"/>
      </w:r>
      <w:r>
        <w:rPr>
          <w:noProof/>
          <w:webHidden/>
        </w:rPr>
        <w:instrText xml:space="preserve"> PAGEREF _Toc297117394 \h </w:instrText>
      </w:r>
      <w:r w:rsidR="007838ED">
        <w:rPr>
          <w:noProof/>
          <w:webHidden/>
        </w:rPr>
      </w:r>
      <w:r w:rsidR="007838ED">
        <w:rPr>
          <w:noProof/>
          <w:webHidden/>
        </w:rPr>
        <w:fldChar w:fldCharType="separate"/>
      </w:r>
      <w:r w:rsidR="003D4A93">
        <w:rPr>
          <w:noProof/>
          <w:webHidden/>
        </w:rPr>
        <w:t>1</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Use of Improved Information Technology and Burden Reduction</w:t>
      </w:r>
      <w:r>
        <w:rPr>
          <w:noProof/>
          <w:webHidden/>
        </w:rPr>
        <w:tab/>
      </w:r>
      <w:r w:rsidR="007838ED">
        <w:rPr>
          <w:noProof/>
          <w:webHidden/>
        </w:rPr>
        <w:fldChar w:fldCharType="begin"/>
      </w:r>
      <w:r>
        <w:rPr>
          <w:noProof/>
          <w:webHidden/>
        </w:rPr>
        <w:instrText xml:space="preserve"> PAGEREF _Toc297117395 \h </w:instrText>
      </w:r>
      <w:r w:rsidR="007838ED">
        <w:rPr>
          <w:noProof/>
          <w:webHidden/>
        </w:rPr>
      </w:r>
      <w:r w:rsidR="007838ED">
        <w:rPr>
          <w:noProof/>
          <w:webHidden/>
        </w:rPr>
        <w:fldChar w:fldCharType="separate"/>
      </w:r>
      <w:r w:rsidR="003D4A93">
        <w:rPr>
          <w:noProof/>
          <w:webHidden/>
        </w:rPr>
        <w:t>3</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Efforts to Identify Duplication and Use of Similar Information</w:t>
      </w:r>
      <w:r>
        <w:rPr>
          <w:noProof/>
          <w:webHidden/>
        </w:rPr>
        <w:tab/>
      </w:r>
      <w:r w:rsidR="007838ED">
        <w:rPr>
          <w:noProof/>
          <w:webHidden/>
        </w:rPr>
        <w:fldChar w:fldCharType="begin"/>
      </w:r>
      <w:r>
        <w:rPr>
          <w:noProof/>
          <w:webHidden/>
        </w:rPr>
        <w:instrText xml:space="preserve"> PAGEREF _Toc297117396 \h </w:instrText>
      </w:r>
      <w:r w:rsidR="007838ED">
        <w:rPr>
          <w:noProof/>
          <w:webHidden/>
        </w:rPr>
      </w:r>
      <w:r w:rsidR="007838ED">
        <w:rPr>
          <w:noProof/>
          <w:webHidden/>
        </w:rPr>
        <w:fldChar w:fldCharType="separate"/>
      </w:r>
      <w:r w:rsidR="003D4A93">
        <w:rPr>
          <w:noProof/>
          <w:webHidden/>
        </w:rPr>
        <w:t>4</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Impact on Small Businesses or Other Small Entities</w:t>
      </w:r>
      <w:r>
        <w:rPr>
          <w:noProof/>
          <w:webHidden/>
        </w:rPr>
        <w:tab/>
      </w:r>
      <w:r w:rsidR="007838ED">
        <w:rPr>
          <w:noProof/>
          <w:webHidden/>
        </w:rPr>
        <w:fldChar w:fldCharType="begin"/>
      </w:r>
      <w:r>
        <w:rPr>
          <w:noProof/>
          <w:webHidden/>
        </w:rPr>
        <w:instrText xml:space="preserve"> PAGEREF _Toc297117397 \h </w:instrText>
      </w:r>
      <w:r w:rsidR="007838ED">
        <w:rPr>
          <w:noProof/>
          <w:webHidden/>
        </w:rPr>
      </w:r>
      <w:r w:rsidR="007838ED">
        <w:rPr>
          <w:noProof/>
          <w:webHidden/>
        </w:rPr>
        <w:fldChar w:fldCharType="separate"/>
      </w:r>
      <w:r w:rsidR="003D4A93">
        <w:rPr>
          <w:noProof/>
          <w:webHidden/>
        </w:rPr>
        <w:t>4</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Consequences of Collecting the Information Less Frequently</w:t>
      </w:r>
      <w:r>
        <w:rPr>
          <w:noProof/>
          <w:webHidden/>
        </w:rPr>
        <w:tab/>
      </w:r>
      <w:r w:rsidR="007838ED">
        <w:rPr>
          <w:noProof/>
          <w:webHidden/>
        </w:rPr>
        <w:fldChar w:fldCharType="begin"/>
      </w:r>
      <w:r>
        <w:rPr>
          <w:noProof/>
          <w:webHidden/>
        </w:rPr>
        <w:instrText xml:space="preserve"> PAGEREF _Toc297117398 \h </w:instrText>
      </w:r>
      <w:r w:rsidR="007838ED">
        <w:rPr>
          <w:noProof/>
          <w:webHidden/>
        </w:rPr>
      </w:r>
      <w:r w:rsidR="007838ED">
        <w:rPr>
          <w:noProof/>
          <w:webHidden/>
        </w:rPr>
        <w:fldChar w:fldCharType="separate"/>
      </w:r>
      <w:r w:rsidR="003D4A93">
        <w:rPr>
          <w:noProof/>
          <w:webHidden/>
        </w:rPr>
        <w:t>4</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Special Circumstances Relating to the Guidelines of 5 CFR 1320.5</w:t>
      </w:r>
      <w:r>
        <w:rPr>
          <w:noProof/>
          <w:webHidden/>
        </w:rPr>
        <w:tab/>
      </w:r>
      <w:r w:rsidR="007838ED">
        <w:rPr>
          <w:noProof/>
          <w:webHidden/>
        </w:rPr>
        <w:fldChar w:fldCharType="begin"/>
      </w:r>
      <w:r>
        <w:rPr>
          <w:noProof/>
          <w:webHidden/>
        </w:rPr>
        <w:instrText xml:space="preserve"> PAGEREF _Toc297117399 \h </w:instrText>
      </w:r>
      <w:r w:rsidR="007838ED">
        <w:rPr>
          <w:noProof/>
          <w:webHidden/>
        </w:rPr>
      </w:r>
      <w:r w:rsidR="007838ED">
        <w:rPr>
          <w:noProof/>
          <w:webHidden/>
        </w:rPr>
        <w:fldChar w:fldCharType="separate"/>
      </w:r>
      <w:r w:rsidR="003D4A93">
        <w:rPr>
          <w:noProof/>
          <w:webHidden/>
        </w:rPr>
        <w:t>5</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Comments in Response to the Federal Register Notice/Outside Consultation</w:t>
      </w:r>
      <w:r>
        <w:rPr>
          <w:noProof/>
          <w:webHidden/>
        </w:rPr>
        <w:tab/>
      </w:r>
      <w:r w:rsidR="007838ED">
        <w:rPr>
          <w:noProof/>
          <w:webHidden/>
        </w:rPr>
        <w:fldChar w:fldCharType="begin"/>
      </w:r>
      <w:r>
        <w:rPr>
          <w:noProof/>
          <w:webHidden/>
        </w:rPr>
        <w:instrText xml:space="preserve"> PAGEREF _Toc297117400 \h </w:instrText>
      </w:r>
      <w:r w:rsidR="007838ED">
        <w:rPr>
          <w:noProof/>
          <w:webHidden/>
        </w:rPr>
      </w:r>
      <w:r w:rsidR="007838ED">
        <w:rPr>
          <w:noProof/>
          <w:webHidden/>
        </w:rPr>
        <w:fldChar w:fldCharType="separate"/>
      </w:r>
      <w:r w:rsidR="003D4A93">
        <w:rPr>
          <w:noProof/>
          <w:webHidden/>
        </w:rPr>
        <w:t>5</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9.</w:t>
      </w:r>
      <w:r>
        <w:rPr>
          <w:rFonts w:asciiTheme="minorHAnsi" w:eastAsiaTheme="minorEastAsia" w:hAnsiTheme="minorHAnsi" w:cstheme="minorBidi"/>
          <w:noProof/>
          <w:sz w:val="22"/>
          <w:szCs w:val="22"/>
        </w:rPr>
        <w:tab/>
      </w:r>
      <w:r>
        <w:rPr>
          <w:noProof/>
        </w:rPr>
        <w:t>Explanation of Any Payment/Gift to Respondents</w:t>
      </w:r>
      <w:r>
        <w:rPr>
          <w:noProof/>
          <w:webHidden/>
        </w:rPr>
        <w:tab/>
      </w:r>
      <w:r w:rsidR="009C1C70">
        <w:rPr>
          <w:noProof/>
          <w:webHidden/>
        </w:rPr>
        <w:t>6</w:t>
      </w:r>
    </w:p>
    <w:p w:rsidR="009758C4" w:rsidRDefault="009758C4">
      <w:pPr>
        <w:pStyle w:val="TOC3"/>
        <w:rPr>
          <w:rFonts w:asciiTheme="minorHAnsi" w:eastAsiaTheme="minorEastAsia" w:hAnsiTheme="minorHAnsi" w:cstheme="minorBidi"/>
          <w:noProof/>
          <w:sz w:val="22"/>
          <w:szCs w:val="22"/>
        </w:rPr>
      </w:pPr>
      <w:r>
        <w:rPr>
          <w:noProof/>
        </w:rPr>
        <w:t>10.</w:t>
      </w:r>
      <w:r>
        <w:rPr>
          <w:rFonts w:asciiTheme="minorHAnsi" w:eastAsiaTheme="minorEastAsia" w:hAnsiTheme="minorHAnsi" w:cstheme="minorBidi"/>
          <w:noProof/>
          <w:sz w:val="22"/>
          <w:szCs w:val="22"/>
        </w:rPr>
        <w:tab/>
      </w:r>
      <w:r>
        <w:rPr>
          <w:noProof/>
        </w:rPr>
        <w:t>Assurance of Confidentiality Provided to Respondents</w:t>
      </w:r>
      <w:r>
        <w:rPr>
          <w:noProof/>
          <w:webHidden/>
        </w:rPr>
        <w:tab/>
      </w:r>
      <w:r w:rsidR="007838ED">
        <w:rPr>
          <w:noProof/>
          <w:webHidden/>
        </w:rPr>
        <w:fldChar w:fldCharType="begin"/>
      </w:r>
      <w:r>
        <w:rPr>
          <w:noProof/>
          <w:webHidden/>
        </w:rPr>
        <w:instrText xml:space="preserve"> PAGEREF _Toc297117402 \h </w:instrText>
      </w:r>
      <w:r w:rsidR="007838ED">
        <w:rPr>
          <w:noProof/>
          <w:webHidden/>
        </w:rPr>
      </w:r>
      <w:r w:rsidR="007838ED">
        <w:rPr>
          <w:noProof/>
          <w:webHidden/>
        </w:rPr>
        <w:fldChar w:fldCharType="separate"/>
      </w:r>
      <w:r w:rsidR="003D4A93">
        <w:rPr>
          <w:noProof/>
          <w:webHidden/>
        </w:rPr>
        <w:t>6</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Justification for Sensitive Questions</w:t>
      </w:r>
      <w:r>
        <w:rPr>
          <w:noProof/>
          <w:webHidden/>
        </w:rPr>
        <w:tab/>
      </w:r>
      <w:r w:rsidR="007838ED">
        <w:rPr>
          <w:noProof/>
          <w:webHidden/>
        </w:rPr>
        <w:fldChar w:fldCharType="begin"/>
      </w:r>
      <w:r>
        <w:rPr>
          <w:noProof/>
          <w:webHidden/>
        </w:rPr>
        <w:instrText xml:space="preserve"> PAGEREF _Toc297117403 \h </w:instrText>
      </w:r>
      <w:r w:rsidR="007838ED">
        <w:rPr>
          <w:noProof/>
          <w:webHidden/>
        </w:rPr>
      </w:r>
      <w:r w:rsidR="007838ED">
        <w:rPr>
          <w:noProof/>
          <w:webHidden/>
        </w:rPr>
        <w:fldChar w:fldCharType="separate"/>
      </w:r>
      <w:r w:rsidR="003D4A93">
        <w:rPr>
          <w:noProof/>
          <w:webHidden/>
        </w:rPr>
        <w:t>8</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Estimates of Annualized Hour and Cost Burden</w:t>
      </w:r>
      <w:r>
        <w:rPr>
          <w:noProof/>
          <w:webHidden/>
        </w:rPr>
        <w:tab/>
      </w:r>
      <w:r w:rsidR="007838ED">
        <w:rPr>
          <w:noProof/>
          <w:webHidden/>
        </w:rPr>
        <w:fldChar w:fldCharType="begin"/>
      </w:r>
      <w:r>
        <w:rPr>
          <w:noProof/>
          <w:webHidden/>
        </w:rPr>
        <w:instrText xml:space="preserve"> PAGEREF _Toc297117404 \h </w:instrText>
      </w:r>
      <w:r w:rsidR="007838ED">
        <w:rPr>
          <w:noProof/>
          <w:webHidden/>
        </w:rPr>
      </w:r>
      <w:r w:rsidR="007838ED">
        <w:rPr>
          <w:noProof/>
          <w:webHidden/>
        </w:rPr>
        <w:fldChar w:fldCharType="separate"/>
      </w:r>
      <w:r w:rsidR="003D4A93">
        <w:rPr>
          <w:noProof/>
          <w:webHidden/>
        </w:rPr>
        <w:t>8</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Estimates of Other Total Annual Cost Burden to Respondents or Recordkeepers/Capital Costs</w:t>
      </w:r>
      <w:r>
        <w:rPr>
          <w:noProof/>
          <w:webHidden/>
        </w:rPr>
        <w:tab/>
      </w:r>
      <w:r w:rsidR="007838ED">
        <w:rPr>
          <w:noProof/>
          <w:webHidden/>
        </w:rPr>
        <w:fldChar w:fldCharType="begin"/>
      </w:r>
      <w:r>
        <w:rPr>
          <w:noProof/>
          <w:webHidden/>
        </w:rPr>
        <w:instrText xml:space="preserve"> PAGEREF _Toc297117405 \h </w:instrText>
      </w:r>
      <w:r w:rsidR="007838ED">
        <w:rPr>
          <w:noProof/>
          <w:webHidden/>
        </w:rPr>
      </w:r>
      <w:r w:rsidR="007838ED">
        <w:rPr>
          <w:noProof/>
          <w:webHidden/>
        </w:rPr>
        <w:fldChar w:fldCharType="separate"/>
      </w:r>
      <w:r w:rsidR="003D4A93">
        <w:rPr>
          <w:noProof/>
          <w:webHidden/>
        </w:rPr>
        <w:t>9</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Annualized Cost to Federal Government</w:t>
      </w:r>
      <w:r>
        <w:rPr>
          <w:noProof/>
          <w:webHidden/>
        </w:rPr>
        <w:tab/>
      </w:r>
      <w:r w:rsidR="007838ED">
        <w:rPr>
          <w:noProof/>
          <w:webHidden/>
        </w:rPr>
        <w:fldChar w:fldCharType="begin"/>
      </w:r>
      <w:r>
        <w:rPr>
          <w:noProof/>
          <w:webHidden/>
        </w:rPr>
        <w:instrText xml:space="preserve"> PAGEREF _Toc297117406 \h </w:instrText>
      </w:r>
      <w:r w:rsidR="007838ED">
        <w:rPr>
          <w:noProof/>
          <w:webHidden/>
        </w:rPr>
      </w:r>
      <w:r w:rsidR="007838ED">
        <w:rPr>
          <w:noProof/>
          <w:webHidden/>
        </w:rPr>
        <w:fldChar w:fldCharType="separate"/>
      </w:r>
      <w:r w:rsidR="003D4A93">
        <w:rPr>
          <w:noProof/>
          <w:webHidden/>
        </w:rPr>
        <w:t>9</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Explanation for Program Changes or Adjustments</w:t>
      </w:r>
      <w:r>
        <w:rPr>
          <w:noProof/>
          <w:webHidden/>
        </w:rPr>
        <w:tab/>
      </w:r>
      <w:r w:rsidR="007838ED">
        <w:rPr>
          <w:noProof/>
          <w:webHidden/>
        </w:rPr>
        <w:fldChar w:fldCharType="begin"/>
      </w:r>
      <w:r>
        <w:rPr>
          <w:noProof/>
          <w:webHidden/>
        </w:rPr>
        <w:instrText xml:space="preserve"> PAGEREF _Toc297117407 \h </w:instrText>
      </w:r>
      <w:r w:rsidR="007838ED">
        <w:rPr>
          <w:noProof/>
          <w:webHidden/>
        </w:rPr>
      </w:r>
      <w:r w:rsidR="007838ED">
        <w:rPr>
          <w:noProof/>
          <w:webHidden/>
        </w:rPr>
        <w:fldChar w:fldCharType="separate"/>
      </w:r>
      <w:r w:rsidR="003D4A93">
        <w:rPr>
          <w:noProof/>
          <w:webHidden/>
        </w:rPr>
        <w:t>10</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Pr>
          <w:noProof/>
        </w:rPr>
        <w:t>Plans for Tabulation and Publication and Project Time Schedule</w:t>
      </w:r>
      <w:r>
        <w:rPr>
          <w:noProof/>
          <w:webHidden/>
        </w:rPr>
        <w:tab/>
      </w:r>
      <w:r w:rsidR="007838ED">
        <w:rPr>
          <w:noProof/>
          <w:webHidden/>
        </w:rPr>
        <w:fldChar w:fldCharType="begin"/>
      </w:r>
      <w:r>
        <w:rPr>
          <w:noProof/>
          <w:webHidden/>
        </w:rPr>
        <w:instrText xml:space="preserve"> PAGEREF _Toc297117408 \h </w:instrText>
      </w:r>
      <w:r w:rsidR="007838ED">
        <w:rPr>
          <w:noProof/>
          <w:webHidden/>
        </w:rPr>
      </w:r>
      <w:r w:rsidR="007838ED">
        <w:rPr>
          <w:noProof/>
          <w:webHidden/>
        </w:rPr>
        <w:fldChar w:fldCharType="separate"/>
      </w:r>
      <w:r w:rsidR="003D4A93">
        <w:rPr>
          <w:noProof/>
          <w:webHidden/>
        </w:rPr>
        <w:t>10</w:t>
      </w:r>
      <w:r w:rsidR="007838ED">
        <w:rPr>
          <w:noProof/>
          <w:webHidden/>
        </w:rPr>
        <w:fldChar w:fldCharType="end"/>
      </w:r>
    </w:p>
    <w:p w:rsidR="009758C4" w:rsidRDefault="009758C4">
      <w:pPr>
        <w:pStyle w:val="TOC3"/>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Pr>
          <w:noProof/>
        </w:rPr>
        <w:t>Reason(s) Display of OMB Expiration Date Is Inappropriate</w:t>
      </w:r>
      <w:r>
        <w:rPr>
          <w:noProof/>
          <w:webHidden/>
        </w:rPr>
        <w:tab/>
      </w:r>
      <w:r w:rsidR="007838ED">
        <w:rPr>
          <w:noProof/>
          <w:webHidden/>
        </w:rPr>
        <w:fldChar w:fldCharType="begin"/>
      </w:r>
      <w:r>
        <w:rPr>
          <w:noProof/>
          <w:webHidden/>
        </w:rPr>
        <w:instrText xml:space="preserve"> PAGEREF _Toc297117409 \h </w:instrText>
      </w:r>
      <w:r w:rsidR="007838ED">
        <w:rPr>
          <w:noProof/>
          <w:webHidden/>
        </w:rPr>
      </w:r>
      <w:r w:rsidR="007838ED">
        <w:rPr>
          <w:noProof/>
          <w:webHidden/>
        </w:rPr>
        <w:fldChar w:fldCharType="separate"/>
      </w:r>
      <w:r w:rsidR="003D4A93">
        <w:rPr>
          <w:noProof/>
          <w:webHidden/>
        </w:rPr>
        <w:t>10</w:t>
      </w:r>
      <w:r w:rsidR="007838ED">
        <w:rPr>
          <w:noProof/>
          <w:webHidden/>
        </w:rPr>
        <w:fldChar w:fldCharType="end"/>
      </w:r>
    </w:p>
    <w:p w:rsidR="009758C4" w:rsidRDefault="009758C4" w:rsidP="009758C4">
      <w:pPr>
        <w:pStyle w:val="TOC3"/>
        <w:spacing w:after="240"/>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Pr>
          <w:noProof/>
        </w:rPr>
        <w:t>Exceptions to Certification for Paperwork Reduction Act Submissions</w:t>
      </w:r>
      <w:r>
        <w:rPr>
          <w:noProof/>
          <w:webHidden/>
        </w:rPr>
        <w:tab/>
      </w:r>
      <w:r w:rsidR="007838ED">
        <w:rPr>
          <w:noProof/>
          <w:webHidden/>
        </w:rPr>
        <w:fldChar w:fldCharType="begin"/>
      </w:r>
      <w:r>
        <w:rPr>
          <w:noProof/>
          <w:webHidden/>
        </w:rPr>
        <w:instrText xml:space="preserve"> PAGEREF _Toc297117410 \h </w:instrText>
      </w:r>
      <w:r w:rsidR="007838ED">
        <w:rPr>
          <w:noProof/>
          <w:webHidden/>
        </w:rPr>
      </w:r>
      <w:r w:rsidR="007838ED">
        <w:rPr>
          <w:noProof/>
          <w:webHidden/>
        </w:rPr>
        <w:fldChar w:fldCharType="separate"/>
      </w:r>
      <w:r w:rsidR="003D4A93">
        <w:rPr>
          <w:noProof/>
          <w:webHidden/>
        </w:rPr>
        <w:t>10</w:t>
      </w:r>
      <w:r w:rsidR="007838ED">
        <w:rPr>
          <w:noProof/>
          <w:webHidden/>
        </w:rPr>
        <w:fldChar w:fldCharType="end"/>
      </w:r>
    </w:p>
    <w:p w:rsidR="009758C4" w:rsidRDefault="009758C4" w:rsidP="009758C4">
      <w:pPr>
        <w:pStyle w:val="TOC2"/>
        <w:tabs>
          <w:tab w:val="clear" w:pos="1440"/>
        </w:tabs>
        <w:ind w:left="1890"/>
        <w:rPr>
          <w:rFonts w:asciiTheme="minorHAnsi" w:eastAsiaTheme="minorEastAsia" w:hAnsiTheme="minorHAnsi" w:cstheme="minorBidi"/>
          <w:sz w:val="22"/>
          <w:szCs w:val="22"/>
        </w:rPr>
      </w:pPr>
      <w:r>
        <w:t>REFERENCES</w:t>
      </w:r>
      <w:r>
        <w:rPr>
          <w:webHidden/>
        </w:rPr>
        <w:tab/>
      </w:r>
      <w:r w:rsidR="007838ED">
        <w:rPr>
          <w:webHidden/>
        </w:rPr>
        <w:fldChar w:fldCharType="begin"/>
      </w:r>
      <w:r>
        <w:rPr>
          <w:webHidden/>
        </w:rPr>
        <w:instrText xml:space="preserve"> PAGEREF _Toc297117411 \h </w:instrText>
      </w:r>
      <w:r w:rsidR="007838ED">
        <w:rPr>
          <w:webHidden/>
        </w:rPr>
      </w:r>
      <w:r w:rsidR="007838ED">
        <w:rPr>
          <w:webHidden/>
        </w:rPr>
        <w:fldChar w:fldCharType="separate"/>
      </w:r>
      <w:r w:rsidR="003D4A93">
        <w:rPr>
          <w:webHidden/>
        </w:rPr>
        <w:t>11</w:t>
      </w:r>
      <w:r w:rsidR="007838ED">
        <w:rPr>
          <w:webHidden/>
        </w:rPr>
        <w:fldChar w:fldCharType="end"/>
      </w:r>
    </w:p>
    <w:p w:rsidR="000906D5" w:rsidRDefault="007838ED" w:rsidP="000906D5">
      <w:pPr>
        <w:pStyle w:val="TOC2"/>
        <w:rPr>
          <w:rFonts w:asciiTheme="minorHAnsi" w:eastAsiaTheme="minorEastAsia" w:hAnsiTheme="minorHAnsi" w:cstheme="minorBidi"/>
          <w:sz w:val="22"/>
          <w:szCs w:val="22"/>
        </w:rPr>
      </w:pPr>
      <w:r>
        <w:rPr>
          <w:rFonts w:cs="Arial"/>
          <w:b/>
        </w:rPr>
        <w:fldChar w:fldCharType="end"/>
      </w:r>
      <w:r>
        <w:rPr>
          <w:rFonts w:cs="Arial"/>
          <w:b/>
        </w:rPr>
        <w:fldChar w:fldCharType="begin"/>
      </w:r>
      <w:r w:rsidR="000906D5">
        <w:rPr>
          <w:rFonts w:cs="Arial"/>
          <w:b/>
        </w:rPr>
        <w:instrText xml:space="preserve"> TOC \o "1-3" \z \t "Heading 1_Black,1,Heading 1_Red,1,Heading 1_Blue,1,Heading 2_Black,2,Heading 2_Red,2,Heading 2_Blue,2,Mark for Appendix Heading_Black,8,Mark for Appendix Heading_Blue,8,Mark for Appendix Heading_Red,8" </w:instrText>
      </w:r>
      <w:r>
        <w:rPr>
          <w:rFonts w:cs="Arial"/>
          <w:b/>
        </w:rPr>
        <w:fldChar w:fldCharType="separate"/>
      </w:r>
      <w:r w:rsidR="000906D5">
        <w:t>B.</w:t>
      </w:r>
      <w:r w:rsidR="000906D5">
        <w:rPr>
          <w:rFonts w:asciiTheme="minorHAnsi" w:eastAsiaTheme="minorEastAsia" w:hAnsiTheme="minorHAnsi" w:cstheme="minorBidi"/>
          <w:sz w:val="22"/>
          <w:szCs w:val="22"/>
        </w:rPr>
        <w:tab/>
      </w:r>
      <w:r w:rsidR="000906D5">
        <w:t>COLLECTION OF INFORMATION EMPLOYING STATISTICAL METHODS</w:t>
      </w:r>
      <w:r w:rsidR="000906D5">
        <w:rPr>
          <w:webHidden/>
        </w:rPr>
        <w:tab/>
      </w:r>
      <w:r w:rsidR="00644B26">
        <w:rPr>
          <w:webHidden/>
        </w:rPr>
        <w:t>1</w:t>
      </w:r>
      <w:r w:rsidR="009758C4">
        <w:rPr>
          <w:webHidden/>
        </w:rPr>
        <w:t>2</w:t>
      </w:r>
    </w:p>
    <w:p w:rsidR="000906D5" w:rsidRDefault="000906D5" w:rsidP="000906D5">
      <w:pPr>
        <w:pStyle w:val="TOC3"/>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Respondent Universe and Sampling Methods</w:t>
      </w:r>
      <w:r>
        <w:rPr>
          <w:noProof/>
          <w:webHidden/>
        </w:rPr>
        <w:tab/>
      </w:r>
      <w:r w:rsidR="00644B26">
        <w:rPr>
          <w:noProof/>
          <w:webHidden/>
        </w:rPr>
        <w:t>1</w:t>
      </w:r>
      <w:r w:rsidR="009758C4">
        <w:rPr>
          <w:noProof/>
          <w:webHidden/>
        </w:rPr>
        <w:t>2</w:t>
      </w:r>
    </w:p>
    <w:p w:rsidR="000906D5" w:rsidRDefault="000906D5" w:rsidP="000906D5">
      <w:pPr>
        <w:pStyle w:val="TOC3"/>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Procedures for the Collection of Information</w:t>
      </w:r>
      <w:r>
        <w:rPr>
          <w:noProof/>
          <w:webHidden/>
        </w:rPr>
        <w:tab/>
      </w:r>
      <w:r w:rsidR="00644B26">
        <w:rPr>
          <w:noProof/>
          <w:webHidden/>
        </w:rPr>
        <w:t>1</w:t>
      </w:r>
      <w:r w:rsidR="009758C4">
        <w:rPr>
          <w:noProof/>
          <w:webHidden/>
        </w:rPr>
        <w:t>2</w:t>
      </w:r>
    </w:p>
    <w:p w:rsidR="000906D5" w:rsidRDefault="000906D5" w:rsidP="000906D5">
      <w:pPr>
        <w:pStyle w:val="TOC3"/>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Methods to Maximize Response Rates and Deal with Nonresponse</w:t>
      </w:r>
      <w:r>
        <w:rPr>
          <w:noProof/>
          <w:webHidden/>
        </w:rPr>
        <w:tab/>
      </w:r>
      <w:r w:rsidR="009758C4">
        <w:rPr>
          <w:noProof/>
          <w:webHidden/>
        </w:rPr>
        <w:t>15</w:t>
      </w:r>
    </w:p>
    <w:p w:rsidR="000906D5" w:rsidRDefault="000906D5" w:rsidP="000906D5">
      <w:pPr>
        <w:pStyle w:val="TOC3"/>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Tests of Procedures or Methods to Be Undertaken</w:t>
      </w:r>
      <w:r>
        <w:rPr>
          <w:noProof/>
          <w:webHidden/>
        </w:rPr>
        <w:tab/>
      </w:r>
      <w:r w:rsidR="009758C4">
        <w:rPr>
          <w:noProof/>
          <w:webHidden/>
        </w:rPr>
        <w:t>16</w:t>
      </w:r>
    </w:p>
    <w:p w:rsidR="000906D5" w:rsidRDefault="000906D5" w:rsidP="000906D5">
      <w:pPr>
        <w:pStyle w:val="TOC3"/>
        <w:spacing w:after="240"/>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Individuals Consulted on Statistical Aspects and Individuals Collecting and/or Analyzing Data</w:t>
      </w:r>
      <w:r>
        <w:rPr>
          <w:noProof/>
          <w:webHidden/>
        </w:rPr>
        <w:tab/>
      </w:r>
      <w:r w:rsidR="009758C4">
        <w:rPr>
          <w:noProof/>
          <w:webHidden/>
        </w:rPr>
        <w:t>17</w:t>
      </w:r>
    </w:p>
    <w:p w:rsidR="000906D5" w:rsidRDefault="000906D5" w:rsidP="009758C4">
      <w:pPr>
        <w:pStyle w:val="TOC2"/>
        <w:tabs>
          <w:tab w:val="clear" w:pos="1440"/>
        </w:tabs>
        <w:ind w:left="1890"/>
        <w:rPr>
          <w:webHidden/>
        </w:rPr>
      </w:pPr>
      <w:r>
        <w:t>REFERENCES</w:t>
      </w:r>
      <w:r>
        <w:rPr>
          <w:webHidden/>
        </w:rPr>
        <w:tab/>
      </w:r>
      <w:r w:rsidR="009758C4">
        <w:rPr>
          <w:webHidden/>
        </w:rPr>
        <w:t>1</w:t>
      </w:r>
      <w:r w:rsidR="003D4A93">
        <w:rPr>
          <w:webHidden/>
        </w:rPr>
        <w:t>9</w:t>
      </w:r>
    </w:p>
    <w:p w:rsidR="002D2256" w:rsidRDefault="002D2256">
      <w:pPr>
        <w:tabs>
          <w:tab w:val="clear" w:pos="432"/>
        </w:tabs>
        <w:spacing w:line="240" w:lineRule="auto"/>
        <w:ind w:firstLine="0"/>
        <w:jc w:val="left"/>
        <w:rPr>
          <w:rFonts w:ascii="Arial" w:eastAsiaTheme="minorEastAsia" w:hAnsi="Arial"/>
          <w:caps/>
        </w:rPr>
      </w:pPr>
      <w:r>
        <w:rPr>
          <w:rFonts w:eastAsiaTheme="minorEastAsia"/>
        </w:rPr>
        <w:br w:type="page"/>
      </w:r>
    </w:p>
    <w:p w:rsidR="00DF66CC" w:rsidRPr="00DF66CC" w:rsidRDefault="00DF66CC" w:rsidP="00746AB5">
      <w:pPr>
        <w:tabs>
          <w:tab w:val="clear" w:pos="432"/>
          <w:tab w:val="left" w:pos="1440"/>
          <w:tab w:val="right" w:leader="dot" w:pos="9360"/>
        </w:tabs>
        <w:spacing w:after="240" w:line="240" w:lineRule="auto"/>
        <w:ind w:left="450" w:right="1080" w:firstLine="0"/>
        <w:jc w:val="left"/>
        <w:rPr>
          <w:rFonts w:asciiTheme="minorHAnsi" w:hAnsiTheme="minorHAnsi" w:cstheme="minorHAnsi"/>
          <w:noProof/>
          <w:sz w:val="22"/>
          <w:szCs w:val="22"/>
        </w:rPr>
      </w:pPr>
      <w:r w:rsidRPr="00DF66CC">
        <w:rPr>
          <w:rFonts w:asciiTheme="minorHAnsi" w:hAnsiTheme="minorHAnsi" w:cstheme="minorHAnsi"/>
          <w:noProof/>
          <w:sz w:val="22"/>
          <w:szCs w:val="22"/>
        </w:rPr>
        <w:lastRenderedPageBreak/>
        <w:t xml:space="preserve">Contents </w:t>
      </w:r>
      <w:r w:rsidRPr="00DF66CC">
        <w:rPr>
          <w:rFonts w:asciiTheme="minorHAnsi" w:hAnsiTheme="minorHAnsi" w:cstheme="minorHAnsi"/>
          <w:i/>
          <w:noProof/>
          <w:sz w:val="22"/>
          <w:szCs w:val="22"/>
        </w:rPr>
        <w:t>(continued)</w:t>
      </w:r>
    </w:p>
    <w:p w:rsidR="000906D5" w:rsidRDefault="000906D5" w:rsidP="00DF66CC">
      <w:pPr>
        <w:pStyle w:val="TOC1"/>
        <w:rPr>
          <w:rFonts w:eastAsiaTheme="minorEastAsia"/>
        </w:rPr>
      </w:pPr>
      <w:r>
        <w:rPr>
          <w:rFonts w:eastAsiaTheme="minorEastAsia"/>
        </w:rPr>
        <w:t>appendix a: section 3026 of the 2010 affordable care act</w:t>
      </w:r>
      <w:r w:rsidR="00107FBC">
        <w:rPr>
          <w:rFonts w:eastAsiaTheme="minorEastAsia"/>
        </w:rPr>
        <w:tab/>
        <w:t>A.3</w:t>
      </w:r>
    </w:p>
    <w:p w:rsidR="000906D5" w:rsidRDefault="000906D5" w:rsidP="00DF66CC">
      <w:pPr>
        <w:pStyle w:val="TOC1"/>
        <w:rPr>
          <w:rFonts w:eastAsiaTheme="minorEastAsia"/>
        </w:rPr>
      </w:pPr>
      <w:r>
        <w:rPr>
          <w:rFonts w:eastAsiaTheme="minorEastAsia"/>
        </w:rPr>
        <w:t xml:space="preserve">appendix b: </w:t>
      </w:r>
      <w:r w:rsidR="001D70D9">
        <w:rPr>
          <w:rFonts w:eastAsiaTheme="minorEastAsia"/>
        </w:rPr>
        <w:t xml:space="preserve">PATIENT </w:t>
      </w:r>
      <w:r>
        <w:rPr>
          <w:rFonts w:eastAsiaTheme="minorEastAsia"/>
        </w:rPr>
        <w:t>experience survey items</w:t>
      </w:r>
      <w:r w:rsidR="00107FBC">
        <w:rPr>
          <w:rFonts w:eastAsiaTheme="minorEastAsia"/>
        </w:rPr>
        <w:tab/>
        <w:t>B.3</w:t>
      </w:r>
    </w:p>
    <w:p w:rsidR="00DF66CC" w:rsidRDefault="000906D5" w:rsidP="009758C4">
      <w:pPr>
        <w:pStyle w:val="TOC1"/>
        <w:rPr>
          <w:rFonts w:eastAsiaTheme="minorEastAsia"/>
        </w:rPr>
      </w:pPr>
      <w:r>
        <w:rPr>
          <w:rFonts w:eastAsiaTheme="minorEastAsia"/>
        </w:rPr>
        <w:t>appendix c: 60-day federal register notice</w:t>
      </w:r>
      <w:r w:rsidR="007838ED">
        <w:rPr>
          <w:rFonts w:cs="Arial"/>
          <w:b/>
        </w:rPr>
        <w:fldChar w:fldCharType="end"/>
      </w:r>
      <w:r w:rsidR="00107FBC">
        <w:rPr>
          <w:rFonts w:eastAsiaTheme="minorEastAsia"/>
        </w:rPr>
        <w:tab/>
        <w:t>C.3</w:t>
      </w:r>
    </w:p>
    <w:p w:rsidR="009758C4" w:rsidRDefault="009758C4" w:rsidP="009758C4">
      <w:pPr>
        <w:pStyle w:val="Normalcontinued"/>
      </w:pPr>
    </w:p>
    <w:p w:rsidR="009758C4" w:rsidRDefault="009758C4" w:rsidP="009758C4"/>
    <w:p w:rsidR="00B80BB6" w:rsidRDefault="00B80BB6" w:rsidP="00B80BB6">
      <w:pPr>
        <w:spacing w:after="480" w:line="240" w:lineRule="auto"/>
        <w:ind w:firstLine="0"/>
        <w:jc w:val="center"/>
        <w:rPr>
          <w:rFonts w:ascii="Arial" w:hAnsi="Arial" w:cs="Arial"/>
          <w:b/>
        </w:rPr>
      </w:pPr>
      <w:r>
        <w:rPr>
          <w:rFonts w:ascii="Arial" w:hAnsi="Arial" w:cs="Arial"/>
          <w:b/>
        </w:rPr>
        <w:t>TABLES</w:t>
      </w:r>
    </w:p>
    <w:p w:rsidR="00B80BB6" w:rsidRDefault="007838ED" w:rsidP="009758C4">
      <w:pPr>
        <w:pStyle w:val="TableofFigures"/>
        <w:tabs>
          <w:tab w:val="clear" w:pos="1008"/>
        </w:tabs>
        <w:ind w:left="1980"/>
        <w:rPr>
          <w:rFonts w:asciiTheme="minorHAnsi" w:eastAsiaTheme="minorEastAsia" w:hAnsiTheme="minorHAnsi" w:cstheme="minorBidi"/>
          <w:noProof/>
          <w:szCs w:val="22"/>
        </w:rPr>
      </w:pPr>
      <w:r>
        <w:rPr>
          <w:rFonts w:cs="Arial"/>
          <w:b/>
        </w:rPr>
        <w:fldChar w:fldCharType="begin"/>
      </w:r>
      <w:r w:rsidR="00B80BB6">
        <w:rPr>
          <w:rFonts w:cs="Arial"/>
          <w:b/>
        </w:rPr>
        <w:instrText xml:space="preserve"> TOC \z \t "Mark for Table Heading,1" \c "Figure" </w:instrText>
      </w:r>
      <w:r>
        <w:rPr>
          <w:rFonts w:cs="Arial"/>
          <w:b/>
        </w:rPr>
        <w:fldChar w:fldCharType="separate"/>
      </w:r>
      <w:r w:rsidR="009758C4">
        <w:rPr>
          <w:noProof/>
        </w:rPr>
        <w:t>A.1</w:t>
      </w:r>
      <w:r w:rsidR="00B65883">
        <w:rPr>
          <w:noProof/>
        </w:rPr>
        <w:tab/>
      </w:r>
      <w:r w:rsidR="00B80BB6">
        <w:rPr>
          <w:noProof/>
        </w:rPr>
        <w:t>CCTP Performance Measures</w:t>
      </w:r>
      <w:r w:rsidR="00B80BB6">
        <w:rPr>
          <w:noProof/>
          <w:webHidden/>
        </w:rPr>
        <w:tab/>
      </w:r>
      <w:r>
        <w:rPr>
          <w:noProof/>
          <w:webHidden/>
        </w:rPr>
        <w:fldChar w:fldCharType="begin"/>
      </w:r>
      <w:r w:rsidR="00B80BB6">
        <w:rPr>
          <w:noProof/>
          <w:webHidden/>
        </w:rPr>
        <w:instrText xml:space="preserve"> PAGEREF _Toc297104833 \h </w:instrText>
      </w:r>
      <w:r>
        <w:rPr>
          <w:noProof/>
          <w:webHidden/>
        </w:rPr>
      </w:r>
      <w:r>
        <w:rPr>
          <w:noProof/>
          <w:webHidden/>
        </w:rPr>
        <w:fldChar w:fldCharType="separate"/>
      </w:r>
      <w:r w:rsidR="003D4A93">
        <w:rPr>
          <w:noProof/>
          <w:webHidden/>
        </w:rPr>
        <w:t>2</w:t>
      </w:r>
      <w:r>
        <w:rPr>
          <w:noProof/>
          <w:webHidden/>
        </w:rPr>
        <w:fldChar w:fldCharType="end"/>
      </w:r>
    </w:p>
    <w:p w:rsidR="00B80BB6" w:rsidRDefault="00B80BB6" w:rsidP="009758C4">
      <w:pPr>
        <w:pStyle w:val="TableofFigures"/>
        <w:tabs>
          <w:tab w:val="clear" w:pos="1008"/>
        </w:tabs>
        <w:ind w:left="1980"/>
        <w:rPr>
          <w:rFonts w:asciiTheme="minorHAnsi" w:eastAsiaTheme="minorEastAsia" w:hAnsiTheme="minorHAnsi" w:cstheme="minorBidi"/>
          <w:noProof/>
          <w:szCs w:val="22"/>
        </w:rPr>
      </w:pPr>
      <w:r>
        <w:rPr>
          <w:noProof/>
        </w:rPr>
        <w:t>A.2</w:t>
      </w:r>
      <w:r w:rsidR="00B65883">
        <w:rPr>
          <w:noProof/>
        </w:rPr>
        <w:tab/>
      </w:r>
      <w:r>
        <w:rPr>
          <w:noProof/>
        </w:rPr>
        <w:t>Estimated Annualized Burden Hours</w:t>
      </w:r>
      <w:r>
        <w:rPr>
          <w:noProof/>
          <w:webHidden/>
        </w:rPr>
        <w:tab/>
      </w:r>
      <w:r w:rsidR="007838ED">
        <w:rPr>
          <w:noProof/>
          <w:webHidden/>
        </w:rPr>
        <w:fldChar w:fldCharType="begin"/>
      </w:r>
      <w:r>
        <w:rPr>
          <w:noProof/>
          <w:webHidden/>
        </w:rPr>
        <w:instrText xml:space="preserve"> PAGEREF _Toc297104834 \h </w:instrText>
      </w:r>
      <w:r w:rsidR="007838ED">
        <w:rPr>
          <w:noProof/>
          <w:webHidden/>
        </w:rPr>
      </w:r>
      <w:r w:rsidR="007838ED">
        <w:rPr>
          <w:noProof/>
          <w:webHidden/>
        </w:rPr>
        <w:fldChar w:fldCharType="separate"/>
      </w:r>
      <w:r w:rsidR="003D4A93">
        <w:rPr>
          <w:noProof/>
          <w:webHidden/>
        </w:rPr>
        <w:t>8</w:t>
      </w:r>
      <w:r w:rsidR="007838ED">
        <w:rPr>
          <w:noProof/>
          <w:webHidden/>
        </w:rPr>
        <w:fldChar w:fldCharType="end"/>
      </w:r>
    </w:p>
    <w:p w:rsidR="00B80BB6" w:rsidRDefault="00B65883" w:rsidP="009758C4">
      <w:pPr>
        <w:pStyle w:val="TableofFigures"/>
        <w:tabs>
          <w:tab w:val="clear" w:pos="1008"/>
        </w:tabs>
        <w:ind w:left="1980"/>
        <w:rPr>
          <w:rFonts w:asciiTheme="minorHAnsi" w:eastAsiaTheme="minorEastAsia" w:hAnsiTheme="minorHAnsi" w:cstheme="minorBidi"/>
          <w:noProof/>
          <w:szCs w:val="22"/>
        </w:rPr>
      </w:pPr>
      <w:r>
        <w:rPr>
          <w:noProof/>
        </w:rPr>
        <w:t>A.3</w:t>
      </w:r>
      <w:r>
        <w:rPr>
          <w:noProof/>
        </w:rPr>
        <w:tab/>
      </w:r>
      <w:r w:rsidR="00B80BB6">
        <w:rPr>
          <w:noProof/>
        </w:rPr>
        <w:t>Estimated Annualized Burden Costs</w:t>
      </w:r>
      <w:r w:rsidR="00B80BB6">
        <w:rPr>
          <w:noProof/>
          <w:webHidden/>
        </w:rPr>
        <w:tab/>
      </w:r>
      <w:r w:rsidR="007838ED">
        <w:rPr>
          <w:noProof/>
          <w:webHidden/>
        </w:rPr>
        <w:fldChar w:fldCharType="begin"/>
      </w:r>
      <w:r w:rsidR="00B80BB6">
        <w:rPr>
          <w:noProof/>
          <w:webHidden/>
        </w:rPr>
        <w:instrText xml:space="preserve"> PAGEREF _Toc297104835 \h </w:instrText>
      </w:r>
      <w:r w:rsidR="007838ED">
        <w:rPr>
          <w:noProof/>
          <w:webHidden/>
        </w:rPr>
      </w:r>
      <w:r w:rsidR="007838ED">
        <w:rPr>
          <w:noProof/>
          <w:webHidden/>
        </w:rPr>
        <w:fldChar w:fldCharType="separate"/>
      </w:r>
      <w:r w:rsidR="003D4A93">
        <w:rPr>
          <w:noProof/>
          <w:webHidden/>
        </w:rPr>
        <w:t>9</w:t>
      </w:r>
      <w:r w:rsidR="007838ED">
        <w:rPr>
          <w:noProof/>
          <w:webHidden/>
        </w:rPr>
        <w:fldChar w:fldCharType="end"/>
      </w:r>
    </w:p>
    <w:p w:rsidR="00B80BB6" w:rsidRPr="00B80BB6" w:rsidRDefault="007838ED" w:rsidP="00B80BB6">
      <w:pPr>
        <w:spacing w:after="480" w:line="240" w:lineRule="auto"/>
        <w:ind w:firstLine="0"/>
        <w:jc w:val="center"/>
        <w:rPr>
          <w:rFonts w:ascii="Arial" w:hAnsi="Arial" w:cs="Arial"/>
          <w:b/>
        </w:rPr>
        <w:sectPr w:rsidR="00B80BB6" w:rsidRPr="00B80BB6" w:rsidSect="00DA37C5">
          <w:endnotePr>
            <w:numFmt w:val="decimal"/>
          </w:endnotePr>
          <w:pgSz w:w="12240" w:h="15840" w:code="1"/>
          <w:pgMar w:top="1440" w:right="1440" w:bottom="576" w:left="1440" w:header="720" w:footer="576" w:gutter="0"/>
          <w:pgNumType w:fmt="lowerRoman"/>
          <w:cols w:space="720"/>
          <w:docGrid w:linePitch="326"/>
        </w:sectPr>
      </w:pPr>
      <w:r>
        <w:rPr>
          <w:rFonts w:ascii="Arial" w:hAnsi="Arial" w:cs="Arial"/>
          <w:b/>
        </w:rPr>
        <w:fldChar w:fldCharType="end"/>
      </w:r>
    </w:p>
    <w:p w:rsidR="00E6255A" w:rsidRPr="00E6255A" w:rsidRDefault="00E6255A" w:rsidP="00E6255A">
      <w:pPr>
        <w:pStyle w:val="Heading2Black"/>
      </w:pPr>
      <w:bookmarkStart w:id="6" w:name="_Toc297117392"/>
      <w:r w:rsidRPr="00E6255A">
        <w:lastRenderedPageBreak/>
        <w:t>A.</w:t>
      </w:r>
      <w:r w:rsidRPr="00E6255A">
        <w:tab/>
        <w:t>JUSTIFICATION</w:t>
      </w:r>
      <w:bookmarkEnd w:id="4"/>
      <w:bookmarkEnd w:id="6"/>
    </w:p>
    <w:p w:rsidR="00E6255A" w:rsidRPr="00E6255A" w:rsidRDefault="00E6255A" w:rsidP="00E6255A">
      <w:pPr>
        <w:pStyle w:val="Heading3"/>
      </w:pPr>
      <w:bookmarkStart w:id="7" w:name="_Toc254700529"/>
      <w:bookmarkStart w:id="8" w:name="_Toc254700636"/>
      <w:bookmarkStart w:id="9" w:name="_Toc297117393"/>
      <w:r w:rsidRPr="00E6255A">
        <w:t>1.</w:t>
      </w:r>
      <w:r w:rsidRPr="00E6255A">
        <w:tab/>
        <w:t>Circumstances Making the Collection of Information Necessary</w:t>
      </w:r>
      <w:bookmarkEnd w:id="7"/>
      <w:bookmarkEnd w:id="8"/>
      <w:bookmarkEnd w:id="9"/>
    </w:p>
    <w:p w:rsidR="00E6255A" w:rsidRPr="00E6255A" w:rsidRDefault="00E6255A" w:rsidP="00E6255A">
      <w:r w:rsidRPr="00E6255A">
        <w:t xml:space="preserve">The Medicare Community-Based Care Transitions Program (CCTP), authorized by Section 3026 of the 2010 Affordable Care Act, is a major component of the Partnership for Patients </w:t>
      </w:r>
      <w:r w:rsidR="003A6689">
        <w:t>initiative</w:t>
      </w:r>
      <w:r w:rsidR="00950929">
        <w:t>,</w:t>
      </w:r>
      <w:r w:rsidRPr="00E6255A">
        <w:t xml:space="preserve"> one goal of which is to decrease preventable complications during transition from a care setting, such as a hospital, to home, community, or another care setting. Appendix A contains a copy of the relevant portion of the legislation. </w:t>
      </w:r>
    </w:p>
    <w:p w:rsidR="00E6255A" w:rsidRPr="00E6255A" w:rsidRDefault="00E6255A" w:rsidP="00E6255A">
      <w:r w:rsidRPr="00E6255A">
        <w:t>The CCTP will provide funding to test models for improving care transitions from the hospital to the community for high-risk Medicare beneficiaries. The Centers for Medicare &amp; Medicaid Services (</w:t>
      </w:r>
      <w:smartTag w:uri="urn:schemas-microsoft-com:office:smarttags" w:element="stockticker">
        <w:r w:rsidRPr="00E6255A">
          <w:t>CMS</w:t>
        </w:r>
      </w:smartTag>
      <w:r w:rsidRPr="00E6255A">
        <w:t>) initiated the CCTP in early 2011 and will operate the program for five years</w:t>
      </w:r>
      <w:r w:rsidR="003A6689">
        <w:t>.</w:t>
      </w:r>
      <w:r w:rsidRPr="00E6255A">
        <w:t xml:space="preserve">  Congress has authorized $500 million to cover the cost of the program. </w:t>
      </w:r>
      <w:smartTag w:uri="urn:schemas-microsoft-com:office:smarttags" w:element="stockticker">
        <w:r w:rsidRPr="00E6255A">
          <w:t>CMS</w:t>
        </w:r>
      </w:smartTag>
      <w:r w:rsidRPr="00E6255A">
        <w:t xml:space="preserve"> expects that </w:t>
      </w:r>
      <w:r w:rsidR="003A6689">
        <w:t>program agreements</w:t>
      </w:r>
      <w:r w:rsidRPr="00E6255A">
        <w:t xml:space="preserve"> will be in place to authorize community-based organizations (CBOs), in partnership with </w:t>
      </w:r>
      <w:r w:rsidR="003A6689">
        <w:t xml:space="preserve">acute care </w:t>
      </w:r>
      <w:r w:rsidRPr="00E6255A">
        <w:t xml:space="preserve">hospitals, to begin providing care transition services in </w:t>
      </w:r>
      <w:r w:rsidR="00544B83">
        <w:t xml:space="preserve">November </w:t>
      </w:r>
      <w:r w:rsidRPr="00E6255A">
        <w:t xml:space="preserve">2011 and, if successful, continue doing so for up to five years. The planned collection of a </w:t>
      </w:r>
      <w:r w:rsidR="001D70D9">
        <w:t>patient</w:t>
      </w:r>
      <w:r w:rsidRPr="00E6255A">
        <w:t xml:space="preserve"> experience survey is part of the implementation and monitoring strategy that will review the performance of organizations contracted to provide transitional care services under the CCTP. This clearance package seeks approval for the </w:t>
      </w:r>
      <w:r w:rsidR="004176A8">
        <w:t xml:space="preserve">three-month pilot test of the </w:t>
      </w:r>
      <w:r w:rsidR="001D70D9">
        <w:t>patient</w:t>
      </w:r>
      <w:r w:rsidRPr="00E6255A">
        <w:t xml:space="preserve"> experience survey.</w:t>
      </w:r>
    </w:p>
    <w:p w:rsidR="00E6255A" w:rsidRPr="00E6255A" w:rsidRDefault="00E6255A" w:rsidP="00E6255A">
      <w:pPr>
        <w:pStyle w:val="Heading3"/>
      </w:pPr>
      <w:bookmarkStart w:id="10" w:name="_Toc297117394"/>
      <w:r w:rsidRPr="00E6255A">
        <w:t>2.</w:t>
      </w:r>
      <w:r w:rsidRPr="00E6255A">
        <w:tab/>
        <w:t>Purpose and Use of Information Collection</w:t>
      </w:r>
      <w:bookmarkEnd w:id="10"/>
    </w:p>
    <w:p w:rsidR="00E6255A" w:rsidRPr="00E6255A" w:rsidRDefault="00E6255A" w:rsidP="00E6255A">
      <w:r w:rsidRPr="00E6255A">
        <w:t>The goals for the CCTP are:</w:t>
      </w:r>
    </w:p>
    <w:p w:rsidR="00E6255A" w:rsidRPr="00E6255A" w:rsidRDefault="00E6255A" w:rsidP="00E6255A">
      <w:pPr>
        <w:pStyle w:val="NumberedBullet"/>
      </w:pPr>
      <w:r w:rsidRPr="00E6255A">
        <w:t>Reduce readmissions for high-risk beneficiaries</w:t>
      </w:r>
    </w:p>
    <w:p w:rsidR="00E6255A" w:rsidRPr="00E6255A" w:rsidRDefault="003A6689" w:rsidP="00E6255A">
      <w:pPr>
        <w:pStyle w:val="NumberedBullet"/>
      </w:pPr>
      <w:r>
        <w:t>Improve transitions of beneficiaries from the inpatient hospital setting to home or other settings</w:t>
      </w:r>
    </w:p>
    <w:p w:rsidR="00E6255A" w:rsidRPr="00E6255A" w:rsidRDefault="00E6255A" w:rsidP="00E6255A">
      <w:pPr>
        <w:pStyle w:val="NumberedBullet"/>
      </w:pPr>
      <w:r w:rsidRPr="00E6255A">
        <w:t>Maintain or improve quality of care</w:t>
      </w:r>
    </w:p>
    <w:p w:rsidR="00E6255A" w:rsidRPr="00E6255A" w:rsidRDefault="00E6255A" w:rsidP="00E6255A">
      <w:pPr>
        <w:pStyle w:val="NumberedBulletLastDS"/>
      </w:pPr>
      <w:r w:rsidRPr="00E6255A">
        <w:t>Document measureable savings to the Medicare program</w:t>
      </w:r>
    </w:p>
    <w:p w:rsidR="00E6255A" w:rsidRPr="00E6255A" w:rsidRDefault="00E6255A" w:rsidP="00D86973">
      <w:pPr>
        <w:spacing w:after="240"/>
      </w:pPr>
      <w:r w:rsidRPr="00E6255A">
        <w:lastRenderedPageBreak/>
        <w:t xml:space="preserve">CMS will monitor the extent to which the CCTP interventions are meeting the project goals using four categories of performance measures: (1) outcome measures, (2) process measures, </w:t>
      </w:r>
      <w:r w:rsidR="00746AB5">
        <w:br/>
      </w:r>
      <w:r w:rsidRPr="00E6255A">
        <w:t xml:space="preserve">(3) adverse effect measures, and (4) </w:t>
      </w:r>
      <w:r w:rsidR="001D70D9">
        <w:t>patient</w:t>
      </w:r>
      <w:r w:rsidRPr="00E6255A">
        <w:t xml:space="preserve"> experience measures. The first three measurement categories are based on Medicare claims data and the submission of billing information from participating CBOs about what services they are providing and to whom. The fourth category, </w:t>
      </w:r>
      <w:r w:rsidR="001D70D9">
        <w:t>patient</w:t>
      </w:r>
      <w:r w:rsidRPr="00E6255A">
        <w:t xml:space="preserve"> experience measures, will be based on survey data. Table A.1. </w:t>
      </w:r>
      <w:proofErr w:type="gramStart"/>
      <w:r w:rsidRPr="00E6255A">
        <w:t>summarizes</w:t>
      </w:r>
      <w:proofErr w:type="gramEnd"/>
      <w:r w:rsidRPr="00E6255A">
        <w:t xml:space="preserve"> the planned performance measures and the data source for each.</w:t>
      </w:r>
    </w:p>
    <w:p w:rsidR="00E6255A" w:rsidRDefault="00E6255A" w:rsidP="00B80BB6">
      <w:pPr>
        <w:pStyle w:val="MarkforTableHeading"/>
      </w:pPr>
      <w:bookmarkStart w:id="11" w:name="_Toc297104833"/>
      <w:r w:rsidRPr="00E6255A">
        <w:t>Table A.1. CCTP Performance Measures</w:t>
      </w:r>
      <w:bookmarkEnd w:id="11"/>
    </w:p>
    <w:tbl>
      <w:tblPr>
        <w:tblStyle w:val="TableGrid"/>
        <w:tblW w:w="499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6564"/>
        <w:gridCol w:w="2993"/>
      </w:tblGrid>
      <w:tr w:rsidR="00E941DE" w:rsidTr="003A6689">
        <w:trPr>
          <w:tblHeader/>
        </w:trPr>
        <w:tc>
          <w:tcPr>
            <w:tcW w:w="3434" w:type="pct"/>
            <w:tcBorders>
              <w:top w:val="single" w:sz="12" w:space="0" w:color="auto"/>
              <w:bottom w:val="single" w:sz="4" w:space="0" w:color="auto"/>
            </w:tcBorders>
            <w:shd w:val="clear" w:color="auto" w:fill="auto"/>
            <w:vAlign w:val="bottom"/>
          </w:tcPr>
          <w:p w:rsidR="00E941DE" w:rsidRPr="00E6255A" w:rsidRDefault="00E941DE" w:rsidP="003A6689">
            <w:pPr>
              <w:pStyle w:val="TableHeaderLeft"/>
            </w:pPr>
            <w:r w:rsidRPr="00E6255A">
              <w:t>Performance Measure</w:t>
            </w:r>
          </w:p>
        </w:tc>
        <w:tc>
          <w:tcPr>
            <w:tcW w:w="1566" w:type="pct"/>
            <w:tcBorders>
              <w:top w:val="single" w:sz="12" w:space="0" w:color="auto"/>
              <w:bottom w:val="single" w:sz="4" w:space="0" w:color="auto"/>
            </w:tcBorders>
            <w:shd w:val="clear" w:color="auto" w:fill="auto"/>
            <w:vAlign w:val="bottom"/>
          </w:tcPr>
          <w:p w:rsidR="00E941DE" w:rsidRPr="00E6255A" w:rsidRDefault="00E941DE" w:rsidP="00746AB5">
            <w:pPr>
              <w:pStyle w:val="TableHeaderLeft"/>
            </w:pPr>
            <w:r w:rsidRPr="00E6255A">
              <w:t>Data Source</w:t>
            </w:r>
          </w:p>
        </w:tc>
      </w:tr>
      <w:tr w:rsidR="00E941DE" w:rsidTr="003A6689">
        <w:tc>
          <w:tcPr>
            <w:tcW w:w="3434" w:type="pct"/>
            <w:tcBorders>
              <w:top w:val="single" w:sz="4" w:space="0" w:color="auto"/>
              <w:bottom w:val="single" w:sz="4" w:space="0" w:color="auto"/>
            </w:tcBorders>
            <w:shd w:val="clear" w:color="auto" w:fill="auto"/>
          </w:tcPr>
          <w:p w:rsidR="00E941DE" w:rsidRPr="00E6255A" w:rsidRDefault="00E941DE" w:rsidP="003A6689">
            <w:pPr>
              <w:pStyle w:val="TableText"/>
              <w:spacing w:before="60" w:after="60"/>
            </w:pPr>
            <w:r w:rsidRPr="00E6255A">
              <w:t xml:space="preserve">I. </w:t>
            </w:r>
            <w:r>
              <w:t xml:space="preserve"> </w:t>
            </w:r>
            <w:r w:rsidRPr="00E6255A">
              <w:t xml:space="preserve"> Outcome Measures (to be calculated at both the CBO and </w:t>
            </w:r>
            <w:r>
              <w:br/>
              <w:t xml:space="preserve">     </w:t>
            </w:r>
            <w:r w:rsidRPr="00E6255A">
              <w:t>partnering</w:t>
            </w:r>
            <w:r>
              <w:t xml:space="preserve"> </w:t>
            </w:r>
            <w:r w:rsidRPr="00E6255A">
              <w:t>hospital levels), such as hospital readmission rates</w:t>
            </w:r>
          </w:p>
        </w:tc>
        <w:tc>
          <w:tcPr>
            <w:tcW w:w="1566" w:type="pct"/>
            <w:tcBorders>
              <w:top w:val="single" w:sz="4" w:space="0" w:color="auto"/>
              <w:bottom w:val="single" w:sz="4" w:space="0" w:color="auto"/>
            </w:tcBorders>
            <w:shd w:val="clear" w:color="auto" w:fill="auto"/>
          </w:tcPr>
          <w:p w:rsidR="00E941DE" w:rsidRPr="00E6255A" w:rsidRDefault="00E941DE" w:rsidP="003A6689">
            <w:pPr>
              <w:pStyle w:val="TableText"/>
              <w:spacing w:before="60" w:after="60"/>
            </w:pPr>
            <w:r w:rsidRPr="00E6255A">
              <w:t>Administrative</w:t>
            </w:r>
          </w:p>
        </w:tc>
      </w:tr>
      <w:tr w:rsidR="00E941DE" w:rsidTr="003A6689">
        <w:tc>
          <w:tcPr>
            <w:tcW w:w="3434" w:type="pct"/>
            <w:tcBorders>
              <w:top w:val="single" w:sz="4" w:space="0" w:color="auto"/>
              <w:bottom w:val="single" w:sz="4" w:space="0" w:color="auto"/>
            </w:tcBorders>
            <w:shd w:val="clear" w:color="auto" w:fill="auto"/>
          </w:tcPr>
          <w:p w:rsidR="00E941DE" w:rsidRPr="00E6255A" w:rsidRDefault="00E941DE" w:rsidP="003A6689">
            <w:pPr>
              <w:pStyle w:val="TableText"/>
              <w:spacing w:before="60" w:after="60"/>
            </w:pPr>
            <w:r w:rsidRPr="00E6255A">
              <w:t>II.</w:t>
            </w:r>
            <w:r>
              <w:t xml:space="preserve"> </w:t>
            </w:r>
            <w:r w:rsidRPr="00E6255A">
              <w:t xml:space="preserve"> Process Measures (to be calculated at both the CBO and hospital </w:t>
            </w:r>
            <w:r>
              <w:t xml:space="preserve">  </w:t>
            </w:r>
            <w:r>
              <w:br/>
              <w:t xml:space="preserve">     </w:t>
            </w:r>
            <w:r w:rsidRPr="00E6255A">
              <w:t xml:space="preserve">levels), such as follow-up primary care doctor visit rates after </w:t>
            </w:r>
            <w:r>
              <w:t xml:space="preserve">        </w:t>
            </w:r>
            <w:r>
              <w:br/>
              <w:t xml:space="preserve">     </w:t>
            </w:r>
            <w:r w:rsidRPr="00E6255A">
              <w:t>hospital discharge</w:t>
            </w:r>
          </w:p>
        </w:tc>
        <w:tc>
          <w:tcPr>
            <w:tcW w:w="1566" w:type="pct"/>
            <w:tcBorders>
              <w:top w:val="single" w:sz="4" w:space="0" w:color="auto"/>
              <w:bottom w:val="single" w:sz="4" w:space="0" w:color="auto"/>
            </w:tcBorders>
            <w:shd w:val="clear" w:color="auto" w:fill="auto"/>
          </w:tcPr>
          <w:p w:rsidR="00E941DE" w:rsidRPr="00E6255A" w:rsidRDefault="00E941DE" w:rsidP="003A6689">
            <w:pPr>
              <w:pStyle w:val="TableText"/>
              <w:spacing w:before="60" w:after="60"/>
            </w:pPr>
            <w:r w:rsidRPr="00E6255A">
              <w:t>Administrative</w:t>
            </w:r>
          </w:p>
        </w:tc>
      </w:tr>
      <w:tr w:rsidR="00E941DE" w:rsidTr="003A6689">
        <w:tc>
          <w:tcPr>
            <w:tcW w:w="3434" w:type="pct"/>
            <w:tcBorders>
              <w:top w:val="single" w:sz="4" w:space="0" w:color="auto"/>
              <w:bottom w:val="single" w:sz="4" w:space="0" w:color="auto"/>
            </w:tcBorders>
            <w:shd w:val="clear" w:color="auto" w:fill="auto"/>
          </w:tcPr>
          <w:p w:rsidR="00E941DE" w:rsidRPr="00E6255A" w:rsidRDefault="00E941DE" w:rsidP="003A6689">
            <w:pPr>
              <w:pStyle w:val="TableText"/>
              <w:spacing w:before="60" w:after="60"/>
            </w:pPr>
            <w:r w:rsidRPr="00E6255A">
              <w:t xml:space="preserve">III. </w:t>
            </w:r>
            <w:r>
              <w:t>A</w:t>
            </w:r>
            <w:r w:rsidRPr="00E6255A">
              <w:t xml:space="preserve">dverse Effect Measures (to be calculated at both the CBO and </w:t>
            </w:r>
            <w:r>
              <w:t xml:space="preserve">   </w:t>
            </w:r>
            <w:r>
              <w:br/>
              <w:t xml:space="preserve">     </w:t>
            </w:r>
            <w:r w:rsidRPr="00E6255A">
              <w:t>hospital levels), such as emergency department visits</w:t>
            </w:r>
          </w:p>
        </w:tc>
        <w:tc>
          <w:tcPr>
            <w:tcW w:w="1566" w:type="pct"/>
            <w:tcBorders>
              <w:top w:val="single" w:sz="4" w:space="0" w:color="auto"/>
              <w:bottom w:val="single" w:sz="4" w:space="0" w:color="auto"/>
            </w:tcBorders>
            <w:shd w:val="clear" w:color="auto" w:fill="auto"/>
          </w:tcPr>
          <w:p w:rsidR="00E941DE" w:rsidRPr="00E6255A" w:rsidRDefault="00E941DE" w:rsidP="003A6689">
            <w:pPr>
              <w:pStyle w:val="TableText"/>
              <w:spacing w:before="60" w:after="60"/>
            </w:pPr>
            <w:r w:rsidRPr="00E6255A">
              <w:t>Administrative</w:t>
            </w:r>
          </w:p>
        </w:tc>
      </w:tr>
      <w:tr w:rsidR="00E941DE" w:rsidTr="003A6689">
        <w:tc>
          <w:tcPr>
            <w:tcW w:w="3434" w:type="pct"/>
            <w:tcBorders>
              <w:top w:val="single" w:sz="4" w:space="0" w:color="auto"/>
            </w:tcBorders>
            <w:shd w:val="clear" w:color="auto" w:fill="auto"/>
          </w:tcPr>
          <w:p w:rsidR="00E941DE" w:rsidRPr="00E6255A" w:rsidRDefault="00E941DE" w:rsidP="001D70D9">
            <w:pPr>
              <w:pStyle w:val="TableText"/>
              <w:spacing w:before="60" w:after="60"/>
            </w:pPr>
            <w:r>
              <w:t xml:space="preserve">IV. </w:t>
            </w:r>
            <w:r w:rsidR="001D70D9">
              <w:t>Patient</w:t>
            </w:r>
            <w:r w:rsidRPr="00E6255A">
              <w:t xml:space="preserve"> Experience Measures (to be calculated at the CBO level </w:t>
            </w:r>
            <w:r>
              <w:br/>
              <w:t xml:space="preserve">     </w:t>
            </w:r>
            <w:r w:rsidRPr="00E6255A">
              <w:t>only)</w:t>
            </w:r>
          </w:p>
        </w:tc>
        <w:tc>
          <w:tcPr>
            <w:tcW w:w="1566" w:type="pct"/>
            <w:tcBorders>
              <w:top w:val="single" w:sz="4" w:space="0" w:color="auto"/>
            </w:tcBorders>
            <w:shd w:val="clear" w:color="auto" w:fill="auto"/>
          </w:tcPr>
          <w:p w:rsidR="00E941DE" w:rsidRPr="00E6255A" w:rsidRDefault="001D70D9" w:rsidP="003A6689">
            <w:pPr>
              <w:pStyle w:val="TableText"/>
              <w:spacing w:before="60" w:after="60"/>
            </w:pPr>
            <w:r>
              <w:t>Patient</w:t>
            </w:r>
            <w:r w:rsidR="00E941DE" w:rsidRPr="00E6255A">
              <w:t xml:space="preserve"> Experience Survey</w:t>
            </w:r>
          </w:p>
        </w:tc>
      </w:tr>
    </w:tbl>
    <w:p w:rsidR="00E6255A" w:rsidRPr="00E6255A" w:rsidRDefault="001D70D9" w:rsidP="00770F78">
      <w:pPr>
        <w:pStyle w:val="Heading4"/>
        <w:spacing w:before="360"/>
      </w:pPr>
      <w:r>
        <w:t>Patient</w:t>
      </w:r>
      <w:r w:rsidR="00E6255A" w:rsidRPr="00E6255A">
        <w:t xml:space="preserve"> Experience Measures</w:t>
      </w:r>
    </w:p>
    <w:p w:rsidR="00E6255A" w:rsidRPr="00E6255A" w:rsidRDefault="00E6255A" w:rsidP="00E6255A">
      <w:r w:rsidRPr="00E6255A">
        <w:t xml:space="preserve">Measures of consumer activation and understanding and knowledge of aftercare plans are key monitoring metrics for the CCTP. The content of the </w:t>
      </w:r>
      <w:r w:rsidR="001D70D9">
        <w:t>patient</w:t>
      </w:r>
      <w:r w:rsidRPr="00E6255A">
        <w:t xml:space="preserve"> experience survey will draw from three existing instruments: (1) five items from the Hospital Consumer Assessment of Healthcare Providers and Systems (H-CAHPS) Survey that assess the dissemination of information related to medicines and discharge plans for a recent hospital stay (see Agency for Healthcare Research and Quality); (2) the three-item Care Transitions Measure (CTM-3), which assesses patients’ understanding of the hospital discharge information (see National Quality Forum); and (3) the 13-item version of Hibbard’s Patient Activation Measure (PAM-13), which assesses patients’ perceptions of self-efficacy (knowledge, confidence, and skills) to manage </w:t>
      </w:r>
      <w:r w:rsidRPr="00E6255A">
        <w:lastRenderedPageBreak/>
        <w:t xml:space="preserve">their own health behaviors and health care following a hospital stay (Hibbard, et al. 2005). Appendix B contains the combined set of questions that will be asked (within four days of hospital discharge) of Medicare beneficiaries who are receiving care transition services from a CCTP-participating CBO. The PAM-13 items will be asked again of the same participants at the end of the care transition services (this could range from one week to three months, depending on the care transition model being used; see </w:t>
      </w:r>
      <w:proofErr w:type="spellStart"/>
      <w:r w:rsidRPr="00E6255A">
        <w:t>Boutwell</w:t>
      </w:r>
      <w:proofErr w:type="spellEnd"/>
      <w:r w:rsidRPr="00E6255A">
        <w:t>, et al. [2009] for more information about program models). Once it is known what transition models the CBOs are using, it is possible that the activation measurement (PAM-13) will be irrelevant for participants of programs that offer only process-oriented services; participants in such programs will not be asked the second administration of PAM questions.</w:t>
      </w:r>
    </w:p>
    <w:p w:rsidR="00E6255A" w:rsidRPr="00E6255A" w:rsidRDefault="00E6255A" w:rsidP="00E6255A">
      <w:r w:rsidRPr="00E6255A">
        <w:t>To help CBOs monitor their performance and identify and remediate barriers to intervention success, we will report response frequencies for each survey question</w:t>
      </w:r>
      <w:r w:rsidR="00BF2011">
        <w:t xml:space="preserve"> from the H-CAHPS and CTM</w:t>
      </w:r>
      <w:r w:rsidRPr="00E6255A">
        <w:t xml:space="preserve">. In addition, for the CTM-3 and PAM-13 instruments, we will provide a summary score for each measure, and for the PAM-13 measure, we will provide scores that measure change in patient activation levels between the initiation and the conclusion of the care intervention. Data for these measures, in addition to other claims-based measures (see Table A.1), will be included in quarterly monitoring reports provided to CBOs and CMS, as well as to CMS’ CCTP technical assistance (TA) contractor (The </w:t>
      </w:r>
      <w:proofErr w:type="spellStart"/>
      <w:r w:rsidRPr="00E6255A">
        <w:t>Lewin</w:t>
      </w:r>
      <w:proofErr w:type="spellEnd"/>
      <w:r w:rsidRPr="00E6255A">
        <w:t xml:space="preserve"> Group) and evaluation contractor (to be determined).</w:t>
      </w:r>
    </w:p>
    <w:p w:rsidR="00E6255A" w:rsidRPr="00E6255A" w:rsidRDefault="00E6255A" w:rsidP="00E6255A">
      <w:pPr>
        <w:pStyle w:val="Heading3"/>
      </w:pPr>
      <w:bookmarkStart w:id="12" w:name="_Toc254700531"/>
      <w:bookmarkStart w:id="13" w:name="_Toc254700640"/>
      <w:bookmarkStart w:id="14" w:name="_Toc297117395"/>
      <w:r w:rsidRPr="00E6255A">
        <w:t>3.</w:t>
      </w:r>
      <w:r w:rsidRPr="00E6255A">
        <w:tab/>
        <w:t>Use of Improved Information Technology and Burden Reduction</w:t>
      </w:r>
      <w:bookmarkEnd w:id="12"/>
      <w:bookmarkEnd w:id="13"/>
      <w:bookmarkEnd w:id="14"/>
    </w:p>
    <w:p w:rsidR="00E6255A" w:rsidRPr="00E6255A" w:rsidRDefault="00E6255A" w:rsidP="00E6255A">
      <w:r w:rsidRPr="009270D0">
        <w:t xml:space="preserve">Data collection of the </w:t>
      </w:r>
      <w:r w:rsidR="001D70D9">
        <w:t>patient</w:t>
      </w:r>
      <w:r w:rsidRPr="009270D0">
        <w:t xml:space="preserve"> experience survey will rely on a paper-and-pencil questionnaire</w:t>
      </w:r>
      <w:r w:rsidRPr="00E6255A">
        <w:t xml:space="preserve"> administered by the CBOs’ care transition nurse, discharge advocate, intervention specialist, or other designated liaison </w:t>
      </w:r>
      <w:proofErr w:type="gramStart"/>
      <w:r w:rsidRPr="00E6255A">
        <w:t>who</w:t>
      </w:r>
      <w:proofErr w:type="gramEnd"/>
      <w:r w:rsidRPr="00E6255A">
        <w:t xml:space="preserve"> is providing care transition services to the participant. Development and use of information technology for data collection, such as a computer-assisted personal interviewing (CAPI) instrument, would not be cost-effective or feasible given that data </w:t>
      </w:r>
      <w:r w:rsidRPr="00E6255A">
        <w:lastRenderedPageBreak/>
        <w:t>collection will rely on administration by staff from up to 100 CBOs who may not hav</w:t>
      </w:r>
      <w:r w:rsidR="0061574F">
        <w:t>e access to portable computers.</w:t>
      </w:r>
    </w:p>
    <w:p w:rsidR="00E6255A" w:rsidRPr="00E6255A" w:rsidRDefault="00E6255A" w:rsidP="00E6255A">
      <w:r w:rsidRPr="00E6255A">
        <w:t>Data entry and submission of data will be done electronically. Based on CMS’ experience fielding questionnaires administered by lay interviewers for their Money Follows the Person (MFP) demonstration (Sloan and Irvin 2007), a standardized electronic database will be used to enter and transmit questionnaire response data. The CBOs will be given a run-time application (software like a Microsoft Access database) to input and store individual questionnaire responses; the data entry program will have a user-friendly, project-specific interface that replicates the hard copy of the survey to make data entry as easy and accurate as possible. At regular intervals (</w:t>
      </w:r>
      <w:r w:rsidR="00CA1DDD">
        <w:t>at least once per month</w:t>
      </w:r>
      <w:r w:rsidRPr="00E6255A">
        <w:t>), CBOs will submit their questionnaire responses to the contractor via CMS’ secure GENTRAN/TIBCO system. Each CBO will be provided with log in information and detailed training for submitting data via GENTRAN/TIBCO.  At the analysis stage, the data will be moved from the GENTRAN/TIBCO mailbox to a secure server.</w:t>
      </w:r>
    </w:p>
    <w:p w:rsidR="00E6255A" w:rsidRPr="00E6255A" w:rsidRDefault="00E6255A" w:rsidP="00E6255A">
      <w:pPr>
        <w:pStyle w:val="Heading3"/>
      </w:pPr>
      <w:bookmarkStart w:id="15" w:name="_Toc254700532"/>
      <w:bookmarkStart w:id="16" w:name="_Toc254700641"/>
      <w:bookmarkStart w:id="17" w:name="_Toc297117396"/>
      <w:r w:rsidRPr="00E6255A">
        <w:t>4.</w:t>
      </w:r>
      <w:r w:rsidRPr="00E6255A">
        <w:tab/>
        <w:t>Efforts to Identify Duplication and Use of Similar Information</w:t>
      </w:r>
      <w:bookmarkEnd w:id="15"/>
      <w:bookmarkEnd w:id="16"/>
      <w:bookmarkEnd w:id="17"/>
    </w:p>
    <w:p w:rsidR="00E6255A" w:rsidRPr="00E6255A" w:rsidRDefault="00E6255A" w:rsidP="00E6255A">
      <w:r w:rsidRPr="00E6255A">
        <w:t>This information collection is associated with a new CMS initiative, does not duplicate any other effort, and will provide unique information unavailable from any other source. The information collected through the patient experience survey will provide a unique and important opportunity to monitor and assess the effectiveness of patient-centered care transition interventions implemented under the Partnership for Patients initiative.</w:t>
      </w:r>
    </w:p>
    <w:p w:rsidR="00E6255A" w:rsidRPr="00E6255A" w:rsidRDefault="00E6255A" w:rsidP="00E6255A">
      <w:pPr>
        <w:pStyle w:val="Heading3"/>
      </w:pPr>
      <w:bookmarkStart w:id="18" w:name="_Toc254700533"/>
      <w:bookmarkStart w:id="19" w:name="_Toc254700642"/>
      <w:bookmarkStart w:id="20" w:name="_Toc297117397"/>
      <w:r w:rsidRPr="00E6255A">
        <w:t>5.</w:t>
      </w:r>
      <w:r w:rsidRPr="00E6255A">
        <w:tab/>
        <w:t>Impact on Small Businesses or Other Small Entities</w:t>
      </w:r>
      <w:bookmarkEnd w:id="18"/>
      <w:bookmarkEnd w:id="19"/>
      <w:bookmarkEnd w:id="20"/>
    </w:p>
    <w:p w:rsidR="00E6255A" w:rsidRPr="00E6255A" w:rsidRDefault="00E6255A" w:rsidP="00E6255A">
      <w:r w:rsidRPr="00E6255A">
        <w:t xml:space="preserve">The only small businesses affected by this effort will be CBOs who choose to participate as CCTP providers. The survey respondents are not small businesses or other small entities. </w:t>
      </w:r>
    </w:p>
    <w:p w:rsidR="00E6255A" w:rsidRPr="00E6255A" w:rsidRDefault="00E6255A" w:rsidP="00E6255A">
      <w:pPr>
        <w:pStyle w:val="Heading3"/>
      </w:pPr>
      <w:bookmarkStart w:id="21" w:name="_Toc254700534"/>
      <w:bookmarkStart w:id="22" w:name="_Toc254700643"/>
      <w:bookmarkStart w:id="23" w:name="_Toc297117398"/>
      <w:r w:rsidRPr="00E6255A">
        <w:t>6.</w:t>
      </w:r>
      <w:r w:rsidRPr="00E6255A">
        <w:tab/>
        <w:t>Consequences of Collecting the Information Less Frequently</w:t>
      </w:r>
      <w:bookmarkEnd w:id="21"/>
      <w:bookmarkEnd w:id="22"/>
      <w:bookmarkEnd w:id="23"/>
    </w:p>
    <w:p w:rsidR="00E6255A" w:rsidRPr="00E6255A" w:rsidRDefault="00E6255A" w:rsidP="00F81DB5">
      <w:r w:rsidRPr="00E6255A">
        <w:t xml:space="preserve">The </w:t>
      </w:r>
      <w:r w:rsidR="001D70D9">
        <w:t>patient</w:t>
      </w:r>
      <w:r w:rsidRPr="00E6255A">
        <w:t xml:space="preserve"> experience survey will be administered one time in its entirety, and then a subset of questions will be administered a second time. All modules of the patient experience survey </w:t>
      </w:r>
      <w:r w:rsidRPr="00E6255A">
        <w:lastRenderedPageBreak/>
        <w:t xml:space="preserve">(21 items total) will be administered to all CCTP participants at the beginning of a treatment episode, within four days of discharge from the hospital. The PAM-13 module will be administered a second time at or near the end of services. The repeat administration of the PAM-13 is necessary to measure the change in participants’ knowledge, skill, and confidence for self-management of their health and health care following a hospital stay. This information is important for monitoring the performance of CBOs contracted to provide transitional care services. (As noted earlier, the </w:t>
      </w:r>
      <w:r w:rsidR="00746AB5">
        <w:t xml:space="preserve">second administration of the </w:t>
      </w:r>
      <w:r w:rsidRPr="00E6255A">
        <w:t>PAM-13 may be skipped for participants of programs that offer process-oriented services only, in which case the activation concept and measurement are not applicable.)</w:t>
      </w:r>
    </w:p>
    <w:p w:rsidR="00E6255A" w:rsidRPr="00E6255A" w:rsidRDefault="00E6255A" w:rsidP="00F81DB5">
      <w:pPr>
        <w:pStyle w:val="Heading3"/>
      </w:pPr>
      <w:bookmarkStart w:id="24" w:name="_Toc254700535"/>
      <w:bookmarkStart w:id="25" w:name="_Toc254700644"/>
      <w:bookmarkStart w:id="26" w:name="_Toc297117399"/>
      <w:r w:rsidRPr="00E6255A">
        <w:t>7.</w:t>
      </w:r>
      <w:r w:rsidRPr="00E6255A">
        <w:tab/>
        <w:t>Special Circumstances Relating to the Guidelines of 5 CFR 1320.5</w:t>
      </w:r>
      <w:bookmarkEnd w:id="24"/>
      <w:bookmarkEnd w:id="25"/>
      <w:bookmarkEnd w:id="26"/>
    </w:p>
    <w:p w:rsidR="00E6255A" w:rsidRPr="00E6255A" w:rsidRDefault="00E6255A" w:rsidP="00F81DB5">
      <w:r w:rsidRPr="00E6255A">
        <w:t>There are no special circumstances related to the proposed data collection.</w:t>
      </w:r>
    </w:p>
    <w:p w:rsidR="00E6255A" w:rsidRPr="00E6255A" w:rsidRDefault="00E6255A" w:rsidP="00F81DB5">
      <w:pPr>
        <w:pStyle w:val="Heading3"/>
      </w:pPr>
      <w:bookmarkStart w:id="27" w:name="_Toc254700536"/>
      <w:bookmarkStart w:id="28" w:name="_Toc254700645"/>
      <w:bookmarkStart w:id="29" w:name="_Toc297117400"/>
      <w:r w:rsidRPr="00E6255A">
        <w:t>8.</w:t>
      </w:r>
      <w:r w:rsidRPr="00E6255A">
        <w:tab/>
        <w:t>Comments in Response to the Federal Register Notice/Outside Consultation</w:t>
      </w:r>
      <w:bookmarkEnd w:id="27"/>
      <w:bookmarkEnd w:id="28"/>
      <w:bookmarkEnd w:id="29"/>
    </w:p>
    <w:p w:rsidR="00E6255A" w:rsidRPr="00E6255A" w:rsidRDefault="00E6255A" w:rsidP="00F81DB5">
      <w:r w:rsidRPr="00E6255A">
        <w:t xml:space="preserve">The notice required by 5 CFR 1320.8 (d) was published in the Federal Register on </w:t>
      </w:r>
      <w:r w:rsidR="00ED7865">
        <w:t>July 22, 2011</w:t>
      </w:r>
      <w:r w:rsidR="00ED7865" w:rsidRPr="00E6255A">
        <w:t xml:space="preserve"> </w:t>
      </w:r>
      <w:r w:rsidRPr="00E6255A">
        <w:t xml:space="preserve">(Volume </w:t>
      </w:r>
      <w:r w:rsidR="00ED7865">
        <w:t>76</w:t>
      </w:r>
      <w:r w:rsidRPr="00E6255A">
        <w:t xml:space="preserve">, Number </w:t>
      </w:r>
      <w:r w:rsidR="00ED7865">
        <w:t>141</w:t>
      </w:r>
      <w:r w:rsidRPr="00E6255A">
        <w:t xml:space="preserve">, pages </w:t>
      </w:r>
      <w:r w:rsidR="00ED7865">
        <w:t>44009-44010</w:t>
      </w:r>
      <w:r w:rsidRPr="00E6255A">
        <w:t>). Appendix C contains a copy of the notice.</w:t>
      </w:r>
    </w:p>
    <w:p w:rsidR="00CE6BA9" w:rsidRDefault="00E6255A" w:rsidP="00CE6BA9">
      <w:proofErr w:type="gramStart"/>
      <w:r w:rsidRPr="00E6255A">
        <w:rPr>
          <w:b/>
        </w:rPr>
        <w:t>Public Comment and Responses.</w:t>
      </w:r>
      <w:proofErr w:type="gramEnd"/>
      <w:r w:rsidRPr="00E6255A">
        <w:rPr>
          <w:b/>
        </w:rPr>
        <w:t xml:space="preserve"> </w:t>
      </w:r>
      <w:r w:rsidR="00544B83">
        <w:t>One</w:t>
      </w:r>
      <w:r w:rsidR="00544B83" w:rsidRPr="00E6255A">
        <w:t xml:space="preserve"> </w:t>
      </w:r>
      <w:r w:rsidRPr="00E6255A">
        <w:t xml:space="preserve">public comment </w:t>
      </w:r>
      <w:r w:rsidR="00544B83">
        <w:t>was</w:t>
      </w:r>
      <w:r w:rsidRPr="00E6255A">
        <w:t xml:space="preserve"> received in response to the first Federal Register notice</w:t>
      </w:r>
      <w:r w:rsidR="00C21919" w:rsidRPr="00E6255A">
        <w:t xml:space="preserve">. </w:t>
      </w:r>
      <w:r w:rsidR="00544B83">
        <w:t>The American Pharmacists Association submitted a two-page letter on September 20, 2011 in which they expressed support for the CCTP program and for the survey data collection that is part of the planned implementation and monitoring strategy</w:t>
      </w:r>
      <w:r w:rsidR="00C21919">
        <w:t xml:space="preserve">. </w:t>
      </w:r>
      <w:r w:rsidR="00CE6BA9">
        <w:t>They noted that they would like to be included in the data collection:</w:t>
      </w:r>
    </w:p>
    <w:p w:rsidR="00E6255A" w:rsidRDefault="00CE6BA9" w:rsidP="00CE6BA9">
      <w:pPr>
        <w:spacing w:line="240" w:lineRule="auto"/>
        <w:ind w:left="450" w:hanging="18"/>
      </w:pPr>
      <w:r w:rsidRPr="00CE6BA9">
        <w:t xml:space="preserve">Pharmacists serve an important role on the health care team during care transitions and as such </w:t>
      </w:r>
      <w:proofErr w:type="spellStart"/>
      <w:r w:rsidRPr="00CE6BA9">
        <w:t>APhA</w:t>
      </w:r>
      <w:proofErr w:type="spellEnd"/>
      <w:r>
        <w:t xml:space="preserve"> </w:t>
      </w:r>
      <w:r w:rsidRPr="00CE6BA9">
        <w:t>encourages CMS to include pharmacists in both the survey data and among the list of healthcare</w:t>
      </w:r>
      <w:r>
        <w:t xml:space="preserve"> </w:t>
      </w:r>
      <w:r w:rsidRPr="00CE6BA9">
        <w:t xml:space="preserve">professionals to be checked off in the </w:t>
      </w:r>
      <w:r w:rsidR="001D70D9">
        <w:t>patient</w:t>
      </w:r>
      <w:r w:rsidRPr="00CE6BA9">
        <w:t xml:space="preserve"> experience survey. </w:t>
      </w:r>
    </w:p>
    <w:p w:rsidR="00CE6BA9" w:rsidRPr="00CE6BA9" w:rsidRDefault="00CE6BA9" w:rsidP="00770F78">
      <w:pPr>
        <w:spacing w:before="240"/>
        <w:rPr>
          <w:b/>
        </w:rPr>
      </w:pPr>
      <w:bookmarkStart w:id="30" w:name="_Toc254700537"/>
      <w:bookmarkStart w:id="31" w:name="_Toc254700646"/>
      <w:bookmarkStart w:id="32" w:name="_Toc297117401"/>
      <w:r>
        <w:t xml:space="preserve">CMS has noted the support of the commenter. As for </w:t>
      </w:r>
      <w:r w:rsidR="002B19AA">
        <w:t>including pharmacists in</w:t>
      </w:r>
      <w:r>
        <w:t xml:space="preserve"> the data collection, the respondent</w:t>
      </w:r>
      <w:r w:rsidR="00DD7738">
        <w:t>s</w:t>
      </w:r>
      <w:r>
        <w:t xml:space="preserve"> for this data collection are </w:t>
      </w:r>
      <w:r w:rsidR="00DD7738" w:rsidRPr="00DD7738">
        <w:t xml:space="preserve">high-risk Medicare beneficiaries discharged from hospitals </w:t>
      </w:r>
      <w:r w:rsidR="00DD7738">
        <w:t xml:space="preserve">partnering with CBOs that are </w:t>
      </w:r>
      <w:r>
        <w:t>participants in the CCTP program</w:t>
      </w:r>
      <w:r w:rsidR="00FD31C6">
        <w:t>.</w:t>
      </w:r>
      <w:r>
        <w:t xml:space="preserve"> </w:t>
      </w:r>
      <w:r w:rsidR="00DD7738">
        <w:t xml:space="preserve">Health care professionals are not part of this data collection. As for the request to include </w:t>
      </w:r>
      <w:r w:rsidR="00DD7738">
        <w:lastRenderedPageBreak/>
        <w:t>pharmacists among</w:t>
      </w:r>
      <w:r w:rsidR="002B19AA">
        <w:t xml:space="preserve"> the list of health</w:t>
      </w:r>
      <w:r w:rsidR="00FD31C6">
        <w:t xml:space="preserve"> </w:t>
      </w:r>
      <w:r w:rsidR="002B19AA">
        <w:t>care professionals, no such list is included in this questionnaire. As described earlier, the questionnaire for this data collection consists of questions that are used in other data collections and they do not include a list of health care professionals.</w:t>
      </w:r>
      <w:r w:rsidR="00DD7738">
        <w:t xml:space="preserve"> </w:t>
      </w:r>
    </w:p>
    <w:p w:rsidR="00E6255A" w:rsidRPr="00E6255A" w:rsidRDefault="00E6255A" w:rsidP="00F81DB5">
      <w:pPr>
        <w:pStyle w:val="Heading3"/>
      </w:pPr>
      <w:r w:rsidRPr="00E6255A">
        <w:t>9.</w:t>
      </w:r>
      <w:r w:rsidRPr="00E6255A">
        <w:tab/>
        <w:t>Explanation of Any Payment/Gift to Respondents</w:t>
      </w:r>
      <w:bookmarkEnd w:id="30"/>
      <w:bookmarkEnd w:id="31"/>
      <w:bookmarkEnd w:id="32"/>
    </w:p>
    <w:p w:rsidR="00E6255A" w:rsidRPr="00E6255A" w:rsidRDefault="00E6255A" w:rsidP="00F81DB5">
      <w:r w:rsidRPr="00E6255A">
        <w:t xml:space="preserve">No payments will be made to CCTP participants for completion of the </w:t>
      </w:r>
      <w:r w:rsidR="001D70D9">
        <w:t>patient</w:t>
      </w:r>
      <w:r w:rsidRPr="00E6255A">
        <w:t xml:space="preserve"> experience survey. CMS will require CBOs to collect and report patient experience survey data as a condition of their </w:t>
      </w:r>
      <w:r w:rsidR="001E50D7">
        <w:t>program</w:t>
      </w:r>
      <w:r w:rsidRPr="00E6255A">
        <w:t xml:space="preserve"> award.</w:t>
      </w:r>
    </w:p>
    <w:p w:rsidR="00E6255A" w:rsidRPr="00E6255A" w:rsidRDefault="00E6255A" w:rsidP="00F81DB5">
      <w:pPr>
        <w:pStyle w:val="Heading3"/>
      </w:pPr>
      <w:bookmarkStart w:id="33" w:name="_Toc254700538"/>
      <w:bookmarkStart w:id="34" w:name="_Toc254700648"/>
      <w:bookmarkStart w:id="35" w:name="_Toc297117402"/>
      <w:r w:rsidRPr="00E6255A">
        <w:t>10.</w:t>
      </w:r>
      <w:r w:rsidRPr="00E6255A">
        <w:tab/>
        <w:t>Assurance of Confidentiality Provided to Respondents</w:t>
      </w:r>
      <w:bookmarkEnd w:id="33"/>
      <w:bookmarkEnd w:id="34"/>
      <w:bookmarkEnd w:id="35"/>
    </w:p>
    <w:p w:rsidR="00E6255A" w:rsidRPr="00E6255A" w:rsidRDefault="00E6255A" w:rsidP="00F81DB5">
      <w:r w:rsidRPr="00E6255A">
        <w:t xml:space="preserve">CMS, the CCTP implementation and monitoring contractor, and the CBOs will take several steps to assure respondents that the information they provide will be kept private to the extent allowed by law and will be used for implementation, monitoring, and evaluation purposes only. CBO staff responsible for administration of the </w:t>
      </w:r>
      <w:r w:rsidR="001D70D9">
        <w:t>patient</w:t>
      </w:r>
      <w:r w:rsidRPr="00E6255A">
        <w:t xml:space="preserve"> experience survey will be trained on administration of the survey including processes for ensuring participant privacy. CBOs will be provided training and a written training manual that will be posted along with other training materials (such as training slides, frequently asked questions and answers, and question-by-question instructions for the survey) on a program </w:t>
      </w:r>
      <w:r w:rsidR="00972967">
        <w:t>web</w:t>
      </w:r>
      <w:r w:rsidRPr="00E6255A">
        <w:t>site. There will also be monthly webinars for the first six months of the program (conditional on the initial demand and need for training), and then quarterly for new CBO staff or for individuals wishing to refresh their understanding of the data collection and privacy procedures. All CBO survey administrators will be required to attend at least one training within the first month of their organization’s receiving a CCTP award.</w:t>
      </w:r>
    </w:p>
    <w:p w:rsidR="00E6255A" w:rsidRPr="00E6255A" w:rsidRDefault="00E6255A" w:rsidP="00F81DB5">
      <w:r w:rsidRPr="00E6255A">
        <w:t xml:space="preserve">Respondents’ names will not be written on the </w:t>
      </w:r>
      <w:r w:rsidR="001D70D9">
        <w:t>patient</w:t>
      </w:r>
      <w:r w:rsidRPr="00E6255A">
        <w:t xml:space="preserve"> experience questionnaire and participants will not be identified individually in any reports; the unit of data analysis is CBOs, and may possibly be divided further for each partnering hospital, depending on how many hospitals the CBO has as partners. Participants will be informed that their participation in the </w:t>
      </w:r>
      <w:r w:rsidRPr="00E6255A">
        <w:lastRenderedPageBreak/>
        <w:t xml:space="preserve">survey is voluntary and that they have the option to refuse to answer any question in the survey. Participants will also be told that neither their participation nor their responses will be shared with individuals outside the study team, nor will their responses affect the services they receive through their doctor or the care transition program. </w:t>
      </w:r>
    </w:p>
    <w:p w:rsidR="00E6255A" w:rsidRPr="00E6255A" w:rsidRDefault="00E6255A" w:rsidP="00F81DB5">
      <w:r w:rsidRPr="00E6255A">
        <w:t xml:space="preserve">Paper-and-pencil questionnaires completed by participants will be treated as sensitive documents at each stage of the process, from data collection by the CBOs to data entry by the CBOs to uploading on CMS’ secure system to downloading to the contractor’s secure server. The </w:t>
      </w:r>
      <w:r w:rsidR="001D70D9">
        <w:t>patient</w:t>
      </w:r>
      <w:r w:rsidRPr="00E6255A">
        <w:t xml:space="preserve"> experience questionnaire will contain the participant’s Medicare beneficiary number to allow for the matching of survey data to Medicare claims data and information captured on the care transition list bills. Following the example of CMS’ MFP project, the CBOs will enter participant survey data, including the Medicare beneficiary number (the only identifying piece of data), into a database and will destroy the paper surveys within </w:t>
      </w:r>
      <w:r w:rsidR="00731F05">
        <w:t xml:space="preserve">one year </w:t>
      </w:r>
      <w:r w:rsidRPr="00E6255A">
        <w:t xml:space="preserve">of data entry. CBOs will submit the survey data via the GENTRAN/TIBCO system, which requires the use of a log in process to maintain security. The contractor will move the survey data from the GENTRAN/TIBCO system to a secure server. The contractor, Mathematica Policy Research, protects its LAN with several security mechanisms available through the network operating system. Access to private information stored on LAN directories is restricted to authorized project staff by means of IDs and passwords. In addition, network servers containing private information are kept in a locked area. All contractor staff </w:t>
      </w:r>
      <w:proofErr w:type="gramStart"/>
      <w:r w:rsidRPr="00E6255A">
        <w:t>sign</w:t>
      </w:r>
      <w:proofErr w:type="gramEnd"/>
      <w:r w:rsidRPr="00E6255A">
        <w:t xml:space="preserve"> a confidentiality pledge as a term of employment; the confidentiality pledge requires that staff maintain the confidentiality of all information collected. Provision of data to CMS and other CCTP contractors will be done only in the secure CMS computing environment.</w:t>
      </w:r>
    </w:p>
    <w:p w:rsidR="00E6255A" w:rsidRPr="00E6255A" w:rsidRDefault="00E6255A" w:rsidP="00F81DB5">
      <w:pPr>
        <w:pStyle w:val="Heading3"/>
      </w:pPr>
      <w:bookmarkStart w:id="36" w:name="_Toc254700539"/>
      <w:bookmarkStart w:id="37" w:name="_Toc254700649"/>
      <w:bookmarkStart w:id="38" w:name="_Toc297117403"/>
      <w:r w:rsidRPr="00E6255A">
        <w:lastRenderedPageBreak/>
        <w:t>11.</w:t>
      </w:r>
      <w:r w:rsidRPr="00E6255A">
        <w:tab/>
        <w:t>Justification for Sensitive Questions</w:t>
      </w:r>
      <w:bookmarkEnd w:id="36"/>
      <w:bookmarkEnd w:id="37"/>
      <w:bookmarkEnd w:id="38"/>
    </w:p>
    <w:p w:rsidR="00E6255A" w:rsidRPr="00E6255A" w:rsidRDefault="00E6255A" w:rsidP="00F81DB5">
      <w:r w:rsidRPr="00E6255A">
        <w:t xml:space="preserve">The </w:t>
      </w:r>
      <w:r w:rsidR="001D70D9">
        <w:t>patient</w:t>
      </w:r>
      <w:r w:rsidRPr="00E6255A">
        <w:t xml:space="preserve"> experience survey does not contain sensitive questions. Participants will not be asked about their personal health. Questions assess participants’ experiences receiving information about medicines and discharge plans (H-CAHPS and CTM-3 items) and patients’ knowledge, confidence, and skills to manage their own health and health care following a hospital stay (PAM-13 items).  </w:t>
      </w:r>
    </w:p>
    <w:p w:rsidR="00E6255A" w:rsidRPr="00E6255A" w:rsidRDefault="00E6255A" w:rsidP="00F81DB5">
      <w:pPr>
        <w:pStyle w:val="Heading3"/>
      </w:pPr>
      <w:bookmarkStart w:id="39" w:name="_Toc254700540"/>
      <w:bookmarkStart w:id="40" w:name="_Toc254700650"/>
      <w:bookmarkStart w:id="41" w:name="_Toc297117404"/>
      <w:r w:rsidRPr="00E6255A">
        <w:t>12.</w:t>
      </w:r>
      <w:r w:rsidRPr="00E6255A">
        <w:tab/>
        <w:t>Estimates of Annualized Hour and Cost Burden</w:t>
      </w:r>
      <w:bookmarkEnd w:id="39"/>
      <w:bookmarkEnd w:id="40"/>
      <w:bookmarkEnd w:id="41"/>
      <w:r w:rsidRPr="00E6255A">
        <w:t xml:space="preserve"> </w:t>
      </w:r>
    </w:p>
    <w:p w:rsidR="00963353" w:rsidRPr="002F3D22" w:rsidRDefault="00963353" w:rsidP="00963353">
      <w:r>
        <w:t>A</w:t>
      </w:r>
      <w:r w:rsidRPr="002F3D22">
        <w:t xml:space="preserve"> </w:t>
      </w:r>
      <w:r>
        <w:t xml:space="preserve">three-month </w:t>
      </w:r>
      <w:r w:rsidRPr="002F3D22">
        <w:t xml:space="preserve">pilot test of the CCTP Patient Experience Survey </w:t>
      </w:r>
      <w:r>
        <w:t xml:space="preserve">will be conducted </w:t>
      </w:r>
      <w:r w:rsidRPr="002F3D22">
        <w:t>in order to test the data collection and feedback procedures.</w:t>
      </w:r>
      <w:r>
        <w:t xml:space="preserve"> </w:t>
      </w:r>
      <w:r w:rsidRPr="002F3D22">
        <w:t>The pilot test w</w:t>
      </w:r>
      <w:r>
        <w:t>ill be</w:t>
      </w:r>
      <w:r w:rsidRPr="002F3D22">
        <w:t xml:space="preserve"> conducted with two CBOs that have about the median number of hospital admissions eligible for CCTP services. </w:t>
      </w:r>
      <w:r w:rsidR="008320F3">
        <w:t xml:space="preserve">If the </w:t>
      </w:r>
      <w:r>
        <w:t xml:space="preserve">pilot test </w:t>
      </w:r>
      <w:r w:rsidR="008320F3">
        <w:t xml:space="preserve">is </w:t>
      </w:r>
      <w:r>
        <w:t>successful</w:t>
      </w:r>
      <w:r w:rsidR="008320F3">
        <w:t>, we will plan for the full scale data collection after that</w:t>
      </w:r>
      <w:r>
        <w:t>.</w:t>
      </w:r>
    </w:p>
    <w:p w:rsidR="00BA2A73" w:rsidRPr="00E6255A" w:rsidRDefault="00E6255A" w:rsidP="00BA2A73">
      <w:pPr>
        <w:spacing w:after="240"/>
      </w:pPr>
      <w:r w:rsidRPr="00E6255A">
        <w:t xml:space="preserve">Tables A.2 and A.3 present estimates of </w:t>
      </w:r>
      <w:r w:rsidR="00904925">
        <w:t xml:space="preserve">the three-month pilot test respondent burden </w:t>
      </w:r>
      <w:r w:rsidRPr="00E6255A">
        <w:t xml:space="preserve">for completing the </w:t>
      </w:r>
      <w:r w:rsidR="001D70D9">
        <w:t>patient</w:t>
      </w:r>
      <w:r w:rsidRPr="00E6255A">
        <w:t xml:space="preserve"> experience survey. They show the expected number of respondents, the hours per response, and the </w:t>
      </w:r>
      <w:r w:rsidR="00904925">
        <w:t xml:space="preserve">pilot test </w:t>
      </w:r>
      <w:r w:rsidRPr="00E6255A">
        <w:t xml:space="preserve">hour and cost burden for the data collected. The </w:t>
      </w:r>
      <w:r w:rsidR="001D70D9">
        <w:t>patient</w:t>
      </w:r>
      <w:r w:rsidRPr="00E6255A">
        <w:t xml:space="preserve"> experience survey is expected to take 15 minutes to complete (including both the initial full survey and terminal administration of the PAM-13 instrument). </w:t>
      </w:r>
      <w:r w:rsidR="00BA2A73" w:rsidRPr="00E6255A">
        <w:t xml:space="preserve">We expect </w:t>
      </w:r>
      <w:r w:rsidR="00BA2A73">
        <w:t xml:space="preserve">the two participating </w:t>
      </w:r>
      <w:r w:rsidR="00BA2A73" w:rsidRPr="00E6255A">
        <w:t xml:space="preserve">CBOs to supply care transition services to </w:t>
      </w:r>
      <w:r w:rsidR="00BA2A73">
        <w:t xml:space="preserve">an upper bound of </w:t>
      </w:r>
      <w:r w:rsidR="00BA2A73" w:rsidRPr="00E6255A">
        <w:t xml:space="preserve">about </w:t>
      </w:r>
      <w:r w:rsidR="00384000">
        <w:t>1,900</w:t>
      </w:r>
      <w:r w:rsidR="00BA2A73" w:rsidRPr="00E6255A">
        <w:t xml:space="preserve"> participants</w:t>
      </w:r>
      <w:r w:rsidR="00BA2A73">
        <w:t xml:space="preserve"> during the pilot test</w:t>
      </w:r>
      <w:r w:rsidR="00BA2A73" w:rsidRPr="00E6255A">
        <w:t>.</w:t>
      </w:r>
    </w:p>
    <w:p w:rsidR="00E6255A" w:rsidRPr="00E6255A" w:rsidRDefault="00E6255A" w:rsidP="00B80BB6">
      <w:pPr>
        <w:pStyle w:val="MarkforTableHeading"/>
      </w:pPr>
      <w:bookmarkStart w:id="42" w:name="_Toc254700651"/>
      <w:bookmarkStart w:id="43" w:name="_Toc297104834"/>
      <w:r w:rsidRPr="00E6255A">
        <w:t>Table A.2. Estimated Annualized Burden Hours</w:t>
      </w:r>
      <w:bookmarkEnd w:id="42"/>
      <w:bookmarkEnd w:id="43"/>
    </w:p>
    <w:tbl>
      <w:tblPr>
        <w:tblStyle w:val="TableGrid"/>
        <w:tblW w:w="4996"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225"/>
        <w:gridCol w:w="1347"/>
        <w:gridCol w:w="1395"/>
        <w:gridCol w:w="1581"/>
        <w:gridCol w:w="1581"/>
        <w:gridCol w:w="1439"/>
      </w:tblGrid>
      <w:tr w:rsidR="00A8230C" w:rsidTr="00EF1FB9">
        <w:trPr>
          <w:tblHeader/>
        </w:trPr>
        <w:tc>
          <w:tcPr>
            <w:tcW w:w="1163" w:type="pct"/>
            <w:tcBorders>
              <w:top w:val="single" w:sz="12" w:space="0" w:color="auto"/>
              <w:bottom w:val="single" w:sz="4" w:space="0" w:color="auto"/>
            </w:tcBorders>
            <w:shd w:val="clear" w:color="auto" w:fill="auto"/>
            <w:vAlign w:val="bottom"/>
          </w:tcPr>
          <w:p w:rsidR="00A8230C" w:rsidRPr="00E6255A" w:rsidRDefault="00A8230C" w:rsidP="003A6689">
            <w:pPr>
              <w:pStyle w:val="TableHeaderLeft"/>
            </w:pPr>
            <w:r w:rsidRPr="00E6255A">
              <w:t>Forms</w:t>
            </w:r>
          </w:p>
        </w:tc>
        <w:tc>
          <w:tcPr>
            <w:tcW w:w="704"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Type of Respondent</w:t>
            </w:r>
          </w:p>
        </w:tc>
        <w:tc>
          <w:tcPr>
            <w:tcW w:w="729"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Number of Respondents</w:t>
            </w:r>
          </w:p>
        </w:tc>
        <w:tc>
          <w:tcPr>
            <w:tcW w:w="826"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Number of Responses per Respondent</w:t>
            </w:r>
          </w:p>
        </w:tc>
        <w:tc>
          <w:tcPr>
            <w:tcW w:w="826"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Average Burden Hours per Response</w:t>
            </w:r>
          </w:p>
        </w:tc>
        <w:tc>
          <w:tcPr>
            <w:tcW w:w="753"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Total Burden Hours</w:t>
            </w:r>
          </w:p>
        </w:tc>
      </w:tr>
      <w:tr w:rsidR="00A8230C" w:rsidTr="00EF1FB9">
        <w:tc>
          <w:tcPr>
            <w:tcW w:w="1163" w:type="pct"/>
            <w:tcBorders>
              <w:top w:val="single" w:sz="4" w:space="0" w:color="auto"/>
              <w:bottom w:val="single" w:sz="4" w:space="0" w:color="auto"/>
            </w:tcBorders>
            <w:shd w:val="clear" w:color="auto" w:fill="auto"/>
          </w:tcPr>
          <w:p w:rsidR="00A8230C" w:rsidRPr="00E6255A" w:rsidRDefault="001D70D9" w:rsidP="003A6689">
            <w:pPr>
              <w:pStyle w:val="TableText"/>
              <w:spacing w:before="60" w:after="60"/>
            </w:pPr>
            <w:r>
              <w:t>Patient</w:t>
            </w:r>
            <w:r w:rsidR="00A8230C" w:rsidRPr="00E6255A">
              <w:t xml:space="preserve"> Experience Survey (Initial Administration)</w:t>
            </w:r>
          </w:p>
        </w:tc>
        <w:tc>
          <w:tcPr>
            <w:tcW w:w="704"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CCTP participants</w:t>
            </w:r>
          </w:p>
        </w:tc>
        <w:tc>
          <w:tcPr>
            <w:tcW w:w="729" w:type="pct"/>
            <w:tcBorders>
              <w:top w:val="single" w:sz="4" w:space="0" w:color="auto"/>
              <w:bottom w:val="single" w:sz="4" w:space="0" w:color="auto"/>
            </w:tcBorders>
            <w:shd w:val="clear" w:color="auto" w:fill="auto"/>
          </w:tcPr>
          <w:p w:rsidR="00A8230C" w:rsidRPr="00E6255A" w:rsidRDefault="008B2ACF" w:rsidP="003A6689">
            <w:pPr>
              <w:pStyle w:val="TableText"/>
              <w:spacing w:before="60" w:after="60"/>
              <w:jc w:val="center"/>
            </w:pPr>
            <w:r>
              <w:t>1,900</w:t>
            </w:r>
          </w:p>
        </w:tc>
        <w:tc>
          <w:tcPr>
            <w:tcW w:w="826"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1</w:t>
            </w:r>
          </w:p>
        </w:tc>
        <w:tc>
          <w:tcPr>
            <w:tcW w:w="826"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10/60</w:t>
            </w:r>
          </w:p>
        </w:tc>
        <w:tc>
          <w:tcPr>
            <w:tcW w:w="753" w:type="pct"/>
            <w:tcBorders>
              <w:top w:val="single" w:sz="4" w:space="0" w:color="auto"/>
              <w:bottom w:val="single" w:sz="4" w:space="0" w:color="auto"/>
            </w:tcBorders>
            <w:shd w:val="clear" w:color="auto" w:fill="auto"/>
          </w:tcPr>
          <w:p w:rsidR="00A8230C" w:rsidRPr="00E6255A" w:rsidRDefault="008B2ACF" w:rsidP="00B71F62">
            <w:pPr>
              <w:pStyle w:val="TableText"/>
              <w:spacing w:before="60" w:after="60"/>
              <w:jc w:val="center"/>
            </w:pPr>
            <w:r>
              <w:t>31</w:t>
            </w:r>
            <w:r w:rsidR="00B71F62">
              <w:t>7</w:t>
            </w:r>
          </w:p>
        </w:tc>
      </w:tr>
      <w:tr w:rsidR="00A8230C" w:rsidTr="00EF1FB9">
        <w:tc>
          <w:tcPr>
            <w:tcW w:w="1163"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pPr>
            <w:r w:rsidRPr="00E6255A">
              <w:t>PAM-13 (Terminal Administration)</w:t>
            </w:r>
          </w:p>
        </w:tc>
        <w:tc>
          <w:tcPr>
            <w:tcW w:w="704"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CCTP participants</w:t>
            </w:r>
          </w:p>
        </w:tc>
        <w:tc>
          <w:tcPr>
            <w:tcW w:w="729" w:type="pct"/>
            <w:tcBorders>
              <w:top w:val="single" w:sz="4" w:space="0" w:color="auto"/>
              <w:bottom w:val="single" w:sz="4" w:space="0" w:color="auto"/>
            </w:tcBorders>
            <w:shd w:val="clear" w:color="auto" w:fill="auto"/>
          </w:tcPr>
          <w:p w:rsidR="00A8230C" w:rsidRPr="00E6255A" w:rsidRDefault="008B2ACF" w:rsidP="003A6689">
            <w:pPr>
              <w:pStyle w:val="TableText"/>
              <w:spacing w:before="60" w:after="60"/>
              <w:jc w:val="center"/>
            </w:pPr>
            <w:r>
              <w:t>1,900</w:t>
            </w:r>
          </w:p>
        </w:tc>
        <w:tc>
          <w:tcPr>
            <w:tcW w:w="826"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1</w:t>
            </w:r>
          </w:p>
        </w:tc>
        <w:tc>
          <w:tcPr>
            <w:tcW w:w="826"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5/60</w:t>
            </w:r>
          </w:p>
        </w:tc>
        <w:tc>
          <w:tcPr>
            <w:tcW w:w="753" w:type="pct"/>
            <w:tcBorders>
              <w:top w:val="single" w:sz="4" w:space="0" w:color="auto"/>
              <w:bottom w:val="single" w:sz="4" w:space="0" w:color="auto"/>
            </w:tcBorders>
            <w:shd w:val="clear" w:color="auto" w:fill="auto"/>
          </w:tcPr>
          <w:p w:rsidR="00A8230C" w:rsidRPr="00E6255A" w:rsidRDefault="00B71F62" w:rsidP="00B71F62">
            <w:pPr>
              <w:pStyle w:val="TableText"/>
              <w:spacing w:before="60" w:after="60"/>
              <w:jc w:val="center"/>
            </w:pPr>
            <w:r>
              <w:t>158</w:t>
            </w:r>
          </w:p>
        </w:tc>
      </w:tr>
      <w:tr w:rsidR="00607892" w:rsidTr="00EF1FB9">
        <w:tc>
          <w:tcPr>
            <w:tcW w:w="1163" w:type="pct"/>
            <w:tcBorders>
              <w:top w:val="single" w:sz="4" w:space="0" w:color="auto"/>
              <w:bottom w:val="single" w:sz="4" w:space="0" w:color="auto"/>
            </w:tcBorders>
            <w:shd w:val="clear" w:color="auto" w:fill="auto"/>
          </w:tcPr>
          <w:p w:rsidR="00607892" w:rsidRPr="00E6255A" w:rsidRDefault="00607892" w:rsidP="003A6689">
            <w:pPr>
              <w:pStyle w:val="TableText"/>
              <w:spacing w:before="120" w:after="60"/>
              <w:rPr>
                <w:b/>
              </w:rPr>
            </w:pPr>
            <w:r w:rsidRPr="00E6255A">
              <w:rPr>
                <w:b/>
              </w:rPr>
              <w:t>Total</w:t>
            </w:r>
          </w:p>
        </w:tc>
        <w:tc>
          <w:tcPr>
            <w:tcW w:w="704" w:type="pct"/>
            <w:tcBorders>
              <w:top w:val="single" w:sz="4" w:space="0" w:color="auto"/>
              <w:bottom w:val="single" w:sz="4" w:space="0" w:color="auto"/>
            </w:tcBorders>
            <w:shd w:val="clear" w:color="auto" w:fill="auto"/>
          </w:tcPr>
          <w:p w:rsidR="00607892" w:rsidRPr="00E6255A" w:rsidRDefault="00607892" w:rsidP="003A6689">
            <w:pPr>
              <w:pStyle w:val="TableText"/>
              <w:spacing w:before="120" w:after="60"/>
              <w:rPr>
                <w:b/>
              </w:rPr>
            </w:pPr>
          </w:p>
        </w:tc>
        <w:tc>
          <w:tcPr>
            <w:tcW w:w="729" w:type="pct"/>
            <w:tcBorders>
              <w:top w:val="single" w:sz="4" w:space="0" w:color="auto"/>
              <w:bottom w:val="single" w:sz="4" w:space="0" w:color="auto"/>
            </w:tcBorders>
            <w:shd w:val="clear" w:color="auto" w:fill="auto"/>
          </w:tcPr>
          <w:p w:rsidR="00607892" w:rsidRPr="00E6255A" w:rsidRDefault="008B2ACF" w:rsidP="003A6689">
            <w:pPr>
              <w:pStyle w:val="TableText"/>
              <w:spacing w:before="120" w:after="60"/>
              <w:jc w:val="center"/>
              <w:rPr>
                <w:b/>
              </w:rPr>
            </w:pPr>
            <w:r>
              <w:rPr>
                <w:b/>
              </w:rPr>
              <w:t>1,900</w:t>
            </w:r>
          </w:p>
        </w:tc>
        <w:tc>
          <w:tcPr>
            <w:tcW w:w="826" w:type="pct"/>
            <w:tcBorders>
              <w:top w:val="single" w:sz="4" w:space="0" w:color="auto"/>
              <w:bottom w:val="single" w:sz="4" w:space="0" w:color="auto"/>
            </w:tcBorders>
            <w:shd w:val="clear" w:color="auto" w:fill="auto"/>
          </w:tcPr>
          <w:p w:rsidR="00607892" w:rsidRPr="00E6255A" w:rsidRDefault="00607892" w:rsidP="003A6689">
            <w:pPr>
              <w:pStyle w:val="TableText"/>
              <w:spacing w:before="120" w:after="60"/>
              <w:jc w:val="center"/>
              <w:rPr>
                <w:b/>
              </w:rPr>
            </w:pPr>
            <w:r w:rsidRPr="00E6255A">
              <w:rPr>
                <w:b/>
              </w:rPr>
              <w:t>2</w:t>
            </w:r>
          </w:p>
        </w:tc>
        <w:tc>
          <w:tcPr>
            <w:tcW w:w="826" w:type="pct"/>
            <w:tcBorders>
              <w:top w:val="single" w:sz="4" w:space="0" w:color="auto"/>
              <w:bottom w:val="single" w:sz="4" w:space="0" w:color="auto"/>
            </w:tcBorders>
            <w:shd w:val="clear" w:color="auto" w:fill="auto"/>
          </w:tcPr>
          <w:p w:rsidR="00607892" w:rsidRPr="00E6255A" w:rsidRDefault="00607892" w:rsidP="003A6689">
            <w:pPr>
              <w:pStyle w:val="TableText"/>
              <w:spacing w:before="120" w:after="60"/>
              <w:jc w:val="center"/>
              <w:rPr>
                <w:b/>
              </w:rPr>
            </w:pPr>
            <w:r w:rsidRPr="00E6255A">
              <w:rPr>
                <w:b/>
              </w:rPr>
              <w:t>15/60</w:t>
            </w:r>
          </w:p>
        </w:tc>
        <w:tc>
          <w:tcPr>
            <w:tcW w:w="753" w:type="pct"/>
            <w:tcBorders>
              <w:top w:val="single" w:sz="4" w:space="0" w:color="auto"/>
              <w:bottom w:val="single" w:sz="4" w:space="0" w:color="auto"/>
            </w:tcBorders>
            <w:shd w:val="clear" w:color="auto" w:fill="auto"/>
          </w:tcPr>
          <w:p w:rsidR="00607892" w:rsidRPr="00E6255A" w:rsidRDefault="008B2ACF" w:rsidP="00427A2E">
            <w:pPr>
              <w:pStyle w:val="TableText"/>
              <w:spacing w:before="120" w:after="60"/>
              <w:jc w:val="center"/>
              <w:rPr>
                <w:b/>
              </w:rPr>
            </w:pPr>
            <w:r>
              <w:rPr>
                <w:b/>
              </w:rPr>
              <w:t>475</w:t>
            </w:r>
          </w:p>
        </w:tc>
      </w:tr>
    </w:tbl>
    <w:p w:rsidR="00E6255A" w:rsidRPr="00E6255A" w:rsidRDefault="00E6255A" w:rsidP="00F81DB5">
      <w:pPr>
        <w:rPr>
          <w:highlight w:val="yellow"/>
        </w:rPr>
      </w:pPr>
      <w:r w:rsidRPr="00E6255A">
        <w:lastRenderedPageBreak/>
        <w:t xml:space="preserve">Data collection will begin as soon as </w:t>
      </w:r>
      <w:r w:rsidR="00B71F62">
        <w:t>OMB approval is given</w:t>
      </w:r>
      <w:r w:rsidRPr="00E6255A">
        <w:t xml:space="preserve">. </w:t>
      </w:r>
      <w:r w:rsidR="00B71F62">
        <w:t>P</w:t>
      </w:r>
      <w:r w:rsidR="001E50D7">
        <w:t>rogram agreements</w:t>
      </w:r>
      <w:r w:rsidRPr="00E6255A">
        <w:t xml:space="preserve"> </w:t>
      </w:r>
      <w:r w:rsidR="00B71F62">
        <w:t xml:space="preserve">are </w:t>
      </w:r>
      <w:r w:rsidRPr="00E6255A">
        <w:t>in place</w:t>
      </w:r>
      <w:r w:rsidR="00B71F62">
        <w:t>, and</w:t>
      </w:r>
      <w:r w:rsidRPr="00E6255A">
        <w:t xml:space="preserve"> CBOs beg</w:t>
      </w:r>
      <w:r w:rsidR="00B71F62">
        <w:t>an</w:t>
      </w:r>
      <w:r w:rsidRPr="00E6255A">
        <w:t xml:space="preserve"> providing care transition services </w:t>
      </w:r>
      <w:r w:rsidR="00950929" w:rsidRPr="00E6255A">
        <w:t>in</w:t>
      </w:r>
      <w:r w:rsidR="00950929">
        <w:t xml:space="preserve"> </w:t>
      </w:r>
      <w:r w:rsidR="00B71F62">
        <w:t>February</w:t>
      </w:r>
      <w:r w:rsidR="002B19AA">
        <w:t xml:space="preserve"> </w:t>
      </w:r>
      <w:r w:rsidRPr="00E6255A">
        <w:t>201</w:t>
      </w:r>
      <w:r w:rsidR="00B71F62">
        <w:t>2</w:t>
      </w:r>
      <w:r w:rsidRPr="00E6255A">
        <w:t xml:space="preserve"> and, if successful, </w:t>
      </w:r>
      <w:r w:rsidR="00B71F62">
        <w:t xml:space="preserve">will </w:t>
      </w:r>
      <w:r w:rsidRPr="00E6255A">
        <w:t xml:space="preserve">continue doing so for up to five years. </w:t>
      </w:r>
    </w:p>
    <w:p w:rsidR="00E6255A" w:rsidRPr="00E6255A" w:rsidRDefault="00E6255A" w:rsidP="00D86973">
      <w:pPr>
        <w:spacing w:after="240"/>
      </w:pPr>
      <w:r w:rsidRPr="00E6255A">
        <w:t>The cost per participant survey was computed using a median hourly wage rate of $16.27: $16.27*0.25 = $4.07 per response.</w:t>
      </w:r>
      <w:r w:rsidRPr="00E6255A">
        <w:rPr>
          <w:u w:color="000080"/>
          <w:vertAlign w:val="superscript"/>
        </w:rPr>
        <w:footnoteReference w:id="2"/>
      </w:r>
      <w:r w:rsidRPr="00E6255A">
        <w:t xml:space="preserve"> </w:t>
      </w:r>
    </w:p>
    <w:p w:rsidR="00E6255A" w:rsidRDefault="00E6255A" w:rsidP="00A8230C">
      <w:pPr>
        <w:pStyle w:val="MarkforTableHeading"/>
        <w:tabs>
          <w:tab w:val="left" w:pos="4856"/>
        </w:tabs>
      </w:pPr>
      <w:bookmarkStart w:id="44" w:name="_Toc254700652"/>
      <w:bookmarkStart w:id="45" w:name="_Toc297104835"/>
      <w:r w:rsidRPr="00E6255A">
        <w:t>Table A.3. Estimated Annualized Burden Costs</w:t>
      </w:r>
      <w:bookmarkEnd w:id="44"/>
      <w:bookmarkEnd w:id="45"/>
      <w:r w:rsidR="00A8230C">
        <w:tab/>
      </w:r>
    </w:p>
    <w:tbl>
      <w:tblPr>
        <w:tblStyle w:val="TableGrid"/>
        <w:tblW w:w="5000" w:type="pct"/>
        <w:tblInd w:w="115" w:type="dxa"/>
        <w:tblBorders>
          <w:top w:val="single" w:sz="12"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394"/>
        <w:gridCol w:w="2394"/>
        <w:gridCol w:w="2394"/>
        <w:gridCol w:w="2394"/>
      </w:tblGrid>
      <w:tr w:rsidR="00A8230C" w:rsidTr="003A6689">
        <w:trPr>
          <w:tblHeader/>
        </w:trPr>
        <w:tc>
          <w:tcPr>
            <w:tcW w:w="1250" w:type="pct"/>
            <w:tcBorders>
              <w:top w:val="single" w:sz="12" w:space="0" w:color="auto"/>
              <w:bottom w:val="single" w:sz="4" w:space="0" w:color="auto"/>
            </w:tcBorders>
            <w:shd w:val="clear" w:color="auto" w:fill="auto"/>
            <w:vAlign w:val="bottom"/>
          </w:tcPr>
          <w:p w:rsidR="00A8230C" w:rsidRPr="00E6255A" w:rsidRDefault="00A8230C" w:rsidP="003A6689">
            <w:pPr>
              <w:pStyle w:val="TableHeaderLeft"/>
            </w:pPr>
            <w:r w:rsidRPr="00E6255A">
              <w:t>Type of Respondent</w:t>
            </w:r>
          </w:p>
        </w:tc>
        <w:tc>
          <w:tcPr>
            <w:tcW w:w="1250"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Total Burden Hours</w:t>
            </w:r>
          </w:p>
        </w:tc>
        <w:tc>
          <w:tcPr>
            <w:tcW w:w="1250"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Hourly Wage Rate</w:t>
            </w:r>
          </w:p>
        </w:tc>
        <w:tc>
          <w:tcPr>
            <w:tcW w:w="1250" w:type="pct"/>
            <w:tcBorders>
              <w:top w:val="single" w:sz="12" w:space="0" w:color="auto"/>
              <w:bottom w:val="single" w:sz="4" w:space="0" w:color="auto"/>
            </w:tcBorders>
            <w:shd w:val="clear" w:color="auto" w:fill="auto"/>
            <w:vAlign w:val="bottom"/>
          </w:tcPr>
          <w:p w:rsidR="00A8230C" w:rsidRPr="00E6255A" w:rsidRDefault="00A8230C" w:rsidP="003A6689">
            <w:pPr>
              <w:pStyle w:val="TableHeaderCenter"/>
            </w:pPr>
            <w:r w:rsidRPr="00E6255A">
              <w:t>Total Respondent</w:t>
            </w:r>
            <w:r>
              <w:t xml:space="preserve"> </w:t>
            </w:r>
            <w:r w:rsidRPr="00E6255A">
              <w:t>Costs</w:t>
            </w:r>
          </w:p>
        </w:tc>
      </w:tr>
      <w:tr w:rsidR="00A8230C" w:rsidTr="000431A3">
        <w:tc>
          <w:tcPr>
            <w:tcW w:w="1250"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pPr>
            <w:r w:rsidRPr="00E6255A">
              <w:t>CCTP Participants</w:t>
            </w:r>
          </w:p>
        </w:tc>
        <w:tc>
          <w:tcPr>
            <w:tcW w:w="1250" w:type="pct"/>
            <w:tcBorders>
              <w:top w:val="single" w:sz="4" w:space="0" w:color="auto"/>
              <w:bottom w:val="single" w:sz="4" w:space="0" w:color="auto"/>
            </w:tcBorders>
            <w:shd w:val="clear" w:color="auto" w:fill="auto"/>
          </w:tcPr>
          <w:p w:rsidR="00A8230C" w:rsidRPr="00E6255A" w:rsidRDefault="003F04A9" w:rsidP="00427A2E">
            <w:pPr>
              <w:pStyle w:val="TableText"/>
              <w:spacing w:before="60" w:after="60"/>
              <w:jc w:val="center"/>
            </w:pPr>
            <w:r>
              <w:t>475</w:t>
            </w:r>
          </w:p>
        </w:tc>
        <w:tc>
          <w:tcPr>
            <w:tcW w:w="1250" w:type="pct"/>
            <w:tcBorders>
              <w:top w:val="single" w:sz="4" w:space="0" w:color="auto"/>
              <w:bottom w:val="single" w:sz="4" w:space="0" w:color="auto"/>
            </w:tcBorders>
            <w:shd w:val="clear" w:color="auto" w:fill="auto"/>
          </w:tcPr>
          <w:p w:rsidR="00A8230C" w:rsidRPr="00E6255A" w:rsidRDefault="00A8230C" w:rsidP="003A6689">
            <w:pPr>
              <w:pStyle w:val="TableText"/>
              <w:spacing w:before="60" w:after="60"/>
              <w:jc w:val="center"/>
            </w:pPr>
            <w:r w:rsidRPr="00E6255A">
              <w:t>$16.27</w:t>
            </w:r>
          </w:p>
        </w:tc>
        <w:tc>
          <w:tcPr>
            <w:tcW w:w="1250" w:type="pct"/>
            <w:tcBorders>
              <w:top w:val="single" w:sz="4" w:space="0" w:color="auto"/>
              <w:bottom w:val="single" w:sz="4" w:space="0" w:color="auto"/>
            </w:tcBorders>
            <w:shd w:val="clear" w:color="auto" w:fill="auto"/>
          </w:tcPr>
          <w:p w:rsidR="00A8230C" w:rsidRPr="00E6255A" w:rsidRDefault="003F04A9" w:rsidP="00427A2E">
            <w:pPr>
              <w:pStyle w:val="TableText"/>
              <w:spacing w:before="60" w:after="60"/>
              <w:jc w:val="center"/>
            </w:pPr>
            <w:r>
              <w:t>$7,728</w:t>
            </w:r>
          </w:p>
        </w:tc>
      </w:tr>
    </w:tbl>
    <w:p w:rsidR="00B53CCD" w:rsidRPr="00E6255A" w:rsidRDefault="00B53CCD" w:rsidP="00770F78">
      <w:pPr>
        <w:spacing w:before="360"/>
        <w:rPr>
          <w:highlight w:val="yellow"/>
        </w:rPr>
      </w:pPr>
      <w:r>
        <w:t>Full-scale d</w:t>
      </w:r>
      <w:r w:rsidRPr="00E6255A">
        <w:t xml:space="preserve">ata collection </w:t>
      </w:r>
      <w:r>
        <w:t xml:space="preserve">is anticipated to begin in the fall of 2012 after the pilot test field operations report has been submitted </w:t>
      </w:r>
      <w:r w:rsidR="001D60A5">
        <w:t xml:space="preserve">to </w:t>
      </w:r>
      <w:r>
        <w:t>and approved</w:t>
      </w:r>
      <w:r w:rsidR="001D60A5">
        <w:t xml:space="preserve"> by OMB</w:t>
      </w:r>
      <w:r>
        <w:t>.</w:t>
      </w:r>
      <w:r w:rsidRPr="00E6255A">
        <w:t xml:space="preserve"> </w:t>
      </w:r>
    </w:p>
    <w:p w:rsidR="00A8230C" w:rsidRPr="00E6255A" w:rsidRDefault="00A8230C" w:rsidP="00A8230C">
      <w:pPr>
        <w:pStyle w:val="Heading3"/>
      </w:pPr>
      <w:bookmarkStart w:id="46" w:name="_Toc297117405"/>
      <w:r w:rsidRPr="00E6255A">
        <w:t>13.</w:t>
      </w:r>
      <w:r w:rsidRPr="00E6255A">
        <w:tab/>
        <w:t xml:space="preserve">Estimates of Other Total Annual Cost Burden to Respondents or </w:t>
      </w:r>
      <w:proofErr w:type="spellStart"/>
      <w:r w:rsidRPr="00E6255A">
        <w:t>Recordkeepers</w:t>
      </w:r>
      <w:proofErr w:type="spellEnd"/>
      <w:r w:rsidRPr="00E6255A">
        <w:t>/Capital Costs</w:t>
      </w:r>
      <w:bookmarkEnd w:id="46"/>
    </w:p>
    <w:p w:rsidR="00E6255A" w:rsidRPr="00E6255A" w:rsidRDefault="00E6255A" w:rsidP="00770F78">
      <w:r w:rsidRPr="00E6255A">
        <w:t xml:space="preserve">The </w:t>
      </w:r>
      <w:r w:rsidR="001D70D9">
        <w:t>patient</w:t>
      </w:r>
      <w:r w:rsidRPr="00E6255A">
        <w:t xml:space="preserve"> experience survey is a one-time data collection effort for performance monitoring purposes. There are no direct costs to respondents other than their time to participate in the study.</w:t>
      </w:r>
    </w:p>
    <w:p w:rsidR="00E6255A" w:rsidRPr="00E6255A" w:rsidRDefault="00E6255A" w:rsidP="00F81DB5">
      <w:pPr>
        <w:pStyle w:val="Heading3"/>
      </w:pPr>
      <w:bookmarkStart w:id="47" w:name="_Toc254700542"/>
      <w:bookmarkStart w:id="48" w:name="_Toc254700654"/>
      <w:bookmarkStart w:id="49" w:name="_Toc297117406"/>
      <w:r w:rsidRPr="00E6255A">
        <w:t>14.</w:t>
      </w:r>
      <w:r w:rsidRPr="00E6255A">
        <w:tab/>
        <w:t>Annualized Cost to Federal Government</w:t>
      </w:r>
      <w:bookmarkEnd w:id="47"/>
      <w:bookmarkEnd w:id="48"/>
      <w:bookmarkEnd w:id="49"/>
    </w:p>
    <w:p w:rsidR="00E6255A" w:rsidRPr="00E6255A" w:rsidRDefault="00E6255A" w:rsidP="00F81DB5">
      <w:r w:rsidRPr="00E6255A">
        <w:t xml:space="preserve">The total value for the CCTP implementation and monitoring contract is $4,804,253 over five years. The annualized cost to the government is $960,850. These estimates are based on the contractor’s costs for supporting performance measurement data collection efforts, including labor and travel; other direct costs for computer, telephone, postage, reproduction, fax, and printing; and indirect costs for fringe benefits, general and administrative costs, and fees. </w:t>
      </w:r>
    </w:p>
    <w:p w:rsidR="00E6255A" w:rsidRPr="00E6255A" w:rsidRDefault="00E6255A" w:rsidP="00F81DB5">
      <w:pPr>
        <w:pStyle w:val="Heading3"/>
      </w:pPr>
      <w:bookmarkStart w:id="50" w:name="_Toc254700543"/>
      <w:bookmarkStart w:id="51" w:name="_Toc254700655"/>
      <w:bookmarkStart w:id="52" w:name="_Toc297117407"/>
      <w:r w:rsidRPr="00E6255A">
        <w:lastRenderedPageBreak/>
        <w:t>15.</w:t>
      </w:r>
      <w:r w:rsidRPr="00E6255A">
        <w:tab/>
        <w:t>Explanation for Program Changes or Adjustments</w:t>
      </w:r>
      <w:bookmarkEnd w:id="50"/>
      <w:bookmarkEnd w:id="51"/>
      <w:bookmarkEnd w:id="52"/>
    </w:p>
    <w:p w:rsidR="00E6255A" w:rsidRPr="00E6255A" w:rsidRDefault="00E6255A" w:rsidP="00F81DB5">
      <w:r w:rsidRPr="00E6255A">
        <w:t xml:space="preserve">Data collection for the </w:t>
      </w:r>
      <w:r w:rsidR="001D70D9">
        <w:t>patient</w:t>
      </w:r>
      <w:r w:rsidRPr="00E6255A">
        <w:t xml:space="preserve"> experience survey is new; therefore, there are no changes to burden. </w:t>
      </w:r>
    </w:p>
    <w:p w:rsidR="00E6255A" w:rsidRPr="00E6255A" w:rsidRDefault="00E6255A" w:rsidP="009758C4">
      <w:pPr>
        <w:pStyle w:val="Heading3"/>
      </w:pPr>
      <w:bookmarkStart w:id="53" w:name="_Toc254700544"/>
      <w:bookmarkStart w:id="54" w:name="_Toc254700656"/>
      <w:bookmarkStart w:id="55" w:name="_Toc297117408"/>
      <w:r w:rsidRPr="00E6255A">
        <w:t>16.</w:t>
      </w:r>
      <w:r w:rsidRPr="00E6255A">
        <w:tab/>
        <w:t>Plans for Tabulation and Publication and Project Time Schedule</w:t>
      </w:r>
      <w:bookmarkEnd w:id="53"/>
      <w:bookmarkEnd w:id="54"/>
      <w:bookmarkEnd w:id="55"/>
    </w:p>
    <w:p w:rsidR="00E6255A" w:rsidRPr="00E6255A" w:rsidRDefault="00E6255A" w:rsidP="00F81DB5">
      <w:r w:rsidRPr="00E6255A">
        <w:t xml:space="preserve">Data collection for the </w:t>
      </w:r>
      <w:r w:rsidR="001D70D9">
        <w:t>patient</w:t>
      </w:r>
      <w:r w:rsidRPr="00E6255A">
        <w:t xml:space="preserve"> experience survey will begin as soon as possible </w:t>
      </w:r>
      <w:r w:rsidR="004B4A55">
        <w:t>after the successful completion of the pilot test</w:t>
      </w:r>
      <w:r w:rsidRPr="00E6255A">
        <w:t xml:space="preserve">. </w:t>
      </w:r>
      <w:r w:rsidR="00CE0D9B">
        <w:t>It is anticipated that d</w:t>
      </w:r>
      <w:r w:rsidRPr="00E6255A">
        <w:t xml:space="preserve">ata collection will continue on a rolling basis for up to five years, based on performance of the CBOs. CBOs will submit </w:t>
      </w:r>
      <w:r w:rsidR="001D70D9">
        <w:t>patient</w:t>
      </w:r>
      <w:r w:rsidRPr="00E6255A">
        <w:t xml:space="preserve"> experience survey data </w:t>
      </w:r>
      <w:r w:rsidR="00E137AD">
        <w:t>each month</w:t>
      </w:r>
      <w:r w:rsidRPr="00E6255A">
        <w:t xml:space="preserve">. CMS will receive data in two ways: (1) monthly data files containing survey data, Medicare claims data, and CBO billing information, which will serve as a key source of information for ongoing monitoring and evaluation of the programs; and (2) an aggregated quarterly performance report, including the </w:t>
      </w:r>
      <w:r w:rsidR="001D70D9">
        <w:t>patient</w:t>
      </w:r>
      <w:r w:rsidRPr="00E6255A">
        <w:t xml:space="preserve"> experience survey data, to provide CMS and CBOs with information to measure and track progress toward meeting the program goals. The performance monitoring reports will also give CBOs an opportunity to measure changes in performance outcomes over time, as well as to identify and address potential shortcomings in advance of their two-year </w:t>
      </w:r>
      <w:r w:rsidR="007A48AF">
        <w:t>program</w:t>
      </w:r>
      <w:r w:rsidRPr="00E6255A">
        <w:t xml:space="preserve"> renewal review by CMS. The reports will contain response frequencies for each survey question </w:t>
      </w:r>
      <w:r w:rsidR="00BF2011">
        <w:t xml:space="preserve">from the H-CAHPS and CTM </w:t>
      </w:r>
      <w:r w:rsidRPr="00E6255A">
        <w:t xml:space="preserve">as well as composite scores for the CTM-3 and PAM-13 items, and change scores for the PAM-13 measure from beginning to end of the intervention services, as appropriate. </w:t>
      </w:r>
    </w:p>
    <w:p w:rsidR="00E6255A" w:rsidRPr="00E6255A" w:rsidRDefault="00E6255A" w:rsidP="00E137AD">
      <w:r w:rsidRPr="00E6255A">
        <w:t xml:space="preserve">The project also requires the contractor to deliver monthly update reports and a final contract completion report in July 2016. </w:t>
      </w:r>
    </w:p>
    <w:p w:rsidR="00E6255A" w:rsidRPr="00E6255A" w:rsidRDefault="00E6255A" w:rsidP="00F81DB5">
      <w:pPr>
        <w:pStyle w:val="Heading3"/>
      </w:pPr>
      <w:bookmarkStart w:id="56" w:name="_Toc254700545"/>
      <w:bookmarkStart w:id="57" w:name="_Toc254700657"/>
      <w:bookmarkStart w:id="58" w:name="_Toc297117409"/>
      <w:r w:rsidRPr="00E6255A">
        <w:t>17.</w:t>
      </w:r>
      <w:r w:rsidRPr="00E6255A">
        <w:tab/>
        <w:t>Reason(s) Display of OMB Expiration Date Is Inappropriate</w:t>
      </w:r>
      <w:bookmarkEnd w:id="56"/>
      <w:bookmarkEnd w:id="57"/>
      <w:bookmarkEnd w:id="58"/>
    </w:p>
    <w:p w:rsidR="00E6255A" w:rsidRPr="00E6255A" w:rsidRDefault="00E6255A" w:rsidP="00F81DB5">
      <w:r w:rsidRPr="00E6255A">
        <w:t xml:space="preserve">The OMB expiration date will be displayed on the </w:t>
      </w:r>
      <w:r w:rsidR="001D70D9">
        <w:t>patient</w:t>
      </w:r>
      <w:r w:rsidRPr="00E6255A">
        <w:t xml:space="preserve"> experience survey. </w:t>
      </w:r>
    </w:p>
    <w:p w:rsidR="00E6255A" w:rsidRPr="00E6255A" w:rsidRDefault="00E6255A" w:rsidP="00F81DB5">
      <w:pPr>
        <w:pStyle w:val="Heading3"/>
      </w:pPr>
      <w:bookmarkStart w:id="59" w:name="_Toc254700546"/>
      <w:bookmarkStart w:id="60" w:name="_Toc254700658"/>
      <w:bookmarkStart w:id="61" w:name="_Toc297117410"/>
      <w:r w:rsidRPr="00E6255A">
        <w:t>18.</w:t>
      </w:r>
      <w:r w:rsidRPr="00E6255A">
        <w:tab/>
        <w:t>Exceptions to Certification for Paperwork Reduction Act Submissions</w:t>
      </w:r>
      <w:bookmarkEnd w:id="59"/>
      <w:bookmarkEnd w:id="60"/>
      <w:bookmarkEnd w:id="61"/>
    </w:p>
    <w:p w:rsidR="00E6255A" w:rsidRPr="00E6255A" w:rsidRDefault="00E6255A" w:rsidP="00770F78">
      <w:pPr>
        <w:rPr>
          <w:rFonts w:ascii="Garamond" w:hAnsi="Garamond"/>
        </w:rPr>
      </w:pPr>
      <w:r w:rsidRPr="00E6255A">
        <w:t xml:space="preserve">Data collection efforts for the </w:t>
      </w:r>
      <w:r w:rsidR="001D70D9">
        <w:t>patient</w:t>
      </w:r>
      <w:r w:rsidRPr="00E6255A">
        <w:t xml:space="preserve"> experience survey will conform to all provisions of the Paperwork Reduction Act.</w:t>
      </w:r>
      <w:r w:rsidRPr="00E6255A">
        <w:rPr>
          <w:rFonts w:ascii="Garamond" w:hAnsi="Garamond"/>
        </w:rPr>
        <w:br w:type="page"/>
      </w:r>
    </w:p>
    <w:p w:rsidR="00E6255A" w:rsidRPr="00B65883" w:rsidRDefault="00E6255A" w:rsidP="00EA5EC2">
      <w:pPr>
        <w:pStyle w:val="Heading2Black"/>
        <w:jc w:val="center"/>
      </w:pPr>
      <w:bookmarkStart w:id="62" w:name="_Toc297117411"/>
      <w:r w:rsidRPr="00B65883">
        <w:lastRenderedPageBreak/>
        <w:t>REFERENCES</w:t>
      </w:r>
      <w:bookmarkEnd w:id="62"/>
    </w:p>
    <w:p w:rsidR="00E6255A" w:rsidRPr="00E6255A" w:rsidRDefault="00E6255A" w:rsidP="00B65883">
      <w:pPr>
        <w:pStyle w:val="References"/>
        <w:rPr>
          <w:bCs/>
        </w:rPr>
      </w:pPr>
      <w:proofErr w:type="gramStart"/>
      <w:r w:rsidRPr="00E6255A">
        <w:t>Agency for Healthcare Research and Quality (AHRQ), Department of Health and Human Services.</w:t>
      </w:r>
      <w:proofErr w:type="gramEnd"/>
      <w:r w:rsidRPr="00E6255A">
        <w:t xml:space="preserve"> “</w:t>
      </w:r>
      <w:r w:rsidRPr="00E6255A">
        <w:rPr>
          <w:bCs/>
        </w:rPr>
        <w:t xml:space="preserve">CAHPS Hospital Survey (H-CAHPS).” </w:t>
      </w:r>
      <w:proofErr w:type="gramStart"/>
      <w:r w:rsidRPr="00E6255A">
        <w:rPr>
          <w:bCs/>
        </w:rPr>
        <w:t>Available at [</w:t>
      </w:r>
      <w:hyperlink r:id="rId9" w:history="1">
        <w:r w:rsidRPr="00E6255A">
          <w:rPr>
            <w:color w:val="0000FF"/>
            <w:u w:val="single"/>
          </w:rPr>
          <w:t>https://www.cahps.ahrq.gov/content/products/HOSP/PROD_HOSP_Intro.asp</w:t>
        </w:r>
      </w:hyperlink>
      <w:r w:rsidRPr="00E6255A">
        <w:t>].</w:t>
      </w:r>
      <w:proofErr w:type="gramEnd"/>
      <w:r w:rsidRPr="00E6255A">
        <w:t xml:space="preserve">  </w:t>
      </w:r>
      <w:proofErr w:type="gramStart"/>
      <w:r w:rsidRPr="00E6255A">
        <w:t>Accessed June 18, 2011.</w:t>
      </w:r>
      <w:proofErr w:type="gramEnd"/>
    </w:p>
    <w:p w:rsidR="00E6255A" w:rsidRPr="00E6255A" w:rsidRDefault="00E6255A" w:rsidP="00B65883">
      <w:pPr>
        <w:pStyle w:val="References"/>
      </w:pPr>
      <w:proofErr w:type="spellStart"/>
      <w:proofErr w:type="gramStart"/>
      <w:r w:rsidRPr="00E6255A">
        <w:t>Boutwell</w:t>
      </w:r>
      <w:proofErr w:type="spellEnd"/>
      <w:r w:rsidRPr="00E6255A">
        <w:t xml:space="preserve">, A., F. Griffin, S. </w:t>
      </w:r>
      <w:proofErr w:type="spellStart"/>
      <w:r w:rsidRPr="00E6255A">
        <w:t>Hwu</w:t>
      </w:r>
      <w:proofErr w:type="spellEnd"/>
      <w:r w:rsidRPr="00E6255A">
        <w:t>, and D. Shannon.</w:t>
      </w:r>
      <w:proofErr w:type="gramEnd"/>
      <w:r w:rsidRPr="00E6255A">
        <w:t xml:space="preserve"> “</w:t>
      </w:r>
      <w:r w:rsidRPr="00E6255A">
        <w:rPr>
          <w:iCs/>
        </w:rPr>
        <w:t xml:space="preserve">Effective Interventions to Reduce </w:t>
      </w:r>
      <w:proofErr w:type="spellStart"/>
      <w:r w:rsidRPr="00E6255A">
        <w:rPr>
          <w:iCs/>
        </w:rPr>
        <w:t>Rehospitalizations</w:t>
      </w:r>
      <w:proofErr w:type="spellEnd"/>
      <w:r w:rsidRPr="00E6255A">
        <w:rPr>
          <w:iCs/>
        </w:rPr>
        <w:t xml:space="preserve">: A Compendium of 15 Promising Interventions.” </w:t>
      </w:r>
      <w:r w:rsidRPr="00E6255A">
        <w:t>Cambridge, MA: Institute for Healthcare Improvement, 2009.</w:t>
      </w:r>
    </w:p>
    <w:p w:rsidR="00E6255A" w:rsidRPr="00E6255A" w:rsidRDefault="00E6255A" w:rsidP="00B65883">
      <w:pPr>
        <w:pStyle w:val="References"/>
      </w:pPr>
      <w:proofErr w:type="gramStart"/>
      <w:r w:rsidRPr="00E6255A">
        <w:rPr>
          <w:color w:val="000000"/>
        </w:rPr>
        <w:t>Bureau of Labor Statistics (BLS).</w:t>
      </w:r>
      <w:proofErr w:type="gramEnd"/>
      <w:r w:rsidRPr="00E6255A">
        <w:rPr>
          <w:color w:val="000000"/>
        </w:rPr>
        <w:t xml:space="preserve"> “Occupational Employment Statistics: </w:t>
      </w:r>
      <w:r w:rsidRPr="00E6255A">
        <w:rPr>
          <w:iCs/>
          <w:color w:val="000000"/>
        </w:rPr>
        <w:t>May 2010 National Occupational Employment and Wage Estimates.”</w:t>
      </w:r>
      <w:r w:rsidRPr="00E6255A">
        <w:t xml:space="preserve"> 2011. Available at [</w:t>
      </w:r>
      <w:hyperlink r:id="rId10" w:history="1">
        <w:r w:rsidRPr="00E6255A">
          <w:rPr>
            <w:color w:val="0000FF"/>
            <w:u w:val="single"/>
          </w:rPr>
          <w:t>http://www.bls.gov/oes/current/oes_nat.htm</w:t>
        </w:r>
      </w:hyperlink>
      <w:r w:rsidRPr="00E6255A">
        <w:t xml:space="preserve">].  </w:t>
      </w:r>
      <w:proofErr w:type="gramStart"/>
      <w:r w:rsidRPr="00E6255A">
        <w:t>Accessed June 17, 2011.</w:t>
      </w:r>
      <w:proofErr w:type="gramEnd"/>
    </w:p>
    <w:p w:rsidR="00E6255A" w:rsidRPr="00E6255A" w:rsidRDefault="00E6255A" w:rsidP="00B65883">
      <w:pPr>
        <w:pStyle w:val="References"/>
      </w:pPr>
      <w:proofErr w:type="gramStart"/>
      <w:r w:rsidRPr="00E6255A">
        <w:rPr>
          <w:color w:val="000000"/>
        </w:rPr>
        <w:t>Bureau of Labor Statistics (BLS).</w:t>
      </w:r>
      <w:proofErr w:type="gramEnd"/>
      <w:r w:rsidRPr="00E6255A">
        <w:rPr>
          <w:color w:val="000000"/>
        </w:rPr>
        <w:t xml:space="preserve"> “Spotlight on Statistics: Older Workers.” July 2008. </w:t>
      </w:r>
      <w:proofErr w:type="gramStart"/>
      <w:r w:rsidRPr="00E6255A">
        <w:rPr>
          <w:color w:val="000000"/>
        </w:rPr>
        <w:t>Available at [</w:t>
      </w:r>
      <w:hyperlink r:id="rId11" w:anchor="chart_02" w:history="1">
        <w:r w:rsidRPr="00E6255A">
          <w:rPr>
            <w:color w:val="0000FF"/>
            <w:u w:val="single"/>
          </w:rPr>
          <w:t>http://www.bls.gov/spotlight/2008/older_workers/data.htm#chart_02</w:t>
        </w:r>
      </w:hyperlink>
      <w:r w:rsidRPr="00E6255A">
        <w:t>].</w:t>
      </w:r>
      <w:proofErr w:type="gramEnd"/>
      <w:r w:rsidRPr="00E6255A">
        <w:t xml:space="preserve"> </w:t>
      </w:r>
      <w:proofErr w:type="gramStart"/>
      <w:r w:rsidRPr="00E6255A">
        <w:t>Accessed June 17, 2011.</w:t>
      </w:r>
      <w:proofErr w:type="gramEnd"/>
    </w:p>
    <w:p w:rsidR="00E6255A" w:rsidRPr="00E6255A" w:rsidRDefault="00E6255A" w:rsidP="00B65883">
      <w:pPr>
        <w:pStyle w:val="References"/>
      </w:pPr>
      <w:proofErr w:type="gramStart"/>
      <w:r w:rsidRPr="00E6255A">
        <w:t xml:space="preserve">Hibbard, Judith H., Eldon R. Mahoney, Jean </w:t>
      </w:r>
      <w:proofErr w:type="spellStart"/>
      <w:r w:rsidRPr="00E6255A">
        <w:t>Stockard</w:t>
      </w:r>
      <w:proofErr w:type="spellEnd"/>
      <w:r w:rsidRPr="00E6255A">
        <w:t xml:space="preserve">, and Martin </w:t>
      </w:r>
      <w:proofErr w:type="spellStart"/>
      <w:r w:rsidRPr="00E6255A">
        <w:t>Tusler</w:t>
      </w:r>
      <w:proofErr w:type="spellEnd"/>
      <w:r w:rsidRPr="00E6255A">
        <w:t>.</w:t>
      </w:r>
      <w:proofErr w:type="gramEnd"/>
      <w:r w:rsidRPr="00E6255A">
        <w:t xml:space="preserve"> </w:t>
      </w:r>
      <w:proofErr w:type="gramStart"/>
      <w:r w:rsidRPr="00E6255A">
        <w:t>“Development and Testing of a Short Form of the Patient Activation Measure.”</w:t>
      </w:r>
      <w:proofErr w:type="gramEnd"/>
      <w:r w:rsidRPr="00E6255A">
        <w:t xml:space="preserve"> </w:t>
      </w:r>
      <w:r w:rsidRPr="00E6255A">
        <w:rPr>
          <w:i/>
        </w:rPr>
        <w:t>Health Services Research</w:t>
      </w:r>
      <w:r w:rsidRPr="00E6255A">
        <w:t>, vol. 40, no. 6, Part I, December 2005, pp. 1918-1930.</w:t>
      </w:r>
    </w:p>
    <w:p w:rsidR="00E6255A" w:rsidRPr="00E6255A" w:rsidRDefault="00E6255A" w:rsidP="00B65883">
      <w:pPr>
        <w:pStyle w:val="References"/>
        <w:rPr>
          <w:bCs/>
        </w:rPr>
      </w:pPr>
      <w:proofErr w:type="gramStart"/>
      <w:r w:rsidRPr="00E6255A">
        <w:rPr>
          <w:bCs/>
        </w:rPr>
        <w:t>The National Quality Forum.</w:t>
      </w:r>
      <w:proofErr w:type="gramEnd"/>
      <w:r w:rsidRPr="00E6255A">
        <w:rPr>
          <w:bCs/>
        </w:rPr>
        <w:t xml:space="preserve"> </w:t>
      </w:r>
      <w:proofErr w:type="gramStart"/>
      <w:r w:rsidRPr="00E6255A">
        <w:rPr>
          <w:bCs/>
        </w:rPr>
        <w:t>“Specifications for the Three-Item Care Transition Measure–CTM-3.”</w:t>
      </w:r>
      <w:proofErr w:type="gramEnd"/>
      <w:r w:rsidRPr="00E6255A">
        <w:rPr>
          <w:bCs/>
        </w:rPr>
        <w:t xml:space="preserve"> </w:t>
      </w:r>
      <w:proofErr w:type="gramStart"/>
      <w:r w:rsidRPr="00E6255A">
        <w:rPr>
          <w:bCs/>
        </w:rPr>
        <w:t>Available at [</w:t>
      </w:r>
      <w:hyperlink r:id="rId12" w:history="1">
        <w:r w:rsidRPr="00E6255A">
          <w:rPr>
            <w:bCs/>
            <w:color w:val="0000FF"/>
            <w:u w:val="single"/>
          </w:rPr>
          <w:t>http://www.caretransitions.org/documents/CTM3Specs0807.pdf</w:t>
        </w:r>
      </w:hyperlink>
      <w:r w:rsidRPr="00E6255A">
        <w:t>].</w:t>
      </w:r>
      <w:proofErr w:type="gramEnd"/>
      <w:r w:rsidRPr="00E6255A">
        <w:rPr>
          <w:bCs/>
        </w:rPr>
        <w:t xml:space="preserve"> </w:t>
      </w:r>
      <w:proofErr w:type="gramStart"/>
      <w:r w:rsidRPr="00E6255A">
        <w:rPr>
          <w:bCs/>
        </w:rPr>
        <w:t>Accessed June 18, 2011.</w:t>
      </w:r>
      <w:proofErr w:type="gramEnd"/>
    </w:p>
    <w:p w:rsidR="0056709E" w:rsidRPr="00D70907" w:rsidRDefault="00E6255A" w:rsidP="00EA5EC2">
      <w:pPr>
        <w:pStyle w:val="References"/>
      </w:pPr>
      <w:proofErr w:type="gramStart"/>
      <w:r w:rsidRPr="00E6255A">
        <w:t>Sloan, Matt, and Carol Irvin.</w:t>
      </w:r>
      <w:proofErr w:type="gramEnd"/>
      <w:r w:rsidRPr="00E6255A">
        <w:t xml:space="preserve"> “Money Follows the Person Quality of Life Survey.” </w:t>
      </w:r>
      <w:proofErr w:type="gramStart"/>
      <w:r w:rsidRPr="00E6255A">
        <w:t>Prepared for the Centers for Medicare &amp; Medicaid Services.</w:t>
      </w:r>
      <w:proofErr w:type="gramEnd"/>
      <w:r w:rsidRPr="00E6255A">
        <w:t xml:space="preserve"> Washington, DC: Mathematica Policy Research, 2007.</w:t>
      </w:r>
    </w:p>
    <w:sectPr w:rsidR="0056709E" w:rsidRPr="00D70907" w:rsidSect="00DA37C5">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36AC" w:rsidRDefault="002D36AC">
      <w:pPr>
        <w:spacing w:line="240" w:lineRule="auto"/>
        <w:ind w:firstLine="0"/>
      </w:pPr>
    </w:p>
  </w:endnote>
  <w:endnote w:type="continuationSeparator" w:id="0">
    <w:p w:rsidR="002D36AC" w:rsidRDefault="002D36AC">
      <w:pPr>
        <w:spacing w:line="240" w:lineRule="auto"/>
        <w:ind w:firstLine="0"/>
      </w:pPr>
    </w:p>
  </w:endnote>
  <w:endnote w:type="continuationNotice" w:id="1">
    <w:p w:rsidR="002D36AC" w:rsidRDefault="002D36AC">
      <w:pPr>
        <w:spacing w:line="240" w:lineRule="auto"/>
        <w:ind w:firstLine="0"/>
      </w:pPr>
    </w:p>
    <w:p w:rsidR="002D36AC" w:rsidRDefault="002D36AC"/>
    <w:p w:rsidR="002D36AC" w:rsidRDefault="002D36AC">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\\MA1.mathematica.net\NDrive\Shared-MA1\06925_CCTP\420 Participant Survey\OMB\draft OMB deliverable may 2011\CCTP OMB Part A draft 05.30.12.docx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F3" w:rsidRPr="00C6696F" w:rsidRDefault="007838ED" w:rsidP="00F81DB5">
    <w:pPr>
      <w:pStyle w:val="Footer"/>
      <w:tabs>
        <w:tab w:val="clear" w:pos="432"/>
        <w:tab w:val="clear" w:pos="4320"/>
        <w:tab w:val="clear" w:pos="8640"/>
        <w:tab w:val="center" w:pos="4770"/>
        <w:tab w:val="right" w:pos="9360"/>
      </w:tabs>
      <w:spacing w:before="120"/>
      <w:ind w:firstLine="0"/>
      <w:jc w:val="center"/>
      <w:rPr>
        <w:rStyle w:val="PageNumber"/>
        <w:rFonts w:ascii="Arial" w:hAnsi="Arial" w:cs="Arial"/>
        <w:b/>
        <w:sz w:val="17"/>
      </w:rPr>
    </w:pPr>
    <w:r w:rsidRPr="00057253">
      <w:rPr>
        <w:rStyle w:val="PageNumber"/>
      </w:rPr>
      <w:fldChar w:fldCharType="begin"/>
    </w:r>
    <w:r w:rsidR="005959F3" w:rsidRPr="00057253">
      <w:rPr>
        <w:rStyle w:val="PageNumber"/>
      </w:rPr>
      <w:instrText xml:space="preserve"> PAGE </w:instrText>
    </w:r>
    <w:r w:rsidRPr="00057253">
      <w:rPr>
        <w:rStyle w:val="PageNumber"/>
      </w:rPr>
      <w:fldChar w:fldCharType="separate"/>
    </w:r>
    <w:r w:rsidR="005D209B">
      <w:rPr>
        <w:rStyle w:val="PageNumber"/>
        <w:noProof/>
      </w:rPr>
      <w:t>11</w:t>
    </w:r>
    <w:r w:rsidRPr="00057253">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36AC" w:rsidRDefault="002D36AC">
      <w:pPr>
        <w:spacing w:line="240" w:lineRule="auto"/>
        <w:ind w:firstLine="0"/>
      </w:pPr>
      <w:r>
        <w:separator/>
      </w:r>
    </w:p>
  </w:footnote>
  <w:footnote w:type="continuationSeparator" w:id="0">
    <w:p w:rsidR="002D36AC" w:rsidRDefault="002D36AC">
      <w:pPr>
        <w:spacing w:line="240" w:lineRule="auto"/>
        <w:ind w:firstLine="0"/>
      </w:pPr>
      <w:r>
        <w:separator/>
      </w:r>
    </w:p>
    <w:p w:rsidR="002D36AC" w:rsidRDefault="002D36AC">
      <w:pPr>
        <w:spacing w:line="240" w:lineRule="auto"/>
        <w:ind w:firstLine="0"/>
        <w:rPr>
          <w:i/>
        </w:rPr>
      </w:pPr>
      <w:r>
        <w:rPr>
          <w:i/>
        </w:rPr>
        <w:t>(</w:t>
      </w:r>
      <w:proofErr w:type="gramStart"/>
      <w:r>
        <w:rPr>
          <w:i/>
        </w:rPr>
        <w:t>continued</w:t>
      </w:r>
      <w:proofErr w:type="gramEnd"/>
      <w:r>
        <w:rPr>
          <w:i/>
        </w:rPr>
        <w:t>)</w:t>
      </w:r>
    </w:p>
  </w:footnote>
  <w:footnote w:type="continuationNotice" w:id="1">
    <w:p w:rsidR="002D36AC" w:rsidRDefault="002D36AC">
      <w:pPr>
        <w:pStyle w:val="Footer"/>
      </w:pPr>
    </w:p>
  </w:footnote>
  <w:footnote w:id="2">
    <w:p w:rsidR="005959F3" w:rsidRPr="00093944" w:rsidRDefault="005959F3" w:rsidP="00E6255A">
      <w:pPr>
        <w:spacing w:line="240" w:lineRule="auto"/>
        <w:rPr>
          <w:color w:val="000000"/>
        </w:rPr>
      </w:pPr>
      <w:r>
        <w:rPr>
          <w:rStyle w:val="FootnoteReference"/>
        </w:rPr>
        <w:footnoteRef/>
      </w:r>
      <w:r>
        <w:t xml:space="preserve"> </w:t>
      </w:r>
      <w:r w:rsidRPr="009E417A">
        <w:rPr>
          <w:color w:val="000000"/>
          <w:sz w:val="20"/>
          <w:szCs w:val="20"/>
        </w:rPr>
        <w:t xml:space="preserve">The national hourly median wage according to the Bureau of Labor Statistics’ </w:t>
      </w:r>
      <w:r w:rsidRPr="00093944">
        <w:rPr>
          <w:color w:val="000000"/>
          <w:sz w:val="20"/>
          <w:szCs w:val="20"/>
        </w:rPr>
        <w:t>“Occupational Employment</w:t>
      </w:r>
    </w:p>
    <w:p w:rsidR="005959F3" w:rsidRPr="00A8230C" w:rsidRDefault="005959F3" w:rsidP="00A8230C">
      <w:pPr>
        <w:tabs>
          <w:tab w:val="clear" w:pos="432"/>
        </w:tabs>
        <w:spacing w:line="240" w:lineRule="auto"/>
        <w:ind w:firstLine="0"/>
        <w:jc w:val="left"/>
        <w:rPr>
          <w:color w:val="000000"/>
        </w:rPr>
      </w:pPr>
      <w:r w:rsidRPr="00093944">
        <w:rPr>
          <w:color w:val="000000"/>
          <w:sz w:val="20"/>
          <w:szCs w:val="20"/>
        </w:rPr>
        <w:t>Statistics</w:t>
      </w:r>
      <w:r>
        <w:rPr>
          <w:color w:val="000000"/>
          <w:sz w:val="20"/>
          <w:szCs w:val="20"/>
        </w:rPr>
        <w:t>:</w:t>
      </w:r>
      <w:r w:rsidRPr="00093944">
        <w:rPr>
          <w:color w:val="000000"/>
          <w:sz w:val="20"/>
        </w:rPr>
        <w:t> </w:t>
      </w:r>
      <w:r w:rsidRPr="00093944">
        <w:rPr>
          <w:iCs/>
          <w:color w:val="000000"/>
          <w:sz w:val="20"/>
          <w:szCs w:val="20"/>
        </w:rPr>
        <w:t>May 2010 National Occupational Employment and Wage Estimates”</w:t>
      </w:r>
      <w:r w:rsidRPr="00093944">
        <w:rPr>
          <w:iCs/>
          <w:color w:val="000000"/>
          <w:sz w:val="20"/>
        </w:rPr>
        <w:t> </w:t>
      </w:r>
      <w:r w:rsidRPr="009E417A">
        <w:rPr>
          <w:color w:val="000000"/>
          <w:sz w:val="20"/>
          <w:szCs w:val="20"/>
        </w:rPr>
        <w:t>is $16.27</w:t>
      </w:r>
      <w:r>
        <w:rPr>
          <w:color w:val="000000"/>
          <w:sz w:val="20"/>
          <w:szCs w:val="20"/>
        </w:rPr>
        <w:t xml:space="preserve"> (BLS 2011)</w:t>
      </w:r>
      <w:r w:rsidRPr="009E417A">
        <w:rPr>
          <w:color w:val="000000"/>
          <w:sz w:val="20"/>
          <w:szCs w:val="20"/>
        </w:rPr>
        <w:t xml:space="preserve">. This burden estimate is </w:t>
      </w:r>
      <w:proofErr w:type="gramStart"/>
      <w:r w:rsidRPr="009E417A">
        <w:rPr>
          <w:color w:val="000000"/>
          <w:sz w:val="20"/>
          <w:szCs w:val="20"/>
        </w:rPr>
        <w:t>high,</w:t>
      </w:r>
      <w:proofErr w:type="gramEnd"/>
      <w:r w:rsidRPr="009E417A">
        <w:rPr>
          <w:color w:val="000000"/>
          <w:sz w:val="20"/>
          <w:szCs w:val="20"/>
        </w:rPr>
        <w:t xml:space="preserve"> since 2007 data from the Bureau of Labor Statistics show that only about 16</w:t>
      </w:r>
      <w:r>
        <w:rPr>
          <w:color w:val="000000"/>
          <w:sz w:val="20"/>
          <w:szCs w:val="20"/>
        </w:rPr>
        <w:t xml:space="preserve"> percent</w:t>
      </w:r>
      <w:r w:rsidRPr="009E417A">
        <w:rPr>
          <w:color w:val="000000"/>
          <w:sz w:val="20"/>
          <w:szCs w:val="20"/>
        </w:rPr>
        <w:t xml:space="preserve"> of the age 65 and over population</w:t>
      </w:r>
      <w:r>
        <w:rPr>
          <w:color w:val="000000"/>
          <w:sz w:val="20"/>
          <w:szCs w:val="20"/>
        </w:rPr>
        <w:t xml:space="preserve"> (</w:t>
      </w:r>
      <w:r w:rsidRPr="009E417A">
        <w:rPr>
          <w:color w:val="000000"/>
          <w:sz w:val="20"/>
          <w:szCs w:val="20"/>
        </w:rPr>
        <w:t>much of the Medicare population</w:t>
      </w:r>
      <w:r>
        <w:rPr>
          <w:color w:val="000000"/>
          <w:sz w:val="20"/>
          <w:szCs w:val="20"/>
        </w:rPr>
        <w:t>)</w:t>
      </w:r>
      <w:r w:rsidRPr="009E417A">
        <w:rPr>
          <w:color w:val="000000"/>
          <w:sz w:val="20"/>
          <w:szCs w:val="20"/>
        </w:rPr>
        <w:t xml:space="preserve"> is in the labor force</w:t>
      </w:r>
      <w:r>
        <w:rPr>
          <w:color w:val="000000"/>
          <w:sz w:val="20"/>
          <w:szCs w:val="20"/>
        </w:rPr>
        <w:t xml:space="preserve"> (BLS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7964C9C"/>
    <w:lvl w:ilvl="0">
      <w:start w:val="1"/>
      <w:numFmt w:val="decimal"/>
      <w:lvlText w:val="%1."/>
      <w:lvlJc w:val="left"/>
      <w:pPr>
        <w:tabs>
          <w:tab w:val="num" w:pos="1800"/>
        </w:tabs>
        <w:ind w:left="1800" w:hanging="360"/>
      </w:pPr>
    </w:lvl>
  </w:abstractNum>
  <w:abstractNum w:abstractNumId="1">
    <w:nsid w:val="FFFFFF7D"/>
    <w:multiLevelType w:val="singleLevel"/>
    <w:tmpl w:val="1DCC783E"/>
    <w:lvl w:ilvl="0">
      <w:start w:val="1"/>
      <w:numFmt w:val="decimal"/>
      <w:lvlText w:val="%1."/>
      <w:lvlJc w:val="left"/>
      <w:pPr>
        <w:tabs>
          <w:tab w:val="num" w:pos="1440"/>
        </w:tabs>
        <w:ind w:left="1440" w:hanging="360"/>
      </w:pPr>
    </w:lvl>
  </w:abstractNum>
  <w:abstractNum w:abstractNumId="2">
    <w:nsid w:val="FFFFFF7E"/>
    <w:multiLevelType w:val="singleLevel"/>
    <w:tmpl w:val="9E6655AC"/>
    <w:lvl w:ilvl="0">
      <w:start w:val="1"/>
      <w:numFmt w:val="decimal"/>
      <w:lvlText w:val="%1."/>
      <w:lvlJc w:val="left"/>
      <w:pPr>
        <w:tabs>
          <w:tab w:val="num" w:pos="1080"/>
        </w:tabs>
        <w:ind w:left="1080" w:hanging="360"/>
      </w:pPr>
    </w:lvl>
  </w:abstractNum>
  <w:abstractNum w:abstractNumId="3">
    <w:nsid w:val="FFFFFF7F"/>
    <w:multiLevelType w:val="singleLevel"/>
    <w:tmpl w:val="E12AC2CC"/>
    <w:lvl w:ilvl="0">
      <w:start w:val="1"/>
      <w:numFmt w:val="decimal"/>
      <w:lvlText w:val="%1."/>
      <w:lvlJc w:val="left"/>
      <w:pPr>
        <w:tabs>
          <w:tab w:val="num" w:pos="720"/>
        </w:tabs>
        <w:ind w:left="720" w:hanging="360"/>
      </w:pPr>
    </w:lvl>
  </w:abstractNum>
  <w:abstractNum w:abstractNumId="4">
    <w:nsid w:val="FFFFFF80"/>
    <w:multiLevelType w:val="singleLevel"/>
    <w:tmpl w:val="9B52342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22EC73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8A86E0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F465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4F2E5BC"/>
    <w:lvl w:ilvl="0">
      <w:start w:val="1"/>
      <w:numFmt w:val="decimal"/>
      <w:lvlText w:val="%1."/>
      <w:lvlJc w:val="left"/>
      <w:pPr>
        <w:tabs>
          <w:tab w:val="num" w:pos="360"/>
        </w:tabs>
        <w:ind w:left="360" w:hanging="360"/>
      </w:pPr>
    </w:lvl>
  </w:abstractNum>
  <w:abstractNum w:abstractNumId="9">
    <w:nsid w:val="FFFFFF89"/>
    <w:multiLevelType w:val="singleLevel"/>
    <w:tmpl w:val="C25E2C9E"/>
    <w:lvl w:ilvl="0">
      <w:start w:val="1"/>
      <w:numFmt w:val="bullet"/>
      <w:lvlText w:val=""/>
      <w:lvlJc w:val="left"/>
      <w:pPr>
        <w:tabs>
          <w:tab w:val="num" w:pos="360"/>
        </w:tabs>
        <w:ind w:left="360" w:hanging="360"/>
      </w:pPr>
      <w:rPr>
        <w:rFonts w:ascii="Symbol" w:hAnsi="Symbol" w:hint="default"/>
      </w:rPr>
    </w:lvl>
  </w:abstractNum>
  <w:abstractNum w:abstractNumId="1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175F4639"/>
    <w:multiLevelType w:val="hybridMultilevel"/>
    <w:tmpl w:val="75F0EE22"/>
    <w:lvl w:ilvl="0" w:tplc="3AF897A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8">
    <w:nsid w:val="4F6174BD"/>
    <w:multiLevelType w:val="hybridMultilevel"/>
    <w:tmpl w:val="87B839D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1">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3">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7"/>
  </w:num>
  <w:num w:numId="2">
    <w:abstractNumId w:val="23"/>
  </w:num>
  <w:num w:numId="3">
    <w:abstractNumId w:val="20"/>
  </w:num>
  <w:num w:numId="4">
    <w:abstractNumId w:val="11"/>
  </w:num>
  <w:num w:numId="5">
    <w:abstractNumId w:val="10"/>
  </w:num>
  <w:num w:numId="6">
    <w:abstractNumId w:val="24"/>
  </w:num>
  <w:num w:numId="7">
    <w:abstractNumId w:val="22"/>
  </w:num>
  <w:num w:numId="8">
    <w:abstractNumId w:val="14"/>
  </w:num>
  <w:num w:numId="9">
    <w:abstractNumId w:val="15"/>
  </w:num>
  <w:num w:numId="10">
    <w:abstractNumId w:val="16"/>
  </w:num>
  <w:num w:numId="11">
    <w:abstractNumId w:val="12"/>
  </w:num>
  <w:num w:numId="12">
    <w:abstractNumId w:val="21"/>
  </w:num>
  <w:num w:numId="13">
    <w:abstractNumId w:val="13"/>
  </w:num>
  <w:num w:numId="14">
    <w:abstractNumId w:val="19"/>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oNotTrackFormatting/>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F81DB5"/>
    <w:rsid w:val="000015FB"/>
    <w:rsid w:val="00007CA0"/>
    <w:rsid w:val="00012372"/>
    <w:rsid w:val="00016D13"/>
    <w:rsid w:val="00017DD1"/>
    <w:rsid w:val="00021A62"/>
    <w:rsid w:val="00022AF3"/>
    <w:rsid w:val="000238D1"/>
    <w:rsid w:val="0003672D"/>
    <w:rsid w:val="00037098"/>
    <w:rsid w:val="000431A3"/>
    <w:rsid w:val="00052499"/>
    <w:rsid w:val="000541C5"/>
    <w:rsid w:val="00057253"/>
    <w:rsid w:val="00066AB9"/>
    <w:rsid w:val="000769A1"/>
    <w:rsid w:val="00076CF0"/>
    <w:rsid w:val="00080DFA"/>
    <w:rsid w:val="000812AE"/>
    <w:rsid w:val="00081D47"/>
    <w:rsid w:val="00090529"/>
    <w:rsid w:val="000906D5"/>
    <w:rsid w:val="00095187"/>
    <w:rsid w:val="000A4439"/>
    <w:rsid w:val="000A544F"/>
    <w:rsid w:val="000B3A77"/>
    <w:rsid w:val="000C0118"/>
    <w:rsid w:val="000C70DC"/>
    <w:rsid w:val="000C72F8"/>
    <w:rsid w:val="000D4C55"/>
    <w:rsid w:val="000E080A"/>
    <w:rsid w:val="000E0CC3"/>
    <w:rsid w:val="000E612C"/>
    <w:rsid w:val="000E6D11"/>
    <w:rsid w:val="000F79B9"/>
    <w:rsid w:val="000F7C0D"/>
    <w:rsid w:val="00105D23"/>
    <w:rsid w:val="001073C9"/>
    <w:rsid w:val="00107FBC"/>
    <w:rsid w:val="0011380B"/>
    <w:rsid w:val="00130424"/>
    <w:rsid w:val="00130EB9"/>
    <w:rsid w:val="0013282C"/>
    <w:rsid w:val="00132E2F"/>
    <w:rsid w:val="00135AF5"/>
    <w:rsid w:val="00136DC1"/>
    <w:rsid w:val="00137D81"/>
    <w:rsid w:val="00141646"/>
    <w:rsid w:val="00141705"/>
    <w:rsid w:val="00142AE3"/>
    <w:rsid w:val="00144DA7"/>
    <w:rsid w:val="00160E09"/>
    <w:rsid w:val="001613F4"/>
    <w:rsid w:val="00162191"/>
    <w:rsid w:val="001643D8"/>
    <w:rsid w:val="00175DDA"/>
    <w:rsid w:val="00181F53"/>
    <w:rsid w:val="001834B0"/>
    <w:rsid w:val="0018413B"/>
    <w:rsid w:val="0018564C"/>
    <w:rsid w:val="00191420"/>
    <w:rsid w:val="001928D7"/>
    <w:rsid w:val="001933B1"/>
    <w:rsid w:val="001944AC"/>
    <w:rsid w:val="001975AC"/>
    <w:rsid w:val="001A07D4"/>
    <w:rsid w:val="001A5130"/>
    <w:rsid w:val="001B360E"/>
    <w:rsid w:val="001C45B9"/>
    <w:rsid w:val="001C6D08"/>
    <w:rsid w:val="001D0883"/>
    <w:rsid w:val="001D0B1D"/>
    <w:rsid w:val="001D247C"/>
    <w:rsid w:val="001D3C41"/>
    <w:rsid w:val="001D3CED"/>
    <w:rsid w:val="001D60A5"/>
    <w:rsid w:val="001D634E"/>
    <w:rsid w:val="001D70D9"/>
    <w:rsid w:val="001E3614"/>
    <w:rsid w:val="001E41EA"/>
    <w:rsid w:val="001E50D7"/>
    <w:rsid w:val="001F5410"/>
    <w:rsid w:val="00200B10"/>
    <w:rsid w:val="00202036"/>
    <w:rsid w:val="0020205E"/>
    <w:rsid w:val="0020247E"/>
    <w:rsid w:val="00203BD4"/>
    <w:rsid w:val="00221755"/>
    <w:rsid w:val="0022186C"/>
    <w:rsid w:val="00236122"/>
    <w:rsid w:val="00236625"/>
    <w:rsid w:val="00243909"/>
    <w:rsid w:val="00243DEE"/>
    <w:rsid w:val="002449AE"/>
    <w:rsid w:val="00251140"/>
    <w:rsid w:val="00251148"/>
    <w:rsid w:val="0025182E"/>
    <w:rsid w:val="002537AF"/>
    <w:rsid w:val="002567F8"/>
    <w:rsid w:val="002613D2"/>
    <w:rsid w:val="002622FB"/>
    <w:rsid w:val="00267F6C"/>
    <w:rsid w:val="00271B2B"/>
    <w:rsid w:val="00280AB2"/>
    <w:rsid w:val="00282FD0"/>
    <w:rsid w:val="00284557"/>
    <w:rsid w:val="002849EE"/>
    <w:rsid w:val="00287FD7"/>
    <w:rsid w:val="002903A7"/>
    <w:rsid w:val="002921C5"/>
    <w:rsid w:val="00292B37"/>
    <w:rsid w:val="002942FB"/>
    <w:rsid w:val="002A1ADA"/>
    <w:rsid w:val="002A28C9"/>
    <w:rsid w:val="002B1593"/>
    <w:rsid w:val="002B19AA"/>
    <w:rsid w:val="002B68A5"/>
    <w:rsid w:val="002C2577"/>
    <w:rsid w:val="002C413C"/>
    <w:rsid w:val="002C5D51"/>
    <w:rsid w:val="002C734A"/>
    <w:rsid w:val="002D0A34"/>
    <w:rsid w:val="002D12CD"/>
    <w:rsid w:val="002D2256"/>
    <w:rsid w:val="002D279D"/>
    <w:rsid w:val="002D36AC"/>
    <w:rsid w:val="002F02C5"/>
    <w:rsid w:val="002F057B"/>
    <w:rsid w:val="002F0E0A"/>
    <w:rsid w:val="002F3D22"/>
    <w:rsid w:val="002F440B"/>
    <w:rsid w:val="002F6545"/>
    <w:rsid w:val="002F71D4"/>
    <w:rsid w:val="002F7C83"/>
    <w:rsid w:val="00300CE3"/>
    <w:rsid w:val="00303CF8"/>
    <w:rsid w:val="00305C91"/>
    <w:rsid w:val="00313671"/>
    <w:rsid w:val="00313E69"/>
    <w:rsid w:val="003142E6"/>
    <w:rsid w:val="003167E4"/>
    <w:rsid w:val="00317EDA"/>
    <w:rsid w:val="00320EB3"/>
    <w:rsid w:val="003356A7"/>
    <w:rsid w:val="00336A60"/>
    <w:rsid w:val="00342CD8"/>
    <w:rsid w:val="00343A0C"/>
    <w:rsid w:val="00350E63"/>
    <w:rsid w:val="00353E51"/>
    <w:rsid w:val="00354138"/>
    <w:rsid w:val="00354942"/>
    <w:rsid w:val="003607F3"/>
    <w:rsid w:val="00362133"/>
    <w:rsid w:val="00366BB1"/>
    <w:rsid w:val="00372AB1"/>
    <w:rsid w:val="003801D4"/>
    <w:rsid w:val="00380270"/>
    <w:rsid w:val="00380383"/>
    <w:rsid w:val="00381928"/>
    <w:rsid w:val="00381A96"/>
    <w:rsid w:val="00383EFE"/>
    <w:rsid w:val="00384000"/>
    <w:rsid w:val="00386508"/>
    <w:rsid w:val="00390669"/>
    <w:rsid w:val="00394752"/>
    <w:rsid w:val="003951BF"/>
    <w:rsid w:val="0039769F"/>
    <w:rsid w:val="00397FB2"/>
    <w:rsid w:val="003A1506"/>
    <w:rsid w:val="003A1774"/>
    <w:rsid w:val="003A17E0"/>
    <w:rsid w:val="003A26BB"/>
    <w:rsid w:val="003A4A5B"/>
    <w:rsid w:val="003A6689"/>
    <w:rsid w:val="003B1D61"/>
    <w:rsid w:val="003B1FFC"/>
    <w:rsid w:val="003B303A"/>
    <w:rsid w:val="003C0A5F"/>
    <w:rsid w:val="003C57EB"/>
    <w:rsid w:val="003D4A93"/>
    <w:rsid w:val="003D77B2"/>
    <w:rsid w:val="003E4DE6"/>
    <w:rsid w:val="003E5E3A"/>
    <w:rsid w:val="003F04A9"/>
    <w:rsid w:val="003F244A"/>
    <w:rsid w:val="00401627"/>
    <w:rsid w:val="0040757F"/>
    <w:rsid w:val="0040780A"/>
    <w:rsid w:val="00410D8F"/>
    <w:rsid w:val="00410F60"/>
    <w:rsid w:val="004118E0"/>
    <w:rsid w:val="00412D08"/>
    <w:rsid w:val="004176A8"/>
    <w:rsid w:val="004178CB"/>
    <w:rsid w:val="00417B7A"/>
    <w:rsid w:val="00420145"/>
    <w:rsid w:val="00423BE5"/>
    <w:rsid w:val="0042461E"/>
    <w:rsid w:val="00427A2E"/>
    <w:rsid w:val="00431F8A"/>
    <w:rsid w:val="0044551C"/>
    <w:rsid w:val="00446472"/>
    <w:rsid w:val="00446CE2"/>
    <w:rsid w:val="00474405"/>
    <w:rsid w:val="0047478B"/>
    <w:rsid w:val="00475483"/>
    <w:rsid w:val="00476CB1"/>
    <w:rsid w:val="00490847"/>
    <w:rsid w:val="004917C9"/>
    <w:rsid w:val="00492B73"/>
    <w:rsid w:val="004A0392"/>
    <w:rsid w:val="004A2089"/>
    <w:rsid w:val="004A46CC"/>
    <w:rsid w:val="004A5D73"/>
    <w:rsid w:val="004B0D54"/>
    <w:rsid w:val="004B4A55"/>
    <w:rsid w:val="004B6316"/>
    <w:rsid w:val="004B67C6"/>
    <w:rsid w:val="004B6A7C"/>
    <w:rsid w:val="004D62CD"/>
    <w:rsid w:val="004F0B74"/>
    <w:rsid w:val="004F493C"/>
    <w:rsid w:val="00501B56"/>
    <w:rsid w:val="00502024"/>
    <w:rsid w:val="005063AA"/>
    <w:rsid w:val="005117AC"/>
    <w:rsid w:val="00514703"/>
    <w:rsid w:val="00515135"/>
    <w:rsid w:val="00516D71"/>
    <w:rsid w:val="00516EB3"/>
    <w:rsid w:val="00517551"/>
    <w:rsid w:val="00517EDF"/>
    <w:rsid w:val="00525772"/>
    <w:rsid w:val="00531424"/>
    <w:rsid w:val="005373C1"/>
    <w:rsid w:val="00537F22"/>
    <w:rsid w:val="00544B83"/>
    <w:rsid w:val="00547C2D"/>
    <w:rsid w:val="005569D0"/>
    <w:rsid w:val="005604DC"/>
    <w:rsid w:val="005637D0"/>
    <w:rsid w:val="0056487B"/>
    <w:rsid w:val="00566811"/>
    <w:rsid w:val="0056709E"/>
    <w:rsid w:val="00581EE2"/>
    <w:rsid w:val="00582CD2"/>
    <w:rsid w:val="00583141"/>
    <w:rsid w:val="00584664"/>
    <w:rsid w:val="0058753C"/>
    <w:rsid w:val="00591AE6"/>
    <w:rsid w:val="005959F3"/>
    <w:rsid w:val="00597C9C"/>
    <w:rsid w:val="00597FEB"/>
    <w:rsid w:val="005A19C0"/>
    <w:rsid w:val="005A2E42"/>
    <w:rsid w:val="005A3D02"/>
    <w:rsid w:val="005A4899"/>
    <w:rsid w:val="005A492B"/>
    <w:rsid w:val="005A52EB"/>
    <w:rsid w:val="005A66CB"/>
    <w:rsid w:val="005B26BF"/>
    <w:rsid w:val="005C272F"/>
    <w:rsid w:val="005D01A8"/>
    <w:rsid w:val="005D209B"/>
    <w:rsid w:val="005E7695"/>
    <w:rsid w:val="005F162C"/>
    <w:rsid w:val="005F53E1"/>
    <w:rsid w:val="00607892"/>
    <w:rsid w:val="006113E2"/>
    <w:rsid w:val="006150A8"/>
    <w:rsid w:val="0061574F"/>
    <w:rsid w:val="0062522C"/>
    <w:rsid w:val="00626C58"/>
    <w:rsid w:val="006317F2"/>
    <w:rsid w:val="006328D7"/>
    <w:rsid w:val="00635EC3"/>
    <w:rsid w:val="00636860"/>
    <w:rsid w:val="00637A61"/>
    <w:rsid w:val="00637F34"/>
    <w:rsid w:val="00641AC0"/>
    <w:rsid w:val="00644B26"/>
    <w:rsid w:val="00645FA6"/>
    <w:rsid w:val="00654B9B"/>
    <w:rsid w:val="00655172"/>
    <w:rsid w:val="00656171"/>
    <w:rsid w:val="00663993"/>
    <w:rsid w:val="00670448"/>
    <w:rsid w:val="006714AC"/>
    <w:rsid w:val="00671E2B"/>
    <w:rsid w:val="00672F90"/>
    <w:rsid w:val="0067684B"/>
    <w:rsid w:val="00676E44"/>
    <w:rsid w:val="00677BF6"/>
    <w:rsid w:val="00680E43"/>
    <w:rsid w:val="00682BCD"/>
    <w:rsid w:val="0068372E"/>
    <w:rsid w:val="00687465"/>
    <w:rsid w:val="00690B57"/>
    <w:rsid w:val="006959AF"/>
    <w:rsid w:val="006A3DE8"/>
    <w:rsid w:val="006A7614"/>
    <w:rsid w:val="006B0652"/>
    <w:rsid w:val="006B2B5D"/>
    <w:rsid w:val="006B43E8"/>
    <w:rsid w:val="006B6DE3"/>
    <w:rsid w:val="006C0FBB"/>
    <w:rsid w:val="006C57D7"/>
    <w:rsid w:val="006C5B99"/>
    <w:rsid w:val="006C5F78"/>
    <w:rsid w:val="006D3A19"/>
    <w:rsid w:val="006D44FA"/>
    <w:rsid w:val="006D62CC"/>
    <w:rsid w:val="006D6B4E"/>
    <w:rsid w:val="006E2AEF"/>
    <w:rsid w:val="006E3DE1"/>
    <w:rsid w:val="006F053F"/>
    <w:rsid w:val="006F1CCC"/>
    <w:rsid w:val="00700965"/>
    <w:rsid w:val="0070156D"/>
    <w:rsid w:val="00707664"/>
    <w:rsid w:val="00712A21"/>
    <w:rsid w:val="00717B10"/>
    <w:rsid w:val="00720A3E"/>
    <w:rsid w:val="007214EF"/>
    <w:rsid w:val="00723C00"/>
    <w:rsid w:val="00726DD4"/>
    <w:rsid w:val="00730892"/>
    <w:rsid w:val="00731F05"/>
    <w:rsid w:val="00733C53"/>
    <w:rsid w:val="00742342"/>
    <w:rsid w:val="00742C8C"/>
    <w:rsid w:val="00744CFB"/>
    <w:rsid w:val="0074653C"/>
    <w:rsid w:val="00746AB5"/>
    <w:rsid w:val="00747001"/>
    <w:rsid w:val="00747B99"/>
    <w:rsid w:val="007525FD"/>
    <w:rsid w:val="00754E03"/>
    <w:rsid w:val="00755ABC"/>
    <w:rsid w:val="00763A57"/>
    <w:rsid w:val="00763C71"/>
    <w:rsid w:val="00767F60"/>
    <w:rsid w:val="00770F78"/>
    <w:rsid w:val="00773734"/>
    <w:rsid w:val="0078127B"/>
    <w:rsid w:val="007838ED"/>
    <w:rsid w:val="0078398F"/>
    <w:rsid w:val="00784BA2"/>
    <w:rsid w:val="00791351"/>
    <w:rsid w:val="007959C1"/>
    <w:rsid w:val="007A48AF"/>
    <w:rsid w:val="007B0B23"/>
    <w:rsid w:val="007B2015"/>
    <w:rsid w:val="007B28B5"/>
    <w:rsid w:val="007B5799"/>
    <w:rsid w:val="007B59C3"/>
    <w:rsid w:val="007B6D9E"/>
    <w:rsid w:val="007B705F"/>
    <w:rsid w:val="007C0CD8"/>
    <w:rsid w:val="007C1E2F"/>
    <w:rsid w:val="007C21D9"/>
    <w:rsid w:val="007C3668"/>
    <w:rsid w:val="007C4167"/>
    <w:rsid w:val="007C474C"/>
    <w:rsid w:val="007C5524"/>
    <w:rsid w:val="007D4181"/>
    <w:rsid w:val="007D46CB"/>
    <w:rsid w:val="007D4918"/>
    <w:rsid w:val="007D49F6"/>
    <w:rsid w:val="007D64C8"/>
    <w:rsid w:val="007D7981"/>
    <w:rsid w:val="007E1553"/>
    <w:rsid w:val="007E4044"/>
    <w:rsid w:val="007E4168"/>
    <w:rsid w:val="007E4B90"/>
    <w:rsid w:val="007E5BD4"/>
    <w:rsid w:val="007E6625"/>
    <w:rsid w:val="007F0DA1"/>
    <w:rsid w:val="007F1C0F"/>
    <w:rsid w:val="007F2742"/>
    <w:rsid w:val="007F2AF5"/>
    <w:rsid w:val="007F3E0A"/>
    <w:rsid w:val="007F58E6"/>
    <w:rsid w:val="007F686C"/>
    <w:rsid w:val="007F76BA"/>
    <w:rsid w:val="008015DB"/>
    <w:rsid w:val="00806376"/>
    <w:rsid w:val="008103BE"/>
    <w:rsid w:val="00813568"/>
    <w:rsid w:val="00813587"/>
    <w:rsid w:val="00815ABB"/>
    <w:rsid w:val="008169DF"/>
    <w:rsid w:val="00816DF1"/>
    <w:rsid w:val="00823057"/>
    <w:rsid w:val="00831149"/>
    <w:rsid w:val="008320F3"/>
    <w:rsid w:val="00833128"/>
    <w:rsid w:val="008359C8"/>
    <w:rsid w:val="00837959"/>
    <w:rsid w:val="00840E7C"/>
    <w:rsid w:val="008421A1"/>
    <w:rsid w:val="008432EE"/>
    <w:rsid w:val="00850CF2"/>
    <w:rsid w:val="00851DFB"/>
    <w:rsid w:val="00852EC4"/>
    <w:rsid w:val="00854E12"/>
    <w:rsid w:val="0086142A"/>
    <w:rsid w:val="0086314C"/>
    <w:rsid w:val="00863410"/>
    <w:rsid w:val="0086519F"/>
    <w:rsid w:val="00865D38"/>
    <w:rsid w:val="00866499"/>
    <w:rsid w:val="00867A3B"/>
    <w:rsid w:val="00877F00"/>
    <w:rsid w:val="00893B1D"/>
    <w:rsid w:val="00894485"/>
    <w:rsid w:val="00895A2A"/>
    <w:rsid w:val="00896781"/>
    <w:rsid w:val="00897013"/>
    <w:rsid w:val="008A230B"/>
    <w:rsid w:val="008A3B53"/>
    <w:rsid w:val="008A7892"/>
    <w:rsid w:val="008B032B"/>
    <w:rsid w:val="008B1F5A"/>
    <w:rsid w:val="008B2ACF"/>
    <w:rsid w:val="008B43D6"/>
    <w:rsid w:val="008B5444"/>
    <w:rsid w:val="008C0EA3"/>
    <w:rsid w:val="008C1C94"/>
    <w:rsid w:val="008C22A5"/>
    <w:rsid w:val="008C4666"/>
    <w:rsid w:val="008D0DC0"/>
    <w:rsid w:val="008D129A"/>
    <w:rsid w:val="008D44A2"/>
    <w:rsid w:val="008D5B53"/>
    <w:rsid w:val="008E0B4F"/>
    <w:rsid w:val="008E12AE"/>
    <w:rsid w:val="008E27F1"/>
    <w:rsid w:val="008F06E5"/>
    <w:rsid w:val="008F312B"/>
    <w:rsid w:val="008F5A8F"/>
    <w:rsid w:val="009009D0"/>
    <w:rsid w:val="00902B68"/>
    <w:rsid w:val="00904925"/>
    <w:rsid w:val="00910A58"/>
    <w:rsid w:val="00912344"/>
    <w:rsid w:val="00913503"/>
    <w:rsid w:val="00914BD2"/>
    <w:rsid w:val="009156D2"/>
    <w:rsid w:val="0092134D"/>
    <w:rsid w:val="00921BF1"/>
    <w:rsid w:val="009270D0"/>
    <w:rsid w:val="00931BDB"/>
    <w:rsid w:val="00944D67"/>
    <w:rsid w:val="00950929"/>
    <w:rsid w:val="009527CF"/>
    <w:rsid w:val="00952FE4"/>
    <w:rsid w:val="00954612"/>
    <w:rsid w:val="00955CD5"/>
    <w:rsid w:val="0095754B"/>
    <w:rsid w:val="009603FE"/>
    <w:rsid w:val="009632E6"/>
    <w:rsid w:val="00963353"/>
    <w:rsid w:val="00972701"/>
    <w:rsid w:val="00972967"/>
    <w:rsid w:val="009758C4"/>
    <w:rsid w:val="00980DB0"/>
    <w:rsid w:val="00993F21"/>
    <w:rsid w:val="00994EDD"/>
    <w:rsid w:val="00997375"/>
    <w:rsid w:val="009A320C"/>
    <w:rsid w:val="009B20BD"/>
    <w:rsid w:val="009B61A1"/>
    <w:rsid w:val="009C0EAF"/>
    <w:rsid w:val="009C1C70"/>
    <w:rsid w:val="009C1F87"/>
    <w:rsid w:val="009C340D"/>
    <w:rsid w:val="009C4947"/>
    <w:rsid w:val="009E222F"/>
    <w:rsid w:val="009E6401"/>
    <w:rsid w:val="009F3745"/>
    <w:rsid w:val="009F4014"/>
    <w:rsid w:val="00A01202"/>
    <w:rsid w:val="00A06CC3"/>
    <w:rsid w:val="00A10ACD"/>
    <w:rsid w:val="00A1164F"/>
    <w:rsid w:val="00A129F1"/>
    <w:rsid w:val="00A1571E"/>
    <w:rsid w:val="00A2097D"/>
    <w:rsid w:val="00A26CF0"/>
    <w:rsid w:val="00A31BC3"/>
    <w:rsid w:val="00A3304F"/>
    <w:rsid w:val="00A36752"/>
    <w:rsid w:val="00A37976"/>
    <w:rsid w:val="00A41A84"/>
    <w:rsid w:val="00A421ED"/>
    <w:rsid w:val="00A42FB4"/>
    <w:rsid w:val="00A43B1C"/>
    <w:rsid w:val="00A467CE"/>
    <w:rsid w:val="00A50811"/>
    <w:rsid w:val="00A553D5"/>
    <w:rsid w:val="00A5626F"/>
    <w:rsid w:val="00A56BB5"/>
    <w:rsid w:val="00A56C6B"/>
    <w:rsid w:val="00A57BC9"/>
    <w:rsid w:val="00A60FFF"/>
    <w:rsid w:val="00A61A2C"/>
    <w:rsid w:val="00A6306A"/>
    <w:rsid w:val="00A63890"/>
    <w:rsid w:val="00A72CF0"/>
    <w:rsid w:val="00A73DFC"/>
    <w:rsid w:val="00A80A4F"/>
    <w:rsid w:val="00A8230C"/>
    <w:rsid w:val="00A91891"/>
    <w:rsid w:val="00AB0F92"/>
    <w:rsid w:val="00AB567E"/>
    <w:rsid w:val="00AC08A8"/>
    <w:rsid w:val="00AC2E5F"/>
    <w:rsid w:val="00AC3943"/>
    <w:rsid w:val="00AC4317"/>
    <w:rsid w:val="00AC5EBF"/>
    <w:rsid w:val="00AD1FCA"/>
    <w:rsid w:val="00AD4163"/>
    <w:rsid w:val="00AD4FAF"/>
    <w:rsid w:val="00AE2F08"/>
    <w:rsid w:val="00AE3A26"/>
    <w:rsid w:val="00AF1B2F"/>
    <w:rsid w:val="00AF50B9"/>
    <w:rsid w:val="00AF7461"/>
    <w:rsid w:val="00B04E37"/>
    <w:rsid w:val="00B13000"/>
    <w:rsid w:val="00B146BF"/>
    <w:rsid w:val="00B21550"/>
    <w:rsid w:val="00B24137"/>
    <w:rsid w:val="00B31FEF"/>
    <w:rsid w:val="00B325E1"/>
    <w:rsid w:val="00B3588C"/>
    <w:rsid w:val="00B43736"/>
    <w:rsid w:val="00B528FB"/>
    <w:rsid w:val="00B52C12"/>
    <w:rsid w:val="00B53CCD"/>
    <w:rsid w:val="00B559AA"/>
    <w:rsid w:val="00B564BC"/>
    <w:rsid w:val="00B63270"/>
    <w:rsid w:val="00B64400"/>
    <w:rsid w:val="00B6467A"/>
    <w:rsid w:val="00B65883"/>
    <w:rsid w:val="00B670D7"/>
    <w:rsid w:val="00B70CD9"/>
    <w:rsid w:val="00B714B7"/>
    <w:rsid w:val="00B71F62"/>
    <w:rsid w:val="00B80BB6"/>
    <w:rsid w:val="00B82E71"/>
    <w:rsid w:val="00B83493"/>
    <w:rsid w:val="00B85C7D"/>
    <w:rsid w:val="00B901C0"/>
    <w:rsid w:val="00B940DD"/>
    <w:rsid w:val="00B966ED"/>
    <w:rsid w:val="00BA268A"/>
    <w:rsid w:val="00BA2A73"/>
    <w:rsid w:val="00BA32A1"/>
    <w:rsid w:val="00BA65A5"/>
    <w:rsid w:val="00BA6D6F"/>
    <w:rsid w:val="00BA7CD7"/>
    <w:rsid w:val="00BB2787"/>
    <w:rsid w:val="00BB6A0B"/>
    <w:rsid w:val="00BB7D3B"/>
    <w:rsid w:val="00BC21F4"/>
    <w:rsid w:val="00BC7DB1"/>
    <w:rsid w:val="00BD1A05"/>
    <w:rsid w:val="00BD20AA"/>
    <w:rsid w:val="00BD4D36"/>
    <w:rsid w:val="00BE335A"/>
    <w:rsid w:val="00BE40B3"/>
    <w:rsid w:val="00BF2011"/>
    <w:rsid w:val="00C02961"/>
    <w:rsid w:val="00C02B5E"/>
    <w:rsid w:val="00C057EF"/>
    <w:rsid w:val="00C0638A"/>
    <w:rsid w:val="00C14296"/>
    <w:rsid w:val="00C16B6E"/>
    <w:rsid w:val="00C21919"/>
    <w:rsid w:val="00C2333D"/>
    <w:rsid w:val="00C2452C"/>
    <w:rsid w:val="00C2695D"/>
    <w:rsid w:val="00C30CD6"/>
    <w:rsid w:val="00C32246"/>
    <w:rsid w:val="00C4260B"/>
    <w:rsid w:val="00C450AE"/>
    <w:rsid w:val="00C509FD"/>
    <w:rsid w:val="00C546B7"/>
    <w:rsid w:val="00C6623A"/>
    <w:rsid w:val="00C6696F"/>
    <w:rsid w:val="00C673E2"/>
    <w:rsid w:val="00C67663"/>
    <w:rsid w:val="00C72183"/>
    <w:rsid w:val="00C74089"/>
    <w:rsid w:val="00C741E6"/>
    <w:rsid w:val="00C758F5"/>
    <w:rsid w:val="00C81C72"/>
    <w:rsid w:val="00C820A0"/>
    <w:rsid w:val="00C84E83"/>
    <w:rsid w:val="00C867D3"/>
    <w:rsid w:val="00C90E85"/>
    <w:rsid w:val="00C92E5D"/>
    <w:rsid w:val="00C93509"/>
    <w:rsid w:val="00C9777C"/>
    <w:rsid w:val="00CA0455"/>
    <w:rsid w:val="00CA1DDD"/>
    <w:rsid w:val="00CA464B"/>
    <w:rsid w:val="00CA4A39"/>
    <w:rsid w:val="00CA4C69"/>
    <w:rsid w:val="00CA58CB"/>
    <w:rsid w:val="00CB137C"/>
    <w:rsid w:val="00CB1BAA"/>
    <w:rsid w:val="00CB3959"/>
    <w:rsid w:val="00CB4511"/>
    <w:rsid w:val="00CB4E54"/>
    <w:rsid w:val="00CB65B3"/>
    <w:rsid w:val="00CC215D"/>
    <w:rsid w:val="00CC3F2F"/>
    <w:rsid w:val="00CC602E"/>
    <w:rsid w:val="00CC62E0"/>
    <w:rsid w:val="00CD0EB5"/>
    <w:rsid w:val="00CD6F65"/>
    <w:rsid w:val="00CE0D9B"/>
    <w:rsid w:val="00CE16E0"/>
    <w:rsid w:val="00CE507C"/>
    <w:rsid w:val="00CE6BA9"/>
    <w:rsid w:val="00CF76CE"/>
    <w:rsid w:val="00D04861"/>
    <w:rsid w:val="00D11C16"/>
    <w:rsid w:val="00D1214E"/>
    <w:rsid w:val="00D14FDB"/>
    <w:rsid w:val="00D20BD0"/>
    <w:rsid w:val="00D2311D"/>
    <w:rsid w:val="00D231F4"/>
    <w:rsid w:val="00D242FB"/>
    <w:rsid w:val="00D25A18"/>
    <w:rsid w:val="00D3638A"/>
    <w:rsid w:val="00D36521"/>
    <w:rsid w:val="00D36D38"/>
    <w:rsid w:val="00D40093"/>
    <w:rsid w:val="00D4128F"/>
    <w:rsid w:val="00D42C39"/>
    <w:rsid w:val="00D451FE"/>
    <w:rsid w:val="00D51B6B"/>
    <w:rsid w:val="00D602EF"/>
    <w:rsid w:val="00D62AA3"/>
    <w:rsid w:val="00D62DF9"/>
    <w:rsid w:val="00D63257"/>
    <w:rsid w:val="00D67274"/>
    <w:rsid w:val="00D70907"/>
    <w:rsid w:val="00D732D5"/>
    <w:rsid w:val="00D77566"/>
    <w:rsid w:val="00D8532D"/>
    <w:rsid w:val="00D86973"/>
    <w:rsid w:val="00D94283"/>
    <w:rsid w:val="00DA37C5"/>
    <w:rsid w:val="00DA39C5"/>
    <w:rsid w:val="00DA621C"/>
    <w:rsid w:val="00DB4896"/>
    <w:rsid w:val="00DB5A55"/>
    <w:rsid w:val="00DB6227"/>
    <w:rsid w:val="00DB6704"/>
    <w:rsid w:val="00DB783D"/>
    <w:rsid w:val="00DC05C1"/>
    <w:rsid w:val="00DC14CA"/>
    <w:rsid w:val="00DC14F6"/>
    <w:rsid w:val="00DC1DD5"/>
    <w:rsid w:val="00DD7738"/>
    <w:rsid w:val="00DE1DED"/>
    <w:rsid w:val="00DE264C"/>
    <w:rsid w:val="00DE6AD2"/>
    <w:rsid w:val="00DF188B"/>
    <w:rsid w:val="00DF66CC"/>
    <w:rsid w:val="00E01E75"/>
    <w:rsid w:val="00E03491"/>
    <w:rsid w:val="00E04753"/>
    <w:rsid w:val="00E0544B"/>
    <w:rsid w:val="00E12C39"/>
    <w:rsid w:val="00E137AD"/>
    <w:rsid w:val="00E13871"/>
    <w:rsid w:val="00E143DC"/>
    <w:rsid w:val="00E16A37"/>
    <w:rsid w:val="00E30228"/>
    <w:rsid w:val="00E33C27"/>
    <w:rsid w:val="00E33FB4"/>
    <w:rsid w:val="00E3488E"/>
    <w:rsid w:val="00E35802"/>
    <w:rsid w:val="00E36FE2"/>
    <w:rsid w:val="00E57FE5"/>
    <w:rsid w:val="00E60F0B"/>
    <w:rsid w:val="00E6158B"/>
    <w:rsid w:val="00E6255A"/>
    <w:rsid w:val="00E63ACD"/>
    <w:rsid w:val="00E64F88"/>
    <w:rsid w:val="00E701E0"/>
    <w:rsid w:val="00E72220"/>
    <w:rsid w:val="00E726E9"/>
    <w:rsid w:val="00E73501"/>
    <w:rsid w:val="00E74213"/>
    <w:rsid w:val="00E76CD9"/>
    <w:rsid w:val="00E774A3"/>
    <w:rsid w:val="00E80DC8"/>
    <w:rsid w:val="00E8548B"/>
    <w:rsid w:val="00E86CC7"/>
    <w:rsid w:val="00E90CDE"/>
    <w:rsid w:val="00E93EA4"/>
    <w:rsid w:val="00E941DE"/>
    <w:rsid w:val="00EA023E"/>
    <w:rsid w:val="00EA0EBF"/>
    <w:rsid w:val="00EA5DC6"/>
    <w:rsid w:val="00EA5EC2"/>
    <w:rsid w:val="00EC0B2E"/>
    <w:rsid w:val="00ED1CC5"/>
    <w:rsid w:val="00ED47C6"/>
    <w:rsid w:val="00ED7865"/>
    <w:rsid w:val="00EE0957"/>
    <w:rsid w:val="00EE0E4E"/>
    <w:rsid w:val="00EE5B83"/>
    <w:rsid w:val="00EF0715"/>
    <w:rsid w:val="00EF1732"/>
    <w:rsid w:val="00EF1FB9"/>
    <w:rsid w:val="00EF3ABF"/>
    <w:rsid w:val="00EF636A"/>
    <w:rsid w:val="00EF776D"/>
    <w:rsid w:val="00F03209"/>
    <w:rsid w:val="00F03412"/>
    <w:rsid w:val="00F10FC2"/>
    <w:rsid w:val="00F11FE7"/>
    <w:rsid w:val="00F142BF"/>
    <w:rsid w:val="00F14BFA"/>
    <w:rsid w:val="00F1508D"/>
    <w:rsid w:val="00F225A6"/>
    <w:rsid w:val="00F36C1D"/>
    <w:rsid w:val="00F40E54"/>
    <w:rsid w:val="00F42C01"/>
    <w:rsid w:val="00F45261"/>
    <w:rsid w:val="00F51BCF"/>
    <w:rsid w:val="00F5243D"/>
    <w:rsid w:val="00F570F0"/>
    <w:rsid w:val="00F5755F"/>
    <w:rsid w:val="00F6258C"/>
    <w:rsid w:val="00F62807"/>
    <w:rsid w:val="00F647CA"/>
    <w:rsid w:val="00F72A85"/>
    <w:rsid w:val="00F75089"/>
    <w:rsid w:val="00F76105"/>
    <w:rsid w:val="00F8167D"/>
    <w:rsid w:val="00F81DB5"/>
    <w:rsid w:val="00F8297E"/>
    <w:rsid w:val="00F96808"/>
    <w:rsid w:val="00F968DD"/>
    <w:rsid w:val="00FA2139"/>
    <w:rsid w:val="00FA63D5"/>
    <w:rsid w:val="00FA7F74"/>
    <w:rsid w:val="00FB0335"/>
    <w:rsid w:val="00FB05AB"/>
    <w:rsid w:val="00FB6B35"/>
    <w:rsid w:val="00FB6B9E"/>
    <w:rsid w:val="00FC0EF5"/>
    <w:rsid w:val="00FC5611"/>
    <w:rsid w:val="00FC79B6"/>
    <w:rsid w:val="00FD31C6"/>
    <w:rsid w:val="00FD522A"/>
    <w:rsid w:val="00FE2767"/>
    <w:rsid w:val="00FE63A3"/>
    <w:rsid w:val="00FF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semiHidden="0" w:uiPriority="39" w:unhideWhenUsed="0"/>
    <w:lsdException w:name="toc 9" w:uiPriority="39"/>
    <w:lsdException w:name="header" w:qFormat="1"/>
    <w:lsdException w:name="footer" w:qFormat="1"/>
    <w:lsdException w:name="caption" w:uiPriority="35" w:qFormat="1"/>
    <w:lsdException w:name="footnote reference" w:uiPriority="0"/>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381928"/>
    <w:pPr>
      <w:tabs>
        <w:tab w:val="left" w:pos="432"/>
      </w:tabs>
      <w:spacing w:line="480" w:lineRule="auto"/>
      <w:ind w:firstLine="432"/>
      <w:jc w:val="both"/>
    </w:pPr>
    <w:rPr>
      <w:rFonts w:ascii="Times New Roman" w:hAnsi="Times New Roman"/>
    </w:r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4F0B74"/>
    <w:pPr>
      <w:keepNext/>
      <w:spacing w:after="240" w:line="240" w:lineRule="auto"/>
      <w:ind w:left="432" w:hanging="432"/>
      <w:outlineLvl w:val="2"/>
    </w:pPr>
    <w:rPr>
      <w:b/>
    </w:rPr>
  </w:style>
  <w:style w:type="paragraph" w:styleId="Heading4">
    <w:name w:val="heading 4"/>
    <w:basedOn w:val="Normal"/>
    <w:next w:val="Normal"/>
    <w:qFormat/>
    <w:rsid w:val="004F0B74"/>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uiPriority w:val="39"/>
    <w:qFormat/>
    <w:rsid w:val="00DF66CC"/>
    <w:pPr>
      <w:tabs>
        <w:tab w:val="right" w:leader="dot" w:pos="9360"/>
      </w:tabs>
      <w:spacing w:after="240"/>
      <w:ind w:left="2160" w:right="1080" w:hanging="1170"/>
    </w:pPr>
    <w:rPr>
      <w:rFonts w:ascii="Arial" w:hAnsi="Arial"/>
      <w:caps/>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057253"/>
    <w:rPr>
      <w:rFonts w:ascii="Times New Roman" w:hAnsi="Times New Roman"/>
      <w:sz w:val="24"/>
    </w:rPr>
  </w:style>
  <w:style w:type="paragraph" w:customStyle="1" w:styleId="Heading1Black">
    <w:name w:val="Heading 1_Black"/>
    <w:basedOn w:val="Normal"/>
    <w:next w:val="Normal"/>
    <w:qFormat/>
    <w:rsid w:val="00C81C72"/>
    <w:pPr>
      <w:spacing w:before="240" w:after="240" w:line="240" w:lineRule="auto"/>
      <w:ind w:firstLine="0"/>
      <w:jc w:val="center"/>
      <w:outlineLvl w:val="0"/>
    </w:pPr>
    <w:rPr>
      <w:rFonts w:ascii="Arial" w:hAnsi="Arial"/>
      <w:b/>
      <w:caps/>
    </w:rPr>
  </w:style>
  <w:style w:type="paragraph" w:styleId="TOC2">
    <w:name w:val="toc 2"/>
    <w:next w:val="Normal"/>
    <w:autoRedefine/>
    <w:uiPriority w:val="39"/>
    <w:qFormat/>
    <w:rsid w:val="00D732D5"/>
    <w:pPr>
      <w:tabs>
        <w:tab w:val="left" w:pos="1440"/>
        <w:tab w:val="right" w:leader="dot" w:pos="9360"/>
      </w:tabs>
      <w:spacing w:after="240"/>
      <w:ind w:left="1440" w:right="1080" w:hanging="432"/>
    </w:pPr>
    <w:rPr>
      <w:rFonts w:ascii="Arial" w:hAnsi="Arial"/>
      <w:noProof/>
    </w:rPr>
  </w:style>
  <w:style w:type="paragraph" w:styleId="TOC3">
    <w:name w:val="toc 3"/>
    <w:next w:val="Normal"/>
    <w:autoRedefine/>
    <w:uiPriority w:val="39"/>
    <w:qFormat/>
    <w:rsid w:val="001975AC"/>
    <w:pPr>
      <w:tabs>
        <w:tab w:val="left" w:pos="1872"/>
        <w:tab w:val="right" w:leader="dot" w:pos="9360"/>
      </w:tabs>
      <w:ind w:left="1872" w:right="1080" w:hanging="432"/>
    </w:pPr>
    <w:rPr>
      <w:rFonts w:ascii="Arial" w:hAnsi="Arial"/>
    </w:rPr>
  </w:style>
  <w:style w:type="paragraph" w:styleId="TOC4">
    <w:name w:val="toc 4"/>
    <w:next w:val="Normal"/>
    <w:autoRedefine/>
    <w:qFormat/>
    <w:rsid w:val="00F75089"/>
    <w:pPr>
      <w:tabs>
        <w:tab w:val="left" w:pos="1440"/>
        <w:tab w:val="right" w:leader="dot" w:pos="9360"/>
      </w:tabs>
      <w:ind w:left="2390" w:hanging="475"/>
    </w:pPr>
    <w:rPr>
      <w:rFonts w:ascii="Arial" w:hAnsi="Arial"/>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D8532D"/>
    <w:pPr>
      <w:numPr>
        <w:numId w:val="8"/>
      </w:numPr>
      <w:tabs>
        <w:tab w:val="left" w:pos="1080"/>
      </w:tabs>
      <w:spacing w:after="120"/>
      <w:ind w:left="1080" w:right="720"/>
      <w:jc w:val="both"/>
    </w:pPr>
    <w:rPr>
      <w:rFonts w:ascii="Times New Roman" w:hAnsi="Times New Roman"/>
    </w:r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547C2D"/>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D8532D"/>
    <w:pPr>
      <w:keepNext/>
      <w:spacing w:after="60" w:line="240" w:lineRule="auto"/>
      <w:ind w:firstLine="0"/>
    </w:pPr>
    <w:rPr>
      <w:rFonts w:ascii="Arial" w:hAnsi="Arial"/>
      <w:b/>
      <w:sz w:val="20"/>
    </w:rPr>
  </w:style>
  <w:style w:type="paragraph" w:customStyle="1" w:styleId="References">
    <w:name w:val="References"/>
    <w:basedOn w:val="Normal"/>
    <w:qFormat/>
    <w:rsid w:val="001A5130"/>
    <w:pPr>
      <w:keepLines/>
      <w:spacing w:after="240" w:line="240" w:lineRule="auto"/>
      <w:ind w:left="432" w:hanging="432"/>
    </w:pPr>
  </w:style>
  <w:style w:type="paragraph" w:customStyle="1" w:styleId="MarkforFigureHeading">
    <w:name w:val="Mark for Figure Heading"/>
    <w:basedOn w:val="MarkforTableHeading"/>
    <w:next w:val="Normal"/>
    <w:qFormat/>
    <w:rsid w:val="00D8532D"/>
  </w:style>
  <w:style w:type="paragraph" w:customStyle="1" w:styleId="MarkforExhibitHeading">
    <w:name w:val="Mark for Exhibit Heading"/>
    <w:basedOn w:val="Normal"/>
    <w:next w:val="Normal"/>
    <w:qFormat/>
    <w:rsid w:val="00D8532D"/>
    <w:pPr>
      <w:keepNext/>
      <w:spacing w:after="60" w:line="240" w:lineRule="auto"/>
      <w:ind w:firstLine="0"/>
    </w:pPr>
    <w:rPr>
      <w:rFonts w:ascii="Arial" w:hAnsi="Arial"/>
      <w:b/>
      <w:sz w:val="20"/>
    </w:rPr>
  </w:style>
  <w:style w:type="paragraph" w:styleId="TableofFigures">
    <w:name w:val="table of figures"/>
    <w:basedOn w:val="Normal"/>
    <w:next w:val="Normal"/>
    <w:uiPriority w:val="99"/>
    <w:rsid w:val="007B59C3"/>
    <w:pPr>
      <w:tabs>
        <w:tab w:val="clear" w:pos="432"/>
        <w:tab w:val="left" w:pos="1008"/>
        <w:tab w:val="right" w:leader="dot" w:pos="9360"/>
      </w:tabs>
      <w:spacing w:after="240" w:line="240" w:lineRule="auto"/>
      <w:ind w:left="1008" w:right="1080" w:hanging="1008"/>
      <w:jc w:val="left"/>
    </w:pPr>
    <w:rPr>
      <w:rFonts w:ascii="Arial" w:hAnsi="Arial"/>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D8532D"/>
    <w:pPr>
      <w:spacing w:after="120"/>
      <w:ind w:firstLine="0"/>
    </w:pPr>
    <w:rPr>
      <w:rFonts w:ascii="Arial" w:hAnsi="Arial"/>
      <w:sz w:val="20"/>
    </w:rPr>
  </w:style>
  <w:style w:type="paragraph" w:customStyle="1" w:styleId="TableHeaderCenter">
    <w:name w:val="Table Header Center"/>
    <w:basedOn w:val="NormalSS"/>
    <w:qFormat/>
    <w:rsid w:val="00D8532D"/>
    <w:pPr>
      <w:spacing w:before="120" w:after="60"/>
      <w:ind w:firstLine="0"/>
      <w:jc w:val="center"/>
    </w:pPr>
    <w:rPr>
      <w:rFonts w:ascii="Arial" w:hAnsi="Arial"/>
      <w:sz w:val="20"/>
    </w:rPr>
  </w:style>
  <w:style w:type="paragraph" w:customStyle="1" w:styleId="TableHeaderLeft">
    <w:name w:val="Table Header Left"/>
    <w:basedOn w:val="NormalSS"/>
    <w:qFormat/>
    <w:rsid w:val="00D8532D"/>
    <w:pPr>
      <w:spacing w:before="120" w:after="60"/>
      <w:ind w:firstLine="0"/>
      <w:jc w:val="left"/>
    </w:pPr>
    <w:rPr>
      <w:rFonts w:ascii="Arial" w:hAnsi="Arial"/>
      <w:sz w:val="20"/>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D8532D"/>
    <w:pPr>
      <w:tabs>
        <w:tab w:val="clear" w:pos="432"/>
      </w:tabs>
      <w:spacing w:after="0"/>
      <w:ind w:firstLine="0"/>
      <w:jc w:val="left"/>
    </w:pPr>
    <w:rPr>
      <w:rFonts w:ascii="Arial" w:hAnsi="Arial"/>
      <w:sz w:val="20"/>
    </w:rPr>
  </w:style>
  <w:style w:type="paragraph" w:customStyle="1" w:styleId="TableSourceCaption">
    <w:name w:val="Table Source_Caption"/>
    <w:basedOn w:val="NormalSS"/>
    <w:qFormat/>
    <w:rsid w:val="00D8532D"/>
    <w:pPr>
      <w:tabs>
        <w:tab w:val="clear" w:pos="432"/>
      </w:tabs>
      <w:spacing w:after="120"/>
      <w:ind w:left="1080" w:hanging="1080"/>
    </w:pPr>
    <w:rPr>
      <w:rFonts w:ascii="Arial" w:hAnsi="Arial"/>
      <w:sz w:val="20"/>
    </w:rPr>
  </w:style>
  <w:style w:type="paragraph" w:customStyle="1" w:styleId="AcknowledgmentnoTOCBlack">
    <w:name w:val="Acknowledgment no TOC_Black"/>
    <w:basedOn w:val="Normal"/>
    <w:next w:val="Normal"/>
    <w:qFormat/>
    <w:rsid w:val="00380270"/>
    <w:pPr>
      <w:spacing w:before="240" w:after="240" w:line="240" w:lineRule="auto"/>
      <w:ind w:firstLine="0"/>
      <w:jc w:val="center"/>
      <w:outlineLvl w:val="8"/>
    </w:pPr>
    <w:rPr>
      <w:rFonts w:ascii="Arial" w:hAnsi="Arial"/>
      <w:b/>
      <w:caps/>
    </w:rPr>
  </w:style>
  <w:style w:type="paragraph" w:customStyle="1" w:styleId="AcknowledgmentnoTOCRed">
    <w:name w:val="Acknowledgment no TOC_Red"/>
    <w:basedOn w:val="AcknowledgmentnoTOCBlack"/>
    <w:next w:val="Normal"/>
    <w:qFormat/>
    <w:rsid w:val="00066AB9"/>
    <w:rPr>
      <w:color w:val="C00000"/>
    </w:rPr>
  </w:style>
  <w:style w:type="paragraph" w:customStyle="1" w:styleId="AcknowledgmentnoTOCBlue">
    <w:name w:val="Acknowledgment no TOC_Blue"/>
    <w:basedOn w:val="AcknowledgmentnoTOCBlack"/>
    <w:next w:val="Normal"/>
    <w:qFormat/>
    <w:rsid w:val="004F493C"/>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0E080A"/>
    <w:pPr>
      <w:spacing w:after="320"/>
    </w:pPr>
  </w:style>
  <w:style w:type="paragraph" w:customStyle="1" w:styleId="BulletRedLastDS">
    <w:name w:val="Bullet_Red (Last DS)"/>
    <w:basedOn w:val="BulletRedLastSS"/>
    <w:next w:val="Normal"/>
    <w:qFormat/>
    <w:rsid w:val="000E080A"/>
    <w:pPr>
      <w:spacing w:after="320"/>
    </w:pPr>
  </w:style>
  <w:style w:type="paragraph" w:customStyle="1" w:styleId="BulletBlueLastDS">
    <w:name w:val="Bullet_Blue (Last DS)"/>
    <w:basedOn w:val="BulletBlackLastDS"/>
    <w:next w:val="Normal"/>
    <w:qFormat/>
    <w:rsid w:val="000E080A"/>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C81C72"/>
    <w:pPr>
      <w:keepNext/>
      <w:spacing w:after="240" w:line="240" w:lineRule="auto"/>
      <w:ind w:left="432" w:hanging="432"/>
      <w:outlineLvl w:val="1"/>
    </w:pPr>
    <w:rPr>
      <w:rFonts w:ascii="Arial" w:hAnsi="Arial"/>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655172"/>
    <w:rPr>
      <w:color w:val="345294"/>
    </w:rPr>
  </w:style>
  <w:style w:type="paragraph" w:customStyle="1" w:styleId="Heading2BlackNoTOC">
    <w:name w:val="Heading 2_Black No TOC"/>
    <w:basedOn w:val="Heading2Black"/>
    <w:next w:val="Normal"/>
    <w:qFormat/>
    <w:rsid w:val="0020247E"/>
    <w:pPr>
      <w:outlineLvl w:val="8"/>
    </w:pPr>
  </w:style>
  <w:style w:type="paragraph" w:customStyle="1" w:styleId="Heading2RedNoTOC">
    <w:name w:val="Heading 2_Red No TOC"/>
    <w:basedOn w:val="Heading2Red"/>
    <w:next w:val="Normal"/>
    <w:qFormat/>
    <w:rsid w:val="0020247E"/>
    <w:pPr>
      <w:outlineLvl w:val="8"/>
    </w:pPr>
  </w:style>
  <w:style w:type="paragraph" w:customStyle="1" w:styleId="Heading2BlueNoTOC">
    <w:name w:val="Heading 2_Blue No TOC"/>
    <w:basedOn w:val="Heading2Blue"/>
    <w:next w:val="Normal"/>
    <w:qFormat/>
    <w:rsid w:val="0020247E"/>
    <w:pPr>
      <w:outlineLvl w:val="8"/>
    </w:pPr>
  </w:style>
  <w:style w:type="paragraph" w:customStyle="1" w:styleId="MarkforAttachmentHeadingBlack">
    <w:name w:val="Mark for Attachment Heading_Black"/>
    <w:basedOn w:val="Normal"/>
    <w:next w:val="Normal"/>
    <w:qFormat/>
    <w:rsid w:val="00655172"/>
    <w:pPr>
      <w:ind w:firstLine="0"/>
      <w:jc w:val="center"/>
      <w:outlineLvl w:val="0"/>
    </w:pPr>
    <w:rPr>
      <w:rFonts w:ascii="Arial" w:hAnsi="Arial"/>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0247E"/>
    <w:pPr>
      <w:ind w:firstLine="0"/>
      <w:jc w:val="center"/>
      <w:outlineLvl w:val="7"/>
    </w:pPr>
    <w:rPr>
      <w:rFonts w:ascii="Arial" w:hAnsi="Arial"/>
      <w:b/>
      <w:caps/>
    </w:rPr>
  </w:style>
  <w:style w:type="paragraph" w:customStyle="1" w:styleId="MarkforAppendixHeadingRed">
    <w:name w:val="Mark for Appendix Heading_Red"/>
    <w:basedOn w:val="MarkforAppendixHeadingBlack"/>
    <w:next w:val="Normal"/>
    <w:qFormat/>
    <w:rsid w:val="00DB6227"/>
    <w:rPr>
      <w:color w:val="C00000"/>
    </w:rPr>
  </w:style>
  <w:style w:type="paragraph" w:customStyle="1" w:styleId="MarkforAppendixHeadingBlue">
    <w:name w:val="Mark for Appendix Heading_Blue"/>
    <w:basedOn w:val="MarkforAppendixHeadingBlack"/>
    <w:next w:val="Normal"/>
    <w:qFormat/>
    <w:rsid w:val="0020247E"/>
    <w:rPr>
      <w:color w:val="345294"/>
    </w:rPr>
  </w:style>
  <w:style w:type="paragraph" w:customStyle="1" w:styleId="NumberedBulletLastDS">
    <w:name w:val="Numbered Bullet (Last DS)"/>
    <w:basedOn w:val="NumberedBulletLASTSS"/>
    <w:next w:val="Normal"/>
    <w:qFormat/>
    <w:rsid w:val="00502024"/>
    <w:pPr>
      <w:spacing w:after="320"/>
    </w:pPr>
  </w:style>
  <w:style w:type="paragraph" w:customStyle="1" w:styleId="TableSignificanceCaption">
    <w:name w:val="Table Significance_Caption"/>
    <w:basedOn w:val="TableSourceCaption"/>
    <w:qFormat/>
    <w:rsid w:val="00D8532D"/>
    <w:pPr>
      <w:spacing w:after="0"/>
    </w:pPr>
  </w:style>
  <w:style w:type="paragraph" w:customStyle="1" w:styleId="TitleofDocumentVertical">
    <w:name w:val="Title of Document Vertical"/>
    <w:basedOn w:val="Normal"/>
    <w:qFormat/>
    <w:rsid w:val="00D8532D"/>
    <w:pPr>
      <w:spacing w:before="3120" w:after="240" w:line="360" w:lineRule="exact"/>
      <w:ind w:firstLine="0"/>
    </w:pPr>
    <w:rPr>
      <w:rFonts w:ascii="Arial" w:hAnsi="Arial"/>
      <w:b/>
      <w:sz w:val="22"/>
    </w:rPr>
  </w:style>
  <w:style w:type="paragraph" w:customStyle="1" w:styleId="TitleofDocumentHorizontal">
    <w:name w:val="Title of Document Horizontal"/>
    <w:basedOn w:val="TitleofDocumentVertical"/>
    <w:qFormat/>
    <w:rsid w:val="00D8532D"/>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styleId="TOC8">
    <w:name w:val="toc 8"/>
    <w:next w:val="Normal"/>
    <w:autoRedefine/>
    <w:uiPriority w:val="39"/>
    <w:rsid w:val="001975AC"/>
    <w:pPr>
      <w:tabs>
        <w:tab w:val="left" w:pos="1872"/>
        <w:tab w:val="right" w:leader="dot" w:pos="9360"/>
      </w:tabs>
      <w:spacing w:after="240"/>
      <w:ind w:left="1872" w:right="1080" w:hanging="1872"/>
    </w:pPr>
    <w:rPr>
      <w:rFonts w:ascii="Arial" w:hAnsi="Arial"/>
      <w:caps/>
    </w:rPr>
  </w:style>
  <w:style w:type="paragraph" w:customStyle="1" w:styleId="Heading3NoTOC">
    <w:name w:val="Heading 3_No TOC"/>
    <w:basedOn w:val="Heading3"/>
    <w:next w:val="Normal"/>
    <w:qFormat/>
    <w:rsid w:val="00381928"/>
    <w:pPr>
      <w:outlineLvl w:val="8"/>
    </w:pPr>
  </w:style>
  <w:style w:type="table" w:customStyle="1" w:styleId="TableGrid1">
    <w:name w:val="Table Grid1"/>
    <w:basedOn w:val="TableNormal"/>
    <w:next w:val="TableGrid"/>
    <w:uiPriority w:val="59"/>
    <w:rsid w:val="00E6255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E6255A"/>
    <w:rPr>
      <w:sz w:val="16"/>
      <w:szCs w:val="16"/>
    </w:rPr>
  </w:style>
  <w:style w:type="paragraph" w:styleId="CommentText">
    <w:name w:val="annotation text"/>
    <w:basedOn w:val="Normal"/>
    <w:link w:val="CommentTextChar"/>
    <w:uiPriority w:val="99"/>
    <w:semiHidden/>
    <w:unhideWhenUsed/>
    <w:rsid w:val="00E6255A"/>
    <w:pPr>
      <w:spacing w:line="240" w:lineRule="auto"/>
    </w:pPr>
    <w:rPr>
      <w:rFonts w:ascii="Garamond" w:hAnsi="Garamond"/>
      <w:sz w:val="20"/>
      <w:szCs w:val="20"/>
    </w:rPr>
  </w:style>
  <w:style w:type="character" w:customStyle="1" w:styleId="CommentTextChar">
    <w:name w:val="Comment Text Char"/>
    <w:basedOn w:val="DefaultParagraphFont"/>
    <w:link w:val="CommentText"/>
    <w:uiPriority w:val="99"/>
    <w:semiHidden/>
    <w:rsid w:val="00E6255A"/>
    <w:rPr>
      <w:sz w:val="20"/>
      <w:szCs w:val="20"/>
    </w:rPr>
  </w:style>
  <w:style w:type="paragraph" w:styleId="CommentSubject">
    <w:name w:val="annotation subject"/>
    <w:basedOn w:val="CommentText"/>
    <w:next w:val="CommentText"/>
    <w:link w:val="CommentSubjectChar"/>
    <w:uiPriority w:val="99"/>
    <w:semiHidden/>
    <w:unhideWhenUsed/>
    <w:rsid w:val="001E50D7"/>
    <w:rPr>
      <w:rFonts w:ascii="Times New Roman" w:hAnsi="Times New Roman"/>
      <w:b/>
      <w:bCs/>
    </w:rPr>
  </w:style>
  <w:style w:type="character" w:customStyle="1" w:styleId="CommentSubjectChar">
    <w:name w:val="Comment Subject Char"/>
    <w:basedOn w:val="CommentTextChar"/>
    <w:link w:val="CommentSubject"/>
    <w:uiPriority w:val="99"/>
    <w:semiHidden/>
    <w:rsid w:val="001E50D7"/>
    <w:rPr>
      <w:rFonts w:ascii="Times New Roman" w:hAnsi="Times New Roman"/>
      <w:b/>
      <w:bCs/>
      <w:sz w:val="20"/>
      <w:szCs w:val="20"/>
    </w:rPr>
  </w:style>
  <w:style w:type="paragraph" w:styleId="Revision">
    <w:name w:val="Revision"/>
    <w:hidden/>
    <w:uiPriority w:val="99"/>
    <w:semiHidden/>
    <w:rsid w:val="002B19AA"/>
    <w:rPr>
      <w:rFonts w:ascii="Times New Roman" w:hAnsi="Times New Roman"/>
    </w:rPr>
  </w:style>
  <w:style w:type="character" w:styleId="Hyperlink">
    <w:name w:val="Hyperlink"/>
    <w:basedOn w:val="DefaultParagraphFont"/>
    <w:uiPriority w:val="99"/>
    <w:unhideWhenUsed/>
    <w:rsid w:val="00D25A18"/>
    <w:rPr>
      <w:color w:val="0000FF" w:themeColor="hyperlink"/>
      <w:u w:val="single"/>
    </w:rPr>
  </w:style>
  <w:style w:type="character" w:styleId="FollowedHyperlink">
    <w:name w:val="FollowedHyperlink"/>
    <w:basedOn w:val="DefaultParagraphFont"/>
    <w:uiPriority w:val="99"/>
    <w:semiHidden/>
    <w:unhideWhenUsed/>
    <w:rsid w:val="00D25A1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aretransitions.org/documents/CTM3Specs080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bls.gov/spotlight/2008/older_workers/data.htm" TargetMode="External"/><Relationship Id="rId5" Type="http://schemas.openxmlformats.org/officeDocument/2006/relationships/webSettings" Target="webSettings.xml"/><Relationship Id="rId10" Type="http://schemas.openxmlformats.org/officeDocument/2006/relationships/hyperlink" Target="http://www.bls.gov/oes/current/oes_nat.htm" TargetMode="External"/><Relationship Id="rId4" Type="http://schemas.openxmlformats.org/officeDocument/2006/relationships/settings" Target="settings.xml"/><Relationship Id="rId9" Type="http://schemas.openxmlformats.org/officeDocument/2006/relationships/hyperlink" Target="https://www.cahps.ahrq.gov/content/products/HOSP/PROD_HOSP_Intro.as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MS-Tex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3705</Words>
  <Characters>21122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Beckmann</dc:creator>
  <cp:lastModifiedBy>CTAC</cp:lastModifiedBy>
  <cp:revision>2</cp:revision>
  <cp:lastPrinted>2012-05-30T17:19:00Z</cp:lastPrinted>
  <dcterms:created xsi:type="dcterms:W3CDTF">2012-06-15T21:33:00Z</dcterms:created>
  <dcterms:modified xsi:type="dcterms:W3CDTF">2012-06-15T21:33:00Z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