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7CD" w:rsidRDefault="00BA27CD" w:rsidP="00BA27CD">
      <w:pPr>
        <w:jc w:val="center"/>
        <w:rPr>
          <w:b/>
        </w:rPr>
      </w:pPr>
      <w:r w:rsidRPr="00D36A6D">
        <w:rPr>
          <w:b/>
        </w:rPr>
        <w:t>S</w:t>
      </w:r>
      <w:r w:rsidR="00D36A6D" w:rsidRPr="00D36A6D">
        <w:rPr>
          <w:b/>
        </w:rPr>
        <w:t>TATE ADOLESCENT TREATMENT</w:t>
      </w:r>
      <w:r w:rsidR="00FA531E">
        <w:rPr>
          <w:b/>
        </w:rPr>
        <w:t xml:space="preserve"> </w:t>
      </w:r>
      <w:r w:rsidR="00D36A6D" w:rsidRPr="00D36A6D">
        <w:rPr>
          <w:b/>
        </w:rPr>
        <w:t>ENHANCEMENT AND DISSEMINATION</w:t>
      </w:r>
      <w:r w:rsidRPr="00D36A6D">
        <w:rPr>
          <w:b/>
        </w:rPr>
        <w:t xml:space="preserve"> (SAT-ED)</w:t>
      </w:r>
      <w:r w:rsidR="00033816">
        <w:rPr>
          <w:b/>
        </w:rPr>
        <w:t xml:space="preserve"> </w:t>
      </w:r>
      <w:r w:rsidR="00912039">
        <w:rPr>
          <w:b/>
        </w:rPr>
        <w:t xml:space="preserve">AND STATE YOUTH TREATMENT ENHANCEMENT AND DISSEMINATION (SYT-ED) </w:t>
      </w:r>
      <w:r w:rsidR="00FA531E">
        <w:rPr>
          <w:b/>
        </w:rPr>
        <w:t>PROGRAM</w:t>
      </w:r>
      <w:r w:rsidR="00C648A8">
        <w:rPr>
          <w:b/>
        </w:rPr>
        <w:t xml:space="preserve">S BIANNUAL </w:t>
      </w:r>
      <w:r w:rsidR="001E505C">
        <w:rPr>
          <w:b/>
        </w:rPr>
        <w:t xml:space="preserve">PROGRESS REPORT ON </w:t>
      </w:r>
      <w:r w:rsidR="00C648A8" w:rsidRPr="00C648A8">
        <w:rPr>
          <w:b/>
        </w:rPr>
        <w:t>INFRASTRUCTURE</w:t>
      </w:r>
      <w:r w:rsidR="00C648A8">
        <w:rPr>
          <w:b/>
        </w:rPr>
        <w:t xml:space="preserve"> </w:t>
      </w:r>
      <w:r w:rsidR="00466618">
        <w:rPr>
          <w:b/>
        </w:rPr>
        <w:t xml:space="preserve">DEVELOPMENT </w:t>
      </w:r>
      <w:r w:rsidR="00C648A8">
        <w:rPr>
          <w:b/>
        </w:rPr>
        <w:t>MEASURES</w:t>
      </w:r>
    </w:p>
    <w:p w:rsidR="00466618" w:rsidRDefault="00466618" w:rsidP="00BA27CD">
      <w:pPr>
        <w:jc w:val="center"/>
        <w:rPr>
          <w:b/>
        </w:rPr>
      </w:pPr>
    </w:p>
    <w:p w:rsidR="00466618" w:rsidRPr="00D36A6D" w:rsidRDefault="00466618" w:rsidP="00BA27CD">
      <w:pPr>
        <w:jc w:val="center"/>
        <w:rPr>
          <w:b/>
        </w:rPr>
      </w:pPr>
      <w:r w:rsidRPr="00D36A6D">
        <w:rPr>
          <w:b/>
        </w:rPr>
        <w:t>SUPPORTING STATEMENT</w:t>
      </w:r>
    </w:p>
    <w:p w:rsidR="00BA27CD" w:rsidRPr="00D36A6D" w:rsidRDefault="00BA27CD" w:rsidP="00BA27CD"/>
    <w:p w:rsidR="00BA27CD" w:rsidRPr="00D36A6D" w:rsidRDefault="00BA27CD" w:rsidP="00BA27CD"/>
    <w:p w:rsidR="00BA27CD" w:rsidRPr="00D36A6D" w:rsidRDefault="00BA27CD" w:rsidP="00BA27CD">
      <w:pPr>
        <w:rPr>
          <w:b/>
        </w:rPr>
      </w:pPr>
      <w:bookmarkStart w:id="0" w:name="_Toc79980788"/>
      <w:bookmarkStart w:id="1" w:name="_Toc88277949"/>
      <w:bookmarkStart w:id="2" w:name="_Toc131564338"/>
      <w:r w:rsidRPr="00D36A6D">
        <w:rPr>
          <w:b/>
        </w:rPr>
        <w:t>A.</w:t>
      </w:r>
      <w:r w:rsidRPr="00D36A6D">
        <w:rPr>
          <w:b/>
        </w:rPr>
        <w:tab/>
        <w:t>JUSTIFICATION</w:t>
      </w:r>
      <w:bookmarkEnd w:id="0"/>
      <w:bookmarkEnd w:id="1"/>
      <w:bookmarkEnd w:id="2"/>
      <w:r w:rsidRPr="00D36A6D">
        <w:rPr>
          <w:b/>
        </w:rPr>
        <w:t xml:space="preserve"> </w:t>
      </w:r>
    </w:p>
    <w:p w:rsidR="00BA27CD" w:rsidRPr="00D36A6D" w:rsidRDefault="00BA27CD" w:rsidP="00BA27CD">
      <w:pPr>
        <w:rPr>
          <w:b/>
          <w:szCs w:val="20"/>
        </w:rPr>
      </w:pPr>
    </w:p>
    <w:p w:rsidR="00BA27CD" w:rsidRPr="00D36A6D" w:rsidRDefault="008D2346" w:rsidP="00BA27CD">
      <w:pPr>
        <w:tabs>
          <w:tab w:val="left" w:pos="720"/>
        </w:tabs>
        <w:rPr>
          <w:b/>
        </w:rPr>
      </w:pPr>
      <w:bookmarkStart w:id="3" w:name="_Toc88277950"/>
      <w:bookmarkStart w:id="4" w:name="_Toc131564339"/>
      <w:r>
        <w:rPr>
          <w:b/>
        </w:rPr>
        <w:t>A.</w:t>
      </w:r>
      <w:r w:rsidR="00BA27CD" w:rsidRPr="00D36A6D">
        <w:rPr>
          <w:b/>
        </w:rPr>
        <w:t>1.</w:t>
      </w:r>
      <w:r>
        <w:rPr>
          <w:b/>
        </w:rPr>
        <w:t xml:space="preserve"> </w:t>
      </w:r>
      <w:r w:rsidR="00BA27CD" w:rsidRPr="00C375A7">
        <w:rPr>
          <w:b/>
        </w:rPr>
        <w:t>Circumstances of Information Collection</w:t>
      </w:r>
      <w:bookmarkEnd w:id="3"/>
      <w:bookmarkEnd w:id="4"/>
    </w:p>
    <w:p w:rsidR="0066062D" w:rsidRDefault="0066062D">
      <w:pPr>
        <w:rPr>
          <w:color w:val="4F6228"/>
        </w:rPr>
      </w:pPr>
    </w:p>
    <w:p w:rsidR="004C345C" w:rsidRDefault="00FB7CFE">
      <w:r>
        <w:t xml:space="preserve">The Substance Abuse and Mental Health Services Administration (SAMHSA), Center for Substance Abuse Treatment is requesting approval from the Office of Management and Budget (OMB) for the </w:t>
      </w:r>
      <w:r w:rsidR="001064E5">
        <w:t xml:space="preserve">biannual </w:t>
      </w:r>
      <w:r>
        <w:t xml:space="preserve">progress report on </w:t>
      </w:r>
      <w:r w:rsidR="001064E5">
        <w:t>infrastructure development measure</w:t>
      </w:r>
      <w:r w:rsidR="004C345C">
        <w:t xml:space="preserve"> on </w:t>
      </w:r>
      <w:r w:rsidR="00F603A7">
        <w:t>(</w:t>
      </w:r>
      <w:r w:rsidR="004C345C">
        <w:t xml:space="preserve">1) the development of and improvements to </w:t>
      </w:r>
      <w:r w:rsidR="00635665">
        <w:t>state</w:t>
      </w:r>
      <w:r w:rsidR="004C345C">
        <w:t>/</w:t>
      </w:r>
      <w:r w:rsidR="00635665">
        <w:t>territory</w:t>
      </w:r>
      <w:r w:rsidR="004C345C">
        <w:t>/</w:t>
      </w:r>
      <w:r w:rsidR="00635665">
        <w:t>t</w:t>
      </w:r>
      <w:r w:rsidR="004C345C">
        <w:t>ribal grantees' capacity to increase access to and quality of treatment for adolescents (ages 12</w:t>
      </w:r>
      <w:r w:rsidR="00E546D4">
        <w:t xml:space="preserve"> to </w:t>
      </w:r>
      <w:r w:rsidR="004C345C">
        <w:t xml:space="preserve">18) </w:t>
      </w:r>
      <w:r w:rsidR="00A21568">
        <w:t xml:space="preserve">and transitional-aged youth (ages 18 to 24) </w:t>
      </w:r>
      <w:r w:rsidR="004C345C">
        <w:t>with substance use or co-occurring substance use and mental disorders and their families</w:t>
      </w:r>
      <w:r w:rsidR="00A82376">
        <w:t>/primary caregivers</w:t>
      </w:r>
      <w:r w:rsidR="004C345C">
        <w:t xml:space="preserve"> (e.g., foster care parents, extended family members); and </w:t>
      </w:r>
      <w:r w:rsidR="00F603A7">
        <w:t>(</w:t>
      </w:r>
      <w:r w:rsidR="004C345C">
        <w:t>2) enhancements and improvements to the quality of treatment and recovery services provided to adolescents</w:t>
      </w:r>
      <w:r w:rsidR="00F87A01">
        <w:t xml:space="preserve"> and transitional-aged youth</w:t>
      </w:r>
      <w:r w:rsidR="004C345C">
        <w:t xml:space="preserve"> and their families for the treatment of substance use or co-occurring substance use and mental</w:t>
      </w:r>
      <w:r w:rsidR="004D0756">
        <w:t xml:space="preserve"> disorders. </w:t>
      </w:r>
      <w:r w:rsidR="004D0756" w:rsidRPr="00392678">
        <w:t xml:space="preserve">Members of the target audience for the </w:t>
      </w:r>
      <w:r w:rsidR="000D0A69">
        <w:t>progress report</w:t>
      </w:r>
      <w:r w:rsidR="004D0756" w:rsidRPr="00392678">
        <w:t xml:space="preserve"> are </w:t>
      </w:r>
      <w:r w:rsidR="004D0756" w:rsidRPr="0006127C">
        <w:t>administrators</w:t>
      </w:r>
      <w:r w:rsidR="004D0756" w:rsidRPr="00392678">
        <w:t xml:space="preserve"> of each of the</w:t>
      </w:r>
      <w:r w:rsidR="004D0756">
        <w:t xml:space="preserve"> </w:t>
      </w:r>
      <w:r w:rsidR="00A21568">
        <w:t>35</w:t>
      </w:r>
      <w:r w:rsidR="004D0756" w:rsidRPr="00392678">
        <w:t xml:space="preserve"> </w:t>
      </w:r>
      <w:r w:rsidR="00635665">
        <w:t xml:space="preserve">SAT-ED </w:t>
      </w:r>
      <w:r w:rsidR="00681FC4">
        <w:t xml:space="preserve">and SYT-ED </w:t>
      </w:r>
      <w:r w:rsidR="004D0756" w:rsidRPr="00392678">
        <w:t>grantees (</w:t>
      </w:r>
      <w:r w:rsidR="00E31A43">
        <w:t>i.</w:t>
      </w:r>
      <w:r w:rsidR="004D0756" w:rsidRPr="00392678">
        <w:t xml:space="preserve">e., </w:t>
      </w:r>
      <w:r w:rsidR="004D0756" w:rsidRPr="00C375A7">
        <w:t>Project Directors</w:t>
      </w:r>
      <w:r w:rsidR="00624322" w:rsidRPr="00C375A7">
        <w:t xml:space="preserve"> and/or</w:t>
      </w:r>
      <w:r w:rsidR="00E31A43" w:rsidRPr="00C375A7">
        <w:t xml:space="preserve"> Program Managers</w:t>
      </w:r>
      <w:r w:rsidR="004D0756" w:rsidRPr="00392678">
        <w:t>).</w:t>
      </w:r>
      <w:r w:rsidR="00F06D11">
        <w:t xml:space="preserve"> In addition, grantees may use </w:t>
      </w:r>
      <w:r w:rsidR="00681FC4">
        <w:t xml:space="preserve">up to two </w:t>
      </w:r>
      <w:r w:rsidR="00F06D11">
        <w:t xml:space="preserve">other program staff </w:t>
      </w:r>
      <w:r w:rsidR="006D3EC3">
        <w:t xml:space="preserve">members </w:t>
      </w:r>
      <w:r w:rsidR="00F06D11">
        <w:t xml:space="preserve">(e.g., </w:t>
      </w:r>
      <w:r w:rsidR="00F06D11" w:rsidRPr="00C375A7">
        <w:t>Evaluators, Clinical Supervisors, Site Coordinators</w:t>
      </w:r>
      <w:r w:rsidR="00F06D11">
        <w:t xml:space="preserve">) to assist with gathering information to complete the </w:t>
      </w:r>
      <w:r w:rsidR="000D0A69">
        <w:t>progress report</w:t>
      </w:r>
      <w:r w:rsidR="00F06D11">
        <w:t>.</w:t>
      </w:r>
    </w:p>
    <w:p w:rsidR="00392678" w:rsidRDefault="00392678"/>
    <w:p w:rsidR="00B82E00" w:rsidRPr="00B82E00" w:rsidRDefault="00B82E00" w:rsidP="00B82E00">
      <w:r w:rsidRPr="00B82E00">
        <w:t xml:space="preserve">In </w:t>
      </w:r>
      <w:r w:rsidR="00F603A7">
        <w:t>Fiscal Year (</w:t>
      </w:r>
      <w:r w:rsidRPr="00B82E00">
        <w:t>FY</w:t>
      </w:r>
      <w:r w:rsidR="00F603A7">
        <w:t xml:space="preserve">) </w:t>
      </w:r>
      <w:r w:rsidRPr="00B82E00">
        <w:t xml:space="preserve">2005, CSAT’s State Adolescent Substance Abuse Treatment Coordination (SAC) grant program established the importance of assisting states in developing a structure for delivery of evidence-based treatments to reach youth in need across an entire state. Since FY2006, there have also been four discretionary grant-funded cohorts in Family Centered Substance Abuse Treatment Grants for Adolescents and their Families (also known as Assertive Adolescent and Family Treatment [AAFT]), which stressed the implementation of </w:t>
      </w:r>
      <w:r w:rsidR="0073633E">
        <w:t>evidence-based practices (EBPs)</w:t>
      </w:r>
      <w:r w:rsidRPr="00B82E00">
        <w:t xml:space="preserve"> at the local level. In 2012</w:t>
      </w:r>
      <w:r w:rsidR="00681FC4">
        <w:t>–</w:t>
      </w:r>
      <w:r w:rsidR="00A21568">
        <w:t>2013</w:t>
      </w:r>
      <w:r w:rsidRPr="00B82E00">
        <w:t xml:space="preserve">, SAMHSA combined the essential aspects of both the SAC and AAFT grant programs into the SAT-ED </w:t>
      </w:r>
      <w:r w:rsidR="00A21568">
        <w:t xml:space="preserve">and SYT-ED </w:t>
      </w:r>
      <w:r w:rsidRPr="00B82E00">
        <w:t>program</w:t>
      </w:r>
      <w:r w:rsidR="00A21568">
        <w:t>s</w:t>
      </w:r>
      <w:r w:rsidRPr="00B82E00">
        <w:t>.</w:t>
      </w:r>
    </w:p>
    <w:p w:rsidR="00B82E00" w:rsidRDefault="00B82E00"/>
    <w:p w:rsidR="001D1BDB" w:rsidRDefault="004D0756">
      <w:r>
        <w:t>The SA</w:t>
      </w:r>
      <w:r w:rsidRPr="00D4505C">
        <w:t>T</w:t>
      </w:r>
      <w:r>
        <w:t>-ED</w:t>
      </w:r>
      <w:r w:rsidRPr="00D4505C">
        <w:t xml:space="preserve"> </w:t>
      </w:r>
      <w:r w:rsidR="00A21568">
        <w:t xml:space="preserve">and SYT-ED </w:t>
      </w:r>
      <w:r w:rsidRPr="00D4505C">
        <w:t>program</w:t>
      </w:r>
      <w:r w:rsidR="00A21568">
        <w:t>s</w:t>
      </w:r>
      <w:r w:rsidRPr="00D4505C">
        <w:t xml:space="preserve"> </w:t>
      </w:r>
      <w:r w:rsidR="00A21568">
        <w:t>are</w:t>
      </w:r>
      <w:r w:rsidRPr="00D4505C">
        <w:t xml:space="preserve"> authorized </w:t>
      </w:r>
      <w:r w:rsidRPr="0006127C">
        <w:t>under Section 509 of the Public Health Service Act, as amended. The program also addresses Healthy People 2020 Focus Area 2020-6-Substance Abuse (D</w:t>
      </w:r>
      <w:r w:rsidR="003D144D">
        <w:t xml:space="preserve">epartment of </w:t>
      </w:r>
      <w:r w:rsidRPr="0006127C">
        <w:t>H</w:t>
      </w:r>
      <w:r w:rsidR="003D144D">
        <w:t xml:space="preserve">ealth and </w:t>
      </w:r>
      <w:r w:rsidRPr="0006127C">
        <w:t>H</w:t>
      </w:r>
      <w:r w:rsidR="003D144D">
        <w:t xml:space="preserve">uman </w:t>
      </w:r>
      <w:r w:rsidRPr="0006127C">
        <w:t>S</w:t>
      </w:r>
      <w:r w:rsidR="003D144D">
        <w:t>ervices</w:t>
      </w:r>
      <w:r w:rsidR="00D279DE">
        <w:t xml:space="preserve"> [DHHS]</w:t>
      </w:r>
      <w:r w:rsidRPr="0006127C">
        <w:t>). The White</w:t>
      </w:r>
      <w:r w:rsidRPr="00E65858">
        <w:t xml:space="preserve"> House National Drug Control Strategy (NDCS) emphasizes (1) preventing drug use before it starts</w:t>
      </w:r>
      <w:r>
        <w:t>,</w:t>
      </w:r>
      <w:r w:rsidRPr="00E65858">
        <w:t xml:space="preserve"> (2) intervening </w:t>
      </w:r>
      <w:r>
        <w:t xml:space="preserve">with </w:t>
      </w:r>
      <w:r w:rsidRPr="00E65858">
        <w:t>and healing those who already use drugs</w:t>
      </w:r>
      <w:r>
        <w:t>,</w:t>
      </w:r>
      <w:r w:rsidRPr="00E65858">
        <w:t xml:space="preserve"> and (3) disrupting the market for illicit substances (</w:t>
      </w:r>
      <w:r>
        <w:t>Office of National Drug Control Policy [</w:t>
      </w:r>
      <w:r w:rsidRPr="00E65858">
        <w:t>ONDCP</w:t>
      </w:r>
      <w:r>
        <w:t>]</w:t>
      </w:r>
      <w:r w:rsidRPr="00E65858">
        <w:t>, 20</w:t>
      </w:r>
      <w:r w:rsidR="00A21568">
        <w:t>13</w:t>
      </w:r>
      <w:r w:rsidR="00C86E5B">
        <w:fldChar w:fldCharType="begin"/>
      </w:r>
      <w:r>
        <w:instrText xml:space="preserve"> XE "</w:instrText>
      </w:r>
      <w:r w:rsidRPr="00066547">
        <w:instrText>ONDCP, 2007</w:instrText>
      </w:r>
      <w:r>
        <w:instrText xml:space="preserve">" </w:instrText>
      </w:r>
      <w:r w:rsidR="00C86E5B">
        <w:fldChar w:fldCharType="end"/>
      </w:r>
      <w:r w:rsidRPr="00E65858">
        <w:t xml:space="preserve">). </w:t>
      </w:r>
      <w:r w:rsidR="00E87ECB" w:rsidRPr="00277B31">
        <w:t xml:space="preserve">The authorization for this effort was provided by the </w:t>
      </w:r>
      <w:r w:rsidR="00FD6FB4" w:rsidRPr="00FD6FB4">
        <w:t>Dr. H. Westley Clark, Director of the Center for Substance Abuse Treatment, Substance Abuse and Mental Health Services Administration</w:t>
      </w:r>
      <w:r w:rsidR="00E87ECB" w:rsidRPr="00277B31">
        <w:t>.</w:t>
      </w:r>
      <w:r w:rsidR="00277B31" w:rsidRPr="00277B31">
        <w:t xml:space="preserve"> It</w:t>
      </w:r>
      <w:r w:rsidR="00E87ECB" w:rsidRPr="00277B31">
        <w:t xml:space="preserve"> is in accordance with Executive Order 12862 (</w:t>
      </w:r>
      <w:r w:rsidR="00F603A7">
        <w:t xml:space="preserve">see </w:t>
      </w:r>
      <w:r w:rsidR="00E87ECB" w:rsidRPr="00277B31">
        <w:t>Attachment A</w:t>
      </w:r>
      <w:r w:rsidR="00CB452B">
        <w:t>2</w:t>
      </w:r>
      <w:r w:rsidR="00E87ECB" w:rsidRPr="00277B31">
        <w:t xml:space="preserve">) </w:t>
      </w:r>
      <w:r w:rsidR="00FD47EC" w:rsidRPr="00277B31">
        <w:t>and is consistent</w:t>
      </w:r>
      <w:r w:rsidR="0040197F" w:rsidRPr="00277B31">
        <w:t xml:space="preserve"> with</w:t>
      </w:r>
      <w:r w:rsidR="0040197F">
        <w:t xml:space="preserve"> SAMHSA</w:t>
      </w:r>
      <w:r w:rsidR="00FD47EC" w:rsidRPr="0040197F">
        <w:t>’s</w:t>
      </w:r>
      <w:r w:rsidR="00FD47EC" w:rsidRPr="00C369D8">
        <w:rPr>
          <w:color w:val="4F6228"/>
        </w:rPr>
        <w:t xml:space="preserve"> </w:t>
      </w:r>
      <w:r w:rsidR="00FD47EC" w:rsidRPr="0040197F">
        <w:t xml:space="preserve">mission </w:t>
      </w:r>
      <w:r>
        <w:t>to reduce the impact of substance abuse and mental illness on America’s communities</w:t>
      </w:r>
      <w:r w:rsidRPr="004D0756">
        <w:t xml:space="preserve">. </w:t>
      </w:r>
      <w:r w:rsidR="00FD47EC" w:rsidRPr="004D0756">
        <w:t xml:space="preserve">The primary </w:t>
      </w:r>
      <w:r w:rsidR="00FD47EC" w:rsidRPr="004D0756">
        <w:lastRenderedPageBreak/>
        <w:t>purpose of this project is to gather i</w:t>
      </w:r>
      <w:r w:rsidRPr="004D0756">
        <w:t xml:space="preserve">nformation from recipients </w:t>
      </w:r>
      <w:r w:rsidR="00F0571A">
        <w:t xml:space="preserve">across </w:t>
      </w:r>
      <w:r w:rsidR="004A2BE0">
        <w:t>three</w:t>
      </w:r>
      <w:r w:rsidR="00F0571A">
        <w:t xml:space="preserve"> cohorts </w:t>
      </w:r>
      <w:r w:rsidRPr="004D0756">
        <w:t xml:space="preserve">of </w:t>
      </w:r>
      <w:r w:rsidR="00096C93">
        <w:t>SAT-ED</w:t>
      </w:r>
      <w:r w:rsidR="00CB452B">
        <w:t xml:space="preserve"> and SYT-ED</w:t>
      </w:r>
      <w:r w:rsidR="00096C93" w:rsidRPr="004D0756">
        <w:t xml:space="preserve"> </w:t>
      </w:r>
      <w:r w:rsidRPr="004D0756">
        <w:t>grant</w:t>
      </w:r>
      <w:r w:rsidR="00F603A7">
        <w:t>ee</w:t>
      </w:r>
      <w:r w:rsidRPr="004D0756">
        <w:t>s</w:t>
      </w:r>
      <w:r w:rsidR="00096C93">
        <w:t xml:space="preserve"> </w:t>
      </w:r>
      <w:r w:rsidR="00FD47EC" w:rsidRPr="00336F9A">
        <w:t>to (1) inform</w:t>
      </w:r>
      <w:r w:rsidR="00B51A0F">
        <w:t xml:space="preserve"> </w:t>
      </w:r>
      <w:r w:rsidR="00550AF5">
        <w:t>develop</w:t>
      </w:r>
      <w:r w:rsidR="00B51A0F">
        <w:t>ment of</w:t>
      </w:r>
      <w:r w:rsidR="0016610E">
        <w:t xml:space="preserve"> </w:t>
      </w:r>
      <w:r w:rsidR="00B82E00">
        <w:t xml:space="preserve">a coordinated network that will </w:t>
      </w:r>
      <w:r w:rsidR="00096C93">
        <w:t xml:space="preserve">expand state/territorial/tribal </w:t>
      </w:r>
      <w:r w:rsidR="00626FBF">
        <w:t xml:space="preserve">capacity to </w:t>
      </w:r>
      <w:r w:rsidR="00B82E00">
        <w:t>improve the integration and efficiency of the adolescent and transitional</w:t>
      </w:r>
      <w:r w:rsidR="00F603A7">
        <w:t>-</w:t>
      </w:r>
      <w:r w:rsidR="00B82E00">
        <w:t xml:space="preserve">aged youth substance use and co-occurring substance use and mental disorders treatment and recovery support system </w:t>
      </w:r>
      <w:r w:rsidR="00FD47EC" w:rsidRPr="00336F9A">
        <w:t>and</w:t>
      </w:r>
      <w:r w:rsidR="00FD47EC" w:rsidRPr="00C369D8">
        <w:rPr>
          <w:color w:val="4F6228"/>
        </w:rPr>
        <w:t xml:space="preserve"> </w:t>
      </w:r>
      <w:r w:rsidR="00FD47EC" w:rsidRPr="00336F9A">
        <w:t xml:space="preserve">(2) </w:t>
      </w:r>
      <w:r w:rsidR="00626FBF">
        <w:t>increase access to and</w:t>
      </w:r>
      <w:r w:rsidR="001D1BDB">
        <w:t xml:space="preserve"> </w:t>
      </w:r>
      <w:r w:rsidR="00852E7F">
        <w:t>improve quality</w:t>
      </w:r>
      <w:r w:rsidR="001D1BDB">
        <w:t xml:space="preserve"> of treatment </w:t>
      </w:r>
      <w:r w:rsidR="0016610E">
        <w:t xml:space="preserve">and recovery </w:t>
      </w:r>
      <w:r w:rsidR="001D1BDB">
        <w:t>services for adolescents, transitional</w:t>
      </w:r>
      <w:r w:rsidR="00F603A7">
        <w:t>-</w:t>
      </w:r>
      <w:r w:rsidR="001D1BDB">
        <w:t xml:space="preserve">aged youth, and their families/primary </w:t>
      </w:r>
      <w:r w:rsidR="001D1BDB" w:rsidRPr="00C375A7">
        <w:t>caregivers.</w:t>
      </w:r>
      <w:r w:rsidR="00336F9A" w:rsidRPr="00336F9A">
        <w:t xml:space="preserve"> </w:t>
      </w:r>
    </w:p>
    <w:p w:rsidR="00336F9A" w:rsidRDefault="00336F9A">
      <w:pPr>
        <w:rPr>
          <w:color w:val="4F6228"/>
        </w:rPr>
      </w:pPr>
    </w:p>
    <w:p w:rsidR="008A5674" w:rsidRDefault="008A5674" w:rsidP="00336F9A">
      <w:r>
        <w:t>SAMHSA has recognized the need for accessible, effective substance abuse treatment for adolescents and transitional</w:t>
      </w:r>
      <w:r w:rsidR="00FA0433">
        <w:t>-</w:t>
      </w:r>
      <w:r>
        <w:t>aged y</w:t>
      </w:r>
      <w:r w:rsidR="00CC3473">
        <w:t>outh.</w:t>
      </w:r>
      <w:r w:rsidR="00E74BB5">
        <w:t xml:space="preserve"> </w:t>
      </w:r>
      <w:r w:rsidR="00CC3473">
        <w:t>It has identified challenges</w:t>
      </w:r>
      <w:r>
        <w:t xml:space="preserve"> within </w:t>
      </w:r>
      <w:r w:rsidR="00624322">
        <w:t xml:space="preserve">state </w:t>
      </w:r>
      <w:r>
        <w:t>structures that make providing funding and services for adolescents and transitional</w:t>
      </w:r>
      <w:r w:rsidR="00FA0433">
        <w:t>-</w:t>
      </w:r>
      <w:r>
        <w:t>aged youth difficult.</w:t>
      </w:r>
      <w:r w:rsidR="00E74BB5">
        <w:t xml:space="preserve"> </w:t>
      </w:r>
      <w:r>
        <w:t>A major contributor to the weaknesses in the adolescent</w:t>
      </w:r>
      <w:r w:rsidR="00CB452B">
        <w:t xml:space="preserve"> and transitional-aged youth</w:t>
      </w:r>
      <w:r>
        <w:t xml:space="preserve"> substance use and co-occurring substance use and mental disorder</w:t>
      </w:r>
      <w:r w:rsidR="00624322">
        <w:t>s</w:t>
      </w:r>
      <w:r>
        <w:t xml:space="preserve"> treatment system is that several </w:t>
      </w:r>
      <w:r w:rsidR="00624322">
        <w:t>states</w:t>
      </w:r>
      <w:r>
        <w:t>/</w:t>
      </w:r>
      <w:r w:rsidR="00624322">
        <w:t>tribes</w:t>
      </w:r>
      <w:r>
        <w:t>/</w:t>
      </w:r>
      <w:r w:rsidR="00624322">
        <w:t xml:space="preserve">territories </w:t>
      </w:r>
      <w:r>
        <w:t xml:space="preserve">have not </w:t>
      </w:r>
      <w:r w:rsidR="00F87A01">
        <w:t>developed</w:t>
      </w:r>
      <w:r>
        <w:t xml:space="preserve"> an accessible, effective treatment system for adolescents, transitional</w:t>
      </w:r>
      <w:r w:rsidR="00FA0433">
        <w:t>-</w:t>
      </w:r>
      <w:r>
        <w:t>aged youth</w:t>
      </w:r>
      <w:r w:rsidR="00624322">
        <w:t>,</w:t>
      </w:r>
      <w:r>
        <w:t xml:space="preserve"> and their families/primary care</w:t>
      </w:r>
      <w:r w:rsidR="00A57879">
        <w:t>giv</w:t>
      </w:r>
      <w:r>
        <w:t>ers. SAMHSA has recognized that state officials are in the position</w:t>
      </w:r>
      <w:r w:rsidR="00CC3473">
        <w:t xml:space="preserve"> to coordinate these efforts; c</w:t>
      </w:r>
      <w:r>
        <w:t>oncurre</w:t>
      </w:r>
      <w:r w:rsidR="00BA536D">
        <w:t>n</w:t>
      </w:r>
      <w:r>
        <w:t xml:space="preserve">tly, SAMHSA has also strongly supported the implementation of </w:t>
      </w:r>
      <w:r w:rsidR="003F17C9">
        <w:t xml:space="preserve">family-centered, community-based, and context-specific </w:t>
      </w:r>
      <w:r w:rsidR="0073633E">
        <w:t>EBPs</w:t>
      </w:r>
      <w:r>
        <w:t xml:space="preserve"> with a focus on the interaction between adolescents and/or transitional</w:t>
      </w:r>
      <w:r w:rsidR="003F17C9">
        <w:t>-</w:t>
      </w:r>
      <w:r>
        <w:t xml:space="preserve">aged youth and their environments. </w:t>
      </w:r>
    </w:p>
    <w:p w:rsidR="008A5674" w:rsidRDefault="008A5674" w:rsidP="00336F9A"/>
    <w:p w:rsidR="00336F9A" w:rsidRPr="0006600B" w:rsidRDefault="00336F9A" w:rsidP="00336F9A">
      <w:r w:rsidRPr="0006600B">
        <w:t>As part of the SAT-ED</w:t>
      </w:r>
      <w:r w:rsidR="00624322">
        <w:t xml:space="preserve"> </w:t>
      </w:r>
      <w:r w:rsidR="00CB452B">
        <w:t xml:space="preserve">and SYT-ED </w:t>
      </w:r>
      <w:r w:rsidR="00624322">
        <w:t>program</w:t>
      </w:r>
      <w:r w:rsidR="00CB452B">
        <w:t>s</w:t>
      </w:r>
      <w:r w:rsidRPr="0006600B">
        <w:t xml:space="preserve">, the information collected from this </w:t>
      </w:r>
      <w:r w:rsidR="001064E5">
        <w:t>biannual infrastructure development measure</w:t>
      </w:r>
      <w:r w:rsidRPr="0006600B">
        <w:t xml:space="preserve"> will produce the key infrastructure development data </w:t>
      </w:r>
      <w:r w:rsidR="007055B2">
        <w:t>needed</w:t>
      </w:r>
      <w:r w:rsidR="007055B2" w:rsidRPr="0006600B">
        <w:t xml:space="preserve"> </w:t>
      </w:r>
      <w:r w:rsidRPr="0006600B">
        <w:t xml:space="preserve">to assist </w:t>
      </w:r>
      <w:r w:rsidR="00624322">
        <w:t>s</w:t>
      </w:r>
      <w:r w:rsidR="00624322" w:rsidRPr="0006600B">
        <w:t>tates</w:t>
      </w:r>
      <w:r w:rsidRPr="0006600B">
        <w:t>/</w:t>
      </w:r>
      <w:r w:rsidR="00624322">
        <w:t>t</w:t>
      </w:r>
      <w:r w:rsidR="00624322" w:rsidRPr="0006600B">
        <w:t>erritories</w:t>
      </w:r>
      <w:r w:rsidRPr="0006600B">
        <w:t>/</w:t>
      </w:r>
      <w:r w:rsidR="00624322">
        <w:t>t</w:t>
      </w:r>
      <w:r w:rsidR="00624322" w:rsidRPr="0006600B">
        <w:t xml:space="preserve">ribes </w:t>
      </w:r>
      <w:r w:rsidRPr="0006600B">
        <w:t>as they develop processes that can be used to expand and enhance treatment and recovery systems for adolescents</w:t>
      </w:r>
      <w:r w:rsidR="00F87A01">
        <w:t xml:space="preserve"> and transitional-aged youth</w:t>
      </w:r>
      <w:r w:rsidRPr="0006600B">
        <w:t xml:space="preserve"> with substance use or co-occurring substance use and mental disorders</w:t>
      </w:r>
      <w:r w:rsidR="00C901E1">
        <w:t xml:space="preserve"> </w:t>
      </w:r>
      <w:r w:rsidR="00C901E1" w:rsidRPr="0006600B">
        <w:t>and their families</w:t>
      </w:r>
      <w:r w:rsidRPr="0006600B">
        <w:t>. In addition, the information collected is expected to aid in the identification (and decrease) of differences in access, service use, and outcomes of services among adolescent</w:t>
      </w:r>
      <w:r w:rsidR="00F87A01">
        <w:t xml:space="preserve"> and transitional-aged youth</w:t>
      </w:r>
      <w:r w:rsidRPr="0006600B">
        <w:t xml:space="preserve"> populations vulnerable to health disparities</w:t>
      </w:r>
      <w:r w:rsidR="00C901E1">
        <w:t>.</w:t>
      </w:r>
    </w:p>
    <w:p w:rsidR="00901822" w:rsidRPr="00901822" w:rsidRDefault="00901822" w:rsidP="00901822">
      <w:pPr>
        <w:pStyle w:val="NormalWeb"/>
      </w:pPr>
      <w:r w:rsidRPr="00901822">
        <w:t>The information to be collected will inform SAMHSA on both state-level and site</w:t>
      </w:r>
      <w:r w:rsidR="00096C93">
        <w:t>-</w:t>
      </w:r>
      <w:r w:rsidRPr="00901822">
        <w:t>level progress in infrastructure and services enhancement and expansion</w:t>
      </w:r>
      <w:r w:rsidR="007055B2">
        <w:t>,</w:t>
      </w:r>
      <w:r w:rsidR="00624322">
        <w:t xml:space="preserve"> and</w:t>
      </w:r>
      <w:r w:rsidRPr="00901822">
        <w:t xml:space="preserve"> </w:t>
      </w:r>
      <w:r w:rsidR="007055B2">
        <w:t xml:space="preserve">it will </w:t>
      </w:r>
      <w:r w:rsidR="00624322">
        <w:t>enable</w:t>
      </w:r>
      <w:r w:rsidR="00624322" w:rsidRPr="00901822">
        <w:t xml:space="preserve"> </w:t>
      </w:r>
      <w:r w:rsidRPr="00901822">
        <w:t>monitoring of how this information is being used by grant recipients to improve management of their grant projects. The draft infrastructure measures that have been created are based on the programmatic requirements conveyed in TI-12-006, Cooperative Agreements for SAT-ED</w:t>
      </w:r>
      <w:r w:rsidR="0080528E">
        <w:t xml:space="preserve"> and TI-13-014, Cooperative Agreements for SYT-ED</w:t>
      </w:r>
      <w:r w:rsidRPr="00901822">
        <w:t>. </w:t>
      </w:r>
    </w:p>
    <w:p w:rsidR="00624322" w:rsidRDefault="004D336A" w:rsidP="004D336A">
      <w:r w:rsidRPr="004D336A">
        <w:rPr>
          <w:color w:val="000000"/>
        </w:rPr>
        <w:t>SAMHSA</w:t>
      </w:r>
      <w:r w:rsidR="00A61F14">
        <w:rPr>
          <w:color w:val="000000"/>
        </w:rPr>
        <w:t>’s</w:t>
      </w:r>
      <w:r w:rsidRPr="004D336A">
        <w:rPr>
          <w:color w:val="000000"/>
        </w:rPr>
        <w:t xml:space="preserve"> Strategic </w:t>
      </w:r>
      <w:r w:rsidR="00624322">
        <w:rPr>
          <w:color w:val="000000"/>
        </w:rPr>
        <w:t>I</w:t>
      </w:r>
      <w:r w:rsidR="00624322" w:rsidRPr="004D336A">
        <w:rPr>
          <w:color w:val="000000"/>
        </w:rPr>
        <w:t xml:space="preserve">nitiatives </w:t>
      </w:r>
      <w:r w:rsidRPr="004D336A">
        <w:rPr>
          <w:color w:val="000000"/>
        </w:rPr>
        <w:t>help people with mental and substance use disorders, support the families of people with mental and substance use disorders, build strong and supportive communities, prevent costly behavioral health problems, and promote better health for all Americans</w:t>
      </w:r>
      <w:r>
        <w:rPr>
          <w:color w:val="000000"/>
        </w:rPr>
        <w:t xml:space="preserve">. </w:t>
      </w:r>
      <w:r w:rsidR="000902FF">
        <w:rPr>
          <w:color w:val="000000"/>
        </w:rPr>
        <w:t xml:space="preserve">The desire of </w:t>
      </w:r>
      <w:r w:rsidR="00096C93">
        <w:rPr>
          <w:color w:val="000000"/>
        </w:rPr>
        <w:t>SAMHSA</w:t>
      </w:r>
      <w:r w:rsidRPr="004D336A">
        <w:t xml:space="preserve"> to collect information </w:t>
      </w:r>
      <w:r w:rsidR="007055B2">
        <w:t>about</w:t>
      </w:r>
      <w:r w:rsidR="007055B2" w:rsidRPr="004D336A">
        <w:t xml:space="preserve"> </w:t>
      </w:r>
      <w:r w:rsidRPr="004D336A">
        <w:t>infrastructure development measures at the state</w:t>
      </w:r>
      <w:r w:rsidR="000902FF">
        <w:t xml:space="preserve"> and site </w:t>
      </w:r>
      <w:r w:rsidRPr="004D336A">
        <w:t>level</w:t>
      </w:r>
      <w:r w:rsidR="000902FF">
        <w:t>s</w:t>
      </w:r>
      <w:r w:rsidRPr="004D336A">
        <w:t xml:space="preserve"> is timely and consistent in supporting SAMHSA’s Trauma and Justice, Recovery Support, and Health Reform Strategic Initiatives, as well as supporting the Federal Government’s intent to ensure that its programs are effective. </w:t>
      </w:r>
    </w:p>
    <w:p w:rsidR="00624322" w:rsidRDefault="00624322" w:rsidP="004D336A"/>
    <w:p w:rsidR="004D336A" w:rsidRDefault="004D336A" w:rsidP="004D336A">
      <w:pPr>
        <w:rPr>
          <w:color w:val="4F6228"/>
        </w:rPr>
      </w:pPr>
      <w:r w:rsidRPr="004D336A">
        <w:t>This data collection effort is intended to provide SAMHSA with valuable information from recipients of SAT-ED</w:t>
      </w:r>
      <w:r w:rsidR="0080528E">
        <w:t xml:space="preserve"> and SYT-ED</w:t>
      </w:r>
      <w:r w:rsidRPr="004D336A">
        <w:t xml:space="preserve"> </w:t>
      </w:r>
      <w:r w:rsidR="00A61F14">
        <w:t xml:space="preserve">grants </w:t>
      </w:r>
      <w:r w:rsidRPr="004D336A">
        <w:t xml:space="preserve">who can </w:t>
      </w:r>
      <w:r w:rsidRPr="00336F9A">
        <w:t xml:space="preserve">provide information </w:t>
      </w:r>
      <w:r w:rsidR="00F90C04">
        <w:t>about</w:t>
      </w:r>
      <w:r w:rsidRPr="00336F9A">
        <w:t xml:space="preserve"> various </w:t>
      </w:r>
      <w:r w:rsidRPr="00336F9A">
        <w:lastRenderedPageBreak/>
        <w:t xml:space="preserve">benchmarks </w:t>
      </w:r>
      <w:r w:rsidR="00624322">
        <w:t xml:space="preserve">of infrastructure development </w:t>
      </w:r>
      <w:r w:rsidRPr="00336F9A">
        <w:t>on a semi-annual basis.</w:t>
      </w:r>
      <w:r w:rsidRPr="00336F9A">
        <w:rPr>
          <w:rFonts w:ascii="Arial" w:hAnsi="Arial" w:cs="Arial"/>
        </w:rPr>
        <w:t xml:space="preserve"> </w:t>
      </w:r>
      <w:r w:rsidRPr="00336F9A">
        <w:t>Ensuring the usefulness of SAMHSA’s cooperative agreements is of utmost importance if SAMHSA is to be able to continually</w:t>
      </w:r>
      <w:r w:rsidRPr="00C369D8">
        <w:rPr>
          <w:color w:val="4F6228"/>
        </w:rPr>
        <w:t xml:space="preserve"> </w:t>
      </w:r>
      <w:r w:rsidRPr="004D336A">
        <w:rPr>
          <w:color w:val="000000"/>
        </w:rPr>
        <w:t>help people with men</w:t>
      </w:r>
      <w:r w:rsidR="00336F9A">
        <w:rPr>
          <w:color w:val="000000"/>
        </w:rPr>
        <w:t>tal and substance use disorders and</w:t>
      </w:r>
      <w:r w:rsidRPr="004D336A">
        <w:rPr>
          <w:color w:val="000000"/>
        </w:rPr>
        <w:t xml:space="preserve"> </w:t>
      </w:r>
      <w:r w:rsidR="006A3EB3">
        <w:rPr>
          <w:color w:val="000000"/>
        </w:rPr>
        <w:t xml:space="preserve">provide </w:t>
      </w:r>
      <w:r w:rsidRPr="004D336A">
        <w:rPr>
          <w:color w:val="000000"/>
        </w:rPr>
        <w:t xml:space="preserve">support </w:t>
      </w:r>
      <w:r w:rsidR="006A3EB3">
        <w:rPr>
          <w:color w:val="000000"/>
        </w:rPr>
        <w:t xml:space="preserve">to </w:t>
      </w:r>
      <w:r w:rsidRPr="004D336A">
        <w:rPr>
          <w:color w:val="000000"/>
        </w:rPr>
        <w:t>the</w:t>
      </w:r>
      <w:r w:rsidR="006A3EB3">
        <w:rPr>
          <w:color w:val="000000"/>
        </w:rPr>
        <w:t>ir</w:t>
      </w:r>
      <w:r w:rsidRPr="004D336A">
        <w:rPr>
          <w:color w:val="000000"/>
        </w:rPr>
        <w:t xml:space="preserve"> families</w:t>
      </w:r>
      <w:r w:rsidR="00336F9A">
        <w:rPr>
          <w:color w:val="000000"/>
        </w:rPr>
        <w:t xml:space="preserve">. Specifically, this data collection is intended to provide SAMHSA with valuable information regarding </w:t>
      </w:r>
      <w:r w:rsidR="000902FF">
        <w:rPr>
          <w:color w:val="000000"/>
        </w:rPr>
        <w:t xml:space="preserve">SAT-ED </w:t>
      </w:r>
      <w:r w:rsidR="0080528E">
        <w:rPr>
          <w:color w:val="000000"/>
        </w:rPr>
        <w:t xml:space="preserve">and SYT-ED </w:t>
      </w:r>
      <w:r w:rsidR="00336F9A">
        <w:rPr>
          <w:color w:val="000000"/>
        </w:rPr>
        <w:t xml:space="preserve">grantee recipients’ </w:t>
      </w:r>
      <w:r w:rsidR="006775FB">
        <w:rPr>
          <w:color w:val="000000"/>
        </w:rPr>
        <w:t xml:space="preserve">infrastructure development </w:t>
      </w:r>
      <w:r w:rsidR="000C2A7B">
        <w:rPr>
          <w:color w:val="000000"/>
        </w:rPr>
        <w:t>efforts</w:t>
      </w:r>
      <w:r w:rsidR="00BF5C92">
        <w:rPr>
          <w:color w:val="000000"/>
        </w:rPr>
        <w:t>, including work</w:t>
      </w:r>
      <w:r w:rsidR="006775FB">
        <w:rPr>
          <w:color w:val="000000"/>
        </w:rPr>
        <w:t xml:space="preserve"> </w:t>
      </w:r>
      <w:r w:rsidR="000C2A7B">
        <w:rPr>
          <w:color w:val="000000"/>
        </w:rPr>
        <w:t xml:space="preserve">to </w:t>
      </w:r>
      <w:r w:rsidR="006775FB">
        <w:rPr>
          <w:color w:val="000000"/>
        </w:rPr>
        <w:t>involve adolescents, transitio</w:t>
      </w:r>
      <w:r w:rsidR="00BF5C92">
        <w:rPr>
          <w:color w:val="000000"/>
        </w:rPr>
        <w:t>nal</w:t>
      </w:r>
      <w:r w:rsidR="00F90C04">
        <w:rPr>
          <w:color w:val="000000"/>
        </w:rPr>
        <w:t>-</w:t>
      </w:r>
      <w:r w:rsidR="00BF5C92">
        <w:rPr>
          <w:color w:val="000000"/>
        </w:rPr>
        <w:t>aged youth, and their families at the state/territorial/tribal/local levels</w:t>
      </w:r>
      <w:r w:rsidR="006775FB">
        <w:rPr>
          <w:color w:val="000000"/>
        </w:rPr>
        <w:t xml:space="preserve"> to inform </w:t>
      </w:r>
      <w:r w:rsidR="000902FF">
        <w:rPr>
          <w:color w:val="000000"/>
        </w:rPr>
        <w:t xml:space="preserve">implementation of </w:t>
      </w:r>
      <w:r w:rsidR="00BF5C92">
        <w:rPr>
          <w:color w:val="000000"/>
        </w:rPr>
        <w:t>effective policies, programs, and practices</w:t>
      </w:r>
      <w:r w:rsidR="006775FB">
        <w:rPr>
          <w:color w:val="000000"/>
        </w:rPr>
        <w:t xml:space="preserve">; conduct training and workforce development activities to expand the qualified workforce in the adolescent behavioral health treatment/recovery sector; implement and disseminate evidence-based treatment practices; </w:t>
      </w:r>
      <w:r w:rsidR="00E8704B">
        <w:rPr>
          <w:color w:val="000000"/>
        </w:rPr>
        <w:t>develop practical and</w:t>
      </w:r>
      <w:r w:rsidR="006775FB">
        <w:rPr>
          <w:color w:val="000000"/>
        </w:rPr>
        <w:t xml:space="preserve"> workable funding and payment strategies</w:t>
      </w:r>
      <w:r w:rsidR="00E8704B">
        <w:rPr>
          <w:color w:val="000000"/>
        </w:rPr>
        <w:t xml:space="preserve"> in the current funding environment</w:t>
      </w:r>
      <w:r w:rsidR="006775FB">
        <w:rPr>
          <w:color w:val="000000"/>
        </w:rPr>
        <w:t>; and improve interagency collaboration and integration of systems serving adolescents and/or transitional</w:t>
      </w:r>
      <w:r w:rsidR="00F90C04">
        <w:rPr>
          <w:color w:val="000000"/>
        </w:rPr>
        <w:t>-</w:t>
      </w:r>
      <w:r w:rsidR="006775FB">
        <w:rPr>
          <w:color w:val="000000"/>
        </w:rPr>
        <w:t xml:space="preserve">aged youth across the </w:t>
      </w:r>
      <w:r w:rsidR="00CE74BA">
        <w:rPr>
          <w:color w:val="000000"/>
        </w:rPr>
        <w:t>s</w:t>
      </w:r>
      <w:r w:rsidR="006775FB">
        <w:rPr>
          <w:color w:val="000000"/>
        </w:rPr>
        <w:t>tate/</w:t>
      </w:r>
      <w:r w:rsidR="00CE74BA">
        <w:rPr>
          <w:color w:val="000000"/>
        </w:rPr>
        <w:t>t</w:t>
      </w:r>
      <w:r w:rsidR="006775FB">
        <w:rPr>
          <w:color w:val="000000"/>
        </w:rPr>
        <w:t>erritory/</w:t>
      </w:r>
      <w:r w:rsidR="00CE74BA">
        <w:rPr>
          <w:color w:val="000000"/>
        </w:rPr>
        <w:t>t</w:t>
      </w:r>
      <w:r w:rsidR="006775FB">
        <w:rPr>
          <w:color w:val="000000"/>
        </w:rPr>
        <w:t>ribe</w:t>
      </w:r>
      <w:r w:rsidR="000C2A7B">
        <w:rPr>
          <w:color w:val="000000"/>
        </w:rPr>
        <w:t>.</w:t>
      </w:r>
    </w:p>
    <w:p w:rsidR="00336F9A" w:rsidRDefault="00336F9A" w:rsidP="004D0756"/>
    <w:p w:rsidR="00825165" w:rsidRPr="00825165" w:rsidRDefault="0006600B" w:rsidP="00825165">
      <w:pPr>
        <w:keepNext/>
        <w:rPr>
          <w:spacing w:val="1"/>
          <w:highlight w:val="green"/>
        </w:rPr>
      </w:pPr>
      <w:r w:rsidRPr="00825165">
        <w:t xml:space="preserve">Justification for the evaluation is therefore based on </w:t>
      </w:r>
      <w:r w:rsidR="00825165" w:rsidRPr="00825165">
        <w:t xml:space="preserve">three factors: (1) </w:t>
      </w:r>
      <w:r w:rsidRPr="00825165">
        <w:t>the need for</w:t>
      </w:r>
      <w:r w:rsidR="00825165" w:rsidRPr="00825165">
        <w:t xml:space="preserve"> SAMHSA to collect</w:t>
      </w:r>
      <w:r w:rsidRPr="00825165">
        <w:t xml:space="preserve"> information to support decision</w:t>
      </w:r>
      <w:r w:rsidR="00FB7CFE">
        <w:t>-</w:t>
      </w:r>
      <w:r w:rsidRPr="00825165">
        <w:t xml:space="preserve">making regarding changes to </w:t>
      </w:r>
      <w:r w:rsidR="006B37C1">
        <w:t>s</w:t>
      </w:r>
      <w:r w:rsidR="006B37C1" w:rsidRPr="00825165">
        <w:t>tate</w:t>
      </w:r>
      <w:r w:rsidR="00336F9A" w:rsidRPr="00825165">
        <w:t>/</w:t>
      </w:r>
      <w:r w:rsidR="006B37C1">
        <w:t>t</w:t>
      </w:r>
      <w:r w:rsidR="006B37C1" w:rsidRPr="00825165">
        <w:t>erritory</w:t>
      </w:r>
      <w:r w:rsidR="00336F9A" w:rsidRPr="00825165">
        <w:t>/</w:t>
      </w:r>
      <w:r w:rsidR="006B37C1">
        <w:t>t</w:t>
      </w:r>
      <w:r w:rsidR="00635665">
        <w:t>ribal</w:t>
      </w:r>
      <w:r w:rsidR="006B37C1" w:rsidRPr="00825165">
        <w:t xml:space="preserve"> </w:t>
      </w:r>
      <w:r w:rsidR="00336F9A" w:rsidRPr="00825165">
        <w:t>policies and procedures</w:t>
      </w:r>
      <w:r w:rsidR="00825165" w:rsidRPr="00825165">
        <w:t>, (2</w:t>
      </w:r>
      <w:r w:rsidRPr="00825165">
        <w:t xml:space="preserve">) the need to </w:t>
      </w:r>
      <w:r w:rsidR="00825165" w:rsidRPr="00825165">
        <w:t xml:space="preserve">develop financing structures that work in the current environment, and (3) the need to develop a blueprint for </w:t>
      </w:r>
      <w:r w:rsidR="006B37C1">
        <w:rPr>
          <w:spacing w:val="1"/>
        </w:rPr>
        <w:t>s</w:t>
      </w:r>
      <w:r w:rsidR="006B37C1" w:rsidRPr="00825165">
        <w:rPr>
          <w:spacing w:val="-2"/>
        </w:rPr>
        <w:t>t</w:t>
      </w:r>
      <w:r w:rsidR="006B37C1" w:rsidRPr="00825165">
        <w:rPr>
          <w:spacing w:val="1"/>
        </w:rPr>
        <w:t>a</w:t>
      </w:r>
      <w:r w:rsidR="006B37C1" w:rsidRPr="00825165">
        <w:t>t</w:t>
      </w:r>
      <w:r w:rsidR="006B37C1" w:rsidRPr="00825165">
        <w:rPr>
          <w:spacing w:val="1"/>
        </w:rPr>
        <w:t>e</w:t>
      </w:r>
      <w:r w:rsidR="006B37C1" w:rsidRPr="00825165">
        <w:rPr>
          <w:spacing w:val="-2"/>
        </w:rPr>
        <w:t>s</w:t>
      </w:r>
      <w:r w:rsidR="00825165" w:rsidRPr="00825165">
        <w:rPr>
          <w:spacing w:val="-2"/>
        </w:rPr>
        <w:t>/</w:t>
      </w:r>
      <w:r w:rsidR="006B37C1">
        <w:rPr>
          <w:spacing w:val="2"/>
        </w:rPr>
        <w:t>t</w:t>
      </w:r>
      <w:r w:rsidR="006B37C1" w:rsidRPr="00825165">
        <w:rPr>
          <w:spacing w:val="1"/>
        </w:rPr>
        <w:t>e</w:t>
      </w:r>
      <w:r w:rsidR="006B37C1" w:rsidRPr="00825165">
        <w:rPr>
          <w:spacing w:val="-1"/>
        </w:rPr>
        <w:t>rr</w:t>
      </w:r>
      <w:r w:rsidR="006B37C1" w:rsidRPr="00825165">
        <w:t>it</w:t>
      </w:r>
      <w:r w:rsidR="006B37C1" w:rsidRPr="00825165">
        <w:rPr>
          <w:spacing w:val="1"/>
        </w:rPr>
        <w:t>o</w:t>
      </w:r>
      <w:r w:rsidR="006B37C1" w:rsidRPr="00825165">
        <w:rPr>
          <w:spacing w:val="-1"/>
        </w:rPr>
        <w:t>r</w:t>
      </w:r>
      <w:r w:rsidR="006B37C1" w:rsidRPr="00825165">
        <w:t>i</w:t>
      </w:r>
      <w:r w:rsidR="006B37C1" w:rsidRPr="00825165">
        <w:rPr>
          <w:spacing w:val="1"/>
        </w:rPr>
        <w:t>e</w:t>
      </w:r>
      <w:r w:rsidR="006B37C1" w:rsidRPr="00825165">
        <w:t>s</w:t>
      </w:r>
      <w:r w:rsidR="00825165" w:rsidRPr="00825165">
        <w:t>/</w:t>
      </w:r>
      <w:r w:rsidR="006B37C1">
        <w:rPr>
          <w:spacing w:val="2"/>
        </w:rPr>
        <w:t>t</w:t>
      </w:r>
      <w:r w:rsidR="006B37C1" w:rsidRPr="00825165">
        <w:rPr>
          <w:spacing w:val="-1"/>
        </w:rPr>
        <w:t>r</w:t>
      </w:r>
      <w:r w:rsidR="006B37C1" w:rsidRPr="00825165">
        <w:t>i</w:t>
      </w:r>
      <w:r w:rsidR="006B37C1" w:rsidRPr="00825165">
        <w:rPr>
          <w:spacing w:val="-1"/>
        </w:rPr>
        <w:t>b</w:t>
      </w:r>
      <w:r w:rsidR="006B37C1" w:rsidRPr="00825165">
        <w:rPr>
          <w:spacing w:val="1"/>
        </w:rPr>
        <w:t>e</w:t>
      </w:r>
      <w:r w:rsidR="006B37C1" w:rsidRPr="00825165">
        <w:t xml:space="preserve">s </w:t>
      </w:r>
      <w:r w:rsidR="00825165" w:rsidRPr="00825165">
        <w:rPr>
          <w:spacing w:val="-1"/>
        </w:rPr>
        <w:t>a</w:t>
      </w:r>
      <w:r w:rsidR="00825165" w:rsidRPr="00825165">
        <w:rPr>
          <w:spacing w:val="1"/>
        </w:rPr>
        <w:t>nd p</w:t>
      </w:r>
      <w:r w:rsidR="00825165" w:rsidRPr="00825165">
        <w:rPr>
          <w:spacing w:val="-1"/>
        </w:rPr>
        <w:t>r</w:t>
      </w:r>
      <w:r w:rsidR="00825165" w:rsidRPr="00825165">
        <w:rPr>
          <w:spacing w:val="1"/>
        </w:rPr>
        <w:t>o</w:t>
      </w:r>
      <w:r w:rsidR="00825165" w:rsidRPr="00825165">
        <w:rPr>
          <w:spacing w:val="-2"/>
        </w:rPr>
        <w:t>v</w:t>
      </w:r>
      <w:r w:rsidR="00825165" w:rsidRPr="00825165">
        <w:t>i</w:t>
      </w:r>
      <w:r w:rsidR="00825165" w:rsidRPr="00825165">
        <w:rPr>
          <w:spacing w:val="1"/>
        </w:rPr>
        <w:t>de</w:t>
      </w:r>
      <w:r w:rsidR="00825165" w:rsidRPr="00825165">
        <w:rPr>
          <w:spacing w:val="-1"/>
        </w:rPr>
        <w:t>r</w:t>
      </w:r>
      <w:r w:rsidR="00825165" w:rsidRPr="00825165">
        <w:t>s t</w:t>
      </w:r>
      <w:r w:rsidR="00825165" w:rsidRPr="00825165">
        <w:rPr>
          <w:spacing w:val="1"/>
        </w:rPr>
        <w:t>ha</w:t>
      </w:r>
      <w:r w:rsidR="00825165" w:rsidRPr="00825165">
        <w:t>t</w:t>
      </w:r>
      <w:r w:rsidR="00825165" w:rsidRPr="00825165">
        <w:rPr>
          <w:spacing w:val="1"/>
        </w:rPr>
        <w:t xml:space="preserve"> </w:t>
      </w:r>
      <w:r w:rsidR="00825165" w:rsidRPr="00825165">
        <w:rPr>
          <w:spacing w:val="-2"/>
        </w:rPr>
        <w:t>c</w:t>
      </w:r>
      <w:r w:rsidR="00825165" w:rsidRPr="00825165">
        <w:rPr>
          <w:spacing w:val="1"/>
        </w:rPr>
        <w:t>a</w:t>
      </w:r>
      <w:r w:rsidR="00825165" w:rsidRPr="00825165">
        <w:t>n</w:t>
      </w:r>
      <w:r w:rsidR="00825165" w:rsidRPr="00825165">
        <w:rPr>
          <w:spacing w:val="-1"/>
        </w:rPr>
        <w:t xml:space="preserve"> </w:t>
      </w:r>
      <w:r w:rsidR="00825165" w:rsidRPr="00825165">
        <w:rPr>
          <w:spacing w:val="1"/>
        </w:rPr>
        <w:t>b</w:t>
      </w:r>
      <w:r w:rsidR="00825165" w:rsidRPr="00825165">
        <w:t>e</w:t>
      </w:r>
      <w:r w:rsidR="00825165" w:rsidRPr="00825165">
        <w:rPr>
          <w:spacing w:val="-1"/>
        </w:rPr>
        <w:t xml:space="preserve"> u</w:t>
      </w:r>
      <w:r w:rsidR="00825165" w:rsidRPr="00825165">
        <w:t>s</w:t>
      </w:r>
      <w:r w:rsidR="00825165" w:rsidRPr="00825165">
        <w:rPr>
          <w:spacing w:val="1"/>
        </w:rPr>
        <w:t>e</w:t>
      </w:r>
      <w:r w:rsidR="00825165" w:rsidRPr="00825165">
        <w:t>d</w:t>
      </w:r>
      <w:r w:rsidR="00825165" w:rsidRPr="00825165">
        <w:rPr>
          <w:spacing w:val="1"/>
        </w:rPr>
        <w:t xml:space="preserve"> </w:t>
      </w:r>
      <w:r w:rsidR="00825165" w:rsidRPr="00825165">
        <w:rPr>
          <w:spacing w:val="-2"/>
        </w:rPr>
        <w:t xml:space="preserve">nationally to </w:t>
      </w:r>
      <w:r w:rsidR="00825165" w:rsidRPr="00825165">
        <w:rPr>
          <w:spacing w:val="-3"/>
        </w:rPr>
        <w:t>w</w:t>
      </w:r>
      <w:r w:rsidR="00825165" w:rsidRPr="00825165">
        <w:t>i</w:t>
      </w:r>
      <w:r w:rsidR="00825165" w:rsidRPr="00825165">
        <w:rPr>
          <w:spacing w:val="1"/>
        </w:rPr>
        <w:t>de</w:t>
      </w:r>
      <w:r w:rsidR="00825165" w:rsidRPr="00825165">
        <w:t>n</w:t>
      </w:r>
      <w:r w:rsidR="00825165" w:rsidRPr="00825165">
        <w:rPr>
          <w:spacing w:val="-1"/>
        </w:rPr>
        <w:t xml:space="preserve"> </w:t>
      </w:r>
      <w:r w:rsidR="00825165" w:rsidRPr="00825165">
        <w:t>t</w:t>
      </w:r>
      <w:r w:rsidR="00825165" w:rsidRPr="00825165">
        <w:rPr>
          <w:spacing w:val="1"/>
        </w:rPr>
        <w:t>h</w:t>
      </w:r>
      <w:r w:rsidR="00825165" w:rsidRPr="00825165">
        <w:t>e</w:t>
      </w:r>
      <w:r w:rsidR="00825165" w:rsidRPr="00825165">
        <w:rPr>
          <w:spacing w:val="-1"/>
        </w:rPr>
        <w:t xml:space="preserve"> </w:t>
      </w:r>
      <w:r w:rsidR="00825165" w:rsidRPr="00825165">
        <w:rPr>
          <w:spacing w:val="1"/>
        </w:rPr>
        <w:t>u</w:t>
      </w:r>
      <w:r w:rsidR="00825165" w:rsidRPr="00825165">
        <w:t>se</w:t>
      </w:r>
      <w:r w:rsidR="00825165" w:rsidRPr="00825165">
        <w:rPr>
          <w:spacing w:val="-1"/>
        </w:rPr>
        <w:t xml:space="preserve"> o</w:t>
      </w:r>
      <w:r w:rsidR="00825165" w:rsidRPr="00825165">
        <w:t xml:space="preserve">f </w:t>
      </w:r>
      <w:r w:rsidR="00825165" w:rsidRPr="00825165">
        <w:rPr>
          <w:spacing w:val="-1"/>
        </w:rPr>
        <w:t>e</w:t>
      </w:r>
      <w:r w:rsidR="00825165" w:rsidRPr="00825165">
        <w:t>f</w:t>
      </w:r>
      <w:r w:rsidR="00825165" w:rsidRPr="00825165">
        <w:rPr>
          <w:spacing w:val="3"/>
        </w:rPr>
        <w:t>f</w:t>
      </w:r>
      <w:r w:rsidR="00825165" w:rsidRPr="00825165">
        <w:rPr>
          <w:spacing w:val="1"/>
        </w:rPr>
        <w:t>e</w:t>
      </w:r>
      <w:r w:rsidR="00825165" w:rsidRPr="00825165">
        <w:t>cti</w:t>
      </w:r>
      <w:r w:rsidR="00825165" w:rsidRPr="00825165">
        <w:rPr>
          <w:spacing w:val="-2"/>
        </w:rPr>
        <w:t>v</w:t>
      </w:r>
      <w:r w:rsidR="00825165" w:rsidRPr="00825165">
        <w:t>e</w:t>
      </w:r>
      <w:r w:rsidR="00825165" w:rsidRPr="00825165">
        <w:rPr>
          <w:spacing w:val="1"/>
        </w:rPr>
        <w:t xml:space="preserve"> substance use treatment E</w:t>
      </w:r>
      <w:r w:rsidR="00825165" w:rsidRPr="00825165">
        <w:rPr>
          <w:spacing w:val="-2"/>
        </w:rPr>
        <w:t>B</w:t>
      </w:r>
      <w:r w:rsidR="00825165" w:rsidRPr="00825165">
        <w:rPr>
          <w:spacing w:val="1"/>
        </w:rPr>
        <w:t>P</w:t>
      </w:r>
      <w:r w:rsidR="00825165" w:rsidRPr="00825165">
        <w:t>s.</w:t>
      </w:r>
      <w:r w:rsidR="00E74BB5">
        <w:rPr>
          <w:spacing w:val="66"/>
        </w:rPr>
        <w:t xml:space="preserve"> </w:t>
      </w:r>
    </w:p>
    <w:p w:rsidR="00FD47EC" w:rsidRPr="003152FB" w:rsidRDefault="00FD47EC">
      <w:pPr>
        <w:pStyle w:val="NormalWeb"/>
        <w:rPr>
          <w:rStyle w:val="Strong"/>
          <w:b w:val="0"/>
          <w:bCs w:val="0"/>
        </w:rPr>
      </w:pPr>
      <w:r w:rsidRPr="003152FB">
        <w:rPr>
          <w:rStyle w:val="Strong"/>
        </w:rPr>
        <w:t>A.2. Purposes and Uses of the Data</w:t>
      </w:r>
    </w:p>
    <w:p w:rsidR="004527EB" w:rsidRDefault="00430013" w:rsidP="004527EB">
      <w:r>
        <w:rPr>
          <w:rStyle w:val="Strong"/>
          <w:b w:val="0"/>
        </w:rPr>
        <w:t>T</w:t>
      </w:r>
      <w:r w:rsidR="004527EB" w:rsidRPr="003152FB">
        <w:rPr>
          <w:rStyle w:val="Strong"/>
          <w:b w:val="0"/>
        </w:rPr>
        <w:t>he purpose of this evaluation is to</w:t>
      </w:r>
      <w:r w:rsidR="004527EB" w:rsidRPr="003152FB">
        <w:t xml:space="preserve"> gather information from grantee recipients</w:t>
      </w:r>
      <w:r w:rsidR="006B37C1">
        <w:t xml:space="preserve"> to</w:t>
      </w:r>
      <w:r w:rsidR="00550AF5">
        <w:t xml:space="preserve"> </w:t>
      </w:r>
      <w:r w:rsidR="00626FBF" w:rsidRPr="00336F9A">
        <w:t>(1) inform</w:t>
      </w:r>
      <w:r w:rsidR="00626FBF">
        <w:t xml:space="preserve"> development of a coordinated network that will expand </w:t>
      </w:r>
      <w:r w:rsidR="00CE74BA">
        <w:t>s</w:t>
      </w:r>
      <w:r w:rsidR="00626FBF">
        <w:t>tate/</w:t>
      </w:r>
      <w:r w:rsidR="00CE74BA">
        <w:t>t</w:t>
      </w:r>
      <w:r w:rsidR="00626FBF">
        <w:t>erritorial/</w:t>
      </w:r>
      <w:r w:rsidR="00CE74BA">
        <w:t>t</w:t>
      </w:r>
      <w:r w:rsidR="00626FBF">
        <w:t>ribal capacity to improve the integration and efficiency of the adolescent and transitional</w:t>
      </w:r>
      <w:r w:rsidR="00F90C04">
        <w:t>-</w:t>
      </w:r>
      <w:r w:rsidR="00626FBF">
        <w:t>aged youth substance use and co-occurring substance use and mental disorders treatment and recovery support system</w:t>
      </w:r>
      <w:r w:rsidR="0078182C">
        <w:t>,</w:t>
      </w:r>
      <w:r w:rsidR="00626FBF">
        <w:t xml:space="preserve"> </w:t>
      </w:r>
      <w:r w:rsidR="00626FBF" w:rsidRPr="00336F9A">
        <w:t>and</w:t>
      </w:r>
      <w:r w:rsidR="00626FBF" w:rsidRPr="00C369D8">
        <w:rPr>
          <w:color w:val="4F6228"/>
        </w:rPr>
        <w:t xml:space="preserve"> </w:t>
      </w:r>
      <w:r w:rsidR="00626FBF" w:rsidRPr="00336F9A">
        <w:t>(2)</w:t>
      </w:r>
      <w:r w:rsidR="00096C93">
        <w:t xml:space="preserve"> </w:t>
      </w:r>
      <w:r w:rsidR="00626FBF">
        <w:t>increase access to and improve quality of treatment and recovery services for adolescents, transitional</w:t>
      </w:r>
      <w:r w:rsidR="00F90C04">
        <w:t>-</w:t>
      </w:r>
      <w:r w:rsidR="00626FBF">
        <w:t xml:space="preserve">aged youth, and their families/primary </w:t>
      </w:r>
      <w:r w:rsidR="00626FBF" w:rsidRPr="00C375A7">
        <w:t>caregivers.</w:t>
      </w:r>
      <w:r w:rsidR="00626FBF" w:rsidRPr="00336F9A">
        <w:t xml:space="preserve"> </w:t>
      </w:r>
      <w:r w:rsidR="004527EB" w:rsidRPr="000923D6">
        <w:t xml:space="preserve">To achieve this purpose, the project seeks to meet the following </w:t>
      </w:r>
      <w:r w:rsidR="00851B61">
        <w:t>six</w:t>
      </w:r>
      <w:r w:rsidR="005B2C1C">
        <w:t xml:space="preserve"> </w:t>
      </w:r>
      <w:r w:rsidR="004527EB" w:rsidRPr="000923D6">
        <w:t>objectives</w:t>
      </w:r>
      <w:r w:rsidR="004527EB" w:rsidRPr="00C369D8">
        <w:rPr>
          <w:color w:val="4F6228"/>
        </w:rPr>
        <w:t>:</w:t>
      </w:r>
      <w:r w:rsidR="00447CF2" w:rsidRPr="00447CF2">
        <w:t xml:space="preserve"> </w:t>
      </w:r>
    </w:p>
    <w:p w:rsidR="004527EB" w:rsidRDefault="004527EB" w:rsidP="004527EB">
      <w:pPr>
        <w:numPr>
          <w:ilvl w:val="0"/>
          <w:numId w:val="7"/>
        </w:numPr>
      </w:pPr>
      <w:r w:rsidRPr="005B2C1C">
        <w:t xml:space="preserve">To </w:t>
      </w:r>
      <w:r w:rsidR="00CE74BA">
        <w:t>learn about</w:t>
      </w:r>
      <w:r w:rsidR="00CE74BA" w:rsidRPr="005B2C1C">
        <w:t xml:space="preserve"> </w:t>
      </w:r>
      <w:r w:rsidR="00B51A0F">
        <w:t xml:space="preserve">efforts grantees are </w:t>
      </w:r>
      <w:r w:rsidR="00F90C04">
        <w:t>m</w:t>
      </w:r>
      <w:r w:rsidR="00B51A0F">
        <w:t>aking to involve families, adolescents, and transitional</w:t>
      </w:r>
      <w:r w:rsidR="00F90C04">
        <w:t>-</w:t>
      </w:r>
      <w:r w:rsidR="00B51A0F">
        <w:t>aged youth at the state/territorial/tribal/local levels to inform development of effective policies, programs, and practices.</w:t>
      </w:r>
    </w:p>
    <w:p w:rsidR="001E1D7E" w:rsidRPr="005B2C1C" w:rsidRDefault="001E1D7E" w:rsidP="001E1D7E">
      <w:pPr>
        <w:ind w:left="720"/>
      </w:pPr>
    </w:p>
    <w:p w:rsidR="004527EB" w:rsidRPr="005B2C1C" w:rsidRDefault="004527EB" w:rsidP="004527EB">
      <w:pPr>
        <w:numPr>
          <w:ilvl w:val="0"/>
          <w:numId w:val="7"/>
        </w:numPr>
      </w:pPr>
      <w:r w:rsidRPr="005B2C1C">
        <w:t xml:space="preserve">To </w:t>
      </w:r>
      <w:r w:rsidR="00B51A0F">
        <w:t>identify training and/or licensure/certification/accreditation activities undertaken by grantees to enhance and expand the qualified workforce in the adolescent behavioral health sector.</w:t>
      </w:r>
    </w:p>
    <w:p w:rsidR="004527EB" w:rsidRPr="005B2C1C" w:rsidRDefault="004527EB" w:rsidP="004527EB"/>
    <w:p w:rsidR="004527EB" w:rsidRPr="005B2C1C" w:rsidRDefault="004527EB" w:rsidP="004527EB">
      <w:pPr>
        <w:numPr>
          <w:ilvl w:val="0"/>
          <w:numId w:val="7"/>
        </w:numPr>
      </w:pPr>
      <w:r w:rsidRPr="005B2C1C">
        <w:t xml:space="preserve">To determine </w:t>
      </w:r>
      <w:r w:rsidR="00B51A0F">
        <w:t xml:space="preserve">how grantees are working to disseminate and implement </w:t>
      </w:r>
      <w:r w:rsidR="0073633E">
        <w:t>EBPs</w:t>
      </w:r>
      <w:r w:rsidR="00B51A0F">
        <w:t xml:space="preserve"> at treatment sites.</w:t>
      </w:r>
    </w:p>
    <w:p w:rsidR="004527EB" w:rsidRPr="005B2C1C" w:rsidRDefault="004527EB" w:rsidP="004527EB"/>
    <w:p w:rsidR="004527EB" w:rsidRPr="005B2C1C" w:rsidRDefault="004527EB" w:rsidP="004527EB">
      <w:pPr>
        <w:numPr>
          <w:ilvl w:val="0"/>
          <w:numId w:val="7"/>
        </w:numPr>
      </w:pPr>
      <w:r w:rsidRPr="005B2C1C">
        <w:t xml:space="preserve">To learn </w:t>
      </w:r>
      <w:r w:rsidR="00B51A0F">
        <w:t xml:space="preserve">about funding, payment, and insurance/billing strategies used by </w:t>
      </w:r>
      <w:r w:rsidR="00CE74BA">
        <w:t>s</w:t>
      </w:r>
      <w:r w:rsidR="00B51A0F">
        <w:t>tates/</w:t>
      </w:r>
      <w:r w:rsidR="00CE74BA">
        <w:t>t</w:t>
      </w:r>
      <w:r w:rsidR="00B51A0F">
        <w:t>erritories/</w:t>
      </w:r>
      <w:r w:rsidR="00CE74BA">
        <w:t>t</w:t>
      </w:r>
      <w:r w:rsidR="00B51A0F">
        <w:t>ribes to finance treatment and recovery support</w:t>
      </w:r>
      <w:r w:rsidR="00CE74BA">
        <w:t xml:space="preserve"> service</w:t>
      </w:r>
      <w:r w:rsidR="00B51A0F">
        <w:t>s.</w:t>
      </w:r>
    </w:p>
    <w:p w:rsidR="004527EB" w:rsidRPr="005B2C1C" w:rsidRDefault="004527EB" w:rsidP="004527EB"/>
    <w:p w:rsidR="004527EB" w:rsidRDefault="005B2C1C" w:rsidP="004527EB">
      <w:pPr>
        <w:numPr>
          <w:ilvl w:val="0"/>
          <w:numId w:val="7"/>
        </w:numPr>
      </w:pPr>
      <w:r w:rsidRPr="005B2C1C">
        <w:t xml:space="preserve">To </w:t>
      </w:r>
      <w:r w:rsidR="00B51A0F">
        <w:t>learn about grantee efforts to improve interagency collaboration and coordination</w:t>
      </w:r>
      <w:r w:rsidR="0069209B">
        <w:t xml:space="preserve"> at the national, state, and/or local levels to strengthen recovery and treatment services.</w:t>
      </w:r>
    </w:p>
    <w:p w:rsidR="00851B61" w:rsidRDefault="00851B61" w:rsidP="00851B61">
      <w:pPr>
        <w:pStyle w:val="ListParagraph"/>
      </w:pPr>
    </w:p>
    <w:p w:rsidR="00851B61" w:rsidRDefault="00851B61" w:rsidP="004527EB">
      <w:pPr>
        <w:numPr>
          <w:ilvl w:val="0"/>
          <w:numId w:val="7"/>
        </w:numPr>
      </w:pPr>
      <w:r>
        <w:lastRenderedPageBreak/>
        <w:t>To estimate the number of adolescents and transitional</w:t>
      </w:r>
      <w:r w:rsidR="00950CAB">
        <w:t>-</w:t>
      </w:r>
      <w:r>
        <w:t>age</w:t>
      </w:r>
      <w:r w:rsidR="00950CAB">
        <w:t>d</w:t>
      </w:r>
      <w:r>
        <w:t xml:space="preserve"> youth in need of treatment services for substance use or co-occurring substance use and mental disorders. </w:t>
      </w:r>
    </w:p>
    <w:p w:rsidR="004527EB" w:rsidRDefault="00116E24" w:rsidP="00672D9B">
      <w:pPr>
        <w:pStyle w:val="NormalWeb"/>
      </w:pPr>
      <w:r>
        <w:t xml:space="preserve">The data collection procedure for this evaluation </w:t>
      </w:r>
      <w:r w:rsidR="004848A0">
        <w:t xml:space="preserve">is </w:t>
      </w:r>
      <w:r>
        <w:t xml:space="preserve">to email participants a </w:t>
      </w:r>
      <w:r w:rsidR="000D0A69">
        <w:t>progress report</w:t>
      </w:r>
      <w:r>
        <w:t xml:space="preserve"> that can be completed electronically or printed, completed</w:t>
      </w:r>
      <w:r w:rsidR="004848A0">
        <w:t>,</w:t>
      </w:r>
      <w:r>
        <w:t xml:space="preserve"> and returned via email or mail. </w:t>
      </w:r>
      <w:r w:rsidR="004527EB" w:rsidRPr="002775C0">
        <w:t>The metho</w:t>
      </w:r>
      <w:r w:rsidR="002775C0">
        <w:t xml:space="preserve">ds selected for this </w:t>
      </w:r>
      <w:r w:rsidR="000D0A69">
        <w:t>progress report</w:t>
      </w:r>
      <w:r w:rsidR="002775C0">
        <w:t xml:space="preserve"> ha</w:t>
      </w:r>
      <w:r w:rsidR="006B37C1">
        <w:t>ve</w:t>
      </w:r>
      <w:r w:rsidR="002775C0">
        <w:t xml:space="preserve"> b</w:t>
      </w:r>
      <w:r w:rsidR="004527EB" w:rsidRPr="002775C0">
        <w:t>e</w:t>
      </w:r>
      <w:r w:rsidR="002775C0">
        <w:t>en</w:t>
      </w:r>
      <w:r w:rsidR="004527EB" w:rsidRPr="002775C0">
        <w:t xml:space="preserve"> determined based on several factors including: (1) the most efficient method of reaching the target audience, (2) the most cost-effective method of reaching the target audience, and (3) the best way to maximize response rates while minimizing burden to participants.</w:t>
      </w:r>
      <w:r w:rsidR="00E74BB5">
        <w:t xml:space="preserve"> </w:t>
      </w:r>
    </w:p>
    <w:p w:rsidR="008142F8" w:rsidRDefault="008142F8" w:rsidP="007D75DD">
      <w:pPr>
        <w:pStyle w:val="NormalWeb"/>
        <w:spacing w:before="0" w:beforeAutospacing="0" w:after="0" w:afterAutospacing="0"/>
      </w:pPr>
      <w:r>
        <w:t xml:space="preserve">As the </w:t>
      </w:r>
      <w:r w:rsidR="007D75DD">
        <w:t xml:space="preserve">federal agency within the </w:t>
      </w:r>
      <w:r w:rsidR="00F87A01">
        <w:t>DHHS</w:t>
      </w:r>
      <w:r w:rsidR="007D75DD">
        <w:t xml:space="preserve"> that leads</w:t>
      </w:r>
      <w:r>
        <w:t xml:space="preserve"> public health efforts to advance the </w:t>
      </w:r>
      <w:r w:rsidR="007D75DD">
        <w:t xml:space="preserve">behavioral health of the nation, SAMHSA’s mission is </w:t>
      </w:r>
      <w:r>
        <w:t xml:space="preserve">to reduce the impact of substance abuse and mental illness on communities across </w:t>
      </w:r>
      <w:r w:rsidR="00946D3D">
        <w:t>America</w:t>
      </w:r>
      <w:r w:rsidR="007D75DD">
        <w:t>.</w:t>
      </w:r>
      <w:r w:rsidR="000902FF" w:rsidRPr="000902FF">
        <w:t xml:space="preserve"> </w:t>
      </w:r>
      <w:r w:rsidR="00946D3D">
        <w:t xml:space="preserve">Rather than make random changes to current practices, SAMHSA would like to obtain solid, research-based information to learn from the experiences of grantees funded by its cooperative agreements and identify changes that can improve the effectiveness and quality of treatment services to </w:t>
      </w:r>
      <w:r w:rsidR="00946D3D">
        <w:rPr>
          <w:color w:val="000000"/>
        </w:rPr>
        <w:t>support</w:t>
      </w:r>
      <w:r w:rsidR="000902FF" w:rsidRPr="004D336A">
        <w:rPr>
          <w:color w:val="000000"/>
        </w:rPr>
        <w:t xml:space="preserve"> </w:t>
      </w:r>
      <w:r w:rsidR="00905EC0">
        <w:rPr>
          <w:color w:val="000000"/>
        </w:rPr>
        <w:t>adolescents and transitional</w:t>
      </w:r>
      <w:r w:rsidR="004848A0">
        <w:rPr>
          <w:color w:val="000000"/>
        </w:rPr>
        <w:t>-</w:t>
      </w:r>
      <w:r w:rsidR="00905EC0">
        <w:rPr>
          <w:color w:val="000000"/>
        </w:rPr>
        <w:t>aged youth</w:t>
      </w:r>
      <w:r w:rsidR="000902FF" w:rsidRPr="004D336A">
        <w:rPr>
          <w:color w:val="000000"/>
        </w:rPr>
        <w:t xml:space="preserve"> with men</w:t>
      </w:r>
      <w:r w:rsidR="000902FF">
        <w:rPr>
          <w:color w:val="000000"/>
        </w:rPr>
        <w:t>tal and substance use disorders and</w:t>
      </w:r>
      <w:r w:rsidR="000902FF" w:rsidRPr="004D336A">
        <w:rPr>
          <w:color w:val="000000"/>
        </w:rPr>
        <w:t xml:space="preserve"> </w:t>
      </w:r>
      <w:r w:rsidR="00946D3D">
        <w:rPr>
          <w:color w:val="000000"/>
        </w:rPr>
        <w:t>their families</w:t>
      </w:r>
      <w:r w:rsidR="000902FF">
        <w:rPr>
          <w:color w:val="000000"/>
        </w:rPr>
        <w:t>.</w:t>
      </w:r>
      <w:r w:rsidR="00905EC0">
        <w:rPr>
          <w:color w:val="000000"/>
        </w:rPr>
        <w:t xml:space="preserve"> </w:t>
      </w:r>
      <w:r w:rsidR="001E1D7E">
        <w:rPr>
          <w:color w:val="000000"/>
        </w:rPr>
        <w:t xml:space="preserve">The information collected about infrastructure development activities </w:t>
      </w:r>
      <w:r w:rsidR="00905EC0">
        <w:rPr>
          <w:color w:val="000000"/>
        </w:rPr>
        <w:t xml:space="preserve">will enable SAMHSA to use funds allocated </w:t>
      </w:r>
      <w:r w:rsidR="00F0571A">
        <w:rPr>
          <w:color w:val="000000"/>
        </w:rPr>
        <w:t>through</w:t>
      </w:r>
      <w:r w:rsidR="00905EC0">
        <w:rPr>
          <w:color w:val="000000"/>
        </w:rPr>
        <w:t xml:space="preserve"> the SAT-ED </w:t>
      </w:r>
      <w:r w:rsidR="00E739BF">
        <w:rPr>
          <w:color w:val="000000"/>
        </w:rPr>
        <w:t xml:space="preserve">and SYT-ED </w:t>
      </w:r>
      <w:r w:rsidR="00905EC0">
        <w:rPr>
          <w:color w:val="000000"/>
        </w:rPr>
        <w:t>program</w:t>
      </w:r>
      <w:r w:rsidR="00E739BF">
        <w:rPr>
          <w:color w:val="000000"/>
        </w:rPr>
        <w:t>s</w:t>
      </w:r>
      <w:r w:rsidR="00905EC0">
        <w:rPr>
          <w:color w:val="000000"/>
        </w:rPr>
        <w:t xml:space="preserve"> more effectively.</w:t>
      </w:r>
    </w:p>
    <w:p w:rsidR="004527EB" w:rsidRPr="00C369D8" w:rsidRDefault="004527EB" w:rsidP="004527EB">
      <w:pPr>
        <w:pStyle w:val="Level1"/>
        <w:keepNext/>
        <w:widowControl/>
        <w:tabs>
          <w:tab w:val="left" w:pos="-1440"/>
        </w:tabs>
        <w:rPr>
          <w:color w:val="4F6228"/>
        </w:rPr>
      </w:pPr>
    </w:p>
    <w:p w:rsidR="004527EB" w:rsidRPr="002775C0" w:rsidRDefault="004527EB" w:rsidP="004527EB">
      <w:pPr>
        <w:pStyle w:val="Level1"/>
        <w:keepNext/>
        <w:widowControl/>
        <w:tabs>
          <w:tab w:val="left" w:pos="-1440"/>
        </w:tabs>
      </w:pPr>
      <w:r w:rsidRPr="002775C0">
        <w:t xml:space="preserve">Although the evaluation is designed to provide direction for future </w:t>
      </w:r>
      <w:r w:rsidR="002775C0" w:rsidRPr="002775C0">
        <w:t xml:space="preserve">SAMHSA </w:t>
      </w:r>
      <w:r w:rsidRPr="002775C0">
        <w:t xml:space="preserve">efforts, results from this </w:t>
      </w:r>
      <w:r w:rsidR="00E93F1A">
        <w:t>evaluation</w:t>
      </w:r>
      <w:r w:rsidRPr="002775C0">
        <w:t xml:space="preserve"> are expected to be of interest and use to other agencies and organizations that </w:t>
      </w:r>
      <w:r w:rsidR="00F0571A">
        <w:t xml:space="preserve">support or provide substance use and co-occurring substance use and mental disorder treatment and recovery services to adolescent and </w:t>
      </w:r>
      <w:r w:rsidR="00E93F1A">
        <w:t xml:space="preserve">transitional-aged </w:t>
      </w:r>
      <w:r w:rsidR="00F0571A">
        <w:t>youth populations</w:t>
      </w:r>
      <w:r w:rsidRPr="002775C0">
        <w:t xml:space="preserve">. </w:t>
      </w:r>
    </w:p>
    <w:p w:rsidR="004527EB" w:rsidRDefault="004527EB" w:rsidP="004527EB">
      <w:pPr>
        <w:pStyle w:val="Level1"/>
        <w:keepNext/>
        <w:widowControl/>
        <w:tabs>
          <w:tab w:val="left" w:pos="-1440"/>
        </w:tabs>
        <w:rPr>
          <w:color w:val="4F6228"/>
        </w:rPr>
      </w:pPr>
    </w:p>
    <w:p w:rsidR="004527EB" w:rsidRPr="00AA00EA" w:rsidRDefault="004527EB" w:rsidP="004527EB">
      <w:pPr>
        <w:rPr>
          <w:color w:val="984806"/>
        </w:rPr>
      </w:pPr>
      <w:r w:rsidRPr="005B2C1C">
        <w:t>The results of this data collection effort will provide SAMHSA with substantive</w:t>
      </w:r>
      <w:r w:rsidR="005B2C1C" w:rsidRPr="005B2C1C">
        <w:t xml:space="preserve"> information </w:t>
      </w:r>
      <w:r w:rsidR="00B02E4C">
        <w:t>about</w:t>
      </w:r>
      <w:r w:rsidR="00B02E4C">
        <w:rPr>
          <w:color w:val="984806"/>
        </w:rPr>
        <w:t xml:space="preserve"> </w:t>
      </w:r>
      <w:r w:rsidR="00905EC0">
        <w:rPr>
          <w:color w:val="000000"/>
        </w:rPr>
        <w:t>SAT-ED</w:t>
      </w:r>
      <w:r w:rsidR="00E739BF">
        <w:rPr>
          <w:color w:val="000000"/>
        </w:rPr>
        <w:t xml:space="preserve"> and SYT-ED </w:t>
      </w:r>
      <w:r w:rsidR="00905EC0">
        <w:rPr>
          <w:color w:val="000000"/>
        </w:rPr>
        <w:t xml:space="preserve">grantee recipients’ infrastructure development </w:t>
      </w:r>
      <w:r w:rsidR="0048246D">
        <w:rPr>
          <w:color w:val="000000"/>
        </w:rPr>
        <w:t>activities</w:t>
      </w:r>
      <w:r w:rsidR="005B2C1C">
        <w:rPr>
          <w:color w:val="984806"/>
        </w:rPr>
        <w:t>.</w:t>
      </w:r>
      <w:r w:rsidRPr="00AA00EA">
        <w:rPr>
          <w:color w:val="984806"/>
        </w:rPr>
        <w:t xml:space="preserve"> </w:t>
      </w:r>
      <w:r w:rsidRPr="002775C0">
        <w:t xml:space="preserve">Data collected via the </w:t>
      </w:r>
      <w:r w:rsidR="001064E5">
        <w:t>biannual infrastructure development measure</w:t>
      </w:r>
      <w:r w:rsidRPr="002775C0">
        <w:t xml:space="preserve"> will enable the </w:t>
      </w:r>
      <w:r w:rsidR="002775C0" w:rsidRPr="002775C0">
        <w:t>SAT-ED</w:t>
      </w:r>
      <w:r w:rsidRPr="002775C0">
        <w:t xml:space="preserve"> </w:t>
      </w:r>
      <w:r w:rsidR="00E739BF">
        <w:t xml:space="preserve">and SYT-ED </w:t>
      </w:r>
      <w:r w:rsidRPr="002775C0">
        <w:t>program</w:t>
      </w:r>
      <w:r w:rsidR="00E739BF">
        <w:t>s</w:t>
      </w:r>
      <w:r w:rsidRPr="002775C0">
        <w:t xml:space="preserve"> to increase </w:t>
      </w:r>
      <w:r w:rsidR="00E739BF">
        <w:t>their</w:t>
      </w:r>
      <w:r w:rsidRPr="002775C0">
        <w:t xml:space="preserve"> effectiveness in meeting the needs of </w:t>
      </w:r>
      <w:r w:rsidR="002775C0" w:rsidRPr="002775C0">
        <w:t xml:space="preserve">adolescents </w:t>
      </w:r>
      <w:r w:rsidR="00E93F1A">
        <w:t xml:space="preserve">and transitional-aged youth </w:t>
      </w:r>
      <w:r w:rsidRPr="005B2C1C">
        <w:t xml:space="preserve">with substance use disorders. It will also inform future policy concerning the development and implementation of </w:t>
      </w:r>
      <w:r w:rsidR="00B02E4C">
        <w:t xml:space="preserve">a coordinated network to improve the integration and efficiency of </w:t>
      </w:r>
      <w:r w:rsidR="00422EB0">
        <w:t xml:space="preserve">state/territorial/tribal </w:t>
      </w:r>
      <w:r w:rsidR="00B02E4C">
        <w:t xml:space="preserve">treatment and recovery </w:t>
      </w:r>
      <w:r w:rsidR="00422EB0">
        <w:t>support systems serving adolescents and</w:t>
      </w:r>
      <w:r w:rsidR="00B02E4C">
        <w:t xml:space="preserve"> transitional</w:t>
      </w:r>
      <w:r w:rsidR="00B644B4">
        <w:t>-</w:t>
      </w:r>
      <w:r w:rsidR="00B02E4C">
        <w:t xml:space="preserve">aged </w:t>
      </w:r>
      <w:r w:rsidR="00422EB0">
        <w:t xml:space="preserve">youth with co-occurring substance use and mental disorders </w:t>
      </w:r>
      <w:r w:rsidR="00B02E4C">
        <w:t>and their families/</w:t>
      </w:r>
      <w:r w:rsidR="00B02E4C" w:rsidRPr="00C375A7">
        <w:t>caregivers.</w:t>
      </w:r>
      <w:r w:rsidR="00B02E4C">
        <w:t xml:space="preserve"> </w:t>
      </w:r>
    </w:p>
    <w:p w:rsidR="004527EB" w:rsidRPr="0048246D" w:rsidRDefault="004527EB" w:rsidP="004527EB"/>
    <w:p w:rsidR="004527EB" w:rsidRPr="00312540" w:rsidRDefault="005B2C1C" w:rsidP="007909B6">
      <w:pPr>
        <w:rPr>
          <w:color w:val="984806"/>
        </w:rPr>
      </w:pPr>
      <w:r w:rsidRPr="0048246D">
        <w:t xml:space="preserve">The </w:t>
      </w:r>
      <w:r w:rsidR="000D0A69">
        <w:t>progress report</w:t>
      </w:r>
      <w:r w:rsidR="004527EB" w:rsidRPr="0048246D">
        <w:t xml:space="preserve"> will </w:t>
      </w:r>
      <w:r w:rsidR="0084467B">
        <w:t>obtain</w:t>
      </w:r>
      <w:r w:rsidR="004527EB" w:rsidRPr="0048246D">
        <w:t xml:space="preserve"> the data necessary to </w:t>
      </w:r>
      <w:r w:rsidR="006B2D7C" w:rsidRPr="0048246D">
        <w:t xml:space="preserve">evaluate the effectiveness of infrastructure development measures designed for grantees of the SAT-ED </w:t>
      </w:r>
      <w:r w:rsidR="00E739BF">
        <w:t xml:space="preserve">and SYT-ED </w:t>
      </w:r>
      <w:r w:rsidR="006B2D7C" w:rsidRPr="0048246D">
        <w:t>program</w:t>
      </w:r>
      <w:r w:rsidR="00E739BF">
        <w:t>s</w:t>
      </w:r>
      <w:r w:rsidR="004527EB" w:rsidRPr="0048246D">
        <w:t>.</w:t>
      </w:r>
      <w:r w:rsidR="00E74BB5" w:rsidRPr="0048246D">
        <w:t xml:space="preserve"> </w:t>
      </w:r>
      <w:r w:rsidR="004527EB" w:rsidRPr="0048246D">
        <w:t xml:space="preserve">All </w:t>
      </w:r>
      <w:r w:rsidR="00322E92">
        <w:t>35</w:t>
      </w:r>
      <w:r w:rsidR="006B2D7C" w:rsidRPr="0048246D">
        <w:t xml:space="preserve"> grantee administrators (</w:t>
      </w:r>
      <w:r w:rsidR="00E31A43">
        <w:t>i</w:t>
      </w:r>
      <w:r w:rsidR="00E31A43" w:rsidRPr="00E31A43">
        <w:t>.</w:t>
      </w:r>
      <w:r w:rsidR="006B2D7C" w:rsidRPr="00E31A43">
        <w:t>e., Project Directors</w:t>
      </w:r>
      <w:r w:rsidR="006B37C1">
        <w:t xml:space="preserve"> and/or</w:t>
      </w:r>
      <w:r w:rsidR="006B2D7C" w:rsidRPr="00E31A43">
        <w:t xml:space="preserve"> </w:t>
      </w:r>
      <w:r w:rsidR="00E31A43" w:rsidRPr="00E31A43">
        <w:t>Program Managers</w:t>
      </w:r>
      <w:r w:rsidR="006B2D7C" w:rsidRPr="00E31A43">
        <w:t>)</w:t>
      </w:r>
      <w:r w:rsidR="006B2D7C" w:rsidRPr="0048246D">
        <w:t xml:space="preserve"> across </w:t>
      </w:r>
      <w:r w:rsidR="004A2BE0">
        <w:t>three</w:t>
      </w:r>
      <w:r w:rsidR="006B2D7C" w:rsidRPr="0048246D">
        <w:t xml:space="preserve"> cohorts where SAT-ED </w:t>
      </w:r>
      <w:r w:rsidR="00E739BF">
        <w:t xml:space="preserve">and SYT-ED </w:t>
      </w:r>
      <w:r w:rsidR="006B2D7C" w:rsidRPr="0048246D">
        <w:t xml:space="preserve">grants are being implemented </w:t>
      </w:r>
      <w:r w:rsidR="004527EB" w:rsidRPr="0048246D">
        <w:t>are eligible to be</w:t>
      </w:r>
      <w:r w:rsidR="000D0A69" w:rsidRPr="000D0A69">
        <w:t xml:space="preserve"> </w:t>
      </w:r>
      <w:r w:rsidR="000D0A69">
        <w:t>assessed</w:t>
      </w:r>
      <w:r w:rsidR="004527EB" w:rsidRPr="0048246D">
        <w:t xml:space="preserve">. </w:t>
      </w:r>
      <w:r w:rsidR="00950CAB">
        <w:t>Up to two a</w:t>
      </w:r>
      <w:r w:rsidR="006B37C1">
        <w:t xml:space="preserve">dditional project staff </w:t>
      </w:r>
      <w:r w:rsidR="00B644B4">
        <w:t xml:space="preserve">members </w:t>
      </w:r>
      <w:r w:rsidR="006B37C1">
        <w:t xml:space="preserve">(e.g., </w:t>
      </w:r>
      <w:r w:rsidR="006B37C1" w:rsidRPr="00C375A7">
        <w:t>Evaluators, Clinical Supervisors, Site Coordinators</w:t>
      </w:r>
      <w:r w:rsidR="006B37C1">
        <w:t xml:space="preserve">) may also assist Project Directors/Program Managers with gathering information to complete the </w:t>
      </w:r>
      <w:r w:rsidR="000D0A69">
        <w:t>progress report</w:t>
      </w:r>
      <w:r w:rsidR="006B37C1">
        <w:t>.</w:t>
      </w:r>
      <w:r w:rsidR="006B37C1" w:rsidRPr="0048246D">
        <w:t xml:space="preserve"> </w:t>
      </w:r>
      <w:r w:rsidRPr="0048246D">
        <w:t xml:space="preserve">The </w:t>
      </w:r>
      <w:r w:rsidR="000D0A69">
        <w:t>progress report</w:t>
      </w:r>
      <w:r w:rsidR="004527EB" w:rsidRPr="0048246D">
        <w:t xml:space="preserve"> includes sets of questions </w:t>
      </w:r>
      <w:r w:rsidR="00A90906">
        <w:t xml:space="preserve">that </w:t>
      </w:r>
      <w:r w:rsidR="001E1D7E">
        <w:t xml:space="preserve">are designed to </w:t>
      </w:r>
      <w:r w:rsidR="00A90906">
        <w:t>assess the nature and extent of infrastructure development activities undertaken by grantees, including the results of those activities and any barriers or challenges faced during implementation.</w:t>
      </w:r>
    </w:p>
    <w:p w:rsidR="00FD47EC" w:rsidRPr="004F4185" w:rsidRDefault="00FD47EC">
      <w:pPr>
        <w:pStyle w:val="NormalWeb"/>
        <w:rPr>
          <w:rStyle w:val="Strong"/>
        </w:rPr>
      </w:pPr>
      <w:r w:rsidRPr="004F4185">
        <w:rPr>
          <w:rStyle w:val="Strong"/>
        </w:rPr>
        <w:t xml:space="preserve">A.3. Use of Information Technology </w:t>
      </w:r>
      <w:r w:rsidR="00B644B4">
        <w:rPr>
          <w:rStyle w:val="Strong"/>
        </w:rPr>
        <w:t>t</w:t>
      </w:r>
      <w:r w:rsidRPr="004F4185">
        <w:rPr>
          <w:rStyle w:val="Strong"/>
        </w:rPr>
        <w:t>o Reduce Burden</w:t>
      </w:r>
    </w:p>
    <w:p w:rsidR="00FD47EC" w:rsidRPr="004F4185" w:rsidRDefault="004F4185">
      <w:pPr>
        <w:pStyle w:val="NormalWeb"/>
      </w:pPr>
      <w:r>
        <w:lastRenderedPageBreak/>
        <w:t>The</w:t>
      </w:r>
      <w:r w:rsidR="00E67517">
        <w:t xml:space="preserve"> </w:t>
      </w:r>
      <w:r w:rsidR="001064E5">
        <w:t>biannual infrastructure development measure</w:t>
      </w:r>
      <w:r>
        <w:t xml:space="preserve"> will be distributed </w:t>
      </w:r>
      <w:r w:rsidR="00B77268">
        <w:t xml:space="preserve">via email </w:t>
      </w:r>
      <w:r>
        <w:t xml:space="preserve">and </w:t>
      </w:r>
      <w:r w:rsidR="00B77268">
        <w:t xml:space="preserve">returned </w:t>
      </w:r>
      <w:r>
        <w:t>via email</w:t>
      </w:r>
      <w:r w:rsidR="00B77268">
        <w:t xml:space="preserve"> or mail</w:t>
      </w:r>
      <w:r>
        <w:t xml:space="preserve">. This will be the primary method of data collection. </w:t>
      </w:r>
      <w:r w:rsidR="006B37C1">
        <w:t xml:space="preserve">After </w:t>
      </w:r>
      <w:r>
        <w:t xml:space="preserve">completed </w:t>
      </w:r>
      <w:r w:rsidR="000D0A69">
        <w:t>progress report</w:t>
      </w:r>
      <w:r>
        <w:t xml:space="preserve">s are received, responses will be entered into a secure database. </w:t>
      </w:r>
      <w:r w:rsidR="00D644B9" w:rsidRPr="004F4185">
        <w:t xml:space="preserve">All technology used for the </w:t>
      </w:r>
      <w:r w:rsidR="000D0A69">
        <w:t>progress report</w:t>
      </w:r>
      <w:r w:rsidR="00D644B9" w:rsidRPr="004F4185">
        <w:t xml:space="preserve"> administration will meet </w:t>
      </w:r>
      <w:r w:rsidR="006B37C1">
        <w:t>f</w:t>
      </w:r>
      <w:r w:rsidR="006B37C1" w:rsidRPr="004F4185">
        <w:t xml:space="preserve">ederal </w:t>
      </w:r>
      <w:r w:rsidR="00D644B9" w:rsidRPr="004F4185">
        <w:t>requirements for Section 508 accessibility</w:t>
      </w:r>
      <w:r w:rsidR="00D644B9" w:rsidRPr="004F4185">
        <w:rPr>
          <w:sz w:val="20"/>
          <w:szCs w:val="20"/>
        </w:rPr>
        <w:t xml:space="preserve">. </w:t>
      </w:r>
      <w:r w:rsidR="00FD47EC" w:rsidRPr="004F4185">
        <w:t>Information technology will be used in the following ways:</w:t>
      </w:r>
    </w:p>
    <w:p w:rsidR="00FD47EC" w:rsidRPr="004F4185" w:rsidRDefault="00FD47EC">
      <w:pPr>
        <w:numPr>
          <w:ilvl w:val="0"/>
          <w:numId w:val="1"/>
        </w:numPr>
        <w:spacing w:before="100" w:beforeAutospacing="1" w:after="100" w:afterAutospacing="1"/>
      </w:pPr>
      <w:r w:rsidRPr="004F4185">
        <w:t xml:space="preserve">Participants will be offered the opportunity to respond to </w:t>
      </w:r>
      <w:r w:rsidR="004A2BE0">
        <w:t>a</w:t>
      </w:r>
      <w:r w:rsidR="004F4185" w:rsidRPr="004F4185">
        <w:t xml:space="preserve"> </w:t>
      </w:r>
      <w:r w:rsidR="000D0A69">
        <w:t>progress report</w:t>
      </w:r>
      <w:r w:rsidR="004A2BE0">
        <w:t xml:space="preserve"> that will be emailed to them</w:t>
      </w:r>
      <w:r w:rsidR="004F309E">
        <w:t xml:space="preserve">. The </w:t>
      </w:r>
      <w:r w:rsidR="000D0A69">
        <w:t>progress report</w:t>
      </w:r>
      <w:r w:rsidR="004F309E">
        <w:t xml:space="preserve"> can be completed</w:t>
      </w:r>
      <w:r w:rsidR="004F4185" w:rsidRPr="004F4185">
        <w:t xml:space="preserve"> electronically</w:t>
      </w:r>
      <w:r w:rsidR="004F309E">
        <w:t xml:space="preserve"> or</w:t>
      </w:r>
      <w:r w:rsidR="004A2BE0">
        <w:t xml:space="preserve"> print</w:t>
      </w:r>
      <w:r w:rsidR="004F309E">
        <w:t>ed</w:t>
      </w:r>
      <w:r w:rsidR="004A2BE0">
        <w:t xml:space="preserve">, </w:t>
      </w:r>
      <w:r w:rsidR="004F309E">
        <w:t xml:space="preserve">completed, and </w:t>
      </w:r>
      <w:r w:rsidR="004A2BE0">
        <w:t>return</w:t>
      </w:r>
      <w:r w:rsidR="004F309E">
        <w:t>ed</w:t>
      </w:r>
      <w:r w:rsidR="004A2BE0">
        <w:t xml:space="preserve"> via email or mail</w:t>
      </w:r>
      <w:r w:rsidR="004F4185" w:rsidRPr="004F4185">
        <w:t xml:space="preserve">. </w:t>
      </w:r>
      <w:r w:rsidRPr="004F4185">
        <w:t>Electronic responses will be downloaded directly into the response database</w:t>
      </w:r>
      <w:r w:rsidR="004F309E">
        <w:t>; mailed responses will be manually entered or scanned in</w:t>
      </w:r>
      <w:r w:rsidRPr="004F4185">
        <w:t>.</w:t>
      </w:r>
      <w:r w:rsidR="00E74BB5">
        <w:t xml:space="preserve"> </w:t>
      </w:r>
    </w:p>
    <w:p w:rsidR="00FD47EC" w:rsidRPr="004F4185" w:rsidRDefault="00FD47EC">
      <w:pPr>
        <w:numPr>
          <w:ilvl w:val="0"/>
          <w:numId w:val="1"/>
        </w:numPr>
        <w:spacing w:before="100" w:beforeAutospacing="1" w:after="100" w:afterAutospacing="1"/>
      </w:pPr>
      <w:r w:rsidRPr="004F4185">
        <w:t xml:space="preserve">Reports generated from this project may be made available to the public </w:t>
      </w:r>
      <w:r w:rsidR="00B77268">
        <w:t>on</w:t>
      </w:r>
      <w:r w:rsidR="00B77268" w:rsidRPr="004F4185">
        <w:t xml:space="preserve"> </w:t>
      </w:r>
      <w:r w:rsidR="004F4185" w:rsidRPr="004F4185">
        <w:t>SAMHSA</w:t>
      </w:r>
      <w:r w:rsidRPr="004F4185">
        <w:t xml:space="preserve">'s </w:t>
      </w:r>
      <w:r w:rsidR="00B77268">
        <w:t>W</w:t>
      </w:r>
      <w:r w:rsidRPr="004F4185">
        <w:t>eb</w:t>
      </w:r>
      <w:r w:rsidR="00B77268">
        <w:t xml:space="preserve"> </w:t>
      </w:r>
      <w:r w:rsidRPr="004F4185">
        <w:t>site.</w:t>
      </w:r>
    </w:p>
    <w:p w:rsidR="00FD47EC" w:rsidRPr="004F4185" w:rsidRDefault="00FD47EC">
      <w:pPr>
        <w:pStyle w:val="NormalWeb"/>
      </w:pPr>
      <w:r w:rsidRPr="004F4185">
        <w:t xml:space="preserve">By offering respondents the opportunity to respond </w:t>
      </w:r>
      <w:r w:rsidR="004F4185" w:rsidRPr="004F4185">
        <w:t>electronically t</w:t>
      </w:r>
      <w:r w:rsidRPr="004F4185">
        <w:t xml:space="preserve">o the </w:t>
      </w:r>
      <w:r w:rsidR="004F4185" w:rsidRPr="004F4185">
        <w:t>e</w:t>
      </w:r>
      <w:r w:rsidRPr="004F4185">
        <w:t xml:space="preserve">mailed </w:t>
      </w:r>
      <w:r w:rsidR="000D0A69">
        <w:t>progress report</w:t>
      </w:r>
      <w:r w:rsidRPr="004F4185">
        <w:t xml:space="preserve">, burden to respondents is reduced by eliminating the time it takes to write out responses on a </w:t>
      </w:r>
      <w:r w:rsidR="004F4185" w:rsidRPr="004F4185">
        <w:t xml:space="preserve">paper-and-pencil </w:t>
      </w:r>
      <w:r w:rsidRPr="004F4185">
        <w:t>questionnaire.</w:t>
      </w:r>
      <w:r w:rsidR="00E74BB5">
        <w:t xml:space="preserve"> </w:t>
      </w:r>
      <w:r w:rsidRPr="004F4185">
        <w:t xml:space="preserve">In addition, by offering respondents </w:t>
      </w:r>
      <w:r w:rsidR="004F4185" w:rsidRPr="004F4185">
        <w:t>the option of responding via email</w:t>
      </w:r>
      <w:r w:rsidRPr="004F4185">
        <w:t xml:space="preserve">, the </w:t>
      </w:r>
      <w:r w:rsidR="004F4185" w:rsidRPr="004F4185">
        <w:t>time associated with mailing a</w:t>
      </w:r>
      <w:r w:rsidRPr="004F4185">
        <w:t xml:space="preserve"> hard copy of the questionnaire back to the contractor is eliminated.</w:t>
      </w:r>
    </w:p>
    <w:p w:rsidR="00FD47EC" w:rsidRPr="005E21FB" w:rsidRDefault="00FD47EC">
      <w:pPr>
        <w:pStyle w:val="NormalWeb"/>
        <w:rPr>
          <w:rStyle w:val="Strong"/>
        </w:rPr>
      </w:pPr>
      <w:r w:rsidRPr="005E21FB">
        <w:rPr>
          <w:rStyle w:val="Strong"/>
        </w:rPr>
        <w:t xml:space="preserve">A.4. Efforts </w:t>
      </w:r>
      <w:r w:rsidR="00B77268">
        <w:rPr>
          <w:rStyle w:val="Strong"/>
        </w:rPr>
        <w:t>t</w:t>
      </w:r>
      <w:r w:rsidRPr="005E21FB">
        <w:rPr>
          <w:rStyle w:val="Strong"/>
        </w:rPr>
        <w:t>o Identify Duplication</w:t>
      </w:r>
    </w:p>
    <w:p w:rsidR="00D47C99" w:rsidRDefault="00D47C99" w:rsidP="00D47C99">
      <w:r>
        <w:t xml:space="preserve">The data collection proposed for these measures are not available elsewhere and is not duplicative.  </w:t>
      </w:r>
    </w:p>
    <w:p w:rsidR="00FD47EC" w:rsidRPr="006E60B1" w:rsidRDefault="00FD47EC">
      <w:pPr>
        <w:pStyle w:val="NormalWeb"/>
        <w:rPr>
          <w:rStyle w:val="Strong"/>
        </w:rPr>
      </w:pPr>
      <w:r w:rsidRPr="006E60B1">
        <w:rPr>
          <w:rStyle w:val="Strong"/>
        </w:rPr>
        <w:t>A.5. Small Business</w:t>
      </w:r>
    </w:p>
    <w:p w:rsidR="006E60B1" w:rsidRDefault="006E60B1" w:rsidP="006E60B1">
      <w:r w:rsidRPr="008C607D">
        <w:t xml:space="preserve">Participation of </w:t>
      </w:r>
      <w:r>
        <w:t>administrators</w:t>
      </w:r>
      <w:r w:rsidRPr="008C607D">
        <w:t xml:space="preserve"> </w:t>
      </w:r>
      <w:r w:rsidR="00673905">
        <w:t xml:space="preserve">and other project staff members </w:t>
      </w:r>
      <w:r>
        <w:t>in the SAT-ED</w:t>
      </w:r>
      <w:r w:rsidR="00E739BF">
        <w:t xml:space="preserve"> and SYT-ED</w:t>
      </w:r>
      <w:r>
        <w:t xml:space="preserve"> </w:t>
      </w:r>
      <w:r w:rsidR="00794324">
        <w:t xml:space="preserve">infrastructure </w:t>
      </w:r>
      <w:r w:rsidR="00033816" w:rsidRPr="00033816">
        <w:t>measures data collection</w:t>
      </w:r>
      <w:r w:rsidRPr="008C607D">
        <w:t xml:space="preserve"> will not be a significant burden on small businesses or small entities or on their workforces.</w:t>
      </w:r>
    </w:p>
    <w:p w:rsidR="00FD47EC" w:rsidRPr="00BA29FD" w:rsidRDefault="00FD47EC">
      <w:pPr>
        <w:pStyle w:val="NormalWeb"/>
        <w:rPr>
          <w:rStyle w:val="Strong"/>
        </w:rPr>
      </w:pPr>
      <w:r w:rsidRPr="00BA29FD">
        <w:rPr>
          <w:rStyle w:val="Strong"/>
        </w:rPr>
        <w:t>A.6. Consequences of Not Collecting the Information</w:t>
      </w:r>
    </w:p>
    <w:p w:rsidR="00A01176" w:rsidRPr="00A01176" w:rsidRDefault="00BA29FD" w:rsidP="00A01176">
      <w:r>
        <w:t>T</w:t>
      </w:r>
      <w:r w:rsidRPr="008C607D">
        <w:t xml:space="preserve">he </w:t>
      </w:r>
      <w:r w:rsidR="001064E5">
        <w:t>biannual infrastructure development measure</w:t>
      </w:r>
      <w:r w:rsidRPr="008C607D">
        <w:t xml:space="preserve"> will be </w:t>
      </w:r>
      <w:r w:rsidR="002F3C6A">
        <w:t>sent</w:t>
      </w:r>
      <w:r w:rsidR="002F3C6A" w:rsidRPr="008C607D">
        <w:t xml:space="preserve"> </w:t>
      </w:r>
      <w:r w:rsidRPr="008C607D">
        <w:t xml:space="preserve">to each </w:t>
      </w:r>
      <w:r w:rsidRPr="0006127C">
        <w:t xml:space="preserve">respondent </w:t>
      </w:r>
      <w:r w:rsidR="00B77268">
        <w:t>twice a year</w:t>
      </w:r>
      <w:r w:rsidR="0006127C" w:rsidRPr="0006127C">
        <w:t xml:space="preserve">, over a period of up to </w:t>
      </w:r>
      <w:r w:rsidR="00B77268">
        <w:t>5</w:t>
      </w:r>
      <w:r w:rsidR="00B77268" w:rsidRPr="0006127C">
        <w:t xml:space="preserve"> </w:t>
      </w:r>
      <w:r w:rsidR="0006127C" w:rsidRPr="0006127C">
        <w:t xml:space="preserve">years (for a maximum </w:t>
      </w:r>
      <w:r w:rsidR="0073633E">
        <w:t xml:space="preserve">of </w:t>
      </w:r>
      <w:r w:rsidR="00B77268">
        <w:t>10</w:t>
      </w:r>
      <w:r w:rsidR="00B77268" w:rsidRPr="0006127C">
        <w:t xml:space="preserve"> </w:t>
      </w:r>
      <w:r w:rsidRPr="0006127C">
        <w:t>times per participant).</w:t>
      </w:r>
      <w:r w:rsidRPr="008C607D">
        <w:t xml:space="preserve"> Because the objective of the </w:t>
      </w:r>
      <w:r w:rsidR="00322E92">
        <w:t xml:space="preserve">SAT-ED </w:t>
      </w:r>
      <w:r w:rsidR="00E739BF">
        <w:t xml:space="preserve">and SYT-ED </w:t>
      </w:r>
      <w:r w:rsidR="001064E5">
        <w:t>biannual infrastructure development measure</w:t>
      </w:r>
      <w:r>
        <w:t xml:space="preserve"> is to collect information</w:t>
      </w:r>
      <w:r w:rsidR="00A01176">
        <w:t xml:space="preserve"> on trends, improvements</w:t>
      </w:r>
      <w:r w:rsidR="0073633E">
        <w:t>,</w:t>
      </w:r>
      <w:r w:rsidR="00A01176">
        <w:t xml:space="preserve"> and changes</w:t>
      </w:r>
      <w:r>
        <w:t xml:space="preserve"> over a </w:t>
      </w:r>
      <w:r w:rsidR="00A01176">
        <w:t>period of time,</w:t>
      </w:r>
      <w:r w:rsidRPr="008C607D">
        <w:t xml:space="preserve"> </w:t>
      </w:r>
      <w:r w:rsidR="00A01176">
        <w:t>obtaining the data l</w:t>
      </w:r>
      <w:r w:rsidRPr="008C607D">
        <w:t>e</w:t>
      </w:r>
      <w:r w:rsidR="00A01176">
        <w:t>ss frequently would not allow the goals of the data collection to be met.</w:t>
      </w:r>
      <w:r w:rsidRPr="008C607D">
        <w:t xml:space="preserve"> Less frequent data collec</w:t>
      </w:r>
      <w:r w:rsidR="00A01176">
        <w:t xml:space="preserve">tion would not achieve the </w:t>
      </w:r>
      <w:r w:rsidRPr="008C607D">
        <w:t>primary objectives</w:t>
      </w:r>
      <w:r w:rsidR="0073633E">
        <w:t xml:space="preserve"> of the SAT-ED</w:t>
      </w:r>
      <w:r w:rsidR="00E739BF">
        <w:t xml:space="preserve"> and SYT-ED</w:t>
      </w:r>
      <w:r w:rsidR="0073633E">
        <w:t xml:space="preserve"> infrastructure </w:t>
      </w:r>
      <w:r w:rsidR="0073633E" w:rsidRPr="00033816">
        <w:t>measures data collection</w:t>
      </w:r>
      <w:r w:rsidR="0073633E" w:rsidRPr="008C607D">
        <w:t xml:space="preserve"> initiative</w:t>
      </w:r>
      <w:r w:rsidRPr="00A01176">
        <w:t xml:space="preserve">. </w:t>
      </w:r>
      <w:r w:rsidR="00AB3BA7">
        <w:t>Depending on their cohort, grantee administrators</w:t>
      </w:r>
      <w:r w:rsidR="00A01176" w:rsidRPr="00A01176">
        <w:t xml:space="preserve"> will</w:t>
      </w:r>
      <w:r w:rsidR="00A01176">
        <w:t xml:space="preserve"> be a</w:t>
      </w:r>
      <w:r w:rsidR="00A01176" w:rsidRPr="00A01176">
        <w:t xml:space="preserve">sked to participate </w:t>
      </w:r>
      <w:r w:rsidR="00AB3BA7">
        <w:t>a minimum of 6 times (</w:t>
      </w:r>
      <w:r w:rsidR="00F24A47">
        <w:t xml:space="preserve">Cohort 1 </w:t>
      </w:r>
      <w:r w:rsidR="00AB3BA7">
        <w:t>grantees</w:t>
      </w:r>
      <w:r w:rsidR="003437C6">
        <w:t xml:space="preserve">, </w:t>
      </w:r>
      <w:r w:rsidR="000361B8">
        <w:t>13</w:t>
      </w:r>
      <w:r w:rsidR="00F24A47">
        <w:t xml:space="preserve"> </w:t>
      </w:r>
      <w:r w:rsidR="00322E92">
        <w:t>grantee administrators and 26 project staff</w:t>
      </w:r>
      <w:r w:rsidR="00AB3BA7">
        <w:t>) and a maximum of 10 times (Cohort 2 grantees</w:t>
      </w:r>
      <w:r w:rsidR="00F24A47">
        <w:t xml:space="preserve">, </w:t>
      </w:r>
      <w:r w:rsidR="000361B8">
        <w:t>10</w:t>
      </w:r>
      <w:r w:rsidR="00F24A47">
        <w:t xml:space="preserve"> </w:t>
      </w:r>
      <w:r w:rsidR="00322E92">
        <w:t>grantee administrators and 20 project staff; Cohort 3 grantees, 12 grantee administrators and 24 project staff</w:t>
      </w:r>
      <w:r w:rsidR="00AB3BA7">
        <w:t>)</w:t>
      </w:r>
      <w:r w:rsidR="00A01176" w:rsidRPr="00A01176">
        <w:t xml:space="preserve"> to follow up and expand on their original responses.</w:t>
      </w:r>
    </w:p>
    <w:p w:rsidR="00A01176" w:rsidRDefault="00A01176" w:rsidP="00A01176"/>
    <w:p w:rsidR="00FD47EC" w:rsidRPr="00A01176" w:rsidRDefault="00FD47EC">
      <w:pPr>
        <w:keepNext/>
      </w:pPr>
      <w:r w:rsidRPr="00A01176">
        <w:lastRenderedPageBreak/>
        <w:t xml:space="preserve">If the information is not collected, </w:t>
      </w:r>
      <w:r w:rsidR="00A01176" w:rsidRPr="00A01176">
        <w:t xml:space="preserve">SAMHSA </w:t>
      </w:r>
      <w:r w:rsidRPr="00A01176">
        <w:t>will be deprived of important information on which to base decisions regarding changes to their</w:t>
      </w:r>
      <w:r w:rsidR="00A01176">
        <w:t xml:space="preserve"> </w:t>
      </w:r>
      <w:r w:rsidR="0073633E">
        <w:rPr>
          <w:spacing w:val="1"/>
        </w:rPr>
        <w:t>s</w:t>
      </w:r>
      <w:r w:rsidR="0073633E" w:rsidRPr="00A01176">
        <w:rPr>
          <w:spacing w:val="-2"/>
        </w:rPr>
        <w:t>t</w:t>
      </w:r>
      <w:r w:rsidR="0073633E" w:rsidRPr="00A01176">
        <w:rPr>
          <w:spacing w:val="1"/>
        </w:rPr>
        <w:t>a</w:t>
      </w:r>
      <w:r w:rsidR="0073633E" w:rsidRPr="00A01176">
        <w:t>t</w:t>
      </w:r>
      <w:r w:rsidR="0073633E" w:rsidRPr="00A01176">
        <w:rPr>
          <w:spacing w:val="-1"/>
        </w:rPr>
        <w:t>e</w:t>
      </w:r>
      <w:r w:rsidR="00A01176" w:rsidRPr="00A01176">
        <w:t>/</w:t>
      </w:r>
      <w:r w:rsidR="0073633E">
        <w:t>t</w:t>
      </w:r>
      <w:r w:rsidR="0073633E" w:rsidRPr="00A01176">
        <w:rPr>
          <w:spacing w:val="1"/>
        </w:rPr>
        <w:t>e</w:t>
      </w:r>
      <w:r w:rsidR="0073633E" w:rsidRPr="00A01176">
        <w:rPr>
          <w:spacing w:val="-1"/>
        </w:rPr>
        <w:t>rr</w:t>
      </w:r>
      <w:r w:rsidR="0073633E" w:rsidRPr="00A01176">
        <w:t>it</w:t>
      </w:r>
      <w:r w:rsidR="0073633E" w:rsidRPr="00A01176">
        <w:rPr>
          <w:spacing w:val="1"/>
        </w:rPr>
        <w:t>o</w:t>
      </w:r>
      <w:r w:rsidR="0073633E" w:rsidRPr="00A01176">
        <w:rPr>
          <w:spacing w:val="-1"/>
        </w:rPr>
        <w:t>r</w:t>
      </w:r>
      <w:r w:rsidR="0073633E" w:rsidRPr="00A01176">
        <w:rPr>
          <w:spacing w:val="-2"/>
        </w:rPr>
        <w:t>y</w:t>
      </w:r>
      <w:r w:rsidR="00A01176" w:rsidRPr="00A01176">
        <w:t>/</w:t>
      </w:r>
      <w:r w:rsidR="0073633E">
        <w:rPr>
          <w:spacing w:val="2"/>
        </w:rPr>
        <w:t>t</w:t>
      </w:r>
      <w:r w:rsidR="0073633E" w:rsidRPr="00A01176">
        <w:rPr>
          <w:spacing w:val="-1"/>
        </w:rPr>
        <w:t>r</w:t>
      </w:r>
      <w:r w:rsidR="0073633E" w:rsidRPr="00A01176">
        <w:t>i</w:t>
      </w:r>
      <w:r w:rsidR="0073633E" w:rsidRPr="00A01176">
        <w:rPr>
          <w:spacing w:val="1"/>
        </w:rPr>
        <w:t>b</w:t>
      </w:r>
      <w:r w:rsidR="003B3BEC">
        <w:rPr>
          <w:spacing w:val="1"/>
        </w:rPr>
        <w:t>al</w:t>
      </w:r>
      <w:r w:rsidR="0073633E" w:rsidRPr="00A01176">
        <w:rPr>
          <w:spacing w:val="-1"/>
        </w:rPr>
        <w:t xml:space="preserve"> </w:t>
      </w:r>
      <w:r w:rsidR="00A01176" w:rsidRPr="00A01176">
        <w:rPr>
          <w:spacing w:val="1"/>
        </w:rPr>
        <w:t>po</w:t>
      </w:r>
      <w:r w:rsidR="00A01176" w:rsidRPr="00A01176">
        <w:t>lici</w:t>
      </w:r>
      <w:r w:rsidR="00A01176" w:rsidRPr="00A01176">
        <w:rPr>
          <w:spacing w:val="1"/>
        </w:rPr>
        <w:t>e</w:t>
      </w:r>
      <w:r w:rsidR="00A01176" w:rsidRPr="00A01176">
        <w:t xml:space="preserve">s </w:t>
      </w:r>
      <w:r w:rsidR="00A01176" w:rsidRPr="00A01176">
        <w:rPr>
          <w:spacing w:val="-1"/>
        </w:rPr>
        <w:t>a</w:t>
      </w:r>
      <w:r w:rsidR="00A01176" w:rsidRPr="00A01176">
        <w:rPr>
          <w:spacing w:val="1"/>
        </w:rPr>
        <w:t>n</w:t>
      </w:r>
      <w:r w:rsidR="00A01176" w:rsidRPr="00A01176">
        <w:t>d</w:t>
      </w:r>
      <w:r w:rsidR="00A01176" w:rsidRPr="00A01176">
        <w:rPr>
          <w:spacing w:val="-1"/>
        </w:rPr>
        <w:t xml:space="preserve"> </w:t>
      </w:r>
      <w:r w:rsidR="00A01176" w:rsidRPr="00A01176">
        <w:rPr>
          <w:spacing w:val="1"/>
        </w:rPr>
        <w:t>p</w:t>
      </w:r>
      <w:r w:rsidR="00A01176" w:rsidRPr="00A01176">
        <w:rPr>
          <w:spacing w:val="-1"/>
        </w:rPr>
        <w:t>r</w:t>
      </w:r>
      <w:r w:rsidR="00A01176" w:rsidRPr="00A01176">
        <w:rPr>
          <w:spacing w:val="1"/>
        </w:rPr>
        <w:t>o</w:t>
      </w:r>
      <w:r w:rsidR="00A01176" w:rsidRPr="00A01176">
        <w:t>c</w:t>
      </w:r>
      <w:r w:rsidR="00A01176" w:rsidRPr="00A01176">
        <w:rPr>
          <w:spacing w:val="1"/>
        </w:rPr>
        <w:t>e</w:t>
      </w:r>
      <w:r w:rsidR="00A01176" w:rsidRPr="00A01176">
        <w:rPr>
          <w:spacing w:val="-1"/>
        </w:rPr>
        <w:t>d</w:t>
      </w:r>
      <w:r w:rsidR="00A01176" w:rsidRPr="00A01176">
        <w:rPr>
          <w:spacing w:val="1"/>
        </w:rPr>
        <w:t>u</w:t>
      </w:r>
      <w:r w:rsidR="00A01176" w:rsidRPr="00A01176">
        <w:rPr>
          <w:spacing w:val="-3"/>
        </w:rPr>
        <w:t>r</w:t>
      </w:r>
      <w:r w:rsidR="00A01176" w:rsidRPr="00A01176">
        <w:rPr>
          <w:spacing w:val="1"/>
        </w:rPr>
        <w:t>e</w:t>
      </w:r>
      <w:r w:rsidR="00A01176" w:rsidRPr="00A01176">
        <w:t>s;</w:t>
      </w:r>
      <w:r w:rsidR="00A01176" w:rsidRPr="00A01176">
        <w:rPr>
          <w:spacing w:val="1"/>
        </w:rPr>
        <w:t xml:space="preserve"> </w:t>
      </w:r>
      <w:r w:rsidR="00A01176" w:rsidRPr="00A01176">
        <w:rPr>
          <w:spacing w:val="-1"/>
        </w:rPr>
        <w:t>d</w:t>
      </w:r>
      <w:r w:rsidR="00A01176" w:rsidRPr="00A01176">
        <w:rPr>
          <w:spacing w:val="1"/>
        </w:rPr>
        <w:t>e</w:t>
      </w:r>
      <w:r w:rsidR="00A01176" w:rsidRPr="00A01176">
        <w:rPr>
          <w:spacing w:val="-2"/>
        </w:rPr>
        <w:t>v</w:t>
      </w:r>
      <w:r w:rsidR="00A01176" w:rsidRPr="00A01176">
        <w:rPr>
          <w:spacing w:val="1"/>
        </w:rPr>
        <w:t>e</w:t>
      </w:r>
      <w:r w:rsidR="00A01176" w:rsidRPr="00A01176">
        <w:t>l</w:t>
      </w:r>
      <w:r w:rsidR="00A01176" w:rsidRPr="00A01176">
        <w:rPr>
          <w:spacing w:val="1"/>
        </w:rPr>
        <w:t>op</w:t>
      </w:r>
      <w:r w:rsidR="00A01176" w:rsidRPr="00A01176">
        <w:rPr>
          <w:spacing w:val="-1"/>
        </w:rPr>
        <w:t>m</w:t>
      </w:r>
      <w:r w:rsidR="00A01176" w:rsidRPr="00A01176">
        <w:rPr>
          <w:spacing w:val="1"/>
        </w:rPr>
        <w:t>en</w:t>
      </w:r>
      <w:r w:rsidR="00A01176" w:rsidRPr="00A01176">
        <w:t>t</w:t>
      </w:r>
      <w:r w:rsidR="00A01176" w:rsidRPr="00A01176">
        <w:rPr>
          <w:spacing w:val="-1"/>
        </w:rPr>
        <w:t xml:space="preserve"> o</w:t>
      </w:r>
      <w:r w:rsidR="00A01176" w:rsidRPr="00A01176">
        <w:t>f</w:t>
      </w:r>
      <w:r w:rsidR="00A01176" w:rsidRPr="00A01176">
        <w:rPr>
          <w:spacing w:val="1"/>
        </w:rPr>
        <w:t xml:space="preserve"> </w:t>
      </w:r>
      <w:r w:rsidR="00A01176" w:rsidRPr="00A01176">
        <w:rPr>
          <w:spacing w:val="3"/>
        </w:rPr>
        <w:t>f</w:t>
      </w:r>
      <w:r w:rsidR="00A01176" w:rsidRPr="00A01176">
        <w:rPr>
          <w:spacing w:val="-3"/>
        </w:rPr>
        <w:t>i</w:t>
      </w:r>
      <w:r w:rsidR="00A01176" w:rsidRPr="00A01176">
        <w:rPr>
          <w:spacing w:val="-1"/>
        </w:rPr>
        <w:t>n</w:t>
      </w:r>
      <w:r w:rsidR="00A01176" w:rsidRPr="00A01176">
        <w:rPr>
          <w:spacing w:val="1"/>
        </w:rPr>
        <w:t>an</w:t>
      </w:r>
      <w:r w:rsidR="00A01176" w:rsidRPr="00A01176">
        <w:t>ci</w:t>
      </w:r>
      <w:r w:rsidR="00A01176" w:rsidRPr="00A01176">
        <w:rPr>
          <w:spacing w:val="1"/>
        </w:rPr>
        <w:t>n</w:t>
      </w:r>
      <w:r w:rsidR="00A01176" w:rsidRPr="00A01176">
        <w:t>g</w:t>
      </w:r>
      <w:r w:rsidR="00A01176" w:rsidRPr="00A01176">
        <w:rPr>
          <w:spacing w:val="-1"/>
        </w:rPr>
        <w:t xml:space="preserve"> </w:t>
      </w:r>
      <w:r w:rsidR="00A01176" w:rsidRPr="00A01176">
        <w:t>st</w:t>
      </w:r>
      <w:r w:rsidR="00A01176" w:rsidRPr="00A01176">
        <w:rPr>
          <w:spacing w:val="-1"/>
        </w:rPr>
        <w:t>r</w:t>
      </w:r>
      <w:r w:rsidR="00A01176" w:rsidRPr="00A01176">
        <w:rPr>
          <w:spacing w:val="1"/>
        </w:rPr>
        <w:t>u</w:t>
      </w:r>
      <w:r w:rsidR="00A01176" w:rsidRPr="00A01176">
        <w:t>ct</w:t>
      </w:r>
      <w:r w:rsidR="00A01176" w:rsidRPr="00A01176">
        <w:rPr>
          <w:spacing w:val="1"/>
        </w:rPr>
        <w:t>u</w:t>
      </w:r>
      <w:r w:rsidR="00A01176" w:rsidRPr="00A01176">
        <w:rPr>
          <w:spacing w:val="-1"/>
        </w:rPr>
        <w:t>r</w:t>
      </w:r>
      <w:r w:rsidR="00A01176" w:rsidRPr="00A01176">
        <w:rPr>
          <w:spacing w:val="1"/>
        </w:rPr>
        <w:t xml:space="preserve">es </w:t>
      </w:r>
      <w:r w:rsidR="00A01176" w:rsidRPr="00A01176">
        <w:t>t</w:t>
      </w:r>
      <w:r w:rsidR="00A01176" w:rsidRPr="00A01176">
        <w:rPr>
          <w:spacing w:val="1"/>
        </w:rPr>
        <w:t>ha</w:t>
      </w:r>
      <w:r w:rsidR="00A01176" w:rsidRPr="00A01176">
        <w:t>t</w:t>
      </w:r>
      <w:r w:rsidR="00A01176" w:rsidRPr="00A01176">
        <w:rPr>
          <w:spacing w:val="1"/>
        </w:rPr>
        <w:t xml:space="preserve"> </w:t>
      </w:r>
      <w:r w:rsidR="00A01176" w:rsidRPr="00A01176">
        <w:rPr>
          <w:spacing w:val="-3"/>
        </w:rPr>
        <w:t>w</w:t>
      </w:r>
      <w:r w:rsidR="00A01176" w:rsidRPr="00A01176">
        <w:rPr>
          <w:spacing w:val="1"/>
        </w:rPr>
        <w:t>o</w:t>
      </w:r>
      <w:r w:rsidR="00A01176" w:rsidRPr="00A01176">
        <w:rPr>
          <w:spacing w:val="-1"/>
        </w:rPr>
        <w:t>r</w:t>
      </w:r>
      <w:r w:rsidR="00A01176" w:rsidRPr="00A01176">
        <w:t>k in</w:t>
      </w:r>
      <w:r w:rsidR="00A01176" w:rsidRPr="00A01176">
        <w:rPr>
          <w:spacing w:val="1"/>
        </w:rPr>
        <w:t xml:space="preserve"> </w:t>
      </w:r>
      <w:r w:rsidR="00A01176" w:rsidRPr="00A01176">
        <w:t>t</w:t>
      </w:r>
      <w:r w:rsidR="00A01176" w:rsidRPr="00A01176">
        <w:rPr>
          <w:spacing w:val="-1"/>
        </w:rPr>
        <w:t>h</w:t>
      </w:r>
      <w:r w:rsidR="00A01176" w:rsidRPr="00A01176">
        <w:t>e</w:t>
      </w:r>
      <w:r w:rsidR="00A01176" w:rsidRPr="00A01176">
        <w:rPr>
          <w:spacing w:val="1"/>
        </w:rPr>
        <w:t xml:space="preserve"> </w:t>
      </w:r>
      <w:r w:rsidR="00A01176" w:rsidRPr="00A01176">
        <w:t>c</w:t>
      </w:r>
      <w:r w:rsidR="00A01176" w:rsidRPr="00A01176">
        <w:rPr>
          <w:spacing w:val="1"/>
        </w:rPr>
        <w:t>u</w:t>
      </w:r>
      <w:r w:rsidR="00A01176" w:rsidRPr="00A01176">
        <w:rPr>
          <w:spacing w:val="-1"/>
        </w:rPr>
        <w:t>rre</w:t>
      </w:r>
      <w:r w:rsidR="00A01176" w:rsidRPr="00A01176">
        <w:rPr>
          <w:spacing w:val="1"/>
        </w:rPr>
        <w:t>n</w:t>
      </w:r>
      <w:r w:rsidR="00A01176" w:rsidRPr="00A01176">
        <w:t>t</w:t>
      </w:r>
      <w:r w:rsidR="00A01176" w:rsidRPr="00A01176">
        <w:rPr>
          <w:spacing w:val="-1"/>
        </w:rPr>
        <w:t xml:space="preserve"> </w:t>
      </w:r>
      <w:r w:rsidR="00A01176" w:rsidRPr="00A01176">
        <w:rPr>
          <w:spacing w:val="1"/>
        </w:rPr>
        <w:t>en</w:t>
      </w:r>
      <w:r w:rsidR="00A01176" w:rsidRPr="00A01176">
        <w:rPr>
          <w:spacing w:val="-2"/>
        </w:rPr>
        <w:t>v</w:t>
      </w:r>
      <w:r w:rsidR="00A01176" w:rsidRPr="00A01176">
        <w:t>i</w:t>
      </w:r>
      <w:r w:rsidR="00A01176" w:rsidRPr="00A01176">
        <w:rPr>
          <w:spacing w:val="-1"/>
        </w:rPr>
        <w:t>r</w:t>
      </w:r>
      <w:r w:rsidR="00A01176" w:rsidRPr="00A01176">
        <w:rPr>
          <w:spacing w:val="1"/>
        </w:rPr>
        <w:t>on</w:t>
      </w:r>
      <w:r w:rsidR="00A01176" w:rsidRPr="00A01176">
        <w:rPr>
          <w:spacing w:val="2"/>
        </w:rPr>
        <w:t>m</w:t>
      </w:r>
      <w:r w:rsidR="00A01176" w:rsidRPr="00A01176">
        <w:rPr>
          <w:spacing w:val="-1"/>
        </w:rPr>
        <w:t>e</w:t>
      </w:r>
      <w:r w:rsidR="00A01176" w:rsidRPr="00A01176">
        <w:rPr>
          <w:spacing w:val="1"/>
        </w:rPr>
        <w:t>n</w:t>
      </w:r>
      <w:r w:rsidR="00A01176" w:rsidRPr="00A01176">
        <w:t>t;</w:t>
      </w:r>
      <w:r w:rsidR="00A01176" w:rsidRPr="00A01176">
        <w:rPr>
          <w:spacing w:val="-1"/>
        </w:rPr>
        <w:t xml:space="preserve"> </w:t>
      </w:r>
      <w:r w:rsidR="00A01176" w:rsidRPr="00A01176">
        <w:rPr>
          <w:spacing w:val="1"/>
        </w:rPr>
        <w:t>an</w:t>
      </w:r>
      <w:r w:rsidR="00A01176" w:rsidRPr="00A01176">
        <w:t>d</w:t>
      </w:r>
      <w:r w:rsidR="00A01176" w:rsidRPr="00A01176">
        <w:rPr>
          <w:spacing w:val="-1"/>
        </w:rPr>
        <w:t xml:space="preserve"> </w:t>
      </w:r>
      <w:r w:rsidR="00A01176" w:rsidRPr="00A01176">
        <w:t>a</w:t>
      </w:r>
      <w:r w:rsidR="00A01176" w:rsidRPr="00A01176">
        <w:rPr>
          <w:spacing w:val="-1"/>
        </w:rPr>
        <w:t xml:space="preserve"> </w:t>
      </w:r>
      <w:r w:rsidR="00A01176" w:rsidRPr="00A01176">
        <w:rPr>
          <w:spacing w:val="1"/>
        </w:rPr>
        <w:t>b</w:t>
      </w:r>
      <w:r w:rsidR="00A01176" w:rsidRPr="00A01176">
        <w:t>l</w:t>
      </w:r>
      <w:r w:rsidR="00A01176" w:rsidRPr="00A01176">
        <w:rPr>
          <w:spacing w:val="1"/>
        </w:rPr>
        <w:t>uep</w:t>
      </w:r>
      <w:r w:rsidR="00A01176" w:rsidRPr="00A01176">
        <w:rPr>
          <w:spacing w:val="-1"/>
        </w:rPr>
        <w:t>r</w:t>
      </w:r>
      <w:r w:rsidR="00A01176" w:rsidRPr="00A01176">
        <w:t>i</w:t>
      </w:r>
      <w:r w:rsidR="00A01176" w:rsidRPr="00A01176">
        <w:rPr>
          <w:spacing w:val="1"/>
        </w:rPr>
        <w:t>n</w:t>
      </w:r>
      <w:r w:rsidR="00A01176" w:rsidRPr="00A01176">
        <w:t>t</w:t>
      </w:r>
      <w:r w:rsidR="00A01176" w:rsidRPr="00A01176">
        <w:rPr>
          <w:spacing w:val="-1"/>
        </w:rPr>
        <w:t xml:space="preserve"> </w:t>
      </w:r>
      <w:r w:rsidR="00A01176" w:rsidRPr="00A01176">
        <w:t>f</w:t>
      </w:r>
      <w:r w:rsidR="00A01176" w:rsidRPr="00A01176">
        <w:rPr>
          <w:spacing w:val="1"/>
        </w:rPr>
        <w:t>o</w:t>
      </w:r>
      <w:r w:rsidR="00A01176" w:rsidRPr="00A01176">
        <w:t xml:space="preserve">r </w:t>
      </w:r>
      <w:r w:rsidR="0073633E">
        <w:rPr>
          <w:spacing w:val="1"/>
        </w:rPr>
        <w:t>s</w:t>
      </w:r>
      <w:r w:rsidR="0073633E" w:rsidRPr="00A01176">
        <w:rPr>
          <w:spacing w:val="-2"/>
        </w:rPr>
        <w:t>t</w:t>
      </w:r>
      <w:r w:rsidR="0073633E" w:rsidRPr="00A01176">
        <w:rPr>
          <w:spacing w:val="1"/>
        </w:rPr>
        <w:t>a</w:t>
      </w:r>
      <w:r w:rsidR="0073633E" w:rsidRPr="00A01176">
        <w:t>t</w:t>
      </w:r>
      <w:r w:rsidR="0073633E" w:rsidRPr="00A01176">
        <w:rPr>
          <w:spacing w:val="1"/>
        </w:rPr>
        <w:t>e</w:t>
      </w:r>
      <w:r w:rsidR="0073633E" w:rsidRPr="00A01176">
        <w:rPr>
          <w:spacing w:val="-2"/>
        </w:rPr>
        <w:t>s</w:t>
      </w:r>
      <w:r w:rsidR="00A01176" w:rsidRPr="00A01176">
        <w:rPr>
          <w:spacing w:val="-2"/>
        </w:rPr>
        <w:t>/</w:t>
      </w:r>
      <w:r w:rsidR="0073633E">
        <w:rPr>
          <w:spacing w:val="2"/>
        </w:rPr>
        <w:t>t</w:t>
      </w:r>
      <w:r w:rsidR="0073633E" w:rsidRPr="00A01176">
        <w:rPr>
          <w:spacing w:val="1"/>
        </w:rPr>
        <w:t>e</w:t>
      </w:r>
      <w:r w:rsidR="0073633E" w:rsidRPr="00A01176">
        <w:rPr>
          <w:spacing w:val="-1"/>
        </w:rPr>
        <w:t>rr</w:t>
      </w:r>
      <w:r w:rsidR="0073633E" w:rsidRPr="00A01176">
        <w:t>it</w:t>
      </w:r>
      <w:r w:rsidR="0073633E" w:rsidRPr="00A01176">
        <w:rPr>
          <w:spacing w:val="1"/>
        </w:rPr>
        <w:t>o</w:t>
      </w:r>
      <w:r w:rsidR="0073633E" w:rsidRPr="00A01176">
        <w:rPr>
          <w:spacing w:val="-1"/>
        </w:rPr>
        <w:t>r</w:t>
      </w:r>
      <w:r w:rsidR="0073633E" w:rsidRPr="00A01176">
        <w:t>i</w:t>
      </w:r>
      <w:r w:rsidR="0073633E" w:rsidRPr="00A01176">
        <w:rPr>
          <w:spacing w:val="1"/>
        </w:rPr>
        <w:t>e</w:t>
      </w:r>
      <w:r w:rsidR="0073633E" w:rsidRPr="00A01176">
        <w:t>s</w:t>
      </w:r>
      <w:r w:rsidR="00A01176" w:rsidRPr="00A01176">
        <w:t>/</w:t>
      </w:r>
      <w:r w:rsidR="0073633E">
        <w:rPr>
          <w:spacing w:val="2"/>
        </w:rPr>
        <w:t>t</w:t>
      </w:r>
      <w:r w:rsidR="0073633E" w:rsidRPr="00A01176">
        <w:rPr>
          <w:spacing w:val="-1"/>
        </w:rPr>
        <w:t>r</w:t>
      </w:r>
      <w:r w:rsidR="0073633E" w:rsidRPr="00A01176">
        <w:t>i</w:t>
      </w:r>
      <w:r w:rsidR="0073633E" w:rsidRPr="00A01176">
        <w:rPr>
          <w:spacing w:val="-1"/>
        </w:rPr>
        <w:t>b</w:t>
      </w:r>
      <w:r w:rsidR="0073633E" w:rsidRPr="00A01176">
        <w:rPr>
          <w:spacing w:val="1"/>
        </w:rPr>
        <w:t>e</w:t>
      </w:r>
      <w:r w:rsidR="0073633E" w:rsidRPr="00A01176">
        <w:t xml:space="preserve">s </w:t>
      </w:r>
      <w:r w:rsidR="00A01176" w:rsidRPr="00A01176">
        <w:rPr>
          <w:spacing w:val="-1"/>
        </w:rPr>
        <w:t>a</w:t>
      </w:r>
      <w:r w:rsidR="00A01176" w:rsidRPr="00A01176">
        <w:rPr>
          <w:spacing w:val="1"/>
        </w:rPr>
        <w:t>nd p</w:t>
      </w:r>
      <w:r w:rsidR="00A01176" w:rsidRPr="00A01176">
        <w:rPr>
          <w:spacing w:val="-1"/>
        </w:rPr>
        <w:t>r</w:t>
      </w:r>
      <w:r w:rsidR="00A01176" w:rsidRPr="00A01176">
        <w:rPr>
          <w:spacing w:val="1"/>
        </w:rPr>
        <w:t>o</w:t>
      </w:r>
      <w:r w:rsidR="00A01176" w:rsidRPr="00A01176">
        <w:rPr>
          <w:spacing w:val="-2"/>
        </w:rPr>
        <w:t>v</w:t>
      </w:r>
      <w:r w:rsidR="00A01176" w:rsidRPr="00A01176">
        <w:t>i</w:t>
      </w:r>
      <w:r w:rsidR="00A01176" w:rsidRPr="00A01176">
        <w:rPr>
          <w:spacing w:val="1"/>
        </w:rPr>
        <w:t>de</w:t>
      </w:r>
      <w:r w:rsidR="00A01176" w:rsidRPr="00A01176">
        <w:rPr>
          <w:spacing w:val="-1"/>
        </w:rPr>
        <w:t>r</w:t>
      </w:r>
      <w:r w:rsidR="00A01176" w:rsidRPr="00A01176">
        <w:t>s t</w:t>
      </w:r>
      <w:r w:rsidR="00A01176" w:rsidRPr="00A01176">
        <w:rPr>
          <w:spacing w:val="1"/>
        </w:rPr>
        <w:t>ha</w:t>
      </w:r>
      <w:r w:rsidR="00A01176" w:rsidRPr="00A01176">
        <w:t>t</w:t>
      </w:r>
      <w:r w:rsidR="00A01176" w:rsidRPr="00A01176">
        <w:rPr>
          <w:spacing w:val="1"/>
        </w:rPr>
        <w:t xml:space="preserve"> </w:t>
      </w:r>
      <w:r w:rsidR="00A01176" w:rsidRPr="00A01176">
        <w:rPr>
          <w:spacing w:val="-2"/>
        </w:rPr>
        <w:t>c</w:t>
      </w:r>
      <w:r w:rsidR="00A01176" w:rsidRPr="00A01176">
        <w:rPr>
          <w:spacing w:val="1"/>
        </w:rPr>
        <w:t>a</w:t>
      </w:r>
      <w:r w:rsidR="00A01176" w:rsidRPr="00A01176">
        <w:t>n</w:t>
      </w:r>
      <w:r w:rsidR="00A01176" w:rsidRPr="00A01176">
        <w:rPr>
          <w:spacing w:val="-1"/>
        </w:rPr>
        <w:t xml:space="preserve"> </w:t>
      </w:r>
      <w:r w:rsidR="00A01176" w:rsidRPr="00A01176">
        <w:rPr>
          <w:spacing w:val="1"/>
        </w:rPr>
        <w:t>b</w:t>
      </w:r>
      <w:r w:rsidR="00A01176" w:rsidRPr="00A01176">
        <w:t>e</w:t>
      </w:r>
      <w:r w:rsidR="00A01176" w:rsidRPr="00A01176">
        <w:rPr>
          <w:spacing w:val="-1"/>
        </w:rPr>
        <w:t xml:space="preserve"> u</w:t>
      </w:r>
      <w:r w:rsidR="00A01176" w:rsidRPr="00A01176">
        <w:t>s</w:t>
      </w:r>
      <w:r w:rsidR="00A01176" w:rsidRPr="00A01176">
        <w:rPr>
          <w:spacing w:val="1"/>
        </w:rPr>
        <w:t>e</w:t>
      </w:r>
      <w:r w:rsidR="00A01176" w:rsidRPr="00A01176">
        <w:t>d</w:t>
      </w:r>
      <w:r w:rsidR="00A01176" w:rsidRPr="00A01176">
        <w:rPr>
          <w:spacing w:val="1"/>
        </w:rPr>
        <w:t xml:space="preserve"> </w:t>
      </w:r>
      <w:r w:rsidR="00A01176" w:rsidRPr="00A01176">
        <w:rPr>
          <w:spacing w:val="-2"/>
        </w:rPr>
        <w:t>t</w:t>
      </w:r>
      <w:r w:rsidR="00A01176" w:rsidRPr="00A01176">
        <w:rPr>
          <w:spacing w:val="1"/>
        </w:rPr>
        <w:t>h</w:t>
      </w:r>
      <w:r w:rsidR="00A01176" w:rsidRPr="00A01176">
        <w:rPr>
          <w:spacing w:val="-1"/>
        </w:rPr>
        <w:t>r</w:t>
      </w:r>
      <w:r w:rsidR="00A01176" w:rsidRPr="00A01176">
        <w:rPr>
          <w:spacing w:val="1"/>
        </w:rPr>
        <w:t>ou</w:t>
      </w:r>
      <w:r w:rsidR="00A01176" w:rsidRPr="00A01176">
        <w:rPr>
          <w:spacing w:val="-1"/>
        </w:rPr>
        <w:t>g</w:t>
      </w:r>
      <w:r w:rsidR="00A01176" w:rsidRPr="00A01176">
        <w:rPr>
          <w:spacing w:val="1"/>
        </w:rPr>
        <w:t>h</w:t>
      </w:r>
      <w:r w:rsidR="00A01176" w:rsidRPr="00A01176">
        <w:rPr>
          <w:spacing w:val="-1"/>
        </w:rPr>
        <w:t>o</w:t>
      </w:r>
      <w:r w:rsidR="00A01176" w:rsidRPr="00A01176">
        <w:rPr>
          <w:spacing w:val="1"/>
        </w:rPr>
        <w:t>u</w:t>
      </w:r>
      <w:r w:rsidR="00A01176" w:rsidRPr="00A01176">
        <w:t>t</w:t>
      </w:r>
      <w:r w:rsidR="00A01176" w:rsidRPr="00A01176">
        <w:rPr>
          <w:spacing w:val="1"/>
        </w:rPr>
        <w:t xml:space="preserve"> </w:t>
      </w:r>
      <w:r w:rsidR="00A01176" w:rsidRPr="00A01176">
        <w:rPr>
          <w:spacing w:val="-2"/>
        </w:rPr>
        <w:t>t</w:t>
      </w:r>
      <w:r w:rsidR="00A01176" w:rsidRPr="00A01176">
        <w:rPr>
          <w:spacing w:val="1"/>
        </w:rPr>
        <w:t>h</w:t>
      </w:r>
      <w:r w:rsidR="00A01176" w:rsidRPr="00A01176">
        <w:t>e</w:t>
      </w:r>
      <w:r w:rsidR="00A01176" w:rsidRPr="00A01176">
        <w:rPr>
          <w:spacing w:val="1"/>
        </w:rPr>
        <w:t xml:space="preserve"> </w:t>
      </w:r>
      <w:r w:rsidR="0073633E">
        <w:rPr>
          <w:spacing w:val="-2"/>
        </w:rPr>
        <w:t>s</w:t>
      </w:r>
      <w:r w:rsidR="0073633E" w:rsidRPr="00A01176">
        <w:t>t</w:t>
      </w:r>
      <w:r w:rsidR="0073633E" w:rsidRPr="00A01176">
        <w:rPr>
          <w:spacing w:val="-1"/>
        </w:rPr>
        <w:t>a</w:t>
      </w:r>
      <w:r w:rsidR="0073633E" w:rsidRPr="00A01176">
        <w:t>t</w:t>
      </w:r>
      <w:r w:rsidR="0073633E" w:rsidRPr="00A01176">
        <w:rPr>
          <w:spacing w:val="1"/>
        </w:rPr>
        <w:t>e</w:t>
      </w:r>
      <w:r w:rsidR="00A01176" w:rsidRPr="00A01176">
        <w:rPr>
          <w:spacing w:val="-2"/>
        </w:rPr>
        <w:t>/</w:t>
      </w:r>
      <w:r w:rsidR="0073633E">
        <w:rPr>
          <w:spacing w:val="2"/>
        </w:rPr>
        <w:t>t</w:t>
      </w:r>
      <w:r w:rsidR="0073633E" w:rsidRPr="00A01176">
        <w:rPr>
          <w:spacing w:val="1"/>
        </w:rPr>
        <w:t>e</w:t>
      </w:r>
      <w:r w:rsidR="0073633E" w:rsidRPr="00A01176">
        <w:rPr>
          <w:spacing w:val="-1"/>
        </w:rPr>
        <w:t>rr</w:t>
      </w:r>
      <w:r w:rsidR="0073633E" w:rsidRPr="00A01176">
        <w:t>it</w:t>
      </w:r>
      <w:r w:rsidR="0073633E" w:rsidRPr="00A01176">
        <w:rPr>
          <w:spacing w:val="1"/>
        </w:rPr>
        <w:t>o</w:t>
      </w:r>
      <w:r w:rsidR="0073633E" w:rsidRPr="00A01176">
        <w:rPr>
          <w:spacing w:val="-1"/>
        </w:rPr>
        <w:t>r</w:t>
      </w:r>
      <w:r w:rsidR="0073633E" w:rsidRPr="00A01176">
        <w:rPr>
          <w:spacing w:val="-2"/>
        </w:rPr>
        <w:t>y</w:t>
      </w:r>
      <w:r w:rsidR="00A01176" w:rsidRPr="00A01176">
        <w:t>/</w:t>
      </w:r>
      <w:r w:rsidR="0073633E">
        <w:rPr>
          <w:spacing w:val="2"/>
        </w:rPr>
        <w:t>t</w:t>
      </w:r>
      <w:r w:rsidR="0073633E" w:rsidRPr="00A01176">
        <w:rPr>
          <w:spacing w:val="-1"/>
        </w:rPr>
        <w:t>r</w:t>
      </w:r>
      <w:r w:rsidR="0073633E" w:rsidRPr="00A01176">
        <w:t>i</w:t>
      </w:r>
      <w:r w:rsidR="0073633E" w:rsidRPr="00A01176">
        <w:rPr>
          <w:spacing w:val="1"/>
        </w:rPr>
        <w:t>b</w:t>
      </w:r>
      <w:r w:rsidR="0073633E" w:rsidRPr="00A01176">
        <w:t>e</w:t>
      </w:r>
      <w:r w:rsidR="0073633E" w:rsidRPr="00A01176">
        <w:rPr>
          <w:spacing w:val="1"/>
        </w:rPr>
        <w:t xml:space="preserve"> </w:t>
      </w:r>
      <w:r w:rsidR="00A01176" w:rsidRPr="00A01176">
        <w:rPr>
          <w:spacing w:val="-2"/>
        </w:rPr>
        <w:t>t</w:t>
      </w:r>
      <w:r w:rsidR="00A01176" w:rsidRPr="00A01176">
        <w:t>o</w:t>
      </w:r>
      <w:r w:rsidR="00A01176" w:rsidRPr="00A01176">
        <w:rPr>
          <w:spacing w:val="1"/>
        </w:rPr>
        <w:t xml:space="preserve"> </w:t>
      </w:r>
      <w:r w:rsidR="00A01176" w:rsidRPr="00A01176">
        <w:rPr>
          <w:spacing w:val="-3"/>
        </w:rPr>
        <w:t>w</w:t>
      </w:r>
      <w:r w:rsidR="00A01176" w:rsidRPr="00A01176">
        <w:t>i</w:t>
      </w:r>
      <w:r w:rsidR="00A01176" w:rsidRPr="00A01176">
        <w:rPr>
          <w:spacing w:val="1"/>
        </w:rPr>
        <w:t>de</w:t>
      </w:r>
      <w:r w:rsidR="00A01176" w:rsidRPr="00A01176">
        <w:t>n</w:t>
      </w:r>
      <w:r w:rsidR="00A01176" w:rsidRPr="00A01176">
        <w:rPr>
          <w:spacing w:val="-1"/>
        </w:rPr>
        <w:t xml:space="preserve"> </w:t>
      </w:r>
      <w:r w:rsidR="00A01176" w:rsidRPr="00A01176">
        <w:t>t</w:t>
      </w:r>
      <w:r w:rsidR="00A01176" w:rsidRPr="00A01176">
        <w:rPr>
          <w:spacing w:val="1"/>
        </w:rPr>
        <w:t>h</w:t>
      </w:r>
      <w:r w:rsidR="00A01176" w:rsidRPr="00A01176">
        <w:t>e</w:t>
      </w:r>
      <w:r w:rsidR="00A01176" w:rsidRPr="00A01176">
        <w:rPr>
          <w:spacing w:val="-1"/>
        </w:rPr>
        <w:t xml:space="preserve"> </w:t>
      </w:r>
      <w:r w:rsidR="00A01176" w:rsidRPr="00A01176">
        <w:rPr>
          <w:spacing w:val="1"/>
        </w:rPr>
        <w:t>u</w:t>
      </w:r>
      <w:r w:rsidR="00A01176" w:rsidRPr="00A01176">
        <w:t>se</w:t>
      </w:r>
      <w:r w:rsidR="00A01176" w:rsidRPr="00A01176">
        <w:rPr>
          <w:spacing w:val="-1"/>
        </w:rPr>
        <w:t xml:space="preserve"> o</w:t>
      </w:r>
      <w:r w:rsidR="00A01176" w:rsidRPr="00A01176">
        <w:t xml:space="preserve">f </w:t>
      </w:r>
      <w:r w:rsidR="00A01176" w:rsidRPr="00A01176">
        <w:rPr>
          <w:spacing w:val="-1"/>
        </w:rPr>
        <w:t>e</w:t>
      </w:r>
      <w:r w:rsidR="00A01176" w:rsidRPr="00A01176">
        <w:t>f</w:t>
      </w:r>
      <w:r w:rsidR="00A01176" w:rsidRPr="00A01176">
        <w:rPr>
          <w:spacing w:val="3"/>
        </w:rPr>
        <w:t>f</w:t>
      </w:r>
      <w:r w:rsidR="00A01176" w:rsidRPr="00A01176">
        <w:rPr>
          <w:spacing w:val="1"/>
        </w:rPr>
        <w:t>e</w:t>
      </w:r>
      <w:r w:rsidR="00A01176" w:rsidRPr="00A01176">
        <w:t>cti</w:t>
      </w:r>
      <w:r w:rsidR="00A01176" w:rsidRPr="00A01176">
        <w:rPr>
          <w:spacing w:val="-2"/>
        </w:rPr>
        <w:t>v</w:t>
      </w:r>
      <w:r w:rsidR="00A01176" w:rsidRPr="00A01176">
        <w:t>e</w:t>
      </w:r>
      <w:r w:rsidR="00A01176" w:rsidRPr="00A01176">
        <w:rPr>
          <w:spacing w:val="1"/>
        </w:rPr>
        <w:t xml:space="preserve"> substance use treatment E</w:t>
      </w:r>
      <w:r w:rsidR="00A01176" w:rsidRPr="00A01176">
        <w:rPr>
          <w:spacing w:val="-2"/>
        </w:rPr>
        <w:t>B</w:t>
      </w:r>
      <w:r w:rsidR="00A01176" w:rsidRPr="00A01176">
        <w:rPr>
          <w:spacing w:val="1"/>
        </w:rPr>
        <w:t>P</w:t>
      </w:r>
      <w:r w:rsidR="00A01176" w:rsidRPr="00A01176">
        <w:t>s.</w:t>
      </w:r>
      <w:r w:rsidR="00A01176" w:rsidRPr="00355B87">
        <w:rPr>
          <w:spacing w:val="66"/>
        </w:rPr>
        <w:t xml:space="preserve"> </w:t>
      </w:r>
      <w:r w:rsidRPr="00A01176">
        <w:t>Lack of information on which to base such decisions will hinder</w:t>
      </w:r>
      <w:r w:rsidR="00A01176" w:rsidRPr="00A01176">
        <w:t xml:space="preserve"> SAMHSA</w:t>
      </w:r>
      <w:r w:rsidRPr="00A01176">
        <w:t xml:space="preserve">'s ability to ensure the use of the results of this research to significantly improve </w:t>
      </w:r>
      <w:r w:rsidR="00A01176" w:rsidRPr="00A01176">
        <w:t xml:space="preserve">and build upon the </w:t>
      </w:r>
      <w:r w:rsidRPr="00A01176">
        <w:t>existing information</w:t>
      </w:r>
      <w:r w:rsidR="00A01176" w:rsidRPr="00A01176">
        <w:t>.</w:t>
      </w:r>
    </w:p>
    <w:p w:rsidR="00FD47EC" w:rsidRPr="00A01176" w:rsidRDefault="00FD47EC">
      <w:pPr>
        <w:keepNext/>
      </w:pPr>
    </w:p>
    <w:p w:rsidR="000A1686" w:rsidRPr="00A01176" w:rsidRDefault="00FD47EC" w:rsidP="002E7BFE">
      <w:pPr>
        <w:keepNext/>
        <w:rPr>
          <w:rStyle w:val="Strong"/>
        </w:rPr>
      </w:pPr>
      <w:r w:rsidRPr="00A01176">
        <w:t>No technical or legal barriers to reduce burden exist.</w:t>
      </w:r>
    </w:p>
    <w:p w:rsidR="00FD47EC" w:rsidRPr="005E21FB" w:rsidRDefault="00FD47EC">
      <w:pPr>
        <w:pStyle w:val="NormalWeb"/>
        <w:rPr>
          <w:rStyle w:val="Strong"/>
        </w:rPr>
      </w:pPr>
      <w:r w:rsidRPr="005E21FB">
        <w:rPr>
          <w:rStyle w:val="Strong"/>
        </w:rPr>
        <w:t xml:space="preserve">A.7. </w:t>
      </w:r>
      <w:r w:rsidR="00FE62BA">
        <w:rPr>
          <w:rStyle w:val="Strong"/>
        </w:rPr>
        <w:t>Consistency</w:t>
      </w:r>
      <w:r w:rsidRPr="005E21FB">
        <w:rPr>
          <w:rStyle w:val="Strong"/>
        </w:rPr>
        <w:t xml:space="preserve"> with Guidelines in 5 CFR 1320.6</w:t>
      </w:r>
    </w:p>
    <w:p w:rsidR="00FD47EC" w:rsidRPr="005E21FB" w:rsidRDefault="00FD47EC">
      <w:pPr>
        <w:pStyle w:val="NormalWeb"/>
      </w:pPr>
      <w:r w:rsidRPr="005E21FB">
        <w:t>This information collection fully complies with 5 CFR 1320.5(d)(2) guidelines.</w:t>
      </w:r>
    </w:p>
    <w:p w:rsidR="00FD47EC" w:rsidRPr="005E21FB" w:rsidRDefault="00FD47EC">
      <w:pPr>
        <w:pStyle w:val="Heading6"/>
        <w:spacing w:after="120"/>
        <w:rPr>
          <w:sz w:val="24"/>
        </w:rPr>
      </w:pPr>
      <w:r w:rsidRPr="005E21FB">
        <w:rPr>
          <w:sz w:val="24"/>
        </w:rPr>
        <w:t>A.8</w:t>
      </w:r>
      <w:r w:rsidR="0073633E">
        <w:rPr>
          <w:sz w:val="24"/>
        </w:rPr>
        <w:t xml:space="preserve">. </w:t>
      </w:r>
      <w:r w:rsidRPr="005E21FB">
        <w:rPr>
          <w:sz w:val="24"/>
        </w:rPr>
        <w:t>Consultation Outside the Agency</w:t>
      </w:r>
    </w:p>
    <w:p w:rsidR="00FE62BA" w:rsidRDefault="00FE62BA">
      <w:pPr>
        <w:pStyle w:val="Heading6"/>
        <w:rPr>
          <w:b w:val="0"/>
          <w:sz w:val="24"/>
        </w:rPr>
      </w:pPr>
      <w:r>
        <w:rPr>
          <w:b w:val="0"/>
          <w:sz w:val="24"/>
        </w:rPr>
        <w:t xml:space="preserve">A notice was published in the Federal Register on February </w:t>
      </w:r>
      <w:r w:rsidR="005A736C">
        <w:rPr>
          <w:b w:val="0"/>
          <w:sz w:val="24"/>
        </w:rPr>
        <w:t>June 2</w:t>
      </w:r>
      <w:r>
        <w:rPr>
          <w:b w:val="0"/>
          <w:sz w:val="24"/>
        </w:rPr>
        <w:t>, 2014 (79</w:t>
      </w:r>
      <w:r w:rsidR="005A736C">
        <w:rPr>
          <w:b w:val="0"/>
          <w:sz w:val="24"/>
        </w:rPr>
        <w:t xml:space="preserve"> FR</w:t>
      </w:r>
      <w:r>
        <w:rPr>
          <w:b w:val="0"/>
          <w:sz w:val="24"/>
        </w:rPr>
        <w:t xml:space="preserve"> page </w:t>
      </w:r>
      <w:r w:rsidR="005A736C">
        <w:rPr>
          <w:b w:val="0"/>
          <w:sz w:val="24"/>
        </w:rPr>
        <w:t>31342</w:t>
      </w:r>
      <w:r>
        <w:rPr>
          <w:b w:val="0"/>
          <w:sz w:val="24"/>
        </w:rPr>
        <w:t xml:space="preserve">). No comments were received. </w:t>
      </w:r>
    </w:p>
    <w:p w:rsidR="00FD47EC" w:rsidRPr="005E21FB" w:rsidRDefault="00FD47EC">
      <w:pPr>
        <w:pStyle w:val="Heading6"/>
        <w:rPr>
          <w:b w:val="0"/>
          <w:sz w:val="24"/>
          <w:szCs w:val="24"/>
        </w:rPr>
      </w:pPr>
      <w:r w:rsidRPr="005E21FB">
        <w:rPr>
          <w:b w:val="0"/>
          <w:sz w:val="24"/>
        </w:rPr>
        <w:t xml:space="preserve">Consultations on the design, sampling plan, instrumentation, and analysis of this </w:t>
      </w:r>
      <w:r w:rsidR="005E21FB" w:rsidRPr="005E21FB">
        <w:rPr>
          <w:b w:val="0"/>
          <w:sz w:val="24"/>
        </w:rPr>
        <w:t xml:space="preserve">data collection effort </w:t>
      </w:r>
      <w:r w:rsidRPr="005E21FB">
        <w:rPr>
          <w:b w:val="0"/>
          <w:sz w:val="24"/>
        </w:rPr>
        <w:t>have occurred throughout the planning phase of this project.</w:t>
      </w:r>
      <w:r w:rsidR="00E74BB5">
        <w:rPr>
          <w:b w:val="0"/>
          <w:sz w:val="24"/>
        </w:rPr>
        <w:t xml:space="preserve"> </w:t>
      </w:r>
      <w:r w:rsidRPr="005E21FB">
        <w:rPr>
          <w:b w:val="0"/>
          <w:sz w:val="24"/>
        </w:rPr>
        <w:t xml:space="preserve">These consultations have provided </w:t>
      </w:r>
      <w:r w:rsidR="00CE5A72">
        <w:rPr>
          <w:b w:val="0"/>
          <w:sz w:val="24"/>
        </w:rPr>
        <w:t>an</w:t>
      </w:r>
      <w:r w:rsidRPr="005E21FB">
        <w:rPr>
          <w:b w:val="0"/>
          <w:sz w:val="24"/>
        </w:rPr>
        <w:t xml:space="preserve"> opportunity to ensure the technical quality and appropriateness of the overall </w:t>
      </w:r>
      <w:r w:rsidR="000D0A69">
        <w:rPr>
          <w:b w:val="0"/>
          <w:sz w:val="24"/>
        </w:rPr>
        <w:t>progress report</w:t>
      </w:r>
      <w:r w:rsidRPr="005E21FB">
        <w:rPr>
          <w:b w:val="0"/>
          <w:sz w:val="24"/>
        </w:rPr>
        <w:t xml:space="preserve"> design, sampling approaches, and data analysis plans; to obtain advice and recommendations concerning the instrumenta</w:t>
      </w:r>
      <w:r w:rsidR="005E21FB" w:rsidRPr="005E21FB">
        <w:rPr>
          <w:b w:val="0"/>
          <w:sz w:val="24"/>
        </w:rPr>
        <w:t>tion; and to structure the data collection</w:t>
      </w:r>
      <w:r w:rsidRPr="005E21FB">
        <w:rPr>
          <w:b w:val="0"/>
          <w:sz w:val="24"/>
        </w:rPr>
        <w:t xml:space="preserve"> and instruments so as to minimize overall and individual response burden.</w:t>
      </w:r>
      <w:r w:rsidR="00E74BB5">
        <w:rPr>
          <w:b w:val="0"/>
          <w:sz w:val="24"/>
        </w:rPr>
        <w:t xml:space="preserve"> </w:t>
      </w:r>
      <w:r w:rsidRPr="005E21FB">
        <w:rPr>
          <w:b w:val="0"/>
          <w:sz w:val="24"/>
        </w:rPr>
        <w:t xml:space="preserve">Both formal and informal consultations have occurred with the following individuals in connection with this </w:t>
      </w:r>
      <w:r w:rsidR="00E93F1A">
        <w:rPr>
          <w:b w:val="0"/>
          <w:sz w:val="24"/>
        </w:rPr>
        <w:t>evaluation</w:t>
      </w:r>
      <w:r w:rsidRPr="005E21FB">
        <w:rPr>
          <w:b w:val="0"/>
          <w:sz w:val="24"/>
          <w:szCs w:val="24"/>
        </w:rPr>
        <w:t>. </w:t>
      </w:r>
    </w:p>
    <w:p w:rsidR="00FD47EC" w:rsidRPr="005E21FB" w:rsidRDefault="00DA5F97">
      <w:pPr>
        <w:pStyle w:val="Heading6"/>
        <w:rPr>
          <w:b w:val="0"/>
        </w:rPr>
      </w:pPr>
      <w:r w:rsidRPr="005E21FB">
        <w:rPr>
          <w:b w:val="0"/>
          <w:sz w:val="24"/>
          <w:szCs w:val="24"/>
        </w:rPr>
        <w:t>Hayashi, Susan PhD</w:t>
      </w:r>
      <w:r w:rsidR="0049314E" w:rsidRPr="005E21FB">
        <w:rPr>
          <w:b w:val="0"/>
          <w:sz w:val="24"/>
          <w:szCs w:val="24"/>
        </w:rPr>
        <w:t>, JBS International, Inc.</w:t>
      </w:r>
      <w:r w:rsidR="00FD47EC" w:rsidRPr="005E21FB">
        <w:rPr>
          <w:b w:val="0"/>
          <w:sz w:val="24"/>
          <w:szCs w:val="24"/>
        </w:rPr>
        <w:t xml:space="preserve"> </w:t>
      </w:r>
    </w:p>
    <w:p w:rsidR="00996874" w:rsidRDefault="005E21FB">
      <w:pPr>
        <w:pStyle w:val="Heading6"/>
        <w:rPr>
          <w:b w:val="0"/>
          <w:sz w:val="24"/>
          <w:szCs w:val="24"/>
        </w:rPr>
      </w:pPr>
      <w:r w:rsidRPr="005E21FB">
        <w:rPr>
          <w:b w:val="0"/>
          <w:sz w:val="24"/>
          <w:szCs w:val="24"/>
        </w:rPr>
        <w:t xml:space="preserve">Singh, Manu </w:t>
      </w:r>
      <w:r w:rsidR="00DA5F97" w:rsidRPr="005E21FB">
        <w:rPr>
          <w:b w:val="0"/>
          <w:sz w:val="24"/>
          <w:szCs w:val="24"/>
        </w:rPr>
        <w:t>PhD</w:t>
      </w:r>
      <w:r w:rsidR="00F47F3A" w:rsidRPr="005E21FB">
        <w:rPr>
          <w:b w:val="0"/>
          <w:sz w:val="24"/>
          <w:szCs w:val="24"/>
        </w:rPr>
        <w:t>, JBS International, Inc</w:t>
      </w:r>
      <w:r w:rsidR="0049314E" w:rsidRPr="005E21FB">
        <w:rPr>
          <w:b w:val="0"/>
          <w:sz w:val="24"/>
          <w:szCs w:val="24"/>
        </w:rPr>
        <w:t>.</w:t>
      </w:r>
      <w:r w:rsidR="00FD47EC" w:rsidRPr="005E21FB">
        <w:rPr>
          <w:b w:val="0"/>
          <w:sz w:val="24"/>
          <w:szCs w:val="24"/>
        </w:rPr>
        <w:t xml:space="preserve"> </w:t>
      </w:r>
    </w:p>
    <w:p w:rsidR="005E21FB" w:rsidRPr="005E21FB" w:rsidRDefault="005E21FB">
      <w:pPr>
        <w:pStyle w:val="Heading6"/>
        <w:rPr>
          <w:b w:val="0"/>
          <w:sz w:val="24"/>
          <w:szCs w:val="24"/>
          <w:highlight w:val="yellow"/>
        </w:rPr>
      </w:pPr>
      <w:r w:rsidRPr="005E21FB">
        <w:rPr>
          <w:b w:val="0"/>
          <w:sz w:val="24"/>
          <w:szCs w:val="24"/>
        </w:rPr>
        <w:t xml:space="preserve">Tait, Erika MA, JBS International, Inc. </w:t>
      </w:r>
    </w:p>
    <w:p w:rsidR="00FD47EC" w:rsidRPr="006E60B1" w:rsidRDefault="00FD47EC">
      <w:pPr>
        <w:pStyle w:val="NormalWeb"/>
        <w:rPr>
          <w:rStyle w:val="Strong"/>
        </w:rPr>
      </w:pPr>
      <w:r w:rsidRPr="006E60B1">
        <w:rPr>
          <w:rStyle w:val="Strong"/>
        </w:rPr>
        <w:t>A.9. Payments or Gifts to Respondents</w:t>
      </w:r>
    </w:p>
    <w:p w:rsidR="006E60B1" w:rsidRDefault="006E60B1" w:rsidP="006E60B1">
      <w:r>
        <w:t>N</w:t>
      </w:r>
      <w:r w:rsidRPr="008C607D">
        <w:t xml:space="preserve">o cash incentives or gifts will be given to respondents to the </w:t>
      </w:r>
      <w:r w:rsidR="001064E5">
        <w:t>biannual infrastructure development measure</w:t>
      </w:r>
      <w:r w:rsidRPr="008C607D">
        <w:t>.</w:t>
      </w:r>
    </w:p>
    <w:p w:rsidR="00FD47EC" w:rsidRPr="00A63CD9" w:rsidRDefault="00FD47EC">
      <w:pPr>
        <w:pStyle w:val="NormalWeb"/>
        <w:rPr>
          <w:rStyle w:val="Strong"/>
        </w:rPr>
      </w:pPr>
      <w:r w:rsidRPr="00A63CD9">
        <w:rPr>
          <w:rStyle w:val="Strong"/>
        </w:rPr>
        <w:t>A.10. Assurance of Confidentiality</w:t>
      </w:r>
    </w:p>
    <w:p w:rsidR="00FB223D" w:rsidRPr="00A63CD9" w:rsidRDefault="00FD47EC" w:rsidP="00F024B6">
      <w:pPr>
        <w:pStyle w:val="Heading6"/>
        <w:rPr>
          <w:b w:val="0"/>
          <w:sz w:val="24"/>
          <w:szCs w:val="24"/>
        </w:rPr>
      </w:pPr>
      <w:r w:rsidRPr="00A63CD9">
        <w:rPr>
          <w:b w:val="0"/>
          <w:sz w:val="24"/>
          <w:szCs w:val="24"/>
        </w:rPr>
        <w:t>The current project will fully comply with the Privacy Act of 1974 (5 U.S.C. S</w:t>
      </w:r>
      <w:r w:rsidR="00FB223D" w:rsidRPr="00A63CD9">
        <w:rPr>
          <w:b w:val="0"/>
          <w:sz w:val="24"/>
          <w:szCs w:val="24"/>
        </w:rPr>
        <w:t>ection 552a, 1998) (</w:t>
      </w:r>
      <w:r w:rsidR="00E344FA">
        <w:rPr>
          <w:b w:val="0"/>
          <w:sz w:val="24"/>
          <w:szCs w:val="24"/>
        </w:rPr>
        <w:t xml:space="preserve">see </w:t>
      </w:r>
      <w:r w:rsidR="00FB223D" w:rsidRPr="00A63CD9">
        <w:rPr>
          <w:b w:val="0"/>
          <w:sz w:val="24"/>
          <w:szCs w:val="24"/>
        </w:rPr>
        <w:t xml:space="preserve">Attachment </w:t>
      </w:r>
      <w:r w:rsidR="00E739BF">
        <w:rPr>
          <w:b w:val="0"/>
          <w:sz w:val="24"/>
          <w:szCs w:val="24"/>
        </w:rPr>
        <w:t>A3</w:t>
      </w:r>
      <w:r w:rsidRPr="00A63CD9">
        <w:rPr>
          <w:b w:val="0"/>
          <w:sz w:val="24"/>
          <w:szCs w:val="24"/>
        </w:rPr>
        <w:t>).</w:t>
      </w:r>
      <w:r w:rsidR="00E74BB5">
        <w:rPr>
          <w:b w:val="0"/>
          <w:sz w:val="24"/>
          <w:szCs w:val="24"/>
        </w:rPr>
        <w:t xml:space="preserve"> </w:t>
      </w:r>
      <w:r w:rsidR="00FB223D" w:rsidRPr="00A63CD9">
        <w:rPr>
          <w:b w:val="0"/>
          <w:sz w:val="24"/>
          <w:szCs w:val="24"/>
        </w:rPr>
        <w:t xml:space="preserve">Respondents will be advised that </w:t>
      </w:r>
      <w:r w:rsidR="00A63CD9" w:rsidRPr="00A63CD9">
        <w:rPr>
          <w:b w:val="0"/>
          <w:sz w:val="24"/>
          <w:szCs w:val="24"/>
        </w:rPr>
        <w:t xml:space="preserve">the </w:t>
      </w:r>
      <w:r w:rsidR="001064E5">
        <w:rPr>
          <w:b w:val="0"/>
          <w:sz w:val="24"/>
          <w:szCs w:val="24"/>
        </w:rPr>
        <w:t>biannual infrastructure development measure</w:t>
      </w:r>
      <w:r w:rsidR="00A63CD9" w:rsidRPr="00A63CD9">
        <w:rPr>
          <w:b w:val="0"/>
          <w:sz w:val="24"/>
          <w:szCs w:val="24"/>
        </w:rPr>
        <w:t xml:space="preserve"> is</w:t>
      </w:r>
      <w:r w:rsidR="00FB223D" w:rsidRPr="00A63CD9">
        <w:rPr>
          <w:b w:val="0"/>
          <w:sz w:val="24"/>
          <w:szCs w:val="24"/>
        </w:rPr>
        <w:t xml:space="preserve"> entirely voluntary and that any information they provide will be combined and summarized with information provided by others</w:t>
      </w:r>
      <w:r w:rsidR="005D5125">
        <w:rPr>
          <w:b w:val="0"/>
          <w:sz w:val="24"/>
          <w:szCs w:val="24"/>
        </w:rPr>
        <w:t>,</w:t>
      </w:r>
      <w:r w:rsidR="00FB223D" w:rsidRPr="00A63CD9">
        <w:rPr>
          <w:b w:val="0"/>
          <w:sz w:val="24"/>
          <w:szCs w:val="24"/>
        </w:rPr>
        <w:t xml:space="preserve"> and no individually identifiable information will </w:t>
      </w:r>
      <w:r w:rsidR="00A63CD9" w:rsidRPr="00A63CD9">
        <w:rPr>
          <w:b w:val="0"/>
          <w:sz w:val="24"/>
          <w:szCs w:val="24"/>
        </w:rPr>
        <w:t>be released. The Privacy Act may</w:t>
      </w:r>
      <w:r w:rsidR="00FB223D" w:rsidRPr="00A63CD9">
        <w:rPr>
          <w:b w:val="0"/>
          <w:sz w:val="24"/>
          <w:szCs w:val="24"/>
        </w:rPr>
        <w:t xml:space="preserve"> apply to some data collection activities (e.g., some participants may </w:t>
      </w:r>
      <w:r w:rsidR="00E344FA">
        <w:rPr>
          <w:b w:val="0"/>
          <w:sz w:val="24"/>
          <w:szCs w:val="24"/>
        </w:rPr>
        <w:t xml:space="preserve">be </w:t>
      </w:r>
      <w:r w:rsidR="00FB223D" w:rsidRPr="00A63CD9">
        <w:rPr>
          <w:b w:val="0"/>
          <w:sz w:val="24"/>
          <w:szCs w:val="24"/>
        </w:rPr>
        <w:t>require</w:t>
      </w:r>
      <w:r w:rsidR="00E344FA">
        <w:rPr>
          <w:b w:val="0"/>
          <w:sz w:val="24"/>
          <w:szCs w:val="24"/>
        </w:rPr>
        <w:t>d</w:t>
      </w:r>
      <w:r w:rsidR="00FB223D" w:rsidRPr="00A63CD9">
        <w:rPr>
          <w:b w:val="0"/>
          <w:sz w:val="24"/>
          <w:szCs w:val="24"/>
        </w:rPr>
        <w:t xml:space="preserve"> </w:t>
      </w:r>
      <w:r w:rsidR="00E344FA">
        <w:rPr>
          <w:b w:val="0"/>
          <w:sz w:val="24"/>
          <w:szCs w:val="24"/>
        </w:rPr>
        <w:t xml:space="preserve">to provide </w:t>
      </w:r>
      <w:r w:rsidR="00FB223D" w:rsidRPr="00A63CD9">
        <w:rPr>
          <w:b w:val="0"/>
          <w:sz w:val="24"/>
          <w:szCs w:val="24"/>
        </w:rPr>
        <w:t>identifiable responses due to a planned followup).</w:t>
      </w:r>
      <w:r w:rsidR="00E74BB5">
        <w:rPr>
          <w:b w:val="0"/>
          <w:sz w:val="24"/>
          <w:szCs w:val="24"/>
        </w:rPr>
        <w:t xml:space="preserve"> </w:t>
      </w:r>
      <w:r w:rsidR="00FB223D" w:rsidRPr="00A63CD9">
        <w:rPr>
          <w:b w:val="0"/>
          <w:sz w:val="24"/>
          <w:szCs w:val="24"/>
        </w:rPr>
        <w:t xml:space="preserve">When </w:t>
      </w:r>
      <w:r w:rsidR="00FB223D" w:rsidRPr="00A63CD9">
        <w:rPr>
          <w:b w:val="0"/>
          <w:sz w:val="24"/>
          <w:szCs w:val="24"/>
        </w:rPr>
        <w:lastRenderedPageBreak/>
        <w:t>the Privacy Act is applicable, respondents will be told:</w:t>
      </w:r>
      <w:r w:rsidR="00FB223D" w:rsidRPr="00A63CD9">
        <w:t xml:space="preserve"> </w:t>
      </w:r>
      <w:r w:rsidR="00FB223D" w:rsidRPr="00A63CD9">
        <w:br/>
      </w:r>
      <w:r w:rsidRPr="00A63CD9">
        <w:rPr>
          <w:b w:val="0"/>
          <w:sz w:val="24"/>
          <w:szCs w:val="24"/>
        </w:rPr>
        <w:br/>
        <w:t>(a) the statutory authorization for asking for the information (i.e., 42 USC 285o)</w:t>
      </w:r>
    </w:p>
    <w:p w:rsidR="00FD47EC" w:rsidRPr="00A63CD9" w:rsidRDefault="00FD47EC" w:rsidP="00FB223D">
      <w:pPr>
        <w:pStyle w:val="Heading6"/>
        <w:rPr>
          <w:b w:val="0"/>
          <w:sz w:val="24"/>
          <w:szCs w:val="24"/>
        </w:rPr>
      </w:pPr>
      <w:r w:rsidRPr="00A63CD9">
        <w:rPr>
          <w:b w:val="0"/>
          <w:sz w:val="24"/>
          <w:szCs w:val="24"/>
        </w:rPr>
        <w:t>(b) the purpose for which the information is being asked</w:t>
      </w:r>
    </w:p>
    <w:p w:rsidR="00FD47EC" w:rsidRPr="00A63CD9" w:rsidRDefault="00FD47EC" w:rsidP="00FB223D">
      <w:pPr>
        <w:keepNext/>
        <w:spacing w:before="100" w:beforeAutospacing="1" w:after="100" w:afterAutospacing="1"/>
      </w:pPr>
      <w:r w:rsidRPr="00A63CD9">
        <w:t>(c) whether or not responding to the request for information, in whole or in part, is voluntary</w:t>
      </w:r>
    </w:p>
    <w:p w:rsidR="00FD47EC" w:rsidRPr="00A63CD9" w:rsidRDefault="00FD47EC" w:rsidP="00FB223D">
      <w:pPr>
        <w:keepNext/>
        <w:spacing w:before="100" w:beforeAutospacing="1" w:after="100" w:afterAutospacing="1"/>
      </w:pPr>
      <w:r w:rsidRPr="00A63CD9">
        <w:t>(d) the consequences, if any, of not responding</w:t>
      </w:r>
    </w:p>
    <w:p w:rsidR="00FD47EC" w:rsidRPr="00A63CD9" w:rsidRDefault="00FD47EC" w:rsidP="00FB223D">
      <w:pPr>
        <w:keepNext/>
        <w:spacing w:before="100" w:beforeAutospacing="1" w:after="100" w:afterAutospacing="1"/>
      </w:pPr>
      <w:r w:rsidRPr="00A63CD9">
        <w:t>(e) the extent of confidentiality</w:t>
      </w:r>
    </w:p>
    <w:p w:rsidR="00FD47EC" w:rsidRPr="00C369D8" w:rsidRDefault="00FD47EC">
      <w:pPr>
        <w:keepNext/>
        <w:rPr>
          <w:color w:val="4F6228"/>
        </w:rPr>
      </w:pPr>
      <w:r w:rsidRPr="00A63CD9">
        <w:t xml:space="preserve">However, all respondents will be assured that their participation is voluntary, that no adverse consequences will accrue to non-respondents, and that their comments and opinions will be kept </w:t>
      </w:r>
      <w:r w:rsidR="00FE62BA">
        <w:t>private</w:t>
      </w:r>
      <w:r w:rsidRPr="00A63CD9">
        <w:t>.</w:t>
      </w:r>
      <w:r w:rsidR="00E74BB5">
        <w:rPr>
          <w:color w:val="4F6228"/>
        </w:rPr>
        <w:t xml:space="preserve"> </w:t>
      </w:r>
      <w:r w:rsidR="00312BFB">
        <w:rPr>
          <w:color w:val="4F6228"/>
        </w:rPr>
        <w:t xml:space="preserve">Grantees would be require to document respondent refusals.  </w:t>
      </w:r>
      <w:r w:rsidRPr="00F024B6">
        <w:t xml:space="preserve">In addition, </w:t>
      </w:r>
      <w:r w:rsidR="00F024B6" w:rsidRPr="00F024B6">
        <w:t>email cover</w:t>
      </w:r>
      <w:r w:rsidRPr="00F024B6">
        <w:t xml:space="preserve"> letters will accompany all </w:t>
      </w:r>
      <w:r w:rsidR="000D0A69">
        <w:t>progress report</w:t>
      </w:r>
      <w:r w:rsidR="00E344FA">
        <w:t>s</w:t>
      </w:r>
      <w:r w:rsidR="00E344FA" w:rsidRPr="00F024B6">
        <w:t xml:space="preserve"> </w:t>
      </w:r>
      <w:r w:rsidRPr="00F024B6">
        <w:t xml:space="preserve">and will indicate </w:t>
      </w:r>
      <w:r w:rsidR="00A63CD9" w:rsidRPr="00F024B6">
        <w:t>SAMHSA</w:t>
      </w:r>
      <w:r w:rsidRPr="00F024B6">
        <w:t xml:space="preserve">’s </w:t>
      </w:r>
      <w:r w:rsidR="005D5125">
        <w:t>f</w:t>
      </w:r>
      <w:r w:rsidRPr="00F024B6">
        <w:t xml:space="preserve">ederal status and the purpose of the </w:t>
      </w:r>
      <w:r w:rsidR="00E93F1A">
        <w:t>evaluation</w:t>
      </w:r>
      <w:r w:rsidRPr="00F024B6">
        <w:t>.</w:t>
      </w:r>
      <w:r w:rsidR="00E74BB5">
        <w:rPr>
          <w:color w:val="4F6228"/>
        </w:rPr>
        <w:t xml:space="preserve"> </w:t>
      </w:r>
    </w:p>
    <w:p w:rsidR="00FD47EC" w:rsidRPr="00C369D8" w:rsidRDefault="00FD47EC" w:rsidP="00DC4788">
      <w:pPr>
        <w:keepNext/>
        <w:rPr>
          <w:color w:val="4F6228"/>
        </w:rPr>
      </w:pPr>
    </w:p>
    <w:p w:rsidR="00FB223D" w:rsidRPr="00C369D8" w:rsidRDefault="005D5125" w:rsidP="00FB223D">
      <w:pPr>
        <w:keepNext/>
        <w:rPr>
          <w:color w:val="4F6228"/>
        </w:rPr>
      </w:pPr>
      <w:r>
        <w:t>To</w:t>
      </w:r>
      <w:r w:rsidR="00FD47EC" w:rsidRPr="00A63CD9">
        <w:t xml:space="preserve"> ensure confidentiality of the data, the </w:t>
      </w:r>
      <w:r w:rsidR="00E344FA">
        <w:t>c</w:t>
      </w:r>
      <w:r w:rsidR="00FD47EC" w:rsidRPr="00A63CD9">
        <w:t>ontractor will use several procedures.</w:t>
      </w:r>
      <w:r w:rsidR="00E74BB5">
        <w:rPr>
          <w:color w:val="4F6228"/>
        </w:rPr>
        <w:t xml:space="preserve"> </w:t>
      </w:r>
      <w:r w:rsidR="00FD47EC" w:rsidRPr="00A63CD9">
        <w:t xml:space="preserve">For </w:t>
      </w:r>
      <w:r w:rsidR="000D0A69">
        <w:t>progress report</w:t>
      </w:r>
      <w:r w:rsidR="00FD47EC" w:rsidRPr="00A63CD9">
        <w:t>s</w:t>
      </w:r>
      <w:r w:rsidR="004F309E">
        <w:t xml:space="preserve"> that are returned via email or mail</w:t>
      </w:r>
      <w:r w:rsidR="00FD47EC" w:rsidRPr="00A63CD9">
        <w:t xml:space="preserve">, the contractor will give each </w:t>
      </w:r>
      <w:r w:rsidR="00BE20E1">
        <w:t xml:space="preserve">respondent </w:t>
      </w:r>
      <w:r w:rsidR="00FD47EC" w:rsidRPr="00A63CD9">
        <w:t>a unique identifying number.</w:t>
      </w:r>
      <w:r w:rsidR="00E74BB5">
        <w:rPr>
          <w:color w:val="4F6228"/>
        </w:rPr>
        <w:t xml:space="preserve"> </w:t>
      </w:r>
      <w:r w:rsidR="00F024B6" w:rsidRPr="00F024B6">
        <w:t>E</w:t>
      </w:r>
      <w:r w:rsidR="0060388D" w:rsidRPr="00A63CD9">
        <w:t xml:space="preserve">ach person’s identifying number will be entered in the database to track responses. </w:t>
      </w:r>
      <w:r w:rsidR="00F024B6" w:rsidRPr="00A63CD9">
        <w:t xml:space="preserve">This number will be used to differentiate among </w:t>
      </w:r>
      <w:r w:rsidR="000D0A69">
        <w:t>progress report</w:t>
      </w:r>
      <w:r w:rsidR="00F024B6" w:rsidRPr="00A63CD9">
        <w:t xml:space="preserve"> responses in the response database, not to identify any respondents. </w:t>
      </w:r>
      <w:r w:rsidR="00FD47EC" w:rsidRPr="00A63CD9">
        <w:t>Th</w:t>
      </w:r>
      <w:r w:rsidR="0060388D" w:rsidRPr="00A63CD9">
        <w:t>e</w:t>
      </w:r>
      <w:r w:rsidR="00FD47EC" w:rsidRPr="00A63CD9">
        <w:t>s</w:t>
      </w:r>
      <w:r w:rsidR="0060388D" w:rsidRPr="00A63CD9">
        <w:t>e</w:t>
      </w:r>
      <w:r w:rsidR="00FD47EC" w:rsidRPr="00A63CD9">
        <w:t xml:space="preserve"> procedure</w:t>
      </w:r>
      <w:r w:rsidR="0060388D" w:rsidRPr="00A63CD9">
        <w:t>s</w:t>
      </w:r>
      <w:r w:rsidR="00FD47EC" w:rsidRPr="00A63CD9">
        <w:t xml:space="preserve"> will allow the </w:t>
      </w:r>
      <w:r w:rsidR="00E344FA">
        <w:t>c</w:t>
      </w:r>
      <w:r w:rsidR="00FD47EC" w:rsidRPr="00A63CD9">
        <w:t>ontractor to follow up with individuals who have not responded and to increase the response rates.</w:t>
      </w:r>
      <w:r w:rsidR="00E74BB5">
        <w:t xml:space="preserve"> </w:t>
      </w:r>
      <w:r w:rsidR="00FD47EC" w:rsidRPr="00F024B6">
        <w:t xml:space="preserve">Upon completion of the </w:t>
      </w:r>
      <w:r w:rsidR="000D0A69">
        <w:t>progress report</w:t>
      </w:r>
      <w:r w:rsidR="00FD47EC" w:rsidRPr="00F024B6">
        <w:t xml:space="preserve">, the </w:t>
      </w:r>
      <w:r w:rsidR="00E344FA">
        <w:t>c</w:t>
      </w:r>
      <w:r w:rsidR="00FD47EC" w:rsidRPr="00F024B6">
        <w:t xml:space="preserve">ontractor will destroy the database with </w:t>
      </w:r>
      <w:r w:rsidR="00BE20E1">
        <w:t xml:space="preserve">respondents’ </w:t>
      </w:r>
      <w:r w:rsidR="00F024B6" w:rsidRPr="00F024B6">
        <w:t xml:space="preserve">names, addresses, and </w:t>
      </w:r>
      <w:r w:rsidR="00FD47EC" w:rsidRPr="00F024B6">
        <w:t>identification numbers.</w:t>
      </w:r>
      <w:r w:rsidR="00FD47EC" w:rsidRPr="00C369D8">
        <w:rPr>
          <w:color w:val="4F6228"/>
        </w:rPr>
        <w:t xml:space="preserve"> </w:t>
      </w:r>
    </w:p>
    <w:p w:rsidR="00FD47EC" w:rsidRPr="006E60B1" w:rsidRDefault="00FD47EC">
      <w:pPr>
        <w:pStyle w:val="NormalWeb"/>
        <w:rPr>
          <w:rStyle w:val="Strong"/>
        </w:rPr>
      </w:pPr>
      <w:r w:rsidRPr="006E60B1">
        <w:rPr>
          <w:rStyle w:val="Strong"/>
        </w:rPr>
        <w:t>A.11. Questions of a Sensitive Nature</w:t>
      </w:r>
    </w:p>
    <w:p w:rsidR="00FD47EC" w:rsidRPr="006E60B1" w:rsidRDefault="00FE62BA">
      <w:pPr>
        <w:pStyle w:val="NormalWeb"/>
        <w:rPr>
          <w:bCs/>
        </w:rPr>
      </w:pPr>
      <w:r>
        <w:rPr>
          <w:bCs/>
        </w:rPr>
        <w:t>No questions of a sensitive nature are collected.</w:t>
      </w:r>
    </w:p>
    <w:p w:rsidR="00FD47EC" w:rsidRPr="00F024B6" w:rsidRDefault="00FD47EC">
      <w:pPr>
        <w:pStyle w:val="NormalWeb"/>
        <w:rPr>
          <w:b/>
        </w:rPr>
      </w:pPr>
      <w:r w:rsidRPr="00F024B6">
        <w:rPr>
          <w:b/>
          <w:bCs/>
        </w:rPr>
        <w:t>A.12. Estimates of Response Burden</w:t>
      </w:r>
    </w:p>
    <w:p w:rsidR="0078182C" w:rsidRDefault="008D2346" w:rsidP="00C375A7">
      <w:pPr>
        <w:rPr>
          <w:b/>
        </w:rPr>
      </w:pPr>
      <w:bookmarkStart w:id="5" w:name="_Toc131566257"/>
      <w:r>
        <w:rPr>
          <w:b/>
        </w:rPr>
        <w:t xml:space="preserve">A.12.1 </w:t>
      </w:r>
      <w:r w:rsidR="009B1239" w:rsidRPr="002775C0">
        <w:rPr>
          <w:b/>
        </w:rPr>
        <w:t xml:space="preserve">Estimate the annualized hour burden of the collection of information from </w:t>
      </w:r>
      <w:r w:rsidR="008E0D8B">
        <w:rPr>
          <w:b/>
        </w:rPr>
        <w:t>participants</w:t>
      </w:r>
    </w:p>
    <w:p w:rsidR="00545756" w:rsidRDefault="00545756" w:rsidP="00C375A7">
      <w:pPr>
        <w:rPr>
          <w:b/>
        </w:rPr>
      </w:pPr>
    </w:p>
    <w:p w:rsidR="009B1239" w:rsidRDefault="00A72BD6" w:rsidP="00C375A7">
      <w:r>
        <w:t>Estimates for response burden were calculated based on the methodology (</w:t>
      </w:r>
      <w:r w:rsidR="001064E5">
        <w:t>biannual infrastructure development measure</w:t>
      </w:r>
      <w:r>
        <w:t xml:space="preserve"> data collection) being used. Based on the pilot data, burden </w:t>
      </w:r>
      <w:r w:rsidRPr="002E20A4">
        <w:t xml:space="preserve">estimates of </w:t>
      </w:r>
      <w:r w:rsidR="00CB7D5F" w:rsidRPr="002E20A4">
        <w:t>12.</w:t>
      </w:r>
      <w:r w:rsidR="00B13DEF" w:rsidRPr="002E20A4">
        <w:t>0</w:t>
      </w:r>
      <w:r w:rsidRPr="002E20A4">
        <w:t xml:space="preserve"> hours were used for each grantee’s Project Director/Program Manager to complete the </w:t>
      </w:r>
      <w:r w:rsidR="001064E5">
        <w:t>biannual infrastructure development measure</w:t>
      </w:r>
      <w:r w:rsidRPr="002E20A4">
        <w:t>. </w:t>
      </w:r>
      <w:r w:rsidR="00F06D11" w:rsidRPr="002E20A4">
        <w:t xml:space="preserve">In addition, burden estimates of </w:t>
      </w:r>
      <w:r w:rsidR="00B13DEF" w:rsidRPr="002E20A4">
        <w:t>7.2</w:t>
      </w:r>
      <w:r w:rsidR="00F06D11" w:rsidRPr="002E20A4">
        <w:t xml:space="preserve"> hours were used for additional grantee staff </w:t>
      </w:r>
      <w:r w:rsidR="00580637" w:rsidRPr="002E20A4">
        <w:t xml:space="preserve">members </w:t>
      </w:r>
      <w:r w:rsidR="00F06D11" w:rsidRPr="002E20A4">
        <w:t xml:space="preserve">(e.g., Evaluators, Clinical Supervisors, Site Coordinators) to assist with </w:t>
      </w:r>
      <w:r w:rsidR="008E0D8B" w:rsidRPr="002E20A4">
        <w:t xml:space="preserve">gathering information for </w:t>
      </w:r>
      <w:r w:rsidR="000D0A69">
        <w:t>progress report</w:t>
      </w:r>
      <w:r w:rsidR="00F06D11" w:rsidRPr="002E20A4">
        <w:t xml:space="preserve"> completion. </w:t>
      </w:r>
      <w:r w:rsidRPr="002E20A4">
        <w:t>Taking the average burden across the different grantees included in the pilot testing</w:t>
      </w:r>
      <w:r w:rsidR="00D21518">
        <w:t xml:space="preserve"> (see Attachment B1</w:t>
      </w:r>
      <w:r w:rsidR="009F1736" w:rsidRPr="002E20A4">
        <w:t>)</w:t>
      </w:r>
      <w:r w:rsidRPr="002E20A4">
        <w:t xml:space="preserve"> of the </w:t>
      </w:r>
      <w:r w:rsidR="001064E5">
        <w:t>biannual infrastructure development measure</w:t>
      </w:r>
      <w:r w:rsidRPr="002E20A4">
        <w:t xml:space="preserve"> (</w:t>
      </w:r>
      <w:r w:rsidR="00B13DEF" w:rsidRPr="002E20A4">
        <w:t>9</w:t>
      </w:r>
      <w:r w:rsidR="00CB7D5F" w:rsidRPr="002E20A4">
        <w:t>6</w:t>
      </w:r>
      <w:r w:rsidR="009F1736" w:rsidRPr="002E20A4">
        <w:t xml:space="preserve"> hours</w:t>
      </w:r>
      <w:r w:rsidRPr="002E20A4">
        <w:t>/</w:t>
      </w:r>
      <w:r w:rsidR="00B13DEF" w:rsidRPr="002E20A4">
        <w:t>8</w:t>
      </w:r>
      <w:r w:rsidRPr="002E20A4">
        <w:t xml:space="preserve"> </w:t>
      </w:r>
      <w:r w:rsidR="00EF449F" w:rsidRPr="002E20A4">
        <w:t>P</w:t>
      </w:r>
      <w:r w:rsidR="00CB7D5F" w:rsidRPr="002E20A4">
        <w:t xml:space="preserve">rogram </w:t>
      </w:r>
      <w:r w:rsidR="00EF449F" w:rsidRPr="002E20A4">
        <w:t>M</w:t>
      </w:r>
      <w:r w:rsidR="00CB7D5F" w:rsidRPr="002E20A4">
        <w:t>anager/</w:t>
      </w:r>
      <w:r w:rsidR="00EF449F" w:rsidRPr="002E20A4">
        <w:t>P</w:t>
      </w:r>
      <w:r w:rsidR="00CB7D5F" w:rsidRPr="002E20A4">
        <w:t xml:space="preserve">roject </w:t>
      </w:r>
      <w:r w:rsidR="00EF449F" w:rsidRPr="002E20A4">
        <w:t>D</w:t>
      </w:r>
      <w:r w:rsidR="00CB7D5F" w:rsidRPr="002E20A4">
        <w:t>irector respondents</w:t>
      </w:r>
      <w:r w:rsidR="00F06D11" w:rsidRPr="002E20A4">
        <w:t xml:space="preserve"> + </w:t>
      </w:r>
      <w:r w:rsidR="00B13DEF" w:rsidRPr="002E20A4">
        <w:t>57</w:t>
      </w:r>
      <w:r w:rsidR="00CB7D5F" w:rsidRPr="002E20A4">
        <w:t>.75</w:t>
      </w:r>
      <w:r w:rsidR="009F1736" w:rsidRPr="002E20A4">
        <w:t xml:space="preserve"> hours</w:t>
      </w:r>
      <w:r w:rsidR="00F06D11" w:rsidRPr="002E20A4">
        <w:t>/</w:t>
      </w:r>
      <w:r w:rsidR="00CB7D5F" w:rsidRPr="002E20A4">
        <w:t>other project staff respondents</w:t>
      </w:r>
      <w:r w:rsidR="00B13DEF" w:rsidRPr="002E20A4">
        <w:t xml:space="preserve"> from 8 grantees</w:t>
      </w:r>
      <w:r w:rsidRPr="002E20A4">
        <w:t>), gives an overa</w:t>
      </w:r>
      <w:r w:rsidR="00586260" w:rsidRPr="002E20A4">
        <w:t xml:space="preserve">ll total burden estimate of </w:t>
      </w:r>
      <w:r w:rsidR="00CB7D5F" w:rsidRPr="002E20A4">
        <w:t>1</w:t>
      </w:r>
      <w:r w:rsidR="00B13DEF" w:rsidRPr="002E20A4">
        <w:t>9</w:t>
      </w:r>
      <w:r w:rsidR="00CB7D5F" w:rsidRPr="002E20A4">
        <w:t>.</w:t>
      </w:r>
      <w:r w:rsidR="00B13DEF" w:rsidRPr="002E20A4">
        <w:t>2</w:t>
      </w:r>
      <w:r w:rsidR="00586260" w:rsidRPr="002E20A4">
        <w:t xml:space="preserve"> hours per grantee or </w:t>
      </w:r>
      <w:r w:rsidR="00C06B83">
        <w:t>7</w:t>
      </w:r>
      <w:r w:rsidR="00E050E4" w:rsidRPr="002E20A4">
        <w:t>,</w:t>
      </w:r>
      <w:r w:rsidR="00C06B83">
        <w:t>867.2</w:t>
      </w:r>
      <w:r w:rsidRPr="002E20A4">
        <w:t xml:space="preserve"> total burd</w:t>
      </w:r>
      <w:r w:rsidR="00586260" w:rsidRPr="002E20A4">
        <w:t xml:space="preserve">en hours for the estimated </w:t>
      </w:r>
      <w:r w:rsidR="00322E92" w:rsidRPr="002E20A4">
        <w:t>35</w:t>
      </w:r>
      <w:r w:rsidRPr="002E20A4">
        <w:t xml:space="preserve"> </w:t>
      </w:r>
      <w:r w:rsidR="008E0D8B" w:rsidRPr="002E20A4">
        <w:lastRenderedPageBreak/>
        <w:t xml:space="preserve">grantees </w:t>
      </w:r>
      <w:r w:rsidRPr="002E20A4">
        <w:t>expected to participate.</w:t>
      </w:r>
      <w:r w:rsidR="00586260" w:rsidRPr="002E20A4">
        <w:t xml:space="preserve"> Exhibit </w:t>
      </w:r>
      <w:r w:rsidR="00CB7D5F" w:rsidRPr="002E20A4">
        <w:t>1</w:t>
      </w:r>
      <w:r w:rsidRPr="002E20A4">
        <w:t xml:space="preserve"> presents estimates of annualized burden</w:t>
      </w:r>
      <w:r>
        <w:t xml:space="preserve"> based on </w:t>
      </w:r>
      <w:r w:rsidR="00586260">
        <w:t>pilot</w:t>
      </w:r>
      <w:r>
        <w:t xml:space="preserve"> testing. </w:t>
      </w:r>
      <w:r w:rsidR="009B1239" w:rsidRPr="002775C0">
        <w:t>Sampling procedures are discussed in Section B.1.</w:t>
      </w:r>
    </w:p>
    <w:p w:rsidR="00A14ABA" w:rsidRPr="00355DF9" w:rsidRDefault="00A14ABA" w:rsidP="00C375A7">
      <w:pPr>
        <w:rPr>
          <w:b/>
          <w:color w:val="984806"/>
        </w:rPr>
      </w:pPr>
    </w:p>
    <w:p w:rsidR="000D0A69" w:rsidRDefault="008D2346" w:rsidP="00C375A7">
      <w:pPr>
        <w:pStyle w:val="NormalWeb"/>
        <w:spacing w:before="0" w:beforeAutospacing="0" w:after="0" w:afterAutospacing="0"/>
        <w:rPr>
          <w:b/>
        </w:rPr>
      </w:pPr>
      <w:r>
        <w:rPr>
          <w:b/>
        </w:rPr>
        <w:t xml:space="preserve">A.12.2. </w:t>
      </w:r>
      <w:r w:rsidR="009B1239" w:rsidRPr="002775C0">
        <w:rPr>
          <w:b/>
        </w:rPr>
        <w:t>Estimate the annualized cost burden to respondent</w:t>
      </w:r>
      <w:r w:rsidR="005B58C0">
        <w:rPr>
          <w:b/>
        </w:rPr>
        <w:t>s</w:t>
      </w:r>
      <w:r w:rsidR="009B1239" w:rsidRPr="002775C0">
        <w:rPr>
          <w:b/>
        </w:rPr>
        <w:t xml:space="preserve"> for the collection of information from </w:t>
      </w:r>
      <w:r w:rsidR="008E0D8B">
        <w:rPr>
          <w:b/>
        </w:rPr>
        <w:t>participants</w:t>
      </w:r>
    </w:p>
    <w:p w:rsidR="00A14ABA" w:rsidRDefault="006408A5" w:rsidP="00C375A7">
      <w:pPr>
        <w:pStyle w:val="NormalWeb"/>
        <w:spacing w:before="0" w:beforeAutospacing="0" w:after="0" w:afterAutospacing="0"/>
      </w:pPr>
      <w:r>
        <w:rPr>
          <w:b/>
        </w:rPr>
        <w:t xml:space="preserve"> </w:t>
      </w:r>
    </w:p>
    <w:p w:rsidR="00BA44DB" w:rsidRDefault="009B1239" w:rsidP="00C375A7">
      <w:pPr>
        <w:pStyle w:val="NormalWeb"/>
        <w:spacing w:before="0" w:beforeAutospacing="0" w:after="0" w:afterAutospacing="0"/>
      </w:pPr>
      <w:r w:rsidRPr="002775C0">
        <w:t xml:space="preserve">There are no direct costs to respondents other than their time to participate in the </w:t>
      </w:r>
      <w:r w:rsidR="000D0A69">
        <w:t>progress report</w:t>
      </w:r>
      <w:r w:rsidRPr="002775C0">
        <w:t>. The annual cost of the time respondents spend com</w:t>
      </w:r>
      <w:r w:rsidR="002775C0" w:rsidRPr="002775C0">
        <w:t xml:space="preserve">pleting these </w:t>
      </w:r>
      <w:r w:rsidR="000D0A69">
        <w:t>progress report</w:t>
      </w:r>
      <w:r w:rsidR="002775C0" w:rsidRPr="002775C0">
        <w:t xml:space="preserve">s </w:t>
      </w:r>
      <w:r w:rsidR="002775C0" w:rsidRPr="002E20A4">
        <w:t>is $</w:t>
      </w:r>
      <w:r w:rsidR="005B7CD6">
        <w:t>23,520</w:t>
      </w:r>
      <w:r w:rsidR="005B7CD6" w:rsidRPr="002E20A4" w:rsidDel="005B7CD6">
        <w:t xml:space="preserve"> </w:t>
      </w:r>
      <w:r w:rsidR="002775C0" w:rsidRPr="002E20A4">
        <w:t>(</w:t>
      </w:r>
      <w:r w:rsidR="005B7CD6">
        <w:t>840.0)</w:t>
      </w:r>
      <w:r w:rsidR="00B95BD1" w:rsidRPr="002E20A4">
        <w:t xml:space="preserve"> </w:t>
      </w:r>
      <w:r w:rsidR="00E51CC0" w:rsidRPr="002E20A4">
        <w:t>[</w:t>
      </w:r>
      <w:r w:rsidR="002775C0" w:rsidRPr="002E20A4">
        <w:t xml:space="preserve">number of </w:t>
      </w:r>
      <w:r w:rsidR="00E51CC0" w:rsidRPr="002E20A4">
        <w:t>P</w:t>
      </w:r>
      <w:r w:rsidR="00F06D11" w:rsidRPr="002E20A4">
        <w:t xml:space="preserve">rogram </w:t>
      </w:r>
      <w:r w:rsidR="00E51CC0" w:rsidRPr="002E20A4">
        <w:t>M</w:t>
      </w:r>
      <w:r w:rsidR="00F06D11" w:rsidRPr="002E20A4">
        <w:t>anager/</w:t>
      </w:r>
      <w:r w:rsidR="00E51CC0" w:rsidRPr="002E20A4">
        <w:t>P</w:t>
      </w:r>
      <w:r w:rsidR="00F06D11" w:rsidRPr="002E20A4">
        <w:t xml:space="preserve">roject </w:t>
      </w:r>
      <w:r w:rsidR="00E51CC0" w:rsidRPr="002E20A4">
        <w:t>D</w:t>
      </w:r>
      <w:r w:rsidR="00F06D11" w:rsidRPr="002E20A4">
        <w:t xml:space="preserve">irector </w:t>
      </w:r>
      <w:r w:rsidR="002775C0" w:rsidRPr="002E20A4">
        <w:t>hours</w:t>
      </w:r>
      <w:r w:rsidR="002E20A4">
        <w:t>]</w:t>
      </w:r>
      <w:r w:rsidR="002775C0" w:rsidRPr="002E20A4">
        <w:t xml:space="preserve"> × $</w:t>
      </w:r>
      <w:r w:rsidR="00B95BD1" w:rsidRPr="002E20A4">
        <w:t>28</w:t>
      </w:r>
      <w:r w:rsidR="002E20A4">
        <w:t xml:space="preserve"> [</w:t>
      </w:r>
      <w:r w:rsidRPr="002E20A4">
        <w:t xml:space="preserve">the estimated average hourly wages for individuals working in </w:t>
      </w:r>
      <w:r w:rsidR="002775C0" w:rsidRPr="002E20A4">
        <w:t>social and community service</w:t>
      </w:r>
      <w:r w:rsidR="005B58C0" w:rsidRPr="002E20A4">
        <w:t>-</w:t>
      </w:r>
      <w:r w:rsidR="002775C0" w:rsidRPr="002E20A4">
        <w:t>related</w:t>
      </w:r>
      <w:r w:rsidRPr="002E20A4">
        <w:t xml:space="preserve"> occupations as published by the Bureau of Labor Statistics, 20</w:t>
      </w:r>
      <w:r w:rsidR="002775C0" w:rsidRPr="002E20A4">
        <w:t>1</w:t>
      </w:r>
      <w:r w:rsidRPr="002E20A4">
        <w:t>0</w:t>
      </w:r>
      <w:bookmarkStart w:id="6" w:name="_Toc93987696"/>
      <w:r w:rsidR="00F06D11">
        <w:t>.</w:t>
      </w:r>
      <w:r w:rsidR="005B7CD6">
        <w:t xml:space="preserve"> </w:t>
      </w:r>
      <w:r w:rsidR="00F06D11">
        <w:t xml:space="preserve"> </w:t>
      </w:r>
      <w:r w:rsidR="00BA44DB">
        <w:t>Exhibit</w:t>
      </w:r>
      <w:r w:rsidR="00BA44DB" w:rsidRPr="00F024B6">
        <w:t xml:space="preserve"> 1 contains estimated response </w:t>
      </w:r>
      <w:r w:rsidR="00BA44DB">
        <w:t>burdens for the target audience</w:t>
      </w:r>
      <w:r w:rsidR="00BA44DB" w:rsidRPr="00F024B6">
        <w:t xml:space="preserve"> </w:t>
      </w:r>
      <w:r w:rsidR="00BA44DB">
        <w:t>(i.e., Project Directors/Program Managers</w:t>
      </w:r>
      <w:r w:rsidR="00F06D11">
        <w:t xml:space="preserve"> and other project staff members</w:t>
      </w:r>
      <w:r w:rsidR="00BA44DB">
        <w:t xml:space="preserve">) </w:t>
      </w:r>
      <w:r w:rsidR="00BA44DB" w:rsidRPr="00F024B6">
        <w:t xml:space="preserve">included in this </w:t>
      </w:r>
      <w:r w:rsidR="000D0A69">
        <w:t>progress report</w:t>
      </w:r>
      <w:r w:rsidR="00BA44DB" w:rsidRPr="00F024B6">
        <w:t>.</w:t>
      </w:r>
      <w:r w:rsidR="00AD00DF">
        <w:t xml:space="preserve"> </w:t>
      </w:r>
    </w:p>
    <w:p w:rsidR="00AF5856" w:rsidRDefault="00AF5856" w:rsidP="00C375A7">
      <w:pPr>
        <w:pStyle w:val="NormalWeb"/>
        <w:spacing w:before="0" w:beforeAutospacing="0" w:after="0" w:afterAutospacing="0"/>
      </w:pPr>
    </w:p>
    <w:p w:rsidR="00E51CC0" w:rsidRPr="00F024B6" w:rsidRDefault="00E51CC0" w:rsidP="00C375A7">
      <w:pPr>
        <w:pStyle w:val="NormalWeb"/>
        <w:spacing w:before="0" w:beforeAutospacing="0" w:after="0" w:afterAutospacing="0"/>
      </w:pPr>
    </w:p>
    <w:bookmarkEnd w:id="6"/>
    <w:p w:rsidR="00AF5856" w:rsidRPr="008D6B9F" w:rsidRDefault="00033816" w:rsidP="00AF5856">
      <w:pPr>
        <w:spacing w:line="276" w:lineRule="auto"/>
      </w:pPr>
      <w:r w:rsidRPr="00C375A7">
        <w:rPr>
          <w:b/>
        </w:rPr>
        <w:t>Exhibit</w:t>
      </w:r>
      <w:r w:rsidR="008E0D8B" w:rsidRPr="00C375A7">
        <w:rPr>
          <w:b/>
        </w:rPr>
        <w:t xml:space="preserve"> </w:t>
      </w:r>
      <w:r w:rsidR="00E67517" w:rsidRPr="00C375A7">
        <w:rPr>
          <w:b/>
        </w:rPr>
        <w:t>1</w:t>
      </w:r>
      <w:r w:rsidR="009B1239" w:rsidRPr="00C375A7">
        <w:rPr>
          <w:b/>
        </w:rPr>
        <w:t xml:space="preserve">. </w:t>
      </w:r>
      <w:bookmarkEnd w:id="5"/>
      <w:r w:rsidR="00C20B1D">
        <w:rPr>
          <w:b/>
        </w:rPr>
        <w:t xml:space="preserve"> Data Collection Burden </w:t>
      </w:r>
      <w:r w:rsidR="00AF5856" w:rsidRPr="00C375A7">
        <w:rPr>
          <w:b/>
        </w:rPr>
        <w:t xml:space="preserve">Data Collection Burden for Biannual </w:t>
      </w:r>
      <w:r w:rsidR="00AF5856">
        <w:rPr>
          <w:b/>
        </w:rPr>
        <w:t>Infrastructure Development Measure</w:t>
      </w:r>
      <w:r w:rsidR="00AF5856" w:rsidRPr="008D6B9F">
        <w:rPr>
          <w:b/>
        </w:rPr>
        <w:t xml:space="preserve"> for </w:t>
      </w:r>
      <w:r w:rsidR="00AF5856" w:rsidRPr="00A23B8F">
        <w:rPr>
          <w:b/>
        </w:rPr>
        <w:t>Cohorts 1, 2, and 3</w:t>
      </w:r>
    </w:p>
    <w:tbl>
      <w:tblPr>
        <w:tblW w:w="5809"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237"/>
        <w:gridCol w:w="1237"/>
        <w:gridCol w:w="1237"/>
        <w:gridCol w:w="1237"/>
        <w:gridCol w:w="1235"/>
        <w:gridCol w:w="1237"/>
        <w:gridCol w:w="1235"/>
        <w:gridCol w:w="1233"/>
      </w:tblGrid>
      <w:tr w:rsidR="00AF5856" w:rsidRPr="00A23B8F" w:rsidTr="002E28E7">
        <w:trPr>
          <w:trHeight w:val="1596"/>
        </w:trPr>
        <w:tc>
          <w:tcPr>
            <w:tcW w:w="556" w:type="pct"/>
            <w:vAlign w:val="center"/>
          </w:tcPr>
          <w:p w:rsidR="00AF5856" w:rsidRPr="00A23B8F" w:rsidRDefault="00AF5856" w:rsidP="002E28E7">
            <w:pPr>
              <w:spacing w:line="276" w:lineRule="auto"/>
              <w:jc w:val="center"/>
              <w:rPr>
                <w:b/>
              </w:rPr>
            </w:pPr>
            <w:r w:rsidRPr="00A23B8F">
              <w:rPr>
                <w:b/>
              </w:rPr>
              <w:t>Cohort</w:t>
            </w:r>
          </w:p>
        </w:tc>
        <w:tc>
          <w:tcPr>
            <w:tcW w:w="556" w:type="pct"/>
            <w:vAlign w:val="center"/>
          </w:tcPr>
          <w:p w:rsidR="00AF5856" w:rsidRPr="00A23B8F" w:rsidRDefault="00AF5856" w:rsidP="002E28E7">
            <w:pPr>
              <w:spacing w:line="276" w:lineRule="auto"/>
              <w:jc w:val="center"/>
              <w:rPr>
                <w:b/>
              </w:rPr>
            </w:pPr>
            <w:r w:rsidRPr="00A23B8F">
              <w:rPr>
                <w:b/>
              </w:rPr>
              <w:t>Respondent Type</w:t>
            </w:r>
          </w:p>
        </w:tc>
        <w:tc>
          <w:tcPr>
            <w:tcW w:w="556" w:type="pct"/>
            <w:vAlign w:val="center"/>
          </w:tcPr>
          <w:p w:rsidR="00AF5856" w:rsidRPr="00A23B8F" w:rsidRDefault="00AF5856" w:rsidP="002E28E7">
            <w:pPr>
              <w:spacing w:line="276" w:lineRule="auto"/>
              <w:jc w:val="center"/>
              <w:rPr>
                <w:b/>
              </w:rPr>
            </w:pPr>
            <w:r w:rsidRPr="00A23B8F">
              <w:rPr>
                <w:b/>
              </w:rPr>
              <w:t>Number of Respondents</w:t>
            </w:r>
          </w:p>
        </w:tc>
        <w:tc>
          <w:tcPr>
            <w:tcW w:w="556" w:type="pct"/>
            <w:vAlign w:val="center"/>
          </w:tcPr>
          <w:p w:rsidR="00AF5856" w:rsidRPr="00A23B8F" w:rsidRDefault="00AF5856" w:rsidP="002E28E7">
            <w:pPr>
              <w:spacing w:line="276" w:lineRule="auto"/>
              <w:jc w:val="center"/>
              <w:rPr>
                <w:b/>
              </w:rPr>
            </w:pPr>
            <w:r w:rsidRPr="00A23B8F">
              <w:rPr>
                <w:b/>
              </w:rPr>
              <w:t>Responses per Respondent</w:t>
            </w:r>
          </w:p>
        </w:tc>
        <w:tc>
          <w:tcPr>
            <w:tcW w:w="556" w:type="pct"/>
            <w:vAlign w:val="center"/>
          </w:tcPr>
          <w:p w:rsidR="00AF5856" w:rsidRPr="00A23B8F" w:rsidRDefault="00AF5856" w:rsidP="002E28E7">
            <w:pPr>
              <w:spacing w:line="276" w:lineRule="auto"/>
              <w:jc w:val="center"/>
              <w:rPr>
                <w:b/>
              </w:rPr>
            </w:pPr>
            <w:r w:rsidRPr="00A23B8F">
              <w:rPr>
                <w:b/>
              </w:rPr>
              <w:t>Total Responses</w:t>
            </w:r>
          </w:p>
        </w:tc>
        <w:tc>
          <w:tcPr>
            <w:tcW w:w="555" w:type="pct"/>
            <w:vAlign w:val="center"/>
          </w:tcPr>
          <w:p w:rsidR="00AF5856" w:rsidRPr="00A23B8F" w:rsidRDefault="00AF5856" w:rsidP="002E28E7">
            <w:pPr>
              <w:spacing w:line="276" w:lineRule="auto"/>
              <w:jc w:val="center"/>
              <w:rPr>
                <w:b/>
              </w:rPr>
            </w:pPr>
            <w:r w:rsidRPr="00A23B8F">
              <w:rPr>
                <w:b/>
              </w:rPr>
              <w:t>Hours per Response</w:t>
            </w:r>
          </w:p>
        </w:tc>
        <w:tc>
          <w:tcPr>
            <w:tcW w:w="556" w:type="pct"/>
            <w:vAlign w:val="center"/>
          </w:tcPr>
          <w:p w:rsidR="00AF5856" w:rsidRPr="00A23B8F" w:rsidRDefault="00AF5856" w:rsidP="002E28E7">
            <w:pPr>
              <w:spacing w:line="276" w:lineRule="auto"/>
              <w:jc w:val="center"/>
              <w:rPr>
                <w:b/>
              </w:rPr>
            </w:pPr>
            <w:r w:rsidRPr="00A23B8F">
              <w:rPr>
                <w:b/>
              </w:rPr>
              <w:t>Total Annual Hour Burden</w:t>
            </w:r>
          </w:p>
        </w:tc>
        <w:tc>
          <w:tcPr>
            <w:tcW w:w="555" w:type="pct"/>
            <w:vAlign w:val="center"/>
          </w:tcPr>
          <w:p w:rsidR="00AF5856" w:rsidRPr="00A23B8F" w:rsidRDefault="00AF5856" w:rsidP="002E28E7">
            <w:pPr>
              <w:spacing w:line="276" w:lineRule="auto"/>
              <w:jc w:val="center"/>
              <w:rPr>
                <w:b/>
              </w:rPr>
            </w:pPr>
            <w:r w:rsidRPr="00A23B8F">
              <w:rPr>
                <w:b/>
              </w:rPr>
              <w:t>Wage Cost</w:t>
            </w:r>
          </w:p>
          <w:p w:rsidR="00AF5856" w:rsidRPr="00A23B8F" w:rsidRDefault="00AF5856" w:rsidP="002E28E7">
            <w:pPr>
              <w:spacing w:line="276" w:lineRule="auto"/>
              <w:jc w:val="center"/>
              <w:rPr>
                <w:b/>
              </w:rPr>
            </w:pPr>
            <w:r w:rsidRPr="00A23B8F">
              <w:rPr>
                <w:b/>
              </w:rPr>
              <w:t>($)</w:t>
            </w:r>
          </w:p>
        </w:tc>
        <w:tc>
          <w:tcPr>
            <w:tcW w:w="554" w:type="pct"/>
            <w:vAlign w:val="center"/>
          </w:tcPr>
          <w:p w:rsidR="00AF5856" w:rsidRPr="00A23B8F" w:rsidRDefault="00AF5856" w:rsidP="002E28E7">
            <w:pPr>
              <w:spacing w:line="276" w:lineRule="auto"/>
              <w:jc w:val="center"/>
              <w:rPr>
                <w:b/>
              </w:rPr>
            </w:pPr>
            <w:r w:rsidRPr="00A23B8F">
              <w:rPr>
                <w:b/>
              </w:rPr>
              <w:t>Total Annual Wage Cost</w:t>
            </w:r>
          </w:p>
          <w:p w:rsidR="00AF5856" w:rsidRPr="00A23B8F" w:rsidRDefault="00AF5856" w:rsidP="002E28E7">
            <w:pPr>
              <w:spacing w:line="276" w:lineRule="auto"/>
              <w:jc w:val="center"/>
              <w:rPr>
                <w:b/>
              </w:rPr>
            </w:pPr>
            <w:r w:rsidRPr="00A23B8F">
              <w:rPr>
                <w:b/>
              </w:rPr>
              <w:t>($)</w:t>
            </w:r>
            <w:r w:rsidR="00312BFB">
              <w:rPr>
                <w:b/>
              </w:rPr>
              <w:t xml:space="preserve"> </w:t>
            </w:r>
            <w:r w:rsidR="00312BFB" w:rsidRPr="00FD6FB4">
              <w:rPr>
                <w:b/>
                <w:sz w:val="18"/>
              </w:rPr>
              <w:t>c.</w:t>
            </w:r>
          </w:p>
        </w:tc>
      </w:tr>
      <w:tr w:rsidR="00AF5856" w:rsidRPr="00A23B8F" w:rsidTr="002E28E7">
        <w:trPr>
          <w:trHeight w:val="647"/>
        </w:trPr>
        <w:tc>
          <w:tcPr>
            <w:tcW w:w="556" w:type="pct"/>
            <w:vAlign w:val="center"/>
          </w:tcPr>
          <w:p w:rsidR="00AF5856" w:rsidRPr="00A23B8F" w:rsidRDefault="00AF5856" w:rsidP="002E28E7">
            <w:pPr>
              <w:spacing w:line="276" w:lineRule="auto"/>
              <w:jc w:val="center"/>
            </w:pPr>
            <w:r w:rsidRPr="00A23B8F">
              <w:t>1</w:t>
            </w:r>
          </w:p>
        </w:tc>
        <w:tc>
          <w:tcPr>
            <w:tcW w:w="556" w:type="pct"/>
            <w:vAlign w:val="center"/>
          </w:tcPr>
          <w:p w:rsidR="00AF5856" w:rsidRPr="00A23B8F" w:rsidRDefault="00C20B1D" w:rsidP="00C20B1D">
            <w:pPr>
              <w:spacing w:line="276" w:lineRule="auto"/>
              <w:jc w:val="center"/>
            </w:pPr>
            <w:r w:rsidRPr="003C3D9B">
              <w:rPr>
                <w:vertAlign w:val="superscript"/>
              </w:rPr>
              <w:t>a.</w:t>
            </w:r>
            <w:r w:rsidR="00AF5856" w:rsidRPr="00A23B8F">
              <w:t>Project Director</w:t>
            </w:r>
            <w:r w:rsidR="00FD6FB4">
              <w:t xml:space="preserve"> </w:t>
            </w:r>
          </w:p>
        </w:tc>
        <w:tc>
          <w:tcPr>
            <w:tcW w:w="556" w:type="pct"/>
            <w:vAlign w:val="center"/>
          </w:tcPr>
          <w:p w:rsidR="00AF5856" w:rsidRPr="00A23B8F" w:rsidRDefault="00AF5856" w:rsidP="002E28E7">
            <w:pPr>
              <w:spacing w:line="276" w:lineRule="auto"/>
              <w:jc w:val="center"/>
            </w:pPr>
            <w:r w:rsidRPr="00A23B8F">
              <w:t>13</w:t>
            </w:r>
          </w:p>
        </w:tc>
        <w:tc>
          <w:tcPr>
            <w:tcW w:w="556" w:type="pct"/>
            <w:vAlign w:val="center"/>
          </w:tcPr>
          <w:p w:rsidR="00AF5856" w:rsidRPr="00A23B8F" w:rsidRDefault="00AF5856" w:rsidP="002E28E7">
            <w:pPr>
              <w:spacing w:line="276" w:lineRule="auto"/>
              <w:jc w:val="center"/>
            </w:pPr>
            <w:r w:rsidRPr="00A23B8F">
              <w:t>2</w:t>
            </w:r>
          </w:p>
        </w:tc>
        <w:tc>
          <w:tcPr>
            <w:tcW w:w="556" w:type="pct"/>
            <w:vAlign w:val="center"/>
          </w:tcPr>
          <w:p w:rsidR="00AF5856" w:rsidRPr="00A23B8F" w:rsidRDefault="00AF5856" w:rsidP="002E28E7">
            <w:pPr>
              <w:spacing w:line="276" w:lineRule="auto"/>
              <w:jc w:val="center"/>
            </w:pPr>
            <w:r w:rsidRPr="00A23B8F">
              <w:t>26</w:t>
            </w:r>
          </w:p>
        </w:tc>
        <w:tc>
          <w:tcPr>
            <w:tcW w:w="555" w:type="pct"/>
            <w:vAlign w:val="center"/>
          </w:tcPr>
          <w:p w:rsidR="00AF5856" w:rsidRPr="00DC1017" w:rsidRDefault="00AF5856" w:rsidP="002E28E7">
            <w:pPr>
              <w:spacing w:line="276" w:lineRule="auto"/>
              <w:jc w:val="center"/>
              <w:rPr>
                <w:vertAlign w:val="superscript"/>
              </w:rPr>
            </w:pPr>
            <w:r w:rsidRPr="00A23B8F">
              <w:t>12.0</w:t>
            </w:r>
          </w:p>
        </w:tc>
        <w:tc>
          <w:tcPr>
            <w:tcW w:w="556" w:type="pct"/>
            <w:vAlign w:val="center"/>
          </w:tcPr>
          <w:p w:rsidR="00AF5856" w:rsidRPr="00A23B8F" w:rsidRDefault="00AF5856" w:rsidP="002E28E7">
            <w:pPr>
              <w:spacing w:line="276" w:lineRule="auto"/>
              <w:jc w:val="center"/>
            </w:pPr>
            <w:r w:rsidRPr="00A23B8F">
              <w:t>312</w:t>
            </w:r>
          </w:p>
        </w:tc>
        <w:tc>
          <w:tcPr>
            <w:tcW w:w="555" w:type="pct"/>
            <w:vAlign w:val="center"/>
          </w:tcPr>
          <w:p w:rsidR="00AF5856" w:rsidRPr="00A23B8F" w:rsidRDefault="00AF5856" w:rsidP="002E28E7">
            <w:pPr>
              <w:spacing w:line="276" w:lineRule="auto"/>
              <w:jc w:val="center"/>
            </w:pPr>
            <w:r w:rsidRPr="00A23B8F">
              <w:t>28.00</w:t>
            </w:r>
          </w:p>
        </w:tc>
        <w:tc>
          <w:tcPr>
            <w:tcW w:w="554" w:type="pct"/>
            <w:vAlign w:val="center"/>
          </w:tcPr>
          <w:p w:rsidR="00AF5856" w:rsidRPr="00A23B8F" w:rsidRDefault="00AF5856" w:rsidP="002E28E7">
            <w:pPr>
              <w:spacing w:line="276" w:lineRule="auto"/>
              <w:jc w:val="center"/>
            </w:pPr>
            <w:r w:rsidRPr="00A23B8F">
              <w:t>8,736.00</w:t>
            </w:r>
          </w:p>
        </w:tc>
      </w:tr>
      <w:tr w:rsidR="00AF5856" w:rsidRPr="00A23B8F" w:rsidTr="002E28E7">
        <w:trPr>
          <w:trHeight w:val="632"/>
        </w:trPr>
        <w:tc>
          <w:tcPr>
            <w:tcW w:w="556" w:type="pct"/>
            <w:vAlign w:val="center"/>
          </w:tcPr>
          <w:p w:rsidR="00AF5856" w:rsidRPr="00A23B8F" w:rsidRDefault="00AF5856" w:rsidP="002E28E7">
            <w:pPr>
              <w:spacing w:line="276" w:lineRule="auto"/>
              <w:jc w:val="center"/>
            </w:pPr>
            <w:r w:rsidRPr="00A23B8F">
              <w:t>2</w:t>
            </w:r>
          </w:p>
        </w:tc>
        <w:tc>
          <w:tcPr>
            <w:tcW w:w="556" w:type="pct"/>
            <w:vAlign w:val="center"/>
          </w:tcPr>
          <w:p w:rsidR="00AF5856" w:rsidRPr="00A23B8F" w:rsidRDefault="00C20B1D">
            <w:pPr>
              <w:spacing w:line="276" w:lineRule="auto"/>
              <w:jc w:val="center"/>
            </w:pPr>
            <w:r w:rsidRPr="000A4650">
              <w:rPr>
                <w:vertAlign w:val="superscript"/>
              </w:rPr>
              <w:t>a.</w:t>
            </w:r>
            <w:r w:rsidR="00AF5856" w:rsidRPr="00A23B8F">
              <w:t>Project Director</w:t>
            </w:r>
            <w:r w:rsidR="00FD6FB4">
              <w:t xml:space="preserve"> </w:t>
            </w:r>
          </w:p>
        </w:tc>
        <w:tc>
          <w:tcPr>
            <w:tcW w:w="556" w:type="pct"/>
            <w:vAlign w:val="center"/>
          </w:tcPr>
          <w:p w:rsidR="00AF5856" w:rsidRPr="00A23B8F" w:rsidRDefault="00AF5856" w:rsidP="002E28E7">
            <w:pPr>
              <w:spacing w:line="276" w:lineRule="auto"/>
              <w:jc w:val="center"/>
            </w:pPr>
            <w:r w:rsidRPr="00A23B8F">
              <w:t>10</w:t>
            </w:r>
          </w:p>
        </w:tc>
        <w:tc>
          <w:tcPr>
            <w:tcW w:w="556" w:type="pct"/>
            <w:vAlign w:val="center"/>
          </w:tcPr>
          <w:p w:rsidR="00AF5856" w:rsidRPr="00A23B8F" w:rsidRDefault="00AF5856" w:rsidP="002E28E7">
            <w:pPr>
              <w:spacing w:line="276" w:lineRule="auto"/>
              <w:jc w:val="center"/>
            </w:pPr>
            <w:r w:rsidRPr="00A23B8F">
              <w:t>2</w:t>
            </w:r>
          </w:p>
        </w:tc>
        <w:tc>
          <w:tcPr>
            <w:tcW w:w="556" w:type="pct"/>
            <w:vAlign w:val="center"/>
          </w:tcPr>
          <w:p w:rsidR="00AF5856" w:rsidRPr="00A23B8F" w:rsidRDefault="00AF5856" w:rsidP="002E28E7">
            <w:pPr>
              <w:spacing w:line="276" w:lineRule="auto"/>
              <w:jc w:val="center"/>
            </w:pPr>
            <w:r w:rsidRPr="00A23B8F">
              <w:t>20</w:t>
            </w:r>
          </w:p>
        </w:tc>
        <w:tc>
          <w:tcPr>
            <w:tcW w:w="555" w:type="pct"/>
            <w:vAlign w:val="center"/>
          </w:tcPr>
          <w:p w:rsidR="00AF5856" w:rsidRPr="000A34C7" w:rsidRDefault="00AF5856" w:rsidP="002E28E7">
            <w:pPr>
              <w:spacing w:line="276" w:lineRule="auto"/>
              <w:jc w:val="center"/>
              <w:rPr>
                <w:vertAlign w:val="superscript"/>
              </w:rPr>
            </w:pPr>
            <w:r w:rsidRPr="00A23B8F">
              <w:t>12.0</w:t>
            </w:r>
          </w:p>
        </w:tc>
        <w:tc>
          <w:tcPr>
            <w:tcW w:w="556" w:type="pct"/>
            <w:vAlign w:val="center"/>
          </w:tcPr>
          <w:p w:rsidR="00AF5856" w:rsidRPr="00A23B8F" w:rsidRDefault="00AF5856" w:rsidP="002E28E7">
            <w:pPr>
              <w:spacing w:line="276" w:lineRule="auto"/>
              <w:jc w:val="center"/>
            </w:pPr>
            <w:r w:rsidRPr="00A23B8F">
              <w:t>240</w:t>
            </w:r>
          </w:p>
        </w:tc>
        <w:tc>
          <w:tcPr>
            <w:tcW w:w="555" w:type="pct"/>
            <w:vAlign w:val="center"/>
          </w:tcPr>
          <w:p w:rsidR="00AF5856" w:rsidRPr="00A23B8F" w:rsidRDefault="00AF5856" w:rsidP="002E28E7">
            <w:pPr>
              <w:spacing w:line="276" w:lineRule="auto"/>
              <w:jc w:val="center"/>
            </w:pPr>
            <w:r w:rsidRPr="00A23B8F">
              <w:t>28.00</w:t>
            </w:r>
          </w:p>
        </w:tc>
        <w:tc>
          <w:tcPr>
            <w:tcW w:w="554" w:type="pct"/>
            <w:vAlign w:val="center"/>
          </w:tcPr>
          <w:p w:rsidR="00AF5856" w:rsidRPr="00A23B8F" w:rsidRDefault="00AF5856" w:rsidP="002E28E7">
            <w:pPr>
              <w:spacing w:line="276" w:lineRule="auto"/>
              <w:jc w:val="center"/>
            </w:pPr>
            <w:r w:rsidRPr="00A23B8F">
              <w:t>6,720.00</w:t>
            </w:r>
          </w:p>
        </w:tc>
      </w:tr>
      <w:tr w:rsidR="00AF5856" w:rsidRPr="00A23B8F" w:rsidTr="002E28E7">
        <w:trPr>
          <w:trHeight w:val="647"/>
        </w:trPr>
        <w:tc>
          <w:tcPr>
            <w:tcW w:w="556" w:type="pct"/>
            <w:vAlign w:val="center"/>
          </w:tcPr>
          <w:p w:rsidR="00AF5856" w:rsidRPr="00A23B8F" w:rsidRDefault="00AF5856" w:rsidP="002E28E7">
            <w:pPr>
              <w:spacing w:line="276" w:lineRule="auto"/>
              <w:jc w:val="center"/>
              <w:rPr>
                <w:vertAlign w:val="superscript"/>
              </w:rPr>
            </w:pPr>
            <w:r w:rsidRPr="00A23B8F">
              <w:t>3</w:t>
            </w:r>
          </w:p>
        </w:tc>
        <w:tc>
          <w:tcPr>
            <w:tcW w:w="556" w:type="pct"/>
            <w:vAlign w:val="center"/>
          </w:tcPr>
          <w:p w:rsidR="00AF5856" w:rsidRPr="00A23B8F" w:rsidRDefault="00C20B1D">
            <w:pPr>
              <w:spacing w:line="276" w:lineRule="auto"/>
              <w:jc w:val="center"/>
            </w:pPr>
            <w:r w:rsidRPr="000A4650">
              <w:rPr>
                <w:vertAlign w:val="superscript"/>
              </w:rPr>
              <w:t>a.</w:t>
            </w:r>
            <w:r w:rsidR="00AF5856" w:rsidRPr="00A23B8F">
              <w:t>Project Director</w:t>
            </w:r>
            <w:r w:rsidR="00FD6FB4">
              <w:t xml:space="preserve"> </w:t>
            </w:r>
          </w:p>
        </w:tc>
        <w:tc>
          <w:tcPr>
            <w:tcW w:w="556" w:type="pct"/>
            <w:vAlign w:val="center"/>
          </w:tcPr>
          <w:p w:rsidR="00AF5856" w:rsidRPr="00A23B8F" w:rsidRDefault="00AF5856" w:rsidP="002E28E7">
            <w:pPr>
              <w:spacing w:line="276" w:lineRule="auto"/>
              <w:jc w:val="center"/>
            </w:pPr>
            <w:r w:rsidRPr="00A23B8F">
              <w:t>12</w:t>
            </w:r>
          </w:p>
        </w:tc>
        <w:tc>
          <w:tcPr>
            <w:tcW w:w="556" w:type="pct"/>
            <w:vAlign w:val="center"/>
          </w:tcPr>
          <w:p w:rsidR="00AF5856" w:rsidRPr="00A23B8F" w:rsidRDefault="00AF5856" w:rsidP="002E28E7">
            <w:pPr>
              <w:spacing w:line="276" w:lineRule="auto"/>
              <w:jc w:val="center"/>
            </w:pPr>
            <w:r w:rsidRPr="00A23B8F">
              <w:t>2</w:t>
            </w:r>
          </w:p>
        </w:tc>
        <w:tc>
          <w:tcPr>
            <w:tcW w:w="556" w:type="pct"/>
            <w:vAlign w:val="center"/>
          </w:tcPr>
          <w:p w:rsidR="00AF5856" w:rsidRPr="00A23B8F" w:rsidRDefault="00AF5856" w:rsidP="002E28E7">
            <w:pPr>
              <w:spacing w:line="276" w:lineRule="auto"/>
              <w:jc w:val="center"/>
            </w:pPr>
            <w:r w:rsidRPr="00A23B8F">
              <w:t>24</w:t>
            </w:r>
          </w:p>
        </w:tc>
        <w:tc>
          <w:tcPr>
            <w:tcW w:w="555" w:type="pct"/>
            <w:vAlign w:val="center"/>
          </w:tcPr>
          <w:p w:rsidR="00AF5856" w:rsidRPr="000A34C7" w:rsidRDefault="00AF5856" w:rsidP="002E28E7">
            <w:pPr>
              <w:spacing w:line="276" w:lineRule="auto"/>
              <w:jc w:val="center"/>
              <w:rPr>
                <w:vertAlign w:val="superscript"/>
              </w:rPr>
            </w:pPr>
            <w:r w:rsidRPr="00A23B8F">
              <w:t>12.0</w:t>
            </w:r>
          </w:p>
        </w:tc>
        <w:tc>
          <w:tcPr>
            <w:tcW w:w="556" w:type="pct"/>
            <w:vAlign w:val="center"/>
          </w:tcPr>
          <w:p w:rsidR="00AF5856" w:rsidRPr="00A23B8F" w:rsidRDefault="00AF5856" w:rsidP="002E28E7">
            <w:pPr>
              <w:spacing w:line="276" w:lineRule="auto"/>
              <w:jc w:val="center"/>
            </w:pPr>
            <w:r w:rsidRPr="00A23B8F">
              <w:t>288</w:t>
            </w:r>
          </w:p>
        </w:tc>
        <w:tc>
          <w:tcPr>
            <w:tcW w:w="555" w:type="pct"/>
            <w:vAlign w:val="center"/>
          </w:tcPr>
          <w:p w:rsidR="00AF5856" w:rsidRPr="00A23B8F" w:rsidRDefault="00AF5856" w:rsidP="002E28E7">
            <w:pPr>
              <w:spacing w:line="276" w:lineRule="auto"/>
              <w:jc w:val="center"/>
            </w:pPr>
            <w:r w:rsidRPr="00A23B8F">
              <w:t>28.00</w:t>
            </w:r>
          </w:p>
        </w:tc>
        <w:tc>
          <w:tcPr>
            <w:tcW w:w="554" w:type="pct"/>
            <w:vAlign w:val="center"/>
          </w:tcPr>
          <w:p w:rsidR="00AF5856" w:rsidRPr="00A23B8F" w:rsidRDefault="00AF5856" w:rsidP="002E28E7">
            <w:pPr>
              <w:spacing w:line="276" w:lineRule="auto"/>
              <w:jc w:val="center"/>
            </w:pPr>
            <w:r w:rsidRPr="00A23B8F">
              <w:t>8,064.00</w:t>
            </w:r>
          </w:p>
        </w:tc>
      </w:tr>
      <w:tr w:rsidR="00AF5856" w:rsidRPr="00A23B8F" w:rsidTr="002E28E7">
        <w:trPr>
          <w:trHeight w:val="647"/>
        </w:trPr>
        <w:tc>
          <w:tcPr>
            <w:tcW w:w="556" w:type="pct"/>
            <w:vAlign w:val="center"/>
          </w:tcPr>
          <w:p w:rsidR="00AF5856" w:rsidRPr="00A23B8F" w:rsidRDefault="00AF5856" w:rsidP="00DC1017">
            <w:pPr>
              <w:spacing w:line="276" w:lineRule="auto"/>
              <w:jc w:val="center"/>
            </w:pPr>
            <w:r w:rsidRPr="00A23B8F">
              <w:t>TOTAL</w:t>
            </w:r>
          </w:p>
        </w:tc>
        <w:tc>
          <w:tcPr>
            <w:tcW w:w="556" w:type="pct"/>
            <w:vAlign w:val="center"/>
          </w:tcPr>
          <w:p w:rsidR="00AF5856" w:rsidRPr="00A23B8F" w:rsidRDefault="00AF5856" w:rsidP="002E28E7">
            <w:pPr>
              <w:spacing w:line="276" w:lineRule="auto"/>
              <w:jc w:val="center"/>
            </w:pPr>
            <w:r w:rsidRPr="00A23B8F">
              <w:t>---</w:t>
            </w:r>
          </w:p>
        </w:tc>
        <w:tc>
          <w:tcPr>
            <w:tcW w:w="556" w:type="pct"/>
            <w:vAlign w:val="center"/>
          </w:tcPr>
          <w:p w:rsidR="00AF5856" w:rsidRPr="00A23B8F" w:rsidRDefault="00C20B1D" w:rsidP="002E28E7">
            <w:pPr>
              <w:spacing w:line="276" w:lineRule="auto"/>
              <w:jc w:val="center"/>
            </w:pPr>
            <w:r>
              <w:t>35</w:t>
            </w:r>
          </w:p>
        </w:tc>
        <w:tc>
          <w:tcPr>
            <w:tcW w:w="556" w:type="pct"/>
            <w:vAlign w:val="center"/>
          </w:tcPr>
          <w:p w:rsidR="00AF5856" w:rsidRPr="00A23B8F" w:rsidRDefault="00AF5856" w:rsidP="002E28E7">
            <w:pPr>
              <w:spacing w:line="276" w:lineRule="auto"/>
              <w:jc w:val="center"/>
            </w:pPr>
            <w:r w:rsidRPr="00A23B8F">
              <w:t>---</w:t>
            </w:r>
          </w:p>
        </w:tc>
        <w:tc>
          <w:tcPr>
            <w:tcW w:w="556" w:type="pct"/>
            <w:vAlign w:val="center"/>
          </w:tcPr>
          <w:p w:rsidR="00AF5856" w:rsidRPr="00A23B8F" w:rsidRDefault="00C20B1D" w:rsidP="002E28E7">
            <w:pPr>
              <w:spacing w:line="276" w:lineRule="auto"/>
              <w:jc w:val="center"/>
            </w:pPr>
            <w:r>
              <w:t>70</w:t>
            </w:r>
          </w:p>
        </w:tc>
        <w:tc>
          <w:tcPr>
            <w:tcW w:w="555" w:type="pct"/>
            <w:vAlign w:val="center"/>
          </w:tcPr>
          <w:p w:rsidR="00AF5856" w:rsidRPr="00A23B8F" w:rsidRDefault="00AF5856" w:rsidP="002E28E7">
            <w:pPr>
              <w:spacing w:line="276" w:lineRule="auto"/>
              <w:jc w:val="center"/>
            </w:pPr>
            <w:r w:rsidRPr="00A23B8F">
              <w:t>---</w:t>
            </w:r>
          </w:p>
        </w:tc>
        <w:tc>
          <w:tcPr>
            <w:tcW w:w="556" w:type="pct"/>
            <w:vAlign w:val="center"/>
          </w:tcPr>
          <w:p w:rsidR="00AF5856" w:rsidRPr="00A23B8F" w:rsidRDefault="00C20B1D" w:rsidP="002E28E7">
            <w:pPr>
              <w:spacing w:line="276" w:lineRule="auto"/>
              <w:jc w:val="center"/>
            </w:pPr>
            <w:r>
              <w:t>840</w:t>
            </w:r>
          </w:p>
        </w:tc>
        <w:tc>
          <w:tcPr>
            <w:tcW w:w="555" w:type="pct"/>
            <w:vAlign w:val="center"/>
          </w:tcPr>
          <w:p w:rsidR="00AF5856" w:rsidRPr="00A23B8F" w:rsidRDefault="00AF5856" w:rsidP="002E28E7">
            <w:pPr>
              <w:spacing w:line="276" w:lineRule="auto"/>
              <w:jc w:val="center"/>
            </w:pPr>
            <w:r w:rsidRPr="00A23B8F">
              <w:t>---</w:t>
            </w:r>
          </w:p>
        </w:tc>
        <w:tc>
          <w:tcPr>
            <w:tcW w:w="554" w:type="pct"/>
            <w:vAlign w:val="center"/>
          </w:tcPr>
          <w:p w:rsidR="00AF5856" w:rsidRPr="00A23B8F" w:rsidRDefault="00C20B1D" w:rsidP="002E28E7">
            <w:pPr>
              <w:spacing w:line="276" w:lineRule="auto"/>
              <w:jc w:val="center"/>
            </w:pPr>
            <w:r>
              <w:t>23</w:t>
            </w:r>
            <w:r w:rsidR="004C4496">
              <w:t>,</w:t>
            </w:r>
            <w:r>
              <w:t>520</w:t>
            </w:r>
            <w:r w:rsidR="00AF5856" w:rsidRPr="00A23B8F">
              <w:t>.00</w:t>
            </w:r>
          </w:p>
        </w:tc>
      </w:tr>
    </w:tbl>
    <w:p w:rsidR="000A34C7" w:rsidRPr="000A34C7" w:rsidRDefault="00AF5856" w:rsidP="00AF5856">
      <w:pPr>
        <w:rPr>
          <w:sz w:val="20"/>
          <w:szCs w:val="20"/>
        </w:rPr>
      </w:pPr>
      <w:r w:rsidRPr="00BA44DB">
        <w:rPr>
          <w:sz w:val="20"/>
          <w:szCs w:val="20"/>
          <w:vertAlign w:val="superscript"/>
        </w:rPr>
        <w:t>a</w:t>
      </w:r>
      <w:r w:rsidRPr="00BA44DB">
        <w:rPr>
          <w:sz w:val="20"/>
          <w:szCs w:val="20"/>
        </w:rPr>
        <w:t xml:space="preserve">Total </w:t>
      </w:r>
      <w:r>
        <w:rPr>
          <w:sz w:val="20"/>
          <w:szCs w:val="20"/>
        </w:rPr>
        <w:t>PD/PM and total other staff member cost are</w:t>
      </w:r>
      <w:r w:rsidRPr="00BA44DB">
        <w:rPr>
          <w:sz w:val="20"/>
          <w:szCs w:val="20"/>
        </w:rPr>
        <w:t xml:space="preserve"> calculated as hourly wage × time spent on </w:t>
      </w:r>
      <w:r w:rsidR="000D0A69">
        <w:rPr>
          <w:sz w:val="20"/>
          <w:szCs w:val="20"/>
        </w:rPr>
        <w:t>progress report</w:t>
      </w:r>
      <w:r w:rsidRPr="00BA44DB">
        <w:rPr>
          <w:sz w:val="20"/>
          <w:szCs w:val="20"/>
        </w:rPr>
        <w:t xml:space="preserve"> × number of </w:t>
      </w:r>
      <w:r>
        <w:rPr>
          <w:sz w:val="20"/>
          <w:szCs w:val="20"/>
        </w:rPr>
        <w:t>participants</w:t>
      </w:r>
      <w:r w:rsidRPr="00BA44DB">
        <w:rPr>
          <w:sz w:val="20"/>
          <w:szCs w:val="20"/>
        </w:rPr>
        <w:t xml:space="preserve">. </w:t>
      </w:r>
    </w:p>
    <w:p w:rsidR="00AF5856" w:rsidRPr="00A23B8F" w:rsidRDefault="00AF5856" w:rsidP="00AF5856">
      <w:pPr>
        <w:spacing w:line="276" w:lineRule="auto"/>
        <w:rPr>
          <w:b/>
        </w:rPr>
      </w:pPr>
    </w:p>
    <w:p w:rsidR="00AF5856" w:rsidRPr="00A23B8F" w:rsidRDefault="00AF5856" w:rsidP="00AF5856">
      <w:pPr>
        <w:spacing w:line="276" w:lineRule="auto"/>
        <w:rPr>
          <w:b/>
        </w:rPr>
      </w:pPr>
    </w:p>
    <w:p w:rsidR="00C20B1D" w:rsidRDefault="00C20B1D">
      <w:pPr>
        <w:rPr>
          <w:b/>
        </w:rPr>
      </w:pPr>
      <w:r>
        <w:rPr>
          <w:b/>
        </w:rPr>
        <w:br w:type="page"/>
      </w:r>
    </w:p>
    <w:p w:rsidR="00AF5856" w:rsidRPr="00A23B8F" w:rsidRDefault="00430013" w:rsidP="00AF5856">
      <w:pPr>
        <w:spacing w:line="276" w:lineRule="auto"/>
        <w:rPr>
          <w:b/>
        </w:rPr>
      </w:pPr>
      <w:r>
        <w:rPr>
          <w:b/>
        </w:rPr>
        <w:lastRenderedPageBreak/>
        <w:t xml:space="preserve">Exhibit 2: </w:t>
      </w:r>
      <w:r w:rsidR="00C20B1D">
        <w:rPr>
          <w:b/>
        </w:rPr>
        <w:t xml:space="preserve">Annualized </w:t>
      </w:r>
      <w:r w:rsidR="00AF5856" w:rsidRPr="00C375A7">
        <w:rPr>
          <w:b/>
        </w:rPr>
        <w:t xml:space="preserve">Burden for Biannual </w:t>
      </w:r>
      <w:r w:rsidR="00AF5856">
        <w:rPr>
          <w:b/>
        </w:rPr>
        <w:t xml:space="preserve">Infrastructure Development </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628"/>
        <w:gridCol w:w="1566"/>
        <w:gridCol w:w="1324"/>
        <w:gridCol w:w="1276"/>
        <w:gridCol w:w="1172"/>
        <w:gridCol w:w="850"/>
        <w:gridCol w:w="977"/>
      </w:tblGrid>
      <w:tr w:rsidR="00AF5856" w:rsidRPr="00A23B8F" w:rsidTr="002E28E7">
        <w:trPr>
          <w:trHeight w:val="2250"/>
          <w:jc w:val="center"/>
        </w:trPr>
        <w:tc>
          <w:tcPr>
            <w:tcW w:w="0" w:type="auto"/>
            <w:vAlign w:val="center"/>
          </w:tcPr>
          <w:p w:rsidR="00AF5856" w:rsidRPr="00A23B8F" w:rsidRDefault="00AF5856" w:rsidP="002E28E7">
            <w:pPr>
              <w:spacing w:line="276" w:lineRule="auto"/>
              <w:jc w:val="center"/>
              <w:rPr>
                <w:b/>
              </w:rPr>
            </w:pPr>
            <w:r w:rsidRPr="00A23B8F">
              <w:rPr>
                <w:b/>
              </w:rPr>
              <w:t>Respondent Type</w:t>
            </w:r>
          </w:p>
        </w:tc>
        <w:tc>
          <w:tcPr>
            <w:tcW w:w="0" w:type="auto"/>
            <w:vAlign w:val="center"/>
          </w:tcPr>
          <w:p w:rsidR="00AF5856" w:rsidRPr="00A23B8F" w:rsidRDefault="00AF5856" w:rsidP="002E28E7">
            <w:pPr>
              <w:spacing w:line="276" w:lineRule="auto"/>
              <w:jc w:val="center"/>
              <w:rPr>
                <w:b/>
              </w:rPr>
            </w:pPr>
            <w:r w:rsidRPr="00A23B8F">
              <w:rPr>
                <w:b/>
              </w:rPr>
              <w:t>Number of Respondents</w:t>
            </w:r>
          </w:p>
        </w:tc>
        <w:tc>
          <w:tcPr>
            <w:tcW w:w="0" w:type="auto"/>
            <w:vAlign w:val="center"/>
          </w:tcPr>
          <w:p w:rsidR="00AF5856" w:rsidRPr="00A23B8F" w:rsidRDefault="00AF5856" w:rsidP="002E28E7">
            <w:pPr>
              <w:spacing w:line="276" w:lineRule="auto"/>
              <w:jc w:val="center"/>
              <w:rPr>
                <w:b/>
              </w:rPr>
            </w:pPr>
            <w:r w:rsidRPr="00A23B8F">
              <w:rPr>
                <w:b/>
              </w:rPr>
              <w:t>Responses per Respondent</w:t>
            </w:r>
          </w:p>
        </w:tc>
        <w:tc>
          <w:tcPr>
            <w:tcW w:w="0" w:type="auto"/>
            <w:vAlign w:val="center"/>
          </w:tcPr>
          <w:p w:rsidR="00AF5856" w:rsidRPr="00A23B8F" w:rsidRDefault="00AF5856" w:rsidP="002E28E7">
            <w:pPr>
              <w:spacing w:line="276" w:lineRule="auto"/>
              <w:jc w:val="center"/>
              <w:rPr>
                <w:b/>
              </w:rPr>
            </w:pPr>
            <w:r w:rsidRPr="00A23B8F">
              <w:rPr>
                <w:b/>
              </w:rPr>
              <w:t>Total Responses</w:t>
            </w:r>
          </w:p>
        </w:tc>
        <w:tc>
          <w:tcPr>
            <w:tcW w:w="0" w:type="auto"/>
            <w:vAlign w:val="center"/>
          </w:tcPr>
          <w:p w:rsidR="00AF5856" w:rsidRPr="00A23B8F" w:rsidRDefault="00AF5856" w:rsidP="002E28E7">
            <w:pPr>
              <w:spacing w:line="276" w:lineRule="auto"/>
              <w:jc w:val="center"/>
              <w:rPr>
                <w:b/>
              </w:rPr>
            </w:pPr>
            <w:r w:rsidRPr="00A23B8F">
              <w:rPr>
                <w:b/>
              </w:rPr>
              <w:t>Hours per Response</w:t>
            </w:r>
          </w:p>
        </w:tc>
        <w:tc>
          <w:tcPr>
            <w:tcW w:w="0" w:type="auto"/>
            <w:vAlign w:val="center"/>
          </w:tcPr>
          <w:p w:rsidR="00AF5856" w:rsidRPr="00A23B8F" w:rsidRDefault="00AF5856" w:rsidP="002E28E7">
            <w:pPr>
              <w:spacing w:line="276" w:lineRule="auto"/>
              <w:jc w:val="center"/>
              <w:rPr>
                <w:b/>
              </w:rPr>
            </w:pPr>
            <w:r w:rsidRPr="00A23B8F">
              <w:rPr>
                <w:b/>
              </w:rPr>
              <w:t>Total Annual Hour Burden</w:t>
            </w:r>
          </w:p>
        </w:tc>
        <w:tc>
          <w:tcPr>
            <w:tcW w:w="0" w:type="auto"/>
            <w:vAlign w:val="center"/>
          </w:tcPr>
          <w:p w:rsidR="00AF5856" w:rsidRPr="00A23B8F" w:rsidRDefault="00AF5856" w:rsidP="002E28E7">
            <w:pPr>
              <w:spacing w:line="276" w:lineRule="auto"/>
              <w:jc w:val="center"/>
              <w:rPr>
                <w:b/>
              </w:rPr>
            </w:pPr>
            <w:r w:rsidRPr="00A23B8F">
              <w:rPr>
                <w:b/>
              </w:rPr>
              <w:t>Wage Cost</w:t>
            </w:r>
          </w:p>
          <w:p w:rsidR="00AF5856" w:rsidRPr="00A23B8F" w:rsidRDefault="00AF5856" w:rsidP="002E28E7">
            <w:pPr>
              <w:spacing w:line="276" w:lineRule="auto"/>
              <w:jc w:val="center"/>
              <w:rPr>
                <w:b/>
              </w:rPr>
            </w:pPr>
            <w:r w:rsidRPr="00A23B8F">
              <w:rPr>
                <w:b/>
              </w:rPr>
              <w:t>($)</w:t>
            </w:r>
          </w:p>
        </w:tc>
        <w:tc>
          <w:tcPr>
            <w:tcW w:w="977" w:type="dxa"/>
            <w:vAlign w:val="center"/>
          </w:tcPr>
          <w:p w:rsidR="00AF5856" w:rsidRPr="00A23B8F" w:rsidRDefault="00AF5856" w:rsidP="002E28E7">
            <w:pPr>
              <w:spacing w:line="276" w:lineRule="auto"/>
              <w:jc w:val="center"/>
              <w:rPr>
                <w:b/>
              </w:rPr>
            </w:pPr>
            <w:r w:rsidRPr="00A23B8F">
              <w:rPr>
                <w:b/>
              </w:rPr>
              <w:t>Total Annual Wage Cost</w:t>
            </w:r>
          </w:p>
          <w:p w:rsidR="00AF5856" w:rsidRPr="00A23B8F" w:rsidRDefault="00AF5856" w:rsidP="002E28E7">
            <w:pPr>
              <w:spacing w:line="276" w:lineRule="auto"/>
              <w:jc w:val="center"/>
              <w:rPr>
                <w:b/>
              </w:rPr>
            </w:pPr>
            <w:r w:rsidRPr="00A23B8F">
              <w:rPr>
                <w:b/>
              </w:rPr>
              <w:t>($)</w:t>
            </w:r>
          </w:p>
        </w:tc>
      </w:tr>
      <w:tr w:rsidR="00AF5856" w:rsidRPr="00A23B8F" w:rsidTr="002E28E7">
        <w:trPr>
          <w:trHeight w:val="891"/>
          <w:jc w:val="center"/>
        </w:trPr>
        <w:tc>
          <w:tcPr>
            <w:tcW w:w="0" w:type="auto"/>
            <w:vAlign w:val="center"/>
          </w:tcPr>
          <w:p w:rsidR="00AF5856" w:rsidRPr="00A23B8F" w:rsidRDefault="00AF5856" w:rsidP="00DC1017">
            <w:pPr>
              <w:spacing w:line="276" w:lineRule="auto"/>
              <w:jc w:val="center"/>
            </w:pPr>
            <w:r w:rsidRPr="00A23B8F">
              <w:t>Project Director</w:t>
            </w:r>
          </w:p>
        </w:tc>
        <w:tc>
          <w:tcPr>
            <w:tcW w:w="0" w:type="auto"/>
            <w:vAlign w:val="center"/>
          </w:tcPr>
          <w:p w:rsidR="00AF5856" w:rsidRPr="00A23B8F" w:rsidRDefault="00DC1017" w:rsidP="002E28E7">
            <w:pPr>
              <w:spacing w:line="276" w:lineRule="auto"/>
              <w:jc w:val="center"/>
            </w:pPr>
            <w:r>
              <w:t>12</w:t>
            </w:r>
          </w:p>
        </w:tc>
        <w:tc>
          <w:tcPr>
            <w:tcW w:w="0" w:type="auto"/>
            <w:vAlign w:val="center"/>
          </w:tcPr>
          <w:p w:rsidR="00AF5856" w:rsidRPr="00A23B8F" w:rsidRDefault="00AF5856" w:rsidP="002E28E7">
            <w:pPr>
              <w:spacing w:line="276" w:lineRule="auto"/>
              <w:jc w:val="center"/>
            </w:pPr>
            <w:r w:rsidRPr="00A23B8F">
              <w:t>2</w:t>
            </w:r>
          </w:p>
        </w:tc>
        <w:tc>
          <w:tcPr>
            <w:tcW w:w="0" w:type="auto"/>
            <w:vAlign w:val="center"/>
          </w:tcPr>
          <w:p w:rsidR="00AF5856" w:rsidRPr="00A23B8F" w:rsidRDefault="00DC1017" w:rsidP="002E28E7">
            <w:pPr>
              <w:spacing w:line="276" w:lineRule="auto"/>
              <w:jc w:val="center"/>
            </w:pPr>
            <w:r>
              <w:t>24</w:t>
            </w:r>
          </w:p>
        </w:tc>
        <w:tc>
          <w:tcPr>
            <w:tcW w:w="0" w:type="auto"/>
            <w:vAlign w:val="center"/>
          </w:tcPr>
          <w:p w:rsidR="00AF5856" w:rsidRPr="00A23B8F" w:rsidRDefault="00AF5856" w:rsidP="002E28E7">
            <w:pPr>
              <w:spacing w:line="276" w:lineRule="auto"/>
              <w:jc w:val="center"/>
            </w:pPr>
            <w:r w:rsidRPr="00A23B8F">
              <w:t>12.0</w:t>
            </w:r>
          </w:p>
        </w:tc>
        <w:tc>
          <w:tcPr>
            <w:tcW w:w="0" w:type="auto"/>
            <w:vAlign w:val="center"/>
          </w:tcPr>
          <w:p w:rsidR="00AF5856" w:rsidRPr="00A23B8F" w:rsidRDefault="00DC1017" w:rsidP="002E28E7">
            <w:pPr>
              <w:spacing w:line="276" w:lineRule="auto"/>
              <w:jc w:val="center"/>
            </w:pPr>
            <w:r>
              <w:t>288</w:t>
            </w:r>
          </w:p>
        </w:tc>
        <w:tc>
          <w:tcPr>
            <w:tcW w:w="0" w:type="auto"/>
            <w:vAlign w:val="center"/>
          </w:tcPr>
          <w:p w:rsidR="00AF5856" w:rsidRPr="00A23B8F" w:rsidRDefault="00AF5856" w:rsidP="002E28E7">
            <w:pPr>
              <w:spacing w:line="276" w:lineRule="auto"/>
              <w:jc w:val="center"/>
            </w:pPr>
            <w:r w:rsidRPr="00A23B8F">
              <w:t>28.00</w:t>
            </w:r>
          </w:p>
        </w:tc>
        <w:tc>
          <w:tcPr>
            <w:tcW w:w="977" w:type="dxa"/>
            <w:vAlign w:val="center"/>
          </w:tcPr>
          <w:p w:rsidR="00AF5856" w:rsidRPr="00A23B8F" w:rsidRDefault="00DC1017" w:rsidP="002E28E7">
            <w:pPr>
              <w:spacing w:line="276" w:lineRule="auto"/>
              <w:jc w:val="center"/>
            </w:pPr>
            <w:r>
              <w:t>8,064</w:t>
            </w:r>
          </w:p>
        </w:tc>
      </w:tr>
    </w:tbl>
    <w:p w:rsidR="00E960D3" w:rsidRDefault="00E960D3" w:rsidP="00E960D3">
      <w:pPr>
        <w:pStyle w:val="NormalWeb"/>
        <w:spacing w:before="0" w:beforeAutospacing="0" w:after="0" w:afterAutospacing="0"/>
      </w:pPr>
    </w:p>
    <w:p w:rsidR="00586260" w:rsidRDefault="00FD47EC" w:rsidP="00E960D3">
      <w:pPr>
        <w:pStyle w:val="NormalWeb"/>
        <w:spacing w:before="0" w:beforeAutospacing="0" w:after="0" w:afterAutospacing="0"/>
      </w:pPr>
      <w:r w:rsidRPr="00F024B6">
        <w:t>Estimates for response burden were calculated based on the methodology (</w:t>
      </w:r>
      <w:r w:rsidR="000D0A69">
        <w:t>progress report</w:t>
      </w:r>
      <w:r w:rsidRPr="00F024B6">
        <w:t xml:space="preserve"> data collection) being used and are based on previous experience collectin</w:t>
      </w:r>
      <w:r w:rsidR="00F024B6" w:rsidRPr="00F024B6">
        <w:t xml:space="preserve">g similar data and results of the pilot </w:t>
      </w:r>
      <w:r w:rsidR="000D0A69">
        <w:t>progress report</w:t>
      </w:r>
      <w:r w:rsidR="00F024B6" w:rsidRPr="00F024B6">
        <w:t>. For</w:t>
      </w:r>
      <w:r w:rsidRPr="00F024B6">
        <w:t xml:space="preserve"> emailed</w:t>
      </w:r>
      <w:r w:rsidR="00AB2864">
        <w:t xml:space="preserve"> </w:t>
      </w:r>
      <w:r w:rsidR="001064E5">
        <w:t>biannual infrastructure development measure</w:t>
      </w:r>
      <w:r w:rsidR="00F024B6" w:rsidRPr="00F024B6">
        <w:t xml:space="preserve">s, burden estimates </w:t>
      </w:r>
      <w:r w:rsidR="00F024B6" w:rsidRPr="00223C49">
        <w:t xml:space="preserve">of </w:t>
      </w:r>
      <w:r w:rsidR="00576DE1" w:rsidRPr="00223C49">
        <w:t>12.</w:t>
      </w:r>
      <w:r w:rsidR="0076050E" w:rsidRPr="00223C49">
        <w:t>0</w:t>
      </w:r>
      <w:r w:rsidRPr="00223C49">
        <w:t xml:space="preserve"> hours were used</w:t>
      </w:r>
      <w:r w:rsidR="00F06D11" w:rsidRPr="00223C49">
        <w:t xml:space="preserve"> for </w:t>
      </w:r>
      <w:r w:rsidR="00F62E32" w:rsidRPr="00223C49">
        <w:t>P</w:t>
      </w:r>
      <w:r w:rsidR="00F06D11" w:rsidRPr="00223C49">
        <w:t xml:space="preserve">roject </w:t>
      </w:r>
      <w:r w:rsidR="00F62E32" w:rsidRPr="00223C49">
        <w:t>D</w:t>
      </w:r>
      <w:r w:rsidR="00F06D11" w:rsidRPr="00223C49">
        <w:t xml:space="preserve">irectors </w:t>
      </w:r>
      <w:bookmarkStart w:id="7" w:name="_GoBack"/>
      <w:bookmarkEnd w:id="7"/>
      <w:r w:rsidR="00F06D11" w:rsidRPr="00223C49">
        <w:t>and</w:t>
      </w:r>
      <w:r w:rsidR="00D31D12" w:rsidRPr="00223C49">
        <w:t>/or</w:t>
      </w:r>
      <w:r w:rsidR="00F06D11" w:rsidRPr="00223C49">
        <w:t xml:space="preserve"> </w:t>
      </w:r>
      <w:r w:rsidR="00F62E32" w:rsidRPr="00223C49">
        <w:t>P</w:t>
      </w:r>
      <w:r w:rsidR="00F06D11" w:rsidRPr="00223C49">
        <w:t xml:space="preserve">rogram </w:t>
      </w:r>
      <w:r w:rsidR="00F62E32" w:rsidRPr="00223C49">
        <w:t>M</w:t>
      </w:r>
      <w:r w:rsidR="00F06D11" w:rsidRPr="00223C49">
        <w:t>anagers</w:t>
      </w:r>
      <w:r w:rsidRPr="006D3EC3">
        <w:t>.</w:t>
      </w:r>
      <w:r w:rsidR="00E74BB5" w:rsidRPr="006D3EC3">
        <w:rPr>
          <w:color w:val="4F6228"/>
        </w:rPr>
        <w:t xml:space="preserve"> </w:t>
      </w:r>
      <w:r w:rsidR="00F024B6" w:rsidRPr="006D3EC3">
        <w:t>It is</w:t>
      </w:r>
      <w:r w:rsidR="00F024B6" w:rsidRPr="00F603A7">
        <w:t xml:space="preserve"> estimated that </w:t>
      </w:r>
      <w:r w:rsidR="00AB2864" w:rsidRPr="00F603A7">
        <w:t>1</w:t>
      </w:r>
      <w:r w:rsidR="0021741B">
        <w:t>2</w:t>
      </w:r>
      <w:r w:rsidRPr="00F603A7">
        <w:t xml:space="preserve"> </w:t>
      </w:r>
      <w:r w:rsidR="00F62E32">
        <w:t>P</w:t>
      </w:r>
      <w:r w:rsidR="00F06D11" w:rsidRPr="00F603A7">
        <w:t xml:space="preserve">roject </w:t>
      </w:r>
      <w:r w:rsidR="00F62E32">
        <w:t>D</w:t>
      </w:r>
      <w:r w:rsidR="00F06D11" w:rsidRPr="00F603A7">
        <w:t xml:space="preserve">irectors </w:t>
      </w:r>
      <w:r w:rsidR="00F06D11" w:rsidRPr="006D3EC3">
        <w:t xml:space="preserve">from </w:t>
      </w:r>
      <w:r w:rsidR="0021741B">
        <w:t xml:space="preserve">each </w:t>
      </w:r>
      <w:r w:rsidR="00AB2864" w:rsidRPr="006D3EC3">
        <w:t xml:space="preserve">Cohort </w:t>
      </w:r>
      <w:r w:rsidRPr="006D3EC3">
        <w:t xml:space="preserve">will respond to the </w:t>
      </w:r>
      <w:r w:rsidR="00F024B6" w:rsidRPr="006D3EC3">
        <w:t xml:space="preserve">emailed </w:t>
      </w:r>
      <w:r w:rsidR="000D0A69">
        <w:t>progress report</w:t>
      </w:r>
      <w:r w:rsidR="00F024B6" w:rsidRPr="00F603A7">
        <w:t xml:space="preserve"> biannually (i.e., twice each year)</w:t>
      </w:r>
      <w:r w:rsidRPr="006D3EC3">
        <w:t>.</w:t>
      </w:r>
      <w:r w:rsidR="00AB2864" w:rsidRPr="006D3EC3">
        <w:t xml:space="preserve"> </w:t>
      </w:r>
      <w:r w:rsidR="00BA44DB" w:rsidRPr="00E331A6">
        <w:t xml:space="preserve">The </w:t>
      </w:r>
      <w:r w:rsidR="0021741B">
        <w:t xml:space="preserve">annual </w:t>
      </w:r>
      <w:r w:rsidR="00BA44DB" w:rsidRPr="00E331A6">
        <w:t xml:space="preserve">burden hours of </w:t>
      </w:r>
      <w:r w:rsidR="00AB2864" w:rsidRPr="00E331A6">
        <w:t>Cohort 1 (</w:t>
      </w:r>
      <w:r w:rsidR="0021741B">
        <w:t>312</w:t>
      </w:r>
      <w:r w:rsidR="00AB2864" w:rsidRPr="00E331A6">
        <w:t xml:space="preserve"> hours)</w:t>
      </w:r>
      <w:r w:rsidR="00F62E32" w:rsidRPr="00E331A6">
        <w:t>,</w:t>
      </w:r>
      <w:r w:rsidR="00AB2864" w:rsidRPr="00E331A6">
        <w:t xml:space="preserve"> Cohort 2 (</w:t>
      </w:r>
      <w:r w:rsidR="0021741B">
        <w:t>240</w:t>
      </w:r>
      <w:r w:rsidR="00AB2864" w:rsidRPr="00E331A6">
        <w:t xml:space="preserve"> hours)</w:t>
      </w:r>
      <w:r w:rsidR="00576DE1" w:rsidRPr="00E331A6">
        <w:t xml:space="preserve"> and Cohort 3 (</w:t>
      </w:r>
      <w:r w:rsidR="0021741B">
        <w:t>288</w:t>
      </w:r>
      <w:r w:rsidR="00576DE1" w:rsidRPr="00E331A6">
        <w:t xml:space="preserve"> hours)</w:t>
      </w:r>
      <w:r w:rsidR="00AB2864" w:rsidRPr="00E331A6">
        <w:t xml:space="preserve"> combined </w:t>
      </w:r>
      <w:r w:rsidR="00BA44DB" w:rsidRPr="00E331A6">
        <w:t xml:space="preserve">comes to a total estimated burden for the emailed </w:t>
      </w:r>
      <w:r w:rsidR="001064E5">
        <w:t>biannual infrastructure development measure</w:t>
      </w:r>
      <w:r w:rsidR="00BA44DB" w:rsidRPr="00E331A6">
        <w:t xml:space="preserve"> of </w:t>
      </w:r>
      <w:r w:rsidR="0021741B">
        <w:t>840</w:t>
      </w:r>
      <w:r w:rsidR="00BA44DB" w:rsidRPr="00E331A6">
        <w:t xml:space="preserve"> hours.</w:t>
      </w:r>
    </w:p>
    <w:p w:rsidR="00FD47EC" w:rsidRPr="000400BF" w:rsidRDefault="00FD47EC">
      <w:pPr>
        <w:pStyle w:val="NormalWeb"/>
        <w:rPr>
          <w:rStyle w:val="Strong"/>
        </w:rPr>
      </w:pPr>
      <w:r w:rsidRPr="000400BF">
        <w:rPr>
          <w:rStyle w:val="Strong"/>
        </w:rPr>
        <w:t>A.13. Estimate of Total Capital and Startup Costs/Operation and Maintenance Costs to Respondents or Record Keepers</w:t>
      </w:r>
    </w:p>
    <w:p w:rsidR="00FD47EC" w:rsidRPr="000400BF" w:rsidRDefault="00FD47EC">
      <w:pPr>
        <w:pStyle w:val="NormalWeb"/>
      </w:pPr>
      <w:r w:rsidRPr="000400BF">
        <w:t xml:space="preserve">No capital, start-up, or operational and maintenance costs are incurred by </w:t>
      </w:r>
      <w:r w:rsidR="000D0A69">
        <w:t>progress report</w:t>
      </w:r>
      <w:r w:rsidRPr="000400BF">
        <w:t xml:space="preserve"> participants in this information collection activity.</w:t>
      </w:r>
    </w:p>
    <w:p w:rsidR="00FD47EC" w:rsidRPr="000400BF" w:rsidRDefault="00FD47EC">
      <w:pPr>
        <w:pStyle w:val="NormalWeb"/>
        <w:rPr>
          <w:rStyle w:val="Strong"/>
        </w:rPr>
      </w:pPr>
      <w:r w:rsidRPr="000400BF">
        <w:rPr>
          <w:rStyle w:val="Strong"/>
        </w:rPr>
        <w:t>A.14. Estimates of Costs to the Federal Government</w:t>
      </w:r>
    </w:p>
    <w:p w:rsidR="00FD47EC" w:rsidRPr="000400BF" w:rsidRDefault="00FD47EC">
      <w:pPr>
        <w:pStyle w:val="Heading6"/>
        <w:spacing w:after="120" w:afterAutospacing="0"/>
      </w:pPr>
      <w:r w:rsidRPr="000400BF">
        <w:rPr>
          <w:b w:val="0"/>
          <w:bCs w:val="0"/>
          <w:sz w:val="24"/>
          <w:szCs w:val="24"/>
        </w:rPr>
        <w:t>The tota</w:t>
      </w:r>
      <w:r w:rsidR="00BB66C9" w:rsidRPr="000400BF">
        <w:rPr>
          <w:b w:val="0"/>
          <w:bCs w:val="0"/>
          <w:sz w:val="24"/>
          <w:szCs w:val="24"/>
        </w:rPr>
        <w:t xml:space="preserve">l cost for the project </w:t>
      </w:r>
      <w:r w:rsidR="00AF4627">
        <w:rPr>
          <w:b w:val="0"/>
          <w:bCs w:val="0"/>
          <w:sz w:val="24"/>
          <w:szCs w:val="24"/>
        </w:rPr>
        <w:t xml:space="preserve">per year </w:t>
      </w:r>
      <w:r w:rsidR="00BB66C9" w:rsidRPr="000400BF">
        <w:rPr>
          <w:b w:val="0"/>
          <w:bCs w:val="0"/>
          <w:sz w:val="24"/>
          <w:szCs w:val="24"/>
        </w:rPr>
        <w:t xml:space="preserve">is </w:t>
      </w:r>
      <w:r w:rsidR="000400BF" w:rsidRPr="00EC7100">
        <w:rPr>
          <w:b w:val="0"/>
          <w:bCs w:val="0"/>
          <w:sz w:val="24"/>
          <w:szCs w:val="24"/>
        </w:rPr>
        <w:t>$</w:t>
      </w:r>
      <w:r w:rsidR="00DC72E3" w:rsidRPr="00EC7100">
        <w:rPr>
          <w:b w:val="0"/>
          <w:bCs w:val="0"/>
          <w:sz w:val="24"/>
          <w:szCs w:val="24"/>
        </w:rPr>
        <w:t>18,466</w:t>
      </w:r>
      <w:r w:rsidRPr="005929A9">
        <w:rPr>
          <w:b w:val="0"/>
          <w:bCs w:val="0"/>
          <w:sz w:val="24"/>
          <w:szCs w:val="24"/>
        </w:rPr>
        <w:t>.</w:t>
      </w:r>
      <w:r w:rsidR="00E74BB5">
        <w:rPr>
          <w:b w:val="0"/>
          <w:bCs w:val="0"/>
          <w:sz w:val="24"/>
          <w:szCs w:val="24"/>
        </w:rPr>
        <w:t xml:space="preserve"> </w:t>
      </w:r>
      <w:r w:rsidRPr="000400BF">
        <w:rPr>
          <w:b w:val="0"/>
          <w:bCs w:val="0"/>
          <w:sz w:val="24"/>
          <w:szCs w:val="24"/>
        </w:rPr>
        <w:t>These costs cover all aspects of</w:t>
      </w:r>
      <w:r w:rsidR="00AF4627">
        <w:rPr>
          <w:b w:val="0"/>
          <w:bCs w:val="0"/>
          <w:sz w:val="24"/>
          <w:szCs w:val="24"/>
        </w:rPr>
        <w:t xml:space="preserve"> meetings and logistics,</w:t>
      </w:r>
      <w:r w:rsidRPr="000400BF">
        <w:rPr>
          <w:b w:val="0"/>
          <w:bCs w:val="0"/>
          <w:sz w:val="24"/>
          <w:szCs w:val="24"/>
        </w:rPr>
        <w:t xml:space="preserve"> </w:t>
      </w:r>
      <w:r w:rsidR="000D0A69">
        <w:rPr>
          <w:b w:val="0"/>
          <w:bCs w:val="0"/>
          <w:sz w:val="24"/>
          <w:szCs w:val="24"/>
        </w:rPr>
        <w:t>progress report</w:t>
      </w:r>
      <w:r w:rsidRPr="000400BF">
        <w:rPr>
          <w:b w:val="0"/>
          <w:bCs w:val="0"/>
          <w:sz w:val="24"/>
          <w:szCs w:val="24"/>
        </w:rPr>
        <w:t xml:space="preserve"> design, testing, data collection, analysis</w:t>
      </w:r>
      <w:r w:rsidR="00F62E32">
        <w:rPr>
          <w:b w:val="0"/>
          <w:bCs w:val="0"/>
          <w:sz w:val="24"/>
          <w:szCs w:val="24"/>
        </w:rPr>
        <w:t>,</w:t>
      </w:r>
      <w:r w:rsidR="00AF4627">
        <w:rPr>
          <w:b w:val="0"/>
          <w:bCs w:val="0"/>
          <w:sz w:val="24"/>
          <w:szCs w:val="24"/>
        </w:rPr>
        <w:t xml:space="preserve"> and reporting</w:t>
      </w:r>
      <w:r w:rsidRPr="000400BF">
        <w:rPr>
          <w:b w:val="0"/>
          <w:bCs w:val="0"/>
          <w:sz w:val="24"/>
          <w:szCs w:val="24"/>
        </w:rPr>
        <w:t>.</w:t>
      </w:r>
      <w:r w:rsidR="00DC72E3">
        <w:rPr>
          <w:b w:val="0"/>
          <w:bCs w:val="0"/>
          <w:sz w:val="24"/>
          <w:szCs w:val="24"/>
        </w:rPr>
        <w:t xml:space="preserve"> Project costs will be $92,33</w:t>
      </w:r>
      <w:r w:rsidR="003421CD">
        <w:rPr>
          <w:b w:val="0"/>
          <w:bCs w:val="0"/>
          <w:sz w:val="24"/>
          <w:szCs w:val="24"/>
        </w:rPr>
        <w:t>0</w:t>
      </w:r>
      <w:r w:rsidR="00DC72E3">
        <w:rPr>
          <w:b w:val="0"/>
          <w:bCs w:val="0"/>
          <w:sz w:val="24"/>
          <w:szCs w:val="24"/>
        </w:rPr>
        <w:t xml:space="preserve"> over a 5-year period.</w:t>
      </w:r>
    </w:p>
    <w:p w:rsidR="00FD47EC" w:rsidRPr="000400BF" w:rsidRDefault="00FD47EC">
      <w:pPr>
        <w:pStyle w:val="Heading6"/>
        <w:spacing w:after="120" w:afterAutospacing="0"/>
      </w:pPr>
      <w:r w:rsidRPr="000400BF">
        <w:rPr>
          <w:b w:val="0"/>
          <w:bCs w:val="0"/>
          <w:sz w:val="24"/>
          <w:szCs w:val="24"/>
        </w:rPr>
        <w:t xml:space="preserve">In addition, it is estimated that one full-time equivalent </w:t>
      </w:r>
      <w:r w:rsidR="000400BF">
        <w:rPr>
          <w:b w:val="0"/>
          <w:bCs w:val="0"/>
          <w:sz w:val="24"/>
          <w:szCs w:val="24"/>
        </w:rPr>
        <w:t>SAMHSA</w:t>
      </w:r>
      <w:r w:rsidRPr="000400BF">
        <w:rPr>
          <w:b w:val="0"/>
          <w:bCs w:val="0"/>
          <w:sz w:val="24"/>
          <w:szCs w:val="24"/>
        </w:rPr>
        <w:t xml:space="preserve"> staff member will spend 25</w:t>
      </w:r>
      <w:r w:rsidR="00F62E32">
        <w:rPr>
          <w:b w:val="0"/>
          <w:bCs w:val="0"/>
          <w:sz w:val="24"/>
          <w:szCs w:val="24"/>
        </w:rPr>
        <w:t xml:space="preserve"> percent</w:t>
      </w:r>
      <w:r w:rsidRPr="000400BF">
        <w:rPr>
          <w:b w:val="0"/>
          <w:bCs w:val="0"/>
          <w:sz w:val="24"/>
          <w:szCs w:val="24"/>
        </w:rPr>
        <w:t xml:space="preserve"> of his or her time (520 hours) to manage and administer the project.</w:t>
      </w:r>
      <w:r w:rsidR="00E74BB5">
        <w:rPr>
          <w:b w:val="0"/>
          <w:bCs w:val="0"/>
          <w:sz w:val="24"/>
          <w:szCs w:val="24"/>
        </w:rPr>
        <w:t xml:space="preserve"> </w:t>
      </w:r>
      <w:r w:rsidR="000400BF" w:rsidRPr="000400BF">
        <w:rPr>
          <w:b w:val="0"/>
          <w:bCs w:val="0"/>
          <w:sz w:val="24"/>
          <w:szCs w:val="24"/>
        </w:rPr>
        <w:t xml:space="preserve">Assuming an </w:t>
      </w:r>
      <w:r w:rsidR="005929A9" w:rsidRPr="005929A9">
        <w:rPr>
          <w:b w:val="0"/>
          <w:bCs w:val="0"/>
          <w:sz w:val="24"/>
          <w:szCs w:val="24"/>
        </w:rPr>
        <w:t>annual salary of $89</w:t>
      </w:r>
      <w:r w:rsidRPr="005929A9">
        <w:rPr>
          <w:b w:val="0"/>
          <w:bCs w:val="0"/>
          <w:sz w:val="24"/>
          <w:szCs w:val="24"/>
        </w:rPr>
        <w:t>,000, government personnel costs will be $</w:t>
      </w:r>
      <w:r w:rsidR="005929A9" w:rsidRPr="005929A9">
        <w:rPr>
          <w:b w:val="0"/>
          <w:bCs w:val="0"/>
          <w:sz w:val="24"/>
          <w:szCs w:val="24"/>
        </w:rPr>
        <w:t>111,250</w:t>
      </w:r>
      <w:r w:rsidR="000400BF" w:rsidRPr="005929A9">
        <w:rPr>
          <w:b w:val="0"/>
          <w:bCs w:val="0"/>
          <w:sz w:val="24"/>
          <w:szCs w:val="24"/>
        </w:rPr>
        <w:t xml:space="preserve"> over a </w:t>
      </w:r>
      <w:r w:rsidR="00F62E32">
        <w:rPr>
          <w:b w:val="0"/>
          <w:bCs w:val="0"/>
          <w:sz w:val="24"/>
          <w:szCs w:val="24"/>
        </w:rPr>
        <w:t>5</w:t>
      </w:r>
      <w:r w:rsidR="0006127C" w:rsidRPr="005929A9">
        <w:rPr>
          <w:b w:val="0"/>
          <w:bCs w:val="0"/>
          <w:sz w:val="24"/>
          <w:szCs w:val="24"/>
        </w:rPr>
        <w:t>-year</w:t>
      </w:r>
      <w:r w:rsidRPr="005929A9">
        <w:rPr>
          <w:b w:val="0"/>
          <w:bCs w:val="0"/>
          <w:sz w:val="24"/>
          <w:szCs w:val="24"/>
        </w:rPr>
        <w:t xml:space="preserve"> period.</w:t>
      </w:r>
    </w:p>
    <w:p w:rsidR="00FD47EC" w:rsidRPr="000400BF" w:rsidRDefault="00AF5856">
      <w:pPr>
        <w:pStyle w:val="NormalWeb"/>
        <w:spacing w:line="360" w:lineRule="auto"/>
      </w:pPr>
      <w:r>
        <w:t>The annualized cost is</w:t>
      </w:r>
      <w:r w:rsidR="00FD47EC" w:rsidRPr="005F091A">
        <w:t xml:space="preserve"> $</w:t>
      </w:r>
      <w:r w:rsidR="001629D1">
        <w:t>40,</w:t>
      </w:r>
      <w:r w:rsidR="00156FE4">
        <w:t>71</w:t>
      </w:r>
      <w:r w:rsidR="001629D1">
        <w:t>6</w:t>
      </w:r>
      <w:r w:rsidR="00FD47EC" w:rsidRPr="000400BF">
        <w:t>.</w:t>
      </w:r>
    </w:p>
    <w:p w:rsidR="00FD47EC" w:rsidRPr="000400BF" w:rsidRDefault="00FD47EC">
      <w:pPr>
        <w:pStyle w:val="NormalWeb"/>
        <w:rPr>
          <w:rStyle w:val="Strong"/>
        </w:rPr>
      </w:pPr>
      <w:r w:rsidRPr="000400BF">
        <w:rPr>
          <w:rStyle w:val="Strong"/>
        </w:rPr>
        <w:t>A.15. Changes in Burden</w:t>
      </w:r>
    </w:p>
    <w:p w:rsidR="00FD47EC" w:rsidRDefault="00FD47EC">
      <w:pPr>
        <w:pStyle w:val="NormalWeb"/>
      </w:pPr>
      <w:r w:rsidRPr="000400BF">
        <w:t>This is a new project.</w:t>
      </w:r>
    </w:p>
    <w:p w:rsidR="00FD47EC" w:rsidRPr="000400BF" w:rsidRDefault="00FD47EC">
      <w:pPr>
        <w:pStyle w:val="NormalWeb"/>
        <w:rPr>
          <w:rStyle w:val="Strong"/>
        </w:rPr>
      </w:pPr>
      <w:r w:rsidRPr="000400BF">
        <w:rPr>
          <w:rStyle w:val="Strong"/>
        </w:rPr>
        <w:t>A.16. Plans for Publication, Analysis, and Schedule</w:t>
      </w:r>
    </w:p>
    <w:p w:rsidR="00FD47EC" w:rsidRDefault="008D2346" w:rsidP="00C375A7">
      <w:pPr>
        <w:pStyle w:val="NormalWeb"/>
        <w:spacing w:before="0" w:beforeAutospacing="0" w:after="0" w:afterAutospacing="0"/>
        <w:rPr>
          <w:b/>
          <w:bCs/>
        </w:rPr>
      </w:pPr>
      <w:r>
        <w:rPr>
          <w:b/>
          <w:bCs/>
        </w:rPr>
        <w:lastRenderedPageBreak/>
        <w:t xml:space="preserve">A.16.1. </w:t>
      </w:r>
      <w:r w:rsidR="00FD47EC" w:rsidRPr="000400BF">
        <w:rPr>
          <w:b/>
          <w:bCs/>
        </w:rPr>
        <w:t xml:space="preserve">Time </w:t>
      </w:r>
      <w:r w:rsidR="0078182C">
        <w:rPr>
          <w:b/>
          <w:bCs/>
        </w:rPr>
        <w:t>s</w:t>
      </w:r>
      <w:r w:rsidR="00FD47EC" w:rsidRPr="000400BF">
        <w:rPr>
          <w:b/>
          <w:bCs/>
        </w:rPr>
        <w:t>chedule</w:t>
      </w:r>
    </w:p>
    <w:p w:rsidR="00497DEB" w:rsidRPr="000400BF" w:rsidRDefault="00497DEB" w:rsidP="00C375A7">
      <w:pPr>
        <w:pStyle w:val="NormalWeb"/>
        <w:spacing w:before="0" w:beforeAutospacing="0" w:after="0" w:afterAutospacing="0"/>
      </w:pPr>
    </w:p>
    <w:p w:rsidR="00335221" w:rsidRDefault="00FD47EC" w:rsidP="00C375A7">
      <w:pPr>
        <w:pStyle w:val="NormalWeb"/>
        <w:spacing w:before="0" w:beforeAutospacing="0" w:after="0" w:afterAutospacing="0"/>
      </w:pPr>
      <w:r w:rsidRPr="000400BF">
        <w:t xml:space="preserve">The </w:t>
      </w:r>
      <w:r w:rsidRPr="0006127C">
        <w:t xml:space="preserve">project covers a </w:t>
      </w:r>
      <w:r w:rsidR="00CE16AA">
        <w:t>5</w:t>
      </w:r>
      <w:r w:rsidRPr="0006127C">
        <w:t xml:space="preserve">-year </w:t>
      </w:r>
      <w:r w:rsidRPr="00794324">
        <w:t xml:space="preserve">period from the beginning of </w:t>
      </w:r>
      <w:r w:rsidR="000400BF" w:rsidRPr="00794324">
        <w:t>May 2014</w:t>
      </w:r>
      <w:r w:rsidRPr="00794324">
        <w:t xml:space="preserve"> through the en</w:t>
      </w:r>
      <w:r w:rsidR="000400BF" w:rsidRPr="00794324">
        <w:t xml:space="preserve">d of </w:t>
      </w:r>
      <w:r w:rsidR="0006127C" w:rsidRPr="00794324">
        <w:t>April 2019</w:t>
      </w:r>
      <w:r w:rsidRPr="00794324">
        <w:t>.</w:t>
      </w:r>
      <w:r w:rsidR="00E74BB5">
        <w:t xml:space="preserve"> </w:t>
      </w:r>
      <w:r w:rsidR="000400BF" w:rsidRPr="00794324">
        <w:t xml:space="preserve">Clearance is requested for a </w:t>
      </w:r>
      <w:r w:rsidR="00CE16AA">
        <w:t>5</w:t>
      </w:r>
      <w:r w:rsidR="0006127C" w:rsidRPr="00794324">
        <w:t>-year</w:t>
      </w:r>
      <w:r w:rsidRPr="00794324">
        <w:t xml:space="preserve"> time period.</w:t>
      </w:r>
      <w:r w:rsidR="00E74BB5">
        <w:t xml:space="preserve"> </w:t>
      </w:r>
      <w:r w:rsidRPr="000400BF">
        <w:t>Data collection activities and data analysis will be conducted over this time period.</w:t>
      </w:r>
      <w:r w:rsidR="00E74BB5">
        <w:t xml:space="preserve"> </w:t>
      </w:r>
      <w:r w:rsidRPr="00F024B6">
        <w:t xml:space="preserve">Attachment </w:t>
      </w:r>
      <w:r w:rsidR="00BB66C9" w:rsidRPr="00F024B6">
        <w:t>A-</w:t>
      </w:r>
      <w:r w:rsidR="00221EA2">
        <w:t>4</w:t>
      </w:r>
      <w:r w:rsidRPr="00F024B6">
        <w:t xml:space="preserve"> indicates when each of the activities associated with the project will occur.</w:t>
      </w:r>
    </w:p>
    <w:p w:rsidR="00FD47EC" w:rsidRPr="00C369D8" w:rsidRDefault="00E74BB5" w:rsidP="00C375A7">
      <w:pPr>
        <w:pStyle w:val="NormalWeb"/>
        <w:spacing w:before="0" w:beforeAutospacing="0" w:after="0" w:afterAutospacing="0"/>
        <w:rPr>
          <w:color w:val="4F6228"/>
        </w:rPr>
      </w:pPr>
      <w:r>
        <w:rPr>
          <w:color w:val="4F6228"/>
        </w:rPr>
        <w:t xml:space="preserve"> </w:t>
      </w:r>
    </w:p>
    <w:p w:rsidR="00FD47EC" w:rsidRDefault="008D2346" w:rsidP="00C375A7">
      <w:pPr>
        <w:pStyle w:val="NormalWeb"/>
        <w:spacing w:before="0" w:beforeAutospacing="0" w:after="0" w:afterAutospacing="0"/>
        <w:rPr>
          <w:b/>
          <w:bCs/>
        </w:rPr>
      </w:pPr>
      <w:r>
        <w:rPr>
          <w:b/>
          <w:bCs/>
        </w:rPr>
        <w:t xml:space="preserve">A.16.2. </w:t>
      </w:r>
      <w:r w:rsidR="00FD47EC" w:rsidRPr="00F024B6">
        <w:rPr>
          <w:b/>
          <w:bCs/>
        </w:rPr>
        <w:t xml:space="preserve">Publication </w:t>
      </w:r>
      <w:r w:rsidR="0078182C">
        <w:rPr>
          <w:b/>
          <w:bCs/>
        </w:rPr>
        <w:t>p</w:t>
      </w:r>
      <w:r w:rsidR="00FD47EC" w:rsidRPr="00F024B6">
        <w:rPr>
          <w:b/>
          <w:bCs/>
        </w:rPr>
        <w:t>lans</w:t>
      </w:r>
    </w:p>
    <w:p w:rsidR="00497DEB" w:rsidRPr="00F024B6" w:rsidRDefault="00497DEB" w:rsidP="00C375A7">
      <w:pPr>
        <w:pStyle w:val="NormalWeb"/>
        <w:spacing w:before="0" w:beforeAutospacing="0" w:after="0" w:afterAutospacing="0"/>
      </w:pPr>
    </w:p>
    <w:p w:rsidR="00AF5856" w:rsidRDefault="00FD47EC" w:rsidP="00C375A7">
      <w:pPr>
        <w:pStyle w:val="NormalWeb"/>
        <w:spacing w:before="0" w:beforeAutospacing="0" w:after="0" w:afterAutospacing="0"/>
      </w:pPr>
      <w:r w:rsidRPr="00BA29FD">
        <w:t xml:space="preserve">Results of all studies completed under the project will be presented to </w:t>
      </w:r>
      <w:r w:rsidR="00BA29FD" w:rsidRPr="00BA29FD">
        <w:t>SAMHSA</w:t>
      </w:r>
      <w:r w:rsidRPr="00BA29FD">
        <w:t xml:space="preserve"> in a </w:t>
      </w:r>
      <w:r w:rsidRPr="0006127C">
        <w:t>briefing to th</w:t>
      </w:r>
      <w:r w:rsidR="00BA29FD" w:rsidRPr="0006127C">
        <w:t>e agency, accompanied by a</w:t>
      </w:r>
      <w:r w:rsidRPr="0006127C">
        <w:t xml:space="preserve"> written report and executive summary</w:t>
      </w:r>
      <w:r w:rsidR="00BA29FD" w:rsidRPr="0006127C">
        <w:t>.</w:t>
      </w:r>
      <w:r w:rsidR="00E74BB5">
        <w:t xml:space="preserve"> </w:t>
      </w:r>
      <w:r w:rsidR="00BA29FD" w:rsidRPr="00BA29FD">
        <w:t>Upon SAMHSA</w:t>
      </w:r>
      <w:r w:rsidRPr="00BA29FD">
        <w:t xml:space="preserve"> approval, these documents will be made available for disseminati</w:t>
      </w:r>
      <w:r w:rsidR="00BA29FD" w:rsidRPr="00BA29FD">
        <w:t>on to the grantees</w:t>
      </w:r>
      <w:r w:rsidRPr="00BA29FD">
        <w:t xml:space="preserve"> in hard copy; they w</w:t>
      </w:r>
      <w:r w:rsidR="00BA29FD" w:rsidRPr="00BA29FD">
        <w:t>ill also be uploaded to the SAMHSA</w:t>
      </w:r>
      <w:r w:rsidRPr="00BA29FD">
        <w:t xml:space="preserve"> </w:t>
      </w:r>
      <w:r w:rsidR="00CE16AA">
        <w:t>W</w:t>
      </w:r>
      <w:r w:rsidRPr="00BA29FD">
        <w:t xml:space="preserve">eb </w:t>
      </w:r>
      <w:r w:rsidR="00CE16AA">
        <w:t>site</w:t>
      </w:r>
      <w:r w:rsidR="00CE16AA" w:rsidRPr="00BA29FD">
        <w:t xml:space="preserve"> </w:t>
      </w:r>
      <w:r w:rsidRPr="00BA29FD">
        <w:t>where they can be viewed directly or downloaded</w:t>
      </w:r>
      <w:r w:rsidR="00BA29FD" w:rsidRPr="00BA29FD">
        <w:t xml:space="preserve"> by current and future grantees</w:t>
      </w:r>
      <w:r w:rsidRPr="00BA29FD">
        <w:t>.</w:t>
      </w:r>
      <w:r w:rsidR="00E74BB5">
        <w:t xml:space="preserve"> </w:t>
      </w:r>
      <w:r w:rsidRPr="00BA29FD">
        <w:t>A copy of the executive summary will be sent to individual participants who expressed an interest in receiving it.</w:t>
      </w:r>
    </w:p>
    <w:p w:rsidR="00AF5856" w:rsidRDefault="00AF5856" w:rsidP="00C375A7">
      <w:pPr>
        <w:pStyle w:val="NormalWeb"/>
        <w:spacing w:before="0" w:beforeAutospacing="0" w:after="0" w:afterAutospacing="0"/>
      </w:pPr>
    </w:p>
    <w:p w:rsidR="00AF5856" w:rsidRDefault="00FD47EC" w:rsidP="00AF5856">
      <w:pPr>
        <w:jc w:val="center"/>
        <w:rPr>
          <w:b/>
          <w:sz w:val="28"/>
          <w:szCs w:val="28"/>
        </w:rPr>
      </w:pPr>
      <w:r w:rsidRPr="00C369D8">
        <w:rPr>
          <w:color w:val="4F6228"/>
        </w:rPr>
        <w:t xml:space="preserve"> </w:t>
      </w:r>
      <w:r w:rsidR="00AF5856">
        <w:rPr>
          <w:b/>
          <w:sz w:val="28"/>
          <w:szCs w:val="28"/>
        </w:rPr>
        <w:t>Proposed Time Schedule</w:t>
      </w:r>
    </w:p>
    <w:p w:rsidR="00AF5856" w:rsidRDefault="00AF5856" w:rsidP="00AF5856">
      <w:pPr>
        <w:rPr>
          <w:sz w:val="18"/>
          <w:szCs w:val="18"/>
        </w:rPr>
      </w:pPr>
    </w:p>
    <w:p w:rsidR="00AF5856" w:rsidRDefault="00AF5856" w:rsidP="00AF5856">
      <w:pPr>
        <w:rPr>
          <w:bCs/>
          <w:sz w:val="22"/>
          <w:szCs w:val="22"/>
        </w:rPr>
      </w:pP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8"/>
        <w:gridCol w:w="3960"/>
      </w:tblGrid>
      <w:tr w:rsidR="00AF5856" w:rsidTr="002E28E7">
        <w:trPr>
          <w:trHeight w:val="315"/>
          <w:jc w:val="center"/>
        </w:trPr>
        <w:tc>
          <w:tcPr>
            <w:tcW w:w="6898" w:type="dxa"/>
            <w:shd w:val="clear" w:color="auto" w:fill="C0C0C0"/>
            <w:vAlign w:val="center"/>
          </w:tcPr>
          <w:p w:rsidR="00AF5856" w:rsidRDefault="00AF5856" w:rsidP="002E28E7">
            <w:pPr>
              <w:jc w:val="center"/>
              <w:rPr>
                <w:b/>
                <w:bCs/>
                <w:sz w:val="22"/>
                <w:szCs w:val="22"/>
              </w:rPr>
            </w:pPr>
            <w:r>
              <w:rPr>
                <w:b/>
                <w:bCs/>
                <w:sz w:val="22"/>
                <w:szCs w:val="22"/>
              </w:rPr>
              <w:t>Task</w:t>
            </w:r>
          </w:p>
        </w:tc>
        <w:tc>
          <w:tcPr>
            <w:tcW w:w="3960" w:type="dxa"/>
            <w:shd w:val="clear" w:color="auto" w:fill="C0C0C0"/>
            <w:vAlign w:val="center"/>
          </w:tcPr>
          <w:p w:rsidR="00AF5856" w:rsidRDefault="00AF5856" w:rsidP="002E28E7">
            <w:pPr>
              <w:jc w:val="center"/>
              <w:rPr>
                <w:b/>
                <w:bCs/>
                <w:sz w:val="22"/>
                <w:szCs w:val="22"/>
              </w:rPr>
            </w:pPr>
            <w:r>
              <w:rPr>
                <w:b/>
                <w:bCs/>
                <w:sz w:val="22"/>
                <w:szCs w:val="22"/>
              </w:rPr>
              <w:t>Timeframe</w:t>
            </w:r>
          </w:p>
        </w:tc>
      </w:tr>
      <w:tr w:rsidR="00AF5856" w:rsidTr="002E28E7">
        <w:trPr>
          <w:trHeight w:val="735"/>
          <w:jc w:val="center"/>
        </w:trPr>
        <w:tc>
          <w:tcPr>
            <w:tcW w:w="6898" w:type="dxa"/>
          </w:tcPr>
          <w:p w:rsidR="00AF5856" w:rsidRDefault="000D0A69" w:rsidP="002E28E7">
            <w:pPr>
              <w:jc w:val="center"/>
              <w:rPr>
                <w:sz w:val="22"/>
                <w:szCs w:val="22"/>
              </w:rPr>
            </w:pPr>
            <w:r>
              <w:rPr>
                <w:sz w:val="22"/>
                <w:szCs w:val="22"/>
              </w:rPr>
              <w:t>Progress report</w:t>
            </w:r>
            <w:r w:rsidR="00AF5856">
              <w:rPr>
                <w:sz w:val="22"/>
                <w:szCs w:val="22"/>
              </w:rPr>
              <w:t xml:space="preserve"> Data Collection (Round 1)</w:t>
            </w:r>
          </w:p>
        </w:tc>
        <w:tc>
          <w:tcPr>
            <w:tcW w:w="3960" w:type="dxa"/>
          </w:tcPr>
          <w:p w:rsidR="00AF5856" w:rsidRPr="008B4556" w:rsidRDefault="00AF5856" w:rsidP="002E28E7">
            <w:pPr>
              <w:spacing w:after="240"/>
              <w:rPr>
                <w:sz w:val="22"/>
                <w:szCs w:val="22"/>
              </w:rPr>
            </w:pPr>
            <w:r>
              <w:rPr>
                <w:sz w:val="22"/>
                <w:szCs w:val="22"/>
              </w:rPr>
              <w:t xml:space="preserve">July 2014 </w:t>
            </w:r>
            <w:r w:rsidRPr="008B4556">
              <w:rPr>
                <w:sz w:val="22"/>
                <w:szCs w:val="22"/>
              </w:rPr>
              <w:t>*</w:t>
            </w:r>
            <w:r w:rsidRPr="008B4556">
              <w:rPr>
                <w:sz w:val="22"/>
                <w:szCs w:val="22"/>
              </w:rPr>
              <w:br/>
            </w:r>
          </w:p>
        </w:tc>
      </w:tr>
      <w:tr w:rsidR="00AF5856" w:rsidTr="002E28E7">
        <w:trPr>
          <w:trHeight w:val="720"/>
          <w:jc w:val="center"/>
        </w:trPr>
        <w:tc>
          <w:tcPr>
            <w:tcW w:w="6898" w:type="dxa"/>
          </w:tcPr>
          <w:p w:rsidR="00AF5856" w:rsidRDefault="000D0A69" w:rsidP="002E28E7">
            <w:pPr>
              <w:jc w:val="center"/>
              <w:rPr>
                <w:sz w:val="22"/>
                <w:szCs w:val="22"/>
              </w:rPr>
            </w:pPr>
            <w:r>
              <w:rPr>
                <w:sz w:val="22"/>
                <w:szCs w:val="22"/>
              </w:rPr>
              <w:t>Progress report</w:t>
            </w:r>
            <w:r w:rsidR="00AF5856">
              <w:rPr>
                <w:sz w:val="22"/>
                <w:szCs w:val="22"/>
              </w:rPr>
              <w:t xml:space="preserve"> Data Collection (Round 2)</w:t>
            </w:r>
          </w:p>
        </w:tc>
        <w:tc>
          <w:tcPr>
            <w:tcW w:w="3960" w:type="dxa"/>
          </w:tcPr>
          <w:p w:rsidR="00AF5856" w:rsidRPr="008B4556" w:rsidRDefault="00AF5856" w:rsidP="002E28E7">
            <w:pPr>
              <w:rPr>
                <w:sz w:val="22"/>
                <w:szCs w:val="22"/>
              </w:rPr>
            </w:pPr>
            <w:r>
              <w:rPr>
                <w:sz w:val="22"/>
                <w:szCs w:val="22"/>
              </w:rPr>
              <w:t>December 2014</w:t>
            </w:r>
            <w:r w:rsidRPr="008B4556">
              <w:rPr>
                <w:sz w:val="22"/>
                <w:szCs w:val="22"/>
              </w:rPr>
              <w:t>*</w:t>
            </w:r>
          </w:p>
        </w:tc>
      </w:tr>
      <w:tr w:rsidR="00AF5856" w:rsidTr="002E28E7">
        <w:trPr>
          <w:trHeight w:val="720"/>
          <w:jc w:val="center"/>
        </w:trPr>
        <w:tc>
          <w:tcPr>
            <w:tcW w:w="6898" w:type="dxa"/>
          </w:tcPr>
          <w:p w:rsidR="00AF5856" w:rsidRDefault="000D0A69" w:rsidP="002E28E7">
            <w:pPr>
              <w:jc w:val="center"/>
              <w:rPr>
                <w:sz w:val="22"/>
                <w:szCs w:val="22"/>
              </w:rPr>
            </w:pPr>
            <w:r>
              <w:rPr>
                <w:sz w:val="22"/>
                <w:szCs w:val="22"/>
              </w:rPr>
              <w:t>Progress report</w:t>
            </w:r>
            <w:r w:rsidR="00AF5856">
              <w:rPr>
                <w:sz w:val="22"/>
                <w:szCs w:val="22"/>
              </w:rPr>
              <w:t xml:space="preserve"> Data Collection (Round 3)</w:t>
            </w:r>
          </w:p>
        </w:tc>
        <w:tc>
          <w:tcPr>
            <w:tcW w:w="3960" w:type="dxa"/>
          </w:tcPr>
          <w:p w:rsidR="00AF5856" w:rsidRPr="008B4556" w:rsidRDefault="00AF5856" w:rsidP="002E28E7">
            <w:pPr>
              <w:spacing w:after="240"/>
              <w:rPr>
                <w:sz w:val="22"/>
                <w:szCs w:val="22"/>
              </w:rPr>
            </w:pPr>
            <w:r>
              <w:rPr>
                <w:sz w:val="22"/>
                <w:szCs w:val="22"/>
              </w:rPr>
              <w:t xml:space="preserve">July 2015 </w:t>
            </w:r>
            <w:r w:rsidRPr="008B4556">
              <w:rPr>
                <w:sz w:val="22"/>
                <w:szCs w:val="22"/>
              </w:rPr>
              <w:t>*</w:t>
            </w:r>
            <w:r w:rsidRPr="008B4556">
              <w:rPr>
                <w:sz w:val="22"/>
                <w:szCs w:val="22"/>
              </w:rPr>
              <w:br/>
            </w:r>
          </w:p>
        </w:tc>
      </w:tr>
      <w:tr w:rsidR="00AF5856" w:rsidTr="002E28E7">
        <w:trPr>
          <w:trHeight w:val="735"/>
          <w:jc w:val="center"/>
        </w:trPr>
        <w:tc>
          <w:tcPr>
            <w:tcW w:w="6898" w:type="dxa"/>
          </w:tcPr>
          <w:p w:rsidR="00AF5856" w:rsidRDefault="000D0A69" w:rsidP="002E28E7">
            <w:pPr>
              <w:jc w:val="center"/>
              <w:rPr>
                <w:sz w:val="22"/>
                <w:szCs w:val="22"/>
              </w:rPr>
            </w:pPr>
            <w:r>
              <w:rPr>
                <w:sz w:val="22"/>
                <w:szCs w:val="22"/>
              </w:rPr>
              <w:t>Progress report</w:t>
            </w:r>
            <w:r w:rsidR="00AF5856">
              <w:rPr>
                <w:sz w:val="22"/>
                <w:szCs w:val="22"/>
              </w:rPr>
              <w:t xml:space="preserve"> Data Collection (Round 4)</w:t>
            </w:r>
          </w:p>
        </w:tc>
        <w:tc>
          <w:tcPr>
            <w:tcW w:w="3960" w:type="dxa"/>
          </w:tcPr>
          <w:p w:rsidR="00AF5856" w:rsidRPr="008B4556" w:rsidRDefault="00AF5856" w:rsidP="002E28E7">
            <w:pPr>
              <w:rPr>
                <w:sz w:val="22"/>
                <w:szCs w:val="22"/>
              </w:rPr>
            </w:pPr>
            <w:r>
              <w:rPr>
                <w:sz w:val="22"/>
                <w:szCs w:val="22"/>
              </w:rPr>
              <w:t>December 2015</w:t>
            </w:r>
            <w:r w:rsidRPr="008B4556">
              <w:rPr>
                <w:sz w:val="22"/>
                <w:szCs w:val="22"/>
              </w:rPr>
              <w:t>*</w:t>
            </w:r>
          </w:p>
        </w:tc>
      </w:tr>
      <w:tr w:rsidR="00AF5856" w:rsidTr="002E28E7">
        <w:trPr>
          <w:trHeight w:val="735"/>
          <w:jc w:val="center"/>
        </w:trPr>
        <w:tc>
          <w:tcPr>
            <w:tcW w:w="6898" w:type="dxa"/>
          </w:tcPr>
          <w:p w:rsidR="00AF5856" w:rsidRDefault="00AF5856" w:rsidP="002E28E7">
            <w:pPr>
              <w:jc w:val="center"/>
              <w:rPr>
                <w:sz w:val="22"/>
                <w:szCs w:val="22"/>
              </w:rPr>
            </w:pPr>
            <w:r>
              <w:rPr>
                <w:sz w:val="22"/>
                <w:szCs w:val="22"/>
              </w:rPr>
              <w:t>Data Analysis</w:t>
            </w:r>
          </w:p>
        </w:tc>
        <w:tc>
          <w:tcPr>
            <w:tcW w:w="3960" w:type="dxa"/>
          </w:tcPr>
          <w:p w:rsidR="00AF5856" w:rsidRPr="008B4556" w:rsidRDefault="00AF5856" w:rsidP="002E28E7">
            <w:pPr>
              <w:rPr>
                <w:sz w:val="22"/>
                <w:szCs w:val="22"/>
              </w:rPr>
            </w:pPr>
            <w:r>
              <w:rPr>
                <w:sz w:val="22"/>
                <w:szCs w:val="22"/>
              </w:rPr>
              <w:t>January 2016 – July 2016</w:t>
            </w:r>
            <w:r w:rsidRPr="008B4556">
              <w:rPr>
                <w:sz w:val="22"/>
                <w:szCs w:val="22"/>
              </w:rPr>
              <w:t>*</w:t>
            </w:r>
          </w:p>
        </w:tc>
      </w:tr>
      <w:tr w:rsidR="00AF5856" w:rsidTr="002E28E7">
        <w:trPr>
          <w:trHeight w:val="735"/>
          <w:jc w:val="center"/>
        </w:trPr>
        <w:tc>
          <w:tcPr>
            <w:tcW w:w="6898" w:type="dxa"/>
          </w:tcPr>
          <w:p w:rsidR="00AF5856" w:rsidRDefault="00AF5856" w:rsidP="002E28E7">
            <w:pPr>
              <w:jc w:val="center"/>
              <w:rPr>
                <w:sz w:val="22"/>
                <w:szCs w:val="22"/>
              </w:rPr>
            </w:pPr>
            <w:r>
              <w:rPr>
                <w:sz w:val="22"/>
                <w:szCs w:val="22"/>
              </w:rPr>
              <w:t>Report Writing</w:t>
            </w:r>
          </w:p>
        </w:tc>
        <w:tc>
          <w:tcPr>
            <w:tcW w:w="3960" w:type="dxa"/>
          </w:tcPr>
          <w:p w:rsidR="00AF5856" w:rsidRPr="008B4556" w:rsidRDefault="00AF5856" w:rsidP="002E28E7">
            <w:pPr>
              <w:spacing w:after="240"/>
              <w:rPr>
                <w:sz w:val="22"/>
                <w:szCs w:val="22"/>
              </w:rPr>
            </w:pPr>
            <w:r>
              <w:rPr>
                <w:sz w:val="22"/>
                <w:szCs w:val="22"/>
              </w:rPr>
              <w:t>July 2016 –  September 2016</w:t>
            </w:r>
            <w:r w:rsidRPr="008B4556">
              <w:rPr>
                <w:sz w:val="22"/>
                <w:szCs w:val="22"/>
              </w:rPr>
              <w:t>*</w:t>
            </w:r>
            <w:r w:rsidRPr="008B4556">
              <w:rPr>
                <w:sz w:val="22"/>
                <w:szCs w:val="22"/>
              </w:rPr>
              <w:br/>
            </w:r>
          </w:p>
        </w:tc>
      </w:tr>
    </w:tbl>
    <w:p w:rsidR="00AF5856" w:rsidRDefault="00AF5856" w:rsidP="00AF5856">
      <w:pPr>
        <w:rPr>
          <w:bCs/>
          <w:sz w:val="22"/>
          <w:szCs w:val="22"/>
        </w:rPr>
      </w:pPr>
    </w:p>
    <w:p w:rsidR="00AF5856" w:rsidRDefault="00AF5856" w:rsidP="00AF5856">
      <w:pPr>
        <w:rPr>
          <w:bCs/>
          <w:sz w:val="22"/>
          <w:szCs w:val="22"/>
        </w:rPr>
      </w:pPr>
      <w:r>
        <w:rPr>
          <w:bCs/>
          <w:sz w:val="22"/>
          <w:szCs w:val="22"/>
        </w:rPr>
        <w:t>*Note:  Data collection will begin upon OMB approval.</w:t>
      </w:r>
    </w:p>
    <w:p w:rsidR="00FD47EC" w:rsidRDefault="00FD47EC" w:rsidP="00C375A7">
      <w:pPr>
        <w:pStyle w:val="NormalWeb"/>
        <w:spacing w:before="0" w:beforeAutospacing="0" w:after="0" w:afterAutospacing="0"/>
        <w:rPr>
          <w:color w:val="4F6228"/>
        </w:rPr>
      </w:pPr>
    </w:p>
    <w:p w:rsidR="00335221" w:rsidRPr="00C369D8" w:rsidRDefault="00335221" w:rsidP="00C375A7">
      <w:pPr>
        <w:pStyle w:val="NormalWeb"/>
        <w:spacing w:before="0" w:beforeAutospacing="0" w:after="0" w:afterAutospacing="0"/>
        <w:rPr>
          <w:color w:val="4F6228"/>
        </w:rPr>
      </w:pPr>
    </w:p>
    <w:p w:rsidR="00497DEB" w:rsidRDefault="008D2346" w:rsidP="00C375A7">
      <w:pPr>
        <w:pStyle w:val="NormalWeb"/>
        <w:spacing w:before="0" w:beforeAutospacing="0" w:after="0" w:afterAutospacing="0"/>
        <w:rPr>
          <w:b/>
          <w:bCs/>
        </w:rPr>
      </w:pPr>
      <w:r>
        <w:rPr>
          <w:b/>
          <w:bCs/>
        </w:rPr>
        <w:t xml:space="preserve">A.16.3. </w:t>
      </w:r>
      <w:r w:rsidR="00BB66C9" w:rsidRPr="00094885">
        <w:rPr>
          <w:b/>
          <w:bCs/>
        </w:rPr>
        <w:t xml:space="preserve">Analysis </w:t>
      </w:r>
      <w:r w:rsidR="0078182C">
        <w:rPr>
          <w:b/>
          <w:bCs/>
        </w:rPr>
        <w:t>p</w:t>
      </w:r>
      <w:r w:rsidR="00BB66C9" w:rsidRPr="00094885">
        <w:rPr>
          <w:b/>
          <w:bCs/>
        </w:rPr>
        <w:t>lan</w:t>
      </w:r>
    </w:p>
    <w:p w:rsidR="00BB66C9" w:rsidRPr="00094885" w:rsidRDefault="00BB66C9" w:rsidP="00C375A7">
      <w:pPr>
        <w:pStyle w:val="NormalWeb"/>
        <w:spacing w:before="0" w:beforeAutospacing="0" w:after="0" w:afterAutospacing="0"/>
        <w:rPr>
          <w:b/>
          <w:bCs/>
          <w:highlight w:val="green"/>
        </w:rPr>
      </w:pPr>
      <w:r w:rsidRPr="00094885">
        <w:rPr>
          <w:b/>
          <w:bCs/>
        </w:rPr>
        <w:t xml:space="preserve"> </w:t>
      </w:r>
    </w:p>
    <w:p w:rsidR="00BB66C9" w:rsidRDefault="00BB66C9" w:rsidP="0078182C">
      <w:r w:rsidRPr="00094885">
        <w:t xml:space="preserve">The primary purpose of this </w:t>
      </w:r>
      <w:r w:rsidR="00794324">
        <w:t xml:space="preserve">infrastructure </w:t>
      </w:r>
      <w:r w:rsidR="00794324" w:rsidRPr="00794324">
        <w:t>measures data collection</w:t>
      </w:r>
      <w:r w:rsidR="00A02069">
        <w:t xml:space="preserve"> effort</w:t>
      </w:r>
      <w:r w:rsidR="00094885" w:rsidRPr="00094885">
        <w:t xml:space="preserve"> </w:t>
      </w:r>
      <w:r w:rsidRPr="00094885">
        <w:t>is to ga</w:t>
      </w:r>
      <w:r w:rsidR="00094885" w:rsidRPr="00094885">
        <w:t xml:space="preserve">ther information from administrators of </w:t>
      </w:r>
      <w:r w:rsidR="004A2BE0">
        <w:t>35</w:t>
      </w:r>
      <w:r w:rsidR="00094885">
        <w:t xml:space="preserve"> </w:t>
      </w:r>
      <w:r w:rsidR="00094885" w:rsidRPr="00094885">
        <w:t>grantees</w:t>
      </w:r>
      <w:r w:rsidR="00094885">
        <w:t xml:space="preserve"> </w:t>
      </w:r>
      <w:r w:rsidR="00CE16AA">
        <w:t xml:space="preserve">that </w:t>
      </w:r>
      <w:r w:rsidR="00094885">
        <w:t>are recipients of cooperative agreements</w:t>
      </w:r>
      <w:r w:rsidRPr="00094885">
        <w:t xml:space="preserve"> to</w:t>
      </w:r>
      <w:r w:rsidR="00F024B6">
        <w:t xml:space="preserve"> collect information on </w:t>
      </w:r>
      <w:r w:rsidR="00CE16AA">
        <w:t>(</w:t>
      </w:r>
      <w:r w:rsidR="00F024B6">
        <w:t xml:space="preserve">1) the development of and improvements to </w:t>
      </w:r>
      <w:r w:rsidR="00A02069">
        <w:t>state</w:t>
      </w:r>
      <w:r w:rsidR="00F024B6">
        <w:t>/</w:t>
      </w:r>
      <w:r w:rsidR="00A02069">
        <w:t>t</w:t>
      </w:r>
      <w:r w:rsidR="00F024B6">
        <w:t>erritory/</w:t>
      </w:r>
      <w:r w:rsidR="00A02069">
        <w:t>t</w:t>
      </w:r>
      <w:r w:rsidR="00F024B6">
        <w:t>ribal grantees' capacity to increase access to and quality of treatment for adolescents (ages 12</w:t>
      </w:r>
      <w:r w:rsidR="001D39C4">
        <w:t>–</w:t>
      </w:r>
      <w:r w:rsidR="00F024B6">
        <w:t xml:space="preserve">18) </w:t>
      </w:r>
      <w:r w:rsidR="00A21568">
        <w:t xml:space="preserve">and </w:t>
      </w:r>
      <w:r w:rsidR="00A21568">
        <w:lastRenderedPageBreak/>
        <w:t xml:space="preserve">transitional-aged youth (ages 18 to 24) </w:t>
      </w:r>
      <w:r w:rsidR="00F024B6">
        <w:t xml:space="preserve">with substance use or co-occurring substance use and mental disorders and their families (e.g., foster care parents, extended family members); and </w:t>
      </w:r>
      <w:r w:rsidR="00CE16AA">
        <w:t>(</w:t>
      </w:r>
      <w:r w:rsidR="00F024B6">
        <w:t xml:space="preserve">2) enhancements and improvements to the quality of treatment and recovery services provided to adolescents </w:t>
      </w:r>
      <w:r w:rsidR="004B2C3E">
        <w:t xml:space="preserve">and transitional-aged youth </w:t>
      </w:r>
      <w:r w:rsidR="00F024B6">
        <w:t xml:space="preserve">and their families for the treatment of substance use or co-occurring substance use and mental disorders. </w:t>
      </w:r>
      <w:r w:rsidRPr="00094885">
        <w:t>The analyses will be descriptive</w:t>
      </w:r>
      <w:r w:rsidR="00094885" w:rsidRPr="00094885">
        <w:t xml:space="preserve"> in nature,</w:t>
      </w:r>
      <w:r w:rsidRPr="00094885">
        <w:t xml:space="preserve"> </w:t>
      </w:r>
      <w:r w:rsidR="00094885" w:rsidRPr="0006127C">
        <w:t xml:space="preserve">and </w:t>
      </w:r>
      <w:r w:rsidRPr="0006127C">
        <w:t xml:space="preserve">some </w:t>
      </w:r>
      <w:r w:rsidR="00094885" w:rsidRPr="0006127C">
        <w:t xml:space="preserve">quantitative and qualitative </w:t>
      </w:r>
      <w:r w:rsidR="00A02069" w:rsidRPr="0006127C">
        <w:t>analys</w:t>
      </w:r>
      <w:r w:rsidR="00A02069">
        <w:t>e</w:t>
      </w:r>
      <w:r w:rsidR="00A02069" w:rsidRPr="0006127C">
        <w:t>s</w:t>
      </w:r>
      <w:r w:rsidR="00A02069" w:rsidRPr="00094885">
        <w:t xml:space="preserve"> </w:t>
      </w:r>
      <w:r w:rsidRPr="00094885">
        <w:t>will be conducted.</w:t>
      </w:r>
      <w:r w:rsidR="00E74BB5">
        <w:t xml:space="preserve"> </w:t>
      </w:r>
      <w:r w:rsidRPr="00094885">
        <w:t xml:space="preserve">The results of these findings are primarily for internal use but may be shared with key government policy and management officials, </w:t>
      </w:r>
      <w:r w:rsidR="00094885" w:rsidRPr="00094885">
        <w:t>SAMHSA</w:t>
      </w:r>
      <w:r w:rsidRPr="00094885">
        <w:t xml:space="preserve"> staff, </w:t>
      </w:r>
      <w:r w:rsidR="00094885" w:rsidRPr="00094885">
        <w:t>and grantees</w:t>
      </w:r>
      <w:r w:rsidR="00A67FE4">
        <w:t xml:space="preserve"> and the public on the SAMHSA Web site</w:t>
      </w:r>
      <w:r w:rsidRPr="00094885">
        <w:t>.</w:t>
      </w:r>
    </w:p>
    <w:p w:rsidR="0078182C" w:rsidRPr="00094885" w:rsidRDefault="0078182C" w:rsidP="0078182C"/>
    <w:p w:rsidR="0078182C" w:rsidRDefault="00BA29FD" w:rsidP="00C375A7">
      <w:pPr>
        <w:pStyle w:val="NormalWeb"/>
        <w:spacing w:before="0" w:beforeAutospacing="0" w:after="0" w:afterAutospacing="0"/>
      </w:pPr>
      <w:r w:rsidRPr="00BA29FD">
        <w:t xml:space="preserve">For the type of </w:t>
      </w:r>
      <w:r w:rsidR="000D0A69">
        <w:t>progress report</w:t>
      </w:r>
      <w:r w:rsidR="00BB66C9" w:rsidRPr="00BA29FD">
        <w:t xml:space="preserve"> described earlier, the following analyses would be appropriate:</w:t>
      </w:r>
    </w:p>
    <w:p w:rsidR="00A344DE" w:rsidRPr="00BA29FD" w:rsidRDefault="00A344DE" w:rsidP="00C375A7">
      <w:pPr>
        <w:pStyle w:val="NormalWeb"/>
        <w:spacing w:before="0" w:beforeAutospacing="0" w:after="0" w:afterAutospacing="0"/>
      </w:pPr>
    </w:p>
    <w:p w:rsidR="00BB66C9" w:rsidRPr="00C369D8" w:rsidRDefault="00F024B6" w:rsidP="00C375A7">
      <w:pPr>
        <w:pStyle w:val="NormalWeb"/>
        <w:spacing w:before="0" w:beforeAutospacing="0" w:after="0" w:afterAutospacing="0"/>
        <w:rPr>
          <w:color w:val="4F6228"/>
        </w:rPr>
      </w:pPr>
      <w:r w:rsidRPr="00F024B6">
        <w:rPr>
          <w:u w:val="single"/>
        </w:rPr>
        <w:t>Emailed</w:t>
      </w:r>
      <w:r w:rsidR="00BA29FD" w:rsidRPr="00F024B6">
        <w:rPr>
          <w:u w:val="single"/>
        </w:rPr>
        <w:t xml:space="preserve"> </w:t>
      </w:r>
      <w:r w:rsidR="000D0A69">
        <w:rPr>
          <w:u w:val="single"/>
        </w:rPr>
        <w:t>progress report</w:t>
      </w:r>
      <w:r w:rsidR="00BA29FD" w:rsidRPr="00F024B6">
        <w:rPr>
          <w:u w:val="single"/>
        </w:rPr>
        <w:t>s</w:t>
      </w:r>
      <w:r w:rsidR="00BB66C9" w:rsidRPr="00F024B6">
        <w:t>:</w:t>
      </w:r>
      <w:r w:rsidR="00E74BB5">
        <w:rPr>
          <w:color w:val="4F6228"/>
        </w:rPr>
        <w:t xml:space="preserve"> </w:t>
      </w:r>
      <w:r w:rsidR="00BB66C9" w:rsidRPr="00F024B6">
        <w:t>Basic descriptive analyses (including means, standard deviations, and percentages) are expected for th</w:t>
      </w:r>
      <w:r w:rsidR="00CE16AA">
        <w:t>is</w:t>
      </w:r>
      <w:r w:rsidR="00BB66C9" w:rsidRPr="00F024B6">
        <w:t xml:space="preserve"> type of </w:t>
      </w:r>
      <w:r w:rsidR="000D0A69">
        <w:t>progress report</w:t>
      </w:r>
      <w:r w:rsidR="00BB66C9" w:rsidRPr="00F024B6">
        <w:t xml:space="preserve">. </w:t>
      </w:r>
      <w:r w:rsidR="00BA29FD" w:rsidRPr="00F024B6">
        <w:t xml:space="preserve">In addition, open-ended questions will be used to elicit more detailed information, to identify challenges and issues for further </w:t>
      </w:r>
      <w:r w:rsidR="000D0A69">
        <w:t>progress report</w:t>
      </w:r>
      <w:r w:rsidR="00BA29FD" w:rsidRPr="00F024B6">
        <w:t xml:space="preserve">, and in some cases, </w:t>
      </w:r>
      <w:r w:rsidR="00540391">
        <w:t xml:space="preserve">to </w:t>
      </w:r>
      <w:r w:rsidR="00A67FE4">
        <w:t>‘</w:t>
      </w:r>
      <w:r w:rsidR="00BA29FD" w:rsidRPr="00F024B6">
        <w:t>brainstorm</w:t>
      </w:r>
      <w:r w:rsidR="00A67FE4">
        <w:t>’</w:t>
      </w:r>
      <w:r w:rsidR="00BA29FD" w:rsidRPr="00F024B6">
        <w:t xml:space="preserve"> for possible solutions. The analysis for open-ended questions will be qualitative and consist mostly of narrative summaries of the answers as well as the examination of emerging themes.</w:t>
      </w:r>
      <w:r w:rsidR="00096C93">
        <w:rPr>
          <w:color w:val="4F6228"/>
        </w:rPr>
        <w:t xml:space="preserve"> </w:t>
      </w:r>
    </w:p>
    <w:p w:rsidR="00FD47EC" w:rsidRPr="000400BF" w:rsidRDefault="00FD47EC">
      <w:pPr>
        <w:pStyle w:val="CommentText"/>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
        </w:rPr>
      </w:pPr>
      <w:r w:rsidRPr="000400BF">
        <w:rPr>
          <w:rStyle w:val="Strong"/>
        </w:rPr>
        <w:t>A.17. Display Expiration Date</w:t>
      </w:r>
    </w:p>
    <w:p w:rsidR="00FD47EC" w:rsidRPr="000400BF" w:rsidRDefault="00FD47EC">
      <w:pPr>
        <w:pStyle w:val="CommentText"/>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400BF">
        <w:t>The expiration date will be displayed</w:t>
      </w:r>
      <w:r w:rsidR="00AF5856">
        <w:t>.</w:t>
      </w:r>
    </w:p>
    <w:p w:rsidR="00FD47EC" w:rsidRPr="000400BF" w:rsidRDefault="00FD47EC">
      <w:pPr>
        <w:pStyle w:val="CommentText"/>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
        </w:rPr>
      </w:pPr>
      <w:r w:rsidRPr="000400BF">
        <w:rPr>
          <w:rStyle w:val="Strong"/>
        </w:rPr>
        <w:t xml:space="preserve">A.18 Exceptions to </w:t>
      </w:r>
      <w:r w:rsidR="00485428">
        <w:rPr>
          <w:rStyle w:val="Strong"/>
        </w:rPr>
        <w:t>certification for paperwork reduction act submissions</w:t>
      </w:r>
    </w:p>
    <w:p w:rsidR="00497DEB" w:rsidRPr="00322496" w:rsidRDefault="00FD47EC" w:rsidP="00F83A46">
      <w:pPr>
        <w:pStyle w:val="CommentText"/>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400BF">
        <w:rPr>
          <w:bCs/>
        </w:rPr>
        <w:t>This collection of information involves no exceptions to the Certification for Paperwork Reduction Act Submissions.</w:t>
      </w:r>
    </w:p>
    <w:sectPr w:rsidR="00497DEB" w:rsidRPr="00322496" w:rsidSect="00C375A7">
      <w:headerReference w:type="even" r:id="rId9"/>
      <w:headerReference w:type="default" r:id="rId10"/>
      <w:footerReference w:type="default" r:id="rId11"/>
      <w:headerReference w:type="first" r:id="rId12"/>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90E" w:rsidRDefault="00BA190E">
      <w:r>
        <w:separator/>
      </w:r>
    </w:p>
  </w:endnote>
  <w:endnote w:type="continuationSeparator" w:id="0">
    <w:p w:rsidR="00BA190E" w:rsidRDefault="00BA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1A" w:rsidRDefault="00C86E5B" w:rsidP="0058459D">
    <w:pPr>
      <w:pStyle w:val="Footer"/>
      <w:ind w:right="360"/>
      <w:jc w:val="center"/>
    </w:pPr>
    <w:r>
      <w:rPr>
        <w:rStyle w:val="PageNumber"/>
      </w:rPr>
      <w:fldChar w:fldCharType="begin"/>
    </w:r>
    <w:r w:rsidR="00E93F1A">
      <w:rPr>
        <w:rStyle w:val="PageNumber"/>
      </w:rPr>
      <w:instrText xml:space="preserve"> PAGE </w:instrText>
    </w:r>
    <w:r>
      <w:rPr>
        <w:rStyle w:val="PageNumber"/>
      </w:rPr>
      <w:fldChar w:fldCharType="separate"/>
    </w:r>
    <w:r w:rsidR="0021741B">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90E" w:rsidRDefault="00BA190E">
      <w:r>
        <w:separator/>
      </w:r>
    </w:p>
  </w:footnote>
  <w:footnote w:type="continuationSeparator" w:id="0">
    <w:p w:rsidR="00BA190E" w:rsidRDefault="00BA1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1A" w:rsidRDefault="00E93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1A" w:rsidRDefault="00E93F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1A" w:rsidRDefault="00E93F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20F69C"/>
    <w:lvl w:ilvl="0">
      <w:numFmt w:val="bullet"/>
      <w:lvlText w:val="*"/>
      <w:lvlJc w:val="left"/>
    </w:lvl>
  </w:abstractNum>
  <w:abstractNum w:abstractNumId="1">
    <w:nsid w:val="00000002"/>
    <w:multiLevelType w:val="multilevel"/>
    <w:tmpl w:val="00000000"/>
    <w:name w:val="AutoList5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21275A"/>
    <w:multiLevelType w:val="hybridMultilevel"/>
    <w:tmpl w:val="D9D42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665731"/>
    <w:multiLevelType w:val="hybridMultilevel"/>
    <w:tmpl w:val="75B4014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0BF86C79"/>
    <w:multiLevelType w:val="multilevel"/>
    <w:tmpl w:val="6586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CF6C9C"/>
    <w:multiLevelType w:val="hybridMultilevel"/>
    <w:tmpl w:val="D9D42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341E7F"/>
    <w:multiLevelType w:val="multilevel"/>
    <w:tmpl w:val="4072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5D1E96"/>
    <w:multiLevelType w:val="hybridMultilevel"/>
    <w:tmpl w:val="25105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D2C7B64"/>
    <w:multiLevelType w:val="hybridMultilevel"/>
    <w:tmpl w:val="53E62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4A5A53"/>
    <w:multiLevelType w:val="hybridMultilevel"/>
    <w:tmpl w:val="C88883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EB2709A"/>
    <w:multiLevelType w:val="hybridMultilevel"/>
    <w:tmpl w:val="2A1841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9A2400"/>
    <w:multiLevelType w:val="hybridMultilevel"/>
    <w:tmpl w:val="98DCBA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 w:numId="5">
    <w:abstractNumId w:val="9"/>
  </w:num>
  <w:num w:numId="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num>
  <w:num w:numId="8">
    <w:abstractNumId w:val="11"/>
  </w:num>
  <w:num w:numId="9">
    <w:abstractNumId w:val="10"/>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36"/>
    <w:rsid w:val="00021A65"/>
    <w:rsid w:val="00033783"/>
    <w:rsid w:val="00033816"/>
    <w:rsid w:val="00034FCC"/>
    <w:rsid w:val="000361B8"/>
    <w:rsid w:val="000400BF"/>
    <w:rsid w:val="00045858"/>
    <w:rsid w:val="0005158B"/>
    <w:rsid w:val="000544AD"/>
    <w:rsid w:val="0006127C"/>
    <w:rsid w:val="0006274B"/>
    <w:rsid w:val="00064285"/>
    <w:rsid w:val="0006600B"/>
    <w:rsid w:val="00071108"/>
    <w:rsid w:val="00073047"/>
    <w:rsid w:val="0007317F"/>
    <w:rsid w:val="0007375C"/>
    <w:rsid w:val="00076416"/>
    <w:rsid w:val="00081818"/>
    <w:rsid w:val="00083C02"/>
    <w:rsid w:val="000902FF"/>
    <w:rsid w:val="000923D6"/>
    <w:rsid w:val="000940A8"/>
    <w:rsid w:val="00094491"/>
    <w:rsid w:val="00094885"/>
    <w:rsid w:val="00094A19"/>
    <w:rsid w:val="00096C93"/>
    <w:rsid w:val="000A1686"/>
    <w:rsid w:val="000A34C7"/>
    <w:rsid w:val="000B0B77"/>
    <w:rsid w:val="000C2A7B"/>
    <w:rsid w:val="000D0A69"/>
    <w:rsid w:val="000D7AEA"/>
    <w:rsid w:val="000E0DC6"/>
    <w:rsid w:val="000F4ACB"/>
    <w:rsid w:val="001064E5"/>
    <w:rsid w:val="00110B10"/>
    <w:rsid w:val="00116E24"/>
    <w:rsid w:val="00136A87"/>
    <w:rsid w:val="001442FB"/>
    <w:rsid w:val="00147101"/>
    <w:rsid w:val="00151098"/>
    <w:rsid w:val="00156FE4"/>
    <w:rsid w:val="001629D1"/>
    <w:rsid w:val="0016610E"/>
    <w:rsid w:val="00170D9E"/>
    <w:rsid w:val="0017229C"/>
    <w:rsid w:val="00172784"/>
    <w:rsid w:val="00173725"/>
    <w:rsid w:val="00192ADE"/>
    <w:rsid w:val="0019685C"/>
    <w:rsid w:val="001B683E"/>
    <w:rsid w:val="001C2614"/>
    <w:rsid w:val="001D1BDB"/>
    <w:rsid w:val="001D39C4"/>
    <w:rsid w:val="001E1D7E"/>
    <w:rsid w:val="001E4776"/>
    <w:rsid w:val="001E505C"/>
    <w:rsid w:val="002019DC"/>
    <w:rsid w:val="0020325C"/>
    <w:rsid w:val="00204CF2"/>
    <w:rsid w:val="00206E17"/>
    <w:rsid w:val="0021741B"/>
    <w:rsid w:val="00221EA2"/>
    <w:rsid w:val="00223C49"/>
    <w:rsid w:val="0022492B"/>
    <w:rsid w:val="00233B64"/>
    <w:rsid w:val="002351FF"/>
    <w:rsid w:val="00240686"/>
    <w:rsid w:val="0024139E"/>
    <w:rsid w:val="00244521"/>
    <w:rsid w:val="0025337E"/>
    <w:rsid w:val="002775C0"/>
    <w:rsid w:val="00277B31"/>
    <w:rsid w:val="002945D1"/>
    <w:rsid w:val="00296CAF"/>
    <w:rsid w:val="002C3411"/>
    <w:rsid w:val="002E20A4"/>
    <w:rsid w:val="002E42B0"/>
    <w:rsid w:val="002E537E"/>
    <w:rsid w:val="002E7BFE"/>
    <w:rsid w:val="002E7DFC"/>
    <w:rsid w:val="002F3C6A"/>
    <w:rsid w:val="002F4E0A"/>
    <w:rsid w:val="00312540"/>
    <w:rsid w:val="00312BFB"/>
    <w:rsid w:val="003152FB"/>
    <w:rsid w:val="00315522"/>
    <w:rsid w:val="00316A36"/>
    <w:rsid w:val="00322496"/>
    <w:rsid w:val="00322E92"/>
    <w:rsid w:val="003240CB"/>
    <w:rsid w:val="0032562F"/>
    <w:rsid w:val="003266D9"/>
    <w:rsid w:val="003349F3"/>
    <w:rsid w:val="00335221"/>
    <w:rsid w:val="00336F9A"/>
    <w:rsid w:val="00340DB2"/>
    <w:rsid w:val="003421CD"/>
    <w:rsid w:val="0034260E"/>
    <w:rsid w:val="00343078"/>
    <w:rsid w:val="003437C6"/>
    <w:rsid w:val="00353E2E"/>
    <w:rsid w:val="00355DF9"/>
    <w:rsid w:val="00361BAA"/>
    <w:rsid w:val="00361CEF"/>
    <w:rsid w:val="00374242"/>
    <w:rsid w:val="0038380D"/>
    <w:rsid w:val="00384D9A"/>
    <w:rsid w:val="00392678"/>
    <w:rsid w:val="003A08CF"/>
    <w:rsid w:val="003A24B3"/>
    <w:rsid w:val="003B3BEC"/>
    <w:rsid w:val="003C35D6"/>
    <w:rsid w:val="003C3D9B"/>
    <w:rsid w:val="003C49D6"/>
    <w:rsid w:val="003C6930"/>
    <w:rsid w:val="003C6E94"/>
    <w:rsid w:val="003C6EB1"/>
    <w:rsid w:val="003D144D"/>
    <w:rsid w:val="003D145C"/>
    <w:rsid w:val="003D17F8"/>
    <w:rsid w:val="003D66AD"/>
    <w:rsid w:val="003F14C9"/>
    <w:rsid w:val="003F17C9"/>
    <w:rsid w:val="0040197F"/>
    <w:rsid w:val="0041037F"/>
    <w:rsid w:val="0042208A"/>
    <w:rsid w:val="00422EB0"/>
    <w:rsid w:val="004249C8"/>
    <w:rsid w:val="00430013"/>
    <w:rsid w:val="00444F5B"/>
    <w:rsid w:val="00447CF2"/>
    <w:rsid w:val="004512E4"/>
    <w:rsid w:val="004527EB"/>
    <w:rsid w:val="00456D92"/>
    <w:rsid w:val="00460E1C"/>
    <w:rsid w:val="004628E4"/>
    <w:rsid w:val="00466618"/>
    <w:rsid w:val="00467396"/>
    <w:rsid w:val="00473620"/>
    <w:rsid w:val="0048246D"/>
    <w:rsid w:val="004848A0"/>
    <w:rsid w:val="00485428"/>
    <w:rsid w:val="0049314E"/>
    <w:rsid w:val="00497DEB"/>
    <w:rsid w:val="004A2BE0"/>
    <w:rsid w:val="004A5CC9"/>
    <w:rsid w:val="004B2C3E"/>
    <w:rsid w:val="004C345C"/>
    <w:rsid w:val="004C4496"/>
    <w:rsid w:val="004C5259"/>
    <w:rsid w:val="004C543C"/>
    <w:rsid w:val="004C6175"/>
    <w:rsid w:val="004D0756"/>
    <w:rsid w:val="004D1E2B"/>
    <w:rsid w:val="004D2334"/>
    <w:rsid w:val="004D336A"/>
    <w:rsid w:val="004D7D9E"/>
    <w:rsid w:val="004E5473"/>
    <w:rsid w:val="004F0FEB"/>
    <w:rsid w:val="004F309E"/>
    <w:rsid w:val="004F3CD9"/>
    <w:rsid w:val="004F4185"/>
    <w:rsid w:val="0050027B"/>
    <w:rsid w:val="005060E6"/>
    <w:rsid w:val="005110B2"/>
    <w:rsid w:val="005174C0"/>
    <w:rsid w:val="00525217"/>
    <w:rsid w:val="005271D2"/>
    <w:rsid w:val="00535F21"/>
    <w:rsid w:val="00540391"/>
    <w:rsid w:val="00544F2F"/>
    <w:rsid w:val="00545756"/>
    <w:rsid w:val="0054689A"/>
    <w:rsid w:val="00550AF5"/>
    <w:rsid w:val="005733A5"/>
    <w:rsid w:val="00576DE1"/>
    <w:rsid w:val="00580637"/>
    <w:rsid w:val="0058459D"/>
    <w:rsid w:val="00586260"/>
    <w:rsid w:val="00586D30"/>
    <w:rsid w:val="005925C1"/>
    <w:rsid w:val="005929A9"/>
    <w:rsid w:val="005940D8"/>
    <w:rsid w:val="005A33B6"/>
    <w:rsid w:val="005A4161"/>
    <w:rsid w:val="005A564C"/>
    <w:rsid w:val="005A736C"/>
    <w:rsid w:val="005B2C1C"/>
    <w:rsid w:val="005B31B9"/>
    <w:rsid w:val="005B514C"/>
    <w:rsid w:val="005B58C0"/>
    <w:rsid w:val="005B7CD6"/>
    <w:rsid w:val="005C3024"/>
    <w:rsid w:val="005D38FA"/>
    <w:rsid w:val="005D5125"/>
    <w:rsid w:val="005D7D6E"/>
    <w:rsid w:val="005E1DA5"/>
    <w:rsid w:val="005E21FB"/>
    <w:rsid w:val="005E2E2E"/>
    <w:rsid w:val="005F091A"/>
    <w:rsid w:val="0060377C"/>
    <w:rsid w:val="0060388D"/>
    <w:rsid w:val="00606BDF"/>
    <w:rsid w:val="00610CFD"/>
    <w:rsid w:val="00615F58"/>
    <w:rsid w:val="0061632F"/>
    <w:rsid w:val="00624322"/>
    <w:rsid w:val="00626FBF"/>
    <w:rsid w:val="00632ADB"/>
    <w:rsid w:val="00633CBD"/>
    <w:rsid w:val="00635665"/>
    <w:rsid w:val="006408A5"/>
    <w:rsid w:val="00642F92"/>
    <w:rsid w:val="0066062D"/>
    <w:rsid w:val="00661529"/>
    <w:rsid w:val="006634FE"/>
    <w:rsid w:val="00670FEB"/>
    <w:rsid w:val="00672D9B"/>
    <w:rsid w:val="00673905"/>
    <w:rsid w:val="006746D7"/>
    <w:rsid w:val="006775FB"/>
    <w:rsid w:val="00681FC4"/>
    <w:rsid w:val="00683299"/>
    <w:rsid w:val="0069209B"/>
    <w:rsid w:val="00696554"/>
    <w:rsid w:val="00697B80"/>
    <w:rsid w:val="006A3EB3"/>
    <w:rsid w:val="006A73AE"/>
    <w:rsid w:val="006B2D7C"/>
    <w:rsid w:val="006B37C1"/>
    <w:rsid w:val="006B57FD"/>
    <w:rsid w:val="006B7EB7"/>
    <w:rsid w:val="006B7FB9"/>
    <w:rsid w:val="006C2CF5"/>
    <w:rsid w:val="006D0044"/>
    <w:rsid w:val="006D3EC3"/>
    <w:rsid w:val="006D7C7B"/>
    <w:rsid w:val="006E036A"/>
    <w:rsid w:val="006E069C"/>
    <w:rsid w:val="006E381D"/>
    <w:rsid w:val="006E4C3B"/>
    <w:rsid w:val="006E60B1"/>
    <w:rsid w:val="00701FC5"/>
    <w:rsid w:val="00703B06"/>
    <w:rsid w:val="007055B2"/>
    <w:rsid w:val="00716AEF"/>
    <w:rsid w:val="00721ED5"/>
    <w:rsid w:val="0073534C"/>
    <w:rsid w:val="0073633E"/>
    <w:rsid w:val="00740347"/>
    <w:rsid w:val="00742E78"/>
    <w:rsid w:val="0074330F"/>
    <w:rsid w:val="00745782"/>
    <w:rsid w:val="0074620D"/>
    <w:rsid w:val="007565A4"/>
    <w:rsid w:val="0076050E"/>
    <w:rsid w:val="00761209"/>
    <w:rsid w:val="00762CF6"/>
    <w:rsid w:val="00764540"/>
    <w:rsid w:val="007707AD"/>
    <w:rsid w:val="0078182C"/>
    <w:rsid w:val="00783B2A"/>
    <w:rsid w:val="007909B6"/>
    <w:rsid w:val="00794324"/>
    <w:rsid w:val="007A1604"/>
    <w:rsid w:val="007A4F51"/>
    <w:rsid w:val="007A707A"/>
    <w:rsid w:val="007B790C"/>
    <w:rsid w:val="007C31EF"/>
    <w:rsid w:val="007D1976"/>
    <w:rsid w:val="007D5AF8"/>
    <w:rsid w:val="007D75DD"/>
    <w:rsid w:val="007E26E5"/>
    <w:rsid w:val="007E2BEE"/>
    <w:rsid w:val="0080528E"/>
    <w:rsid w:val="008142F8"/>
    <w:rsid w:val="0081607A"/>
    <w:rsid w:val="00825165"/>
    <w:rsid w:val="008260AE"/>
    <w:rsid w:val="00840411"/>
    <w:rsid w:val="00840AAB"/>
    <w:rsid w:val="00842038"/>
    <w:rsid w:val="00842188"/>
    <w:rsid w:val="0084467B"/>
    <w:rsid w:val="00850FC4"/>
    <w:rsid w:val="00851B61"/>
    <w:rsid w:val="00852E7F"/>
    <w:rsid w:val="00862E6E"/>
    <w:rsid w:val="00865270"/>
    <w:rsid w:val="008742C4"/>
    <w:rsid w:val="00884E46"/>
    <w:rsid w:val="008866E3"/>
    <w:rsid w:val="0089313B"/>
    <w:rsid w:val="0089410C"/>
    <w:rsid w:val="008A5674"/>
    <w:rsid w:val="008C1485"/>
    <w:rsid w:val="008C6ECF"/>
    <w:rsid w:val="008D2346"/>
    <w:rsid w:val="008D27A6"/>
    <w:rsid w:val="008E0D8B"/>
    <w:rsid w:val="008E1EC2"/>
    <w:rsid w:val="008E41BB"/>
    <w:rsid w:val="008F0874"/>
    <w:rsid w:val="008F6B09"/>
    <w:rsid w:val="008F7A2F"/>
    <w:rsid w:val="008F7E0C"/>
    <w:rsid w:val="00901822"/>
    <w:rsid w:val="00905EC0"/>
    <w:rsid w:val="009076D9"/>
    <w:rsid w:val="00912039"/>
    <w:rsid w:val="00922D70"/>
    <w:rsid w:val="0092601C"/>
    <w:rsid w:val="00946D3D"/>
    <w:rsid w:val="00950774"/>
    <w:rsid w:val="00950CAB"/>
    <w:rsid w:val="00954028"/>
    <w:rsid w:val="009642A9"/>
    <w:rsid w:val="00973AF4"/>
    <w:rsid w:val="00976FA8"/>
    <w:rsid w:val="00995F52"/>
    <w:rsid w:val="00996874"/>
    <w:rsid w:val="009B1239"/>
    <w:rsid w:val="009E76E4"/>
    <w:rsid w:val="009F1736"/>
    <w:rsid w:val="00A01176"/>
    <w:rsid w:val="00A02069"/>
    <w:rsid w:val="00A1473A"/>
    <w:rsid w:val="00A14ABA"/>
    <w:rsid w:val="00A1678A"/>
    <w:rsid w:val="00A20692"/>
    <w:rsid w:val="00A21568"/>
    <w:rsid w:val="00A24935"/>
    <w:rsid w:val="00A25C17"/>
    <w:rsid w:val="00A344DE"/>
    <w:rsid w:val="00A42F04"/>
    <w:rsid w:val="00A4640A"/>
    <w:rsid w:val="00A52A94"/>
    <w:rsid w:val="00A533E7"/>
    <w:rsid w:val="00A5420E"/>
    <w:rsid w:val="00A57879"/>
    <w:rsid w:val="00A60573"/>
    <w:rsid w:val="00A61F14"/>
    <w:rsid w:val="00A63CD9"/>
    <w:rsid w:val="00A65D06"/>
    <w:rsid w:val="00A67FE4"/>
    <w:rsid w:val="00A72BD6"/>
    <w:rsid w:val="00A77559"/>
    <w:rsid w:val="00A816B0"/>
    <w:rsid w:val="00A82376"/>
    <w:rsid w:val="00A90906"/>
    <w:rsid w:val="00A93198"/>
    <w:rsid w:val="00AA3968"/>
    <w:rsid w:val="00AB2864"/>
    <w:rsid w:val="00AB3BA7"/>
    <w:rsid w:val="00AB4E76"/>
    <w:rsid w:val="00AD00DF"/>
    <w:rsid w:val="00AD0433"/>
    <w:rsid w:val="00AD4EDF"/>
    <w:rsid w:val="00AD5E39"/>
    <w:rsid w:val="00AD7F54"/>
    <w:rsid w:val="00AE2625"/>
    <w:rsid w:val="00AF1379"/>
    <w:rsid w:val="00AF4627"/>
    <w:rsid w:val="00AF5856"/>
    <w:rsid w:val="00B0011E"/>
    <w:rsid w:val="00B02E4C"/>
    <w:rsid w:val="00B13DEF"/>
    <w:rsid w:val="00B326FC"/>
    <w:rsid w:val="00B37F38"/>
    <w:rsid w:val="00B42852"/>
    <w:rsid w:val="00B44A99"/>
    <w:rsid w:val="00B51A0F"/>
    <w:rsid w:val="00B54D30"/>
    <w:rsid w:val="00B62D2C"/>
    <w:rsid w:val="00B64286"/>
    <w:rsid w:val="00B644B4"/>
    <w:rsid w:val="00B70FF7"/>
    <w:rsid w:val="00B7335C"/>
    <w:rsid w:val="00B77268"/>
    <w:rsid w:val="00B80E74"/>
    <w:rsid w:val="00B82E00"/>
    <w:rsid w:val="00B84533"/>
    <w:rsid w:val="00B86415"/>
    <w:rsid w:val="00B86617"/>
    <w:rsid w:val="00B93B21"/>
    <w:rsid w:val="00B95BD1"/>
    <w:rsid w:val="00BA190E"/>
    <w:rsid w:val="00BA27CD"/>
    <w:rsid w:val="00BA29FD"/>
    <w:rsid w:val="00BA44DB"/>
    <w:rsid w:val="00BA536D"/>
    <w:rsid w:val="00BA592F"/>
    <w:rsid w:val="00BB66C9"/>
    <w:rsid w:val="00BC451E"/>
    <w:rsid w:val="00BC7271"/>
    <w:rsid w:val="00BD1401"/>
    <w:rsid w:val="00BE20E1"/>
    <w:rsid w:val="00BF5C92"/>
    <w:rsid w:val="00C06B83"/>
    <w:rsid w:val="00C20B1D"/>
    <w:rsid w:val="00C20FFC"/>
    <w:rsid w:val="00C360CD"/>
    <w:rsid w:val="00C369D8"/>
    <w:rsid w:val="00C375A7"/>
    <w:rsid w:val="00C5106F"/>
    <w:rsid w:val="00C515A3"/>
    <w:rsid w:val="00C648A8"/>
    <w:rsid w:val="00C64FA3"/>
    <w:rsid w:val="00C7162A"/>
    <w:rsid w:val="00C7605D"/>
    <w:rsid w:val="00C81366"/>
    <w:rsid w:val="00C85F6A"/>
    <w:rsid w:val="00C86E5B"/>
    <w:rsid w:val="00C901E1"/>
    <w:rsid w:val="00CB2942"/>
    <w:rsid w:val="00CB3A2E"/>
    <w:rsid w:val="00CB452B"/>
    <w:rsid w:val="00CB7D5F"/>
    <w:rsid w:val="00CC3473"/>
    <w:rsid w:val="00CE0B62"/>
    <w:rsid w:val="00CE16AA"/>
    <w:rsid w:val="00CE5A72"/>
    <w:rsid w:val="00CE74BA"/>
    <w:rsid w:val="00CF3979"/>
    <w:rsid w:val="00D00072"/>
    <w:rsid w:val="00D02FB2"/>
    <w:rsid w:val="00D06561"/>
    <w:rsid w:val="00D10C9A"/>
    <w:rsid w:val="00D21518"/>
    <w:rsid w:val="00D24391"/>
    <w:rsid w:val="00D279DE"/>
    <w:rsid w:val="00D27DB2"/>
    <w:rsid w:val="00D31D12"/>
    <w:rsid w:val="00D34334"/>
    <w:rsid w:val="00D36A6D"/>
    <w:rsid w:val="00D46F6E"/>
    <w:rsid w:val="00D47C99"/>
    <w:rsid w:val="00D50646"/>
    <w:rsid w:val="00D530FE"/>
    <w:rsid w:val="00D641C7"/>
    <w:rsid w:val="00D644B9"/>
    <w:rsid w:val="00D64A16"/>
    <w:rsid w:val="00D803EF"/>
    <w:rsid w:val="00D81E37"/>
    <w:rsid w:val="00D86A09"/>
    <w:rsid w:val="00D91301"/>
    <w:rsid w:val="00D91CF0"/>
    <w:rsid w:val="00DA397E"/>
    <w:rsid w:val="00DA5F97"/>
    <w:rsid w:val="00DB257B"/>
    <w:rsid w:val="00DC1017"/>
    <w:rsid w:val="00DC2519"/>
    <w:rsid w:val="00DC4788"/>
    <w:rsid w:val="00DC72E3"/>
    <w:rsid w:val="00DF1171"/>
    <w:rsid w:val="00E050E4"/>
    <w:rsid w:val="00E17E96"/>
    <w:rsid w:val="00E21BBF"/>
    <w:rsid w:val="00E313DB"/>
    <w:rsid w:val="00E31A43"/>
    <w:rsid w:val="00E325FD"/>
    <w:rsid w:val="00E331A6"/>
    <w:rsid w:val="00E3424B"/>
    <w:rsid w:val="00E344FA"/>
    <w:rsid w:val="00E501D1"/>
    <w:rsid w:val="00E51CC0"/>
    <w:rsid w:val="00E52762"/>
    <w:rsid w:val="00E546D4"/>
    <w:rsid w:val="00E61BBF"/>
    <w:rsid w:val="00E67517"/>
    <w:rsid w:val="00E739BF"/>
    <w:rsid w:val="00E74BB5"/>
    <w:rsid w:val="00E81B03"/>
    <w:rsid w:val="00E8704B"/>
    <w:rsid w:val="00E87ECB"/>
    <w:rsid w:val="00E91175"/>
    <w:rsid w:val="00E93F1A"/>
    <w:rsid w:val="00E960D3"/>
    <w:rsid w:val="00EA6FFF"/>
    <w:rsid w:val="00EA774B"/>
    <w:rsid w:val="00EC1AC1"/>
    <w:rsid w:val="00EC7100"/>
    <w:rsid w:val="00EE0DB2"/>
    <w:rsid w:val="00EE754B"/>
    <w:rsid w:val="00EE7E0F"/>
    <w:rsid w:val="00EF449F"/>
    <w:rsid w:val="00F024B6"/>
    <w:rsid w:val="00F0571A"/>
    <w:rsid w:val="00F06D11"/>
    <w:rsid w:val="00F16CC2"/>
    <w:rsid w:val="00F24A47"/>
    <w:rsid w:val="00F3375D"/>
    <w:rsid w:val="00F41B32"/>
    <w:rsid w:val="00F46A7F"/>
    <w:rsid w:val="00F47F3A"/>
    <w:rsid w:val="00F603A7"/>
    <w:rsid w:val="00F62E32"/>
    <w:rsid w:val="00F6636E"/>
    <w:rsid w:val="00F83A46"/>
    <w:rsid w:val="00F87A01"/>
    <w:rsid w:val="00F90C04"/>
    <w:rsid w:val="00F937A7"/>
    <w:rsid w:val="00FA0433"/>
    <w:rsid w:val="00FA531E"/>
    <w:rsid w:val="00FB1CBC"/>
    <w:rsid w:val="00FB223D"/>
    <w:rsid w:val="00FB7CFE"/>
    <w:rsid w:val="00FC3F0C"/>
    <w:rsid w:val="00FD2000"/>
    <w:rsid w:val="00FD2139"/>
    <w:rsid w:val="00FD36F0"/>
    <w:rsid w:val="00FD3CC3"/>
    <w:rsid w:val="00FD47EC"/>
    <w:rsid w:val="00FD5D87"/>
    <w:rsid w:val="00FD6FB4"/>
    <w:rsid w:val="00FE62BA"/>
    <w:rsid w:val="00FF2731"/>
    <w:rsid w:val="00FF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54"/>
    <w:rPr>
      <w:sz w:val="24"/>
      <w:szCs w:val="24"/>
    </w:rPr>
  </w:style>
  <w:style w:type="paragraph" w:styleId="Heading1">
    <w:name w:val="heading 1"/>
    <w:basedOn w:val="Normal"/>
    <w:next w:val="Normal"/>
    <w:qFormat/>
    <w:rsid w:val="00AD7F5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7F54"/>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D7F54"/>
    <w:pPr>
      <w:spacing w:before="240" w:after="60"/>
      <w:outlineLvl w:val="4"/>
    </w:pPr>
    <w:rPr>
      <w:b/>
      <w:bCs/>
      <w:i/>
      <w:iCs/>
      <w:sz w:val="26"/>
      <w:szCs w:val="26"/>
    </w:rPr>
  </w:style>
  <w:style w:type="paragraph" w:styleId="Heading6">
    <w:name w:val="heading 6"/>
    <w:basedOn w:val="Normal"/>
    <w:qFormat/>
    <w:rsid w:val="00AD7F54"/>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D7F54"/>
    <w:rPr>
      <w:b/>
      <w:bCs/>
    </w:rPr>
  </w:style>
  <w:style w:type="paragraph" w:styleId="NormalWeb">
    <w:name w:val="Normal (Web)"/>
    <w:basedOn w:val="Normal"/>
    <w:rsid w:val="00AD7F54"/>
    <w:pPr>
      <w:spacing w:before="100" w:beforeAutospacing="1" w:after="100" w:afterAutospacing="1"/>
    </w:pPr>
  </w:style>
  <w:style w:type="character" w:styleId="Hyperlink">
    <w:name w:val="Hyperlink"/>
    <w:uiPriority w:val="99"/>
    <w:rsid w:val="00AD7F54"/>
    <w:rPr>
      <w:color w:val="0000FF"/>
      <w:u w:val="single"/>
    </w:rPr>
  </w:style>
  <w:style w:type="character" w:styleId="Emphasis">
    <w:name w:val="Emphasis"/>
    <w:qFormat/>
    <w:rsid w:val="00AD7F54"/>
    <w:rPr>
      <w:i/>
      <w:iCs/>
    </w:rPr>
  </w:style>
  <w:style w:type="character" w:styleId="HTMLTypewriter">
    <w:name w:val="HTML Typewriter"/>
    <w:rsid w:val="00AD7F54"/>
    <w:rPr>
      <w:rFonts w:ascii="Courier New" w:eastAsia="Times New Roman" w:hAnsi="Courier New" w:cs="Courier New"/>
      <w:sz w:val="20"/>
      <w:szCs w:val="20"/>
    </w:rPr>
  </w:style>
  <w:style w:type="paragraph" w:styleId="HTMLPreformatted">
    <w:name w:val="HTML Preformatted"/>
    <w:basedOn w:val="Normal"/>
    <w:rsid w:val="00AD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AD7F54"/>
  </w:style>
  <w:style w:type="paragraph" w:styleId="CommentText">
    <w:name w:val="annotation text"/>
    <w:basedOn w:val="Normal"/>
    <w:link w:val="CommentTextChar"/>
    <w:semiHidden/>
    <w:rsid w:val="00AD7F54"/>
    <w:pPr>
      <w:spacing w:before="100" w:beforeAutospacing="1" w:after="100" w:afterAutospacing="1"/>
    </w:pPr>
  </w:style>
  <w:style w:type="paragraph" w:customStyle="1" w:styleId="Level1">
    <w:name w:val="Level 1"/>
    <w:basedOn w:val="Normal"/>
    <w:rsid w:val="00AD7F54"/>
    <w:pPr>
      <w:widowControl w:val="0"/>
      <w:autoSpaceDE w:val="0"/>
      <w:autoSpaceDN w:val="0"/>
      <w:adjustRightInd w:val="0"/>
      <w:outlineLvl w:val="0"/>
    </w:pPr>
  </w:style>
  <w:style w:type="paragraph" w:styleId="BalloonText">
    <w:name w:val="Balloon Text"/>
    <w:basedOn w:val="Normal"/>
    <w:semiHidden/>
    <w:rsid w:val="00316A36"/>
    <w:rPr>
      <w:rFonts w:ascii="Tahoma" w:hAnsi="Tahoma" w:cs="Tahoma"/>
      <w:sz w:val="16"/>
      <w:szCs w:val="16"/>
    </w:rPr>
  </w:style>
  <w:style w:type="paragraph" w:styleId="CommentSubject">
    <w:name w:val="annotation subject"/>
    <w:basedOn w:val="CommentText"/>
    <w:next w:val="CommentText"/>
    <w:semiHidden/>
    <w:rsid w:val="00DA5F97"/>
    <w:pPr>
      <w:spacing w:before="0" w:beforeAutospacing="0" w:after="0" w:afterAutospacing="0"/>
    </w:pPr>
    <w:rPr>
      <w:b/>
      <w:bCs/>
      <w:sz w:val="20"/>
      <w:szCs w:val="20"/>
    </w:rPr>
  </w:style>
  <w:style w:type="paragraph" w:styleId="Footer">
    <w:name w:val="footer"/>
    <w:basedOn w:val="Normal"/>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uiPriority w:val="34"/>
    <w:qFormat/>
    <w:rsid w:val="0048246D"/>
    <w:pPr>
      <w:ind w:left="720"/>
    </w:pPr>
  </w:style>
  <w:style w:type="paragraph" w:styleId="FootnoteText">
    <w:name w:val="footnote text"/>
    <w:basedOn w:val="Normal"/>
    <w:link w:val="FootnoteTextChar"/>
    <w:uiPriority w:val="99"/>
    <w:semiHidden/>
    <w:unhideWhenUsed/>
    <w:rsid w:val="00E960D3"/>
    <w:rPr>
      <w:sz w:val="20"/>
      <w:szCs w:val="20"/>
    </w:rPr>
  </w:style>
  <w:style w:type="character" w:customStyle="1" w:styleId="FootnoteTextChar">
    <w:name w:val="Footnote Text Char"/>
    <w:basedOn w:val="DefaultParagraphFont"/>
    <w:link w:val="FootnoteText"/>
    <w:uiPriority w:val="99"/>
    <w:semiHidden/>
    <w:rsid w:val="00E960D3"/>
  </w:style>
  <w:style w:type="character" w:styleId="FootnoteReference">
    <w:name w:val="footnote reference"/>
    <w:uiPriority w:val="99"/>
    <w:semiHidden/>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54"/>
    <w:rPr>
      <w:sz w:val="24"/>
      <w:szCs w:val="24"/>
    </w:rPr>
  </w:style>
  <w:style w:type="paragraph" w:styleId="Heading1">
    <w:name w:val="heading 1"/>
    <w:basedOn w:val="Normal"/>
    <w:next w:val="Normal"/>
    <w:qFormat/>
    <w:rsid w:val="00AD7F5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7F54"/>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D7F54"/>
    <w:pPr>
      <w:spacing w:before="240" w:after="60"/>
      <w:outlineLvl w:val="4"/>
    </w:pPr>
    <w:rPr>
      <w:b/>
      <w:bCs/>
      <w:i/>
      <w:iCs/>
      <w:sz w:val="26"/>
      <w:szCs w:val="26"/>
    </w:rPr>
  </w:style>
  <w:style w:type="paragraph" w:styleId="Heading6">
    <w:name w:val="heading 6"/>
    <w:basedOn w:val="Normal"/>
    <w:qFormat/>
    <w:rsid w:val="00AD7F54"/>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D7F54"/>
    <w:rPr>
      <w:b/>
      <w:bCs/>
    </w:rPr>
  </w:style>
  <w:style w:type="paragraph" w:styleId="NormalWeb">
    <w:name w:val="Normal (Web)"/>
    <w:basedOn w:val="Normal"/>
    <w:rsid w:val="00AD7F54"/>
    <w:pPr>
      <w:spacing w:before="100" w:beforeAutospacing="1" w:after="100" w:afterAutospacing="1"/>
    </w:pPr>
  </w:style>
  <w:style w:type="character" w:styleId="Hyperlink">
    <w:name w:val="Hyperlink"/>
    <w:uiPriority w:val="99"/>
    <w:rsid w:val="00AD7F54"/>
    <w:rPr>
      <w:color w:val="0000FF"/>
      <w:u w:val="single"/>
    </w:rPr>
  </w:style>
  <w:style w:type="character" w:styleId="Emphasis">
    <w:name w:val="Emphasis"/>
    <w:qFormat/>
    <w:rsid w:val="00AD7F54"/>
    <w:rPr>
      <w:i/>
      <w:iCs/>
    </w:rPr>
  </w:style>
  <w:style w:type="character" w:styleId="HTMLTypewriter">
    <w:name w:val="HTML Typewriter"/>
    <w:rsid w:val="00AD7F54"/>
    <w:rPr>
      <w:rFonts w:ascii="Courier New" w:eastAsia="Times New Roman" w:hAnsi="Courier New" w:cs="Courier New"/>
      <w:sz w:val="20"/>
      <w:szCs w:val="20"/>
    </w:rPr>
  </w:style>
  <w:style w:type="paragraph" w:styleId="HTMLPreformatted">
    <w:name w:val="HTML Preformatted"/>
    <w:basedOn w:val="Normal"/>
    <w:rsid w:val="00AD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AD7F54"/>
  </w:style>
  <w:style w:type="paragraph" w:styleId="CommentText">
    <w:name w:val="annotation text"/>
    <w:basedOn w:val="Normal"/>
    <w:link w:val="CommentTextChar"/>
    <w:semiHidden/>
    <w:rsid w:val="00AD7F54"/>
    <w:pPr>
      <w:spacing w:before="100" w:beforeAutospacing="1" w:after="100" w:afterAutospacing="1"/>
    </w:pPr>
  </w:style>
  <w:style w:type="paragraph" w:customStyle="1" w:styleId="Level1">
    <w:name w:val="Level 1"/>
    <w:basedOn w:val="Normal"/>
    <w:rsid w:val="00AD7F54"/>
    <w:pPr>
      <w:widowControl w:val="0"/>
      <w:autoSpaceDE w:val="0"/>
      <w:autoSpaceDN w:val="0"/>
      <w:adjustRightInd w:val="0"/>
      <w:outlineLvl w:val="0"/>
    </w:pPr>
  </w:style>
  <w:style w:type="paragraph" w:styleId="BalloonText">
    <w:name w:val="Balloon Text"/>
    <w:basedOn w:val="Normal"/>
    <w:semiHidden/>
    <w:rsid w:val="00316A36"/>
    <w:rPr>
      <w:rFonts w:ascii="Tahoma" w:hAnsi="Tahoma" w:cs="Tahoma"/>
      <w:sz w:val="16"/>
      <w:szCs w:val="16"/>
    </w:rPr>
  </w:style>
  <w:style w:type="paragraph" w:styleId="CommentSubject">
    <w:name w:val="annotation subject"/>
    <w:basedOn w:val="CommentText"/>
    <w:next w:val="CommentText"/>
    <w:semiHidden/>
    <w:rsid w:val="00DA5F97"/>
    <w:pPr>
      <w:spacing w:before="0" w:beforeAutospacing="0" w:after="0" w:afterAutospacing="0"/>
    </w:pPr>
    <w:rPr>
      <w:b/>
      <w:bCs/>
      <w:sz w:val="20"/>
      <w:szCs w:val="20"/>
    </w:rPr>
  </w:style>
  <w:style w:type="paragraph" w:styleId="Footer">
    <w:name w:val="footer"/>
    <w:basedOn w:val="Normal"/>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uiPriority w:val="34"/>
    <w:qFormat/>
    <w:rsid w:val="0048246D"/>
    <w:pPr>
      <w:ind w:left="720"/>
    </w:pPr>
  </w:style>
  <w:style w:type="paragraph" w:styleId="FootnoteText">
    <w:name w:val="footnote text"/>
    <w:basedOn w:val="Normal"/>
    <w:link w:val="FootnoteTextChar"/>
    <w:uiPriority w:val="99"/>
    <w:semiHidden/>
    <w:unhideWhenUsed/>
    <w:rsid w:val="00E960D3"/>
    <w:rPr>
      <w:sz w:val="20"/>
      <w:szCs w:val="20"/>
    </w:rPr>
  </w:style>
  <w:style w:type="character" w:customStyle="1" w:styleId="FootnoteTextChar">
    <w:name w:val="Footnote Text Char"/>
    <w:basedOn w:val="DefaultParagraphFont"/>
    <w:link w:val="FootnoteText"/>
    <w:uiPriority w:val="99"/>
    <w:semiHidden/>
    <w:rsid w:val="00E960D3"/>
  </w:style>
  <w:style w:type="character" w:styleId="FootnoteReference">
    <w:name w:val="footnote reference"/>
    <w:uiPriority w:val="99"/>
    <w:semiHidden/>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7967">
      <w:bodyDiv w:val="1"/>
      <w:marLeft w:val="0"/>
      <w:marRight w:val="0"/>
      <w:marTop w:val="0"/>
      <w:marBottom w:val="0"/>
      <w:divBdr>
        <w:top w:val="none" w:sz="0" w:space="0" w:color="auto"/>
        <w:left w:val="none" w:sz="0" w:space="0" w:color="auto"/>
        <w:bottom w:val="none" w:sz="0" w:space="0" w:color="auto"/>
        <w:right w:val="none" w:sz="0" w:space="0" w:color="auto"/>
      </w:divBdr>
    </w:div>
    <w:div w:id="551505006">
      <w:bodyDiv w:val="1"/>
      <w:marLeft w:val="0"/>
      <w:marRight w:val="0"/>
      <w:marTop w:val="0"/>
      <w:marBottom w:val="0"/>
      <w:divBdr>
        <w:top w:val="none" w:sz="0" w:space="0" w:color="auto"/>
        <w:left w:val="none" w:sz="0" w:space="0" w:color="auto"/>
        <w:bottom w:val="none" w:sz="0" w:space="0" w:color="auto"/>
        <w:right w:val="none" w:sz="0" w:space="0" w:color="auto"/>
      </w:divBdr>
    </w:div>
    <w:div w:id="1102840736">
      <w:bodyDiv w:val="1"/>
      <w:marLeft w:val="0"/>
      <w:marRight w:val="0"/>
      <w:marTop w:val="0"/>
      <w:marBottom w:val="0"/>
      <w:divBdr>
        <w:top w:val="none" w:sz="0" w:space="0" w:color="auto"/>
        <w:left w:val="none" w:sz="0" w:space="0" w:color="auto"/>
        <w:bottom w:val="none" w:sz="0" w:space="0" w:color="auto"/>
        <w:right w:val="none" w:sz="0" w:space="0" w:color="auto"/>
      </w:divBdr>
    </w:div>
    <w:div w:id="1341078275">
      <w:bodyDiv w:val="1"/>
      <w:marLeft w:val="0"/>
      <w:marRight w:val="0"/>
      <w:marTop w:val="0"/>
      <w:marBottom w:val="0"/>
      <w:divBdr>
        <w:top w:val="none" w:sz="0" w:space="0" w:color="auto"/>
        <w:left w:val="none" w:sz="0" w:space="0" w:color="auto"/>
        <w:bottom w:val="none" w:sz="0" w:space="0" w:color="auto"/>
        <w:right w:val="none" w:sz="0" w:space="0" w:color="auto"/>
      </w:divBdr>
    </w:div>
    <w:div w:id="1964312744">
      <w:bodyDiv w:val="1"/>
      <w:marLeft w:val="0"/>
      <w:marRight w:val="0"/>
      <w:marTop w:val="0"/>
      <w:marBottom w:val="0"/>
      <w:divBdr>
        <w:top w:val="none" w:sz="0" w:space="0" w:color="auto"/>
        <w:left w:val="none" w:sz="0" w:space="0" w:color="auto"/>
        <w:bottom w:val="none" w:sz="0" w:space="0" w:color="auto"/>
        <w:right w:val="none" w:sz="0" w:space="0" w:color="auto"/>
      </w:divBdr>
    </w:div>
    <w:div w:id="214488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A2225-1AA9-4BEF-B297-A61642B1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4005</Words>
  <Characters>23904</Characters>
  <Application>Microsoft Office Word</Application>
  <DocSecurity>4</DocSecurity>
  <Lines>199</Lines>
  <Paragraphs>55</Paragraphs>
  <ScaleCrop>false</ScaleCrop>
  <HeadingPairs>
    <vt:vector size="2" baseType="variant">
      <vt:variant>
        <vt:lpstr>Title</vt:lpstr>
      </vt:variant>
      <vt:variant>
        <vt:i4>1</vt:i4>
      </vt:variant>
    </vt:vector>
  </HeadingPairs>
  <TitlesOfParts>
    <vt:vector size="1" baseType="lpstr">
      <vt:lpstr>Introduction:</vt:lpstr>
    </vt:vector>
  </TitlesOfParts>
  <Company>DHHS</Company>
  <LinksUpToDate>false</LinksUpToDate>
  <CharactersWithSpaces>27854</CharactersWithSpaces>
  <SharedDoc>false</SharedDoc>
  <HLinks>
    <vt:vector size="12" baseType="variant">
      <vt:variant>
        <vt:i4>327724</vt:i4>
      </vt:variant>
      <vt:variant>
        <vt:i4>3</vt:i4>
      </vt:variant>
      <vt:variant>
        <vt:i4>0</vt:i4>
      </vt:variant>
      <vt:variant>
        <vt:i4>5</vt:i4>
      </vt:variant>
      <vt:variant>
        <vt:lpwstr>mailto:LaMar.Henderson@SAMHSA.HHS.Gov</vt:lpwstr>
      </vt:variant>
      <vt:variant>
        <vt:lpwstr/>
      </vt:variant>
      <vt:variant>
        <vt:i4>5832751</vt:i4>
      </vt:variant>
      <vt:variant>
        <vt:i4>0</vt:i4>
      </vt:variant>
      <vt:variant>
        <vt:i4>0</vt:i4>
      </vt:variant>
      <vt:variant>
        <vt:i4>5</vt:i4>
      </vt:variant>
      <vt:variant>
        <vt:lpwstr>mailto:ccastro-donlan@jbsinternational.com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etait</dc:creator>
  <cp:lastModifiedBy>Darren Fulmore</cp:lastModifiedBy>
  <cp:revision>2</cp:revision>
  <cp:lastPrinted>2014-02-20T19:54:00Z</cp:lastPrinted>
  <dcterms:created xsi:type="dcterms:W3CDTF">2014-10-28T12:30:00Z</dcterms:created>
  <dcterms:modified xsi:type="dcterms:W3CDTF">2014-10-28T12:30:00Z</dcterms:modified>
</cp:coreProperties>
</file>