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7D" w:rsidRDefault="004D0C9C" w:rsidP="004D0C9C">
      <w:pPr>
        <w:jc w:val="center"/>
        <w:rPr>
          <w:b/>
        </w:rPr>
      </w:pPr>
      <w:r w:rsidRPr="004D0C9C">
        <w:rPr>
          <w:b/>
        </w:rPr>
        <w:t>Justification for the Change</w:t>
      </w:r>
    </w:p>
    <w:p w:rsidR="00B732B3" w:rsidRPr="004D0C9C" w:rsidRDefault="00B732B3" w:rsidP="004D0C9C">
      <w:pPr>
        <w:jc w:val="center"/>
        <w:rPr>
          <w:b/>
        </w:rPr>
      </w:pPr>
      <w:r>
        <w:rPr>
          <w:b/>
        </w:rPr>
        <w:t>OMB 0920-0307</w:t>
      </w:r>
    </w:p>
    <w:p w:rsidR="00B732B3" w:rsidRDefault="004D0C9C" w:rsidP="00CA0F9B">
      <w:pPr>
        <w:spacing w:line="480" w:lineRule="auto"/>
      </w:pPr>
      <w:r w:rsidRPr="00CA0F9B">
        <w:rPr>
          <w:b/>
        </w:rPr>
        <w:t>Requested  change:</w:t>
      </w:r>
      <w:r>
        <w:t xml:space="preserve"> </w:t>
      </w:r>
      <w:r w:rsidR="00B732B3">
        <w:t>The variable SPC on Forms 2 and 3 (and SPCTINO in the data dictionary) will be changed to GEN</w:t>
      </w:r>
      <w:r w:rsidR="00B83A18">
        <w:t xml:space="preserve"> and the response codes will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250"/>
        <w:gridCol w:w="5598"/>
      </w:tblGrid>
      <w:tr w:rsidR="00B83A18" w:rsidTr="00B83A18">
        <w:tc>
          <w:tcPr>
            <w:tcW w:w="2448" w:type="dxa"/>
          </w:tcPr>
          <w:p w:rsidR="00B83A18" w:rsidRDefault="00B83A18" w:rsidP="00B83A18">
            <w:pPr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250" w:type="dxa"/>
          </w:tcPr>
          <w:p w:rsidR="00B83A18" w:rsidRDefault="00B83A18" w:rsidP="00B83A18">
            <w:pPr>
              <w:rPr>
                <w:b/>
              </w:rPr>
            </w:pPr>
            <w:r>
              <w:rPr>
                <w:b/>
              </w:rPr>
              <w:t>Current Item</w:t>
            </w:r>
          </w:p>
        </w:tc>
        <w:tc>
          <w:tcPr>
            <w:tcW w:w="5598" w:type="dxa"/>
          </w:tcPr>
          <w:p w:rsidR="00B83A18" w:rsidRDefault="00B83A18" w:rsidP="00B83A18">
            <w:pPr>
              <w:rPr>
                <w:b/>
              </w:rPr>
            </w:pPr>
            <w:r>
              <w:rPr>
                <w:b/>
              </w:rPr>
              <w:t>Requested Change</w:t>
            </w:r>
          </w:p>
        </w:tc>
      </w:tr>
      <w:tr w:rsidR="00B83A18" w:rsidTr="00B83A18">
        <w:tc>
          <w:tcPr>
            <w:tcW w:w="2448" w:type="dxa"/>
          </w:tcPr>
          <w:p w:rsidR="00B83A18" w:rsidRPr="00B83A18" w:rsidRDefault="00B83A18" w:rsidP="00B83A18">
            <w:r w:rsidRPr="00B83A18">
              <w:t>2</w:t>
            </w:r>
          </w:p>
        </w:tc>
        <w:tc>
          <w:tcPr>
            <w:tcW w:w="2250" w:type="dxa"/>
          </w:tcPr>
          <w:p w:rsidR="00B83A18" w:rsidRPr="00B83A18" w:rsidRDefault="00B83A18" w:rsidP="00B83A18">
            <w:r w:rsidRPr="00B83A18">
              <w:t>SPC</w:t>
            </w:r>
          </w:p>
        </w:tc>
        <w:tc>
          <w:tcPr>
            <w:tcW w:w="5598" w:type="dxa"/>
          </w:tcPr>
          <w:p w:rsidR="00B83A18" w:rsidRDefault="00B83A18" w:rsidP="00B83A18">
            <w:r w:rsidRPr="00B83A18">
              <w:t>This variable name will be changed to GEN</w:t>
            </w:r>
          </w:p>
          <w:p w:rsidR="00B83A18" w:rsidRDefault="00B83A18" w:rsidP="00B83A18"/>
          <w:p w:rsidR="00B83A18" w:rsidRPr="00B83A18" w:rsidRDefault="00B83A18" w:rsidP="00B83A18">
            <w:r>
              <w:t>The response codes will change from “1” or “2” to “1.0”, “2.0”, “4.0”, “8.0”, “16.0”, or “32.0”</w:t>
            </w:r>
          </w:p>
        </w:tc>
      </w:tr>
      <w:tr w:rsidR="00B83A18" w:rsidTr="00B83A18">
        <w:tc>
          <w:tcPr>
            <w:tcW w:w="2448" w:type="dxa"/>
          </w:tcPr>
          <w:p w:rsidR="00B83A18" w:rsidRPr="00B83A18" w:rsidRDefault="00B83A18" w:rsidP="00B83A18">
            <w:r w:rsidRPr="00B83A18">
              <w:t>3</w:t>
            </w:r>
          </w:p>
        </w:tc>
        <w:tc>
          <w:tcPr>
            <w:tcW w:w="2250" w:type="dxa"/>
          </w:tcPr>
          <w:p w:rsidR="00B83A18" w:rsidRPr="00B83A18" w:rsidRDefault="00B83A18" w:rsidP="00B83A18">
            <w:r w:rsidRPr="00B83A18">
              <w:t>SPC</w:t>
            </w:r>
          </w:p>
        </w:tc>
        <w:tc>
          <w:tcPr>
            <w:tcW w:w="5598" w:type="dxa"/>
          </w:tcPr>
          <w:p w:rsidR="00B83A18" w:rsidRDefault="00B83A18" w:rsidP="00B83A18">
            <w:r w:rsidRPr="00B83A18">
              <w:t>This variable name will be changed to GEN</w:t>
            </w:r>
          </w:p>
          <w:p w:rsidR="00B83A18" w:rsidRDefault="00B83A18" w:rsidP="00B83A18"/>
          <w:p w:rsidR="00B83A18" w:rsidRPr="00B83A18" w:rsidRDefault="00B83A18" w:rsidP="00B83A18">
            <w:r>
              <w:t>The response codes will change from “1” or “2” to “1.0”, “2.0”, “4.0”, “8.0”, “16.0”, or “32.0”</w:t>
            </w:r>
          </w:p>
        </w:tc>
      </w:tr>
    </w:tbl>
    <w:p w:rsidR="00B83A18" w:rsidRDefault="00B83A18" w:rsidP="00CA0F9B">
      <w:pPr>
        <w:spacing w:line="480" w:lineRule="auto"/>
        <w:rPr>
          <w:b/>
        </w:rPr>
      </w:pPr>
    </w:p>
    <w:p w:rsidR="004D0C9C" w:rsidRDefault="004D0C9C" w:rsidP="00CA0F9B">
      <w:pPr>
        <w:spacing w:line="480" w:lineRule="auto"/>
      </w:pPr>
      <w:r w:rsidRPr="00CA0F9B">
        <w:rPr>
          <w:b/>
        </w:rPr>
        <w:t>Justification for the Change:</w:t>
      </w:r>
      <w:r w:rsidR="00B732B3" w:rsidRPr="00CA0F9B">
        <w:rPr>
          <w:b/>
        </w:rPr>
        <w:t xml:space="preserve"> </w:t>
      </w:r>
      <w:r w:rsidR="00B732B3">
        <w:t xml:space="preserve">The Gonococcal Isolate Surveillance Project conducts public health surveillance on antimicrobial susceptibility of </w:t>
      </w:r>
      <w:r w:rsidR="00B732B3" w:rsidRPr="00B732B3">
        <w:rPr>
          <w:i/>
        </w:rPr>
        <w:t>Neisseria gonorrhoeae</w:t>
      </w:r>
      <w:r w:rsidR="00B732B3">
        <w:t>. To provide the most useful and actionable surveillance data</w:t>
      </w:r>
      <w:r w:rsidR="00CA0F9B">
        <w:t xml:space="preserve"> and to keep pace with changes in gonorrhea treatment practices</w:t>
      </w:r>
      <w:r w:rsidR="00B732B3">
        <w:t xml:space="preserve">, the Gonococcal Isolate Surveillance Project (GISP) occasionally has to update the antimicrobial agents tested in GISP.  </w:t>
      </w:r>
      <w:r w:rsidR="00B732B3" w:rsidRPr="00B732B3">
        <w:rPr>
          <w:i/>
        </w:rPr>
        <w:t>N. gonorrhoeae</w:t>
      </w:r>
      <w:r w:rsidR="00B732B3">
        <w:t xml:space="preserve"> susceptibility to spectinomycin has b</w:t>
      </w:r>
      <w:r w:rsidR="00CA0F9B">
        <w:t xml:space="preserve">een tested in GISP since 1987. </w:t>
      </w:r>
      <w:r w:rsidR="00B732B3">
        <w:t>However, spectinomycin is no longer available in the United Stat</w:t>
      </w:r>
      <w:r w:rsidR="00CA0F9B">
        <w:t>es</w:t>
      </w:r>
      <w:r w:rsidR="00B732B3">
        <w:t>. A</w:t>
      </w:r>
      <w:r w:rsidR="00CA0F9B">
        <w:t>n antibiotic</w:t>
      </w:r>
      <w:r w:rsidR="00B732B3">
        <w:t xml:space="preserve"> </w:t>
      </w:r>
      <w:r w:rsidR="00CA0F9B">
        <w:t xml:space="preserve">regimen that includes gentamicin, an antimicrobial </w:t>
      </w:r>
      <w:r w:rsidR="00B732B3">
        <w:t xml:space="preserve">similar </w:t>
      </w:r>
      <w:r w:rsidR="00CA0F9B">
        <w:t>to spectinomycin</w:t>
      </w:r>
      <w:r w:rsidR="00B83A18">
        <w:t xml:space="preserve"> but that is widely available in the United States</w:t>
      </w:r>
      <w:r w:rsidR="00CA0F9B">
        <w:t xml:space="preserve">, </w:t>
      </w:r>
      <w:r w:rsidR="00B732B3">
        <w:t>was recently found to be effective for gonorrhea treatment</w:t>
      </w:r>
      <w:r w:rsidR="00CA0F9B">
        <w:t xml:space="preserve"> and is likely to be recommended as alternative therapy in the upcoming CDC STD Treatment Guidelines update. </w:t>
      </w:r>
      <w:r w:rsidR="00B732B3">
        <w:t xml:space="preserve"> </w:t>
      </w:r>
      <w:r w:rsidR="00B83A18">
        <w:t>In GISP, we will</w:t>
      </w:r>
      <w:r w:rsidR="00CA0F9B">
        <w:t xml:space="preserve"> </w:t>
      </w:r>
      <w:r w:rsidR="00B83A18">
        <w:t xml:space="preserve">replace </w:t>
      </w:r>
      <w:r w:rsidR="00CA0F9B">
        <w:t xml:space="preserve">testing for </w:t>
      </w:r>
      <w:proofErr w:type="spellStart"/>
      <w:r w:rsidR="00CA0F9B">
        <w:t>spectinomycin</w:t>
      </w:r>
      <w:proofErr w:type="spellEnd"/>
      <w:r w:rsidR="00CA0F9B">
        <w:t xml:space="preserve"> </w:t>
      </w:r>
      <w:r w:rsidR="00416B1F">
        <w:t xml:space="preserve"> (SPC) </w:t>
      </w:r>
      <w:bookmarkStart w:id="0" w:name="_GoBack"/>
      <w:bookmarkEnd w:id="0"/>
      <w:r w:rsidR="00CA0F9B">
        <w:t xml:space="preserve">susceptibility with testing for gentamicin </w:t>
      </w:r>
      <w:r w:rsidR="000903FF">
        <w:t xml:space="preserve">(GEN) </w:t>
      </w:r>
      <w:r w:rsidR="00CA0F9B">
        <w:t xml:space="preserve">susceptibility.  Thus, the variable SPC on Forms 2 and 3 will be changed to GEN.  Spectinomycin susceptibility is coded as SPCTINO in the data dictionary – this will be also be changed to GEN. The response codes will also </w:t>
      </w:r>
      <w:r w:rsidR="00B83A18">
        <w:t xml:space="preserve">need to </w:t>
      </w:r>
      <w:r w:rsidR="00CA0F9B">
        <w:t>change to reflect the possible gentamicin susceptibility results: rather than 1=sensitive or 2=resistant, the acceptable response codes will be 1.0, 2.0, 4.0, 8.0, 16.0, or 32.0.</w:t>
      </w:r>
    </w:p>
    <w:p w:rsidR="004D0C9C" w:rsidRDefault="006C61F3" w:rsidP="00CA0F9B">
      <w:pPr>
        <w:spacing w:line="480" w:lineRule="auto"/>
      </w:pPr>
      <w:r w:rsidRPr="006243E8">
        <w:rPr>
          <w:b/>
        </w:rPr>
        <w:t>Effect of proposed change on the burden and/or respondents:</w:t>
      </w:r>
      <w:r>
        <w:t xml:space="preserve">  None. </w:t>
      </w:r>
    </w:p>
    <w:sectPr w:rsidR="004D0C9C" w:rsidSect="005266D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82"/>
    <w:rsid w:val="000903FF"/>
    <w:rsid w:val="001E627D"/>
    <w:rsid w:val="00416B1F"/>
    <w:rsid w:val="004D0C9C"/>
    <w:rsid w:val="005266D5"/>
    <w:rsid w:val="006243E8"/>
    <w:rsid w:val="006C61F3"/>
    <w:rsid w:val="00B732B3"/>
    <w:rsid w:val="00B83A18"/>
    <w:rsid w:val="00CA0F9B"/>
    <w:rsid w:val="00D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Kirkcaldy</dc:creator>
  <cp:lastModifiedBy>Bonds, Constance (CDC/OID/NCHHSTP)</cp:lastModifiedBy>
  <cp:revision>2</cp:revision>
  <dcterms:created xsi:type="dcterms:W3CDTF">2014-08-01T14:58:00Z</dcterms:created>
  <dcterms:modified xsi:type="dcterms:W3CDTF">2014-08-01T14:58:00Z</dcterms:modified>
</cp:coreProperties>
</file>