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0B" w:rsidRPr="008C07B2" w:rsidRDefault="005C1A0B" w:rsidP="004867D7">
      <w:pPr>
        <w:pStyle w:val="Default1"/>
        <w:spacing w:after="83"/>
        <w:ind w:right="-540"/>
        <w:rPr>
          <w:sz w:val="16"/>
          <w:szCs w:val="16"/>
        </w:rPr>
      </w:pPr>
      <w:r w:rsidRPr="008C07B2">
        <w:rPr>
          <w:sz w:val="16"/>
          <w:szCs w:val="16"/>
        </w:rPr>
        <w:t>Revised</w:t>
      </w:r>
      <w:r>
        <w:rPr>
          <w:sz w:val="16"/>
          <w:szCs w:val="16"/>
        </w:rPr>
        <w:t>: 0</w:t>
      </w:r>
      <w:r>
        <w:rPr>
          <w:sz w:val="16"/>
          <w:szCs w:val="16"/>
        </w:rPr>
        <w:t>7</w:t>
      </w:r>
      <w:r>
        <w:rPr>
          <w:sz w:val="16"/>
          <w:szCs w:val="16"/>
        </w:rPr>
        <w:t>/</w:t>
      </w:r>
      <w:r>
        <w:rPr>
          <w:sz w:val="16"/>
          <w:szCs w:val="16"/>
        </w:rPr>
        <w:t>09</w:t>
      </w:r>
      <w:r>
        <w:rPr>
          <w:sz w:val="16"/>
          <w:szCs w:val="16"/>
        </w:rPr>
        <w:t>/2014</w:t>
      </w:r>
      <w:r w:rsidRPr="008C07B2">
        <w:rPr>
          <w:sz w:val="16"/>
          <w:szCs w:val="16"/>
        </w:rPr>
        <w:t xml:space="preserve">  </w:t>
      </w:r>
      <w:r w:rsidRPr="008C07B2">
        <w:rPr>
          <w:sz w:val="16"/>
          <w:szCs w:val="16"/>
        </w:rPr>
        <w:tab/>
      </w:r>
      <w:r w:rsidRPr="008C07B2">
        <w:rPr>
          <w:sz w:val="16"/>
          <w:szCs w:val="16"/>
        </w:rPr>
        <w:tab/>
      </w:r>
      <w:r w:rsidRPr="008C07B2">
        <w:rPr>
          <w:sz w:val="16"/>
          <w:szCs w:val="16"/>
        </w:rPr>
        <w:tab/>
      </w:r>
      <w:r w:rsidRPr="008C07B2">
        <w:rPr>
          <w:sz w:val="16"/>
          <w:szCs w:val="16"/>
        </w:rPr>
        <w:tab/>
      </w:r>
      <w:r w:rsidRPr="008C07B2">
        <w:rPr>
          <w:sz w:val="16"/>
          <w:szCs w:val="16"/>
        </w:rPr>
        <w:tab/>
      </w:r>
      <w:r w:rsidRPr="008C07B2">
        <w:rPr>
          <w:sz w:val="16"/>
          <w:szCs w:val="16"/>
        </w:rPr>
        <w:tab/>
      </w:r>
      <w:r>
        <w:rPr>
          <w:sz w:val="16"/>
          <w:szCs w:val="16"/>
        </w:rPr>
        <w:t xml:space="preserve">                                </w:t>
      </w:r>
      <w:r w:rsidRPr="008C07B2">
        <w:rPr>
          <w:sz w:val="16"/>
          <w:szCs w:val="16"/>
        </w:rPr>
        <w:t>OMB Control No. 0648-0</w:t>
      </w:r>
      <w:r>
        <w:rPr>
          <w:sz w:val="16"/>
          <w:szCs w:val="16"/>
        </w:rPr>
        <w:t>3</w:t>
      </w:r>
      <w:r>
        <w:rPr>
          <w:sz w:val="16"/>
          <w:szCs w:val="16"/>
        </w:rPr>
        <w:t>16</w:t>
      </w:r>
      <w:r w:rsidRPr="008C07B2">
        <w:rPr>
          <w:sz w:val="16"/>
          <w:szCs w:val="16"/>
        </w:rPr>
        <w:t xml:space="preserve">, Expiration Date:  </w:t>
      </w:r>
      <w:r>
        <w:rPr>
          <w:sz w:val="16"/>
          <w:szCs w:val="16"/>
        </w:rPr>
        <w:t>1</w:t>
      </w:r>
      <w:r>
        <w:rPr>
          <w:sz w:val="16"/>
          <w:szCs w:val="16"/>
        </w:rPr>
        <w:t>0</w:t>
      </w:r>
      <w:r w:rsidRPr="008C07B2">
        <w:rPr>
          <w:sz w:val="16"/>
          <w:szCs w:val="16"/>
        </w:rPr>
        <w:t>/</w:t>
      </w:r>
      <w:r>
        <w:rPr>
          <w:sz w:val="16"/>
          <w:szCs w:val="16"/>
        </w:rPr>
        <w:t>3</w:t>
      </w:r>
      <w:r>
        <w:rPr>
          <w:sz w:val="16"/>
          <w:szCs w:val="16"/>
        </w:rPr>
        <w:t>1</w:t>
      </w:r>
      <w:r w:rsidRPr="008C07B2">
        <w:rPr>
          <w:sz w:val="16"/>
          <w:szCs w:val="16"/>
        </w:rPr>
        <w:t>/2</w:t>
      </w:r>
      <w:bookmarkStart w:id="0" w:name="_GoBack"/>
      <w:bookmarkEnd w:id="0"/>
      <w:r w:rsidRPr="008C07B2">
        <w:rPr>
          <w:sz w:val="16"/>
          <w:szCs w:val="16"/>
        </w:rPr>
        <w:t>0</w:t>
      </w:r>
      <w:r>
        <w:rPr>
          <w:sz w:val="16"/>
          <w:szCs w:val="16"/>
        </w:rPr>
        <w:t>1</w:t>
      </w:r>
      <w:r>
        <w:rPr>
          <w:sz w:val="16"/>
          <w:szCs w:val="16"/>
        </w:rPr>
        <w:t>4</w:t>
      </w:r>
    </w:p>
    <w:tbl>
      <w:tblPr>
        <w:tblW w:w="10440" w:type="dxa"/>
        <w:jc w:val="center"/>
        <w:tblInd w:w="-612" w:type="dxa"/>
        <w:tblLook w:val="0000" w:firstRow="0" w:lastRow="0" w:firstColumn="0" w:lastColumn="0" w:noHBand="0" w:noVBand="0"/>
      </w:tblPr>
      <w:tblGrid>
        <w:gridCol w:w="1506"/>
        <w:gridCol w:w="3822"/>
        <w:gridCol w:w="3486"/>
        <w:gridCol w:w="1626"/>
      </w:tblGrid>
      <w:tr w:rsidR="005C1A0B" w:rsidTr="00FA3EEC">
        <w:trPr>
          <w:trHeight w:val="1893"/>
          <w:jc w:val="center"/>
        </w:trPr>
        <w:tc>
          <w:tcPr>
            <w:tcW w:w="1506" w:type="dxa"/>
            <w:tcBorders>
              <w:top w:val="double" w:sz="12" w:space="0" w:color="000000"/>
              <w:left w:val="double" w:sz="12" w:space="0" w:color="000000"/>
              <w:bottom w:val="double" w:sz="12" w:space="0" w:color="000000"/>
            </w:tcBorders>
            <w:vAlign w:val="center"/>
          </w:tcPr>
          <w:p w:rsidR="005C1A0B" w:rsidRDefault="002B00E5" w:rsidP="0002061D">
            <w:pPr>
              <w:pStyle w:val="Default1"/>
              <w:jc w:val="center"/>
              <w:rPr>
                <w:b/>
                <w:sz w:val="28"/>
                <w:szCs w:val="28"/>
              </w:rPr>
            </w:pPr>
            <w:r>
              <w:rPr>
                <w:noProof/>
                <w:sz w:val="18"/>
                <w:szCs w:val="18"/>
              </w:rPr>
              <w:drawing>
                <wp:inline distT="0" distB="0" distL="0" distR="0" wp14:anchorId="757E885F" wp14:editId="1242A3F8">
                  <wp:extent cx="812409" cy="754380"/>
                  <wp:effectExtent l="0" t="0" r="6985" b="7620"/>
                  <wp:docPr id="4" name="Picture 4" descr="C:\Users\pbearden\AppData\Local\Microsoft\Windows\Temporary Internet Files\Content.IE5\W162GZBZ\MC90044186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earden\AppData\Local\Microsoft\Windows\Temporary Internet Files\Content.IE5\W162GZBZ\MC90044186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539" cy="759144"/>
                          </a:xfrm>
                          <a:prstGeom prst="rect">
                            <a:avLst/>
                          </a:prstGeom>
                          <a:noFill/>
                          <a:ln>
                            <a:noFill/>
                          </a:ln>
                        </pic:spPr>
                      </pic:pic>
                    </a:graphicData>
                  </a:graphic>
                </wp:inline>
              </w:drawing>
            </w:r>
          </w:p>
        </w:tc>
        <w:tc>
          <w:tcPr>
            <w:tcW w:w="3822" w:type="dxa"/>
            <w:tcBorders>
              <w:top w:val="double" w:sz="12" w:space="0" w:color="000000"/>
              <w:bottom w:val="double" w:sz="12" w:space="0" w:color="000000"/>
              <w:right w:val="single" w:sz="8" w:space="0" w:color="000000"/>
            </w:tcBorders>
            <w:vAlign w:val="center"/>
          </w:tcPr>
          <w:p w:rsidR="004867D7" w:rsidRPr="00FA3EEC" w:rsidRDefault="004867D7" w:rsidP="0002061D">
            <w:pPr>
              <w:pStyle w:val="Default1"/>
              <w:jc w:val="center"/>
              <w:rPr>
                <w:b/>
                <w:color w:val="000000"/>
                <w:sz w:val="26"/>
                <w:szCs w:val="26"/>
              </w:rPr>
            </w:pPr>
            <w:r w:rsidRPr="00FA3EEC">
              <w:rPr>
                <w:b/>
                <w:color w:val="000000"/>
                <w:sz w:val="26"/>
                <w:szCs w:val="26"/>
              </w:rPr>
              <w:t xml:space="preserve">Application </w:t>
            </w:r>
          </w:p>
          <w:p w:rsidR="00FA3EEC" w:rsidRDefault="004867D7" w:rsidP="00FA3EEC">
            <w:pPr>
              <w:pStyle w:val="Default1"/>
              <w:jc w:val="center"/>
              <w:rPr>
                <w:b/>
                <w:color w:val="000000"/>
                <w:sz w:val="28"/>
                <w:szCs w:val="28"/>
              </w:rPr>
            </w:pPr>
            <w:r w:rsidRPr="004867D7">
              <w:rPr>
                <w:b/>
                <w:color w:val="000000"/>
                <w:sz w:val="28"/>
                <w:szCs w:val="28"/>
              </w:rPr>
              <w:t>NMFS</w:t>
            </w:r>
            <w:r w:rsidR="00FA3EEC">
              <w:rPr>
                <w:b/>
                <w:color w:val="000000"/>
                <w:sz w:val="28"/>
                <w:szCs w:val="28"/>
              </w:rPr>
              <w:t>-</w:t>
            </w:r>
            <w:r w:rsidRPr="004867D7">
              <w:rPr>
                <w:b/>
                <w:color w:val="000000"/>
                <w:sz w:val="28"/>
                <w:szCs w:val="28"/>
              </w:rPr>
              <w:t>Authorized Distributor</w:t>
            </w:r>
            <w:r w:rsidR="00FA3EEC">
              <w:rPr>
                <w:b/>
                <w:color w:val="000000"/>
                <w:sz w:val="28"/>
                <w:szCs w:val="28"/>
              </w:rPr>
              <w:t xml:space="preserve"> </w:t>
            </w:r>
          </w:p>
          <w:p w:rsidR="005C1A0B" w:rsidRPr="00C2501A" w:rsidRDefault="00FA3EEC" w:rsidP="00FA3EEC">
            <w:pPr>
              <w:pStyle w:val="Default1"/>
              <w:jc w:val="center"/>
              <w:rPr>
                <w:b/>
                <w:color w:val="000000"/>
                <w:sz w:val="28"/>
                <w:szCs w:val="28"/>
              </w:rPr>
            </w:pPr>
            <w:r>
              <w:rPr>
                <w:b/>
                <w:color w:val="000000"/>
                <w:sz w:val="28"/>
                <w:szCs w:val="28"/>
              </w:rPr>
              <w:t>Prohibited Species Donation Program</w:t>
            </w:r>
          </w:p>
        </w:tc>
        <w:tc>
          <w:tcPr>
            <w:tcW w:w="3486" w:type="dxa"/>
            <w:tcBorders>
              <w:top w:val="double" w:sz="12" w:space="0" w:color="000000"/>
              <w:left w:val="single" w:sz="8" w:space="0" w:color="000000"/>
              <w:bottom w:val="double" w:sz="12" w:space="0" w:color="000000"/>
            </w:tcBorders>
          </w:tcPr>
          <w:p w:rsidR="005C1A0B" w:rsidRPr="00520197" w:rsidRDefault="005C1A0B" w:rsidP="0002061D">
            <w:pPr>
              <w:rPr>
                <w:sz w:val="18"/>
                <w:szCs w:val="18"/>
              </w:rPr>
            </w:pPr>
            <w:r w:rsidRPr="00520197">
              <w:rPr>
                <w:sz w:val="18"/>
                <w:szCs w:val="18"/>
              </w:rPr>
              <w:t xml:space="preserve"> </w:t>
            </w:r>
          </w:p>
          <w:p w:rsidR="005C1A0B" w:rsidRPr="00520197" w:rsidRDefault="005C1A0B" w:rsidP="0002061D">
            <w:pPr>
              <w:rPr>
                <w:sz w:val="18"/>
                <w:szCs w:val="18"/>
              </w:rPr>
            </w:pPr>
            <w:r w:rsidRPr="00520197">
              <w:rPr>
                <w:sz w:val="18"/>
                <w:szCs w:val="18"/>
              </w:rPr>
              <w:t xml:space="preserve">U.S. Department of Commerce </w:t>
            </w:r>
          </w:p>
          <w:p w:rsidR="005C1A0B" w:rsidRDefault="005C1A0B" w:rsidP="0002061D">
            <w:pPr>
              <w:rPr>
                <w:sz w:val="18"/>
                <w:szCs w:val="18"/>
              </w:rPr>
            </w:pPr>
            <w:r w:rsidRPr="00520197">
              <w:rPr>
                <w:sz w:val="18"/>
                <w:szCs w:val="18"/>
              </w:rPr>
              <w:t xml:space="preserve">NOAA/National Marine Fisheries Service, Alaska Region </w:t>
            </w:r>
          </w:p>
          <w:p w:rsidR="005C1A0B" w:rsidRPr="00520197" w:rsidRDefault="005C1A0B" w:rsidP="0002061D">
            <w:pPr>
              <w:rPr>
                <w:sz w:val="18"/>
                <w:szCs w:val="18"/>
              </w:rPr>
            </w:pPr>
            <w:r w:rsidRPr="00520197">
              <w:rPr>
                <w:sz w:val="18"/>
                <w:szCs w:val="18"/>
              </w:rPr>
              <w:t xml:space="preserve">Post Office Box 21668 </w:t>
            </w:r>
          </w:p>
          <w:p w:rsidR="005C1A0B" w:rsidRPr="00520197" w:rsidRDefault="005C1A0B" w:rsidP="0002061D">
            <w:pPr>
              <w:rPr>
                <w:sz w:val="18"/>
                <w:szCs w:val="18"/>
              </w:rPr>
            </w:pPr>
            <w:r w:rsidRPr="00520197">
              <w:rPr>
                <w:sz w:val="18"/>
                <w:szCs w:val="18"/>
              </w:rPr>
              <w:t xml:space="preserve">Juneau, Alaska 99802-1668 </w:t>
            </w:r>
          </w:p>
          <w:p w:rsidR="005C1A0B" w:rsidRPr="00520197" w:rsidRDefault="005C1A0B" w:rsidP="0002061D">
            <w:pPr>
              <w:rPr>
                <w:sz w:val="18"/>
                <w:szCs w:val="18"/>
              </w:rPr>
            </w:pPr>
            <w:r w:rsidRPr="00520197">
              <w:rPr>
                <w:sz w:val="18"/>
                <w:szCs w:val="18"/>
              </w:rPr>
              <w:t xml:space="preserve">Fax: 907-586-7465 </w:t>
            </w:r>
          </w:p>
          <w:p w:rsidR="005C1A0B" w:rsidRPr="0047030A" w:rsidRDefault="005C1A0B" w:rsidP="0002061D">
            <w:pPr>
              <w:pStyle w:val="Default"/>
            </w:pPr>
            <w:r w:rsidRPr="00520197">
              <w:rPr>
                <w:sz w:val="18"/>
                <w:szCs w:val="18"/>
              </w:rPr>
              <w:t>Telephone: 907-586-7228</w:t>
            </w:r>
          </w:p>
        </w:tc>
        <w:tc>
          <w:tcPr>
            <w:tcW w:w="1626" w:type="dxa"/>
            <w:tcBorders>
              <w:top w:val="double" w:sz="12" w:space="0" w:color="000000"/>
              <w:left w:val="nil"/>
              <w:bottom w:val="double" w:sz="12" w:space="0" w:color="000000"/>
              <w:right w:val="double" w:sz="12" w:space="0" w:color="000000"/>
            </w:tcBorders>
            <w:vAlign w:val="center"/>
          </w:tcPr>
          <w:p w:rsidR="005C1A0B" w:rsidRPr="00C121C4" w:rsidRDefault="005C1A0B" w:rsidP="0002061D">
            <w:pPr>
              <w:jc w:val="center"/>
            </w:pPr>
            <w:r>
              <w:rPr>
                <w:noProof/>
                <w:color w:val="000000"/>
                <w:sz w:val="18"/>
                <w:szCs w:val="18"/>
              </w:rPr>
              <w:drawing>
                <wp:anchor distT="0" distB="0" distL="114300" distR="114300" simplePos="0" relativeHeight="251659264" behindDoc="0" locked="0" layoutInCell="1" allowOverlap="1" wp14:anchorId="21991386" wp14:editId="088EB886">
                  <wp:simplePos x="0" y="0"/>
                  <wp:positionH relativeFrom="column">
                    <wp:posOffset>-22860</wp:posOffset>
                  </wp:positionH>
                  <wp:positionV relativeFrom="paragraph">
                    <wp:posOffset>-806450</wp:posOffset>
                  </wp:positionV>
                  <wp:extent cx="891540" cy="868680"/>
                  <wp:effectExtent l="0" t="0" r="3810" b="762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srcRect/>
                          <a:stretch>
                            <a:fillRect/>
                          </a:stretch>
                        </pic:blipFill>
                        <pic:spPr bwMode="auto">
                          <a:xfrm>
                            <a:off x="0" y="0"/>
                            <a:ext cx="891540" cy="868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FA3EEC" w:rsidRDefault="00FA3EEC" w:rsidP="00FA3EEC">
      <w:pPr>
        <w:pStyle w:val="Default"/>
        <w:ind w:right="-540"/>
      </w:pPr>
    </w:p>
    <w:p w:rsidR="00FA3EEC" w:rsidRDefault="007A41C7" w:rsidP="00FA3EEC">
      <w:pPr>
        <w:pStyle w:val="Default"/>
        <w:ind w:right="-540"/>
      </w:pPr>
      <w:r>
        <w:t>The a</w:t>
      </w:r>
      <w:r w:rsidR="00FA3EEC">
        <w:t xml:space="preserve">uthorized </w:t>
      </w:r>
      <w:r>
        <w:t xml:space="preserve">prohibited </w:t>
      </w:r>
      <w:r w:rsidR="00FA3EEC">
        <w:t>species</w:t>
      </w:r>
      <w:r>
        <w:t xml:space="preserve"> in the </w:t>
      </w:r>
      <w:r>
        <w:t>Prohibited Species Donation Program</w:t>
      </w:r>
      <w:r>
        <w:t xml:space="preserve"> (</w:t>
      </w:r>
      <w:r w:rsidR="00FA3EEC">
        <w:t>PSD</w:t>
      </w:r>
      <w:r>
        <w:t>)</w:t>
      </w:r>
      <w:r w:rsidR="00FA3EEC">
        <w:t xml:space="preserve"> </w:t>
      </w:r>
      <w:r>
        <w:t>are</w:t>
      </w:r>
      <w:r w:rsidR="00FA3EEC">
        <w:t>:</w:t>
      </w:r>
    </w:p>
    <w:p w:rsidR="00FA3EEC" w:rsidRDefault="007A41C7" w:rsidP="007A41C7">
      <w:pPr>
        <w:pStyle w:val="Default"/>
        <w:tabs>
          <w:tab w:val="left" w:pos="360"/>
          <w:tab w:val="left" w:pos="720"/>
        </w:tabs>
        <w:ind w:right="-540"/>
      </w:pPr>
      <w:r>
        <w:tab/>
        <w:t>♦</w:t>
      </w:r>
      <w:r>
        <w:tab/>
      </w:r>
      <w:r w:rsidR="00FA3EEC">
        <w:t>Salmon</w:t>
      </w:r>
    </w:p>
    <w:p w:rsidR="007A41C7" w:rsidRDefault="002D33F2" w:rsidP="007A41C7">
      <w:pPr>
        <w:pStyle w:val="Default"/>
        <w:tabs>
          <w:tab w:val="left" w:pos="360"/>
          <w:tab w:val="left" w:pos="720"/>
        </w:tabs>
        <w:ind w:left="720" w:right="-540" w:hanging="720"/>
      </w:pPr>
      <w:r>
        <w:tab/>
      </w:r>
      <w:proofErr w:type="gramStart"/>
      <w:r w:rsidR="007A41C7">
        <w:t>♦</w:t>
      </w:r>
      <w:r w:rsidR="007A41C7">
        <w:tab/>
        <w:t>Pacific h</w:t>
      </w:r>
      <w:r w:rsidR="00FA3EEC">
        <w:t>alibut delivered by catcher vessels using trawl gear to shoreside processors and stationary floating processors.</w:t>
      </w:r>
      <w:proofErr w:type="gramEnd"/>
    </w:p>
    <w:p w:rsidR="007A41C7" w:rsidRDefault="007A41C7" w:rsidP="007A41C7">
      <w:pPr>
        <w:pStyle w:val="Default"/>
        <w:tabs>
          <w:tab w:val="left" w:pos="360"/>
          <w:tab w:val="left" w:pos="720"/>
        </w:tabs>
        <w:ind w:right="-540"/>
      </w:pPr>
    </w:p>
    <w:p w:rsidR="00FA3EEC" w:rsidRDefault="00FA3EEC" w:rsidP="007A41C7">
      <w:pPr>
        <w:pStyle w:val="Default"/>
        <w:tabs>
          <w:tab w:val="left" w:pos="360"/>
          <w:tab w:val="left" w:pos="720"/>
        </w:tabs>
        <w:ind w:right="-540"/>
      </w:pPr>
      <w:r w:rsidRPr="00FA3EEC">
        <w:t>An applicant seeking to become an authorized distributor must provide the Regional Administrator with the following information</w:t>
      </w:r>
      <w:r w:rsidR="0031217A">
        <w:t xml:space="preserve"> to the above address.  </w:t>
      </w:r>
      <w:r w:rsidR="0031217A" w:rsidRPr="0031217A">
        <w:t xml:space="preserve">A PSD permit issued for salmon or halibut remains in effect for a 3-year period after the selection notice is published in the </w:t>
      </w:r>
      <w:r w:rsidR="0031217A" w:rsidRPr="002D33F2">
        <w:rPr>
          <w:i/>
        </w:rPr>
        <w:t>Federal Register</w:t>
      </w:r>
      <w:r w:rsidR="0031217A" w:rsidRPr="0031217A">
        <w:t xml:space="preserve"> unless suspended or revoked.</w:t>
      </w:r>
    </w:p>
    <w:p w:rsidR="00FA3EEC" w:rsidRDefault="00FA3EEC" w:rsidP="005C1A0B">
      <w:pPr>
        <w:pStyle w:val="Default"/>
        <w:ind w:left="-540" w:right="-540" w:firstLine="540"/>
      </w:pPr>
    </w:p>
    <w:tbl>
      <w:tblPr>
        <w:tblStyle w:val="TableGrid"/>
        <w:tblW w:w="0" w:type="auto"/>
        <w:tblLook w:val="04A0" w:firstRow="1" w:lastRow="0" w:firstColumn="1" w:lastColumn="0" w:noHBand="0" w:noVBand="1"/>
      </w:tblPr>
      <w:tblGrid>
        <w:gridCol w:w="3018"/>
        <w:gridCol w:w="7134"/>
      </w:tblGrid>
      <w:tr w:rsidR="00174CE1" w:rsidTr="00174CE1">
        <w:tc>
          <w:tcPr>
            <w:tcW w:w="3078" w:type="dxa"/>
            <w:vMerge w:val="restart"/>
          </w:tcPr>
          <w:p w:rsidR="00174CE1" w:rsidRDefault="00174CE1" w:rsidP="005C1A0B">
            <w:pPr>
              <w:rPr>
                <w:b/>
                <w:sz w:val="20"/>
                <w:szCs w:val="20"/>
              </w:rPr>
            </w:pPr>
            <w:r>
              <w:rPr>
                <w:b/>
                <w:sz w:val="20"/>
                <w:szCs w:val="20"/>
              </w:rPr>
              <w:t>Proof of Applicant’s</w:t>
            </w:r>
          </w:p>
        </w:tc>
        <w:tc>
          <w:tcPr>
            <w:tcW w:w="7362" w:type="dxa"/>
          </w:tcPr>
          <w:p w:rsidR="00174CE1" w:rsidRPr="0031217A" w:rsidRDefault="00174CE1" w:rsidP="0031217A">
            <w:pPr>
              <w:tabs>
                <w:tab w:val="left" w:pos="360"/>
                <w:tab w:val="left" w:pos="720"/>
                <w:tab w:val="left" w:pos="1080"/>
                <w:tab w:val="left" w:pos="1440"/>
              </w:tabs>
              <w:rPr>
                <w:sz w:val="20"/>
                <w:szCs w:val="20"/>
              </w:rPr>
            </w:pPr>
            <w:r>
              <w:rPr>
                <w:sz w:val="20"/>
                <w:szCs w:val="20"/>
              </w:rPr>
              <w:t>T</w:t>
            </w:r>
            <w:r w:rsidRPr="00336914">
              <w:rPr>
                <w:sz w:val="20"/>
                <w:szCs w:val="20"/>
              </w:rPr>
              <w:t>ax-exempt status</w:t>
            </w:r>
          </w:p>
        </w:tc>
      </w:tr>
      <w:tr w:rsidR="00174CE1" w:rsidTr="00174CE1">
        <w:tc>
          <w:tcPr>
            <w:tcW w:w="3078" w:type="dxa"/>
            <w:vMerge/>
          </w:tcPr>
          <w:p w:rsidR="00174CE1" w:rsidRDefault="00174CE1" w:rsidP="005C1A0B">
            <w:pPr>
              <w:rPr>
                <w:b/>
                <w:sz w:val="20"/>
                <w:szCs w:val="20"/>
              </w:rPr>
            </w:pPr>
          </w:p>
        </w:tc>
        <w:tc>
          <w:tcPr>
            <w:tcW w:w="7362" w:type="dxa"/>
          </w:tcPr>
          <w:p w:rsidR="00174CE1" w:rsidRPr="0031217A" w:rsidRDefault="00174CE1" w:rsidP="005C1A0B">
            <w:pPr>
              <w:rPr>
                <w:sz w:val="20"/>
                <w:szCs w:val="20"/>
              </w:rPr>
            </w:pPr>
            <w:r>
              <w:rPr>
                <w:sz w:val="20"/>
                <w:szCs w:val="20"/>
              </w:rPr>
              <w:t>A</w:t>
            </w:r>
            <w:r w:rsidRPr="0031217A">
              <w:rPr>
                <w:sz w:val="20"/>
                <w:szCs w:val="20"/>
              </w:rPr>
              <w:t>bility to obtain and maintain adequate funding for the distribution of PSD fish</w:t>
            </w:r>
          </w:p>
        </w:tc>
      </w:tr>
      <w:tr w:rsidR="00174CE1" w:rsidTr="00174CE1">
        <w:tc>
          <w:tcPr>
            <w:tcW w:w="3078" w:type="dxa"/>
            <w:vMerge/>
          </w:tcPr>
          <w:p w:rsidR="00174CE1" w:rsidRDefault="00174CE1" w:rsidP="005C1A0B">
            <w:pPr>
              <w:rPr>
                <w:b/>
                <w:sz w:val="20"/>
                <w:szCs w:val="20"/>
              </w:rPr>
            </w:pPr>
          </w:p>
        </w:tc>
        <w:tc>
          <w:tcPr>
            <w:tcW w:w="7362" w:type="dxa"/>
          </w:tcPr>
          <w:p w:rsidR="00174CE1" w:rsidRPr="0031217A" w:rsidRDefault="00174CE1" w:rsidP="005C1A0B">
            <w:pPr>
              <w:rPr>
                <w:sz w:val="20"/>
                <w:szCs w:val="20"/>
              </w:rPr>
            </w:pPr>
            <w:r>
              <w:rPr>
                <w:sz w:val="20"/>
                <w:szCs w:val="20"/>
              </w:rPr>
              <w:t>A</w:t>
            </w:r>
            <w:r w:rsidRPr="00336914">
              <w:rPr>
                <w:sz w:val="20"/>
                <w:szCs w:val="20"/>
              </w:rPr>
              <w:t xml:space="preserve">bility to take full responsibility for the documentation and disposition of </w:t>
            </w:r>
            <w:r>
              <w:rPr>
                <w:sz w:val="20"/>
                <w:szCs w:val="20"/>
              </w:rPr>
              <w:t xml:space="preserve">PSD </w:t>
            </w:r>
            <w:r w:rsidRPr="00336914">
              <w:rPr>
                <w:sz w:val="20"/>
                <w:szCs w:val="20"/>
              </w:rPr>
              <w:t>fish</w:t>
            </w:r>
            <w:r>
              <w:rPr>
                <w:sz w:val="20"/>
                <w:szCs w:val="20"/>
              </w:rPr>
              <w:t>,</w:t>
            </w:r>
            <w:r w:rsidRPr="00336914">
              <w:rPr>
                <w:sz w:val="20"/>
                <w:szCs w:val="20"/>
              </w:rPr>
              <w:t xml:space="preserve"> including sufficient liability insurance to cover public interests relating to the quality of fish di</w:t>
            </w:r>
            <w:r>
              <w:rPr>
                <w:sz w:val="20"/>
                <w:szCs w:val="20"/>
              </w:rPr>
              <w:t>stributed for human consumption</w:t>
            </w:r>
          </w:p>
        </w:tc>
      </w:tr>
      <w:tr w:rsidR="002D33F2" w:rsidTr="00174CE1">
        <w:tc>
          <w:tcPr>
            <w:tcW w:w="3078" w:type="dxa"/>
            <w:vMerge w:val="restart"/>
          </w:tcPr>
          <w:p w:rsidR="002D33F2" w:rsidRDefault="002D33F2" w:rsidP="005C1A0B">
            <w:pPr>
              <w:rPr>
                <w:b/>
                <w:sz w:val="20"/>
                <w:szCs w:val="20"/>
              </w:rPr>
            </w:pPr>
            <w:r>
              <w:rPr>
                <w:b/>
                <w:sz w:val="20"/>
                <w:szCs w:val="20"/>
              </w:rPr>
              <w:t>Description</w:t>
            </w:r>
          </w:p>
        </w:tc>
        <w:tc>
          <w:tcPr>
            <w:tcW w:w="7362" w:type="dxa"/>
          </w:tcPr>
          <w:p w:rsidR="002D33F2" w:rsidRDefault="002D33F2" w:rsidP="005C1A0B">
            <w:pPr>
              <w:rPr>
                <w:sz w:val="20"/>
                <w:szCs w:val="20"/>
              </w:rPr>
            </w:pPr>
            <w:r>
              <w:rPr>
                <w:sz w:val="20"/>
                <w:szCs w:val="20"/>
              </w:rPr>
              <w:t>A</w:t>
            </w:r>
            <w:r w:rsidRPr="00336914">
              <w:rPr>
                <w:sz w:val="20"/>
                <w:szCs w:val="20"/>
              </w:rPr>
              <w:t>rrangements for processing, shipping, storing, an</w:t>
            </w:r>
            <w:r>
              <w:rPr>
                <w:sz w:val="20"/>
                <w:szCs w:val="20"/>
              </w:rPr>
              <w:t>d transporting donated fish and a</w:t>
            </w:r>
            <w:r w:rsidRPr="00336914">
              <w:rPr>
                <w:sz w:val="20"/>
                <w:szCs w:val="20"/>
              </w:rPr>
              <w:t>n e</w:t>
            </w:r>
            <w:r>
              <w:rPr>
                <w:sz w:val="20"/>
                <w:szCs w:val="20"/>
              </w:rPr>
              <w:t>stimate of the associated costs</w:t>
            </w:r>
          </w:p>
        </w:tc>
      </w:tr>
      <w:tr w:rsidR="002D33F2" w:rsidTr="00174CE1">
        <w:tc>
          <w:tcPr>
            <w:tcW w:w="3078" w:type="dxa"/>
            <w:vMerge/>
          </w:tcPr>
          <w:p w:rsidR="002D33F2" w:rsidRDefault="002D33F2" w:rsidP="005C1A0B">
            <w:pPr>
              <w:rPr>
                <w:b/>
                <w:sz w:val="20"/>
                <w:szCs w:val="20"/>
              </w:rPr>
            </w:pPr>
          </w:p>
        </w:tc>
        <w:tc>
          <w:tcPr>
            <w:tcW w:w="7362" w:type="dxa"/>
          </w:tcPr>
          <w:p w:rsidR="002D33F2" w:rsidRDefault="002D33F2" w:rsidP="009B77B0">
            <w:pPr>
              <w:tabs>
                <w:tab w:val="left" w:pos="360"/>
                <w:tab w:val="left" w:pos="1080"/>
                <w:tab w:val="left" w:pos="1440"/>
              </w:tabs>
              <w:ind w:hanging="18"/>
              <w:rPr>
                <w:sz w:val="20"/>
                <w:szCs w:val="20"/>
              </w:rPr>
            </w:pPr>
            <w:r>
              <w:rPr>
                <w:sz w:val="20"/>
                <w:szCs w:val="20"/>
              </w:rPr>
              <w:t>E</w:t>
            </w:r>
            <w:r w:rsidRPr="00336914">
              <w:rPr>
                <w:sz w:val="20"/>
                <w:szCs w:val="20"/>
              </w:rPr>
              <w:t>xpertise in providing for the distribution of f</w:t>
            </w:r>
            <w:r>
              <w:rPr>
                <w:sz w:val="20"/>
                <w:szCs w:val="20"/>
              </w:rPr>
              <w:t>ood product from remote Alaskan l</w:t>
            </w:r>
            <w:r w:rsidRPr="00336914">
              <w:rPr>
                <w:sz w:val="20"/>
                <w:szCs w:val="20"/>
              </w:rPr>
              <w:t>ocations to hunger relief agencies, food bank networks, or food bank distributors, including arrangements for transportation, distribution costs, and product quality control</w:t>
            </w:r>
          </w:p>
        </w:tc>
      </w:tr>
      <w:tr w:rsidR="002D33F2" w:rsidTr="00174CE1">
        <w:tc>
          <w:tcPr>
            <w:tcW w:w="3078" w:type="dxa"/>
            <w:vMerge/>
          </w:tcPr>
          <w:p w:rsidR="002D33F2" w:rsidRDefault="002D33F2" w:rsidP="005C1A0B">
            <w:pPr>
              <w:rPr>
                <w:b/>
                <w:sz w:val="20"/>
                <w:szCs w:val="20"/>
              </w:rPr>
            </w:pPr>
          </w:p>
        </w:tc>
        <w:tc>
          <w:tcPr>
            <w:tcW w:w="7362" w:type="dxa"/>
          </w:tcPr>
          <w:p w:rsidR="002D33F2" w:rsidRDefault="002D33F2" w:rsidP="00AB27F1">
            <w:pPr>
              <w:tabs>
                <w:tab w:val="left" w:pos="360"/>
                <w:tab w:val="left" w:pos="1080"/>
                <w:tab w:val="left" w:pos="1440"/>
              </w:tabs>
              <w:rPr>
                <w:sz w:val="20"/>
                <w:szCs w:val="20"/>
              </w:rPr>
            </w:pPr>
            <w:r>
              <w:rPr>
                <w:sz w:val="20"/>
                <w:szCs w:val="20"/>
              </w:rPr>
              <w:t>O</w:t>
            </w:r>
            <w:r w:rsidRPr="00336914">
              <w:rPr>
                <w:sz w:val="20"/>
                <w:szCs w:val="20"/>
              </w:rPr>
              <w:t xml:space="preserve">perating budget that is adequate to ensure that </w:t>
            </w:r>
            <w:r>
              <w:rPr>
                <w:sz w:val="20"/>
                <w:szCs w:val="20"/>
              </w:rPr>
              <w:t xml:space="preserve">PSD </w:t>
            </w:r>
            <w:r w:rsidRPr="00336914">
              <w:rPr>
                <w:sz w:val="20"/>
                <w:szCs w:val="20"/>
              </w:rPr>
              <w:t xml:space="preserve">fish </w:t>
            </w:r>
            <w:r>
              <w:rPr>
                <w:sz w:val="20"/>
                <w:szCs w:val="20"/>
              </w:rPr>
              <w:t xml:space="preserve">are </w:t>
            </w:r>
            <w:r w:rsidRPr="00336914">
              <w:rPr>
                <w:sz w:val="20"/>
                <w:szCs w:val="20"/>
              </w:rPr>
              <w:t>distributed to hunger relief agencies, food bank networks, or food bank distributors and that the fish will be maintained in a manner fit for human co</w:t>
            </w:r>
            <w:r>
              <w:rPr>
                <w:sz w:val="20"/>
                <w:szCs w:val="20"/>
              </w:rPr>
              <w:t>nsumption</w:t>
            </w:r>
          </w:p>
        </w:tc>
      </w:tr>
      <w:tr w:rsidR="002D33F2" w:rsidTr="00174CE1">
        <w:tc>
          <w:tcPr>
            <w:tcW w:w="3078" w:type="dxa"/>
            <w:vMerge/>
          </w:tcPr>
          <w:p w:rsidR="002D33F2" w:rsidRDefault="002D33F2" w:rsidP="005C1A0B">
            <w:pPr>
              <w:rPr>
                <w:b/>
                <w:sz w:val="20"/>
                <w:szCs w:val="20"/>
              </w:rPr>
            </w:pPr>
          </w:p>
        </w:tc>
        <w:tc>
          <w:tcPr>
            <w:tcW w:w="7362" w:type="dxa"/>
          </w:tcPr>
          <w:p w:rsidR="002D33F2" w:rsidRDefault="002D33F2" w:rsidP="002D33F2">
            <w:pPr>
              <w:tabs>
                <w:tab w:val="left" w:pos="360"/>
                <w:tab w:val="left" w:pos="1080"/>
                <w:tab w:val="left" w:pos="1440"/>
              </w:tabs>
              <w:rPr>
                <w:sz w:val="20"/>
                <w:szCs w:val="20"/>
              </w:rPr>
            </w:pPr>
            <w:r w:rsidRPr="00336914">
              <w:rPr>
                <w:sz w:val="20"/>
                <w:szCs w:val="20"/>
              </w:rPr>
              <w:t xml:space="preserve">Quality control criteria </w:t>
            </w:r>
            <w:r>
              <w:rPr>
                <w:sz w:val="20"/>
                <w:szCs w:val="20"/>
              </w:rPr>
              <w:t xml:space="preserve">for </w:t>
            </w:r>
            <w:r w:rsidRPr="00336914">
              <w:rPr>
                <w:sz w:val="20"/>
                <w:szCs w:val="20"/>
              </w:rPr>
              <w:t>vessels, processors, hunger relief agencies, food bank networks, and food bank distribut</w:t>
            </w:r>
            <w:r>
              <w:rPr>
                <w:sz w:val="20"/>
                <w:szCs w:val="20"/>
              </w:rPr>
              <w:t>ors</w:t>
            </w:r>
          </w:p>
        </w:tc>
      </w:tr>
      <w:tr w:rsidR="002D33F2" w:rsidTr="00174CE1">
        <w:tc>
          <w:tcPr>
            <w:tcW w:w="3078" w:type="dxa"/>
            <w:vMerge/>
          </w:tcPr>
          <w:p w:rsidR="002D33F2" w:rsidRDefault="002D33F2" w:rsidP="005C1A0B">
            <w:pPr>
              <w:rPr>
                <w:b/>
                <w:sz w:val="20"/>
                <w:szCs w:val="20"/>
              </w:rPr>
            </w:pPr>
          </w:p>
        </w:tc>
        <w:tc>
          <w:tcPr>
            <w:tcW w:w="7362" w:type="dxa"/>
          </w:tcPr>
          <w:p w:rsidR="002D33F2" w:rsidRPr="00336914" w:rsidRDefault="002D33F2" w:rsidP="002D33F2">
            <w:pPr>
              <w:tabs>
                <w:tab w:val="left" w:pos="360"/>
                <w:tab w:val="left" w:pos="720"/>
                <w:tab w:val="left" w:pos="1080"/>
                <w:tab w:val="left" w:pos="1440"/>
              </w:tabs>
              <w:rPr>
                <w:sz w:val="20"/>
                <w:szCs w:val="20"/>
              </w:rPr>
            </w:pPr>
            <w:r>
              <w:rPr>
                <w:sz w:val="20"/>
                <w:szCs w:val="20"/>
              </w:rPr>
              <w:t>N</w:t>
            </w:r>
            <w:r w:rsidRPr="00336914">
              <w:rPr>
                <w:sz w:val="20"/>
                <w:szCs w:val="20"/>
              </w:rPr>
              <w:t>umber of vessels and processors that the applicant is capab</w:t>
            </w:r>
            <w:r>
              <w:rPr>
                <w:sz w:val="20"/>
                <w:szCs w:val="20"/>
              </w:rPr>
              <w:t>le of administering effectively</w:t>
            </w:r>
          </w:p>
        </w:tc>
      </w:tr>
      <w:tr w:rsidR="00174CE1" w:rsidTr="00174CE1">
        <w:tc>
          <w:tcPr>
            <w:tcW w:w="3078" w:type="dxa"/>
          </w:tcPr>
          <w:p w:rsidR="00174CE1" w:rsidRDefault="009B77B0" w:rsidP="005C1A0B">
            <w:pPr>
              <w:rPr>
                <w:b/>
                <w:sz w:val="20"/>
                <w:szCs w:val="20"/>
              </w:rPr>
            </w:pPr>
            <w:r>
              <w:rPr>
                <w:b/>
                <w:sz w:val="20"/>
                <w:szCs w:val="20"/>
              </w:rPr>
              <w:t>Documentation</w:t>
            </w:r>
          </w:p>
        </w:tc>
        <w:tc>
          <w:tcPr>
            <w:tcW w:w="7362" w:type="dxa"/>
          </w:tcPr>
          <w:p w:rsidR="00174CE1" w:rsidRDefault="009B77B0" w:rsidP="009B77B0">
            <w:pPr>
              <w:tabs>
                <w:tab w:val="left" w:pos="360"/>
                <w:tab w:val="left" w:pos="720"/>
                <w:tab w:val="left" w:pos="1080"/>
                <w:tab w:val="left" w:pos="1440"/>
              </w:tabs>
              <w:rPr>
                <w:sz w:val="20"/>
                <w:szCs w:val="20"/>
              </w:rPr>
            </w:pPr>
            <w:r>
              <w:rPr>
                <w:sz w:val="20"/>
                <w:szCs w:val="20"/>
              </w:rPr>
              <w:t>S</w:t>
            </w:r>
            <w:r w:rsidRPr="00336914">
              <w:rPr>
                <w:sz w:val="20"/>
                <w:szCs w:val="20"/>
              </w:rPr>
              <w:t>upport from cold storage and transportation fac</w:t>
            </w:r>
            <w:r>
              <w:rPr>
                <w:sz w:val="20"/>
                <w:szCs w:val="20"/>
              </w:rPr>
              <w:t>ilities</w:t>
            </w:r>
          </w:p>
        </w:tc>
      </w:tr>
      <w:tr w:rsidR="00D54BAD" w:rsidTr="00174CE1">
        <w:tc>
          <w:tcPr>
            <w:tcW w:w="3078" w:type="dxa"/>
            <w:vMerge w:val="restart"/>
          </w:tcPr>
          <w:p w:rsidR="00D54BAD" w:rsidRDefault="00D54BAD" w:rsidP="005C1A0B">
            <w:pPr>
              <w:rPr>
                <w:b/>
                <w:sz w:val="20"/>
                <w:szCs w:val="20"/>
              </w:rPr>
            </w:pPr>
            <w:r>
              <w:rPr>
                <w:b/>
                <w:sz w:val="20"/>
                <w:szCs w:val="20"/>
              </w:rPr>
              <w:t>List</w:t>
            </w:r>
          </w:p>
        </w:tc>
        <w:tc>
          <w:tcPr>
            <w:tcW w:w="7362" w:type="dxa"/>
          </w:tcPr>
          <w:p w:rsidR="00D54BAD" w:rsidRPr="00336914" w:rsidRDefault="00D54BAD" w:rsidP="00DF7FBD">
            <w:pPr>
              <w:tabs>
                <w:tab w:val="left" w:pos="360"/>
                <w:tab w:val="left" w:pos="1080"/>
                <w:tab w:val="left" w:pos="1440"/>
              </w:tabs>
              <w:rPr>
                <w:sz w:val="20"/>
                <w:szCs w:val="20"/>
              </w:rPr>
            </w:pPr>
            <w:r>
              <w:rPr>
                <w:sz w:val="20"/>
                <w:szCs w:val="20"/>
              </w:rPr>
              <w:t>A</w:t>
            </w:r>
            <w:r w:rsidRPr="00336914">
              <w:rPr>
                <w:sz w:val="20"/>
                <w:szCs w:val="20"/>
              </w:rPr>
              <w:t>ll vessels</w:t>
            </w:r>
            <w:r>
              <w:rPr>
                <w:sz w:val="20"/>
                <w:szCs w:val="20"/>
              </w:rPr>
              <w:t xml:space="preserve">, </w:t>
            </w:r>
            <w:r w:rsidRPr="00336914">
              <w:rPr>
                <w:sz w:val="20"/>
                <w:szCs w:val="20"/>
              </w:rPr>
              <w:t>processors, food bank networks</w:t>
            </w:r>
            <w:r>
              <w:rPr>
                <w:sz w:val="20"/>
                <w:szCs w:val="20"/>
              </w:rPr>
              <w:t>,</w:t>
            </w:r>
            <w:r w:rsidRPr="00336914">
              <w:rPr>
                <w:sz w:val="20"/>
                <w:szCs w:val="20"/>
              </w:rPr>
              <w:t xml:space="preserve"> and food bank distributors in the </w:t>
            </w:r>
            <w:r>
              <w:rPr>
                <w:sz w:val="20"/>
                <w:szCs w:val="20"/>
              </w:rPr>
              <w:t>PSD Program</w:t>
            </w:r>
            <w:r>
              <w:rPr>
                <w:sz w:val="20"/>
                <w:szCs w:val="20"/>
              </w:rPr>
              <w:t xml:space="preserve">.  </w:t>
            </w:r>
            <w:r w:rsidRPr="00336914">
              <w:rPr>
                <w:sz w:val="20"/>
                <w:szCs w:val="20"/>
              </w:rPr>
              <w:t>The list must include:</w:t>
            </w:r>
          </w:p>
          <w:p w:rsidR="00D54BAD" w:rsidRDefault="00D54BAD" w:rsidP="00DF7FBD">
            <w:pPr>
              <w:tabs>
                <w:tab w:val="left" w:pos="342"/>
                <w:tab w:val="left" w:pos="1080"/>
                <w:tab w:val="left" w:pos="1440"/>
              </w:tabs>
              <w:rPr>
                <w:sz w:val="20"/>
                <w:szCs w:val="20"/>
              </w:rPr>
            </w:pPr>
            <w:r>
              <w:rPr>
                <w:sz w:val="20"/>
                <w:szCs w:val="20"/>
              </w:rPr>
              <w:tab/>
            </w:r>
            <w:r>
              <w:rPr>
                <w:sz w:val="20"/>
                <w:szCs w:val="20"/>
              </w:rPr>
              <w:t>V</w:t>
            </w:r>
            <w:r w:rsidRPr="00336914">
              <w:rPr>
                <w:sz w:val="20"/>
                <w:szCs w:val="20"/>
              </w:rPr>
              <w:t xml:space="preserve">essel’s </w:t>
            </w:r>
            <w:r>
              <w:rPr>
                <w:sz w:val="20"/>
                <w:szCs w:val="20"/>
              </w:rPr>
              <w:t>F</w:t>
            </w:r>
            <w:r>
              <w:rPr>
                <w:sz w:val="20"/>
                <w:szCs w:val="20"/>
              </w:rPr>
              <w:t xml:space="preserve">ederal Fisheries Permit </w:t>
            </w:r>
            <w:r w:rsidRPr="00336914">
              <w:rPr>
                <w:sz w:val="20"/>
                <w:szCs w:val="20"/>
              </w:rPr>
              <w:t xml:space="preserve">number or </w:t>
            </w:r>
          </w:p>
          <w:p w:rsidR="00D54BAD" w:rsidRDefault="00D54BAD" w:rsidP="00DF7FBD">
            <w:pPr>
              <w:tabs>
                <w:tab w:val="left" w:pos="342"/>
                <w:tab w:val="left" w:pos="1080"/>
                <w:tab w:val="left" w:pos="1440"/>
              </w:tabs>
              <w:rPr>
                <w:sz w:val="20"/>
                <w:szCs w:val="20"/>
              </w:rPr>
            </w:pPr>
            <w:r>
              <w:rPr>
                <w:sz w:val="20"/>
                <w:szCs w:val="20"/>
              </w:rPr>
              <w:tab/>
              <w:t>P</w:t>
            </w:r>
            <w:r w:rsidRPr="00336914">
              <w:rPr>
                <w:sz w:val="20"/>
                <w:szCs w:val="20"/>
              </w:rPr>
              <w:t xml:space="preserve">rocessor's </w:t>
            </w:r>
            <w:r>
              <w:rPr>
                <w:sz w:val="20"/>
                <w:szCs w:val="20"/>
              </w:rPr>
              <w:t>F</w:t>
            </w:r>
            <w:r>
              <w:rPr>
                <w:sz w:val="20"/>
                <w:szCs w:val="20"/>
              </w:rPr>
              <w:t>ederal Processor Permit num</w:t>
            </w:r>
            <w:r>
              <w:rPr>
                <w:sz w:val="20"/>
                <w:szCs w:val="20"/>
              </w:rPr>
              <w:t>ber</w:t>
            </w:r>
          </w:p>
          <w:p w:rsidR="00D54BAD" w:rsidRDefault="00D54BAD" w:rsidP="00DF7FBD">
            <w:pPr>
              <w:tabs>
                <w:tab w:val="left" w:pos="342"/>
                <w:tab w:val="left" w:pos="1080"/>
                <w:tab w:val="left" w:pos="1440"/>
              </w:tabs>
              <w:ind w:left="720" w:hanging="720"/>
              <w:rPr>
                <w:sz w:val="20"/>
                <w:szCs w:val="20"/>
              </w:rPr>
            </w:pPr>
            <w:r w:rsidRPr="00336914">
              <w:rPr>
                <w:sz w:val="20"/>
                <w:szCs w:val="20"/>
              </w:rPr>
              <w:tab/>
            </w:r>
            <w:r>
              <w:rPr>
                <w:sz w:val="20"/>
                <w:szCs w:val="20"/>
              </w:rPr>
              <w:t>N</w:t>
            </w:r>
            <w:r w:rsidRPr="00336914">
              <w:rPr>
                <w:sz w:val="20"/>
                <w:szCs w:val="20"/>
              </w:rPr>
              <w:t xml:space="preserve">ame of the vessel owner or responsible operator or </w:t>
            </w:r>
          </w:p>
          <w:p w:rsidR="00D54BAD" w:rsidRPr="00336914" w:rsidRDefault="00D54BAD" w:rsidP="00DF7FBD">
            <w:pPr>
              <w:tabs>
                <w:tab w:val="left" w:pos="342"/>
                <w:tab w:val="left" w:pos="1080"/>
                <w:tab w:val="left" w:pos="1440"/>
              </w:tabs>
              <w:ind w:left="720" w:hanging="720"/>
              <w:rPr>
                <w:sz w:val="20"/>
                <w:szCs w:val="20"/>
              </w:rPr>
            </w:pPr>
            <w:r>
              <w:rPr>
                <w:sz w:val="20"/>
                <w:szCs w:val="20"/>
              </w:rPr>
              <w:tab/>
              <w:t>N</w:t>
            </w:r>
            <w:r w:rsidRPr="00336914">
              <w:rPr>
                <w:sz w:val="20"/>
                <w:szCs w:val="20"/>
              </w:rPr>
              <w:t xml:space="preserve">ame of the </w:t>
            </w:r>
            <w:r>
              <w:rPr>
                <w:sz w:val="20"/>
                <w:szCs w:val="20"/>
              </w:rPr>
              <w:t>processor owner or plant manager</w:t>
            </w:r>
          </w:p>
          <w:p w:rsidR="00D54BAD" w:rsidRPr="00336914" w:rsidRDefault="00D54BAD" w:rsidP="00DF7FBD">
            <w:pPr>
              <w:tabs>
                <w:tab w:val="left" w:pos="342"/>
                <w:tab w:val="left" w:pos="1080"/>
                <w:tab w:val="left" w:pos="1440"/>
              </w:tabs>
              <w:rPr>
                <w:sz w:val="20"/>
                <w:szCs w:val="20"/>
              </w:rPr>
            </w:pPr>
            <w:r w:rsidRPr="00336914">
              <w:rPr>
                <w:sz w:val="20"/>
                <w:szCs w:val="20"/>
              </w:rPr>
              <w:tab/>
            </w:r>
            <w:r>
              <w:rPr>
                <w:sz w:val="20"/>
                <w:szCs w:val="20"/>
              </w:rPr>
              <w:t xml:space="preserve">Business </w:t>
            </w:r>
            <w:r w:rsidRPr="00336914">
              <w:rPr>
                <w:sz w:val="20"/>
                <w:szCs w:val="20"/>
              </w:rPr>
              <w:t xml:space="preserve">telephone number </w:t>
            </w:r>
            <w:r>
              <w:rPr>
                <w:sz w:val="20"/>
                <w:szCs w:val="20"/>
              </w:rPr>
              <w:t xml:space="preserve"> </w:t>
            </w:r>
            <w:r w:rsidRPr="00336914">
              <w:rPr>
                <w:sz w:val="20"/>
                <w:szCs w:val="20"/>
              </w:rPr>
              <w:t xml:space="preserve">and </w:t>
            </w:r>
            <w:r>
              <w:rPr>
                <w:sz w:val="20"/>
                <w:szCs w:val="20"/>
              </w:rPr>
              <w:t>business fax number</w:t>
            </w:r>
          </w:p>
          <w:p w:rsidR="00D54BAD" w:rsidRDefault="00D54BAD" w:rsidP="00DF7FBD">
            <w:pPr>
              <w:tabs>
                <w:tab w:val="left" w:pos="342"/>
                <w:tab w:val="left" w:pos="1080"/>
                <w:tab w:val="left" w:pos="1440"/>
              </w:tabs>
              <w:ind w:left="720" w:hanging="720"/>
              <w:rPr>
                <w:sz w:val="20"/>
                <w:szCs w:val="20"/>
              </w:rPr>
            </w:pPr>
            <w:r w:rsidRPr="00336914">
              <w:rPr>
                <w:sz w:val="20"/>
                <w:szCs w:val="20"/>
              </w:rPr>
              <w:tab/>
            </w:r>
            <w:r>
              <w:rPr>
                <w:sz w:val="20"/>
                <w:szCs w:val="20"/>
              </w:rPr>
              <w:t>S</w:t>
            </w:r>
            <w:r w:rsidRPr="00336914">
              <w:rPr>
                <w:sz w:val="20"/>
                <w:szCs w:val="20"/>
              </w:rPr>
              <w:t>ignature of the vesse</w:t>
            </w:r>
            <w:r>
              <w:rPr>
                <w:sz w:val="20"/>
                <w:szCs w:val="20"/>
              </w:rPr>
              <w:t>l owner or responsible operator</w:t>
            </w:r>
            <w:r w:rsidRPr="00336914">
              <w:rPr>
                <w:sz w:val="20"/>
                <w:szCs w:val="20"/>
              </w:rPr>
              <w:t xml:space="preserve"> or </w:t>
            </w:r>
          </w:p>
          <w:p w:rsidR="00D54BAD" w:rsidRDefault="00D54BAD" w:rsidP="00D54BAD">
            <w:pPr>
              <w:tabs>
                <w:tab w:val="left" w:pos="342"/>
                <w:tab w:val="left" w:pos="1080"/>
                <w:tab w:val="left" w:pos="1440"/>
              </w:tabs>
              <w:ind w:left="720" w:hanging="720"/>
              <w:rPr>
                <w:sz w:val="20"/>
                <w:szCs w:val="20"/>
              </w:rPr>
            </w:pPr>
            <w:r>
              <w:rPr>
                <w:sz w:val="20"/>
                <w:szCs w:val="20"/>
              </w:rPr>
              <w:tab/>
              <w:t xml:space="preserve">Signature of processor </w:t>
            </w:r>
            <w:r w:rsidRPr="00336914">
              <w:rPr>
                <w:sz w:val="20"/>
                <w:szCs w:val="20"/>
              </w:rPr>
              <w:t>owner or</w:t>
            </w:r>
            <w:r>
              <w:rPr>
                <w:sz w:val="20"/>
                <w:szCs w:val="20"/>
              </w:rPr>
              <w:t xml:space="preserve"> plant manager</w:t>
            </w:r>
          </w:p>
        </w:tc>
      </w:tr>
      <w:tr w:rsidR="00D54BAD" w:rsidTr="00AB27F1">
        <w:trPr>
          <w:trHeight w:val="287"/>
        </w:trPr>
        <w:tc>
          <w:tcPr>
            <w:tcW w:w="3078" w:type="dxa"/>
            <w:vMerge/>
          </w:tcPr>
          <w:p w:rsidR="00D54BAD" w:rsidRDefault="00D54BAD" w:rsidP="005C1A0B">
            <w:pPr>
              <w:rPr>
                <w:b/>
                <w:sz w:val="20"/>
                <w:szCs w:val="20"/>
              </w:rPr>
            </w:pPr>
          </w:p>
        </w:tc>
        <w:tc>
          <w:tcPr>
            <w:tcW w:w="7362" w:type="dxa"/>
          </w:tcPr>
          <w:p w:rsidR="00D54BAD" w:rsidRDefault="00D54BAD" w:rsidP="00D54BAD">
            <w:pPr>
              <w:tabs>
                <w:tab w:val="left" w:pos="360"/>
                <w:tab w:val="left" w:pos="720"/>
                <w:tab w:val="left" w:pos="1080"/>
                <w:tab w:val="left" w:pos="1440"/>
              </w:tabs>
              <w:rPr>
                <w:sz w:val="20"/>
                <w:szCs w:val="20"/>
              </w:rPr>
            </w:pPr>
            <w:r>
              <w:rPr>
                <w:sz w:val="20"/>
                <w:szCs w:val="20"/>
              </w:rPr>
              <w:t>L</w:t>
            </w:r>
            <w:r w:rsidRPr="00336914">
              <w:rPr>
                <w:sz w:val="20"/>
                <w:szCs w:val="20"/>
              </w:rPr>
              <w:t>ocations where fish must be delivered by partic</w:t>
            </w:r>
            <w:r>
              <w:rPr>
                <w:sz w:val="20"/>
                <w:szCs w:val="20"/>
              </w:rPr>
              <w:t>ipating vessels and processors</w:t>
            </w:r>
          </w:p>
        </w:tc>
      </w:tr>
      <w:tr w:rsidR="00AB27F1" w:rsidTr="00174CE1">
        <w:tc>
          <w:tcPr>
            <w:tcW w:w="3078" w:type="dxa"/>
          </w:tcPr>
          <w:p w:rsidR="00AB27F1" w:rsidRDefault="00AB27F1" w:rsidP="005C1A0B">
            <w:pPr>
              <w:rPr>
                <w:b/>
                <w:sz w:val="20"/>
                <w:szCs w:val="20"/>
              </w:rPr>
            </w:pPr>
            <w:r>
              <w:rPr>
                <w:b/>
                <w:sz w:val="20"/>
                <w:szCs w:val="20"/>
              </w:rPr>
              <w:t>Copy</w:t>
            </w:r>
          </w:p>
        </w:tc>
        <w:tc>
          <w:tcPr>
            <w:tcW w:w="7362" w:type="dxa"/>
          </w:tcPr>
          <w:p w:rsidR="00AB27F1" w:rsidRDefault="00AB27F1" w:rsidP="00AB27F1">
            <w:pPr>
              <w:tabs>
                <w:tab w:val="left" w:pos="360"/>
                <w:tab w:val="left" w:pos="1080"/>
                <w:tab w:val="left" w:pos="1440"/>
              </w:tabs>
              <w:rPr>
                <w:sz w:val="20"/>
                <w:szCs w:val="20"/>
              </w:rPr>
            </w:pPr>
            <w:r>
              <w:rPr>
                <w:sz w:val="20"/>
                <w:szCs w:val="20"/>
              </w:rPr>
              <w:t>A</w:t>
            </w:r>
            <w:r w:rsidRPr="00336914">
              <w:rPr>
                <w:sz w:val="20"/>
                <w:szCs w:val="20"/>
              </w:rPr>
              <w:t>pplicant's articles of incorporation and bylaws</w:t>
            </w:r>
            <w:r>
              <w:rPr>
                <w:sz w:val="20"/>
                <w:szCs w:val="20"/>
              </w:rPr>
              <w:t xml:space="preserve">.  Purpose must </w:t>
            </w:r>
            <w:r w:rsidRPr="00336914">
              <w:rPr>
                <w:sz w:val="20"/>
                <w:szCs w:val="20"/>
              </w:rPr>
              <w:t>include providing food resources to hunger relief agencies, food bank netw</w:t>
            </w:r>
            <w:r>
              <w:rPr>
                <w:sz w:val="20"/>
                <w:szCs w:val="20"/>
              </w:rPr>
              <w:t>orks, or food bank distributors</w:t>
            </w:r>
          </w:p>
        </w:tc>
      </w:tr>
      <w:tr w:rsidR="00D54BAD" w:rsidTr="00174CE1">
        <w:tc>
          <w:tcPr>
            <w:tcW w:w="3078" w:type="dxa"/>
          </w:tcPr>
          <w:p w:rsidR="00D54BAD" w:rsidRDefault="00D54BAD" w:rsidP="005C1A0B">
            <w:pPr>
              <w:rPr>
                <w:b/>
                <w:sz w:val="20"/>
                <w:szCs w:val="20"/>
              </w:rPr>
            </w:pPr>
            <w:r>
              <w:rPr>
                <w:b/>
                <w:sz w:val="20"/>
                <w:szCs w:val="20"/>
              </w:rPr>
              <w:t>Signed statement</w:t>
            </w:r>
          </w:p>
        </w:tc>
        <w:tc>
          <w:tcPr>
            <w:tcW w:w="7362" w:type="dxa"/>
          </w:tcPr>
          <w:p w:rsidR="00D54BAD" w:rsidRDefault="00AB27F1" w:rsidP="00DF7FBD">
            <w:pPr>
              <w:tabs>
                <w:tab w:val="left" w:pos="360"/>
                <w:tab w:val="left" w:pos="1080"/>
                <w:tab w:val="left" w:pos="1440"/>
              </w:tabs>
              <w:rPr>
                <w:sz w:val="20"/>
                <w:szCs w:val="20"/>
              </w:rPr>
            </w:pPr>
            <w:r>
              <w:rPr>
                <w:sz w:val="20"/>
                <w:szCs w:val="20"/>
              </w:rPr>
              <w:t>F</w:t>
            </w:r>
            <w:r w:rsidR="00D54BAD" w:rsidRPr="00336914">
              <w:rPr>
                <w:sz w:val="20"/>
                <w:szCs w:val="20"/>
              </w:rPr>
              <w:t>rom the applicant and all persons listed, who would conduct activities pursuant</w:t>
            </w:r>
            <w:r w:rsidR="00D54BAD">
              <w:rPr>
                <w:sz w:val="20"/>
                <w:szCs w:val="20"/>
              </w:rPr>
              <w:t xml:space="preserve"> </w:t>
            </w:r>
            <w:r w:rsidR="00D54BAD" w:rsidRPr="00336914">
              <w:rPr>
                <w:sz w:val="20"/>
                <w:szCs w:val="20"/>
              </w:rPr>
              <w:t>to the PSD permit waiving any and all claims against the United States and its agents and employees</w:t>
            </w:r>
            <w:r w:rsidR="00D54BAD">
              <w:rPr>
                <w:sz w:val="20"/>
                <w:szCs w:val="20"/>
              </w:rPr>
              <w:t xml:space="preserve"> </w:t>
            </w:r>
            <w:r w:rsidR="00D54BAD" w:rsidRPr="00336914">
              <w:rPr>
                <w:sz w:val="20"/>
                <w:szCs w:val="20"/>
              </w:rPr>
              <w:t>for any liability for personal injury, death, sickness, damage to property directly or indirectly due to</w:t>
            </w:r>
            <w:r w:rsidR="00D54BAD">
              <w:rPr>
                <w:sz w:val="20"/>
                <w:szCs w:val="20"/>
              </w:rPr>
              <w:t xml:space="preserve"> </w:t>
            </w:r>
            <w:r w:rsidR="00D54BAD" w:rsidRPr="00336914">
              <w:rPr>
                <w:sz w:val="20"/>
                <w:szCs w:val="20"/>
              </w:rPr>
              <w:t>act</w:t>
            </w:r>
            <w:r w:rsidR="00D54BAD">
              <w:rPr>
                <w:sz w:val="20"/>
                <w:szCs w:val="20"/>
              </w:rPr>
              <w:t>ivities conducted under the PSD</w:t>
            </w:r>
          </w:p>
        </w:tc>
      </w:tr>
    </w:tbl>
    <w:p w:rsidR="00D2723B" w:rsidRPr="0036258D" w:rsidRDefault="00D2723B" w:rsidP="000C4EFE">
      <w:pPr>
        <w:tabs>
          <w:tab w:val="left" w:pos="360"/>
          <w:tab w:val="left" w:pos="720"/>
          <w:tab w:val="left" w:pos="1080"/>
          <w:tab w:val="left" w:pos="1440"/>
        </w:tabs>
      </w:pPr>
      <w:r>
        <w:lastRenderedPageBreak/>
        <w:t>__________________________________________________________________________________</w:t>
      </w:r>
    </w:p>
    <w:p w:rsidR="00D2723B" w:rsidRDefault="00D2723B" w:rsidP="00D2723B">
      <w:pPr>
        <w:pStyle w:val="CM3"/>
        <w:spacing w:after="0"/>
        <w:ind w:left="-547" w:right="-547"/>
        <w:jc w:val="center"/>
        <w:rPr>
          <w:b/>
          <w:bCs/>
          <w:color w:val="000000"/>
          <w:sz w:val="20"/>
          <w:szCs w:val="20"/>
        </w:rPr>
      </w:pPr>
    </w:p>
    <w:p w:rsidR="00D2723B" w:rsidRPr="00D04E60" w:rsidRDefault="00D2723B" w:rsidP="00D2723B">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2723B" w:rsidRPr="0036258D" w:rsidRDefault="00D2723B" w:rsidP="00D2723B">
      <w:pPr>
        <w:pStyle w:val="CM3"/>
        <w:spacing w:after="0"/>
        <w:rPr>
          <w:b/>
          <w:bCs/>
          <w:color w:val="000000"/>
          <w:sz w:val="20"/>
          <w:szCs w:val="20"/>
        </w:rPr>
      </w:pPr>
      <w:r w:rsidRPr="0036258D">
        <w:rPr>
          <w:color w:val="000000"/>
          <w:sz w:val="20"/>
          <w:szCs w:val="20"/>
        </w:rPr>
        <w:t xml:space="preserve">Public reporting burden for this collection of information is estimated to average </w:t>
      </w:r>
      <w:r>
        <w:rPr>
          <w:color w:val="000000"/>
          <w:sz w:val="20"/>
          <w:szCs w:val="20"/>
        </w:rPr>
        <w:t>40</w:t>
      </w:r>
      <w:r w:rsidRPr="0036258D">
        <w:rPr>
          <w:color w:val="000000"/>
          <w:sz w:val="20"/>
          <w:szCs w:val="20"/>
        </w:rPr>
        <w:t xml:space="preserve">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2723B" w:rsidRPr="0036258D" w:rsidRDefault="00D2723B" w:rsidP="00D2723B">
      <w:pPr>
        <w:pStyle w:val="Default1"/>
        <w:ind w:left="-540" w:right="-540"/>
        <w:jc w:val="center"/>
        <w:rPr>
          <w:b/>
          <w:bCs/>
          <w:color w:val="000000"/>
          <w:sz w:val="20"/>
          <w:szCs w:val="20"/>
        </w:rPr>
      </w:pPr>
    </w:p>
    <w:p w:rsidR="00D2723B" w:rsidRPr="00D04E60" w:rsidRDefault="00D2723B" w:rsidP="00D2723B">
      <w:pPr>
        <w:pStyle w:val="Default1"/>
        <w:ind w:left="-540" w:right="-540"/>
        <w:jc w:val="center"/>
        <w:rPr>
          <w:b/>
          <w:bCs/>
          <w:i/>
          <w:color w:val="000000"/>
          <w:sz w:val="20"/>
          <w:szCs w:val="20"/>
        </w:rPr>
      </w:pPr>
      <w:r w:rsidRPr="00D04E60">
        <w:rPr>
          <w:b/>
          <w:bCs/>
          <w:i/>
          <w:color w:val="000000"/>
          <w:sz w:val="20"/>
          <w:szCs w:val="20"/>
        </w:rPr>
        <w:t>ADDITIONAL INFORMATION</w:t>
      </w:r>
    </w:p>
    <w:p w:rsidR="00D2723B" w:rsidRDefault="00D2723B" w:rsidP="00D2723B">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used to manage commercial fishing efforts under 50 CFR part 679 and under section 402(a) of the Magnuson-Stevens Act (16 U.S.C. 1801, </w:t>
      </w:r>
      <w:r w:rsidRPr="0036258D">
        <w:rPr>
          <w:i/>
          <w:sz w:val="20"/>
          <w:szCs w:val="20"/>
        </w:rPr>
        <w:t>et seq</w:t>
      </w:r>
      <w:r w:rsidRPr="0036258D">
        <w:rPr>
          <w:sz w:val="20"/>
          <w:szCs w:val="20"/>
        </w:rPr>
        <w:t>.) as amended in 2006;  4) Responses to this information request are not confidential</w:t>
      </w:r>
      <w:r>
        <w:rPr>
          <w:sz w:val="20"/>
          <w:szCs w:val="20"/>
        </w:rPr>
        <w:t>.</w:t>
      </w:r>
    </w:p>
    <w:p w:rsidR="00B8327D" w:rsidRPr="00D2723B" w:rsidRDefault="00D2723B" w:rsidP="00D2723B">
      <w:pPr>
        <w:pStyle w:val="Default"/>
        <w:rPr>
          <w:sz w:val="20"/>
          <w:szCs w:val="20"/>
        </w:rPr>
      </w:pPr>
      <w:r>
        <w:rPr>
          <w:sz w:val="20"/>
          <w:szCs w:val="20"/>
        </w:rPr>
        <w:t>____________________________________________________________________________</w:t>
      </w:r>
      <w:r w:rsidR="000C4EFE">
        <w:rPr>
          <w:sz w:val="20"/>
          <w:szCs w:val="20"/>
        </w:rPr>
        <w:t>_______________________</w:t>
      </w:r>
    </w:p>
    <w:sectPr w:rsidR="00B8327D" w:rsidRPr="00D2723B" w:rsidSect="000C4EFE">
      <w:footerReference w:type="default" r:id="rId9"/>
      <w:pgSz w:w="12240" w:h="15840"/>
      <w:pgMar w:top="720"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F2" w:rsidRDefault="002D33F2" w:rsidP="002D33F2">
      <w:r>
        <w:separator/>
      </w:r>
    </w:p>
  </w:endnote>
  <w:endnote w:type="continuationSeparator" w:id="0">
    <w:p w:rsidR="002D33F2" w:rsidRDefault="002D33F2" w:rsidP="002D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4701705"/>
      <w:docPartObj>
        <w:docPartGallery w:val="Page Numbers (Bottom of Page)"/>
        <w:docPartUnique/>
      </w:docPartObj>
    </w:sdtPr>
    <w:sdtContent>
      <w:sdt>
        <w:sdtPr>
          <w:rPr>
            <w:sz w:val="20"/>
            <w:szCs w:val="20"/>
          </w:rPr>
          <w:id w:val="-1669238322"/>
          <w:docPartObj>
            <w:docPartGallery w:val="Page Numbers (Top of Page)"/>
            <w:docPartUnique/>
          </w:docPartObj>
        </w:sdtPr>
        <w:sdtContent>
          <w:p w:rsidR="002D33F2" w:rsidRPr="002D33F2" w:rsidRDefault="002D33F2">
            <w:pPr>
              <w:pStyle w:val="Footer"/>
              <w:jc w:val="center"/>
              <w:rPr>
                <w:sz w:val="20"/>
                <w:szCs w:val="20"/>
              </w:rPr>
            </w:pPr>
            <w:r w:rsidRPr="002D33F2">
              <w:rPr>
                <w:sz w:val="20"/>
                <w:szCs w:val="20"/>
              </w:rPr>
              <w:t>Application for PSD Permit</w:t>
            </w:r>
          </w:p>
          <w:p w:rsidR="002D33F2" w:rsidRPr="002D33F2" w:rsidRDefault="002D33F2">
            <w:pPr>
              <w:pStyle w:val="Footer"/>
              <w:jc w:val="center"/>
              <w:rPr>
                <w:sz w:val="20"/>
                <w:szCs w:val="20"/>
              </w:rPr>
            </w:pPr>
            <w:r w:rsidRPr="002D33F2">
              <w:rPr>
                <w:sz w:val="20"/>
                <w:szCs w:val="20"/>
              </w:rPr>
              <w:t xml:space="preserve">Page </w:t>
            </w:r>
            <w:r w:rsidRPr="002D33F2">
              <w:rPr>
                <w:b/>
                <w:bCs/>
                <w:sz w:val="20"/>
                <w:szCs w:val="20"/>
              </w:rPr>
              <w:fldChar w:fldCharType="begin"/>
            </w:r>
            <w:r w:rsidRPr="002D33F2">
              <w:rPr>
                <w:b/>
                <w:bCs/>
                <w:sz w:val="20"/>
                <w:szCs w:val="20"/>
              </w:rPr>
              <w:instrText xml:space="preserve"> PAGE </w:instrText>
            </w:r>
            <w:r w:rsidRPr="002D33F2">
              <w:rPr>
                <w:b/>
                <w:bCs/>
                <w:sz w:val="20"/>
                <w:szCs w:val="20"/>
              </w:rPr>
              <w:fldChar w:fldCharType="separate"/>
            </w:r>
            <w:r w:rsidR="000C4EFE">
              <w:rPr>
                <w:b/>
                <w:bCs/>
                <w:noProof/>
                <w:sz w:val="20"/>
                <w:szCs w:val="20"/>
              </w:rPr>
              <w:t>1</w:t>
            </w:r>
            <w:r w:rsidRPr="002D33F2">
              <w:rPr>
                <w:b/>
                <w:bCs/>
                <w:sz w:val="20"/>
                <w:szCs w:val="20"/>
              </w:rPr>
              <w:fldChar w:fldCharType="end"/>
            </w:r>
            <w:r w:rsidRPr="002D33F2">
              <w:rPr>
                <w:sz w:val="20"/>
                <w:szCs w:val="20"/>
              </w:rPr>
              <w:t xml:space="preserve"> of </w:t>
            </w:r>
            <w:r w:rsidRPr="002D33F2">
              <w:rPr>
                <w:b/>
                <w:bCs/>
                <w:sz w:val="20"/>
                <w:szCs w:val="20"/>
              </w:rPr>
              <w:fldChar w:fldCharType="begin"/>
            </w:r>
            <w:r w:rsidRPr="002D33F2">
              <w:rPr>
                <w:b/>
                <w:bCs/>
                <w:sz w:val="20"/>
                <w:szCs w:val="20"/>
              </w:rPr>
              <w:instrText xml:space="preserve"> NUMPAGES  </w:instrText>
            </w:r>
            <w:r w:rsidRPr="002D33F2">
              <w:rPr>
                <w:b/>
                <w:bCs/>
                <w:sz w:val="20"/>
                <w:szCs w:val="20"/>
              </w:rPr>
              <w:fldChar w:fldCharType="separate"/>
            </w:r>
            <w:r w:rsidR="000C4EFE">
              <w:rPr>
                <w:b/>
                <w:bCs/>
                <w:noProof/>
                <w:sz w:val="20"/>
                <w:szCs w:val="20"/>
              </w:rPr>
              <w:t>2</w:t>
            </w:r>
            <w:r w:rsidRPr="002D33F2">
              <w:rPr>
                <w:b/>
                <w:bCs/>
                <w:sz w:val="20"/>
                <w:szCs w:val="20"/>
              </w:rPr>
              <w:fldChar w:fldCharType="end"/>
            </w:r>
          </w:p>
        </w:sdtContent>
      </w:sdt>
    </w:sdtContent>
  </w:sdt>
  <w:p w:rsidR="002D33F2" w:rsidRDefault="002D3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F2" w:rsidRDefault="002D33F2" w:rsidP="002D33F2">
      <w:r>
        <w:separator/>
      </w:r>
    </w:p>
  </w:footnote>
  <w:footnote w:type="continuationSeparator" w:id="0">
    <w:p w:rsidR="002D33F2" w:rsidRDefault="002D33F2" w:rsidP="002D3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0B"/>
    <w:rsid w:val="000C4EFE"/>
    <w:rsid w:val="00174CE1"/>
    <w:rsid w:val="002B00E5"/>
    <w:rsid w:val="002D33F2"/>
    <w:rsid w:val="0031217A"/>
    <w:rsid w:val="004867D7"/>
    <w:rsid w:val="005C1A0B"/>
    <w:rsid w:val="007A41C7"/>
    <w:rsid w:val="009B77B0"/>
    <w:rsid w:val="00AB27F1"/>
    <w:rsid w:val="00B8327D"/>
    <w:rsid w:val="00D2723B"/>
    <w:rsid w:val="00D54BAD"/>
    <w:rsid w:val="00DF7FBD"/>
    <w:rsid w:val="00FA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C1A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5C1A0B"/>
    <w:rPr>
      <w:color w:val="auto"/>
    </w:rPr>
  </w:style>
  <w:style w:type="paragraph" w:styleId="BalloonText">
    <w:name w:val="Balloon Text"/>
    <w:basedOn w:val="Normal"/>
    <w:link w:val="BalloonTextChar"/>
    <w:uiPriority w:val="99"/>
    <w:semiHidden/>
    <w:unhideWhenUsed/>
    <w:rsid w:val="005C1A0B"/>
    <w:rPr>
      <w:rFonts w:ascii="Tahoma" w:hAnsi="Tahoma" w:cs="Tahoma"/>
      <w:sz w:val="16"/>
      <w:szCs w:val="16"/>
    </w:rPr>
  </w:style>
  <w:style w:type="character" w:customStyle="1" w:styleId="BalloonTextChar">
    <w:name w:val="Balloon Text Char"/>
    <w:basedOn w:val="DefaultParagraphFont"/>
    <w:link w:val="BalloonText"/>
    <w:uiPriority w:val="99"/>
    <w:semiHidden/>
    <w:rsid w:val="005C1A0B"/>
    <w:rPr>
      <w:rFonts w:ascii="Tahoma" w:eastAsia="Times New Roman" w:hAnsi="Tahoma" w:cs="Tahoma"/>
      <w:sz w:val="16"/>
      <w:szCs w:val="16"/>
    </w:rPr>
  </w:style>
  <w:style w:type="table" w:styleId="TableGrid">
    <w:name w:val="Table Grid"/>
    <w:basedOn w:val="TableNormal"/>
    <w:uiPriority w:val="59"/>
    <w:rsid w:val="004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uiPriority w:val="99"/>
    <w:rsid w:val="00D2723B"/>
    <w:pPr>
      <w:spacing w:after="218"/>
    </w:pPr>
    <w:rPr>
      <w:color w:val="auto"/>
    </w:rPr>
  </w:style>
  <w:style w:type="paragraph" w:styleId="Header">
    <w:name w:val="header"/>
    <w:basedOn w:val="Normal"/>
    <w:link w:val="HeaderChar"/>
    <w:uiPriority w:val="99"/>
    <w:unhideWhenUsed/>
    <w:rsid w:val="002D33F2"/>
    <w:pPr>
      <w:tabs>
        <w:tab w:val="center" w:pos="4680"/>
        <w:tab w:val="right" w:pos="9360"/>
      </w:tabs>
    </w:pPr>
  </w:style>
  <w:style w:type="character" w:customStyle="1" w:styleId="HeaderChar">
    <w:name w:val="Header Char"/>
    <w:basedOn w:val="DefaultParagraphFont"/>
    <w:link w:val="Header"/>
    <w:uiPriority w:val="99"/>
    <w:rsid w:val="002D33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33F2"/>
    <w:pPr>
      <w:tabs>
        <w:tab w:val="center" w:pos="4680"/>
        <w:tab w:val="right" w:pos="9360"/>
      </w:tabs>
    </w:pPr>
  </w:style>
  <w:style w:type="character" w:customStyle="1" w:styleId="FooterChar">
    <w:name w:val="Footer Char"/>
    <w:basedOn w:val="DefaultParagraphFont"/>
    <w:link w:val="Footer"/>
    <w:uiPriority w:val="99"/>
    <w:rsid w:val="002D33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C1A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5C1A0B"/>
    <w:rPr>
      <w:color w:val="auto"/>
    </w:rPr>
  </w:style>
  <w:style w:type="paragraph" w:styleId="BalloonText">
    <w:name w:val="Balloon Text"/>
    <w:basedOn w:val="Normal"/>
    <w:link w:val="BalloonTextChar"/>
    <w:uiPriority w:val="99"/>
    <w:semiHidden/>
    <w:unhideWhenUsed/>
    <w:rsid w:val="005C1A0B"/>
    <w:rPr>
      <w:rFonts w:ascii="Tahoma" w:hAnsi="Tahoma" w:cs="Tahoma"/>
      <w:sz w:val="16"/>
      <w:szCs w:val="16"/>
    </w:rPr>
  </w:style>
  <w:style w:type="character" w:customStyle="1" w:styleId="BalloonTextChar">
    <w:name w:val="Balloon Text Char"/>
    <w:basedOn w:val="DefaultParagraphFont"/>
    <w:link w:val="BalloonText"/>
    <w:uiPriority w:val="99"/>
    <w:semiHidden/>
    <w:rsid w:val="005C1A0B"/>
    <w:rPr>
      <w:rFonts w:ascii="Tahoma" w:eastAsia="Times New Roman" w:hAnsi="Tahoma" w:cs="Tahoma"/>
      <w:sz w:val="16"/>
      <w:szCs w:val="16"/>
    </w:rPr>
  </w:style>
  <w:style w:type="table" w:styleId="TableGrid">
    <w:name w:val="Table Grid"/>
    <w:basedOn w:val="TableNormal"/>
    <w:uiPriority w:val="59"/>
    <w:rsid w:val="004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uiPriority w:val="99"/>
    <w:rsid w:val="00D2723B"/>
    <w:pPr>
      <w:spacing w:after="218"/>
    </w:pPr>
    <w:rPr>
      <w:color w:val="auto"/>
    </w:rPr>
  </w:style>
  <w:style w:type="paragraph" w:styleId="Header">
    <w:name w:val="header"/>
    <w:basedOn w:val="Normal"/>
    <w:link w:val="HeaderChar"/>
    <w:uiPriority w:val="99"/>
    <w:unhideWhenUsed/>
    <w:rsid w:val="002D33F2"/>
    <w:pPr>
      <w:tabs>
        <w:tab w:val="center" w:pos="4680"/>
        <w:tab w:val="right" w:pos="9360"/>
      </w:tabs>
    </w:pPr>
  </w:style>
  <w:style w:type="character" w:customStyle="1" w:styleId="HeaderChar">
    <w:name w:val="Header Char"/>
    <w:basedOn w:val="DefaultParagraphFont"/>
    <w:link w:val="Header"/>
    <w:uiPriority w:val="99"/>
    <w:rsid w:val="002D33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33F2"/>
    <w:pPr>
      <w:tabs>
        <w:tab w:val="center" w:pos="4680"/>
        <w:tab w:val="right" w:pos="9360"/>
      </w:tabs>
    </w:pPr>
  </w:style>
  <w:style w:type="character" w:customStyle="1" w:styleId="FooterChar">
    <w:name w:val="Footer Char"/>
    <w:basedOn w:val="DefaultParagraphFont"/>
    <w:link w:val="Footer"/>
    <w:uiPriority w:val="99"/>
    <w:rsid w:val="002D33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1</cp:revision>
  <dcterms:created xsi:type="dcterms:W3CDTF">2014-07-09T17:24:00Z</dcterms:created>
  <dcterms:modified xsi:type="dcterms:W3CDTF">2014-07-09T18:20:00Z</dcterms:modified>
</cp:coreProperties>
</file>