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F7" w:rsidRPr="00783959" w:rsidRDefault="00783959" w:rsidP="00783959">
      <w:pPr>
        <w:pStyle w:val="NoSpacing"/>
        <w:jc w:val="center"/>
        <w:rPr>
          <w:b/>
        </w:rPr>
      </w:pPr>
      <w:r w:rsidRPr="00783959">
        <w:rPr>
          <w:b/>
        </w:rPr>
        <w:t>JUSTIFICATION FOR CHANGE</w:t>
      </w:r>
    </w:p>
    <w:p w:rsidR="000725B0" w:rsidRPr="00783959" w:rsidRDefault="00783959" w:rsidP="00783959">
      <w:pPr>
        <w:pStyle w:val="NoSpacing"/>
        <w:jc w:val="center"/>
        <w:rPr>
          <w:b/>
        </w:rPr>
      </w:pPr>
      <w:r w:rsidRPr="00783959">
        <w:rPr>
          <w:b/>
        </w:rPr>
        <w:t>RECREATIONAL BAIT AND TACKLE ECONOMIC SURVEY</w:t>
      </w:r>
    </w:p>
    <w:p w:rsidR="004061F7" w:rsidRPr="00783959" w:rsidRDefault="00783959" w:rsidP="00783959">
      <w:pPr>
        <w:pStyle w:val="NoSpacing"/>
        <w:jc w:val="center"/>
        <w:rPr>
          <w:b/>
        </w:rPr>
      </w:pPr>
      <w:proofErr w:type="gramStart"/>
      <w:r w:rsidRPr="00783959">
        <w:rPr>
          <w:b/>
        </w:rPr>
        <w:t>OMB CONTROL NO.</w:t>
      </w:r>
      <w:proofErr w:type="gramEnd"/>
      <w:r w:rsidRPr="00783959">
        <w:rPr>
          <w:b/>
        </w:rPr>
        <w:t xml:space="preserve"> 0648-0695</w:t>
      </w:r>
    </w:p>
    <w:p w:rsidR="00614920" w:rsidRDefault="00614920" w:rsidP="003D3063">
      <w:pPr>
        <w:rPr>
          <w:sz w:val="24"/>
          <w:szCs w:val="24"/>
        </w:rPr>
      </w:pPr>
    </w:p>
    <w:p w:rsidR="00091CB6" w:rsidRPr="00614920" w:rsidRDefault="00C965A0" w:rsidP="003D3063">
      <w:r w:rsidRPr="00614920">
        <w:t xml:space="preserve">This change request seeks the addition of a modeling component to </w:t>
      </w:r>
      <w:r w:rsidR="00371D2A" w:rsidRPr="00614920">
        <w:t>the Recreational Bait and Tackle Economic Survey</w:t>
      </w:r>
      <w:r w:rsidR="00960C41" w:rsidRPr="00614920">
        <w:t xml:space="preserve"> (RBTES)</w:t>
      </w:r>
      <w:r w:rsidRPr="00614920">
        <w:t xml:space="preserve"> (OMB Control Number 0648-0695).  The goal of the RBTES</w:t>
      </w:r>
      <w:r w:rsidR="00371D2A" w:rsidRPr="00614920">
        <w:t xml:space="preserve"> is to provide </w:t>
      </w:r>
      <w:r w:rsidR="00783959">
        <w:t>the National Oceanic and Atmospheric Administration’s (</w:t>
      </w:r>
      <w:r w:rsidR="00371D2A" w:rsidRPr="00614920">
        <w:t>NOAA</w:t>
      </w:r>
      <w:r w:rsidR="00783959">
        <w:t>)</w:t>
      </w:r>
      <w:r w:rsidR="00371D2A" w:rsidRPr="00614920">
        <w:t xml:space="preserve"> Fisheries with a better understanding of the economic characteristics of the saltwater bait and tackle retail in</w:t>
      </w:r>
      <w:r w:rsidR="00F90532" w:rsidRPr="00614920">
        <w:t>dustry in the United States</w:t>
      </w:r>
      <w:r w:rsidR="00783959">
        <w:t xml:space="preserve"> (U.S.)</w:t>
      </w:r>
      <w:bookmarkStart w:id="0" w:name="_GoBack"/>
      <w:bookmarkEnd w:id="0"/>
      <w:r w:rsidR="00F90532" w:rsidRPr="00614920">
        <w:t xml:space="preserve">.  </w:t>
      </w:r>
      <w:r w:rsidRPr="00614920">
        <w:t>T</w:t>
      </w:r>
      <w:r w:rsidR="00F90532" w:rsidRPr="00614920">
        <w:t>he survey will</w:t>
      </w:r>
      <w:r w:rsidR="00371D2A" w:rsidRPr="00614920">
        <w:t xml:space="preserve"> provide the agency with the data needed to generate more precise estimate</w:t>
      </w:r>
      <w:r w:rsidR="00F90532" w:rsidRPr="00614920">
        <w:t>s</w:t>
      </w:r>
      <w:r w:rsidR="00371D2A" w:rsidRPr="00614920">
        <w:t xml:space="preserve"> of the industry’s economic contributions to coastal regions. </w:t>
      </w:r>
      <w:r w:rsidR="00F90532" w:rsidRPr="00614920">
        <w:t xml:space="preserve"> NOAA Fisheries generally conducts analyses of economic contribution in IMPLAN, </w:t>
      </w:r>
      <w:r w:rsidR="00371D2A" w:rsidRPr="00614920">
        <w:t xml:space="preserve">a software and data package designed specifically for </w:t>
      </w:r>
      <w:r w:rsidR="00EE6D23">
        <w:t xml:space="preserve">building </w:t>
      </w:r>
      <w:r w:rsidR="00371D2A" w:rsidRPr="00614920">
        <w:t>economic input-output models to estimate the economic impacts of regional business activities</w:t>
      </w:r>
      <w:r w:rsidR="00F90532" w:rsidRPr="00614920">
        <w:t xml:space="preserve"> (Minnesota IMPLAN Group</w:t>
      </w:r>
      <w:r w:rsidR="001339D0" w:rsidRPr="00614920">
        <w:t>, Inc.</w:t>
      </w:r>
      <w:r w:rsidR="00614920" w:rsidRPr="00614920">
        <w:t>,</w:t>
      </w:r>
      <w:r w:rsidR="001339D0" w:rsidRPr="00614920">
        <w:t xml:space="preserve"> 2010</w:t>
      </w:r>
      <w:r w:rsidR="00F90532" w:rsidRPr="00614920">
        <w:t>)</w:t>
      </w:r>
      <w:r w:rsidR="00371D2A" w:rsidRPr="00614920">
        <w:t>.</w:t>
      </w:r>
      <w:r w:rsidR="00F90532" w:rsidRPr="00614920">
        <w:t xml:space="preserve">  </w:t>
      </w:r>
    </w:p>
    <w:p w:rsidR="0007475C" w:rsidRPr="00614920" w:rsidRDefault="0007475C" w:rsidP="003D3063">
      <w:r w:rsidRPr="00614920">
        <w:t xml:space="preserve">IMPLAN combines mathematical algorithms and county-level economic data on 440 distinct business sectors, available for individual states or the entire nation, to estimate input-output models.  </w:t>
      </w:r>
      <w:r w:rsidR="00091CB6" w:rsidRPr="00614920">
        <w:t xml:space="preserve">Input-output models are assembled in IMPLAN by first selecting the appropriate regional models (national, state, or county level) of interest, and then assigning expenditure estimates (retail sales or business costs) to the appropriate economic sectors.  </w:t>
      </w:r>
      <w:r w:rsidR="00047F1E" w:rsidRPr="00614920">
        <w:t>When</w:t>
      </w:r>
      <w:r w:rsidR="00091CB6" w:rsidRPr="00614920">
        <w:t xml:space="preserve"> a</w:t>
      </w:r>
      <w:r w:rsidR="00047F1E" w:rsidRPr="00614920">
        <w:t>n</w:t>
      </w:r>
      <w:r w:rsidR="00091CB6" w:rsidRPr="00614920">
        <w:t xml:space="preserve"> input-ou</w:t>
      </w:r>
      <w:r w:rsidR="00047F1E" w:rsidRPr="00614920">
        <w:t>tput model is assembled and run</w:t>
      </w:r>
      <w:r w:rsidR="00EE6D23">
        <w:t>,</w:t>
      </w:r>
      <w:r w:rsidR="00091CB6" w:rsidRPr="00614920">
        <w:t xml:space="preserve"> IMPLAN </w:t>
      </w:r>
      <w:r w:rsidR="00EE6D23">
        <w:t xml:space="preserve">estimates </w:t>
      </w:r>
      <w:r w:rsidR="00091CB6" w:rsidRPr="00614920">
        <w:t xml:space="preserve">a series of economic </w:t>
      </w:r>
      <w:r w:rsidR="00EE6D23">
        <w:t>indicators:</w:t>
      </w:r>
      <w:r w:rsidR="00EE6D23" w:rsidRPr="00614920" w:rsidDel="00EE6D23">
        <w:t xml:space="preserve"> </w:t>
      </w:r>
      <w:r w:rsidR="00091CB6" w:rsidRPr="00614920">
        <w:t xml:space="preserve">total output, value added output, labor income, taxes generated, and employment (number of full-time equivalent jobs supported by the modeled expenditures).  </w:t>
      </w:r>
    </w:p>
    <w:p w:rsidR="00E61594" w:rsidRPr="00614920" w:rsidRDefault="00047F1E" w:rsidP="003D3063">
      <w:r w:rsidRPr="00614920">
        <w:t xml:space="preserve">One common complication when working with IMPLAN is its tendency to aggregate </w:t>
      </w:r>
      <w:r w:rsidR="007C35E7" w:rsidRPr="00614920">
        <w:t xml:space="preserve">diverse businesses within broad economic sectors.  Businesses that specialize in selling bait and tackle to recreational fishermen are generally included within the Sporting </w:t>
      </w:r>
      <w:r w:rsidR="0034345C" w:rsidRPr="00614920">
        <w:t>and Athletic Goods sector</w:t>
      </w:r>
      <w:r w:rsidR="00EE6D23">
        <w:t>,</w:t>
      </w:r>
      <w:r w:rsidR="0017724A" w:rsidRPr="00614920">
        <w:t xml:space="preserve"> which includes businesses that specialize in catering to the equipment needs of outdoor recreationalists and athletes</w:t>
      </w:r>
      <w:r w:rsidR="0034345C" w:rsidRPr="00614920">
        <w:t xml:space="preserve">.  While </w:t>
      </w:r>
      <w:r w:rsidR="0017724A" w:rsidRPr="00614920">
        <w:t xml:space="preserve">Sporting Goods is certainly an appropriate category under which to put bait and tackle stores, the majority of products sold under this category are not used for recreational fishing.  Furthermore, the Sporting Goods sector is also largely dominated by large national chains (e.g., Dick’s Sporting Goods).  Given these two issues, a sector that aggregates the economic activity of all these businesses </w:t>
      </w:r>
      <w:r w:rsidR="005116CD">
        <w:t xml:space="preserve">may not </w:t>
      </w:r>
      <w:r w:rsidR="0017724A" w:rsidRPr="00614920">
        <w:t>accurately represent the operations of independently owned bait and tackle stores.</w:t>
      </w:r>
      <w:r w:rsidR="00DD63C4" w:rsidRPr="00614920">
        <w:t xml:space="preserve">  </w:t>
      </w:r>
    </w:p>
    <w:p w:rsidR="00614920" w:rsidRPr="00614920" w:rsidRDefault="00960C41" w:rsidP="003D3063">
      <w:r w:rsidRPr="00614920">
        <w:t>The RBTES seeks to construct an input-output model in IMPLAN that will provide a more accurate picture of the economic contributions of retail stores that sell recreational fishing bait and tackle.</w:t>
      </w:r>
      <w:r w:rsidR="00E61594" w:rsidRPr="00614920">
        <w:t xml:space="preserve">  To do this, the RBTES will quantify the gross revenues, expenses</w:t>
      </w:r>
      <w:r w:rsidR="00EE6D23">
        <w:t xml:space="preserve"> by type</w:t>
      </w:r>
      <w:r w:rsidR="00E61594" w:rsidRPr="00614920">
        <w:t>, and net returns of bait and tackle stores</w:t>
      </w:r>
      <w:r w:rsidR="001339D0" w:rsidRPr="00614920">
        <w:t xml:space="preserve"> by region (Northeast, Mid-Atlantic, Southeast, Gulf of Mexico, West Coast, Alaska, and Hawaii)</w:t>
      </w:r>
      <w:r w:rsidR="00E61594" w:rsidRPr="00614920">
        <w:t xml:space="preserve">.  The estimated expenditures </w:t>
      </w:r>
      <w:r w:rsidR="00EE6D23">
        <w:t xml:space="preserve">by type </w:t>
      </w:r>
      <w:r w:rsidR="00E61594" w:rsidRPr="00614920">
        <w:t xml:space="preserve">will </w:t>
      </w:r>
      <w:r w:rsidR="001339D0" w:rsidRPr="00614920">
        <w:t>then</w:t>
      </w:r>
      <w:r w:rsidR="00E61594" w:rsidRPr="00614920">
        <w:t xml:space="preserve"> be assigned to appropriate economic sectors </w:t>
      </w:r>
      <w:r w:rsidR="00EE6D23">
        <w:t>in IMPLAN</w:t>
      </w:r>
      <w:r w:rsidR="00E61594" w:rsidRPr="00614920">
        <w:t>.  A list of bait and tackle store expenditure categories matched to their corresponding IMPLAN sectors can be found in Table 1.  These models will be used to calculate multiplier effects for bait and tackle stores in each region analyzed</w:t>
      </w:r>
      <w:r w:rsidR="00EE6D23">
        <w:t>,</w:t>
      </w:r>
      <w:r w:rsidR="00E61594" w:rsidRPr="00614920">
        <w:t xml:space="preserve"> which will provide a more accurate assessment of the economic contribution of these stores to regional economies than the multipliers provided by the standard Sporting Goods sector in IMPLAN.  These multipliers c</w:t>
      </w:r>
      <w:r w:rsidR="001339D0" w:rsidRPr="00614920">
        <w:t>an</w:t>
      </w:r>
      <w:r w:rsidR="00E61594" w:rsidRPr="00614920">
        <w:t xml:space="preserve"> also be used to inform and improve NOAA’s existing recreational fishing expenditure economic impact models</w:t>
      </w:r>
      <w:r w:rsidR="001339D0" w:rsidRPr="00614920">
        <w:t xml:space="preserve"> (</w:t>
      </w:r>
      <w:r w:rsidR="00614920" w:rsidRPr="00614920">
        <w:t>Lovell et al., 2013</w:t>
      </w:r>
      <w:r w:rsidR="001339D0" w:rsidRPr="00614920">
        <w:t>)</w:t>
      </w:r>
      <w:r w:rsidR="00E61594" w:rsidRPr="00614920">
        <w:t>.</w:t>
      </w:r>
    </w:p>
    <w:p w:rsidR="00614920" w:rsidRPr="00614920" w:rsidRDefault="00614920">
      <w:r w:rsidRPr="00614920">
        <w:br w:type="page"/>
      </w:r>
    </w:p>
    <w:p w:rsidR="002947C7" w:rsidRPr="004061F7" w:rsidRDefault="004061F7" w:rsidP="002947C7">
      <w:pPr>
        <w:rPr>
          <w:b/>
        </w:rPr>
      </w:pPr>
      <w:proofErr w:type="gramStart"/>
      <w:r w:rsidRPr="004061F7">
        <w:rPr>
          <w:b/>
        </w:rPr>
        <w:lastRenderedPageBreak/>
        <w:t>T</w:t>
      </w:r>
      <w:r w:rsidR="002947C7" w:rsidRPr="004061F7">
        <w:rPr>
          <w:b/>
        </w:rPr>
        <w:t>able 1.</w:t>
      </w:r>
      <w:proofErr w:type="gramEnd"/>
      <w:r w:rsidR="002947C7" w:rsidRPr="004061F7">
        <w:rPr>
          <w:b/>
        </w:rPr>
        <w:t xml:space="preserve">  </w:t>
      </w:r>
      <w:r w:rsidR="00823519" w:rsidRPr="004061F7">
        <w:rPr>
          <w:b/>
        </w:rPr>
        <w:t>Bait and tackle store IMPLAN sector scheme</w:t>
      </w:r>
      <w:r w:rsidR="002947C7" w:rsidRPr="004061F7">
        <w:rPr>
          <w:b/>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2070"/>
        <w:gridCol w:w="4068"/>
      </w:tblGrid>
      <w:tr w:rsidR="002947C7" w:rsidTr="00A4445D">
        <w:tc>
          <w:tcPr>
            <w:tcW w:w="3438" w:type="dxa"/>
            <w:tcBorders>
              <w:bottom w:val="single" w:sz="4" w:space="0" w:color="auto"/>
            </w:tcBorders>
          </w:tcPr>
          <w:p w:rsidR="002947C7" w:rsidRPr="0079585A" w:rsidRDefault="0079585A" w:rsidP="0079585A">
            <w:pPr>
              <w:spacing w:after="60"/>
              <w:rPr>
                <w:b/>
              </w:rPr>
            </w:pPr>
            <w:r w:rsidRPr="0079585A">
              <w:rPr>
                <w:b/>
              </w:rPr>
              <w:t>Expenditure/Income Category</w:t>
            </w:r>
          </w:p>
        </w:tc>
        <w:tc>
          <w:tcPr>
            <w:tcW w:w="2070" w:type="dxa"/>
            <w:tcBorders>
              <w:bottom w:val="single" w:sz="4" w:space="0" w:color="auto"/>
            </w:tcBorders>
          </w:tcPr>
          <w:p w:rsidR="002947C7" w:rsidRPr="0079585A" w:rsidRDefault="0079585A" w:rsidP="0079585A">
            <w:pPr>
              <w:spacing w:after="60"/>
              <w:rPr>
                <w:b/>
              </w:rPr>
            </w:pPr>
            <w:r w:rsidRPr="0079585A">
              <w:rPr>
                <w:b/>
              </w:rPr>
              <w:t>IMPLAN Sector(s)</w:t>
            </w:r>
          </w:p>
        </w:tc>
        <w:tc>
          <w:tcPr>
            <w:tcW w:w="4068" w:type="dxa"/>
            <w:tcBorders>
              <w:bottom w:val="single" w:sz="4" w:space="0" w:color="auto"/>
            </w:tcBorders>
          </w:tcPr>
          <w:p w:rsidR="002947C7" w:rsidRPr="0079585A" w:rsidRDefault="0079585A" w:rsidP="0079585A">
            <w:pPr>
              <w:spacing w:after="60"/>
              <w:rPr>
                <w:b/>
              </w:rPr>
            </w:pPr>
            <w:r w:rsidRPr="0079585A">
              <w:rPr>
                <w:b/>
              </w:rPr>
              <w:t>IMPLAN Description</w:t>
            </w:r>
          </w:p>
        </w:tc>
      </w:tr>
      <w:tr w:rsidR="002947C7" w:rsidTr="00A4445D">
        <w:tc>
          <w:tcPr>
            <w:tcW w:w="3438" w:type="dxa"/>
            <w:tcBorders>
              <w:top w:val="single" w:sz="4" w:space="0" w:color="auto"/>
              <w:bottom w:val="nil"/>
            </w:tcBorders>
          </w:tcPr>
          <w:p w:rsidR="002947C7" w:rsidRPr="00A4445D" w:rsidRDefault="0079585A" w:rsidP="0079585A">
            <w:pPr>
              <w:spacing w:after="60"/>
              <w:rPr>
                <w:b/>
              </w:rPr>
            </w:pPr>
            <w:r w:rsidRPr="00A4445D">
              <w:rPr>
                <w:b/>
              </w:rPr>
              <w:t>Inventory</w:t>
            </w:r>
          </w:p>
        </w:tc>
        <w:tc>
          <w:tcPr>
            <w:tcW w:w="2070" w:type="dxa"/>
            <w:tcBorders>
              <w:top w:val="single" w:sz="4" w:space="0" w:color="auto"/>
              <w:bottom w:val="nil"/>
            </w:tcBorders>
          </w:tcPr>
          <w:p w:rsidR="002947C7" w:rsidRDefault="002947C7" w:rsidP="0079585A">
            <w:pPr>
              <w:spacing w:after="60"/>
            </w:pPr>
          </w:p>
        </w:tc>
        <w:tc>
          <w:tcPr>
            <w:tcW w:w="4068" w:type="dxa"/>
            <w:tcBorders>
              <w:top w:val="single" w:sz="4" w:space="0" w:color="auto"/>
              <w:bottom w:val="nil"/>
            </w:tcBorders>
          </w:tcPr>
          <w:p w:rsidR="002947C7" w:rsidRDefault="002947C7" w:rsidP="0079585A">
            <w:pPr>
              <w:spacing w:after="60"/>
            </w:pPr>
          </w:p>
        </w:tc>
      </w:tr>
      <w:tr w:rsidR="002947C7" w:rsidTr="00A4445D">
        <w:tc>
          <w:tcPr>
            <w:tcW w:w="3438" w:type="dxa"/>
            <w:tcBorders>
              <w:top w:val="nil"/>
            </w:tcBorders>
          </w:tcPr>
          <w:p w:rsidR="002947C7" w:rsidRDefault="0079585A" w:rsidP="0079585A">
            <w:pPr>
              <w:spacing w:after="60"/>
            </w:pPr>
            <w:r>
              <w:t xml:space="preserve">    Bait</w:t>
            </w:r>
          </w:p>
        </w:tc>
        <w:tc>
          <w:tcPr>
            <w:tcW w:w="2070" w:type="dxa"/>
            <w:tcBorders>
              <w:top w:val="nil"/>
            </w:tcBorders>
          </w:tcPr>
          <w:p w:rsidR="002947C7" w:rsidRDefault="007176AC" w:rsidP="0079585A">
            <w:pPr>
              <w:spacing w:after="60"/>
            </w:pPr>
            <w:r>
              <w:t>3017</w:t>
            </w:r>
          </w:p>
        </w:tc>
        <w:tc>
          <w:tcPr>
            <w:tcW w:w="4068" w:type="dxa"/>
            <w:tcBorders>
              <w:top w:val="nil"/>
            </w:tcBorders>
          </w:tcPr>
          <w:p w:rsidR="002947C7" w:rsidRDefault="007176AC" w:rsidP="0079585A">
            <w:pPr>
              <w:spacing w:after="60"/>
            </w:pPr>
            <w:r>
              <w:t>Fish</w:t>
            </w:r>
          </w:p>
        </w:tc>
      </w:tr>
      <w:tr w:rsidR="002947C7" w:rsidTr="00A4445D">
        <w:tc>
          <w:tcPr>
            <w:tcW w:w="3438" w:type="dxa"/>
          </w:tcPr>
          <w:p w:rsidR="002947C7" w:rsidRDefault="0079585A" w:rsidP="0079585A">
            <w:pPr>
              <w:spacing w:after="60"/>
            </w:pPr>
            <w:r>
              <w:t xml:space="preserve">    Fishing </w:t>
            </w:r>
            <w:proofErr w:type="gramStart"/>
            <w:r>
              <w:t>tackle</w:t>
            </w:r>
            <w:proofErr w:type="gramEnd"/>
            <w:r>
              <w:t xml:space="preserve"> (rods, lures, etc.)</w:t>
            </w:r>
          </w:p>
        </w:tc>
        <w:tc>
          <w:tcPr>
            <w:tcW w:w="2070" w:type="dxa"/>
          </w:tcPr>
          <w:p w:rsidR="002947C7" w:rsidRDefault="00D25109" w:rsidP="00D25109">
            <w:pPr>
              <w:spacing w:after="60"/>
            </w:pPr>
            <w:r>
              <w:t>3</w:t>
            </w:r>
            <w:r w:rsidR="007176AC">
              <w:t>311</w:t>
            </w:r>
          </w:p>
        </w:tc>
        <w:tc>
          <w:tcPr>
            <w:tcW w:w="4068" w:type="dxa"/>
          </w:tcPr>
          <w:p w:rsidR="002947C7" w:rsidRDefault="007176AC" w:rsidP="0079585A">
            <w:pPr>
              <w:spacing w:after="60"/>
            </w:pPr>
            <w:r>
              <w:t>Sporting goods</w:t>
            </w:r>
          </w:p>
        </w:tc>
      </w:tr>
      <w:tr w:rsidR="002947C7" w:rsidTr="00A4445D">
        <w:tc>
          <w:tcPr>
            <w:tcW w:w="3438" w:type="dxa"/>
          </w:tcPr>
          <w:p w:rsidR="002947C7" w:rsidRDefault="0079585A" w:rsidP="0079585A">
            <w:pPr>
              <w:spacing w:after="60"/>
            </w:pPr>
            <w:r>
              <w:t xml:space="preserve">    Fishing lines and nets</w:t>
            </w:r>
          </w:p>
        </w:tc>
        <w:tc>
          <w:tcPr>
            <w:tcW w:w="2070" w:type="dxa"/>
          </w:tcPr>
          <w:p w:rsidR="002947C7" w:rsidRDefault="00D25109" w:rsidP="00D25109">
            <w:pPr>
              <w:spacing w:after="60"/>
            </w:pPr>
            <w:r>
              <w:t>3129</w:t>
            </w:r>
          </w:p>
        </w:tc>
        <w:tc>
          <w:tcPr>
            <w:tcW w:w="4068" w:type="dxa"/>
          </w:tcPr>
          <w:p w:rsidR="002947C7" w:rsidRDefault="00BA0CB6" w:rsidP="0079585A">
            <w:pPr>
              <w:spacing w:after="60"/>
            </w:pPr>
            <w:r>
              <w:t>Artificial and synthetic fibers and filaments</w:t>
            </w:r>
          </w:p>
        </w:tc>
      </w:tr>
      <w:tr w:rsidR="002947C7" w:rsidTr="00A4445D">
        <w:tc>
          <w:tcPr>
            <w:tcW w:w="3438" w:type="dxa"/>
          </w:tcPr>
          <w:p w:rsidR="002947C7" w:rsidRDefault="0079585A" w:rsidP="0079585A">
            <w:pPr>
              <w:spacing w:after="60"/>
            </w:pPr>
            <w:r>
              <w:t xml:space="preserve">    Accessories (clippers, pliers, etc.)</w:t>
            </w:r>
          </w:p>
        </w:tc>
        <w:tc>
          <w:tcPr>
            <w:tcW w:w="2070" w:type="dxa"/>
          </w:tcPr>
          <w:p w:rsidR="002947C7" w:rsidRDefault="00D25109" w:rsidP="00D25109">
            <w:pPr>
              <w:spacing w:after="60"/>
              <w:jc w:val="both"/>
            </w:pPr>
            <w:r>
              <w:t>3185</w:t>
            </w:r>
          </w:p>
        </w:tc>
        <w:tc>
          <w:tcPr>
            <w:tcW w:w="4068" w:type="dxa"/>
          </w:tcPr>
          <w:p w:rsidR="002947C7" w:rsidRDefault="00BA0CB6" w:rsidP="0079585A">
            <w:pPr>
              <w:spacing w:after="60"/>
            </w:pPr>
            <w:proofErr w:type="spellStart"/>
            <w:r>
              <w:t>Handtools</w:t>
            </w:r>
            <w:proofErr w:type="spellEnd"/>
          </w:p>
        </w:tc>
      </w:tr>
      <w:tr w:rsidR="002947C7" w:rsidTr="00A4445D">
        <w:tc>
          <w:tcPr>
            <w:tcW w:w="3438" w:type="dxa"/>
          </w:tcPr>
          <w:p w:rsidR="002947C7" w:rsidRDefault="0079585A" w:rsidP="0079585A">
            <w:pPr>
              <w:spacing w:after="60"/>
            </w:pPr>
            <w:r>
              <w:t xml:space="preserve">    Fishing apparel</w:t>
            </w:r>
          </w:p>
        </w:tc>
        <w:tc>
          <w:tcPr>
            <w:tcW w:w="2070" w:type="dxa"/>
          </w:tcPr>
          <w:p w:rsidR="002947C7" w:rsidRDefault="00D25109" w:rsidP="0079585A">
            <w:pPr>
              <w:spacing w:after="60"/>
            </w:pPr>
            <w:r>
              <w:t>3085, 3093</w:t>
            </w:r>
          </w:p>
        </w:tc>
        <w:tc>
          <w:tcPr>
            <w:tcW w:w="4068" w:type="dxa"/>
          </w:tcPr>
          <w:p w:rsidR="002947C7" w:rsidRDefault="00BA0CB6" w:rsidP="0079585A">
            <w:pPr>
              <w:spacing w:after="60"/>
            </w:pPr>
            <w:r>
              <w:t>All other textile products; Footwear</w:t>
            </w:r>
          </w:p>
        </w:tc>
      </w:tr>
      <w:tr w:rsidR="002947C7" w:rsidTr="00A4445D">
        <w:tc>
          <w:tcPr>
            <w:tcW w:w="3438" w:type="dxa"/>
          </w:tcPr>
          <w:p w:rsidR="002947C7" w:rsidRDefault="0079585A" w:rsidP="0079585A">
            <w:pPr>
              <w:spacing w:after="60"/>
            </w:pPr>
            <w:r>
              <w:t xml:space="preserve">    Boat accessories and electronics</w:t>
            </w:r>
          </w:p>
        </w:tc>
        <w:tc>
          <w:tcPr>
            <w:tcW w:w="2070" w:type="dxa"/>
          </w:tcPr>
          <w:p w:rsidR="002947C7" w:rsidRDefault="00D25109" w:rsidP="00D25109">
            <w:pPr>
              <w:spacing w:after="60"/>
            </w:pPr>
            <w:r>
              <w:t>3249, 3238</w:t>
            </w:r>
          </w:p>
        </w:tc>
        <w:tc>
          <w:tcPr>
            <w:tcW w:w="4068" w:type="dxa"/>
          </w:tcPr>
          <w:p w:rsidR="002947C7" w:rsidRDefault="00BA0CB6" w:rsidP="0079585A">
            <w:pPr>
              <w:spacing w:after="60"/>
            </w:pPr>
            <w:r>
              <w:t>Search, detection, and navigation instruments; Broadcast and wi</w:t>
            </w:r>
            <w:r w:rsidR="004061F7">
              <w:t>reless communication equipment</w:t>
            </w:r>
          </w:p>
        </w:tc>
      </w:tr>
      <w:tr w:rsidR="002947C7" w:rsidTr="00A4445D">
        <w:tc>
          <w:tcPr>
            <w:tcW w:w="3438" w:type="dxa"/>
          </w:tcPr>
          <w:p w:rsidR="002947C7" w:rsidRDefault="002947C7" w:rsidP="0079585A">
            <w:pPr>
              <w:spacing w:after="60"/>
            </w:pPr>
          </w:p>
        </w:tc>
        <w:tc>
          <w:tcPr>
            <w:tcW w:w="2070" w:type="dxa"/>
          </w:tcPr>
          <w:p w:rsidR="002947C7" w:rsidRDefault="002947C7" w:rsidP="0079585A">
            <w:pPr>
              <w:spacing w:after="60"/>
            </w:pPr>
          </w:p>
        </w:tc>
        <w:tc>
          <w:tcPr>
            <w:tcW w:w="4068" w:type="dxa"/>
          </w:tcPr>
          <w:p w:rsidR="002947C7" w:rsidRDefault="002947C7" w:rsidP="0079585A">
            <w:pPr>
              <w:spacing w:after="60"/>
            </w:pPr>
          </w:p>
        </w:tc>
      </w:tr>
      <w:tr w:rsidR="002947C7" w:rsidTr="00A4445D">
        <w:tc>
          <w:tcPr>
            <w:tcW w:w="3438" w:type="dxa"/>
          </w:tcPr>
          <w:p w:rsidR="002947C7" w:rsidRPr="00A4445D" w:rsidRDefault="0079585A" w:rsidP="0079585A">
            <w:pPr>
              <w:spacing w:after="60"/>
              <w:rPr>
                <w:b/>
              </w:rPr>
            </w:pPr>
            <w:r w:rsidRPr="00A4445D">
              <w:rPr>
                <w:b/>
              </w:rPr>
              <w:t>Employee pay and benefits</w:t>
            </w:r>
          </w:p>
        </w:tc>
        <w:tc>
          <w:tcPr>
            <w:tcW w:w="2070" w:type="dxa"/>
          </w:tcPr>
          <w:p w:rsidR="002947C7" w:rsidRDefault="00A10AC1" w:rsidP="0079585A">
            <w:pPr>
              <w:spacing w:after="60"/>
            </w:pPr>
            <w:r>
              <w:t>5001</w:t>
            </w:r>
          </w:p>
        </w:tc>
        <w:tc>
          <w:tcPr>
            <w:tcW w:w="4068" w:type="dxa"/>
          </w:tcPr>
          <w:p w:rsidR="002947C7" w:rsidRDefault="00A10AC1" w:rsidP="0079585A">
            <w:pPr>
              <w:spacing w:after="60"/>
            </w:pPr>
            <w:r>
              <w:t>Employee compensation</w:t>
            </w:r>
          </w:p>
        </w:tc>
      </w:tr>
      <w:tr w:rsidR="002947C7" w:rsidTr="00A4445D">
        <w:tc>
          <w:tcPr>
            <w:tcW w:w="3438" w:type="dxa"/>
          </w:tcPr>
          <w:p w:rsidR="002947C7" w:rsidRPr="00A4445D" w:rsidRDefault="0079585A" w:rsidP="0079585A">
            <w:pPr>
              <w:spacing w:after="60"/>
              <w:rPr>
                <w:b/>
              </w:rPr>
            </w:pPr>
            <w:r w:rsidRPr="00A4445D">
              <w:rPr>
                <w:b/>
              </w:rPr>
              <w:t>Building rent/mortgage</w:t>
            </w:r>
          </w:p>
        </w:tc>
        <w:tc>
          <w:tcPr>
            <w:tcW w:w="2070" w:type="dxa"/>
          </w:tcPr>
          <w:p w:rsidR="002947C7" w:rsidRDefault="00A10AC1" w:rsidP="0079585A">
            <w:pPr>
              <w:spacing w:after="60"/>
            </w:pPr>
            <w:r>
              <w:t>360</w:t>
            </w:r>
          </w:p>
        </w:tc>
        <w:tc>
          <w:tcPr>
            <w:tcW w:w="4068" w:type="dxa"/>
          </w:tcPr>
          <w:p w:rsidR="002947C7" w:rsidRDefault="00A10AC1" w:rsidP="000A3204">
            <w:pPr>
              <w:spacing w:after="60"/>
            </w:pPr>
            <w:r>
              <w:t xml:space="preserve">Real estate </w:t>
            </w:r>
          </w:p>
        </w:tc>
      </w:tr>
      <w:tr w:rsidR="002947C7" w:rsidTr="00A4445D">
        <w:tc>
          <w:tcPr>
            <w:tcW w:w="3438" w:type="dxa"/>
          </w:tcPr>
          <w:p w:rsidR="002947C7" w:rsidRPr="00A4445D" w:rsidRDefault="0079585A" w:rsidP="0079585A">
            <w:pPr>
              <w:spacing w:after="60"/>
              <w:rPr>
                <w:b/>
              </w:rPr>
            </w:pPr>
            <w:r w:rsidRPr="00A4445D">
              <w:rPr>
                <w:b/>
              </w:rPr>
              <w:t>Facility and equipment maintenance</w:t>
            </w:r>
          </w:p>
        </w:tc>
        <w:tc>
          <w:tcPr>
            <w:tcW w:w="2070" w:type="dxa"/>
          </w:tcPr>
          <w:p w:rsidR="002947C7" w:rsidRDefault="00A10AC1" w:rsidP="0079585A">
            <w:pPr>
              <w:spacing w:after="60"/>
            </w:pPr>
            <w:r>
              <w:t>385</w:t>
            </w:r>
          </w:p>
        </w:tc>
        <w:tc>
          <w:tcPr>
            <w:tcW w:w="4068" w:type="dxa"/>
          </w:tcPr>
          <w:p w:rsidR="002947C7" w:rsidRDefault="00A10AC1" w:rsidP="0079585A">
            <w:pPr>
              <w:spacing w:after="60"/>
            </w:pPr>
            <w:r>
              <w:t>Facilities support services</w:t>
            </w:r>
          </w:p>
        </w:tc>
      </w:tr>
      <w:tr w:rsidR="002947C7" w:rsidTr="00A4445D">
        <w:tc>
          <w:tcPr>
            <w:tcW w:w="3438" w:type="dxa"/>
          </w:tcPr>
          <w:p w:rsidR="002947C7" w:rsidRPr="00A4445D" w:rsidRDefault="007176AC" w:rsidP="0079585A">
            <w:pPr>
              <w:spacing w:after="60"/>
              <w:rPr>
                <w:b/>
              </w:rPr>
            </w:pPr>
            <w:r w:rsidRPr="00A4445D">
              <w:rPr>
                <w:b/>
              </w:rPr>
              <w:t>Utility expenses</w:t>
            </w:r>
          </w:p>
        </w:tc>
        <w:tc>
          <w:tcPr>
            <w:tcW w:w="2070" w:type="dxa"/>
          </w:tcPr>
          <w:p w:rsidR="002947C7" w:rsidRDefault="00A10AC1" w:rsidP="00823519">
            <w:pPr>
              <w:spacing w:after="60"/>
            </w:pPr>
            <w:r>
              <w:t>351, 31</w:t>
            </w:r>
            <w:r w:rsidR="00A4445D">
              <w:t>, 33</w:t>
            </w:r>
          </w:p>
        </w:tc>
        <w:tc>
          <w:tcPr>
            <w:tcW w:w="4068" w:type="dxa"/>
          </w:tcPr>
          <w:p w:rsidR="002947C7" w:rsidRDefault="00A10AC1" w:rsidP="00A4445D">
            <w:pPr>
              <w:spacing w:after="60"/>
            </w:pPr>
            <w:r>
              <w:t>Telecommunications;</w:t>
            </w:r>
            <w:r w:rsidR="00A4445D">
              <w:t xml:space="preserve"> Electricity </w:t>
            </w:r>
            <w:r>
              <w:t>and distribution</w:t>
            </w:r>
            <w:r w:rsidR="00A4445D">
              <w:t xml:space="preserve"> services; Water, sewage treatment, and other utility services</w:t>
            </w:r>
          </w:p>
        </w:tc>
      </w:tr>
      <w:tr w:rsidR="002947C7" w:rsidTr="00A4445D">
        <w:tc>
          <w:tcPr>
            <w:tcW w:w="3438" w:type="dxa"/>
          </w:tcPr>
          <w:p w:rsidR="002947C7" w:rsidRPr="00A4445D" w:rsidRDefault="007176AC" w:rsidP="0079585A">
            <w:pPr>
              <w:spacing w:after="60"/>
              <w:rPr>
                <w:b/>
              </w:rPr>
            </w:pPr>
            <w:r w:rsidRPr="00A4445D">
              <w:rPr>
                <w:b/>
              </w:rPr>
              <w:t>Marketing/advertising</w:t>
            </w:r>
          </w:p>
        </w:tc>
        <w:tc>
          <w:tcPr>
            <w:tcW w:w="2070" w:type="dxa"/>
          </w:tcPr>
          <w:p w:rsidR="002947C7" w:rsidRDefault="00A10AC1" w:rsidP="0079585A">
            <w:pPr>
              <w:spacing w:after="60"/>
            </w:pPr>
            <w:r>
              <w:t>377</w:t>
            </w:r>
          </w:p>
        </w:tc>
        <w:tc>
          <w:tcPr>
            <w:tcW w:w="4068" w:type="dxa"/>
          </w:tcPr>
          <w:p w:rsidR="002947C7" w:rsidRDefault="00A10AC1" w:rsidP="0079585A">
            <w:pPr>
              <w:spacing w:after="60"/>
            </w:pPr>
            <w:r>
              <w:t>Advertising and related services</w:t>
            </w:r>
          </w:p>
        </w:tc>
      </w:tr>
      <w:tr w:rsidR="002947C7" w:rsidTr="00A4445D">
        <w:tc>
          <w:tcPr>
            <w:tcW w:w="3438" w:type="dxa"/>
          </w:tcPr>
          <w:p w:rsidR="002947C7" w:rsidRPr="00A4445D" w:rsidRDefault="007176AC" w:rsidP="0079585A">
            <w:pPr>
              <w:spacing w:after="60"/>
              <w:rPr>
                <w:b/>
              </w:rPr>
            </w:pPr>
            <w:r w:rsidRPr="00A4445D">
              <w:rPr>
                <w:b/>
              </w:rPr>
              <w:t>Professional services (legal, accounting)</w:t>
            </w:r>
          </w:p>
        </w:tc>
        <w:tc>
          <w:tcPr>
            <w:tcW w:w="2070" w:type="dxa"/>
          </w:tcPr>
          <w:p w:rsidR="002947C7" w:rsidRDefault="00A10AC1" w:rsidP="00823519">
            <w:pPr>
              <w:spacing w:after="60"/>
            </w:pPr>
            <w:r>
              <w:t>367, 368</w:t>
            </w:r>
          </w:p>
        </w:tc>
        <w:tc>
          <w:tcPr>
            <w:tcW w:w="4068" w:type="dxa"/>
          </w:tcPr>
          <w:p w:rsidR="002947C7" w:rsidRDefault="00A10AC1" w:rsidP="0079585A">
            <w:pPr>
              <w:spacing w:after="60"/>
            </w:pPr>
            <w:r>
              <w:t>Legal services, accounting  services</w:t>
            </w:r>
          </w:p>
        </w:tc>
      </w:tr>
      <w:tr w:rsidR="002947C7" w:rsidTr="00A4445D">
        <w:tc>
          <w:tcPr>
            <w:tcW w:w="3438" w:type="dxa"/>
          </w:tcPr>
          <w:p w:rsidR="002947C7" w:rsidRPr="00A4445D" w:rsidRDefault="007176AC" w:rsidP="0079585A">
            <w:pPr>
              <w:spacing w:after="60"/>
              <w:rPr>
                <w:b/>
              </w:rPr>
            </w:pPr>
            <w:r w:rsidRPr="00A4445D">
              <w:rPr>
                <w:b/>
              </w:rPr>
              <w:t>Insurance</w:t>
            </w:r>
          </w:p>
        </w:tc>
        <w:tc>
          <w:tcPr>
            <w:tcW w:w="2070" w:type="dxa"/>
          </w:tcPr>
          <w:p w:rsidR="002947C7" w:rsidRDefault="00A10AC1" w:rsidP="0079585A">
            <w:pPr>
              <w:spacing w:after="60"/>
            </w:pPr>
            <w:r>
              <w:t>357</w:t>
            </w:r>
          </w:p>
        </w:tc>
        <w:tc>
          <w:tcPr>
            <w:tcW w:w="4068" w:type="dxa"/>
          </w:tcPr>
          <w:p w:rsidR="002947C7" w:rsidRDefault="00A10AC1" w:rsidP="0079585A">
            <w:pPr>
              <w:spacing w:after="60"/>
            </w:pPr>
            <w:r>
              <w:t>Insurance</w:t>
            </w:r>
          </w:p>
        </w:tc>
      </w:tr>
      <w:tr w:rsidR="002947C7" w:rsidTr="00A4445D">
        <w:tc>
          <w:tcPr>
            <w:tcW w:w="3438" w:type="dxa"/>
          </w:tcPr>
          <w:p w:rsidR="002947C7" w:rsidRPr="00A4445D" w:rsidRDefault="007176AC" w:rsidP="0079585A">
            <w:pPr>
              <w:spacing w:after="60"/>
              <w:rPr>
                <w:b/>
              </w:rPr>
            </w:pPr>
            <w:r w:rsidRPr="00A4445D">
              <w:rPr>
                <w:b/>
              </w:rPr>
              <w:t>Taxes and licensing fees</w:t>
            </w:r>
          </w:p>
        </w:tc>
        <w:tc>
          <w:tcPr>
            <w:tcW w:w="2070" w:type="dxa"/>
          </w:tcPr>
          <w:p w:rsidR="002947C7" w:rsidRDefault="002947C7" w:rsidP="0079585A">
            <w:pPr>
              <w:spacing w:after="60"/>
            </w:pPr>
          </w:p>
        </w:tc>
        <w:tc>
          <w:tcPr>
            <w:tcW w:w="4068" w:type="dxa"/>
          </w:tcPr>
          <w:p w:rsidR="002947C7" w:rsidRDefault="00A10AC1" w:rsidP="00A10AC1">
            <w:pPr>
              <w:spacing w:after="60"/>
            </w:pPr>
            <w:r>
              <w:t>State/Local Government NISP; Federal Government NISP</w:t>
            </w:r>
          </w:p>
        </w:tc>
      </w:tr>
      <w:tr w:rsidR="002947C7" w:rsidTr="00A4445D">
        <w:tc>
          <w:tcPr>
            <w:tcW w:w="3438" w:type="dxa"/>
          </w:tcPr>
          <w:p w:rsidR="002947C7" w:rsidRPr="00A4445D" w:rsidRDefault="007176AC" w:rsidP="0079585A">
            <w:pPr>
              <w:spacing w:after="60"/>
              <w:rPr>
                <w:b/>
              </w:rPr>
            </w:pPr>
            <w:r w:rsidRPr="00A4445D">
              <w:rPr>
                <w:b/>
              </w:rPr>
              <w:t>Shipping fees</w:t>
            </w:r>
          </w:p>
        </w:tc>
        <w:tc>
          <w:tcPr>
            <w:tcW w:w="2070" w:type="dxa"/>
          </w:tcPr>
          <w:p w:rsidR="002947C7" w:rsidRDefault="00A10AC1" w:rsidP="0079585A">
            <w:pPr>
              <w:spacing w:after="60"/>
            </w:pPr>
            <w:r>
              <w:t>427</w:t>
            </w:r>
          </w:p>
        </w:tc>
        <w:tc>
          <w:tcPr>
            <w:tcW w:w="4068" w:type="dxa"/>
          </w:tcPr>
          <w:p w:rsidR="002947C7" w:rsidRDefault="00A10AC1" w:rsidP="0079585A">
            <w:pPr>
              <w:spacing w:after="60"/>
            </w:pPr>
            <w:r>
              <w:t>US Postal delivery services</w:t>
            </w:r>
          </w:p>
        </w:tc>
      </w:tr>
    </w:tbl>
    <w:p w:rsidR="002947C7" w:rsidRDefault="002947C7" w:rsidP="002947C7"/>
    <w:p w:rsidR="002947C7" w:rsidRDefault="002947C7" w:rsidP="002947C7"/>
    <w:p w:rsidR="004061F7" w:rsidRPr="00614920" w:rsidRDefault="004061F7" w:rsidP="004061F7">
      <w:pPr>
        <w:rPr>
          <w:b/>
        </w:rPr>
      </w:pPr>
      <w:r w:rsidRPr="00614920">
        <w:rPr>
          <w:b/>
        </w:rPr>
        <w:t>References</w:t>
      </w:r>
    </w:p>
    <w:p w:rsidR="004061F7" w:rsidRPr="00614920" w:rsidRDefault="004061F7" w:rsidP="004061F7">
      <w:pPr>
        <w:shd w:val="clear" w:color="auto" w:fill="FFFFFF"/>
        <w:spacing w:before="100" w:beforeAutospacing="1" w:after="100" w:afterAutospacing="1" w:line="240" w:lineRule="auto"/>
        <w:rPr>
          <w:rFonts w:ascii="TimesNewRomanPSMT" w:hAnsi="TimesNewRomanPSMT" w:cs="TimesNewRomanPSMT"/>
        </w:rPr>
      </w:pPr>
      <w:proofErr w:type="gramStart"/>
      <w:r w:rsidRPr="00614920">
        <w:rPr>
          <w:rFonts w:ascii="TimesNewRomanPSMT" w:hAnsi="TimesNewRomanPSMT" w:cs="TimesNewRomanPSMT"/>
        </w:rPr>
        <w:t xml:space="preserve">Lovell, S. J., S. </w:t>
      </w:r>
      <w:proofErr w:type="spellStart"/>
      <w:r w:rsidRPr="00614920">
        <w:rPr>
          <w:rFonts w:ascii="TimesNewRomanPSMT" w:hAnsi="TimesNewRomanPSMT" w:cs="TimesNewRomanPSMT"/>
        </w:rPr>
        <w:t>Steinback</w:t>
      </w:r>
      <w:proofErr w:type="spellEnd"/>
      <w:r w:rsidRPr="00614920">
        <w:rPr>
          <w:rFonts w:ascii="TimesNewRomanPSMT" w:hAnsi="TimesNewRomanPSMT" w:cs="TimesNewRomanPSMT"/>
        </w:rPr>
        <w:t xml:space="preserve">, and J. </w:t>
      </w:r>
      <w:proofErr w:type="spellStart"/>
      <w:r w:rsidRPr="00614920">
        <w:rPr>
          <w:rFonts w:ascii="TimesNewRomanPSMT" w:hAnsi="TimesNewRomanPSMT" w:cs="TimesNewRomanPSMT"/>
        </w:rPr>
        <w:t>Hilger</w:t>
      </w:r>
      <w:proofErr w:type="spellEnd"/>
      <w:r w:rsidRPr="00614920">
        <w:rPr>
          <w:rFonts w:ascii="TimesNewRomanPSMT" w:hAnsi="TimesNewRomanPSMT" w:cs="TimesNewRomanPSMT"/>
        </w:rPr>
        <w:t>.</w:t>
      </w:r>
      <w:proofErr w:type="gramEnd"/>
      <w:r w:rsidRPr="00614920">
        <w:rPr>
          <w:rFonts w:ascii="TimesNewRomanPSMT" w:hAnsi="TimesNewRomanPSMT" w:cs="TimesNewRomanPSMT"/>
        </w:rPr>
        <w:t xml:space="preserve"> 2013. The economic contribution of marine angler expenditures in the United States, 2011. </w:t>
      </w:r>
      <w:proofErr w:type="gramStart"/>
      <w:r w:rsidRPr="00614920">
        <w:rPr>
          <w:rFonts w:ascii="TimesNewRomanPSMT" w:hAnsi="TimesNewRomanPSMT" w:cs="TimesNewRomanPSMT"/>
        </w:rPr>
        <w:t>US Department of Commerce, NOAA Technical Memorandum NMFS-F/SPO-134.</w:t>
      </w:r>
      <w:proofErr w:type="gramEnd"/>
    </w:p>
    <w:p w:rsidR="004061F7" w:rsidRPr="00614920" w:rsidRDefault="004061F7" w:rsidP="004061F7">
      <w:pPr>
        <w:shd w:val="clear" w:color="auto" w:fill="FFFFFF"/>
        <w:spacing w:before="100" w:beforeAutospacing="1" w:after="100" w:afterAutospacing="1" w:line="240" w:lineRule="auto"/>
        <w:rPr>
          <w:rFonts w:ascii="Times New Roman" w:eastAsia="Times New Roman" w:hAnsi="Times New Roman" w:cs="Times New Roman"/>
        </w:rPr>
      </w:pPr>
      <w:r w:rsidRPr="00614920">
        <w:rPr>
          <w:rFonts w:ascii="TimesNewRomanPSMT" w:hAnsi="TimesNewRomanPSMT" w:cs="TimesNewRomanPSMT"/>
        </w:rPr>
        <w:t>Minnesota IMPLAN Group, Inc. 2010.IMPLAN professional: social accounting and impact analysis software. Minnesota IMPLAN Group, Inc., Minneapolis, MN.</w:t>
      </w:r>
    </w:p>
    <w:p w:rsidR="004061F7" w:rsidRPr="002947C7" w:rsidRDefault="004061F7" w:rsidP="002947C7"/>
    <w:sectPr w:rsidR="004061F7" w:rsidRPr="002947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959" w:rsidRDefault="00783959" w:rsidP="00783959">
      <w:pPr>
        <w:spacing w:after="0" w:line="240" w:lineRule="auto"/>
      </w:pPr>
      <w:r>
        <w:separator/>
      </w:r>
    </w:p>
  </w:endnote>
  <w:endnote w:type="continuationSeparator" w:id="0">
    <w:p w:rsidR="00783959" w:rsidRDefault="00783959" w:rsidP="0078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09988"/>
      <w:docPartObj>
        <w:docPartGallery w:val="Page Numbers (Bottom of Page)"/>
        <w:docPartUnique/>
      </w:docPartObj>
    </w:sdtPr>
    <w:sdtEndPr>
      <w:rPr>
        <w:noProof/>
      </w:rPr>
    </w:sdtEndPr>
    <w:sdtContent>
      <w:p w:rsidR="00783959" w:rsidRDefault="007839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83959" w:rsidRDefault="00783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959" w:rsidRDefault="00783959" w:rsidP="00783959">
      <w:pPr>
        <w:spacing w:after="0" w:line="240" w:lineRule="auto"/>
      </w:pPr>
      <w:r>
        <w:separator/>
      </w:r>
    </w:p>
  </w:footnote>
  <w:footnote w:type="continuationSeparator" w:id="0">
    <w:p w:rsidR="00783959" w:rsidRDefault="00783959" w:rsidP="007839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39"/>
    <w:rsid w:val="00047F1E"/>
    <w:rsid w:val="000725B0"/>
    <w:rsid w:val="0007475C"/>
    <w:rsid w:val="00091CB6"/>
    <w:rsid w:val="000A3204"/>
    <w:rsid w:val="001339D0"/>
    <w:rsid w:val="0017724A"/>
    <w:rsid w:val="002947C7"/>
    <w:rsid w:val="0034345C"/>
    <w:rsid w:val="00371D2A"/>
    <w:rsid w:val="003D3063"/>
    <w:rsid w:val="004061F7"/>
    <w:rsid w:val="005116CD"/>
    <w:rsid w:val="005753AC"/>
    <w:rsid w:val="00614920"/>
    <w:rsid w:val="007176AC"/>
    <w:rsid w:val="00753839"/>
    <w:rsid w:val="00783959"/>
    <w:rsid w:val="0079585A"/>
    <w:rsid w:val="007C35E7"/>
    <w:rsid w:val="00823519"/>
    <w:rsid w:val="00960C41"/>
    <w:rsid w:val="00A10AC1"/>
    <w:rsid w:val="00A428F8"/>
    <w:rsid w:val="00A4445D"/>
    <w:rsid w:val="00BA0CB6"/>
    <w:rsid w:val="00C965A0"/>
    <w:rsid w:val="00D13BC8"/>
    <w:rsid w:val="00D25109"/>
    <w:rsid w:val="00D854CC"/>
    <w:rsid w:val="00DD63C4"/>
    <w:rsid w:val="00E61594"/>
    <w:rsid w:val="00EB50E2"/>
    <w:rsid w:val="00EE6D23"/>
    <w:rsid w:val="00F9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8F8"/>
  </w:style>
  <w:style w:type="paragraph" w:styleId="Heading1">
    <w:name w:val="heading 1"/>
    <w:basedOn w:val="Normal"/>
    <w:next w:val="Normal"/>
    <w:link w:val="Heading1Char"/>
    <w:uiPriority w:val="9"/>
    <w:qFormat/>
    <w:rsid w:val="00A428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8F8"/>
    <w:rPr>
      <w:rFonts w:asciiTheme="majorHAnsi" w:eastAsiaTheme="majorEastAsia" w:hAnsiTheme="majorHAnsi" w:cstheme="majorBidi"/>
      <w:b/>
      <w:bCs/>
      <w:color w:val="2E74B5" w:themeColor="accent1" w:themeShade="BF"/>
      <w:sz w:val="28"/>
      <w:szCs w:val="28"/>
    </w:rPr>
  </w:style>
  <w:style w:type="paragraph" w:styleId="TOC1">
    <w:name w:val="toc 1"/>
    <w:basedOn w:val="Normal"/>
    <w:next w:val="Normal"/>
    <w:autoRedefine/>
    <w:uiPriority w:val="39"/>
    <w:unhideWhenUsed/>
    <w:qFormat/>
    <w:rsid w:val="00A428F8"/>
    <w:pPr>
      <w:spacing w:before="120" w:after="120"/>
    </w:pPr>
    <w:rPr>
      <w:b/>
      <w:bCs/>
      <w:caps/>
      <w:sz w:val="20"/>
      <w:szCs w:val="20"/>
    </w:rPr>
  </w:style>
  <w:style w:type="paragraph" w:styleId="TOC2">
    <w:name w:val="toc 2"/>
    <w:basedOn w:val="Normal"/>
    <w:next w:val="Normal"/>
    <w:autoRedefine/>
    <w:uiPriority w:val="39"/>
    <w:unhideWhenUsed/>
    <w:qFormat/>
    <w:rsid w:val="00A428F8"/>
    <w:pPr>
      <w:spacing w:after="0"/>
      <w:ind w:left="220"/>
    </w:pPr>
    <w:rPr>
      <w:smallCaps/>
      <w:sz w:val="20"/>
      <w:szCs w:val="20"/>
    </w:rPr>
  </w:style>
  <w:style w:type="paragraph" w:styleId="TOC3">
    <w:name w:val="toc 3"/>
    <w:basedOn w:val="Normal"/>
    <w:next w:val="Normal"/>
    <w:autoRedefine/>
    <w:uiPriority w:val="39"/>
    <w:unhideWhenUsed/>
    <w:qFormat/>
    <w:rsid w:val="00A428F8"/>
    <w:pPr>
      <w:spacing w:after="0"/>
      <w:ind w:left="440"/>
    </w:pPr>
    <w:rPr>
      <w:i/>
      <w:iCs/>
      <w:sz w:val="20"/>
      <w:szCs w:val="20"/>
    </w:rPr>
  </w:style>
  <w:style w:type="paragraph" w:styleId="ListParagraph">
    <w:name w:val="List Paragraph"/>
    <w:basedOn w:val="Normal"/>
    <w:uiPriority w:val="34"/>
    <w:qFormat/>
    <w:rsid w:val="00A428F8"/>
    <w:pPr>
      <w:ind w:left="720"/>
      <w:contextualSpacing/>
    </w:pPr>
  </w:style>
  <w:style w:type="paragraph" w:styleId="TOCHeading">
    <w:name w:val="TOC Heading"/>
    <w:basedOn w:val="Heading1"/>
    <w:next w:val="Normal"/>
    <w:uiPriority w:val="39"/>
    <w:semiHidden/>
    <w:unhideWhenUsed/>
    <w:qFormat/>
    <w:rsid w:val="00A428F8"/>
    <w:pPr>
      <w:spacing w:line="276" w:lineRule="auto"/>
      <w:outlineLvl w:val="9"/>
    </w:pPr>
    <w:rPr>
      <w:lang w:eastAsia="ja-JP"/>
    </w:rPr>
  </w:style>
  <w:style w:type="table" w:styleId="TableGrid">
    <w:name w:val="Table Grid"/>
    <w:basedOn w:val="TableNormal"/>
    <w:uiPriority w:val="59"/>
    <w:rsid w:val="00294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1F7"/>
    <w:rPr>
      <w:rFonts w:ascii="Tahoma" w:hAnsi="Tahoma" w:cs="Tahoma"/>
      <w:sz w:val="16"/>
      <w:szCs w:val="16"/>
    </w:rPr>
  </w:style>
  <w:style w:type="paragraph" w:styleId="NoSpacing">
    <w:name w:val="No Spacing"/>
    <w:uiPriority w:val="1"/>
    <w:qFormat/>
    <w:rsid w:val="00783959"/>
    <w:pPr>
      <w:spacing w:after="0" w:line="240" w:lineRule="auto"/>
    </w:pPr>
  </w:style>
  <w:style w:type="paragraph" w:styleId="Header">
    <w:name w:val="header"/>
    <w:basedOn w:val="Normal"/>
    <w:link w:val="HeaderChar"/>
    <w:uiPriority w:val="99"/>
    <w:unhideWhenUsed/>
    <w:rsid w:val="00783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59"/>
  </w:style>
  <w:style w:type="paragraph" w:styleId="Footer">
    <w:name w:val="footer"/>
    <w:basedOn w:val="Normal"/>
    <w:link w:val="FooterChar"/>
    <w:uiPriority w:val="99"/>
    <w:unhideWhenUsed/>
    <w:rsid w:val="00783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8F8"/>
  </w:style>
  <w:style w:type="paragraph" w:styleId="Heading1">
    <w:name w:val="heading 1"/>
    <w:basedOn w:val="Normal"/>
    <w:next w:val="Normal"/>
    <w:link w:val="Heading1Char"/>
    <w:uiPriority w:val="9"/>
    <w:qFormat/>
    <w:rsid w:val="00A428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8F8"/>
    <w:rPr>
      <w:rFonts w:asciiTheme="majorHAnsi" w:eastAsiaTheme="majorEastAsia" w:hAnsiTheme="majorHAnsi" w:cstheme="majorBidi"/>
      <w:b/>
      <w:bCs/>
      <w:color w:val="2E74B5" w:themeColor="accent1" w:themeShade="BF"/>
      <w:sz w:val="28"/>
      <w:szCs w:val="28"/>
    </w:rPr>
  </w:style>
  <w:style w:type="paragraph" w:styleId="TOC1">
    <w:name w:val="toc 1"/>
    <w:basedOn w:val="Normal"/>
    <w:next w:val="Normal"/>
    <w:autoRedefine/>
    <w:uiPriority w:val="39"/>
    <w:unhideWhenUsed/>
    <w:qFormat/>
    <w:rsid w:val="00A428F8"/>
    <w:pPr>
      <w:spacing w:before="120" w:after="120"/>
    </w:pPr>
    <w:rPr>
      <w:b/>
      <w:bCs/>
      <w:caps/>
      <w:sz w:val="20"/>
      <w:szCs w:val="20"/>
    </w:rPr>
  </w:style>
  <w:style w:type="paragraph" w:styleId="TOC2">
    <w:name w:val="toc 2"/>
    <w:basedOn w:val="Normal"/>
    <w:next w:val="Normal"/>
    <w:autoRedefine/>
    <w:uiPriority w:val="39"/>
    <w:unhideWhenUsed/>
    <w:qFormat/>
    <w:rsid w:val="00A428F8"/>
    <w:pPr>
      <w:spacing w:after="0"/>
      <w:ind w:left="220"/>
    </w:pPr>
    <w:rPr>
      <w:smallCaps/>
      <w:sz w:val="20"/>
      <w:szCs w:val="20"/>
    </w:rPr>
  </w:style>
  <w:style w:type="paragraph" w:styleId="TOC3">
    <w:name w:val="toc 3"/>
    <w:basedOn w:val="Normal"/>
    <w:next w:val="Normal"/>
    <w:autoRedefine/>
    <w:uiPriority w:val="39"/>
    <w:unhideWhenUsed/>
    <w:qFormat/>
    <w:rsid w:val="00A428F8"/>
    <w:pPr>
      <w:spacing w:after="0"/>
      <w:ind w:left="440"/>
    </w:pPr>
    <w:rPr>
      <w:i/>
      <w:iCs/>
      <w:sz w:val="20"/>
      <w:szCs w:val="20"/>
    </w:rPr>
  </w:style>
  <w:style w:type="paragraph" w:styleId="ListParagraph">
    <w:name w:val="List Paragraph"/>
    <w:basedOn w:val="Normal"/>
    <w:uiPriority w:val="34"/>
    <w:qFormat/>
    <w:rsid w:val="00A428F8"/>
    <w:pPr>
      <w:ind w:left="720"/>
      <w:contextualSpacing/>
    </w:pPr>
  </w:style>
  <w:style w:type="paragraph" w:styleId="TOCHeading">
    <w:name w:val="TOC Heading"/>
    <w:basedOn w:val="Heading1"/>
    <w:next w:val="Normal"/>
    <w:uiPriority w:val="39"/>
    <w:semiHidden/>
    <w:unhideWhenUsed/>
    <w:qFormat/>
    <w:rsid w:val="00A428F8"/>
    <w:pPr>
      <w:spacing w:line="276" w:lineRule="auto"/>
      <w:outlineLvl w:val="9"/>
    </w:pPr>
    <w:rPr>
      <w:lang w:eastAsia="ja-JP"/>
    </w:rPr>
  </w:style>
  <w:style w:type="table" w:styleId="TableGrid">
    <w:name w:val="Table Grid"/>
    <w:basedOn w:val="TableNormal"/>
    <w:uiPriority w:val="59"/>
    <w:rsid w:val="00294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1F7"/>
    <w:rPr>
      <w:rFonts w:ascii="Tahoma" w:hAnsi="Tahoma" w:cs="Tahoma"/>
      <w:sz w:val="16"/>
      <w:szCs w:val="16"/>
    </w:rPr>
  </w:style>
  <w:style w:type="paragraph" w:styleId="NoSpacing">
    <w:name w:val="No Spacing"/>
    <w:uiPriority w:val="1"/>
    <w:qFormat/>
    <w:rsid w:val="00783959"/>
    <w:pPr>
      <w:spacing w:after="0" w:line="240" w:lineRule="auto"/>
    </w:pPr>
  </w:style>
  <w:style w:type="paragraph" w:styleId="Header">
    <w:name w:val="header"/>
    <w:basedOn w:val="Normal"/>
    <w:link w:val="HeaderChar"/>
    <w:uiPriority w:val="99"/>
    <w:unhideWhenUsed/>
    <w:rsid w:val="00783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59"/>
  </w:style>
  <w:style w:type="paragraph" w:styleId="Footer">
    <w:name w:val="footer"/>
    <w:basedOn w:val="Normal"/>
    <w:link w:val="FooterChar"/>
    <w:uiPriority w:val="99"/>
    <w:unhideWhenUsed/>
    <w:rsid w:val="00783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AF3E-7B97-4128-8909-45F4DC53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Cliff.Hutt</dc:creator>
  <cp:lastModifiedBy>Karilyn_Smith</cp:lastModifiedBy>
  <cp:revision>3</cp:revision>
  <cp:lastPrinted>2014-08-20T20:11:00Z</cp:lastPrinted>
  <dcterms:created xsi:type="dcterms:W3CDTF">2014-08-20T15:41:00Z</dcterms:created>
  <dcterms:modified xsi:type="dcterms:W3CDTF">2014-08-20T20:12:00Z</dcterms:modified>
</cp:coreProperties>
</file>