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6A" w:rsidRPr="001868F0" w:rsidRDefault="001868F0" w:rsidP="002D5298">
      <w:pPr>
        <w:jc w:val="center"/>
        <w:rPr>
          <w:b/>
          <w:bCs/>
          <w:sz w:val="24"/>
          <w:szCs w:val="24"/>
        </w:rPr>
      </w:pPr>
      <w:r w:rsidRPr="001868F0">
        <w:rPr>
          <w:b/>
          <w:bCs/>
          <w:sz w:val="24"/>
          <w:szCs w:val="24"/>
        </w:rPr>
        <w:t>SUPPORTING STATEMENT</w:t>
      </w:r>
    </w:p>
    <w:p w:rsidR="0033396A" w:rsidRPr="001868F0" w:rsidRDefault="001868F0" w:rsidP="002D5298">
      <w:pPr>
        <w:jc w:val="center"/>
        <w:rPr>
          <w:b/>
          <w:bCs/>
          <w:sz w:val="24"/>
          <w:szCs w:val="24"/>
        </w:rPr>
      </w:pPr>
      <w:bookmarkStart w:id="0" w:name="OLE_LINK3"/>
      <w:bookmarkStart w:id="1" w:name="OLE_LINK4"/>
      <w:r w:rsidRPr="001868F0">
        <w:rPr>
          <w:b/>
          <w:bCs/>
          <w:sz w:val="24"/>
          <w:szCs w:val="24"/>
        </w:rPr>
        <w:t xml:space="preserve">ALASKA </w:t>
      </w:r>
      <w:bookmarkEnd w:id="0"/>
      <w:bookmarkEnd w:id="1"/>
      <w:r w:rsidRPr="001868F0">
        <w:rPr>
          <w:b/>
          <w:bCs/>
          <w:sz w:val="24"/>
          <w:szCs w:val="24"/>
        </w:rPr>
        <w:t>HALIBUT CATCH SHARING PLAN SURVEY</w:t>
      </w:r>
    </w:p>
    <w:p w:rsidR="002D5298" w:rsidRPr="001868F0" w:rsidRDefault="001868F0" w:rsidP="002D5298">
      <w:pPr>
        <w:jc w:val="center"/>
        <w:rPr>
          <w:b/>
          <w:bCs/>
          <w:caps/>
          <w:sz w:val="24"/>
          <w:szCs w:val="24"/>
        </w:rPr>
      </w:pPr>
      <w:proofErr w:type="gramStart"/>
      <w:r w:rsidRPr="001868F0">
        <w:rPr>
          <w:b/>
          <w:bCs/>
          <w:sz w:val="24"/>
          <w:szCs w:val="24"/>
        </w:rPr>
        <w:t>OMB CONTROL NO.</w:t>
      </w:r>
      <w:proofErr w:type="gramEnd"/>
      <w:r w:rsidRPr="001868F0">
        <w:rPr>
          <w:b/>
          <w:bCs/>
          <w:sz w:val="24"/>
          <w:szCs w:val="24"/>
        </w:rPr>
        <w:t xml:space="preserve"> 0648-XXXX</w:t>
      </w:r>
    </w:p>
    <w:p w:rsidR="0033396A" w:rsidRDefault="0033396A" w:rsidP="002D5298">
      <w:pPr>
        <w:rPr>
          <w:sz w:val="24"/>
          <w:szCs w:val="24"/>
        </w:rPr>
      </w:pPr>
    </w:p>
    <w:p w:rsidR="001868F0" w:rsidRDefault="001868F0" w:rsidP="002D5298">
      <w:pPr>
        <w:rPr>
          <w:sz w:val="24"/>
          <w:szCs w:val="24"/>
        </w:rPr>
      </w:pPr>
    </w:p>
    <w:p w:rsidR="0033396A" w:rsidRDefault="0033396A" w:rsidP="002D5298">
      <w:pPr>
        <w:tabs>
          <w:tab w:val="left" w:pos="720"/>
        </w:tabs>
        <w:ind w:left="720" w:hanging="720"/>
        <w:rPr>
          <w:sz w:val="24"/>
          <w:szCs w:val="24"/>
        </w:rPr>
      </w:pPr>
      <w:r>
        <w:rPr>
          <w:b/>
          <w:bCs/>
          <w:sz w:val="24"/>
          <w:szCs w:val="24"/>
        </w:rPr>
        <w:t xml:space="preserve">A. </w:t>
      </w:r>
      <w:r>
        <w:rPr>
          <w:b/>
          <w:bCs/>
          <w:sz w:val="24"/>
          <w:szCs w:val="24"/>
        </w:rPr>
        <w:tab/>
        <w:t>JUSTIFICATION</w:t>
      </w:r>
    </w:p>
    <w:p w:rsidR="006A5B09" w:rsidRDefault="006A5B09" w:rsidP="002D5298">
      <w:pPr>
        <w:ind w:left="360" w:hanging="360"/>
        <w:rPr>
          <w:b/>
          <w:bCs/>
          <w:sz w:val="24"/>
          <w:szCs w:val="24"/>
        </w:rPr>
      </w:pPr>
    </w:p>
    <w:p w:rsidR="0033396A" w:rsidRDefault="0033396A" w:rsidP="002D5298">
      <w:pPr>
        <w:ind w:left="360" w:hanging="360"/>
        <w:rPr>
          <w:sz w:val="24"/>
          <w:szCs w:val="24"/>
        </w:rPr>
      </w:pPr>
      <w:r>
        <w:rPr>
          <w:b/>
          <w:bCs/>
          <w:sz w:val="24"/>
          <w:szCs w:val="24"/>
        </w:rPr>
        <w:t>1</w:t>
      </w:r>
      <w:r w:rsidRPr="00331A37">
        <w:rPr>
          <w:b/>
          <w:bCs/>
          <w:sz w:val="24"/>
          <w:szCs w:val="24"/>
        </w:rPr>
        <w:t>.</w:t>
      </w:r>
      <w:r>
        <w:rPr>
          <w:b/>
          <w:bCs/>
          <w:sz w:val="24"/>
          <w:szCs w:val="24"/>
        </w:rPr>
        <w:tab/>
      </w:r>
      <w:r w:rsidRPr="00331A37">
        <w:rPr>
          <w:b/>
          <w:bCs/>
          <w:sz w:val="24"/>
          <w:szCs w:val="24"/>
          <w:u w:val="single"/>
        </w:rPr>
        <w:t>Explain the circumstances that make the collection of information necessary.</w:t>
      </w:r>
    </w:p>
    <w:p w:rsidR="0033396A" w:rsidRDefault="0033396A" w:rsidP="002D5298">
      <w:pPr>
        <w:rPr>
          <w:sz w:val="24"/>
          <w:szCs w:val="24"/>
        </w:rPr>
      </w:pPr>
    </w:p>
    <w:p w:rsidR="0033396A" w:rsidRDefault="0033396A" w:rsidP="002D5298">
      <w:pPr>
        <w:rPr>
          <w:bCs/>
          <w:sz w:val="24"/>
          <w:szCs w:val="24"/>
        </w:rPr>
      </w:pPr>
      <w:r>
        <w:rPr>
          <w:sz w:val="24"/>
          <w:szCs w:val="24"/>
        </w:rPr>
        <w:t>The National Marine Fisheries Service (</w:t>
      </w:r>
      <w:r w:rsidR="002D5298">
        <w:rPr>
          <w:sz w:val="24"/>
          <w:szCs w:val="24"/>
        </w:rPr>
        <w:t>NMFS</w:t>
      </w:r>
      <w:r>
        <w:rPr>
          <w:sz w:val="24"/>
          <w:szCs w:val="24"/>
        </w:rPr>
        <w:t xml:space="preserve">) is the agency responsible for collecting and analyzing scientific data on the </w:t>
      </w:r>
      <w:r w:rsidR="002D5298">
        <w:rPr>
          <w:sz w:val="24"/>
          <w:szCs w:val="24"/>
        </w:rPr>
        <w:t>United States’ (U.S.)</w:t>
      </w:r>
      <w:r>
        <w:rPr>
          <w:sz w:val="24"/>
          <w:szCs w:val="24"/>
        </w:rPr>
        <w:t xml:space="preserve"> living marine resources, including </w:t>
      </w:r>
      <w:r w:rsidR="002566ED">
        <w:rPr>
          <w:sz w:val="24"/>
          <w:szCs w:val="24"/>
        </w:rPr>
        <w:t xml:space="preserve">Pacific </w:t>
      </w:r>
      <w:r>
        <w:rPr>
          <w:sz w:val="24"/>
          <w:szCs w:val="24"/>
        </w:rPr>
        <w:t>halibut</w:t>
      </w:r>
      <w:r w:rsidR="002566ED">
        <w:rPr>
          <w:sz w:val="24"/>
          <w:szCs w:val="24"/>
        </w:rPr>
        <w:t xml:space="preserve"> </w:t>
      </w:r>
      <w:r w:rsidR="002566ED" w:rsidRPr="002566ED">
        <w:rPr>
          <w:sz w:val="24"/>
          <w:szCs w:val="24"/>
        </w:rPr>
        <w:t>(</w:t>
      </w:r>
      <w:proofErr w:type="spellStart"/>
      <w:r w:rsidR="002566ED">
        <w:rPr>
          <w:i/>
          <w:iCs/>
          <w:sz w:val="24"/>
          <w:szCs w:val="24"/>
        </w:rPr>
        <w:t>Hippoglossus</w:t>
      </w:r>
      <w:proofErr w:type="spellEnd"/>
      <w:r w:rsidR="002566ED">
        <w:rPr>
          <w:i/>
          <w:iCs/>
          <w:sz w:val="24"/>
          <w:szCs w:val="24"/>
        </w:rPr>
        <w:t xml:space="preserve"> </w:t>
      </w:r>
      <w:proofErr w:type="spellStart"/>
      <w:r w:rsidR="002566ED">
        <w:rPr>
          <w:i/>
          <w:iCs/>
          <w:sz w:val="24"/>
          <w:szCs w:val="24"/>
        </w:rPr>
        <w:t>stenolep</w:t>
      </w:r>
      <w:r w:rsidR="002566ED" w:rsidRPr="002566ED">
        <w:rPr>
          <w:i/>
          <w:iCs/>
          <w:sz w:val="24"/>
          <w:szCs w:val="24"/>
        </w:rPr>
        <w:t>is</w:t>
      </w:r>
      <w:proofErr w:type="spellEnd"/>
      <w:r w:rsidR="002566ED" w:rsidRPr="002566ED">
        <w:rPr>
          <w:sz w:val="24"/>
          <w:szCs w:val="24"/>
        </w:rPr>
        <w:t>)</w:t>
      </w:r>
      <w:r>
        <w:rPr>
          <w:sz w:val="24"/>
          <w:szCs w:val="24"/>
        </w:rPr>
        <w:t xml:space="preserve">.  Under the </w:t>
      </w:r>
      <w:hyperlink r:id="rId9" w:history="1">
        <w:r w:rsidRPr="001130BA">
          <w:rPr>
            <w:rStyle w:val="Hyperlink"/>
            <w:sz w:val="24"/>
            <w:szCs w:val="24"/>
          </w:rPr>
          <w:t>Magnuson-Stevens Fishery Conservation and Management Act</w:t>
        </w:r>
      </w:hyperlink>
      <w:r>
        <w:rPr>
          <w:sz w:val="24"/>
          <w:szCs w:val="24"/>
        </w:rPr>
        <w:t xml:space="preserve"> (see Section 303), </w:t>
      </w:r>
      <w:hyperlink r:id="rId10" w:history="1">
        <w:r w:rsidRPr="001130BA">
          <w:rPr>
            <w:rStyle w:val="Hyperlink"/>
            <w:sz w:val="24"/>
            <w:szCs w:val="24"/>
          </w:rPr>
          <w:t xml:space="preserve">Executive Order 12962 </w:t>
        </w:r>
      </w:hyperlink>
      <w:r>
        <w:rPr>
          <w:sz w:val="24"/>
          <w:szCs w:val="24"/>
        </w:rPr>
        <w:t xml:space="preserve">(Marine Recreational Fishery Statistics, Section 1(h)), and </w:t>
      </w:r>
      <w:hyperlink r:id="rId11" w:history="1">
        <w:r w:rsidRPr="001130BA">
          <w:rPr>
            <w:rStyle w:val="Hyperlink"/>
            <w:sz w:val="24"/>
            <w:szCs w:val="24"/>
          </w:rPr>
          <w:t xml:space="preserve">Executive Order 12866 </w:t>
        </w:r>
      </w:hyperlink>
      <w:r>
        <w:rPr>
          <w:sz w:val="24"/>
          <w:szCs w:val="24"/>
        </w:rPr>
        <w:t xml:space="preserve">(Section 1(b)(6)), </w:t>
      </w:r>
      <w:r w:rsidR="002D5298">
        <w:rPr>
          <w:sz w:val="24"/>
          <w:szCs w:val="24"/>
        </w:rPr>
        <w:t>NMFS</w:t>
      </w:r>
      <w:r>
        <w:rPr>
          <w:sz w:val="24"/>
          <w:szCs w:val="24"/>
        </w:rPr>
        <w:t xml:space="preserve"> is required to provide economic analyses of Federal management actions and policies to improve the Nation’s fisheries.  This data collection project will meet these statutory and administrative requirements by providing resource managers with the information necessary to understand the likely future impacts of management actions on the </w:t>
      </w:r>
      <w:smartTag w:uri="urn:schemas-microsoft-com:office:smarttags" w:element="place">
        <w:smartTag w:uri="urn:schemas-microsoft-com:office:smarttags" w:element="State">
          <w:r>
            <w:rPr>
              <w:sz w:val="24"/>
              <w:szCs w:val="24"/>
            </w:rPr>
            <w:t>Alaska</w:t>
          </w:r>
        </w:smartTag>
      </w:smartTag>
      <w:r>
        <w:rPr>
          <w:sz w:val="24"/>
          <w:szCs w:val="24"/>
        </w:rPr>
        <w:t xml:space="preserve"> </w:t>
      </w:r>
      <w:r w:rsidR="001A770C">
        <w:rPr>
          <w:sz w:val="24"/>
          <w:szCs w:val="24"/>
        </w:rPr>
        <w:t xml:space="preserve">charter boat-based </w:t>
      </w:r>
      <w:r>
        <w:rPr>
          <w:sz w:val="24"/>
          <w:szCs w:val="24"/>
        </w:rPr>
        <w:t>halibut sport fishery.</w:t>
      </w:r>
    </w:p>
    <w:p w:rsidR="0033396A" w:rsidRDefault="0033396A" w:rsidP="002D5298">
      <w:pPr>
        <w:rPr>
          <w:bCs/>
          <w:sz w:val="24"/>
          <w:szCs w:val="24"/>
        </w:rPr>
      </w:pPr>
    </w:p>
    <w:p w:rsidR="002566ED" w:rsidRDefault="0033396A" w:rsidP="002566ED">
      <w:pPr>
        <w:rPr>
          <w:rStyle w:val="apple-style-span"/>
          <w:sz w:val="24"/>
          <w:szCs w:val="24"/>
        </w:rPr>
      </w:pPr>
      <w:bookmarkStart w:id="2" w:name="OLE_LINK1"/>
      <w:bookmarkStart w:id="3" w:name="OLE_LINK2"/>
      <w:r>
        <w:rPr>
          <w:sz w:val="24"/>
          <w:szCs w:val="24"/>
        </w:rPr>
        <w:t xml:space="preserve">The halibut sport fishery in </w:t>
      </w:r>
      <w:smartTag w:uri="urn:schemas-microsoft-com:office:smarttags" w:element="place">
        <w:smartTag w:uri="urn:schemas-microsoft-com:office:smarttags" w:element="State">
          <w:r>
            <w:rPr>
              <w:sz w:val="24"/>
              <w:szCs w:val="24"/>
            </w:rPr>
            <w:t>Alaska</w:t>
          </w:r>
        </w:smartTag>
      </w:smartTag>
      <w:r>
        <w:rPr>
          <w:sz w:val="24"/>
          <w:szCs w:val="24"/>
        </w:rPr>
        <w:t xml:space="preserve"> is quite large.  During </w:t>
      </w:r>
      <w:r w:rsidR="00636BAB">
        <w:rPr>
          <w:sz w:val="24"/>
          <w:szCs w:val="24"/>
        </w:rPr>
        <w:t>2012</w:t>
      </w:r>
      <w:r>
        <w:rPr>
          <w:sz w:val="24"/>
          <w:szCs w:val="24"/>
        </w:rPr>
        <w:t xml:space="preserve">, for instance, over </w:t>
      </w:r>
      <w:r w:rsidR="00636BAB">
        <w:rPr>
          <w:sz w:val="24"/>
          <w:szCs w:val="24"/>
        </w:rPr>
        <w:t>387</w:t>
      </w:r>
      <w:r>
        <w:rPr>
          <w:sz w:val="24"/>
          <w:szCs w:val="24"/>
        </w:rPr>
        <w:t xml:space="preserve">,000 </w:t>
      </w:r>
      <w:r w:rsidRPr="002566ED">
        <w:rPr>
          <w:sz w:val="24"/>
          <w:szCs w:val="24"/>
        </w:rPr>
        <w:t>halibut were harvested by sport anglers in the state</w:t>
      </w:r>
      <w:r w:rsidR="002566ED">
        <w:rPr>
          <w:sz w:val="24"/>
          <w:szCs w:val="24"/>
        </w:rPr>
        <w:t>, a large proportion of which were caught by anglers on charter vessels</w:t>
      </w:r>
      <w:r w:rsidRPr="002566ED">
        <w:rPr>
          <w:sz w:val="24"/>
          <w:szCs w:val="24"/>
        </w:rPr>
        <w:t>.</w:t>
      </w:r>
      <w:r w:rsidR="00733461" w:rsidRPr="002566ED">
        <w:rPr>
          <w:rStyle w:val="FootnoteReference"/>
          <w:sz w:val="24"/>
          <w:szCs w:val="24"/>
        </w:rPr>
        <w:footnoteReference w:id="1"/>
      </w:r>
      <w:r w:rsidRPr="002566ED">
        <w:rPr>
          <w:sz w:val="24"/>
          <w:szCs w:val="24"/>
        </w:rPr>
        <w:t xml:space="preserve"> </w:t>
      </w:r>
      <w:r w:rsidR="0024640F">
        <w:rPr>
          <w:sz w:val="24"/>
          <w:szCs w:val="24"/>
        </w:rPr>
        <w:t xml:space="preserve"> </w:t>
      </w:r>
      <w:r w:rsidR="002566ED" w:rsidRPr="002566ED">
        <w:rPr>
          <w:sz w:val="24"/>
          <w:szCs w:val="24"/>
        </w:rPr>
        <w:t>The Alaska charter boat sector has undergone significant change in recent years due, at least in part, to regulatory changes in the management of the Pacific halibut sport fishery.  To control growth of the charter sector in the primary recreational charter boat fishing areas off Alaska, a limited entry program was implemented in 201</w:t>
      </w:r>
      <w:r w:rsidR="00CA1A9F">
        <w:rPr>
          <w:sz w:val="24"/>
          <w:szCs w:val="24"/>
        </w:rPr>
        <w:t>1</w:t>
      </w:r>
      <w:r w:rsidR="002566ED" w:rsidRPr="002566ED">
        <w:rPr>
          <w:sz w:val="24"/>
          <w:szCs w:val="24"/>
        </w:rPr>
        <w:t xml:space="preserve"> (75 Federal Register 554).  In addition, in the past several years, charter vessel operators in Southeast Alaska (International Pacific Halibut Commission [IPHC] Area 2C) have been subject to harvest controls that impose both size and bag limits on the catch of Pacific halibut on guided fishing trips, with these limits being more restrictive than the regulations for non-guided trips (e.g., 78 Federal Register 16425).</w:t>
      </w:r>
      <w:r w:rsidR="002566ED" w:rsidRPr="002566ED">
        <w:rPr>
          <w:rStyle w:val="FootnoteReference"/>
          <w:sz w:val="24"/>
          <w:szCs w:val="24"/>
        </w:rPr>
        <w:footnoteReference w:id="2"/>
      </w:r>
      <w:r w:rsidR="00CA1A9F">
        <w:rPr>
          <w:sz w:val="24"/>
          <w:szCs w:val="24"/>
        </w:rPr>
        <w:t xml:space="preserve">  Most recently</w:t>
      </w:r>
      <w:r w:rsidR="002566ED" w:rsidRPr="002566ED">
        <w:rPr>
          <w:sz w:val="24"/>
          <w:szCs w:val="24"/>
        </w:rPr>
        <w:t xml:space="preserve">, a </w:t>
      </w:r>
      <w:r w:rsidR="00CA1A9F">
        <w:rPr>
          <w:sz w:val="24"/>
          <w:szCs w:val="24"/>
        </w:rPr>
        <w:t xml:space="preserve">Halibut </w:t>
      </w:r>
      <w:r w:rsidR="002566ED" w:rsidRPr="002566ED">
        <w:rPr>
          <w:sz w:val="24"/>
          <w:szCs w:val="24"/>
        </w:rPr>
        <w:t xml:space="preserve">Catch Sharing Plan (CSP) </w:t>
      </w:r>
      <w:r w:rsidR="002566ED">
        <w:rPr>
          <w:sz w:val="24"/>
          <w:szCs w:val="24"/>
        </w:rPr>
        <w:t>is being</w:t>
      </w:r>
      <w:r w:rsidR="002566ED" w:rsidRPr="002566ED">
        <w:rPr>
          <w:sz w:val="24"/>
          <w:szCs w:val="24"/>
        </w:rPr>
        <w:t xml:space="preserve"> implemented during 2014 that formalizes the process </w:t>
      </w:r>
      <w:r w:rsidR="002F2B22">
        <w:rPr>
          <w:sz w:val="24"/>
          <w:szCs w:val="24"/>
        </w:rPr>
        <w:t xml:space="preserve">(a) </w:t>
      </w:r>
      <w:r w:rsidR="002566ED" w:rsidRPr="002566ED">
        <w:rPr>
          <w:sz w:val="24"/>
          <w:szCs w:val="24"/>
        </w:rPr>
        <w:t xml:space="preserve">of allocating catch between the commercial and charter sector and </w:t>
      </w:r>
      <w:r w:rsidR="002F2B22">
        <w:rPr>
          <w:sz w:val="24"/>
          <w:szCs w:val="24"/>
        </w:rPr>
        <w:t xml:space="preserve">(b) </w:t>
      </w:r>
      <w:r w:rsidR="002566ED" w:rsidRPr="002566ED">
        <w:rPr>
          <w:sz w:val="24"/>
          <w:szCs w:val="24"/>
        </w:rPr>
        <w:t xml:space="preserve">for evaluating changes to harvest restrictions (78 FR 75843).  </w:t>
      </w:r>
      <w:r w:rsidR="00B96681">
        <w:rPr>
          <w:sz w:val="24"/>
          <w:szCs w:val="24"/>
        </w:rPr>
        <w:t>Importantly, t</w:t>
      </w:r>
      <w:r w:rsidR="002566ED" w:rsidRPr="002566ED">
        <w:rPr>
          <w:sz w:val="24"/>
          <w:szCs w:val="24"/>
        </w:rPr>
        <w:t xml:space="preserve">he CSP allows leasing of commercial halibut individual fishing quota (IFQ) by eligible charter businesses.  Leased halibut IFQ </w:t>
      </w:r>
      <w:r w:rsidR="00B96681">
        <w:rPr>
          <w:sz w:val="24"/>
          <w:szCs w:val="24"/>
        </w:rPr>
        <w:t xml:space="preserve">(called guided angler fish, or GAF) </w:t>
      </w:r>
      <w:r w:rsidR="002566ED" w:rsidRPr="002566ED">
        <w:rPr>
          <w:sz w:val="24"/>
          <w:szCs w:val="24"/>
        </w:rPr>
        <w:t xml:space="preserve">could then be used by charter businesses to relax harvest restrictions for their angler clients, since </w:t>
      </w:r>
      <w:r w:rsidR="00B96681">
        <w:rPr>
          <w:sz w:val="24"/>
          <w:szCs w:val="24"/>
        </w:rPr>
        <w:t>GAF</w:t>
      </w:r>
      <w:r w:rsidR="002566ED" w:rsidRPr="002566ED">
        <w:rPr>
          <w:sz w:val="24"/>
          <w:szCs w:val="24"/>
        </w:rPr>
        <w:t xml:space="preserve"> fish would not be subject to the charter sector-specific size and bag limits that may be imposed—though the non-charter sector size and bag limit restrictions (currently two fish of any size per day) would still apply to charter anglers individually.</w:t>
      </w:r>
      <w:bookmarkEnd w:id="2"/>
      <w:bookmarkEnd w:id="3"/>
      <w:r w:rsidR="001A770C" w:rsidRPr="005F7EAE">
        <w:rPr>
          <w:rStyle w:val="apple-style-span"/>
          <w:sz w:val="24"/>
          <w:szCs w:val="24"/>
        </w:rPr>
        <w:t>.</w:t>
      </w:r>
    </w:p>
    <w:p w:rsidR="002566ED" w:rsidRPr="002566ED" w:rsidRDefault="002566ED" w:rsidP="002566ED">
      <w:pPr>
        <w:rPr>
          <w:rStyle w:val="apple-style-span"/>
          <w:sz w:val="24"/>
          <w:szCs w:val="24"/>
        </w:rPr>
      </w:pPr>
    </w:p>
    <w:p w:rsidR="00FF23C7" w:rsidRDefault="00FF23C7">
      <w:pPr>
        <w:widowControl/>
        <w:autoSpaceDE/>
        <w:autoSpaceDN/>
        <w:adjustRightInd/>
        <w:rPr>
          <w:sz w:val="24"/>
          <w:szCs w:val="24"/>
        </w:rPr>
      </w:pPr>
      <w:r>
        <w:rPr>
          <w:sz w:val="24"/>
          <w:szCs w:val="24"/>
        </w:rPr>
        <w:br w:type="page"/>
      </w:r>
    </w:p>
    <w:p w:rsidR="002566ED" w:rsidRPr="002566ED" w:rsidRDefault="002566ED" w:rsidP="002566ED">
      <w:pPr>
        <w:rPr>
          <w:sz w:val="24"/>
          <w:szCs w:val="24"/>
        </w:rPr>
      </w:pPr>
      <w:r w:rsidRPr="002566ED">
        <w:rPr>
          <w:sz w:val="24"/>
          <w:szCs w:val="24"/>
        </w:rPr>
        <w:lastRenderedPageBreak/>
        <w:t>Under the initial rules for the IFQ leasing program</w:t>
      </w:r>
      <w:r w:rsidR="005B5CDB">
        <w:rPr>
          <w:sz w:val="24"/>
          <w:szCs w:val="24"/>
        </w:rPr>
        <w:t>, henceforth the GAF leasing program</w:t>
      </w:r>
      <w:r w:rsidRPr="002566ED">
        <w:rPr>
          <w:sz w:val="24"/>
          <w:szCs w:val="24"/>
        </w:rPr>
        <w:t>, several restrictions are placed on the use of GAF, including the following:</w:t>
      </w:r>
    </w:p>
    <w:p w:rsidR="002566ED" w:rsidRPr="002566ED" w:rsidRDefault="002566ED" w:rsidP="002566ED">
      <w:pPr>
        <w:rPr>
          <w:sz w:val="24"/>
          <w:szCs w:val="24"/>
        </w:rPr>
      </w:pPr>
    </w:p>
    <w:p w:rsidR="002566ED" w:rsidRPr="002566ED" w:rsidRDefault="002566ED" w:rsidP="002566ED">
      <w:pPr>
        <w:widowControl/>
        <w:numPr>
          <w:ilvl w:val="0"/>
          <w:numId w:val="48"/>
        </w:numPr>
        <w:autoSpaceDE/>
        <w:autoSpaceDN/>
        <w:adjustRightInd/>
        <w:spacing w:line="276" w:lineRule="auto"/>
        <w:rPr>
          <w:sz w:val="24"/>
          <w:szCs w:val="24"/>
        </w:rPr>
      </w:pPr>
      <w:r w:rsidRPr="002566ED">
        <w:rPr>
          <w:b/>
          <w:sz w:val="24"/>
          <w:szCs w:val="24"/>
        </w:rPr>
        <w:t>Single-season use</w:t>
      </w:r>
      <w:r w:rsidRPr="002566ED">
        <w:rPr>
          <w:sz w:val="24"/>
          <w:szCs w:val="24"/>
        </w:rPr>
        <w:t>.  GAF must be used before the end of the season for which it is leased, with automatic returns if the GAF is unused by a certain date (15 days before the end of the commercial fishing season).</w:t>
      </w:r>
    </w:p>
    <w:p w:rsidR="002566ED" w:rsidRPr="002566ED" w:rsidRDefault="00457F56" w:rsidP="002566ED">
      <w:pPr>
        <w:widowControl/>
        <w:numPr>
          <w:ilvl w:val="0"/>
          <w:numId w:val="48"/>
        </w:numPr>
        <w:autoSpaceDE/>
        <w:autoSpaceDN/>
        <w:adjustRightInd/>
        <w:spacing w:line="276" w:lineRule="auto"/>
        <w:rPr>
          <w:sz w:val="24"/>
          <w:szCs w:val="24"/>
        </w:rPr>
      </w:pPr>
      <w:r>
        <w:rPr>
          <w:b/>
          <w:sz w:val="24"/>
          <w:szCs w:val="24"/>
        </w:rPr>
        <w:t>No</w:t>
      </w:r>
      <w:r w:rsidR="002566ED" w:rsidRPr="002566ED">
        <w:rPr>
          <w:b/>
          <w:sz w:val="24"/>
          <w:szCs w:val="24"/>
        </w:rPr>
        <w:t xml:space="preserve"> transfers.  </w:t>
      </w:r>
      <w:r w:rsidR="002566ED" w:rsidRPr="002566ED">
        <w:rPr>
          <w:sz w:val="24"/>
          <w:szCs w:val="24"/>
        </w:rPr>
        <w:t>GAF can’t be transferred between CHP holders during the season.</w:t>
      </w:r>
    </w:p>
    <w:p w:rsidR="002566ED" w:rsidRPr="002566ED" w:rsidRDefault="002566ED" w:rsidP="002566ED">
      <w:pPr>
        <w:rPr>
          <w:sz w:val="24"/>
          <w:szCs w:val="24"/>
        </w:rPr>
      </w:pPr>
    </w:p>
    <w:p w:rsidR="001A770C" w:rsidRPr="002566ED" w:rsidRDefault="002566ED" w:rsidP="002566ED">
      <w:pPr>
        <w:rPr>
          <w:sz w:val="24"/>
          <w:szCs w:val="24"/>
        </w:rPr>
      </w:pPr>
      <w:r w:rsidRPr="002566ED">
        <w:rPr>
          <w:sz w:val="24"/>
          <w:szCs w:val="24"/>
        </w:rPr>
        <w:t>The restrictions listed above are features that are sometimes relaxed in other IFQ (or</w:t>
      </w:r>
      <w:r w:rsidR="0024640F">
        <w:rPr>
          <w:sz w:val="24"/>
          <w:szCs w:val="24"/>
        </w:rPr>
        <w:t>,</w:t>
      </w:r>
      <w:r w:rsidRPr="002566ED">
        <w:rPr>
          <w:sz w:val="24"/>
          <w:szCs w:val="24"/>
        </w:rPr>
        <w:t xml:space="preserve"> </w:t>
      </w:r>
      <w:r w:rsidR="0024640F">
        <w:rPr>
          <w:sz w:val="24"/>
          <w:szCs w:val="24"/>
        </w:rPr>
        <w:t xml:space="preserve">more generally, </w:t>
      </w:r>
      <w:r w:rsidRPr="002566ED">
        <w:rPr>
          <w:sz w:val="24"/>
          <w:szCs w:val="24"/>
        </w:rPr>
        <w:t>tradable permit) programs to increase flexibility for participants.</w:t>
      </w:r>
      <w:r>
        <w:rPr>
          <w:sz w:val="24"/>
          <w:szCs w:val="24"/>
        </w:rPr>
        <w:t xml:space="preserve">  </w:t>
      </w:r>
      <w:r>
        <w:rPr>
          <w:rStyle w:val="apple-style-span"/>
          <w:sz w:val="24"/>
          <w:szCs w:val="24"/>
        </w:rPr>
        <w:t xml:space="preserve">Recent research has shown that the restrictions imposed on transfers within IFQ markets can have significant effects on economic efficiency and other goals (e.g., Kroetz et al. 2013).  To aid decision makers about the likely impacts of relaxing </w:t>
      </w:r>
      <w:r w:rsidR="00362A0D">
        <w:rPr>
          <w:rStyle w:val="apple-style-span"/>
          <w:sz w:val="24"/>
          <w:szCs w:val="24"/>
        </w:rPr>
        <w:t>program features such as those above,</w:t>
      </w:r>
      <w:r w:rsidR="00457F56">
        <w:rPr>
          <w:rStyle w:val="apple-style-span"/>
          <w:sz w:val="24"/>
          <w:szCs w:val="24"/>
        </w:rPr>
        <w:t xml:space="preserve"> as well as other programs that may be considered by the </w:t>
      </w:r>
      <w:r w:rsidR="001E6AF2">
        <w:rPr>
          <w:rStyle w:val="apple-style-span"/>
          <w:sz w:val="24"/>
          <w:szCs w:val="24"/>
        </w:rPr>
        <w:t xml:space="preserve">North Pacific Fishery Management </w:t>
      </w:r>
      <w:r w:rsidR="00457F56">
        <w:rPr>
          <w:rStyle w:val="apple-style-span"/>
          <w:sz w:val="24"/>
          <w:szCs w:val="24"/>
        </w:rPr>
        <w:t>Council</w:t>
      </w:r>
      <w:r w:rsidR="001E6AF2">
        <w:rPr>
          <w:rStyle w:val="apple-style-span"/>
          <w:sz w:val="24"/>
          <w:szCs w:val="24"/>
        </w:rPr>
        <w:t xml:space="preserve"> (Council)</w:t>
      </w:r>
      <w:r w:rsidR="00457F56">
        <w:rPr>
          <w:rStyle w:val="apple-style-span"/>
          <w:sz w:val="24"/>
          <w:szCs w:val="24"/>
        </w:rPr>
        <w:t>,</w:t>
      </w:r>
      <w:r w:rsidR="00362A0D">
        <w:rPr>
          <w:rStyle w:val="apple-style-span"/>
          <w:sz w:val="24"/>
          <w:szCs w:val="24"/>
        </w:rPr>
        <w:t xml:space="preserve"> </w:t>
      </w:r>
      <w:r w:rsidR="00457F56">
        <w:rPr>
          <w:rStyle w:val="apple-style-span"/>
          <w:sz w:val="24"/>
          <w:szCs w:val="24"/>
        </w:rPr>
        <w:t>the</w:t>
      </w:r>
      <w:r w:rsidR="00362A0D">
        <w:rPr>
          <w:rStyle w:val="apple-style-span"/>
          <w:sz w:val="24"/>
          <w:szCs w:val="24"/>
        </w:rPr>
        <w:t xml:space="preserve"> survey </w:t>
      </w:r>
      <w:r w:rsidR="00457F56">
        <w:rPr>
          <w:rStyle w:val="apple-style-span"/>
          <w:sz w:val="24"/>
          <w:szCs w:val="24"/>
        </w:rPr>
        <w:t xml:space="preserve">will collect data from </w:t>
      </w:r>
      <w:r w:rsidR="00362A0D">
        <w:rPr>
          <w:rStyle w:val="apple-style-span"/>
          <w:sz w:val="24"/>
          <w:szCs w:val="24"/>
        </w:rPr>
        <w:t>eligible participants in the IFQ leasing market to determine their attitudes towards, and behavior in, the lease market</w:t>
      </w:r>
      <w:r w:rsidR="00457F56">
        <w:rPr>
          <w:rStyle w:val="apple-style-span"/>
          <w:sz w:val="24"/>
          <w:szCs w:val="24"/>
        </w:rPr>
        <w:t xml:space="preserve"> and attitudes and preferences towards alternative programs</w:t>
      </w:r>
      <w:r w:rsidR="00362A0D">
        <w:rPr>
          <w:rStyle w:val="apple-style-span"/>
          <w:sz w:val="24"/>
          <w:szCs w:val="24"/>
        </w:rPr>
        <w:t>.</w:t>
      </w:r>
    </w:p>
    <w:p w:rsidR="0033396A" w:rsidRDefault="0033396A" w:rsidP="002D5298">
      <w:pPr>
        <w:rPr>
          <w:sz w:val="24"/>
          <w:szCs w:val="24"/>
        </w:rPr>
      </w:pPr>
    </w:p>
    <w:p w:rsidR="0033396A" w:rsidRDefault="0033396A" w:rsidP="001868F0">
      <w:pPr>
        <w:rPr>
          <w:sz w:val="24"/>
          <w:szCs w:val="24"/>
        </w:rPr>
      </w:pPr>
      <w:r w:rsidRPr="006E5461">
        <w:rPr>
          <w:b/>
          <w:bCs/>
          <w:sz w:val="24"/>
          <w:szCs w:val="24"/>
        </w:rPr>
        <w:t>2.</w:t>
      </w:r>
      <w:r w:rsidR="001868F0">
        <w:rPr>
          <w:b/>
          <w:bCs/>
          <w:sz w:val="24"/>
          <w:szCs w:val="24"/>
        </w:rPr>
        <w:t xml:space="preserve">  </w:t>
      </w:r>
      <w:r w:rsidR="00C21216" w:rsidRPr="006E5461">
        <w:rPr>
          <w:szCs w:val="24"/>
          <w:lang w:val="en-CA"/>
        </w:rPr>
        <w:fldChar w:fldCharType="begin"/>
      </w:r>
      <w:r w:rsidRPr="006E5461">
        <w:rPr>
          <w:szCs w:val="24"/>
          <w:lang w:val="en-CA"/>
        </w:rPr>
        <w:instrText xml:space="preserve"> SEQ CHAPTER \h \r 1</w:instrText>
      </w:r>
      <w:r w:rsidR="00C21216" w:rsidRPr="006E5461">
        <w:rPr>
          <w:szCs w:val="24"/>
          <w:lang w:val="en-CA"/>
        </w:rPr>
        <w:fldChar w:fldCharType="end"/>
      </w:r>
      <w:r w:rsidRPr="006E5461">
        <w:rPr>
          <w:b/>
          <w:bCs/>
          <w:sz w:val="24"/>
          <w:szCs w:val="24"/>
          <w:u w:val="single"/>
        </w:rPr>
        <w:t xml:space="preserve">Explain how, by whom, how frequently, and for what purpose the information will be used.  </w:t>
      </w:r>
      <w:r w:rsidR="00C21216" w:rsidRPr="006E5461">
        <w:rPr>
          <w:szCs w:val="24"/>
          <w:lang w:val="en-CA"/>
        </w:rPr>
        <w:fldChar w:fldCharType="begin"/>
      </w:r>
      <w:r w:rsidRPr="006E5461">
        <w:rPr>
          <w:szCs w:val="24"/>
          <w:lang w:val="en-CA"/>
        </w:rPr>
        <w:instrText xml:space="preserve"> SEQ CHAPTER \h \r 1</w:instrText>
      </w:r>
      <w:r w:rsidR="00C21216" w:rsidRPr="006E5461">
        <w:rPr>
          <w:szCs w:val="24"/>
          <w:lang w:val="en-CA"/>
        </w:rPr>
        <w:fldChar w:fldCharType="end"/>
      </w:r>
      <w:r w:rsidRPr="006E546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6E5461">
        <w:rPr>
          <w:b/>
          <w:bCs/>
          <w:sz w:val="24"/>
          <w:szCs w:val="24"/>
        </w:rPr>
        <w:t>.</w:t>
      </w:r>
    </w:p>
    <w:p w:rsidR="0033396A" w:rsidRDefault="0033396A" w:rsidP="002D5298">
      <w:pPr>
        <w:rPr>
          <w:sz w:val="24"/>
          <w:szCs w:val="24"/>
        </w:rPr>
      </w:pPr>
    </w:p>
    <w:p w:rsidR="0033396A" w:rsidRDefault="0033396A" w:rsidP="002D5298">
      <w:pPr>
        <w:rPr>
          <w:sz w:val="24"/>
          <w:szCs w:val="24"/>
        </w:rPr>
      </w:pPr>
      <w:r>
        <w:rPr>
          <w:sz w:val="24"/>
          <w:szCs w:val="24"/>
        </w:rPr>
        <w:t xml:space="preserve">Information from this collection will be used by </w:t>
      </w:r>
      <w:r w:rsidR="002D5298">
        <w:rPr>
          <w:sz w:val="24"/>
          <w:szCs w:val="24"/>
        </w:rPr>
        <w:t>NMFS</w:t>
      </w:r>
      <w:r>
        <w:rPr>
          <w:sz w:val="24"/>
          <w:szCs w:val="24"/>
        </w:rPr>
        <w:t xml:space="preserve"> </w:t>
      </w:r>
      <w:r w:rsidR="00B36980">
        <w:rPr>
          <w:sz w:val="24"/>
          <w:szCs w:val="24"/>
        </w:rPr>
        <w:t xml:space="preserve">economists </w:t>
      </w:r>
      <w:r w:rsidR="00457F56">
        <w:rPr>
          <w:sz w:val="24"/>
          <w:szCs w:val="24"/>
        </w:rPr>
        <w:t xml:space="preserve">in the </w:t>
      </w:r>
      <w:r>
        <w:rPr>
          <w:sz w:val="24"/>
          <w:szCs w:val="24"/>
        </w:rPr>
        <w:t xml:space="preserve">Alaska Fisheries Science Center (AFSC) to address issues discussed in </w:t>
      </w:r>
      <w:r w:rsidR="002D5298">
        <w:rPr>
          <w:sz w:val="24"/>
          <w:szCs w:val="24"/>
        </w:rPr>
        <w:t xml:space="preserve">Question </w:t>
      </w:r>
      <w:r>
        <w:rPr>
          <w:sz w:val="24"/>
          <w:szCs w:val="24"/>
        </w:rPr>
        <w:t xml:space="preserve">1 </w:t>
      </w:r>
      <w:proofErr w:type="gramStart"/>
      <w:r>
        <w:rPr>
          <w:sz w:val="24"/>
          <w:szCs w:val="24"/>
        </w:rPr>
        <w:t>above,</w:t>
      </w:r>
      <w:proofErr w:type="gramEnd"/>
      <w:r>
        <w:rPr>
          <w:sz w:val="24"/>
          <w:szCs w:val="24"/>
        </w:rPr>
        <w:t xml:space="preserve"> and others that may arise.  Using these data, </w:t>
      </w:r>
      <w:r w:rsidR="005F7EAE">
        <w:rPr>
          <w:sz w:val="24"/>
          <w:szCs w:val="24"/>
        </w:rPr>
        <w:t>analyse</w:t>
      </w:r>
      <w:r>
        <w:rPr>
          <w:sz w:val="24"/>
          <w:szCs w:val="24"/>
        </w:rPr>
        <w:t xml:space="preserve">s will be </w:t>
      </w:r>
      <w:r w:rsidR="005F7EAE">
        <w:rPr>
          <w:sz w:val="24"/>
          <w:szCs w:val="24"/>
        </w:rPr>
        <w:t xml:space="preserve">conducted </w:t>
      </w:r>
      <w:r>
        <w:rPr>
          <w:sz w:val="24"/>
          <w:szCs w:val="24"/>
        </w:rPr>
        <w:t xml:space="preserve">to describe the </w:t>
      </w:r>
      <w:r w:rsidR="00362A0D">
        <w:rPr>
          <w:sz w:val="24"/>
          <w:szCs w:val="24"/>
        </w:rPr>
        <w:t xml:space="preserve">reception of the CSP in the </w:t>
      </w:r>
      <w:r w:rsidR="005F7EAE">
        <w:rPr>
          <w:sz w:val="24"/>
          <w:szCs w:val="24"/>
        </w:rPr>
        <w:t xml:space="preserve">charter </w:t>
      </w:r>
      <w:r w:rsidR="00362A0D">
        <w:rPr>
          <w:sz w:val="24"/>
          <w:szCs w:val="24"/>
        </w:rPr>
        <w:t>sector</w:t>
      </w:r>
      <w:r w:rsidR="005F7EAE">
        <w:rPr>
          <w:sz w:val="24"/>
          <w:szCs w:val="24"/>
        </w:rPr>
        <w:t xml:space="preserve">, its </w:t>
      </w:r>
      <w:r w:rsidR="00362A0D">
        <w:rPr>
          <w:sz w:val="24"/>
          <w:szCs w:val="24"/>
        </w:rPr>
        <w:t>early effects on the charter sector</w:t>
      </w:r>
      <w:r w:rsidR="005B5CDB">
        <w:rPr>
          <w:sz w:val="24"/>
          <w:szCs w:val="24"/>
        </w:rPr>
        <w:t xml:space="preserve"> (</w:t>
      </w:r>
      <w:r w:rsidR="001C1B7C">
        <w:rPr>
          <w:sz w:val="24"/>
          <w:szCs w:val="24"/>
        </w:rPr>
        <w:t xml:space="preserve">e.g., </w:t>
      </w:r>
      <w:r w:rsidR="005B5CDB">
        <w:rPr>
          <w:sz w:val="24"/>
          <w:szCs w:val="24"/>
        </w:rPr>
        <w:t>participation in the GAF</w:t>
      </w:r>
      <w:r w:rsidR="00720F50">
        <w:rPr>
          <w:sz w:val="24"/>
          <w:szCs w:val="24"/>
        </w:rPr>
        <w:t xml:space="preserve"> lease market)</w:t>
      </w:r>
      <w:r w:rsidR="005F7EAE">
        <w:rPr>
          <w:sz w:val="24"/>
          <w:szCs w:val="24"/>
        </w:rPr>
        <w:t xml:space="preserve">, and </w:t>
      </w:r>
      <w:r w:rsidR="00362A0D">
        <w:rPr>
          <w:sz w:val="24"/>
          <w:szCs w:val="24"/>
        </w:rPr>
        <w:t xml:space="preserve">likely changes to charter sector participants resulting from the ability to lease </w:t>
      </w:r>
      <w:r w:rsidR="005B5CDB">
        <w:rPr>
          <w:sz w:val="24"/>
          <w:szCs w:val="24"/>
        </w:rPr>
        <w:t>GAF</w:t>
      </w:r>
      <w:r w:rsidR="00457F56">
        <w:rPr>
          <w:sz w:val="24"/>
          <w:szCs w:val="24"/>
        </w:rPr>
        <w:t xml:space="preserve"> under the current program, and under alternative programs</w:t>
      </w:r>
      <w:r w:rsidR="00362A0D">
        <w:rPr>
          <w:sz w:val="24"/>
          <w:szCs w:val="24"/>
        </w:rPr>
        <w:t>.</w:t>
      </w:r>
    </w:p>
    <w:p w:rsidR="0033396A" w:rsidRDefault="0033396A" w:rsidP="002D5298">
      <w:pPr>
        <w:rPr>
          <w:sz w:val="24"/>
          <w:szCs w:val="24"/>
        </w:rPr>
      </w:pPr>
    </w:p>
    <w:p w:rsidR="0033396A" w:rsidRDefault="0033396A" w:rsidP="002D5298">
      <w:pPr>
        <w:rPr>
          <w:sz w:val="24"/>
          <w:szCs w:val="24"/>
        </w:rPr>
      </w:pPr>
      <w:r>
        <w:rPr>
          <w:sz w:val="24"/>
          <w:szCs w:val="24"/>
        </w:rPr>
        <w:t xml:space="preserve">The information collection consists of conducting </w:t>
      </w:r>
      <w:r w:rsidR="00A52599">
        <w:rPr>
          <w:sz w:val="24"/>
          <w:szCs w:val="24"/>
        </w:rPr>
        <w:t>a</w:t>
      </w:r>
      <w:r>
        <w:rPr>
          <w:sz w:val="24"/>
          <w:szCs w:val="24"/>
        </w:rPr>
        <w:t xml:space="preserve"> survey </w:t>
      </w:r>
      <w:r w:rsidR="00A52599">
        <w:rPr>
          <w:sz w:val="24"/>
          <w:szCs w:val="24"/>
        </w:rPr>
        <w:t xml:space="preserve">sent to all </w:t>
      </w:r>
      <w:r w:rsidR="00BE6DB3">
        <w:rPr>
          <w:sz w:val="24"/>
          <w:szCs w:val="24"/>
        </w:rPr>
        <w:t xml:space="preserve">eligible participants in the </w:t>
      </w:r>
      <w:r w:rsidR="005B5CDB">
        <w:rPr>
          <w:sz w:val="24"/>
          <w:szCs w:val="24"/>
        </w:rPr>
        <w:t>GAF</w:t>
      </w:r>
      <w:r w:rsidR="00BE6DB3">
        <w:rPr>
          <w:sz w:val="24"/>
          <w:szCs w:val="24"/>
        </w:rPr>
        <w:t xml:space="preserve"> leasing market, meaning any individual or business that holds a valid charter halibut permit (CHP) allowing their clients to fish for Pacific halibut.</w:t>
      </w:r>
      <w:r w:rsidR="00A52599">
        <w:rPr>
          <w:sz w:val="24"/>
          <w:szCs w:val="24"/>
        </w:rPr>
        <w:t xml:space="preserve">  </w:t>
      </w:r>
      <w:proofErr w:type="gramStart"/>
      <w:r w:rsidR="00BE6DB3">
        <w:rPr>
          <w:sz w:val="24"/>
          <w:szCs w:val="24"/>
        </w:rPr>
        <w:t>Since the population is small (about 650</w:t>
      </w:r>
      <w:r w:rsidR="001C1B7C">
        <w:rPr>
          <w:sz w:val="24"/>
          <w:szCs w:val="24"/>
        </w:rPr>
        <w:t xml:space="preserve"> in 2011</w:t>
      </w:r>
      <w:r w:rsidR="00BE6DB3">
        <w:rPr>
          <w:sz w:val="24"/>
          <w:szCs w:val="24"/>
        </w:rPr>
        <w:t>), t</w:t>
      </w:r>
      <w:r w:rsidR="00A52599">
        <w:rPr>
          <w:sz w:val="24"/>
          <w:szCs w:val="24"/>
        </w:rPr>
        <w:t>he survey will be conducted as a voluntary census.</w:t>
      </w:r>
      <w:proofErr w:type="gramEnd"/>
      <w:r>
        <w:rPr>
          <w:sz w:val="24"/>
          <w:szCs w:val="24"/>
        </w:rPr>
        <w:t xml:space="preserve">  For th</w:t>
      </w:r>
      <w:r w:rsidR="000F05EB">
        <w:rPr>
          <w:sz w:val="24"/>
          <w:szCs w:val="24"/>
        </w:rPr>
        <w:t xml:space="preserve">is </w:t>
      </w:r>
      <w:r>
        <w:rPr>
          <w:sz w:val="24"/>
          <w:szCs w:val="24"/>
        </w:rPr>
        <w:t xml:space="preserve">implementation, we will mail questionnaires to </w:t>
      </w:r>
      <w:r w:rsidR="0020148A">
        <w:rPr>
          <w:sz w:val="24"/>
          <w:szCs w:val="24"/>
        </w:rPr>
        <w:t xml:space="preserve">population </w:t>
      </w:r>
      <w:r>
        <w:rPr>
          <w:sz w:val="24"/>
          <w:szCs w:val="24"/>
        </w:rPr>
        <w:t xml:space="preserve">members, followed by follow-ups to encourage response.  Among the follow-up efforts will be a postcard reminder, </w:t>
      </w:r>
      <w:r w:rsidR="002F2B22">
        <w:rPr>
          <w:sz w:val="24"/>
          <w:szCs w:val="24"/>
        </w:rPr>
        <w:t xml:space="preserve">a full second mailing, and </w:t>
      </w:r>
      <w:r>
        <w:rPr>
          <w:sz w:val="24"/>
          <w:szCs w:val="24"/>
        </w:rPr>
        <w:t xml:space="preserve">a telephone contact with non-responding </w:t>
      </w:r>
      <w:r w:rsidR="00840808">
        <w:rPr>
          <w:sz w:val="24"/>
          <w:szCs w:val="24"/>
        </w:rPr>
        <w:t>charter businesses</w:t>
      </w:r>
      <w:r>
        <w:rPr>
          <w:sz w:val="24"/>
          <w:szCs w:val="24"/>
        </w:rPr>
        <w:t xml:space="preserve"> to encourage response and gather data for assessing non-response behavior.  </w:t>
      </w:r>
      <w:r w:rsidR="00D905A0">
        <w:rPr>
          <w:sz w:val="24"/>
          <w:szCs w:val="24"/>
        </w:rPr>
        <w:t>Respondents will also be given the op</w:t>
      </w:r>
      <w:r w:rsidR="00532C74">
        <w:rPr>
          <w:sz w:val="24"/>
          <w:szCs w:val="24"/>
        </w:rPr>
        <w:t>portunity to</w:t>
      </w:r>
      <w:r w:rsidR="00D905A0">
        <w:rPr>
          <w:sz w:val="24"/>
          <w:szCs w:val="24"/>
        </w:rPr>
        <w:t xml:space="preserve"> </w:t>
      </w:r>
      <w:r w:rsidR="00532C74">
        <w:rPr>
          <w:sz w:val="24"/>
          <w:szCs w:val="24"/>
        </w:rPr>
        <w:t xml:space="preserve">provide information via a telephone interview that will be offered to respondents </w:t>
      </w:r>
      <w:r w:rsidR="002F2B22">
        <w:rPr>
          <w:sz w:val="24"/>
          <w:szCs w:val="24"/>
        </w:rPr>
        <w:t>during the telephone prompt</w:t>
      </w:r>
      <w:r w:rsidR="00D905A0">
        <w:rPr>
          <w:sz w:val="24"/>
          <w:szCs w:val="24"/>
        </w:rPr>
        <w:t xml:space="preserve">.  </w:t>
      </w:r>
      <w:r w:rsidR="00A52599">
        <w:rPr>
          <w:sz w:val="24"/>
          <w:szCs w:val="24"/>
        </w:rPr>
        <w:t xml:space="preserve">Due to </w:t>
      </w:r>
      <w:r w:rsidR="00D905A0">
        <w:rPr>
          <w:sz w:val="24"/>
          <w:szCs w:val="24"/>
        </w:rPr>
        <w:t>issues of</w:t>
      </w:r>
      <w:r w:rsidR="00A52599">
        <w:rPr>
          <w:sz w:val="24"/>
          <w:szCs w:val="24"/>
        </w:rPr>
        <w:t xml:space="preserve"> timing sensitivity </w:t>
      </w:r>
      <w:r w:rsidR="00D905A0">
        <w:rPr>
          <w:sz w:val="24"/>
          <w:szCs w:val="24"/>
        </w:rPr>
        <w:t>discussed below,</w:t>
      </w:r>
      <w:r w:rsidR="00BE6DB3" w:rsidDel="00BE6DB3">
        <w:rPr>
          <w:sz w:val="24"/>
          <w:szCs w:val="24"/>
        </w:rPr>
        <w:t xml:space="preserve"> </w:t>
      </w:r>
      <w:r w:rsidR="000F05EB">
        <w:rPr>
          <w:sz w:val="24"/>
          <w:szCs w:val="24"/>
        </w:rPr>
        <w:t xml:space="preserve">we do not anticipate </w:t>
      </w:r>
      <w:r w:rsidR="00A52599">
        <w:rPr>
          <w:sz w:val="24"/>
          <w:szCs w:val="24"/>
        </w:rPr>
        <w:t xml:space="preserve">being able </w:t>
      </w:r>
      <w:r w:rsidR="000F05EB">
        <w:rPr>
          <w:sz w:val="24"/>
          <w:szCs w:val="24"/>
        </w:rPr>
        <w:t xml:space="preserve">to conduct a </w:t>
      </w:r>
      <w:r>
        <w:rPr>
          <w:sz w:val="24"/>
          <w:szCs w:val="24"/>
        </w:rPr>
        <w:t>formal pretest to test the mail survey instrument.</w:t>
      </w:r>
    </w:p>
    <w:p w:rsidR="0033396A" w:rsidRDefault="0033396A" w:rsidP="002D5298">
      <w:pPr>
        <w:rPr>
          <w:sz w:val="24"/>
          <w:szCs w:val="24"/>
        </w:rPr>
      </w:pPr>
    </w:p>
    <w:p w:rsidR="00D905A0" w:rsidRPr="002D5298" w:rsidRDefault="00D905A0" w:rsidP="002D5298">
      <w:pPr>
        <w:rPr>
          <w:i/>
          <w:sz w:val="24"/>
          <w:szCs w:val="24"/>
        </w:rPr>
      </w:pPr>
      <w:r>
        <w:rPr>
          <w:sz w:val="24"/>
          <w:szCs w:val="24"/>
        </w:rPr>
        <w:t xml:space="preserve">The charter boat fishing season in </w:t>
      </w:r>
      <w:smartTag w:uri="urn:schemas-microsoft-com:office:smarttags" w:element="place">
        <w:smartTag w:uri="urn:schemas-microsoft-com:office:smarttags" w:element="State">
          <w:r>
            <w:rPr>
              <w:sz w:val="24"/>
              <w:szCs w:val="24"/>
            </w:rPr>
            <w:t>Alaska</w:t>
          </w:r>
        </w:smartTag>
      </w:smartTag>
      <w:r>
        <w:rPr>
          <w:sz w:val="24"/>
          <w:szCs w:val="24"/>
        </w:rPr>
        <w:t xml:space="preserve"> generally runs from mid-May through mid-September.  After numerous discussions with charter boat operators, it was determined that </w:t>
      </w:r>
      <w:r w:rsidR="00BE6DB3">
        <w:rPr>
          <w:sz w:val="24"/>
          <w:szCs w:val="24"/>
        </w:rPr>
        <w:t xml:space="preserve">the off-season </w:t>
      </w:r>
      <w:r w:rsidR="00BE6DB3">
        <w:rPr>
          <w:sz w:val="24"/>
          <w:szCs w:val="24"/>
        </w:rPr>
        <w:lastRenderedPageBreak/>
        <w:t>(</w:t>
      </w:r>
      <w:r w:rsidR="00532C74">
        <w:rPr>
          <w:sz w:val="24"/>
          <w:szCs w:val="24"/>
        </w:rPr>
        <w:t>January-April</w:t>
      </w:r>
      <w:r w:rsidR="00BE6DB3">
        <w:rPr>
          <w:sz w:val="24"/>
          <w:szCs w:val="24"/>
        </w:rPr>
        <w:t xml:space="preserve">) is the best time </w:t>
      </w:r>
      <w:r>
        <w:rPr>
          <w:sz w:val="24"/>
          <w:szCs w:val="24"/>
        </w:rPr>
        <w:t xml:space="preserve">for collecting the type of information sought in this </w:t>
      </w:r>
      <w:r w:rsidR="00BE6DB3">
        <w:rPr>
          <w:sz w:val="24"/>
          <w:szCs w:val="24"/>
        </w:rPr>
        <w:t xml:space="preserve">particular </w:t>
      </w:r>
      <w:r>
        <w:rPr>
          <w:sz w:val="24"/>
          <w:szCs w:val="24"/>
        </w:rPr>
        <w:t xml:space="preserve">data collection.  </w:t>
      </w:r>
      <w:r w:rsidRPr="002D5298">
        <w:rPr>
          <w:i/>
          <w:sz w:val="24"/>
          <w:szCs w:val="24"/>
        </w:rPr>
        <w:t xml:space="preserve">Since the survey collects information about the </w:t>
      </w:r>
      <w:r w:rsidR="00BE6DB3">
        <w:rPr>
          <w:i/>
          <w:sz w:val="24"/>
          <w:szCs w:val="24"/>
        </w:rPr>
        <w:t xml:space="preserve">first year of </w:t>
      </w:r>
      <w:r w:rsidR="00A051DE">
        <w:rPr>
          <w:i/>
          <w:sz w:val="24"/>
          <w:szCs w:val="24"/>
        </w:rPr>
        <w:t xml:space="preserve">the </w:t>
      </w:r>
      <w:r w:rsidR="00BE6DB3">
        <w:rPr>
          <w:i/>
          <w:sz w:val="24"/>
          <w:szCs w:val="24"/>
        </w:rPr>
        <w:t>CSP</w:t>
      </w:r>
      <w:r w:rsidR="00A051DE">
        <w:rPr>
          <w:i/>
          <w:sz w:val="24"/>
          <w:szCs w:val="24"/>
        </w:rPr>
        <w:t xml:space="preserve"> and plans for participating in the second year</w:t>
      </w:r>
      <w:r w:rsidR="00532C74">
        <w:rPr>
          <w:i/>
          <w:sz w:val="24"/>
          <w:szCs w:val="24"/>
        </w:rPr>
        <w:t xml:space="preserve"> (season)</w:t>
      </w:r>
      <w:r w:rsidR="00A051DE">
        <w:rPr>
          <w:i/>
          <w:sz w:val="24"/>
          <w:szCs w:val="24"/>
        </w:rPr>
        <w:t xml:space="preserve"> of the program</w:t>
      </w:r>
      <w:r w:rsidR="00BE6DB3">
        <w:rPr>
          <w:i/>
          <w:sz w:val="24"/>
          <w:szCs w:val="24"/>
        </w:rPr>
        <w:t xml:space="preserve">, conducting the survey in the </w:t>
      </w:r>
      <w:r w:rsidR="00532C74">
        <w:rPr>
          <w:i/>
          <w:sz w:val="24"/>
          <w:szCs w:val="24"/>
        </w:rPr>
        <w:t>winter</w:t>
      </w:r>
      <w:r w:rsidR="00BE6DB3">
        <w:rPr>
          <w:i/>
          <w:sz w:val="24"/>
          <w:szCs w:val="24"/>
        </w:rPr>
        <w:t xml:space="preserve"> </w:t>
      </w:r>
      <w:r w:rsidR="00A051DE">
        <w:rPr>
          <w:i/>
          <w:sz w:val="24"/>
          <w:szCs w:val="24"/>
        </w:rPr>
        <w:t xml:space="preserve">of </w:t>
      </w:r>
      <w:r w:rsidR="00BE6DB3">
        <w:rPr>
          <w:i/>
          <w:sz w:val="24"/>
          <w:szCs w:val="24"/>
        </w:rPr>
        <w:t>201</w:t>
      </w:r>
      <w:r w:rsidR="00532C74">
        <w:rPr>
          <w:i/>
          <w:sz w:val="24"/>
          <w:szCs w:val="24"/>
        </w:rPr>
        <w:t>5</w:t>
      </w:r>
      <w:r w:rsidR="00A051DE">
        <w:rPr>
          <w:i/>
          <w:sz w:val="24"/>
          <w:szCs w:val="24"/>
        </w:rPr>
        <w:t xml:space="preserve"> appears to be the best time to conduct the survey.</w:t>
      </w:r>
      <w:r w:rsidR="002F2B22">
        <w:rPr>
          <w:i/>
          <w:sz w:val="24"/>
          <w:szCs w:val="24"/>
        </w:rPr>
        <w:t xml:space="preserve">  As a consequence, we are targeting March 2015 for implementing the survey.</w:t>
      </w:r>
    </w:p>
    <w:p w:rsidR="00D905A0" w:rsidRDefault="00D905A0" w:rsidP="002D5298">
      <w:pPr>
        <w:rPr>
          <w:sz w:val="24"/>
          <w:szCs w:val="24"/>
        </w:rPr>
      </w:pPr>
    </w:p>
    <w:p w:rsidR="0033396A" w:rsidRDefault="0033396A" w:rsidP="002D5298">
      <w:pPr>
        <w:rPr>
          <w:sz w:val="24"/>
          <w:szCs w:val="24"/>
        </w:rPr>
      </w:pPr>
      <w:r>
        <w:rPr>
          <w:sz w:val="24"/>
          <w:szCs w:val="24"/>
        </w:rPr>
        <w:t xml:space="preserve">The </w:t>
      </w:r>
      <w:r w:rsidR="00C75EF4">
        <w:rPr>
          <w:sz w:val="24"/>
          <w:szCs w:val="24"/>
        </w:rPr>
        <w:t xml:space="preserve">mail </w:t>
      </w:r>
      <w:r>
        <w:rPr>
          <w:sz w:val="24"/>
          <w:szCs w:val="24"/>
        </w:rPr>
        <w:t>survey and the follow-up telephone interview script are described below.</w:t>
      </w:r>
      <w:r w:rsidR="00EF79F9">
        <w:rPr>
          <w:sz w:val="24"/>
          <w:szCs w:val="24"/>
        </w:rPr>
        <w:t xml:space="preserve">  The </w:t>
      </w:r>
      <w:r w:rsidR="00532C74">
        <w:rPr>
          <w:sz w:val="24"/>
          <w:szCs w:val="24"/>
        </w:rPr>
        <w:t>telephone</w:t>
      </w:r>
      <w:r w:rsidR="00EF79F9">
        <w:rPr>
          <w:sz w:val="24"/>
          <w:szCs w:val="24"/>
        </w:rPr>
        <w:t xml:space="preserve"> survey is based on the mail survey</w:t>
      </w:r>
      <w:r w:rsidR="00532C74">
        <w:rPr>
          <w:sz w:val="24"/>
          <w:szCs w:val="24"/>
        </w:rPr>
        <w:t xml:space="preserve"> (and will be conducted with a paper questionnaire in the respondent’s possession)</w:t>
      </w:r>
      <w:r w:rsidR="00EF79F9">
        <w:rPr>
          <w:sz w:val="24"/>
          <w:szCs w:val="24"/>
        </w:rPr>
        <w:t xml:space="preserve">, </w:t>
      </w:r>
      <w:r w:rsidR="001C1B7C">
        <w:rPr>
          <w:sz w:val="24"/>
          <w:szCs w:val="24"/>
        </w:rPr>
        <w:t>and involves asking</w:t>
      </w:r>
      <w:r w:rsidR="00EF79F9">
        <w:rPr>
          <w:sz w:val="24"/>
          <w:szCs w:val="24"/>
        </w:rPr>
        <w:t xml:space="preserve"> the same questions.  As a result, it will not be discussed separately.</w:t>
      </w:r>
    </w:p>
    <w:p w:rsidR="00840808" w:rsidRDefault="00840808" w:rsidP="002D5298">
      <w:pPr>
        <w:rPr>
          <w:sz w:val="24"/>
          <w:szCs w:val="24"/>
        </w:rPr>
      </w:pPr>
    </w:p>
    <w:p w:rsidR="00840808" w:rsidRPr="00B70946" w:rsidRDefault="00840808" w:rsidP="002D5298">
      <w:pPr>
        <w:rPr>
          <w:b/>
          <w:sz w:val="24"/>
          <w:szCs w:val="24"/>
          <w:u w:val="single"/>
        </w:rPr>
      </w:pPr>
      <w:r w:rsidRPr="00B70946">
        <w:rPr>
          <w:b/>
          <w:sz w:val="24"/>
          <w:szCs w:val="24"/>
          <w:u w:val="single"/>
        </w:rPr>
        <w:t>Mail Questionnaire</w:t>
      </w:r>
    </w:p>
    <w:p w:rsidR="0033396A" w:rsidRDefault="0033396A" w:rsidP="002D5298">
      <w:pPr>
        <w:rPr>
          <w:sz w:val="24"/>
          <w:szCs w:val="24"/>
        </w:rPr>
      </w:pPr>
    </w:p>
    <w:p w:rsidR="0033396A" w:rsidRDefault="0033396A" w:rsidP="002D5298">
      <w:pPr>
        <w:rPr>
          <w:sz w:val="24"/>
          <w:szCs w:val="24"/>
        </w:rPr>
      </w:pPr>
      <w:r>
        <w:rPr>
          <w:sz w:val="24"/>
          <w:szCs w:val="24"/>
        </w:rPr>
        <w:t xml:space="preserve">The questionnaire is divided into </w:t>
      </w:r>
      <w:r w:rsidR="00840808">
        <w:rPr>
          <w:sz w:val="24"/>
          <w:szCs w:val="24"/>
        </w:rPr>
        <w:t>six</w:t>
      </w:r>
      <w:r>
        <w:rPr>
          <w:sz w:val="24"/>
          <w:szCs w:val="24"/>
        </w:rPr>
        <w:t xml:space="preserve"> sections.  The following is a discussion of how particular questions in the questionnaire will be used.</w:t>
      </w:r>
    </w:p>
    <w:p w:rsidR="00840808" w:rsidRDefault="00840808" w:rsidP="002D5298">
      <w:pPr>
        <w:rPr>
          <w:sz w:val="24"/>
          <w:szCs w:val="24"/>
        </w:rPr>
      </w:pPr>
    </w:p>
    <w:p w:rsidR="00840808" w:rsidRDefault="00840808" w:rsidP="002D5298">
      <w:pPr>
        <w:rPr>
          <w:sz w:val="24"/>
          <w:szCs w:val="24"/>
        </w:rPr>
      </w:pPr>
      <w:r>
        <w:rPr>
          <w:sz w:val="24"/>
          <w:szCs w:val="24"/>
        </w:rPr>
        <w:t xml:space="preserve">Section A is short and </w:t>
      </w:r>
      <w:r w:rsidR="002B04A6">
        <w:rPr>
          <w:sz w:val="24"/>
          <w:szCs w:val="24"/>
        </w:rPr>
        <w:t>presents some basic information about the CSP, including the IFQ leasing (GAF) component of the program, while asking</w:t>
      </w:r>
      <w:r>
        <w:rPr>
          <w:sz w:val="24"/>
          <w:szCs w:val="24"/>
        </w:rPr>
        <w:t xml:space="preserve"> for information </w:t>
      </w:r>
      <w:r w:rsidR="002B04A6">
        <w:rPr>
          <w:sz w:val="24"/>
          <w:szCs w:val="24"/>
        </w:rPr>
        <w:t xml:space="preserve">about general attitudes toward </w:t>
      </w:r>
      <w:r w:rsidR="005B5CDB">
        <w:rPr>
          <w:sz w:val="24"/>
          <w:szCs w:val="24"/>
        </w:rPr>
        <w:t>the CSP generally (A1), the GAF leasing program specifically (A2), and the expected effect the GAF leasing program will have on the individual’s business (A3).</w:t>
      </w:r>
      <w:r w:rsidR="001C1B7C">
        <w:rPr>
          <w:sz w:val="24"/>
          <w:szCs w:val="24"/>
        </w:rPr>
        <w:t xml:space="preserve">  These introductory questions are easy to answer for respondents and serve the dual purpose of enabling them to voice general opinions about the CSP and to get them thinking about specific aspects of the program</w:t>
      </w:r>
      <w:r w:rsidR="00D5025A">
        <w:rPr>
          <w:sz w:val="24"/>
          <w:szCs w:val="24"/>
        </w:rPr>
        <w:t xml:space="preserve"> relevant to the survey</w:t>
      </w:r>
      <w:r w:rsidR="001C1B7C">
        <w:rPr>
          <w:sz w:val="24"/>
          <w:szCs w:val="24"/>
        </w:rPr>
        <w:t>.</w:t>
      </w:r>
    </w:p>
    <w:p w:rsidR="00840808" w:rsidRDefault="00840808" w:rsidP="002D5298">
      <w:pPr>
        <w:rPr>
          <w:sz w:val="24"/>
          <w:szCs w:val="24"/>
        </w:rPr>
      </w:pPr>
    </w:p>
    <w:p w:rsidR="00840808" w:rsidRDefault="00840808" w:rsidP="002D5298">
      <w:pPr>
        <w:rPr>
          <w:sz w:val="24"/>
          <w:szCs w:val="24"/>
        </w:rPr>
      </w:pPr>
      <w:r>
        <w:rPr>
          <w:sz w:val="24"/>
          <w:szCs w:val="24"/>
        </w:rPr>
        <w:t xml:space="preserve">Section B </w:t>
      </w:r>
      <w:r w:rsidR="005B5CDB">
        <w:rPr>
          <w:sz w:val="24"/>
          <w:szCs w:val="24"/>
        </w:rPr>
        <w:t xml:space="preserve">focuses on gathering information about respondents’ behavior in the GAF leasing market during 2014.  This includes </w:t>
      </w:r>
      <w:r w:rsidR="00A308C6">
        <w:rPr>
          <w:sz w:val="24"/>
          <w:szCs w:val="24"/>
        </w:rPr>
        <w:t>questions on whether or not the respondent</w:t>
      </w:r>
      <w:r w:rsidR="005B5CDB">
        <w:rPr>
          <w:sz w:val="24"/>
          <w:szCs w:val="24"/>
        </w:rPr>
        <w:t xml:space="preserve"> leased GAF</w:t>
      </w:r>
      <w:r w:rsidR="00A308C6">
        <w:rPr>
          <w:sz w:val="24"/>
          <w:szCs w:val="24"/>
        </w:rPr>
        <w:t xml:space="preserve"> during 2014 and, if not, their reasons for not leasing GAF (B1); the amount of GAF leased (B2), whether a broker was used to facilitate the leasing process (B3)</w:t>
      </w:r>
      <w:r w:rsidR="00302F83">
        <w:rPr>
          <w:sz w:val="24"/>
          <w:szCs w:val="24"/>
        </w:rPr>
        <w:t xml:space="preserve">; the relationship between the respondent and the person/entity from whom GAF was leased (B4); and the level of difficulty of the leasing process to the respondent (B5).  </w:t>
      </w:r>
      <w:r w:rsidR="00E27411">
        <w:rPr>
          <w:sz w:val="24"/>
          <w:szCs w:val="24"/>
        </w:rPr>
        <w:t>Respondents indicating they did not lease GAF duri</w:t>
      </w:r>
      <w:r w:rsidR="008647F2">
        <w:rPr>
          <w:sz w:val="24"/>
          <w:szCs w:val="24"/>
        </w:rPr>
        <w:t>ng 2014 are</w:t>
      </w:r>
      <w:r w:rsidR="00E27411">
        <w:rPr>
          <w:sz w:val="24"/>
          <w:szCs w:val="24"/>
        </w:rPr>
        <w:t xml:space="preserve"> directed to B10, which asks all respondents to indicate whether or not they plan to lease GAF in the following year (</w:t>
      </w:r>
      <w:r w:rsidR="00D5025A">
        <w:rPr>
          <w:sz w:val="24"/>
          <w:szCs w:val="24"/>
        </w:rPr>
        <w:t xml:space="preserve">i.e., in </w:t>
      </w:r>
      <w:r w:rsidR="00E27411">
        <w:rPr>
          <w:sz w:val="24"/>
          <w:szCs w:val="24"/>
        </w:rPr>
        <w:t xml:space="preserve">2015).  </w:t>
      </w:r>
      <w:r w:rsidR="00302F83">
        <w:rPr>
          <w:sz w:val="24"/>
          <w:szCs w:val="24"/>
        </w:rPr>
        <w:t>In addition, respondents are given some information about the program rules regarding mandatory returns of unused GAF (B6).  They are then asked whether they returned any GAF (B6) and whether there were any provisions in their lease agreement that allowed them to get a refund (or partial refund) for GAF that was unused and returned (B7).  For respondents who leased GAF, question B8 asked respondents to assess how positive or negative the impact of having GAF during 2014 was for their business, while B9 asks them to state their reasons for leasing GAF during 2014.</w:t>
      </w:r>
      <w:r w:rsidR="008647F2">
        <w:rPr>
          <w:sz w:val="24"/>
          <w:szCs w:val="24"/>
        </w:rPr>
        <w:t xml:space="preserve">  The data collected in this section supplement information on lease transactions from IFQ transfer/lease application forms submitted to NMFS.</w:t>
      </w:r>
    </w:p>
    <w:p w:rsidR="000E6442" w:rsidRDefault="000E6442" w:rsidP="002D5298">
      <w:pPr>
        <w:rPr>
          <w:sz w:val="24"/>
          <w:szCs w:val="24"/>
        </w:rPr>
      </w:pPr>
    </w:p>
    <w:p w:rsidR="00A61FD4" w:rsidRDefault="000E6442" w:rsidP="002D5298">
      <w:pPr>
        <w:rPr>
          <w:sz w:val="24"/>
          <w:szCs w:val="24"/>
        </w:rPr>
      </w:pPr>
      <w:r>
        <w:rPr>
          <w:sz w:val="24"/>
          <w:szCs w:val="24"/>
        </w:rPr>
        <w:t xml:space="preserve">Section C </w:t>
      </w:r>
      <w:r w:rsidR="00E27411">
        <w:rPr>
          <w:sz w:val="24"/>
          <w:szCs w:val="24"/>
        </w:rPr>
        <w:t xml:space="preserve">is a short section that presents </w:t>
      </w:r>
      <w:r w:rsidR="002F4395">
        <w:rPr>
          <w:sz w:val="24"/>
          <w:szCs w:val="24"/>
        </w:rPr>
        <w:t xml:space="preserve">information </w:t>
      </w:r>
      <w:r w:rsidR="00E27411">
        <w:rPr>
          <w:sz w:val="24"/>
          <w:szCs w:val="24"/>
        </w:rPr>
        <w:t xml:space="preserve">on </w:t>
      </w:r>
      <w:r w:rsidR="00160CE8">
        <w:rPr>
          <w:sz w:val="24"/>
          <w:szCs w:val="24"/>
        </w:rPr>
        <w:t>two</w:t>
      </w:r>
      <w:r w:rsidR="00E27411">
        <w:rPr>
          <w:sz w:val="24"/>
          <w:szCs w:val="24"/>
        </w:rPr>
        <w:t xml:space="preserve"> restrictions in the current GAF leasing program that are sometimes relaxed in other tradable permit programs:  single-season use and no transfers between CHP holders.  In C1, they are asked how helpful, if at all, they believe being able to relax each of those restrictions would be for their business.  This is followed by two </w:t>
      </w:r>
    </w:p>
    <w:p w:rsidR="000E6442" w:rsidRDefault="00E27411" w:rsidP="002D5298">
      <w:pPr>
        <w:rPr>
          <w:sz w:val="24"/>
          <w:szCs w:val="24"/>
        </w:rPr>
      </w:pPr>
      <w:proofErr w:type="gramStart"/>
      <w:r>
        <w:rPr>
          <w:sz w:val="24"/>
          <w:szCs w:val="24"/>
        </w:rPr>
        <w:lastRenderedPageBreak/>
        <w:t>questions</w:t>
      </w:r>
      <w:proofErr w:type="gramEnd"/>
      <w:r>
        <w:rPr>
          <w:sz w:val="24"/>
          <w:szCs w:val="24"/>
        </w:rPr>
        <w:t xml:space="preserve"> that ask how their behavior in the GAF leasing market would change if the restrictions were relaxed in terms of how much GAF they would lease (C2 and C3).</w:t>
      </w:r>
    </w:p>
    <w:p w:rsidR="006952F4" w:rsidRDefault="006952F4" w:rsidP="002D5298">
      <w:pPr>
        <w:rPr>
          <w:sz w:val="24"/>
          <w:szCs w:val="24"/>
        </w:rPr>
      </w:pPr>
    </w:p>
    <w:p w:rsidR="00E27411" w:rsidRPr="00A27D0B" w:rsidRDefault="00E27411" w:rsidP="00E27411">
      <w:pPr>
        <w:rPr>
          <w:sz w:val="24"/>
          <w:szCs w:val="24"/>
        </w:rPr>
      </w:pPr>
      <w:r>
        <w:rPr>
          <w:sz w:val="24"/>
          <w:szCs w:val="24"/>
        </w:rPr>
        <w:t xml:space="preserve">Section D extends the line of questioning in Section C by asking respondents </w:t>
      </w:r>
      <w:r w:rsidR="00A27D0B">
        <w:rPr>
          <w:sz w:val="24"/>
          <w:szCs w:val="24"/>
        </w:rPr>
        <w:t xml:space="preserve">several stated preference questions in which they are asked </w:t>
      </w:r>
      <w:r>
        <w:rPr>
          <w:sz w:val="24"/>
          <w:szCs w:val="24"/>
        </w:rPr>
        <w:t>to choose their preferred option between two programs:  the current GAF leasing program (and all the associated restrictions and rules) and an alternative program that relaxes one or both of the restrictions discussed in Section C.</w:t>
      </w:r>
      <w:r w:rsidR="00A27D0B">
        <w:rPr>
          <w:sz w:val="24"/>
          <w:szCs w:val="24"/>
        </w:rPr>
        <w:t xml:space="preserve">  Each alternative program would have a different associated market price that the respondent would have to pay (payment vehicle).  These three choice questions (D1, D3, and D5) provide information on how respondents trade off relaxed restrictions with price variations they would hypothetically see in the market</w:t>
      </w:r>
      <w:r w:rsidR="00692A75">
        <w:rPr>
          <w:sz w:val="24"/>
          <w:szCs w:val="24"/>
        </w:rPr>
        <w:t xml:space="preserve"> (i.e., the prices presented are hypothetical, but based on amounts determined to be in a range of plausible values in pretesting)</w:t>
      </w:r>
      <w:r w:rsidR="00A27D0B">
        <w:rPr>
          <w:sz w:val="24"/>
          <w:szCs w:val="24"/>
        </w:rPr>
        <w:t xml:space="preserve">.  In addition to these choice questions, respondents are asked to identify the amount of GAF they would lease under each of the presented options in D2, D4, and D6.  D7 </w:t>
      </w:r>
      <w:r w:rsidR="00A27D0B" w:rsidRPr="00A27D0B">
        <w:rPr>
          <w:sz w:val="24"/>
          <w:szCs w:val="24"/>
        </w:rPr>
        <w:t xml:space="preserve">identifies how confident individuals are about their answers to the stated preference questions.  </w:t>
      </w:r>
      <w:r w:rsidR="00A27D0B">
        <w:rPr>
          <w:sz w:val="24"/>
          <w:szCs w:val="24"/>
        </w:rPr>
        <w:t>In combination with the stated preference choice questions (D1, D3, and D5), these questions will be used to estimate the demand for GAF under different GAF leasing program</w:t>
      </w:r>
      <w:r w:rsidR="00160CE8">
        <w:rPr>
          <w:sz w:val="24"/>
          <w:szCs w:val="24"/>
        </w:rPr>
        <w:t>s</w:t>
      </w:r>
      <w:r w:rsidR="00206E7A">
        <w:rPr>
          <w:sz w:val="24"/>
          <w:szCs w:val="24"/>
        </w:rPr>
        <w:t>, and can be used to assess trade-offs charter businesses make with respect to relaxing restrictions and higher costs</w:t>
      </w:r>
      <w:r w:rsidR="00A27D0B">
        <w:rPr>
          <w:sz w:val="24"/>
          <w:szCs w:val="24"/>
        </w:rPr>
        <w:t xml:space="preserve">.  </w:t>
      </w:r>
      <w:r w:rsidR="00A27D0B" w:rsidRPr="00A27D0B">
        <w:rPr>
          <w:sz w:val="24"/>
          <w:szCs w:val="24"/>
        </w:rPr>
        <w:t xml:space="preserve">Respondents stating they are “not at all confident” in their answers may be excluded from the </w:t>
      </w:r>
      <w:r w:rsidR="00A27D0B">
        <w:rPr>
          <w:sz w:val="24"/>
          <w:szCs w:val="24"/>
        </w:rPr>
        <w:t xml:space="preserve">model </w:t>
      </w:r>
      <w:r w:rsidR="00A27D0B" w:rsidRPr="00A27D0B">
        <w:rPr>
          <w:sz w:val="24"/>
          <w:szCs w:val="24"/>
        </w:rPr>
        <w:t>estimation since these individuals, for whatever reason, are uncertain that their answers reflect how they feel.</w:t>
      </w:r>
    </w:p>
    <w:p w:rsidR="005630B0" w:rsidRDefault="005630B0" w:rsidP="002D5298">
      <w:pPr>
        <w:rPr>
          <w:sz w:val="24"/>
          <w:szCs w:val="24"/>
        </w:rPr>
      </w:pPr>
    </w:p>
    <w:p w:rsidR="00206E7A" w:rsidRDefault="00A27D0B" w:rsidP="002D5298">
      <w:pPr>
        <w:rPr>
          <w:sz w:val="24"/>
          <w:szCs w:val="24"/>
        </w:rPr>
      </w:pPr>
      <w:r>
        <w:rPr>
          <w:sz w:val="24"/>
          <w:szCs w:val="24"/>
        </w:rPr>
        <w:t xml:space="preserve">Section E presents information about a proposed program that will be discussed at the Council in the next year or two.  This program, the Catch Accountability through Compensated Halibut (CATCH) proposal, creates a recreational quota entity (RQE) that would be eligible for purchasing commercial halibut IFQ that </w:t>
      </w:r>
      <w:r w:rsidR="00C77092">
        <w:rPr>
          <w:sz w:val="24"/>
          <w:szCs w:val="24"/>
        </w:rPr>
        <w:t>w</w:t>
      </w:r>
      <w:r>
        <w:rPr>
          <w:sz w:val="24"/>
          <w:szCs w:val="24"/>
        </w:rPr>
        <w:t>ould be added to the charter sector’s allocation that is determined under the CSP.  By increasing the overall share of the allocation to the recreational charter sector, the program intends to reduce the risk of the Council imposing overly-restrictive harvest restrictions (e.g., setting maximum size limits on halibut that are very small fish</w:t>
      </w:r>
      <w:r w:rsidR="00206E7A">
        <w:rPr>
          <w:sz w:val="24"/>
          <w:szCs w:val="24"/>
        </w:rPr>
        <w:t xml:space="preserve"> or reducing the number of fish that may be caught to a single fish in combination with a size limit</w:t>
      </w:r>
      <w:r>
        <w:rPr>
          <w:sz w:val="24"/>
          <w:szCs w:val="24"/>
        </w:rPr>
        <w:t>)</w:t>
      </w:r>
      <w:r w:rsidR="00206E7A">
        <w:rPr>
          <w:sz w:val="24"/>
          <w:szCs w:val="24"/>
        </w:rPr>
        <w:t xml:space="preserve">.  Thus, it is a common pool approach to increasing the recreational charter sector’s allocation.  Question E1 asks about the respondent’s familiarity with the program.  In E2, </w:t>
      </w:r>
      <w:r w:rsidR="005630B0">
        <w:rPr>
          <w:sz w:val="24"/>
          <w:szCs w:val="24"/>
        </w:rPr>
        <w:t xml:space="preserve">respondents </w:t>
      </w:r>
      <w:r w:rsidR="00206E7A">
        <w:rPr>
          <w:sz w:val="24"/>
          <w:szCs w:val="24"/>
        </w:rPr>
        <w:t xml:space="preserve">are provided information about several options for financing the program, then are asked how supportive they would be of each of those funding mechanisms.  E3 asks respondents if they would be willing to pay a specific amount of money (that depends upon how many client anglers the respondent can take out fishing as per the CHP </w:t>
      </w:r>
      <w:r w:rsidR="00577929">
        <w:rPr>
          <w:sz w:val="24"/>
          <w:szCs w:val="24"/>
        </w:rPr>
        <w:t>they hold (a</w:t>
      </w:r>
      <w:r w:rsidR="00D1131E">
        <w:rPr>
          <w:sz w:val="24"/>
          <w:szCs w:val="24"/>
        </w:rPr>
        <w:t>gain, the presented amounts are hypothetical, but are based upon amounts viewed as plausible by respondents in pretesting activities)</w:t>
      </w:r>
      <w:r w:rsidR="00577929">
        <w:rPr>
          <w:sz w:val="24"/>
          <w:szCs w:val="24"/>
        </w:rPr>
        <w:t>.</w:t>
      </w:r>
      <w:r w:rsidR="00206E7A">
        <w:rPr>
          <w:sz w:val="24"/>
          <w:szCs w:val="24"/>
        </w:rPr>
        <w:t xml:space="preserve">  The section ends with a question that asks how much the respondent agrees or disagrees to several statements about the CATCH project (E4).  These include statements regarding passing on higher fees to customers, supporting the CATCH project no matter how much it cost</w:t>
      </w:r>
      <w:r w:rsidR="00C77092">
        <w:rPr>
          <w:sz w:val="24"/>
          <w:szCs w:val="24"/>
        </w:rPr>
        <w:t>s</w:t>
      </w:r>
      <w:r w:rsidR="00206E7A">
        <w:rPr>
          <w:sz w:val="24"/>
          <w:szCs w:val="24"/>
        </w:rPr>
        <w:t>, how effective the program will be if implemented, and whose responsibility it is to fund the CATCH project.</w:t>
      </w:r>
    </w:p>
    <w:p w:rsidR="00206E7A" w:rsidRDefault="00206E7A" w:rsidP="002D5298">
      <w:pPr>
        <w:rPr>
          <w:sz w:val="24"/>
          <w:szCs w:val="24"/>
        </w:rPr>
      </w:pPr>
    </w:p>
    <w:p w:rsidR="00206E7A" w:rsidRDefault="006F48FF" w:rsidP="002D5298">
      <w:pPr>
        <w:rPr>
          <w:sz w:val="24"/>
          <w:szCs w:val="24"/>
        </w:rPr>
      </w:pPr>
      <w:r>
        <w:rPr>
          <w:sz w:val="24"/>
          <w:szCs w:val="24"/>
        </w:rPr>
        <w:t xml:space="preserve">The final section contains questions aimed at </w:t>
      </w:r>
      <w:r w:rsidR="00206E7A">
        <w:rPr>
          <w:sz w:val="24"/>
          <w:szCs w:val="24"/>
        </w:rPr>
        <w:t xml:space="preserve">another alternative to the GAF leasing program, a program in which CHP holders were eligible to own GAF (IFQ), putting them on level ground with commercial fishermen.  After describing the program, respondents are asked how helpful </w:t>
      </w:r>
      <w:r w:rsidR="00206E7A">
        <w:rPr>
          <w:sz w:val="24"/>
          <w:szCs w:val="24"/>
        </w:rPr>
        <w:lastRenderedPageBreak/>
        <w:t>they feel such a program would be (F1) and how likely they would be to purchase halibut IFQ (F2).  The final survey question (F3) asks how supportive the respondent would be to each of the three types of programs asked about in the survey, programs that relax GAF leasing restrictions, the CATCH project, and the GAF ownership program described in Section F.</w:t>
      </w:r>
    </w:p>
    <w:p w:rsidR="0033396A" w:rsidRDefault="0033396A" w:rsidP="002D5298">
      <w:pPr>
        <w:rPr>
          <w:sz w:val="24"/>
          <w:szCs w:val="24"/>
        </w:rPr>
      </w:pPr>
    </w:p>
    <w:p w:rsidR="0033396A" w:rsidRPr="000F224A" w:rsidRDefault="0033396A" w:rsidP="002D5298">
      <w:pPr>
        <w:rPr>
          <w:b/>
          <w:sz w:val="24"/>
          <w:szCs w:val="24"/>
          <w:u w:val="single"/>
        </w:rPr>
      </w:pPr>
      <w:r w:rsidRPr="000F224A">
        <w:rPr>
          <w:b/>
          <w:sz w:val="24"/>
          <w:szCs w:val="24"/>
          <w:u w:val="single"/>
        </w:rPr>
        <w:t>Telephone</w:t>
      </w:r>
      <w:r>
        <w:rPr>
          <w:b/>
          <w:sz w:val="24"/>
          <w:szCs w:val="24"/>
          <w:u w:val="single"/>
        </w:rPr>
        <w:t xml:space="preserve"> Follow-Up</w:t>
      </w:r>
    </w:p>
    <w:p w:rsidR="0033396A" w:rsidRPr="000F224A" w:rsidRDefault="0033396A" w:rsidP="002D5298">
      <w:pPr>
        <w:rPr>
          <w:sz w:val="24"/>
          <w:szCs w:val="24"/>
        </w:rPr>
      </w:pPr>
    </w:p>
    <w:p w:rsidR="0033396A" w:rsidRPr="000F224A" w:rsidRDefault="0033396A" w:rsidP="002D5298">
      <w:pPr>
        <w:rPr>
          <w:sz w:val="24"/>
          <w:szCs w:val="24"/>
        </w:rPr>
      </w:pPr>
      <w:r w:rsidRPr="000F224A">
        <w:rPr>
          <w:sz w:val="24"/>
          <w:szCs w:val="24"/>
        </w:rPr>
        <w:t>Following the initial</w:t>
      </w:r>
      <w:r>
        <w:rPr>
          <w:sz w:val="24"/>
          <w:szCs w:val="24"/>
        </w:rPr>
        <w:t xml:space="preserve"> </w:t>
      </w:r>
      <w:r w:rsidRPr="000F224A">
        <w:rPr>
          <w:sz w:val="24"/>
          <w:szCs w:val="24"/>
        </w:rPr>
        <w:t>mailing</w:t>
      </w:r>
      <w:r w:rsidR="001C4580">
        <w:rPr>
          <w:sz w:val="24"/>
          <w:szCs w:val="24"/>
        </w:rPr>
        <w:t xml:space="preserve">, </w:t>
      </w:r>
      <w:r w:rsidR="004A7860">
        <w:rPr>
          <w:sz w:val="24"/>
          <w:szCs w:val="24"/>
        </w:rPr>
        <w:t>postcard reminder</w:t>
      </w:r>
      <w:r w:rsidRPr="000F224A">
        <w:rPr>
          <w:sz w:val="24"/>
          <w:szCs w:val="24"/>
        </w:rPr>
        <w:t>,</w:t>
      </w:r>
      <w:r w:rsidR="001C4580">
        <w:rPr>
          <w:sz w:val="24"/>
          <w:szCs w:val="24"/>
        </w:rPr>
        <w:t xml:space="preserve"> and second full mailing,</w:t>
      </w:r>
      <w:r w:rsidRPr="000F224A">
        <w:rPr>
          <w:sz w:val="24"/>
          <w:szCs w:val="24"/>
        </w:rPr>
        <w:t xml:space="preserve"> we will contact non-respondents by telephone to encourage them to complete the mail</w:t>
      </w:r>
      <w:r w:rsidR="00CC7DCB">
        <w:rPr>
          <w:sz w:val="24"/>
          <w:szCs w:val="24"/>
        </w:rPr>
        <w:t xml:space="preserve"> </w:t>
      </w:r>
      <w:r w:rsidRPr="000F224A">
        <w:rPr>
          <w:sz w:val="24"/>
          <w:szCs w:val="24"/>
        </w:rPr>
        <w:t xml:space="preserve">survey and to collect limited information from those who decide not to participate in </w:t>
      </w:r>
      <w:r w:rsidR="00CC7DCB">
        <w:rPr>
          <w:sz w:val="24"/>
          <w:szCs w:val="24"/>
        </w:rPr>
        <w:t>the</w:t>
      </w:r>
      <w:r w:rsidRPr="000F224A">
        <w:rPr>
          <w:sz w:val="24"/>
          <w:szCs w:val="24"/>
        </w:rPr>
        <w:t xml:space="preserve"> survey</w:t>
      </w:r>
      <w:r w:rsidR="001C4580">
        <w:rPr>
          <w:sz w:val="24"/>
          <w:szCs w:val="24"/>
        </w:rPr>
        <w:t xml:space="preserve"> (and to give them the option of completing the survey over the telephone)</w:t>
      </w:r>
      <w:r w:rsidRPr="000F224A">
        <w:rPr>
          <w:sz w:val="24"/>
          <w:szCs w:val="24"/>
        </w:rPr>
        <w:t>.</w:t>
      </w:r>
      <w:r w:rsidRPr="000F224A">
        <w:rPr>
          <w:rStyle w:val="FootnoteReference"/>
          <w:sz w:val="24"/>
          <w:szCs w:val="24"/>
        </w:rPr>
        <w:footnoteReference w:id="3"/>
      </w:r>
      <w:r w:rsidRPr="000F224A">
        <w:rPr>
          <w:sz w:val="24"/>
          <w:szCs w:val="24"/>
        </w:rPr>
        <w:t xml:space="preserve">  The information provided by these non-respondents </w:t>
      </w:r>
      <w:r w:rsidR="000C1011">
        <w:rPr>
          <w:sz w:val="24"/>
          <w:szCs w:val="24"/>
        </w:rPr>
        <w:t>will</w:t>
      </w:r>
      <w:r w:rsidRPr="000F224A">
        <w:rPr>
          <w:sz w:val="24"/>
          <w:szCs w:val="24"/>
        </w:rPr>
        <w:t xml:space="preserve"> </w:t>
      </w:r>
      <w:r w:rsidR="00927784">
        <w:rPr>
          <w:sz w:val="24"/>
          <w:szCs w:val="24"/>
        </w:rPr>
        <w:t xml:space="preserve">be </w:t>
      </w:r>
      <w:r w:rsidRPr="000F224A">
        <w:rPr>
          <w:sz w:val="24"/>
          <w:szCs w:val="24"/>
        </w:rPr>
        <w:t>compared with that from respondents to address issues concerning non-response bias.  Selected questions</w:t>
      </w:r>
      <w:r w:rsidR="00CC7DCB">
        <w:rPr>
          <w:sz w:val="24"/>
          <w:szCs w:val="24"/>
        </w:rPr>
        <w:t xml:space="preserve"> from the survey regarding their </w:t>
      </w:r>
      <w:r w:rsidR="00132AEC">
        <w:rPr>
          <w:sz w:val="24"/>
          <w:szCs w:val="24"/>
        </w:rPr>
        <w:t>attitudes toward the CSP (</w:t>
      </w:r>
      <w:r w:rsidR="006C2394">
        <w:rPr>
          <w:sz w:val="24"/>
          <w:szCs w:val="24"/>
        </w:rPr>
        <w:t>Q</w:t>
      </w:r>
      <w:r w:rsidR="00132AEC">
        <w:rPr>
          <w:sz w:val="24"/>
          <w:szCs w:val="24"/>
        </w:rPr>
        <w:t xml:space="preserve">1, </w:t>
      </w:r>
      <w:r w:rsidR="006C2394">
        <w:rPr>
          <w:sz w:val="24"/>
          <w:szCs w:val="24"/>
        </w:rPr>
        <w:t>Q</w:t>
      </w:r>
      <w:r w:rsidR="00132AEC">
        <w:rPr>
          <w:sz w:val="24"/>
          <w:szCs w:val="24"/>
        </w:rPr>
        <w:t xml:space="preserve">2, and </w:t>
      </w:r>
      <w:r w:rsidR="00E439A7">
        <w:rPr>
          <w:sz w:val="24"/>
          <w:szCs w:val="24"/>
        </w:rPr>
        <w:t>Q</w:t>
      </w:r>
      <w:r w:rsidR="00132AEC">
        <w:rPr>
          <w:sz w:val="24"/>
          <w:szCs w:val="24"/>
        </w:rPr>
        <w:t>3) and whether or not they plan to lease GAF in 2015 (</w:t>
      </w:r>
      <w:r w:rsidR="00E439A7">
        <w:rPr>
          <w:sz w:val="24"/>
          <w:szCs w:val="24"/>
        </w:rPr>
        <w:t>Q4</w:t>
      </w:r>
      <w:r w:rsidR="00132AEC">
        <w:rPr>
          <w:sz w:val="24"/>
          <w:szCs w:val="24"/>
        </w:rPr>
        <w:t>) are asked</w:t>
      </w:r>
      <w:r w:rsidRPr="000F224A">
        <w:rPr>
          <w:sz w:val="24"/>
          <w:szCs w:val="24"/>
        </w:rPr>
        <w:t xml:space="preserve"> to statistically test whether non-respondents differ from respondents with respect to these</w:t>
      </w:r>
      <w:r>
        <w:rPr>
          <w:sz w:val="24"/>
          <w:szCs w:val="24"/>
        </w:rPr>
        <w:t xml:space="preserve"> characteristics.  </w:t>
      </w:r>
      <w:r w:rsidR="00B5591E">
        <w:rPr>
          <w:sz w:val="24"/>
          <w:szCs w:val="24"/>
        </w:rPr>
        <w:t>These questions match questions in the survey</w:t>
      </w:r>
      <w:r w:rsidR="00E439A7">
        <w:rPr>
          <w:sz w:val="24"/>
          <w:szCs w:val="24"/>
        </w:rPr>
        <w:t xml:space="preserve"> (A1, A2, A3, and B10, respectively)</w:t>
      </w:r>
      <w:r w:rsidR="00B5591E">
        <w:rPr>
          <w:sz w:val="24"/>
          <w:szCs w:val="24"/>
        </w:rPr>
        <w:t xml:space="preserve">.  </w:t>
      </w:r>
      <w:r w:rsidR="00C034BC">
        <w:rPr>
          <w:sz w:val="24"/>
          <w:szCs w:val="24"/>
        </w:rPr>
        <w:t>Together</w:t>
      </w:r>
      <w:r w:rsidR="001C4580">
        <w:rPr>
          <w:sz w:val="24"/>
          <w:szCs w:val="24"/>
        </w:rPr>
        <w:t>,</w:t>
      </w:r>
      <w:r w:rsidRPr="000F224A">
        <w:rPr>
          <w:sz w:val="24"/>
          <w:szCs w:val="24"/>
        </w:rPr>
        <w:t xml:space="preserve"> information</w:t>
      </w:r>
      <w:r w:rsidR="00C034BC">
        <w:rPr>
          <w:sz w:val="24"/>
          <w:szCs w:val="24"/>
        </w:rPr>
        <w:t xml:space="preserve"> from these questions</w:t>
      </w:r>
      <w:r w:rsidRPr="000F224A">
        <w:rPr>
          <w:sz w:val="24"/>
          <w:szCs w:val="24"/>
        </w:rPr>
        <w:t xml:space="preserve"> can be used to evaluate and adjust the results for potential non-response bias </w:t>
      </w:r>
      <w:r w:rsidR="00CC2B52">
        <w:rPr>
          <w:sz w:val="24"/>
          <w:szCs w:val="24"/>
        </w:rPr>
        <w:t>in the data</w:t>
      </w:r>
      <w:r w:rsidRPr="000F224A">
        <w:rPr>
          <w:sz w:val="24"/>
          <w:szCs w:val="24"/>
        </w:rPr>
        <w:t>.</w:t>
      </w:r>
    </w:p>
    <w:p w:rsidR="0033396A" w:rsidRPr="004C2EE7" w:rsidRDefault="0033396A" w:rsidP="002D5298">
      <w:pPr>
        <w:rPr>
          <w:sz w:val="24"/>
          <w:szCs w:val="24"/>
        </w:rPr>
      </w:pPr>
    </w:p>
    <w:p w:rsidR="0033396A" w:rsidRPr="00CE397C" w:rsidRDefault="0033396A" w:rsidP="002D5298">
      <w:pPr>
        <w:rPr>
          <w:sz w:val="24"/>
          <w:szCs w:val="24"/>
        </w:rPr>
      </w:pPr>
      <w:r w:rsidRPr="00CE397C">
        <w:rPr>
          <w:sz w:val="24"/>
          <w:szCs w:val="24"/>
        </w:rPr>
        <w:t xml:space="preserve">It is anticipated that the information collected will be disseminated to the public or used to support publicly disseminated information. </w:t>
      </w:r>
      <w:r>
        <w:rPr>
          <w:sz w:val="24"/>
          <w:szCs w:val="24"/>
        </w:rPr>
        <w:t xml:space="preserve"> </w:t>
      </w:r>
      <w:r w:rsidR="002D5298">
        <w:rPr>
          <w:sz w:val="24"/>
          <w:szCs w:val="24"/>
        </w:rPr>
        <w:t>NMFS</w:t>
      </w:r>
      <w:r w:rsidRPr="00CE397C">
        <w:rPr>
          <w:sz w:val="24"/>
          <w:szCs w:val="24"/>
        </w:rPr>
        <w:t xml:space="preserve"> will retain control over the information and safeguard it from improper access, modification, and destruction, consistent with NOAA standards for confidentiality, privacy, and electronic information. </w:t>
      </w:r>
      <w:r>
        <w:rPr>
          <w:sz w:val="24"/>
          <w:szCs w:val="24"/>
        </w:rPr>
        <w:t xml:space="preserve"> </w:t>
      </w:r>
      <w:r w:rsidRPr="00CE397C">
        <w:rPr>
          <w:sz w:val="24"/>
          <w:szCs w:val="24"/>
        </w:rPr>
        <w:t xml:space="preserve">See response </w:t>
      </w:r>
      <w:r w:rsidR="00396817">
        <w:rPr>
          <w:sz w:val="24"/>
          <w:szCs w:val="24"/>
        </w:rPr>
        <w:t>to Question</w:t>
      </w:r>
      <w:r w:rsidR="001334B6">
        <w:rPr>
          <w:sz w:val="24"/>
          <w:szCs w:val="24"/>
        </w:rPr>
        <w:t xml:space="preserve"> </w:t>
      </w:r>
      <w:r w:rsidR="00396817" w:rsidRPr="00CE397C">
        <w:rPr>
          <w:sz w:val="24"/>
          <w:szCs w:val="24"/>
        </w:rPr>
        <w:t xml:space="preserve">10 </w:t>
      </w:r>
      <w:r w:rsidRPr="00CE397C">
        <w:rPr>
          <w:sz w:val="24"/>
          <w:szCs w:val="24"/>
        </w:rPr>
        <w:t>of this Supporting Statement for more information on confidentiality and privacy. The information collection is designed to yield data that meet all applicable information quality guidelines.</w:t>
      </w:r>
      <w:r>
        <w:rPr>
          <w:sz w:val="24"/>
          <w:szCs w:val="24"/>
        </w:rPr>
        <w:t xml:space="preserve"> </w:t>
      </w:r>
      <w:r w:rsidRPr="00CE397C">
        <w:rPr>
          <w:sz w:val="24"/>
          <w:szCs w:val="24"/>
        </w:rPr>
        <w:t xml:space="preserve"> Prior to dissemination, the information will be subjected to quality control measures and a pre-dissemination review pursuant to </w:t>
      </w:r>
      <w:hyperlink r:id="rId12" w:history="1">
        <w:r w:rsidRPr="001130BA">
          <w:rPr>
            <w:rStyle w:val="Hyperlink"/>
            <w:sz w:val="24"/>
            <w:szCs w:val="24"/>
          </w:rPr>
          <w:t>Section 515 of Public Law 106-554</w:t>
        </w:r>
      </w:hyperlink>
      <w:r w:rsidRPr="00CE397C">
        <w:rPr>
          <w:sz w:val="24"/>
          <w:szCs w:val="24"/>
        </w:rPr>
        <w:t>.</w:t>
      </w:r>
    </w:p>
    <w:p w:rsidR="0033396A" w:rsidRDefault="0033396A" w:rsidP="002D5298">
      <w:pPr>
        <w:rPr>
          <w:sz w:val="24"/>
          <w:szCs w:val="24"/>
        </w:rPr>
      </w:pPr>
    </w:p>
    <w:p w:rsidR="0033396A" w:rsidRPr="001868F0" w:rsidRDefault="001868F0" w:rsidP="001868F0">
      <w:pPr>
        <w:rPr>
          <w:sz w:val="24"/>
          <w:szCs w:val="24"/>
        </w:rPr>
      </w:pPr>
      <w:r w:rsidRPr="001868F0">
        <w:rPr>
          <w:b/>
          <w:bCs/>
          <w:sz w:val="24"/>
          <w:szCs w:val="24"/>
        </w:rPr>
        <w:t xml:space="preserve">3.  </w:t>
      </w:r>
      <w:r w:rsidR="0033396A" w:rsidRPr="001868F0">
        <w:rPr>
          <w:b/>
          <w:bCs/>
          <w:sz w:val="24"/>
          <w:szCs w:val="24"/>
          <w:u w:val="single"/>
        </w:rPr>
        <w:t>Describe whether, and to what extent, the collection of information involves the use of automated, electronic, mechanical, or other technological techniques or other forms of information technology</w:t>
      </w:r>
      <w:r w:rsidR="0033396A" w:rsidRPr="001868F0">
        <w:rPr>
          <w:b/>
          <w:bCs/>
          <w:sz w:val="24"/>
          <w:szCs w:val="24"/>
        </w:rPr>
        <w:t>.</w:t>
      </w:r>
    </w:p>
    <w:p w:rsidR="0033396A" w:rsidRDefault="0033396A" w:rsidP="002D5298">
      <w:pPr>
        <w:rPr>
          <w:sz w:val="24"/>
          <w:szCs w:val="24"/>
        </w:rPr>
      </w:pPr>
    </w:p>
    <w:p w:rsidR="0033396A" w:rsidRPr="00F32D2B" w:rsidRDefault="001868F0" w:rsidP="002D5298">
      <w:pPr>
        <w:rPr>
          <w:sz w:val="24"/>
          <w:szCs w:val="24"/>
        </w:rPr>
      </w:pPr>
      <w:r>
        <w:rPr>
          <w:sz w:val="24"/>
          <w:szCs w:val="24"/>
        </w:rPr>
        <w:t>Not Applicable.</w:t>
      </w:r>
    </w:p>
    <w:p w:rsidR="0033396A" w:rsidRDefault="0033396A" w:rsidP="002D5298">
      <w:pPr>
        <w:rPr>
          <w:sz w:val="24"/>
          <w:szCs w:val="24"/>
        </w:rPr>
      </w:pPr>
    </w:p>
    <w:p w:rsidR="0033396A" w:rsidRDefault="0033396A" w:rsidP="002D5298">
      <w:pPr>
        <w:ind w:left="360" w:hanging="360"/>
        <w:rPr>
          <w:sz w:val="24"/>
          <w:szCs w:val="24"/>
        </w:rPr>
      </w:pPr>
      <w:r>
        <w:rPr>
          <w:b/>
          <w:bCs/>
          <w:sz w:val="24"/>
          <w:szCs w:val="24"/>
        </w:rPr>
        <w:t>4.</w:t>
      </w:r>
      <w:r w:rsidR="001868F0">
        <w:rPr>
          <w:b/>
          <w:bCs/>
          <w:sz w:val="24"/>
          <w:szCs w:val="24"/>
        </w:rPr>
        <w:t xml:space="preserve">  </w:t>
      </w:r>
      <w:r>
        <w:rPr>
          <w:b/>
          <w:bCs/>
          <w:sz w:val="24"/>
          <w:szCs w:val="24"/>
          <w:u w:val="single"/>
        </w:rPr>
        <w:t>Describe efforts to identify duplication</w:t>
      </w:r>
      <w:r>
        <w:rPr>
          <w:b/>
          <w:bCs/>
          <w:sz w:val="24"/>
          <w:szCs w:val="24"/>
        </w:rPr>
        <w:t>.</w:t>
      </w:r>
    </w:p>
    <w:p w:rsidR="0033396A" w:rsidRDefault="0033396A" w:rsidP="002D5298">
      <w:pPr>
        <w:rPr>
          <w:sz w:val="24"/>
          <w:szCs w:val="24"/>
        </w:rPr>
      </w:pPr>
    </w:p>
    <w:p w:rsidR="00F457D5" w:rsidRDefault="0033396A" w:rsidP="002D5298">
      <w:pPr>
        <w:widowControl/>
        <w:rPr>
          <w:bCs/>
          <w:sz w:val="24"/>
          <w:szCs w:val="24"/>
        </w:rPr>
      </w:pPr>
      <w:r>
        <w:rPr>
          <w:sz w:val="24"/>
          <w:szCs w:val="24"/>
        </w:rPr>
        <w:t xml:space="preserve">The information collected in this survey is not collected by other Federal, state, or local agencies.  We have informed the Council, the Alaska Department of Fish and Game, and the Pacific States Marine Fisheries Commission </w:t>
      </w:r>
      <w:r w:rsidR="0036177D">
        <w:rPr>
          <w:sz w:val="24"/>
          <w:szCs w:val="24"/>
        </w:rPr>
        <w:t xml:space="preserve">(PSMFC) </w:t>
      </w:r>
      <w:r>
        <w:rPr>
          <w:sz w:val="24"/>
          <w:szCs w:val="24"/>
        </w:rPr>
        <w:t>about this project.  None of these entities have conducted or are conducting similar economic data collections.</w:t>
      </w:r>
    </w:p>
    <w:p w:rsidR="0033396A" w:rsidRDefault="0033396A" w:rsidP="002D5298">
      <w:pPr>
        <w:rPr>
          <w:sz w:val="24"/>
          <w:szCs w:val="24"/>
        </w:rPr>
      </w:pPr>
    </w:p>
    <w:p w:rsidR="00FF23C7" w:rsidRDefault="00FF23C7">
      <w:pPr>
        <w:widowControl/>
        <w:autoSpaceDE/>
        <w:autoSpaceDN/>
        <w:adjustRightInd/>
        <w:rPr>
          <w:b/>
          <w:bCs/>
          <w:sz w:val="24"/>
          <w:szCs w:val="24"/>
        </w:rPr>
      </w:pPr>
      <w:r>
        <w:rPr>
          <w:b/>
          <w:bCs/>
          <w:sz w:val="24"/>
          <w:szCs w:val="24"/>
        </w:rPr>
        <w:br w:type="page"/>
      </w:r>
    </w:p>
    <w:p w:rsidR="0033396A" w:rsidRDefault="0033396A" w:rsidP="001868F0">
      <w:pPr>
        <w:rPr>
          <w:sz w:val="24"/>
          <w:szCs w:val="24"/>
        </w:rPr>
      </w:pPr>
      <w:r>
        <w:rPr>
          <w:b/>
          <w:bCs/>
          <w:sz w:val="24"/>
          <w:szCs w:val="24"/>
        </w:rPr>
        <w:lastRenderedPageBreak/>
        <w:t>5.</w:t>
      </w:r>
      <w:r w:rsidR="001868F0">
        <w:rPr>
          <w:b/>
          <w:bCs/>
          <w:sz w:val="24"/>
          <w:szCs w:val="24"/>
        </w:rPr>
        <w:t xml:space="preserve">  </w:t>
      </w:r>
      <w:r w:rsidRPr="00B40A0C">
        <w:rPr>
          <w:b/>
          <w:bCs/>
          <w:sz w:val="24"/>
          <w:szCs w:val="24"/>
          <w:u w:val="single"/>
        </w:rPr>
        <w:t>If the collection of information involves small businesses or other small entities, describe the methods used to minimize burden</w:t>
      </w:r>
      <w:r w:rsidRPr="00B40A0C">
        <w:rPr>
          <w:b/>
          <w:bCs/>
          <w:sz w:val="24"/>
          <w:szCs w:val="24"/>
        </w:rPr>
        <w:t>.</w:t>
      </w:r>
    </w:p>
    <w:p w:rsidR="0033396A" w:rsidRDefault="0033396A" w:rsidP="002D5298">
      <w:pPr>
        <w:rPr>
          <w:sz w:val="24"/>
          <w:szCs w:val="24"/>
        </w:rPr>
      </w:pPr>
    </w:p>
    <w:p w:rsidR="0033396A" w:rsidRPr="00F32D2B" w:rsidRDefault="00A61FD4" w:rsidP="002D5298">
      <w:pPr>
        <w:rPr>
          <w:sz w:val="24"/>
          <w:szCs w:val="24"/>
        </w:rPr>
      </w:pPr>
      <w:r>
        <w:rPr>
          <w:sz w:val="24"/>
          <w:szCs w:val="24"/>
        </w:rPr>
        <w:t xml:space="preserve">All respondents are small businesses. </w:t>
      </w:r>
      <w:r w:rsidR="005A0892">
        <w:rPr>
          <w:sz w:val="24"/>
          <w:szCs w:val="24"/>
        </w:rPr>
        <w:t xml:space="preserve">Considerable efforts have been made to minimize the burden of filling out the survey on charter boat businesses.  </w:t>
      </w:r>
      <w:r w:rsidR="008D2BD3">
        <w:rPr>
          <w:sz w:val="24"/>
          <w:szCs w:val="24"/>
        </w:rPr>
        <w:t xml:space="preserve">Nine </w:t>
      </w:r>
      <w:r w:rsidR="004816A1">
        <w:rPr>
          <w:sz w:val="24"/>
          <w:szCs w:val="24"/>
        </w:rPr>
        <w:t xml:space="preserve">cognitive </w:t>
      </w:r>
      <w:r w:rsidR="005A0892">
        <w:rPr>
          <w:sz w:val="24"/>
          <w:szCs w:val="24"/>
        </w:rPr>
        <w:t xml:space="preserve">interview sessions were conducted with </w:t>
      </w:r>
      <w:r w:rsidR="00620D6C">
        <w:rPr>
          <w:sz w:val="24"/>
          <w:szCs w:val="24"/>
        </w:rPr>
        <w:t>CHP holders (charter fishing businesses)</w:t>
      </w:r>
      <w:r w:rsidR="005A0892">
        <w:rPr>
          <w:sz w:val="24"/>
          <w:szCs w:val="24"/>
        </w:rPr>
        <w:t xml:space="preserve"> to </w:t>
      </w:r>
      <w:r w:rsidR="00396817">
        <w:rPr>
          <w:sz w:val="24"/>
          <w:szCs w:val="24"/>
        </w:rPr>
        <w:t xml:space="preserve">obtain </w:t>
      </w:r>
      <w:r w:rsidR="005A0892">
        <w:rPr>
          <w:sz w:val="24"/>
          <w:szCs w:val="24"/>
        </w:rPr>
        <w:t xml:space="preserve">their input on potential questions and ways of improving the questions to make them easier (and faster) for them to answer.  Moreover, we have made considerable efforts to stay in contact with the charter boat associations in the state to keep them informed of the status of the survey and the questions that we </w:t>
      </w:r>
      <w:r w:rsidR="0010594C">
        <w:rPr>
          <w:sz w:val="24"/>
          <w:szCs w:val="24"/>
        </w:rPr>
        <w:t xml:space="preserve">intend </w:t>
      </w:r>
      <w:r w:rsidR="005A0892">
        <w:rPr>
          <w:sz w:val="24"/>
          <w:szCs w:val="24"/>
        </w:rPr>
        <w:t>to ask.</w:t>
      </w:r>
    </w:p>
    <w:p w:rsidR="0033396A" w:rsidRDefault="0033396A" w:rsidP="002D5298">
      <w:pPr>
        <w:rPr>
          <w:sz w:val="24"/>
          <w:szCs w:val="24"/>
        </w:rPr>
      </w:pPr>
    </w:p>
    <w:p w:rsidR="0033396A" w:rsidRDefault="0033396A" w:rsidP="001868F0">
      <w:pPr>
        <w:rPr>
          <w:sz w:val="24"/>
          <w:szCs w:val="24"/>
        </w:rPr>
      </w:pPr>
      <w:r>
        <w:rPr>
          <w:b/>
          <w:bCs/>
          <w:sz w:val="24"/>
          <w:szCs w:val="24"/>
        </w:rPr>
        <w:t>6.</w:t>
      </w:r>
      <w:r w:rsidR="001868F0">
        <w:rPr>
          <w:b/>
          <w:bCs/>
          <w:sz w:val="24"/>
          <w:szCs w:val="24"/>
        </w:rPr>
        <w:t xml:space="preserve">  </w:t>
      </w:r>
      <w:r>
        <w:rPr>
          <w:b/>
          <w:bCs/>
          <w:sz w:val="24"/>
          <w:szCs w:val="24"/>
          <w:u w:val="single"/>
        </w:rPr>
        <w:t>Describe the consequences to the Federal program or policy activities if the collection is not conducted or is conducted less frequently</w:t>
      </w:r>
      <w:r>
        <w:rPr>
          <w:b/>
          <w:bCs/>
          <w:sz w:val="24"/>
          <w:szCs w:val="24"/>
        </w:rPr>
        <w:t>.</w:t>
      </w:r>
    </w:p>
    <w:p w:rsidR="0033396A" w:rsidRDefault="0033396A" w:rsidP="002D5298">
      <w:pPr>
        <w:rPr>
          <w:sz w:val="24"/>
          <w:szCs w:val="24"/>
        </w:rPr>
      </w:pPr>
    </w:p>
    <w:p w:rsidR="0033396A" w:rsidRPr="00F32D2B" w:rsidRDefault="0033396A" w:rsidP="002D5298">
      <w:pPr>
        <w:rPr>
          <w:sz w:val="24"/>
          <w:szCs w:val="24"/>
        </w:rPr>
      </w:pPr>
      <w:r w:rsidRPr="00F32D2B">
        <w:rPr>
          <w:sz w:val="24"/>
          <w:szCs w:val="24"/>
        </w:rPr>
        <w:t xml:space="preserve">If the </w:t>
      </w:r>
      <w:r>
        <w:rPr>
          <w:sz w:val="24"/>
          <w:szCs w:val="24"/>
        </w:rPr>
        <w:t>data collection is</w:t>
      </w:r>
      <w:r w:rsidRPr="00F32D2B">
        <w:rPr>
          <w:sz w:val="24"/>
          <w:szCs w:val="24"/>
        </w:rPr>
        <w:t xml:space="preserve"> not conducted, the </w:t>
      </w:r>
      <w:r>
        <w:rPr>
          <w:sz w:val="24"/>
          <w:szCs w:val="24"/>
        </w:rPr>
        <w:t>Council</w:t>
      </w:r>
      <w:r w:rsidRPr="00F32D2B">
        <w:rPr>
          <w:sz w:val="24"/>
          <w:szCs w:val="24"/>
        </w:rPr>
        <w:t xml:space="preserve"> and </w:t>
      </w:r>
      <w:r w:rsidR="002D5298">
        <w:rPr>
          <w:sz w:val="24"/>
          <w:szCs w:val="24"/>
        </w:rPr>
        <w:t>NMFS</w:t>
      </w:r>
      <w:r w:rsidRPr="00F32D2B">
        <w:rPr>
          <w:sz w:val="24"/>
          <w:szCs w:val="24"/>
        </w:rPr>
        <w:t xml:space="preserve"> will </w:t>
      </w:r>
      <w:r w:rsidR="00956CC1">
        <w:rPr>
          <w:sz w:val="24"/>
          <w:szCs w:val="24"/>
        </w:rPr>
        <w:t xml:space="preserve">not have information </w:t>
      </w:r>
      <w:r w:rsidR="009323E9">
        <w:rPr>
          <w:sz w:val="24"/>
          <w:szCs w:val="24"/>
        </w:rPr>
        <w:t xml:space="preserve">on </w:t>
      </w:r>
      <w:r w:rsidR="00620D6C">
        <w:rPr>
          <w:sz w:val="24"/>
          <w:szCs w:val="24"/>
        </w:rPr>
        <w:t xml:space="preserve">how the population of CHP holders view the Catch Sharing Plan and alternative policies that affect the Alaska charter fishing businesses or the ability to estimate </w:t>
      </w:r>
      <w:r w:rsidR="005A0892">
        <w:rPr>
          <w:sz w:val="24"/>
          <w:szCs w:val="24"/>
        </w:rPr>
        <w:t xml:space="preserve">the effects of </w:t>
      </w:r>
      <w:r w:rsidR="00956CC1">
        <w:rPr>
          <w:sz w:val="24"/>
          <w:szCs w:val="24"/>
        </w:rPr>
        <w:t>recent and proposed changes in fishing regulations.</w:t>
      </w:r>
    </w:p>
    <w:p w:rsidR="0033396A" w:rsidRDefault="0033396A" w:rsidP="002D5298">
      <w:pPr>
        <w:rPr>
          <w:sz w:val="24"/>
          <w:szCs w:val="24"/>
        </w:rPr>
      </w:pPr>
    </w:p>
    <w:p w:rsidR="0033396A" w:rsidRDefault="0033396A" w:rsidP="001868F0">
      <w:pPr>
        <w:rPr>
          <w:sz w:val="24"/>
          <w:szCs w:val="24"/>
        </w:rPr>
      </w:pPr>
      <w:r>
        <w:rPr>
          <w:b/>
          <w:bCs/>
          <w:sz w:val="24"/>
          <w:szCs w:val="24"/>
        </w:rPr>
        <w:t>7.</w:t>
      </w:r>
      <w:r w:rsidR="001868F0">
        <w:rPr>
          <w:b/>
          <w:bCs/>
          <w:sz w:val="24"/>
          <w:szCs w:val="24"/>
        </w:rPr>
        <w:t xml:space="preserve">  </w:t>
      </w:r>
      <w:r>
        <w:rPr>
          <w:b/>
          <w:bCs/>
          <w:sz w:val="24"/>
          <w:szCs w:val="24"/>
          <w:u w:val="single"/>
        </w:rPr>
        <w:t>Explain any special circumstances that require the collection to be conducted in a manner inconsistent with OMB guidelines</w:t>
      </w:r>
      <w:r>
        <w:rPr>
          <w:b/>
          <w:bCs/>
          <w:sz w:val="24"/>
          <w:szCs w:val="24"/>
        </w:rPr>
        <w:t>.</w:t>
      </w:r>
    </w:p>
    <w:p w:rsidR="0033396A" w:rsidRDefault="0033396A" w:rsidP="002D5298">
      <w:pPr>
        <w:rPr>
          <w:sz w:val="24"/>
          <w:szCs w:val="24"/>
        </w:rPr>
      </w:pPr>
    </w:p>
    <w:p w:rsidR="0033396A" w:rsidRDefault="0033396A" w:rsidP="002D5298">
      <w:pPr>
        <w:rPr>
          <w:sz w:val="24"/>
          <w:szCs w:val="24"/>
        </w:rPr>
      </w:pPr>
      <w:r>
        <w:rPr>
          <w:sz w:val="24"/>
          <w:szCs w:val="24"/>
        </w:rPr>
        <w:t>The collection is consistent with OMB guidelines.</w:t>
      </w:r>
    </w:p>
    <w:p w:rsidR="0033396A" w:rsidRDefault="0033396A" w:rsidP="002D5298">
      <w:pPr>
        <w:rPr>
          <w:sz w:val="24"/>
          <w:szCs w:val="24"/>
        </w:rPr>
      </w:pPr>
    </w:p>
    <w:p w:rsidR="0033396A" w:rsidRDefault="0033396A" w:rsidP="001868F0">
      <w:pPr>
        <w:tabs>
          <w:tab w:val="left" w:pos="0"/>
        </w:tabs>
        <w:rPr>
          <w:sz w:val="24"/>
          <w:szCs w:val="24"/>
        </w:rPr>
      </w:pPr>
      <w:r>
        <w:rPr>
          <w:b/>
          <w:bCs/>
          <w:sz w:val="24"/>
          <w:szCs w:val="24"/>
        </w:rPr>
        <w:t>8.</w:t>
      </w:r>
      <w:r w:rsidR="001868F0">
        <w:rPr>
          <w:b/>
          <w:bCs/>
          <w:sz w:val="24"/>
          <w:szCs w:val="24"/>
        </w:rPr>
        <w:t xml:space="preserve">  </w:t>
      </w:r>
      <w:r>
        <w:rPr>
          <w:b/>
          <w:bCs/>
          <w:sz w:val="24"/>
          <w:szCs w:val="24"/>
          <w:u w:val="single"/>
        </w:rPr>
        <w:t xml:space="preserve">Provide </w:t>
      </w:r>
      <w:r w:rsidR="00396817">
        <w:rPr>
          <w:b/>
          <w:bCs/>
          <w:sz w:val="24"/>
          <w:szCs w:val="24"/>
          <w:u w:val="single"/>
        </w:rPr>
        <w:t>information on</w:t>
      </w:r>
      <w:r>
        <w:rPr>
          <w:b/>
          <w:bCs/>
          <w:sz w:val="24"/>
          <w:szCs w:val="24"/>
          <w:u w:val="single"/>
        </w:rPr>
        <w:t xml:space="preserve"> the PRA Federal Register </w:t>
      </w:r>
      <w:r w:rsidR="00396817">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33396A" w:rsidRDefault="0033396A" w:rsidP="002D5298">
      <w:pPr>
        <w:rPr>
          <w:sz w:val="24"/>
          <w:szCs w:val="24"/>
        </w:rPr>
      </w:pPr>
    </w:p>
    <w:p w:rsidR="00B02417" w:rsidRDefault="0033396A" w:rsidP="002D5298">
      <w:pPr>
        <w:rPr>
          <w:sz w:val="24"/>
          <w:szCs w:val="24"/>
        </w:rPr>
      </w:pPr>
      <w:r>
        <w:rPr>
          <w:sz w:val="24"/>
          <w:szCs w:val="24"/>
        </w:rPr>
        <w:t xml:space="preserve">A </w:t>
      </w:r>
      <w:r w:rsidRPr="00396817">
        <w:rPr>
          <w:sz w:val="24"/>
          <w:szCs w:val="24"/>
          <w:u w:val="single"/>
        </w:rPr>
        <w:t>Federal Register</w:t>
      </w:r>
      <w:r w:rsidR="001130BA">
        <w:rPr>
          <w:sz w:val="24"/>
          <w:szCs w:val="24"/>
        </w:rPr>
        <w:t xml:space="preserve"> N</w:t>
      </w:r>
      <w:r>
        <w:rPr>
          <w:sz w:val="24"/>
          <w:szCs w:val="24"/>
        </w:rPr>
        <w:t>otice</w:t>
      </w:r>
      <w:r w:rsidR="00A61FD4">
        <w:rPr>
          <w:sz w:val="24"/>
          <w:szCs w:val="24"/>
        </w:rPr>
        <w:t xml:space="preserve"> published on May 8, 2014 (79 FR 26412)</w:t>
      </w:r>
      <w:r>
        <w:rPr>
          <w:sz w:val="24"/>
          <w:szCs w:val="24"/>
        </w:rPr>
        <w:t xml:space="preserve"> solicited comments on the information collection.  </w:t>
      </w:r>
      <w:r w:rsidR="00B02417">
        <w:rPr>
          <w:sz w:val="24"/>
          <w:szCs w:val="24"/>
        </w:rPr>
        <w:t>No comments were received about the proposed data collection</w:t>
      </w:r>
      <w:r w:rsidR="00510295" w:rsidRPr="00E13910">
        <w:rPr>
          <w:sz w:val="24"/>
          <w:szCs w:val="24"/>
        </w:rPr>
        <w:t>.</w:t>
      </w:r>
    </w:p>
    <w:p w:rsidR="0033396A" w:rsidRDefault="0033396A" w:rsidP="002D5298">
      <w:pPr>
        <w:rPr>
          <w:sz w:val="24"/>
          <w:szCs w:val="24"/>
        </w:rPr>
      </w:pPr>
    </w:p>
    <w:p w:rsidR="0033396A" w:rsidRDefault="0033396A" w:rsidP="002D5298">
      <w:pPr>
        <w:rPr>
          <w:sz w:val="24"/>
          <w:szCs w:val="24"/>
        </w:rPr>
      </w:pPr>
      <w:r>
        <w:rPr>
          <w:sz w:val="24"/>
          <w:szCs w:val="24"/>
        </w:rPr>
        <w:t xml:space="preserve">Several individuals outside </w:t>
      </w:r>
      <w:r w:rsidR="002D5298">
        <w:rPr>
          <w:sz w:val="24"/>
          <w:szCs w:val="24"/>
        </w:rPr>
        <w:t>NMFS</w:t>
      </w:r>
      <w:r>
        <w:rPr>
          <w:sz w:val="24"/>
          <w:szCs w:val="24"/>
        </w:rPr>
        <w:t xml:space="preserve"> were consulted about the survey, availability of existing data, data to collect, and other aspects of the project.  These included staff at the Alaska Department of Fish and Game</w:t>
      </w:r>
      <w:r w:rsidR="009D2DCC">
        <w:rPr>
          <w:sz w:val="24"/>
          <w:szCs w:val="24"/>
        </w:rPr>
        <w:t xml:space="preserve"> (Scott Meyer and William Romberg)</w:t>
      </w:r>
      <w:r w:rsidR="00510295">
        <w:rPr>
          <w:sz w:val="24"/>
          <w:szCs w:val="24"/>
        </w:rPr>
        <w:t>,</w:t>
      </w:r>
      <w:r w:rsidR="001E6AF2">
        <w:rPr>
          <w:sz w:val="24"/>
          <w:szCs w:val="24"/>
        </w:rPr>
        <w:t xml:space="preserve"> and</w:t>
      </w:r>
      <w:r w:rsidR="00510295">
        <w:rPr>
          <w:sz w:val="24"/>
          <w:szCs w:val="24"/>
        </w:rPr>
        <w:t xml:space="preserve"> </w:t>
      </w:r>
      <w:r w:rsidR="0010594C">
        <w:rPr>
          <w:sz w:val="24"/>
          <w:szCs w:val="24"/>
        </w:rPr>
        <w:t>the</w:t>
      </w:r>
      <w:r w:rsidR="00510295">
        <w:rPr>
          <w:sz w:val="24"/>
          <w:szCs w:val="24"/>
        </w:rPr>
        <w:t xml:space="preserve"> </w:t>
      </w:r>
      <w:r w:rsidR="00B02417">
        <w:rPr>
          <w:sz w:val="24"/>
          <w:szCs w:val="24"/>
        </w:rPr>
        <w:t xml:space="preserve">North Pacific Fishery Management </w:t>
      </w:r>
      <w:r w:rsidR="00510295">
        <w:rPr>
          <w:sz w:val="24"/>
          <w:szCs w:val="24"/>
        </w:rPr>
        <w:t>Council</w:t>
      </w:r>
      <w:r w:rsidR="009D2DCC">
        <w:rPr>
          <w:sz w:val="24"/>
          <w:szCs w:val="24"/>
        </w:rPr>
        <w:t xml:space="preserve"> (Jane DiCosimo and their consultant on halibut management issues, Jonathan King)</w:t>
      </w:r>
      <w:r w:rsidR="00B02417">
        <w:rPr>
          <w:sz w:val="24"/>
          <w:szCs w:val="24"/>
        </w:rPr>
        <w:t>, all individuals</w:t>
      </w:r>
      <w:r>
        <w:rPr>
          <w:sz w:val="24"/>
          <w:szCs w:val="24"/>
        </w:rPr>
        <w:t xml:space="preserve"> with experience </w:t>
      </w:r>
      <w:r w:rsidR="00510295">
        <w:rPr>
          <w:sz w:val="24"/>
          <w:szCs w:val="24"/>
        </w:rPr>
        <w:t xml:space="preserve">in </w:t>
      </w:r>
      <w:r>
        <w:rPr>
          <w:sz w:val="24"/>
          <w:szCs w:val="24"/>
        </w:rPr>
        <w:t xml:space="preserve">recreational </w:t>
      </w:r>
      <w:r w:rsidR="00510295">
        <w:rPr>
          <w:sz w:val="24"/>
          <w:szCs w:val="24"/>
        </w:rPr>
        <w:t>fishing issues</w:t>
      </w:r>
      <w:r>
        <w:rPr>
          <w:sz w:val="24"/>
          <w:szCs w:val="24"/>
        </w:rPr>
        <w:t xml:space="preserve"> in Alaska.</w:t>
      </w:r>
    </w:p>
    <w:p w:rsidR="0033396A" w:rsidRDefault="0033396A" w:rsidP="002D5298">
      <w:pPr>
        <w:rPr>
          <w:sz w:val="24"/>
          <w:szCs w:val="24"/>
        </w:rPr>
      </w:pPr>
    </w:p>
    <w:p w:rsidR="0033396A" w:rsidRDefault="0033396A" w:rsidP="001868F0">
      <w:pPr>
        <w:rPr>
          <w:sz w:val="24"/>
          <w:szCs w:val="24"/>
        </w:rPr>
      </w:pPr>
      <w:r>
        <w:rPr>
          <w:b/>
          <w:bCs/>
          <w:sz w:val="24"/>
          <w:szCs w:val="24"/>
        </w:rPr>
        <w:t>9.</w:t>
      </w:r>
      <w:r w:rsidR="001868F0">
        <w:rPr>
          <w:b/>
          <w:bCs/>
          <w:sz w:val="24"/>
          <w:szCs w:val="24"/>
        </w:rPr>
        <w:t xml:space="preserve">  </w:t>
      </w:r>
      <w:r>
        <w:rPr>
          <w:b/>
          <w:bCs/>
          <w:sz w:val="24"/>
          <w:szCs w:val="24"/>
          <w:u w:val="single"/>
        </w:rPr>
        <w:t>Explain any decisions to provide payments or gifts to respondents, other than remuneration of contractors or grantees</w:t>
      </w:r>
      <w:r>
        <w:rPr>
          <w:b/>
          <w:bCs/>
          <w:sz w:val="24"/>
          <w:szCs w:val="24"/>
        </w:rPr>
        <w:t>.</w:t>
      </w:r>
    </w:p>
    <w:p w:rsidR="0033396A" w:rsidRDefault="0033396A" w:rsidP="002D5298">
      <w:pPr>
        <w:rPr>
          <w:sz w:val="24"/>
          <w:szCs w:val="24"/>
        </w:rPr>
      </w:pPr>
    </w:p>
    <w:p w:rsidR="0033396A" w:rsidRDefault="00510295" w:rsidP="002D5298">
      <w:pPr>
        <w:rPr>
          <w:sz w:val="24"/>
          <w:szCs w:val="24"/>
        </w:rPr>
      </w:pPr>
      <w:r>
        <w:rPr>
          <w:sz w:val="24"/>
          <w:szCs w:val="24"/>
        </w:rPr>
        <w:t>No payments or gifts will be provided to respondents.</w:t>
      </w:r>
    </w:p>
    <w:p w:rsidR="0033396A" w:rsidRDefault="0033396A" w:rsidP="002D5298">
      <w:pPr>
        <w:rPr>
          <w:sz w:val="24"/>
          <w:szCs w:val="24"/>
        </w:rPr>
      </w:pPr>
    </w:p>
    <w:p w:rsidR="0033396A" w:rsidRDefault="0033396A" w:rsidP="001868F0">
      <w:pPr>
        <w:rPr>
          <w:sz w:val="24"/>
          <w:szCs w:val="24"/>
        </w:rPr>
      </w:pPr>
      <w:r>
        <w:rPr>
          <w:b/>
          <w:bCs/>
          <w:sz w:val="24"/>
          <w:szCs w:val="24"/>
        </w:rPr>
        <w:t>10.</w:t>
      </w:r>
      <w:r w:rsidR="001868F0">
        <w:rPr>
          <w:b/>
          <w:bCs/>
          <w:sz w:val="24"/>
          <w:szCs w:val="24"/>
        </w:rPr>
        <w:t xml:space="preserve">  </w:t>
      </w:r>
      <w:r>
        <w:rPr>
          <w:b/>
          <w:bCs/>
          <w:sz w:val="24"/>
          <w:szCs w:val="24"/>
          <w:u w:val="single"/>
        </w:rPr>
        <w:t>Describe any assurance of confidentiality provided to respondents and the basis for assurance in statute, regulation, or agency policy</w:t>
      </w:r>
      <w:r>
        <w:rPr>
          <w:b/>
          <w:bCs/>
          <w:sz w:val="24"/>
          <w:szCs w:val="24"/>
        </w:rPr>
        <w:t>.</w:t>
      </w:r>
    </w:p>
    <w:p w:rsidR="00A377A5" w:rsidRPr="00A377A5" w:rsidRDefault="0033396A" w:rsidP="002D5298">
      <w:pPr>
        <w:rPr>
          <w:sz w:val="24"/>
          <w:szCs w:val="24"/>
        </w:rPr>
      </w:pPr>
      <w:r w:rsidRPr="002D2DB2">
        <w:rPr>
          <w:sz w:val="24"/>
          <w:szCs w:val="24"/>
        </w:rPr>
        <w:t>In the cover letter accompanying each mailing, respondents will be told that their responses are vol</w:t>
      </w:r>
      <w:r w:rsidRPr="00A377A5">
        <w:rPr>
          <w:sz w:val="24"/>
          <w:szCs w:val="24"/>
        </w:rPr>
        <w:t>untary and will be kept strictly confidential.</w:t>
      </w:r>
      <w:r w:rsidR="00FA057F" w:rsidRPr="00A377A5">
        <w:rPr>
          <w:sz w:val="24"/>
          <w:szCs w:val="24"/>
        </w:rPr>
        <w:t xml:space="preserve">  </w:t>
      </w:r>
      <w:r w:rsidR="00A377A5" w:rsidRPr="00A377A5">
        <w:rPr>
          <w:sz w:val="24"/>
          <w:szCs w:val="24"/>
        </w:rPr>
        <w:t xml:space="preserve">The </w:t>
      </w:r>
      <w:r w:rsidR="00A377A5">
        <w:rPr>
          <w:sz w:val="24"/>
          <w:szCs w:val="24"/>
        </w:rPr>
        <w:t xml:space="preserve">initial mailing letter and </w:t>
      </w:r>
      <w:r w:rsidR="00CB3A49">
        <w:rPr>
          <w:sz w:val="24"/>
          <w:szCs w:val="24"/>
        </w:rPr>
        <w:t>the follow-up mailing cover</w:t>
      </w:r>
      <w:r w:rsidR="00A377A5">
        <w:rPr>
          <w:sz w:val="24"/>
          <w:szCs w:val="24"/>
        </w:rPr>
        <w:t xml:space="preserve"> letter</w:t>
      </w:r>
      <w:r w:rsidR="00A377A5" w:rsidRPr="00A377A5">
        <w:rPr>
          <w:sz w:val="24"/>
          <w:szCs w:val="24"/>
        </w:rPr>
        <w:t xml:space="preserve"> also include the following statement:</w:t>
      </w:r>
    </w:p>
    <w:p w:rsidR="00A377A5" w:rsidRPr="00A377A5" w:rsidRDefault="00A377A5" w:rsidP="002D5298">
      <w:pPr>
        <w:rPr>
          <w:sz w:val="24"/>
          <w:szCs w:val="24"/>
        </w:rPr>
      </w:pPr>
    </w:p>
    <w:p w:rsidR="00A377A5" w:rsidRPr="00A377A5" w:rsidRDefault="00A377A5" w:rsidP="002D5298">
      <w:pPr>
        <w:ind w:left="360"/>
        <w:rPr>
          <w:sz w:val="24"/>
          <w:szCs w:val="24"/>
        </w:rPr>
      </w:pPr>
      <w:r>
        <w:rPr>
          <w:sz w:val="24"/>
          <w:szCs w:val="24"/>
        </w:rPr>
        <w:t>“</w:t>
      </w:r>
      <w:r w:rsidR="007A4E49" w:rsidRPr="00440FCF">
        <w:rPr>
          <w:sz w:val="23"/>
          <w:szCs w:val="23"/>
        </w:rPr>
        <w:t xml:space="preserve">All information you provide in the survey is considered confidential under section 402(b) of the Magnuson-Stevens Act (16 U.S.C. 1801, </w:t>
      </w:r>
      <w:r w:rsidR="007A4E49" w:rsidRPr="00440FCF">
        <w:rPr>
          <w:i/>
          <w:sz w:val="23"/>
          <w:szCs w:val="23"/>
        </w:rPr>
        <w:t>et seq</w:t>
      </w:r>
      <w:r w:rsidR="007A4E49" w:rsidRPr="00440FCF">
        <w:rPr>
          <w:sz w:val="23"/>
          <w:szCs w:val="23"/>
        </w:rPr>
        <w:t xml:space="preserve">.) and NOAA Administrative Order 216-100. </w:t>
      </w:r>
      <w:r w:rsidR="007A4E49">
        <w:rPr>
          <w:sz w:val="23"/>
          <w:szCs w:val="23"/>
        </w:rPr>
        <w:t xml:space="preserve"> </w:t>
      </w:r>
      <w:r w:rsidR="007A4E49" w:rsidRPr="00281C73">
        <w:rPr>
          <w:sz w:val="23"/>
          <w:szCs w:val="23"/>
        </w:rPr>
        <w:t>Only aggregated results from the s</w:t>
      </w:r>
      <w:r w:rsidR="007A4E49">
        <w:rPr>
          <w:sz w:val="23"/>
          <w:szCs w:val="23"/>
        </w:rPr>
        <w:t>urvey will be released publicly.  Y</w:t>
      </w:r>
      <w:r w:rsidR="007A4E49" w:rsidRPr="00440FCF">
        <w:rPr>
          <w:sz w:val="23"/>
          <w:szCs w:val="23"/>
        </w:rPr>
        <w:t xml:space="preserve">our </w:t>
      </w:r>
      <w:r w:rsidR="007A4E49">
        <w:rPr>
          <w:sz w:val="23"/>
          <w:szCs w:val="23"/>
        </w:rPr>
        <w:t xml:space="preserve">personal </w:t>
      </w:r>
      <w:r w:rsidR="007A4E49" w:rsidRPr="00440FCF">
        <w:rPr>
          <w:sz w:val="23"/>
          <w:szCs w:val="23"/>
        </w:rPr>
        <w:t xml:space="preserve">information will not be disclosed and will </w:t>
      </w:r>
      <w:r w:rsidR="007A4E49">
        <w:rPr>
          <w:sz w:val="23"/>
          <w:szCs w:val="23"/>
        </w:rPr>
        <w:t xml:space="preserve">only </w:t>
      </w:r>
      <w:r w:rsidR="007A4E49" w:rsidRPr="00440FCF">
        <w:rPr>
          <w:sz w:val="23"/>
          <w:szCs w:val="23"/>
        </w:rPr>
        <w:t xml:space="preserve">be accessible to </w:t>
      </w:r>
      <w:r w:rsidR="007A4E49">
        <w:rPr>
          <w:sz w:val="23"/>
          <w:szCs w:val="23"/>
        </w:rPr>
        <w:t xml:space="preserve">authorized </w:t>
      </w:r>
      <w:r w:rsidR="007A4E49" w:rsidRPr="00281C73">
        <w:rPr>
          <w:sz w:val="23"/>
          <w:szCs w:val="23"/>
        </w:rPr>
        <w:t xml:space="preserve">personnel </w:t>
      </w:r>
      <w:r w:rsidR="007A4E49" w:rsidRPr="00440FCF">
        <w:rPr>
          <w:sz w:val="23"/>
          <w:szCs w:val="23"/>
        </w:rPr>
        <w:t xml:space="preserve">responsible for management </w:t>
      </w:r>
      <w:r w:rsidR="007A4E49">
        <w:rPr>
          <w:sz w:val="23"/>
          <w:szCs w:val="23"/>
        </w:rPr>
        <w:t xml:space="preserve">and research </w:t>
      </w:r>
      <w:r w:rsidR="007A4E49" w:rsidRPr="00440FCF">
        <w:rPr>
          <w:sz w:val="23"/>
          <w:szCs w:val="23"/>
        </w:rPr>
        <w:t>of fisheries under the authority of NOAA.</w:t>
      </w:r>
      <w:r>
        <w:rPr>
          <w:sz w:val="24"/>
          <w:szCs w:val="24"/>
        </w:rPr>
        <w:t>”</w:t>
      </w:r>
    </w:p>
    <w:p w:rsidR="00A377A5" w:rsidRPr="00A377A5" w:rsidRDefault="00A377A5" w:rsidP="002D5298">
      <w:pPr>
        <w:rPr>
          <w:sz w:val="24"/>
          <w:szCs w:val="24"/>
        </w:rPr>
      </w:pPr>
    </w:p>
    <w:p w:rsidR="0033396A" w:rsidRPr="002D2DB2" w:rsidRDefault="00A377A5" w:rsidP="002D5298">
      <w:pPr>
        <w:rPr>
          <w:sz w:val="24"/>
          <w:szCs w:val="24"/>
        </w:rPr>
      </w:pPr>
      <w:r w:rsidRPr="00A377A5">
        <w:rPr>
          <w:sz w:val="24"/>
          <w:szCs w:val="24"/>
        </w:rPr>
        <w:t xml:space="preserve">Following completion of the data collection, </w:t>
      </w:r>
      <w:r w:rsidR="001E6AF2">
        <w:rPr>
          <w:sz w:val="24"/>
          <w:szCs w:val="24"/>
        </w:rPr>
        <w:t xml:space="preserve">the </w:t>
      </w:r>
      <w:r w:rsidR="00C12705">
        <w:rPr>
          <w:sz w:val="24"/>
          <w:szCs w:val="24"/>
        </w:rPr>
        <w:t xml:space="preserve">survey </w:t>
      </w:r>
      <w:r w:rsidR="00B02417">
        <w:rPr>
          <w:sz w:val="24"/>
          <w:szCs w:val="24"/>
        </w:rPr>
        <w:t>contractor</w:t>
      </w:r>
      <w:r w:rsidRPr="00A377A5">
        <w:rPr>
          <w:sz w:val="24"/>
          <w:szCs w:val="24"/>
        </w:rPr>
        <w:t xml:space="preserve"> will delete any information identifying individuals (i.e., name</w:t>
      </w:r>
      <w:r w:rsidR="001E6AF2">
        <w:rPr>
          <w:sz w:val="24"/>
          <w:szCs w:val="24"/>
        </w:rPr>
        <w:t>s</w:t>
      </w:r>
      <w:r w:rsidR="00D955D1">
        <w:rPr>
          <w:sz w:val="24"/>
          <w:szCs w:val="24"/>
        </w:rPr>
        <w:t xml:space="preserve"> </w:t>
      </w:r>
      <w:r w:rsidRPr="00A377A5">
        <w:rPr>
          <w:sz w:val="24"/>
          <w:szCs w:val="24"/>
        </w:rPr>
        <w:t xml:space="preserve">and addresses) before any data file is delivered to </w:t>
      </w:r>
      <w:r w:rsidR="002D5298">
        <w:rPr>
          <w:sz w:val="24"/>
          <w:szCs w:val="24"/>
        </w:rPr>
        <w:t>NMFS</w:t>
      </w:r>
      <w:r w:rsidR="0039532B" w:rsidRPr="00A377A5">
        <w:rPr>
          <w:sz w:val="24"/>
          <w:szCs w:val="24"/>
        </w:rPr>
        <w:t xml:space="preserve"> </w:t>
      </w:r>
      <w:r w:rsidRPr="00A377A5">
        <w:rPr>
          <w:sz w:val="24"/>
          <w:szCs w:val="24"/>
        </w:rPr>
        <w:t>or any other participating researchers and agencies.</w:t>
      </w:r>
      <w:r>
        <w:rPr>
          <w:sz w:val="24"/>
          <w:szCs w:val="24"/>
        </w:rPr>
        <w:t xml:space="preserve">  </w:t>
      </w:r>
      <w:r w:rsidR="0033396A" w:rsidRPr="002D2DB2">
        <w:rPr>
          <w:sz w:val="24"/>
          <w:szCs w:val="24"/>
        </w:rPr>
        <w:t>The plan for</w:t>
      </w:r>
      <w:r w:rsidR="0033396A">
        <w:rPr>
          <w:sz w:val="24"/>
          <w:szCs w:val="24"/>
        </w:rPr>
        <w:t xml:space="preserve"> collecting data and</w:t>
      </w:r>
      <w:r w:rsidR="0033396A" w:rsidRPr="002D2DB2">
        <w:rPr>
          <w:sz w:val="24"/>
          <w:szCs w:val="24"/>
        </w:rPr>
        <w:t xml:space="preserve"> maintaining</w:t>
      </w:r>
      <w:r w:rsidR="0033396A">
        <w:rPr>
          <w:sz w:val="24"/>
          <w:szCs w:val="24"/>
        </w:rPr>
        <w:t xml:space="preserve"> its</w:t>
      </w:r>
      <w:r w:rsidR="0033396A" w:rsidRPr="002D2DB2">
        <w:rPr>
          <w:sz w:val="24"/>
          <w:szCs w:val="24"/>
        </w:rPr>
        <w:t xml:space="preserve"> confidentiality </w:t>
      </w:r>
      <w:r w:rsidR="0033396A">
        <w:rPr>
          <w:sz w:val="24"/>
          <w:szCs w:val="24"/>
        </w:rPr>
        <w:t xml:space="preserve">will adhere to </w:t>
      </w:r>
      <w:hyperlink r:id="rId13" w:history="1">
        <w:r w:rsidR="0033396A" w:rsidRPr="001130BA">
          <w:rPr>
            <w:rStyle w:val="Hyperlink"/>
            <w:sz w:val="24"/>
            <w:szCs w:val="24"/>
          </w:rPr>
          <w:t>NOAA Administrative Order 216-100</w:t>
        </w:r>
      </w:hyperlink>
      <w:r w:rsidR="0033396A">
        <w:rPr>
          <w:sz w:val="24"/>
          <w:szCs w:val="24"/>
        </w:rPr>
        <w:t xml:space="preserve"> and Section 402(b) of the Magnuson-Stevens Fishery Conservation and Management Act of 1996</w:t>
      </w:r>
      <w:r w:rsidR="007A4E49">
        <w:rPr>
          <w:sz w:val="24"/>
          <w:szCs w:val="24"/>
        </w:rPr>
        <w:t>,</w:t>
      </w:r>
      <w:r w:rsidR="00577929">
        <w:rPr>
          <w:sz w:val="24"/>
          <w:szCs w:val="24"/>
        </w:rPr>
        <w:t xml:space="preserve">as amended. </w:t>
      </w:r>
      <w:r w:rsidR="007A4E49">
        <w:rPr>
          <w:sz w:val="24"/>
          <w:szCs w:val="24"/>
        </w:rPr>
        <w:t>per the notice above</w:t>
      </w:r>
      <w:r w:rsidR="0033396A" w:rsidRPr="002D2DB2">
        <w:rPr>
          <w:sz w:val="24"/>
          <w:szCs w:val="24"/>
        </w:rPr>
        <w:t>.</w:t>
      </w:r>
    </w:p>
    <w:p w:rsidR="0033396A" w:rsidRDefault="0033396A" w:rsidP="002D5298">
      <w:pPr>
        <w:rPr>
          <w:sz w:val="24"/>
          <w:szCs w:val="24"/>
        </w:rPr>
      </w:pPr>
    </w:p>
    <w:p w:rsidR="0033396A" w:rsidRDefault="0033396A" w:rsidP="00EE525B">
      <w:pPr>
        <w:rPr>
          <w:sz w:val="24"/>
          <w:szCs w:val="24"/>
        </w:rPr>
      </w:pPr>
      <w:r>
        <w:rPr>
          <w:b/>
          <w:bCs/>
          <w:sz w:val="24"/>
          <w:szCs w:val="24"/>
        </w:rPr>
        <w:t>11.</w:t>
      </w:r>
      <w:r w:rsidR="001868F0">
        <w:rPr>
          <w:b/>
          <w:bCs/>
          <w:sz w:val="24"/>
          <w:szCs w:val="24"/>
        </w:rPr>
        <w:t xml:space="preserve">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33396A" w:rsidRDefault="0033396A" w:rsidP="002D5298">
      <w:pPr>
        <w:rPr>
          <w:sz w:val="24"/>
          <w:szCs w:val="24"/>
        </w:rPr>
      </w:pPr>
    </w:p>
    <w:p w:rsidR="0033396A" w:rsidRPr="002D2DB2" w:rsidRDefault="0033396A" w:rsidP="002D5298">
      <w:pPr>
        <w:rPr>
          <w:sz w:val="24"/>
          <w:szCs w:val="24"/>
        </w:rPr>
      </w:pPr>
      <w:r w:rsidRPr="002D2DB2">
        <w:rPr>
          <w:sz w:val="24"/>
          <w:szCs w:val="24"/>
        </w:rPr>
        <w:t>There are no questions of a sensitive nature asked in the survey.</w:t>
      </w:r>
    </w:p>
    <w:p w:rsidR="0033396A" w:rsidRDefault="0033396A" w:rsidP="002D5298">
      <w:pPr>
        <w:rPr>
          <w:sz w:val="24"/>
          <w:szCs w:val="24"/>
        </w:rPr>
      </w:pPr>
    </w:p>
    <w:p w:rsidR="0033396A" w:rsidRDefault="0033396A" w:rsidP="002D5298">
      <w:pPr>
        <w:ind w:left="360" w:hanging="360"/>
        <w:rPr>
          <w:sz w:val="24"/>
          <w:szCs w:val="24"/>
        </w:rPr>
      </w:pPr>
      <w:r>
        <w:rPr>
          <w:b/>
          <w:bCs/>
          <w:sz w:val="24"/>
          <w:szCs w:val="24"/>
        </w:rPr>
        <w:t>12.</w:t>
      </w:r>
      <w:r>
        <w:rPr>
          <w:b/>
          <w:bCs/>
          <w:sz w:val="24"/>
          <w:szCs w:val="24"/>
        </w:rPr>
        <w:tab/>
      </w:r>
      <w:r w:rsidRPr="00214A3C">
        <w:rPr>
          <w:b/>
          <w:bCs/>
          <w:sz w:val="24"/>
          <w:szCs w:val="24"/>
          <w:u w:val="single"/>
        </w:rPr>
        <w:t>Provide an estimate in hours of the burden of the collection of information</w:t>
      </w:r>
      <w:r w:rsidRPr="00214A3C">
        <w:rPr>
          <w:b/>
          <w:bCs/>
          <w:sz w:val="24"/>
          <w:szCs w:val="24"/>
        </w:rPr>
        <w:t>.</w:t>
      </w:r>
    </w:p>
    <w:p w:rsidR="0033396A" w:rsidRDefault="0033396A" w:rsidP="002D5298">
      <w:pPr>
        <w:rPr>
          <w:sz w:val="24"/>
          <w:szCs w:val="24"/>
        </w:rPr>
      </w:pPr>
    </w:p>
    <w:p w:rsidR="0033396A" w:rsidRPr="002D2DB2" w:rsidRDefault="00B02417" w:rsidP="002D5298">
      <w:pPr>
        <w:rPr>
          <w:sz w:val="24"/>
          <w:szCs w:val="24"/>
        </w:rPr>
      </w:pPr>
      <w:r>
        <w:rPr>
          <w:sz w:val="24"/>
          <w:szCs w:val="24"/>
        </w:rPr>
        <w:t>T</w:t>
      </w:r>
      <w:r w:rsidR="0033396A" w:rsidRPr="002D2DB2">
        <w:rPr>
          <w:sz w:val="24"/>
          <w:szCs w:val="24"/>
        </w:rPr>
        <w:t>he survey will be sent to a</w:t>
      </w:r>
      <w:r w:rsidR="00510295">
        <w:rPr>
          <w:sz w:val="24"/>
          <w:szCs w:val="24"/>
        </w:rPr>
        <w:t xml:space="preserve">ll </w:t>
      </w:r>
      <w:r>
        <w:rPr>
          <w:sz w:val="24"/>
          <w:szCs w:val="24"/>
        </w:rPr>
        <w:t xml:space="preserve">individuals who hold a charter halibut permit (CHP).  In general, these are saltwater sport fishing charter businesses.  </w:t>
      </w:r>
      <w:r w:rsidR="00510295">
        <w:rPr>
          <w:sz w:val="24"/>
          <w:szCs w:val="24"/>
        </w:rPr>
        <w:t>For 201</w:t>
      </w:r>
      <w:r>
        <w:rPr>
          <w:sz w:val="24"/>
          <w:szCs w:val="24"/>
        </w:rPr>
        <w:t>4</w:t>
      </w:r>
      <w:r w:rsidR="00510295">
        <w:rPr>
          <w:sz w:val="24"/>
          <w:szCs w:val="24"/>
        </w:rPr>
        <w:t>, this amounts to 6</w:t>
      </w:r>
      <w:r>
        <w:rPr>
          <w:sz w:val="24"/>
          <w:szCs w:val="24"/>
        </w:rPr>
        <w:t>02 individuals</w:t>
      </w:r>
      <w:r w:rsidR="00510295">
        <w:rPr>
          <w:sz w:val="24"/>
          <w:szCs w:val="24"/>
        </w:rPr>
        <w:t xml:space="preserve">.  The contact information for each business will be obtained from </w:t>
      </w:r>
      <w:r w:rsidR="00D629DF">
        <w:rPr>
          <w:sz w:val="24"/>
          <w:szCs w:val="24"/>
        </w:rPr>
        <w:t xml:space="preserve">the NMFS CHP database </w:t>
      </w:r>
      <w:r w:rsidR="00510295">
        <w:rPr>
          <w:sz w:val="24"/>
          <w:szCs w:val="24"/>
        </w:rPr>
        <w:t xml:space="preserve">that contains updated address information for each </w:t>
      </w:r>
      <w:r>
        <w:rPr>
          <w:sz w:val="24"/>
          <w:szCs w:val="24"/>
        </w:rPr>
        <w:t>permit holder</w:t>
      </w:r>
      <w:r w:rsidR="00510295">
        <w:rPr>
          <w:sz w:val="24"/>
          <w:szCs w:val="24"/>
        </w:rPr>
        <w:t>.</w:t>
      </w:r>
      <w:r w:rsidR="0033396A" w:rsidRPr="002D2DB2">
        <w:rPr>
          <w:sz w:val="24"/>
          <w:szCs w:val="24"/>
        </w:rPr>
        <w:t xml:space="preserve">  We expect a final response rate of a</w:t>
      </w:r>
      <w:r w:rsidR="00510295">
        <w:rPr>
          <w:sz w:val="24"/>
          <w:szCs w:val="24"/>
        </w:rPr>
        <w:t>pproximately</w:t>
      </w:r>
      <w:r w:rsidR="0033396A" w:rsidRPr="002D2DB2">
        <w:rPr>
          <w:sz w:val="24"/>
          <w:szCs w:val="24"/>
        </w:rPr>
        <w:t xml:space="preserve"> </w:t>
      </w:r>
      <w:r>
        <w:rPr>
          <w:sz w:val="24"/>
          <w:szCs w:val="24"/>
        </w:rPr>
        <w:t>40</w:t>
      </w:r>
      <w:r w:rsidRPr="002D2DB2">
        <w:rPr>
          <w:sz w:val="24"/>
          <w:szCs w:val="24"/>
        </w:rPr>
        <w:t xml:space="preserve"> </w:t>
      </w:r>
      <w:r w:rsidR="0033396A" w:rsidRPr="002D2DB2">
        <w:rPr>
          <w:sz w:val="24"/>
          <w:szCs w:val="24"/>
        </w:rPr>
        <w:t>percent</w:t>
      </w:r>
      <w:r w:rsidR="0033396A">
        <w:rPr>
          <w:sz w:val="24"/>
          <w:szCs w:val="24"/>
        </w:rPr>
        <w:t xml:space="preserve">, leading to </w:t>
      </w:r>
      <w:r>
        <w:rPr>
          <w:sz w:val="24"/>
          <w:szCs w:val="24"/>
        </w:rPr>
        <w:t xml:space="preserve">241 </w:t>
      </w:r>
      <w:r w:rsidR="0033396A" w:rsidRPr="002D2DB2">
        <w:rPr>
          <w:sz w:val="24"/>
          <w:szCs w:val="24"/>
        </w:rPr>
        <w:t xml:space="preserve">responding </w:t>
      </w:r>
      <w:r>
        <w:rPr>
          <w:sz w:val="24"/>
          <w:szCs w:val="24"/>
        </w:rPr>
        <w:t xml:space="preserve">CHP </w:t>
      </w:r>
      <w:r w:rsidR="0033396A">
        <w:rPr>
          <w:sz w:val="24"/>
          <w:szCs w:val="24"/>
        </w:rPr>
        <w:t>holder</w:t>
      </w:r>
      <w:r w:rsidR="0033396A" w:rsidRPr="002D2DB2">
        <w:rPr>
          <w:sz w:val="24"/>
          <w:szCs w:val="24"/>
        </w:rPr>
        <w:t xml:space="preserve">s returning </w:t>
      </w:r>
      <w:r w:rsidR="0033396A" w:rsidRPr="0099253E">
        <w:rPr>
          <w:sz w:val="24"/>
          <w:szCs w:val="24"/>
        </w:rPr>
        <w:t>completed surveys</w:t>
      </w:r>
      <w:r w:rsidR="00553E56">
        <w:rPr>
          <w:sz w:val="24"/>
          <w:szCs w:val="24"/>
        </w:rPr>
        <w:t xml:space="preserve"> (or completing the survey via telephone interview)</w:t>
      </w:r>
      <w:r w:rsidR="0033396A" w:rsidRPr="0099253E">
        <w:rPr>
          <w:sz w:val="24"/>
          <w:szCs w:val="24"/>
        </w:rPr>
        <w:t xml:space="preserve">.  </w:t>
      </w:r>
      <w:r w:rsidR="00927784">
        <w:rPr>
          <w:sz w:val="24"/>
          <w:szCs w:val="24"/>
        </w:rPr>
        <w:t xml:space="preserve">Charter </w:t>
      </w:r>
      <w:r>
        <w:rPr>
          <w:sz w:val="24"/>
          <w:szCs w:val="24"/>
        </w:rPr>
        <w:t>business</w:t>
      </w:r>
      <w:r w:rsidR="00927784">
        <w:rPr>
          <w:sz w:val="24"/>
          <w:szCs w:val="24"/>
        </w:rPr>
        <w:t xml:space="preserve"> representative</w:t>
      </w:r>
      <w:r w:rsidR="0026446D">
        <w:rPr>
          <w:sz w:val="24"/>
          <w:szCs w:val="24"/>
        </w:rPr>
        <w:t>s</w:t>
      </w:r>
      <w:r w:rsidR="00927784">
        <w:rPr>
          <w:sz w:val="24"/>
          <w:szCs w:val="24"/>
        </w:rPr>
        <w:t xml:space="preserve"> </w:t>
      </w:r>
      <w:r>
        <w:rPr>
          <w:sz w:val="24"/>
          <w:szCs w:val="24"/>
        </w:rPr>
        <w:t xml:space="preserve">who have taken the survey during the cognitive interviews have taken, on average, 20 </w:t>
      </w:r>
      <w:r w:rsidR="0033396A" w:rsidRPr="0099253E">
        <w:rPr>
          <w:sz w:val="24"/>
          <w:szCs w:val="24"/>
        </w:rPr>
        <w:t>minutes</w:t>
      </w:r>
      <w:r>
        <w:rPr>
          <w:sz w:val="24"/>
          <w:szCs w:val="24"/>
        </w:rPr>
        <w:t xml:space="preserve"> to complete the survey.  For the purpose of computing </w:t>
      </w:r>
      <w:r w:rsidR="0026446D">
        <w:rPr>
          <w:sz w:val="24"/>
          <w:szCs w:val="24"/>
        </w:rPr>
        <w:t>the</w:t>
      </w:r>
      <w:r w:rsidR="0033396A" w:rsidRPr="0099253E">
        <w:rPr>
          <w:sz w:val="24"/>
          <w:szCs w:val="24"/>
        </w:rPr>
        <w:t xml:space="preserve"> potential burden hours</w:t>
      </w:r>
      <w:r>
        <w:rPr>
          <w:sz w:val="24"/>
          <w:szCs w:val="24"/>
        </w:rPr>
        <w:t>, however, we use a more conservative estimate of the completion time (30 minutes)</w:t>
      </w:r>
      <w:r w:rsidR="0033396A" w:rsidRPr="0099253E">
        <w:rPr>
          <w:sz w:val="24"/>
          <w:szCs w:val="24"/>
        </w:rPr>
        <w:t xml:space="preserve">.  </w:t>
      </w:r>
      <w:r w:rsidR="00553E56">
        <w:rPr>
          <w:sz w:val="24"/>
          <w:szCs w:val="24"/>
        </w:rPr>
        <w:t xml:space="preserve">In addition, our tests administering the survey via telephone take approximately the same amount of time (30 minutes).  </w:t>
      </w:r>
      <w:r w:rsidR="0033396A" w:rsidRPr="0099253E">
        <w:rPr>
          <w:sz w:val="24"/>
          <w:szCs w:val="24"/>
        </w:rPr>
        <w:t>As a result, those</w:t>
      </w:r>
      <w:r w:rsidR="0033396A" w:rsidRPr="002D2DB2">
        <w:rPr>
          <w:sz w:val="24"/>
          <w:szCs w:val="24"/>
        </w:rPr>
        <w:t xml:space="preserve"> ultimately completing the survey are expected to contri</w:t>
      </w:r>
      <w:r w:rsidR="0033396A">
        <w:rPr>
          <w:sz w:val="24"/>
          <w:szCs w:val="24"/>
        </w:rPr>
        <w:t xml:space="preserve">bute up to </w:t>
      </w:r>
      <w:r w:rsidR="008D2BD3">
        <w:rPr>
          <w:sz w:val="24"/>
          <w:szCs w:val="24"/>
        </w:rPr>
        <w:t>120.5</w:t>
      </w:r>
      <w:r w:rsidR="008D2BD3" w:rsidRPr="002D2DB2">
        <w:rPr>
          <w:sz w:val="24"/>
          <w:szCs w:val="24"/>
        </w:rPr>
        <w:t xml:space="preserve"> </w:t>
      </w:r>
      <w:r w:rsidR="0033396A" w:rsidRPr="002D2DB2">
        <w:rPr>
          <w:sz w:val="24"/>
          <w:szCs w:val="24"/>
        </w:rPr>
        <w:t xml:space="preserve">hours to the overall </w:t>
      </w:r>
      <w:r w:rsidR="005F70C7">
        <w:rPr>
          <w:sz w:val="24"/>
          <w:szCs w:val="24"/>
        </w:rPr>
        <w:t xml:space="preserve">annual </w:t>
      </w:r>
      <w:r w:rsidR="0033396A" w:rsidRPr="002D2DB2">
        <w:rPr>
          <w:sz w:val="24"/>
          <w:szCs w:val="24"/>
        </w:rPr>
        <w:t>hour burden</w:t>
      </w:r>
      <w:r>
        <w:rPr>
          <w:sz w:val="24"/>
          <w:szCs w:val="24"/>
        </w:rPr>
        <w:t xml:space="preserve"> (</w:t>
      </w:r>
      <w:r w:rsidR="00553E56">
        <w:rPr>
          <w:sz w:val="24"/>
          <w:szCs w:val="24"/>
        </w:rPr>
        <w:t>241</w:t>
      </w:r>
      <w:r>
        <w:rPr>
          <w:sz w:val="24"/>
          <w:szCs w:val="24"/>
        </w:rPr>
        <w:t xml:space="preserve"> </w:t>
      </w:r>
      <w:r>
        <w:rPr>
          <w:sz w:val="24"/>
          <w:szCs w:val="24"/>
        </w:rPr>
        <w:sym w:font="Symbol" w:char="F0B4"/>
      </w:r>
      <w:r>
        <w:rPr>
          <w:sz w:val="24"/>
          <w:szCs w:val="24"/>
        </w:rPr>
        <w:t xml:space="preserve"> 0.5 hours = </w:t>
      </w:r>
      <w:r w:rsidR="00FC5033">
        <w:rPr>
          <w:sz w:val="24"/>
          <w:szCs w:val="24"/>
        </w:rPr>
        <w:t>120.5</w:t>
      </w:r>
      <w:r>
        <w:rPr>
          <w:sz w:val="24"/>
          <w:szCs w:val="24"/>
        </w:rPr>
        <w:t xml:space="preserve"> hours)</w:t>
      </w:r>
      <w:r w:rsidR="0033396A" w:rsidRPr="002D2DB2">
        <w:rPr>
          <w:sz w:val="24"/>
          <w:szCs w:val="24"/>
        </w:rPr>
        <w:t>.</w:t>
      </w:r>
    </w:p>
    <w:p w:rsidR="0033396A" w:rsidRPr="002D2DB2" w:rsidRDefault="0033396A" w:rsidP="002D5298">
      <w:pPr>
        <w:rPr>
          <w:sz w:val="24"/>
          <w:szCs w:val="24"/>
        </w:rPr>
      </w:pPr>
    </w:p>
    <w:p w:rsidR="0033396A" w:rsidRPr="002D2DB2" w:rsidRDefault="0026446D" w:rsidP="002D5298">
      <w:pPr>
        <w:rPr>
          <w:sz w:val="24"/>
          <w:szCs w:val="24"/>
        </w:rPr>
      </w:pPr>
      <w:r>
        <w:rPr>
          <w:sz w:val="24"/>
          <w:szCs w:val="24"/>
        </w:rPr>
        <w:t>Based on our experience with other surveys, w</w:t>
      </w:r>
      <w:r w:rsidR="006968F2">
        <w:rPr>
          <w:sz w:val="24"/>
          <w:szCs w:val="24"/>
        </w:rPr>
        <w:t xml:space="preserve">e expect </w:t>
      </w:r>
      <w:r w:rsidR="00B02417">
        <w:rPr>
          <w:sz w:val="24"/>
          <w:szCs w:val="24"/>
        </w:rPr>
        <w:t>2</w:t>
      </w:r>
      <w:r w:rsidR="00553E56">
        <w:rPr>
          <w:sz w:val="24"/>
          <w:szCs w:val="24"/>
        </w:rPr>
        <w:t>1</w:t>
      </w:r>
      <w:r w:rsidR="00B02417">
        <w:rPr>
          <w:sz w:val="24"/>
          <w:szCs w:val="24"/>
        </w:rPr>
        <w:t xml:space="preserve">0 </w:t>
      </w:r>
      <w:r w:rsidR="00BD6A1B">
        <w:rPr>
          <w:sz w:val="24"/>
          <w:szCs w:val="24"/>
        </w:rPr>
        <w:t>respondents to have returned a completed survey</w:t>
      </w:r>
      <w:r>
        <w:rPr>
          <w:sz w:val="24"/>
          <w:szCs w:val="24"/>
        </w:rPr>
        <w:t xml:space="preserve"> </w:t>
      </w:r>
      <w:r w:rsidR="00BD6A1B">
        <w:rPr>
          <w:sz w:val="24"/>
          <w:szCs w:val="24"/>
        </w:rPr>
        <w:t>f</w:t>
      </w:r>
      <w:r w:rsidR="0033396A" w:rsidRPr="002D2DB2">
        <w:rPr>
          <w:sz w:val="24"/>
          <w:szCs w:val="24"/>
        </w:rPr>
        <w:t>ollowing the initial m</w:t>
      </w:r>
      <w:r w:rsidR="0033396A">
        <w:rPr>
          <w:sz w:val="24"/>
          <w:szCs w:val="24"/>
        </w:rPr>
        <w:t>ailing</w:t>
      </w:r>
      <w:r w:rsidR="00553E56">
        <w:rPr>
          <w:sz w:val="24"/>
          <w:szCs w:val="24"/>
        </w:rPr>
        <w:t xml:space="preserve">, </w:t>
      </w:r>
      <w:r w:rsidR="0033396A" w:rsidRPr="002D2DB2">
        <w:rPr>
          <w:sz w:val="24"/>
          <w:szCs w:val="24"/>
        </w:rPr>
        <w:t>postcard</w:t>
      </w:r>
      <w:r w:rsidR="0033396A">
        <w:rPr>
          <w:sz w:val="24"/>
          <w:szCs w:val="24"/>
        </w:rPr>
        <w:t xml:space="preserve"> reminder</w:t>
      </w:r>
      <w:r w:rsidR="00553E56">
        <w:rPr>
          <w:sz w:val="24"/>
          <w:szCs w:val="24"/>
        </w:rPr>
        <w:t>, and second full mailing</w:t>
      </w:r>
      <w:r>
        <w:rPr>
          <w:sz w:val="24"/>
          <w:szCs w:val="24"/>
        </w:rPr>
        <w:t xml:space="preserve"> (~8</w:t>
      </w:r>
      <w:r w:rsidR="00553E56">
        <w:rPr>
          <w:sz w:val="24"/>
          <w:szCs w:val="24"/>
        </w:rPr>
        <w:t>7</w:t>
      </w:r>
      <w:r>
        <w:rPr>
          <w:sz w:val="24"/>
          <w:szCs w:val="24"/>
        </w:rPr>
        <w:t>% of all completed surveys)</w:t>
      </w:r>
      <w:r w:rsidR="00BD6A1B">
        <w:rPr>
          <w:sz w:val="24"/>
          <w:szCs w:val="24"/>
        </w:rPr>
        <w:t xml:space="preserve">.  </w:t>
      </w:r>
      <w:r w:rsidR="00553E56">
        <w:rPr>
          <w:sz w:val="24"/>
          <w:szCs w:val="24"/>
        </w:rPr>
        <w:t xml:space="preserve">Given </w:t>
      </w:r>
      <w:r w:rsidR="00577929">
        <w:rPr>
          <w:sz w:val="24"/>
          <w:szCs w:val="24"/>
        </w:rPr>
        <w:t xml:space="preserve">that </w:t>
      </w:r>
      <w:r w:rsidR="00553E56">
        <w:rPr>
          <w:sz w:val="24"/>
          <w:szCs w:val="24"/>
        </w:rPr>
        <w:t xml:space="preserve">the ADF&amp;G license database has business names for each CHP holder, we anticipate being able to find telephone contact information via web and </w:t>
      </w:r>
      <w:r w:rsidR="00553E56">
        <w:rPr>
          <w:sz w:val="24"/>
          <w:szCs w:val="24"/>
        </w:rPr>
        <w:lastRenderedPageBreak/>
        <w:t>telephone lookup services.  Therefore, w</w:t>
      </w:r>
      <w:r>
        <w:rPr>
          <w:sz w:val="24"/>
          <w:szCs w:val="24"/>
        </w:rPr>
        <w:t xml:space="preserve">e expect to be able to contact </w:t>
      </w:r>
      <w:r w:rsidR="00553E56">
        <w:rPr>
          <w:sz w:val="24"/>
          <w:szCs w:val="24"/>
        </w:rPr>
        <w:t xml:space="preserve">all </w:t>
      </w:r>
      <w:r w:rsidR="00525E75">
        <w:rPr>
          <w:sz w:val="24"/>
          <w:szCs w:val="24"/>
        </w:rPr>
        <w:t xml:space="preserve">of </w:t>
      </w:r>
      <w:r w:rsidR="00BD6A1B">
        <w:rPr>
          <w:sz w:val="24"/>
          <w:szCs w:val="24"/>
        </w:rPr>
        <w:t>th</w:t>
      </w:r>
      <w:r>
        <w:rPr>
          <w:sz w:val="24"/>
          <w:szCs w:val="24"/>
        </w:rPr>
        <w:t>ose who have not yet responded to the mail survey</w:t>
      </w:r>
      <w:r w:rsidR="00BD6A1B">
        <w:rPr>
          <w:sz w:val="24"/>
          <w:szCs w:val="24"/>
        </w:rPr>
        <w:t xml:space="preserve"> (</w:t>
      </w:r>
      <w:r>
        <w:rPr>
          <w:sz w:val="24"/>
          <w:szCs w:val="24"/>
        </w:rPr>
        <w:t>6</w:t>
      </w:r>
      <w:r w:rsidR="00553E56">
        <w:rPr>
          <w:sz w:val="24"/>
          <w:szCs w:val="24"/>
        </w:rPr>
        <w:t>02</w:t>
      </w:r>
      <w:r>
        <w:rPr>
          <w:sz w:val="24"/>
          <w:szCs w:val="24"/>
        </w:rPr>
        <w:t xml:space="preserve"> - </w:t>
      </w:r>
      <w:r w:rsidR="00553E56">
        <w:rPr>
          <w:sz w:val="24"/>
          <w:szCs w:val="24"/>
        </w:rPr>
        <w:t xml:space="preserve">210 </w:t>
      </w:r>
      <w:r w:rsidR="00BD6A1B">
        <w:rPr>
          <w:sz w:val="24"/>
          <w:szCs w:val="24"/>
        </w:rPr>
        <w:t xml:space="preserve">= </w:t>
      </w:r>
      <w:r w:rsidR="00553E56">
        <w:rPr>
          <w:sz w:val="24"/>
          <w:szCs w:val="24"/>
        </w:rPr>
        <w:t xml:space="preserve">392 </w:t>
      </w:r>
      <w:r>
        <w:rPr>
          <w:sz w:val="24"/>
          <w:szCs w:val="24"/>
        </w:rPr>
        <w:t>respondents</w:t>
      </w:r>
      <w:r w:rsidR="00BD6A1B">
        <w:rPr>
          <w:sz w:val="24"/>
          <w:szCs w:val="24"/>
        </w:rPr>
        <w:t>)</w:t>
      </w:r>
      <w:r w:rsidR="0033396A" w:rsidRPr="002D2DB2">
        <w:rPr>
          <w:sz w:val="24"/>
          <w:szCs w:val="24"/>
        </w:rPr>
        <w:t xml:space="preserve">.  </w:t>
      </w:r>
      <w:r w:rsidR="00BD6A1B">
        <w:rPr>
          <w:sz w:val="24"/>
          <w:szCs w:val="24"/>
        </w:rPr>
        <w:t xml:space="preserve">These </w:t>
      </w:r>
      <w:r w:rsidR="00553E56">
        <w:rPr>
          <w:sz w:val="24"/>
          <w:szCs w:val="24"/>
        </w:rPr>
        <w:t>392 CHP</w:t>
      </w:r>
      <w:r w:rsidR="00BD6A1B">
        <w:rPr>
          <w:sz w:val="24"/>
          <w:szCs w:val="24"/>
        </w:rPr>
        <w:t xml:space="preserve"> </w:t>
      </w:r>
      <w:r w:rsidR="0033396A">
        <w:rPr>
          <w:sz w:val="24"/>
          <w:szCs w:val="24"/>
        </w:rPr>
        <w:t>holder</w:t>
      </w:r>
      <w:r w:rsidR="0033396A" w:rsidRPr="002D2DB2">
        <w:rPr>
          <w:sz w:val="24"/>
          <w:szCs w:val="24"/>
        </w:rPr>
        <w:t xml:space="preserve">s will be contacted by telephone and encouraged to complete and return the survey </w:t>
      </w:r>
      <w:r>
        <w:rPr>
          <w:sz w:val="24"/>
          <w:szCs w:val="24"/>
        </w:rPr>
        <w:t>and</w:t>
      </w:r>
      <w:r w:rsidR="0033396A" w:rsidRPr="002D2DB2">
        <w:rPr>
          <w:sz w:val="24"/>
          <w:szCs w:val="24"/>
        </w:rPr>
        <w:t xml:space="preserve"> asked to answer a few questions if they indicate they will not be returning the survey</w:t>
      </w:r>
      <w:r w:rsidR="00553E56">
        <w:rPr>
          <w:sz w:val="24"/>
          <w:szCs w:val="24"/>
        </w:rPr>
        <w:t xml:space="preserve"> or are unwilling to complete the full survey over the telephone</w:t>
      </w:r>
      <w:r w:rsidR="0033396A" w:rsidRPr="002D2DB2">
        <w:rPr>
          <w:sz w:val="24"/>
          <w:szCs w:val="24"/>
        </w:rPr>
        <w:t xml:space="preserve">.  Thus, the telephone follow-up serves </w:t>
      </w:r>
      <w:r w:rsidR="00553E56">
        <w:rPr>
          <w:sz w:val="24"/>
          <w:szCs w:val="24"/>
        </w:rPr>
        <w:t xml:space="preserve">multiple purposes:  (a) to </w:t>
      </w:r>
      <w:r w:rsidR="0033396A" w:rsidRPr="002D2DB2">
        <w:rPr>
          <w:sz w:val="24"/>
          <w:szCs w:val="24"/>
        </w:rPr>
        <w:t>increas</w:t>
      </w:r>
      <w:r w:rsidR="00553E56">
        <w:rPr>
          <w:sz w:val="24"/>
          <w:szCs w:val="24"/>
        </w:rPr>
        <w:t>e</w:t>
      </w:r>
      <w:r w:rsidR="0033396A" w:rsidRPr="002D2DB2">
        <w:rPr>
          <w:sz w:val="24"/>
          <w:szCs w:val="24"/>
        </w:rPr>
        <w:t xml:space="preserve"> the number of mail responses</w:t>
      </w:r>
      <w:r w:rsidR="00553E56">
        <w:rPr>
          <w:sz w:val="24"/>
          <w:szCs w:val="24"/>
        </w:rPr>
        <w:t xml:space="preserve">, (b) provide an alternative survey mode to complete the survey (telephone survey), and (c) to </w:t>
      </w:r>
      <w:r w:rsidR="0033396A" w:rsidRPr="002D2DB2">
        <w:rPr>
          <w:sz w:val="24"/>
          <w:szCs w:val="24"/>
        </w:rPr>
        <w:t xml:space="preserve">gather </w:t>
      </w:r>
      <w:r w:rsidR="00553E56">
        <w:rPr>
          <w:sz w:val="24"/>
          <w:szCs w:val="24"/>
        </w:rPr>
        <w:t xml:space="preserve">basic </w:t>
      </w:r>
      <w:r w:rsidR="0033396A" w:rsidRPr="002D2DB2">
        <w:rPr>
          <w:sz w:val="24"/>
          <w:szCs w:val="24"/>
        </w:rPr>
        <w:t xml:space="preserve">information by telephone needed to estimate the impact of non-response.  The phone interview is expected to take </w:t>
      </w:r>
      <w:r w:rsidR="00107826">
        <w:rPr>
          <w:sz w:val="24"/>
          <w:szCs w:val="24"/>
        </w:rPr>
        <w:t>10</w:t>
      </w:r>
      <w:r w:rsidR="0033396A" w:rsidRPr="002D2DB2">
        <w:rPr>
          <w:sz w:val="24"/>
          <w:szCs w:val="24"/>
        </w:rPr>
        <w:t xml:space="preserve"> minutes on average to complete, and </w:t>
      </w:r>
      <w:r w:rsidR="00671634">
        <w:rPr>
          <w:sz w:val="24"/>
          <w:szCs w:val="24"/>
        </w:rPr>
        <w:t xml:space="preserve">assuming 100% of the </w:t>
      </w:r>
      <w:r>
        <w:rPr>
          <w:sz w:val="24"/>
          <w:szCs w:val="24"/>
        </w:rPr>
        <w:t>3</w:t>
      </w:r>
      <w:r w:rsidR="00FC5033">
        <w:rPr>
          <w:sz w:val="24"/>
          <w:szCs w:val="24"/>
        </w:rPr>
        <w:t>92</w:t>
      </w:r>
      <w:r>
        <w:rPr>
          <w:sz w:val="24"/>
          <w:szCs w:val="24"/>
        </w:rPr>
        <w:t xml:space="preserve"> </w:t>
      </w:r>
      <w:r w:rsidR="00671634">
        <w:rPr>
          <w:sz w:val="24"/>
          <w:szCs w:val="24"/>
        </w:rPr>
        <w:t xml:space="preserve">individuals for which there is a phone number are </w:t>
      </w:r>
      <w:r w:rsidR="0033396A" w:rsidRPr="002D2DB2">
        <w:rPr>
          <w:sz w:val="24"/>
          <w:szCs w:val="24"/>
        </w:rPr>
        <w:t>reach</w:t>
      </w:r>
      <w:r w:rsidR="00671634">
        <w:rPr>
          <w:sz w:val="24"/>
          <w:szCs w:val="24"/>
        </w:rPr>
        <w:t>ed</w:t>
      </w:r>
      <w:r w:rsidR="0033396A" w:rsidRPr="002D2DB2">
        <w:rPr>
          <w:sz w:val="24"/>
          <w:szCs w:val="24"/>
        </w:rPr>
        <w:t xml:space="preserve"> and c</w:t>
      </w:r>
      <w:r w:rsidR="0033396A">
        <w:rPr>
          <w:sz w:val="24"/>
          <w:szCs w:val="24"/>
        </w:rPr>
        <w:t>omplete</w:t>
      </w:r>
      <w:r w:rsidR="00B244F4">
        <w:rPr>
          <w:sz w:val="24"/>
          <w:szCs w:val="24"/>
        </w:rPr>
        <w:t xml:space="preserve"> phone</w:t>
      </w:r>
      <w:r w:rsidR="0033396A">
        <w:rPr>
          <w:sz w:val="24"/>
          <w:szCs w:val="24"/>
        </w:rPr>
        <w:t xml:space="preserve"> interviews</w:t>
      </w:r>
      <w:r w:rsidR="00671634">
        <w:rPr>
          <w:sz w:val="24"/>
          <w:szCs w:val="24"/>
        </w:rPr>
        <w:t>, the contribution of the phone interview to the total time burden</w:t>
      </w:r>
      <w:r w:rsidR="0033396A">
        <w:rPr>
          <w:sz w:val="24"/>
          <w:szCs w:val="24"/>
        </w:rPr>
        <w:t xml:space="preserve"> total</w:t>
      </w:r>
      <w:r w:rsidR="00671634">
        <w:rPr>
          <w:sz w:val="24"/>
          <w:szCs w:val="24"/>
        </w:rPr>
        <w:t>s</w:t>
      </w:r>
      <w:r w:rsidR="0033396A">
        <w:rPr>
          <w:sz w:val="24"/>
          <w:szCs w:val="24"/>
        </w:rPr>
        <w:t xml:space="preserve"> </w:t>
      </w:r>
      <w:r w:rsidR="00107826">
        <w:rPr>
          <w:sz w:val="24"/>
          <w:szCs w:val="24"/>
        </w:rPr>
        <w:t>65.3</w:t>
      </w:r>
      <w:r w:rsidR="00577929">
        <w:rPr>
          <w:sz w:val="24"/>
          <w:szCs w:val="24"/>
        </w:rPr>
        <w:t xml:space="preserve"> (65)</w:t>
      </w:r>
      <w:r w:rsidRPr="002D2DB2">
        <w:rPr>
          <w:sz w:val="24"/>
          <w:szCs w:val="24"/>
        </w:rPr>
        <w:t xml:space="preserve"> </w:t>
      </w:r>
      <w:r w:rsidR="0033396A" w:rsidRPr="002D2DB2">
        <w:rPr>
          <w:sz w:val="24"/>
          <w:szCs w:val="24"/>
        </w:rPr>
        <w:t>hours.</w:t>
      </w:r>
      <w:r w:rsidR="0033396A">
        <w:rPr>
          <w:sz w:val="24"/>
          <w:szCs w:val="24"/>
        </w:rPr>
        <w:t xml:space="preserve">  </w:t>
      </w:r>
      <w:r w:rsidR="0017452D">
        <w:rPr>
          <w:sz w:val="24"/>
          <w:szCs w:val="24"/>
        </w:rPr>
        <w:t xml:space="preserve">Thus, totaling the time contribution of the </w:t>
      </w:r>
      <w:r w:rsidR="00FC5033">
        <w:rPr>
          <w:sz w:val="24"/>
          <w:szCs w:val="24"/>
        </w:rPr>
        <w:t xml:space="preserve">241 </w:t>
      </w:r>
      <w:r w:rsidR="0017452D">
        <w:rPr>
          <w:sz w:val="24"/>
          <w:szCs w:val="24"/>
        </w:rPr>
        <w:t>completed mail</w:t>
      </w:r>
      <w:r w:rsidR="00FC5033">
        <w:rPr>
          <w:sz w:val="24"/>
          <w:szCs w:val="24"/>
        </w:rPr>
        <w:t xml:space="preserve"> or telephone</w:t>
      </w:r>
      <w:r w:rsidR="0017452D">
        <w:rPr>
          <w:sz w:val="24"/>
          <w:szCs w:val="24"/>
        </w:rPr>
        <w:t xml:space="preserve"> surveys (</w:t>
      </w:r>
      <w:r w:rsidR="00FC5033">
        <w:rPr>
          <w:sz w:val="24"/>
          <w:szCs w:val="24"/>
        </w:rPr>
        <w:t>120.5</w:t>
      </w:r>
      <w:r w:rsidR="0017452D">
        <w:rPr>
          <w:sz w:val="24"/>
          <w:szCs w:val="24"/>
        </w:rPr>
        <w:t xml:space="preserve"> </w:t>
      </w:r>
      <w:r w:rsidR="00577929">
        <w:rPr>
          <w:sz w:val="24"/>
          <w:szCs w:val="24"/>
        </w:rPr>
        <w:t>(121)</w:t>
      </w:r>
      <w:r w:rsidR="0017452D">
        <w:rPr>
          <w:sz w:val="24"/>
          <w:szCs w:val="24"/>
        </w:rPr>
        <w:t>hours) with the time from the phone interviews (</w:t>
      </w:r>
      <w:r w:rsidR="00107826">
        <w:rPr>
          <w:sz w:val="24"/>
          <w:szCs w:val="24"/>
        </w:rPr>
        <w:t>65.3</w:t>
      </w:r>
      <w:r w:rsidR="00FC5033">
        <w:rPr>
          <w:sz w:val="24"/>
          <w:szCs w:val="24"/>
        </w:rPr>
        <w:t xml:space="preserve"> </w:t>
      </w:r>
      <w:r w:rsidR="0017452D">
        <w:rPr>
          <w:sz w:val="24"/>
          <w:szCs w:val="24"/>
        </w:rPr>
        <w:t xml:space="preserve">hours) yields a total of </w:t>
      </w:r>
      <w:r w:rsidR="00FC5033">
        <w:rPr>
          <w:sz w:val="24"/>
          <w:szCs w:val="24"/>
        </w:rPr>
        <w:t>1</w:t>
      </w:r>
      <w:r w:rsidR="00107826">
        <w:rPr>
          <w:sz w:val="24"/>
          <w:szCs w:val="24"/>
        </w:rPr>
        <w:t>85.8</w:t>
      </w:r>
      <w:r w:rsidR="00FC5033">
        <w:rPr>
          <w:sz w:val="24"/>
          <w:szCs w:val="24"/>
        </w:rPr>
        <w:t xml:space="preserve"> </w:t>
      </w:r>
      <w:r w:rsidR="00577929">
        <w:rPr>
          <w:sz w:val="24"/>
          <w:szCs w:val="24"/>
        </w:rPr>
        <w:t xml:space="preserve"> (186) </w:t>
      </w:r>
      <w:r w:rsidR="0017452D">
        <w:rPr>
          <w:sz w:val="24"/>
          <w:szCs w:val="24"/>
        </w:rPr>
        <w:t>hours</w:t>
      </w:r>
      <w:r w:rsidR="00C340E8">
        <w:rPr>
          <w:sz w:val="24"/>
          <w:szCs w:val="24"/>
        </w:rPr>
        <w:t xml:space="preserve"> per year</w:t>
      </w:r>
      <w:r w:rsidR="0093057A">
        <w:rPr>
          <w:sz w:val="24"/>
          <w:szCs w:val="24"/>
        </w:rPr>
        <w:t xml:space="preserve"> (Table 1)</w:t>
      </w:r>
      <w:r w:rsidR="0017452D">
        <w:rPr>
          <w:sz w:val="24"/>
          <w:szCs w:val="24"/>
        </w:rPr>
        <w:t>.</w:t>
      </w:r>
    </w:p>
    <w:p w:rsidR="0033396A" w:rsidRPr="002D2DB2" w:rsidRDefault="0033396A" w:rsidP="002D5298">
      <w:pPr>
        <w:rPr>
          <w:sz w:val="24"/>
          <w:szCs w:val="24"/>
        </w:rPr>
      </w:pPr>
    </w:p>
    <w:p w:rsidR="0033396A" w:rsidRPr="00C85E09" w:rsidRDefault="0033396A" w:rsidP="002D5298">
      <w:pPr>
        <w:rPr>
          <w:sz w:val="24"/>
          <w:szCs w:val="24"/>
        </w:rPr>
      </w:pPr>
      <w:r w:rsidRPr="0017452D">
        <w:rPr>
          <w:sz w:val="24"/>
          <w:szCs w:val="24"/>
        </w:rPr>
        <w:t>The total number of unique respondents to all contacts in the survey implementation will be</w:t>
      </w:r>
      <w:r w:rsidR="0017452D" w:rsidRPr="0017452D">
        <w:rPr>
          <w:sz w:val="24"/>
          <w:szCs w:val="24"/>
        </w:rPr>
        <w:t xml:space="preserve"> </w:t>
      </w:r>
      <w:r w:rsidR="00FC5033">
        <w:rPr>
          <w:sz w:val="24"/>
          <w:szCs w:val="24"/>
        </w:rPr>
        <w:t>241</w:t>
      </w:r>
      <w:r w:rsidR="00FC5033" w:rsidRPr="0017452D">
        <w:rPr>
          <w:sz w:val="24"/>
          <w:szCs w:val="24"/>
        </w:rPr>
        <w:t xml:space="preserve"> </w:t>
      </w:r>
      <w:r w:rsidR="0017452D" w:rsidRPr="0017452D">
        <w:rPr>
          <w:sz w:val="24"/>
          <w:szCs w:val="24"/>
        </w:rPr>
        <w:t>(</w:t>
      </w:r>
      <w:r w:rsidR="00FC5033">
        <w:rPr>
          <w:sz w:val="24"/>
          <w:szCs w:val="24"/>
        </w:rPr>
        <w:t>full</w:t>
      </w:r>
      <w:r w:rsidR="00FC5033" w:rsidRPr="0017452D">
        <w:rPr>
          <w:sz w:val="24"/>
          <w:szCs w:val="24"/>
        </w:rPr>
        <w:t xml:space="preserve"> </w:t>
      </w:r>
      <w:r w:rsidR="0017452D" w:rsidRPr="0017452D">
        <w:rPr>
          <w:sz w:val="24"/>
          <w:szCs w:val="24"/>
        </w:rPr>
        <w:t xml:space="preserve">survey respondents) + </w:t>
      </w:r>
      <w:r w:rsidR="00FC5033">
        <w:rPr>
          <w:sz w:val="24"/>
          <w:szCs w:val="24"/>
        </w:rPr>
        <w:t>392</w:t>
      </w:r>
      <w:r w:rsidR="00FC5033" w:rsidRPr="0017452D">
        <w:rPr>
          <w:sz w:val="24"/>
          <w:szCs w:val="24"/>
        </w:rPr>
        <w:t xml:space="preserve"> </w:t>
      </w:r>
      <w:r w:rsidR="0017452D" w:rsidRPr="0017452D">
        <w:rPr>
          <w:sz w:val="24"/>
          <w:szCs w:val="24"/>
        </w:rPr>
        <w:t xml:space="preserve">(phone respondents) – </w:t>
      </w:r>
      <w:r w:rsidR="00FC5033">
        <w:rPr>
          <w:sz w:val="24"/>
          <w:szCs w:val="24"/>
        </w:rPr>
        <w:t>31</w:t>
      </w:r>
      <w:r w:rsidR="00FC5033" w:rsidRPr="0017452D">
        <w:rPr>
          <w:sz w:val="24"/>
          <w:szCs w:val="24"/>
        </w:rPr>
        <w:t xml:space="preserve"> </w:t>
      </w:r>
      <w:r w:rsidR="0017452D" w:rsidRPr="0017452D">
        <w:rPr>
          <w:sz w:val="24"/>
          <w:szCs w:val="24"/>
        </w:rPr>
        <w:t xml:space="preserve">(phone respondents who also </w:t>
      </w:r>
      <w:r w:rsidR="00FC5033">
        <w:rPr>
          <w:sz w:val="24"/>
          <w:szCs w:val="24"/>
        </w:rPr>
        <w:t>complete the full</w:t>
      </w:r>
      <w:r w:rsidR="0017452D" w:rsidRPr="0017452D">
        <w:rPr>
          <w:sz w:val="24"/>
          <w:szCs w:val="24"/>
        </w:rPr>
        <w:t xml:space="preserve"> survey) = </w:t>
      </w:r>
      <w:r w:rsidR="008A7784">
        <w:rPr>
          <w:sz w:val="24"/>
          <w:szCs w:val="24"/>
        </w:rPr>
        <w:t>6</w:t>
      </w:r>
      <w:r w:rsidR="00FC5033">
        <w:rPr>
          <w:sz w:val="24"/>
          <w:szCs w:val="24"/>
        </w:rPr>
        <w:t>02</w:t>
      </w:r>
      <w:r w:rsidR="008A7784">
        <w:rPr>
          <w:sz w:val="24"/>
          <w:szCs w:val="24"/>
        </w:rPr>
        <w:t xml:space="preserve"> (the total population size)</w:t>
      </w:r>
      <w:r w:rsidRPr="0017452D">
        <w:rPr>
          <w:sz w:val="24"/>
          <w:szCs w:val="24"/>
        </w:rPr>
        <w:t>.</w:t>
      </w:r>
      <w:r w:rsidR="00E13910">
        <w:rPr>
          <w:sz w:val="24"/>
          <w:szCs w:val="24"/>
        </w:rPr>
        <w:t xml:space="preserve">  </w:t>
      </w:r>
    </w:p>
    <w:p w:rsidR="0033396A" w:rsidRDefault="0033396A" w:rsidP="002D5298">
      <w:pPr>
        <w:rPr>
          <w:sz w:val="24"/>
          <w:szCs w:val="24"/>
        </w:rPr>
      </w:pPr>
    </w:p>
    <w:p w:rsidR="00C340E8" w:rsidRPr="00C340E8" w:rsidRDefault="00C340E8" w:rsidP="002D5298">
      <w:pPr>
        <w:rPr>
          <w:i/>
          <w:sz w:val="24"/>
          <w:szCs w:val="24"/>
        </w:rPr>
      </w:pPr>
      <w:r>
        <w:rPr>
          <w:i/>
          <w:sz w:val="24"/>
          <w:szCs w:val="24"/>
        </w:rPr>
        <w:t>Table</w:t>
      </w:r>
      <w:r w:rsidR="0093057A">
        <w:rPr>
          <w:i/>
          <w:sz w:val="24"/>
          <w:szCs w:val="24"/>
        </w:rPr>
        <w:t xml:space="preserve"> 1</w:t>
      </w:r>
      <w:r>
        <w:rPr>
          <w:i/>
          <w:sz w:val="24"/>
          <w:szCs w:val="24"/>
        </w:rPr>
        <w:t xml:space="preserve">.  </w:t>
      </w:r>
      <w:r w:rsidRPr="00C340E8">
        <w:rPr>
          <w:i/>
          <w:sz w:val="24"/>
          <w:szCs w:val="24"/>
        </w:rPr>
        <w:t>Annual Burden Hours by Survey Instrument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394"/>
        <w:gridCol w:w="2394"/>
      </w:tblGrid>
      <w:tr w:rsidR="0033396A" w:rsidRPr="002D2DB2" w:rsidTr="00EE525B">
        <w:tc>
          <w:tcPr>
            <w:tcW w:w="2394" w:type="dxa"/>
            <w:shd w:val="clear" w:color="auto" w:fill="auto"/>
            <w:vAlign w:val="center"/>
          </w:tcPr>
          <w:p w:rsidR="0033396A" w:rsidRPr="002D2DB2" w:rsidRDefault="00BC3FFE" w:rsidP="00EE525B">
            <w:pPr>
              <w:jc w:val="center"/>
              <w:rPr>
                <w:b/>
                <w:sz w:val="24"/>
                <w:szCs w:val="24"/>
              </w:rPr>
            </w:pPr>
            <w:r>
              <w:rPr>
                <w:b/>
                <w:sz w:val="24"/>
                <w:szCs w:val="24"/>
              </w:rPr>
              <w:t>Survey instrument</w:t>
            </w:r>
          </w:p>
        </w:tc>
        <w:tc>
          <w:tcPr>
            <w:tcW w:w="2394" w:type="dxa"/>
            <w:shd w:val="clear" w:color="auto" w:fill="auto"/>
            <w:vAlign w:val="center"/>
          </w:tcPr>
          <w:p w:rsidR="0033396A" w:rsidRPr="002D2DB2" w:rsidRDefault="0033396A" w:rsidP="00FF23C7">
            <w:pPr>
              <w:jc w:val="center"/>
              <w:rPr>
                <w:b/>
                <w:sz w:val="24"/>
                <w:szCs w:val="24"/>
              </w:rPr>
            </w:pPr>
            <w:r w:rsidRPr="002D2DB2">
              <w:rPr>
                <w:b/>
                <w:sz w:val="24"/>
                <w:szCs w:val="24"/>
              </w:rPr>
              <w:t>Estimated number of respondents</w:t>
            </w:r>
            <w:r w:rsidR="00C12705">
              <w:rPr>
                <w:b/>
                <w:sz w:val="24"/>
                <w:szCs w:val="24"/>
              </w:rPr>
              <w:t xml:space="preserve"> </w:t>
            </w:r>
          </w:p>
        </w:tc>
        <w:tc>
          <w:tcPr>
            <w:tcW w:w="2394" w:type="dxa"/>
            <w:shd w:val="clear" w:color="auto" w:fill="auto"/>
            <w:vAlign w:val="center"/>
          </w:tcPr>
          <w:p w:rsidR="0033396A" w:rsidRPr="002D2DB2" w:rsidRDefault="0033396A" w:rsidP="00FF23C7">
            <w:pPr>
              <w:jc w:val="center"/>
              <w:rPr>
                <w:b/>
                <w:sz w:val="24"/>
                <w:szCs w:val="24"/>
              </w:rPr>
            </w:pPr>
            <w:r w:rsidRPr="002D2DB2">
              <w:rPr>
                <w:b/>
                <w:sz w:val="24"/>
                <w:szCs w:val="24"/>
              </w:rPr>
              <w:t>Estimated time per respondent (minutes)</w:t>
            </w:r>
            <w:r w:rsidR="00E13910">
              <w:rPr>
                <w:b/>
                <w:sz w:val="24"/>
                <w:szCs w:val="24"/>
              </w:rPr>
              <w:t xml:space="preserve"> </w:t>
            </w:r>
          </w:p>
        </w:tc>
        <w:tc>
          <w:tcPr>
            <w:tcW w:w="2394" w:type="dxa"/>
            <w:shd w:val="clear" w:color="auto" w:fill="auto"/>
            <w:vAlign w:val="center"/>
          </w:tcPr>
          <w:p w:rsidR="0033396A" w:rsidRPr="002D2DB2" w:rsidRDefault="0033396A" w:rsidP="00EE525B">
            <w:pPr>
              <w:jc w:val="center"/>
              <w:rPr>
                <w:b/>
                <w:sz w:val="24"/>
                <w:szCs w:val="24"/>
              </w:rPr>
            </w:pPr>
            <w:r w:rsidRPr="002D2DB2">
              <w:rPr>
                <w:b/>
                <w:sz w:val="24"/>
                <w:szCs w:val="24"/>
              </w:rPr>
              <w:t>Estimated total annual burden hours</w:t>
            </w:r>
          </w:p>
          <w:p w:rsidR="0033396A" w:rsidRPr="002D2DB2" w:rsidRDefault="0033396A" w:rsidP="00FF23C7">
            <w:pPr>
              <w:jc w:val="center"/>
              <w:rPr>
                <w:b/>
                <w:sz w:val="24"/>
                <w:szCs w:val="24"/>
              </w:rPr>
            </w:pPr>
            <w:r w:rsidRPr="002D2DB2">
              <w:rPr>
                <w:b/>
                <w:sz w:val="24"/>
                <w:szCs w:val="24"/>
              </w:rPr>
              <w:t>(hours)</w:t>
            </w:r>
            <w:r w:rsidR="00E13910">
              <w:rPr>
                <w:b/>
                <w:sz w:val="24"/>
                <w:szCs w:val="24"/>
              </w:rPr>
              <w:t xml:space="preserve"> </w:t>
            </w:r>
          </w:p>
        </w:tc>
      </w:tr>
      <w:tr w:rsidR="0033396A" w:rsidRPr="002D2DB2" w:rsidTr="00EE525B">
        <w:tc>
          <w:tcPr>
            <w:tcW w:w="2394" w:type="dxa"/>
            <w:vAlign w:val="bottom"/>
          </w:tcPr>
          <w:p w:rsidR="0033396A" w:rsidRPr="002D2DB2" w:rsidRDefault="0033396A" w:rsidP="00EE525B">
            <w:pPr>
              <w:rPr>
                <w:sz w:val="24"/>
                <w:szCs w:val="24"/>
              </w:rPr>
            </w:pPr>
            <w:r w:rsidRPr="002D2DB2">
              <w:rPr>
                <w:sz w:val="24"/>
                <w:szCs w:val="24"/>
              </w:rPr>
              <w:t>Mail survey</w:t>
            </w:r>
            <w:r>
              <w:rPr>
                <w:sz w:val="24"/>
                <w:szCs w:val="24"/>
              </w:rPr>
              <w:t xml:space="preserve"> (from initial mailing, postcard reminder</w:t>
            </w:r>
            <w:r w:rsidR="00FC5033">
              <w:rPr>
                <w:sz w:val="24"/>
                <w:szCs w:val="24"/>
              </w:rPr>
              <w:t>, and second full mailing</w:t>
            </w:r>
            <w:r>
              <w:rPr>
                <w:sz w:val="24"/>
                <w:szCs w:val="24"/>
              </w:rPr>
              <w:t>)</w:t>
            </w:r>
            <w:r w:rsidR="00FC5033">
              <w:rPr>
                <w:sz w:val="24"/>
                <w:szCs w:val="24"/>
              </w:rPr>
              <w:t xml:space="preserve"> or full Telephone Interview</w:t>
            </w:r>
          </w:p>
        </w:tc>
        <w:tc>
          <w:tcPr>
            <w:tcW w:w="2394" w:type="dxa"/>
            <w:vAlign w:val="center"/>
          </w:tcPr>
          <w:p w:rsidR="0033396A" w:rsidRPr="002D2DB2" w:rsidRDefault="00FC5033" w:rsidP="00EE525B">
            <w:pPr>
              <w:jc w:val="center"/>
              <w:rPr>
                <w:sz w:val="24"/>
                <w:szCs w:val="24"/>
              </w:rPr>
            </w:pPr>
            <w:r>
              <w:rPr>
                <w:sz w:val="24"/>
                <w:szCs w:val="24"/>
              </w:rPr>
              <w:t>241</w:t>
            </w:r>
          </w:p>
        </w:tc>
        <w:tc>
          <w:tcPr>
            <w:tcW w:w="2394" w:type="dxa"/>
            <w:vAlign w:val="center"/>
          </w:tcPr>
          <w:p w:rsidR="0033396A" w:rsidRPr="002D2DB2" w:rsidRDefault="00FC5033" w:rsidP="00EE525B">
            <w:pPr>
              <w:jc w:val="center"/>
              <w:rPr>
                <w:sz w:val="24"/>
                <w:szCs w:val="24"/>
              </w:rPr>
            </w:pPr>
            <w:r>
              <w:rPr>
                <w:sz w:val="24"/>
                <w:szCs w:val="24"/>
              </w:rPr>
              <w:t>30</w:t>
            </w:r>
          </w:p>
        </w:tc>
        <w:tc>
          <w:tcPr>
            <w:tcW w:w="2394" w:type="dxa"/>
            <w:vAlign w:val="center"/>
          </w:tcPr>
          <w:p w:rsidR="0033396A" w:rsidRPr="002D2DB2" w:rsidRDefault="00FC5033" w:rsidP="00EE525B">
            <w:pPr>
              <w:jc w:val="center"/>
              <w:rPr>
                <w:sz w:val="24"/>
                <w:szCs w:val="24"/>
              </w:rPr>
            </w:pPr>
            <w:r>
              <w:rPr>
                <w:sz w:val="24"/>
                <w:szCs w:val="24"/>
              </w:rPr>
              <w:t>12</w:t>
            </w:r>
            <w:r w:rsidR="00577929">
              <w:rPr>
                <w:sz w:val="24"/>
                <w:szCs w:val="24"/>
              </w:rPr>
              <w:t>1</w:t>
            </w:r>
          </w:p>
        </w:tc>
      </w:tr>
      <w:tr w:rsidR="00BC3FFE" w:rsidRPr="002D2DB2" w:rsidTr="00EE525B">
        <w:tc>
          <w:tcPr>
            <w:tcW w:w="2394" w:type="dxa"/>
            <w:vAlign w:val="bottom"/>
          </w:tcPr>
          <w:p w:rsidR="00BC3FFE" w:rsidRPr="002D2DB2" w:rsidRDefault="00BC3FFE" w:rsidP="00EE525B">
            <w:pPr>
              <w:rPr>
                <w:sz w:val="24"/>
                <w:szCs w:val="24"/>
              </w:rPr>
            </w:pPr>
            <w:r w:rsidRPr="002D2DB2">
              <w:rPr>
                <w:sz w:val="24"/>
                <w:szCs w:val="24"/>
              </w:rPr>
              <w:t xml:space="preserve">Follow-up phone </w:t>
            </w:r>
            <w:r w:rsidR="0017452D">
              <w:rPr>
                <w:sz w:val="24"/>
                <w:szCs w:val="24"/>
              </w:rPr>
              <w:t>survey</w:t>
            </w:r>
          </w:p>
        </w:tc>
        <w:tc>
          <w:tcPr>
            <w:tcW w:w="2394" w:type="dxa"/>
            <w:vAlign w:val="center"/>
          </w:tcPr>
          <w:p w:rsidR="00BC3FFE" w:rsidRPr="002D2DB2" w:rsidRDefault="00FC5033" w:rsidP="00EE525B">
            <w:pPr>
              <w:jc w:val="center"/>
              <w:rPr>
                <w:sz w:val="24"/>
                <w:szCs w:val="24"/>
                <w:vertAlign w:val="superscript"/>
              </w:rPr>
            </w:pPr>
            <w:r>
              <w:rPr>
                <w:sz w:val="24"/>
                <w:szCs w:val="24"/>
              </w:rPr>
              <w:t>392</w:t>
            </w:r>
            <w:r w:rsidRPr="00C85E09">
              <w:rPr>
                <w:sz w:val="24"/>
                <w:szCs w:val="24"/>
                <w:vertAlign w:val="superscript"/>
              </w:rPr>
              <w:t>a</w:t>
            </w:r>
          </w:p>
        </w:tc>
        <w:tc>
          <w:tcPr>
            <w:tcW w:w="2394" w:type="dxa"/>
            <w:vAlign w:val="center"/>
          </w:tcPr>
          <w:p w:rsidR="00BC3FFE" w:rsidRPr="002D2DB2" w:rsidRDefault="00107826" w:rsidP="00EE525B">
            <w:pPr>
              <w:jc w:val="center"/>
              <w:rPr>
                <w:sz w:val="24"/>
                <w:szCs w:val="24"/>
              </w:rPr>
            </w:pPr>
            <w:r>
              <w:rPr>
                <w:sz w:val="24"/>
                <w:szCs w:val="24"/>
              </w:rPr>
              <w:t>10</w:t>
            </w:r>
          </w:p>
        </w:tc>
        <w:tc>
          <w:tcPr>
            <w:tcW w:w="2394" w:type="dxa"/>
            <w:vAlign w:val="center"/>
          </w:tcPr>
          <w:p w:rsidR="00BC3FFE" w:rsidRPr="002D2DB2" w:rsidRDefault="00107826" w:rsidP="00EE525B">
            <w:pPr>
              <w:jc w:val="center"/>
              <w:rPr>
                <w:sz w:val="24"/>
                <w:szCs w:val="24"/>
              </w:rPr>
            </w:pPr>
            <w:r>
              <w:rPr>
                <w:sz w:val="24"/>
                <w:szCs w:val="24"/>
              </w:rPr>
              <w:t>65</w:t>
            </w:r>
          </w:p>
        </w:tc>
      </w:tr>
      <w:tr w:rsidR="0033396A" w:rsidRPr="002D2DB2" w:rsidTr="00EE525B">
        <w:tc>
          <w:tcPr>
            <w:tcW w:w="2394" w:type="dxa"/>
            <w:tcBorders>
              <w:bottom w:val="single" w:sz="4" w:space="0" w:color="auto"/>
            </w:tcBorders>
            <w:vAlign w:val="bottom"/>
          </w:tcPr>
          <w:p w:rsidR="0033396A" w:rsidRPr="002D2DB2" w:rsidRDefault="00FF23C7" w:rsidP="00EE525B">
            <w:pPr>
              <w:rPr>
                <w:sz w:val="24"/>
                <w:szCs w:val="24"/>
              </w:rPr>
            </w:pPr>
            <w:r>
              <w:rPr>
                <w:sz w:val="24"/>
                <w:szCs w:val="24"/>
              </w:rPr>
              <w:t>T</w:t>
            </w:r>
            <w:r w:rsidR="0033396A">
              <w:rPr>
                <w:sz w:val="24"/>
                <w:szCs w:val="24"/>
              </w:rPr>
              <w:t>otals</w:t>
            </w:r>
          </w:p>
        </w:tc>
        <w:tc>
          <w:tcPr>
            <w:tcW w:w="2394" w:type="dxa"/>
            <w:tcBorders>
              <w:bottom w:val="single" w:sz="4" w:space="0" w:color="auto"/>
            </w:tcBorders>
            <w:vAlign w:val="center"/>
          </w:tcPr>
          <w:p w:rsidR="0033396A" w:rsidRPr="002D2DB2" w:rsidRDefault="00FC5033" w:rsidP="00EE525B">
            <w:pPr>
              <w:jc w:val="center"/>
              <w:rPr>
                <w:sz w:val="24"/>
                <w:szCs w:val="24"/>
              </w:rPr>
            </w:pPr>
            <w:r>
              <w:rPr>
                <w:b/>
                <w:sz w:val="24"/>
                <w:szCs w:val="24"/>
              </w:rPr>
              <w:t>602</w:t>
            </w:r>
            <w:r>
              <w:rPr>
                <w:sz w:val="24"/>
                <w:szCs w:val="24"/>
                <w:vertAlign w:val="superscript"/>
              </w:rPr>
              <w:t xml:space="preserve">b </w:t>
            </w:r>
            <w:r w:rsidR="009754C8">
              <w:rPr>
                <w:sz w:val="24"/>
                <w:szCs w:val="24"/>
                <w:vertAlign w:val="superscript"/>
              </w:rPr>
              <w:t>(</w:t>
            </w:r>
            <w:r w:rsidRPr="009754C8">
              <w:rPr>
                <w:sz w:val="24"/>
                <w:szCs w:val="24"/>
              </w:rPr>
              <w:t>6</w:t>
            </w:r>
            <w:r>
              <w:rPr>
                <w:sz w:val="24"/>
                <w:szCs w:val="24"/>
              </w:rPr>
              <w:t>33</w:t>
            </w:r>
            <w:r>
              <w:rPr>
                <w:sz w:val="24"/>
                <w:szCs w:val="24"/>
                <w:vertAlign w:val="superscript"/>
              </w:rPr>
              <w:t xml:space="preserve"> </w:t>
            </w:r>
            <w:r w:rsidR="009754C8">
              <w:rPr>
                <w:sz w:val="24"/>
                <w:szCs w:val="24"/>
              </w:rPr>
              <w:t>with duplication)</w:t>
            </w:r>
          </w:p>
        </w:tc>
        <w:tc>
          <w:tcPr>
            <w:tcW w:w="2394" w:type="dxa"/>
            <w:tcBorders>
              <w:bottom w:val="single" w:sz="4" w:space="0" w:color="auto"/>
            </w:tcBorders>
            <w:vAlign w:val="center"/>
          </w:tcPr>
          <w:p w:rsidR="0033396A" w:rsidRPr="002D2DB2" w:rsidRDefault="0033396A" w:rsidP="00EE525B">
            <w:pPr>
              <w:jc w:val="center"/>
              <w:rPr>
                <w:sz w:val="24"/>
                <w:szCs w:val="24"/>
              </w:rPr>
            </w:pPr>
          </w:p>
        </w:tc>
        <w:tc>
          <w:tcPr>
            <w:tcW w:w="2394" w:type="dxa"/>
            <w:tcBorders>
              <w:bottom w:val="single" w:sz="4" w:space="0" w:color="auto"/>
            </w:tcBorders>
            <w:vAlign w:val="center"/>
          </w:tcPr>
          <w:p w:rsidR="0033396A" w:rsidRPr="000002F1" w:rsidRDefault="00107826" w:rsidP="00EE525B">
            <w:pPr>
              <w:jc w:val="center"/>
              <w:rPr>
                <w:b/>
                <w:sz w:val="24"/>
                <w:szCs w:val="24"/>
              </w:rPr>
            </w:pPr>
            <w:r>
              <w:rPr>
                <w:b/>
                <w:sz w:val="24"/>
                <w:szCs w:val="24"/>
              </w:rPr>
              <w:t>18</w:t>
            </w:r>
            <w:r w:rsidR="00577929">
              <w:rPr>
                <w:b/>
                <w:sz w:val="24"/>
                <w:szCs w:val="24"/>
              </w:rPr>
              <w:t>6</w:t>
            </w:r>
          </w:p>
        </w:tc>
      </w:tr>
      <w:tr w:rsidR="0033396A" w:rsidRPr="002D2DB2">
        <w:tc>
          <w:tcPr>
            <w:tcW w:w="9576" w:type="dxa"/>
            <w:gridSpan w:val="4"/>
            <w:tcBorders>
              <w:top w:val="single" w:sz="4" w:space="0" w:color="auto"/>
              <w:left w:val="nil"/>
              <w:bottom w:val="nil"/>
              <w:right w:val="nil"/>
            </w:tcBorders>
          </w:tcPr>
          <w:p w:rsidR="0033396A" w:rsidRDefault="0033396A" w:rsidP="002D5298">
            <w:proofErr w:type="gramStart"/>
            <w:r w:rsidRPr="00F76160">
              <w:rPr>
                <w:vertAlign w:val="superscript"/>
              </w:rPr>
              <w:t>a</w:t>
            </w:r>
            <w:proofErr w:type="gramEnd"/>
            <w:r w:rsidRPr="00C93C88">
              <w:t xml:space="preserve"> </w:t>
            </w:r>
            <w:r>
              <w:t xml:space="preserve">Number of successful phone contacts of </w:t>
            </w:r>
            <w:r w:rsidR="00D629DF">
              <w:t xml:space="preserve">CHP </w:t>
            </w:r>
            <w:r>
              <w:t>holders that have not returned completed surveys following initial mailing</w:t>
            </w:r>
            <w:r w:rsidR="00D629DF">
              <w:t xml:space="preserve">, </w:t>
            </w:r>
            <w:r>
              <w:t>postcard reminder</w:t>
            </w:r>
            <w:r w:rsidR="00D629DF">
              <w:t>,</w:t>
            </w:r>
            <w:r w:rsidR="00FC5033">
              <w:t xml:space="preserve"> and second full mailing</w:t>
            </w:r>
            <w:r>
              <w:t>.</w:t>
            </w:r>
          </w:p>
          <w:p w:rsidR="0033396A" w:rsidRPr="002D2DB2" w:rsidRDefault="0033396A" w:rsidP="00FC5033">
            <w:pPr>
              <w:rPr>
                <w:sz w:val="24"/>
                <w:szCs w:val="24"/>
              </w:rPr>
            </w:pPr>
            <w:proofErr w:type="gramStart"/>
            <w:r w:rsidRPr="007B363D">
              <w:rPr>
                <w:vertAlign w:val="superscript"/>
              </w:rPr>
              <w:t>b</w:t>
            </w:r>
            <w:proofErr w:type="gramEnd"/>
            <w:r w:rsidRPr="00C93C88">
              <w:t xml:space="preserve"> </w:t>
            </w:r>
            <w:r w:rsidRPr="008B16D7">
              <w:t xml:space="preserve">Total </w:t>
            </w:r>
            <w:r w:rsidR="0017452D">
              <w:t xml:space="preserve">unique </w:t>
            </w:r>
            <w:r w:rsidRPr="008B16D7">
              <w:t xml:space="preserve">respondents reflect the total </w:t>
            </w:r>
            <w:r w:rsidR="00FC5033">
              <w:t>CHP holder</w:t>
            </w:r>
            <w:r w:rsidRPr="008B16D7">
              <w:t xml:space="preserve">s </w:t>
            </w:r>
            <w:r w:rsidR="0017452D">
              <w:t xml:space="preserve">who </w:t>
            </w:r>
            <w:r>
              <w:t xml:space="preserve">complete </w:t>
            </w:r>
            <w:r w:rsidR="00D629DF">
              <w:t xml:space="preserve">the </w:t>
            </w:r>
            <w:r w:rsidR="00FC5033">
              <w:t>mail</w:t>
            </w:r>
            <w:r w:rsidR="00B244F4">
              <w:t xml:space="preserve"> </w:t>
            </w:r>
            <w:r>
              <w:t xml:space="preserve">survey </w:t>
            </w:r>
            <w:r w:rsidR="00B244F4">
              <w:t>and all who compl</w:t>
            </w:r>
            <w:r w:rsidR="0020148A">
              <w:t>e</w:t>
            </w:r>
            <w:r w:rsidR="00B244F4">
              <w:t>ted the phone interview</w:t>
            </w:r>
            <w:r w:rsidR="0020148A">
              <w:t xml:space="preserve">, </w:t>
            </w:r>
            <w:r w:rsidR="00B244F4">
              <w:t>including those who completed the survey afterward</w:t>
            </w:r>
            <w:r w:rsidR="00523DDE">
              <w:t xml:space="preserve"> </w:t>
            </w:r>
            <w:r w:rsidR="0017452D">
              <w:t>(accounts for individuals who completed both)</w:t>
            </w:r>
            <w:r>
              <w:t>.</w:t>
            </w:r>
          </w:p>
        </w:tc>
      </w:tr>
    </w:tbl>
    <w:p w:rsidR="0033396A" w:rsidRDefault="0033396A" w:rsidP="002D5298">
      <w:pPr>
        <w:rPr>
          <w:sz w:val="24"/>
          <w:szCs w:val="24"/>
        </w:rPr>
      </w:pPr>
    </w:p>
    <w:p w:rsidR="0033396A" w:rsidRDefault="0033396A" w:rsidP="00851E40">
      <w:pPr>
        <w:rPr>
          <w:sz w:val="24"/>
          <w:szCs w:val="24"/>
        </w:rPr>
      </w:pPr>
      <w:r>
        <w:rPr>
          <w:b/>
          <w:bCs/>
          <w:sz w:val="24"/>
          <w:szCs w:val="24"/>
        </w:rPr>
        <w:t>13.</w:t>
      </w:r>
      <w:r w:rsidR="00EE525B">
        <w:rPr>
          <w:b/>
          <w:bCs/>
          <w:sz w:val="24"/>
          <w:szCs w:val="24"/>
        </w:rPr>
        <w:t xml:space="preserve">  </w:t>
      </w:r>
      <w:r>
        <w:rPr>
          <w:b/>
          <w:bCs/>
          <w:sz w:val="24"/>
          <w:szCs w:val="24"/>
          <w:u w:val="single"/>
        </w:rPr>
        <w:t xml:space="preserve">Provide an estimate of the total annual cost burden to the respondents or record-keepers resulting from the collection (excluding the value of the burden </w:t>
      </w:r>
      <w:proofErr w:type="gramStart"/>
      <w:r>
        <w:rPr>
          <w:b/>
          <w:bCs/>
          <w:sz w:val="24"/>
          <w:szCs w:val="24"/>
          <w:u w:val="single"/>
        </w:rPr>
        <w:t>hours</w:t>
      </w:r>
      <w:proofErr w:type="gramEnd"/>
      <w:r>
        <w:rPr>
          <w:b/>
          <w:bCs/>
          <w:sz w:val="24"/>
          <w:szCs w:val="24"/>
          <w:u w:val="single"/>
        </w:rPr>
        <w:t xml:space="preserve"> </w:t>
      </w:r>
      <w:proofErr w:type="spellStart"/>
      <w:r>
        <w:rPr>
          <w:b/>
          <w:bCs/>
          <w:sz w:val="24"/>
          <w:szCs w:val="24"/>
          <w:u w:val="single"/>
        </w:rPr>
        <w:t>in</w:t>
      </w:r>
      <w:r w:rsidR="00851E40">
        <w:rPr>
          <w:b/>
          <w:bCs/>
          <w:sz w:val="24"/>
          <w:szCs w:val="24"/>
          <w:u w:val="single"/>
        </w:rPr>
        <w:t>Question</w:t>
      </w:r>
      <w:proofErr w:type="spellEnd"/>
      <w:r w:rsidR="00EE525B">
        <w:rPr>
          <w:b/>
          <w:bCs/>
          <w:sz w:val="24"/>
          <w:szCs w:val="24"/>
          <w:u w:val="single"/>
        </w:rPr>
        <w:t xml:space="preserve"> </w:t>
      </w:r>
      <w:r>
        <w:rPr>
          <w:b/>
          <w:bCs/>
          <w:sz w:val="24"/>
          <w:szCs w:val="24"/>
          <w:u w:val="single"/>
        </w:rPr>
        <w:t>12 above)</w:t>
      </w:r>
      <w:r>
        <w:rPr>
          <w:b/>
          <w:bCs/>
          <w:sz w:val="24"/>
          <w:szCs w:val="24"/>
        </w:rPr>
        <w:t>.</w:t>
      </w:r>
    </w:p>
    <w:p w:rsidR="0033396A" w:rsidRDefault="0033396A" w:rsidP="002D5298">
      <w:pPr>
        <w:rPr>
          <w:sz w:val="24"/>
          <w:szCs w:val="24"/>
        </w:rPr>
      </w:pPr>
    </w:p>
    <w:p w:rsidR="0033396A" w:rsidRPr="00210ED8" w:rsidRDefault="0033396A" w:rsidP="002D5298">
      <w:pPr>
        <w:rPr>
          <w:sz w:val="24"/>
          <w:szCs w:val="24"/>
        </w:rPr>
      </w:pPr>
      <w:r w:rsidRPr="00210ED8">
        <w:rPr>
          <w:sz w:val="24"/>
          <w:szCs w:val="24"/>
        </w:rPr>
        <w:t>No additional cost burden will be imposed on respondents aside from the burden hours indicated above.</w:t>
      </w:r>
    </w:p>
    <w:p w:rsidR="0033396A" w:rsidRDefault="0033396A" w:rsidP="002D5298">
      <w:pPr>
        <w:rPr>
          <w:sz w:val="24"/>
          <w:szCs w:val="24"/>
        </w:rPr>
      </w:pPr>
    </w:p>
    <w:p w:rsidR="0033396A" w:rsidRDefault="00B11CBE" w:rsidP="00D87CD3">
      <w:pPr>
        <w:widowControl/>
        <w:autoSpaceDE/>
        <w:autoSpaceDN/>
        <w:adjustRightInd/>
        <w:rPr>
          <w:sz w:val="24"/>
          <w:szCs w:val="24"/>
        </w:rPr>
      </w:pPr>
      <w:r>
        <w:rPr>
          <w:b/>
          <w:bCs/>
          <w:sz w:val="24"/>
          <w:szCs w:val="24"/>
        </w:rPr>
        <w:br w:type="page"/>
      </w:r>
      <w:r w:rsidR="0033396A">
        <w:rPr>
          <w:b/>
          <w:bCs/>
          <w:sz w:val="24"/>
          <w:szCs w:val="24"/>
        </w:rPr>
        <w:lastRenderedPageBreak/>
        <w:t>14.</w:t>
      </w:r>
      <w:r w:rsidR="00EE525B">
        <w:rPr>
          <w:b/>
          <w:bCs/>
          <w:sz w:val="24"/>
          <w:szCs w:val="24"/>
        </w:rPr>
        <w:t xml:space="preserve">  </w:t>
      </w:r>
      <w:r w:rsidR="0033396A">
        <w:rPr>
          <w:b/>
          <w:bCs/>
          <w:sz w:val="24"/>
          <w:szCs w:val="24"/>
          <w:u w:val="single"/>
        </w:rPr>
        <w:t>Provide estimates of annualized cost to the Federal government</w:t>
      </w:r>
      <w:r w:rsidR="0033396A">
        <w:rPr>
          <w:b/>
          <w:bCs/>
          <w:sz w:val="24"/>
          <w:szCs w:val="24"/>
        </w:rPr>
        <w:t>.</w:t>
      </w:r>
    </w:p>
    <w:p w:rsidR="0033396A" w:rsidRDefault="0033396A" w:rsidP="002D5298">
      <w:pPr>
        <w:rPr>
          <w:sz w:val="24"/>
          <w:szCs w:val="24"/>
        </w:rPr>
      </w:pPr>
    </w:p>
    <w:p w:rsidR="0033396A" w:rsidRPr="00210ED8" w:rsidRDefault="00FF23C7" w:rsidP="002D5298">
      <w:pPr>
        <w:rPr>
          <w:sz w:val="24"/>
          <w:szCs w:val="24"/>
        </w:rPr>
      </w:pPr>
      <w:r>
        <w:rPr>
          <w:sz w:val="24"/>
          <w:szCs w:val="24"/>
        </w:rPr>
        <w:t>C</w:t>
      </w:r>
      <w:r w:rsidR="0033396A" w:rsidRPr="00210ED8">
        <w:rPr>
          <w:sz w:val="24"/>
          <w:szCs w:val="24"/>
        </w:rPr>
        <w:t>ost to the Federal government of the</w:t>
      </w:r>
      <w:r w:rsidR="0020148A">
        <w:rPr>
          <w:sz w:val="24"/>
          <w:szCs w:val="24"/>
        </w:rPr>
        <w:t xml:space="preserve"> survey implementation</w:t>
      </w:r>
      <w:r w:rsidR="0033396A" w:rsidRPr="00210ED8">
        <w:rPr>
          <w:sz w:val="24"/>
          <w:szCs w:val="24"/>
        </w:rPr>
        <w:t xml:space="preserve"> is approximately $</w:t>
      </w:r>
      <w:r w:rsidR="00FC5033">
        <w:rPr>
          <w:sz w:val="24"/>
          <w:szCs w:val="24"/>
        </w:rPr>
        <w:t>40</w:t>
      </w:r>
      <w:r w:rsidR="00577929">
        <w:rPr>
          <w:sz w:val="24"/>
          <w:szCs w:val="24"/>
        </w:rPr>
        <w:t>,000</w:t>
      </w:r>
      <w:r w:rsidR="00B11CBE">
        <w:rPr>
          <w:sz w:val="24"/>
          <w:szCs w:val="24"/>
        </w:rPr>
        <w:t>,</w:t>
      </w:r>
      <w:r w:rsidR="00577929">
        <w:rPr>
          <w:sz w:val="24"/>
          <w:szCs w:val="24"/>
        </w:rPr>
        <w:t xml:space="preserve"> divided as follows: </w:t>
      </w:r>
      <w:r w:rsidR="0033396A" w:rsidRPr="00210ED8">
        <w:rPr>
          <w:sz w:val="24"/>
          <w:szCs w:val="24"/>
        </w:rPr>
        <w:t>$</w:t>
      </w:r>
      <w:r w:rsidR="00FC5033">
        <w:rPr>
          <w:sz w:val="24"/>
          <w:szCs w:val="24"/>
        </w:rPr>
        <w:t>35</w:t>
      </w:r>
      <w:r w:rsidR="0033396A" w:rsidRPr="00210ED8">
        <w:rPr>
          <w:sz w:val="24"/>
          <w:szCs w:val="24"/>
        </w:rPr>
        <w:t>,000 in contract award money and $</w:t>
      </w:r>
      <w:r w:rsidR="00FC5033">
        <w:rPr>
          <w:sz w:val="24"/>
          <w:szCs w:val="24"/>
        </w:rPr>
        <w:t>5</w:t>
      </w:r>
      <w:r w:rsidR="0033396A" w:rsidRPr="00210ED8">
        <w:rPr>
          <w:sz w:val="24"/>
          <w:szCs w:val="24"/>
        </w:rPr>
        <w:t>,000 in staff time and resources.</w:t>
      </w:r>
    </w:p>
    <w:p w:rsidR="0033396A" w:rsidRDefault="0033396A" w:rsidP="002D5298">
      <w:pPr>
        <w:rPr>
          <w:sz w:val="24"/>
          <w:szCs w:val="24"/>
        </w:rPr>
      </w:pPr>
    </w:p>
    <w:p w:rsidR="0033396A" w:rsidRDefault="0033396A" w:rsidP="002D5298">
      <w:pPr>
        <w:ind w:left="360" w:hanging="360"/>
        <w:rPr>
          <w:sz w:val="24"/>
          <w:szCs w:val="24"/>
        </w:rPr>
      </w:pPr>
      <w:r>
        <w:rPr>
          <w:b/>
          <w:bCs/>
          <w:sz w:val="24"/>
          <w:szCs w:val="24"/>
        </w:rPr>
        <w:t>15.</w:t>
      </w:r>
      <w:r w:rsidR="00EE525B">
        <w:rPr>
          <w:b/>
          <w:bCs/>
          <w:sz w:val="24"/>
          <w:szCs w:val="24"/>
        </w:rPr>
        <w:t xml:space="preserve">  </w:t>
      </w:r>
      <w:r>
        <w:rPr>
          <w:b/>
          <w:bCs/>
          <w:sz w:val="24"/>
          <w:szCs w:val="24"/>
          <w:u w:val="single"/>
        </w:rPr>
        <w:t>Explain the reasons for any program changes or adjustments reported</w:t>
      </w:r>
      <w:r>
        <w:rPr>
          <w:b/>
          <w:bCs/>
          <w:sz w:val="24"/>
          <w:szCs w:val="24"/>
        </w:rPr>
        <w:t>.</w:t>
      </w:r>
    </w:p>
    <w:p w:rsidR="0033396A" w:rsidRDefault="0033396A" w:rsidP="002D5298">
      <w:pPr>
        <w:rPr>
          <w:sz w:val="24"/>
          <w:szCs w:val="24"/>
        </w:rPr>
      </w:pPr>
    </w:p>
    <w:p w:rsidR="0033396A" w:rsidRPr="00210ED8" w:rsidRDefault="0033396A" w:rsidP="002D5298">
      <w:pPr>
        <w:rPr>
          <w:sz w:val="24"/>
          <w:szCs w:val="24"/>
        </w:rPr>
      </w:pPr>
      <w:r w:rsidRPr="00210ED8">
        <w:rPr>
          <w:sz w:val="24"/>
          <w:szCs w:val="24"/>
        </w:rPr>
        <w:t>This is a new collection.</w:t>
      </w:r>
    </w:p>
    <w:p w:rsidR="0033396A" w:rsidRDefault="0033396A" w:rsidP="002D5298">
      <w:pPr>
        <w:rPr>
          <w:sz w:val="24"/>
          <w:szCs w:val="24"/>
        </w:rPr>
      </w:pPr>
    </w:p>
    <w:p w:rsidR="0033396A" w:rsidRDefault="0033396A" w:rsidP="00EE525B">
      <w:pPr>
        <w:rPr>
          <w:sz w:val="24"/>
          <w:szCs w:val="24"/>
        </w:rPr>
      </w:pPr>
      <w:r w:rsidRPr="0096028F">
        <w:rPr>
          <w:b/>
          <w:bCs/>
          <w:sz w:val="24"/>
          <w:szCs w:val="24"/>
        </w:rPr>
        <w:t>16.</w:t>
      </w:r>
      <w:r w:rsidR="00EE525B">
        <w:rPr>
          <w:b/>
          <w:bCs/>
          <w:sz w:val="24"/>
          <w:szCs w:val="24"/>
        </w:rPr>
        <w:t xml:space="preserve">  </w:t>
      </w:r>
      <w:r w:rsidRPr="0096028F">
        <w:rPr>
          <w:b/>
          <w:bCs/>
          <w:sz w:val="24"/>
          <w:szCs w:val="24"/>
          <w:u w:val="single"/>
        </w:rPr>
        <w:t>For collections whose results will be published, outline the plans for tabulation and publication</w:t>
      </w:r>
      <w:r w:rsidRPr="0096028F">
        <w:rPr>
          <w:b/>
          <w:bCs/>
          <w:sz w:val="24"/>
          <w:szCs w:val="24"/>
        </w:rPr>
        <w:t>.</w:t>
      </w:r>
    </w:p>
    <w:p w:rsidR="0033396A" w:rsidRDefault="0033396A" w:rsidP="002D5298">
      <w:pPr>
        <w:rPr>
          <w:sz w:val="24"/>
          <w:szCs w:val="24"/>
        </w:rPr>
      </w:pPr>
    </w:p>
    <w:p w:rsidR="0033396A" w:rsidRDefault="007A18EC" w:rsidP="002D5298">
      <w:pPr>
        <w:rPr>
          <w:sz w:val="24"/>
          <w:szCs w:val="24"/>
        </w:rPr>
      </w:pPr>
      <w:r>
        <w:rPr>
          <w:sz w:val="24"/>
          <w:szCs w:val="24"/>
        </w:rPr>
        <w:t>The response rates, survey data, and analysis of the data will be described in a report.  A separate paper describing economic models used to analyze the data and the results from estimating these models will be submitted to a peer-reviewed journal.</w:t>
      </w:r>
    </w:p>
    <w:p w:rsidR="0033396A" w:rsidRDefault="0033396A" w:rsidP="002D5298">
      <w:pPr>
        <w:rPr>
          <w:sz w:val="24"/>
          <w:szCs w:val="24"/>
        </w:rPr>
      </w:pPr>
    </w:p>
    <w:p w:rsidR="0033396A" w:rsidRDefault="0033396A" w:rsidP="00EE525B">
      <w:pPr>
        <w:rPr>
          <w:sz w:val="24"/>
          <w:szCs w:val="24"/>
        </w:rPr>
      </w:pPr>
      <w:r>
        <w:rPr>
          <w:b/>
          <w:bCs/>
          <w:sz w:val="24"/>
          <w:szCs w:val="24"/>
        </w:rPr>
        <w:t>17.</w:t>
      </w:r>
      <w:r w:rsidR="00EE525B">
        <w:rPr>
          <w:b/>
          <w:bCs/>
          <w:sz w:val="24"/>
          <w:szCs w:val="24"/>
        </w:rPr>
        <w:t xml:space="preserve">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33396A" w:rsidRDefault="0033396A" w:rsidP="002D5298">
      <w:pPr>
        <w:rPr>
          <w:sz w:val="24"/>
          <w:szCs w:val="24"/>
        </w:rPr>
      </w:pPr>
    </w:p>
    <w:p w:rsidR="0033396A" w:rsidRDefault="00EE525B" w:rsidP="002D5298">
      <w:pPr>
        <w:widowControl/>
        <w:rPr>
          <w:rFonts w:ascii="TimesNewRoman" w:hAnsi="TimesNewRoman" w:cs="TimesNewRoman"/>
        </w:rPr>
      </w:pPr>
      <w:r>
        <w:rPr>
          <w:sz w:val="24"/>
          <w:szCs w:val="24"/>
        </w:rPr>
        <w:t>Not Applicable.</w:t>
      </w:r>
    </w:p>
    <w:p w:rsidR="0033396A" w:rsidRDefault="0033396A" w:rsidP="002D5298">
      <w:pPr>
        <w:rPr>
          <w:sz w:val="24"/>
          <w:szCs w:val="24"/>
        </w:rPr>
      </w:pPr>
    </w:p>
    <w:p w:rsidR="0033396A" w:rsidRDefault="0033396A" w:rsidP="002D5298">
      <w:pPr>
        <w:ind w:left="360" w:hanging="360"/>
        <w:rPr>
          <w:sz w:val="24"/>
          <w:szCs w:val="24"/>
        </w:rPr>
      </w:pPr>
      <w:r>
        <w:rPr>
          <w:b/>
          <w:bCs/>
          <w:sz w:val="24"/>
          <w:szCs w:val="24"/>
        </w:rPr>
        <w:t>18.</w:t>
      </w:r>
      <w:r w:rsidR="00EE525B">
        <w:rPr>
          <w:b/>
          <w:bCs/>
          <w:sz w:val="24"/>
          <w:szCs w:val="24"/>
        </w:rPr>
        <w:t xml:space="preserve">  </w:t>
      </w:r>
      <w:r>
        <w:rPr>
          <w:b/>
          <w:bCs/>
          <w:sz w:val="24"/>
          <w:szCs w:val="24"/>
          <w:u w:val="single"/>
        </w:rPr>
        <w:t>Explain each exception to the certification statement</w:t>
      </w:r>
      <w:r w:rsidR="00851E40">
        <w:rPr>
          <w:b/>
          <w:bCs/>
          <w:sz w:val="24"/>
          <w:szCs w:val="24"/>
          <w:u w:val="single"/>
        </w:rPr>
        <w:t>.</w:t>
      </w:r>
    </w:p>
    <w:p w:rsidR="0033396A" w:rsidRDefault="0033396A" w:rsidP="002D5298">
      <w:pPr>
        <w:rPr>
          <w:sz w:val="24"/>
          <w:szCs w:val="24"/>
        </w:rPr>
      </w:pPr>
    </w:p>
    <w:p w:rsidR="00ED001C" w:rsidRPr="00ED001C" w:rsidRDefault="00EE525B" w:rsidP="00F94EA8">
      <w:pPr>
        <w:widowControl/>
        <w:rPr>
          <w:sz w:val="24"/>
          <w:szCs w:val="24"/>
        </w:rPr>
      </w:pPr>
      <w:bookmarkStart w:id="4" w:name="_GoBack"/>
      <w:bookmarkEnd w:id="4"/>
      <w:r>
        <w:rPr>
          <w:sz w:val="24"/>
          <w:szCs w:val="24"/>
        </w:rPr>
        <w:t>Not Applicable.</w:t>
      </w:r>
      <w:r w:rsidR="00F94EA8">
        <w:rPr>
          <w:sz w:val="24"/>
          <w:szCs w:val="24"/>
        </w:rPr>
        <w:t xml:space="preserve"> </w:t>
      </w:r>
    </w:p>
    <w:sectPr w:rsidR="00ED001C" w:rsidRPr="00ED001C" w:rsidSect="004D6D7E">
      <w:headerReference w:type="default" r:id="rId14"/>
      <w:footerReference w:type="even" r:id="rId15"/>
      <w:footerReference w:type="default" r:id="rId16"/>
      <w:endnotePr>
        <w:numFmt w:val="decimal"/>
      </w:endnotePr>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81D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73" w:rsidRDefault="00652073">
      <w:r>
        <w:separator/>
      </w:r>
    </w:p>
  </w:endnote>
  <w:endnote w:type="continuationSeparator" w:id="0">
    <w:p w:rsidR="00652073" w:rsidRDefault="00652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93" w:rsidRDefault="00C21216" w:rsidP="0033396A">
    <w:pPr>
      <w:pStyle w:val="Footer"/>
      <w:framePr w:wrap="around" w:vAnchor="text" w:hAnchor="margin" w:xAlign="center" w:y="1"/>
      <w:rPr>
        <w:rStyle w:val="PageNumber"/>
      </w:rPr>
    </w:pPr>
    <w:r>
      <w:rPr>
        <w:rStyle w:val="PageNumber"/>
      </w:rPr>
      <w:fldChar w:fldCharType="begin"/>
    </w:r>
    <w:r w:rsidR="00681E93">
      <w:rPr>
        <w:rStyle w:val="PageNumber"/>
      </w:rPr>
      <w:instrText xml:space="preserve">PAGE  </w:instrText>
    </w:r>
    <w:r>
      <w:rPr>
        <w:rStyle w:val="PageNumber"/>
      </w:rPr>
      <w:fldChar w:fldCharType="end"/>
    </w:r>
  </w:p>
  <w:p w:rsidR="00681E93" w:rsidRDefault="00681E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93" w:rsidRDefault="00C21216">
    <w:pPr>
      <w:pStyle w:val="Footer"/>
      <w:framePr w:w="576" w:wrap="auto" w:vAnchor="page" w:hAnchor="page" w:x="5545" w:y="15121"/>
      <w:jc w:val="right"/>
      <w:rPr>
        <w:rStyle w:val="PageNumber"/>
        <w:sz w:val="24"/>
        <w:szCs w:val="24"/>
      </w:rPr>
    </w:pPr>
    <w:r>
      <w:rPr>
        <w:rStyle w:val="PageNumber"/>
        <w:sz w:val="24"/>
        <w:szCs w:val="24"/>
      </w:rPr>
      <w:fldChar w:fldCharType="begin"/>
    </w:r>
    <w:r w:rsidR="00681E93">
      <w:rPr>
        <w:rStyle w:val="PageNumber"/>
        <w:sz w:val="24"/>
        <w:szCs w:val="24"/>
      </w:rPr>
      <w:instrText xml:space="preserve">PAGE  </w:instrText>
    </w:r>
    <w:r>
      <w:rPr>
        <w:rStyle w:val="PageNumber"/>
        <w:sz w:val="24"/>
        <w:szCs w:val="24"/>
      </w:rPr>
      <w:fldChar w:fldCharType="separate"/>
    </w:r>
    <w:r w:rsidR="00D87CD3">
      <w:rPr>
        <w:rStyle w:val="PageNumber"/>
        <w:noProof/>
        <w:sz w:val="24"/>
        <w:szCs w:val="24"/>
      </w:rPr>
      <w:t>9</w:t>
    </w:r>
    <w:r>
      <w:rPr>
        <w:rStyle w:val="PageNumber"/>
        <w:sz w:val="24"/>
        <w:szCs w:val="24"/>
      </w:rPr>
      <w:fldChar w:fldCharType="end"/>
    </w:r>
  </w:p>
  <w:p w:rsidR="00681E93" w:rsidRDefault="00681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73" w:rsidRDefault="00652073">
      <w:r>
        <w:separator/>
      </w:r>
    </w:p>
  </w:footnote>
  <w:footnote w:type="continuationSeparator" w:id="0">
    <w:p w:rsidR="00652073" w:rsidRDefault="00652073">
      <w:r>
        <w:continuationSeparator/>
      </w:r>
    </w:p>
  </w:footnote>
  <w:footnote w:id="1">
    <w:p w:rsidR="00681E93" w:rsidRPr="00733461" w:rsidRDefault="00681E93">
      <w:pPr>
        <w:pStyle w:val="FootnoteText"/>
      </w:pPr>
      <w:r>
        <w:rPr>
          <w:rStyle w:val="FootnoteReference"/>
        </w:rPr>
        <w:footnoteRef/>
      </w:r>
      <w:r>
        <w:t xml:space="preserve"> From Alaska Department of Fish and Game’s Statewide Harvest Survey website: </w:t>
      </w:r>
      <w:hyperlink r:id="rId1" w:history="1">
        <w:r w:rsidRPr="00462A32">
          <w:rPr>
            <w:rStyle w:val="Hyperlink"/>
          </w:rPr>
          <w:t>http://www.adfg.alaska.gov/sf/sportfishingsurvey/index.cfm?ADFG=region.home</w:t>
        </w:r>
      </w:hyperlink>
      <w:r>
        <w:t xml:space="preserve">.  </w:t>
      </w:r>
      <w:proofErr w:type="gramStart"/>
      <w:r>
        <w:t xml:space="preserve">Accessed </w:t>
      </w:r>
      <w:r w:rsidR="00636BAB">
        <w:t>July 25</w:t>
      </w:r>
      <w:r>
        <w:t>, 201</w:t>
      </w:r>
      <w:r w:rsidR="00636BAB">
        <w:t>4</w:t>
      </w:r>
      <w:r>
        <w:t>.</w:t>
      </w:r>
      <w:proofErr w:type="gramEnd"/>
    </w:p>
  </w:footnote>
  <w:footnote w:id="2">
    <w:p w:rsidR="002566ED" w:rsidRDefault="002566ED" w:rsidP="002566ED">
      <w:pPr>
        <w:pStyle w:val="FootnoteText"/>
      </w:pPr>
      <w:r>
        <w:rPr>
          <w:rStyle w:val="FootnoteReference"/>
        </w:rPr>
        <w:footnoteRef/>
      </w:r>
      <w:r>
        <w:t xml:space="preserve"> The other main area of Alaska in which saltwater fishing for Pacific halibut occurs is </w:t>
      </w:r>
      <w:proofErr w:type="spellStart"/>
      <w:r>
        <w:t>Southcentral</w:t>
      </w:r>
      <w:proofErr w:type="spellEnd"/>
      <w:r>
        <w:t xml:space="preserve"> Alaska (IPHC Area 3A), an area that includes the Cook Inlet region, Kodiak Island, and the Prince William Sound.  </w:t>
      </w:r>
      <w:r w:rsidR="0024640F">
        <w:t xml:space="preserve">Similar </w:t>
      </w:r>
      <w:r w:rsidR="00636BAB">
        <w:t>h</w:t>
      </w:r>
      <w:r>
        <w:t xml:space="preserve">arvest restrictions </w:t>
      </w:r>
      <w:r w:rsidR="00636BAB">
        <w:t>were implemented in this area during 2014 (</w:t>
      </w:r>
      <w:r w:rsidR="0024640F">
        <w:t>79 FR 13906)</w:t>
      </w:r>
      <w:r>
        <w:t>.</w:t>
      </w:r>
    </w:p>
  </w:footnote>
  <w:footnote w:id="3">
    <w:p w:rsidR="00681E93" w:rsidRDefault="00681E93" w:rsidP="0033396A">
      <w:pPr>
        <w:pStyle w:val="FootnoteText"/>
      </w:pPr>
      <w:r>
        <w:rPr>
          <w:rStyle w:val="FootnoteReference"/>
        </w:rPr>
        <w:footnoteRef/>
      </w:r>
      <w:r>
        <w:t xml:space="preserve">  In the telephone follow-up, a limited amount of information may also be collected from those agreeing to return the mail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E93" w:rsidRDefault="00681E93">
    <w:pPr>
      <w:framePr w:w="8496" w:wrap="notBeside" w:vAnchor="text" w:hAnchor="text" w:x="1" w:y="1"/>
      <w:jc w:val="right"/>
      <w:rPr>
        <w:rFonts w:ascii="Courier" w:hAnsi="Courier"/>
        <w:sz w:val="24"/>
      </w:rPr>
    </w:pPr>
  </w:p>
  <w:p w:rsidR="00681E93" w:rsidRDefault="00681E93" w:rsidP="006317D2">
    <w:pPr>
      <w:ind w:left="-432" w:right="-432"/>
      <w:jc w:val="right"/>
      <w:rPr>
        <w:rFonts w:ascii="Courier" w:hAnsi="Courie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7319"/>
    <w:multiLevelType w:val="multilevel"/>
    <w:tmpl w:val="3F96C25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891CF1"/>
    <w:multiLevelType w:val="hybridMultilevel"/>
    <w:tmpl w:val="0832A7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96D2A"/>
    <w:multiLevelType w:val="multilevel"/>
    <w:tmpl w:val="3514AC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3173F30"/>
    <w:multiLevelType w:val="hybridMultilevel"/>
    <w:tmpl w:val="BF7EF4BE"/>
    <w:lvl w:ilvl="0" w:tplc="E2E4D2C0">
      <w:start w:val="1"/>
      <w:numFmt w:val="decimalZero"/>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DE0A79"/>
    <w:multiLevelType w:val="hybridMultilevel"/>
    <w:tmpl w:val="01FC6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707A30"/>
    <w:multiLevelType w:val="hybridMultilevel"/>
    <w:tmpl w:val="BA96A36C"/>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793A92"/>
    <w:multiLevelType w:val="hybridMultilevel"/>
    <w:tmpl w:val="132030F8"/>
    <w:lvl w:ilvl="0" w:tplc="49CA3AFA">
      <w:start w:val="1"/>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F27ADF"/>
    <w:multiLevelType w:val="hybridMultilevel"/>
    <w:tmpl w:val="27F2BE52"/>
    <w:lvl w:ilvl="0" w:tplc="DE40B82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96179A"/>
    <w:multiLevelType w:val="hybridMultilevel"/>
    <w:tmpl w:val="4C9E9DFA"/>
    <w:lvl w:ilvl="0" w:tplc="DE40B82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454600"/>
    <w:multiLevelType w:val="hybridMultilevel"/>
    <w:tmpl w:val="87647BBC"/>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045884"/>
    <w:multiLevelType w:val="hybridMultilevel"/>
    <w:tmpl w:val="10609E78"/>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DB44A17"/>
    <w:multiLevelType w:val="multilevel"/>
    <w:tmpl w:val="5C20D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284659E"/>
    <w:multiLevelType w:val="hybridMultilevel"/>
    <w:tmpl w:val="CC186E44"/>
    <w:lvl w:ilvl="0" w:tplc="70701C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44C3D36"/>
    <w:multiLevelType w:val="hybridMultilevel"/>
    <w:tmpl w:val="EBDABFFA"/>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68432B"/>
    <w:multiLevelType w:val="multilevel"/>
    <w:tmpl w:val="5C20D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78148E9"/>
    <w:multiLevelType w:val="multilevel"/>
    <w:tmpl w:val="01FC67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83535E3"/>
    <w:multiLevelType w:val="hybridMultilevel"/>
    <w:tmpl w:val="9FBC5CD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287A13B5"/>
    <w:multiLevelType w:val="hybridMultilevel"/>
    <w:tmpl w:val="9182C68C"/>
    <w:lvl w:ilvl="0" w:tplc="BDF86094">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28C65CEC"/>
    <w:multiLevelType w:val="hybridMultilevel"/>
    <w:tmpl w:val="FEB06272"/>
    <w:lvl w:ilvl="0" w:tplc="AAFCFCEC">
      <w:start w:val="1"/>
      <w:numFmt w:val="decimal"/>
      <w:lvlText w:val="%1"/>
      <w:lvlJc w:val="left"/>
      <w:pPr>
        <w:tabs>
          <w:tab w:val="num" w:pos="1440"/>
        </w:tabs>
        <w:ind w:left="1440" w:hanging="720"/>
      </w:pPr>
      <w:rPr>
        <w:rFonts w:hint="default"/>
      </w:rPr>
    </w:lvl>
    <w:lvl w:ilvl="1" w:tplc="FA949AE0">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5E1E7F"/>
    <w:multiLevelType w:val="hybridMultilevel"/>
    <w:tmpl w:val="337A606A"/>
    <w:lvl w:ilvl="0" w:tplc="DE40B82A">
      <w:start w:val="1"/>
      <w:numFmt w:val="bullet"/>
      <w:lvlText w:val=""/>
      <w:lvlJc w:val="left"/>
      <w:pPr>
        <w:tabs>
          <w:tab w:val="num" w:pos="720"/>
        </w:tabs>
        <w:ind w:left="72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D9E44B3"/>
    <w:multiLevelType w:val="hybridMultilevel"/>
    <w:tmpl w:val="9B70C236"/>
    <w:lvl w:ilvl="0" w:tplc="DE40B82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AC1661"/>
    <w:multiLevelType w:val="multilevel"/>
    <w:tmpl w:val="2BB651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6BF0AC4"/>
    <w:multiLevelType w:val="hybridMultilevel"/>
    <w:tmpl w:val="6EC04B86"/>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EC2857"/>
    <w:multiLevelType w:val="hybridMultilevel"/>
    <w:tmpl w:val="893C2A80"/>
    <w:lvl w:ilvl="0" w:tplc="DE40B82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5427D1"/>
    <w:multiLevelType w:val="multilevel"/>
    <w:tmpl w:val="94D6681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4A461D70"/>
    <w:multiLevelType w:val="hybridMultilevel"/>
    <w:tmpl w:val="FBCEB992"/>
    <w:lvl w:ilvl="0" w:tplc="7E782A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646F94"/>
    <w:multiLevelType w:val="hybridMultilevel"/>
    <w:tmpl w:val="94D66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742CD8"/>
    <w:multiLevelType w:val="hybridMultilevel"/>
    <w:tmpl w:val="5C20D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E957FA1"/>
    <w:multiLevelType w:val="hybridMultilevel"/>
    <w:tmpl w:val="C994B87E"/>
    <w:lvl w:ilvl="0" w:tplc="AB880292">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F0F47C2"/>
    <w:multiLevelType w:val="hybridMultilevel"/>
    <w:tmpl w:val="503435AE"/>
    <w:lvl w:ilvl="0" w:tplc="F2E4AF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F7572D8"/>
    <w:multiLevelType w:val="hybridMultilevel"/>
    <w:tmpl w:val="2A00AFFE"/>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1E03478"/>
    <w:multiLevelType w:val="hybridMultilevel"/>
    <w:tmpl w:val="2BA494C2"/>
    <w:lvl w:ilvl="0" w:tplc="F2E4AF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3D40A0"/>
    <w:multiLevelType w:val="multilevel"/>
    <w:tmpl w:val="01FC679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1C04408"/>
    <w:multiLevelType w:val="multilevel"/>
    <w:tmpl w:val="DA84A6C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62494964"/>
    <w:multiLevelType w:val="hybridMultilevel"/>
    <w:tmpl w:val="A20C4ECA"/>
    <w:lvl w:ilvl="0" w:tplc="88A46CE2">
      <w:start w:val="1"/>
      <w:numFmt w:val="decimal"/>
      <w:lvlText w:val="%1"/>
      <w:lvlJc w:val="left"/>
      <w:pPr>
        <w:tabs>
          <w:tab w:val="num" w:pos="1080"/>
        </w:tabs>
        <w:ind w:left="1080" w:hanging="720"/>
      </w:pPr>
      <w:rPr>
        <w:rFonts w:hint="default"/>
      </w:rPr>
    </w:lvl>
    <w:lvl w:ilvl="1" w:tplc="10F8675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9F705F"/>
    <w:multiLevelType w:val="hybridMultilevel"/>
    <w:tmpl w:val="04F6B6CE"/>
    <w:lvl w:ilvl="0" w:tplc="01125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C3209B"/>
    <w:multiLevelType w:val="hybridMultilevel"/>
    <w:tmpl w:val="E410B8A6"/>
    <w:lvl w:ilvl="0" w:tplc="D8FE1D9A">
      <w:start w:val="1"/>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7AE5511"/>
    <w:multiLevelType w:val="hybridMultilevel"/>
    <w:tmpl w:val="3B7213EA"/>
    <w:lvl w:ilvl="0" w:tplc="FFFFFFFF">
      <w:start w:val="1"/>
      <w:numFmt w:val="upperLetter"/>
      <w:lvlText w:val="%1."/>
      <w:lvlJc w:val="left"/>
      <w:pPr>
        <w:tabs>
          <w:tab w:val="num" w:pos="360"/>
        </w:tabs>
        <w:ind w:left="360" w:hanging="360"/>
      </w:pPr>
      <w:rPr>
        <w:rFonts w:hint="default"/>
      </w:rPr>
    </w:lvl>
    <w:lvl w:ilvl="1" w:tplc="FFFFFFFF">
      <w:start w:val="1"/>
      <w:numFmt w:val="upperLetter"/>
      <w:lvlText w:val="%2."/>
      <w:lvlJc w:val="left"/>
      <w:pPr>
        <w:tabs>
          <w:tab w:val="num" w:pos="360"/>
        </w:tabs>
        <w:ind w:left="360" w:hanging="360"/>
      </w:pPr>
      <w:rPr>
        <w:rFonts w:hint="default"/>
      </w:rPr>
    </w:lvl>
    <w:lvl w:ilvl="2" w:tplc="FFFFFFFF">
      <w:start w:val="1"/>
      <w:numFmt w:val="decimal"/>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nsid w:val="69135A2F"/>
    <w:multiLevelType w:val="hybridMultilevel"/>
    <w:tmpl w:val="2BB65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BE6E7E"/>
    <w:multiLevelType w:val="hybridMultilevel"/>
    <w:tmpl w:val="7FAE9D12"/>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4617B3"/>
    <w:multiLevelType w:val="hybridMultilevel"/>
    <w:tmpl w:val="F5763ED2"/>
    <w:lvl w:ilvl="0" w:tplc="878A4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6ECA05A4"/>
    <w:multiLevelType w:val="hybridMultilevel"/>
    <w:tmpl w:val="90521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6E6AAC"/>
    <w:multiLevelType w:val="hybridMultilevel"/>
    <w:tmpl w:val="182EDF38"/>
    <w:lvl w:ilvl="0" w:tplc="7E782A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3542A64"/>
    <w:multiLevelType w:val="hybridMultilevel"/>
    <w:tmpl w:val="DE0C2A70"/>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8164A5"/>
    <w:multiLevelType w:val="hybridMultilevel"/>
    <w:tmpl w:val="C0FE40F2"/>
    <w:lvl w:ilvl="0" w:tplc="85B05AA4">
      <w:start w:val="1"/>
      <w:numFmt w:val="decimal"/>
      <w:lvlText w:val="%1"/>
      <w:lvlJc w:val="left"/>
      <w:pPr>
        <w:tabs>
          <w:tab w:val="num" w:pos="1800"/>
        </w:tabs>
        <w:ind w:left="180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582DBD"/>
    <w:multiLevelType w:val="hybridMultilevel"/>
    <w:tmpl w:val="DA84A6CE"/>
    <w:lvl w:ilvl="0" w:tplc="F2E4AF1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nsid w:val="77FB3060"/>
    <w:multiLevelType w:val="hybridMultilevel"/>
    <w:tmpl w:val="27AAF7EE"/>
    <w:lvl w:ilvl="0" w:tplc="8E107D0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B291DF5"/>
    <w:multiLevelType w:val="multilevel"/>
    <w:tmpl w:val="54C689A0"/>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D701057"/>
    <w:multiLevelType w:val="hybridMultilevel"/>
    <w:tmpl w:val="3514A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1"/>
  </w:num>
  <w:num w:numId="3">
    <w:abstractNumId w:val="29"/>
  </w:num>
  <w:num w:numId="4">
    <w:abstractNumId w:val="30"/>
  </w:num>
  <w:num w:numId="5">
    <w:abstractNumId w:val="39"/>
  </w:num>
  <w:num w:numId="6">
    <w:abstractNumId w:val="10"/>
  </w:num>
  <w:num w:numId="7">
    <w:abstractNumId w:val="36"/>
  </w:num>
  <w:num w:numId="8">
    <w:abstractNumId w:val="17"/>
  </w:num>
  <w:num w:numId="9">
    <w:abstractNumId w:val="23"/>
  </w:num>
  <w:num w:numId="10">
    <w:abstractNumId w:val="8"/>
  </w:num>
  <w:num w:numId="11">
    <w:abstractNumId w:val="7"/>
  </w:num>
  <w:num w:numId="12">
    <w:abstractNumId w:val="20"/>
  </w:num>
  <w:num w:numId="13">
    <w:abstractNumId w:val="19"/>
  </w:num>
  <w:num w:numId="14">
    <w:abstractNumId w:val="4"/>
  </w:num>
  <w:num w:numId="15">
    <w:abstractNumId w:val="27"/>
  </w:num>
  <w:num w:numId="16">
    <w:abstractNumId w:val="26"/>
  </w:num>
  <w:num w:numId="17">
    <w:abstractNumId w:val="38"/>
  </w:num>
  <w:num w:numId="18">
    <w:abstractNumId w:val="16"/>
  </w:num>
  <w:num w:numId="19">
    <w:abstractNumId w:val="13"/>
  </w:num>
  <w:num w:numId="20">
    <w:abstractNumId w:val="44"/>
  </w:num>
  <w:num w:numId="21">
    <w:abstractNumId w:val="1"/>
  </w:num>
  <w:num w:numId="22">
    <w:abstractNumId w:val="34"/>
  </w:num>
  <w:num w:numId="23">
    <w:abstractNumId w:val="40"/>
  </w:num>
  <w:num w:numId="24">
    <w:abstractNumId w:val="18"/>
  </w:num>
  <w:num w:numId="25">
    <w:abstractNumId w:val="46"/>
  </w:num>
  <w:num w:numId="26">
    <w:abstractNumId w:val="28"/>
  </w:num>
  <w:num w:numId="27">
    <w:abstractNumId w:val="9"/>
  </w:num>
  <w:num w:numId="28">
    <w:abstractNumId w:val="5"/>
  </w:num>
  <w:num w:numId="29">
    <w:abstractNumId w:val="43"/>
  </w:num>
  <w:num w:numId="30">
    <w:abstractNumId w:val="22"/>
  </w:num>
  <w:num w:numId="31">
    <w:abstractNumId w:val="42"/>
  </w:num>
  <w:num w:numId="32">
    <w:abstractNumId w:val="25"/>
  </w:num>
  <w:num w:numId="33">
    <w:abstractNumId w:val="47"/>
  </w:num>
  <w:num w:numId="34">
    <w:abstractNumId w:val="0"/>
  </w:num>
  <w:num w:numId="35">
    <w:abstractNumId w:val="45"/>
  </w:num>
  <w:num w:numId="36">
    <w:abstractNumId w:val="33"/>
  </w:num>
  <w:num w:numId="37">
    <w:abstractNumId w:val="6"/>
  </w:num>
  <w:num w:numId="38">
    <w:abstractNumId w:val="15"/>
  </w:num>
  <w:num w:numId="39">
    <w:abstractNumId w:val="32"/>
  </w:num>
  <w:num w:numId="40">
    <w:abstractNumId w:val="48"/>
  </w:num>
  <w:num w:numId="41">
    <w:abstractNumId w:val="2"/>
  </w:num>
  <w:num w:numId="42">
    <w:abstractNumId w:val="11"/>
  </w:num>
  <w:num w:numId="43">
    <w:abstractNumId w:val="14"/>
  </w:num>
  <w:num w:numId="44">
    <w:abstractNumId w:val="24"/>
  </w:num>
  <w:num w:numId="45">
    <w:abstractNumId w:val="21"/>
  </w:num>
  <w:num w:numId="46">
    <w:abstractNumId w:val="3"/>
  </w:num>
  <w:num w:numId="47">
    <w:abstractNumId w:val="12"/>
  </w:num>
  <w:num w:numId="48">
    <w:abstractNumId w:val="41"/>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venbach, Stuart">
    <w15:presenceInfo w15:providerId="AD" w15:userId="S-1-5-21-1454471165-117609710-725345543-3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703349"/>
    <w:rsid w:val="00001ED3"/>
    <w:rsid w:val="000039BF"/>
    <w:rsid w:val="00015394"/>
    <w:rsid w:val="00046F71"/>
    <w:rsid w:val="00072667"/>
    <w:rsid w:val="000758C3"/>
    <w:rsid w:val="00077438"/>
    <w:rsid w:val="000A3D37"/>
    <w:rsid w:val="000C1011"/>
    <w:rsid w:val="000D1EF1"/>
    <w:rsid w:val="000E6442"/>
    <w:rsid w:val="000E7B22"/>
    <w:rsid w:val="000F05EB"/>
    <w:rsid w:val="000F4ADA"/>
    <w:rsid w:val="000F7D49"/>
    <w:rsid w:val="0010594C"/>
    <w:rsid w:val="00107826"/>
    <w:rsid w:val="001130BA"/>
    <w:rsid w:val="00132AEC"/>
    <w:rsid w:val="001334B6"/>
    <w:rsid w:val="00160CE8"/>
    <w:rsid w:val="00167436"/>
    <w:rsid w:val="001678C7"/>
    <w:rsid w:val="0017452D"/>
    <w:rsid w:val="001868F0"/>
    <w:rsid w:val="001A770C"/>
    <w:rsid w:val="001C1B7C"/>
    <w:rsid w:val="001C4580"/>
    <w:rsid w:val="001D09A6"/>
    <w:rsid w:val="001D3C38"/>
    <w:rsid w:val="001D4AA1"/>
    <w:rsid w:val="001D6741"/>
    <w:rsid w:val="001E4B3B"/>
    <w:rsid w:val="001E58E0"/>
    <w:rsid w:val="001E6AF2"/>
    <w:rsid w:val="001F0ABD"/>
    <w:rsid w:val="001F1AEA"/>
    <w:rsid w:val="001F730F"/>
    <w:rsid w:val="0020148A"/>
    <w:rsid w:val="00206E7A"/>
    <w:rsid w:val="00232C38"/>
    <w:rsid w:val="00234C94"/>
    <w:rsid w:val="00243EE1"/>
    <w:rsid w:val="0024640F"/>
    <w:rsid w:val="002566ED"/>
    <w:rsid w:val="0026205A"/>
    <w:rsid w:val="0026446D"/>
    <w:rsid w:val="00277E83"/>
    <w:rsid w:val="00294117"/>
    <w:rsid w:val="002B014F"/>
    <w:rsid w:val="002B0471"/>
    <w:rsid w:val="002B04A6"/>
    <w:rsid w:val="002B6E22"/>
    <w:rsid w:val="002C7689"/>
    <w:rsid w:val="002D5298"/>
    <w:rsid w:val="002D6F86"/>
    <w:rsid w:val="002F2B22"/>
    <w:rsid w:val="002F3801"/>
    <w:rsid w:val="002F3E38"/>
    <w:rsid w:val="002F4395"/>
    <w:rsid w:val="002F4700"/>
    <w:rsid w:val="002F7798"/>
    <w:rsid w:val="00302F83"/>
    <w:rsid w:val="00305080"/>
    <w:rsid w:val="0033396A"/>
    <w:rsid w:val="003443C2"/>
    <w:rsid w:val="0034749E"/>
    <w:rsid w:val="00353C43"/>
    <w:rsid w:val="0036177D"/>
    <w:rsid w:val="00362A0D"/>
    <w:rsid w:val="003744EE"/>
    <w:rsid w:val="0039532B"/>
    <w:rsid w:val="00396817"/>
    <w:rsid w:val="003B6B54"/>
    <w:rsid w:val="003C7F7C"/>
    <w:rsid w:val="003D6199"/>
    <w:rsid w:val="003F0A83"/>
    <w:rsid w:val="003F2E76"/>
    <w:rsid w:val="00412336"/>
    <w:rsid w:val="00420331"/>
    <w:rsid w:val="004540DE"/>
    <w:rsid w:val="00457F56"/>
    <w:rsid w:val="004805CA"/>
    <w:rsid w:val="004816A1"/>
    <w:rsid w:val="004A7860"/>
    <w:rsid w:val="004C01AD"/>
    <w:rsid w:val="004C56D3"/>
    <w:rsid w:val="004D60CF"/>
    <w:rsid w:val="004D6D7E"/>
    <w:rsid w:val="004E1048"/>
    <w:rsid w:val="004E37F6"/>
    <w:rsid w:val="004F2F3D"/>
    <w:rsid w:val="00510295"/>
    <w:rsid w:val="00515E3A"/>
    <w:rsid w:val="00516F5D"/>
    <w:rsid w:val="00523DDE"/>
    <w:rsid w:val="00525E75"/>
    <w:rsid w:val="00532C74"/>
    <w:rsid w:val="005378D7"/>
    <w:rsid w:val="00553E56"/>
    <w:rsid w:val="005630B0"/>
    <w:rsid w:val="0057566E"/>
    <w:rsid w:val="00577929"/>
    <w:rsid w:val="0058645A"/>
    <w:rsid w:val="005A0892"/>
    <w:rsid w:val="005A3E02"/>
    <w:rsid w:val="005B5CDB"/>
    <w:rsid w:val="005F6E97"/>
    <w:rsid w:val="005F70C7"/>
    <w:rsid w:val="005F7EAE"/>
    <w:rsid w:val="00611C4D"/>
    <w:rsid w:val="00617BD3"/>
    <w:rsid w:val="00620D6C"/>
    <w:rsid w:val="006317D2"/>
    <w:rsid w:val="00636BAB"/>
    <w:rsid w:val="00652073"/>
    <w:rsid w:val="0065369B"/>
    <w:rsid w:val="00667C34"/>
    <w:rsid w:val="00671634"/>
    <w:rsid w:val="00681E93"/>
    <w:rsid w:val="00692A75"/>
    <w:rsid w:val="006952F4"/>
    <w:rsid w:val="006968F2"/>
    <w:rsid w:val="006A4498"/>
    <w:rsid w:val="006A5B09"/>
    <w:rsid w:val="006B2478"/>
    <w:rsid w:val="006B7E9F"/>
    <w:rsid w:val="006C10C7"/>
    <w:rsid w:val="006C2394"/>
    <w:rsid w:val="006D2896"/>
    <w:rsid w:val="006F20BD"/>
    <w:rsid w:val="006F48FF"/>
    <w:rsid w:val="0070013C"/>
    <w:rsid w:val="00703349"/>
    <w:rsid w:val="00704107"/>
    <w:rsid w:val="00720F50"/>
    <w:rsid w:val="00731ED7"/>
    <w:rsid w:val="00733461"/>
    <w:rsid w:val="007637B2"/>
    <w:rsid w:val="007848CA"/>
    <w:rsid w:val="0079787C"/>
    <w:rsid w:val="007A18EC"/>
    <w:rsid w:val="007A4E49"/>
    <w:rsid w:val="00820B4D"/>
    <w:rsid w:val="00822E3C"/>
    <w:rsid w:val="008345A9"/>
    <w:rsid w:val="00840808"/>
    <w:rsid w:val="00841B86"/>
    <w:rsid w:val="0084298B"/>
    <w:rsid w:val="00851E40"/>
    <w:rsid w:val="00852DB8"/>
    <w:rsid w:val="008549EB"/>
    <w:rsid w:val="008579C5"/>
    <w:rsid w:val="0086238E"/>
    <w:rsid w:val="008647F2"/>
    <w:rsid w:val="00895890"/>
    <w:rsid w:val="008A70E3"/>
    <w:rsid w:val="008A7784"/>
    <w:rsid w:val="008D2BD3"/>
    <w:rsid w:val="008D4A23"/>
    <w:rsid w:val="008D7C75"/>
    <w:rsid w:val="008F7A60"/>
    <w:rsid w:val="0090739D"/>
    <w:rsid w:val="00910BDC"/>
    <w:rsid w:val="00915638"/>
    <w:rsid w:val="00927784"/>
    <w:rsid w:val="0093057A"/>
    <w:rsid w:val="009323E9"/>
    <w:rsid w:val="00945B05"/>
    <w:rsid w:val="00946585"/>
    <w:rsid w:val="00956CC1"/>
    <w:rsid w:val="00964FAA"/>
    <w:rsid w:val="00974022"/>
    <w:rsid w:val="009754C8"/>
    <w:rsid w:val="00977D6B"/>
    <w:rsid w:val="009868F9"/>
    <w:rsid w:val="00990563"/>
    <w:rsid w:val="0099253E"/>
    <w:rsid w:val="009A55B3"/>
    <w:rsid w:val="009B727E"/>
    <w:rsid w:val="009D2926"/>
    <w:rsid w:val="009D2DCC"/>
    <w:rsid w:val="009E48E3"/>
    <w:rsid w:val="009E4C74"/>
    <w:rsid w:val="009E7656"/>
    <w:rsid w:val="00A051DE"/>
    <w:rsid w:val="00A27D0B"/>
    <w:rsid w:val="00A308C6"/>
    <w:rsid w:val="00A377A5"/>
    <w:rsid w:val="00A52599"/>
    <w:rsid w:val="00A61FD4"/>
    <w:rsid w:val="00A62D9D"/>
    <w:rsid w:val="00A94E75"/>
    <w:rsid w:val="00AE47CF"/>
    <w:rsid w:val="00B02417"/>
    <w:rsid w:val="00B10C5E"/>
    <w:rsid w:val="00B11CBE"/>
    <w:rsid w:val="00B244F4"/>
    <w:rsid w:val="00B248D1"/>
    <w:rsid w:val="00B36980"/>
    <w:rsid w:val="00B53FB8"/>
    <w:rsid w:val="00B5591E"/>
    <w:rsid w:val="00B8631F"/>
    <w:rsid w:val="00B879D2"/>
    <w:rsid w:val="00B96681"/>
    <w:rsid w:val="00BB5E48"/>
    <w:rsid w:val="00BC3FFE"/>
    <w:rsid w:val="00BD6A1B"/>
    <w:rsid w:val="00BE6DB3"/>
    <w:rsid w:val="00C034BC"/>
    <w:rsid w:val="00C12705"/>
    <w:rsid w:val="00C138EE"/>
    <w:rsid w:val="00C16723"/>
    <w:rsid w:val="00C21216"/>
    <w:rsid w:val="00C340E8"/>
    <w:rsid w:val="00C419BF"/>
    <w:rsid w:val="00C75EF4"/>
    <w:rsid w:val="00C77092"/>
    <w:rsid w:val="00C8727B"/>
    <w:rsid w:val="00C96F25"/>
    <w:rsid w:val="00CA1A9F"/>
    <w:rsid w:val="00CA1C60"/>
    <w:rsid w:val="00CB19F3"/>
    <w:rsid w:val="00CB3A49"/>
    <w:rsid w:val="00CC2B52"/>
    <w:rsid w:val="00CC7DCB"/>
    <w:rsid w:val="00D1131E"/>
    <w:rsid w:val="00D32062"/>
    <w:rsid w:val="00D5025A"/>
    <w:rsid w:val="00D57B88"/>
    <w:rsid w:val="00D61DAE"/>
    <w:rsid w:val="00D628CB"/>
    <w:rsid w:val="00D629DF"/>
    <w:rsid w:val="00D76B29"/>
    <w:rsid w:val="00D85617"/>
    <w:rsid w:val="00D87CD3"/>
    <w:rsid w:val="00D905A0"/>
    <w:rsid w:val="00D90AB2"/>
    <w:rsid w:val="00D94533"/>
    <w:rsid w:val="00D955D1"/>
    <w:rsid w:val="00DA3886"/>
    <w:rsid w:val="00DB57F1"/>
    <w:rsid w:val="00DC3043"/>
    <w:rsid w:val="00DD4270"/>
    <w:rsid w:val="00DE33F2"/>
    <w:rsid w:val="00DF038E"/>
    <w:rsid w:val="00E13910"/>
    <w:rsid w:val="00E1547D"/>
    <w:rsid w:val="00E27411"/>
    <w:rsid w:val="00E27F96"/>
    <w:rsid w:val="00E439A7"/>
    <w:rsid w:val="00E5059C"/>
    <w:rsid w:val="00E846C3"/>
    <w:rsid w:val="00EA74CB"/>
    <w:rsid w:val="00ED001C"/>
    <w:rsid w:val="00ED4CC5"/>
    <w:rsid w:val="00EE525B"/>
    <w:rsid w:val="00EE79A0"/>
    <w:rsid w:val="00EF2A3C"/>
    <w:rsid w:val="00EF79F9"/>
    <w:rsid w:val="00F23D17"/>
    <w:rsid w:val="00F25688"/>
    <w:rsid w:val="00F457D5"/>
    <w:rsid w:val="00F63176"/>
    <w:rsid w:val="00F760BB"/>
    <w:rsid w:val="00F82F5F"/>
    <w:rsid w:val="00F94EA8"/>
    <w:rsid w:val="00FA057F"/>
    <w:rsid w:val="00FC5033"/>
    <w:rsid w:val="00FE1D90"/>
    <w:rsid w:val="00FE2503"/>
    <w:rsid w:val="00FE7964"/>
    <w:rsid w:val="00FF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96A"/>
    <w:pPr>
      <w:widowControl w:val="0"/>
      <w:autoSpaceDE w:val="0"/>
      <w:autoSpaceDN w:val="0"/>
      <w:adjustRightInd w:val="0"/>
    </w:pPr>
  </w:style>
  <w:style w:type="paragraph" w:styleId="Heading1">
    <w:name w:val="heading 1"/>
    <w:basedOn w:val="Normal"/>
    <w:next w:val="Normal"/>
    <w:qFormat/>
    <w:rsid w:val="0033396A"/>
    <w:pPr>
      <w:keepNext/>
      <w:widowControl/>
      <w:outlineLvl w:val="0"/>
    </w:pPr>
    <w:rPr>
      <w:sz w:val="24"/>
      <w:szCs w:val="24"/>
      <w:u w:val="single"/>
    </w:rPr>
  </w:style>
  <w:style w:type="paragraph" w:styleId="Heading7">
    <w:name w:val="heading 7"/>
    <w:basedOn w:val="Normal"/>
    <w:next w:val="Normal"/>
    <w:qFormat/>
    <w:rsid w:val="0033396A"/>
    <w:pPr>
      <w:keepNext/>
      <w:widowControl/>
      <w:autoSpaceDE/>
      <w:autoSpaceDN/>
      <w:adjustRightInd/>
      <w:spacing w:after="240"/>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33396A"/>
    <w:pPr>
      <w:widowControl w:val="0"/>
      <w:autoSpaceDE w:val="0"/>
      <w:autoSpaceDN w:val="0"/>
      <w:adjustRightInd w:val="0"/>
      <w:ind w:left="-1440"/>
      <w:jc w:val="both"/>
    </w:pPr>
    <w:rPr>
      <w:sz w:val="24"/>
      <w:szCs w:val="24"/>
    </w:rPr>
  </w:style>
  <w:style w:type="paragraph" w:customStyle="1" w:styleId="2AutoList1">
    <w:name w:val="2AutoList1"/>
    <w:rsid w:val="0033396A"/>
    <w:pPr>
      <w:widowControl w:val="0"/>
      <w:autoSpaceDE w:val="0"/>
      <w:autoSpaceDN w:val="0"/>
      <w:adjustRightInd w:val="0"/>
      <w:ind w:left="-1440"/>
      <w:jc w:val="both"/>
    </w:pPr>
    <w:rPr>
      <w:sz w:val="24"/>
      <w:szCs w:val="24"/>
    </w:rPr>
  </w:style>
  <w:style w:type="paragraph" w:customStyle="1" w:styleId="3AutoList1">
    <w:name w:val="3AutoList1"/>
    <w:rsid w:val="0033396A"/>
    <w:pPr>
      <w:widowControl w:val="0"/>
      <w:autoSpaceDE w:val="0"/>
      <w:autoSpaceDN w:val="0"/>
      <w:adjustRightInd w:val="0"/>
      <w:ind w:left="-1440"/>
      <w:jc w:val="both"/>
    </w:pPr>
    <w:rPr>
      <w:sz w:val="24"/>
      <w:szCs w:val="24"/>
    </w:rPr>
  </w:style>
  <w:style w:type="paragraph" w:customStyle="1" w:styleId="4AutoList1">
    <w:name w:val="4AutoList1"/>
    <w:rsid w:val="0033396A"/>
    <w:pPr>
      <w:widowControl w:val="0"/>
      <w:autoSpaceDE w:val="0"/>
      <w:autoSpaceDN w:val="0"/>
      <w:adjustRightInd w:val="0"/>
      <w:ind w:left="-1440"/>
      <w:jc w:val="both"/>
    </w:pPr>
    <w:rPr>
      <w:sz w:val="24"/>
      <w:szCs w:val="24"/>
    </w:rPr>
  </w:style>
  <w:style w:type="paragraph" w:customStyle="1" w:styleId="5AutoList1">
    <w:name w:val="5AutoList1"/>
    <w:rsid w:val="0033396A"/>
    <w:pPr>
      <w:widowControl w:val="0"/>
      <w:autoSpaceDE w:val="0"/>
      <w:autoSpaceDN w:val="0"/>
      <w:adjustRightInd w:val="0"/>
      <w:ind w:left="-1440"/>
      <w:jc w:val="both"/>
    </w:pPr>
    <w:rPr>
      <w:sz w:val="24"/>
      <w:szCs w:val="24"/>
    </w:rPr>
  </w:style>
  <w:style w:type="paragraph" w:customStyle="1" w:styleId="6AutoList1">
    <w:name w:val="6AutoList1"/>
    <w:rsid w:val="0033396A"/>
    <w:pPr>
      <w:widowControl w:val="0"/>
      <w:autoSpaceDE w:val="0"/>
      <w:autoSpaceDN w:val="0"/>
      <w:adjustRightInd w:val="0"/>
      <w:ind w:left="-1440"/>
      <w:jc w:val="both"/>
    </w:pPr>
    <w:rPr>
      <w:sz w:val="24"/>
      <w:szCs w:val="24"/>
    </w:rPr>
  </w:style>
  <w:style w:type="paragraph" w:customStyle="1" w:styleId="7AutoList1">
    <w:name w:val="7AutoList1"/>
    <w:rsid w:val="0033396A"/>
    <w:pPr>
      <w:widowControl w:val="0"/>
      <w:autoSpaceDE w:val="0"/>
      <w:autoSpaceDN w:val="0"/>
      <w:adjustRightInd w:val="0"/>
      <w:ind w:left="-1440"/>
      <w:jc w:val="both"/>
    </w:pPr>
    <w:rPr>
      <w:sz w:val="24"/>
      <w:szCs w:val="24"/>
    </w:rPr>
  </w:style>
  <w:style w:type="paragraph" w:customStyle="1" w:styleId="8AutoList1">
    <w:name w:val="8AutoList1"/>
    <w:rsid w:val="0033396A"/>
    <w:pPr>
      <w:widowControl w:val="0"/>
      <w:autoSpaceDE w:val="0"/>
      <w:autoSpaceDN w:val="0"/>
      <w:adjustRightInd w:val="0"/>
      <w:ind w:left="-1440"/>
      <w:jc w:val="both"/>
    </w:pPr>
    <w:rPr>
      <w:sz w:val="24"/>
      <w:szCs w:val="24"/>
    </w:rPr>
  </w:style>
  <w:style w:type="paragraph" w:styleId="Footer">
    <w:name w:val="footer"/>
    <w:basedOn w:val="Normal"/>
    <w:rsid w:val="0033396A"/>
    <w:pPr>
      <w:tabs>
        <w:tab w:val="center" w:pos="4320"/>
        <w:tab w:val="right" w:pos="8640"/>
      </w:tabs>
    </w:pPr>
  </w:style>
  <w:style w:type="character" w:styleId="PageNumber">
    <w:name w:val="page number"/>
    <w:basedOn w:val="DefaultParagraphFont"/>
    <w:rsid w:val="0033396A"/>
  </w:style>
  <w:style w:type="paragraph" w:styleId="Header">
    <w:name w:val="header"/>
    <w:basedOn w:val="Normal"/>
    <w:rsid w:val="0033396A"/>
    <w:pPr>
      <w:tabs>
        <w:tab w:val="center" w:pos="4320"/>
        <w:tab w:val="right" w:pos="8640"/>
      </w:tabs>
    </w:pPr>
  </w:style>
  <w:style w:type="paragraph" w:styleId="FootnoteText">
    <w:name w:val="footnote text"/>
    <w:basedOn w:val="Normal"/>
    <w:link w:val="FootnoteTextChar"/>
    <w:uiPriority w:val="99"/>
    <w:semiHidden/>
    <w:rsid w:val="0033396A"/>
    <w:pPr>
      <w:widowControl/>
      <w:autoSpaceDE/>
      <w:autoSpaceDN/>
      <w:adjustRightInd/>
    </w:pPr>
  </w:style>
  <w:style w:type="character" w:styleId="FootnoteReference">
    <w:name w:val="footnote reference"/>
    <w:basedOn w:val="DefaultParagraphFont"/>
    <w:uiPriority w:val="99"/>
    <w:semiHidden/>
    <w:rsid w:val="0033396A"/>
    <w:rPr>
      <w:vertAlign w:val="superscript"/>
    </w:rPr>
  </w:style>
  <w:style w:type="paragraph" w:customStyle="1" w:styleId="TableTitle">
    <w:name w:val="Table Title"/>
    <w:basedOn w:val="Normal"/>
    <w:rsid w:val="0033396A"/>
    <w:pPr>
      <w:widowControl/>
      <w:autoSpaceDE/>
      <w:autoSpaceDN/>
      <w:adjustRightInd/>
    </w:pPr>
    <w:rPr>
      <w:b/>
      <w:sz w:val="24"/>
    </w:rPr>
  </w:style>
  <w:style w:type="paragraph" w:styleId="BodyText">
    <w:name w:val="Body Text"/>
    <w:basedOn w:val="Normal"/>
    <w:rsid w:val="0033396A"/>
    <w:pPr>
      <w:widowControl/>
      <w:autoSpaceDE/>
      <w:autoSpaceDN/>
      <w:adjustRightInd/>
    </w:pPr>
    <w:rPr>
      <w:rFonts w:ascii="Arial" w:hAnsi="Arial"/>
      <w:b/>
      <w:sz w:val="22"/>
    </w:rPr>
  </w:style>
  <w:style w:type="table" w:styleId="TableGrid">
    <w:name w:val="Table Grid"/>
    <w:basedOn w:val="TableNormal"/>
    <w:rsid w:val="0033396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33396A"/>
    <w:rPr>
      <w:i/>
      <w:iCs/>
    </w:rPr>
  </w:style>
  <w:style w:type="paragraph" w:styleId="BlockText">
    <w:name w:val="Block Text"/>
    <w:basedOn w:val="Normal"/>
    <w:rsid w:val="0033396A"/>
    <w:pPr>
      <w:widowControl/>
      <w:autoSpaceDE/>
      <w:autoSpaceDN/>
      <w:adjustRightInd/>
      <w:ind w:left="480" w:right="480"/>
    </w:pPr>
    <w:rPr>
      <w:b/>
      <w:sz w:val="24"/>
      <w:szCs w:val="24"/>
    </w:rPr>
  </w:style>
  <w:style w:type="paragraph" w:styleId="BodyTextIndent2">
    <w:name w:val="Body Text Indent 2"/>
    <w:basedOn w:val="Normal"/>
    <w:rsid w:val="0033396A"/>
    <w:pPr>
      <w:widowControl/>
      <w:autoSpaceDE/>
      <w:autoSpaceDN/>
      <w:adjustRightInd/>
      <w:spacing w:after="120" w:line="480" w:lineRule="auto"/>
      <w:ind w:left="360"/>
    </w:pPr>
    <w:rPr>
      <w:sz w:val="24"/>
      <w:szCs w:val="24"/>
    </w:rPr>
  </w:style>
  <w:style w:type="paragraph" w:styleId="BodyTextIndent">
    <w:name w:val="Body Text Indent"/>
    <w:basedOn w:val="Normal"/>
    <w:rsid w:val="0033396A"/>
    <w:pPr>
      <w:widowControl/>
      <w:autoSpaceDE/>
      <w:autoSpaceDN/>
      <w:adjustRightInd/>
      <w:spacing w:after="120"/>
      <w:ind w:left="360"/>
    </w:pPr>
    <w:rPr>
      <w:sz w:val="24"/>
      <w:szCs w:val="24"/>
    </w:rPr>
  </w:style>
  <w:style w:type="paragraph" w:styleId="BalloonText">
    <w:name w:val="Balloon Text"/>
    <w:basedOn w:val="Normal"/>
    <w:semiHidden/>
    <w:rsid w:val="005F6E97"/>
    <w:rPr>
      <w:rFonts w:ascii="Tahoma" w:hAnsi="Tahoma" w:cs="Tahoma"/>
      <w:sz w:val="16"/>
      <w:szCs w:val="16"/>
    </w:rPr>
  </w:style>
  <w:style w:type="character" w:styleId="Hyperlink">
    <w:name w:val="Hyperlink"/>
    <w:basedOn w:val="DefaultParagraphFont"/>
    <w:rsid w:val="00733461"/>
    <w:rPr>
      <w:color w:val="0000FF"/>
      <w:u w:val="single"/>
    </w:rPr>
  </w:style>
  <w:style w:type="character" w:customStyle="1" w:styleId="apple-style-span">
    <w:name w:val="apple-style-span"/>
    <w:basedOn w:val="DefaultParagraphFont"/>
    <w:rsid w:val="001A770C"/>
  </w:style>
  <w:style w:type="character" w:styleId="CommentReference">
    <w:name w:val="annotation reference"/>
    <w:basedOn w:val="DefaultParagraphFont"/>
    <w:semiHidden/>
    <w:rsid w:val="007A18EC"/>
    <w:rPr>
      <w:sz w:val="16"/>
      <w:szCs w:val="16"/>
    </w:rPr>
  </w:style>
  <w:style w:type="paragraph" w:styleId="CommentText">
    <w:name w:val="annotation text"/>
    <w:basedOn w:val="Normal"/>
    <w:semiHidden/>
    <w:rsid w:val="007A18EC"/>
  </w:style>
  <w:style w:type="paragraph" w:styleId="CommentSubject">
    <w:name w:val="annotation subject"/>
    <w:basedOn w:val="CommentText"/>
    <w:next w:val="CommentText"/>
    <w:semiHidden/>
    <w:rsid w:val="007A18EC"/>
    <w:rPr>
      <w:b/>
      <w:bCs/>
    </w:rPr>
  </w:style>
  <w:style w:type="character" w:customStyle="1" w:styleId="FootnoteTextChar">
    <w:name w:val="Footnote Text Char"/>
    <w:basedOn w:val="DefaultParagraphFont"/>
    <w:link w:val="FootnoteText"/>
    <w:uiPriority w:val="99"/>
    <w:semiHidden/>
    <w:rsid w:val="002566ED"/>
  </w:style>
  <w:style w:type="character" w:styleId="FollowedHyperlink">
    <w:name w:val="FollowedHyperlink"/>
    <w:basedOn w:val="DefaultParagraphFont"/>
    <w:rsid w:val="00636BAB"/>
    <w:rPr>
      <w:color w:val="800080"/>
      <w:u w:val="single"/>
    </w:rPr>
  </w:style>
  <w:style w:type="paragraph" w:styleId="ListParagraph">
    <w:name w:val="List Paragraph"/>
    <w:basedOn w:val="Normal"/>
    <w:uiPriority w:val="34"/>
    <w:qFormat/>
    <w:rsid w:val="001868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chives.gov/federal-register/executive-orders/pdf/12866.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ater.epa.gov/lawsregs/guidance/wetlands/eo12962.cf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adfg.alaska.gov/sf/sportfishingsurvey/index.cfm?ADFG=regio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CEBD-1169-4EE6-BFA1-6F6DC713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3842</Words>
  <Characters>21901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 NOAA</Company>
  <LinksUpToDate>false</LinksUpToDate>
  <CharactersWithSpaces>25692</CharactersWithSpaces>
  <SharedDoc>false</SharedDoc>
  <HLinks>
    <vt:vector size="6" baseType="variant">
      <vt:variant>
        <vt:i4>7602232</vt:i4>
      </vt:variant>
      <vt:variant>
        <vt:i4>0</vt:i4>
      </vt:variant>
      <vt:variant>
        <vt:i4>0</vt:i4>
      </vt:variant>
      <vt:variant>
        <vt:i4>5</vt:i4>
      </vt:variant>
      <vt:variant>
        <vt:lpwstr>http://www.adfg.alaska.gov/sf/sportfishingsurvey/index.cfm?ADFG=region.home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 Lew</dc:creator>
  <cp:lastModifiedBy>Sarah Brabson</cp:lastModifiedBy>
  <cp:revision>6</cp:revision>
  <cp:lastPrinted>2014-08-14T18:44:00Z</cp:lastPrinted>
  <dcterms:created xsi:type="dcterms:W3CDTF">2014-10-20T18:53:00Z</dcterms:created>
  <dcterms:modified xsi:type="dcterms:W3CDTF">2014-10-20T23:20:00Z</dcterms:modified>
</cp:coreProperties>
</file>