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A3" w:rsidRPr="00F6413F" w:rsidRDefault="006E28D7" w:rsidP="007349C0">
      <w:pPr>
        <w:pStyle w:val="NoSpacing"/>
        <w:rPr>
          <w:rFonts w:ascii="Franklin Gothic Medium" w:hAnsi="Franklin Gothic Medium"/>
          <w:b w:val="0"/>
          <w:szCs w:val="24"/>
        </w:rPr>
      </w:pPr>
      <w:r>
        <w:rPr>
          <w:rFonts w:ascii="Franklin Gothic Medium" w:hAnsi="Franklin Gothic Medium"/>
          <w:szCs w:val="24"/>
        </w:rPr>
        <w:t xml:space="preserve">SUPPORTING STATEMENT </w:t>
      </w:r>
      <w:r w:rsidR="007349C0">
        <w:rPr>
          <w:rFonts w:ascii="Franklin Gothic Medium" w:hAnsi="Franklin Gothic Medium"/>
          <w:szCs w:val="24"/>
        </w:rPr>
        <w:t>PART B</w:t>
      </w:r>
      <w:r>
        <w:rPr>
          <w:rFonts w:ascii="Franklin Gothic Medium" w:hAnsi="Franklin Gothic Medium"/>
          <w:szCs w:val="24"/>
        </w:rPr>
        <w:t xml:space="preserve"> FOR</w:t>
      </w:r>
    </w:p>
    <w:p w:rsidR="00C23DA3" w:rsidRPr="00F6413F" w:rsidRDefault="00C23DA3" w:rsidP="007349C0">
      <w:pPr>
        <w:pStyle w:val="NoSpacing"/>
        <w:rPr>
          <w:rFonts w:ascii="Franklin Gothic Medium" w:hAnsi="Franklin Gothic Medium"/>
          <w:b w:val="0"/>
          <w:szCs w:val="24"/>
        </w:rPr>
      </w:pPr>
    </w:p>
    <w:p w:rsidR="009B04EC" w:rsidRPr="002E5AAC" w:rsidRDefault="009B04EC" w:rsidP="009B04EC">
      <w:pPr>
        <w:pStyle w:val="NoSpacing"/>
        <w:rPr>
          <w:rFonts w:ascii="Franklin Gothic Medium" w:hAnsi="Franklin Gothic Medium"/>
          <w:szCs w:val="24"/>
        </w:rPr>
      </w:pPr>
      <w:r w:rsidRPr="002E5AAC">
        <w:rPr>
          <w:rFonts w:ascii="Franklin Gothic Medium" w:hAnsi="Franklin Gothic Medium"/>
          <w:szCs w:val="24"/>
        </w:rPr>
        <w:t xml:space="preserve">Revision to </w:t>
      </w:r>
      <w:r w:rsidRPr="002E5AAC">
        <w:rPr>
          <w:rFonts w:ascii="Franklin Gothic Medium" w:hAnsi="Franklin Gothic Medium"/>
        </w:rPr>
        <w:t>OMB Number 0584-0580</w:t>
      </w:r>
    </w:p>
    <w:p w:rsidR="009B04EC" w:rsidRPr="002E5AAC" w:rsidRDefault="009B04EC" w:rsidP="009B04EC">
      <w:pPr>
        <w:pStyle w:val="NoSpacing"/>
        <w:rPr>
          <w:rFonts w:ascii="Franklin Gothic Medium" w:hAnsi="Franklin Gothic Medium"/>
          <w:b w:val="0"/>
          <w:szCs w:val="24"/>
        </w:rPr>
      </w:pPr>
      <w:r w:rsidRPr="002E5AAC">
        <w:rPr>
          <w:rFonts w:ascii="Franklin Gothic Medium" w:hAnsi="Franklin Gothic Medium"/>
          <w:b w:val="0"/>
          <w:szCs w:val="24"/>
        </w:rPr>
        <w:t xml:space="preserve"> </w:t>
      </w:r>
      <w:r w:rsidRPr="002E5AAC">
        <w:rPr>
          <w:rFonts w:ascii="Franklin Gothic Medium" w:hAnsi="Franklin Gothic Medium"/>
          <w:szCs w:val="24"/>
        </w:rPr>
        <w:t xml:space="preserve">WIC Infant and Toddler Feeding Practices Study-2 (WIC ITFPS-2): </w:t>
      </w:r>
    </w:p>
    <w:p w:rsidR="00C23DA3" w:rsidRPr="00F6413F" w:rsidRDefault="009B04EC" w:rsidP="009B04EC">
      <w:pPr>
        <w:pStyle w:val="NoSpacing"/>
        <w:rPr>
          <w:rFonts w:ascii="Franklin Gothic Medium" w:hAnsi="Franklin Gothic Medium"/>
          <w:b w:val="0"/>
          <w:szCs w:val="24"/>
        </w:rPr>
      </w:pPr>
      <w:r w:rsidRPr="002E5AAC">
        <w:rPr>
          <w:rFonts w:ascii="Franklin Gothic Medium" w:hAnsi="Franklin Gothic Medium"/>
          <w:szCs w:val="24"/>
        </w:rPr>
        <w:t xml:space="preserve">Age 3 </w:t>
      </w:r>
      <w:proofErr w:type="gramStart"/>
      <w:r w:rsidRPr="002E5AAC">
        <w:rPr>
          <w:rFonts w:ascii="Franklin Gothic Medium" w:hAnsi="Franklin Gothic Medium"/>
          <w:szCs w:val="24"/>
        </w:rPr>
        <w:t>Extension</w:t>
      </w:r>
      <w:proofErr w:type="gramEnd"/>
    </w:p>
    <w:p w:rsidR="00C23DA3" w:rsidRPr="00F6413F" w:rsidRDefault="00C23DA3" w:rsidP="007349C0">
      <w:pPr>
        <w:pStyle w:val="NoSpacing"/>
        <w:rPr>
          <w:rFonts w:ascii="Franklin Gothic Medium" w:hAnsi="Franklin Gothic Medium"/>
          <w:b w:val="0"/>
          <w:szCs w:val="24"/>
        </w:rPr>
      </w:pPr>
    </w:p>
    <w:p w:rsidR="00C23DA3" w:rsidRPr="00F6413F" w:rsidRDefault="00C23DA3" w:rsidP="007349C0">
      <w:pPr>
        <w:pStyle w:val="NoSpacing"/>
        <w:rPr>
          <w:rFonts w:ascii="Franklin Gothic Medium" w:hAnsi="Franklin Gothic Medium"/>
          <w:b w:val="0"/>
          <w:szCs w:val="24"/>
        </w:rPr>
      </w:pPr>
    </w:p>
    <w:p w:rsidR="00C23DA3" w:rsidRPr="00F6413F" w:rsidRDefault="00C23DA3" w:rsidP="007349C0">
      <w:pPr>
        <w:pStyle w:val="NoSpacing"/>
        <w:rPr>
          <w:rFonts w:ascii="Franklin Gothic Medium" w:hAnsi="Franklin Gothic Medium"/>
          <w:szCs w:val="24"/>
        </w:rPr>
      </w:pPr>
      <w:r w:rsidRPr="00F6413F">
        <w:rPr>
          <w:rFonts w:ascii="Franklin Gothic Medium" w:hAnsi="Franklin Gothic Medium"/>
          <w:szCs w:val="24"/>
        </w:rPr>
        <w:t>Allison Magness</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Office of Policy Support</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Food and Nutrition Service</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US Department of Agriculture</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3101 Park Center Drive</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Alexandria, VA 22302</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Phone: 703-305-2098</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Fax: 703-305-2576</w:t>
      </w:r>
    </w:p>
    <w:p w:rsidR="00C23DA3" w:rsidRPr="00F6413F" w:rsidRDefault="00C23DA3" w:rsidP="007349C0">
      <w:pPr>
        <w:pStyle w:val="NoSpacing"/>
        <w:rPr>
          <w:rFonts w:ascii="Franklin Gothic Medium" w:hAnsi="Franklin Gothic Medium"/>
          <w:b w:val="0"/>
          <w:szCs w:val="24"/>
        </w:rPr>
      </w:pPr>
      <w:r w:rsidRPr="00F6413F">
        <w:rPr>
          <w:rFonts w:ascii="Franklin Gothic Medium" w:hAnsi="Franklin Gothic Medium"/>
          <w:szCs w:val="24"/>
        </w:rPr>
        <w:t>E-mail: Allison.magness@fns.usda.gov</w:t>
      </w:r>
    </w:p>
    <w:p w:rsidR="00C23DA3" w:rsidRPr="00F6413F" w:rsidRDefault="00C23DA3" w:rsidP="007349C0">
      <w:pPr>
        <w:pStyle w:val="NoSpacing"/>
        <w:rPr>
          <w:rFonts w:ascii="Franklin Gothic Medium" w:hAnsi="Franklin Gothic Medium"/>
          <w:b w:val="0"/>
          <w:szCs w:val="24"/>
        </w:rPr>
      </w:pPr>
    </w:p>
    <w:p w:rsidR="00C23DA3" w:rsidRPr="00F6413F" w:rsidRDefault="00C23DA3" w:rsidP="007349C0">
      <w:pPr>
        <w:pStyle w:val="NoSpacing"/>
        <w:rPr>
          <w:rFonts w:ascii="Franklin Gothic Medium" w:hAnsi="Franklin Gothic Medium"/>
          <w:b w:val="0"/>
          <w:szCs w:val="24"/>
        </w:rPr>
      </w:pPr>
    </w:p>
    <w:p w:rsidR="00C23DA3" w:rsidRDefault="006E28D7" w:rsidP="007349C0">
      <w:pPr>
        <w:pStyle w:val="NoSpacing"/>
        <w:rPr>
          <w:rFonts w:ascii="Franklin Gothic Medium" w:hAnsi="Franklin Gothic Medium"/>
          <w:szCs w:val="24"/>
        </w:rPr>
      </w:pPr>
      <w:r>
        <w:rPr>
          <w:rFonts w:ascii="Franklin Gothic Medium" w:hAnsi="Franklin Gothic Medium"/>
          <w:szCs w:val="24"/>
        </w:rPr>
        <w:t>12/08</w:t>
      </w:r>
      <w:r w:rsidR="00C23DA3" w:rsidRPr="00F6413F">
        <w:rPr>
          <w:rFonts w:ascii="Franklin Gothic Medium" w:hAnsi="Franklin Gothic Medium"/>
          <w:szCs w:val="24"/>
        </w:rPr>
        <w:t>/2014</w:t>
      </w:r>
    </w:p>
    <w:p w:rsidR="00F6413F" w:rsidRDefault="00F6413F" w:rsidP="00F6413F">
      <w:pPr>
        <w:pStyle w:val="SL-FlLftSgl"/>
      </w:pPr>
    </w:p>
    <w:p w:rsidR="00C23DA3" w:rsidRPr="00056788" w:rsidRDefault="00C23DA3" w:rsidP="007349C0">
      <w:pPr>
        <w:pStyle w:val="NoSpacing"/>
        <w:rPr>
          <w:rFonts w:asciiTheme="minorHAnsi" w:hAnsiTheme="minorHAnsi"/>
          <w:b w:val="0"/>
          <w:szCs w:val="24"/>
        </w:rPr>
        <w:sectPr w:rsidR="00C23DA3" w:rsidRPr="00056788" w:rsidSect="006F4794">
          <w:footerReference w:type="default" r:id="rId9"/>
          <w:pgSz w:w="12240" w:h="15840" w:code="1"/>
          <w:pgMar w:top="1440" w:right="1440" w:bottom="1440" w:left="1440" w:header="720" w:footer="576" w:gutter="0"/>
          <w:cols w:space="720"/>
          <w:vAlign w:val="center"/>
          <w:titlePg/>
          <w:docGrid w:linePitch="326"/>
        </w:sectPr>
      </w:pPr>
    </w:p>
    <w:p w:rsidR="00C23DA3" w:rsidRDefault="00C23DA3" w:rsidP="001D7177">
      <w:pPr>
        <w:pStyle w:val="TC-TableofContentsHeading"/>
      </w:pPr>
      <w:bookmarkStart w:id="0" w:name="_Toc329341097"/>
      <w:bookmarkStart w:id="1" w:name="_Toc400377716"/>
      <w:r w:rsidRPr="00525A50">
        <w:lastRenderedPageBreak/>
        <w:t>Table of Contents</w:t>
      </w:r>
      <w:bookmarkStart w:id="2" w:name="_Toc329341098"/>
      <w:bookmarkStart w:id="3" w:name="_Toc168384792"/>
      <w:bookmarkStart w:id="4" w:name="_Toc168384856"/>
      <w:bookmarkStart w:id="5" w:name="_Toc168384964"/>
      <w:bookmarkStart w:id="6" w:name="_Toc168385140"/>
      <w:bookmarkStart w:id="7" w:name="_Toc168385201"/>
      <w:bookmarkStart w:id="8" w:name="_Toc168468406"/>
      <w:bookmarkStart w:id="9" w:name="_Toc287257034"/>
      <w:bookmarkStart w:id="10" w:name="_Toc287257089"/>
      <w:bookmarkStart w:id="11" w:name="_Toc290021778"/>
      <w:bookmarkEnd w:id="0"/>
      <w:bookmarkEnd w:id="1"/>
    </w:p>
    <w:p w:rsidR="001D7177" w:rsidRDefault="001D7177" w:rsidP="001D7177">
      <w:pPr>
        <w:pStyle w:val="T0-ChapPgHd"/>
      </w:pPr>
      <w:r>
        <w:t>Part</w:t>
      </w:r>
      <w:r>
        <w:tab/>
        <w:t>Page</w:t>
      </w:r>
    </w:p>
    <w:p w:rsidR="001D7177" w:rsidRPr="001D7177" w:rsidRDefault="001D7177" w:rsidP="001D7177">
      <w:pPr>
        <w:pStyle w:val="T0-ChapPgHd"/>
      </w:pPr>
    </w:p>
    <w:p w:rsidR="00F6413F" w:rsidRDefault="00F6413F" w:rsidP="00F6413F">
      <w:pPr>
        <w:pStyle w:val="TOC1"/>
      </w:pPr>
      <w:r w:rsidRPr="00044916">
        <w:t>B</w:t>
      </w:r>
      <w:r w:rsidRPr="00044916">
        <w:tab/>
        <w:t>Colle</w:t>
      </w:r>
      <w:r>
        <w:t xml:space="preserve">ctions of Information Employing </w:t>
      </w:r>
      <w:r w:rsidRPr="00044916">
        <w:t>Statistical Methods</w:t>
      </w:r>
      <w:r w:rsidRPr="00044916">
        <w:tab/>
      </w:r>
      <w:r>
        <w:tab/>
      </w:r>
      <w:r w:rsidRPr="00044916">
        <w:t>1</w:t>
      </w:r>
    </w:p>
    <w:p w:rsidR="00F6413F" w:rsidRPr="00044916" w:rsidRDefault="00F6413F" w:rsidP="00F6413F">
      <w:pPr>
        <w:pStyle w:val="TOC1"/>
        <w:rPr>
          <w:rFonts w:eastAsiaTheme="minorEastAsia"/>
        </w:rPr>
      </w:pPr>
    </w:p>
    <w:p w:rsidR="00F6413F" w:rsidRPr="00044916" w:rsidRDefault="00F6413F" w:rsidP="00F6413F">
      <w:pPr>
        <w:pStyle w:val="TOC2"/>
        <w:rPr>
          <w:rFonts w:eastAsiaTheme="minorEastAsia"/>
        </w:rPr>
      </w:pPr>
      <w:r w:rsidRPr="00044916">
        <w:t>B.1</w:t>
      </w:r>
      <w:r w:rsidRPr="00044916">
        <w:rPr>
          <w:rFonts w:eastAsiaTheme="minorEastAsia"/>
        </w:rPr>
        <w:tab/>
      </w:r>
      <w:r w:rsidRPr="00044916">
        <w:t>Respondent Universe and Sampling Methods</w:t>
      </w:r>
      <w:r w:rsidRPr="00044916">
        <w:tab/>
      </w:r>
      <w:r>
        <w:tab/>
      </w:r>
      <w:r w:rsidRPr="00044916">
        <w:t>1</w:t>
      </w:r>
    </w:p>
    <w:p w:rsidR="00F6413F" w:rsidRPr="00044916" w:rsidRDefault="00F6413F" w:rsidP="00F6413F">
      <w:pPr>
        <w:pStyle w:val="TOC3"/>
        <w:rPr>
          <w:rFonts w:eastAsiaTheme="minorEastAsia"/>
        </w:rPr>
      </w:pPr>
      <w:r w:rsidRPr="00044916">
        <w:t>Respondent Universe</w:t>
      </w:r>
      <w:r w:rsidRPr="00044916">
        <w:tab/>
      </w:r>
      <w:r>
        <w:tab/>
      </w:r>
      <w:r w:rsidRPr="00044916">
        <w:t>1</w:t>
      </w:r>
    </w:p>
    <w:p w:rsidR="00F6413F" w:rsidRPr="00044916" w:rsidRDefault="00F6413F" w:rsidP="00F6413F">
      <w:pPr>
        <w:pStyle w:val="TOC3"/>
        <w:rPr>
          <w:rFonts w:eastAsiaTheme="minorEastAsia"/>
        </w:rPr>
      </w:pPr>
      <w:r w:rsidRPr="00044916">
        <w:t>Sampling Methods</w:t>
      </w:r>
      <w:r w:rsidRPr="00044916">
        <w:tab/>
      </w:r>
      <w:r>
        <w:tab/>
      </w:r>
      <w:r w:rsidRPr="00044916">
        <w:t>2</w:t>
      </w:r>
    </w:p>
    <w:p w:rsidR="00F6413F" w:rsidRPr="00044916" w:rsidRDefault="00F6413F" w:rsidP="00F6413F">
      <w:pPr>
        <w:pStyle w:val="TOC3"/>
        <w:rPr>
          <w:rFonts w:eastAsiaTheme="minorEastAsia"/>
        </w:rPr>
      </w:pPr>
      <w:r w:rsidRPr="00044916">
        <w:t>Response Rates and Non-Response Bias Analysis</w:t>
      </w:r>
      <w:r w:rsidRPr="00044916">
        <w:tab/>
      </w:r>
      <w:r>
        <w:tab/>
      </w:r>
      <w:r w:rsidRPr="00044916">
        <w:t>2</w:t>
      </w:r>
    </w:p>
    <w:p w:rsidR="00F6413F" w:rsidRDefault="00F6413F" w:rsidP="00F6413F">
      <w:pPr>
        <w:pStyle w:val="TOC2"/>
      </w:pPr>
      <w:r w:rsidRPr="00044916">
        <w:t>B.2</w:t>
      </w:r>
      <w:r w:rsidRPr="00044916">
        <w:rPr>
          <w:rFonts w:eastAsiaTheme="minorEastAsia"/>
        </w:rPr>
        <w:tab/>
      </w:r>
      <w:r w:rsidRPr="00044916">
        <w:t>Procedures for the Collection of Information</w:t>
      </w:r>
      <w:r w:rsidRPr="00044916">
        <w:tab/>
      </w:r>
      <w:r>
        <w:tab/>
      </w:r>
      <w:r w:rsidRPr="00044916">
        <w:t>3</w:t>
      </w:r>
    </w:p>
    <w:p w:rsidR="00F6413F" w:rsidRPr="00044916" w:rsidRDefault="00F6413F" w:rsidP="00F6413F">
      <w:pPr>
        <w:pStyle w:val="TOC2"/>
        <w:rPr>
          <w:rFonts w:eastAsiaTheme="minorEastAsia"/>
        </w:rPr>
      </w:pPr>
      <w:r w:rsidRPr="00044916">
        <w:t>B.3</w:t>
      </w:r>
      <w:r w:rsidRPr="00044916">
        <w:rPr>
          <w:rFonts w:eastAsiaTheme="minorEastAsia"/>
        </w:rPr>
        <w:tab/>
      </w:r>
      <w:r w:rsidRPr="00044916">
        <w:t>Methods to Maximize Response Rates and to Deal with Issues of Nonresponse</w:t>
      </w:r>
      <w:r w:rsidRPr="00044916">
        <w:tab/>
      </w:r>
      <w:r>
        <w:tab/>
      </w:r>
      <w:r w:rsidRPr="00044916">
        <w:t>7</w:t>
      </w:r>
    </w:p>
    <w:p w:rsidR="00F6413F" w:rsidRPr="00044916" w:rsidRDefault="00F6413F" w:rsidP="00F6413F">
      <w:pPr>
        <w:pStyle w:val="TOC3"/>
        <w:rPr>
          <w:rFonts w:eastAsiaTheme="minorEastAsia"/>
        </w:rPr>
      </w:pPr>
      <w:r w:rsidRPr="00044916">
        <w:t>WIC State and Local Administrators and Their WIC Sites</w:t>
      </w:r>
      <w:r w:rsidRPr="00044916">
        <w:tab/>
      </w:r>
      <w:r>
        <w:tab/>
      </w:r>
      <w:r w:rsidRPr="00044916">
        <w:t>7</w:t>
      </w:r>
    </w:p>
    <w:p w:rsidR="00F6413F" w:rsidRPr="00044916" w:rsidRDefault="00F6413F" w:rsidP="00F6413F">
      <w:pPr>
        <w:pStyle w:val="TOC3"/>
        <w:rPr>
          <w:rFonts w:eastAsiaTheme="minorEastAsia"/>
        </w:rPr>
      </w:pPr>
      <w:r w:rsidRPr="00044916">
        <w:t>WIC Participants</w:t>
      </w:r>
      <w:r w:rsidRPr="00044916">
        <w:tab/>
      </w:r>
      <w:r>
        <w:tab/>
      </w:r>
      <w:r w:rsidRPr="00044916">
        <w:t>8</w:t>
      </w:r>
    </w:p>
    <w:p w:rsidR="00F6413F" w:rsidRPr="00044916" w:rsidRDefault="00F6413F" w:rsidP="00F6413F">
      <w:pPr>
        <w:pStyle w:val="TOC2"/>
        <w:rPr>
          <w:rFonts w:eastAsiaTheme="minorEastAsia"/>
        </w:rPr>
      </w:pPr>
      <w:r w:rsidRPr="00044916">
        <w:t>B.4</w:t>
      </w:r>
      <w:r w:rsidRPr="00044916">
        <w:rPr>
          <w:rFonts w:eastAsiaTheme="minorEastAsia"/>
        </w:rPr>
        <w:tab/>
      </w:r>
      <w:r w:rsidRPr="00044916">
        <w:t>Test of Procedures or Methods to be Undertaken</w:t>
      </w:r>
      <w:r w:rsidRPr="00044916">
        <w:tab/>
      </w:r>
      <w:r>
        <w:tab/>
      </w:r>
      <w:r w:rsidRPr="00044916">
        <w:t>9</w:t>
      </w:r>
    </w:p>
    <w:p w:rsidR="00F6413F" w:rsidRDefault="00F6413F" w:rsidP="00F6413F">
      <w:pPr>
        <w:pStyle w:val="TOC2"/>
      </w:pPr>
      <w:r w:rsidRPr="00044916">
        <w:t>B.5</w:t>
      </w:r>
      <w:r w:rsidRPr="00044916">
        <w:rPr>
          <w:rFonts w:eastAsiaTheme="minorEastAsia"/>
        </w:rPr>
        <w:tab/>
      </w:r>
      <w:r w:rsidRPr="00044916">
        <w:t>Individuals Consulted on Statistical Aspects and Individuals Collecting and/or Analyzing Data</w:t>
      </w:r>
      <w:r w:rsidRPr="00044916">
        <w:tab/>
      </w:r>
      <w:r>
        <w:tab/>
      </w:r>
      <w:r w:rsidRPr="00044916">
        <w:t>9</w:t>
      </w:r>
    </w:p>
    <w:p w:rsidR="00F6413F" w:rsidRDefault="00F6413F" w:rsidP="00F6413F">
      <w:pPr>
        <w:pStyle w:val="TOC2"/>
      </w:pPr>
    </w:p>
    <w:p w:rsidR="00F6413F" w:rsidRPr="00044916" w:rsidRDefault="00F6413F" w:rsidP="00F6413F">
      <w:pPr>
        <w:pStyle w:val="TOC2"/>
        <w:rPr>
          <w:rFonts w:eastAsiaTheme="minorEastAsia"/>
        </w:rPr>
      </w:pPr>
    </w:p>
    <w:p w:rsidR="00C23DA3" w:rsidRDefault="00C23DA3" w:rsidP="007349C0">
      <w:pPr>
        <w:pStyle w:val="T0-ChapPgHd"/>
        <w:rPr>
          <w:szCs w:val="24"/>
          <w:u w:val="single"/>
        </w:rPr>
      </w:pPr>
      <w:r>
        <w:rPr>
          <w:szCs w:val="24"/>
          <w:u w:val="single"/>
        </w:rPr>
        <w:t>Appendi</w:t>
      </w:r>
      <w:r w:rsidR="000D1C20">
        <w:rPr>
          <w:szCs w:val="24"/>
          <w:u w:val="single"/>
        </w:rPr>
        <w:t>c</w:t>
      </w:r>
      <w:r>
        <w:rPr>
          <w:szCs w:val="24"/>
          <w:u w:val="single"/>
        </w:rPr>
        <w:t>es</w:t>
      </w:r>
    </w:p>
    <w:p w:rsidR="00C23DA3" w:rsidRDefault="00C23DA3" w:rsidP="007349C0">
      <w:pPr>
        <w:pStyle w:val="TOC5"/>
        <w:tabs>
          <w:tab w:val="left" w:pos="432"/>
        </w:tabs>
        <w:spacing w:line="240" w:lineRule="auto"/>
        <w:ind w:left="288" w:firstLine="0"/>
      </w:pPr>
    </w:p>
    <w:p w:rsidR="00C23DA3" w:rsidRDefault="00C23DA3" w:rsidP="00F6413F">
      <w:pPr>
        <w:pStyle w:val="TOC5"/>
      </w:pPr>
      <w:r>
        <w:t>A.1</w:t>
      </w:r>
      <w:r>
        <w:tab/>
        <w:t>Pretest 30 month survey – English</w:t>
      </w:r>
    </w:p>
    <w:p w:rsidR="00F6413F" w:rsidRDefault="00F6413F" w:rsidP="00F6413F">
      <w:pPr>
        <w:pStyle w:val="TOC5"/>
      </w:pPr>
    </w:p>
    <w:p w:rsidR="00C23DA3" w:rsidRDefault="00C23DA3" w:rsidP="00F6413F">
      <w:pPr>
        <w:pStyle w:val="TOC5"/>
      </w:pPr>
      <w:r>
        <w:t>A.2</w:t>
      </w:r>
      <w:r>
        <w:tab/>
        <w:t xml:space="preserve">Pretest 30-month survey </w:t>
      </w:r>
      <w:r w:rsidR="00F6413F">
        <w:t>–</w:t>
      </w:r>
      <w:r>
        <w:t xml:space="preserve"> Spanish</w:t>
      </w:r>
    </w:p>
    <w:p w:rsidR="00F6413F" w:rsidRDefault="00F6413F" w:rsidP="00F6413F">
      <w:pPr>
        <w:pStyle w:val="TOC5"/>
      </w:pPr>
    </w:p>
    <w:p w:rsidR="00C23DA3" w:rsidRDefault="00C23DA3" w:rsidP="00F6413F">
      <w:pPr>
        <w:pStyle w:val="TOC5"/>
      </w:pPr>
      <w:r>
        <w:t>B.1</w:t>
      </w:r>
      <w:r>
        <w:tab/>
        <w:t xml:space="preserve">Participant Flyer </w:t>
      </w:r>
      <w:r w:rsidR="00F6413F">
        <w:t>–</w:t>
      </w:r>
      <w:r>
        <w:t xml:space="preserve"> English</w:t>
      </w:r>
    </w:p>
    <w:p w:rsidR="00F6413F" w:rsidRDefault="00F6413F" w:rsidP="00F6413F">
      <w:pPr>
        <w:pStyle w:val="TOC5"/>
      </w:pPr>
    </w:p>
    <w:p w:rsidR="00C23DA3" w:rsidRDefault="00C23DA3" w:rsidP="00F6413F">
      <w:pPr>
        <w:pStyle w:val="TOC5"/>
      </w:pPr>
      <w:r>
        <w:t>B.2</w:t>
      </w:r>
      <w:r>
        <w:tab/>
        <w:t>Participant Flyer – Spanish</w:t>
      </w:r>
    </w:p>
    <w:p w:rsidR="00F6413F" w:rsidRDefault="00F6413F" w:rsidP="00F6413F">
      <w:pPr>
        <w:pStyle w:val="TOC5"/>
      </w:pPr>
    </w:p>
    <w:p w:rsidR="00C23DA3" w:rsidRDefault="00C23DA3" w:rsidP="00F6413F">
      <w:pPr>
        <w:pStyle w:val="TOC5"/>
      </w:pPr>
      <w:r>
        <w:t>C.1</w:t>
      </w:r>
      <w:r>
        <w:tab/>
        <w:t>Consent/Contact information – English</w:t>
      </w:r>
    </w:p>
    <w:p w:rsidR="00F6413F" w:rsidRDefault="00F6413F" w:rsidP="00F6413F">
      <w:pPr>
        <w:pStyle w:val="TOC5"/>
      </w:pPr>
    </w:p>
    <w:p w:rsidR="00C23DA3" w:rsidRDefault="00C23DA3" w:rsidP="00F6413F">
      <w:pPr>
        <w:pStyle w:val="TOC5"/>
      </w:pPr>
      <w:r>
        <w:t>C.2</w:t>
      </w:r>
      <w:r>
        <w:tab/>
        <w:t xml:space="preserve">Consent/Contact information </w:t>
      </w:r>
      <w:r w:rsidR="00F6413F">
        <w:t>–</w:t>
      </w:r>
      <w:r>
        <w:t xml:space="preserve"> Spanish</w:t>
      </w:r>
    </w:p>
    <w:p w:rsidR="00F6413F" w:rsidRDefault="00F6413F" w:rsidP="00F6413F">
      <w:pPr>
        <w:pStyle w:val="TOC5"/>
      </w:pPr>
    </w:p>
    <w:p w:rsidR="00C23DA3" w:rsidRDefault="00C23DA3" w:rsidP="00F6413F">
      <w:pPr>
        <w:pStyle w:val="TOC5"/>
        <w:rPr>
          <w:bCs/>
        </w:rPr>
      </w:pPr>
      <w:r>
        <w:t>D.1</w:t>
      </w:r>
      <w:r>
        <w:tab/>
      </w:r>
      <w:r>
        <w:rPr>
          <w:bCs/>
        </w:rPr>
        <w:t>24-month survey contact module – English</w:t>
      </w:r>
    </w:p>
    <w:p w:rsidR="00F6413F" w:rsidRDefault="00F6413F" w:rsidP="00F6413F">
      <w:pPr>
        <w:pStyle w:val="TOC5"/>
        <w:rPr>
          <w:bCs/>
        </w:rPr>
      </w:pPr>
    </w:p>
    <w:p w:rsidR="00C23DA3" w:rsidRDefault="00C23DA3" w:rsidP="00F6413F">
      <w:pPr>
        <w:pStyle w:val="TOC5"/>
      </w:pPr>
      <w:r>
        <w:t>D.2</w:t>
      </w:r>
      <w:r>
        <w:tab/>
        <w:t>24-month survey contact module – Spanish</w:t>
      </w:r>
    </w:p>
    <w:p w:rsidR="00F6413F" w:rsidRDefault="00F6413F" w:rsidP="00F6413F">
      <w:pPr>
        <w:pStyle w:val="TOC5"/>
      </w:pPr>
    </w:p>
    <w:p w:rsidR="00C23DA3" w:rsidRDefault="00C23DA3" w:rsidP="00F6413F">
      <w:pPr>
        <w:pStyle w:val="TOC5"/>
      </w:pPr>
      <w:r>
        <w:t>E.1</w:t>
      </w:r>
      <w:r>
        <w:tab/>
        <w:t xml:space="preserve">Contact information form (27- &amp; 33-months) </w:t>
      </w:r>
      <w:r w:rsidR="00F6413F">
        <w:t>–</w:t>
      </w:r>
      <w:r>
        <w:t xml:space="preserve"> English</w:t>
      </w:r>
    </w:p>
    <w:p w:rsidR="00F6413F" w:rsidRDefault="00F6413F" w:rsidP="00F6413F">
      <w:pPr>
        <w:pStyle w:val="TOC5"/>
      </w:pPr>
    </w:p>
    <w:p w:rsidR="00C23DA3" w:rsidRDefault="00C23DA3" w:rsidP="00F6413F">
      <w:pPr>
        <w:pStyle w:val="TOC5"/>
      </w:pPr>
      <w:r>
        <w:t>E.2</w:t>
      </w:r>
      <w:r>
        <w:tab/>
        <w:t>Contact information form (27- &amp; 33-months) – Spanish</w:t>
      </w:r>
    </w:p>
    <w:p w:rsidR="00F6413F" w:rsidRDefault="00F6413F" w:rsidP="00F6413F">
      <w:pPr>
        <w:pStyle w:val="TOC5"/>
      </w:pPr>
    </w:p>
    <w:p w:rsidR="00C23DA3" w:rsidRDefault="00C23DA3" w:rsidP="00F6413F">
      <w:pPr>
        <w:pStyle w:val="TOC5"/>
      </w:pPr>
      <w:r>
        <w:t>F.1</w:t>
      </w:r>
      <w:r>
        <w:tab/>
        <w:t>30-month advance letter – English</w:t>
      </w:r>
    </w:p>
    <w:p w:rsidR="00F6413F" w:rsidRDefault="00F6413F" w:rsidP="00F6413F">
      <w:pPr>
        <w:pStyle w:val="TOC5"/>
      </w:pPr>
    </w:p>
    <w:p w:rsidR="00C23DA3" w:rsidRDefault="00C23DA3" w:rsidP="00F6413F">
      <w:pPr>
        <w:pStyle w:val="TOC5"/>
      </w:pPr>
      <w:r>
        <w:t>F.2</w:t>
      </w:r>
      <w:r>
        <w:tab/>
        <w:t>30-month advance letter – Spanish</w:t>
      </w:r>
    </w:p>
    <w:p w:rsidR="00F6413F" w:rsidRDefault="00F6413F" w:rsidP="00F6413F">
      <w:pPr>
        <w:pStyle w:val="TC-TableofContentsHeading"/>
        <w:rPr>
          <w:sz w:val="24"/>
        </w:rPr>
      </w:pPr>
      <w:r w:rsidRPr="00F6413F">
        <w:rPr>
          <w:sz w:val="24"/>
        </w:rPr>
        <w:lastRenderedPageBreak/>
        <w:t>Contents (continued)</w:t>
      </w:r>
    </w:p>
    <w:p w:rsidR="00F6413F" w:rsidRDefault="000D1C20" w:rsidP="00F6413F">
      <w:pPr>
        <w:pStyle w:val="T0-ChapPgHd"/>
      </w:pPr>
      <w:r>
        <w:t>Appendic</w:t>
      </w:r>
      <w:r w:rsidR="00F6413F">
        <w:t>es</w:t>
      </w:r>
      <w:r w:rsidR="00F6413F">
        <w:tab/>
        <w:t>Page</w:t>
      </w:r>
    </w:p>
    <w:p w:rsidR="00F6413F" w:rsidRPr="00F6413F" w:rsidRDefault="00F6413F" w:rsidP="00F6413F">
      <w:pPr>
        <w:pStyle w:val="T0-ChapPgHd"/>
      </w:pPr>
    </w:p>
    <w:p w:rsidR="00C23DA3" w:rsidRDefault="00C23DA3" w:rsidP="00F6413F">
      <w:pPr>
        <w:pStyle w:val="TOC5"/>
      </w:pPr>
      <w:r>
        <w:t>G.1</w:t>
      </w:r>
      <w:r>
        <w:tab/>
        <w:t>30-month interview – English</w:t>
      </w:r>
    </w:p>
    <w:p w:rsidR="00F6413F" w:rsidRDefault="00F6413F" w:rsidP="00F6413F">
      <w:pPr>
        <w:pStyle w:val="TOC5"/>
      </w:pPr>
    </w:p>
    <w:p w:rsidR="00C23DA3" w:rsidRDefault="00C23DA3" w:rsidP="00F6413F">
      <w:pPr>
        <w:pStyle w:val="TOC5"/>
      </w:pPr>
      <w:r>
        <w:t>G.2</w:t>
      </w:r>
      <w:r>
        <w:tab/>
        <w:t>30-month interview – Spanish</w:t>
      </w:r>
    </w:p>
    <w:p w:rsidR="00F6413F" w:rsidRDefault="00F6413F" w:rsidP="00F6413F">
      <w:pPr>
        <w:pStyle w:val="TOC5"/>
      </w:pPr>
    </w:p>
    <w:p w:rsidR="00C23DA3" w:rsidRDefault="00C23DA3" w:rsidP="00F6413F">
      <w:pPr>
        <w:pStyle w:val="TOC5"/>
      </w:pPr>
      <w:r>
        <w:t>H.1</w:t>
      </w:r>
      <w:r>
        <w:tab/>
        <w:t>Reminder scripts – English</w:t>
      </w:r>
    </w:p>
    <w:p w:rsidR="00F6413F" w:rsidRDefault="00F6413F" w:rsidP="00F6413F">
      <w:pPr>
        <w:pStyle w:val="TOC5"/>
      </w:pPr>
    </w:p>
    <w:p w:rsidR="00C23DA3" w:rsidRDefault="00C23DA3" w:rsidP="00F6413F">
      <w:pPr>
        <w:pStyle w:val="TOC5"/>
      </w:pPr>
      <w:r>
        <w:t>H.2</w:t>
      </w:r>
      <w:r>
        <w:tab/>
        <w:t>Reminder scripts - Spanish</w:t>
      </w:r>
    </w:p>
    <w:p w:rsidR="00F6413F" w:rsidRDefault="00F6413F" w:rsidP="00F6413F">
      <w:pPr>
        <w:pStyle w:val="TOC5"/>
      </w:pPr>
    </w:p>
    <w:p w:rsidR="00C23DA3" w:rsidRDefault="00C23DA3" w:rsidP="00F6413F">
      <w:pPr>
        <w:pStyle w:val="TOC5"/>
      </w:pPr>
      <w:r>
        <w:t>I.1</w:t>
      </w:r>
      <w:r>
        <w:tab/>
        <w:t>36-month advance letter - English</w:t>
      </w:r>
    </w:p>
    <w:p w:rsidR="00F6413F" w:rsidRDefault="00F6413F" w:rsidP="00F6413F">
      <w:pPr>
        <w:pStyle w:val="TOC5"/>
      </w:pPr>
    </w:p>
    <w:p w:rsidR="00C23DA3" w:rsidRDefault="00C23DA3" w:rsidP="00F6413F">
      <w:pPr>
        <w:pStyle w:val="TOC5"/>
      </w:pPr>
      <w:r>
        <w:t>I.2</w:t>
      </w:r>
      <w:r>
        <w:tab/>
        <w:t>36-month advance letter - Spanish</w:t>
      </w:r>
    </w:p>
    <w:p w:rsidR="00F6413F" w:rsidRDefault="00F6413F" w:rsidP="00F6413F">
      <w:pPr>
        <w:pStyle w:val="TOC5"/>
      </w:pPr>
    </w:p>
    <w:p w:rsidR="00C23DA3" w:rsidRDefault="00C23DA3" w:rsidP="00F6413F">
      <w:pPr>
        <w:pStyle w:val="TOC5"/>
      </w:pPr>
      <w:r>
        <w:t>J.1</w:t>
      </w:r>
      <w:r>
        <w:tab/>
        <w:t>36-month participant interview - English</w:t>
      </w:r>
    </w:p>
    <w:p w:rsidR="00F6413F" w:rsidRDefault="00F6413F" w:rsidP="00F6413F">
      <w:pPr>
        <w:pStyle w:val="TOC5"/>
      </w:pPr>
    </w:p>
    <w:p w:rsidR="00C23DA3" w:rsidRDefault="00C23DA3" w:rsidP="00F6413F">
      <w:pPr>
        <w:pStyle w:val="TOC5"/>
      </w:pPr>
      <w:r>
        <w:t>J.2</w:t>
      </w:r>
      <w:r>
        <w:tab/>
        <w:t>36-month participant interview - Spanish</w:t>
      </w:r>
    </w:p>
    <w:p w:rsidR="00F6413F" w:rsidRDefault="00F6413F" w:rsidP="00F6413F">
      <w:pPr>
        <w:pStyle w:val="TOC5"/>
      </w:pPr>
    </w:p>
    <w:p w:rsidR="00C23DA3" w:rsidRDefault="00C23DA3" w:rsidP="00F6413F">
      <w:pPr>
        <w:pStyle w:val="TOC5"/>
      </w:pPr>
      <w:r>
        <w:t>K.1</w:t>
      </w:r>
      <w:r>
        <w:tab/>
        <w:t>Birthday card - English</w:t>
      </w:r>
    </w:p>
    <w:p w:rsidR="00F6413F" w:rsidRDefault="00F6413F" w:rsidP="00F6413F">
      <w:pPr>
        <w:pStyle w:val="TOC5"/>
      </w:pPr>
    </w:p>
    <w:p w:rsidR="00C23DA3" w:rsidRDefault="00C23DA3" w:rsidP="00F6413F">
      <w:pPr>
        <w:pStyle w:val="TOC5"/>
      </w:pPr>
      <w:r>
        <w:t>K.2</w:t>
      </w:r>
      <w:r>
        <w:tab/>
        <w:t>Birthday card - Spanish</w:t>
      </w:r>
    </w:p>
    <w:p w:rsidR="00F6413F" w:rsidRDefault="00F6413F" w:rsidP="00F6413F">
      <w:pPr>
        <w:pStyle w:val="TOC5"/>
      </w:pPr>
    </w:p>
    <w:p w:rsidR="00C23DA3" w:rsidRDefault="00C23DA3" w:rsidP="00F6413F">
      <w:pPr>
        <w:pStyle w:val="TOC5"/>
      </w:pPr>
      <w:r>
        <w:t>L</w:t>
      </w:r>
      <w:r>
        <w:tab/>
        <w:t xml:space="preserve">Contact information request </w:t>
      </w:r>
    </w:p>
    <w:p w:rsidR="00F6413F" w:rsidRDefault="00F6413F" w:rsidP="00F6413F">
      <w:pPr>
        <w:pStyle w:val="TOC5"/>
      </w:pPr>
    </w:p>
    <w:p w:rsidR="00C23DA3" w:rsidRDefault="00C23DA3" w:rsidP="00F6413F">
      <w:pPr>
        <w:pStyle w:val="TOC5"/>
      </w:pPr>
      <w:r>
        <w:t>M</w:t>
      </w:r>
      <w:r>
        <w:tab/>
        <w:t>Announcement to States</w:t>
      </w:r>
    </w:p>
    <w:p w:rsidR="00F6413F" w:rsidRDefault="00F6413F" w:rsidP="00F6413F">
      <w:pPr>
        <w:pStyle w:val="TOC5"/>
      </w:pPr>
    </w:p>
    <w:p w:rsidR="00C23DA3" w:rsidRDefault="00C23DA3" w:rsidP="00F6413F">
      <w:pPr>
        <w:pStyle w:val="TOC5"/>
      </w:pPr>
      <w:r>
        <w:t>N</w:t>
      </w:r>
      <w:r>
        <w:tab/>
        <w:t>Letter to States</w:t>
      </w:r>
    </w:p>
    <w:p w:rsidR="00F6413F" w:rsidRDefault="00F6413F" w:rsidP="00F6413F">
      <w:pPr>
        <w:pStyle w:val="TOC5"/>
      </w:pPr>
    </w:p>
    <w:p w:rsidR="00C23DA3" w:rsidRDefault="00C23DA3" w:rsidP="00F6413F">
      <w:pPr>
        <w:pStyle w:val="TOC5"/>
      </w:pPr>
      <w:r>
        <w:t>O</w:t>
      </w:r>
      <w:r>
        <w:tab/>
        <w:t>Height/Weight data request to States</w:t>
      </w:r>
    </w:p>
    <w:p w:rsidR="00F6413F" w:rsidRDefault="00F6413F" w:rsidP="00F6413F">
      <w:pPr>
        <w:pStyle w:val="TOC5"/>
      </w:pPr>
    </w:p>
    <w:p w:rsidR="00C23DA3" w:rsidRDefault="00C23DA3" w:rsidP="00F6413F">
      <w:pPr>
        <w:pStyle w:val="TOC5"/>
      </w:pPr>
      <w:r>
        <w:t>P</w:t>
      </w:r>
      <w:r>
        <w:tab/>
        <w:t>Agenda for State conference call</w:t>
      </w:r>
    </w:p>
    <w:p w:rsidR="00F6413F" w:rsidRDefault="00F6413F" w:rsidP="00F6413F">
      <w:pPr>
        <w:pStyle w:val="TOC5"/>
      </w:pPr>
    </w:p>
    <w:p w:rsidR="00C23DA3" w:rsidRDefault="00C23DA3" w:rsidP="00F6413F">
      <w:pPr>
        <w:pStyle w:val="TOC5"/>
      </w:pPr>
      <w:r>
        <w:t>Q</w:t>
      </w:r>
      <w:r>
        <w:tab/>
        <w:t>Announcement to WIC sites</w:t>
      </w:r>
    </w:p>
    <w:p w:rsidR="00F6413F" w:rsidRDefault="00F6413F" w:rsidP="00F6413F">
      <w:pPr>
        <w:pStyle w:val="TOC5"/>
      </w:pPr>
    </w:p>
    <w:p w:rsidR="00C23DA3" w:rsidRDefault="00C23DA3" w:rsidP="00F6413F">
      <w:pPr>
        <w:pStyle w:val="TOC5"/>
      </w:pPr>
      <w:r>
        <w:t>R</w:t>
      </w:r>
      <w:r>
        <w:tab/>
        <w:t>Extension letter to WIC sites</w:t>
      </w:r>
    </w:p>
    <w:p w:rsidR="00F6413F" w:rsidRDefault="00F6413F" w:rsidP="00F6413F">
      <w:pPr>
        <w:pStyle w:val="TOC5"/>
      </w:pPr>
    </w:p>
    <w:p w:rsidR="00C23DA3" w:rsidRDefault="00C23DA3" w:rsidP="00F6413F">
      <w:pPr>
        <w:pStyle w:val="TOC5"/>
      </w:pPr>
      <w:r>
        <w:t>S</w:t>
      </w:r>
      <w:r>
        <w:tab/>
        <w:t>HT/WT request attachment to WIC sites</w:t>
      </w:r>
    </w:p>
    <w:p w:rsidR="00F6413F" w:rsidRDefault="00F6413F" w:rsidP="00F6413F">
      <w:pPr>
        <w:pStyle w:val="TOC5"/>
      </w:pPr>
    </w:p>
    <w:p w:rsidR="00C23DA3" w:rsidRDefault="00C23DA3" w:rsidP="00F6413F">
      <w:pPr>
        <w:pStyle w:val="TOC5"/>
      </w:pPr>
      <w:r>
        <w:t>T</w:t>
      </w:r>
      <w:r>
        <w:tab/>
        <w:t>Agenda for WIC sites conference call</w:t>
      </w:r>
    </w:p>
    <w:p w:rsidR="00F6413F" w:rsidRDefault="00F6413F" w:rsidP="00F6413F">
      <w:pPr>
        <w:pStyle w:val="TOC5"/>
      </w:pPr>
    </w:p>
    <w:p w:rsidR="00C23DA3" w:rsidRDefault="00C23DA3" w:rsidP="00F6413F">
      <w:pPr>
        <w:pStyle w:val="TOC5"/>
      </w:pPr>
      <w:r>
        <w:t>U</w:t>
      </w:r>
      <w:r w:rsidR="001C50C0">
        <w:t>.1</w:t>
      </w:r>
      <w:r>
        <w:tab/>
      </w:r>
      <w:r w:rsidR="001C50C0">
        <w:t xml:space="preserve">HT/WT </w:t>
      </w:r>
      <w:r w:rsidR="00FD6678">
        <w:t xml:space="preserve">Measurement </w:t>
      </w:r>
      <w:r w:rsidR="001C50C0">
        <w:t>Letter - English</w:t>
      </w:r>
    </w:p>
    <w:p w:rsidR="00F6413F" w:rsidRDefault="00F6413F" w:rsidP="00F6413F">
      <w:pPr>
        <w:pStyle w:val="TOC5"/>
      </w:pPr>
    </w:p>
    <w:p w:rsidR="00C23DA3" w:rsidRDefault="001C50C0" w:rsidP="00F6413F">
      <w:pPr>
        <w:pStyle w:val="TOC5"/>
      </w:pPr>
      <w:r>
        <w:t>U.2</w:t>
      </w:r>
      <w:r w:rsidR="00C23DA3">
        <w:tab/>
      </w:r>
      <w:r>
        <w:t xml:space="preserve">HT/WT </w:t>
      </w:r>
      <w:r w:rsidR="00FD6678">
        <w:t xml:space="preserve">Measurement </w:t>
      </w:r>
      <w:r>
        <w:t>Letter - Spanish</w:t>
      </w:r>
    </w:p>
    <w:p w:rsidR="00F6413F" w:rsidRDefault="00F6413F" w:rsidP="00F6413F">
      <w:pPr>
        <w:pStyle w:val="TC-TableofContentsHeading"/>
        <w:rPr>
          <w:sz w:val="24"/>
        </w:rPr>
      </w:pPr>
      <w:r w:rsidRPr="00F6413F">
        <w:rPr>
          <w:sz w:val="24"/>
        </w:rPr>
        <w:lastRenderedPageBreak/>
        <w:t>Contents (continued)</w:t>
      </w:r>
    </w:p>
    <w:p w:rsidR="00F6413F" w:rsidRDefault="00F6413F" w:rsidP="00F6413F">
      <w:pPr>
        <w:pStyle w:val="T0-ChapPgHd"/>
      </w:pPr>
      <w:r>
        <w:t>Appendixes</w:t>
      </w:r>
      <w:r>
        <w:tab/>
        <w:t>Page</w:t>
      </w:r>
    </w:p>
    <w:p w:rsidR="001C50C0" w:rsidRDefault="001C50C0" w:rsidP="001C50C0">
      <w:pPr>
        <w:pStyle w:val="TOC5"/>
      </w:pPr>
    </w:p>
    <w:p w:rsidR="001C50C0" w:rsidRDefault="001C50C0" w:rsidP="001C50C0">
      <w:pPr>
        <w:pStyle w:val="TOC5"/>
      </w:pPr>
      <w:r>
        <w:t>V.1</w:t>
      </w:r>
      <w:r>
        <w:tab/>
        <w:t>HT/WT measurement card – English</w:t>
      </w:r>
    </w:p>
    <w:p w:rsidR="001C50C0" w:rsidRDefault="001C50C0" w:rsidP="001C50C0">
      <w:pPr>
        <w:pStyle w:val="TOC5"/>
      </w:pPr>
    </w:p>
    <w:p w:rsidR="001C50C0" w:rsidRDefault="001C50C0" w:rsidP="001C50C0">
      <w:pPr>
        <w:pStyle w:val="TOC5"/>
      </w:pPr>
      <w:r>
        <w:t>V.2</w:t>
      </w:r>
      <w:r>
        <w:tab/>
        <w:t>HT/WT measurement card – Spanish</w:t>
      </w:r>
    </w:p>
    <w:p w:rsidR="001C50C0" w:rsidRDefault="001C50C0" w:rsidP="001C50C0">
      <w:pPr>
        <w:pStyle w:val="TOC5"/>
      </w:pPr>
      <w:r>
        <w:t xml:space="preserve"> </w:t>
      </w:r>
    </w:p>
    <w:p w:rsidR="001C50C0" w:rsidRDefault="001C50C0" w:rsidP="001C50C0">
      <w:pPr>
        <w:pStyle w:val="TOC5"/>
      </w:pPr>
      <w:r>
        <w:t>W.1</w:t>
      </w:r>
      <w:r>
        <w:tab/>
        <w:t>HIPAA letter/form – English</w:t>
      </w:r>
    </w:p>
    <w:p w:rsidR="001C50C0" w:rsidRPr="00F6413F" w:rsidRDefault="001C50C0" w:rsidP="00F6413F">
      <w:pPr>
        <w:pStyle w:val="T0-ChapPgHd"/>
      </w:pPr>
    </w:p>
    <w:p w:rsidR="00C23DA3" w:rsidRDefault="001C50C0" w:rsidP="00F6413F">
      <w:pPr>
        <w:pStyle w:val="TOC5"/>
      </w:pPr>
      <w:r>
        <w:t>W</w:t>
      </w:r>
      <w:r w:rsidR="00C23DA3">
        <w:t>.2</w:t>
      </w:r>
      <w:r w:rsidR="00F6413F">
        <w:tab/>
      </w:r>
      <w:r w:rsidR="00C23DA3">
        <w:t>HIPAA letter/form - Spanish</w:t>
      </w:r>
    </w:p>
    <w:p w:rsidR="00F6413F" w:rsidRDefault="00F6413F" w:rsidP="00F6413F">
      <w:pPr>
        <w:pStyle w:val="TOC5"/>
      </w:pPr>
    </w:p>
    <w:p w:rsidR="00C23DA3" w:rsidRDefault="001C50C0" w:rsidP="00F6413F">
      <w:pPr>
        <w:pStyle w:val="TOC5"/>
      </w:pPr>
      <w:r>
        <w:t>X</w:t>
      </w:r>
      <w:r w:rsidR="00C23DA3">
        <w:tab/>
        <w:t>Provider data request form</w:t>
      </w:r>
    </w:p>
    <w:p w:rsidR="00F6413F" w:rsidRDefault="00F6413F" w:rsidP="00F6413F">
      <w:pPr>
        <w:pStyle w:val="TOC5"/>
      </w:pPr>
    </w:p>
    <w:p w:rsidR="00405BB4" w:rsidRDefault="00405BB4" w:rsidP="00405BB4">
      <w:pPr>
        <w:tabs>
          <w:tab w:val="left" w:pos="1008"/>
        </w:tabs>
        <w:spacing w:line="240" w:lineRule="auto"/>
        <w:ind w:left="288" w:right="-270"/>
        <w:rPr>
          <w:rFonts w:cs="Calibri"/>
          <w:color w:val="000000"/>
          <w:szCs w:val="24"/>
        </w:rPr>
      </w:pPr>
      <w:r>
        <w:rPr>
          <w:rFonts w:cs="Calibri"/>
          <w:color w:val="000000"/>
          <w:szCs w:val="24"/>
        </w:rPr>
        <w:t>Y</w:t>
      </w:r>
      <w:r w:rsidR="00B9157C">
        <w:rPr>
          <w:rFonts w:cs="Calibri"/>
          <w:color w:val="000000"/>
          <w:szCs w:val="24"/>
        </w:rPr>
        <w:t>.1</w:t>
      </w:r>
      <w:r>
        <w:rPr>
          <w:rFonts w:cs="Calibri"/>
          <w:color w:val="000000"/>
          <w:szCs w:val="24"/>
        </w:rPr>
        <w:tab/>
      </w:r>
      <w:r>
        <w:rPr>
          <w:rFonts w:cs="Calibri"/>
          <w:color w:val="000000"/>
          <w:szCs w:val="24"/>
        </w:rPr>
        <w:tab/>
        <w:t>Comment #1 to 60-Day Notice</w:t>
      </w:r>
    </w:p>
    <w:p w:rsidR="00405BB4" w:rsidRDefault="00405BB4" w:rsidP="00405BB4">
      <w:pPr>
        <w:tabs>
          <w:tab w:val="left" w:pos="1008"/>
        </w:tabs>
        <w:spacing w:line="240" w:lineRule="auto"/>
        <w:ind w:left="288" w:right="-270"/>
        <w:rPr>
          <w:rFonts w:cs="Calibri"/>
          <w:color w:val="000000"/>
          <w:szCs w:val="24"/>
        </w:rPr>
      </w:pPr>
    </w:p>
    <w:p w:rsidR="00405BB4" w:rsidRDefault="00405BB4" w:rsidP="00405BB4">
      <w:pPr>
        <w:tabs>
          <w:tab w:val="left" w:pos="1008"/>
        </w:tabs>
        <w:spacing w:line="240" w:lineRule="auto"/>
        <w:ind w:left="288" w:right="-270"/>
        <w:rPr>
          <w:rFonts w:cs="Calibri"/>
          <w:color w:val="000000"/>
          <w:szCs w:val="24"/>
        </w:rPr>
      </w:pPr>
      <w:r>
        <w:rPr>
          <w:rFonts w:cs="Calibri"/>
          <w:color w:val="000000"/>
          <w:szCs w:val="24"/>
        </w:rPr>
        <w:t>Y.2</w:t>
      </w:r>
      <w:r>
        <w:rPr>
          <w:rFonts w:cs="Calibri"/>
          <w:color w:val="000000"/>
          <w:szCs w:val="24"/>
        </w:rPr>
        <w:tab/>
      </w:r>
      <w:r>
        <w:rPr>
          <w:rFonts w:cs="Calibri"/>
          <w:color w:val="000000"/>
          <w:szCs w:val="24"/>
        </w:rPr>
        <w:tab/>
        <w:t>Comment #2 to 60-Day Notice</w:t>
      </w:r>
    </w:p>
    <w:p w:rsidR="00CD46B2" w:rsidRDefault="00CD46B2" w:rsidP="00F6413F">
      <w:pPr>
        <w:pStyle w:val="TOC5"/>
      </w:pPr>
    </w:p>
    <w:p w:rsidR="00C23DA3" w:rsidRDefault="0039698E" w:rsidP="00F6413F">
      <w:pPr>
        <w:pStyle w:val="TOC5"/>
      </w:pPr>
      <w:r>
        <w:t>Z</w:t>
      </w:r>
      <w:r w:rsidR="00C23DA3">
        <w:tab/>
        <w:t>NASS comments</w:t>
      </w:r>
    </w:p>
    <w:p w:rsidR="00F6413F" w:rsidRDefault="00F6413F" w:rsidP="00F6413F">
      <w:pPr>
        <w:pStyle w:val="TOC5"/>
      </w:pPr>
    </w:p>
    <w:p w:rsidR="00C23DA3" w:rsidRDefault="0039698E" w:rsidP="00F6413F">
      <w:pPr>
        <w:pStyle w:val="TOC5"/>
      </w:pPr>
      <w:r>
        <w:t>AA</w:t>
      </w:r>
      <w:r w:rsidR="00C23DA3">
        <w:tab/>
      </w:r>
      <w:r w:rsidR="00090426">
        <w:t xml:space="preserve">Westat </w:t>
      </w:r>
      <w:r w:rsidR="00C23DA3">
        <w:t>Confidentiality/Non-disclosure agreement</w:t>
      </w:r>
    </w:p>
    <w:p w:rsidR="00F6413F" w:rsidRDefault="00F6413F" w:rsidP="00F6413F">
      <w:pPr>
        <w:pStyle w:val="TOC5"/>
      </w:pPr>
    </w:p>
    <w:p w:rsidR="00C23DA3" w:rsidRDefault="0039698E" w:rsidP="00F6413F">
      <w:pPr>
        <w:pStyle w:val="TOC5"/>
      </w:pPr>
      <w:r>
        <w:t>BB</w:t>
      </w:r>
      <w:r w:rsidR="00C23DA3">
        <w:tab/>
        <w:t>IRB approval letter</w:t>
      </w:r>
    </w:p>
    <w:p w:rsidR="00F6413F" w:rsidRDefault="00F6413F" w:rsidP="00F6413F">
      <w:pPr>
        <w:pStyle w:val="TOC5"/>
      </w:pPr>
    </w:p>
    <w:p w:rsidR="00C23DA3" w:rsidRDefault="0039698E" w:rsidP="00F6413F">
      <w:pPr>
        <w:pStyle w:val="TOC5"/>
      </w:pPr>
      <w:r>
        <w:t>CC</w:t>
      </w:r>
      <w:r w:rsidR="00C23DA3">
        <w:tab/>
        <w:t>Cross-walk to approved materials</w:t>
      </w:r>
    </w:p>
    <w:p w:rsidR="00F6413F" w:rsidRDefault="00F6413F" w:rsidP="00F6413F">
      <w:pPr>
        <w:pStyle w:val="TOC5"/>
      </w:pPr>
    </w:p>
    <w:p w:rsidR="00F6413F" w:rsidRDefault="00F6413F" w:rsidP="007349C0">
      <w:pPr>
        <w:tabs>
          <w:tab w:val="left" w:pos="1008"/>
        </w:tabs>
        <w:spacing w:line="240" w:lineRule="auto"/>
        <w:ind w:left="288" w:right="-270"/>
        <w:rPr>
          <w:rFonts w:cs="Calibri"/>
          <w:color w:val="000000"/>
          <w:szCs w:val="24"/>
        </w:rPr>
      </w:pPr>
    </w:p>
    <w:p w:rsidR="00F6413F" w:rsidRDefault="00F6413F" w:rsidP="00F6413F">
      <w:pPr>
        <w:pStyle w:val="T0-ChapPgHd"/>
      </w:pPr>
      <w:r>
        <w:t>Tables</w:t>
      </w:r>
    </w:p>
    <w:p w:rsidR="00F6413F" w:rsidRDefault="00F6413F" w:rsidP="00F6413F">
      <w:pPr>
        <w:pStyle w:val="T0-ChapPgHd"/>
      </w:pPr>
    </w:p>
    <w:p w:rsidR="00F6413F" w:rsidRDefault="00F6413F" w:rsidP="00F6413F">
      <w:pPr>
        <w:pStyle w:val="TOC5"/>
      </w:pPr>
      <w:r w:rsidRPr="00044916">
        <w:t>B2.1</w:t>
      </w:r>
      <w:r w:rsidRPr="00044916">
        <w:rPr>
          <w:rFonts w:eastAsiaTheme="minorEastAsia"/>
        </w:rPr>
        <w:tab/>
      </w:r>
      <w:r w:rsidRPr="00044916">
        <w:t>Minimum detectable differences between subgroups of interest (based on both the core longitudinal and supplemental cross-sectional samples)</w:t>
      </w:r>
      <w:r w:rsidRPr="00044916">
        <w:tab/>
      </w:r>
      <w:r>
        <w:tab/>
      </w:r>
      <w:r w:rsidRPr="00044916">
        <w:t>4</w:t>
      </w:r>
    </w:p>
    <w:p w:rsidR="00F6413F" w:rsidRPr="00044916" w:rsidRDefault="00F6413F" w:rsidP="00F6413F">
      <w:pPr>
        <w:pStyle w:val="TOC5"/>
        <w:rPr>
          <w:rFonts w:eastAsiaTheme="minorEastAsia"/>
        </w:rPr>
      </w:pPr>
    </w:p>
    <w:p w:rsidR="00F6413F" w:rsidRDefault="00F6413F" w:rsidP="00F6413F">
      <w:pPr>
        <w:pStyle w:val="TOC5"/>
      </w:pPr>
      <w:r w:rsidRPr="00044916">
        <w:t>B2.2</w:t>
      </w:r>
      <w:r w:rsidRPr="00044916">
        <w:rPr>
          <w:rFonts w:eastAsiaTheme="minorEastAsia"/>
        </w:rPr>
        <w:tab/>
      </w:r>
      <w:r w:rsidRPr="00044916">
        <w:t>Minimum detectable differences for child obesity and overweight status by timing of WIC enrollment – controlled for maternal weight status – valid at both 12 and 24 months</w:t>
      </w:r>
      <w:r w:rsidRPr="00044916">
        <w:tab/>
      </w:r>
      <w:r>
        <w:tab/>
      </w:r>
      <w:r w:rsidRPr="00044916">
        <w:t>4</w:t>
      </w:r>
    </w:p>
    <w:p w:rsidR="00F6413F" w:rsidRPr="00044916" w:rsidRDefault="00F6413F" w:rsidP="00F6413F">
      <w:pPr>
        <w:pStyle w:val="TOC5"/>
        <w:rPr>
          <w:rFonts w:eastAsiaTheme="minorEastAsia"/>
        </w:rPr>
      </w:pPr>
    </w:p>
    <w:p w:rsidR="00F6413F" w:rsidRPr="00044916" w:rsidRDefault="00F6413F" w:rsidP="00F6413F">
      <w:pPr>
        <w:pStyle w:val="TOC5"/>
        <w:rPr>
          <w:rFonts w:eastAsiaTheme="minorEastAsia"/>
        </w:rPr>
      </w:pPr>
      <w:r w:rsidRPr="00044916">
        <w:t>B2.3</w:t>
      </w:r>
      <w:r w:rsidRPr="00044916">
        <w:rPr>
          <w:rFonts w:eastAsiaTheme="minorEastAsia"/>
        </w:rPr>
        <w:tab/>
      </w:r>
      <w:r w:rsidRPr="00044916">
        <w:t>Expected sample sizes and response rates</w:t>
      </w:r>
      <w:r w:rsidRPr="00044916">
        <w:tab/>
      </w:r>
      <w:r>
        <w:tab/>
      </w:r>
      <w:r w:rsidRPr="00044916">
        <w:t>5</w:t>
      </w:r>
    </w:p>
    <w:p w:rsidR="00F6413F" w:rsidRDefault="00F6413F" w:rsidP="00F6413F">
      <w:pPr>
        <w:pStyle w:val="L1-FlLSp12"/>
      </w:pPr>
    </w:p>
    <w:p w:rsidR="00F6413F" w:rsidRDefault="00F6413F" w:rsidP="00F6413F">
      <w:pPr>
        <w:pStyle w:val="L1-FlLSp12"/>
      </w:pPr>
    </w:p>
    <w:p w:rsidR="00F6413F" w:rsidRDefault="00F6413F" w:rsidP="00F6413F">
      <w:pPr>
        <w:pStyle w:val="L1-FlLSp12"/>
        <w:rPr>
          <w:rFonts w:cs="Calibri"/>
          <w:color w:val="000000"/>
          <w:szCs w:val="24"/>
        </w:rPr>
      </w:pPr>
    </w:p>
    <w:p w:rsidR="00C23DA3" w:rsidRDefault="00C23DA3" w:rsidP="007349C0">
      <w:pPr>
        <w:pStyle w:val="Heading1"/>
        <w:rPr>
          <w:spacing w:val="-20"/>
        </w:rPr>
        <w:sectPr w:rsidR="00C23DA3" w:rsidSect="00550934">
          <w:headerReference w:type="default" r:id="rId10"/>
          <w:footerReference w:type="default" r:id="rId11"/>
          <w:footerReference w:type="first" r:id="rId12"/>
          <w:endnotePr>
            <w:numFmt w:val="decimal"/>
          </w:endnotePr>
          <w:pgSz w:w="12240" w:h="15840" w:code="1"/>
          <w:pgMar w:top="1440" w:right="1440" w:bottom="1440" w:left="1440" w:header="720" w:footer="576" w:gutter="0"/>
          <w:pgNumType w:fmt="lowerRoman" w:start="1"/>
          <w:cols w:space="720"/>
          <w:noEndnote/>
          <w:titlePg/>
          <w:docGrid w:linePitch="326"/>
        </w:sectPr>
      </w:pPr>
    </w:p>
    <w:p w:rsidR="00550934" w:rsidRDefault="00550934" w:rsidP="007349C0">
      <w:pPr>
        <w:pStyle w:val="Heading1"/>
      </w:pPr>
      <w:bookmarkStart w:id="12" w:name="_Toc400377717"/>
      <w:r w:rsidRPr="00C732EE">
        <w:rPr>
          <w:spacing w:val="-20"/>
        </w:rPr>
        <w:lastRenderedPageBreak/>
        <w:t>Part</w:t>
      </w:r>
      <w:r w:rsidRPr="00C732EE">
        <w:t xml:space="preserve"> </w:t>
      </w:r>
      <w:r>
        <w:t>B</w:t>
      </w:r>
    </w:p>
    <w:p w:rsidR="00550934" w:rsidRDefault="00550934" w:rsidP="007349C0">
      <w:pPr>
        <w:pStyle w:val="Heading1"/>
      </w:pPr>
      <w:r w:rsidRPr="00A75438">
        <w:t>Collections</w:t>
      </w:r>
      <w:r w:rsidRPr="00C732EE">
        <w:t xml:space="preserve"> of </w:t>
      </w:r>
      <w:r>
        <w:t>I</w:t>
      </w:r>
      <w:r w:rsidRPr="00C732EE">
        <w:t xml:space="preserve">nformation </w:t>
      </w:r>
      <w:r>
        <w:t>E</w:t>
      </w:r>
      <w:r w:rsidRPr="00C732EE">
        <w:t xml:space="preserve">mploying </w:t>
      </w:r>
    </w:p>
    <w:p w:rsidR="00C23DA3" w:rsidRDefault="00550934" w:rsidP="007349C0">
      <w:pPr>
        <w:pStyle w:val="Heading1"/>
      </w:pPr>
      <w:r>
        <w:t>S</w:t>
      </w:r>
      <w:r w:rsidRPr="00C732EE">
        <w:t xml:space="preserve">tatistical </w:t>
      </w:r>
      <w:r>
        <w:t>M</w:t>
      </w:r>
      <w:r w:rsidRPr="00C732EE">
        <w:t>ethods</w:t>
      </w:r>
      <w:bookmarkEnd w:id="2"/>
      <w:bookmarkEnd w:id="12"/>
    </w:p>
    <w:p w:rsidR="00550934" w:rsidRPr="00C732EE" w:rsidRDefault="00550934" w:rsidP="007349C0">
      <w:pPr>
        <w:pStyle w:val="Heading1"/>
      </w:pPr>
    </w:p>
    <w:p w:rsidR="00C23DA3" w:rsidRPr="007A1004" w:rsidRDefault="00C23DA3" w:rsidP="00550934">
      <w:pPr>
        <w:pStyle w:val="Heading2"/>
      </w:pPr>
      <w:bookmarkStart w:id="13" w:name="_Toc329341099"/>
      <w:bookmarkStart w:id="14" w:name="_Toc400377718"/>
      <w:r w:rsidRPr="007A1004">
        <w:t>B.1</w:t>
      </w:r>
      <w:r w:rsidRPr="007A1004">
        <w:tab/>
      </w:r>
      <w:r w:rsidRPr="00A75438">
        <w:t>Respondent</w:t>
      </w:r>
      <w:r w:rsidRPr="007A1004">
        <w:t xml:space="preserve"> Universe and Sampling Methods</w:t>
      </w:r>
      <w:bookmarkEnd w:id="13"/>
      <w:bookmarkEnd w:id="14"/>
    </w:p>
    <w:p w:rsidR="00C23DA3" w:rsidRPr="001436D0" w:rsidRDefault="00C23DA3" w:rsidP="00550934">
      <w:pPr>
        <w:pStyle w:val="L1-FlLSp12"/>
        <w:rPr>
          <w:rStyle w:val="Strong"/>
        </w:rPr>
      </w:pPr>
      <w:bookmarkStart w:id="15" w:name="_Toc316652505"/>
      <w:bookmarkStart w:id="16" w:name="_Toc325550963"/>
      <w:bookmarkStart w:id="17" w:name="_Toc400377719"/>
      <w:bookmarkStart w:id="18" w:name="_Toc290021779"/>
      <w:bookmarkEnd w:id="3"/>
      <w:bookmarkEnd w:id="4"/>
      <w:bookmarkEnd w:id="5"/>
      <w:bookmarkEnd w:id="6"/>
      <w:bookmarkEnd w:id="7"/>
      <w:bookmarkEnd w:id="8"/>
      <w:bookmarkEnd w:id="9"/>
      <w:bookmarkEnd w:id="10"/>
      <w:bookmarkEnd w:id="11"/>
      <w:r w:rsidRPr="001436D0">
        <w:rPr>
          <w:rStyle w:val="Strong"/>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5"/>
      <w:bookmarkEnd w:id="16"/>
      <w:bookmarkEnd w:id="17"/>
    </w:p>
    <w:p w:rsidR="00550934" w:rsidRDefault="00550934" w:rsidP="00550934">
      <w:pPr>
        <w:pStyle w:val="L1-FlLSp12"/>
        <w:rPr>
          <w:rStyle w:val="Strong"/>
          <w:b w:val="0"/>
        </w:rPr>
      </w:pPr>
    </w:p>
    <w:p w:rsidR="00550934" w:rsidRPr="0042385C" w:rsidRDefault="00550934" w:rsidP="00550934">
      <w:pPr>
        <w:pStyle w:val="L1-FlLSp12"/>
        <w:rPr>
          <w:rStyle w:val="Strong"/>
          <w:b w:val="0"/>
        </w:rPr>
      </w:pPr>
    </w:p>
    <w:p w:rsidR="00C23DA3" w:rsidRPr="00D93286" w:rsidRDefault="00C23DA3" w:rsidP="006A6DF4">
      <w:pPr>
        <w:pStyle w:val="Heading3"/>
      </w:pPr>
      <w:bookmarkStart w:id="19" w:name="_Toc400377720"/>
      <w:bookmarkStart w:id="20" w:name="_Toc290021780"/>
      <w:bookmarkEnd w:id="18"/>
      <w:r>
        <w:t>Respondent Universe</w:t>
      </w:r>
      <w:bookmarkEnd w:id="19"/>
    </w:p>
    <w:p w:rsidR="00C23DA3" w:rsidRDefault="00C23DA3" w:rsidP="00550934">
      <w:pPr>
        <w:pStyle w:val="L1-FlLSp12"/>
      </w:pPr>
      <w:r>
        <w:t>The respondent universe for the Age 3 Extension includes infants enrolled in the base cohort.</w:t>
      </w:r>
      <w:r w:rsidR="00550934">
        <w:t xml:space="preserve"> </w:t>
      </w:r>
      <w:r>
        <w:t xml:space="preserve">ITFPS-2 uses a longitudinal design and the </w:t>
      </w:r>
      <w:r w:rsidR="007349C0">
        <w:t xml:space="preserve">revision </w:t>
      </w:r>
      <w:r>
        <w:t>will continue to gather data from mothers/caregivers about their 30- and 36-month old children via a telephone survey</w:t>
      </w:r>
      <w:r w:rsidR="007349C0">
        <w:t xml:space="preserve"> (A</w:t>
      </w:r>
      <w:r w:rsidR="001D102C">
        <w:t xml:space="preserve">ppendices </w:t>
      </w:r>
      <w:r w:rsidR="00382E6A">
        <w:t xml:space="preserve">G and </w:t>
      </w:r>
      <w:r w:rsidR="008F2582">
        <w:t>J</w:t>
      </w:r>
      <w:r w:rsidR="00382E6A">
        <w:t xml:space="preserve">) </w:t>
      </w:r>
      <w:r>
        <w:t>and will collect height and weight data from WIC administrative records, healthcare providers, or direct measurements at WIC site office</w:t>
      </w:r>
      <w:r w:rsidR="00C2551E">
        <w:t>s</w:t>
      </w:r>
      <w:r w:rsidR="001D102C">
        <w:t xml:space="preserve"> (using Appendices </w:t>
      </w:r>
      <w:r w:rsidR="00C2551E">
        <w:t>O, S, and V</w:t>
      </w:r>
      <w:r w:rsidR="001D102C">
        <w:t>)</w:t>
      </w:r>
      <w:r>
        <w:t>.</w:t>
      </w:r>
    </w:p>
    <w:p w:rsidR="00550934" w:rsidRDefault="00550934" w:rsidP="00550934">
      <w:pPr>
        <w:pStyle w:val="L1-FlLSp12"/>
      </w:pPr>
    </w:p>
    <w:p w:rsidR="00C23DA3" w:rsidRDefault="00C23DA3" w:rsidP="00550934">
      <w:pPr>
        <w:pStyle w:val="L1-FlLSp12"/>
      </w:pPr>
      <w:r>
        <w:t>As described in Section B.2, o</w:t>
      </w:r>
      <w:r w:rsidRPr="004504E0">
        <w:t xml:space="preserve">ur </w:t>
      </w:r>
      <w:r>
        <w:t>base</w:t>
      </w:r>
      <w:r w:rsidRPr="004504E0">
        <w:t xml:space="preserve"> cohort sample was designed to obtain minimum detectable differences (MDDs) of 5 to 10 percentage points between subgroups of interest at the originally planned final measurement of 24 months. With the expansion of the study to 36 months, we project our current sample will yield 2,580 completed 30-month interviews and</w:t>
      </w:r>
      <w:r w:rsidR="00550934">
        <w:t xml:space="preserve"> </w:t>
      </w:r>
      <w:r w:rsidRPr="004504E0">
        <w:t>2,444 completed 36-month interviews, assuming 10 percent annual attrition from the 24-month interview (with 5 percent attrition from the 24-month interview to the 30-month interview).</w:t>
      </w:r>
      <w:r w:rsidRPr="004504E0">
        <w:rPr>
          <w:rStyle w:val="FootnoteReference"/>
        </w:rPr>
        <w:footnoteReference w:id="1"/>
      </w:r>
      <w:r w:rsidR="00550934">
        <w:t xml:space="preserve"> </w:t>
      </w:r>
      <w:r w:rsidRPr="004504E0">
        <w:t>The projected sample sizes at 36 months are expected to yield MDDs of 6 to 12 percentage points between subgroups of interest for estimates at 36 months.</w:t>
      </w:r>
      <w:r w:rsidR="00550934">
        <w:t xml:space="preserve"> </w:t>
      </w:r>
    </w:p>
    <w:p w:rsidR="00C23DA3" w:rsidRDefault="00C23DA3" w:rsidP="00550934">
      <w:pPr>
        <w:pStyle w:val="L1-FlLSp12"/>
      </w:pPr>
      <w:r>
        <w:lastRenderedPageBreak/>
        <w:t>WIC program representatives in the WIC State and Local Agencies will provide important information to the study.</w:t>
      </w:r>
      <w:r w:rsidR="00550934">
        <w:t xml:space="preserve"> </w:t>
      </w:r>
      <w:r>
        <w:t>A total of 27 State WIC administrators and 80 local WIC site staff will continue to support data collection efforts for the Age 3 Extension.</w:t>
      </w:r>
      <w:r w:rsidR="00550934">
        <w:t xml:space="preserve"> </w:t>
      </w:r>
      <w:r>
        <w:t>Finally, we anticipate contacting 196 health care providers to obtain height and weight data for children who have discontinued their participation in WIC and are unable to revisit the WIC site office for measurements.</w:t>
      </w:r>
    </w:p>
    <w:p w:rsidR="00550934" w:rsidRDefault="00550934" w:rsidP="00550934">
      <w:pPr>
        <w:pStyle w:val="L1-FlLSp12"/>
      </w:pPr>
    </w:p>
    <w:p w:rsidR="00550934" w:rsidRDefault="00550934" w:rsidP="00550934">
      <w:pPr>
        <w:pStyle w:val="L1-FlLSp12"/>
      </w:pPr>
    </w:p>
    <w:p w:rsidR="00C23DA3" w:rsidRDefault="00C23DA3" w:rsidP="006A6DF4">
      <w:pPr>
        <w:pStyle w:val="Heading3"/>
      </w:pPr>
      <w:bookmarkStart w:id="21" w:name="_Toc400377721"/>
      <w:bookmarkStart w:id="22" w:name="_Toc287257054"/>
      <w:bookmarkStart w:id="23" w:name="_Toc287257091"/>
      <w:bookmarkStart w:id="24" w:name="_Toc290021786"/>
      <w:bookmarkStart w:id="25" w:name="_Toc329341128"/>
      <w:bookmarkEnd w:id="20"/>
      <w:r w:rsidRPr="00D93286">
        <w:t>Sampling Methods</w:t>
      </w:r>
      <w:bookmarkEnd w:id="21"/>
    </w:p>
    <w:p w:rsidR="00C23DA3" w:rsidRDefault="00C23DA3" w:rsidP="00550934">
      <w:pPr>
        <w:pStyle w:val="L1-FlLSp12"/>
      </w:pPr>
      <w:bookmarkStart w:id="26" w:name="_Toc400377722"/>
      <w:r w:rsidRPr="007508AA">
        <w:t xml:space="preserve">The </w:t>
      </w:r>
      <w:r>
        <w:t>Age 3 Extension will continue to collect data from participants that were recruited in the base study; no additional sampling will be undertaken.</w:t>
      </w:r>
      <w:bookmarkEnd w:id="26"/>
    </w:p>
    <w:p w:rsidR="00550934" w:rsidRDefault="00550934" w:rsidP="00550934">
      <w:pPr>
        <w:pStyle w:val="L1-FlLSp12"/>
      </w:pPr>
    </w:p>
    <w:p w:rsidR="00550934" w:rsidRDefault="00550934" w:rsidP="00550934">
      <w:pPr>
        <w:pStyle w:val="L1-FlLSp12"/>
      </w:pPr>
    </w:p>
    <w:p w:rsidR="00C23DA3" w:rsidRPr="00D93286" w:rsidRDefault="00C23DA3" w:rsidP="006A6DF4">
      <w:pPr>
        <w:pStyle w:val="Heading3"/>
      </w:pPr>
      <w:bookmarkStart w:id="27" w:name="_Toc290021781"/>
      <w:bookmarkStart w:id="28" w:name="_Toc400377723"/>
      <w:r w:rsidRPr="00D93286">
        <w:t>Response Rates and Non-Response Bias Analysis</w:t>
      </w:r>
      <w:bookmarkEnd w:id="27"/>
      <w:bookmarkEnd w:id="28"/>
    </w:p>
    <w:p w:rsidR="00C23DA3" w:rsidRDefault="00C23DA3" w:rsidP="00550934">
      <w:pPr>
        <w:pStyle w:val="L1-FlLSp12"/>
      </w:pPr>
      <w:r>
        <w:t>Preliminary analysis of the base study indicates a response rate of 92</w:t>
      </w:r>
      <w:r w:rsidR="00550934">
        <w:t xml:space="preserve"> percent</w:t>
      </w:r>
      <w:r>
        <w:t xml:space="preserve"> for the 1 month interview, which was completed in August 2014.</w:t>
      </w:r>
      <w:r w:rsidR="00550934">
        <w:t xml:space="preserve"> </w:t>
      </w:r>
      <w:r>
        <w:t xml:space="preserve">The expected response rate of the base cohort to the 24-month interview is 67 percent, and based </w:t>
      </w:r>
      <w:r w:rsidRPr="004504E0">
        <w:t xml:space="preserve">on that, projected response rates for the 30- and 36-month interviews in the </w:t>
      </w:r>
      <w:r>
        <w:t>Age 3 E</w:t>
      </w:r>
      <w:r w:rsidRPr="004504E0">
        <w:t>xtension are 64 percent and 60 percent, respectively.</w:t>
      </w:r>
      <w:r w:rsidR="00550934">
        <w:t xml:space="preserve"> </w:t>
      </w:r>
      <w:r w:rsidRPr="004504E0">
        <w:t>To the</w:t>
      </w:r>
      <w:r w:rsidRPr="00D93286">
        <w:t xml:space="preserve"> extent that respondents </w:t>
      </w:r>
      <w:r>
        <w:t xml:space="preserve">in the Age 3 Extension </w:t>
      </w:r>
      <w:r w:rsidRPr="00D93286">
        <w:t>are systematically different from the population as a whole with respect to characteristics used in an analysis, the potential for nonresponse bias exists.</w:t>
      </w:r>
      <w:r w:rsidR="00550934">
        <w:t xml:space="preserve"> </w:t>
      </w:r>
      <w:r w:rsidRPr="00D93286">
        <w:t>Statistical methods used to compensate for missing data (weighting and imputation) aim to reduce nonresponse bias.</w:t>
      </w:r>
      <w:r w:rsidR="00550934">
        <w:t xml:space="preserve"> </w:t>
      </w:r>
      <w:r w:rsidRPr="00D93286">
        <w:t>Since there is generally no way to directly measure the difference in key survey characteristics between respondents and the population as a whole, various methods have been developed that aim to assess the potential for nonresponse bias.</w:t>
      </w:r>
    </w:p>
    <w:p w:rsidR="00550934" w:rsidRPr="00D93286" w:rsidRDefault="00550934" w:rsidP="00550934">
      <w:pPr>
        <w:pStyle w:val="L1-FlLSp12"/>
      </w:pPr>
    </w:p>
    <w:p w:rsidR="00C23DA3" w:rsidRDefault="00C23DA3" w:rsidP="00550934">
      <w:pPr>
        <w:pStyle w:val="L1-FlLSp12"/>
      </w:pPr>
      <w:r>
        <w:t xml:space="preserve">We will use the approach proposed in the base study to </w:t>
      </w:r>
      <w:r w:rsidRPr="00D93286">
        <w:t xml:space="preserve">examine bivariate cross tabulations of data </w:t>
      </w:r>
      <w:r>
        <w:t xml:space="preserve">available for the eligible, enrolled cohort </w:t>
      </w:r>
      <w:r w:rsidRPr="00D93286">
        <w:t xml:space="preserve">by response status at </w:t>
      </w:r>
      <w:r>
        <w:t xml:space="preserve">36-month interview </w:t>
      </w:r>
      <w:r w:rsidRPr="00D93286">
        <w:t xml:space="preserve">to check for evidence of nonresponse bias at </w:t>
      </w:r>
      <w:r>
        <w:t>36-month interview</w:t>
      </w:r>
      <w:r w:rsidRPr="00D93286">
        <w:t>. We also plan to compare unadjusted estimates (i.e., computed using weights that do not include the adjustment for nonresponse to the particular wave) to adjusted estimates. We will identify a few key variables to be used in these bias analyses.</w:t>
      </w:r>
    </w:p>
    <w:p w:rsidR="00550934" w:rsidRDefault="00550934" w:rsidP="00550934">
      <w:pPr>
        <w:pStyle w:val="L1-FlLSp12"/>
      </w:pPr>
    </w:p>
    <w:p w:rsidR="00550934" w:rsidRPr="00D93286" w:rsidRDefault="00550934" w:rsidP="00550934">
      <w:pPr>
        <w:pStyle w:val="L1-FlLSp12"/>
      </w:pPr>
    </w:p>
    <w:p w:rsidR="00C23DA3" w:rsidRPr="00D93286" w:rsidRDefault="00C23DA3" w:rsidP="00550934">
      <w:pPr>
        <w:pStyle w:val="Heading2"/>
      </w:pPr>
      <w:bookmarkStart w:id="29" w:name="_Toc329341117"/>
      <w:bookmarkStart w:id="30" w:name="_Toc290021782"/>
      <w:bookmarkStart w:id="31" w:name="_Toc287257090"/>
      <w:bookmarkStart w:id="32" w:name="_Toc287257036"/>
      <w:bookmarkStart w:id="33" w:name="_Toc400377724"/>
      <w:r w:rsidRPr="00D93286">
        <w:lastRenderedPageBreak/>
        <w:t>B.2</w:t>
      </w:r>
      <w:r w:rsidRPr="00D93286">
        <w:tab/>
        <w:t>Procedures for the Collection of Information</w:t>
      </w:r>
      <w:bookmarkEnd w:id="29"/>
      <w:bookmarkEnd w:id="30"/>
      <w:bookmarkEnd w:id="31"/>
      <w:bookmarkEnd w:id="32"/>
      <w:bookmarkEnd w:id="33"/>
    </w:p>
    <w:p w:rsidR="00C23DA3" w:rsidRPr="005071A8" w:rsidRDefault="00C23DA3" w:rsidP="00550934">
      <w:pPr>
        <w:pStyle w:val="L1-FlLSp12"/>
        <w:rPr>
          <w:b/>
        </w:rPr>
      </w:pPr>
      <w:bookmarkStart w:id="34" w:name="_Toc400377725"/>
      <w:bookmarkStart w:id="35" w:name="_Toc290021783"/>
      <w:bookmarkStart w:id="36" w:name="_Toc280185474"/>
      <w:r w:rsidRPr="005071A8">
        <w:rPr>
          <w:b/>
        </w:rPr>
        <w:t>Describe the procedures for the collection of information including:</w:t>
      </w:r>
      <w:bookmarkEnd w:id="34"/>
    </w:p>
    <w:p w:rsidR="00550934" w:rsidRPr="005071A8" w:rsidRDefault="00550934" w:rsidP="00550934">
      <w:pPr>
        <w:pStyle w:val="L1-FlLSp12"/>
        <w:rPr>
          <w:b/>
        </w:rPr>
      </w:pPr>
    </w:p>
    <w:p w:rsidR="00C23DA3" w:rsidRPr="005071A8" w:rsidRDefault="00C23DA3" w:rsidP="00550934">
      <w:pPr>
        <w:pStyle w:val="N1-1stBullet"/>
        <w:rPr>
          <w:b/>
        </w:rPr>
      </w:pPr>
      <w:bookmarkStart w:id="37" w:name="_Toc325550967"/>
      <w:bookmarkStart w:id="38" w:name="_Toc316652509"/>
      <w:bookmarkStart w:id="39" w:name="_Toc400377726"/>
      <w:r w:rsidRPr="005071A8">
        <w:rPr>
          <w:b/>
        </w:rPr>
        <w:t>Statistical methodology for stratification and sample selection,</w:t>
      </w:r>
      <w:bookmarkEnd w:id="37"/>
      <w:bookmarkEnd w:id="38"/>
      <w:bookmarkEnd w:id="39"/>
    </w:p>
    <w:p w:rsidR="00C23DA3" w:rsidRPr="005071A8" w:rsidRDefault="00C23DA3" w:rsidP="00550934">
      <w:pPr>
        <w:pStyle w:val="N1-1stBullet"/>
        <w:rPr>
          <w:b/>
        </w:rPr>
      </w:pPr>
      <w:bookmarkStart w:id="40" w:name="_Toc325550968"/>
      <w:bookmarkStart w:id="41" w:name="_Toc316652510"/>
      <w:bookmarkStart w:id="42" w:name="_Toc400377727"/>
      <w:r w:rsidRPr="005071A8">
        <w:rPr>
          <w:b/>
        </w:rPr>
        <w:t>Estimation procedure,</w:t>
      </w:r>
      <w:bookmarkEnd w:id="40"/>
      <w:bookmarkEnd w:id="41"/>
      <w:bookmarkEnd w:id="42"/>
    </w:p>
    <w:p w:rsidR="00C23DA3" w:rsidRPr="005071A8" w:rsidRDefault="00C23DA3" w:rsidP="00550934">
      <w:pPr>
        <w:pStyle w:val="N1-1stBullet"/>
        <w:rPr>
          <w:b/>
        </w:rPr>
      </w:pPr>
      <w:bookmarkStart w:id="43" w:name="_Toc325550969"/>
      <w:bookmarkStart w:id="44" w:name="_Toc316652511"/>
      <w:bookmarkStart w:id="45" w:name="_Toc400377728"/>
      <w:r w:rsidRPr="005071A8">
        <w:rPr>
          <w:b/>
        </w:rPr>
        <w:t>Degree of accuracy needed for the purpose described in the justification,</w:t>
      </w:r>
      <w:bookmarkEnd w:id="43"/>
      <w:bookmarkEnd w:id="44"/>
      <w:bookmarkEnd w:id="45"/>
    </w:p>
    <w:p w:rsidR="00C23DA3" w:rsidRPr="005071A8" w:rsidRDefault="00C23DA3" w:rsidP="00550934">
      <w:pPr>
        <w:pStyle w:val="N1-1stBullet"/>
        <w:rPr>
          <w:b/>
        </w:rPr>
      </w:pPr>
      <w:bookmarkStart w:id="46" w:name="_Toc325550970"/>
      <w:bookmarkStart w:id="47" w:name="_Toc316652512"/>
      <w:bookmarkStart w:id="48" w:name="_Toc400377729"/>
      <w:r w:rsidRPr="005071A8">
        <w:rPr>
          <w:b/>
        </w:rPr>
        <w:t>Unusual problems requiring specialized sampling procedures, and</w:t>
      </w:r>
      <w:bookmarkEnd w:id="46"/>
      <w:bookmarkEnd w:id="47"/>
      <w:bookmarkEnd w:id="48"/>
    </w:p>
    <w:p w:rsidR="00C23DA3" w:rsidRPr="005071A8" w:rsidRDefault="00C23DA3" w:rsidP="00550934">
      <w:pPr>
        <w:pStyle w:val="N1-1stBullet"/>
        <w:rPr>
          <w:b/>
        </w:rPr>
      </w:pPr>
      <w:bookmarkStart w:id="49" w:name="_Toc325550971"/>
      <w:bookmarkStart w:id="50" w:name="_Toc316652513"/>
      <w:bookmarkStart w:id="51" w:name="_Toc400377730"/>
      <w:r w:rsidRPr="005071A8">
        <w:rPr>
          <w:b/>
        </w:rPr>
        <w:t>Any use of periodic (less frequent than annual) data collection cycles to reduce burden.</w:t>
      </w:r>
      <w:bookmarkEnd w:id="49"/>
      <w:bookmarkEnd w:id="50"/>
      <w:bookmarkEnd w:id="51"/>
    </w:p>
    <w:p w:rsidR="00C23DA3" w:rsidRPr="00D93286" w:rsidRDefault="00C23DA3" w:rsidP="00550934">
      <w:pPr>
        <w:pStyle w:val="L1-FlLSp12"/>
        <w:rPr>
          <w:rStyle w:val="Strong"/>
        </w:rPr>
      </w:pPr>
    </w:p>
    <w:p w:rsidR="00C23DA3" w:rsidRDefault="00C23DA3" w:rsidP="006A6DF4">
      <w:pPr>
        <w:pStyle w:val="Heading3"/>
      </w:pPr>
      <w:bookmarkStart w:id="52" w:name="_Toc400377731"/>
      <w:bookmarkStart w:id="53" w:name="_Toc290021785"/>
      <w:bookmarkEnd w:id="35"/>
      <w:bookmarkEnd w:id="36"/>
      <w:r w:rsidRPr="004504E0">
        <w:t xml:space="preserve">Statistical </w:t>
      </w:r>
      <w:r w:rsidR="00550934">
        <w:t>M</w:t>
      </w:r>
      <w:r w:rsidRPr="004504E0">
        <w:t xml:space="preserve">ethodology for </w:t>
      </w:r>
      <w:r w:rsidR="00550934">
        <w:t>S</w:t>
      </w:r>
      <w:r w:rsidRPr="004504E0">
        <w:t xml:space="preserve">tratification and </w:t>
      </w:r>
      <w:r w:rsidR="00550934">
        <w:t>S</w:t>
      </w:r>
      <w:r w:rsidRPr="004504E0">
        <w:t xml:space="preserve">ample </w:t>
      </w:r>
      <w:r w:rsidR="00550934">
        <w:t>S</w:t>
      </w:r>
      <w:r w:rsidRPr="004504E0">
        <w:t>election</w:t>
      </w:r>
      <w:bookmarkEnd w:id="52"/>
    </w:p>
    <w:p w:rsidR="00C23DA3" w:rsidRDefault="00C23DA3" w:rsidP="00550934">
      <w:pPr>
        <w:pStyle w:val="L1-FlLSp12"/>
      </w:pPr>
      <w:bookmarkStart w:id="54" w:name="_Toc400377732"/>
      <w:bookmarkEnd w:id="53"/>
      <w:r w:rsidRPr="007508AA">
        <w:t xml:space="preserve">The </w:t>
      </w:r>
      <w:r>
        <w:t>Age 3 Extension will continue to collect data from participants that were recruited in the base study; no additional sampling will be undertaken.</w:t>
      </w:r>
      <w:bookmarkEnd w:id="54"/>
    </w:p>
    <w:p w:rsidR="00550934" w:rsidRDefault="00550934" w:rsidP="00550934">
      <w:pPr>
        <w:pStyle w:val="L1-FlLSp12"/>
      </w:pPr>
    </w:p>
    <w:p w:rsidR="00550934" w:rsidRDefault="00550934" w:rsidP="00550934">
      <w:pPr>
        <w:pStyle w:val="L1-FlLSp12"/>
      </w:pPr>
    </w:p>
    <w:p w:rsidR="00C23DA3" w:rsidRPr="00D93286" w:rsidRDefault="00C23DA3" w:rsidP="006A6DF4">
      <w:pPr>
        <w:pStyle w:val="Heading3"/>
      </w:pPr>
      <w:bookmarkStart w:id="55" w:name="_Toc400377733"/>
      <w:r w:rsidRPr="004504E0">
        <w:t>Degree of Accuracy Needed for the Purpose Described in the Justification</w:t>
      </w:r>
      <w:bookmarkEnd w:id="55"/>
    </w:p>
    <w:p w:rsidR="00C23DA3" w:rsidRDefault="00C23DA3" w:rsidP="00550934">
      <w:pPr>
        <w:pStyle w:val="L1-FlLSp12"/>
      </w:pPr>
      <w:r>
        <w:t>The sample size requirements for the WIC ITFPS-2 base study were determined based on power projections and precision requirements for estimates at 12 and 24 months. Our primary source of information for these analyses was the baseline interview of ECLS-B (Early Childhood Longitudinal Study – Birth Cohort). We used this survey both to estimate the sizes of key subgroups and to project likely intra-class correlation (ICC). In projecting sample sizes, we focused on the following key outcomes: breastfeeding initiation, breastfeeding at 6 months (with no sub-setting on initiation), and the introduction of solid foods</w:t>
      </w:r>
      <w:r w:rsidR="00550934">
        <w:t xml:space="preserve"> before the age of six months.</w:t>
      </w:r>
    </w:p>
    <w:p w:rsidR="00550934" w:rsidRDefault="00550934" w:rsidP="00550934">
      <w:pPr>
        <w:pStyle w:val="L1-FlLSp12"/>
      </w:pPr>
    </w:p>
    <w:p w:rsidR="00C23DA3" w:rsidRDefault="00C23DA3" w:rsidP="00550934">
      <w:pPr>
        <w:pStyle w:val="L1-FlLSp12"/>
      </w:pPr>
      <w:r>
        <w:t xml:space="preserve">The precision requirement was that for key national estimates for the full </w:t>
      </w:r>
      <w:r w:rsidR="00550934">
        <w:t>“</w:t>
      </w:r>
      <w:r>
        <w:t>currently on WIC</w:t>
      </w:r>
      <w:r w:rsidR="00550934">
        <w:t>”</w:t>
      </w:r>
      <w:r>
        <w:t xml:space="preserve"> group, a 95</w:t>
      </w:r>
      <w:r w:rsidR="00550934">
        <w:t xml:space="preserve"> percent</w:t>
      </w:r>
      <w:r>
        <w:t xml:space="preserve"> confidence interval should have a half-width of no more than 5 percentage points. Additionally, for subgroup estimates (for key subgroups), a 90</w:t>
      </w:r>
      <w:r w:rsidR="00550934">
        <w:t xml:space="preserve"> percent</w:t>
      </w:r>
      <w:r>
        <w:t xml:space="preserve"> confidence interval should have a half-width of no more than 5 percentage points. The core sample size was determined by the need to meet the precision target on the breastfeeding initiation rate for African-American mothers. The supplemental sample size was driven by the need to provide the same precision on the comparable statistic restricted to African-American mothers who keep their children on WIC for 24 </w:t>
      </w:r>
      <w:r>
        <w:lastRenderedPageBreak/>
        <w:t>months. Other statistics for the population that keep their children on WIC for 24 months are also at the desired precision limit. Table B2.1 shows the expected minimum detectable differences (MDDs) between subgroups of interest for three critical outcomes using a test size of 0.05 and power of 0.80, based on the original target sample sizes for the base study. They range from 5 to 10 percentage points. Note that MDDs for upward and downward changes are slightly different. The numbers shown in this table are the average of the MDDs and upward and downward change. These figures use the total of the core and supplemental samples.</w:t>
      </w:r>
    </w:p>
    <w:p w:rsidR="00550934" w:rsidRDefault="00550934" w:rsidP="00550934">
      <w:pPr>
        <w:pStyle w:val="L1-FlLSp12"/>
      </w:pPr>
    </w:p>
    <w:p w:rsidR="00C23DA3" w:rsidRDefault="00C23DA3" w:rsidP="00550934">
      <w:pPr>
        <w:pStyle w:val="L1-FlLSp12"/>
      </w:pPr>
      <w:r w:rsidRPr="00A30997">
        <w:t>Table B2.2 shows minimum detectable differences (MDDs) in child obesity</w:t>
      </w:r>
      <w:r w:rsidRPr="00D93286">
        <w:t xml:space="preserve"> and overweight status by timing of maternal WIC enrollment, controlling for maternal weight status</w:t>
      </w:r>
      <w:r>
        <w:t>; these are also based on the original target sample sizes for the base study</w:t>
      </w:r>
      <w:r w:rsidRPr="00D93286">
        <w:t xml:space="preserve">. We assumed that controlling </w:t>
      </w:r>
      <w:r>
        <w:t xml:space="preserve">for </w:t>
      </w:r>
      <w:r w:rsidRPr="00D93286">
        <w:t>maternal weight status in these analyses will reduce variances by 20 percent. These projections apply to either age 12 months or 24 months. Power to detect these effects is 0.80.</w:t>
      </w:r>
    </w:p>
    <w:p w:rsidR="00550934" w:rsidRPr="00D93286" w:rsidRDefault="00550934" w:rsidP="00550934">
      <w:pPr>
        <w:pStyle w:val="L1-FlLSp12"/>
      </w:pPr>
    </w:p>
    <w:p w:rsidR="00C23DA3" w:rsidRDefault="00C23DA3" w:rsidP="00550934">
      <w:pPr>
        <w:pStyle w:val="TT-TableTitle"/>
      </w:pPr>
      <w:bookmarkStart w:id="56" w:name="_Toc329341118"/>
      <w:bookmarkStart w:id="57" w:name="_Toc400377734"/>
      <w:r w:rsidRPr="00D93286">
        <w:t>Table B2.1.</w:t>
      </w:r>
      <w:r w:rsidRPr="00D93286">
        <w:tab/>
        <w:t>Minimum detectable differences between subgroups of interest (based on both the core longitudinal and supplemental cross-sectional samples)</w:t>
      </w:r>
      <w:bookmarkEnd w:id="56"/>
      <w:bookmarkEnd w:id="57"/>
    </w:p>
    <w:p w:rsidR="00550934" w:rsidRPr="00D93286" w:rsidRDefault="00550934" w:rsidP="00550934">
      <w:pPr>
        <w:pStyle w:val="TT-TableTitle"/>
      </w:pPr>
    </w:p>
    <w:tbl>
      <w:tblPr>
        <w:tblW w:w="9588" w:type="dxa"/>
        <w:tblBorders>
          <w:top w:val="single" w:sz="4" w:space="0" w:color="auto"/>
          <w:bottom w:val="single" w:sz="4" w:space="0" w:color="auto"/>
        </w:tblBorders>
        <w:tblLayout w:type="fixed"/>
        <w:tblCellMar>
          <w:left w:w="115" w:type="dxa"/>
          <w:right w:w="115" w:type="dxa"/>
        </w:tblCellMar>
        <w:tblLook w:val="00A0" w:firstRow="1" w:lastRow="0" w:firstColumn="1" w:lastColumn="0" w:noHBand="0" w:noVBand="0"/>
      </w:tblPr>
      <w:tblGrid>
        <w:gridCol w:w="3744"/>
        <w:gridCol w:w="1948"/>
        <w:gridCol w:w="1948"/>
        <w:gridCol w:w="1948"/>
      </w:tblGrid>
      <w:tr w:rsidR="00C23DA3" w:rsidRPr="00D93286" w:rsidTr="00550934">
        <w:trPr>
          <w:cantSplit/>
        </w:trPr>
        <w:tc>
          <w:tcPr>
            <w:tcW w:w="3744" w:type="dxa"/>
            <w:tcBorders>
              <w:top w:val="single" w:sz="4" w:space="0" w:color="auto"/>
              <w:left w:val="nil"/>
              <w:bottom w:val="single" w:sz="4" w:space="0" w:color="auto"/>
              <w:right w:val="nil"/>
            </w:tcBorders>
            <w:shd w:val="clear" w:color="auto" w:fill="AFBED7"/>
            <w:noWrap/>
            <w:vAlign w:val="bottom"/>
            <w:hideMark/>
          </w:tcPr>
          <w:p w:rsidR="00C23DA3" w:rsidRPr="00D93286" w:rsidRDefault="00C23DA3" w:rsidP="00550934">
            <w:pPr>
              <w:pStyle w:val="TH-TableHeading"/>
            </w:pPr>
            <w:bookmarkStart w:id="58" w:name="_Toc329341119"/>
            <w:bookmarkStart w:id="59" w:name="_Toc400377735"/>
            <w:r w:rsidRPr="00D93286">
              <w:t>Comparison</w:t>
            </w:r>
            <w:bookmarkEnd w:id="58"/>
            <w:bookmarkEnd w:id="59"/>
          </w:p>
        </w:tc>
        <w:tc>
          <w:tcPr>
            <w:tcW w:w="1948" w:type="dxa"/>
            <w:tcBorders>
              <w:top w:val="single" w:sz="4" w:space="0" w:color="auto"/>
              <w:left w:val="nil"/>
              <w:bottom w:val="single" w:sz="4" w:space="0" w:color="auto"/>
              <w:right w:val="nil"/>
            </w:tcBorders>
            <w:shd w:val="clear" w:color="auto" w:fill="AFBED7"/>
            <w:vAlign w:val="bottom"/>
            <w:hideMark/>
          </w:tcPr>
          <w:p w:rsidR="00C23DA3" w:rsidRPr="00D93286" w:rsidRDefault="00C23DA3" w:rsidP="00550934">
            <w:pPr>
              <w:pStyle w:val="TH-TableHeading"/>
            </w:pPr>
            <w:bookmarkStart w:id="60" w:name="_Toc329341120"/>
            <w:bookmarkStart w:id="61" w:name="_Toc400377736"/>
            <w:r w:rsidRPr="00D93286">
              <w:t>Percent initiating breastfeeding</w:t>
            </w:r>
            <w:bookmarkEnd w:id="60"/>
            <w:bookmarkEnd w:id="61"/>
          </w:p>
        </w:tc>
        <w:tc>
          <w:tcPr>
            <w:tcW w:w="1948" w:type="dxa"/>
            <w:tcBorders>
              <w:top w:val="single" w:sz="4" w:space="0" w:color="auto"/>
              <w:left w:val="nil"/>
              <w:bottom w:val="single" w:sz="4" w:space="0" w:color="auto"/>
              <w:right w:val="nil"/>
            </w:tcBorders>
            <w:shd w:val="clear" w:color="auto" w:fill="AFBED7"/>
            <w:vAlign w:val="bottom"/>
            <w:hideMark/>
          </w:tcPr>
          <w:p w:rsidR="00550934" w:rsidRDefault="00C23DA3" w:rsidP="00550934">
            <w:pPr>
              <w:pStyle w:val="TH-TableHeading"/>
            </w:pPr>
            <w:bookmarkStart w:id="62" w:name="_Toc329341121"/>
            <w:bookmarkStart w:id="63" w:name="_Toc400377737"/>
            <w:r w:rsidRPr="00D93286">
              <w:t xml:space="preserve">Percent breastfeeding </w:t>
            </w:r>
          </w:p>
          <w:p w:rsidR="00C23DA3" w:rsidRPr="00D93286" w:rsidRDefault="00C23DA3" w:rsidP="00550934">
            <w:pPr>
              <w:pStyle w:val="TH-TableHeading"/>
            </w:pPr>
            <w:r w:rsidRPr="00D93286">
              <w:t>at six months</w:t>
            </w:r>
            <w:bookmarkEnd w:id="62"/>
            <w:bookmarkEnd w:id="63"/>
          </w:p>
        </w:tc>
        <w:tc>
          <w:tcPr>
            <w:tcW w:w="1948" w:type="dxa"/>
            <w:tcBorders>
              <w:top w:val="single" w:sz="4" w:space="0" w:color="auto"/>
              <w:left w:val="nil"/>
              <w:bottom w:val="single" w:sz="4" w:space="0" w:color="auto"/>
              <w:right w:val="nil"/>
            </w:tcBorders>
            <w:shd w:val="clear" w:color="auto" w:fill="AFBED7"/>
            <w:vAlign w:val="bottom"/>
            <w:hideMark/>
          </w:tcPr>
          <w:p w:rsidR="00550934" w:rsidRDefault="00C23DA3" w:rsidP="00550934">
            <w:pPr>
              <w:pStyle w:val="TH-TableHeading"/>
            </w:pPr>
            <w:bookmarkStart w:id="64" w:name="_Toc329341122"/>
            <w:bookmarkStart w:id="65" w:name="_Toc400377738"/>
            <w:r w:rsidRPr="00D93286">
              <w:t xml:space="preserve">Percent introduced solid food prior </w:t>
            </w:r>
          </w:p>
          <w:p w:rsidR="00C23DA3" w:rsidRPr="00D93286" w:rsidRDefault="00C23DA3" w:rsidP="00550934">
            <w:pPr>
              <w:pStyle w:val="TH-TableHeading"/>
            </w:pPr>
            <w:r w:rsidRPr="00D93286">
              <w:t>to 6 months</w:t>
            </w:r>
            <w:bookmarkEnd w:id="64"/>
            <w:bookmarkEnd w:id="65"/>
          </w:p>
        </w:tc>
      </w:tr>
      <w:tr w:rsidR="00C23DA3" w:rsidRPr="00D93286" w:rsidTr="00550934">
        <w:trPr>
          <w:cantSplit/>
        </w:trPr>
        <w:tc>
          <w:tcPr>
            <w:tcW w:w="3744" w:type="dxa"/>
            <w:tcBorders>
              <w:top w:val="single" w:sz="4" w:space="0" w:color="auto"/>
              <w:left w:val="nil"/>
              <w:bottom w:val="nil"/>
              <w:right w:val="nil"/>
            </w:tcBorders>
            <w:noWrap/>
            <w:vAlign w:val="bottom"/>
            <w:hideMark/>
          </w:tcPr>
          <w:p w:rsidR="00C23DA3" w:rsidRPr="00D93286" w:rsidRDefault="00C23DA3" w:rsidP="00550934">
            <w:pPr>
              <w:pStyle w:val="TX-TableText"/>
              <w:spacing w:after="60"/>
            </w:pPr>
            <w:r>
              <w:t xml:space="preserve">African-American </w:t>
            </w:r>
            <w:r w:rsidRPr="00D93286">
              <w:t>vs. white</w:t>
            </w:r>
          </w:p>
        </w:tc>
        <w:tc>
          <w:tcPr>
            <w:tcW w:w="1948" w:type="dxa"/>
            <w:tcBorders>
              <w:top w:val="single" w:sz="4" w:space="0" w:color="auto"/>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9.7</w:t>
            </w:r>
          </w:p>
        </w:tc>
        <w:tc>
          <w:tcPr>
            <w:tcW w:w="1948" w:type="dxa"/>
            <w:tcBorders>
              <w:top w:val="single" w:sz="4" w:space="0" w:color="auto"/>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5.8</w:t>
            </w:r>
          </w:p>
        </w:tc>
        <w:tc>
          <w:tcPr>
            <w:tcW w:w="1948" w:type="dxa"/>
            <w:tcBorders>
              <w:top w:val="single" w:sz="4" w:space="0" w:color="auto"/>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8.4</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Other vs. white</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7.6</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7.0</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7.8</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Hispanic vs. Non-Hispanic</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6.0</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5.9</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6.4</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Breastfed 1-3 months vs. never</w:t>
            </w:r>
          </w:p>
        </w:tc>
        <w:tc>
          <w:tcPr>
            <w:tcW w:w="1948" w:type="dxa"/>
            <w:tcBorders>
              <w:top w:val="nil"/>
              <w:left w:val="nil"/>
              <w:bottom w:val="nil"/>
              <w:right w:val="nil"/>
            </w:tcBorders>
            <w:noWrap/>
            <w:vAlign w:val="bottom"/>
            <w:hideMark/>
          </w:tcPr>
          <w:p w:rsidR="00C23DA3" w:rsidRPr="00D93286" w:rsidRDefault="00F6413F" w:rsidP="00F6413F">
            <w:pPr>
              <w:pStyle w:val="TX-TableText"/>
              <w:spacing w:after="60"/>
              <w:jc w:val="center"/>
            </w:pPr>
            <w:r>
              <w:t>N/A</w:t>
            </w:r>
          </w:p>
        </w:tc>
        <w:tc>
          <w:tcPr>
            <w:tcW w:w="1948" w:type="dxa"/>
            <w:tcBorders>
              <w:top w:val="nil"/>
              <w:left w:val="nil"/>
              <w:bottom w:val="nil"/>
              <w:right w:val="nil"/>
            </w:tcBorders>
            <w:noWrap/>
            <w:vAlign w:val="bottom"/>
            <w:hideMark/>
          </w:tcPr>
          <w:p w:rsidR="00C23DA3" w:rsidRPr="00D93286" w:rsidRDefault="00F6413F" w:rsidP="00F6413F">
            <w:pPr>
              <w:pStyle w:val="TX-TableText"/>
              <w:spacing w:after="60"/>
              <w:jc w:val="center"/>
            </w:pPr>
            <w:r>
              <w:t>N/A</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7.2</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Breastfed 4+ months vs. never</w:t>
            </w:r>
          </w:p>
        </w:tc>
        <w:tc>
          <w:tcPr>
            <w:tcW w:w="1948" w:type="dxa"/>
            <w:tcBorders>
              <w:top w:val="nil"/>
              <w:left w:val="nil"/>
              <w:bottom w:val="nil"/>
              <w:right w:val="nil"/>
            </w:tcBorders>
            <w:noWrap/>
            <w:vAlign w:val="bottom"/>
            <w:hideMark/>
          </w:tcPr>
          <w:p w:rsidR="00C23DA3" w:rsidRPr="00D93286" w:rsidRDefault="00F6413F" w:rsidP="00550934">
            <w:pPr>
              <w:pStyle w:val="TX-TableText"/>
              <w:spacing w:after="60"/>
              <w:jc w:val="center"/>
            </w:pPr>
            <w:r>
              <w:t>N/A</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5.9</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7.8</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1st trimester enrollment vs. postnatal</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8.6</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6.4</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7.5</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2nd or 3rd trimester vs. postnatal</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9.0</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6.8</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6.7</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Mom overweight vs. normal or low</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8.2</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6.8</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7.3</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Mom obese vs. normal or low</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8.1</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5.1</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7.0</w:t>
            </w:r>
          </w:p>
        </w:tc>
      </w:tr>
      <w:tr w:rsidR="00C23DA3" w:rsidRPr="00D93286" w:rsidTr="00550934">
        <w:trPr>
          <w:cantSplit/>
        </w:trPr>
        <w:tc>
          <w:tcPr>
            <w:tcW w:w="3744" w:type="dxa"/>
            <w:tcBorders>
              <w:top w:val="nil"/>
              <w:left w:val="nil"/>
              <w:bottom w:val="nil"/>
              <w:right w:val="nil"/>
            </w:tcBorders>
            <w:noWrap/>
            <w:vAlign w:val="bottom"/>
            <w:hideMark/>
          </w:tcPr>
          <w:p w:rsidR="00C23DA3" w:rsidRPr="00D93286" w:rsidRDefault="00C23DA3" w:rsidP="00550934">
            <w:pPr>
              <w:pStyle w:val="TX-TableText"/>
              <w:spacing w:after="60"/>
            </w:pPr>
            <w:r w:rsidRPr="00D93286">
              <w:t>Under 75% poverty vs. 76 to 129%</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8.7</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5.8</w:t>
            </w:r>
          </w:p>
        </w:tc>
        <w:tc>
          <w:tcPr>
            <w:tcW w:w="1948" w:type="dxa"/>
            <w:tcBorders>
              <w:top w:val="nil"/>
              <w:left w:val="nil"/>
              <w:bottom w:val="nil"/>
              <w:right w:val="nil"/>
            </w:tcBorders>
            <w:noWrap/>
            <w:vAlign w:val="bottom"/>
            <w:hideMark/>
          </w:tcPr>
          <w:p w:rsidR="00C23DA3" w:rsidRPr="00D93286" w:rsidRDefault="00C23DA3" w:rsidP="00550934">
            <w:pPr>
              <w:pStyle w:val="TX-TableText"/>
              <w:tabs>
                <w:tab w:val="decimal" w:pos="846"/>
              </w:tabs>
              <w:spacing w:after="60"/>
            </w:pPr>
            <w:r w:rsidRPr="00D93286">
              <w:t>7.9</w:t>
            </w:r>
          </w:p>
        </w:tc>
      </w:tr>
      <w:tr w:rsidR="00C23DA3" w:rsidRPr="00D93286" w:rsidTr="00550934">
        <w:trPr>
          <w:cantSplit/>
        </w:trPr>
        <w:tc>
          <w:tcPr>
            <w:tcW w:w="3744" w:type="dxa"/>
            <w:tcBorders>
              <w:top w:val="nil"/>
              <w:left w:val="nil"/>
              <w:bottom w:val="single" w:sz="4" w:space="0" w:color="auto"/>
              <w:right w:val="nil"/>
            </w:tcBorders>
            <w:noWrap/>
            <w:vAlign w:val="bottom"/>
            <w:hideMark/>
          </w:tcPr>
          <w:p w:rsidR="00C23DA3" w:rsidRPr="00D93286" w:rsidRDefault="00C23DA3" w:rsidP="00550934">
            <w:pPr>
              <w:pStyle w:val="TX-TableText"/>
            </w:pPr>
            <w:r w:rsidRPr="00D93286">
              <w:t>Over 130% poverty vs. 76 to 129%</w:t>
            </w:r>
          </w:p>
        </w:tc>
        <w:tc>
          <w:tcPr>
            <w:tcW w:w="1948" w:type="dxa"/>
            <w:tcBorders>
              <w:top w:val="nil"/>
              <w:left w:val="nil"/>
              <w:bottom w:val="single" w:sz="4" w:space="0" w:color="auto"/>
              <w:right w:val="nil"/>
            </w:tcBorders>
            <w:noWrap/>
            <w:vAlign w:val="bottom"/>
            <w:hideMark/>
          </w:tcPr>
          <w:p w:rsidR="00C23DA3" w:rsidRPr="00D93286" w:rsidRDefault="00C23DA3" w:rsidP="00550934">
            <w:pPr>
              <w:pStyle w:val="TX-TableText"/>
              <w:tabs>
                <w:tab w:val="decimal" w:pos="846"/>
              </w:tabs>
            </w:pPr>
            <w:r w:rsidRPr="00D93286">
              <w:t>7.5</w:t>
            </w:r>
          </w:p>
        </w:tc>
        <w:tc>
          <w:tcPr>
            <w:tcW w:w="1948" w:type="dxa"/>
            <w:tcBorders>
              <w:top w:val="nil"/>
              <w:left w:val="nil"/>
              <w:bottom w:val="single" w:sz="4" w:space="0" w:color="auto"/>
              <w:right w:val="nil"/>
            </w:tcBorders>
            <w:noWrap/>
            <w:vAlign w:val="bottom"/>
            <w:hideMark/>
          </w:tcPr>
          <w:p w:rsidR="00C23DA3" w:rsidRPr="00D93286" w:rsidRDefault="00C23DA3" w:rsidP="00550934">
            <w:pPr>
              <w:pStyle w:val="TX-TableText"/>
              <w:tabs>
                <w:tab w:val="decimal" w:pos="846"/>
              </w:tabs>
            </w:pPr>
            <w:r w:rsidRPr="00D93286">
              <w:t>5.9</w:t>
            </w:r>
          </w:p>
        </w:tc>
        <w:tc>
          <w:tcPr>
            <w:tcW w:w="1948" w:type="dxa"/>
            <w:tcBorders>
              <w:top w:val="nil"/>
              <w:left w:val="nil"/>
              <w:bottom w:val="single" w:sz="4" w:space="0" w:color="auto"/>
              <w:right w:val="nil"/>
            </w:tcBorders>
            <w:noWrap/>
            <w:vAlign w:val="bottom"/>
            <w:hideMark/>
          </w:tcPr>
          <w:p w:rsidR="00C23DA3" w:rsidRPr="00D93286" w:rsidRDefault="00C23DA3" w:rsidP="00550934">
            <w:pPr>
              <w:pStyle w:val="TX-TableText"/>
              <w:tabs>
                <w:tab w:val="decimal" w:pos="846"/>
              </w:tabs>
            </w:pPr>
            <w:r w:rsidRPr="00D93286">
              <w:t>7.6</w:t>
            </w:r>
          </w:p>
        </w:tc>
      </w:tr>
    </w:tbl>
    <w:p w:rsidR="00C23DA3" w:rsidRPr="00D93286" w:rsidRDefault="00C23DA3" w:rsidP="00550934">
      <w:pPr>
        <w:pStyle w:val="L1-FlLSp12"/>
      </w:pPr>
    </w:p>
    <w:p w:rsidR="00C23DA3" w:rsidRDefault="00C23DA3" w:rsidP="00550934">
      <w:pPr>
        <w:pStyle w:val="L1-FlLSp12"/>
      </w:pPr>
      <w:bookmarkStart w:id="66" w:name="_Toc329341123"/>
    </w:p>
    <w:p w:rsidR="00C23DA3" w:rsidRDefault="00C23DA3" w:rsidP="00550934">
      <w:pPr>
        <w:pStyle w:val="TT-TableTitle"/>
      </w:pPr>
      <w:bookmarkStart w:id="67" w:name="_Toc400377739"/>
      <w:r w:rsidRPr="00D93286">
        <w:t>Table B2.2.</w:t>
      </w:r>
      <w:r w:rsidRPr="00D93286">
        <w:tab/>
        <w:t>Minimum detectable differences for child obesity and overweight status by timing of WIC enrollment – controlled for maternal weight status – valid at both 12 and 24 months</w:t>
      </w:r>
      <w:bookmarkEnd w:id="66"/>
      <w:bookmarkEnd w:id="67"/>
    </w:p>
    <w:p w:rsidR="00550934" w:rsidRPr="00D93286" w:rsidRDefault="00550934" w:rsidP="00550934">
      <w:pPr>
        <w:pStyle w:val="TT-TableTitle"/>
      </w:pPr>
    </w:p>
    <w:tbl>
      <w:tblPr>
        <w:tblStyle w:val="TableWestatStandardFormat"/>
        <w:tblW w:w="5000" w:type="pct"/>
        <w:tblLayout w:type="fixed"/>
        <w:tblLook w:val="00A0" w:firstRow="1" w:lastRow="0" w:firstColumn="1" w:lastColumn="0" w:noHBand="0" w:noVBand="0"/>
      </w:tblPr>
      <w:tblGrid>
        <w:gridCol w:w="3705"/>
        <w:gridCol w:w="1957"/>
        <w:gridCol w:w="1957"/>
        <w:gridCol w:w="1957"/>
      </w:tblGrid>
      <w:tr w:rsidR="00C23DA3" w:rsidRPr="00D93286" w:rsidTr="006A6DF4">
        <w:trPr>
          <w:cnfStyle w:val="100000000000" w:firstRow="1" w:lastRow="0" w:firstColumn="0" w:lastColumn="0" w:oddVBand="0" w:evenVBand="0" w:oddHBand="0" w:evenHBand="0" w:firstRowFirstColumn="0" w:firstRowLastColumn="0" w:lastRowFirstColumn="0" w:lastRowLastColumn="0"/>
        </w:trPr>
        <w:tc>
          <w:tcPr>
            <w:tcW w:w="3705" w:type="dxa"/>
            <w:noWrap/>
            <w:vAlign w:val="bottom"/>
            <w:hideMark/>
          </w:tcPr>
          <w:p w:rsidR="00C23DA3" w:rsidRPr="00D93286" w:rsidRDefault="00C23DA3" w:rsidP="00550934">
            <w:pPr>
              <w:pStyle w:val="TH-TableHeading"/>
            </w:pPr>
            <w:bookmarkStart w:id="68" w:name="_Toc329341124"/>
            <w:bookmarkStart w:id="69" w:name="_Toc400377740"/>
            <w:r w:rsidRPr="00D93286">
              <w:t>Timing of maternal WIC enrollment</w:t>
            </w:r>
            <w:bookmarkEnd w:id="68"/>
            <w:bookmarkEnd w:id="69"/>
          </w:p>
        </w:tc>
        <w:tc>
          <w:tcPr>
            <w:tcW w:w="1957" w:type="dxa"/>
            <w:vAlign w:val="bottom"/>
            <w:hideMark/>
          </w:tcPr>
          <w:p w:rsidR="00550934" w:rsidRDefault="00C23DA3" w:rsidP="00550934">
            <w:pPr>
              <w:pStyle w:val="TH-TableHeading"/>
            </w:pPr>
            <w:bookmarkStart w:id="70" w:name="_Toc329341125"/>
            <w:bookmarkStart w:id="71" w:name="_Toc400377741"/>
            <w:r w:rsidRPr="00D93286">
              <w:t xml:space="preserve">MDD in </w:t>
            </w:r>
          </w:p>
          <w:p w:rsidR="00C23DA3" w:rsidRPr="00D93286" w:rsidRDefault="00C23DA3" w:rsidP="00550934">
            <w:pPr>
              <w:pStyle w:val="TH-TableHeading"/>
            </w:pPr>
            <w:r w:rsidRPr="00D93286">
              <w:t>percent obese</w:t>
            </w:r>
            <w:bookmarkEnd w:id="70"/>
            <w:bookmarkEnd w:id="71"/>
          </w:p>
        </w:tc>
        <w:tc>
          <w:tcPr>
            <w:tcW w:w="1957" w:type="dxa"/>
            <w:vAlign w:val="bottom"/>
            <w:hideMark/>
          </w:tcPr>
          <w:p w:rsidR="00C23DA3" w:rsidRPr="00D93286" w:rsidRDefault="00C23DA3" w:rsidP="00550934">
            <w:pPr>
              <w:pStyle w:val="TH-TableHeading"/>
            </w:pPr>
            <w:bookmarkStart w:id="72" w:name="_Toc329341126"/>
            <w:bookmarkStart w:id="73" w:name="_Toc400377742"/>
            <w:r w:rsidRPr="00D93286">
              <w:t>MDD in percent overweight</w:t>
            </w:r>
            <w:bookmarkEnd w:id="72"/>
            <w:bookmarkEnd w:id="73"/>
          </w:p>
        </w:tc>
        <w:tc>
          <w:tcPr>
            <w:tcW w:w="1957" w:type="dxa"/>
            <w:vAlign w:val="bottom"/>
            <w:hideMark/>
          </w:tcPr>
          <w:p w:rsidR="00C23DA3" w:rsidRPr="00D93286" w:rsidRDefault="00C23DA3" w:rsidP="00550934">
            <w:pPr>
              <w:pStyle w:val="TH-TableHeading"/>
            </w:pPr>
            <w:bookmarkStart w:id="74" w:name="_Toc329341127"/>
            <w:bookmarkStart w:id="75" w:name="_Toc400377743"/>
            <w:r w:rsidRPr="00D93286">
              <w:t>MDD in percent obese or overweight</w:t>
            </w:r>
            <w:bookmarkEnd w:id="74"/>
            <w:bookmarkEnd w:id="75"/>
          </w:p>
        </w:tc>
      </w:tr>
      <w:tr w:rsidR="00C23DA3" w:rsidRPr="00D93286" w:rsidTr="006A6DF4">
        <w:tc>
          <w:tcPr>
            <w:tcW w:w="3705" w:type="dxa"/>
            <w:noWrap/>
            <w:hideMark/>
          </w:tcPr>
          <w:p w:rsidR="00C23DA3" w:rsidRPr="00D93286" w:rsidRDefault="00C23DA3" w:rsidP="006A6DF4">
            <w:pPr>
              <w:pStyle w:val="TX-TableText"/>
              <w:spacing w:after="60"/>
            </w:pPr>
            <w:r w:rsidRPr="00D93286">
              <w:t>1st trimester enrollment vs. postnatal</w:t>
            </w:r>
          </w:p>
        </w:tc>
        <w:tc>
          <w:tcPr>
            <w:tcW w:w="1957" w:type="dxa"/>
            <w:noWrap/>
            <w:hideMark/>
          </w:tcPr>
          <w:p w:rsidR="00C23DA3" w:rsidRPr="00D93286" w:rsidRDefault="00C23DA3" w:rsidP="006A6DF4">
            <w:pPr>
              <w:pStyle w:val="TX-TableText"/>
              <w:tabs>
                <w:tab w:val="decimal" w:pos="885"/>
              </w:tabs>
              <w:spacing w:after="60"/>
            </w:pPr>
            <w:r w:rsidRPr="00D93286">
              <w:t>3.2</w:t>
            </w:r>
          </w:p>
        </w:tc>
        <w:tc>
          <w:tcPr>
            <w:tcW w:w="1957" w:type="dxa"/>
            <w:noWrap/>
            <w:hideMark/>
          </w:tcPr>
          <w:p w:rsidR="00C23DA3" w:rsidRPr="00D93286" w:rsidRDefault="00C23DA3" w:rsidP="006A6DF4">
            <w:pPr>
              <w:pStyle w:val="TX-TableText"/>
              <w:tabs>
                <w:tab w:val="decimal" w:pos="885"/>
              </w:tabs>
              <w:spacing w:after="60"/>
            </w:pPr>
            <w:r w:rsidRPr="00D93286">
              <w:t>4.4</w:t>
            </w:r>
          </w:p>
        </w:tc>
        <w:tc>
          <w:tcPr>
            <w:tcW w:w="1957" w:type="dxa"/>
            <w:noWrap/>
            <w:hideMark/>
          </w:tcPr>
          <w:p w:rsidR="00C23DA3" w:rsidRPr="00D93286" w:rsidRDefault="00C23DA3" w:rsidP="006A6DF4">
            <w:pPr>
              <w:pStyle w:val="TX-TableText"/>
              <w:tabs>
                <w:tab w:val="decimal" w:pos="885"/>
              </w:tabs>
              <w:spacing w:after="60"/>
            </w:pPr>
            <w:r w:rsidRPr="00D93286">
              <w:t>5.2</w:t>
            </w:r>
          </w:p>
        </w:tc>
      </w:tr>
      <w:tr w:rsidR="00C23DA3" w:rsidRPr="00D93286" w:rsidTr="006A6DF4">
        <w:tc>
          <w:tcPr>
            <w:tcW w:w="3705" w:type="dxa"/>
            <w:noWrap/>
            <w:hideMark/>
          </w:tcPr>
          <w:p w:rsidR="00C23DA3" w:rsidRPr="00D93286" w:rsidRDefault="00C23DA3" w:rsidP="00550934">
            <w:pPr>
              <w:pStyle w:val="TX-TableText"/>
            </w:pPr>
            <w:r w:rsidRPr="00D93286">
              <w:t>2nd or 3rd trimester vs. postnatal</w:t>
            </w:r>
          </w:p>
        </w:tc>
        <w:tc>
          <w:tcPr>
            <w:tcW w:w="1957" w:type="dxa"/>
            <w:noWrap/>
            <w:hideMark/>
          </w:tcPr>
          <w:p w:rsidR="00C23DA3" w:rsidRPr="00D93286" w:rsidRDefault="00C23DA3" w:rsidP="006A6DF4">
            <w:pPr>
              <w:pStyle w:val="TX-TableText"/>
              <w:tabs>
                <w:tab w:val="decimal" w:pos="885"/>
              </w:tabs>
            </w:pPr>
            <w:r w:rsidRPr="00D93286">
              <w:t>3.3</w:t>
            </w:r>
          </w:p>
        </w:tc>
        <w:tc>
          <w:tcPr>
            <w:tcW w:w="1957" w:type="dxa"/>
            <w:noWrap/>
            <w:hideMark/>
          </w:tcPr>
          <w:p w:rsidR="00C23DA3" w:rsidRPr="00D93286" w:rsidRDefault="00C23DA3" w:rsidP="006A6DF4">
            <w:pPr>
              <w:pStyle w:val="TX-TableText"/>
              <w:tabs>
                <w:tab w:val="decimal" w:pos="885"/>
              </w:tabs>
            </w:pPr>
            <w:r w:rsidRPr="00D93286">
              <w:t>4.5</w:t>
            </w:r>
          </w:p>
        </w:tc>
        <w:tc>
          <w:tcPr>
            <w:tcW w:w="1957" w:type="dxa"/>
            <w:noWrap/>
            <w:hideMark/>
          </w:tcPr>
          <w:p w:rsidR="00C23DA3" w:rsidRPr="00D93286" w:rsidRDefault="00C23DA3" w:rsidP="006A6DF4">
            <w:pPr>
              <w:pStyle w:val="TX-TableText"/>
              <w:tabs>
                <w:tab w:val="decimal" w:pos="885"/>
              </w:tabs>
            </w:pPr>
            <w:r w:rsidRPr="00D93286">
              <w:t>5.4</w:t>
            </w:r>
          </w:p>
        </w:tc>
      </w:tr>
    </w:tbl>
    <w:p w:rsidR="00C23DA3" w:rsidRPr="00D93286" w:rsidRDefault="00C23DA3" w:rsidP="006A6DF4">
      <w:pPr>
        <w:pStyle w:val="L1-FlLSp12"/>
      </w:pPr>
    </w:p>
    <w:p w:rsidR="00C23DA3" w:rsidRDefault="00C23DA3" w:rsidP="006A6DF4">
      <w:pPr>
        <w:pStyle w:val="L1-FlLSp12"/>
      </w:pPr>
      <w:r w:rsidRPr="00D93286">
        <w:lastRenderedPageBreak/>
        <w:t xml:space="preserve">Table B2.3 shows our projected sample sizes and response rates at </w:t>
      </w:r>
      <w:r>
        <w:t xml:space="preserve">the </w:t>
      </w:r>
      <w:r w:rsidRPr="00D93286">
        <w:t xml:space="preserve">interviewing stages </w:t>
      </w:r>
      <w:r>
        <w:t xml:space="preserve">that are part of the extension study (namely, the 30- and 36-Month interviews) </w:t>
      </w:r>
      <w:r w:rsidRPr="00D93286">
        <w:t>over time</w:t>
      </w:r>
      <w:r>
        <w:t>.</w:t>
      </w:r>
      <w:r w:rsidR="00550934">
        <w:t xml:space="preserve"> </w:t>
      </w:r>
      <w:r>
        <w:t>The projected sample sizes for the 24-Month interview (which is part of the base study) are also given, and are based on the actual consented and enrolled mothers/caregivers of live infants in the sample, since these formed the basis for extending the projections to 30 and 36 months.</w:t>
      </w:r>
      <w:r w:rsidR="00550934">
        <w:t xml:space="preserve"> </w:t>
      </w:r>
      <w:r w:rsidRPr="00D93286">
        <w:t>The</w:t>
      </w:r>
      <w:r>
        <w:t xml:space="preserve"> response rate assumptions (including attrition) for each of these interviews are </w:t>
      </w:r>
      <w:r w:rsidRPr="00D93286">
        <w:t xml:space="preserve">shown in the </w:t>
      </w:r>
      <w:r w:rsidR="00550934">
        <w:t>“</w:t>
      </w:r>
      <w:r w:rsidRPr="00D93286">
        <w:t>Rates</w:t>
      </w:r>
      <w:r w:rsidR="00550934">
        <w:t>”</w:t>
      </w:r>
      <w:r w:rsidRPr="00D93286">
        <w:t xml:space="preserve"> columns.</w:t>
      </w:r>
      <w:r w:rsidR="00550934">
        <w:t xml:space="preserve"> </w:t>
      </w:r>
      <w:r>
        <w:t>T</w:t>
      </w:r>
      <w:r w:rsidRPr="00D93286">
        <w:t>he rates shown are computed as the number of completed interviews divided by the cohort size (</w:t>
      </w:r>
      <w:r>
        <w:t>4,046).</w:t>
      </w:r>
    </w:p>
    <w:p w:rsidR="006A6DF4" w:rsidRDefault="006A6DF4" w:rsidP="006A6DF4">
      <w:pPr>
        <w:pStyle w:val="L1-FlLSp12"/>
      </w:pPr>
    </w:p>
    <w:p w:rsidR="00C23DA3" w:rsidRDefault="00C23DA3" w:rsidP="006A6DF4">
      <w:pPr>
        <w:pStyle w:val="TT-TableTitle"/>
      </w:pPr>
      <w:r w:rsidRPr="0064319D">
        <w:t>Table B2.3.</w:t>
      </w:r>
      <w:r w:rsidRPr="0064319D">
        <w:tab/>
        <w:t xml:space="preserve">Expected </w:t>
      </w:r>
      <w:r w:rsidR="006A6DF4">
        <w:t>s</w:t>
      </w:r>
      <w:r w:rsidRPr="0064319D">
        <w:t xml:space="preserve">ample </w:t>
      </w:r>
      <w:r w:rsidR="006A6DF4">
        <w:t>s</w:t>
      </w:r>
      <w:r w:rsidRPr="0064319D">
        <w:t xml:space="preserve">izes and </w:t>
      </w:r>
      <w:r w:rsidR="006A6DF4">
        <w:t>r</w:t>
      </w:r>
      <w:r w:rsidRPr="0064319D">
        <w:t xml:space="preserve">esponse </w:t>
      </w:r>
      <w:r w:rsidR="006A6DF4">
        <w:t>r</w:t>
      </w:r>
      <w:r w:rsidRPr="0064319D">
        <w:t>ates</w:t>
      </w:r>
    </w:p>
    <w:p w:rsidR="006A6DF4" w:rsidRPr="0064319D" w:rsidRDefault="006A6DF4" w:rsidP="006A6DF4">
      <w:pPr>
        <w:pStyle w:val="TT-TableTitle"/>
      </w:pPr>
    </w:p>
    <w:tbl>
      <w:tblPr>
        <w:tblStyle w:val="TableWestatStandardFormat"/>
        <w:tblW w:w="9576" w:type="dxa"/>
        <w:tblLayout w:type="fixed"/>
        <w:tblLook w:val="04A0" w:firstRow="1" w:lastRow="0" w:firstColumn="1" w:lastColumn="0" w:noHBand="0" w:noVBand="1"/>
      </w:tblPr>
      <w:tblGrid>
        <w:gridCol w:w="1440"/>
        <w:gridCol w:w="5256"/>
        <w:gridCol w:w="1440"/>
        <w:gridCol w:w="1440"/>
      </w:tblGrid>
      <w:tr w:rsidR="00C23DA3" w:rsidRPr="006A6DF4" w:rsidTr="006A6DF4">
        <w:trPr>
          <w:cnfStyle w:val="100000000000" w:firstRow="1" w:lastRow="0" w:firstColumn="0" w:lastColumn="0" w:oddVBand="0" w:evenVBand="0" w:oddHBand="0" w:evenHBand="0" w:firstRowFirstColumn="0" w:firstRowLastColumn="0" w:lastRowFirstColumn="0" w:lastRowLastColumn="0"/>
          <w:trHeight w:val="432"/>
        </w:trPr>
        <w:tc>
          <w:tcPr>
            <w:tcW w:w="1440" w:type="dxa"/>
            <w:noWrap/>
            <w:vAlign w:val="bottom"/>
            <w:hideMark/>
          </w:tcPr>
          <w:p w:rsidR="00C23DA3" w:rsidRPr="006A6DF4" w:rsidRDefault="00C23DA3" w:rsidP="006A6DF4">
            <w:pPr>
              <w:pStyle w:val="TH-TableHeading"/>
            </w:pPr>
          </w:p>
        </w:tc>
        <w:tc>
          <w:tcPr>
            <w:tcW w:w="5256" w:type="dxa"/>
            <w:vAlign w:val="bottom"/>
            <w:hideMark/>
          </w:tcPr>
          <w:p w:rsidR="00C23DA3" w:rsidRPr="006A6DF4" w:rsidRDefault="00C23DA3" w:rsidP="006A6DF4">
            <w:pPr>
              <w:pStyle w:val="TH-TableHeading"/>
            </w:pPr>
            <w:bookmarkStart w:id="76" w:name="_Toc329341107"/>
            <w:bookmarkStart w:id="77" w:name="_Toc400377744"/>
            <w:r w:rsidRPr="006A6DF4">
              <w:t>Mother infant events/interviews</w:t>
            </w:r>
            <w:bookmarkEnd w:id="76"/>
            <w:bookmarkEnd w:id="77"/>
          </w:p>
        </w:tc>
        <w:tc>
          <w:tcPr>
            <w:tcW w:w="1440" w:type="dxa"/>
            <w:vAlign w:val="bottom"/>
            <w:hideMark/>
          </w:tcPr>
          <w:p w:rsidR="00C23DA3" w:rsidRPr="006A6DF4" w:rsidRDefault="00C23DA3" w:rsidP="006A6DF4">
            <w:pPr>
              <w:pStyle w:val="TH-TableHeading"/>
            </w:pPr>
            <w:bookmarkStart w:id="78" w:name="_Toc329341108"/>
            <w:bookmarkStart w:id="79" w:name="_Toc400377745"/>
            <w:proofErr w:type="spellStart"/>
            <w:r w:rsidRPr="006A6DF4">
              <w:t>Sample</w:t>
            </w:r>
            <w:bookmarkEnd w:id="78"/>
            <w:r w:rsidRPr="006A6DF4">
              <w:rPr>
                <w:vertAlign w:val="superscript"/>
              </w:rPr>
              <w:t>a</w:t>
            </w:r>
            <w:bookmarkEnd w:id="79"/>
            <w:proofErr w:type="spellEnd"/>
          </w:p>
        </w:tc>
        <w:tc>
          <w:tcPr>
            <w:tcW w:w="1440" w:type="dxa"/>
            <w:vAlign w:val="bottom"/>
            <w:hideMark/>
          </w:tcPr>
          <w:p w:rsidR="00C23DA3" w:rsidRPr="006A6DF4" w:rsidRDefault="00C23DA3" w:rsidP="006A6DF4">
            <w:pPr>
              <w:pStyle w:val="TH-TableHeading"/>
            </w:pPr>
            <w:bookmarkStart w:id="80" w:name="_Toc329341109"/>
            <w:bookmarkStart w:id="81" w:name="_Toc400377746"/>
            <w:r w:rsidRPr="006A6DF4">
              <w:t>Rates</w:t>
            </w:r>
            <w:bookmarkEnd w:id="80"/>
            <w:bookmarkEnd w:id="81"/>
          </w:p>
        </w:tc>
      </w:tr>
      <w:tr w:rsidR="00C23DA3" w:rsidRPr="006A6DF4" w:rsidTr="006A6DF4">
        <w:trPr>
          <w:trHeight w:val="432"/>
        </w:trPr>
        <w:tc>
          <w:tcPr>
            <w:tcW w:w="1440" w:type="dxa"/>
            <w:tcBorders>
              <w:top w:val="single" w:sz="4" w:space="0" w:color="auto"/>
              <w:bottom w:val="single" w:sz="4" w:space="0" w:color="auto"/>
            </w:tcBorders>
            <w:noWrap/>
            <w:vAlign w:val="center"/>
            <w:hideMark/>
          </w:tcPr>
          <w:p w:rsidR="00C23DA3" w:rsidRPr="006A6DF4" w:rsidRDefault="00C23DA3" w:rsidP="006A6DF4">
            <w:pPr>
              <w:pStyle w:val="TX-TableText"/>
              <w:jc w:val="center"/>
            </w:pPr>
            <w:r w:rsidRPr="006A6DF4">
              <w:t>Cohort</w:t>
            </w:r>
          </w:p>
        </w:tc>
        <w:tc>
          <w:tcPr>
            <w:tcW w:w="5256" w:type="dxa"/>
            <w:tcBorders>
              <w:top w:val="single" w:sz="4" w:space="0" w:color="auto"/>
              <w:bottom w:val="single" w:sz="4" w:space="0" w:color="auto"/>
            </w:tcBorders>
            <w:vAlign w:val="center"/>
            <w:hideMark/>
          </w:tcPr>
          <w:p w:rsidR="00C23DA3" w:rsidRPr="006A6DF4" w:rsidRDefault="00C23DA3" w:rsidP="006A6DF4">
            <w:pPr>
              <w:pStyle w:val="TX-TableText"/>
            </w:pPr>
            <w:r w:rsidRPr="006A6DF4">
              <w:t>Total live infants consented &amp; enrolled pre/post-</w:t>
            </w:r>
            <w:proofErr w:type="spellStart"/>
            <w:r w:rsidRPr="006A6DF4">
              <w:t>natal</w:t>
            </w:r>
            <w:r w:rsidR="006A6DF4" w:rsidRPr="006A6DF4">
              <w:rPr>
                <w:vertAlign w:val="superscript"/>
              </w:rPr>
              <w:t>b</w:t>
            </w:r>
            <w:proofErr w:type="spellEnd"/>
          </w:p>
        </w:tc>
        <w:tc>
          <w:tcPr>
            <w:tcW w:w="1440" w:type="dxa"/>
            <w:tcBorders>
              <w:top w:val="single" w:sz="4" w:space="0" w:color="auto"/>
              <w:bottom w:val="single" w:sz="4" w:space="0" w:color="auto"/>
            </w:tcBorders>
            <w:noWrap/>
            <w:vAlign w:val="center"/>
            <w:hideMark/>
          </w:tcPr>
          <w:p w:rsidR="00C23DA3" w:rsidRPr="006A6DF4" w:rsidRDefault="00C23DA3" w:rsidP="006A6DF4">
            <w:pPr>
              <w:pStyle w:val="TX-TableText"/>
              <w:tabs>
                <w:tab w:val="decimal" w:pos="864"/>
              </w:tabs>
            </w:pPr>
            <w:r w:rsidRPr="006A6DF4">
              <w:t>4,046</w:t>
            </w:r>
          </w:p>
        </w:tc>
        <w:tc>
          <w:tcPr>
            <w:tcW w:w="1440" w:type="dxa"/>
            <w:tcBorders>
              <w:top w:val="single" w:sz="4" w:space="0" w:color="auto"/>
              <w:bottom w:val="single" w:sz="4" w:space="0" w:color="auto"/>
            </w:tcBorders>
            <w:noWrap/>
            <w:vAlign w:val="center"/>
            <w:hideMark/>
          </w:tcPr>
          <w:p w:rsidR="00C23DA3" w:rsidRPr="006A6DF4" w:rsidRDefault="00C23DA3" w:rsidP="006A6DF4">
            <w:pPr>
              <w:pStyle w:val="TX-TableText"/>
              <w:tabs>
                <w:tab w:val="decimal" w:pos="684"/>
              </w:tabs>
            </w:pPr>
          </w:p>
        </w:tc>
      </w:tr>
      <w:tr w:rsidR="00C23DA3" w:rsidRPr="006A6DF4" w:rsidTr="006A6DF4">
        <w:trPr>
          <w:trHeight w:val="432"/>
        </w:trPr>
        <w:tc>
          <w:tcPr>
            <w:tcW w:w="1440" w:type="dxa"/>
            <w:vMerge w:val="restart"/>
            <w:tcBorders>
              <w:top w:val="single" w:sz="4" w:space="0" w:color="auto"/>
            </w:tcBorders>
            <w:hideMark/>
          </w:tcPr>
          <w:p w:rsidR="00C23DA3" w:rsidRPr="006A6DF4" w:rsidRDefault="00C23DA3" w:rsidP="006A6DF4">
            <w:pPr>
              <w:pStyle w:val="TX-TableText"/>
              <w:spacing w:after="80"/>
            </w:pPr>
          </w:p>
        </w:tc>
        <w:tc>
          <w:tcPr>
            <w:tcW w:w="5256" w:type="dxa"/>
            <w:tcBorders>
              <w:top w:val="single" w:sz="4" w:space="0" w:color="auto"/>
            </w:tcBorders>
            <w:vAlign w:val="center"/>
            <w:hideMark/>
          </w:tcPr>
          <w:p w:rsidR="00C23DA3" w:rsidRPr="006A6DF4" w:rsidRDefault="00C23DA3" w:rsidP="006A6DF4">
            <w:pPr>
              <w:pStyle w:val="TX-TableText"/>
            </w:pPr>
            <w:r w:rsidRPr="006A6DF4">
              <w:t xml:space="preserve">24-Month (Base study) </w:t>
            </w:r>
          </w:p>
        </w:tc>
        <w:tc>
          <w:tcPr>
            <w:tcW w:w="1440" w:type="dxa"/>
            <w:tcBorders>
              <w:top w:val="single" w:sz="4" w:space="0" w:color="auto"/>
            </w:tcBorders>
            <w:noWrap/>
            <w:vAlign w:val="center"/>
            <w:hideMark/>
          </w:tcPr>
          <w:p w:rsidR="00C23DA3" w:rsidRPr="006A6DF4" w:rsidRDefault="00C23DA3" w:rsidP="006A6DF4">
            <w:pPr>
              <w:pStyle w:val="TX-TableText"/>
              <w:tabs>
                <w:tab w:val="decimal" w:pos="864"/>
              </w:tabs>
              <w:rPr>
                <w:highlight w:val="yellow"/>
              </w:rPr>
            </w:pPr>
            <w:r w:rsidRPr="006A6DF4">
              <w:t>2,716</w:t>
            </w:r>
          </w:p>
        </w:tc>
        <w:tc>
          <w:tcPr>
            <w:tcW w:w="1440" w:type="dxa"/>
            <w:tcBorders>
              <w:top w:val="single" w:sz="4" w:space="0" w:color="auto"/>
            </w:tcBorders>
            <w:noWrap/>
            <w:vAlign w:val="center"/>
            <w:hideMark/>
          </w:tcPr>
          <w:p w:rsidR="00C23DA3" w:rsidRPr="006A6DF4" w:rsidRDefault="00C23DA3" w:rsidP="006A6DF4">
            <w:pPr>
              <w:pStyle w:val="TX-TableText"/>
              <w:tabs>
                <w:tab w:val="decimal" w:pos="684"/>
              </w:tabs>
              <w:rPr>
                <w:highlight w:val="yellow"/>
              </w:rPr>
            </w:pPr>
            <w:r w:rsidRPr="006A6DF4">
              <w:t>67%</w:t>
            </w:r>
          </w:p>
        </w:tc>
      </w:tr>
      <w:tr w:rsidR="00C23DA3" w:rsidRPr="006A6DF4" w:rsidTr="006A6DF4">
        <w:trPr>
          <w:trHeight w:val="432"/>
        </w:trPr>
        <w:tc>
          <w:tcPr>
            <w:tcW w:w="1440" w:type="dxa"/>
            <w:vMerge/>
          </w:tcPr>
          <w:p w:rsidR="00C23DA3" w:rsidRPr="006A6DF4" w:rsidRDefault="00C23DA3" w:rsidP="006A6DF4">
            <w:pPr>
              <w:pStyle w:val="TX-TableText"/>
              <w:spacing w:after="80"/>
            </w:pPr>
          </w:p>
        </w:tc>
        <w:tc>
          <w:tcPr>
            <w:tcW w:w="5256" w:type="dxa"/>
            <w:vAlign w:val="center"/>
          </w:tcPr>
          <w:p w:rsidR="00C23DA3" w:rsidRPr="006A6DF4" w:rsidRDefault="00C23DA3" w:rsidP="006A6DF4">
            <w:pPr>
              <w:pStyle w:val="TX-TableText"/>
            </w:pPr>
            <w:r w:rsidRPr="006A6DF4">
              <w:t>30-Month</w:t>
            </w:r>
          </w:p>
        </w:tc>
        <w:tc>
          <w:tcPr>
            <w:tcW w:w="1440" w:type="dxa"/>
            <w:noWrap/>
            <w:vAlign w:val="center"/>
          </w:tcPr>
          <w:p w:rsidR="00C23DA3" w:rsidRPr="006A6DF4" w:rsidRDefault="00C23DA3" w:rsidP="006A6DF4">
            <w:pPr>
              <w:pStyle w:val="TX-TableText"/>
              <w:tabs>
                <w:tab w:val="decimal" w:pos="864"/>
              </w:tabs>
              <w:rPr>
                <w:highlight w:val="yellow"/>
              </w:rPr>
            </w:pPr>
            <w:r w:rsidRPr="006A6DF4">
              <w:t>2,580</w:t>
            </w:r>
          </w:p>
        </w:tc>
        <w:tc>
          <w:tcPr>
            <w:tcW w:w="1440" w:type="dxa"/>
            <w:noWrap/>
            <w:vAlign w:val="center"/>
          </w:tcPr>
          <w:p w:rsidR="00C23DA3" w:rsidRPr="006A6DF4" w:rsidRDefault="00C23DA3" w:rsidP="006A6DF4">
            <w:pPr>
              <w:pStyle w:val="TX-TableText"/>
              <w:tabs>
                <w:tab w:val="decimal" w:pos="684"/>
              </w:tabs>
              <w:rPr>
                <w:highlight w:val="yellow"/>
              </w:rPr>
            </w:pPr>
            <w:r w:rsidRPr="006A6DF4">
              <w:t>64%</w:t>
            </w:r>
          </w:p>
        </w:tc>
      </w:tr>
      <w:tr w:rsidR="00C23DA3" w:rsidRPr="006A6DF4" w:rsidTr="006A6DF4">
        <w:trPr>
          <w:trHeight w:val="432"/>
        </w:trPr>
        <w:tc>
          <w:tcPr>
            <w:tcW w:w="1440" w:type="dxa"/>
            <w:vMerge/>
          </w:tcPr>
          <w:p w:rsidR="00C23DA3" w:rsidRPr="006A6DF4" w:rsidRDefault="00C23DA3" w:rsidP="006A6DF4">
            <w:pPr>
              <w:pStyle w:val="TX-TableText"/>
              <w:spacing w:after="80"/>
            </w:pPr>
          </w:p>
        </w:tc>
        <w:tc>
          <w:tcPr>
            <w:tcW w:w="5256" w:type="dxa"/>
            <w:vAlign w:val="center"/>
          </w:tcPr>
          <w:p w:rsidR="00C23DA3" w:rsidRPr="006A6DF4" w:rsidRDefault="00C23DA3" w:rsidP="006A6DF4">
            <w:pPr>
              <w:pStyle w:val="TX-TableText"/>
            </w:pPr>
            <w:r w:rsidRPr="006A6DF4">
              <w:t>36-Month</w:t>
            </w:r>
          </w:p>
        </w:tc>
        <w:tc>
          <w:tcPr>
            <w:tcW w:w="1440" w:type="dxa"/>
            <w:noWrap/>
            <w:vAlign w:val="center"/>
          </w:tcPr>
          <w:p w:rsidR="00C23DA3" w:rsidRPr="006A6DF4" w:rsidRDefault="00C23DA3" w:rsidP="006A6DF4">
            <w:pPr>
              <w:pStyle w:val="TX-TableText"/>
              <w:tabs>
                <w:tab w:val="decimal" w:pos="864"/>
              </w:tabs>
              <w:rPr>
                <w:highlight w:val="yellow"/>
              </w:rPr>
            </w:pPr>
            <w:r w:rsidRPr="006A6DF4">
              <w:t>2,444</w:t>
            </w:r>
          </w:p>
        </w:tc>
        <w:tc>
          <w:tcPr>
            <w:tcW w:w="1440" w:type="dxa"/>
            <w:noWrap/>
            <w:vAlign w:val="center"/>
          </w:tcPr>
          <w:p w:rsidR="00C23DA3" w:rsidRPr="006A6DF4" w:rsidRDefault="00C23DA3" w:rsidP="006A6DF4">
            <w:pPr>
              <w:pStyle w:val="TX-TableText"/>
              <w:tabs>
                <w:tab w:val="decimal" w:pos="684"/>
              </w:tabs>
              <w:rPr>
                <w:highlight w:val="yellow"/>
              </w:rPr>
            </w:pPr>
            <w:r w:rsidRPr="006A6DF4">
              <w:t>60%</w:t>
            </w:r>
          </w:p>
        </w:tc>
      </w:tr>
      <w:tr w:rsidR="00C23DA3" w:rsidRPr="006A6DF4" w:rsidTr="006A6DF4">
        <w:tc>
          <w:tcPr>
            <w:tcW w:w="1440" w:type="dxa"/>
            <w:vMerge/>
            <w:hideMark/>
          </w:tcPr>
          <w:p w:rsidR="00C23DA3" w:rsidRPr="006A6DF4" w:rsidRDefault="00C23DA3" w:rsidP="006A6DF4">
            <w:pPr>
              <w:pStyle w:val="TX-TableText"/>
              <w:spacing w:after="80"/>
            </w:pPr>
          </w:p>
        </w:tc>
        <w:tc>
          <w:tcPr>
            <w:tcW w:w="5256" w:type="dxa"/>
            <w:hideMark/>
          </w:tcPr>
          <w:p w:rsidR="00C23DA3" w:rsidRPr="006A6DF4" w:rsidRDefault="00C23DA3" w:rsidP="006A6DF4">
            <w:pPr>
              <w:pStyle w:val="TX-TableText"/>
            </w:pPr>
            <w:r w:rsidRPr="006A6DF4">
              <w:t xml:space="preserve">Total interviews in Extension </w:t>
            </w:r>
            <w:proofErr w:type="spellStart"/>
            <w:r w:rsidRPr="006A6DF4">
              <w:t>study</w:t>
            </w:r>
            <w:r w:rsidR="006A6DF4" w:rsidRPr="006A6DF4">
              <w:rPr>
                <w:vertAlign w:val="superscript"/>
              </w:rPr>
              <w:t>c</w:t>
            </w:r>
            <w:proofErr w:type="spellEnd"/>
          </w:p>
        </w:tc>
        <w:tc>
          <w:tcPr>
            <w:tcW w:w="1440" w:type="dxa"/>
            <w:noWrap/>
            <w:hideMark/>
          </w:tcPr>
          <w:p w:rsidR="00C23DA3" w:rsidRPr="006A6DF4" w:rsidRDefault="00C23DA3" w:rsidP="006A6DF4">
            <w:pPr>
              <w:pStyle w:val="TX-TableText"/>
              <w:tabs>
                <w:tab w:val="decimal" w:pos="864"/>
              </w:tabs>
              <w:rPr>
                <w:highlight w:val="yellow"/>
              </w:rPr>
            </w:pPr>
            <w:r w:rsidRPr="006A6DF4">
              <w:t>5,024</w:t>
            </w:r>
          </w:p>
        </w:tc>
        <w:tc>
          <w:tcPr>
            <w:tcW w:w="1440" w:type="dxa"/>
            <w:noWrap/>
            <w:hideMark/>
          </w:tcPr>
          <w:p w:rsidR="00C23DA3" w:rsidRPr="006A6DF4" w:rsidRDefault="00C23DA3" w:rsidP="006A6DF4">
            <w:pPr>
              <w:pStyle w:val="TX-TableText"/>
              <w:tabs>
                <w:tab w:val="decimal" w:pos="684"/>
              </w:tabs>
              <w:rPr>
                <w:highlight w:val="yellow"/>
              </w:rPr>
            </w:pPr>
          </w:p>
        </w:tc>
      </w:tr>
    </w:tbl>
    <w:p w:rsidR="00C23DA3" w:rsidRDefault="006A6DF4" w:rsidP="006A6DF4">
      <w:pPr>
        <w:pStyle w:val="TF-TblFN"/>
      </w:pPr>
      <w:proofErr w:type="gramStart"/>
      <w:r w:rsidRPr="006A6DF4">
        <w:rPr>
          <w:vertAlign w:val="superscript"/>
        </w:rPr>
        <w:t>a</w:t>
      </w:r>
      <w:proofErr w:type="gramEnd"/>
      <w:r>
        <w:tab/>
      </w:r>
      <w:r w:rsidR="00C23DA3" w:rsidRPr="00954A1A">
        <w:t>Sample sizes are projections based on the full consented/enrolled sample</w:t>
      </w:r>
    </w:p>
    <w:p w:rsidR="00C23DA3" w:rsidRDefault="006A6DF4" w:rsidP="006A6DF4">
      <w:pPr>
        <w:pStyle w:val="TF-TblFN"/>
      </w:pPr>
      <w:proofErr w:type="gramStart"/>
      <w:r w:rsidRPr="006A6DF4">
        <w:rPr>
          <w:vertAlign w:val="superscript"/>
        </w:rPr>
        <w:t>b</w:t>
      </w:r>
      <w:proofErr w:type="gramEnd"/>
      <w:r>
        <w:tab/>
      </w:r>
      <w:r w:rsidR="00C23DA3" w:rsidRPr="004504E0">
        <w:t>Total live births in base study cohort</w:t>
      </w:r>
    </w:p>
    <w:p w:rsidR="00C23DA3" w:rsidRPr="004504E0" w:rsidRDefault="006A6DF4" w:rsidP="006A6DF4">
      <w:pPr>
        <w:pStyle w:val="TF-TblFN"/>
      </w:pPr>
      <w:proofErr w:type="gramStart"/>
      <w:r w:rsidRPr="006A6DF4">
        <w:rPr>
          <w:vertAlign w:val="superscript"/>
        </w:rPr>
        <w:t>c</w:t>
      </w:r>
      <w:proofErr w:type="gramEnd"/>
      <w:r>
        <w:tab/>
      </w:r>
      <w:r w:rsidR="00C23DA3">
        <w:t>Total of 30- and 36-month samples (24-month interview is part of Base study)</w:t>
      </w:r>
    </w:p>
    <w:p w:rsidR="00C23DA3" w:rsidRDefault="00C23DA3" w:rsidP="006A6DF4">
      <w:pPr>
        <w:pStyle w:val="L1-FlLSp12"/>
      </w:pPr>
    </w:p>
    <w:p w:rsidR="006A6DF4" w:rsidRPr="004504E0" w:rsidRDefault="006A6DF4" w:rsidP="006A6DF4">
      <w:pPr>
        <w:pStyle w:val="L1-FlLSp12"/>
      </w:pPr>
    </w:p>
    <w:p w:rsidR="00C23DA3" w:rsidRPr="00D93286" w:rsidRDefault="00C23DA3" w:rsidP="007965C4">
      <w:pPr>
        <w:pStyle w:val="Heading3"/>
      </w:pPr>
      <w:bookmarkStart w:id="82" w:name="_Toc290021784"/>
      <w:bookmarkStart w:id="83" w:name="_Toc400377747"/>
      <w:r w:rsidRPr="00D93286">
        <w:t>Estimation Procedures</w:t>
      </w:r>
      <w:bookmarkEnd w:id="82"/>
      <w:bookmarkEnd w:id="83"/>
    </w:p>
    <w:p w:rsidR="00C23DA3" w:rsidRDefault="00C23DA3" w:rsidP="006A6DF4">
      <w:pPr>
        <w:pStyle w:val="L1-FlLSp12"/>
      </w:pPr>
      <w:r>
        <w:t>The estimation procedures for the extension are the same as those for the base study.</w:t>
      </w:r>
      <w:r w:rsidR="00550934">
        <w:t xml:space="preserve"> </w:t>
      </w:r>
      <w:r w:rsidRPr="00D93286">
        <w:t xml:space="preserve">We plan to use standard design-based methods for estimation and variance estimation that will lead to confidence intervals on means and percentages, and hypothesis tests on contrasts of means and percentages. We will prepare a separate set of </w:t>
      </w:r>
      <w:r>
        <w:t xml:space="preserve">cross-sectional </w:t>
      </w:r>
      <w:r w:rsidRPr="00D93286">
        <w:t>weights for each wave of data collection</w:t>
      </w:r>
      <w:r>
        <w:t>, including the 30- and 36-month interviews</w:t>
      </w:r>
      <w:r w:rsidRPr="00D93286">
        <w:t xml:space="preserve">. The only respondents that will receive a positive weight for a wave will be those who responded to the wave and those who missed the wave but returned to the sample after missing no more than two consecutive waves. Respondents returning to the sample after one or two missed waves will be asked some retrospective </w:t>
      </w:r>
      <w:r w:rsidR="00550934">
        <w:t>“</w:t>
      </w:r>
      <w:r w:rsidRPr="00D93286">
        <w:t>catch-up</w:t>
      </w:r>
      <w:r w:rsidR="00550934">
        <w:t>”</w:t>
      </w:r>
      <w:r w:rsidRPr="00D93286">
        <w:t xml:space="preserve"> questions to get the timing of a few critical items where transitions are noted such as when nursing mothers stopped nursing, and when cereal was introduced into the child</w:t>
      </w:r>
      <w:r w:rsidR="00550934">
        <w:t>’</w:t>
      </w:r>
      <w:r w:rsidRPr="00D93286">
        <w:t xml:space="preserve">s diet. Weighting will be used to adjust for nonresponse to the initial interview and to adjust for attrition. </w:t>
      </w:r>
      <w:r>
        <w:t>Additionally, a few sets of longitudinal weights (which weight up respondents to particular combinations of interviews) will be developed for specific analyses.</w:t>
      </w:r>
      <w:r w:rsidR="00550934">
        <w:t xml:space="preserve"> </w:t>
      </w:r>
      <w:r w:rsidRPr="00D93286">
        <w:t xml:space="preserve">Imputation will be used to fill in scattered item nonresponse </w:t>
      </w:r>
      <w:r w:rsidRPr="00D93286">
        <w:lastRenderedPageBreak/>
        <w:t>within completed interviews and missing data from other sources such as hospital records when we have questionnaire data from mothers.</w:t>
      </w:r>
      <w:r w:rsidRPr="00D93286">
        <w:tab/>
      </w:r>
    </w:p>
    <w:p w:rsidR="006A6DF4" w:rsidRDefault="006A6DF4" w:rsidP="006A6DF4">
      <w:pPr>
        <w:pStyle w:val="L1-FlLSp12"/>
      </w:pPr>
    </w:p>
    <w:p w:rsidR="00C23DA3" w:rsidRDefault="00C23DA3" w:rsidP="006A6DF4">
      <w:pPr>
        <w:pStyle w:val="L1-FlLSp12"/>
      </w:pPr>
      <w:r w:rsidRPr="00D93286">
        <w:t xml:space="preserve">We will develop sampling weights aimed at yielding nearly unbiased estimates of population parameters such as the breastfeeding initiation rate. These weights will begin with the calculation of base weights (the inverse of the probability of selection), and these will be adjusted for nonresponse across the waves of the study. One set of weights will be developed for analyses of the core sample by itself. A different set of weights will be developed for joint analyses of the core and supplemental sample samples. Details of the calculation of the </w:t>
      </w:r>
      <w:r>
        <w:t>weights and nonresponse are found in Appendix WW of the supporting statement for ICR Reference No. 201208-0584-002 and 201306-0584-008; Expiration date: 05/31/2016.</w:t>
      </w:r>
      <w:r w:rsidR="00550934">
        <w:t xml:space="preserve"> </w:t>
      </w:r>
      <w:r w:rsidRPr="00D93286">
        <w:t>Imputation will be used to adjust for item nonresponse (i.e., missing data for particular items among those who respond to a given wave).</w:t>
      </w:r>
      <w:r w:rsidR="00550934">
        <w:t xml:space="preserve"> </w:t>
      </w:r>
      <w:r w:rsidRPr="00D93286">
        <w:t xml:space="preserve">As with weighting, a carefully designed imputation procedure will reduce bias due to item nonresponse. Further discussion will be needed to identify the particular set of items to be imputed but this set should include, at a minimum, variables needed for weighting as well as key survey outcomes and covariates. A cyclical n-partition hot deck (an approach analogous to the Gibbs sampler but using the hot deck to generate the imputations) will be used </w:t>
      </w:r>
      <w:r>
        <w:t xml:space="preserve">for imputation. See </w:t>
      </w:r>
      <w:r w:rsidRPr="00386C7E">
        <w:t>Appendix WW o</w:t>
      </w:r>
      <w:r>
        <w:t>f the supporting statement for the Base study for details of the imputation process.</w:t>
      </w:r>
    </w:p>
    <w:p w:rsidR="006A6DF4" w:rsidRDefault="006A6DF4" w:rsidP="006A6DF4">
      <w:pPr>
        <w:pStyle w:val="L1-FlLSp12"/>
      </w:pPr>
    </w:p>
    <w:p w:rsidR="006A6DF4" w:rsidRPr="00D93286" w:rsidRDefault="006A6DF4" w:rsidP="006A6DF4">
      <w:pPr>
        <w:pStyle w:val="L1-FlLSp12"/>
      </w:pPr>
    </w:p>
    <w:p w:rsidR="00C23DA3" w:rsidRDefault="00C23DA3" w:rsidP="007965C4">
      <w:pPr>
        <w:pStyle w:val="Heading5"/>
      </w:pPr>
      <w:r w:rsidRPr="00D93286">
        <w:tab/>
        <w:t>Estimation and Calculation of Sampling Errors</w:t>
      </w:r>
    </w:p>
    <w:p w:rsidR="00C23DA3" w:rsidRDefault="00C23DA3" w:rsidP="007965C4">
      <w:pPr>
        <w:pStyle w:val="L1-FlLSp12"/>
      </w:pPr>
      <w:r w:rsidRPr="00D93286">
        <w:t>Two broad classes of methods have been developed for computation of standard errors of estimates from complex sample surveys: (1) replication methods and (2) Taylor series linearization.</w:t>
      </w:r>
      <w:r w:rsidR="00550934">
        <w:t xml:space="preserve"> </w:t>
      </w:r>
      <w:r w:rsidRPr="00D93286">
        <w:t>The WIC ITFPS-2 data files will contain the information necessary for analysts to use either of these approaches to compute standard errors. For WIC ITFPS-2, 40 replicates will be created, and the replication approach that will be used is a modified balanced repeated replication (BRR) method suggested by Fay,</w:t>
      </w:r>
      <w:r w:rsidRPr="00D93286">
        <w:rPr>
          <w:rFonts w:ascii="Times New Roman" w:hAnsi="Times New Roman"/>
          <w:color w:val="000000"/>
          <w:vertAlign w:val="superscript"/>
        </w:rPr>
        <w:footnoteReference w:id="2"/>
      </w:r>
      <w:r w:rsidRPr="00D93286">
        <w:t xml:space="preserve"> with K=0.5 (K is the perturbation factor known as </w:t>
      </w:r>
      <w:r w:rsidR="00550934">
        <w:t>“</w:t>
      </w:r>
      <w:r w:rsidRPr="00D93286">
        <w:t>Fay</w:t>
      </w:r>
      <w:r w:rsidR="00550934">
        <w:t>’</w:t>
      </w:r>
      <w:r w:rsidRPr="00D93286">
        <w:t>s factor</w:t>
      </w:r>
      <w:r w:rsidR="00550934">
        <w:t>”</w:t>
      </w:r>
      <w:r w:rsidRPr="00D93286">
        <w:t>).</w:t>
      </w:r>
      <w:r w:rsidR="00550934">
        <w:t xml:space="preserve"> </w:t>
      </w:r>
      <w:r w:rsidRPr="00D93286">
        <w:t>To appropriately reflect the effects of the various stages of weighting on the variances of survey estimates,</w:t>
      </w:r>
      <w:r w:rsidRPr="00D93286">
        <w:rPr>
          <w:rFonts w:ascii="Times New Roman" w:hAnsi="Times New Roman"/>
          <w:color w:val="000000"/>
          <w:vertAlign w:val="superscript"/>
        </w:rPr>
        <w:footnoteReference w:id="3"/>
      </w:r>
      <w:r w:rsidRPr="00D93286">
        <w:t xml:space="preserve"> the procedures used to compute the full-sample weights will be repeated for each of the replicates. Software packages that use Taylor series linearization to estimate variances of statistics </w:t>
      </w:r>
      <w:r w:rsidRPr="00D93286">
        <w:lastRenderedPageBreak/>
        <w:t xml:space="preserve">from complex sample surveys require the user to specify design information including </w:t>
      </w:r>
      <w:r w:rsidR="00550934">
        <w:t>“</w:t>
      </w:r>
      <w:r w:rsidRPr="00D93286">
        <w:t>stratum</w:t>
      </w:r>
      <w:r w:rsidR="00550934">
        <w:t>”</w:t>
      </w:r>
      <w:r w:rsidRPr="00D93286">
        <w:t xml:space="preserve"> and </w:t>
      </w:r>
      <w:r w:rsidR="00550934">
        <w:t>“</w:t>
      </w:r>
      <w:r w:rsidRPr="00D93286">
        <w:t>cluster</w:t>
      </w:r>
      <w:r w:rsidR="00550934">
        <w:t>”</w:t>
      </w:r>
      <w:r w:rsidRPr="00D93286">
        <w:t xml:space="preserve"> variables.</w:t>
      </w:r>
    </w:p>
    <w:p w:rsidR="007965C4" w:rsidRDefault="007965C4" w:rsidP="007965C4">
      <w:pPr>
        <w:pStyle w:val="L1-FlLSp12"/>
      </w:pPr>
    </w:p>
    <w:p w:rsidR="007965C4" w:rsidRPr="00D93286" w:rsidRDefault="007965C4" w:rsidP="007965C4">
      <w:pPr>
        <w:pStyle w:val="L1-FlLSp12"/>
      </w:pPr>
    </w:p>
    <w:p w:rsidR="00C23DA3" w:rsidRPr="00D93286" w:rsidRDefault="00C23DA3" w:rsidP="007965C4">
      <w:pPr>
        <w:pStyle w:val="Heading3"/>
      </w:pPr>
      <w:bookmarkStart w:id="84" w:name="_Toc400377748"/>
      <w:r w:rsidRPr="00D93286">
        <w:t>Unusual Problems Requiring Specialized Sampling Procedures</w:t>
      </w:r>
      <w:bookmarkEnd w:id="84"/>
    </w:p>
    <w:p w:rsidR="00C23DA3" w:rsidRDefault="00C23DA3" w:rsidP="007965C4">
      <w:pPr>
        <w:pStyle w:val="L1-FlLSp12"/>
      </w:pPr>
      <w:bookmarkStart w:id="85" w:name="_Toc400377749"/>
      <w:r w:rsidRPr="00D93286">
        <w:t>No specialized sampling procedures are involved.</w:t>
      </w:r>
      <w:bookmarkEnd w:id="85"/>
    </w:p>
    <w:p w:rsidR="007965C4" w:rsidRDefault="007965C4" w:rsidP="007965C4">
      <w:pPr>
        <w:pStyle w:val="L1-FlLSp12"/>
      </w:pPr>
    </w:p>
    <w:p w:rsidR="007965C4" w:rsidRPr="00D93286" w:rsidRDefault="007965C4" w:rsidP="007965C4">
      <w:pPr>
        <w:pStyle w:val="L1-FlLSp12"/>
      </w:pPr>
    </w:p>
    <w:p w:rsidR="00C23DA3" w:rsidRPr="00D93286" w:rsidRDefault="00C23DA3" w:rsidP="007965C4">
      <w:pPr>
        <w:pStyle w:val="Heading3"/>
        <w:ind w:left="0" w:firstLine="0"/>
      </w:pPr>
      <w:bookmarkStart w:id="86" w:name="_Toc400377750"/>
      <w:r w:rsidRPr="00D93286">
        <w:t>Any use of Periodic (less frequent than annual) Data Collection Cycles to Reduce Burden</w:t>
      </w:r>
      <w:bookmarkEnd w:id="86"/>
    </w:p>
    <w:p w:rsidR="00C23DA3" w:rsidRDefault="00C23DA3" w:rsidP="007965C4">
      <w:pPr>
        <w:pStyle w:val="L1-FlLSp12"/>
      </w:pPr>
      <w:r w:rsidRPr="00D93286">
        <w:t>All data collection activities will occur within a 36 month period.  The study design requires that respondents be surveyed at multiple times, as described in Section B.1.</w:t>
      </w:r>
    </w:p>
    <w:p w:rsidR="007965C4" w:rsidRDefault="007965C4" w:rsidP="007965C4">
      <w:pPr>
        <w:pStyle w:val="L1-FlLSp12"/>
      </w:pPr>
    </w:p>
    <w:p w:rsidR="007965C4" w:rsidRPr="00D93286" w:rsidRDefault="007965C4" w:rsidP="007965C4">
      <w:pPr>
        <w:pStyle w:val="L1-FlLSp12"/>
      </w:pPr>
    </w:p>
    <w:p w:rsidR="00C23DA3" w:rsidRPr="00C70E11" w:rsidRDefault="00C23DA3" w:rsidP="007965C4">
      <w:pPr>
        <w:pStyle w:val="Heading2"/>
      </w:pPr>
      <w:bookmarkStart w:id="87" w:name="_Toc400377751"/>
      <w:r w:rsidRPr="00C70E11">
        <w:t>B.3</w:t>
      </w:r>
      <w:r w:rsidRPr="00C70E11">
        <w:tab/>
      </w:r>
      <w:bookmarkEnd w:id="22"/>
      <w:bookmarkEnd w:id="23"/>
      <w:bookmarkEnd w:id="24"/>
      <w:r w:rsidRPr="00A75438">
        <w:t>Methods</w:t>
      </w:r>
      <w:r w:rsidRPr="00C70E11">
        <w:t xml:space="preserve"> to Maximize Response Rates and to Deal with Issues of Nonresponse</w:t>
      </w:r>
      <w:bookmarkEnd w:id="25"/>
      <w:bookmarkEnd w:id="87"/>
    </w:p>
    <w:p w:rsidR="00C23DA3" w:rsidRPr="007965C4" w:rsidRDefault="00C23DA3" w:rsidP="007965C4">
      <w:pPr>
        <w:pStyle w:val="L1-FlLSp12"/>
        <w:rPr>
          <w:b/>
        </w:rPr>
      </w:pPr>
      <w:bookmarkStart w:id="88" w:name="_Toc400377752"/>
      <w:r w:rsidRPr="007965C4">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550934" w:rsidRPr="007965C4">
        <w:rPr>
          <w:b/>
        </w:rPr>
        <w:t>“</w:t>
      </w:r>
      <w:r w:rsidRPr="007965C4">
        <w:rPr>
          <w:b/>
        </w:rPr>
        <w:t>reliable</w:t>
      </w:r>
      <w:r w:rsidR="00550934" w:rsidRPr="007965C4">
        <w:rPr>
          <w:b/>
        </w:rPr>
        <w:t>”</w:t>
      </w:r>
      <w:r w:rsidRPr="007965C4">
        <w:rPr>
          <w:b/>
        </w:rPr>
        <w:t xml:space="preserve"> data that can be generalized to the universe studied.</w:t>
      </w:r>
      <w:bookmarkEnd w:id="88"/>
    </w:p>
    <w:p w:rsidR="007965C4" w:rsidRDefault="007965C4" w:rsidP="007965C4">
      <w:pPr>
        <w:pStyle w:val="L1-FlLSp12"/>
      </w:pPr>
      <w:bookmarkStart w:id="89" w:name="_GoBack"/>
      <w:bookmarkEnd w:id="89"/>
    </w:p>
    <w:p w:rsidR="007965C4" w:rsidRPr="007965C4" w:rsidRDefault="007965C4" w:rsidP="007965C4">
      <w:pPr>
        <w:pStyle w:val="L1-FlLSp12"/>
      </w:pPr>
    </w:p>
    <w:p w:rsidR="00C23DA3" w:rsidRPr="00E630DA" w:rsidRDefault="00C23DA3" w:rsidP="007965C4">
      <w:pPr>
        <w:pStyle w:val="Heading3"/>
      </w:pPr>
      <w:bookmarkStart w:id="90" w:name="_Toc329341129"/>
      <w:bookmarkStart w:id="91" w:name="_Toc400377753"/>
      <w:r>
        <w:t xml:space="preserve">WIC State and Local Administrators and </w:t>
      </w:r>
      <w:r w:rsidR="007965C4">
        <w:t>T</w:t>
      </w:r>
      <w:r>
        <w:t>heir WIC Sites</w:t>
      </w:r>
      <w:bookmarkEnd w:id="90"/>
      <w:bookmarkEnd w:id="91"/>
    </w:p>
    <w:p w:rsidR="00C23DA3" w:rsidRDefault="00C23DA3" w:rsidP="007965C4">
      <w:pPr>
        <w:pStyle w:val="L1-FlLSp12"/>
      </w:pPr>
      <w:r>
        <w:t>The 27 State Agencies and 80 WIC sites were recruited for the base study.</w:t>
      </w:r>
      <w:r w:rsidR="00550934">
        <w:t xml:space="preserve"> </w:t>
      </w:r>
      <w:r>
        <w:t>They will be contacted again via email, telephone, and web, and asked to attend a conference call that will explain the extension to the study and answer any questions.</w:t>
      </w:r>
    </w:p>
    <w:p w:rsidR="007965C4" w:rsidRDefault="007965C4" w:rsidP="007965C4">
      <w:pPr>
        <w:pStyle w:val="L1-FlLSp12"/>
      </w:pPr>
    </w:p>
    <w:p w:rsidR="007965C4" w:rsidRDefault="007965C4" w:rsidP="007965C4">
      <w:pPr>
        <w:pStyle w:val="L1-FlLSp12"/>
      </w:pPr>
    </w:p>
    <w:p w:rsidR="00C23DA3" w:rsidRPr="00E630DA" w:rsidRDefault="00C23DA3" w:rsidP="007965C4">
      <w:pPr>
        <w:pStyle w:val="Heading3"/>
      </w:pPr>
      <w:bookmarkStart w:id="92" w:name="_Toc400377754"/>
      <w:bookmarkStart w:id="93" w:name="_Toc287257055"/>
      <w:bookmarkStart w:id="94" w:name="_Toc287257092"/>
      <w:bookmarkStart w:id="95" w:name="_Toc290021787"/>
      <w:r>
        <w:lastRenderedPageBreak/>
        <w:t>WIC Participants</w:t>
      </w:r>
      <w:bookmarkEnd w:id="92"/>
    </w:p>
    <w:p w:rsidR="00C23DA3" w:rsidRDefault="00C23DA3" w:rsidP="007965C4">
      <w:pPr>
        <w:pStyle w:val="L1-FlLSp12"/>
      </w:pPr>
      <w:r w:rsidRPr="00901BCC">
        <w:t>Successful retention of our</w:t>
      </w:r>
      <w:r>
        <w:t xml:space="preserve"> sample for the extended study hinges on our ability to make participants</w:t>
      </w:r>
      <w:r w:rsidRPr="00901BCC">
        <w:t xml:space="preserve"> </w:t>
      </w:r>
      <w:r w:rsidRPr="00C61F45">
        <w:t xml:space="preserve">want </w:t>
      </w:r>
      <w:r w:rsidRPr="00901BCC">
        <w:t>to continue in the stud</w:t>
      </w:r>
      <w:r>
        <w:t>y and our ability to locate participants</w:t>
      </w:r>
      <w:r w:rsidRPr="00901BCC">
        <w:t xml:space="preserve"> over time.</w:t>
      </w:r>
      <w:r>
        <w:t xml:space="preserve"> </w:t>
      </w:r>
      <w:r w:rsidRPr="00901BCC">
        <w:t>While many participants become more committed to the study with each interview they complete, others experience survey fatigue which may overwhelm their interest in continuing.</w:t>
      </w:r>
      <w:r>
        <w:t xml:space="preserve"> </w:t>
      </w:r>
      <w:r w:rsidRPr="00901BCC">
        <w:t>We will employ these strategies to retain</w:t>
      </w:r>
      <w:r>
        <w:t xml:space="preserve"> as many members of the </w:t>
      </w:r>
      <w:r w:rsidRPr="00901BCC">
        <w:t>sa</w:t>
      </w:r>
      <w:r>
        <w:t>mple as possible through the 36-</w:t>
      </w:r>
      <w:r w:rsidRPr="00901BCC">
        <w:t>month interview:</w:t>
      </w:r>
    </w:p>
    <w:p w:rsidR="007965C4" w:rsidRPr="00901BCC" w:rsidRDefault="007965C4" w:rsidP="007965C4">
      <w:pPr>
        <w:pStyle w:val="L1-FlLSp12"/>
      </w:pPr>
    </w:p>
    <w:p w:rsidR="00C23DA3" w:rsidRPr="007965C4" w:rsidRDefault="00C23DA3" w:rsidP="007965C4">
      <w:pPr>
        <w:pStyle w:val="N1-1stBullet"/>
        <w:numPr>
          <w:ilvl w:val="0"/>
          <w:numId w:val="26"/>
        </w:numPr>
        <w:spacing w:after="200"/>
      </w:pPr>
      <w:r w:rsidRPr="00901BCC">
        <w:rPr>
          <w:b/>
        </w:rPr>
        <w:t xml:space="preserve">Keep </w:t>
      </w:r>
      <w:r w:rsidR="007965C4">
        <w:rPr>
          <w:b/>
        </w:rPr>
        <w:t>R</w:t>
      </w:r>
      <w:r w:rsidRPr="00901BCC">
        <w:rPr>
          <w:b/>
        </w:rPr>
        <w:t xml:space="preserve">espondents </w:t>
      </w:r>
      <w:r w:rsidR="007965C4">
        <w:rPr>
          <w:b/>
        </w:rPr>
        <w:t>I</w:t>
      </w:r>
      <w:r w:rsidRPr="00901BCC">
        <w:rPr>
          <w:b/>
        </w:rPr>
        <w:t xml:space="preserve">nformed and </w:t>
      </w:r>
      <w:r w:rsidR="007965C4">
        <w:rPr>
          <w:b/>
        </w:rPr>
        <w:t>E</w:t>
      </w:r>
      <w:r w:rsidRPr="00901BCC">
        <w:rPr>
          <w:b/>
        </w:rPr>
        <w:t xml:space="preserve">xcited </w:t>
      </w:r>
      <w:r w:rsidR="007965C4">
        <w:rPr>
          <w:b/>
        </w:rPr>
        <w:t>A</w:t>
      </w:r>
      <w:r w:rsidRPr="00901BCC">
        <w:rPr>
          <w:b/>
        </w:rPr>
        <w:t xml:space="preserve">bout the </w:t>
      </w:r>
      <w:r w:rsidR="007965C4">
        <w:rPr>
          <w:b/>
        </w:rPr>
        <w:t>S</w:t>
      </w:r>
      <w:r w:rsidRPr="00901BCC">
        <w:rPr>
          <w:b/>
        </w:rPr>
        <w:t>tudy.</w:t>
      </w:r>
      <w:r w:rsidR="00550934">
        <w:t xml:space="preserve"> </w:t>
      </w:r>
      <w:r>
        <w:t xml:space="preserve">Send </w:t>
      </w:r>
      <w:r w:rsidRPr="00901BCC">
        <w:t xml:space="preserve">a glossy flyer when the baby turns 21 months old that details the extension of the study </w:t>
      </w:r>
      <w:r>
        <w:t xml:space="preserve">to </w:t>
      </w:r>
      <w:r w:rsidRPr="00901BCC">
        <w:t>the child</w:t>
      </w:r>
      <w:r w:rsidR="00550934">
        <w:t>’</w:t>
      </w:r>
      <w:r>
        <w:t xml:space="preserve">s </w:t>
      </w:r>
      <w:r w:rsidRPr="007965C4">
        <w:t>3rd birthday</w:t>
      </w:r>
      <w:r w:rsidR="00090426">
        <w:t xml:space="preserve"> (Appendice</w:t>
      </w:r>
      <w:r w:rsidR="00C2551E">
        <w:t>s</w:t>
      </w:r>
      <w:r w:rsidR="00090426">
        <w:t xml:space="preserve"> </w:t>
      </w:r>
      <w:r w:rsidR="00C2551E">
        <w:t>B.1 and B.2</w:t>
      </w:r>
      <w:proofErr w:type="gramStart"/>
      <w:r w:rsidR="00090426">
        <w:t xml:space="preserve">) </w:t>
      </w:r>
      <w:r w:rsidRPr="007965C4">
        <w:t>.</w:t>
      </w:r>
      <w:proofErr w:type="gramEnd"/>
      <w:r w:rsidR="00550934" w:rsidRPr="007965C4">
        <w:t xml:space="preserve"> </w:t>
      </w:r>
    </w:p>
    <w:p w:rsidR="00C23DA3" w:rsidRDefault="00C23DA3" w:rsidP="007965C4">
      <w:pPr>
        <w:pStyle w:val="N1-1stBullet"/>
        <w:numPr>
          <w:ilvl w:val="0"/>
          <w:numId w:val="26"/>
        </w:numPr>
        <w:spacing w:after="200"/>
      </w:pPr>
      <w:r>
        <w:rPr>
          <w:b/>
        </w:rPr>
        <w:t>Utilize</w:t>
      </w:r>
      <w:r w:rsidRPr="001230A5">
        <w:rPr>
          <w:b/>
        </w:rPr>
        <w:t xml:space="preserve"> </w:t>
      </w:r>
      <w:r w:rsidR="007965C4">
        <w:rPr>
          <w:b/>
        </w:rPr>
        <w:t>S</w:t>
      </w:r>
      <w:r w:rsidRPr="001230A5">
        <w:rPr>
          <w:b/>
        </w:rPr>
        <w:t xml:space="preserve">tudy </w:t>
      </w:r>
      <w:r w:rsidR="007965C4">
        <w:rPr>
          <w:b/>
        </w:rPr>
        <w:t>L</w:t>
      </w:r>
      <w:r w:rsidRPr="001230A5">
        <w:rPr>
          <w:b/>
        </w:rPr>
        <w:t xml:space="preserve">iaisons </w:t>
      </w:r>
      <w:r w:rsidR="007965C4">
        <w:rPr>
          <w:b/>
        </w:rPr>
        <w:t>W</w:t>
      </w:r>
      <w:r w:rsidRPr="001230A5">
        <w:rPr>
          <w:b/>
        </w:rPr>
        <w:t xml:space="preserve">ho </w:t>
      </w:r>
      <w:r w:rsidR="007965C4">
        <w:rPr>
          <w:b/>
        </w:rPr>
        <w:t>S</w:t>
      </w:r>
      <w:r w:rsidRPr="001230A5">
        <w:rPr>
          <w:b/>
        </w:rPr>
        <w:t xml:space="preserve">erve as the </w:t>
      </w:r>
      <w:r w:rsidR="007965C4">
        <w:rPr>
          <w:b/>
        </w:rPr>
        <w:t>P</w:t>
      </w:r>
      <w:r w:rsidRPr="001230A5">
        <w:rPr>
          <w:b/>
        </w:rPr>
        <w:t>oint-of-</w:t>
      </w:r>
      <w:r w:rsidR="007965C4">
        <w:rPr>
          <w:b/>
        </w:rPr>
        <w:t>C</w:t>
      </w:r>
      <w:r w:rsidRPr="001230A5">
        <w:rPr>
          <w:b/>
        </w:rPr>
        <w:t xml:space="preserve">ontact for the </w:t>
      </w:r>
      <w:r w:rsidR="007965C4">
        <w:rPr>
          <w:b/>
        </w:rPr>
        <w:t>S</w:t>
      </w:r>
      <w:r w:rsidRPr="001230A5">
        <w:rPr>
          <w:b/>
        </w:rPr>
        <w:t>tudy.</w:t>
      </w:r>
      <w:r>
        <w:t xml:space="preserve"> Four full-time study liaisons (SLs) with a caseload of about 1,000 participants each, will continue to answer respondent questions, offer encouragement for continued study participation, conduct refusal conversion, remind participants about expiring interviews, help schedule appointments for height and weight measurements for participants who are no longer on WIC, and trace respondents whose phone numbers have changed. </w:t>
      </w:r>
    </w:p>
    <w:p w:rsidR="00C23DA3" w:rsidRDefault="00C23DA3" w:rsidP="007965C4">
      <w:pPr>
        <w:pStyle w:val="N1-1stBullet"/>
        <w:numPr>
          <w:ilvl w:val="0"/>
          <w:numId w:val="26"/>
        </w:numPr>
        <w:spacing w:after="200"/>
      </w:pPr>
      <w:r w:rsidRPr="001230A5">
        <w:rPr>
          <w:b/>
        </w:rPr>
        <w:t xml:space="preserve">Provide </w:t>
      </w:r>
      <w:r w:rsidR="007965C4">
        <w:rPr>
          <w:b/>
        </w:rPr>
        <w:t>L</w:t>
      </w:r>
      <w:r w:rsidRPr="001230A5">
        <w:rPr>
          <w:b/>
        </w:rPr>
        <w:t xml:space="preserve">arger </w:t>
      </w:r>
      <w:r w:rsidR="007965C4">
        <w:rPr>
          <w:b/>
        </w:rPr>
        <w:t>I</w:t>
      </w:r>
      <w:r w:rsidRPr="001230A5">
        <w:rPr>
          <w:b/>
        </w:rPr>
        <w:t xml:space="preserve">ncentives for </w:t>
      </w:r>
      <w:r w:rsidR="007965C4">
        <w:rPr>
          <w:b/>
        </w:rPr>
        <w:t>F</w:t>
      </w:r>
      <w:r w:rsidRPr="001230A5">
        <w:rPr>
          <w:b/>
        </w:rPr>
        <w:t xml:space="preserve">ollowup </w:t>
      </w:r>
      <w:r w:rsidR="007965C4">
        <w:rPr>
          <w:b/>
        </w:rPr>
        <w:t>I</w:t>
      </w:r>
      <w:r w:rsidRPr="001230A5">
        <w:rPr>
          <w:b/>
        </w:rPr>
        <w:t>nterviews</w:t>
      </w:r>
      <w:r w:rsidRPr="007965C4">
        <w:rPr>
          <w:b/>
        </w:rPr>
        <w:t>.</w:t>
      </w:r>
      <w:r w:rsidRPr="0022322F">
        <w:t xml:space="preserve"> </w:t>
      </w:r>
      <w:r>
        <w:t xml:space="preserve">Increase the </w:t>
      </w:r>
      <w:r w:rsidRPr="0022322F">
        <w:t xml:space="preserve">incentive </w:t>
      </w:r>
      <w:r>
        <w:t>for the 30- and 36-month interviews from $20 to $30 and $40, respectively.</w:t>
      </w:r>
      <w:r w:rsidR="00550934">
        <w:t xml:space="preserve"> </w:t>
      </w:r>
      <w:r>
        <w:t xml:space="preserve">Further, provide an </w:t>
      </w:r>
      <w:r w:rsidRPr="0022322F">
        <w:t>additional $10 for the respondent</w:t>
      </w:r>
      <w:r w:rsidR="00550934">
        <w:t>’</w:t>
      </w:r>
      <w:r w:rsidRPr="0022322F">
        <w:t xml:space="preserve">s own cell phone. </w:t>
      </w:r>
      <w:r>
        <w:t xml:space="preserve">The </w:t>
      </w:r>
      <w:r w:rsidRPr="0022322F">
        <w:t xml:space="preserve">increased incentive </w:t>
      </w:r>
      <w:r>
        <w:t xml:space="preserve">will recognize </w:t>
      </w:r>
      <w:r w:rsidRPr="0022322F">
        <w:t xml:space="preserve">the value of respondents </w:t>
      </w:r>
      <w:r>
        <w:t xml:space="preserve">who stay </w:t>
      </w:r>
      <w:r w:rsidRPr="0022322F">
        <w:t>with the study for the long</w:t>
      </w:r>
      <w:r>
        <w:t>er time period</w:t>
      </w:r>
      <w:r w:rsidRPr="0022322F">
        <w:t>.</w:t>
      </w:r>
    </w:p>
    <w:p w:rsidR="00C23DA3" w:rsidRDefault="00C23DA3" w:rsidP="007965C4">
      <w:pPr>
        <w:pStyle w:val="N1-1stBullet"/>
        <w:numPr>
          <w:ilvl w:val="0"/>
          <w:numId w:val="26"/>
        </w:numPr>
        <w:spacing w:after="200"/>
      </w:pPr>
      <w:r w:rsidRPr="00C61F45">
        <w:rPr>
          <w:b/>
        </w:rPr>
        <w:t xml:space="preserve">Incentivize </w:t>
      </w:r>
      <w:r w:rsidR="007965C4">
        <w:rPr>
          <w:b/>
        </w:rPr>
        <w:t>R</w:t>
      </w:r>
      <w:r w:rsidRPr="00C61F45">
        <w:rPr>
          <w:b/>
        </w:rPr>
        <w:t xml:space="preserve">espondents to </w:t>
      </w:r>
      <w:r w:rsidR="007965C4">
        <w:rPr>
          <w:b/>
        </w:rPr>
        <w:t>U</w:t>
      </w:r>
      <w:r w:rsidRPr="00C61F45">
        <w:rPr>
          <w:b/>
        </w:rPr>
        <w:t xml:space="preserve">pdate </w:t>
      </w:r>
      <w:r w:rsidR="007965C4">
        <w:rPr>
          <w:b/>
        </w:rPr>
        <w:t>T</w:t>
      </w:r>
      <w:r w:rsidRPr="00C61F45">
        <w:rPr>
          <w:b/>
        </w:rPr>
        <w:t xml:space="preserve">heir </w:t>
      </w:r>
      <w:r w:rsidR="007965C4">
        <w:rPr>
          <w:b/>
        </w:rPr>
        <w:t>C</w:t>
      </w:r>
      <w:r w:rsidRPr="00C61F45">
        <w:rPr>
          <w:b/>
        </w:rPr>
        <w:t xml:space="preserve">ontact </w:t>
      </w:r>
      <w:r w:rsidR="007965C4">
        <w:rPr>
          <w:b/>
        </w:rPr>
        <w:t>I</w:t>
      </w:r>
      <w:r w:rsidRPr="00C61F45">
        <w:rPr>
          <w:b/>
        </w:rPr>
        <w:t>nformation</w:t>
      </w:r>
      <w:r w:rsidRPr="007965C4">
        <w:rPr>
          <w:b/>
        </w:rPr>
        <w:t>.</w:t>
      </w:r>
      <w:r>
        <w:t xml:space="preserve"> As</w:t>
      </w:r>
      <w:r w:rsidRPr="00901BCC">
        <w:t xml:space="preserve">k participants to update their contact information </w:t>
      </w:r>
      <w:r>
        <w:t xml:space="preserve">when their children are 27- and 33-months old, and provide a </w:t>
      </w:r>
      <w:r w:rsidRPr="00901BCC">
        <w:t>$5</w:t>
      </w:r>
      <w:r>
        <w:t xml:space="preserve"> incentive for providing this information</w:t>
      </w:r>
      <w:r w:rsidR="00C2551E">
        <w:t xml:space="preserve"> (Appendices E.1 and E.2)</w:t>
      </w:r>
      <w:r>
        <w:t>.</w:t>
      </w:r>
    </w:p>
    <w:p w:rsidR="00C23DA3" w:rsidRDefault="00C23DA3" w:rsidP="007965C4">
      <w:pPr>
        <w:pStyle w:val="N1-1stBullet"/>
        <w:numPr>
          <w:ilvl w:val="0"/>
          <w:numId w:val="26"/>
        </w:numPr>
        <w:spacing w:after="200"/>
      </w:pPr>
      <w:r>
        <w:rPr>
          <w:b/>
        </w:rPr>
        <w:t xml:space="preserve">Attempt </w:t>
      </w:r>
      <w:r w:rsidR="007965C4">
        <w:rPr>
          <w:b/>
        </w:rPr>
        <w:t>I</w:t>
      </w:r>
      <w:r>
        <w:rPr>
          <w:b/>
        </w:rPr>
        <w:t xml:space="preserve">nterviews </w:t>
      </w:r>
      <w:r w:rsidRPr="00C61F45">
        <w:rPr>
          <w:b/>
        </w:rPr>
        <w:t xml:space="preserve">at </w:t>
      </w:r>
      <w:r w:rsidR="007965C4">
        <w:rPr>
          <w:b/>
        </w:rPr>
        <w:t>D</w:t>
      </w:r>
      <w:r w:rsidRPr="00C61F45">
        <w:rPr>
          <w:b/>
        </w:rPr>
        <w:t xml:space="preserve">ifferent </w:t>
      </w:r>
      <w:r w:rsidR="007965C4">
        <w:rPr>
          <w:b/>
        </w:rPr>
        <w:t>T</w:t>
      </w:r>
      <w:r w:rsidRPr="00C61F45">
        <w:rPr>
          <w:b/>
        </w:rPr>
        <w:t xml:space="preserve">imes </w:t>
      </w:r>
      <w:r>
        <w:rPr>
          <w:b/>
        </w:rPr>
        <w:t xml:space="preserve">of the </w:t>
      </w:r>
      <w:r w:rsidR="007965C4">
        <w:rPr>
          <w:b/>
        </w:rPr>
        <w:t>D</w:t>
      </w:r>
      <w:r>
        <w:rPr>
          <w:b/>
        </w:rPr>
        <w:t xml:space="preserve">ay and </w:t>
      </w:r>
      <w:r w:rsidR="007965C4">
        <w:rPr>
          <w:b/>
        </w:rPr>
        <w:t>W</w:t>
      </w:r>
      <w:r>
        <w:rPr>
          <w:b/>
        </w:rPr>
        <w:t>eek</w:t>
      </w:r>
      <w:r w:rsidRPr="007965C4">
        <w:rPr>
          <w:b/>
        </w:rPr>
        <w:t>.</w:t>
      </w:r>
      <w:r>
        <w:t xml:space="preserve"> Use telephone </w:t>
      </w:r>
      <w:r w:rsidRPr="00172796">
        <w:t>call scheduling procedures to call numbers at different times of the day (between 8 am and 9 pm</w:t>
      </w:r>
      <w:r>
        <w:t xml:space="preserve"> in the respondent</w:t>
      </w:r>
      <w:r w:rsidR="00550934">
        <w:t>’</w:t>
      </w:r>
      <w:r>
        <w:t>s time zone</w:t>
      </w:r>
      <w:r w:rsidRPr="00172796">
        <w:t>) and week (Sunday through Saturday)</w:t>
      </w:r>
      <w:r>
        <w:t xml:space="preserve"> during the 28 day window</w:t>
      </w:r>
      <w:r w:rsidRPr="00172796">
        <w:t xml:space="preserve">, to improve the chances </w:t>
      </w:r>
      <w:r>
        <w:t>of interviewing participants.</w:t>
      </w:r>
      <w:r w:rsidR="00550934">
        <w:t xml:space="preserve"> </w:t>
      </w:r>
      <w:r>
        <w:t>When participants cannot be reached, leave voice mail messages periodically and provide a toll-free call-in number that participants can use to complete the interview</w:t>
      </w:r>
      <w:r w:rsidR="00C2551E">
        <w:t xml:space="preserve"> (Appendices H.1-H.2)</w:t>
      </w:r>
      <w:r>
        <w:t>.</w:t>
      </w:r>
    </w:p>
    <w:p w:rsidR="00C23DA3" w:rsidRDefault="00C23DA3" w:rsidP="007965C4">
      <w:pPr>
        <w:pStyle w:val="N1-1stBullet"/>
        <w:numPr>
          <w:ilvl w:val="0"/>
          <w:numId w:val="26"/>
        </w:numPr>
        <w:spacing w:after="200"/>
      </w:pPr>
      <w:r w:rsidRPr="0022322F">
        <w:rPr>
          <w:b/>
        </w:rPr>
        <w:t xml:space="preserve">Encourage </w:t>
      </w:r>
      <w:r w:rsidR="007965C4">
        <w:rPr>
          <w:b/>
        </w:rPr>
        <w:t>P</w:t>
      </w:r>
      <w:r w:rsidRPr="0022322F">
        <w:rPr>
          <w:b/>
        </w:rPr>
        <w:t xml:space="preserve">articipants to </w:t>
      </w:r>
      <w:r w:rsidR="007965C4">
        <w:rPr>
          <w:b/>
        </w:rPr>
        <w:t>C</w:t>
      </w:r>
      <w:r w:rsidRPr="0022322F">
        <w:rPr>
          <w:b/>
        </w:rPr>
        <w:t>all</w:t>
      </w:r>
      <w:r>
        <w:rPr>
          <w:b/>
        </w:rPr>
        <w:t xml:space="preserve"> </w:t>
      </w:r>
      <w:r w:rsidR="007965C4">
        <w:rPr>
          <w:b/>
        </w:rPr>
        <w:t>I</w:t>
      </w:r>
      <w:r w:rsidRPr="0022322F">
        <w:rPr>
          <w:b/>
        </w:rPr>
        <w:t xml:space="preserve">n. </w:t>
      </w:r>
      <w:r>
        <w:t>S</w:t>
      </w:r>
      <w:r w:rsidRPr="00901BCC">
        <w:t>end advance letters a few days before the start of the 30- and 36-month interview</w:t>
      </w:r>
      <w:r>
        <w:t xml:space="preserve"> window</w:t>
      </w:r>
      <w:r w:rsidRPr="00901BCC">
        <w:t xml:space="preserve">s to remind participants about the </w:t>
      </w:r>
      <w:r>
        <w:t xml:space="preserve">upcoming </w:t>
      </w:r>
      <w:r w:rsidRPr="00901BCC">
        <w:t xml:space="preserve">interview and provide the </w:t>
      </w:r>
      <w:r>
        <w:t xml:space="preserve">toll-free </w:t>
      </w:r>
      <w:r w:rsidRPr="00901BCC">
        <w:t xml:space="preserve">call-in number and hours the </w:t>
      </w:r>
      <w:r>
        <w:t>telephone center i</w:t>
      </w:r>
      <w:r w:rsidRPr="00901BCC">
        <w:t xml:space="preserve">s open </w:t>
      </w:r>
      <w:r>
        <w:t xml:space="preserve">to </w:t>
      </w:r>
      <w:r w:rsidRPr="00901BCC">
        <w:t>encourage them to call in to complete the interview at their convenience</w:t>
      </w:r>
      <w:r w:rsidR="00C2551E">
        <w:t xml:space="preserve"> (Appendices I.1, I.2, J.1, and J.2)</w:t>
      </w:r>
      <w:r>
        <w:t>.</w:t>
      </w:r>
    </w:p>
    <w:p w:rsidR="00C23DA3" w:rsidRDefault="00C23DA3" w:rsidP="007965C4">
      <w:pPr>
        <w:pStyle w:val="N1-1stBullet"/>
        <w:numPr>
          <w:ilvl w:val="0"/>
          <w:numId w:val="26"/>
        </w:numPr>
        <w:spacing w:after="200"/>
      </w:pPr>
      <w:r>
        <w:rPr>
          <w:b/>
        </w:rPr>
        <w:t xml:space="preserve">Send </w:t>
      </w:r>
      <w:r w:rsidR="007965C4">
        <w:rPr>
          <w:b/>
        </w:rPr>
        <w:t>T</w:t>
      </w:r>
      <w:r w:rsidRPr="003E5785">
        <w:rPr>
          <w:b/>
        </w:rPr>
        <w:t xml:space="preserve">exts and </w:t>
      </w:r>
      <w:r w:rsidR="007965C4">
        <w:rPr>
          <w:b/>
        </w:rPr>
        <w:t>R</w:t>
      </w:r>
      <w:r w:rsidRPr="003E5785">
        <w:rPr>
          <w:b/>
        </w:rPr>
        <w:t xml:space="preserve">eminder </w:t>
      </w:r>
      <w:r w:rsidR="007965C4">
        <w:rPr>
          <w:b/>
        </w:rPr>
        <w:t>P</w:t>
      </w:r>
      <w:r w:rsidRPr="003E5785">
        <w:rPr>
          <w:b/>
        </w:rPr>
        <w:t xml:space="preserve">ostcards 10 </w:t>
      </w:r>
      <w:r w:rsidR="007965C4">
        <w:rPr>
          <w:b/>
        </w:rPr>
        <w:t>D</w:t>
      </w:r>
      <w:r w:rsidRPr="003E5785">
        <w:rPr>
          <w:b/>
        </w:rPr>
        <w:t xml:space="preserve">ays </w:t>
      </w:r>
      <w:proofErr w:type="gramStart"/>
      <w:r w:rsidR="007965C4">
        <w:rPr>
          <w:b/>
        </w:rPr>
        <w:t>A</w:t>
      </w:r>
      <w:r w:rsidRPr="003E5785">
        <w:rPr>
          <w:b/>
        </w:rPr>
        <w:t>fter</w:t>
      </w:r>
      <w:proofErr w:type="gramEnd"/>
      <w:r w:rsidRPr="003E5785">
        <w:rPr>
          <w:b/>
        </w:rPr>
        <w:t xml:space="preserve"> </w:t>
      </w:r>
      <w:r w:rsidR="007965C4">
        <w:rPr>
          <w:b/>
        </w:rPr>
        <w:t>S</w:t>
      </w:r>
      <w:r w:rsidRPr="003E5785">
        <w:rPr>
          <w:b/>
        </w:rPr>
        <w:t xml:space="preserve">tart of the </w:t>
      </w:r>
      <w:r w:rsidR="007965C4">
        <w:rPr>
          <w:b/>
        </w:rPr>
        <w:t>W</w:t>
      </w:r>
      <w:r w:rsidRPr="003E5785">
        <w:rPr>
          <w:b/>
        </w:rPr>
        <w:t xml:space="preserve">indow. </w:t>
      </w:r>
      <w:r>
        <w:t xml:space="preserve">Send out reminder </w:t>
      </w:r>
      <w:r w:rsidRPr="00901BCC">
        <w:t xml:space="preserve">texts </w:t>
      </w:r>
      <w:r>
        <w:t xml:space="preserve">and postcards </w:t>
      </w:r>
      <w:r w:rsidRPr="00901BCC">
        <w:t>on the 10</w:t>
      </w:r>
      <w:r w:rsidRPr="007965C4">
        <w:t xml:space="preserve">th </w:t>
      </w:r>
      <w:r w:rsidRPr="00901BCC">
        <w:t>day of the interviewing window to respondents who have not completed their 24-</w:t>
      </w:r>
      <w:r>
        <w:t>,</w:t>
      </w:r>
      <w:r w:rsidRPr="00901BCC">
        <w:t xml:space="preserve"> 30-, or 36-month interviews</w:t>
      </w:r>
      <w:r w:rsidR="00C2551E">
        <w:t xml:space="preserve"> (Appendices H.1-H.2)</w:t>
      </w:r>
      <w:r>
        <w:t>.</w:t>
      </w:r>
    </w:p>
    <w:p w:rsidR="00C23DA3" w:rsidRDefault="00C23DA3" w:rsidP="007965C4">
      <w:pPr>
        <w:pStyle w:val="N1-1stBullet"/>
        <w:numPr>
          <w:ilvl w:val="0"/>
          <w:numId w:val="26"/>
        </w:numPr>
        <w:spacing w:after="200"/>
      </w:pPr>
      <w:r w:rsidRPr="003E5785">
        <w:rPr>
          <w:b/>
        </w:rPr>
        <w:lastRenderedPageBreak/>
        <w:t xml:space="preserve">Contact </w:t>
      </w:r>
      <w:r w:rsidR="007965C4">
        <w:rPr>
          <w:b/>
        </w:rPr>
        <w:t>R</w:t>
      </w:r>
      <w:r w:rsidRPr="003E5785">
        <w:rPr>
          <w:b/>
        </w:rPr>
        <w:t xml:space="preserve">espondents </w:t>
      </w:r>
      <w:r w:rsidR="007965C4">
        <w:rPr>
          <w:b/>
        </w:rPr>
        <w:t>W</w:t>
      </w:r>
      <w:r w:rsidRPr="003E5785">
        <w:rPr>
          <w:b/>
        </w:rPr>
        <w:t xml:space="preserve">hose </w:t>
      </w:r>
      <w:r w:rsidR="007965C4">
        <w:rPr>
          <w:b/>
        </w:rPr>
        <w:t>I</w:t>
      </w:r>
      <w:r w:rsidRPr="003E5785">
        <w:rPr>
          <w:b/>
        </w:rPr>
        <w:t xml:space="preserve">nterview </w:t>
      </w:r>
      <w:r w:rsidR="007965C4">
        <w:rPr>
          <w:b/>
        </w:rPr>
        <w:t>W</w:t>
      </w:r>
      <w:r w:rsidRPr="003E5785">
        <w:rPr>
          <w:b/>
        </w:rPr>
        <w:t xml:space="preserve">indows </w:t>
      </w:r>
      <w:r w:rsidR="007965C4">
        <w:rPr>
          <w:b/>
        </w:rPr>
        <w:t>a</w:t>
      </w:r>
      <w:r w:rsidRPr="003E5785">
        <w:rPr>
          <w:b/>
        </w:rPr>
        <w:t xml:space="preserve">re </w:t>
      </w:r>
      <w:r w:rsidR="007965C4">
        <w:rPr>
          <w:b/>
        </w:rPr>
        <w:t>E</w:t>
      </w:r>
      <w:r w:rsidRPr="003E5785">
        <w:rPr>
          <w:b/>
        </w:rPr>
        <w:t xml:space="preserve">xpiring. </w:t>
      </w:r>
      <w:r w:rsidRPr="00901BCC">
        <w:t>The study liaisons will continue to make reminder calls and send reminder emails</w:t>
      </w:r>
      <w:r>
        <w:t xml:space="preserve"> and </w:t>
      </w:r>
      <w:r w:rsidRPr="00901BCC">
        <w:t>texts</w:t>
      </w:r>
      <w:r>
        <w:t xml:space="preserve"> </w:t>
      </w:r>
      <w:r w:rsidR="001D102C">
        <w:t>(</w:t>
      </w:r>
      <w:r w:rsidR="00C2551E">
        <w:t xml:space="preserve">Appendices H.1 and H.2) </w:t>
      </w:r>
      <w:r w:rsidRPr="00901BCC">
        <w:t>to respondents whose interview windows are within</w:t>
      </w:r>
      <w:r w:rsidRPr="003E5785">
        <w:rPr>
          <w:b/>
        </w:rPr>
        <w:t xml:space="preserve"> </w:t>
      </w:r>
      <w:r w:rsidRPr="00901BCC">
        <w:t>1 week of expiring.</w:t>
      </w:r>
    </w:p>
    <w:p w:rsidR="00C23DA3" w:rsidRDefault="00C23DA3" w:rsidP="007965C4">
      <w:pPr>
        <w:pStyle w:val="N1-1stBullet"/>
        <w:numPr>
          <w:ilvl w:val="0"/>
          <w:numId w:val="26"/>
        </w:numPr>
        <w:spacing w:after="200"/>
      </w:pPr>
      <w:r w:rsidRPr="0022322F">
        <w:rPr>
          <w:b/>
        </w:rPr>
        <w:t xml:space="preserve">Send </w:t>
      </w:r>
      <w:r w:rsidR="007965C4">
        <w:rPr>
          <w:b/>
        </w:rPr>
        <w:t>B</w:t>
      </w:r>
      <w:r w:rsidRPr="0022322F">
        <w:rPr>
          <w:b/>
        </w:rPr>
        <w:t xml:space="preserve">irthday </w:t>
      </w:r>
      <w:r w:rsidR="007965C4">
        <w:rPr>
          <w:b/>
        </w:rPr>
        <w:t>C</w:t>
      </w:r>
      <w:r w:rsidRPr="0022322F">
        <w:rPr>
          <w:b/>
        </w:rPr>
        <w:t xml:space="preserve">ards to </w:t>
      </w:r>
      <w:r w:rsidR="007965C4">
        <w:rPr>
          <w:b/>
        </w:rPr>
        <w:t>R</w:t>
      </w:r>
      <w:r w:rsidRPr="0022322F">
        <w:rPr>
          <w:b/>
        </w:rPr>
        <w:t xml:space="preserve">espondents. </w:t>
      </w:r>
      <w:r w:rsidRPr="00901BCC">
        <w:t xml:space="preserve">As part of the relationship building, the study liaisons will send birthday cards to </w:t>
      </w:r>
      <w:r>
        <w:t xml:space="preserve">participants that include a gift </w:t>
      </w:r>
      <w:r w:rsidR="001D102C">
        <w:t xml:space="preserve">as a token of our appreciation </w:t>
      </w:r>
      <w:r>
        <w:t>a small magnetic picture frame with the study name that can be used to hold the child</w:t>
      </w:r>
      <w:r w:rsidR="00550934">
        <w:t>’</w:t>
      </w:r>
      <w:r>
        <w:t>s picture</w:t>
      </w:r>
      <w:r w:rsidR="00C2551E">
        <w:t xml:space="preserve"> (Appendices K.1 and K.2)</w:t>
      </w:r>
      <w:r>
        <w:t>.</w:t>
      </w:r>
    </w:p>
    <w:p w:rsidR="007965C4" w:rsidRPr="00901BCC" w:rsidRDefault="007965C4" w:rsidP="007965C4">
      <w:pPr>
        <w:pStyle w:val="L1-FlLSp12"/>
      </w:pPr>
    </w:p>
    <w:p w:rsidR="00C23DA3" w:rsidRPr="00A75438" w:rsidRDefault="00C23DA3" w:rsidP="007965C4">
      <w:pPr>
        <w:pStyle w:val="Heading2"/>
      </w:pPr>
      <w:bookmarkStart w:id="96" w:name="_Toc329341130"/>
      <w:bookmarkStart w:id="97" w:name="_Toc400377755"/>
      <w:r w:rsidRPr="00C70E11">
        <w:t>B.4</w:t>
      </w:r>
      <w:r w:rsidRPr="00C70E11">
        <w:tab/>
        <w:t>Test of Procedures or Methods to be Undertaken</w:t>
      </w:r>
      <w:bookmarkStart w:id="98" w:name="_Toc287257056"/>
      <w:bookmarkStart w:id="99" w:name="_Toc287257093"/>
      <w:bookmarkStart w:id="100" w:name="_Toc290021788"/>
      <w:bookmarkEnd w:id="93"/>
      <w:bookmarkEnd w:id="94"/>
      <w:bookmarkEnd w:id="95"/>
      <w:bookmarkEnd w:id="96"/>
      <w:bookmarkEnd w:id="97"/>
      <w:r w:rsidRPr="00C732EE">
        <w:tab/>
      </w:r>
    </w:p>
    <w:p w:rsidR="00C23DA3" w:rsidRDefault="00C23DA3" w:rsidP="007965C4">
      <w:pPr>
        <w:pStyle w:val="L1-FlLSp12"/>
        <w:rPr>
          <w:rStyle w:val="Strong"/>
        </w:rPr>
      </w:pPr>
      <w:r w:rsidRPr="0042385C">
        <w:rPr>
          <w:rStyle w:val="Strong"/>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23DA3" w:rsidRPr="0042385C" w:rsidRDefault="00C23DA3" w:rsidP="007965C4">
      <w:pPr>
        <w:pStyle w:val="L1-FlLSp12"/>
        <w:rPr>
          <w:rStyle w:val="Strong"/>
        </w:rPr>
      </w:pPr>
    </w:p>
    <w:p w:rsidR="00C23DA3" w:rsidRDefault="00C23DA3" w:rsidP="007965C4">
      <w:pPr>
        <w:pStyle w:val="L1-FlLSp12"/>
      </w:pPr>
      <w:bookmarkStart w:id="101" w:name="_Toc329341131"/>
      <w:r>
        <w:t>T</w:t>
      </w:r>
      <w:r w:rsidRPr="00A96ABE">
        <w:t xml:space="preserve">he majority of items </w:t>
      </w:r>
      <w:r>
        <w:t xml:space="preserve">that will be included in the interviews at 30 and 36 months </w:t>
      </w:r>
      <w:r w:rsidRPr="00A96ABE">
        <w:t xml:space="preserve">have </w:t>
      </w:r>
      <w:r>
        <w:t xml:space="preserve">either </w:t>
      </w:r>
      <w:r w:rsidRPr="00A96ABE">
        <w:t>been cognitively tested for previous</w:t>
      </w:r>
      <w:r>
        <w:t>ly approved</w:t>
      </w:r>
      <w:r w:rsidRPr="00A96ABE">
        <w:t xml:space="preserve"> interviews on this study or drawn from other established studies</w:t>
      </w:r>
      <w:r>
        <w:t>.</w:t>
      </w:r>
      <w:r w:rsidRPr="00A96ABE">
        <w:t xml:space="preserve"> </w:t>
      </w:r>
      <w:r>
        <w:t xml:space="preserve">Consequently, </w:t>
      </w:r>
      <w:r w:rsidRPr="00A96ABE">
        <w:t>testing w</w:t>
      </w:r>
      <w:r>
        <w:t>ill be done only to evaluate timing and flow of the 30-month interview, with two English speaking and two Spanish speaking respondents. Because the 36-month interview contains only a well-validated 24-hour dietary recall module and socio-demographic questions that are asked at 30 months as well, we will not pretest the 36-month interview questions separately.</w:t>
      </w:r>
    </w:p>
    <w:p w:rsidR="007965C4" w:rsidRDefault="007965C4" w:rsidP="007965C4">
      <w:pPr>
        <w:pStyle w:val="L1-FlLSp12"/>
      </w:pPr>
    </w:p>
    <w:p w:rsidR="007965C4" w:rsidRPr="007A4F80" w:rsidRDefault="007965C4" w:rsidP="007965C4">
      <w:pPr>
        <w:pStyle w:val="L1-FlLSp12"/>
        <w:rPr>
          <w:rFonts w:eastAsiaTheme="minorHAnsi"/>
          <w:szCs w:val="22"/>
        </w:rPr>
      </w:pPr>
    </w:p>
    <w:p w:rsidR="00C23DA3" w:rsidRDefault="00C23DA3" w:rsidP="007965C4">
      <w:pPr>
        <w:pStyle w:val="Heading2"/>
      </w:pPr>
      <w:bookmarkStart w:id="102" w:name="_Toc400377756"/>
      <w:r w:rsidRPr="00C70E11">
        <w:t>B.5</w:t>
      </w:r>
      <w:r w:rsidRPr="00C70E11">
        <w:tab/>
      </w:r>
      <w:bookmarkEnd w:id="98"/>
      <w:bookmarkEnd w:id="99"/>
      <w:bookmarkEnd w:id="100"/>
      <w:r w:rsidRPr="00C70E11">
        <w:t>Individuals Consulted on Statistical Aspects and Individuals Collecting and/or Analyzing Data</w:t>
      </w:r>
      <w:bookmarkEnd w:id="101"/>
      <w:bookmarkEnd w:id="102"/>
    </w:p>
    <w:p w:rsidR="00C23DA3" w:rsidRDefault="00C23DA3" w:rsidP="007965C4">
      <w:pPr>
        <w:pStyle w:val="L1-FlLSp12"/>
        <w:rPr>
          <w:rStyle w:val="Strong"/>
        </w:rPr>
      </w:pPr>
      <w:r w:rsidRPr="0042385C">
        <w:rPr>
          <w:rStyle w:val="Strong"/>
        </w:rPr>
        <w:t>Provide the name and telephone number of individuals consulted on statistical aspects of the design and the name of the agency unit, contractor(s), grantee(s), or other person(s) who will actually collect and/or analyze the information for the agency.</w:t>
      </w:r>
    </w:p>
    <w:p w:rsidR="00C23DA3" w:rsidRPr="0042385C" w:rsidRDefault="00C23DA3" w:rsidP="007965C4">
      <w:pPr>
        <w:pStyle w:val="L1-FlLSp12"/>
        <w:rPr>
          <w:rStyle w:val="Strong"/>
        </w:rPr>
      </w:pPr>
    </w:p>
    <w:tbl>
      <w:tblPr>
        <w:tblStyle w:val="TableWestatStandardFormat"/>
        <w:tblW w:w="5000" w:type="pct"/>
        <w:tblLook w:val="01E0" w:firstRow="1" w:lastRow="1" w:firstColumn="1" w:lastColumn="1" w:noHBand="0" w:noVBand="0"/>
      </w:tblPr>
      <w:tblGrid>
        <w:gridCol w:w="2443"/>
        <w:gridCol w:w="1766"/>
        <w:gridCol w:w="1766"/>
        <w:gridCol w:w="3601"/>
      </w:tblGrid>
      <w:tr w:rsidR="00C23DA3" w:rsidRPr="004D5308" w:rsidTr="007965C4">
        <w:trPr>
          <w:cnfStyle w:val="100000000000" w:firstRow="1" w:lastRow="0" w:firstColumn="0" w:lastColumn="0" w:oddVBand="0" w:evenVBand="0" w:oddHBand="0" w:evenHBand="0" w:firstRowFirstColumn="0" w:firstRowLastColumn="0" w:lastRowFirstColumn="0" w:lastRowLastColumn="0"/>
        </w:trPr>
        <w:tc>
          <w:tcPr>
            <w:tcW w:w="1276" w:type="pct"/>
            <w:vAlign w:val="bottom"/>
          </w:tcPr>
          <w:p w:rsidR="00C23DA3" w:rsidRDefault="00C23DA3" w:rsidP="007965C4">
            <w:pPr>
              <w:pStyle w:val="TH-TableHeading"/>
              <w:ind w:left="-90" w:hanging="630"/>
            </w:pPr>
            <w:bookmarkStart w:id="103" w:name="_Toc287257057"/>
            <w:bookmarkStart w:id="104" w:name="_Toc329341132"/>
            <w:bookmarkStart w:id="105" w:name="_Toc400377757"/>
            <w:r w:rsidRPr="004D5308">
              <w:t>Name</w:t>
            </w:r>
            <w:bookmarkEnd w:id="103"/>
            <w:bookmarkEnd w:id="104"/>
            <w:bookmarkEnd w:id="105"/>
          </w:p>
        </w:tc>
        <w:tc>
          <w:tcPr>
            <w:tcW w:w="922" w:type="pct"/>
            <w:vAlign w:val="bottom"/>
          </w:tcPr>
          <w:p w:rsidR="00C23DA3" w:rsidRDefault="00C23DA3" w:rsidP="007965C4">
            <w:pPr>
              <w:pStyle w:val="TH-TableHeading"/>
              <w:ind w:left="68"/>
            </w:pPr>
            <w:bookmarkStart w:id="106" w:name="_Toc287257058"/>
            <w:bookmarkStart w:id="107" w:name="_Toc329341133"/>
            <w:bookmarkStart w:id="108" w:name="_Toc400377758"/>
            <w:r w:rsidRPr="004D5308">
              <w:t>Affiliation</w:t>
            </w:r>
            <w:bookmarkEnd w:id="106"/>
            <w:bookmarkEnd w:id="107"/>
            <w:bookmarkEnd w:id="108"/>
          </w:p>
        </w:tc>
        <w:tc>
          <w:tcPr>
            <w:tcW w:w="922" w:type="pct"/>
            <w:vAlign w:val="bottom"/>
          </w:tcPr>
          <w:p w:rsidR="00C23DA3" w:rsidRPr="004D5308" w:rsidRDefault="00C23DA3" w:rsidP="007965C4">
            <w:pPr>
              <w:pStyle w:val="TH-TableHeading"/>
            </w:pPr>
            <w:bookmarkStart w:id="109" w:name="_Toc287257059"/>
            <w:bookmarkStart w:id="110" w:name="_Toc329341134"/>
            <w:bookmarkStart w:id="111" w:name="_Toc400377759"/>
            <w:r w:rsidRPr="004D5308">
              <w:t xml:space="preserve">Telephone </w:t>
            </w:r>
            <w:r w:rsidR="007965C4">
              <w:t>n</w:t>
            </w:r>
            <w:r w:rsidRPr="004D5308">
              <w:t>umber</w:t>
            </w:r>
            <w:bookmarkEnd w:id="109"/>
            <w:bookmarkEnd w:id="110"/>
            <w:bookmarkEnd w:id="111"/>
          </w:p>
        </w:tc>
        <w:tc>
          <w:tcPr>
            <w:tcW w:w="1880" w:type="pct"/>
            <w:vAlign w:val="bottom"/>
          </w:tcPr>
          <w:p w:rsidR="00C23DA3" w:rsidRDefault="00C23DA3" w:rsidP="007965C4">
            <w:pPr>
              <w:pStyle w:val="TH-TableHeading"/>
              <w:tabs>
                <w:tab w:val="left" w:pos="791"/>
              </w:tabs>
              <w:ind w:right="162" w:hanging="109"/>
            </w:pPr>
            <w:bookmarkStart w:id="112" w:name="_Toc287257060"/>
            <w:bookmarkStart w:id="113" w:name="_Toc329341135"/>
            <w:bookmarkStart w:id="114" w:name="_Toc400377760"/>
            <w:r w:rsidRPr="004D5308">
              <w:t>e-mail</w:t>
            </w:r>
            <w:bookmarkEnd w:id="112"/>
            <w:bookmarkEnd w:id="113"/>
            <w:bookmarkEnd w:id="114"/>
          </w:p>
        </w:tc>
      </w:tr>
      <w:tr w:rsidR="00C23DA3" w:rsidRPr="00590D28" w:rsidTr="007965C4">
        <w:tc>
          <w:tcPr>
            <w:tcW w:w="1276" w:type="pct"/>
          </w:tcPr>
          <w:p w:rsidR="00C23DA3" w:rsidRPr="00590D28" w:rsidRDefault="00C23DA3" w:rsidP="007965C4">
            <w:pPr>
              <w:pStyle w:val="TX-TableText"/>
              <w:spacing w:before="60" w:after="60" w:line="240" w:lineRule="auto"/>
            </w:pPr>
            <w:r>
              <w:t>Suzanne McNutt</w:t>
            </w:r>
          </w:p>
        </w:tc>
        <w:tc>
          <w:tcPr>
            <w:tcW w:w="922" w:type="pct"/>
          </w:tcPr>
          <w:p w:rsidR="00C23DA3" w:rsidRPr="00590D28" w:rsidRDefault="00C23DA3" w:rsidP="00197016">
            <w:pPr>
              <w:pStyle w:val="TX-TableText"/>
              <w:spacing w:before="60" w:after="60"/>
              <w:ind w:left="288"/>
            </w:pPr>
            <w:r>
              <w:t>Westat</w:t>
            </w:r>
          </w:p>
        </w:tc>
        <w:tc>
          <w:tcPr>
            <w:tcW w:w="922" w:type="pct"/>
          </w:tcPr>
          <w:p w:rsidR="00C23DA3" w:rsidRPr="00590D28" w:rsidRDefault="00C23DA3" w:rsidP="007965C4">
            <w:pPr>
              <w:pStyle w:val="TX-TableText"/>
              <w:spacing w:before="60" w:after="60" w:line="240" w:lineRule="auto"/>
              <w:jc w:val="center"/>
            </w:pPr>
            <w:r>
              <w:t>301-738-3554</w:t>
            </w:r>
          </w:p>
        </w:tc>
        <w:tc>
          <w:tcPr>
            <w:tcW w:w="1880" w:type="pct"/>
          </w:tcPr>
          <w:p w:rsidR="00C23DA3" w:rsidRPr="00590D28" w:rsidRDefault="00C23DA3" w:rsidP="007965C4">
            <w:pPr>
              <w:pStyle w:val="TX-TableText"/>
              <w:spacing w:before="60" w:after="60" w:line="240" w:lineRule="auto"/>
              <w:ind w:left="288"/>
            </w:pPr>
            <w:r>
              <w:t>Susiemcnutt@westat.com</w:t>
            </w:r>
          </w:p>
        </w:tc>
      </w:tr>
      <w:tr w:rsidR="00C23DA3" w:rsidRPr="00590D28" w:rsidTr="007965C4">
        <w:tc>
          <w:tcPr>
            <w:tcW w:w="1276" w:type="pct"/>
          </w:tcPr>
          <w:p w:rsidR="00C23DA3" w:rsidRPr="00590D28" w:rsidRDefault="00C23DA3" w:rsidP="007965C4">
            <w:pPr>
              <w:pStyle w:val="TX-TableText"/>
              <w:spacing w:before="60" w:after="60" w:line="240" w:lineRule="auto"/>
            </w:pPr>
            <w:r>
              <w:t>Laurie May</w:t>
            </w:r>
          </w:p>
        </w:tc>
        <w:tc>
          <w:tcPr>
            <w:tcW w:w="922" w:type="pct"/>
          </w:tcPr>
          <w:p w:rsidR="00C23DA3" w:rsidRPr="00590D28" w:rsidRDefault="00C23DA3" w:rsidP="00197016">
            <w:pPr>
              <w:pStyle w:val="TX-TableText"/>
              <w:spacing w:before="60" w:after="60"/>
              <w:ind w:left="288"/>
            </w:pPr>
            <w:r>
              <w:t>Westat</w:t>
            </w:r>
          </w:p>
        </w:tc>
        <w:tc>
          <w:tcPr>
            <w:tcW w:w="922" w:type="pct"/>
          </w:tcPr>
          <w:p w:rsidR="00C23DA3" w:rsidRPr="00590D28" w:rsidRDefault="00C23DA3" w:rsidP="007965C4">
            <w:pPr>
              <w:pStyle w:val="TX-TableText"/>
              <w:spacing w:before="60" w:after="60" w:line="240" w:lineRule="auto"/>
              <w:jc w:val="center"/>
            </w:pPr>
            <w:r>
              <w:t>301-517-8068</w:t>
            </w:r>
          </w:p>
        </w:tc>
        <w:tc>
          <w:tcPr>
            <w:tcW w:w="1880" w:type="pct"/>
          </w:tcPr>
          <w:p w:rsidR="00C23DA3" w:rsidRPr="00590D28" w:rsidRDefault="00C23DA3" w:rsidP="007965C4">
            <w:pPr>
              <w:pStyle w:val="TX-TableText"/>
              <w:spacing w:before="60" w:after="60" w:line="240" w:lineRule="auto"/>
              <w:ind w:left="288"/>
            </w:pPr>
            <w:r>
              <w:t>lauriemay@westat.com</w:t>
            </w:r>
          </w:p>
        </w:tc>
      </w:tr>
      <w:tr w:rsidR="00C23DA3" w:rsidRPr="00590D28" w:rsidTr="007965C4">
        <w:tc>
          <w:tcPr>
            <w:tcW w:w="1276" w:type="pct"/>
          </w:tcPr>
          <w:p w:rsidR="00C23DA3" w:rsidRPr="00590D28" w:rsidRDefault="00C23DA3" w:rsidP="007965C4">
            <w:pPr>
              <w:pStyle w:val="TX-TableText"/>
              <w:spacing w:before="60" w:after="60" w:line="240" w:lineRule="auto"/>
            </w:pPr>
            <w:r>
              <w:t>Jill Montaquila</w:t>
            </w:r>
          </w:p>
        </w:tc>
        <w:tc>
          <w:tcPr>
            <w:tcW w:w="922" w:type="pct"/>
          </w:tcPr>
          <w:p w:rsidR="00C23DA3" w:rsidRPr="00590D28" w:rsidRDefault="00C23DA3" w:rsidP="00197016">
            <w:pPr>
              <w:pStyle w:val="TX-TableText"/>
              <w:spacing w:before="60" w:after="60"/>
              <w:ind w:left="288"/>
            </w:pPr>
            <w:r>
              <w:t>Westat</w:t>
            </w:r>
          </w:p>
        </w:tc>
        <w:tc>
          <w:tcPr>
            <w:tcW w:w="922" w:type="pct"/>
          </w:tcPr>
          <w:p w:rsidR="00C23DA3" w:rsidRPr="00590D28" w:rsidRDefault="00C23DA3" w:rsidP="007965C4">
            <w:pPr>
              <w:pStyle w:val="TX-TableText"/>
              <w:spacing w:before="60" w:after="60" w:line="240" w:lineRule="auto"/>
              <w:jc w:val="center"/>
            </w:pPr>
            <w:r>
              <w:t>301-517-4046</w:t>
            </w:r>
          </w:p>
        </w:tc>
        <w:tc>
          <w:tcPr>
            <w:tcW w:w="1880" w:type="pct"/>
          </w:tcPr>
          <w:p w:rsidR="00C23DA3" w:rsidRPr="00590D28" w:rsidRDefault="005071A8" w:rsidP="007965C4">
            <w:pPr>
              <w:pStyle w:val="TX-TableText"/>
              <w:spacing w:before="60" w:after="60" w:line="240" w:lineRule="auto"/>
              <w:ind w:left="288"/>
            </w:pPr>
            <w:hyperlink r:id="rId13" w:history="1">
              <w:r w:rsidR="00C23DA3" w:rsidRPr="0041602A">
                <w:rPr>
                  <w:rStyle w:val="Hyperlink"/>
                </w:rPr>
                <w:t>jillmontaquila@westat.com</w:t>
              </w:r>
            </w:hyperlink>
          </w:p>
        </w:tc>
      </w:tr>
      <w:tr w:rsidR="00C23DA3" w:rsidRPr="002B785E" w:rsidTr="007965C4">
        <w:tc>
          <w:tcPr>
            <w:tcW w:w="1276" w:type="pct"/>
          </w:tcPr>
          <w:p w:rsidR="00C23DA3" w:rsidRPr="0001600F" w:rsidRDefault="0001600F" w:rsidP="007965C4">
            <w:pPr>
              <w:pStyle w:val="TX-TableText"/>
              <w:spacing w:before="60" w:after="60" w:line="240" w:lineRule="auto"/>
            </w:pPr>
            <w:r w:rsidRPr="0001600F">
              <w:lastRenderedPageBreak/>
              <w:t>Tom Pordugal</w:t>
            </w:r>
          </w:p>
        </w:tc>
        <w:tc>
          <w:tcPr>
            <w:tcW w:w="922" w:type="pct"/>
          </w:tcPr>
          <w:p w:rsidR="00C23DA3" w:rsidRPr="0001600F" w:rsidRDefault="00C23DA3" w:rsidP="00197016">
            <w:pPr>
              <w:pStyle w:val="TX-TableText"/>
              <w:spacing w:before="60" w:after="60"/>
              <w:ind w:left="288"/>
            </w:pPr>
            <w:r w:rsidRPr="0001600F">
              <w:t>NASS</w:t>
            </w:r>
          </w:p>
        </w:tc>
        <w:tc>
          <w:tcPr>
            <w:tcW w:w="922" w:type="pct"/>
          </w:tcPr>
          <w:p w:rsidR="00C23DA3" w:rsidRPr="0001600F" w:rsidRDefault="0001600F" w:rsidP="007965C4">
            <w:pPr>
              <w:pStyle w:val="TX-TableText"/>
              <w:spacing w:before="60" w:after="60" w:line="240" w:lineRule="auto"/>
              <w:jc w:val="center"/>
            </w:pPr>
            <w:r w:rsidRPr="0001600F">
              <w:t>202-690-3623</w:t>
            </w:r>
          </w:p>
        </w:tc>
        <w:tc>
          <w:tcPr>
            <w:tcW w:w="1880" w:type="pct"/>
          </w:tcPr>
          <w:p w:rsidR="00C23DA3" w:rsidRPr="0001600F" w:rsidRDefault="005071A8" w:rsidP="007965C4">
            <w:pPr>
              <w:pStyle w:val="TX-TableText"/>
              <w:spacing w:before="60" w:after="60" w:line="240" w:lineRule="auto"/>
              <w:ind w:left="288"/>
            </w:pPr>
            <w:hyperlink r:id="rId14" w:history="1">
              <w:r w:rsidR="0001600F" w:rsidRPr="0001600F">
                <w:rPr>
                  <w:rStyle w:val="Hyperlink"/>
                </w:rPr>
                <w:t>Tom.Pordugal@nass.usda.gov</w:t>
              </w:r>
            </w:hyperlink>
          </w:p>
        </w:tc>
      </w:tr>
      <w:tr w:rsidR="00C23DA3" w:rsidRPr="002B785E" w:rsidTr="007965C4">
        <w:tc>
          <w:tcPr>
            <w:tcW w:w="1276" w:type="pct"/>
          </w:tcPr>
          <w:p w:rsidR="00C23DA3" w:rsidRPr="004504E0" w:rsidRDefault="00C23DA3" w:rsidP="007965C4">
            <w:pPr>
              <w:pStyle w:val="TX-TableText"/>
              <w:spacing w:before="60" w:line="240" w:lineRule="auto"/>
            </w:pPr>
            <w:r w:rsidRPr="004504E0">
              <w:t>Allison Magness</w:t>
            </w:r>
          </w:p>
        </w:tc>
        <w:tc>
          <w:tcPr>
            <w:tcW w:w="922" w:type="pct"/>
          </w:tcPr>
          <w:p w:rsidR="00C23DA3" w:rsidRPr="004504E0" w:rsidRDefault="00C23DA3" w:rsidP="00197016">
            <w:pPr>
              <w:pStyle w:val="TX-TableText"/>
              <w:spacing w:before="60" w:line="240" w:lineRule="auto"/>
              <w:ind w:left="288"/>
            </w:pPr>
            <w:r w:rsidRPr="004504E0">
              <w:t>USDA/FNS</w:t>
            </w:r>
          </w:p>
        </w:tc>
        <w:tc>
          <w:tcPr>
            <w:tcW w:w="922" w:type="pct"/>
          </w:tcPr>
          <w:p w:rsidR="00C23DA3" w:rsidRPr="004504E0" w:rsidRDefault="00C23DA3" w:rsidP="007965C4">
            <w:pPr>
              <w:pStyle w:val="TX-TableText"/>
              <w:spacing w:before="60" w:line="240" w:lineRule="auto"/>
              <w:jc w:val="center"/>
            </w:pPr>
            <w:r w:rsidRPr="004504E0">
              <w:t>703-</w:t>
            </w:r>
            <w:r w:rsidRPr="00E53FA9">
              <w:rPr>
                <w:szCs w:val="24"/>
              </w:rPr>
              <w:t>305-2</w:t>
            </w:r>
            <w:r>
              <w:rPr>
                <w:szCs w:val="24"/>
              </w:rPr>
              <w:t>098</w:t>
            </w:r>
          </w:p>
        </w:tc>
        <w:tc>
          <w:tcPr>
            <w:tcW w:w="1880" w:type="pct"/>
          </w:tcPr>
          <w:p w:rsidR="00C23DA3" w:rsidRPr="004504E0" w:rsidRDefault="00C23DA3" w:rsidP="007965C4">
            <w:pPr>
              <w:pStyle w:val="TX-TableText"/>
              <w:spacing w:before="60" w:line="240" w:lineRule="auto"/>
              <w:ind w:left="288"/>
            </w:pPr>
            <w:r w:rsidRPr="004504E0">
              <w:t>Allison.magness@fns.usda.gov</w:t>
            </w:r>
          </w:p>
        </w:tc>
      </w:tr>
    </w:tbl>
    <w:p w:rsidR="0001600F" w:rsidRDefault="0001600F" w:rsidP="0001600F">
      <w:pPr>
        <w:rPr>
          <w:color w:val="1F497D"/>
        </w:rPr>
      </w:pPr>
    </w:p>
    <w:p w:rsidR="005D228D" w:rsidRPr="005D228D" w:rsidRDefault="005D228D" w:rsidP="005D228D"/>
    <w:sectPr w:rsidR="005D228D" w:rsidRPr="005D228D" w:rsidSect="00550934">
      <w:endnotePr>
        <w:numFmt w:val="decimal"/>
      </w:endnotePr>
      <w:pgSz w:w="12240" w:h="15840" w:code="1"/>
      <w:pgMar w:top="1440" w:right="1440" w:bottom="1440" w:left="1440" w:header="720" w:footer="576"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F6" w:rsidRDefault="007F73F6">
      <w:pPr>
        <w:spacing w:line="240" w:lineRule="auto"/>
      </w:pPr>
      <w:r>
        <w:separator/>
      </w:r>
    </w:p>
  </w:endnote>
  <w:endnote w:type="continuationSeparator" w:id="0">
    <w:p w:rsidR="007F73F6" w:rsidRDefault="007F7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A" w:rsidRPr="00124854" w:rsidRDefault="00CD46B2" w:rsidP="007349C0">
    <w:pPr>
      <w:jc w:val="center"/>
    </w:pPr>
    <w:r>
      <w:fldChar w:fldCharType="begin"/>
    </w:r>
    <w:r>
      <w:instrText xml:space="preserve"> PAGE   \* MERGEFORMAT </w:instrText>
    </w:r>
    <w:r>
      <w:fldChar w:fldCharType="separate"/>
    </w:r>
    <w:r w:rsidR="009E24FA">
      <w:rPr>
        <w:noProof/>
      </w:rPr>
      <w:t>xii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034492"/>
      <w:docPartObj>
        <w:docPartGallery w:val="Page Numbers (Bottom of Page)"/>
        <w:docPartUnique/>
      </w:docPartObj>
    </w:sdtPr>
    <w:sdtEndPr>
      <w:rPr>
        <w:noProof/>
      </w:rPr>
    </w:sdtEndPr>
    <w:sdtContent>
      <w:p w:rsidR="009E24FA" w:rsidRDefault="00CD46B2">
        <w:pPr>
          <w:pStyle w:val="Footer"/>
          <w:jc w:val="center"/>
        </w:pPr>
        <w:r>
          <w:fldChar w:fldCharType="begin"/>
        </w:r>
        <w:r>
          <w:instrText xml:space="preserve"> PAGE   \* MERGEFORMAT </w:instrText>
        </w:r>
        <w:r>
          <w:fldChar w:fldCharType="separate"/>
        </w:r>
        <w:r w:rsidR="005071A8">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A" w:rsidRDefault="005071A8">
    <w:pPr>
      <w:pStyle w:val="Footer"/>
      <w:jc w:val="center"/>
    </w:pPr>
    <w:sdt>
      <w:sdtPr>
        <w:id w:val="-854269391"/>
        <w:docPartObj>
          <w:docPartGallery w:val="Page Numbers (Bottom of Page)"/>
          <w:docPartUnique/>
        </w:docPartObj>
      </w:sdtPr>
      <w:sdtEndPr/>
      <w:sdtContent>
        <w:r w:rsidR="00CD46B2">
          <w:fldChar w:fldCharType="begin"/>
        </w:r>
        <w:r w:rsidR="00CD46B2">
          <w:instrText xml:space="preserve"> PAGE   \* MERGEFORMAT </w:instrText>
        </w:r>
        <w:r w:rsidR="00CD46B2">
          <w:fldChar w:fldCharType="separate"/>
        </w:r>
        <w:r>
          <w:rPr>
            <w:noProof/>
          </w:rPr>
          <w:t>1</w:t>
        </w:r>
        <w:r w:rsidR="00CD46B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F6" w:rsidRDefault="007F73F6">
      <w:pPr>
        <w:spacing w:line="240" w:lineRule="auto"/>
      </w:pPr>
      <w:r>
        <w:separator/>
      </w:r>
    </w:p>
  </w:footnote>
  <w:footnote w:type="continuationSeparator" w:id="0">
    <w:p w:rsidR="007F73F6" w:rsidRDefault="007F73F6">
      <w:pPr>
        <w:spacing w:line="240" w:lineRule="auto"/>
      </w:pPr>
      <w:r>
        <w:continuationSeparator/>
      </w:r>
    </w:p>
  </w:footnote>
  <w:footnote w:id="1">
    <w:p w:rsidR="009E24FA" w:rsidRDefault="009E24FA" w:rsidP="00550934">
      <w:pPr>
        <w:pStyle w:val="FootnoteText"/>
      </w:pPr>
      <w:r>
        <w:rPr>
          <w:rStyle w:val="FootnoteReference"/>
        </w:rPr>
        <w:footnoteRef/>
      </w:r>
      <w:r>
        <w:tab/>
        <w:t>The ITFPS-2 annual attrition rate (as of 4/10/14) for eligible respondents is 3.5 percent. We expect this will increase in Year 2 and beyond.</w:t>
      </w:r>
    </w:p>
  </w:footnote>
  <w:footnote w:id="2">
    <w:p w:rsidR="009E24FA" w:rsidRDefault="009E24FA" w:rsidP="007965C4">
      <w:pPr>
        <w:pStyle w:val="FootnoteText"/>
      </w:pPr>
      <w:r>
        <w:rPr>
          <w:rStyle w:val="FootnoteReference"/>
        </w:rPr>
        <w:footnoteRef/>
      </w:r>
      <w:r>
        <w:tab/>
        <w:t xml:space="preserve">Judkins, D. (1990). </w:t>
      </w:r>
      <w:proofErr w:type="gramStart"/>
      <w:r>
        <w:t>Fay’s method for variance estimation.</w:t>
      </w:r>
      <w:proofErr w:type="gramEnd"/>
      <w:r>
        <w:t xml:space="preserve"> </w:t>
      </w:r>
      <w:r>
        <w:rPr>
          <w:i/>
        </w:rPr>
        <w:t>Journal of Official Statistics</w:t>
      </w:r>
      <w:r>
        <w:t>, 6, 223-239.</w:t>
      </w:r>
    </w:p>
  </w:footnote>
  <w:footnote w:id="3">
    <w:p w:rsidR="009E24FA" w:rsidRDefault="009E24FA" w:rsidP="007965C4">
      <w:pPr>
        <w:pStyle w:val="FootnoteText"/>
      </w:pPr>
      <w:r>
        <w:rPr>
          <w:rStyle w:val="FootnoteReference"/>
        </w:rPr>
        <w:footnoteRef/>
      </w:r>
      <w:r>
        <w:tab/>
        <w:t xml:space="preserve">Ernst, L.R., and Williams, T.R. (1987).Some aspects of estimating variances by half-sample replication in </w:t>
      </w:r>
      <w:proofErr w:type="spellStart"/>
      <w:r>
        <w:t>CPS.</w:t>
      </w:r>
      <w:r>
        <w:rPr>
          <w:rFonts w:cs="Times-Italic"/>
          <w:i/>
          <w:iCs/>
        </w:rPr>
        <w:t>Proceedings</w:t>
      </w:r>
      <w:proofErr w:type="spellEnd"/>
      <w:r>
        <w:rPr>
          <w:rFonts w:cs="Times-Italic"/>
          <w:i/>
          <w:iCs/>
        </w:rPr>
        <w:t xml:space="preserve"> of the Section on Survey Research Methods of the American Statistical Association</w:t>
      </w:r>
      <w:r>
        <w:t xml:space="preserve">, pp. 480-485.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FA" w:rsidRDefault="009E2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16D"/>
    <w:multiLevelType w:val="hybridMultilevel"/>
    <w:tmpl w:val="39562334"/>
    <w:lvl w:ilvl="0" w:tplc="5786491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CE23E8"/>
    <w:multiLevelType w:val="hybridMultilevel"/>
    <w:tmpl w:val="48B0130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nsid w:val="524204CF"/>
    <w:multiLevelType w:val="hybridMultilevel"/>
    <w:tmpl w:val="439072A8"/>
    <w:lvl w:ilvl="0" w:tplc="B17EADC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5F2F6D"/>
    <w:multiLevelType w:val="hybridMultilevel"/>
    <w:tmpl w:val="4AEEFB66"/>
    <w:lvl w:ilvl="0" w:tplc="5F2A5978">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3"/>
  </w:num>
  <w:num w:numId="5">
    <w:abstractNumId w:val="4"/>
  </w:num>
  <w:num w:numId="6">
    <w:abstractNumId w:val="2"/>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8"/>
  </w:num>
  <w:num w:numId="18">
    <w:abstractNumId w:val="1"/>
  </w:num>
  <w:num w:numId="19">
    <w:abstractNumId w:val="3"/>
  </w:num>
  <w:num w:numId="20">
    <w:abstractNumId w:val="4"/>
  </w:num>
  <w:num w:numId="21">
    <w:abstractNumId w:val="2"/>
  </w:num>
  <w:num w:numId="22">
    <w:abstractNumId w:val="8"/>
  </w:num>
  <w:num w:numId="23">
    <w:abstractNumId w:val="6"/>
  </w:num>
  <w:num w:numId="24">
    <w:abstractNumId w:val="5"/>
  </w:num>
  <w:num w:numId="25">
    <w:abstractNumId w:val="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A3"/>
    <w:rsid w:val="0001600F"/>
    <w:rsid w:val="000350E9"/>
    <w:rsid w:val="00036AF4"/>
    <w:rsid w:val="00043871"/>
    <w:rsid w:val="000447C2"/>
    <w:rsid w:val="00047085"/>
    <w:rsid w:val="00051FAB"/>
    <w:rsid w:val="00057925"/>
    <w:rsid w:val="0006498E"/>
    <w:rsid w:val="00066207"/>
    <w:rsid w:val="00071458"/>
    <w:rsid w:val="00073632"/>
    <w:rsid w:val="00073F2D"/>
    <w:rsid w:val="00076495"/>
    <w:rsid w:val="00090426"/>
    <w:rsid w:val="00091A23"/>
    <w:rsid w:val="000952BA"/>
    <w:rsid w:val="000C33DB"/>
    <w:rsid w:val="000C6011"/>
    <w:rsid w:val="000D02CD"/>
    <w:rsid w:val="000D1C20"/>
    <w:rsid w:val="000D51B5"/>
    <w:rsid w:val="000E07BE"/>
    <w:rsid w:val="000F4CFB"/>
    <w:rsid w:val="00101C84"/>
    <w:rsid w:val="00114C6E"/>
    <w:rsid w:val="00120A6B"/>
    <w:rsid w:val="00121A4A"/>
    <w:rsid w:val="00134EFB"/>
    <w:rsid w:val="001436D0"/>
    <w:rsid w:val="00147D20"/>
    <w:rsid w:val="00152B01"/>
    <w:rsid w:val="00156208"/>
    <w:rsid w:val="001659AC"/>
    <w:rsid w:val="001703D7"/>
    <w:rsid w:val="001768BA"/>
    <w:rsid w:val="00184A10"/>
    <w:rsid w:val="00197016"/>
    <w:rsid w:val="001A10A2"/>
    <w:rsid w:val="001B097C"/>
    <w:rsid w:val="001B6AA1"/>
    <w:rsid w:val="001C50C0"/>
    <w:rsid w:val="001C69DD"/>
    <w:rsid w:val="001D0187"/>
    <w:rsid w:val="001D102C"/>
    <w:rsid w:val="001D1F70"/>
    <w:rsid w:val="001D7177"/>
    <w:rsid w:val="001E3800"/>
    <w:rsid w:val="001E5F24"/>
    <w:rsid w:val="001E6079"/>
    <w:rsid w:val="00203CA4"/>
    <w:rsid w:val="00203EFB"/>
    <w:rsid w:val="0020415E"/>
    <w:rsid w:val="0020526D"/>
    <w:rsid w:val="00212FFB"/>
    <w:rsid w:val="002143C2"/>
    <w:rsid w:val="00214B46"/>
    <w:rsid w:val="00246B38"/>
    <w:rsid w:val="00266495"/>
    <w:rsid w:val="00267642"/>
    <w:rsid w:val="002747D9"/>
    <w:rsid w:val="00282312"/>
    <w:rsid w:val="002851B1"/>
    <w:rsid w:val="002A6821"/>
    <w:rsid w:val="002D1420"/>
    <w:rsid w:val="002D3E8C"/>
    <w:rsid w:val="002E78A2"/>
    <w:rsid w:val="002F0F19"/>
    <w:rsid w:val="002F5259"/>
    <w:rsid w:val="00302E5C"/>
    <w:rsid w:val="00304009"/>
    <w:rsid w:val="00315646"/>
    <w:rsid w:val="00323FC9"/>
    <w:rsid w:val="003254F9"/>
    <w:rsid w:val="00382E6A"/>
    <w:rsid w:val="00383C29"/>
    <w:rsid w:val="0039698E"/>
    <w:rsid w:val="00397B0B"/>
    <w:rsid w:val="003A33F2"/>
    <w:rsid w:val="003A4615"/>
    <w:rsid w:val="003A522C"/>
    <w:rsid w:val="003A6AB6"/>
    <w:rsid w:val="003C3199"/>
    <w:rsid w:val="003E7E0A"/>
    <w:rsid w:val="00405BB4"/>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071A8"/>
    <w:rsid w:val="00517BD9"/>
    <w:rsid w:val="00550934"/>
    <w:rsid w:val="005547B9"/>
    <w:rsid w:val="00575C11"/>
    <w:rsid w:val="00580B23"/>
    <w:rsid w:val="00593313"/>
    <w:rsid w:val="00596C37"/>
    <w:rsid w:val="005B7031"/>
    <w:rsid w:val="005D1174"/>
    <w:rsid w:val="005D228D"/>
    <w:rsid w:val="005D46D8"/>
    <w:rsid w:val="005D5BBC"/>
    <w:rsid w:val="005E3AA1"/>
    <w:rsid w:val="005E53FF"/>
    <w:rsid w:val="005F33C9"/>
    <w:rsid w:val="005F5509"/>
    <w:rsid w:val="00614494"/>
    <w:rsid w:val="006313A0"/>
    <w:rsid w:val="006349B3"/>
    <w:rsid w:val="00644471"/>
    <w:rsid w:val="006449F5"/>
    <w:rsid w:val="00651022"/>
    <w:rsid w:val="00672E8F"/>
    <w:rsid w:val="006756A3"/>
    <w:rsid w:val="00683296"/>
    <w:rsid w:val="0068381B"/>
    <w:rsid w:val="00683820"/>
    <w:rsid w:val="006849A8"/>
    <w:rsid w:val="006901D7"/>
    <w:rsid w:val="006A0637"/>
    <w:rsid w:val="006A238C"/>
    <w:rsid w:val="006A46F6"/>
    <w:rsid w:val="006A6DF4"/>
    <w:rsid w:val="006A7696"/>
    <w:rsid w:val="006D735C"/>
    <w:rsid w:val="006E28D7"/>
    <w:rsid w:val="006E775D"/>
    <w:rsid w:val="006F4794"/>
    <w:rsid w:val="0070039E"/>
    <w:rsid w:val="007035CD"/>
    <w:rsid w:val="00705A09"/>
    <w:rsid w:val="00707A44"/>
    <w:rsid w:val="00721588"/>
    <w:rsid w:val="0072337A"/>
    <w:rsid w:val="007304BD"/>
    <w:rsid w:val="00731A44"/>
    <w:rsid w:val="00731C62"/>
    <w:rsid w:val="007349C0"/>
    <w:rsid w:val="00741FAB"/>
    <w:rsid w:val="0074389B"/>
    <w:rsid w:val="00770E81"/>
    <w:rsid w:val="00774268"/>
    <w:rsid w:val="0077775D"/>
    <w:rsid w:val="00795760"/>
    <w:rsid w:val="007965C4"/>
    <w:rsid w:val="007A4BF5"/>
    <w:rsid w:val="007A76FF"/>
    <w:rsid w:val="007A7CB3"/>
    <w:rsid w:val="007C0946"/>
    <w:rsid w:val="007C2D80"/>
    <w:rsid w:val="007F73F6"/>
    <w:rsid w:val="00820C97"/>
    <w:rsid w:val="008478CF"/>
    <w:rsid w:val="00850A8B"/>
    <w:rsid w:val="00853851"/>
    <w:rsid w:val="008562F2"/>
    <w:rsid w:val="0086324B"/>
    <w:rsid w:val="008750B5"/>
    <w:rsid w:val="0088021E"/>
    <w:rsid w:val="008874B0"/>
    <w:rsid w:val="00894610"/>
    <w:rsid w:val="00895E95"/>
    <w:rsid w:val="008D45A5"/>
    <w:rsid w:val="008F2582"/>
    <w:rsid w:val="00923737"/>
    <w:rsid w:val="00923C66"/>
    <w:rsid w:val="009355F7"/>
    <w:rsid w:val="00940319"/>
    <w:rsid w:val="00950A60"/>
    <w:rsid w:val="0095362B"/>
    <w:rsid w:val="0097142D"/>
    <w:rsid w:val="009871D3"/>
    <w:rsid w:val="00992616"/>
    <w:rsid w:val="00992641"/>
    <w:rsid w:val="009943A4"/>
    <w:rsid w:val="009B04EC"/>
    <w:rsid w:val="009D254B"/>
    <w:rsid w:val="009E24FA"/>
    <w:rsid w:val="00A26E08"/>
    <w:rsid w:val="00A44935"/>
    <w:rsid w:val="00A5064E"/>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6228E"/>
    <w:rsid w:val="00B70876"/>
    <w:rsid w:val="00B739D6"/>
    <w:rsid w:val="00B755EB"/>
    <w:rsid w:val="00B84D69"/>
    <w:rsid w:val="00B9157C"/>
    <w:rsid w:val="00B9677F"/>
    <w:rsid w:val="00BA4999"/>
    <w:rsid w:val="00BB06E9"/>
    <w:rsid w:val="00BC6E81"/>
    <w:rsid w:val="00BD1970"/>
    <w:rsid w:val="00BD4AB9"/>
    <w:rsid w:val="00BF2625"/>
    <w:rsid w:val="00C02332"/>
    <w:rsid w:val="00C06140"/>
    <w:rsid w:val="00C07120"/>
    <w:rsid w:val="00C14B4C"/>
    <w:rsid w:val="00C16990"/>
    <w:rsid w:val="00C23317"/>
    <w:rsid w:val="00C23DA3"/>
    <w:rsid w:val="00C2551E"/>
    <w:rsid w:val="00C274BD"/>
    <w:rsid w:val="00C365A5"/>
    <w:rsid w:val="00C41ADD"/>
    <w:rsid w:val="00C44186"/>
    <w:rsid w:val="00C50612"/>
    <w:rsid w:val="00C61ED2"/>
    <w:rsid w:val="00C81152"/>
    <w:rsid w:val="00C9296E"/>
    <w:rsid w:val="00CB6421"/>
    <w:rsid w:val="00CD46B2"/>
    <w:rsid w:val="00CD70C0"/>
    <w:rsid w:val="00CE6820"/>
    <w:rsid w:val="00CF2F50"/>
    <w:rsid w:val="00D026CE"/>
    <w:rsid w:val="00D256B0"/>
    <w:rsid w:val="00D302BC"/>
    <w:rsid w:val="00D564BE"/>
    <w:rsid w:val="00D61811"/>
    <w:rsid w:val="00D63563"/>
    <w:rsid w:val="00D85D12"/>
    <w:rsid w:val="00D90F23"/>
    <w:rsid w:val="00DB4B6E"/>
    <w:rsid w:val="00DB6D72"/>
    <w:rsid w:val="00DD4E06"/>
    <w:rsid w:val="00DE658E"/>
    <w:rsid w:val="00DF435E"/>
    <w:rsid w:val="00E11D52"/>
    <w:rsid w:val="00E1521A"/>
    <w:rsid w:val="00E30E6D"/>
    <w:rsid w:val="00E314C7"/>
    <w:rsid w:val="00E33761"/>
    <w:rsid w:val="00E6096F"/>
    <w:rsid w:val="00E62BCD"/>
    <w:rsid w:val="00E65595"/>
    <w:rsid w:val="00E70DFB"/>
    <w:rsid w:val="00E80DBF"/>
    <w:rsid w:val="00E90931"/>
    <w:rsid w:val="00E976F7"/>
    <w:rsid w:val="00EA6750"/>
    <w:rsid w:val="00EC17B6"/>
    <w:rsid w:val="00EC5256"/>
    <w:rsid w:val="00ED3B35"/>
    <w:rsid w:val="00EE593E"/>
    <w:rsid w:val="00F54A25"/>
    <w:rsid w:val="00F6413F"/>
    <w:rsid w:val="00F72113"/>
    <w:rsid w:val="00FB2FBC"/>
    <w:rsid w:val="00FC12EF"/>
    <w:rsid w:val="00FD6678"/>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qFormat/>
    <w:rsid w:val="00B739D6"/>
    <w:pPr>
      <w:spacing w:after="360"/>
      <w:ind w:left="1152" w:hanging="1152"/>
      <w:jc w:val="left"/>
      <w:outlineLvl w:val="2"/>
    </w:pPr>
    <w:rPr>
      <w:sz w:val="28"/>
    </w:rPr>
  </w:style>
  <w:style w:type="paragraph" w:styleId="Heading4">
    <w:name w:val="heading 4"/>
    <w:aliases w:val="H4-Sec. Head"/>
    <w:basedOn w:val="Heading1"/>
    <w:next w:val="L1-FlLSp12"/>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739D6"/>
    <w:pPr>
      <w:keepLines/>
      <w:spacing w:after="360"/>
      <w:ind w:left="1152" w:hanging="1152"/>
      <w:jc w:val="left"/>
      <w:outlineLvl w:val="4"/>
    </w:pPr>
    <w:rPr>
      <w:i/>
      <w:color w:val="auto"/>
      <w:sz w:val="24"/>
    </w:rPr>
  </w:style>
  <w:style w:type="paragraph" w:styleId="Heading6">
    <w:name w:val="heading 6"/>
    <w:basedOn w:val="Normal"/>
    <w:next w:val="Normal"/>
    <w:qFormat/>
    <w:rsid w:val="00B739D6"/>
    <w:pPr>
      <w:keepNext/>
      <w:spacing w:before="240"/>
      <w:jc w:val="center"/>
      <w:outlineLvl w:val="5"/>
    </w:pPr>
    <w:rPr>
      <w:b/>
      <w:caps/>
    </w:rPr>
  </w:style>
  <w:style w:type="paragraph" w:styleId="Heading7">
    <w:name w:val="heading 7"/>
    <w:basedOn w:val="Normal"/>
    <w:next w:val="Normal"/>
    <w:qFormat/>
    <w:rsid w:val="00B739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paragraph" w:styleId="ListParagraph">
    <w:name w:val="List Paragraph"/>
    <w:basedOn w:val="Normal"/>
    <w:uiPriority w:val="34"/>
    <w:qFormat/>
    <w:rsid w:val="00C23DA3"/>
    <w:pPr>
      <w:numPr>
        <w:numId w:val="23"/>
      </w:numPr>
    </w:pPr>
  </w:style>
  <w:style w:type="character" w:customStyle="1" w:styleId="P1-StandParaChar">
    <w:name w:val="P1-Stand Para Char"/>
    <w:basedOn w:val="DefaultParagraphFont"/>
    <w:link w:val="P1-StandPara"/>
    <w:rsid w:val="00C23DA3"/>
    <w:rPr>
      <w:rFonts w:ascii="Garamond" w:hAnsi="Garamond"/>
      <w:sz w:val="24"/>
    </w:rPr>
  </w:style>
  <w:style w:type="character" w:customStyle="1" w:styleId="FootnoteTextChar">
    <w:name w:val="Footnote Text Char"/>
    <w:aliases w:val="F1 Char"/>
    <w:link w:val="FootnoteText"/>
    <w:rsid w:val="00C23DA3"/>
    <w:rPr>
      <w:rFonts w:ascii="Garamond" w:hAnsi="Garamond"/>
    </w:rPr>
  </w:style>
  <w:style w:type="character" w:customStyle="1" w:styleId="Heading1Char">
    <w:name w:val="Heading 1 Char"/>
    <w:aliases w:val="H1-Chap. Head Char,H1-Sec.Head Char"/>
    <w:link w:val="Heading1"/>
    <w:uiPriority w:val="99"/>
    <w:rsid w:val="00C23DA3"/>
    <w:rPr>
      <w:rFonts w:ascii="Franklin Gothic Medium" w:hAnsi="Franklin Gothic Medium"/>
      <w:b/>
      <w:color w:val="324162"/>
      <w:sz w:val="40"/>
    </w:rPr>
  </w:style>
  <w:style w:type="character" w:styleId="Hyperlink">
    <w:name w:val="Hyperlink"/>
    <w:basedOn w:val="DefaultParagraphFont"/>
    <w:uiPriority w:val="99"/>
    <w:rsid w:val="00C23DA3"/>
    <w:rPr>
      <w:rFonts w:cs="Times New Roman"/>
      <w:color w:val="000000"/>
    </w:rPr>
  </w:style>
  <w:style w:type="character" w:customStyle="1" w:styleId="HeaderChar">
    <w:name w:val="Header Char"/>
    <w:link w:val="Header"/>
    <w:rsid w:val="00C23DA3"/>
    <w:rPr>
      <w:rFonts w:ascii="Garamond" w:hAnsi="Garamond"/>
    </w:rPr>
  </w:style>
  <w:style w:type="character" w:customStyle="1" w:styleId="FooterChar">
    <w:name w:val="Footer Char"/>
    <w:link w:val="Footer"/>
    <w:uiPriority w:val="99"/>
    <w:rsid w:val="00C23DA3"/>
    <w:rPr>
      <w:rFonts w:ascii="Garamond" w:hAnsi="Garamond"/>
      <w:sz w:val="24"/>
    </w:rPr>
  </w:style>
  <w:style w:type="character" w:customStyle="1" w:styleId="Heading2Char">
    <w:name w:val="Heading 2 Char"/>
    <w:aliases w:val="H2-Sec. Head Char"/>
    <w:link w:val="Heading2"/>
    <w:uiPriority w:val="99"/>
    <w:rsid w:val="00C23DA3"/>
    <w:rPr>
      <w:rFonts w:ascii="Franklin Gothic Medium" w:hAnsi="Franklin Gothic Medium"/>
      <w:b/>
      <w:color w:val="324162"/>
      <w:sz w:val="32"/>
    </w:rPr>
  </w:style>
  <w:style w:type="character" w:styleId="Strong">
    <w:name w:val="Strong"/>
    <w:basedOn w:val="DefaultParagraphFont"/>
    <w:qFormat/>
    <w:rsid w:val="00C23DA3"/>
    <w:rPr>
      <w:rFonts w:cs="Times New Roman"/>
      <w:b/>
      <w:bCs/>
    </w:rPr>
  </w:style>
  <w:style w:type="paragraph" w:styleId="NoSpacing">
    <w:name w:val="No Spacing"/>
    <w:link w:val="NoSpacingChar"/>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character" w:customStyle="1" w:styleId="L1-FlLSp12Char">
    <w:name w:val="L1-FlL Sp&amp;1/2 Char"/>
    <w:basedOn w:val="DefaultParagraphFont"/>
    <w:link w:val="L1-FlLSp12"/>
    <w:locked/>
    <w:rsid w:val="00C23DA3"/>
    <w:rPr>
      <w:rFonts w:ascii="Garamond" w:hAnsi="Garamond"/>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semiHidden/>
    <w:unhideWhenUsed/>
    <w:rsid w:val="00090426"/>
    <w:pPr>
      <w:spacing w:line="240" w:lineRule="auto"/>
    </w:pPr>
    <w:rPr>
      <w:sz w:val="20"/>
    </w:rPr>
  </w:style>
  <w:style w:type="character" w:customStyle="1" w:styleId="CommentTextChar">
    <w:name w:val="Comment Text Char"/>
    <w:basedOn w:val="DefaultParagraphFont"/>
    <w:link w:val="CommentText"/>
    <w:uiPriority w:val="99"/>
    <w:semiHidden/>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qFormat/>
    <w:rsid w:val="00B739D6"/>
    <w:pPr>
      <w:spacing w:after="360"/>
      <w:ind w:left="1152" w:hanging="1152"/>
      <w:jc w:val="left"/>
      <w:outlineLvl w:val="2"/>
    </w:pPr>
    <w:rPr>
      <w:sz w:val="28"/>
    </w:rPr>
  </w:style>
  <w:style w:type="paragraph" w:styleId="Heading4">
    <w:name w:val="heading 4"/>
    <w:aliases w:val="H4-Sec. Head"/>
    <w:basedOn w:val="Heading1"/>
    <w:next w:val="L1-FlLSp12"/>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739D6"/>
    <w:pPr>
      <w:keepLines/>
      <w:spacing w:after="360"/>
      <w:ind w:left="1152" w:hanging="1152"/>
      <w:jc w:val="left"/>
      <w:outlineLvl w:val="4"/>
    </w:pPr>
    <w:rPr>
      <w:i/>
      <w:color w:val="auto"/>
      <w:sz w:val="24"/>
    </w:rPr>
  </w:style>
  <w:style w:type="paragraph" w:styleId="Heading6">
    <w:name w:val="heading 6"/>
    <w:basedOn w:val="Normal"/>
    <w:next w:val="Normal"/>
    <w:qFormat/>
    <w:rsid w:val="00B739D6"/>
    <w:pPr>
      <w:keepNext/>
      <w:spacing w:before="240"/>
      <w:jc w:val="center"/>
      <w:outlineLvl w:val="5"/>
    </w:pPr>
    <w:rPr>
      <w:b/>
      <w:caps/>
    </w:rPr>
  </w:style>
  <w:style w:type="paragraph" w:styleId="Heading7">
    <w:name w:val="heading 7"/>
    <w:basedOn w:val="Normal"/>
    <w:next w:val="Normal"/>
    <w:qFormat/>
    <w:rsid w:val="00B739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paragraph" w:styleId="ListParagraph">
    <w:name w:val="List Paragraph"/>
    <w:basedOn w:val="Normal"/>
    <w:uiPriority w:val="34"/>
    <w:qFormat/>
    <w:rsid w:val="00C23DA3"/>
    <w:pPr>
      <w:numPr>
        <w:numId w:val="23"/>
      </w:numPr>
    </w:pPr>
  </w:style>
  <w:style w:type="character" w:customStyle="1" w:styleId="P1-StandParaChar">
    <w:name w:val="P1-Stand Para Char"/>
    <w:basedOn w:val="DefaultParagraphFont"/>
    <w:link w:val="P1-StandPara"/>
    <w:rsid w:val="00C23DA3"/>
    <w:rPr>
      <w:rFonts w:ascii="Garamond" w:hAnsi="Garamond"/>
      <w:sz w:val="24"/>
    </w:rPr>
  </w:style>
  <w:style w:type="character" w:customStyle="1" w:styleId="FootnoteTextChar">
    <w:name w:val="Footnote Text Char"/>
    <w:aliases w:val="F1 Char"/>
    <w:link w:val="FootnoteText"/>
    <w:rsid w:val="00C23DA3"/>
    <w:rPr>
      <w:rFonts w:ascii="Garamond" w:hAnsi="Garamond"/>
    </w:rPr>
  </w:style>
  <w:style w:type="character" w:customStyle="1" w:styleId="Heading1Char">
    <w:name w:val="Heading 1 Char"/>
    <w:aliases w:val="H1-Chap. Head Char,H1-Sec.Head Char"/>
    <w:link w:val="Heading1"/>
    <w:uiPriority w:val="99"/>
    <w:rsid w:val="00C23DA3"/>
    <w:rPr>
      <w:rFonts w:ascii="Franklin Gothic Medium" w:hAnsi="Franklin Gothic Medium"/>
      <w:b/>
      <w:color w:val="324162"/>
      <w:sz w:val="40"/>
    </w:rPr>
  </w:style>
  <w:style w:type="character" w:styleId="Hyperlink">
    <w:name w:val="Hyperlink"/>
    <w:basedOn w:val="DefaultParagraphFont"/>
    <w:uiPriority w:val="99"/>
    <w:rsid w:val="00C23DA3"/>
    <w:rPr>
      <w:rFonts w:cs="Times New Roman"/>
      <w:color w:val="000000"/>
    </w:rPr>
  </w:style>
  <w:style w:type="character" w:customStyle="1" w:styleId="HeaderChar">
    <w:name w:val="Header Char"/>
    <w:link w:val="Header"/>
    <w:rsid w:val="00C23DA3"/>
    <w:rPr>
      <w:rFonts w:ascii="Garamond" w:hAnsi="Garamond"/>
    </w:rPr>
  </w:style>
  <w:style w:type="character" w:customStyle="1" w:styleId="FooterChar">
    <w:name w:val="Footer Char"/>
    <w:link w:val="Footer"/>
    <w:uiPriority w:val="99"/>
    <w:rsid w:val="00C23DA3"/>
    <w:rPr>
      <w:rFonts w:ascii="Garamond" w:hAnsi="Garamond"/>
      <w:sz w:val="24"/>
    </w:rPr>
  </w:style>
  <w:style w:type="character" w:customStyle="1" w:styleId="Heading2Char">
    <w:name w:val="Heading 2 Char"/>
    <w:aliases w:val="H2-Sec. Head Char"/>
    <w:link w:val="Heading2"/>
    <w:uiPriority w:val="99"/>
    <w:rsid w:val="00C23DA3"/>
    <w:rPr>
      <w:rFonts w:ascii="Franklin Gothic Medium" w:hAnsi="Franklin Gothic Medium"/>
      <w:b/>
      <w:color w:val="324162"/>
      <w:sz w:val="32"/>
    </w:rPr>
  </w:style>
  <w:style w:type="character" w:styleId="Strong">
    <w:name w:val="Strong"/>
    <w:basedOn w:val="DefaultParagraphFont"/>
    <w:qFormat/>
    <w:rsid w:val="00C23DA3"/>
    <w:rPr>
      <w:rFonts w:cs="Times New Roman"/>
      <w:b/>
      <w:bCs/>
    </w:rPr>
  </w:style>
  <w:style w:type="paragraph" w:styleId="NoSpacing">
    <w:name w:val="No Spacing"/>
    <w:link w:val="NoSpacingChar"/>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character" w:customStyle="1" w:styleId="L1-FlLSp12Char">
    <w:name w:val="L1-FlL Sp&amp;1/2 Char"/>
    <w:basedOn w:val="DefaultParagraphFont"/>
    <w:link w:val="L1-FlLSp12"/>
    <w:locked/>
    <w:rsid w:val="00C23DA3"/>
    <w:rPr>
      <w:rFonts w:ascii="Garamond" w:hAnsi="Garamond"/>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semiHidden/>
    <w:unhideWhenUsed/>
    <w:rsid w:val="00090426"/>
    <w:pPr>
      <w:spacing w:line="240" w:lineRule="auto"/>
    </w:pPr>
    <w:rPr>
      <w:sz w:val="20"/>
    </w:rPr>
  </w:style>
  <w:style w:type="character" w:customStyle="1" w:styleId="CommentTextChar">
    <w:name w:val="Comment Text Char"/>
    <w:basedOn w:val="DefaultParagraphFont"/>
    <w:link w:val="CommentText"/>
    <w:uiPriority w:val="99"/>
    <w:semiHidden/>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9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llmontaquila@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Tom.Pordugal@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70DC-C200-453B-9E99-58DCEC67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DF626E9E.dotm</Template>
  <TotalTime>1</TotalTime>
  <Pages>14</Pages>
  <Words>3497</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Susie McNutt</cp:lastModifiedBy>
  <cp:revision>2</cp:revision>
  <cp:lastPrinted>2012-01-11T19:18:00Z</cp:lastPrinted>
  <dcterms:created xsi:type="dcterms:W3CDTF">2015-02-10T18:10:00Z</dcterms:created>
  <dcterms:modified xsi:type="dcterms:W3CDTF">2015-02-10T18:10:00Z</dcterms:modified>
</cp:coreProperties>
</file>