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1C3" w:rsidRDefault="002911C3">
      <w:pPr>
        <w:widowControl/>
        <w:tabs>
          <w:tab w:val="left" w:pos="360"/>
        </w:tabs>
        <w:jc w:val="center"/>
        <w:rPr>
          <w:rFonts w:ascii="Times New Roman" w:hAnsi="Times New Roman"/>
          <w:b/>
          <w:bCs/>
          <w:color w:val="000000"/>
          <w:szCs w:val="24"/>
        </w:rPr>
      </w:pPr>
      <w:r w:rsidRPr="002911C3">
        <w:rPr>
          <w:rFonts w:ascii="Times New Roman" w:hAnsi="Times New Roman"/>
          <w:b/>
          <w:bCs/>
          <w:color w:val="000000"/>
          <w:szCs w:val="24"/>
        </w:rPr>
        <w:t xml:space="preserve">Supporting Statement for the </w:t>
      </w:r>
    </w:p>
    <w:p w:rsidR="00D172C5" w:rsidRPr="002911C3" w:rsidRDefault="002911C3">
      <w:pPr>
        <w:widowControl/>
        <w:tabs>
          <w:tab w:val="left" w:pos="360"/>
        </w:tabs>
        <w:jc w:val="center"/>
        <w:rPr>
          <w:rFonts w:ascii="Times New Roman" w:hAnsi="Times New Roman"/>
          <w:b/>
          <w:bCs/>
          <w:szCs w:val="24"/>
        </w:rPr>
      </w:pPr>
      <w:r w:rsidRPr="002911C3">
        <w:rPr>
          <w:rFonts w:ascii="Times New Roman" w:hAnsi="Times New Roman"/>
          <w:b/>
          <w:color w:val="000000"/>
          <w:szCs w:val="24"/>
        </w:rPr>
        <w:t xml:space="preserve">Recordkeeping Requirements Associated with </w:t>
      </w:r>
      <w:r w:rsidR="00302B67">
        <w:rPr>
          <w:rFonts w:ascii="Times New Roman" w:hAnsi="Times New Roman"/>
          <w:b/>
          <w:color w:val="000000"/>
          <w:szCs w:val="24"/>
        </w:rPr>
        <w:t xml:space="preserve">Limitations on Interbank Liabilities </w:t>
      </w:r>
      <w:r w:rsidR="00302B67">
        <w:rPr>
          <w:rFonts w:ascii="Times New Roman" w:hAnsi="Times New Roman"/>
          <w:b/>
          <w:bCs/>
          <w:color w:val="000000"/>
          <w:szCs w:val="24"/>
        </w:rPr>
        <w:t>(Regulation F</w:t>
      </w:r>
      <w:r w:rsidRPr="002911C3">
        <w:rPr>
          <w:rFonts w:ascii="Times New Roman" w:hAnsi="Times New Roman"/>
          <w:b/>
          <w:bCs/>
          <w:color w:val="000000"/>
          <w:szCs w:val="24"/>
        </w:rPr>
        <w:t>; OMB No. 7100-</w:t>
      </w:r>
      <w:r w:rsidR="00F32797">
        <w:rPr>
          <w:rFonts w:ascii="Times New Roman" w:hAnsi="Times New Roman"/>
          <w:b/>
          <w:bCs/>
          <w:color w:val="000000"/>
          <w:szCs w:val="24"/>
        </w:rPr>
        <w:t>0331</w:t>
      </w:r>
      <w:r w:rsidRPr="002911C3">
        <w:rPr>
          <w:rFonts w:ascii="Times New Roman" w:hAnsi="Times New Roman"/>
          <w:b/>
          <w:bCs/>
          <w:color w:val="000000"/>
          <w:szCs w:val="24"/>
        </w:rPr>
        <w:t>)</w:t>
      </w:r>
    </w:p>
    <w:p w:rsidR="00D172C5" w:rsidRDefault="00D172C5">
      <w:pPr>
        <w:widowControl/>
        <w:tabs>
          <w:tab w:val="left" w:pos="360"/>
        </w:tabs>
        <w:rPr>
          <w:rFonts w:ascii="Times" w:hAnsi="Times"/>
          <w:b/>
          <w:bCs/>
          <w:sz w:val="22"/>
        </w:rPr>
      </w:pPr>
    </w:p>
    <w:p w:rsidR="00D172C5" w:rsidRPr="00E96604" w:rsidRDefault="00D172C5">
      <w:pPr>
        <w:widowControl/>
        <w:tabs>
          <w:tab w:val="left" w:pos="360"/>
        </w:tabs>
        <w:outlineLvl w:val="0"/>
        <w:rPr>
          <w:rFonts w:ascii="Times New Roman" w:hAnsi="Times New Roman"/>
          <w:szCs w:val="24"/>
        </w:rPr>
      </w:pPr>
      <w:r w:rsidRPr="00E96604">
        <w:rPr>
          <w:rFonts w:ascii="Times New Roman" w:hAnsi="Times New Roman"/>
          <w:b/>
          <w:szCs w:val="24"/>
        </w:rPr>
        <w:t>Summary</w:t>
      </w:r>
    </w:p>
    <w:p w:rsidR="00D172C5" w:rsidRPr="00E96604" w:rsidRDefault="00D172C5">
      <w:pPr>
        <w:pStyle w:val="MemoHeader"/>
        <w:tabs>
          <w:tab w:val="left" w:pos="360"/>
        </w:tabs>
        <w:rPr>
          <w:rFonts w:ascii="Times New Roman" w:hAnsi="Times New Roman"/>
          <w:smallCaps w:val="0"/>
          <w:snapToGrid w:val="0"/>
          <w:szCs w:val="24"/>
        </w:rPr>
      </w:pPr>
    </w:p>
    <w:p w:rsidR="00D87167" w:rsidRPr="00D87167" w:rsidRDefault="00D172C5" w:rsidP="00D87167">
      <w:pPr>
        <w:ind w:firstLine="720"/>
        <w:rPr>
          <w:rFonts w:ascii="Times New Roman" w:hAnsi="Times New Roman"/>
          <w:snapToGrid/>
          <w:szCs w:val="24"/>
        </w:rPr>
      </w:pPr>
      <w:r w:rsidRPr="002911C3">
        <w:rPr>
          <w:rFonts w:ascii="Times New Roman" w:hAnsi="Times New Roman"/>
        </w:rPr>
        <w:t xml:space="preserve">The Board of Governors of the Federal Reserve System, under delegated authority from the Office of Management and Budget (OMB), </w:t>
      </w:r>
      <w:r w:rsidR="00D87167" w:rsidRPr="00D87167">
        <w:rPr>
          <w:rFonts w:ascii="Times New Roman" w:hAnsi="Times New Roman"/>
          <w:snapToGrid/>
          <w:szCs w:val="24"/>
        </w:rPr>
        <w:t>proposes to</w:t>
      </w:r>
      <w:r w:rsidR="00D87167" w:rsidRPr="00D87167">
        <w:rPr>
          <w:rFonts w:ascii="Times New Roman" w:hAnsi="Times New Roman"/>
          <w:snapToGrid/>
          <w:color w:val="000000"/>
          <w:szCs w:val="24"/>
        </w:rPr>
        <w:t xml:space="preserve"> extend </w:t>
      </w:r>
      <w:r w:rsidR="00D87167" w:rsidRPr="00D87167">
        <w:rPr>
          <w:rFonts w:ascii="Times New Roman" w:hAnsi="Times New Roman"/>
          <w:snapToGrid/>
          <w:szCs w:val="24"/>
        </w:rPr>
        <w:t xml:space="preserve">for three years, </w:t>
      </w:r>
      <w:r w:rsidR="00D87167" w:rsidRPr="00D87167">
        <w:rPr>
          <w:rFonts w:ascii="Times New Roman" w:hAnsi="Times New Roman"/>
          <w:snapToGrid/>
          <w:color w:val="000000"/>
          <w:szCs w:val="24"/>
        </w:rPr>
        <w:t xml:space="preserve">without revision, the Recordkeeping Requirements Associated with Limitations on Interbank Liabilities (Regulation F; OMB No. 7100-0331). </w:t>
      </w:r>
      <w:r w:rsidR="00D87167" w:rsidRPr="00D87167">
        <w:rPr>
          <w:rFonts w:ascii="Times New Roman" w:hAnsi="Times New Roman"/>
          <w:snapToGrid/>
          <w:szCs w:val="24"/>
        </w:rPr>
        <w:t xml:space="preserve"> </w:t>
      </w:r>
      <w:r w:rsidR="00D87167" w:rsidRPr="00D87167">
        <w:rPr>
          <w:rFonts w:ascii="Times New Roman" w:hAnsi="Times New Roman"/>
          <w:color w:val="000000"/>
          <w:szCs w:val="24"/>
        </w:rPr>
        <w:t>The</w:t>
      </w:r>
      <w:r w:rsidR="00D87167" w:rsidRPr="00D87167">
        <w:rPr>
          <w:rFonts w:ascii="Times New Roman" w:hAnsi="Times New Roman"/>
          <w:szCs w:val="24"/>
        </w:rPr>
        <w:t xml:space="preserve"> Paperwork Reduction Act (PRA) classifies reporting, recordkeeping, or disclosure requirements of a regulation as an “information collection.”</w:t>
      </w:r>
      <w:r w:rsidR="00D87167" w:rsidRPr="00D87167">
        <w:rPr>
          <w:rFonts w:ascii="Times New Roman" w:hAnsi="Times New Roman"/>
          <w:szCs w:val="24"/>
          <w:vertAlign w:val="superscript"/>
        </w:rPr>
        <w:footnoteReference w:id="1"/>
      </w:r>
      <w:r w:rsidR="00D87167" w:rsidRPr="00D87167">
        <w:rPr>
          <w:rFonts w:ascii="Times New Roman" w:hAnsi="Times New Roman"/>
          <w:szCs w:val="24"/>
        </w:rPr>
        <w:t xml:space="preserve">  </w:t>
      </w:r>
      <w:r w:rsidR="00D87167" w:rsidRPr="00D87167">
        <w:rPr>
          <w:rFonts w:ascii="Times New Roman" w:hAnsi="Times New Roman"/>
          <w:snapToGrid/>
          <w:szCs w:val="24"/>
        </w:rPr>
        <w:t>S</w:t>
      </w:r>
      <w:r w:rsidR="00D87167" w:rsidRPr="00D87167">
        <w:rPr>
          <w:rFonts w:ascii="Times New Roman" w:hAnsi="Times New Roman"/>
          <w:snapToGrid/>
          <w:color w:val="000000"/>
          <w:szCs w:val="24"/>
        </w:rPr>
        <w:t xml:space="preserve">ection 206.3 </w:t>
      </w:r>
      <w:r w:rsidR="00D87167" w:rsidRPr="00D87167">
        <w:rPr>
          <w:rFonts w:ascii="Times New Roman" w:hAnsi="Times New Roman"/>
          <w:snapToGrid/>
          <w:szCs w:val="24"/>
        </w:rPr>
        <w:t xml:space="preserve">of Regulation F requires insured depository institutions to establish and maintain policies and procedures designed to prevent excessive exposure to correspondents in order to limit the risks that the failure of a depository institution would pose to insured depository institutions.  The Federal Reserve accounts for the paperwork burden on state member banks for Regulation F compliance.  The Federal Reserve’s total annual paperwork burden for this information collection is estimated to be 6,672 hours.  There are no required reporting forms associated with </w:t>
      </w:r>
      <w:r w:rsidR="00D87167" w:rsidRPr="00D87167">
        <w:rPr>
          <w:rFonts w:ascii="Times New Roman" w:hAnsi="Times New Roman"/>
          <w:snapToGrid/>
          <w:color w:val="000000"/>
          <w:szCs w:val="24"/>
        </w:rPr>
        <w:t>Regulation F</w:t>
      </w:r>
      <w:r w:rsidR="00D87167" w:rsidRPr="00D87167">
        <w:rPr>
          <w:rFonts w:ascii="Times New Roman" w:hAnsi="Times New Roman"/>
          <w:snapToGrid/>
          <w:szCs w:val="24"/>
        </w:rPr>
        <w:t xml:space="preserve">.  </w:t>
      </w:r>
    </w:p>
    <w:p w:rsidR="00D87167" w:rsidRPr="00D87167" w:rsidRDefault="00D87167" w:rsidP="00D87167">
      <w:pPr>
        <w:autoSpaceDE w:val="0"/>
        <w:autoSpaceDN w:val="0"/>
        <w:adjustRightInd w:val="0"/>
        <w:ind w:firstLine="720"/>
        <w:rPr>
          <w:rFonts w:ascii="Times New Roman" w:hAnsi="Times New Roman"/>
          <w:snapToGrid/>
          <w:szCs w:val="24"/>
        </w:rPr>
      </w:pPr>
    </w:p>
    <w:p w:rsidR="00D87167" w:rsidRPr="00D87167" w:rsidRDefault="00D87167" w:rsidP="00D87167">
      <w:pPr>
        <w:autoSpaceDE w:val="0"/>
        <w:autoSpaceDN w:val="0"/>
        <w:adjustRightInd w:val="0"/>
        <w:jc w:val="both"/>
        <w:rPr>
          <w:rFonts w:ascii="Times New Roman" w:hAnsi="Times New Roman"/>
          <w:snapToGrid/>
          <w:color w:val="000000"/>
          <w:szCs w:val="24"/>
        </w:rPr>
      </w:pPr>
      <w:r w:rsidRPr="00D87167">
        <w:rPr>
          <w:rFonts w:ascii="Times New Roman" w:hAnsi="Times New Roman"/>
          <w:b/>
          <w:bCs/>
          <w:snapToGrid/>
          <w:color w:val="000000"/>
          <w:szCs w:val="24"/>
        </w:rPr>
        <w:t>Background and Justification</w:t>
      </w:r>
    </w:p>
    <w:p w:rsidR="00D87167" w:rsidRPr="00D87167" w:rsidRDefault="00D87167" w:rsidP="00D87167">
      <w:pPr>
        <w:widowControl/>
        <w:autoSpaceDE w:val="0"/>
        <w:autoSpaceDN w:val="0"/>
        <w:adjustRightInd w:val="0"/>
        <w:rPr>
          <w:rFonts w:ascii="Times New Roman" w:hAnsi="Times New Roman"/>
          <w:snapToGrid/>
          <w:color w:val="000000"/>
          <w:szCs w:val="24"/>
        </w:rPr>
      </w:pPr>
      <w:r w:rsidRPr="00D87167">
        <w:rPr>
          <w:rFonts w:ascii="Times New Roman" w:hAnsi="Times New Roman"/>
          <w:snapToGrid/>
          <w:color w:val="000000"/>
          <w:szCs w:val="24"/>
        </w:rPr>
        <w:tab/>
      </w:r>
    </w:p>
    <w:p w:rsidR="00D87167" w:rsidRPr="00D87167" w:rsidRDefault="00D87167" w:rsidP="00D87167">
      <w:pPr>
        <w:widowControl/>
        <w:autoSpaceDE w:val="0"/>
        <w:autoSpaceDN w:val="0"/>
        <w:adjustRightInd w:val="0"/>
        <w:ind w:firstLine="720"/>
        <w:rPr>
          <w:rFonts w:ascii="Times New Roman" w:hAnsi="Times New Roman"/>
          <w:snapToGrid/>
          <w:color w:val="000000"/>
          <w:szCs w:val="24"/>
        </w:rPr>
      </w:pPr>
      <w:r w:rsidRPr="00D87167">
        <w:rPr>
          <w:rFonts w:ascii="Times New Roman" w:hAnsi="Times New Roman"/>
          <w:snapToGrid/>
          <w:color w:val="000000"/>
          <w:szCs w:val="24"/>
        </w:rPr>
        <w:t xml:space="preserve">Regulation F implements section 308 of the Federal Deposit Insurance Corporation Improvement Act of 1991 (FDICIA).  Pursuant to FDICIA, the </w:t>
      </w:r>
      <w:r w:rsidRPr="00D87167">
        <w:rPr>
          <w:rFonts w:ascii="Times New Roman" w:hAnsi="Times New Roman"/>
          <w:snapToGrid/>
          <w:szCs w:val="24"/>
        </w:rPr>
        <w:t xml:space="preserve">Federal Reserve </w:t>
      </w:r>
      <w:r w:rsidRPr="00D87167">
        <w:rPr>
          <w:rFonts w:ascii="Times New Roman" w:hAnsi="Times New Roman"/>
          <w:snapToGrid/>
          <w:color w:val="000000"/>
          <w:szCs w:val="24"/>
        </w:rPr>
        <w:t>is required to prescribe standards to limit the risks posed by exposure of insured depository institutions to the depository institutions with which they do business (correspondents).</w:t>
      </w:r>
      <w:r w:rsidRPr="00D87167">
        <w:rPr>
          <w:rFonts w:ascii="Times New Roman" w:hAnsi="Times New Roman"/>
          <w:snapToGrid/>
          <w:color w:val="000000"/>
          <w:szCs w:val="24"/>
          <w:vertAlign w:val="superscript"/>
        </w:rPr>
        <w:footnoteReference w:id="2"/>
      </w:r>
      <w:r w:rsidRPr="00D87167">
        <w:rPr>
          <w:rFonts w:ascii="Times New Roman" w:hAnsi="Times New Roman"/>
          <w:snapToGrid/>
          <w:color w:val="000000"/>
          <w:szCs w:val="24"/>
        </w:rPr>
        <w:t xml:space="preserve">  Regulation F generally requires banks to develop and implement internal prudential policies and procedures to evaluate and control exposure to correspondents.  Exposure includes both credit and liquidity risks, including operational risks, related to intraday and </w:t>
      </w:r>
      <w:proofErr w:type="spellStart"/>
      <w:r w:rsidRPr="00D87167">
        <w:rPr>
          <w:rFonts w:ascii="Times New Roman" w:hAnsi="Times New Roman"/>
          <w:snapToGrid/>
          <w:color w:val="000000"/>
          <w:szCs w:val="24"/>
        </w:rPr>
        <w:t>interday</w:t>
      </w:r>
      <w:proofErr w:type="spellEnd"/>
      <w:r w:rsidRPr="00D87167">
        <w:rPr>
          <w:rFonts w:ascii="Times New Roman" w:hAnsi="Times New Roman"/>
          <w:snapToGrid/>
          <w:color w:val="000000"/>
          <w:szCs w:val="24"/>
        </w:rPr>
        <w:t xml:space="preserve"> transactions.</w:t>
      </w:r>
    </w:p>
    <w:p w:rsidR="00D87167" w:rsidRDefault="00D87167" w:rsidP="00D87167">
      <w:pPr>
        <w:widowControl/>
        <w:autoSpaceDE w:val="0"/>
        <w:autoSpaceDN w:val="0"/>
        <w:adjustRightInd w:val="0"/>
        <w:ind w:firstLine="720"/>
        <w:rPr>
          <w:rFonts w:ascii="Times New Roman" w:hAnsi="Times New Roman"/>
          <w:snapToGrid/>
          <w:color w:val="000000"/>
          <w:szCs w:val="24"/>
        </w:rPr>
      </w:pPr>
    </w:p>
    <w:p w:rsidR="00D87167" w:rsidRPr="00D87167" w:rsidRDefault="00D87167" w:rsidP="00D87167">
      <w:pPr>
        <w:widowControl/>
        <w:autoSpaceDE w:val="0"/>
        <w:autoSpaceDN w:val="0"/>
        <w:adjustRightInd w:val="0"/>
        <w:ind w:firstLine="720"/>
        <w:rPr>
          <w:rFonts w:ascii="Times New Roman" w:hAnsi="Times New Roman"/>
          <w:snapToGrid/>
          <w:color w:val="000000"/>
          <w:szCs w:val="24"/>
        </w:rPr>
      </w:pPr>
      <w:r w:rsidRPr="00D87167">
        <w:rPr>
          <w:rFonts w:ascii="Times New Roman" w:hAnsi="Times New Roman"/>
          <w:snapToGrid/>
          <w:color w:val="000000"/>
          <w:szCs w:val="24"/>
        </w:rPr>
        <w:t>Credit risk is the potential that an obligation will not be paid in a timely manner or in full.  Credit risk arises whenever an institution advances or commits funds to another financial institution, as the advancing institution’s assets are at risk of loss if the recipient institution fails.  Some institutions conceivably could have a credit concentration arising from the need to maintain large “due from” balances with the correspondent to facilitate account clearing activities.</w:t>
      </w:r>
    </w:p>
    <w:p w:rsidR="00D87167" w:rsidRPr="00D87167" w:rsidRDefault="00D87167" w:rsidP="00D87167">
      <w:pPr>
        <w:widowControl/>
        <w:autoSpaceDE w:val="0"/>
        <w:autoSpaceDN w:val="0"/>
        <w:adjustRightInd w:val="0"/>
        <w:ind w:firstLine="720"/>
        <w:rPr>
          <w:rFonts w:ascii="Times New Roman" w:hAnsi="Times New Roman"/>
          <w:snapToGrid/>
          <w:color w:val="000000"/>
          <w:szCs w:val="24"/>
        </w:rPr>
      </w:pPr>
    </w:p>
    <w:p w:rsidR="00D87167" w:rsidRPr="00D87167" w:rsidRDefault="00D87167" w:rsidP="00D87167">
      <w:pPr>
        <w:widowControl/>
        <w:autoSpaceDE w:val="0"/>
        <w:autoSpaceDN w:val="0"/>
        <w:adjustRightInd w:val="0"/>
        <w:ind w:firstLine="720"/>
        <w:rPr>
          <w:rFonts w:ascii="Times New Roman" w:hAnsi="Times New Roman"/>
          <w:snapToGrid/>
          <w:color w:val="000000"/>
          <w:szCs w:val="24"/>
        </w:rPr>
      </w:pPr>
      <w:r w:rsidRPr="00D87167">
        <w:rPr>
          <w:rFonts w:ascii="Times New Roman" w:hAnsi="Times New Roman"/>
          <w:snapToGrid/>
          <w:color w:val="000000"/>
          <w:szCs w:val="24"/>
        </w:rPr>
        <w:t xml:space="preserve">Funding risk arises when an institution depends heavily on the liquidity provided by a limited number of institutions to meet its funding needs.  Funding risk can create an immediate threat to an institution’s viability if the advancing entity suddenly reduces the institution’s access to liquid funds.  Institutions might abruptly limit the availability of liquid funding sources as part of a prudent program for limiting credit exposure or as required by regulation when the financial condition of either counterparty declines rapidly.  </w:t>
      </w:r>
    </w:p>
    <w:p w:rsidR="00D87167" w:rsidRPr="00D87167" w:rsidRDefault="00D87167" w:rsidP="00D87167">
      <w:pPr>
        <w:widowControl/>
        <w:autoSpaceDE w:val="0"/>
        <w:autoSpaceDN w:val="0"/>
        <w:adjustRightInd w:val="0"/>
        <w:rPr>
          <w:rFonts w:ascii="Times New Roman" w:hAnsi="Times New Roman"/>
          <w:snapToGrid/>
          <w:color w:val="000000"/>
          <w:szCs w:val="24"/>
        </w:rPr>
      </w:pPr>
    </w:p>
    <w:p w:rsidR="00D87167" w:rsidRPr="00D87167" w:rsidRDefault="00D87167" w:rsidP="00D87167">
      <w:pPr>
        <w:widowControl/>
        <w:autoSpaceDE w:val="0"/>
        <w:autoSpaceDN w:val="0"/>
        <w:adjustRightInd w:val="0"/>
        <w:ind w:firstLine="720"/>
        <w:rPr>
          <w:rFonts w:ascii="Times New Roman" w:hAnsi="Times New Roman"/>
          <w:snapToGrid/>
          <w:color w:val="000000"/>
          <w:szCs w:val="24"/>
        </w:rPr>
      </w:pPr>
      <w:r w:rsidRPr="00D87167">
        <w:rPr>
          <w:rFonts w:ascii="Times New Roman" w:hAnsi="Times New Roman"/>
          <w:snapToGrid/>
          <w:color w:val="000000"/>
          <w:szCs w:val="24"/>
        </w:rPr>
        <w:t xml:space="preserve">Regulation F also establishes benchmark guidelines on the overnight credit exposure to individual correspondents that ordinarily should not be exceeded.  The benchmark guidelines are stated as percentages of the exposed bank's capital.  The levels of overnight credit exposure </w:t>
      </w:r>
      <w:r w:rsidRPr="00D87167">
        <w:rPr>
          <w:rFonts w:ascii="Times New Roman" w:hAnsi="Times New Roman"/>
          <w:snapToGrid/>
          <w:color w:val="000000"/>
          <w:szCs w:val="24"/>
        </w:rPr>
        <w:lastRenderedPageBreak/>
        <w:t>considered to be permissible under the benchmarks are tiered based on the capital of the correspondent with which the bank is dealing, so that higher levels of a bank's capital may be exposed to better capitalized correspondents.  The benchmark guidelines under Regulation F are intended to establish the maximum credit exposure that ordinarily would be considered prudent with respect to a correspondent with a particular level of capital.</w:t>
      </w:r>
    </w:p>
    <w:p w:rsidR="00D87167" w:rsidRPr="00D87167" w:rsidRDefault="00D87167" w:rsidP="00D87167">
      <w:pPr>
        <w:widowControl/>
        <w:autoSpaceDE w:val="0"/>
        <w:autoSpaceDN w:val="0"/>
        <w:adjustRightInd w:val="0"/>
        <w:ind w:firstLine="720"/>
        <w:rPr>
          <w:rFonts w:ascii="Times New Roman" w:hAnsi="Times New Roman"/>
          <w:snapToGrid/>
          <w:color w:val="000000"/>
          <w:szCs w:val="24"/>
        </w:rPr>
      </w:pPr>
    </w:p>
    <w:p w:rsidR="00D87167" w:rsidRPr="00D87167" w:rsidRDefault="00D87167" w:rsidP="00D87167">
      <w:pPr>
        <w:autoSpaceDE w:val="0"/>
        <w:autoSpaceDN w:val="0"/>
        <w:adjustRightInd w:val="0"/>
        <w:jc w:val="both"/>
        <w:rPr>
          <w:rFonts w:ascii="Times New Roman" w:hAnsi="Times New Roman"/>
          <w:snapToGrid/>
          <w:color w:val="000000"/>
          <w:szCs w:val="24"/>
        </w:rPr>
      </w:pPr>
      <w:r w:rsidRPr="00D87167">
        <w:rPr>
          <w:rFonts w:ascii="Times New Roman" w:hAnsi="Times New Roman"/>
          <w:b/>
          <w:bCs/>
          <w:snapToGrid/>
          <w:color w:val="000000"/>
          <w:szCs w:val="24"/>
        </w:rPr>
        <w:t>Description of Information Collection</w:t>
      </w:r>
    </w:p>
    <w:p w:rsidR="00D87167" w:rsidRPr="00D87167" w:rsidRDefault="00D87167" w:rsidP="00D87167">
      <w:pPr>
        <w:autoSpaceDE w:val="0"/>
        <w:autoSpaceDN w:val="0"/>
        <w:adjustRightInd w:val="0"/>
        <w:jc w:val="both"/>
        <w:rPr>
          <w:rFonts w:ascii="Times New Roman" w:hAnsi="Times New Roman"/>
          <w:snapToGrid/>
          <w:color w:val="000000"/>
          <w:szCs w:val="24"/>
        </w:rPr>
      </w:pPr>
    </w:p>
    <w:p w:rsidR="00D87167" w:rsidRPr="00D87167" w:rsidRDefault="00D87167" w:rsidP="00D87167">
      <w:pPr>
        <w:widowControl/>
        <w:ind w:firstLine="720"/>
        <w:rPr>
          <w:rFonts w:ascii="Times New Roman" w:hAnsi="Times New Roman"/>
          <w:b/>
          <w:bCs/>
          <w:snapToGrid/>
          <w:color w:val="000000"/>
          <w:szCs w:val="24"/>
        </w:rPr>
      </w:pPr>
      <w:r w:rsidRPr="00D87167">
        <w:rPr>
          <w:rFonts w:ascii="Times New Roman" w:hAnsi="Times New Roman"/>
          <w:snapToGrid/>
          <w:szCs w:val="24"/>
        </w:rPr>
        <w:t>Section 206.3 of Regulation F stipulates that a bank shall establish and maintain written policies and procedures to prevent excessive exposure to any individual correspondent in relation to the condition of the correspondent.  In these policies and procedures, a bank should take into account credit and liquidity risks, including operational risks, in selecting correspondents and terminating those relationships.  Where exposure to a correspondent is significant, the policies and procedures shall require periodic reviews of the financial condition of the correspondent and shall take into account any deterioration in the correspondent’s financial condition.  Where the financial condition of the correspondent and the form or maturity of the exposure create a significant risk that payments will not be made in full or in a timely manner, the policies and procedures should limit the bank’s exposure to the correspondent, either by the establishment of internal limits or by other means.  The policies and procedures should be reviewed and approved by the bank’s board of directors at least annually.</w:t>
      </w:r>
    </w:p>
    <w:p w:rsidR="00D87167" w:rsidRPr="00D87167" w:rsidRDefault="00D87167" w:rsidP="00D87167">
      <w:pPr>
        <w:autoSpaceDE w:val="0"/>
        <w:autoSpaceDN w:val="0"/>
        <w:adjustRightInd w:val="0"/>
        <w:ind w:firstLine="720"/>
        <w:rPr>
          <w:rFonts w:ascii="Times New Roman" w:hAnsi="Times New Roman"/>
          <w:b/>
          <w:bCs/>
          <w:snapToGrid/>
          <w:szCs w:val="24"/>
        </w:rPr>
      </w:pPr>
      <w:r w:rsidRPr="00D87167">
        <w:rPr>
          <w:rFonts w:ascii="Times New Roman" w:hAnsi="Times New Roman"/>
          <w:snapToGrid/>
          <w:szCs w:val="24"/>
        </w:rPr>
        <w:t xml:space="preserve">  </w:t>
      </w:r>
    </w:p>
    <w:p w:rsidR="00D87167" w:rsidRPr="00D87167" w:rsidRDefault="00D87167" w:rsidP="00D87167">
      <w:pPr>
        <w:autoSpaceDE w:val="0"/>
        <w:autoSpaceDN w:val="0"/>
        <w:adjustRightInd w:val="0"/>
        <w:jc w:val="both"/>
        <w:rPr>
          <w:rFonts w:ascii="Times New Roman" w:hAnsi="Times New Roman"/>
          <w:snapToGrid/>
          <w:color w:val="000000"/>
          <w:szCs w:val="24"/>
        </w:rPr>
      </w:pPr>
      <w:r w:rsidRPr="00D87167">
        <w:rPr>
          <w:rFonts w:ascii="Times New Roman" w:hAnsi="Times New Roman"/>
          <w:b/>
          <w:bCs/>
          <w:snapToGrid/>
          <w:color w:val="000000"/>
          <w:szCs w:val="24"/>
        </w:rPr>
        <w:t>Time Schedule for Information Collection</w:t>
      </w:r>
    </w:p>
    <w:p w:rsidR="00D87167" w:rsidRPr="00D87167" w:rsidRDefault="00D87167" w:rsidP="00D87167">
      <w:pPr>
        <w:autoSpaceDE w:val="0"/>
        <w:autoSpaceDN w:val="0"/>
        <w:adjustRightInd w:val="0"/>
        <w:jc w:val="both"/>
        <w:rPr>
          <w:rFonts w:ascii="Times New Roman" w:hAnsi="Times New Roman"/>
          <w:snapToGrid/>
          <w:color w:val="000000"/>
          <w:szCs w:val="24"/>
        </w:rPr>
      </w:pPr>
    </w:p>
    <w:p w:rsidR="00D87167" w:rsidRPr="00D87167" w:rsidRDefault="00D87167" w:rsidP="00D87167">
      <w:pPr>
        <w:tabs>
          <w:tab w:val="num" w:pos="720"/>
        </w:tabs>
        <w:ind w:firstLine="720"/>
        <w:rPr>
          <w:rFonts w:ascii="Times New Roman" w:hAnsi="Times New Roman"/>
          <w:szCs w:val="24"/>
        </w:rPr>
      </w:pPr>
      <w:r w:rsidRPr="00D87167">
        <w:rPr>
          <w:rFonts w:ascii="Times New Roman" w:hAnsi="Times New Roman"/>
          <w:szCs w:val="24"/>
        </w:rPr>
        <w:t>This information collection contains a recordkeeping requirement, as mentioned above.  The creation of a compliance program is a mandatory one-time requirement.  Subsequent changes to the program would be on-occasion.</w:t>
      </w:r>
    </w:p>
    <w:p w:rsidR="00D87167" w:rsidRPr="00D87167" w:rsidRDefault="00D87167" w:rsidP="00D87167">
      <w:pPr>
        <w:autoSpaceDE w:val="0"/>
        <w:autoSpaceDN w:val="0"/>
        <w:adjustRightInd w:val="0"/>
        <w:jc w:val="both"/>
        <w:rPr>
          <w:rFonts w:ascii="Times New Roman" w:hAnsi="Times New Roman"/>
          <w:snapToGrid/>
          <w:color w:val="000000"/>
          <w:szCs w:val="24"/>
        </w:rPr>
      </w:pPr>
    </w:p>
    <w:p w:rsidR="00D87167" w:rsidRPr="00D87167" w:rsidRDefault="00D87167" w:rsidP="00D87167">
      <w:pPr>
        <w:widowControl/>
        <w:rPr>
          <w:rFonts w:ascii="Times New Roman" w:hAnsi="Times New Roman"/>
          <w:snapToGrid/>
          <w:color w:val="000000"/>
          <w:szCs w:val="24"/>
        </w:rPr>
      </w:pPr>
      <w:r w:rsidRPr="00D87167">
        <w:rPr>
          <w:rFonts w:ascii="Times New Roman" w:hAnsi="Times New Roman"/>
          <w:b/>
          <w:bCs/>
          <w:snapToGrid/>
          <w:color w:val="000000"/>
          <w:szCs w:val="24"/>
        </w:rPr>
        <w:t>Sensitive Questions</w:t>
      </w:r>
    </w:p>
    <w:p w:rsidR="00D87167" w:rsidRPr="00D87167" w:rsidRDefault="00D87167" w:rsidP="00D8716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snapToGrid/>
          <w:color w:val="000000"/>
          <w:szCs w:val="24"/>
        </w:rPr>
      </w:pPr>
    </w:p>
    <w:p w:rsidR="00D87167" w:rsidRPr="00D87167" w:rsidRDefault="00D87167" w:rsidP="00D8716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245"/>
        <w:rPr>
          <w:rFonts w:ascii="Times New Roman" w:hAnsi="Times New Roman"/>
          <w:snapToGrid/>
          <w:color w:val="000000"/>
          <w:szCs w:val="24"/>
        </w:rPr>
      </w:pPr>
      <w:r w:rsidRPr="00D87167">
        <w:rPr>
          <w:rFonts w:ascii="Times New Roman" w:hAnsi="Times New Roman"/>
          <w:snapToGrid/>
          <w:color w:val="000000"/>
          <w:szCs w:val="24"/>
        </w:rPr>
        <w:tab/>
        <w:t>This collection of information contains no questions of a sensitive nature, as defined by OMB guidelines.</w:t>
      </w:r>
    </w:p>
    <w:p w:rsidR="00D87167" w:rsidRPr="00D87167" w:rsidRDefault="00D87167" w:rsidP="00D87167">
      <w:pPr>
        <w:autoSpaceDE w:val="0"/>
        <w:autoSpaceDN w:val="0"/>
        <w:adjustRightInd w:val="0"/>
        <w:jc w:val="both"/>
        <w:rPr>
          <w:rFonts w:ascii="Times New Roman" w:hAnsi="Times New Roman"/>
          <w:snapToGrid/>
          <w:color w:val="000000"/>
          <w:szCs w:val="24"/>
        </w:rPr>
      </w:pPr>
    </w:p>
    <w:p w:rsidR="00D87167" w:rsidRPr="00D87167" w:rsidRDefault="00D87167" w:rsidP="00D87167">
      <w:pPr>
        <w:autoSpaceDE w:val="0"/>
        <w:autoSpaceDN w:val="0"/>
        <w:adjustRightInd w:val="0"/>
        <w:jc w:val="both"/>
        <w:rPr>
          <w:rFonts w:ascii="Times New Roman" w:hAnsi="Times New Roman"/>
          <w:snapToGrid/>
          <w:color w:val="000000"/>
          <w:szCs w:val="24"/>
        </w:rPr>
      </w:pPr>
      <w:r w:rsidRPr="00D87167">
        <w:rPr>
          <w:rFonts w:ascii="Times New Roman" w:hAnsi="Times New Roman"/>
          <w:b/>
          <w:bCs/>
          <w:snapToGrid/>
          <w:color w:val="000000"/>
          <w:szCs w:val="24"/>
        </w:rPr>
        <w:t xml:space="preserve">Consultation </w:t>
      </w:r>
      <w:proofErr w:type="gramStart"/>
      <w:r w:rsidRPr="00D87167">
        <w:rPr>
          <w:rFonts w:ascii="Times New Roman" w:hAnsi="Times New Roman"/>
          <w:b/>
          <w:bCs/>
          <w:snapToGrid/>
          <w:color w:val="000000"/>
          <w:szCs w:val="24"/>
        </w:rPr>
        <w:t>Outside</w:t>
      </w:r>
      <w:proofErr w:type="gramEnd"/>
      <w:r w:rsidRPr="00D87167">
        <w:rPr>
          <w:rFonts w:ascii="Times New Roman" w:hAnsi="Times New Roman"/>
          <w:b/>
          <w:bCs/>
          <w:snapToGrid/>
          <w:color w:val="000000"/>
          <w:szCs w:val="24"/>
        </w:rPr>
        <w:t xml:space="preserve"> the Agency </w:t>
      </w:r>
    </w:p>
    <w:p w:rsidR="00D87167" w:rsidRPr="00D87167" w:rsidRDefault="00D87167" w:rsidP="00D87167">
      <w:pPr>
        <w:autoSpaceDE w:val="0"/>
        <w:autoSpaceDN w:val="0"/>
        <w:adjustRightInd w:val="0"/>
        <w:jc w:val="both"/>
        <w:rPr>
          <w:rFonts w:ascii="Times New Roman" w:hAnsi="Times New Roman"/>
          <w:snapToGrid/>
          <w:color w:val="000000"/>
          <w:szCs w:val="24"/>
        </w:rPr>
      </w:pPr>
    </w:p>
    <w:p w:rsidR="00606D80" w:rsidRPr="00606D80" w:rsidRDefault="00606D80" w:rsidP="00606D80">
      <w:pPr>
        <w:widowControl/>
        <w:ind w:firstLine="720"/>
        <w:rPr>
          <w:rFonts w:ascii="Times New Roman" w:hAnsi="Times New Roman"/>
          <w:color w:val="000000"/>
          <w:szCs w:val="24"/>
        </w:rPr>
      </w:pPr>
      <w:r w:rsidRPr="00606D80">
        <w:rPr>
          <w:rFonts w:ascii="Times New Roman" w:hAnsi="Times New Roman"/>
        </w:rPr>
        <w:t xml:space="preserve">On April 18, 2014, the Federal Reserve published a notice in the </w:t>
      </w:r>
      <w:r w:rsidRPr="00606D80">
        <w:rPr>
          <w:rFonts w:ascii="Times New Roman" w:hAnsi="Times New Roman"/>
          <w:i/>
        </w:rPr>
        <w:t>Federal Register</w:t>
      </w:r>
      <w:r w:rsidRPr="00606D80">
        <w:rPr>
          <w:rFonts w:ascii="Times New Roman" w:hAnsi="Times New Roman"/>
        </w:rPr>
        <w:t xml:space="preserve"> (79 FR 21926) requesting public comment for 60 days on the extension for three years, without revision, of the </w:t>
      </w:r>
      <w:r w:rsidRPr="00D87167">
        <w:rPr>
          <w:rFonts w:ascii="Times New Roman" w:hAnsi="Times New Roman"/>
          <w:snapToGrid/>
          <w:color w:val="000000"/>
          <w:szCs w:val="24"/>
        </w:rPr>
        <w:t>Recordkeeping Requirements Associated with Limitations on Interbank Liabilities (Regulation F</w:t>
      </w:r>
      <w:r>
        <w:rPr>
          <w:rFonts w:ascii="Times New Roman" w:hAnsi="Times New Roman"/>
          <w:snapToGrid/>
          <w:color w:val="000000"/>
          <w:szCs w:val="24"/>
        </w:rPr>
        <w:t>)</w:t>
      </w:r>
      <w:r w:rsidRPr="00606D80">
        <w:rPr>
          <w:rFonts w:ascii="Times New Roman" w:hAnsi="Times New Roman"/>
        </w:rPr>
        <w:t>.  The comment period for this notice expire</w:t>
      </w:r>
      <w:r w:rsidR="00923CCF">
        <w:rPr>
          <w:rFonts w:ascii="Times New Roman" w:hAnsi="Times New Roman"/>
        </w:rPr>
        <w:t>d</w:t>
      </w:r>
      <w:r w:rsidRPr="00606D80">
        <w:rPr>
          <w:rFonts w:ascii="Times New Roman" w:hAnsi="Times New Roman"/>
        </w:rPr>
        <w:t xml:space="preserve"> on June 17, 2014.  </w:t>
      </w:r>
      <w:r w:rsidR="00923CCF">
        <w:rPr>
          <w:rFonts w:ascii="Times New Roman" w:hAnsi="Times New Roman"/>
        </w:rPr>
        <w:t xml:space="preserve">The Federal Reserve did not receive any comments.  A final notice was published in the </w:t>
      </w:r>
      <w:r w:rsidR="00923CCF">
        <w:rPr>
          <w:rFonts w:ascii="Times New Roman" w:hAnsi="Times New Roman"/>
          <w:i/>
        </w:rPr>
        <w:t>Federal Re</w:t>
      </w:r>
      <w:r w:rsidR="00923CCF" w:rsidRPr="00923CCF">
        <w:rPr>
          <w:rFonts w:ascii="Times New Roman" w:hAnsi="Times New Roman"/>
          <w:i/>
        </w:rPr>
        <w:t>gister</w:t>
      </w:r>
      <w:r w:rsidR="00923CCF">
        <w:rPr>
          <w:rFonts w:ascii="Times New Roman" w:hAnsi="Times New Roman"/>
        </w:rPr>
        <w:t xml:space="preserve"> on July 18, 2014 (79 FR </w:t>
      </w:r>
      <w:r w:rsidR="007A4474">
        <w:rPr>
          <w:rFonts w:ascii="Times New Roman" w:hAnsi="Times New Roman"/>
        </w:rPr>
        <w:t>42010</w:t>
      </w:r>
      <w:bookmarkStart w:id="0" w:name="_GoBack"/>
      <w:bookmarkEnd w:id="0"/>
      <w:r w:rsidR="00923CCF">
        <w:rPr>
          <w:rFonts w:ascii="Times New Roman" w:hAnsi="Times New Roman"/>
        </w:rPr>
        <w:t>).</w:t>
      </w:r>
    </w:p>
    <w:p w:rsidR="00D87167" w:rsidRPr="00D87167" w:rsidRDefault="00D87167" w:rsidP="00D87167">
      <w:pPr>
        <w:autoSpaceDE w:val="0"/>
        <w:autoSpaceDN w:val="0"/>
        <w:adjustRightInd w:val="0"/>
        <w:jc w:val="both"/>
        <w:rPr>
          <w:rFonts w:ascii="Times New Roman" w:hAnsi="Times New Roman"/>
          <w:snapToGrid/>
          <w:color w:val="000000"/>
          <w:szCs w:val="24"/>
        </w:rPr>
      </w:pPr>
      <w:r w:rsidRPr="00D87167">
        <w:rPr>
          <w:rFonts w:ascii="Times New Roman" w:hAnsi="Times New Roman"/>
          <w:b/>
          <w:bCs/>
          <w:snapToGrid/>
          <w:color w:val="000000"/>
          <w:szCs w:val="24"/>
        </w:rPr>
        <w:br/>
        <w:t xml:space="preserve">Legal Status </w:t>
      </w:r>
    </w:p>
    <w:p w:rsidR="00D87167" w:rsidRPr="00D87167" w:rsidRDefault="00D87167" w:rsidP="00D87167">
      <w:pPr>
        <w:autoSpaceDE w:val="0"/>
        <w:autoSpaceDN w:val="0"/>
        <w:adjustRightInd w:val="0"/>
        <w:jc w:val="both"/>
        <w:rPr>
          <w:rFonts w:ascii="Times New Roman" w:hAnsi="Times New Roman"/>
          <w:snapToGrid/>
          <w:color w:val="000000"/>
          <w:szCs w:val="24"/>
        </w:rPr>
      </w:pPr>
    </w:p>
    <w:p w:rsidR="00D87167" w:rsidRPr="00D87167" w:rsidRDefault="00D87167" w:rsidP="00D87167">
      <w:pPr>
        <w:autoSpaceDE w:val="0"/>
        <w:autoSpaceDN w:val="0"/>
        <w:adjustRightInd w:val="0"/>
        <w:rPr>
          <w:rFonts w:ascii="Times New Roman" w:hAnsi="Times New Roman"/>
          <w:snapToGrid/>
          <w:color w:val="000000"/>
          <w:szCs w:val="24"/>
        </w:rPr>
      </w:pPr>
      <w:r w:rsidRPr="00D87167">
        <w:rPr>
          <w:rFonts w:ascii="Times New Roman" w:hAnsi="Times New Roman"/>
          <w:snapToGrid/>
          <w:color w:val="000000"/>
          <w:szCs w:val="24"/>
        </w:rPr>
        <w:tab/>
        <w:t xml:space="preserve">The Board's Legal Division has determined that the recordkeeping requirements of Regulation F are mandatory and authorized by section 23 of the Federal Reserve Act, as added by section 308 of the Federal Deposit Insurance Corporation Improvement Act of 1991 (12 U.S.C. § 371b-2).  The Board's Legal Division has determined that because the Federal Reserve </w:t>
      </w:r>
      <w:r w:rsidRPr="00D87167">
        <w:rPr>
          <w:rFonts w:ascii="Times New Roman" w:hAnsi="Times New Roman"/>
          <w:snapToGrid/>
          <w:color w:val="000000"/>
          <w:szCs w:val="24"/>
        </w:rPr>
        <w:lastRenderedPageBreak/>
        <w:t>does not collect any information, no issue of confidentiality normally arises. However, if a compliance program becomes a Board record during an examination, the information may be protected from disclosure under exemptions (b</w:t>
      </w:r>
      <w:proofErr w:type="gramStart"/>
      <w:r w:rsidRPr="00D87167">
        <w:rPr>
          <w:rFonts w:ascii="Times New Roman" w:hAnsi="Times New Roman"/>
          <w:snapToGrid/>
          <w:color w:val="000000"/>
          <w:szCs w:val="24"/>
        </w:rPr>
        <w:t>)(</w:t>
      </w:r>
      <w:proofErr w:type="gramEnd"/>
      <w:r w:rsidRPr="00D87167">
        <w:rPr>
          <w:rFonts w:ascii="Times New Roman" w:hAnsi="Times New Roman"/>
          <w:snapToGrid/>
          <w:color w:val="000000"/>
          <w:szCs w:val="24"/>
        </w:rPr>
        <w:t xml:space="preserve">4) and (b)(8) of the Freedom of Information Act (5 U.S.C. § 552(b)(4) and (b)(8)).  </w:t>
      </w:r>
    </w:p>
    <w:p w:rsidR="00D87167" w:rsidRPr="00D87167" w:rsidRDefault="00D87167" w:rsidP="00D87167">
      <w:pPr>
        <w:autoSpaceDE w:val="0"/>
        <w:autoSpaceDN w:val="0"/>
        <w:adjustRightInd w:val="0"/>
        <w:rPr>
          <w:rFonts w:ascii="Times New Roman" w:hAnsi="Times New Roman"/>
          <w:b/>
          <w:bCs/>
          <w:snapToGrid/>
          <w:color w:val="000000"/>
          <w:szCs w:val="24"/>
        </w:rPr>
      </w:pPr>
    </w:p>
    <w:p w:rsidR="00D87167" w:rsidRPr="00D87167" w:rsidRDefault="00D87167" w:rsidP="00D87167">
      <w:pPr>
        <w:autoSpaceDE w:val="0"/>
        <w:autoSpaceDN w:val="0"/>
        <w:adjustRightInd w:val="0"/>
        <w:jc w:val="both"/>
        <w:rPr>
          <w:rFonts w:ascii="Times New Roman" w:hAnsi="Times New Roman"/>
          <w:snapToGrid/>
          <w:color w:val="000000"/>
          <w:szCs w:val="24"/>
        </w:rPr>
      </w:pPr>
      <w:r w:rsidRPr="00D87167">
        <w:rPr>
          <w:rFonts w:ascii="Times New Roman" w:hAnsi="Times New Roman"/>
          <w:b/>
          <w:bCs/>
          <w:snapToGrid/>
          <w:color w:val="000000"/>
          <w:szCs w:val="24"/>
        </w:rPr>
        <w:t>Estimate of Respondent Burden</w:t>
      </w:r>
    </w:p>
    <w:p w:rsidR="00D87167" w:rsidRPr="00D87167" w:rsidRDefault="00D87167" w:rsidP="00D87167">
      <w:pPr>
        <w:autoSpaceDE w:val="0"/>
        <w:autoSpaceDN w:val="0"/>
        <w:adjustRightInd w:val="0"/>
        <w:rPr>
          <w:rFonts w:ascii="Times New Roman" w:hAnsi="Times New Roman"/>
          <w:snapToGrid/>
          <w:color w:val="000000"/>
          <w:szCs w:val="24"/>
        </w:rPr>
      </w:pPr>
    </w:p>
    <w:p w:rsidR="00D87167" w:rsidRPr="00D87167" w:rsidRDefault="00D87167" w:rsidP="00D87167">
      <w:pPr>
        <w:autoSpaceDE w:val="0"/>
        <w:autoSpaceDN w:val="0"/>
        <w:adjustRightInd w:val="0"/>
        <w:ind w:firstLine="720"/>
        <w:rPr>
          <w:rFonts w:ascii="Times New Roman" w:hAnsi="Times New Roman"/>
          <w:snapToGrid/>
          <w:color w:val="000000"/>
          <w:szCs w:val="24"/>
        </w:rPr>
      </w:pPr>
      <w:r w:rsidRPr="00D87167">
        <w:rPr>
          <w:rFonts w:ascii="Times New Roman" w:hAnsi="Times New Roman"/>
          <w:snapToGrid/>
          <w:szCs w:val="24"/>
        </w:rPr>
        <w:t xml:space="preserve">As shown in the table below, the total annual paperwork burden is estimated to be 6,672 hours.  </w:t>
      </w:r>
      <w:r w:rsidRPr="00D87167">
        <w:rPr>
          <w:rFonts w:ascii="Times New Roman" w:hAnsi="Times New Roman"/>
          <w:bCs/>
          <w:snapToGrid/>
          <w:szCs w:val="24"/>
        </w:rPr>
        <w:t xml:space="preserve">The burden represents the amount of time required to establish and maintain procedures to ensure and monitor compliance with Regulation F.  This recordkeeping </w:t>
      </w:r>
      <w:r w:rsidRPr="00D87167">
        <w:rPr>
          <w:rFonts w:ascii="Times New Roman" w:hAnsi="Times New Roman"/>
          <w:bCs/>
          <w:snapToGrid/>
          <w:color w:val="000000"/>
          <w:szCs w:val="24"/>
        </w:rPr>
        <w:t>requirement represents less than 1 percent of total Federal Reserve System paperwork burden.</w:t>
      </w:r>
    </w:p>
    <w:p w:rsidR="00D87167" w:rsidRPr="00D87167" w:rsidRDefault="00D87167" w:rsidP="00D87167">
      <w:pPr>
        <w:autoSpaceDE w:val="0"/>
        <w:autoSpaceDN w:val="0"/>
        <w:adjustRightInd w:val="0"/>
        <w:ind w:firstLine="720"/>
        <w:rPr>
          <w:rFonts w:ascii="Times New Roman" w:hAnsi="Times New Roman"/>
          <w:snapToGrid/>
          <w:szCs w:val="24"/>
        </w:rPr>
      </w:pPr>
    </w:p>
    <w:tbl>
      <w:tblPr>
        <w:tblW w:w="8640" w:type="dxa"/>
        <w:jc w:val="center"/>
        <w:tblBorders>
          <w:top w:val="single" w:sz="6" w:space="0" w:color="000000"/>
          <w:bottom w:val="single" w:sz="6" w:space="0" w:color="000000"/>
        </w:tblBorders>
        <w:tblLayout w:type="fixed"/>
        <w:tblCellMar>
          <w:left w:w="139" w:type="dxa"/>
          <w:right w:w="139" w:type="dxa"/>
        </w:tblCellMar>
        <w:tblLook w:val="0000" w:firstRow="0" w:lastRow="0" w:firstColumn="0" w:lastColumn="0" w:noHBand="0" w:noVBand="0"/>
      </w:tblPr>
      <w:tblGrid>
        <w:gridCol w:w="2880"/>
        <w:gridCol w:w="1530"/>
        <w:gridCol w:w="1350"/>
        <w:gridCol w:w="1440"/>
        <w:gridCol w:w="1440"/>
      </w:tblGrid>
      <w:tr w:rsidR="00D87167" w:rsidRPr="00D87167" w:rsidTr="00923CCF">
        <w:trPr>
          <w:cantSplit/>
          <w:jc w:val="center"/>
        </w:trPr>
        <w:tc>
          <w:tcPr>
            <w:tcW w:w="2880" w:type="dxa"/>
            <w:vAlign w:val="center"/>
          </w:tcPr>
          <w:p w:rsidR="00D87167" w:rsidRPr="00D87167" w:rsidRDefault="00D87167" w:rsidP="00D87167">
            <w:pPr>
              <w:tabs>
                <w:tab w:val="left" w:pos="-1440"/>
                <w:tab w:val="left" w:pos="-720"/>
                <w:tab w:val="left" w:pos="0"/>
                <w:tab w:val="left" w:pos="240"/>
                <w:tab w:val="left" w:pos="720"/>
                <w:tab w:val="left" w:pos="1440"/>
                <w:tab w:val="left" w:pos="2160"/>
                <w:tab w:val="left" w:pos="2880"/>
              </w:tabs>
              <w:autoSpaceDE w:val="0"/>
              <w:autoSpaceDN w:val="0"/>
              <w:adjustRightInd w:val="0"/>
              <w:jc w:val="center"/>
              <w:rPr>
                <w:rFonts w:ascii="Times New Roman" w:hAnsi="Times New Roman"/>
                <w:snapToGrid/>
                <w:szCs w:val="24"/>
              </w:rPr>
            </w:pPr>
          </w:p>
        </w:tc>
        <w:tc>
          <w:tcPr>
            <w:tcW w:w="1530" w:type="dxa"/>
            <w:vAlign w:val="center"/>
          </w:tcPr>
          <w:p w:rsidR="00D87167" w:rsidRPr="00D87167" w:rsidRDefault="00D87167" w:rsidP="00D87167">
            <w:pPr>
              <w:tabs>
                <w:tab w:val="left" w:pos="-1440"/>
                <w:tab w:val="left" w:pos="-720"/>
                <w:tab w:val="left" w:pos="0"/>
                <w:tab w:val="left" w:pos="240"/>
                <w:tab w:val="left" w:pos="720"/>
                <w:tab w:val="left" w:pos="1440"/>
              </w:tabs>
              <w:autoSpaceDE w:val="0"/>
              <w:autoSpaceDN w:val="0"/>
              <w:adjustRightInd w:val="0"/>
              <w:jc w:val="center"/>
              <w:rPr>
                <w:rFonts w:ascii="Times New Roman" w:hAnsi="Times New Roman"/>
                <w:i/>
                <w:iCs/>
                <w:snapToGrid/>
                <w:color w:val="000000"/>
                <w:szCs w:val="24"/>
              </w:rPr>
            </w:pPr>
            <w:r w:rsidRPr="00D87167">
              <w:rPr>
                <w:rFonts w:ascii="Times New Roman" w:hAnsi="Times New Roman"/>
                <w:i/>
                <w:iCs/>
                <w:snapToGrid/>
                <w:color w:val="000000"/>
                <w:szCs w:val="24"/>
              </w:rPr>
              <w:t>Number</w:t>
            </w:r>
          </w:p>
          <w:p w:rsidR="00D87167" w:rsidRPr="00D87167" w:rsidRDefault="00D87167" w:rsidP="00D87167">
            <w:pPr>
              <w:tabs>
                <w:tab w:val="left" w:pos="-1440"/>
                <w:tab w:val="left" w:pos="-720"/>
                <w:tab w:val="left" w:pos="0"/>
                <w:tab w:val="left" w:pos="240"/>
                <w:tab w:val="left" w:pos="720"/>
                <w:tab w:val="left" w:pos="1440"/>
              </w:tabs>
              <w:autoSpaceDE w:val="0"/>
              <w:autoSpaceDN w:val="0"/>
              <w:adjustRightInd w:val="0"/>
              <w:jc w:val="center"/>
              <w:rPr>
                <w:rFonts w:ascii="Times New Roman" w:hAnsi="Times New Roman"/>
                <w:snapToGrid/>
                <w:szCs w:val="24"/>
              </w:rPr>
            </w:pPr>
            <w:r w:rsidRPr="00D87167">
              <w:rPr>
                <w:rFonts w:ascii="Times New Roman" w:hAnsi="Times New Roman"/>
                <w:i/>
                <w:iCs/>
                <w:snapToGrid/>
                <w:color w:val="000000"/>
                <w:szCs w:val="24"/>
              </w:rPr>
              <w:t>of respondents</w:t>
            </w:r>
            <w:r w:rsidRPr="00D87167">
              <w:rPr>
                <w:rFonts w:ascii="Times New Roman" w:hAnsi="Times New Roman"/>
                <w:i/>
                <w:iCs/>
                <w:snapToGrid/>
                <w:color w:val="000000"/>
                <w:szCs w:val="24"/>
                <w:vertAlign w:val="superscript"/>
              </w:rPr>
              <w:footnoteReference w:id="3"/>
            </w:r>
          </w:p>
        </w:tc>
        <w:tc>
          <w:tcPr>
            <w:tcW w:w="1350" w:type="dxa"/>
            <w:vAlign w:val="center"/>
          </w:tcPr>
          <w:p w:rsidR="00D87167" w:rsidRPr="00D87167" w:rsidRDefault="00D87167" w:rsidP="00D87167">
            <w:pPr>
              <w:tabs>
                <w:tab w:val="left" w:pos="-1440"/>
                <w:tab w:val="left" w:pos="-720"/>
                <w:tab w:val="left" w:pos="0"/>
                <w:tab w:val="left" w:pos="240"/>
                <w:tab w:val="left" w:pos="720"/>
              </w:tabs>
              <w:autoSpaceDE w:val="0"/>
              <w:autoSpaceDN w:val="0"/>
              <w:adjustRightInd w:val="0"/>
              <w:jc w:val="center"/>
              <w:rPr>
                <w:rFonts w:ascii="Times New Roman" w:hAnsi="Times New Roman"/>
                <w:snapToGrid/>
                <w:szCs w:val="24"/>
              </w:rPr>
            </w:pPr>
            <w:r w:rsidRPr="00D87167">
              <w:rPr>
                <w:rFonts w:ascii="Times New Roman" w:hAnsi="Times New Roman"/>
                <w:i/>
                <w:iCs/>
                <w:snapToGrid/>
                <w:color w:val="000000"/>
                <w:szCs w:val="24"/>
              </w:rPr>
              <w:t>Estimated annual frequency</w:t>
            </w:r>
          </w:p>
        </w:tc>
        <w:tc>
          <w:tcPr>
            <w:tcW w:w="1440" w:type="dxa"/>
            <w:vAlign w:val="center"/>
          </w:tcPr>
          <w:p w:rsidR="00D87167" w:rsidRPr="00D87167" w:rsidRDefault="00D87167" w:rsidP="00D87167">
            <w:pPr>
              <w:tabs>
                <w:tab w:val="left" w:pos="-1440"/>
                <w:tab w:val="left" w:pos="-720"/>
                <w:tab w:val="left" w:pos="0"/>
                <w:tab w:val="left" w:pos="240"/>
                <w:tab w:val="left" w:pos="720"/>
              </w:tabs>
              <w:autoSpaceDE w:val="0"/>
              <w:autoSpaceDN w:val="0"/>
              <w:adjustRightInd w:val="0"/>
              <w:jc w:val="center"/>
              <w:rPr>
                <w:rFonts w:ascii="Times New Roman" w:hAnsi="Times New Roman"/>
                <w:i/>
                <w:iCs/>
                <w:snapToGrid/>
                <w:color w:val="000000"/>
                <w:szCs w:val="24"/>
              </w:rPr>
            </w:pPr>
            <w:r w:rsidRPr="00D87167">
              <w:rPr>
                <w:rFonts w:ascii="Times New Roman" w:hAnsi="Times New Roman"/>
                <w:i/>
                <w:iCs/>
                <w:snapToGrid/>
                <w:color w:val="000000"/>
                <w:szCs w:val="24"/>
              </w:rPr>
              <w:t>Estimated hours per  response</w:t>
            </w:r>
          </w:p>
        </w:tc>
        <w:tc>
          <w:tcPr>
            <w:tcW w:w="1440" w:type="dxa"/>
            <w:vAlign w:val="center"/>
          </w:tcPr>
          <w:p w:rsidR="00D87167" w:rsidRPr="00D87167" w:rsidRDefault="00D87167" w:rsidP="00D87167">
            <w:pPr>
              <w:tabs>
                <w:tab w:val="left" w:pos="-1440"/>
                <w:tab w:val="left" w:pos="-720"/>
                <w:tab w:val="left" w:pos="0"/>
                <w:tab w:val="left" w:pos="240"/>
                <w:tab w:val="left" w:pos="720"/>
                <w:tab w:val="left" w:pos="1440"/>
              </w:tabs>
              <w:autoSpaceDE w:val="0"/>
              <w:autoSpaceDN w:val="0"/>
              <w:adjustRightInd w:val="0"/>
              <w:jc w:val="center"/>
              <w:rPr>
                <w:rFonts w:ascii="Times New Roman" w:hAnsi="Times New Roman"/>
                <w:snapToGrid/>
                <w:szCs w:val="24"/>
              </w:rPr>
            </w:pPr>
            <w:r w:rsidRPr="00D87167">
              <w:rPr>
                <w:rFonts w:ascii="Times New Roman" w:hAnsi="Times New Roman"/>
                <w:i/>
                <w:iCs/>
                <w:snapToGrid/>
                <w:color w:val="000000"/>
                <w:szCs w:val="24"/>
              </w:rPr>
              <w:t>Estimated annual burden hours</w:t>
            </w:r>
          </w:p>
        </w:tc>
      </w:tr>
      <w:tr w:rsidR="00D87167" w:rsidRPr="00D87167" w:rsidTr="00923CCF">
        <w:trPr>
          <w:cantSplit/>
          <w:trHeight w:val="458"/>
          <w:jc w:val="center"/>
        </w:trPr>
        <w:tc>
          <w:tcPr>
            <w:tcW w:w="2880" w:type="dxa"/>
            <w:tcBorders>
              <w:bottom w:val="nil"/>
            </w:tcBorders>
          </w:tcPr>
          <w:p w:rsidR="00D87167" w:rsidRPr="00D87167" w:rsidRDefault="00D87167" w:rsidP="00D87167">
            <w:pPr>
              <w:tabs>
                <w:tab w:val="left" w:pos="-1440"/>
                <w:tab w:val="left" w:pos="-720"/>
                <w:tab w:val="left" w:pos="0"/>
                <w:tab w:val="left" w:pos="240"/>
                <w:tab w:val="left" w:pos="720"/>
                <w:tab w:val="left" w:pos="1440"/>
                <w:tab w:val="left" w:pos="2160"/>
                <w:tab w:val="left" w:pos="2880"/>
              </w:tabs>
              <w:autoSpaceDE w:val="0"/>
              <w:autoSpaceDN w:val="0"/>
              <w:adjustRightInd w:val="0"/>
              <w:spacing w:before="163" w:after="19"/>
              <w:rPr>
                <w:rFonts w:ascii="Times New Roman" w:hAnsi="Times New Roman"/>
                <w:snapToGrid/>
                <w:szCs w:val="24"/>
              </w:rPr>
            </w:pPr>
            <w:r w:rsidRPr="00D87167">
              <w:rPr>
                <w:rFonts w:ascii="Times New Roman" w:hAnsi="Times New Roman"/>
                <w:snapToGrid/>
                <w:szCs w:val="24"/>
              </w:rPr>
              <w:t>Recordkeeping</w:t>
            </w:r>
          </w:p>
        </w:tc>
        <w:tc>
          <w:tcPr>
            <w:tcW w:w="1530" w:type="dxa"/>
            <w:tcBorders>
              <w:bottom w:val="nil"/>
            </w:tcBorders>
          </w:tcPr>
          <w:p w:rsidR="00D87167" w:rsidRPr="00D87167" w:rsidRDefault="00D87167" w:rsidP="00D87167">
            <w:pPr>
              <w:tabs>
                <w:tab w:val="left" w:pos="-1440"/>
                <w:tab w:val="left" w:pos="-720"/>
                <w:tab w:val="left" w:pos="0"/>
                <w:tab w:val="left" w:pos="240"/>
                <w:tab w:val="left" w:pos="720"/>
                <w:tab w:val="left" w:pos="1440"/>
              </w:tabs>
              <w:autoSpaceDE w:val="0"/>
              <w:autoSpaceDN w:val="0"/>
              <w:adjustRightInd w:val="0"/>
              <w:spacing w:before="163" w:after="19"/>
              <w:jc w:val="center"/>
              <w:rPr>
                <w:rFonts w:ascii="Times New Roman" w:hAnsi="Times New Roman"/>
                <w:snapToGrid/>
                <w:szCs w:val="24"/>
              </w:rPr>
            </w:pPr>
            <w:r w:rsidRPr="00D87167">
              <w:rPr>
                <w:rFonts w:ascii="Times New Roman" w:hAnsi="Times New Roman"/>
                <w:snapToGrid/>
                <w:szCs w:val="24"/>
              </w:rPr>
              <w:t>834</w:t>
            </w:r>
          </w:p>
        </w:tc>
        <w:tc>
          <w:tcPr>
            <w:tcW w:w="1350" w:type="dxa"/>
            <w:tcBorders>
              <w:bottom w:val="nil"/>
            </w:tcBorders>
          </w:tcPr>
          <w:p w:rsidR="00D87167" w:rsidRPr="00D87167" w:rsidRDefault="00D87167" w:rsidP="00D87167">
            <w:pPr>
              <w:tabs>
                <w:tab w:val="left" w:pos="-1440"/>
                <w:tab w:val="left" w:pos="-720"/>
                <w:tab w:val="left" w:pos="0"/>
                <w:tab w:val="left" w:pos="240"/>
                <w:tab w:val="left" w:pos="720"/>
              </w:tabs>
              <w:autoSpaceDE w:val="0"/>
              <w:autoSpaceDN w:val="0"/>
              <w:adjustRightInd w:val="0"/>
              <w:spacing w:before="163" w:after="19"/>
              <w:jc w:val="center"/>
              <w:rPr>
                <w:rFonts w:ascii="Times New Roman" w:hAnsi="Times New Roman"/>
                <w:snapToGrid/>
                <w:szCs w:val="24"/>
              </w:rPr>
            </w:pPr>
            <w:r w:rsidRPr="00D87167">
              <w:rPr>
                <w:rFonts w:ascii="Times New Roman" w:hAnsi="Times New Roman"/>
                <w:snapToGrid/>
                <w:szCs w:val="24"/>
              </w:rPr>
              <w:t>1</w:t>
            </w:r>
          </w:p>
        </w:tc>
        <w:tc>
          <w:tcPr>
            <w:tcW w:w="1440" w:type="dxa"/>
            <w:tcBorders>
              <w:bottom w:val="nil"/>
            </w:tcBorders>
          </w:tcPr>
          <w:p w:rsidR="00D87167" w:rsidRPr="00D87167" w:rsidRDefault="00D87167" w:rsidP="00D87167">
            <w:pPr>
              <w:tabs>
                <w:tab w:val="left" w:pos="-1440"/>
                <w:tab w:val="left" w:pos="-720"/>
                <w:tab w:val="left" w:pos="0"/>
                <w:tab w:val="left" w:pos="240"/>
                <w:tab w:val="left" w:pos="720"/>
              </w:tabs>
              <w:autoSpaceDE w:val="0"/>
              <w:autoSpaceDN w:val="0"/>
              <w:adjustRightInd w:val="0"/>
              <w:spacing w:before="163" w:after="19"/>
              <w:jc w:val="center"/>
              <w:rPr>
                <w:rFonts w:ascii="Times New Roman" w:hAnsi="Times New Roman"/>
                <w:snapToGrid/>
                <w:szCs w:val="24"/>
              </w:rPr>
            </w:pPr>
            <w:r w:rsidRPr="00D87167">
              <w:rPr>
                <w:rFonts w:ascii="Times New Roman" w:hAnsi="Times New Roman"/>
                <w:snapToGrid/>
                <w:szCs w:val="24"/>
              </w:rPr>
              <w:t xml:space="preserve">8 </w:t>
            </w:r>
          </w:p>
        </w:tc>
        <w:tc>
          <w:tcPr>
            <w:tcW w:w="1440" w:type="dxa"/>
            <w:tcBorders>
              <w:bottom w:val="nil"/>
            </w:tcBorders>
          </w:tcPr>
          <w:p w:rsidR="00D87167" w:rsidRPr="00D87167" w:rsidRDefault="00D87167" w:rsidP="00D87167">
            <w:pPr>
              <w:tabs>
                <w:tab w:val="left" w:pos="-1440"/>
                <w:tab w:val="left" w:pos="-720"/>
                <w:tab w:val="left" w:pos="0"/>
                <w:tab w:val="left" w:pos="240"/>
                <w:tab w:val="left" w:pos="720"/>
                <w:tab w:val="left" w:pos="1440"/>
              </w:tabs>
              <w:autoSpaceDE w:val="0"/>
              <w:autoSpaceDN w:val="0"/>
              <w:adjustRightInd w:val="0"/>
              <w:spacing w:before="163" w:after="19"/>
              <w:jc w:val="center"/>
              <w:rPr>
                <w:rFonts w:ascii="Times New Roman" w:hAnsi="Times New Roman"/>
                <w:snapToGrid/>
                <w:szCs w:val="24"/>
              </w:rPr>
            </w:pPr>
            <w:r w:rsidRPr="00D87167">
              <w:rPr>
                <w:rFonts w:ascii="Times New Roman" w:hAnsi="Times New Roman"/>
                <w:snapToGrid/>
                <w:szCs w:val="24"/>
              </w:rPr>
              <w:t>6,672</w:t>
            </w:r>
          </w:p>
        </w:tc>
      </w:tr>
    </w:tbl>
    <w:p w:rsidR="00D87167" w:rsidRPr="00D87167" w:rsidRDefault="00D87167" w:rsidP="00D87167">
      <w:pPr>
        <w:autoSpaceDE w:val="0"/>
        <w:autoSpaceDN w:val="0"/>
        <w:adjustRightInd w:val="0"/>
        <w:jc w:val="both"/>
        <w:rPr>
          <w:rFonts w:ascii="Times New Roman" w:hAnsi="Times New Roman"/>
          <w:snapToGrid/>
          <w:color w:val="000000"/>
          <w:szCs w:val="24"/>
        </w:rPr>
      </w:pPr>
      <w:r w:rsidRPr="00D87167">
        <w:rPr>
          <w:rFonts w:ascii="Times New Roman" w:hAnsi="Times New Roman"/>
          <w:snapToGrid/>
          <w:color w:val="000000"/>
          <w:szCs w:val="24"/>
        </w:rPr>
        <w:t xml:space="preserve">     ________________________________________________________________________ </w:t>
      </w:r>
    </w:p>
    <w:p w:rsidR="00D87167" w:rsidRPr="00D87167" w:rsidRDefault="00D87167" w:rsidP="00D87167">
      <w:pPr>
        <w:autoSpaceDE w:val="0"/>
        <w:autoSpaceDN w:val="0"/>
        <w:adjustRightInd w:val="0"/>
        <w:rPr>
          <w:rFonts w:ascii="Times New Roman" w:hAnsi="Times New Roman"/>
          <w:snapToGrid/>
          <w:szCs w:val="24"/>
        </w:rPr>
      </w:pPr>
    </w:p>
    <w:p w:rsidR="00D87167" w:rsidRPr="00D87167" w:rsidRDefault="00D87167" w:rsidP="00D87167">
      <w:pPr>
        <w:autoSpaceDE w:val="0"/>
        <w:autoSpaceDN w:val="0"/>
        <w:adjustRightInd w:val="0"/>
        <w:rPr>
          <w:rFonts w:ascii="Times New Roman" w:hAnsi="Times New Roman"/>
          <w:snapToGrid/>
          <w:color w:val="000000"/>
          <w:szCs w:val="24"/>
        </w:rPr>
      </w:pPr>
      <w:r w:rsidRPr="00D87167">
        <w:rPr>
          <w:rFonts w:ascii="Times New Roman" w:hAnsi="Times New Roman"/>
          <w:snapToGrid/>
          <w:szCs w:val="24"/>
        </w:rPr>
        <w:t>The total cost to the public is estimated to be $33</w:t>
      </w:r>
      <w:r w:rsidR="00F32797">
        <w:rPr>
          <w:rFonts w:ascii="Times New Roman" w:hAnsi="Times New Roman"/>
          <w:snapToGrid/>
          <w:szCs w:val="24"/>
        </w:rPr>
        <w:t>9</w:t>
      </w:r>
      <w:r w:rsidRPr="00D87167">
        <w:rPr>
          <w:rFonts w:ascii="Times New Roman" w:hAnsi="Times New Roman"/>
          <w:snapToGrid/>
          <w:szCs w:val="24"/>
        </w:rPr>
        <w:t>,</w:t>
      </w:r>
      <w:r w:rsidR="00F32797">
        <w:rPr>
          <w:rFonts w:ascii="Times New Roman" w:hAnsi="Times New Roman"/>
          <w:snapToGrid/>
          <w:szCs w:val="24"/>
        </w:rPr>
        <w:t>605</w:t>
      </w:r>
      <w:r w:rsidRPr="00D87167">
        <w:rPr>
          <w:rFonts w:ascii="Times New Roman" w:hAnsi="Times New Roman"/>
          <w:snapToGrid/>
          <w:color w:val="000000"/>
          <w:szCs w:val="24"/>
        </w:rPr>
        <w:t>.</w:t>
      </w:r>
      <w:r w:rsidR="00F32797">
        <w:rPr>
          <w:rStyle w:val="FootnoteReference"/>
          <w:rFonts w:ascii="Times New Roman" w:hAnsi="Times New Roman"/>
          <w:snapToGrid/>
          <w:color w:val="000000"/>
          <w:szCs w:val="24"/>
        </w:rPr>
        <w:footnoteReference w:id="4"/>
      </w:r>
    </w:p>
    <w:p w:rsidR="00D87167" w:rsidRDefault="00D87167" w:rsidP="00D87167">
      <w:pPr>
        <w:widowControl/>
        <w:rPr>
          <w:rFonts w:ascii="Times New Roman" w:hAnsi="Times New Roman"/>
          <w:b/>
          <w:bCs/>
          <w:snapToGrid/>
          <w:color w:val="000000"/>
          <w:szCs w:val="24"/>
        </w:rPr>
      </w:pPr>
    </w:p>
    <w:p w:rsidR="00D87167" w:rsidRPr="00D87167" w:rsidRDefault="00D87167" w:rsidP="00D87167">
      <w:pPr>
        <w:widowControl/>
        <w:rPr>
          <w:rFonts w:ascii="Times New Roman" w:hAnsi="Times New Roman"/>
          <w:snapToGrid/>
          <w:color w:val="000000"/>
          <w:szCs w:val="24"/>
        </w:rPr>
      </w:pPr>
      <w:r w:rsidRPr="00D87167">
        <w:rPr>
          <w:rFonts w:ascii="Times New Roman" w:hAnsi="Times New Roman"/>
          <w:b/>
          <w:bCs/>
          <w:snapToGrid/>
          <w:color w:val="000000"/>
          <w:szCs w:val="24"/>
        </w:rPr>
        <w:t>Estimate of Cost to the Federal Reserve System</w:t>
      </w:r>
    </w:p>
    <w:p w:rsidR="00D87167" w:rsidRPr="00D87167" w:rsidRDefault="00D87167" w:rsidP="00D8716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snapToGrid/>
          <w:color w:val="000000"/>
          <w:szCs w:val="24"/>
        </w:rPr>
      </w:pPr>
    </w:p>
    <w:p w:rsidR="00D87167" w:rsidRPr="00D87167" w:rsidRDefault="00D87167" w:rsidP="00D87167">
      <w:pPr>
        <w:autoSpaceDE w:val="0"/>
        <w:autoSpaceDN w:val="0"/>
        <w:adjustRightInd w:val="0"/>
        <w:rPr>
          <w:rFonts w:ascii="Times New Roman" w:hAnsi="Times New Roman"/>
          <w:snapToGrid/>
          <w:color w:val="000000"/>
          <w:szCs w:val="24"/>
        </w:rPr>
      </w:pPr>
      <w:r w:rsidRPr="00D87167">
        <w:rPr>
          <w:rFonts w:ascii="Times New Roman" w:hAnsi="Times New Roman"/>
          <w:snapToGrid/>
          <w:color w:val="000000"/>
          <w:szCs w:val="24"/>
        </w:rPr>
        <w:tab/>
        <w:t>The cost to the Federal Reserve System is negligible because the Federal Reserve does not collect any information.</w:t>
      </w:r>
    </w:p>
    <w:p w:rsidR="00D87167" w:rsidRPr="00D87167" w:rsidRDefault="00D87167" w:rsidP="00D87167">
      <w:pPr>
        <w:autoSpaceDE w:val="0"/>
        <w:autoSpaceDN w:val="0"/>
        <w:adjustRightInd w:val="0"/>
        <w:spacing w:line="360" w:lineRule="auto"/>
        <w:rPr>
          <w:rFonts w:ascii="Times New Roman" w:hAnsi="Times New Roman"/>
          <w:snapToGrid/>
          <w:szCs w:val="24"/>
        </w:rPr>
      </w:pPr>
    </w:p>
    <w:p w:rsidR="00D172C5" w:rsidRPr="00E96604" w:rsidRDefault="00D172C5" w:rsidP="00D87167">
      <w:pPr>
        <w:rPr>
          <w:b/>
          <w:bCs/>
        </w:rPr>
      </w:pPr>
    </w:p>
    <w:sectPr w:rsidR="00D172C5" w:rsidRPr="00E96604" w:rsidSect="00824FC7">
      <w:headerReference w:type="default" r:id="rId8"/>
      <w:footerReference w:type="even" r:id="rId9"/>
      <w:footerReference w:type="default" r:id="rId10"/>
      <w:endnotePr>
        <w:numFmt w:val="decimal"/>
      </w:endnotePr>
      <w:pgSz w:w="12240" w:h="15840"/>
      <w:pgMar w:top="1440" w:right="1440" w:bottom="63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CF" w:rsidRDefault="00923CCF">
      <w:r>
        <w:separator/>
      </w:r>
    </w:p>
  </w:endnote>
  <w:endnote w:type="continuationSeparator" w:id="0">
    <w:p w:rsidR="00923CCF" w:rsidRDefault="0092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F" w:rsidRDefault="00923CCF" w:rsidP="00824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3CCF" w:rsidRDefault="00923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F" w:rsidRDefault="00923CCF">
    <w:pPr>
      <w:pStyle w:val="MemoHeader"/>
      <w:widowControl w:val="0"/>
      <w:spacing w:line="240" w:lineRule="exact"/>
      <w:rPr>
        <w:rFonts w:ascii="Times New Roman" w:hAnsi="Times New Roman"/>
        <w:i/>
        <w:smallCaps w:val="0"/>
        <w:snapToGrid w:val="0"/>
        <w:sz w:val="22"/>
      </w:rPr>
    </w:pPr>
  </w:p>
  <w:p w:rsidR="00923CCF" w:rsidRDefault="00923CCF" w:rsidP="00824FC7">
    <w:pPr>
      <w:framePr w:wrap="around" w:vAnchor="text" w:hAnchor="margin" w:xAlign="center" w:y="1"/>
      <w:jc w:val="center"/>
      <w:rPr>
        <w:rFonts w:ascii="Times New Roman" w:hAnsi="Times New Roman"/>
        <w:sz w:val="22"/>
      </w:rPr>
    </w:pPr>
    <w:r>
      <w:rPr>
        <w:rFonts w:ascii="Times New Roman" w:hAnsi="Times New Roman"/>
        <w:sz w:val="22"/>
      </w:rPr>
      <w:t>-</w:t>
    </w: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7A4474">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rsidR="00923CCF" w:rsidRDefault="00923C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CF" w:rsidRDefault="00923CCF">
      <w:r>
        <w:separator/>
      </w:r>
    </w:p>
  </w:footnote>
  <w:footnote w:type="continuationSeparator" w:id="0">
    <w:p w:rsidR="00923CCF" w:rsidRDefault="00923CCF">
      <w:r>
        <w:continuationSeparator/>
      </w:r>
    </w:p>
  </w:footnote>
  <w:footnote w:id="1">
    <w:p w:rsidR="00923CCF" w:rsidRPr="00D87167" w:rsidRDefault="00923CCF" w:rsidP="00D87167">
      <w:pPr>
        <w:pStyle w:val="FootnoteText"/>
        <w:jc w:val="both"/>
        <w:rPr>
          <w:rFonts w:ascii="Times New Roman" w:hAnsi="Times New Roman"/>
          <w:u w:val="single"/>
        </w:rPr>
      </w:pPr>
      <w:r w:rsidRPr="00D87167">
        <w:rPr>
          <w:rStyle w:val="FootnoteReference"/>
          <w:rFonts w:ascii="Times New Roman" w:hAnsi="Times New Roman"/>
        </w:rPr>
        <w:footnoteRef/>
      </w:r>
      <w:r w:rsidRPr="00D87167">
        <w:rPr>
          <w:rFonts w:ascii="Times New Roman" w:hAnsi="Times New Roman"/>
        </w:rPr>
        <w:t xml:space="preserve">  </w:t>
      </w:r>
      <w:proofErr w:type="gramStart"/>
      <w:r w:rsidRPr="00D87167">
        <w:rPr>
          <w:rFonts w:ascii="Times New Roman" w:hAnsi="Times New Roman"/>
        </w:rPr>
        <w:t xml:space="preserve">44 U.S.C. § 3501 </w:t>
      </w:r>
      <w:r w:rsidRPr="00D87167">
        <w:rPr>
          <w:rFonts w:ascii="Times New Roman" w:hAnsi="Times New Roman"/>
          <w:u w:val="single"/>
        </w:rPr>
        <w:t>et</w:t>
      </w:r>
      <w:r w:rsidRPr="00D87167">
        <w:rPr>
          <w:rFonts w:ascii="Times New Roman" w:hAnsi="Times New Roman"/>
        </w:rPr>
        <w:t xml:space="preserve"> </w:t>
      </w:r>
      <w:r w:rsidRPr="00D87167">
        <w:rPr>
          <w:rFonts w:ascii="Times New Roman" w:hAnsi="Times New Roman"/>
          <w:u w:val="single"/>
        </w:rPr>
        <w:t>seq.</w:t>
      </w:r>
      <w:proofErr w:type="gramEnd"/>
    </w:p>
  </w:footnote>
  <w:footnote w:id="2">
    <w:p w:rsidR="00923CCF" w:rsidRPr="00D87167" w:rsidRDefault="00923CCF" w:rsidP="00D87167">
      <w:pPr>
        <w:pStyle w:val="FootnoteText"/>
        <w:rPr>
          <w:rFonts w:ascii="Times New Roman" w:hAnsi="Times New Roman"/>
        </w:rPr>
      </w:pPr>
      <w:r w:rsidRPr="00D87167">
        <w:rPr>
          <w:rStyle w:val="FootnoteReference"/>
          <w:rFonts w:ascii="Times New Roman" w:hAnsi="Times New Roman"/>
        </w:rPr>
        <w:footnoteRef/>
      </w:r>
      <w:r w:rsidRPr="00D87167">
        <w:rPr>
          <w:rFonts w:ascii="Times New Roman" w:hAnsi="Times New Roman"/>
        </w:rPr>
        <w:t xml:space="preserve">  The Board published a notice of proposed rulemaking in the </w:t>
      </w:r>
      <w:r w:rsidRPr="00D87167">
        <w:rPr>
          <w:rFonts w:ascii="Times New Roman" w:hAnsi="Times New Roman"/>
          <w:i/>
        </w:rPr>
        <w:t xml:space="preserve">Federal Register </w:t>
      </w:r>
      <w:r w:rsidRPr="00D87167">
        <w:rPr>
          <w:rFonts w:ascii="Times New Roman" w:hAnsi="Times New Roman"/>
        </w:rPr>
        <w:t>o</w:t>
      </w:r>
      <w:r w:rsidRPr="00D87167">
        <w:rPr>
          <w:rFonts w:ascii="Times New Roman" w:hAnsi="Times New Roman"/>
          <w:bCs/>
          <w:color w:val="000000"/>
        </w:rPr>
        <w:t xml:space="preserve">n July 20, 1992 (57 FR 31974) and a final rule in the </w:t>
      </w:r>
      <w:r w:rsidRPr="00D87167">
        <w:rPr>
          <w:rFonts w:ascii="Times New Roman" w:hAnsi="Times New Roman"/>
          <w:bCs/>
          <w:i/>
          <w:color w:val="000000"/>
        </w:rPr>
        <w:t>Federal Register</w:t>
      </w:r>
      <w:r w:rsidRPr="00D87167">
        <w:rPr>
          <w:rFonts w:ascii="Times New Roman" w:hAnsi="Times New Roman"/>
          <w:bCs/>
          <w:color w:val="000000"/>
        </w:rPr>
        <w:t xml:space="preserve"> on December 18, 1992 (57 FR 60086).</w:t>
      </w:r>
    </w:p>
  </w:footnote>
  <w:footnote w:id="3">
    <w:p w:rsidR="00923CCF" w:rsidRPr="00D87167" w:rsidRDefault="00923CCF" w:rsidP="00D87167">
      <w:pPr>
        <w:pStyle w:val="FootnoteText"/>
        <w:rPr>
          <w:rFonts w:ascii="Times New Roman" w:hAnsi="Times New Roman"/>
        </w:rPr>
      </w:pPr>
      <w:r w:rsidRPr="00D87167">
        <w:rPr>
          <w:rStyle w:val="FootnoteReference"/>
          <w:rFonts w:ascii="Times New Roman" w:hAnsi="Times New Roman"/>
        </w:rPr>
        <w:footnoteRef/>
      </w:r>
      <w:r w:rsidRPr="00D87167">
        <w:rPr>
          <w:rFonts w:ascii="Times New Roman" w:hAnsi="Times New Roman"/>
        </w:rPr>
        <w:t xml:space="preserve"> As of December 31, 2013, there were 834 state member banks.  Of these respondents, 369 are small entities as defined by the Small Business Administration (i.e., entities with less than $500 million in total assets) </w:t>
      </w:r>
      <w:hyperlink r:id="rId1" w:history="1">
        <w:r w:rsidRPr="00D87167">
          <w:rPr>
            <w:rFonts w:ascii="Times New Roman" w:hAnsi="Times New Roman"/>
            <w:color w:val="0000FF"/>
            <w:u w:val="single"/>
          </w:rPr>
          <w:t>www.sba.gov/contractingopportunities/officials/size/table/index.html</w:t>
        </w:r>
      </w:hyperlink>
      <w:r w:rsidRPr="00D87167">
        <w:rPr>
          <w:rFonts w:ascii="Times New Roman" w:hAnsi="Times New Roman"/>
        </w:rPr>
        <w:t>.</w:t>
      </w:r>
    </w:p>
  </w:footnote>
  <w:footnote w:id="4">
    <w:p w:rsidR="00923CCF" w:rsidRPr="00F32797" w:rsidRDefault="00923CCF">
      <w:pPr>
        <w:pStyle w:val="FootnoteText"/>
        <w:rPr>
          <w:rFonts w:ascii="Times New Roman" w:hAnsi="Times New Roman"/>
        </w:rPr>
      </w:pPr>
      <w:r w:rsidRPr="00F32797">
        <w:rPr>
          <w:rStyle w:val="FootnoteReference"/>
          <w:rFonts w:ascii="Times New Roman" w:hAnsi="Times New Roman"/>
        </w:rPr>
        <w:footnoteRef/>
      </w:r>
      <w:r w:rsidRPr="00F32797">
        <w:rPr>
          <w:rFonts w:ascii="Times New Roman" w:hAnsi="Times New Roman"/>
        </w:rPr>
        <w:t xml:space="preserve"> Total cost to the public was estimated using the following formula: percent of staff time, multiplied by annual burden hours, multiplied by hourly rates (30% Office &amp; Administrative Support at $18, 45% Financial Managers at $61, 15% Lawyers at $63, and 10% Chief Executives at $86).  Hourly rate for each occupational group are the (rounded) mean hourly wages from the Bureau of Labor and Statistics (BLS), Occupational Employment and Wages 2013, www.bls.gov/news.release/ocwage.nr0.htm.  Occupations are defined using the BLS Occupational Classification System, www.bls.gov/soc/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F" w:rsidRDefault="00923CC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BC55EB"/>
    <w:rsid w:val="000B3B65"/>
    <w:rsid w:val="00183620"/>
    <w:rsid w:val="00193A9A"/>
    <w:rsid w:val="001C7733"/>
    <w:rsid w:val="002507E7"/>
    <w:rsid w:val="002911C3"/>
    <w:rsid w:val="002C4E85"/>
    <w:rsid w:val="00302B67"/>
    <w:rsid w:val="0030470E"/>
    <w:rsid w:val="005C0F13"/>
    <w:rsid w:val="005D4C6A"/>
    <w:rsid w:val="00606D80"/>
    <w:rsid w:val="006E5E14"/>
    <w:rsid w:val="00781EA7"/>
    <w:rsid w:val="007A4474"/>
    <w:rsid w:val="007A5AC5"/>
    <w:rsid w:val="00807AEE"/>
    <w:rsid w:val="00824FC7"/>
    <w:rsid w:val="00873406"/>
    <w:rsid w:val="00923CCF"/>
    <w:rsid w:val="009F5AB7"/>
    <w:rsid w:val="00AC00AC"/>
    <w:rsid w:val="00BC55EB"/>
    <w:rsid w:val="00BE1207"/>
    <w:rsid w:val="00BE38DC"/>
    <w:rsid w:val="00CD0228"/>
    <w:rsid w:val="00D001E7"/>
    <w:rsid w:val="00D172C5"/>
    <w:rsid w:val="00D87167"/>
    <w:rsid w:val="00DB5F0A"/>
    <w:rsid w:val="00DD7B04"/>
    <w:rsid w:val="00E65BA7"/>
    <w:rsid w:val="00E96604"/>
    <w:rsid w:val="00EB3C46"/>
    <w:rsid w:val="00EC3D6D"/>
    <w:rsid w:val="00F23D78"/>
    <w:rsid w:val="00F32797"/>
    <w:rsid w:val="00F50C7F"/>
    <w:rsid w:val="00F80835"/>
    <w:rsid w:val="00F91A95"/>
    <w:rsid w:val="00FF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B65"/>
    <w:pPr>
      <w:widowControl w:val="0"/>
    </w:pPr>
    <w:rPr>
      <w:rFonts w:ascii="Courier" w:hAnsi="Courier"/>
      <w:snapToGrid w:val="0"/>
      <w:sz w:val="24"/>
    </w:rPr>
  </w:style>
  <w:style w:type="paragraph" w:styleId="Heading1">
    <w:name w:val="heading 1"/>
    <w:basedOn w:val="Normal"/>
    <w:next w:val="Normal"/>
    <w:qFormat/>
    <w:rsid w:val="000B3B6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w:hAnsi="Times"/>
      <w:b/>
    </w:rPr>
  </w:style>
  <w:style w:type="paragraph" w:styleId="Heading2">
    <w:name w:val="heading 2"/>
    <w:basedOn w:val="Normal"/>
    <w:next w:val="Normal"/>
    <w:qFormat/>
    <w:rsid w:val="000B3B65"/>
    <w:pPr>
      <w:keepNext/>
      <w:widowControl/>
      <w:ind w:left="720"/>
      <w:outlineLvl w:val="1"/>
    </w:pPr>
    <w:rPr>
      <w:rFonts w:ascii="Times" w:hAnsi="Times"/>
      <w:b/>
    </w:rPr>
  </w:style>
  <w:style w:type="paragraph" w:styleId="Heading3">
    <w:name w:val="heading 3"/>
    <w:basedOn w:val="Normal"/>
    <w:next w:val="Normal"/>
    <w:qFormat/>
    <w:rsid w:val="000B3B65"/>
    <w:pPr>
      <w:keepNext/>
      <w:widowControl/>
      <w:jc w:val="center"/>
      <w:outlineLvl w:val="2"/>
    </w:pPr>
    <w:rPr>
      <w:rFonts w:ascii="Arial" w:hAnsi="Arial"/>
      <w:b/>
      <w:smallCaps/>
      <w:snapToGrid/>
      <w:sz w:val="20"/>
    </w:rPr>
  </w:style>
  <w:style w:type="paragraph" w:styleId="Heading4">
    <w:name w:val="heading 4"/>
    <w:basedOn w:val="Normal"/>
    <w:next w:val="Normal"/>
    <w:qFormat/>
    <w:rsid w:val="000B3B65"/>
    <w:pPr>
      <w:keepNext/>
      <w:jc w:val="center"/>
      <w:outlineLvl w:val="3"/>
    </w:pPr>
    <w:rPr>
      <w:rFonts w:ascii="Times New Roman" w:hAnsi="Times New Roman"/>
      <w:i/>
      <w:color w:val="000000"/>
    </w:rPr>
  </w:style>
  <w:style w:type="paragraph" w:styleId="Heading5">
    <w:name w:val="heading 5"/>
    <w:basedOn w:val="Normal"/>
    <w:next w:val="Normal"/>
    <w:qFormat/>
    <w:rsid w:val="000B3B65"/>
    <w:pPr>
      <w:keepNext/>
      <w:jc w:val="center"/>
      <w:outlineLvl w:val="4"/>
    </w:pPr>
    <w:rPr>
      <w:rFonts w:ascii="Times New Roman" w:hAnsi="Times New Roman"/>
      <w:b/>
      <w:i/>
    </w:rPr>
  </w:style>
  <w:style w:type="paragraph" w:styleId="Heading6">
    <w:name w:val="heading 6"/>
    <w:basedOn w:val="Normal"/>
    <w:next w:val="Normal"/>
    <w:qFormat/>
    <w:rsid w:val="000B3B65"/>
    <w:pPr>
      <w:keepNext/>
      <w:jc w:val="center"/>
      <w:outlineLvl w:val="5"/>
    </w:pPr>
    <w:rPr>
      <w:rFonts w:ascii="Times New Roman" w:hAnsi="Times New Roman"/>
      <w:i/>
    </w:rPr>
  </w:style>
  <w:style w:type="paragraph" w:styleId="Heading7">
    <w:name w:val="heading 7"/>
    <w:basedOn w:val="Normal"/>
    <w:next w:val="Normal"/>
    <w:qFormat/>
    <w:rsid w:val="000B3B65"/>
    <w:pPr>
      <w:keepNext/>
      <w:outlineLvl w:val="6"/>
    </w:pPr>
    <w:rPr>
      <w:rFonts w:ascii="Times New Roman" w:hAnsi="Times New Roman"/>
      <w:b/>
      <w:bCs/>
      <w:color w:val="000000"/>
    </w:rPr>
  </w:style>
  <w:style w:type="paragraph" w:styleId="Heading8">
    <w:name w:val="heading 8"/>
    <w:basedOn w:val="Normal"/>
    <w:next w:val="Normal"/>
    <w:qFormat/>
    <w:rsid w:val="000B3B65"/>
    <w:pPr>
      <w:keepNext/>
      <w:widowControl/>
      <w:tabs>
        <w:tab w:val="left" w:pos="720"/>
      </w:tabs>
      <w:outlineLvl w:val="7"/>
    </w:pPr>
    <w:rPr>
      <w:rFonts w:ascii="Times New Roman" w:hAnsi="Times New Roman"/>
      <w:b/>
      <w:u w:val="single"/>
    </w:rPr>
  </w:style>
  <w:style w:type="paragraph" w:styleId="Heading9">
    <w:name w:val="heading 9"/>
    <w:basedOn w:val="Normal"/>
    <w:next w:val="Normal"/>
    <w:qFormat/>
    <w:rsid w:val="000B3B65"/>
    <w:pPr>
      <w:keepNext/>
      <w:tabs>
        <w:tab w:val="num" w:pos="720"/>
      </w:tabs>
      <w:jc w:val="center"/>
      <w:outlineLvl w:val="8"/>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B3B65"/>
    <w:rPr>
      <w:vertAlign w:val="superscript"/>
    </w:rPr>
  </w:style>
  <w:style w:type="paragraph" w:customStyle="1" w:styleId="a">
    <w:name w:val="_"/>
    <w:basedOn w:val="Normal"/>
    <w:rsid w:val="000B3B65"/>
    <w:pPr>
      <w:ind w:left="720" w:hanging="720"/>
    </w:pPr>
  </w:style>
  <w:style w:type="paragraph" w:styleId="BodyTextIndent">
    <w:name w:val="Body Text Indent"/>
    <w:basedOn w:val="Normal"/>
    <w:rsid w:val="000B3B65"/>
    <w:pPr>
      <w:widowControl/>
      <w:ind w:firstLine="720"/>
    </w:pPr>
    <w:rPr>
      <w:rFonts w:ascii="Times" w:hAnsi="Times"/>
    </w:rPr>
  </w:style>
  <w:style w:type="paragraph" w:styleId="BodyTextIndent2">
    <w:name w:val="Body Text Indent 2"/>
    <w:basedOn w:val="Normal"/>
    <w:rsid w:val="000B3B65"/>
    <w:pPr>
      <w:widowControl/>
      <w:tabs>
        <w:tab w:val="left" w:pos="360"/>
      </w:tabs>
      <w:ind w:firstLine="360"/>
    </w:pPr>
    <w:rPr>
      <w:rFonts w:ascii="Times" w:hAnsi="Times"/>
    </w:rPr>
  </w:style>
  <w:style w:type="paragraph" w:styleId="FootnoteText">
    <w:name w:val="footnote text"/>
    <w:basedOn w:val="Normal"/>
    <w:link w:val="FootnoteTextChar"/>
    <w:semiHidden/>
    <w:rsid w:val="000B3B65"/>
    <w:rPr>
      <w:sz w:val="20"/>
    </w:rPr>
  </w:style>
  <w:style w:type="paragraph" w:customStyle="1" w:styleId="MemoHeader">
    <w:name w:val="Memo Header"/>
    <w:basedOn w:val="Normal"/>
    <w:next w:val="Normal"/>
    <w:rsid w:val="000B3B65"/>
    <w:pPr>
      <w:widowControl/>
    </w:pPr>
    <w:rPr>
      <w:rFonts w:ascii="Arial" w:hAnsi="Arial"/>
      <w:smallCaps/>
      <w:snapToGrid/>
    </w:rPr>
  </w:style>
  <w:style w:type="paragraph" w:styleId="BodyTextIndent3">
    <w:name w:val="Body Text Indent 3"/>
    <w:basedOn w:val="Normal"/>
    <w:rsid w:val="000B3B65"/>
    <w:pPr>
      <w:ind w:firstLine="720"/>
    </w:pPr>
    <w:rPr>
      <w:rFonts w:ascii="Times New Roman" w:hAnsi="Times New Roman"/>
      <w:b/>
    </w:rPr>
  </w:style>
  <w:style w:type="paragraph" w:styleId="BodyText">
    <w:name w:val="Body Text"/>
    <w:basedOn w:val="Normal"/>
    <w:rsid w:val="000B3B65"/>
    <w:pPr>
      <w:tabs>
        <w:tab w:val="num" w:pos="720"/>
      </w:tabs>
    </w:pPr>
    <w:rPr>
      <w:rFonts w:ascii="Times New Roman" w:hAnsi="Times New Roman"/>
      <w:b/>
    </w:rPr>
  </w:style>
  <w:style w:type="paragraph" w:styleId="Header">
    <w:name w:val="header"/>
    <w:basedOn w:val="Normal"/>
    <w:rsid w:val="000B3B65"/>
    <w:pPr>
      <w:tabs>
        <w:tab w:val="center" w:pos="4320"/>
        <w:tab w:val="right" w:pos="8640"/>
      </w:tabs>
    </w:pPr>
  </w:style>
  <w:style w:type="paragraph" w:styleId="Footer">
    <w:name w:val="footer"/>
    <w:basedOn w:val="Normal"/>
    <w:rsid w:val="000B3B65"/>
    <w:pPr>
      <w:tabs>
        <w:tab w:val="center" w:pos="4320"/>
        <w:tab w:val="right" w:pos="8640"/>
      </w:tabs>
    </w:pPr>
  </w:style>
  <w:style w:type="paragraph" w:styleId="DocumentMap">
    <w:name w:val="Document Map"/>
    <w:basedOn w:val="Normal"/>
    <w:semiHidden/>
    <w:rsid w:val="000B3B65"/>
    <w:pPr>
      <w:shd w:val="clear" w:color="auto" w:fill="000080"/>
    </w:pPr>
    <w:rPr>
      <w:rFonts w:ascii="Tahoma" w:hAnsi="Tahoma"/>
    </w:rPr>
  </w:style>
  <w:style w:type="paragraph" w:styleId="BodyText3">
    <w:name w:val="Body Text 3"/>
    <w:basedOn w:val="Normal"/>
    <w:rsid w:val="000B3B65"/>
    <w:pPr>
      <w:widowControl/>
      <w:tabs>
        <w:tab w:val="left" w:pos="720"/>
      </w:tabs>
    </w:pPr>
    <w:rPr>
      <w:rFonts w:ascii="Times New Roman" w:hAnsi="Times New Roman"/>
      <w:color w:val="FF0000"/>
    </w:rPr>
  </w:style>
  <w:style w:type="character" w:styleId="Hyperlink">
    <w:name w:val="Hyperlink"/>
    <w:basedOn w:val="DefaultParagraphFont"/>
    <w:rsid w:val="000B3B65"/>
    <w:rPr>
      <w:color w:val="0000FF"/>
      <w:u w:val="single"/>
    </w:rPr>
  </w:style>
  <w:style w:type="paragraph" w:styleId="BodyText2">
    <w:name w:val="Body Text 2"/>
    <w:basedOn w:val="Normal"/>
    <w:rsid w:val="000B3B65"/>
    <w:pPr>
      <w:widowControl/>
      <w:tabs>
        <w:tab w:val="left" w:pos="720"/>
      </w:tabs>
    </w:pPr>
    <w:rPr>
      <w:rFonts w:ascii="Times New Roman" w:hAnsi="Times New Roman"/>
      <w:b/>
      <w:color w:val="000000"/>
    </w:rPr>
  </w:style>
  <w:style w:type="paragraph" w:customStyle="1" w:styleId="Style">
    <w:name w:val="Style"/>
    <w:basedOn w:val="Normal"/>
    <w:rsid w:val="000B3B65"/>
    <w:pPr>
      <w:ind w:left="720" w:hanging="720"/>
    </w:pPr>
    <w:rPr>
      <w:rFonts w:ascii="Courier New" w:hAnsi="Courier New"/>
    </w:rPr>
  </w:style>
  <w:style w:type="paragraph" w:customStyle="1" w:styleId="Style0">
    <w:name w:val="Style0"/>
    <w:rsid w:val="00D172C5"/>
    <w:rPr>
      <w:rFonts w:ascii="Arial" w:hAnsi="Arial"/>
      <w:snapToGrid w:val="0"/>
      <w:sz w:val="24"/>
    </w:rPr>
  </w:style>
  <w:style w:type="character" w:styleId="PageNumber">
    <w:name w:val="page number"/>
    <w:basedOn w:val="DefaultParagraphFont"/>
    <w:rsid w:val="00824FC7"/>
  </w:style>
  <w:style w:type="character" w:customStyle="1" w:styleId="FootnoteTextChar">
    <w:name w:val="Footnote Text Char"/>
    <w:basedOn w:val="DefaultParagraphFont"/>
    <w:link w:val="FootnoteText"/>
    <w:semiHidden/>
    <w:rsid w:val="002911C3"/>
    <w:rPr>
      <w:rFonts w:ascii="Courier" w:hAnsi="Courier"/>
      <w:snapToGrid w:val="0"/>
      <w:lang w:val="en-US" w:eastAsia="en-US" w:bidi="ar-SA"/>
    </w:rPr>
  </w:style>
  <w:style w:type="paragraph" w:customStyle="1" w:styleId="Default">
    <w:name w:val="Default"/>
    <w:rsid w:val="002C4E85"/>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2507E7"/>
    <w:rPr>
      <w:sz w:val="16"/>
      <w:szCs w:val="16"/>
    </w:rPr>
  </w:style>
  <w:style w:type="paragraph" w:styleId="CommentText">
    <w:name w:val="annotation text"/>
    <w:basedOn w:val="Normal"/>
    <w:link w:val="CommentTextChar"/>
    <w:uiPriority w:val="99"/>
    <w:semiHidden/>
    <w:unhideWhenUsed/>
    <w:rsid w:val="002507E7"/>
    <w:rPr>
      <w:sz w:val="20"/>
    </w:rPr>
  </w:style>
  <w:style w:type="character" w:customStyle="1" w:styleId="CommentTextChar">
    <w:name w:val="Comment Text Char"/>
    <w:basedOn w:val="DefaultParagraphFont"/>
    <w:link w:val="CommentText"/>
    <w:uiPriority w:val="99"/>
    <w:semiHidden/>
    <w:rsid w:val="002507E7"/>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2507E7"/>
    <w:rPr>
      <w:b/>
      <w:bCs/>
    </w:rPr>
  </w:style>
  <w:style w:type="character" w:customStyle="1" w:styleId="CommentSubjectChar">
    <w:name w:val="Comment Subject Char"/>
    <w:basedOn w:val="CommentTextChar"/>
    <w:link w:val="CommentSubject"/>
    <w:uiPriority w:val="99"/>
    <w:semiHidden/>
    <w:rsid w:val="002507E7"/>
    <w:rPr>
      <w:rFonts w:ascii="Courier" w:hAnsi="Courier"/>
      <w:b/>
      <w:bCs/>
      <w:snapToGrid w:val="0"/>
    </w:rPr>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60959-AFAC-4B78-ADE4-7C9E09DC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6C5E6FE4.dotm</Template>
  <TotalTime>440</TotalTime>
  <Pages>3</Pages>
  <Words>1032</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INTERNAL FR</vt:lpstr>
    </vt:vector>
  </TitlesOfParts>
  <Company>Federal Reserve Board</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FR</dc:title>
  <dc:subject/>
  <dc:creator>Research &amp; Statistics</dc:creator>
  <cp:keywords/>
  <cp:lastModifiedBy>Scott W. Farmer</cp:lastModifiedBy>
  <cp:revision>11</cp:revision>
  <cp:lastPrinted>2009-01-06T19:55:00Z</cp:lastPrinted>
  <dcterms:created xsi:type="dcterms:W3CDTF">2009-10-19T17:47:00Z</dcterms:created>
  <dcterms:modified xsi:type="dcterms:W3CDTF">2014-07-21T14:31:00Z</dcterms:modified>
</cp:coreProperties>
</file>