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F80" w:rsidRDefault="00F87806" w:rsidP="00654E90">
      <w:pPr>
        <w:widowControl w:val="0"/>
        <w:spacing w:line="240" w:lineRule="exact"/>
        <w:jc w:val="center"/>
        <w:rPr>
          <w:rFonts w:ascii="Arial" w:hAnsi="Arial"/>
          <w:sz w:val="22"/>
        </w:rPr>
      </w:pPr>
      <w:bookmarkStart w:id="0" w:name="_GoBack"/>
      <w:bookmarkEnd w:id="0"/>
      <w:r>
        <w:rPr>
          <w:rFonts w:ascii="Arial" w:hAnsi="Arial"/>
          <w:sz w:val="22"/>
        </w:rPr>
        <w:t>FINAL</w:t>
      </w:r>
      <w:r w:rsidR="00CE40E3">
        <w:rPr>
          <w:rFonts w:ascii="Arial" w:hAnsi="Arial"/>
          <w:sz w:val="22"/>
        </w:rPr>
        <w:t xml:space="preserve"> </w:t>
      </w:r>
      <w:r w:rsidR="00945F80">
        <w:rPr>
          <w:rFonts w:ascii="Arial" w:hAnsi="Arial"/>
          <w:sz w:val="22"/>
        </w:rPr>
        <w:t>OMB SUPPORTING STATEMENT</w:t>
      </w:r>
    </w:p>
    <w:p w:rsidR="00945F80" w:rsidRDefault="00945F80" w:rsidP="00945F80">
      <w:pPr>
        <w:widowControl w:val="0"/>
        <w:spacing w:line="240" w:lineRule="exact"/>
        <w:jc w:val="center"/>
        <w:rPr>
          <w:rFonts w:ascii="Arial" w:hAnsi="Arial"/>
          <w:sz w:val="22"/>
        </w:rPr>
      </w:pPr>
      <w:r>
        <w:rPr>
          <w:rFonts w:ascii="Arial" w:hAnsi="Arial"/>
          <w:sz w:val="22"/>
        </w:rPr>
        <w:t>FOR</w:t>
      </w:r>
    </w:p>
    <w:p w:rsidR="00945F80" w:rsidRDefault="00945F80" w:rsidP="00945F80">
      <w:pPr>
        <w:widowControl w:val="0"/>
        <w:spacing w:line="240" w:lineRule="exact"/>
        <w:jc w:val="center"/>
        <w:rPr>
          <w:rFonts w:ascii="Arial" w:hAnsi="Arial"/>
          <w:sz w:val="22"/>
        </w:rPr>
      </w:pPr>
      <w:r>
        <w:rPr>
          <w:rFonts w:ascii="Arial" w:hAnsi="Arial"/>
          <w:sz w:val="22"/>
        </w:rPr>
        <w:t xml:space="preserve">10 CFR </w:t>
      </w:r>
      <w:proofErr w:type="gramStart"/>
      <w:r>
        <w:rPr>
          <w:rFonts w:ascii="Arial" w:hAnsi="Arial"/>
          <w:sz w:val="22"/>
        </w:rPr>
        <w:t>PART</w:t>
      </w:r>
      <w:proofErr w:type="gramEnd"/>
      <w:r>
        <w:rPr>
          <w:rFonts w:ascii="Arial" w:hAnsi="Arial"/>
          <w:sz w:val="22"/>
        </w:rPr>
        <w:t xml:space="preserve"> 61</w:t>
      </w:r>
    </w:p>
    <w:p w:rsidR="00945F80" w:rsidRDefault="00945F80" w:rsidP="00945F80">
      <w:pPr>
        <w:widowControl w:val="0"/>
        <w:spacing w:line="240" w:lineRule="exact"/>
        <w:jc w:val="center"/>
        <w:rPr>
          <w:rFonts w:ascii="Arial" w:hAnsi="Arial"/>
          <w:sz w:val="22"/>
        </w:rPr>
      </w:pPr>
      <w:r>
        <w:rPr>
          <w:rFonts w:ascii="Arial" w:hAnsi="Arial"/>
          <w:sz w:val="22"/>
        </w:rPr>
        <w:t>LICENSING REQUIREMENTS FOR</w:t>
      </w:r>
    </w:p>
    <w:p w:rsidR="00945F80" w:rsidRDefault="00945F80" w:rsidP="00945F80">
      <w:pPr>
        <w:widowControl w:val="0"/>
        <w:spacing w:line="240" w:lineRule="exact"/>
        <w:jc w:val="center"/>
        <w:rPr>
          <w:rFonts w:ascii="Arial" w:hAnsi="Arial"/>
          <w:sz w:val="22"/>
        </w:rPr>
      </w:pPr>
      <w:r>
        <w:rPr>
          <w:rFonts w:ascii="Arial" w:hAnsi="Arial"/>
          <w:sz w:val="22"/>
        </w:rPr>
        <w:t>LAND DISPOSAL OF RADIOACTIVE WASTE</w:t>
      </w:r>
    </w:p>
    <w:p w:rsidR="00945F80" w:rsidRDefault="00945F80" w:rsidP="00945F80">
      <w:pPr>
        <w:widowControl w:val="0"/>
        <w:spacing w:line="240" w:lineRule="exact"/>
        <w:jc w:val="center"/>
        <w:rPr>
          <w:rFonts w:ascii="Arial" w:hAnsi="Arial"/>
          <w:sz w:val="22"/>
        </w:rPr>
      </w:pPr>
      <w:r>
        <w:rPr>
          <w:rFonts w:ascii="Arial" w:hAnsi="Arial"/>
          <w:sz w:val="22"/>
        </w:rPr>
        <w:t>(3150-0135)</w:t>
      </w:r>
    </w:p>
    <w:p w:rsidR="00945F80" w:rsidRDefault="00945F80" w:rsidP="00945F80">
      <w:pPr>
        <w:widowControl w:val="0"/>
        <w:spacing w:line="240" w:lineRule="exact"/>
        <w:jc w:val="center"/>
        <w:rPr>
          <w:rFonts w:ascii="Arial" w:hAnsi="Arial"/>
          <w:sz w:val="22"/>
        </w:rPr>
      </w:pPr>
      <w:r>
        <w:rPr>
          <w:rFonts w:ascii="Arial" w:hAnsi="Arial"/>
          <w:sz w:val="22"/>
        </w:rPr>
        <w:t>---</w:t>
      </w:r>
    </w:p>
    <w:p w:rsidR="00945F80" w:rsidRDefault="00303195" w:rsidP="00945F80">
      <w:pPr>
        <w:widowControl w:val="0"/>
        <w:spacing w:line="240" w:lineRule="exact"/>
        <w:jc w:val="center"/>
        <w:rPr>
          <w:rFonts w:ascii="Arial" w:hAnsi="Arial"/>
          <w:sz w:val="22"/>
        </w:rPr>
      </w:pPr>
      <w:r>
        <w:rPr>
          <w:rFonts w:ascii="Arial" w:hAnsi="Arial"/>
          <w:sz w:val="22"/>
        </w:rPr>
        <w:t>EXTENSION</w:t>
      </w:r>
    </w:p>
    <w:p w:rsidR="00945F80" w:rsidRDefault="00945F80" w:rsidP="00945F80">
      <w:pPr>
        <w:widowControl w:val="0"/>
        <w:spacing w:line="240" w:lineRule="exact"/>
        <w:jc w:val="center"/>
        <w:rPr>
          <w:rFonts w:ascii="Arial" w:hAnsi="Arial"/>
          <w:sz w:val="22"/>
        </w:rPr>
      </w:pPr>
    </w:p>
    <w:p w:rsidR="00945F80" w:rsidRDefault="00945F80" w:rsidP="00945F80">
      <w:pPr>
        <w:widowControl w:val="0"/>
        <w:spacing w:line="240" w:lineRule="exact"/>
        <w:rPr>
          <w:rFonts w:ascii="Arial" w:hAnsi="Arial"/>
          <w:sz w:val="22"/>
        </w:rPr>
      </w:pPr>
    </w:p>
    <w:p w:rsidR="00945F80" w:rsidRDefault="00945F80" w:rsidP="00945F80">
      <w:pPr>
        <w:widowControl w:val="0"/>
        <w:spacing w:line="240" w:lineRule="exact"/>
        <w:rPr>
          <w:rFonts w:ascii="Arial" w:hAnsi="Arial"/>
          <w:sz w:val="22"/>
        </w:rPr>
      </w:pPr>
      <w:r>
        <w:rPr>
          <w:rFonts w:ascii="Arial" w:hAnsi="Arial"/>
          <w:sz w:val="22"/>
          <w:u w:val="single"/>
        </w:rPr>
        <w:t>Description of the Information Collection</w:t>
      </w:r>
    </w:p>
    <w:p w:rsidR="00945F80" w:rsidRDefault="00945F80" w:rsidP="00945F80">
      <w:pPr>
        <w:widowControl w:val="0"/>
        <w:spacing w:line="240" w:lineRule="exact"/>
        <w:rPr>
          <w:rFonts w:ascii="Arial" w:hAnsi="Arial"/>
          <w:sz w:val="22"/>
        </w:rPr>
      </w:pPr>
    </w:p>
    <w:p w:rsidR="00945F80" w:rsidRDefault="00684778" w:rsidP="00945F80">
      <w:pPr>
        <w:widowControl w:val="0"/>
        <w:spacing w:line="240" w:lineRule="exact"/>
        <w:rPr>
          <w:rFonts w:ascii="Arial" w:hAnsi="Arial"/>
          <w:sz w:val="22"/>
        </w:rPr>
      </w:pPr>
      <w:r>
        <w:rPr>
          <w:rFonts w:ascii="Arial" w:hAnsi="Arial"/>
          <w:sz w:val="22"/>
        </w:rPr>
        <w:t>T</w:t>
      </w:r>
      <w:r w:rsidR="00696748">
        <w:rPr>
          <w:rFonts w:ascii="Arial" w:hAnsi="Arial"/>
          <w:sz w:val="22"/>
        </w:rPr>
        <w:t>he Nuclear Regulatory Commission (NRC)</w:t>
      </w:r>
      <w:r>
        <w:rPr>
          <w:rFonts w:ascii="Arial" w:hAnsi="Arial"/>
          <w:sz w:val="22"/>
        </w:rPr>
        <w:t xml:space="preserve"> regulations</w:t>
      </w:r>
      <w:r w:rsidR="00AD420C">
        <w:rPr>
          <w:rFonts w:ascii="Arial" w:hAnsi="Arial"/>
          <w:sz w:val="22"/>
        </w:rPr>
        <w:t xml:space="preserve"> in 10 CFR Part 61, </w:t>
      </w:r>
      <w:r w:rsidR="00945F80">
        <w:rPr>
          <w:rFonts w:ascii="Arial" w:hAnsi="Arial"/>
          <w:sz w:val="22"/>
        </w:rPr>
        <w:t xml:space="preserve">establish the </w:t>
      </w:r>
      <w:r w:rsidR="00AD420C">
        <w:rPr>
          <w:rFonts w:ascii="Arial" w:hAnsi="Arial"/>
          <w:sz w:val="22"/>
        </w:rPr>
        <w:t xml:space="preserve">performance objectives, </w:t>
      </w:r>
      <w:r w:rsidR="00945F80">
        <w:rPr>
          <w:rFonts w:ascii="Arial" w:hAnsi="Arial"/>
          <w:sz w:val="22"/>
        </w:rPr>
        <w:t xml:space="preserve">procedures, criteria, and terms and conditions upon which the </w:t>
      </w:r>
      <w:r w:rsidR="00DF26E1">
        <w:rPr>
          <w:rFonts w:ascii="Arial" w:hAnsi="Arial"/>
          <w:sz w:val="22"/>
        </w:rPr>
        <w:t>NRC</w:t>
      </w:r>
      <w:r w:rsidR="00945F80">
        <w:rPr>
          <w:rFonts w:ascii="Arial" w:hAnsi="Arial"/>
          <w:sz w:val="22"/>
        </w:rPr>
        <w:t xml:space="preserve"> issues licenses for the disposal of </w:t>
      </w:r>
      <w:r w:rsidR="00112E8E">
        <w:rPr>
          <w:rFonts w:ascii="Arial" w:hAnsi="Arial"/>
          <w:sz w:val="22"/>
        </w:rPr>
        <w:t>L</w:t>
      </w:r>
      <w:r w:rsidR="00945F80">
        <w:rPr>
          <w:rFonts w:ascii="Arial" w:hAnsi="Arial"/>
          <w:sz w:val="22"/>
        </w:rPr>
        <w:t>ow-</w:t>
      </w:r>
      <w:r w:rsidR="00112E8E">
        <w:rPr>
          <w:rFonts w:ascii="Arial" w:hAnsi="Arial"/>
          <w:sz w:val="22"/>
        </w:rPr>
        <w:t>L</w:t>
      </w:r>
      <w:r w:rsidR="00945F80">
        <w:rPr>
          <w:rFonts w:ascii="Arial" w:hAnsi="Arial"/>
          <w:sz w:val="22"/>
        </w:rPr>
        <w:t xml:space="preserve">evel </w:t>
      </w:r>
      <w:r w:rsidR="00112E8E">
        <w:rPr>
          <w:rFonts w:ascii="Arial" w:hAnsi="Arial"/>
          <w:sz w:val="22"/>
        </w:rPr>
        <w:t>R</w:t>
      </w:r>
      <w:r w:rsidR="00945F80">
        <w:rPr>
          <w:rFonts w:ascii="Arial" w:hAnsi="Arial"/>
          <w:sz w:val="22"/>
        </w:rPr>
        <w:t xml:space="preserve">adioactive </w:t>
      </w:r>
      <w:r w:rsidR="00112E8E">
        <w:rPr>
          <w:rFonts w:ascii="Arial" w:hAnsi="Arial"/>
          <w:sz w:val="22"/>
        </w:rPr>
        <w:t>W</w:t>
      </w:r>
      <w:r w:rsidR="00945F80">
        <w:rPr>
          <w:rFonts w:ascii="Arial" w:hAnsi="Arial"/>
          <w:sz w:val="22"/>
        </w:rPr>
        <w:t>astes (LLW) containing byproduct, source, and special nuclear material received from other persons.  The regulations are issued pursuant to the Atomic Energy Act of 1954, as amended, and Title II of the Energy Reorganization Act of 1974, as amended.</w:t>
      </w:r>
    </w:p>
    <w:p w:rsidR="00945F80" w:rsidRDefault="00945F80" w:rsidP="00945F80">
      <w:pPr>
        <w:widowControl w:val="0"/>
        <w:spacing w:line="240" w:lineRule="exact"/>
        <w:rPr>
          <w:rFonts w:ascii="Arial" w:hAnsi="Arial"/>
          <w:sz w:val="22"/>
        </w:rPr>
      </w:pPr>
    </w:p>
    <w:p w:rsidR="00945F80" w:rsidRPr="0064722E" w:rsidRDefault="00945F80" w:rsidP="00945F80">
      <w:pPr>
        <w:widowControl w:val="0"/>
        <w:spacing w:line="240" w:lineRule="exact"/>
        <w:rPr>
          <w:rFonts w:ascii="Arial" w:hAnsi="Arial"/>
          <w:b/>
          <w:sz w:val="22"/>
        </w:rPr>
      </w:pPr>
      <w:r>
        <w:rPr>
          <w:rFonts w:ascii="Arial" w:hAnsi="Arial"/>
          <w:sz w:val="22"/>
        </w:rPr>
        <w:t>A.</w:t>
      </w:r>
      <w:r>
        <w:rPr>
          <w:rFonts w:ascii="Arial" w:hAnsi="Arial"/>
          <w:sz w:val="22"/>
        </w:rPr>
        <w:tab/>
      </w:r>
      <w:r>
        <w:rPr>
          <w:rFonts w:ascii="Arial" w:hAnsi="Arial"/>
          <w:sz w:val="22"/>
          <w:u w:val="single"/>
        </w:rPr>
        <w:t>Justification</w:t>
      </w:r>
    </w:p>
    <w:p w:rsidR="00945F80" w:rsidRPr="0064722E" w:rsidRDefault="00945F80" w:rsidP="00945F80">
      <w:pPr>
        <w:widowControl w:val="0"/>
        <w:spacing w:line="240" w:lineRule="exact"/>
        <w:rPr>
          <w:rFonts w:ascii="Arial" w:hAnsi="Arial"/>
          <w:b/>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 xml:space="preserve">Need for and Practical Utility of the Information Collection </w:t>
      </w:r>
    </w:p>
    <w:p w:rsidR="00945F80" w:rsidRDefault="00945F80" w:rsidP="00945F80">
      <w:pPr>
        <w:widowControl w:val="0"/>
        <w:spacing w:line="240" w:lineRule="exact"/>
        <w:rPr>
          <w:rFonts w:ascii="Arial" w:hAnsi="Arial"/>
          <w:sz w:val="22"/>
        </w:rPr>
      </w:pPr>
    </w:p>
    <w:p w:rsidR="00945F80" w:rsidRDefault="00696748" w:rsidP="003E737B">
      <w:pPr>
        <w:widowControl w:val="0"/>
        <w:spacing w:line="240" w:lineRule="exact"/>
        <w:ind w:left="1440"/>
        <w:rPr>
          <w:rFonts w:ascii="Arial" w:hAnsi="Arial"/>
          <w:sz w:val="22"/>
        </w:rPr>
      </w:pPr>
      <w:r>
        <w:rPr>
          <w:rFonts w:ascii="Arial" w:hAnsi="Arial"/>
          <w:sz w:val="22"/>
        </w:rPr>
        <w:t xml:space="preserve">10 CFR Part 61 requires information submissions in the form of </w:t>
      </w:r>
      <w:r w:rsidR="00945F80">
        <w:rPr>
          <w:rFonts w:ascii="Arial" w:hAnsi="Arial"/>
          <w:sz w:val="22"/>
        </w:rPr>
        <w:t>applications, reports, and records</w:t>
      </w:r>
      <w:r>
        <w:rPr>
          <w:rFonts w:ascii="Arial" w:hAnsi="Arial"/>
          <w:sz w:val="22"/>
        </w:rPr>
        <w:t xml:space="preserve">.  </w:t>
      </w:r>
      <w:r w:rsidR="00DF26E1">
        <w:rPr>
          <w:rFonts w:ascii="Arial" w:hAnsi="Arial"/>
          <w:sz w:val="22"/>
        </w:rPr>
        <w:t>The</w:t>
      </w:r>
      <w:r w:rsidR="00945F80">
        <w:rPr>
          <w:rFonts w:ascii="Arial" w:hAnsi="Arial"/>
          <w:sz w:val="22"/>
        </w:rPr>
        <w:t xml:space="preserve"> NRC </w:t>
      </w:r>
      <w:r w:rsidR="005E6AE7">
        <w:rPr>
          <w:rFonts w:ascii="Arial" w:hAnsi="Arial"/>
          <w:sz w:val="22"/>
        </w:rPr>
        <w:t xml:space="preserve">or Agreement State </w:t>
      </w:r>
      <w:r w:rsidR="00945F80">
        <w:rPr>
          <w:rFonts w:ascii="Arial" w:hAnsi="Arial"/>
          <w:sz w:val="22"/>
        </w:rPr>
        <w:t>staff</w:t>
      </w:r>
      <w:r w:rsidR="00274901">
        <w:rPr>
          <w:rFonts w:ascii="Arial" w:hAnsi="Arial"/>
          <w:sz w:val="22"/>
        </w:rPr>
        <w:t xml:space="preserve"> </w:t>
      </w:r>
      <w:r w:rsidR="00DF26E1">
        <w:rPr>
          <w:rFonts w:ascii="Arial" w:hAnsi="Arial"/>
          <w:sz w:val="22"/>
        </w:rPr>
        <w:t>need</w:t>
      </w:r>
      <w:r w:rsidR="00274901">
        <w:rPr>
          <w:rFonts w:ascii="Arial" w:hAnsi="Arial"/>
          <w:sz w:val="22"/>
        </w:rPr>
        <w:t>s</w:t>
      </w:r>
      <w:r w:rsidR="00DF26E1">
        <w:rPr>
          <w:rFonts w:ascii="Arial" w:hAnsi="Arial"/>
          <w:sz w:val="22"/>
        </w:rPr>
        <w:t xml:space="preserve"> th</w:t>
      </w:r>
      <w:r w:rsidR="00AD420C">
        <w:rPr>
          <w:rFonts w:ascii="Arial" w:hAnsi="Arial"/>
          <w:sz w:val="22"/>
        </w:rPr>
        <w:t>is information</w:t>
      </w:r>
      <w:r w:rsidR="00DF26E1">
        <w:rPr>
          <w:rFonts w:ascii="Arial" w:hAnsi="Arial"/>
          <w:sz w:val="22"/>
        </w:rPr>
        <w:t xml:space="preserve"> </w:t>
      </w:r>
      <w:r w:rsidR="00945F80">
        <w:rPr>
          <w:rFonts w:ascii="Arial" w:hAnsi="Arial"/>
          <w:sz w:val="22"/>
        </w:rPr>
        <w:t xml:space="preserve">to ensure adequate protection of public health and safety, common defense and security, and the environment.  </w:t>
      </w:r>
      <w:r w:rsidR="00AD420C">
        <w:rPr>
          <w:rFonts w:ascii="Arial" w:hAnsi="Arial"/>
          <w:sz w:val="22"/>
        </w:rPr>
        <w:t>The i</w:t>
      </w:r>
      <w:r w:rsidR="00945F80">
        <w:rPr>
          <w:rFonts w:ascii="Arial" w:hAnsi="Arial"/>
          <w:sz w:val="22"/>
        </w:rPr>
        <w:t>nformation</w:t>
      </w:r>
      <w:r w:rsidR="00AD420C">
        <w:rPr>
          <w:rFonts w:ascii="Arial" w:hAnsi="Arial"/>
          <w:sz w:val="22"/>
        </w:rPr>
        <w:t xml:space="preserve"> collection needs relative to</w:t>
      </w:r>
      <w:r w:rsidR="00945F80">
        <w:rPr>
          <w:rFonts w:ascii="Arial" w:hAnsi="Arial"/>
          <w:sz w:val="22"/>
        </w:rPr>
        <w:t xml:space="preserve"> requirements imposed by specific sections</w:t>
      </w:r>
      <w:r>
        <w:rPr>
          <w:rFonts w:ascii="Arial" w:hAnsi="Arial"/>
          <w:sz w:val="22"/>
        </w:rPr>
        <w:t xml:space="preserve"> of 10 CFR Part 61</w:t>
      </w:r>
      <w:r w:rsidR="00274901">
        <w:rPr>
          <w:rFonts w:ascii="Arial" w:hAnsi="Arial"/>
          <w:sz w:val="22"/>
        </w:rPr>
        <w:t>,</w:t>
      </w:r>
      <w:r w:rsidR="00945F80">
        <w:rPr>
          <w:rFonts w:ascii="Arial" w:hAnsi="Arial"/>
          <w:sz w:val="22"/>
        </w:rPr>
        <w:t xml:space="preserve"> </w:t>
      </w:r>
      <w:r w:rsidR="00AD420C">
        <w:rPr>
          <w:rFonts w:ascii="Arial" w:hAnsi="Arial"/>
          <w:sz w:val="22"/>
        </w:rPr>
        <w:t>are</w:t>
      </w:r>
      <w:r w:rsidR="00945F80">
        <w:rPr>
          <w:rFonts w:ascii="Arial" w:hAnsi="Arial"/>
          <w:sz w:val="22"/>
        </w:rPr>
        <w:t xml:space="preserve"> provided below.</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61.3(b)</w:t>
      </w:r>
      <w:r>
        <w:rPr>
          <w:rFonts w:ascii="Arial" w:hAnsi="Arial"/>
          <w:sz w:val="22"/>
        </w:rPr>
        <w:t xml:space="preserve"> requires that an application be filed and license be obtained before commencement of construction of a land disposal facility.</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The information submitted in the application pursuant to this section and other sections described below is reviewed by various NRC organizational units</w:t>
      </w:r>
      <w:r w:rsidR="00AD420C">
        <w:rPr>
          <w:rFonts w:ascii="Arial" w:hAnsi="Arial"/>
          <w:sz w:val="22"/>
        </w:rPr>
        <w:t>.  The NRC review determines</w:t>
      </w:r>
      <w:r>
        <w:rPr>
          <w:rFonts w:ascii="Arial" w:hAnsi="Arial"/>
          <w:sz w:val="22"/>
        </w:rPr>
        <w:t xml:space="preserve"> the adequacy of the applicant's</w:t>
      </w:r>
      <w:r w:rsidR="00AD420C">
        <w:rPr>
          <w:rFonts w:ascii="Arial" w:hAnsi="Arial"/>
          <w:sz w:val="22"/>
        </w:rPr>
        <w:t xml:space="preserve"> disposal facility</w:t>
      </w:r>
      <w:r w:rsidR="005E6AE7">
        <w:rPr>
          <w:rFonts w:ascii="Arial" w:hAnsi="Arial"/>
          <w:sz w:val="22"/>
        </w:rPr>
        <w:t>,</w:t>
      </w:r>
      <w:r>
        <w:rPr>
          <w:rFonts w:ascii="Arial" w:hAnsi="Arial"/>
          <w:sz w:val="22"/>
        </w:rPr>
        <w:t xml:space="preserve"> equipment, organization, training, experience, procedures</w:t>
      </w:r>
      <w:r w:rsidR="00112E8E">
        <w:rPr>
          <w:rFonts w:ascii="Arial" w:hAnsi="Arial"/>
          <w:sz w:val="22"/>
        </w:rPr>
        <w:t>,</w:t>
      </w:r>
      <w:r>
        <w:rPr>
          <w:rFonts w:ascii="Arial" w:hAnsi="Arial"/>
          <w:sz w:val="22"/>
        </w:rPr>
        <w:t xml:space="preserve"> and plans</w:t>
      </w:r>
      <w:r w:rsidR="00AD420C">
        <w:rPr>
          <w:rFonts w:ascii="Arial" w:hAnsi="Arial"/>
          <w:sz w:val="22"/>
        </w:rPr>
        <w:t xml:space="preserve"> relative to the NRC’s goals of</w:t>
      </w:r>
      <w:r>
        <w:rPr>
          <w:rFonts w:ascii="Arial" w:hAnsi="Arial"/>
          <w:sz w:val="22"/>
        </w:rPr>
        <w:t xml:space="preserve"> protectin</w:t>
      </w:r>
      <w:r w:rsidR="00DE106C">
        <w:rPr>
          <w:rFonts w:ascii="Arial" w:hAnsi="Arial"/>
          <w:sz w:val="22"/>
        </w:rPr>
        <w:t xml:space="preserve">g </w:t>
      </w:r>
      <w:r>
        <w:rPr>
          <w:rFonts w:ascii="Arial" w:hAnsi="Arial"/>
          <w:sz w:val="22"/>
        </w:rPr>
        <w:t>the public health and safety, common defense and security, and the environment.  The NRC</w:t>
      </w:r>
      <w:r w:rsidR="009754B8">
        <w:rPr>
          <w:rFonts w:ascii="Arial" w:hAnsi="Arial"/>
          <w:sz w:val="22"/>
        </w:rPr>
        <w:t>’s</w:t>
      </w:r>
      <w:r>
        <w:rPr>
          <w:rFonts w:ascii="Arial" w:hAnsi="Arial"/>
          <w:sz w:val="22"/>
        </w:rPr>
        <w:t xml:space="preserve"> review and findings </w:t>
      </w:r>
      <w:r w:rsidR="009754B8">
        <w:rPr>
          <w:rFonts w:ascii="Arial" w:hAnsi="Arial"/>
          <w:sz w:val="22"/>
        </w:rPr>
        <w:t>will</w:t>
      </w:r>
      <w:r>
        <w:rPr>
          <w:rFonts w:ascii="Arial" w:hAnsi="Arial"/>
          <w:sz w:val="22"/>
        </w:rPr>
        <w:t xml:space="preserve"> form the basis for NRC</w:t>
      </w:r>
      <w:r w:rsidR="009754B8">
        <w:rPr>
          <w:rFonts w:ascii="Arial" w:hAnsi="Arial"/>
          <w:sz w:val="22"/>
        </w:rPr>
        <w:t>’s</w:t>
      </w:r>
      <w:r>
        <w:rPr>
          <w:rFonts w:ascii="Arial" w:hAnsi="Arial"/>
          <w:sz w:val="22"/>
        </w:rPr>
        <w:t xml:space="preserve"> decisions concerning the issuance, modification, or revocation of licenses for land disposal of radioactive waste.</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61.6</w:t>
      </w:r>
      <w:r>
        <w:rPr>
          <w:rFonts w:ascii="Arial" w:hAnsi="Arial"/>
          <w:sz w:val="22"/>
        </w:rPr>
        <w:t xml:space="preserve"> provides that the Commission may, upon application by any interested person, or upon its own initiative, grant any exemption from the requirements of the regulations as it determines is authorized by law, will not endanger life or property or the common defense and security, and is otherwise in the public interest.</w:t>
      </w:r>
    </w:p>
    <w:p w:rsidR="00945F80" w:rsidRDefault="00945F80" w:rsidP="003E737B">
      <w:pPr>
        <w:widowControl w:val="0"/>
        <w:spacing w:line="240" w:lineRule="exact"/>
        <w:ind w:left="720"/>
        <w:rPr>
          <w:rFonts w:ascii="Arial" w:hAnsi="Arial"/>
          <w:sz w:val="22"/>
        </w:rPr>
      </w:pPr>
    </w:p>
    <w:p w:rsidR="00D15FC1" w:rsidRDefault="00197A32" w:rsidP="00274901">
      <w:pPr>
        <w:widowControl w:val="0"/>
        <w:spacing w:line="240" w:lineRule="exact"/>
        <w:ind w:left="1440"/>
        <w:rPr>
          <w:rFonts w:ascii="Arial" w:hAnsi="Arial"/>
          <w:sz w:val="22"/>
        </w:rPr>
      </w:pPr>
      <w:r>
        <w:rPr>
          <w:rFonts w:ascii="Arial" w:hAnsi="Arial"/>
          <w:sz w:val="22"/>
          <w:u w:val="single"/>
        </w:rPr>
        <w:t xml:space="preserve">Section </w:t>
      </w:r>
      <w:proofErr w:type="gramStart"/>
      <w:r>
        <w:rPr>
          <w:rFonts w:ascii="Arial" w:hAnsi="Arial"/>
          <w:sz w:val="22"/>
          <w:u w:val="single"/>
        </w:rPr>
        <w:t>61.9a(</w:t>
      </w:r>
      <w:proofErr w:type="gramEnd"/>
      <w:r>
        <w:rPr>
          <w:rFonts w:ascii="Arial" w:hAnsi="Arial"/>
          <w:sz w:val="22"/>
          <w:u w:val="single"/>
        </w:rPr>
        <w:t>b)</w:t>
      </w:r>
      <w:r>
        <w:rPr>
          <w:rFonts w:ascii="Arial" w:hAnsi="Arial"/>
          <w:sz w:val="22"/>
        </w:rPr>
        <w:t xml:space="preserve"> requires that an applicant or licensee notify the Commission of information which the licensee recognizes as having significant implications for the public health and safety or the common defense and security.  </w:t>
      </w:r>
      <w:r w:rsidR="00945F80">
        <w:rPr>
          <w:rFonts w:ascii="Arial" w:hAnsi="Arial"/>
          <w:sz w:val="22"/>
        </w:rPr>
        <w:t xml:space="preserve">This </w:t>
      </w:r>
      <w:r w:rsidR="00945F80">
        <w:rPr>
          <w:rFonts w:ascii="Arial" w:hAnsi="Arial"/>
          <w:sz w:val="22"/>
        </w:rPr>
        <w:lastRenderedPageBreak/>
        <w:t>requirement applies only to information which is not covered by other reporting or updating requirements.  The information must be provided within two working days.</w:t>
      </w:r>
    </w:p>
    <w:p w:rsidR="00242130" w:rsidRDefault="00242130" w:rsidP="00274901">
      <w:pPr>
        <w:widowControl w:val="0"/>
        <w:spacing w:line="240" w:lineRule="exact"/>
        <w:ind w:left="144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This requirement is necessary because there may be some circumstances in which a licensee possesses some information which could be important to the protection of public health and safety or the common defense and security but which is not otherwise required to be reported.  The codification of this full disclosure requirement should not result in significant additional burdens on applicants or licensees.  No formal program is required.  What is expected is that licensees will maintain a professional attitude toward safety and that if some potential safety information is identified by the licensee, the information will be provided freely and promptly to the NRC so that the agency can evaluate it and act on it if necessary.</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61.10</w:t>
      </w:r>
      <w:r>
        <w:rPr>
          <w:rFonts w:ascii="Arial" w:hAnsi="Arial"/>
          <w:sz w:val="22"/>
        </w:rPr>
        <w:t xml:space="preserve"> requires that an application contain information as set forth in Sections 61.11 through 61.16 and indicates that an environmental report in accordance with 10 CFR Part 51 must also accompany the application.</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61.11</w:t>
      </w:r>
      <w:r>
        <w:rPr>
          <w:rFonts w:ascii="Arial" w:hAnsi="Arial"/>
          <w:sz w:val="22"/>
        </w:rPr>
        <w:t xml:space="preserve"> outlines general information needed to clearly identify the applicant, to describe the applicant's qualifications, and to provide an overview of the </w:t>
      </w:r>
      <w:r w:rsidR="00DE106C">
        <w:rPr>
          <w:rFonts w:ascii="Arial" w:hAnsi="Arial"/>
          <w:sz w:val="22"/>
        </w:rPr>
        <w:t>proposed disposal facility and disposal activities</w:t>
      </w:r>
      <w:r>
        <w:rPr>
          <w:rFonts w:ascii="Arial" w:hAnsi="Arial"/>
          <w:sz w:val="22"/>
        </w:rPr>
        <w:t xml:space="preserve">.  This information is used to determine the appropriate </w:t>
      </w:r>
      <w:r w:rsidR="00DE106C">
        <w:rPr>
          <w:rFonts w:ascii="Arial" w:hAnsi="Arial"/>
          <w:sz w:val="22"/>
        </w:rPr>
        <w:t>responsible parties</w:t>
      </w:r>
      <w:r w:rsidR="004F4177">
        <w:rPr>
          <w:rFonts w:ascii="Arial" w:hAnsi="Arial"/>
          <w:sz w:val="22"/>
        </w:rPr>
        <w:t>,</w:t>
      </w:r>
      <w:r>
        <w:rPr>
          <w:rFonts w:ascii="Arial" w:hAnsi="Arial"/>
          <w:sz w:val="22"/>
        </w:rPr>
        <w:t xml:space="preserve"> and to understand the scope of the proposed activities.</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61.12</w:t>
      </w:r>
      <w:r>
        <w:rPr>
          <w:rFonts w:ascii="Arial" w:hAnsi="Arial"/>
          <w:sz w:val="22"/>
        </w:rPr>
        <w:t xml:space="preserve"> specifies</w:t>
      </w:r>
      <w:r w:rsidR="00DE106C">
        <w:rPr>
          <w:rFonts w:ascii="Arial" w:hAnsi="Arial"/>
          <w:sz w:val="22"/>
        </w:rPr>
        <w:t xml:space="preserve"> that</w:t>
      </w:r>
      <w:r>
        <w:rPr>
          <w:rFonts w:ascii="Arial" w:hAnsi="Arial"/>
          <w:sz w:val="22"/>
        </w:rPr>
        <w:t xml:space="preserve"> the information required to be submitted concerning the disposal site, includ</w:t>
      </w:r>
      <w:r w:rsidR="009754B8">
        <w:rPr>
          <w:rFonts w:ascii="Arial" w:hAnsi="Arial"/>
          <w:sz w:val="22"/>
        </w:rPr>
        <w:t>es</w:t>
      </w:r>
      <w:r>
        <w:rPr>
          <w:rFonts w:ascii="Arial" w:hAnsi="Arial"/>
          <w:sz w:val="22"/>
        </w:rPr>
        <w:t>: (a) natural and demographic site characteristics; (b) design features of the land disposal facility and the disposal units; (c) principal design criteria and their relationship to the performance objectives; (d) design basis natural events or phenomena and their relationship to the principal design criteria; (e) codes and standards applied to the design and which will apply to construction of the facilities; (f) construction and operation of the facility; (g) site closure plan</w:t>
      </w:r>
      <w:r w:rsidR="009754B8">
        <w:rPr>
          <w:rFonts w:ascii="Arial" w:hAnsi="Arial"/>
          <w:sz w:val="22"/>
        </w:rPr>
        <w:t>;</w:t>
      </w:r>
      <w:r>
        <w:rPr>
          <w:rFonts w:ascii="Arial" w:hAnsi="Arial"/>
          <w:sz w:val="22"/>
        </w:rPr>
        <w:t xml:space="preserve"> (h) natural resources at the site that could attract exploitation; (i) radioactive material to be disposed of; (j) quality control program for design, construction, operation and closure; (k) radiation safety program for control and monitoring of radioactive effluents; (l) environmental monitoring program and plan for corrective measures; (m) administrative procedures to be applied to control activities at the land disposal facility</w:t>
      </w:r>
      <w:r w:rsidR="009754B8">
        <w:rPr>
          <w:rFonts w:ascii="Arial" w:hAnsi="Arial"/>
          <w:sz w:val="22"/>
        </w:rPr>
        <w:t>;</w:t>
      </w:r>
      <w:r>
        <w:rPr>
          <w:rFonts w:ascii="Arial" w:hAnsi="Arial"/>
          <w:sz w:val="22"/>
        </w:rPr>
        <w:t xml:space="preserve"> and (n) a description of the land disposal facility electronic recordkeeping system.  This information is needed to permit NRC to determine that the performance objectives of Subpart C of </w:t>
      </w:r>
      <w:r w:rsidR="00486984">
        <w:rPr>
          <w:rFonts w:ascii="Arial" w:hAnsi="Arial"/>
          <w:sz w:val="22"/>
        </w:rPr>
        <w:t xml:space="preserve">10 CFR </w:t>
      </w:r>
      <w:r>
        <w:rPr>
          <w:rFonts w:ascii="Arial" w:hAnsi="Arial"/>
          <w:sz w:val="22"/>
        </w:rPr>
        <w:t>Part 61 and the technical requirements of Subpart D will be met.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61.13</w:t>
      </w:r>
      <w:r>
        <w:rPr>
          <w:rFonts w:ascii="Arial" w:hAnsi="Arial"/>
          <w:sz w:val="22"/>
        </w:rPr>
        <w:t xml:space="preserve"> specifies additional technical analyses that must be submitted, including: (a) protection of the general public from releases of radioactive material by various pathways; (b) protection of individuals from inadvertent intrusion; (c) protection of individuals during operations; and (d) natural processes, such as erosion, settlement of wastes, and drainage, that affect the need for ongoing active maintenance after closure.  This information is also required to determin</w:t>
      </w:r>
      <w:r w:rsidR="009754B8">
        <w:rPr>
          <w:rFonts w:ascii="Arial" w:hAnsi="Arial"/>
          <w:sz w:val="22"/>
        </w:rPr>
        <w:t>e</w:t>
      </w:r>
      <w:r>
        <w:rPr>
          <w:rFonts w:ascii="Arial" w:hAnsi="Arial"/>
          <w:sz w:val="22"/>
        </w:rPr>
        <w:t xml:space="preserve"> that the performance objectives of Subpart C will be met.</w:t>
      </w:r>
    </w:p>
    <w:p w:rsidR="00945F80" w:rsidRDefault="00945F80" w:rsidP="003E737B">
      <w:pPr>
        <w:widowControl w:val="0"/>
        <w:spacing w:line="240" w:lineRule="exact"/>
        <w:ind w:left="720"/>
        <w:rPr>
          <w:rFonts w:ascii="Arial" w:hAnsi="Arial"/>
          <w:sz w:val="22"/>
        </w:rPr>
      </w:pPr>
    </w:p>
    <w:p w:rsidR="00242130" w:rsidRDefault="00242130">
      <w:pPr>
        <w:rPr>
          <w:rFonts w:ascii="Arial" w:hAnsi="Arial"/>
          <w:sz w:val="22"/>
          <w:u w:val="single"/>
        </w:rPr>
      </w:pPr>
    </w:p>
    <w:p w:rsidR="00945F80" w:rsidRDefault="00274901" w:rsidP="003E737B">
      <w:pPr>
        <w:widowControl w:val="0"/>
        <w:spacing w:line="240" w:lineRule="exact"/>
        <w:ind w:left="1440"/>
        <w:rPr>
          <w:rFonts w:ascii="Arial" w:hAnsi="Arial"/>
          <w:sz w:val="22"/>
        </w:rPr>
      </w:pPr>
      <w:r>
        <w:rPr>
          <w:rFonts w:ascii="Arial" w:hAnsi="Arial"/>
          <w:sz w:val="22"/>
          <w:u w:val="single"/>
        </w:rPr>
        <w:lastRenderedPageBreak/>
        <w:t>Section 61.14</w:t>
      </w:r>
      <w:r>
        <w:rPr>
          <w:rFonts w:ascii="Arial" w:hAnsi="Arial"/>
          <w:sz w:val="22"/>
        </w:rPr>
        <w:t xml:space="preserve"> specifies the information required to be provided by the site land owner or potential land owner to enable the Commission to determine whether adequate institutional arrangements have been made for long-term care of the disposal site.</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61.15</w:t>
      </w:r>
      <w:r>
        <w:rPr>
          <w:rFonts w:ascii="Arial" w:hAnsi="Arial"/>
          <w:sz w:val="22"/>
        </w:rPr>
        <w:t xml:space="preserve"> requires the submission of financial information sufficient to demonstrate that the financial qualifications of the applicant are adequate to carry out the activities for which the license is sought and meet other financial assurance requirements specified in Subpart E</w:t>
      </w:r>
      <w:r w:rsidR="00DE106C">
        <w:rPr>
          <w:rFonts w:ascii="Arial" w:hAnsi="Arial"/>
          <w:sz w:val="22"/>
        </w:rPr>
        <w:t xml:space="preserve"> of 10 CFR Part 61</w:t>
      </w:r>
      <w:r>
        <w:rPr>
          <w:rFonts w:ascii="Arial" w:hAnsi="Arial"/>
          <w:sz w:val="22"/>
        </w:rPr>
        <w:t>.  This information is needed for NRC to determine that there will be sufficient funds to safely carry out disposal and long-term care</w:t>
      </w:r>
      <w:r w:rsidR="00DE106C">
        <w:rPr>
          <w:rFonts w:ascii="Arial" w:hAnsi="Arial"/>
          <w:sz w:val="22"/>
        </w:rPr>
        <w:t xml:space="preserve"> of the disposal facility</w:t>
      </w:r>
      <w:r>
        <w:rPr>
          <w:rFonts w:ascii="Arial" w:hAnsi="Arial"/>
          <w:sz w:val="22"/>
        </w:rPr>
        <w: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61.16</w:t>
      </w:r>
      <w:r>
        <w:rPr>
          <w:rFonts w:ascii="Arial" w:hAnsi="Arial"/>
          <w:sz w:val="22"/>
        </w:rPr>
        <w:t xml:space="preserve"> specifies information concerning </w:t>
      </w:r>
      <w:r w:rsidR="00554F80">
        <w:rPr>
          <w:rFonts w:ascii="Arial" w:hAnsi="Arial"/>
          <w:sz w:val="22"/>
        </w:rPr>
        <w:t xml:space="preserve">physical </w:t>
      </w:r>
      <w:r w:rsidR="007447F2">
        <w:rPr>
          <w:rFonts w:ascii="Arial" w:hAnsi="Arial"/>
          <w:sz w:val="22"/>
        </w:rPr>
        <w:t xml:space="preserve">security measures, </w:t>
      </w:r>
      <w:r>
        <w:rPr>
          <w:rFonts w:ascii="Arial" w:hAnsi="Arial"/>
          <w:sz w:val="22"/>
        </w:rPr>
        <w:t>and safety</w:t>
      </w:r>
      <w:r w:rsidR="00554F80">
        <w:rPr>
          <w:rFonts w:ascii="Arial" w:hAnsi="Arial"/>
          <w:sz w:val="22"/>
        </w:rPr>
        <w:t xml:space="preserve"> information</w:t>
      </w:r>
      <w:r>
        <w:rPr>
          <w:rFonts w:ascii="Arial" w:hAnsi="Arial"/>
          <w:sz w:val="22"/>
        </w:rPr>
        <w:t xml:space="preserve">, including </w:t>
      </w:r>
      <w:r w:rsidR="00242130">
        <w:rPr>
          <w:rFonts w:ascii="Arial" w:hAnsi="Arial"/>
          <w:sz w:val="22"/>
        </w:rPr>
        <w:t>criticality that</w:t>
      </w:r>
      <w:r>
        <w:rPr>
          <w:rFonts w:ascii="Arial" w:hAnsi="Arial"/>
          <w:sz w:val="22"/>
        </w:rPr>
        <w:t xml:space="preserve"> may be required with regard to special nuclear material.  This section primarily reflects existing requirements in other parts of the Commission's regulations concerning special nuclear material, and is needed since Part 70 licenses are no longer issued waste disposal licenses.  The information is reviewed by the </w:t>
      </w:r>
      <w:r w:rsidR="00F00B1D">
        <w:rPr>
          <w:rFonts w:ascii="Arial" w:hAnsi="Arial"/>
          <w:sz w:val="22"/>
        </w:rPr>
        <w:t>NRC staff</w:t>
      </w:r>
      <w:r>
        <w:rPr>
          <w:rFonts w:ascii="Arial" w:hAnsi="Arial"/>
          <w:sz w:val="22"/>
        </w:rPr>
        <w:t xml:space="preserve"> to </w:t>
      </w:r>
      <w:r w:rsidR="00554F80">
        <w:rPr>
          <w:rFonts w:ascii="Arial" w:hAnsi="Arial"/>
          <w:sz w:val="22"/>
        </w:rPr>
        <w:t xml:space="preserve">ensure </w:t>
      </w:r>
      <w:r>
        <w:rPr>
          <w:rFonts w:ascii="Arial" w:hAnsi="Arial"/>
          <w:sz w:val="22"/>
        </w:rPr>
        <w:t>safety, security, and accountability of special nuclear material.</w:t>
      </w:r>
    </w:p>
    <w:p w:rsidR="00945F80" w:rsidRDefault="00945F80" w:rsidP="003E737B">
      <w:pPr>
        <w:widowControl w:val="0"/>
        <w:spacing w:line="240" w:lineRule="exact"/>
        <w:ind w:left="720"/>
        <w:rPr>
          <w:rFonts w:ascii="Arial" w:hAnsi="Arial"/>
          <w:sz w:val="22"/>
        </w:rPr>
      </w:pPr>
    </w:p>
    <w:p w:rsidR="00945F80" w:rsidRDefault="00945F80" w:rsidP="0090472E">
      <w:pPr>
        <w:widowControl w:val="0"/>
        <w:spacing w:line="240" w:lineRule="exact"/>
        <w:ind w:left="1440"/>
        <w:rPr>
          <w:rFonts w:ascii="Arial" w:hAnsi="Arial"/>
          <w:sz w:val="22"/>
        </w:rPr>
      </w:pPr>
      <w:r>
        <w:rPr>
          <w:rFonts w:ascii="Arial" w:hAnsi="Arial"/>
          <w:sz w:val="22"/>
          <w:u w:val="single"/>
        </w:rPr>
        <w:t>Section 61.20</w:t>
      </w:r>
      <w:r>
        <w:rPr>
          <w:rFonts w:ascii="Arial" w:hAnsi="Arial"/>
          <w:sz w:val="22"/>
        </w:rPr>
        <w:t xml:space="preserve"> </w:t>
      </w:r>
      <w:r w:rsidR="00CA0607" w:rsidRPr="00CA0607">
        <w:rPr>
          <w:rFonts w:ascii="Arial" w:hAnsi="Arial" w:cs="Arial"/>
          <w:sz w:val="22"/>
          <w:szCs w:val="22"/>
        </w:rPr>
        <w:t xml:space="preserve">requires that </w:t>
      </w:r>
      <w:proofErr w:type="gramStart"/>
      <w:r w:rsidR="00CA0607" w:rsidRPr="00CA0607">
        <w:rPr>
          <w:rFonts w:ascii="Arial" w:hAnsi="Arial" w:cs="Arial"/>
          <w:sz w:val="22"/>
          <w:szCs w:val="22"/>
        </w:rPr>
        <w:t>a</w:t>
      </w:r>
      <w:proofErr w:type="gramEnd"/>
      <w:r w:rsidR="00CA0607" w:rsidRPr="00CA0607">
        <w:rPr>
          <w:rFonts w:ascii="Arial" w:hAnsi="Arial" w:cs="Arial"/>
          <w:sz w:val="22"/>
          <w:szCs w:val="22"/>
        </w:rPr>
        <w:t xml:space="preserve"> application for a license under this part, and any amendments, must be signed by the applicant or the applicant's authorized representative under oath or affirmation, and, if the document is in paper form, must be the signed original.</w:t>
      </w:r>
      <w:r w:rsidR="00CA0607">
        <w:rPr>
          <w:rFonts w:ascii="Arial" w:hAnsi="Arial" w:cs="Arial"/>
          <w:sz w:val="22"/>
          <w:szCs w:val="22"/>
        </w:rPr>
        <w:t xml:space="preserve">  A</w:t>
      </w:r>
      <w:r>
        <w:rPr>
          <w:rFonts w:ascii="Arial" w:hAnsi="Arial"/>
          <w:sz w:val="22"/>
        </w:rPr>
        <w:t xml:space="preserve">pplicants </w:t>
      </w:r>
      <w:r w:rsidR="00CA0607">
        <w:rPr>
          <w:rFonts w:ascii="Arial" w:hAnsi="Arial"/>
          <w:sz w:val="22"/>
        </w:rPr>
        <w:t xml:space="preserve">are required </w:t>
      </w:r>
      <w:r>
        <w:rPr>
          <w:rFonts w:ascii="Arial" w:hAnsi="Arial"/>
          <w:sz w:val="22"/>
        </w:rPr>
        <w:t>to maintain</w:t>
      </w:r>
      <w:r w:rsidR="009754B8">
        <w:rPr>
          <w:rFonts w:ascii="Arial" w:hAnsi="Arial"/>
          <w:sz w:val="22"/>
        </w:rPr>
        <w:t xml:space="preserve"> the</w:t>
      </w:r>
      <w:r>
        <w:rPr>
          <w:rFonts w:ascii="Arial" w:hAnsi="Arial"/>
          <w:sz w:val="22"/>
        </w:rPr>
        <w:t xml:space="preserve"> capability to generate additional copies of the application for distribution in accordance with instructions from</w:t>
      </w:r>
      <w:r w:rsidR="009754B8">
        <w:rPr>
          <w:rFonts w:ascii="Arial" w:hAnsi="Arial"/>
          <w:sz w:val="22"/>
        </w:rPr>
        <w:t xml:space="preserve"> the</w:t>
      </w:r>
      <w:r>
        <w:rPr>
          <w:rFonts w:ascii="Arial" w:hAnsi="Arial"/>
          <w:sz w:val="22"/>
        </w:rPr>
        <w:t xml:space="preserve"> NRC.</w:t>
      </w:r>
    </w:p>
    <w:p w:rsidR="0090472E" w:rsidRDefault="0090472E" w:rsidP="0090472E">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61.22(b)</w:t>
      </w:r>
      <w:r>
        <w:rPr>
          <w:rFonts w:ascii="Arial" w:hAnsi="Arial"/>
          <w:sz w:val="22"/>
        </w:rPr>
        <w:t xml:space="preserve"> requires the applicant</w:t>
      </w:r>
      <w:r w:rsidR="00DE106C">
        <w:rPr>
          <w:rFonts w:ascii="Arial" w:hAnsi="Arial"/>
          <w:sz w:val="22"/>
        </w:rPr>
        <w:t xml:space="preserve"> to</w:t>
      </w:r>
      <w:r>
        <w:rPr>
          <w:rFonts w:ascii="Arial" w:hAnsi="Arial"/>
          <w:sz w:val="22"/>
        </w:rPr>
        <w:t xml:space="preserve"> supplement or update the</w:t>
      </w:r>
      <w:r w:rsidR="00DE106C">
        <w:rPr>
          <w:rFonts w:ascii="Arial" w:hAnsi="Arial"/>
          <w:sz w:val="22"/>
        </w:rPr>
        <w:t>ir</w:t>
      </w:r>
      <w:r>
        <w:rPr>
          <w:rFonts w:ascii="Arial" w:hAnsi="Arial"/>
          <w:sz w:val="22"/>
        </w:rPr>
        <w:t xml:space="preserve"> application as necessary prior to issuance of a license.  This requirement is needed to ensure that the Commission receives</w:t>
      </w:r>
      <w:r w:rsidR="00DE106C">
        <w:rPr>
          <w:rFonts w:ascii="Arial" w:hAnsi="Arial"/>
          <w:sz w:val="22"/>
        </w:rPr>
        <w:t xml:space="preserve"> the most up-to-date</w:t>
      </w:r>
      <w:r>
        <w:rPr>
          <w:rFonts w:ascii="Arial" w:hAnsi="Arial"/>
          <w:sz w:val="22"/>
        </w:rPr>
        <w:t xml:space="preserve"> information concerning the </w:t>
      </w:r>
      <w:r w:rsidR="00DE106C">
        <w:rPr>
          <w:rFonts w:ascii="Arial" w:hAnsi="Arial"/>
          <w:sz w:val="22"/>
        </w:rPr>
        <w:t xml:space="preserve">proposed </w:t>
      </w:r>
      <w:r>
        <w:rPr>
          <w:rFonts w:ascii="Arial" w:hAnsi="Arial"/>
          <w:sz w:val="22"/>
        </w:rPr>
        <w:t xml:space="preserve">activities </w:t>
      </w:r>
      <w:r w:rsidR="005E6AE7">
        <w:rPr>
          <w:rFonts w:ascii="Arial" w:hAnsi="Arial"/>
          <w:sz w:val="22"/>
        </w:rPr>
        <w:t xml:space="preserve">including any </w:t>
      </w:r>
      <w:r>
        <w:rPr>
          <w:rFonts w:ascii="Arial" w:hAnsi="Arial"/>
          <w:sz w:val="22"/>
        </w:rPr>
        <w:t xml:space="preserve">new information </w:t>
      </w:r>
      <w:r w:rsidR="005E6AE7">
        <w:rPr>
          <w:rFonts w:ascii="Arial" w:hAnsi="Arial"/>
          <w:sz w:val="22"/>
        </w:rPr>
        <w:t xml:space="preserve">regarding the </w:t>
      </w:r>
      <w:r>
        <w:rPr>
          <w:rFonts w:ascii="Arial" w:hAnsi="Arial"/>
          <w:sz w:val="22"/>
        </w:rPr>
        <w:t>proposed activities.</w:t>
      </w:r>
      <w:r w:rsidR="005E6AE7">
        <w:rPr>
          <w:rFonts w:ascii="Arial" w:hAnsi="Arial"/>
          <w:sz w:val="22"/>
        </w:rPr>
        <w:t xml:space="preserve"> </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61.24(b)</w:t>
      </w:r>
      <w:r>
        <w:rPr>
          <w:rFonts w:ascii="Arial" w:hAnsi="Arial"/>
          <w:sz w:val="22"/>
        </w:rPr>
        <w:t xml:space="preserve"> provides that NRC may require further statements before </w:t>
      </w:r>
      <w:r w:rsidR="00F3262C">
        <w:rPr>
          <w:rFonts w:ascii="Arial" w:hAnsi="Arial"/>
          <w:sz w:val="22"/>
        </w:rPr>
        <w:t xml:space="preserve">termination </w:t>
      </w:r>
      <w:r>
        <w:rPr>
          <w:rFonts w:ascii="Arial" w:hAnsi="Arial"/>
          <w:sz w:val="22"/>
        </w:rPr>
        <w:t xml:space="preserve">of the license </w:t>
      </w:r>
      <w:r w:rsidR="00793EC5">
        <w:rPr>
          <w:rFonts w:ascii="Arial" w:hAnsi="Arial"/>
          <w:sz w:val="22"/>
        </w:rPr>
        <w:t xml:space="preserve">to enable NRC </w:t>
      </w:r>
      <w:r>
        <w:rPr>
          <w:rFonts w:ascii="Arial" w:hAnsi="Arial"/>
          <w:sz w:val="22"/>
        </w:rPr>
        <w:t xml:space="preserve">to determine whether </w:t>
      </w:r>
      <w:r w:rsidR="00F3262C">
        <w:rPr>
          <w:rFonts w:ascii="Arial" w:hAnsi="Arial"/>
          <w:sz w:val="22"/>
        </w:rPr>
        <w:t>or not</w:t>
      </w:r>
      <w:r>
        <w:rPr>
          <w:rFonts w:ascii="Arial" w:hAnsi="Arial"/>
          <w:sz w:val="22"/>
        </w:rPr>
        <w:t xml:space="preserve"> a license should be modified or revoked.  Such additional information is sometimes needed to rectify deficiencies in proposed or existing programs for protection of the public health and safety, the common defense and security, or the environment.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 xml:space="preserve">The additional information submitted is reviewed by various NRC organizational units to assess the adequacy of the applicant's </w:t>
      </w:r>
      <w:r w:rsidR="0041590B">
        <w:rPr>
          <w:rFonts w:ascii="Arial" w:hAnsi="Arial"/>
          <w:sz w:val="22"/>
        </w:rPr>
        <w:t>disposal facility</w:t>
      </w:r>
      <w:r>
        <w:rPr>
          <w:rFonts w:ascii="Arial" w:hAnsi="Arial"/>
          <w:sz w:val="22"/>
        </w:rPr>
        <w:t xml:space="preserve">, procedures and plans </w:t>
      </w:r>
      <w:r w:rsidR="009522C8">
        <w:rPr>
          <w:rFonts w:ascii="Arial" w:hAnsi="Arial"/>
          <w:sz w:val="22"/>
        </w:rPr>
        <w:t>t</w:t>
      </w:r>
      <w:r>
        <w:rPr>
          <w:rFonts w:ascii="Arial" w:hAnsi="Arial"/>
          <w:sz w:val="22"/>
        </w:rPr>
        <w:t>o protect the public health and safety, common defense and security, and the environment.  The NRC</w:t>
      </w:r>
      <w:r w:rsidR="002152CA">
        <w:rPr>
          <w:rFonts w:ascii="Arial" w:hAnsi="Arial"/>
          <w:sz w:val="22"/>
        </w:rPr>
        <w:t>’s</w:t>
      </w:r>
      <w:r>
        <w:rPr>
          <w:rFonts w:ascii="Arial" w:hAnsi="Arial"/>
          <w:sz w:val="22"/>
        </w:rPr>
        <w:t xml:space="preserve"> review and findings </w:t>
      </w:r>
      <w:r w:rsidR="009522C8">
        <w:rPr>
          <w:rFonts w:ascii="Arial" w:hAnsi="Arial"/>
          <w:sz w:val="22"/>
        </w:rPr>
        <w:t>will</w:t>
      </w:r>
      <w:r>
        <w:rPr>
          <w:rFonts w:ascii="Arial" w:hAnsi="Arial"/>
          <w:sz w:val="22"/>
        </w:rPr>
        <w:t xml:space="preserve"> form the basis for NRC</w:t>
      </w:r>
      <w:r w:rsidR="009522C8">
        <w:rPr>
          <w:rFonts w:ascii="Arial" w:hAnsi="Arial"/>
          <w:sz w:val="22"/>
        </w:rPr>
        <w:t>’s</w:t>
      </w:r>
      <w:r>
        <w:rPr>
          <w:rFonts w:ascii="Arial" w:hAnsi="Arial"/>
          <w:sz w:val="22"/>
        </w:rPr>
        <w:t xml:space="preserve"> decisions concerning the modification, </w:t>
      </w:r>
      <w:r w:rsidR="00F3262C">
        <w:rPr>
          <w:rFonts w:ascii="Arial" w:hAnsi="Arial"/>
          <w:sz w:val="22"/>
        </w:rPr>
        <w:t xml:space="preserve">suspension </w:t>
      </w:r>
      <w:r>
        <w:rPr>
          <w:rFonts w:ascii="Arial" w:hAnsi="Arial"/>
          <w:sz w:val="22"/>
        </w:rPr>
        <w:t>or revocation of licenses.</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61.24(k)</w:t>
      </w:r>
      <w:r>
        <w:rPr>
          <w:rFonts w:ascii="Arial" w:hAnsi="Arial"/>
          <w:sz w:val="22"/>
        </w:rPr>
        <w:t xml:space="preserve"> requires that a licensee immediately notify the appropriate NRC Regional Administrator in writing following the filing of a bankruptcy petition by or against the licensee or a controlling or affiliate entity.  No action is required of a licensee unless, and until, a petition for bankruptcy is filed.</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lastRenderedPageBreak/>
        <w:t>This information is needed because a licensee who is experiencing severe economic hardship may not be capable of carrying out licensed activities in a manner which protects public health and safety</w:t>
      </w:r>
      <w:r w:rsidR="00E9199A">
        <w:rPr>
          <w:rFonts w:ascii="Arial" w:hAnsi="Arial"/>
          <w:sz w:val="22"/>
        </w:rPr>
        <w:t>, common defense and security, and the environment</w:t>
      </w:r>
      <w:r>
        <w:rPr>
          <w:rFonts w:ascii="Arial" w:hAnsi="Arial"/>
          <w:sz w:val="22"/>
        </w:rPr>
        <w:t>.  In particular, a licensee involved in bankruptcy proceedings can have problems pay</w:t>
      </w:r>
      <w:r w:rsidR="009522C8">
        <w:rPr>
          <w:rFonts w:ascii="Arial" w:hAnsi="Arial"/>
          <w:sz w:val="22"/>
        </w:rPr>
        <w:t>ing</w:t>
      </w:r>
      <w:r>
        <w:rPr>
          <w:rFonts w:ascii="Arial" w:hAnsi="Arial"/>
          <w:sz w:val="22"/>
        </w:rPr>
        <w:t xml:space="preserve"> for </w:t>
      </w:r>
      <w:r w:rsidR="009522C8">
        <w:rPr>
          <w:rFonts w:ascii="Arial" w:hAnsi="Arial"/>
          <w:sz w:val="22"/>
        </w:rPr>
        <w:t xml:space="preserve">the </w:t>
      </w:r>
      <w:r>
        <w:rPr>
          <w:rFonts w:ascii="Arial" w:hAnsi="Arial"/>
          <w:sz w:val="22"/>
        </w:rPr>
        <w:t>proper handling of radioactive material</w:t>
      </w:r>
      <w:r w:rsidR="009522C8">
        <w:rPr>
          <w:rFonts w:ascii="Arial" w:hAnsi="Arial"/>
          <w:sz w:val="22"/>
        </w:rPr>
        <w:t>,</w:t>
      </w:r>
      <w:r>
        <w:rPr>
          <w:rFonts w:ascii="Arial" w:hAnsi="Arial"/>
          <w:sz w:val="22"/>
        </w:rPr>
        <w:t xml:space="preserve"> decontamination</w:t>
      </w:r>
      <w:r w:rsidR="009522C8">
        <w:rPr>
          <w:rFonts w:ascii="Arial" w:hAnsi="Arial"/>
          <w:sz w:val="22"/>
        </w:rPr>
        <w:t>,</w:t>
      </w:r>
      <w:r>
        <w:rPr>
          <w:rFonts w:ascii="Arial" w:hAnsi="Arial"/>
          <w:sz w:val="22"/>
        </w:rPr>
        <w:t xml:space="preserve"> and decommissioning of the facility in a safe manner.  Improper materials handling or decontamination activities can lead to </w:t>
      </w:r>
      <w:r w:rsidR="009522C8">
        <w:rPr>
          <w:rFonts w:ascii="Arial" w:hAnsi="Arial"/>
          <w:sz w:val="22"/>
        </w:rPr>
        <w:t xml:space="preserve">the </w:t>
      </w:r>
      <w:r>
        <w:rPr>
          <w:rFonts w:ascii="Arial" w:hAnsi="Arial"/>
          <w:sz w:val="22"/>
        </w:rPr>
        <w:t xml:space="preserve">spread of contamination </w:t>
      </w:r>
      <w:r w:rsidR="006E2083">
        <w:rPr>
          <w:rFonts w:ascii="Arial" w:hAnsi="Arial"/>
          <w:sz w:val="22"/>
        </w:rPr>
        <w:t xml:space="preserve">throughout a </w:t>
      </w:r>
      <w:r>
        <w:rPr>
          <w:rFonts w:ascii="Arial" w:hAnsi="Arial"/>
          <w:sz w:val="22"/>
        </w:rPr>
        <w:t>licensee's facility and the potential for dispersion of contaminated material offsite.  Financial difficulties can also result in problems affecting the licensee's waste disposal activities.</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The information provided by the notification would be used by the staff to initiate a need for prompt NRC response or regulatory action in the event of a potential hazard to public health and safety</w:t>
      </w:r>
      <w:r w:rsidR="005E6AE7">
        <w:rPr>
          <w:rFonts w:ascii="Arial" w:hAnsi="Arial"/>
          <w:sz w:val="22"/>
        </w:rPr>
        <w:t xml:space="preserve">, common defense and security, </w:t>
      </w:r>
      <w:r w:rsidR="00E9199A">
        <w:rPr>
          <w:rFonts w:ascii="Arial" w:hAnsi="Arial"/>
          <w:sz w:val="22"/>
        </w:rPr>
        <w:t>and the environment</w:t>
      </w:r>
      <w:r>
        <w:rPr>
          <w:rFonts w:ascii="Arial" w:hAnsi="Arial"/>
          <w:sz w:val="22"/>
        </w:rPr>
        <w:t xml:space="preserve"> posed by a licensee</w:t>
      </w:r>
      <w:r w:rsidR="00413CBA">
        <w:rPr>
          <w:rFonts w:ascii="Arial" w:hAnsi="Arial"/>
          <w:sz w:val="22"/>
        </w:rPr>
        <w:t>,</w:t>
      </w:r>
      <w:r>
        <w:rPr>
          <w:rFonts w:ascii="Arial" w:hAnsi="Arial"/>
          <w:sz w:val="22"/>
        </w:rPr>
        <w:t xml:space="preserve"> </w:t>
      </w:r>
      <w:r w:rsidR="00413CBA">
        <w:rPr>
          <w:rFonts w:ascii="Arial" w:hAnsi="Arial"/>
          <w:sz w:val="22"/>
        </w:rPr>
        <w:t>who</w:t>
      </w:r>
      <w:r>
        <w:rPr>
          <w:rFonts w:ascii="Arial" w:hAnsi="Arial"/>
          <w:sz w:val="22"/>
        </w:rPr>
        <w:t xml:space="preserve"> does not have the resources to properly secure licensed material or clean up possible contamination.  In addition, prompt notification would allow the Commission to take timely and appropriate action in a bankruptcy proceeding to seek to have available assets of the licensee applied to cover </w:t>
      </w:r>
      <w:r w:rsidR="00413CBA">
        <w:rPr>
          <w:rFonts w:ascii="Arial" w:hAnsi="Arial"/>
          <w:sz w:val="22"/>
        </w:rPr>
        <w:t xml:space="preserve">the </w:t>
      </w:r>
      <w:r>
        <w:rPr>
          <w:rFonts w:ascii="Arial" w:hAnsi="Arial"/>
          <w:sz w:val="22"/>
        </w:rPr>
        <w:t>cost of cleanup before funds are disbursed and become unavailable.</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61.26</w:t>
      </w:r>
      <w:r>
        <w:rPr>
          <w:rFonts w:ascii="Arial" w:hAnsi="Arial"/>
          <w:sz w:val="22"/>
        </w:rPr>
        <w:t xml:space="preserve"> requires that an application for an amendment of a license be filed in accordance with Section 61.20 and must fully describe the changes desired.  This information is reviewed by the NRC staff to ensure that the desired amendments will </w:t>
      </w:r>
      <w:r w:rsidR="00E9199A">
        <w:rPr>
          <w:rFonts w:ascii="Arial" w:hAnsi="Arial"/>
          <w:sz w:val="22"/>
        </w:rPr>
        <w:t>provide</w:t>
      </w:r>
      <w:r>
        <w:rPr>
          <w:rFonts w:ascii="Arial" w:hAnsi="Arial"/>
          <w:sz w:val="22"/>
        </w:rPr>
        <w:t xml:space="preserve"> adequate protection of the public health and safety, the common defense and security, and the environment.</w:t>
      </w:r>
    </w:p>
    <w:p w:rsidR="00945F80" w:rsidRDefault="00945F80" w:rsidP="003E737B">
      <w:pPr>
        <w:widowControl w:val="0"/>
        <w:spacing w:line="240" w:lineRule="exact"/>
        <w:ind w:left="720"/>
        <w:rPr>
          <w:rFonts w:ascii="Arial" w:hAnsi="Arial"/>
          <w:sz w:val="22"/>
        </w:rPr>
      </w:pPr>
    </w:p>
    <w:p w:rsidR="00945F80" w:rsidRDefault="00945F80" w:rsidP="00E9199A">
      <w:pPr>
        <w:widowControl w:val="0"/>
        <w:spacing w:line="240" w:lineRule="exact"/>
        <w:ind w:left="1440"/>
        <w:rPr>
          <w:rFonts w:ascii="Arial" w:hAnsi="Arial"/>
          <w:sz w:val="22"/>
        </w:rPr>
      </w:pPr>
      <w:r>
        <w:rPr>
          <w:rFonts w:ascii="Arial" w:hAnsi="Arial"/>
          <w:sz w:val="22"/>
          <w:u w:val="single"/>
        </w:rPr>
        <w:t>Section 61.27</w:t>
      </w:r>
      <w:r>
        <w:rPr>
          <w:rFonts w:ascii="Arial" w:hAnsi="Arial"/>
          <w:sz w:val="22"/>
        </w:rPr>
        <w:t xml:space="preserve"> requires that an application for renewal or site closure must be filed in accordance with Sections 61.10 through 61.16, 61.20, and 61.28.</w:t>
      </w:r>
      <w:r w:rsidR="00E9199A" w:rsidRPr="00E9199A">
        <w:rPr>
          <w:rFonts w:ascii="Arial" w:hAnsi="Arial"/>
          <w:sz w:val="22"/>
        </w:rPr>
        <w:t xml:space="preserve"> </w:t>
      </w:r>
      <w:r w:rsidR="005E6AE7">
        <w:rPr>
          <w:rFonts w:ascii="Arial" w:hAnsi="Arial"/>
          <w:sz w:val="22"/>
        </w:rPr>
        <w:t xml:space="preserve"> </w:t>
      </w:r>
      <w:r w:rsidR="00C751E2">
        <w:rPr>
          <w:rFonts w:ascii="Arial" w:hAnsi="Arial"/>
          <w:sz w:val="22"/>
        </w:rPr>
        <w:t>This information is reviewed by the NRC staff to ensure protection of public health and safety, the common defense and security, and the environment.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61.28</w:t>
      </w:r>
      <w:r>
        <w:rPr>
          <w:rFonts w:ascii="Arial" w:hAnsi="Arial"/>
          <w:sz w:val="22"/>
        </w:rPr>
        <w:t xml:space="preserve"> specifies the information required in an application for site closure following disposal operations.  The information will be reviewed by the NRC staff to determine whether</w:t>
      </w:r>
      <w:r w:rsidR="00C751E2">
        <w:rPr>
          <w:rFonts w:ascii="Arial" w:hAnsi="Arial"/>
          <w:sz w:val="22"/>
        </w:rPr>
        <w:t xml:space="preserve"> </w:t>
      </w:r>
      <w:r>
        <w:rPr>
          <w:rFonts w:ascii="Arial" w:hAnsi="Arial"/>
          <w:sz w:val="22"/>
        </w:rPr>
        <w:t xml:space="preserve">there is reasonable assurance that the long-term performance objectives of Subpart C of </w:t>
      </w:r>
      <w:r w:rsidR="00967ACD">
        <w:rPr>
          <w:rFonts w:ascii="Arial" w:hAnsi="Arial"/>
          <w:sz w:val="22"/>
        </w:rPr>
        <w:t xml:space="preserve">10 CFR </w:t>
      </w:r>
      <w:r>
        <w:rPr>
          <w:rFonts w:ascii="Arial" w:hAnsi="Arial"/>
          <w:sz w:val="22"/>
        </w:rPr>
        <w:t>Part 61 will be met.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sidRPr="00AD5363">
        <w:rPr>
          <w:rFonts w:ascii="Arial" w:hAnsi="Arial"/>
          <w:sz w:val="22"/>
          <w:u w:val="single"/>
        </w:rPr>
        <w:t>Section 61.30</w:t>
      </w:r>
      <w:r w:rsidR="00112E8E">
        <w:rPr>
          <w:rFonts w:ascii="Arial" w:hAnsi="Arial"/>
          <w:sz w:val="22"/>
        </w:rPr>
        <w:t xml:space="preserve"> </w:t>
      </w:r>
      <w:r>
        <w:rPr>
          <w:rFonts w:ascii="Arial" w:hAnsi="Arial"/>
          <w:sz w:val="22"/>
        </w:rPr>
        <w:t xml:space="preserve">specifies that the licensee may apply for an amendment to transfer the license to the site owner.  The application will be reviewed by the NRC staff in order to make necessary findings to ensure that the license for the site can be safely transferred from the site operator to the site owner.  The site owner provides licensed institutional control and care of the site.  </w:t>
      </w:r>
    </w:p>
    <w:p w:rsidR="00945F80" w:rsidRDefault="00945F80" w:rsidP="003E737B">
      <w:pPr>
        <w:widowControl w:val="0"/>
        <w:spacing w:line="240" w:lineRule="exact"/>
        <w:ind w:left="1440"/>
        <w:rPr>
          <w:rFonts w:ascii="Arial" w:hAnsi="Arial"/>
          <w:sz w:val="22"/>
          <w:u w:val="single"/>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61.30(a</w:t>
      </w:r>
      <w:proofErr w:type="gramStart"/>
      <w:r w:rsidR="00197A32">
        <w:rPr>
          <w:rFonts w:ascii="Arial" w:hAnsi="Arial"/>
          <w:sz w:val="22"/>
          <w:u w:val="single"/>
        </w:rPr>
        <w:t>)(</w:t>
      </w:r>
      <w:proofErr w:type="gramEnd"/>
      <w:r>
        <w:rPr>
          <w:rFonts w:ascii="Arial" w:hAnsi="Arial"/>
          <w:sz w:val="22"/>
          <w:u w:val="single"/>
        </w:rPr>
        <w:t>3)</w:t>
      </w:r>
      <w:r>
        <w:rPr>
          <w:rFonts w:ascii="Arial" w:hAnsi="Arial"/>
          <w:sz w:val="22"/>
        </w:rPr>
        <w:t xml:space="preserve"> requires the licensee to transfer any funds for care and records required by Sections 61.80(e) and (f) to the disposal site owner upon transfer of the license to the disposal site owner.  This transfer of funds and records is necessary to ensure that adequate funding and information will be available to maintain the disposal site.</w:t>
      </w:r>
    </w:p>
    <w:p w:rsidR="00945F80" w:rsidRDefault="00945F80" w:rsidP="003E737B">
      <w:pPr>
        <w:widowControl w:val="0"/>
        <w:spacing w:line="240" w:lineRule="exact"/>
        <w:ind w:left="720"/>
        <w:rPr>
          <w:rFonts w:ascii="Arial" w:hAnsi="Arial"/>
          <w:sz w:val="22"/>
        </w:rPr>
      </w:pPr>
    </w:p>
    <w:p w:rsidR="00945F80" w:rsidRDefault="00945F80" w:rsidP="006040C9">
      <w:pPr>
        <w:widowControl w:val="0"/>
        <w:spacing w:line="240" w:lineRule="exact"/>
        <w:ind w:left="1440"/>
        <w:rPr>
          <w:rFonts w:ascii="Arial" w:hAnsi="Arial"/>
          <w:sz w:val="22"/>
        </w:rPr>
      </w:pPr>
      <w:r>
        <w:rPr>
          <w:rFonts w:ascii="Arial" w:hAnsi="Arial"/>
          <w:sz w:val="22"/>
          <w:u w:val="single"/>
        </w:rPr>
        <w:t>Section 61.31</w:t>
      </w:r>
      <w:r>
        <w:rPr>
          <w:rFonts w:ascii="Arial" w:hAnsi="Arial"/>
          <w:sz w:val="22"/>
        </w:rPr>
        <w:t xml:space="preserve"> specifies that, following the period of institutional control, the licensee may apply for an amendment to terminate the license.  The application will be reviewed by the </w:t>
      </w:r>
      <w:r w:rsidR="00F00B1D">
        <w:rPr>
          <w:rFonts w:ascii="Arial" w:hAnsi="Arial"/>
          <w:sz w:val="22"/>
        </w:rPr>
        <w:t>NRC staff</w:t>
      </w:r>
      <w:r>
        <w:rPr>
          <w:rFonts w:ascii="Arial" w:hAnsi="Arial"/>
          <w:sz w:val="22"/>
        </w:rPr>
        <w:t xml:space="preserve"> in order to make necessary findings that </w:t>
      </w:r>
      <w:r>
        <w:rPr>
          <w:rFonts w:ascii="Arial" w:hAnsi="Arial"/>
          <w:sz w:val="22"/>
        </w:rPr>
        <w:lastRenderedPageBreak/>
        <w:t xml:space="preserve">institutional control requirements have been met, that any additional requirements resulting from new information developed during the institutional control period have been met, and that permanent monuments or markers warning against intrusion have been installed.  </w:t>
      </w:r>
    </w:p>
    <w:p w:rsidR="00945F80" w:rsidRDefault="00945F80" w:rsidP="003E737B">
      <w:pPr>
        <w:widowControl w:val="0"/>
        <w:spacing w:line="240" w:lineRule="exact"/>
        <w:ind w:left="1440"/>
        <w:rPr>
          <w:rFonts w:ascii="Arial" w:hAnsi="Arial"/>
          <w:sz w:val="22"/>
          <w:u w:val="single"/>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61.31(c</w:t>
      </w:r>
      <w:proofErr w:type="gramStart"/>
      <w:r w:rsidR="00B2138E">
        <w:rPr>
          <w:rFonts w:ascii="Arial" w:hAnsi="Arial"/>
          <w:sz w:val="22"/>
          <w:u w:val="single"/>
        </w:rPr>
        <w:t>)(</w:t>
      </w:r>
      <w:proofErr w:type="gramEnd"/>
      <w:r>
        <w:rPr>
          <w:rFonts w:ascii="Arial" w:hAnsi="Arial"/>
          <w:sz w:val="22"/>
          <w:u w:val="single"/>
        </w:rPr>
        <w:t>3)</w:t>
      </w:r>
      <w:r>
        <w:rPr>
          <w:rFonts w:ascii="Arial" w:hAnsi="Arial"/>
          <w:sz w:val="22"/>
        </w:rPr>
        <w:t xml:space="preserve"> requires the licensee to send the records required by Sections 61.80(e) and (f) to the party responsible for institutional control of the disposal site and a copy to the NRC Regional Office immediately prior to license termination.  Forwarding site records is necessary to ensure that adequate information will be available to maintain the disposal site after it has been closed.</w:t>
      </w:r>
    </w:p>
    <w:p w:rsidR="00945F80" w:rsidRDefault="00945F80" w:rsidP="003E737B">
      <w:pPr>
        <w:widowControl w:val="0"/>
        <w:spacing w:line="240" w:lineRule="exact"/>
        <w:ind w:left="720"/>
        <w:rPr>
          <w:rFonts w:ascii="Arial" w:hAnsi="Arial"/>
          <w:sz w:val="22"/>
        </w:rPr>
      </w:pPr>
    </w:p>
    <w:p w:rsidR="00563B4B" w:rsidRDefault="00945F80" w:rsidP="003E737B">
      <w:pPr>
        <w:widowControl w:val="0"/>
        <w:spacing w:line="240" w:lineRule="exact"/>
        <w:ind w:left="1440"/>
        <w:rPr>
          <w:rFonts w:ascii="Arial" w:hAnsi="Arial"/>
          <w:sz w:val="22"/>
        </w:rPr>
      </w:pPr>
      <w:r>
        <w:rPr>
          <w:rFonts w:ascii="Arial" w:hAnsi="Arial"/>
          <w:sz w:val="22"/>
          <w:u w:val="single"/>
        </w:rPr>
        <w:t>Section 61.53</w:t>
      </w:r>
      <w:r>
        <w:rPr>
          <w:rFonts w:ascii="Arial" w:hAnsi="Arial"/>
          <w:sz w:val="22"/>
        </w:rPr>
        <w:t xml:space="preserve"> requires the licensee to maintain an </w:t>
      </w:r>
      <w:r w:rsidR="00C751E2">
        <w:rPr>
          <w:rFonts w:ascii="Arial" w:hAnsi="Arial"/>
          <w:sz w:val="22"/>
        </w:rPr>
        <w:t>environmental monitoring system</w:t>
      </w:r>
      <w:r>
        <w:rPr>
          <w:rFonts w:ascii="Arial" w:hAnsi="Arial"/>
          <w:sz w:val="22"/>
        </w:rPr>
        <w:t xml:space="preserve"> </w:t>
      </w:r>
      <w:r w:rsidR="00E9199A">
        <w:rPr>
          <w:rFonts w:ascii="Arial" w:hAnsi="Arial"/>
          <w:sz w:val="22"/>
        </w:rPr>
        <w:t xml:space="preserve">to </w:t>
      </w:r>
      <w:r>
        <w:rPr>
          <w:rFonts w:ascii="Arial" w:hAnsi="Arial"/>
          <w:sz w:val="22"/>
        </w:rPr>
        <w:t>plan for taking corrective measures if migration of radionuclides would indicate that the performance objectives of Subpart C may not be met</w:t>
      </w:r>
      <w:r w:rsidR="0031039E">
        <w:rPr>
          <w:rFonts w:ascii="Arial" w:hAnsi="Arial"/>
          <w:sz w:val="22"/>
        </w:rPr>
        <w:t>.  In addition</w:t>
      </w:r>
      <w:r>
        <w:rPr>
          <w:rFonts w:ascii="Arial" w:hAnsi="Arial"/>
          <w:sz w:val="22"/>
        </w:rPr>
        <w:t>, during site construction and operation,</w:t>
      </w:r>
      <w:r w:rsidR="00E9199A">
        <w:rPr>
          <w:rFonts w:ascii="Arial" w:hAnsi="Arial"/>
          <w:sz w:val="22"/>
        </w:rPr>
        <w:t xml:space="preserve"> the licensee must</w:t>
      </w:r>
      <w:r>
        <w:rPr>
          <w:rFonts w:ascii="Arial" w:hAnsi="Arial"/>
          <w:sz w:val="22"/>
        </w:rPr>
        <w:t xml:space="preserve"> maintain a monitoring program and keep records of measurements and observations to provide data for evaluation of potential health and environmental impacts.</w:t>
      </w:r>
      <w:r w:rsidR="00C751E2">
        <w:rPr>
          <w:rFonts w:ascii="Arial" w:hAnsi="Arial"/>
          <w:sz w:val="22"/>
        </w:rPr>
        <w:t xml:space="preserve">  </w:t>
      </w:r>
      <w:r w:rsidR="0031039E">
        <w:rPr>
          <w:rFonts w:ascii="Arial" w:hAnsi="Arial"/>
          <w:sz w:val="22"/>
        </w:rPr>
        <w:t>The information submitted will be reviewed by the NRC staff to determine whether the disposal metho</w:t>
      </w:r>
      <w:r w:rsidR="00C751E2">
        <w:rPr>
          <w:rFonts w:ascii="Arial" w:hAnsi="Arial"/>
          <w:sz w:val="22"/>
        </w:rPr>
        <w:t xml:space="preserve">d will provide adequate </w:t>
      </w:r>
      <w:r w:rsidR="0031039E">
        <w:rPr>
          <w:rFonts w:ascii="Arial" w:hAnsi="Arial"/>
          <w:sz w:val="22"/>
        </w:rPr>
        <w:t xml:space="preserve">protection of the public health </w:t>
      </w:r>
      <w:r w:rsidR="00C751E2">
        <w:rPr>
          <w:rFonts w:ascii="Arial" w:hAnsi="Arial"/>
          <w:sz w:val="22"/>
        </w:rPr>
        <w:t>and safety and the environment.</w:t>
      </w:r>
    </w:p>
    <w:p w:rsidR="00563B4B" w:rsidRDefault="00563B4B" w:rsidP="003E737B">
      <w:pPr>
        <w:widowControl w:val="0"/>
        <w:spacing w:line="240" w:lineRule="exact"/>
        <w:ind w:left="1440"/>
        <w:rPr>
          <w:rFonts w:ascii="Arial" w:hAnsi="Arial"/>
          <w:sz w:val="22"/>
          <w:u w:val="single"/>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61.55(a</w:t>
      </w:r>
      <w:proofErr w:type="gramStart"/>
      <w:r w:rsidR="00197A32">
        <w:rPr>
          <w:rFonts w:ascii="Arial" w:hAnsi="Arial"/>
          <w:sz w:val="22"/>
          <w:u w:val="single"/>
        </w:rPr>
        <w:t>)(</w:t>
      </w:r>
      <w:proofErr w:type="gramEnd"/>
      <w:r>
        <w:rPr>
          <w:rFonts w:ascii="Arial" w:hAnsi="Arial"/>
          <w:sz w:val="22"/>
          <w:u w:val="single"/>
        </w:rPr>
        <w:t>2</w:t>
      </w:r>
      <w:r w:rsidR="00197A32">
        <w:rPr>
          <w:rFonts w:ascii="Arial" w:hAnsi="Arial"/>
          <w:sz w:val="22"/>
          <w:u w:val="single"/>
        </w:rPr>
        <w:t>)(</w:t>
      </w:r>
      <w:r>
        <w:rPr>
          <w:rFonts w:ascii="Arial" w:hAnsi="Arial"/>
          <w:sz w:val="22"/>
          <w:u w:val="single"/>
        </w:rPr>
        <w:t>iv)</w:t>
      </w:r>
      <w:r>
        <w:rPr>
          <w:rFonts w:ascii="Arial" w:hAnsi="Arial"/>
          <w:sz w:val="22"/>
        </w:rPr>
        <w:t xml:space="preserve"> specifies that a licensee may submit a proposal for disposal, pursuant to Section 61.58, of waste greater than Class C.  This requirement is needed to allow licensees the flexibility of safely disposing of waste that does not fit into existing categories.  The information submitted will be reviewed by the </w:t>
      </w:r>
      <w:r w:rsidR="0031039E">
        <w:rPr>
          <w:rFonts w:ascii="Arial" w:hAnsi="Arial"/>
          <w:sz w:val="22"/>
        </w:rPr>
        <w:t>NRC</w:t>
      </w:r>
      <w:r>
        <w:rPr>
          <w:rFonts w:ascii="Arial" w:hAnsi="Arial"/>
          <w:sz w:val="22"/>
        </w:rPr>
        <w:t xml:space="preserve"> staff to determine whether the propos</w:t>
      </w:r>
      <w:r w:rsidR="00967ACD">
        <w:rPr>
          <w:rFonts w:ascii="Arial" w:hAnsi="Arial"/>
          <w:sz w:val="22"/>
        </w:rPr>
        <w:t>ed</w:t>
      </w:r>
      <w:r>
        <w:rPr>
          <w:rFonts w:ascii="Arial" w:hAnsi="Arial"/>
          <w:sz w:val="22"/>
        </w:rPr>
        <w:t xml:space="preserve"> waste form and disposal method will provide adequate level of protection of the public health and safety and the environment.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Responsibility for disposal of greater</w:t>
      </w:r>
      <w:r w:rsidR="00B73388">
        <w:rPr>
          <w:rFonts w:ascii="Arial" w:hAnsi="Arial"/>
          <w:sz w:val="22"/>
        </w:rPr>
        <w:t>- than-C</w:t>
      </w:r>
      <w:r>
        <w:rPr>
          <w:rFonts w:ascii="Arial" w:hAnsi="Arial"/>
          <w:sz w:val="22"/>
        </w:rPr>
        <w:t>lass C waste was transferred to the Federal government under the Low Level Radioactive Waste Policy Amendments Act of 1985.  Therefore, no burden is expected to be incurred under this section.</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61.58</w:t>
      </w:r>
      <w:r>
        <w:rPr>
          <w:rFonts w:ascii="Arial" w:hAnsi="Arial"/>
          <w:sz w:val="22"/>
        </w:rPr>
        <w:t xml:space="preserve"> provides that the Commission may, upon request or on its own initiative, authorize other provisions for the classification and characteristics of waste.  Requests under this section are examined by the staff to determine whether, after evaluation of the specific characteristics of the waste, disposal site, and method of disposal,</w:t>
      </w:r>
      <w:r w:rsidR="00967ACD">
        <w:rPr>
          <w:rFonts w:ascii="Arial" w:hAnsi="Arial"/>
          <w:sz w:val="22"/>
        </w:rPr>
        <w:t xml:space="preserve"> that</w:t>
      </w:r>
      <w:r>
        <w:rPr>
          <w:rFonts w:ascii="Arial" w:hAnsi="Arial"/>
          <w:sz w:val="22"/>
        </w:rPr>
        <w:t xml:space="preserve"> there is reasonable assurance of compliance with the performance objectives of Subpart C</w:t>
      </w:r>
      <w:r w:rsidR="00967ACD">
        <w:rPr>
          <w:rFonts w:ascii="Arial" w:hAnsi="Arial"/>
          <w:sz w:val="22"/>
        </w:rPr>
        <w:t xml:space="preserve"> of 10 CFR Part 61</w:t>
      </w:r>
      <w:r>
        <w:rPr>
          <w:rFonts w:ascii="Arial" w:hAnsi="Arial"/>
          <w:sz w:val="22"/>
        </w:rPr>
        <w: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61.61</w:t>
      </w:r>
      <w:r>
        <w:rPr>
          <w:rFonts w:ascii="Arial" w:hAnsi="Arial"/>
          <w:sz w:val="22"/>
        </w:rPr>
        <w:t xml:space="preserve"> requires each applicant to show that its financial position is such that the estimated costs of conducting all licensed activities can be met.  This is needed to help ensure that the facility will be constructed, operated, and closed according to the license.</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61.62</w:t>
      </w:r>
      <w:r>
        <w:rPr>
          <w:rFonts w:ascii="Arial" w:hAnsi="Arial"/>
          <w:sz w:val="22"/>
        </w:rPr>
        <w:t xml:space="preserve"> requires the applicant to provide assurance that sufficient funds, including sureties, will be available to carry out orderly disposal site closure and stabilization.  This information will be reviewed by the NRC staff to ensure that sufficient funds are available for completion of the closure plan, including contingencies to </w:t>
      </w:r>
      <w:r w:rsidR="001902B3">
        <w:rPr>
          <w:rFonts w:ascii="Arial" w:hAnsi="Arial"/>
          <w:sz w:val="22"/>
        </w:rPr>
        <w:t xml:space="preserve">ensure </w:t>
      </w:r>
      <w:r>
        <w:rPr>
          <w:rFonts w:ascii="Arial" w:hAnsi="Arial"/>
          <w:sz w:val="22"/>
        </w:rPr>
        <w:t>adequate closure in the event of licensee financial problems or early closure.</w:t>
      </w:r>
    </w:p>
    <w:p w:rsidR="00274901" w:rsidRDefault="00242130" w:rsidP="006040C9">
      <w:pPr>
        <w:widowControl w:val="0"/>
        <w:spacing w:line="240" w:lineRule="exact"/>
        <w:ind w:left="1440"/>
        <w:rPr>
          <w:rFonts w:ascii="Arial" w:hAnsi="Arial"/>
          <w:sz w:val="22"/>
          <w:u w:val="single"/>
        </w:rPr>
      </w:pPr>
      <w:r>
        <w:rPr>
          <w:rFonts w:ascii="Arial" w:hAnsi="Arial"/>
          <w:sz w:val="22"/>
          <w:u w:val="single"/>
        </w:rPr>
        <w:br w:type="page"/>
      </w:r>
      <w:r w:rsidR="00945F80">
        <w:rPr>
          <w:rFonts w:ascii="Arial" w:hAnsi="Arial"/>
          <w:sz w:val="22"/>
          <w:u w:val="single"/>
        </w:rPr>
        <w:lastRenderedPageBreak/>
        <w:t>Section 61.63</w:t>
      </w:r>
      <w:r w:rsidR="00945F80">
        <w:rPr>
          <w:rFonts w:ascii="Arial" w:hAnsi="Arial"/>
          <w:sz w:val="22"/>
        </w:rPr>
        <w:t xml:space="preserve"> requires the applicant to provide a copy of a binding arrangement (and any subsequent changes) between the applicant and the disposal site owner that ensures that sufficient funds will be available to cover the costs of monitoring and any required maintenance during the institutional control period.  This is necessary to </w:t>
      </w:r>
      <w:r w:rsidR="001902B3">
        <w:rPr>
          <w:rFonts w:ascii="Arial" w:hAnsi="Arial"/>
          <w:sz w:val="22"/>
        </w:rPr>
        <w:t xml:space="preserve">ensure </w:t>
      </w:r>
      <w:r w:rsidR="00945F80">
        <w:rPr>
          <w:rFonts w:ascii="Arial" w:hAnsi="Arial"/>
          <w:sz w:val="22"/>
        </w:rPr>
        <w:t>that sufficient funds are available for post-closure activities.</w:t>
      </w:r>
    </w:p>
    <w:p w:rsidR="00D16C59" w:rsidRDefault="00D16C59" w:rsidP="00563B4B">
      <w:pPr>
        <w:widowControl w:val="0"/>
        <w:spacing w:line="240" w:lineRule="exact"/>
        <w:ind w:left="1440"/>
        <w:rPr>
          <w:rFonts w:ascii="Arial" w:hAnsi="Arial"/>
          <w:sz w:val="22"/>
          <w:u w:val="single"/>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61.72</w:t>
      </w:r>
      <w:r>
        <w:rPr>
          <w:rFonts w:ascii="Arial" w:hAnsi="Arial"/>
          <w:sz w:val="22"/>
        </w:rPr>
        <w:t xml:space="preserve"> allows a State or </w:t>
      </w:r>
      <w:r w:rsidR="0031039E">
        <w:rPr>
          <w:rFonts w:ascii="Arial" w:hAnsi="Arial"/>
          <w:sz w:val="22"/>
        </w:rPr>
        <w:t>T</w:t>
      </w:r>
      <w:r>
        <w:rPr>
          <w:rFonts w:ascii="Arial" w:hAnsi="Arial"/>
          <w:sz w:val="22"/>
        </w:rPr>
        <w:t xml:space="preserve">ribal governing body whose interest is affected by a near-surface disposal facility to submit a formal proposal for participation in the review of a license application.  This information is necessary in order to provide a State or </w:t>
      </w:r>
      <w:r w:rsidR="0031039E">
        <w:rPr>
          <w:rFonts w:ascii="Arial" w:hAnsi="Arial"/>
          <w:sz w:val="22"/>
        </w:rPr>
        <w:t>T</w:t>
      </w:r>
      <w:r>
        <w:rPr>
          <w:rFonts w:ascii="Arial" w:hAnsi="Arial"/>
          <w:sz w:val="22"/>
        </w:rPr>
        <w:t>ribal body greater input during the licensing process.</w:t>
      </w:r>
    </w:p>
    <w:p w:rsidR="00D15FC1" w:rsidRDefault="00D15FC1" w:rsidP="003E737B">
      <w:pPr>
        <w:widowControl w:val="0"/>
        <w:spacing w:line="240" w:lineRule="exact"/>
        <w:ind w:left="1440"/>
        <w:rPr>
          <w:rFonts w:ascii="Arial" w:hAnsi="Arial"/>
          <w:sz w:val="22"/>
        </w:rPr>
      </w:pPr>
    </w:p>
    <w:p w:rsidR="00DF0655" w:rsidRPr="00DF0655" w:rsidRDefault="00DF0655" w:rsidP="00DF0655">
      <w:pPr>
        <w:ind w:left="1440"/>
        <w:rPr>
          <w:rFonts w:ascii="Arial" w:hAnsi="Arial"/>
          <w:sz w:val="22"/>
        </w:rPr>
      </w:pPr>
      <w:r w:rsidRPr="00CE61D5">
        <w:rPr>
          <w:rFonts w:ascii="Arial" w:hAnsi="Arial"/>
          <w:sz w:val="22"/>
          <w:u w:val="single"/>
        </w:rPr>
        <w:t>Section 61.80(e)</w:t>
      </w:r>
      <w:r>
        <w:rPr>
          <w:rFonts w:ascii="Arial" w:hAnsi="Arial"/>
          <w:sz w:val="22"/>
        </w:rPr>
        <w:t xml:space="preserve"> requires that </w:t>
      </w:r>
      <w:r w:rsidRPr="00DF0655">
        <w:rPr>
          <w:rFonts w:ascii="Arial" w:hAnsi="Arial"/>
          <w:sz w:val="22"/>
        </w:rPr>
        <w:t>the licensee record the location and the quantity of radioactive wastes contained in the disposal site and transfer these records upon license termination to the chief executive of the nearest municipality, the chief executive of the county in which the facility is located, the county zoning board or land development and planning agency, the State governor and other State, local, and Federal governmental agencies as designated by the Commission at the time of license termination.</w:t>
      </w:r>
    </w:p>
    <w:p w:rsidR="00DF0655" w:rsidRDefault="00DF0655" w:rsidP="003E737B">
      <w:pPr>
        <w:widowControl w:val="0"/>
        <w:spacing w:line="240" w:lineRule="exact"/>
        <w:ind w:left="1440"/>
        <w:rPr>
          <w:rFonts w:ascii="Arial" w:hAnsi="Arial"/>
          <w:sz w:val="22"/>
        </w:rPr>
      </w:pPr>
    </w:p>
    <w:p w:rsidR="00945F80" w:rsidRDefault="00945F80" w:rsidP="008A685B">
      <w:pPr>
        <w:keepNext/>
        <w:keepLines/>
        <w:widowControl w:val="0"/>
        <w:spacing w:line="240" w:lineRule="exact"/>
        <w:ind w:left="1440"/>
        <w:rPr>
          <w:rFonts w:ascii="Arial" w:hAnsi="Arial"/>
          <w:sz w:val="22"/>
        </w:rPr>
      </w:pPr>
      <w:r>
        <w:rPr>
          <w:rFonts w:ascii="Arial" w:hAnsi="Arial"/>
          <w:sz w:val="22"/>
          <w:u w:val="single"/>
        </w:rPr>
        <w:t>Section 61.80(f)</w:t>
      </w:r>
      <w:r>
        <w:rPr>
          <w:rFonts w:ascii="Arial" w:hAnsi="Arial"/>
          <w:sz w:val="22"/>
        </w:rPr>
        <w:t xml:space="preserve"> requires that the licensee keep records on the waste received for disposal, including date received, a traceable shipment manifest number, a description of any engineered barrier or structural overpack, the volume of pallets or bracing disposed of with the waste, the location in the disposal site, condition of the waste package as received, any discrepancies between the manifest and the waste actually received, and any evidence of leaking or damaged packages or radiation or contamination levels in excess of regulatory limits.  The licensee must also describe any repackaging operations and provide any other information that may be required by license condition.  This information will be used to help generate inventory data and data on the condition of the waste for estimating source terms and identifying problem shippers who need to improve their programs for preparing waste for shipment.  The data will be used by the </w:t>
      </w:r>
      <w:r w:rsidR="0031039E">
        <w:rPr>
          <w:rFonts w:ascii="Arial" w:hAnsi="Arial"/>
          <w:sz w:val="22"/>
        </w:rPr>
        <w:t>NRC staff</w:t>
      </w:r>
      <w:r w:rsidR="00E254B1">
        <w:rPr>
          <w:rFonts w:ascii="Arial" w:hAnsi="Arial"/>
          <w:sz w:val="22"/>
        </w:rPr>
        <w:t xml:space="preserve"> to </w:t>
      </w:r>
      <w:r>
        <w:rPr>
          <w:rFonts w:ascii="Arial" w:hAnsi="Arial"/>
          <w:sz w:val="22"/>
        </w:rPr>
        <w:t>evaluate</w:t>
      </w:r>
      <w:r w:rsidR="00C751E2">
        <w:rPr>
          <w:rFonts w:ascii="Arial" w:hAnsi="Arial"/>
          <w:sz w:val="22"/>
        </w:rPr>
        <w:t xml:space="preserve"> the</w:t>
      </w:r>
      <w:r>
        <w:rPr>
          <w:rFonts w:ascii="Arial" w:hAnsi="Arial"/>
          <w:sz w:val="22"/>
        </w:rPr>
        <w:t xml:space="preserve"> </w:t>
      </w:r>
      <w:r w:rsidR="00E254B1">
        <w:rPr>
          <w:rFonts w:ascii="Arial" w:hAnsi="Arial"/>
          <w:sz w:val="22"/>
        </w:rPr>
        <w:t xml:space="preserve">licensee’s </w:t>
      </w:r>
      <w:r>
        <w:rPr>
          <w:rFonts w:ascii="Arial" w:hAnsi="Arial"/>
          <w:sz w:val="22"/>
        </w:rPr>
        <w:t>waste handling procedures</w:t>
      </w:r>
      <w:r w:rsidR="00E254B1">
        <w:rPr>
          <w:rFonts w:ascii="Arial" w:hAnsi="Arial"/>
          <w:sz w:val="22"/>
        </w:rPr>
        <w:t>.  This evaluation will ensure</w:t>
      </w:r>
      <w:r w:rsidR="00C751E2">
        <w:rPr>
          <w:rFonts w:ascii="Arial" w:hAnsi="Arial"/>
          <w:sz w:val="22"/>
        </w:rPr>
        <w:t xml:space="preserve"> that</w:t>
      </w:r>
      <w:r w:rsidR="00E254B1">
        <w:rPr>
          <w:rFonts w:ascii="Arial" w:hAnsi="Arial"/>
          <w:sz w:val="22"/>
        </w:rPr>
        <w:t xml:space="preserve"> the licensee’s operating</w:t>
      </w:r>
      <w:r>
        <w:rPr>
          <w:rFonts w:ascii="Arial" w:hAnsi="Arial"/>
          <w:sz w:val="22"/>
        </w:rPr>
        <w:t xml:space="preserve"> procedures are adequate to protect workers handling waste in the condition in which it actually arrives, not just as it is expected to arrive.  It also permits determination of waste handling time</w:t>
      </w:r>
      <w:r w:rsidR="00E254B1">
        <w:rPr>
          <w:rFonts w:ascii="Arial" w:hAnsi="Arial"/>
          <w:sz w:val="22"/>
        </w:rPr>
        <w:t>s</w:t>
      </w:r>
      <w:r>
        <w:rPr>
          <w:rFonts w:ascii="Arial" w:hAnsi="Arial"/>
          <w:sz w:val="22"/>
        </w:rPr>
        <w:t xml:space="preserve"> between waste receipt and disposal (potential worker exposures)</w:t>
      </w:r>
      <w:r w:rsidR="00E254B1">
        <w:rPr>
          <w:rFonts w:ascii="Arial" w:hAnsi="Arial"/>
          <w:sz w:val="22"/>
        </w:rPr>
        <w:t>,</w:t>
      </w:r>
      <w:r>
        <w:rPr>
          <w:rFonts w:ascii="Arial" w:hAnsi="Arial"/>
          <w:sz w:val="22"/>
        </w:rPr>
        <w:t xml:space="preserve"> and permits accurate tracing of the location of waste within the disposal site</w:t>
      </w:r>
      <w:r w:rsidR="00E254B1">
        <w:rPr>
          <w:rFonts w:ascii="Arial" w:hAnsi="Arial"/>
          <w:sz w:val="22"/>
        </w:rPr>
        <w:t xml:space="preserve"> for safety purposes</w:t>
      </w:r>
      <w:r>
        <w:rPr>
          <w:rFonts w:ascii="Arial" w:hAnsi="Arial"/>
          <w:sz w:val="22"/>
        </w:rPr>
        <w:t>.</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Sections 61.80(g) and (j)</w:t>
      </w:r>
      <w:r>
        <w:rPr>
          <w:rFonts w:ascii="Arial" w:hAnsi="Arial"/>
          <w:sz w:val="22"/>
        </w:rPr>
        <w:t xml:space="preserve"> provide that the licensee</w:t>
      </w:r>
      <w:r w:rsidR="00C751E2">
        <w:rPr>
          <w:rFonts w:ascii="Arial" w:hAnsi="Arial"/>
          <w:sz w:val="22"/>
        </w:rPr>
        <w:t>s</w:t>
      </w:r>
      <w:r>
        <w:rPr>
          <w:rFonts w:ascii="Arial" w:hAnsi="Arial"/>
          <w:sz w:val="22"/>
        </w:rPr>
        <w:t xml:space="preserve"> must comply with specified safeguards reporting requirements contained in </w:t>
      </w:r>
      <w:r w:rsidR="00967ACD">
        <w:rPr>
          <w:rFonts w:ascii="Arial" w:hAnsi="Arial"/>
          <w:sz w:val="22"/>
        </w:rPr>
        <w:t xml:space="preserve">10 CFR </w:t>
      </w:r>
      <w:r>
        <w:rPr>
          <w:rFonts w:ascii="Arial" w:hAnsi="Arial"/>
          <w:sz w:val="22"/>
        </w:rPr>
        <w:t>Parts 30, 40, 70</w:t>
      </w:r>
      <w:r w:rsidR="00112E8E">
        <w:rPr>
          <w:rFonts w:ascii="Arial" w:hAnsi="Arial"/>
          <w:sz w:val="22"/>
        </w:rPr>
        <w:t>,</w:t>
      </w:r>
      <w:r>
        <w:rPr>
          <w:rFonts w:ascii="Arial" w:hAnsi="Arial"/>
          <w:sz w:val="22"/>
        </w:rPr>
        <w:t xml:space="preserve"> and 74 of the Commission's regulations.  Information submitted pursuant to these requirements is needed for the NRC to carry out its statutory responsibility to protect the common defense and security and to permit NRC to take any necessary action in response to a criticality accident or loss or theft of nuclear material.</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61.80(h)</w:t>
      </w:r>
      <w:r>
        <w:rPr>
          <w:rFonts w:ascii="Arial" w:hAnsi="Arial"/>
          <w:sz w:val="22"/>
        </w:rPr>
        <w:t xml:space="preserve"> requires </w:t>
      </w:r>
      <w:r w:rsidR="00967ACD">
        <w:rPr>
          <w:rFonts w:ascii="Arial" w:hAnsi="Arial"/>
          <w:sz w:val="22"/>
        </w:rPr>
        <w:t xml:space="preserve">licensee to file </w:t>
      </w:r>
      <w:r>
        <w:rPr>
          <w:rFonts w:ascii="Arial" w:hAnsi="Arial"/>
          <w:sz w:val="22"/>
        </w:rPr>
        <w:t>an annual financial report</w:t>
      </w:r>
      <w:r w:rsidR="00967ACD">
        <w:rPr>
          <w:rFonts w:ascii="Arial" w:hAnsi="Arial"/>
          <w:sz w:val="22"/>
        </w:rPr>
        <w:t xml:space="preserve"> to</w:t>
      </w:r>
      <w:r w:rsidR="00AA0889">
        <w:rPr>
          <w:rFonts w:ascii="Arial" w:hAnsi="Arial"/>
          <w:sz w:val="22"/>
        </w:rPr>
        <w:t xml:space="preserve"> the</w:t>
      </w:r>
      <w:r w:rsidR="00967ACD">
        <w:rPr>
          <w:rFonts w:ascii="Arial" w:hAnsi="Arial"/>
          <w:sz w:val="22"/>
        </w:rPr>
        <w:t xml:space="preserve"> NRC</w:t>
      </w:r>
      <w:r>
        <w:rPr>
          <w:rFonts w:ascii="Arial" w:hAnsi="Arial"/>
          <w:sz w:val="22"/>
        </w:rPr>
        <w:t xml:space="preserve">.  The stability and financial soundness of disposal site operators is important to prevent abandonment of the sites or inability to carry out disposal in accordance </w:t>
      </w:r>
      <w:r>
        <w:rPr>
          <w:rFonts w:ascii="Arial" w:hAnsi="Arial"/>
          <w:sz w:val="22"/>
        </w:rPr>
        <w:lastRenderedPageBreak/>
        <w:t>with approved procedures because of shortage of funds.  The financial information will be reviewed by the NRC staff for early warning of the possible development of such problems.</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61.80(i)</w:t>
      </w:r>
      <w:r>
        <w:rPr>
          <w:rFonts w:ascii="Arial" w:hAnsi="Arial"/>
          <w:sz w:val="22"/>
        </w:rPr>
        <w:t xml:space="preserve"> requires</w:t>
      </w:r>
      <w:r w:rsidR="00C027F9">
        <w:rPr>
          <w:rFonts w:ascii="Arial" w:hAnsi="Arial"/>
          <w:sz w:val="22"/>
        </w:rPr>
        <w:t xml:space="preserve"> licensee to submit</w:t>
      </w:r>
      <w:r>
        <w:rPr>
          <w:rFonts w:ascii="Arial" w:hAnsi="Arial"/>
          <w:sz w:val="22"/>
        </w:rPr>
        <w:t xml:space="preserve"> an original and two copies of an annual report on site activities.  Th</w:t>
      </w:r>
      <w:r w:rsidR="00E254B1">
        <w:rPr>
          <w:rFonts w:ascii="Arial" w:hAnsi="Arial"/>
          <w:sz w:val="22"/>
        </w:rPr>
        <w:t>is</w:t>
      </w:r>
      <w:r>
        <w:rPr>
          <w:rFonts w:ascii="Arial" w:hAnsi="Arial"/>
          <w:sz w:val="22"/>
        </w:rPr>
        <w:t xml:space="preserve"> information includes summaries of environmental releases, environmental monitoring data, waste that has been disposed of, maintenance activities, and </w:t>
      </w:r>
      <w:r w:rsidR="00E254B1">
        <w:rPr>
          <w:rFonts w:ascii="Arial" w:hAnsi="Arial"/>
          <w:sz w:val="22"/>
        </w:rPr>
        <w:t xml:space="preserve">any </w:t>
      </w:r>
      <w:r>
        <w:rPr>
          <w:rFonts w:ascii="Arial" w:hAnsi="Arial"/>
          <w:sz w:val="22"/>
        </w:rPr>
        <w:t>new data on the site.  Such summary data is needed to help the Commission monitor the continuing validity of the initial findings on which the license was issued.</w:t>
      </w:r>
    </w:p>
    <w:p w:rsidR="00945F80" w:rsidRDefault="00945F80" w:rsidP="003E737B">
      <w:pPr>
        <w:widowControl w:val="0"/>
        <w:spacing w:line="240" w:lineRule="exact"/>
        <w:ind w:left="72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61.80(k)</w:t>
      </w:r>
      <w:r>
        <w:rPr>
          <w:rFonts w:ascii="Arial" w:hAnsi="Arial"/>
          <w:sz w:val="22"/>
        </w:rPr>
        <w:t xml:space="preserve"> provides that the licensee must comply with specified provisions of </w:t>
      </w:r>
      <w:r w:rsidR="00C027F9">
        <w:rPr>
          <w:rFonts w:ascii="Arial" w:hAnsi="Arial"/>
          <w:sz w:val="22"/>
        </w:rPr>
        <w:t xml:space="preserve">10 CFR </w:t>
      </w:r>
      <w:r>
        <w:rPr>
          <w:rFonts w:ascii="Arial" w:hAnsi="Arial"/>
          <w:sz w:val="22"/>
        </w:rPr>
        <w:t>Parts 30, 40, and 70 for any transfer by the licensee of byproduct, source, or special nuclear material.</w:t>
      </w:r>
      <w:r w:rsidR="00E254B1">
        <w:rPr>
          <w:rFonts w:ascii="Arial" w:hAnsi="Arial"/>
          <w:sz w:val="22"/>
        </w:rPr>
        <w:t xml:space="preserve">  This information </w:t>
      </w:r>
      <w:r w:rsidR="00274901">
        <w:rPr>
          <w:rFonts w:ascii="Arial" w:hAnsi="Arial"/>
          <w:sz w:val="22"/>
        </w:rPr>
        <w:t>ensures</w:t>
      </w:r>
      <w:r w:rsidR="00E254B1">
        <w:rPr>
          <w:rFonts w:ascii="Arial" w:hAnsi="Arial"/>
          <w:sz w:val="22"/>
        </w:rPr>
        <w:t xml:space="preserve"> proper accounting of materials relative to adequate protection of the public health, safety and</w:t>
      </w:r>
      <w:r w:rsidR="00C751E2">
        <w:rPr>
          <w:rFonts w:ascii="Arial" w:hAnsi="Arial"/>
          <w:sz w:val="22"/>
        </w:rPr>
        <w:t xml:space="preserve"> the</w:t>
      </w:r>
      <w:r w:rsidR="00E254B1">
        <w:rPr>
          <w:rFonts w:ascii="Arial" w:hAnsi="Arial"/>
          <w:sz w:val="22"/>
        </w:rPr>
        <w:t xml:space="preserve"> environment.</w:t>
      </w:r>
    </w:p>
    <w:p w:rsidR="00274901" w:rsidRDefault="00274901">
      <w:pPr>
        <w:rPr>
          <w:rFonts w:ascii="Arial" w:hAnsi="Arial"/>
          <w:sz w:val="22"/>
          <w:u w:val="single"/>
        </w:rPr>
      </w:pPr>
    </w:p>
    <w:p w:rsidR="00945F80" w:rsidRDefault="00945F80" w:rsidP="003E737B">
      <w:pPr>
        <w:widowControl w:val="0"/>
        <w:spacing w:line="240" w:lineRule="exact"/>
        <w:ind w:left="1440"/>
        <w:rPr>
          <w:rFonts w:ascii="Arial" w:hAnsi="Arial"/>
          <w:sz w:val="22"/>
        </w:rPr>
      </w:pPr>
      <w:r>
        <w:rPr>
          <w:rFonts w:ascii="Arial" w:hAnsi="Arial"/>
          <w:sz w:val="22"/>
          <w:u w:val="single"/>
        </w:rPr>
        <w:t>Section 61.80(l)</w:t>
      </w:r>
      <w:r>
        <w:rPr>
          <w:rFonts w:ascii="Arial" w:hAnsi="Arial"/>
          <w:sz w:val="22"/>
        </w:rPr>
        <w:t xml:space="preserve"> requires the low-level waste facility operator to store manifest and other information pertaining to receipt and disposal of LLW in an electronic recordkeeping system.  In addition, the operator must report </w:t>
      </w:r>
      <w:r w:rsidR="00C027F9">
        <w:rPr>
          <w:rFonts w:ascii="Arial" w:hAnsi="Arial"/>
          <w:sz w:val="22"/>
        </w:rPr>
        <w:t>pertinent</w:t>
      </w:r>
      <w:r>
        <w:rPr>
          <w:rFonts w:ascii="Arial" w:hAnsi="Arial"/>
          <w:sz w:val="22"/>
        </w:rPr>
        <w:t xml:space="preserve"> manifest information to the NRC on a computer-readable medium.  Because thousands of manifest documents will be used annually, submittal of necessary documentation in a medium other than </w:t>
      </w:r>
      <w:r w:rsidR="00C027F9">
        <w:rPr>
          <w:rFonts w:ascii="Arial" w:hAnsi="Arial"/>
          <w:sz w:val="22"/>
        </w:rPr>
        <w:t xml:space="preserve">the </w:t>
      </w:r>
      <w:r>
        <w:rPr>
          <w:rFonts w:ascii="Arial" w:hAnsi="Arial"/>
          <w:sz w:val="22"/>
        </w:rPr>
        <w:t xml:space="preserve">electronic </w:t>
      </w:r>
      <w:r w:rsidR="00C027F9">
        <w:rPr>
          <w:rFonts w:ascii="Arial" w:hAnsi="Arial"/>
          <w:sz w:val="22"/>
        </w:rPr>
        <w:t xml:space="preserve">system </w:t>
      </w:r>
      <w:r>
        <w:rPr>
          <w:rFonts w:ascii="Arial" w:hAnsi="Arial"/>
          <w:sz w:val="22"/>
        </w:rPr>
        <w:t>would be an inefficient use of licensee and NRC resources.  Requiring that the data be stored electronically also ensures that the licensee is using the same database as that submitted to the NRC, thus reducing potential duplication and error.  All current operators use electronic recordkeeping.</w:t>
      </w:r>
      <w:r w:rsidR="00E254B1">
        <w:rPr>
          <w:rFonts w:ascii="Arial" w:hAnsi="Arial"/>
          <w:sz w:val="22"/>
        </w:rPr>
        <w:t xml:space="preserve">  This information </w:t>
      </w:r>
      <w:r w:rsidR="00274901">
        <w:rPr>
          <w:rFonts w:ascii="Arial" w:hAnsi="Arial"/>
          <w:sz w:val="22"/>
        </w:rPr>
        <w:t>ensures</w:t>
      </w:r>
      <w:r w:rsidR="00E254B1">
        <w:rPr>
          <w:rFonts w:ascii="Arial" w:hAnsi="Arial"/>
          <w:sz w:val="22"/>
        </w:rPr>
        <w:t xml:space="preserve"> proper accounting of materials relative to adequate protection of the public h</w:t>
      </w:r>
      <w:r w:rsidR="00C751E2">
        <w:rPr>
          <w:rFonts w:ascii="Arial" w:hAnsi="Arial"/>
          <w:sz w:val="22"/>
        </w:rPr>
        <w:t>ealth, safety and the environment.</w:t>
      </w:r>
    </w:p>
    <w:p w:rsidR="00945F80" w:rsidRDefault="00945F80" w:rsidP="00945F80">
      <w:pPr>
        <w:widowControl w:val="0"/>
        <w:spacing w:line="240" w:lineRule="exact"/>
        <w:ind w:left="720"/>
        <w:rPr>
          <w:rFonts w:ascii="Arial" w:hAnsi="Arial"/>
          <w:sz w:val="22"/>
        </w:rPr>
      </w:pPr>
    </w:p>
    <w:p w:rsidR="00945F80" w:rsidRDefault="00945F80" w:rsidP="008A685B">
      <w:pPr>
        <w:keepNext/>
        <w:keepLines/>
        <w:widowControl w:val="0"/>
        <w:numPr>
          <w:ilvl w:val="0"/>
          <w:numId w:val="4"/>
        </w:numPr>
        <w:spacing w:line="240" w:lineRule="exact"/>
        <w:rPr>
          <w:rFonts w:ascii="Arial" w:hAnsi="Arial"/>
          <w:sz w:val="22"/>
        </w:rPr>
      </w:pPr>
      <w:r>
        <w:rPr>
          <w:rFonts w:ascii="Arial" w:hAnsi="Arial"/>
          <w:sz w:val="22"/>
          <w:u w:val="single"/>
        </w:rPr>
        <w:t>Agency Use of Information</w:t>
      </w:r>
    </w:p>
    <w:p w:rsidR="00945F80" w:rsidRDefault="00945F80" w:rsidP="008A685B">
      <w:pPr>
        <w:keepNext/>
        <w:keepLines/>
        <w:widowControl w:val="0"/>
        <w:spacing w:line="240" w:lineRule="exact"/>
        <w:rPr>
          <w:rFonts w:ascii="Arial" w:hAnsi="Arial"/>
          <w:sz w:val="22"/>
        </w:rPr>
      </w:pPr>
    </w:p>
    <w:p w:rsidR="00945F80" w:rsidRDefault="00945F80" w:rsidP="008A685B">
      <w:pPr>
        <w:keepNext/>
        <w:keepLines/>
        <w:widowControl w:val="0"/>
        <w:spacing w:line="240" w:lineRule="exact"/>
        <w:ind w:left="1440"/>
        <w:rPr>
          <w:rFonts w:ascii="Arial" w:hAnsi="Arial"/>
          <w:sz w:val="22"/>
        </w:rPr>
      </w:pPr>
      <w:r>
        <w:rPr>
          <w:rFonts w:ascii="Arial" w:hAnsi="Arial"/>
          <w:sz w:val="22"/>
        </w:rPr>
        <w:t xml:space="preserve">The general, technical, institutional, and financial information included in </w:t>
      </w:r>
      <w:r w:rsidR="00C027F9">
        <w:rPr>
          <w:rFonts w:ascii="Arial" w:hAnsi="Arial"/>
          <w:sz w:val="22"/>
        </w:rPr>
        <w:t xml:space="preserve">the </w:t>
      </w:r>
      <w:r>
        <w:rPr>
          <w:rFonts w:ascii="Arial" w:hAnsi="Arial"/>
          <w:sz w:val="22"/>
        </w:rPr>
        <w:t xml:space="preserve">applications </w:t>
      </w:r>
      <w:r w:rsidR="004F05A1">
        <w:rPr>
          <w:rFonts w:ascii="Arial" w:hAnsi="Arial"/>
          <w:sz w:val="22"/>
        </w:rPr>
        <w:t xml:space="preserve">will be </w:t>
      </w:r>
      <w:r w:rsidR="00FF1C71">
        <w:rPr>
          <w:rFonts w:ascii="Arial" w:hAnsi="Arial"/>
          <w:sz w:val="22"/>
        </w:rPr>
        <w:t xml:space="preserve">used by </w:t>
      </w:r>
      <w:r w:rsidR="00C027F9">
        <w:rPr>
          <w:rFonts w:ascii="Arial" w:hAnsi="Arial"/>
          <w:sz w:val="22"/>
        </w:rPr>
        <w:t xml:space="preserve">the </w:t>
      </w:r>
      <w:r w:rsidR="00DF26E1">
        <w:rPr>
          <w:rFonts w:ascii="Arial" w:hAnsi="Arial"/>
          <w:sz w:val="22"/>
        </w:rPr>
        <w:t>NRC</w:t>
      </w:r>
      <w:r>
        <w:rPr>
          <w:rFonts w:ascii="Arial" w:hAnsi="Arial"/>
          <w:sz w:val="22"/>
        </w:rPr>
        <w:t xml:space="preserve"> to determine </w:t>
      </w:r>
      <w:r w:rsidR="00C027F9">
        <w:rPr>
          <w:rFonts w:ascii="Arial" w:hAnsi="Arial"/>
          <w:sz w:val="22"/>
        </w:rPr>
        <w:t>whether</w:t>
      </w:r>
      <w:r>
        <w:rPr>
          <w:rFonts w:ascii="Arial" w:hAnsi="Arial"/>
          <w:sz w:val="22"/>
        </w:rPr>
        <w:t xml:space="preserve"> the proposed activities can be conducted safely </w:t>
      </w:r>
      <w:r w:rsidR="00C027F9">
        <w:rPr>
          <w:rFonts w:ascii="Arial" w:hAnsi="Arial"/>
          <w:sz w:val="22"/>
        </w:rPr>
        <w:t>without harming</w:t>
      </w:r>
      <w:r>
        <w:rPr>
          <w:rFonts w:ascii="Arial" w:hAnsi="Arial"/>
          <w:sz w:val="22"/>
        </w:rPr>
        <w:t xml:space="preserve"> common defense and security and constitut</w:t>
      </w:r>
      <w:r w:rsidR="00C027F9">
        <w:rPr>
          <w:rFonts w:ascii="Arial" w:hAnsi="Arial"/>
          <w:sz w:val="22"/>
        </w:rPr>
        <w:t>ing</w:t>
      </w:r>
      <w:r>
        <w:rPr>
          <w:rFonts w:ascii="Arial" w:hAnsi="Arial"/>
          <w:sz w:val="22"/>
        </w:rPr>
        <w:t xml:space="preserve"> an unreasonable risk to the public health and safety or the environment.</w:t>
      </w:r>
    </w:p>
    <w:p w:rsidR="00945F80" w:rsidRDefault="00945F80" w:rsidP="00945F80">
      <w:pPr>
        <w:widowControl w:val="0"/>
        <w:spacing w:line="240" w:lineRule="exact"/>
        <w:rPr>
          <w:rFonts w:ascii="Arial" w:hAnsi="Arial"/>
          <w:sz w:val="22"/>
        </w:rPr>
      </w:pPr>
    </w:p>
    <w:p w:rsidR="00945F80" w:rsidRPr="0064722E" w:rsidRDefault="00945F80" w:rsidP="003E737B">
      <w:pPr>
        <w:widowControl w:val="0"/>
        <w:numPr>
          <w:ilvl w:val="0"/>
          <w:numId w:val="4"/>
        </w:numPr>
        <w:spacing w:line="240" w:lineRule="exact"/>
        <w:rPr>
          <w:rFonts w:ascii="Arial" w:hAnsi="Arial"/>
          <w:sz w:val="22"/>
        </w:rPr>
      </w:pPr>
      <w:r>
        <w:rPr>
          <w:rFonts w:ascii="Arial" w:hAnsi="Arial"/>
          <w:sz w:val="22"/>
          <w:u w:val="single"/>
        </w:rPr>
        <w:t>Reduction of Burden Through Information Technology</w:t>
      </w:r>
    </w:p>
    <w:p w:rsidR="0064722E" w:rsidRDefault="0064722E" w:rsidP="0064722E">
      <w:pPr>
        <w:widowControl w:val="0"/>
        <w:spacing w:line="240" w:lineRule="exact"/>
        <w:ind w:left="1440"/>
        <w:rPr>
          <w:rFonts w:ascii="Arial" w:hAnsi="Arial"/>
          <w:sz w:val="22"/>
        </w:rPr>
      </w:pPr>
    </w:p>
    <w:p w:rsidR="005627D6" w:rsidRDefault="00945F80" w:rsidP="005627D6">
      <w:pPr>
        <w:widowControl w:val="0"/>
        <w:spacing w:line="240" w:lineRule="exact"/>
        <w:ind w:left="144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w:t>
      </w:r>
      <w:r w:rsidR="00C027F9">
        <w:rPr>
          <w:rFonts w:ascii="Arial" w:hAnsi="Arial"/>
          <w:sz w:val="22"/>
        </w:rPr>
        <w:t>On October 10, 2003 (68 FR 58791)</w:t>
      </w:r>
      <w:r w:rsidR="00AA0889">
        <w:rPr>
          <w:rFonts w:ascii="Arial" w:hAnsi="Arial"/>
          <w:sz w:val="22"/>
        </w:rPr>
        <w:t>,</w:t>
      </w:r>
      <w:r w:rsidR="00C027F9">
        <w:rPr>
          <w:rFonts w:ascii="Arial" w:hAnsi="Arial"/>
          <w:sz w:val="22"/>
        </w:rPr>
        <w:t xml:space="preserve"> the </w:t>
      </w:r>
      <w:r>
        <w:rPr>
          <w:rFonts w:ascii="Arial" w:hAnsi="Arial"/>
          <w:sz w:val="22"/>
        </w:rPr>
        <w:t>NRC issued a regulation</w:t>
      </w:r>
      <w:r w:rsidR="00AA0889">
        <w:rPr>
          <w:rFonts w:ascii="Arial" w:hAnsi="Arial"/>
          <w:sz w:val="22"/>
        </w:rPr>
        <w:t xml:space="preserve"> </w:t>
      </w:r>
      <w:r>
        <w:rPr>
          <w:rFonts w:ascii="Arial" w:hAnsi="Arial"/>
          <w:sz w:val="22"/>
        </w:rPr>
        <w:t>consistent with the Government Paperwork Elimination Act, which allows its licensees, vendors, applicants, and members of the public the option to make submissions electronically via CD-ROM, e-mail, special Web-based interface, or other means.</w:t>
      </w:r>
      <w:r w:rsidR="005627D6" w:rsidRPr="005627D6">
        <w:rPr>
          <w:rFonts w:ascii="Arial" w:hAnsi="Arial"/>
          <w:sz w:val="22"/>
        </w:rPr>
        <w:t xml:space="preserve"> </w:t>
      </w:r>
      <w:r w:rsidR="00107DE5">
        <w:rPr>
          <w:rFonts w:ascii="Arial" w:hAnsi="Arial"/>
          <w:sz w:val="22"/>
        </w:rPr>
        <w:t xml:space="preserve"> </w:t>
      </w:r>
      <w:r w:rsidR="005627D6">
        <w:rPr>
          <w:rFonts w:ascii="Arial" w:hAnsi="Arial"/>
          <w:sz w:val="22"/>
        </w:rPr>
        <w:t>The NRC estimates that the overall percentage of responses filed electronically under 10 CFR Part 61 is 80%.</w:t>
      </w:r>
    </w:p>
    <w:p w:rsidR="00945F80" w:rsidRDefault="00945F80" w:rsidP="00945F80">
      <w:pPr>
        <w:widowControl w:val="0"/>
        <w:spacing w:line="240" w:lineRule="exact"/>
        <w:rPr>
          <w:rFonts w:ascii="Arial" w:hAnsi="Arial"/>
          <w:sz w:val="22"/>
        </w:rPr>
      </w:pPr>
    </w:p>
    <w:p w:rsidR="0064722E" w:rsidRDefault="00945F80" w:rsidP="000E1208">
      <w:pPr>
        <w:widowControl w:val="0"/>
        <w:spacing w:line="240" w:lineRule="exact"/>
        <w:ind w:left="1440"/>
        <w:rPr>
          <w:rFonts w:ascii="Arial" w:hAnsi="Arial"/>
          <w:sz w:val="22"/>
        </w:rPr>
      </w:pPr>
      <w:r>
        <w:rPr>
          <w:rFonts w:ascii="Arial" w:hAnsi="Arial"/>
          <w:sz w:val="22"/>
        </w:rPr>
        <w:t xml:space="preserve">The approach throughout </w:t>
      </w:r>
      <w:r w:rsidR="00115EFC">
        <w:rPr>
          <w:rFonts w:ascii="Arial" w:hAnsi="Arial"/>
          <w:sz w:val="22"/>
        </w:rPr>
        <w:t xml:space="preserve">10 CFR </w:t>
      </w:r>
      <w:r>
        <w:rPr>
          <w:rFonts w:ascii="Arial" w:hAnsi="Arial"/>
          <w:sz w:val="22"/>
        </w:rPr>
        <w:t xml:space="preserve">Part 61 was to specify the necessary </w:t>
      </w:r>
      <w:r>
        <w:rPr>
          <w:rFonts w:ascii="Arial" w:hAnsi="Arial"/>
          <w:sz w:val="22"/>
        </w:rPr>
        <w:lastRenderedPageBreak/>
        <w:t xml:space="preserve">information but not to specify how the information must be maintained.  For example, no application form is specified, and Section 61.80(c) explicitly allows the use of microfilm for recordkeeping.  However, Section 61.80(l) requires each low-level waste facility operator to store manifest and other information pertaining to receipt and disposal of LLW in an electronic recordkeeping system.  In addition, the operator must report </w:t>
      </w:r>
      <w:r w:rsidR="00115EFC">
        <w:rPr>
          <w:rFonts w:ascii="Arial" w:hAnsi="Arial"/>
          <w:sz w:val="22"/>
        </w:rPr>
        <w:t xml:space="preserve">pertinent </w:t>
      </w:r>
      <w:r>
        <w:rPr>
          <w:rFonts w:ascii="Arial" w:hAnsi="Arial"/>
          <w:sz w:val="22"/>
        </w:rPr>
        <w:t xml:space="preserve">manifest information to the NRC on a computer-readable medium.  </w:t>
      </w:r>
      <w:r w:rsidR="00576A29">
        <w:rPr>
          <w:rFonts w:ascii="Arial" w:hAnsi="Arial"/>
          <w:sz w:val="22"/>
        </w:rPr>
        <w:t xml:space="preserve">As a result, the NRC estimates </w:t>
      </w:r>
      <w:r w:rsidR="00107DE5">
        <w:rPr>
          <w:rFonts w:ascii="Arial" w:hAnsi="Arial"/>
          <w:sz w:val="22"/>
        </w:rPr>
        <w:t xml:space="preserve">that </w:t>
      </w:r>
      <w:r w:rsidR="00576A29">
        <w:rPr>
          <w:rFonts w:ascii="Arial" w:hAnsi="Arial"/>
          <w:sz w:val="22"/>
        </w:rPr>
        <w:t>100% of the manifest information and other information pertaining to receipt and disposal of LLW is maintained and reported electronically.</w:t>
      </w:r>
      <w:r w:rsidR="000E1208">
        <w:rPr>
          <w:rFonts w:ascii="Arial" w:hAnsi="Arial"/>
          <w:sz w:val="22"/>
        </w:rPr>
        <w:t xml:space="preserve">  However, b</w:t>
      </w:r>
      <w:r>
        <w:rPr>
          <w:rFonts w:ascii="Arial" w:hAnsi="Arial"/>
          <w:sz w:val="22"/>
        </w:rPr>
        <w:t xml:space="preserve">ecause of the types of information and the infrequency of submission, other information collections </w:t>
      </w:r>
      <w:proofErr w:type="gramStart"/>
      <w:r>
        <w:rPr>
          <w:rFonts w:ascii="Arial" w:hAnsi="Arial"/>
          <w:sz w:val="22"/>
        </w:rPr>
        <w:t>under</w:t>
      </w:r>
      <w:proofErr w:type="gramEnd"/>
      <w:r>
        <w:rPr>
          <w:rFonts w:ascii="Arial" w:hAnsi="Arial"/>
          <w:sz w:val="22"/>
        </w:rPr>
        <w:t xml:space="preserve"> </w:t>
      </w:r>
      <w:r w:rsidR="00115EFC">
        <w:rPr>
          <w:rFonts w:ascii="Arial" w:hAnsi="Arial"/>
          <w:sz w:val="22"/>
        </w:rPr>
        <w:t xml:space="preserve">10 CFR </w:t>
      </w:r>
      <w:r>
        <w:rPr>
          <w:rFonts w:ascii="Arial" w:hAnsi="Arial"/>
          <w:sz w:val="22"/>
        </w:rPr>
        <w:t>Part 61 are generall</w:t>
      </w:r>
      <w:r w:rsidR="007D0345">
        <w:rPr>
          <w:rFonts w:ascii="Arial" w:hAnsi="Arial"/>
          <w:sz w:val="22"/>
        </w:rPr>
        <w:t>y not submitted electronically.</w:t>
      </w:r>
      <w:r w:rsidR="00576A29">
        <w:rPr>
          <w:rFonts w:ascii="Arial" w:hAnsi="Arial"/>
          <w:sz w:val="22"/>
        </w:rPr>
        <w:t xml:space="preserve">  </w:t>
      </w:r>
    </w:p>
    <w:p w:rsidR="005627D6" w:rsidRDefault="005627D6" w:rsidP="000E1208">
      <w:pPr>
        <w:widowControl w:val="0"/>
        <w:spacing w:line="240" w:lineRule="exact"/>
        <w:ind w:left="1440"/>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Effort to Identify Duplication and Use Similar Information</w:t>
      </w:r>
    </w:p>
    <w:p w:rsidR="00945F80" w:rsidRDefault="00945F80" w:rsidP="00945F80">
      <w:pPr>
        <w:widowControl w:val="0"/>
        <w:spacing w:line="240" w:lineRule="exact"/>
        <w:rPr>
          <w:rFonts w:ascii="Arial" w:hAnsi="Arial"/>
          <w:sz w:val="22"/>
        </w:rPr>
      </w:pPr>
    </w:p>
    <w:p w:rsidR="0064722E" w:rsidRPr="00B73388" w:rsidRDefault="00945F80" w:rsidP="00167924">
      <w:pPr>
        <w:ind w:left="1440"/>
        <w:rPr>
          <w:rFonts w:ascii="Arial" w:hAnsi="Arial" w:cs="Arial"/>
          <w:sz w:val="22"/>
          <w:szCs w:val="22"/>
        </w:rPr>
      </w:pPr>
      <w:r>
        <w:rPr>
          <w:rFonts w:ascii="Arial" w:hAnsi="Arial"/>
          <w:sz w:val="22"/>
        </w:rPr>
        <w:t xml:space="preserve">The collection of the information required is not a duplication of other information. </w:t>
      </w:r>
      <w:r w:rsidR="00AA0889">
        <w:rPr>
          <w:rFonts w:ascii="Arial" w:hAnsi="Arial"/>
          <w:sz w:val="22"/>
        </w:rPr>
        <w:t xml:space="preserve"> </w:t>
      </w:r>
      <w:r>
        <w:rPr>
          <w:rFonts w:ascii="Arial" w:hAnsi="Arial"/>
          <w:sz w:val="22"/>
        </w:rPr>
        <w:t xml:space="preserve">No sources of similar information are available and there is no duplication of requirements.  Section 61.21 specifically provides an opportunity for the applicant to avoid repetition in filing licensing submittals by referencing previously submitted material.  </w:t>
      </w:r>
      <w:r w:rsidR="00115EFC">
        <w:rPr>
          <w:rFonts w:ascii="Arial" w:hAnsi="Arial"/>
          <w:sz w:val="22"/>
        </w:rPr>
        <w:t xml:space="preserve">The </w:t>
      </w:r>
      <w:r>
        <w:rPr>
          <w:rFonts w:ascii="Arial" w:hAnsi="Arial"/>
          <w:sz w:val="22"/>
        </w:rPr>
        <w:t>NRC has in place an ongoing program to examine all</w:t>
      </w:r>
      <w:r w:rsidR="00167924">
        <w:rPr>
          <w:rFonts w:ascii="Arial" w:hAnsi="Arial"/>
          <w:sz w:val="22"/>
        </w:rPr>
        <w:t xml:space="preserve"> </w:t>
      </w:r>
      <w:r>
        <w:rPr>
          <w:rFonts w:ascii="Arial" w:hAnsi="Arial"/>
          <w:sz w:val="22"/>
        </w:rPr>
        <w:t>information collections with the goal of eliminating all duplication and/or unnecess</w:t>
      </w:r>
      <w:r w:rsidR="007D0345">
        <w:rPr>
          <w:rFonts w:ascii="Arial" w:hAnsi="Arial"/>
          <w:sz w:val="22"/>
        </w:rPr>
        <w:t>ary information collections.</w:t>
      </w:r>
      <w:r w:rsidR="00115EFC">
        <w:rPr>
          <w:rFonts w:ascii="Arial" w:hAnsi="Arial"/>
          <w:sz w:val="22"/>
        </w:rPr>
        <w:t xml:space="preserve">  </w:t>
      </w:r>
    </w:p>
    <w:p w:rsidR="004F4177" w:rsidRPr="0064722E" w:rsidRDefault="004F4177" w:rsidP="003E737B">
      <w:pPr>
        <w:widowControl w:val="0"/>
        <w:spacing w:line="240" w:lineRule="exact"/>
        <w:ind w:left="1440"/>
        <w:rPr>
          <w:rFonts w:ascii="Arial" w:hAnsi="Arial" w:cs="Arial"/>
          <w:sz w:val="22"/>
          <w:szCs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Effort to Reduce Small Business Burden</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Applicants for operation of a disposal site may be small businesses.  However, the total number of applicants is expected to be small and the information needs are the same for both large and small entities</w:t>
      </w:r>
      <w:r w:rsidR="00F35B12">
        <w:rPr>
          <w:rFonts w:ascii="Arial" w:hAnsi="Arial"/>
          <w:sz w:val="22"/>
        </w:rPr>
        <w:t>.</w:t>
      </w:r>
      <w:r>
        <w:rPr>
          <w:rFonts w:ascii="Arial" w:hAnsi="Arial"/>
          <w:sz w:val="22"/>
        </w:rPr>
        <w:t xml:space="preserve"> </w:t>
      </w:r>
      <w:r w:rsidR="00F35B12">
        <w:rPr>
          <w:rFonts w:ascii="Arial" w:hAnsi="Arial"/>
          <w:sz w:val="22"/>
        </w:rPr>
        <w:t xml:space="preserve"> </w:t>
      </w:r>
      <w:r w:rsidR="00E254B1">
        <w:rPr>
          <w:rFonts w:ascii="Arial" w:hAnsi="Arial"/>
          <w:sz w:val="22"/>
        </w:rPr>
        <w:t>As such, i</w:t>
      </w:r>
      <w:r>
        <w:rPr>
          <w:rFonts w:ascii="Arial" w:hAnsi="Arial"/>
          <w:sz w:val="22"/>
        </w:rPr>
        <w:t>t is not possible to reduce the burden on small businesses by less frequen</w:t>
      </w:r>
      <w:r w:rsidR="00E254B1">
        <w:rPr>
          <w:rFonts w:ascii="Arial" w:hAnsi="Arial"/>
          <w:sz w:val="22"/>
        </w:rPr>
        <w:t xml:space="preserve">t or less </w:t>
      </w:r>
      <w:r w:rsidR="00F35B12">
        <w:rPr>
          <w:rFonts w:ascii="Arial" w:hAnsi="Arial"/>
          <w:sz w:val="22"/>
        </w:rPr>
        <w:t>c</w:t>
      </w:r>
      <w:r w:rsidR="00E254B1">
        <w:rPr>
          <w:rFonts w:ascii="Arial" w:hAnsi="Arial"/>
          <w:sz w:val="22"/>
        </w:rPr>
        <w:t xml:space="preserve">omplete </w:t>
      </w:r>
      <w:r w:rsidR="009D4E8D">
        <w:rPr>
          <w:rFonts w:ascii="Arial" w:hAnsi="Arial"/>
          <w:sz w:val="22"/>
        </w:rPr>
        <w:t>reporting.</w:t>
      </w:r>
      <w:r w:rsidR="00CE40E3">
        <w:rPr>
          <w:rFonts w:ascii="Arial" w:hAnsi="Arial"/>
          <w:sz w:val="22"/>
        </w:rPr>
        <w:t xml:space="preserve"> </w:t>
      </w:r>
      <w:r w:rsidR="004167BE">
        <w:rPr>
          <w:rFonts w:ascii="Arial" w:hAnsi="Arial"/>
          <w:sz w:val="22"/>
        </w:rPr>
        <w:t xml:space="preserve"> The NRC staff estimates that none</w:t>
      </w:r>
      <w:r w:rsidR="00CE40E3">
        <w:rPr>
          <w:rFonts w:ascii="Arial" w:hAnsi="Arial"/>
          <w:sz w:val="22"/>
        </w:rPr>
        <w:t xml:space="preserve"> of the </w:t>
      </w:r>
      <w:r w:rsidR="004167BE">
        <w:rPr>
          <w:rFonts w:ascii="Arial" w:hAnsi="Arial"/>
          <w:sz w:val="22"/>
        </w:rPr>
        <w:t>four</w:t>
      </w:r>
      <w:r w:rsidR="00CE40E3">
        <w:rPr>
          <w:rFonts w:ascii="Arial" w:hAnsi="Arial"/>
          <w:sz w:val="22"/>
        </w:rPr>
        <w:t xml:space="preserve"> licensees subject to </w:t>
      </w:r>
      <w:r w:rsidR="007447F2">
        <w:rPr>
          <w:rFonts w:ascii="Arial" w:hAnsi="Arial"/>
          <w:sz w:val="22"/>
        </w:rPr>
        <w:t xml:space="preserve">10 CFR </w:t>
      </w:r>
      <w:r w:rsidR="00CE40E3">
        <w:rPr>
          <w:rFonts w:ascii="Arial" w:hAnsi="Arial"/>
          <w:sz w:val="22"/>
        </w:rPr>
        <w:t>Part 61 are small businesses.</w:t>
      </w:r>
    </w:p>
    <w:p w:rsidR="00945F80" w:rsidRDefault="00945F80" w:rsidP="00945F80">
      <w:pPr>
        <w:widowControl w:val="0"/>
        <w:spacing w:line="240" w:lineRule="exact"/>
        <w:rPr>
          <w:rFonts w:ascii="Arial" w:hAnsi="Arial"/>
          <w:sz w:val="22"/>
        </w:rPr>
      </w:pPr>
    </w:p>
    <w:p w:rsidR="00945F80" w:rsidRDefault="00945F80" w:rsidP="004F4177">
      <w:pPr>
        <w:keepNext/>
        <w:keepLines/>
        <w:widowControl w:val="0"/>
        <w:numPr>
          <w:ilvl w:val="0"/>
          <w:numId w:val="4"/>
        </w:numPr>
        <w:spacing w:line="240" w:lineRule="exact"/>
        <w:rPr>
          <w:rFonts w:ascii="Arial" w:hAnsi="Arial"/>
          <w:sz w:val="22"/>
        </w:rPr>
      </w:pPr>
      <w:r>
        <w:rPr>
          <w:rFonts w:ascii="Arial" w:hAnsi="Arial"/>
          <w:sz w:val="22"/>
          <w:u w:val="single"/>
        </w:rPr>
        <w:t>Consequences to Federal Program or Policy Activities if the Collection is Not Conducted or is Conducted Less Frequently</w:t>
      </w:r>
    </w:p>
    <w:p w:rsidR="00945F80" w:rsidRDefault="00945F80" w:rsidP="004F4177">
      <w:pPr>
        <w:keepNext/>
        <w:keepLines/>
        <w:widowControl w:val="0"/>
        <w:spacing w:line="240" w:lineRule="exact"/>
        <w:rPr>
          <w:rFonts w:ascii="Arial" w:hAnsi="Arial"/>
          <w:sz w:val="22"/>
        </w:rPr>
      </w:pPr>
    </w:p>
    <w:p w:rsidR="00945F80" w:rsidRDefault="00945F80" w:rsidP="004F4177">
      <w:pPr>
        <w:keepNext/>
        <w:keepLines/>
        <w:widowControl w:val="0"/>
        <w:spacing w:line="240" w:lineRule="exact"/>
        <w:ind w:left="1440"/>
        <w:rPr>
          <w:rFonts w:ascii="Arial" w:hAnsi="Arial"/>
          <w:sz w:val="22"/>
        </w:rPr>
      </w:pPr>
      <w:r>
        <w:rPr>
          <w:rFonts w:ascii="Arial" w:hAnsi="Arial"/>
          <w:sz w:val="22"/>
        </w:rPr>
        <w:t xml:space="preserve">Not conducting the information collection or less frequent information collection would compromise NRC’s ability to make licensing decisions and monitor the continuing safety of disposal operations.  Applications are </w:t>
      </w:r>
      <w:r w:rsidR="009D4E8D">
        <w:rPr>
          <w:rFonts w:ascii="Arial" w:hAnsi="Arial"/>
          <w:sz w:val="22"/>
        </w:rPr>
        <w:t>submitted</w:t>
      </w:r>
      <w:r>
        <w:rPr>
          <w:rFonts w:ascii="Arial" w:hAnsi="Arial"/>
          <w:sz w:val="22"/>
        </w:rPr>
        <w:t xml:space="preserve"> only when a licens</w:t>
      </w:r>
      <w:r w:rsidR="009D4E8D">
        <w:rPr>
          <w:rFonts w:ascii="Arial" w:hAnsi="Arial"/>
          <w:sz w:val="22"/>
        </w:rPr>
        <w:t xml:space="preserve">e </w:t>
      </w:r>
      <w:r>
        <w:rPr>
          <w:rFonts w:ascii="Arial" w:hAnsi="Arial"/>
          <w:sz w:val="22"/>
        </w:rPr>
        <w:t>i</w:t>
      </w:r>
      <w:r w:rsidR="009D4E8D">
        <w:rPr>
          <w:rFonts w:ascii="Arial" w:hAnsi="Arial"/>
          <w:sz w:val="22"/>
        </w:rPr>
        <w:t>s requested</w:t>
      </w:r>
      <w:r>
        <w:rPr>
          <w:rFonts w:ascii="Arial" w:hAnsi="Arial"/>
          <w:sz w:val="22"/>
        </w:rPr>
        <w:t xml:space="preserve">.  </w:t>
      </w:r>
      <w:r w:rsidR="009D4E8D">
        <w:rPr>
          <w:rFonts w:ascii="Arial" w:hAnsi="Arial"/>
          <w:sz w:val="22"/>
        </w:rPr>
        <w:t>License r</w:t>
      </w:r>
      <w:r>
        <w:rPr>
          <w:rFonts w:ascii="Arial" w:hAnsi="Arial"/>
          <w:sz w:val="22"/>
        </w:rPr>
        <w:t>eports are required annually on financial status and site operations.  Less frequent reports would not give early warning of potential problems.</w:t>
      </w:r>
    </w:p>
    <w:p w:rsidR="00945F80" w:rsidRDefault="00945F80" w:rsidP="00945F80">
      <w:pPr>
        <w:widowControl w:val="0"/>
        <w:spacing w:line="240" w:lineRule="exact"/>
        <w:rPr>
          <w:rFonts w:ascii="Arial" w:hAnsi="Arial"/>
          <w:sz w:val="22"/>
        </w:rPr>
      </w:pPr>
      <w:r>
        <w:rPr>
          <w:rFonts w:ascii="Arial" w:hAnsi="Arial"/>
          <w:sz w:val="22"/>
        </w:rPr>
        <w:tab/>
      </w:r>
    </w:p>
    <w:p w:rsidR="00945F80" w:rsidRPr="00112E8E" w:rsidRDefault="00945F80" w:rsidP="003E737B">
      <w:pPr>
        <w:widowControl w:val="0"/>
        <w:numPr>
          <w:ilvl w:val="0"/>
          <w:numId w:val="4"/>
        </w:numPr>
        <w:spacing w:line="240" w:lineRule="exact"/>
        <w:rPr>
          <w:rFonts w:ascii="Arial" w:hAnsi="Arial"/>
          <w:sz w:val="22"/>
          <w:u w:val="single"/>
        </w:rPr>
      </w:pPr>
      <w:r w:rsidRPr="00112E8E">
        <w:rPr>
          <w:rFonts w:ascii="Arial" w:hAnsi="Arial"/>
          <w:sz w:val="22"/>
          <w:u w:val="single"/>
        </w:rPr>
        <w:t>Circumstances Which Justify Variation from O</w:t>
      </w:r>
      <w:r w:rsidR="00112E8E" w:rsidRPr="00112E8E">
        <w:rPr>
          <w:rFonts w:ascii="Arial" w:hAnsi="Arial"/>
          <w:sz w:val="22"/>
          <w:u w:val="single"/>
        </w:rPr>
        <w:t>ffice of Management and Budget</w:t>
      </w:r>
      <w:r w:rsidRPr="00112E8E">
        <w:rPr>
          <w:rFonts w:ascii="Arial" w:hAnsi="Arial"/>
          <w:sz w:val="22"/>
          <w:u w:val="single"/>
        </w:rPr>
        <w:t xml:space="preserve"> Guideline</w:t>
      </w:r>
      <w:r w:rsidR="00112E8E" w:rsidRPr="00112E8E">
        <w:rPr>
          <w:rFonts w:ascii="Arial" w:hAnsi="Arial"/>
          <w:sz w:val="22"/>
          <w:u w:val="single"/>
        </w:rPr>
        <w:t>s</w:t>
      </w:r>
    </w:p>
    <w:p w:rsidR="00A44F98" w:rsidRDefault="00A44F98" w:rsidP="003E737B">
      <w:pPr>
        <w:widowControl w:val="0"/>
        <w:spacing w:line="240" w:lineRule="exact"/>
        <w:ind w:left="1440"/>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Section 61.9a</w:t>
      </w:r>
      <w:r w:rsidR="00197A32">
        <w:rPr>
          <w:rFonts w:ascii="Arial" w:hAnsi="Arial"/>
          <w:sz w:val="22"/>
        </w:rPr>
        <w:t xml:space="preserve"> (</w:t>
      </w:r>
      <w:r>
        <w:rPr>
          <w:rFonts w:ascii="Arial" w:hAnsi="Arial"/>
          <w:sz w:val="22"/>
        </w:rPr>
        <w:t xml:space="preserve">b) requires that an applicant or </w:t>
      </w:r>
      <w:r w:rsidR="009D4E8D">
        <w:rPr>
          <w:rFonts w:ascii="Arial" w:hAnsi="Arial"/>
          <w:sz w:val="22"/>
        </w:rPr>
        <w:t xml:space="preserve">a </w:t>
      </w:r>
      <w:r>
        <w:rPr>
          <w:rFonts w:ascii="Arial" w:hAnsi="Arial"/>
          <w:sz w:val="22"/>
        </w:rPr>
        <w:t xml:space="preserve">licensee submit a notification to </w:t>
      </w:r>
      <w:r w:rsidR="00F35B12">
        <w:rPr>
          <w:rFonts w:ascii="Arial" w:hAnsi="Arial"/>
          <w:sz w:val="22"/>
        </w:rPr>
        <w:t xml:space="preserve">the </w:t>
      </w:r>
      <w:r>
        <w:rPr>
          <w:rFonts w:ascii="Arial" w:hAnsi="Arial"/>
          <w:sz w:val="22"/>
        </w:rPr>
        <w:t>NRC in less than 30 days from the date of identifying information having significant implications for the public health and safety</w:t>
      </w:r>
      <w:r w:rsidR="00880B03">
        <w:rPr>
          <w:rFonts w:ascii="Arial" w:hAnsi="Arial"/>
          <w:sz w:val="22"/>
        </w:rPr>
        <w:t>, the</w:t>
      </w:r>
      <w:r w:rsidR="009D4E8D">
        <w:rPr>
          <w:rFonts w:ascii="Arial" w:hAnsi="Arial"/>
          <w:sz w:val="22"/>
        </w:rPr>
        <w:t xml:space="preserve"> environment,</w:t>
      </w:r>
      <w:r>
        <w:rPr>
          <w:rFonts w:ascii="Arial" w:hAnsi="Arial"/>
          <w:sz w:val="22"/>
        </w:rPr>
        <w:t xml:space="preserve"> or the common defense and security</w:t>
      </w:r>
      <w:r w:rsidR="00F35B12">
        <w:rPr>
          <w:rFonts w:ascii="Arial" w:hAnsi="Arial"/>
          <w:sz w:val="22"/>
        </w:rPr>
        <w:t>,</w:t>
      </w:r>
      <w:r>
        <w:rPr>
          <w:rFonts w:ascii="Arial" w:hAnsi="Arial"/>
          <w:sz w:val="22"/>
        </w:rPr>
        <w:t xml:space="preserve"> which is not covered by other reporting requirements.  The requirement to provide notification within two working days following the identification of the information is necessary to ensure that </w:t>
      </w:r>
      <w:r w:rsidR="00F35B12">
        <w:rPr>
          <w:rFonts w:ascii="Arial" w:hAnsi="Arial"/>
          <w:sz w:val="22"/>
        </w:rPr>
        <w:t xml:space="preserve">the </w:t>
      </w:r>
      <w:r>
        <w:rPr>
          <w:rFonts w:ascii="Arial" w:hAnsi="Arial"/>
          <w:sz w:val="22"/>
        </w:rPr>
        <w:t xml:space="preserve">NRC is made aware of the significant safety information so as to take prompt effective </w:t>
      </w:r>
      <w:r>
        <w:rPr>
          <w:rFonts w:ascii="Arial" w:hAnsi="Arial"/>
          <w:sz w:val="22"/>
        </w:rPr>
        <w:lastRenderedPageBreak/>
        <w:t>action to protect the public health and safety</w:t>
      </w:r>
      <w:r w:rsidR="00880B03">
        <w:rPr>
          <w:rFonts w:ascii="Arial" w:hAnsi="Arial"/>
          <w:sz w:val="22"/>
        </w:rPr>
        <w:t>, the environment</w:t>
      </w:r>
      <w:r w:rsidR="004A63BF">
        <w:rPr>
          <w:rFonts w:ascii="Arial" w:hAnsi="Arial"/>
          <w:sz w:val="22"/>
        </w:rPr>
        <w:t>, or common defense and security</w:t>
      </w:r>
      <w:r>
        <w:rPr>
          <w:rFonts w:ascii="Arial" w:hAnsi="Arial"/>
          <w:sz w:val="22"/>
        </w:rPr>
        <w:t>.</w:t>
      </w:r>
    </w:p>
    <w:p w:rsidR="00945F80" w:rsidRDefault="00945F80" w:rsidP="00945F80">
      <w:pPr>
        <w:widowControl w:val="0"/>
        <w:spacing w:line="240" w:lineRule="exact"/>
        <w:rPr>
          <w:rFonts w:ascii="Arial" w:hAnsi="Arial"/>
          <w:sz w:val="22"/>
        </w:rPr>
      </w:pPr>
    </w:p>
    <w:p w:rsidR="00945F80" w:rsidRDefault="00DB4D7B" w:rsidP="00DB4D7B">
      <w:pPr>
        <w:widowControl w:val="0"/>
        <w:spacing w:line="240" w:lineRule="exact"/>
        <w:ind w:left="1440"/>
        <w:rPr>
          <w:rFonts w:ascii="Arial" w:hAnsi="Arial"/>
          <w:sz w:val="22"/>
        </w:rPr>
      </w:pPr>
      <w:r w:rsidRPr="00DB4D7B">
        <w:rPr>
          <w:rFonts w:ascii="Arial" w:hAnsi="Arial"/>
          <w:sz w:val="22"/>
        </w:rPr>
        <w:t>Section 61.20 requires applicants to maintain the capability to generate additional copies of the application for distribution in accordance with instructions from the NRC.  This allows the NRC to request additional copies to State and local governments, Indian tribes, other Federal agencies, and other persons or entities affected by the application.  However, current licensees and applicants are located in Agreement States</w:t>
      </w:r>
      <w:r>
        <w:rPr>
          <w:rFonts w:ascii="Arial" w:hAnsi="Arial"/>
          <w:sz w:val="22"/>
        </w:rPr>
        <w:t>.</w:t>
      </w:r>
      <w:r w:rsidRPr="00DB4D7B">
        <w:rPr>
          <w:rFonts w:ascii="Arial" w:hAnsi="Arial"/>
          <w:sz w:val="22"/>
        </w:rPr>
        <w:t xml:space="preserve"> </w:t>
      </w:r>
      <w:r>
        <w:rPr>
          <w:rFonts w:ascii="Arial" w:hAnsi="Arial"/>
          <w:sz w:val="22"/>
        </w:rPr>
        <w:t xml:space="preserve"> </w:t>
      </w:r>
      <w:r w:rsidRPr="00DB4D7B">
        <w:rPr>
          <w:rFonts w:ascii="Arial" w:hAnsi="Arial"/>
          <w:sz w:val="22"/>
        </w:rPr>
        <w:t>Therefore, the NRC has not used the provision to generate additional copies of those applications.  In addition, the NRC does not anticipate receiving any applications in the next three years.</w:t>
      </w:r>
    </w:p>
    <w:p w:rsidR="00B2138E" w:rsidRDefault="00B2138E" w:rsidP="00DB4D7B">
      <w:pPr>
        <w:widowControl w:val="0"/>
        <w:spacing w:line="240" w:lineRule="exact"/>
        <w:ind w:left="1440"/>
        <w:rPr>
          <w:rFonts w:ascii="Arial" w:hAnsi="Arial"/>
          <w:sz w:val="22"/>
        </w:rPr>
      </w:pPr>
    </w:p>
    <w:p w:rsidR="004167BE" w:rsidRDefault="00B2138E" w:rsidP="00DB4D7B">
      <w:pPr>
        <w:widowControl w:val="0"/>
        <w:spacing w:line="240" w:lineRule="exact"/>
        <w:ind w:left="1440"/>
        <w:rPr>
          <w:rFonts w:ascii="Arial" w:hAnsi="Arial"/>
          <w:sz w:val="22"/>
        </w:rPr>
      </w:pPr>
      <w:r w:rsidRPr="00B2138E">
        <w:rPr>
          <w:rFonts w:ascii="Arial" w:hAnsi="Arial"/>
          <w:sz w:val="22"/>
        </w:rPr>
        <w:t>Section 61.24(k) requires that licensees submit a notification to NRC in less than 30 days from the date of filing of a petition in bankruptcy.  This notification is necessary to ensure that the NRC is made aware of the bankruptcy so as to take effective action to protect the public health and safety, the environment, and common defense and security.  Allowing a period of 30 or more days to elapse might preclude the NRC from becoming aware of the licensee's distressed financial circumstances in time to prevent the development or aggravation of a potential hazard.  Moreover, the United States Code contains requirements regarding notification of creditors in bankruptcy.  Notifying the NRC promptly after the filing of the petition would, in fact, be less of a burden on the bankrupt than a separate notification later in the proceedings.  These records would be transferred to a specified local, state, or Federal government official.</w:t>
      </w:r>
    </w:p>
    <w:p w:rsidR="004167BE" w:rsidRDefault="004167BE">
      <w:pPr>
        <w:rPr>
          <w:rFonts w:ascii="Arial" w:hAnsi="Arial"/>
          <w:sz w:val="22"/>
        </w:rPr>
      </w:pPr>
    </w:p>
    <w:p w:rsidR="00B2138E" w:rsidRDefault="00B2138E" w:rsidP="00B2138E">
      <w:pPr>
        <w:widowControl w:val="0"/>
        <w:spacing w:line="240" w:lineRule="exact"/>
        <w:ind w:left="1440"/>
        <w:rPr>
          <w:rFonts w:ascii="Arial" w:hAnsi="Arial"/>
          <w:sz w:val="22"/>
        </w:rPr>
      </w:pPr>
      <w:r>
        <w:rPr>
          <w:rFonts w:ascii="Arial" w:hAnsi="Arial"/>
          <w:sz w:val="22"/>
        </w:rPr>
        <w:t xml:space="preserve">Sections </w:t>
      </w:r>
      <w:r w:rsidRPr="00B2138E">
        <w:rPr>
          <w:rFonts w:ascii="Arial" w:hAnsi="Arial"/>
          <w:sz w:val="22"/>
        </w:rPr>
        <w:t>61.30(a</w:t>
      </w:r>
      <w:proofErr w:type="gramStart"/>
      <w:r w:rsidRPr="00B2138E">
        <w:rPr>
          <w:rFonts w:ascii="Arial" w:hAnsi="Arial"/>
          <w:sz w:val="22"/>
        </w:rPr>
        <w:t>)(</w:t>
      </w:r>
      <w:proofErr w:type="gramEnd"/>
      <w:r w:rsidRPr="00B2138E">
        <w:rPr>
          <w:rFonts w:ascii="Arial" w:hAnsi="Arial"/>
          <w:sz w:val="22"/>
        </w:rPr>
        <w:t>3)</w:t>
      </w:r>
      <w:r w:rsidR="00B05FF7">
        <w:rPr>
          <w:rFonts w:ascii="Arial" w:hAnsi="Arial"/>
          <w:sz w:val="22"/>
        </w:rPr>
        <w:t xml:space="preserve">, </w:t>
      </w:r>
      <w:r w:rsidRPr="00B2138E">
        <w:rPr>
          <w:rFonts w:ascii="Arial" w:hAnsi="Arial"/>
          <w:sz w:val="22"/>
        </w:rPr>
        <w:t>61.31(c)(3)</w:t>
      </w:r>
      <w:r w:rsidR="00B05FF7">
        <w:rPr>
          <w:rFonts w:ascii="Arial" w:hAnsi="Arial"/>
          <w:sz w:val="22"/>
        </w:rPr>
        <w:t xml:space="preserve">, </w:t>
      </w:r>
      <w:r w:rsidRPr="00B2138E">
        <w:rPr>
          <w:rFonts w:ascii="Arial" w:hAnsi="Arial"/>
          <w:sz w:val="22"/>
        </w:rPr>
        <w:t>61.53</w:t>
      </w:r>
      <w:r w:rsidR="00B05FF7">
        <w:rPr>
          <w:rFonts w:ascii="Arial" w:hAnsi="Arial"/>
          <w:sz w:val="22"/>
        </w:rPr>
        <w:t xml:space="preserve">, and </w:t>
      </w:r>
      <w:r w:rsidRPr="00B2138E">
        <w:rPr>
          <w:rFonts w:ascii="Arial" w:hAnsi="Arial"/>
          <w:sz w:val="22"/>
        </w:rPr>
        <w:t>61.80(f)</w:t>
      </w:r>
      <w:r w:rsidR="00B05FF7">
        <w:rPr>
          <w:rFonts w:ascii="Arial" w:hAnsi="Arial"/>
          <w:sz w:val="22"/>
        </w:rPr>
        <w:t xml:space="preserve"> require retaining records longer than </w:t>
      </w:r>
      <w:r w:rsidR="00573D51">
        <w:rPr>
          <w:rFonts w:ascii="Arial" w:hAnsi="Arial"/>
          <w:sz w:val="22"/>
        </w:rPr>
        <w:t xml:space="preserve">3 years.  Specifically, the records </w:t>
      </w:r>
      <w:r w:rsidR="00376B48">
        <w:rPr>
          <w:rFonts w:ascii="Arial" w:hAnsi="Arial"/>
          <w:sz w:val="22"/>
        </w:rPr>
        <w:t xml:space="preserve">are required </w:t>
      </w:r>
      <w:r w:rsidR="00573D51">
        <w:rPr>
          <w:rFonts w:ascii="Arial" w:hAnsi="Arial"/>
          <w:sz w:val="22"/>
        </w:rPr>
        <w:t xml:space="preserve">to be retained for the duration of the license.  This retention period is required due to the length of time the low-level radioactive waste remains </w:t>
      </w:r>
      <w:r w:rsidR="005F568F">
        <w:rPr>
          <w:rFonts w:ascii="Arial" w:hAnsi="Arial"/>
          <w:sz w:val="22"/>
        </w:rPr>
        <w:t>hazardous.  Specifically</w:t>
      </w:r>
      <w:r w:rsidR="00573D51">
        <w:rPr>
          <w:rFonts w:ascii="Arial" w:hAnsi="Arial"/>
          <w:sz w:val="22"/>
        </w:rPr>
        <w:t xml:space="preserve">, the long half-lives of some radionuclides require </w:t>
      </w:r>
      <w:r w:rsidR="00376B48">
        <w:rPr>
          <w:rFonts w:ascii="Arial" w:hAnsi="Arial"/>
          <w:sz w:val="22"/>
        </w:rPr>
        <w:t>information</w:t>
      </w:r>
      <w:r w:rsidR="00573D51">
        <w:rPr>
          <w:rFonts w:ascii="Arial" w:hAnsi="Arial"/>
          <w:sz w:val="22"/>
        </w:rPr>
        <w:t xml:space="preserve"> about the radionuclides, </w:t>
      </w:r>
      <w:r w:rsidR="00376B48">
        <w:rPr>
          <w:rFonts w:ascii="Arial" w:hAnsi="Arial"/>
          <w:sz w:val="22"/>
        </w:rPr>
        <w:t xml:space="preserve">their </w:t>
      </w:r>
      <w:r w:rsidR="00573D51">
        <w:rPr>
          <w:rFonts w:ascii="Arial" w:hAnsi="Arial"/>
          <w:sz w:val="22"/>
        </w:rPr>
        <w:t xml:space="preserve">location, </w:t>
      </w:r>
      <w:r w:rsidR="00A44F98">
        <w:rPr>
          <w:rFonts w:ascii="Arial" w:hAnsi="Arial"/>
          <w:sz w:val="22"/>
        </w:rPr>
        <w:t xml:space="preserve">arrival and </w:t>
      </w:r>
      <w:r w:rsidR="00573D51">
        <w:rPr>
          <w:rFonts w:ascii="Arial" w:hAnsi="Arial"/>
          <w:sz w:val="22"/>
        </w:rPr>
        <w:t xml:space="preserve">disposal dates, and packaging well beyond 3 years to </w:t>
      </w:r>
      <w:r w:rsidR="00376B48">
        <w:rPr>
          <w:rFonts w:ascii="Arial" w:hAnsi="Arial"/>
          <w:sz w:val="22"/>
        </w:rPr>
        <w:t xml:space="preserve">adequately </w:t>
      </w:r>
      <w:r w:rsidR="00573D51" w:rsidRPr="00B2138E">
        <w:rPr>
          <w:rFonts w:ascii="Arial" w:hAnsi="Arial"/>
          <w:sz w:val="22"/>
        </w:rPr>
        <w:t>protect the public health and safety, the environment, and common defense and security</w:t>
      </w:r>
      <w:r w:rsidR="00573D51">
        <w:rPr>
          <w:rFonts w:ascii="Arial" w:hAnsi="Arial"/>
          <w:sz w:val="22"/>
        </w:rPr>
        <w:t>.</w:t>
      </w:r>
    </w:p>
    <w:p w:rsidR="00D16C59" w:rsidRDefault="00D16C59">
      <w:pPr>
        <w:rPr>
          <w:rFonts w:ascii="Arial" w:hAnsi="Arial"/>
          <w:sz w:val="22"/>
          <w:u w:val="single"/>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Consultations Outside the NRC</w:t>
      </w:r>
    </w:p>
    <w:p w:rsidR="00945F80" w:rsidRDefault="00945F80" w:rsidP="00945F80">
      <w:pPr>
        <w:widowControl w:val="0"/>
        <w:spacing w:line="240" w:lineRule="exact"/>
        <w:rPr>
          <w:rFonts w:ascii="Arial" w:hAnsi="Arial"/>
          <w:sz w:val="22"/>
        </w:rPr>
      </w:pPr>
    </w:p>
    <w:p w:rsidR="00945F80" w:rsidRDefault="002F77FA" w:rsidP="002F77FA">
      <w:pPr>
        <w:widowControl w:val="0"/>
        <w:spacing w:line="240" w:lineRule="exact"/>
        <w:ind w:left="1440"/>
        <w:rPr>
          <w:rFonts w:ascii="Arial" w:hAnsi="Arial" w:cs="Arial"/>
          <w:sz w:val="22"/>
          <w:szCs w:val="22"/>
        </w:rPr>
      </w:pPr>
      <w:r w:rsidRPr="002F77FA">
        <w:rPr>
          <w:rFonts w:ascii="Arial" w:hAnsi="Arial" w:cs="Arial"/>
          <w:sz w:val="22"/>
          <w:szCs w:val="22"/>
        </w:rPr>
        <w:t>Opportunity for public comment on the information collection requirements for this clearance package was published In the Federal Register on May 7, 2014 (79 FR 26270).  No comments were received.</w:t>
      </w:r>
    </w:p>
    <w:p w:rsidR="002F77FA" w:rsidRDefault="002F77FA" w:rsidP="002F77FA">
      <w:pPr>
        <w:widowControl w:val="0"/>
        <w:spacing w:line="240" w:lineRule="exact"/>
        <w:ind w:left="1440"/>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Payment or Gift to Respondents</w:t>
      </w:r>
    </w:p>
    <w:p w:rsidR="00945F80" w:rsidRDefault="00945F80" w:rsidP="00945F80">
      <w:pPr>
        <w:widowControl w:val="0"/>
        <w:spacing w:line="240" w:lineRule="exact"/>
        <w:rPr>
          <w:rFonts w:ascii="Arial" w:hAnsi="Arial"/>
          <w:sz w:val="22"/>
        </w:rPr>
      </w:pPr>
    </w:p>
    <w:p w:rsidR="004F4177" w:rsidRDefault="00945F80" w:rsidP="003E737B">
      <w:pPr>
        <w:widowControl w:val="0"/>
        <w:spacing w:line="240" w:lineRule="exact"/>
        <w:ind w:left="720"/>
        <w:rPr>
          <w:rFonts w:ascii="Arial" w:hAnsi="Arial"/>
          <w:sz w:val="22"/>
        </w:rPr>
      </w:pPr>
      <w:r>
        <w:rPr>
          <w:rFonts w:ascii="Arial" w:hAnsi="Arial"/>
          <w:sz w:val="22"/>
        </w:rPr>
        <w:tab/>
        <w:t>Not applicable.</w:t>
      </w:r>
    </w:p>
    <w:p w:rsidR="0064722E" w:rsidRDefault="0064722E" w:rsidP="003E737B">
      <w:pPr>
        <w:widowControl w:val="0"/>
        <w:spacing w:line="240" w:lineRule="exact"/>
        <w:ind w:left="720"/>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Confidentiality of Information</w:t>
      </w:r>
    </w:p>
    <w:p w:rsidR="00945F80" w:rsidRDefault="00945F80" w:rsidP="00945F80">
      <w:pPr>
        <w:widowControl w:val="0"/>
        <w:spacing w:line="240" w:lineRule="exact"/>
        <w:rPr>
          <w:rFonts w:ascii="Arial" w:hAnsi="Arial"/>
          <w:sz w:val="22"/>
        </w:rPr>
      </w:pPr>
    </w:p>
    <w:p w:rsidR="0064722E" w:rsidRPr="00B73388" w:rsidRDefault="0064722E" w:rsidP="0064722E">
      <w:pPr>
        <w:widowControl w:val="0"/>
        <w:ind w:left="1440"/>
        <w:rPr>
          <w:rFonts w:ascii="Arial" w:hAnsi="Arial" w:cs="Arial"/>
          <w:sz w:val="22"/>
          <w:szCs w:val="22"/>
        </w:rPr>
      </w:pPr>
      <w:r w:rsidRPr="00B73388">
        <w:rPr>
          <w:rFonts w:ascii="Arial" w:hAnsi="Arial" w:cs="Arial"/>
          <w:sz w:val="22"/>
          <w:szCs w:val="22"/>
        </w:rPr>
        <w:t>Confidential and proprietary information is protected in accordance with NRC regulations at 10 CFR 9.17(a) and 10 CFR 2.390(b).</w:t>
      </w:r>
    </w:p>
    <w:p w:rsidR="0064722E" w:rsidRPr="00B73388" w:rsidRDefault="0064722E" w:rsidP="0064722E">
      <w:pPr>
        <w:widowControl w:val="0"/>
        <w:ind w:left="1440"/>
        <w:rPr>
          <w:rFonts w:ascii="Arial" w:hAnsi="Arial" w:cs="Arial"/>
          <w:sz w:val="22"/>
          <w:szCs w:val="22"/>
        </w:rPr>
      </w:pPr>
    </w:p>
    <w:p w:rsidR="0064722E" w:rsidRPr="00B73388" w:rsidRDefault="0064722E" w:rsidP="007D0345">
      <w:pPr>
        <w:widowControl w:val="0"/>
        <w:ind w:left="1440"/>
        <w:rPr>
          <w:rFonts w:ascii="Arial" w:hAnsi="Arial"/>
          <w:sz w:val="22"/>
        </w:rPr>
      </w:pPr>
      <w:r w:rsidRPr="00B73388">
        <w:rPr>
          <w:rFonts w:ascii="Arial" w:hAnsi="Arial" w:cs="Arial"/>
          <w:sz w:val="22"/>
          <w:szCs w:val="22"/>
        </w:rPr>
        <w:t>However, no information normally considered confidential or proprietary is requested.</w:t>
      </w:r>
    </w:p>
    <w:p w:rsidR="00945F80" w:rsidRDefault="00945F80" w:rsidP="00945F80">
      <w:pPr>
        <w:widowControl w:val="0"/>
        <w:spacing w:line="240" w:lineRule="exact"/>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Justification for Sensitive Questions</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720"/>
        <w:rPr>
          <w:rFonts w:ascii="Arial" w:hAnsi="Arial"/>
          <w:sz w:val="22"/>
        </w:rPr>
      </w:pPr>
      <w:r>
        <w:rPr>
          <w:rFonts w:ascii="Arial" w:hAnsi="Arial"/>
          <w:sz w:val="22"/>
        </w:rPr>
        <w:tab/>
      </w:r>
      <w:proofErr w:type="gramStart"/>
      <w:r>
        <w:rPr>
          <w:rFonts w:ascii="Arial" w:hAnsi="Arial"/>
          <w:sz w:val="22"/>
        </w:rPr>
        <w:t>None.</w:t>
      </w:r>
      <w:proofErr w:type="gramEnd"/>
    </w:p>
    <w:p w:rsidR="00945F80" w:rsidRDefault="00945F80" w:rsidP="00945F80">
      <w:pPr>
        <w:widowControl w:val="0"/>
        <w:spacing w:line="240" w:lineRule="exact"/>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Estimated Burden and Burden Hour Cost</w:t>
      </w:r>
    </w:p>
    <w:p w:rsidR="00945F80" w:rsidRDefault="00945F80" w:rsidP="00945F80">
      <w:pPr>
        <w:widowControl w:val="0"/>
        <w:spacing w:line="240" w:lineRule="exact"/>
        <w:rPr>
          <w:rFonts w:ascii="Arial" w:hAnsi="Arial"/>
          <w:sz w:val="22"/>
        </w:rPr>
      </w:pPr>
    </w:p>
    <w:p w:rsidR="00945F80" w:rsidRDefault="00DF26E1" w:rsidP="003E737B">
      <w:pPr>
        <w:widowControl w:val="0"/>
        <w:spacing w:line="240" w:lineRule="exact"/>
        <w:ind w:left="1440"/>
        <w:rPr>
          <w:rFonts w:ascii="Arial" w:hAnsi="Arial"/>
          <w:sz w:val="22"/>
        </w:rPr>
      </w:pPr>
      <w:r>
        <w:rPr>
          <w:rFonts w:ascii="Arial" w:hAnsi="Arial"/>
          <w:sz w:val="22"/>
        </w:rPr>
        <w:t>There are</w:t>
      </w:r>
      <w:r w:rsidR="00945F80">
        <w:rPr>
          <w:rFonts w:ascii="Arial" w:hAnsi="Arial"/>
          <w:sz w:val="22"/>
        </w:rPr>
        <w:t xml:space="preserve"> </w:t>
      </w:r>
      <w:r w:rsidR="00E14182">
        <w:rPr>
          <w:rFonts w:ascii="Arial" w:hAnsi="Arial"/>
          <w:sz w:val="22"/>
        </w:rPr>
        <w:t>four</w:t>
      </w:r>
      <w:r w:rsidR="00945F80">
        <w:rPr>
          <w:rFonts w:ascii="Arial" w:hAnsi="Arial"/>
          <w:sz w:val="22"/>
        </w:rPr>
        <w:t xml:space="preserve"> low-level waste disposal facility licenses that have been issued by the Agreement State </w:t>
      </w:r>
      <w:r w:rsidR="00E14182">
        <w:rPr>
          <w:rFonts w:ascii="Arial" w:hAnsi="Arial"/>
          <w:sz w:val="22"/>
        </w:rPr>
        <w:t>regulators that</w:t>
      </w:r>
      <w:r w:rsidR="00945F80">
        <w:rPr>
          <w:rFonts w:ascii="Arial" w:hAnsi="Arial"/>
          <w:sz w:val="22"/>
        </w:rPr>
        <w:t xml:space="preserve"> are still in effect (SC, </w:t>
      </w:r>
      <w:r w:rsidR="00E14182">
        <w:rPr>
          <w:rFonts w:ascii="Arial" w:hAnsi="Arial"/>
          <w:sz w:val="22"/>
        </w:rPr>
        <w:t xml:space="preserve">TX, </w:t>
      </w:r>
      <w:r w:rsidR="00945F80">
        <w:rPr>
          <w:rFonts w:ascii="Arial" w:hAnsi="Arial"/>
          <w:sz w:val="22"/>
        </w:rPr>
        <w:t>UT</w:t>
      </w:r>
      <w:r w:rsidR="00E14182">
        <w:rPr>
          <w:rFonts w:ascii="Arial" w:hAnsi="Arial"/>
          <w:sz w:val="22"/>
        </w:rPr>
        <w:t>, and WA</w:t>
      </w:r>
      <w:r w:rsidR="00945F80">
        <w:rPr>
          <w:rFonts w:ascii="Arial" w:hAnsi="Arial"/>
          <w:sz w:val="22"/>
        </w:rPr>
        <w:t>)</w:t>
      </w:r>
      <w:r>
        <w:rPr>
          <w:rFonts w:ascii="Arial" w:hAnsi="Arial"/>
          <w:sz w:val="22"/>
        </w:rPr>
        <w:t xml:space="preserve">.  </w:t>
      </w:r>
      <w:r w:rsidR="00945F80">
        <w:rPr>
          <w:rFonts w:ascii="Arial" w:hAnsi="Arial"/>
          <w:sz w:val="22"/>
        </w:rPr>
        <w:t xml:space="preserve">NRC has no existing disposal facility licensees, and no NRC applications are expected in the next three years.  </w:t>
      </w:r>
      <w:r w:rsidR="00486629">
        <w:rPr>
          <w:rFonts w:ascii="Arial" w:hAnsi="Arial"/>
          <w:sz w:val="22"/>
        </w:rPr>
        <w:t xml:space="preserve">The burden estimates in this document reflect the burden on these </w:t>
      </w:r>
      <w:r w:rsidR="00E14182">
        <w:rPr>
          <w:rFonts w:ascii="Arial" w:hAnsi="Arial"/>
          <w:sz w:val="22"/>
        </w:rPr>
        <w:t>four licensees</w:t>
      </w:r>
      <w:r w:rsidR="00486629">
        <w:rPr>
          <w:rFonts w:ascii="Arial" w:hAnsi="Arial"/>
          <w:sz w:val="22"/>
        </w:rPr>
        <w:t>.</w:t>
      </w:r>
    </w:p>
    <w:p w:rsidR="00486629" w:rsidRDefault="00486629" w:rsidP="003E737B">
      <w:pPr>
        <w:widowControl w:val="0"/>
        <w:spacing w:line="240" w:lineRule="exact"/>
        <w:ind w:left="1440"/>
        <w:rPr>
          <w:rFonts w:ascii="Arial" w:hAnsi="Arial"/>
          <w:sz w:val="22"/>
        </w:rPr>
      </w:pPr>
    </w:p>
    <w:p w:rsidR="00486629" w:rsidRDefault="00486629" w:rsidP="003E737B">
      <w:pPr>
        <w:widowControl w:val="0"/>
        <w:spacing w:line="240" w:lineRule="exact"/>
        <w:ind w:left="1440"/>
        <w:rPr>
          <w:rFonts w:ascii="Arial" w:hAnsi="Arial"/>
          <w:sz w:val="22"/>
        </w:rPr>
      </w:pPr>
      <w:r>
        <w:rPr>
          <w:rFonts w:ascii="Arial" w:hAnsi="Arial"/>
          <w:sz w:val="22"/>
        </w:rPr>
        <w:t xml:space="preserve">The following table documents the total burden for </w:t>
      </w:r>
      <w:r w:rsidR="00DF26E1">
        <w:rPr>
          <w:rFonts w:ascii="Arial" w:hAnsi="Arial"/>
          <w:sz w:val="22"/>
        </w:rPr>
        <w:t xml:space="preserve">the </w:t>
      </w:r>
      <w:r w:rsidR="004A63BF">
        <w:rPr>
          <w:rFonts w:ascii="Arial" w:hAnsi="Arial"/>
          <w:sz w:val="22"/>
        </w:rPr>
        <w:t>four</w:t>
      </w:r>
      <w:r w:rsidR="00DF26E1">
        <w:rPr>
          <w:rFonts w:ascii="Arial" w:hAnsi="Arial"/>
          <w:sz w:val="22"/>
        </w:rPr>
        <w:t xml:space="preserve"> </w:t>
      </w:r>
      <w:r w:rsidR="004A63BF">
        <w:rPr>
          <w:rFonts w:ascii="Arial" w:hAnsi="Arial"/>
          <w:sz w:val="22"/>
        </w:rPr>
        <w:t xml:space="preserve">licensees </w:t>
      </w:r>
      <w:r>
        <w:rPr>
          <w:rFonts w:ascii="Arial" w:hAnsi="Arial"/>
          <w:sz w:val="22"/>
        </w:rPr>
        <w:t xml:space="preserve">under </w:t>
      </w:r>
      <w:r w:rsidR="007447F2">
        <w:rPr>
          <w:rFonts w:ascii="Arial" w:hAnsi="Arial"/>
          <w:sz w:val="22"/>
        </w:rPr>
        <w:t xml:space="preserve">10 CFR </w:t>
      </w:r>
      <w:r>
        <w:rPr>
          <w:rFonts w:ascii="Arial" w:hAnsi="Arial"/>
          <w:sz w:val="22"/>
        </w:rPr>
        <w:t>Part 61.  For a breakdown of reporting and recordkeeping burden, please see Table 1 and Table 2, respectively.</w:t>
      </w:r>
      <w:r w:rsidR="004A63BF">
        <w:rPr>
          <w:rFonts w:ascii="Arial" w:hAnsi="Arial"/>
          <w:sz w:val="22"/>
        </w:rPr>
        <w:t xml:space="preserve"> </w:t>
      </w:r>
    </w:p>
    <w:p w:rsidR="00945F80" w:rsidRDefault="00945F80" w:rsidP="00197A32">
      <w:pPr>
        <w:rPr>
          <w:rFonts w:ascii="Arial" w:hAnsi="Arial"/>
          <w:sz w:val="22"/>
        </w:rPr>
      </w:pPr>
    </w:p>
    <w:tbl>
      <w:tblPr>
        <w:tblW w:w="7814" w:type="dxa"/>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800"/>
        <w:gridCol w:w="1934"/>
        <w:gridCol w:w="2040"/>
        <w:gridCol w:w="2040"/>
      </w:tblGrid>
      <w:tr w:rsidR="00576A29" w:rsidTr="00AA0889">
        <w:trPr>
          <w:cantSplit/>
        </w:trPr>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2F0991">
            <w:pPr>
              <w:widowControl w:val="0"/>
              <w:spacing w:line="240" w:lineRule="exact"/>
              <w:rPr>
                <w:rFonts w:ascii="Arial" w:hAnsi="Arial"/>
                <w:sz w:val="22"/>
              </w:rPr>
            </w:pPr>
          </w:p>
        </w:tc>
        <w:tc>
          <w:tcPr>
            <w:tcW w:w="1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NRC Licensees (hrs/yr)</w:t>
            </w:r>
          </w:p>
        </w:tc>
        <w:tc>
          <w:tcPr>
            <w:tcW w:w="20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Agreement State Licensees (hrs/yr)</w:t>
            </w:r>
          </w:p>
        </w:tc>
        <w:tc>
          <w:tcPr>
            <w:tcW w:w="2040" w:type="dxa"/>
            <w:tcBorders>
              <w:top w:val="single" w:sz="8" w:space="0" w:color="000000"/>
              <w:left w:val="single" w:sz="8" w:space="0" w:color="000000"/>
              <w:bottom w:val="single" w:sz="8" w:space="0" w:color="000000"/>
              <w:right w:val="single" w:sz="8" w:space="0" w:color="000000"/>
            </w:tcBorders>
          </w:tcPr>
          <w:p w:rsidR="00086FBA" w:rsidRDefault="00576A29" w:rsidP="00A051ED">
            <w:pPr>
              <w:rPr>
                <w:rFonts w:ascii="Arial" w:hAnsi="Arial"/>
                <w:sz w:val="22"/>
              </w:rPr>
            </w:pPr>
            <w:r>
              <w:rPr>
                <w:rFonts w:ascii="Arial" w:hAnsi="Arial"/>
                <w:sz w:val="22"/>
              </w:rPr>
              <w:t>Cost at $</w:t>
            </w:r>
            <w:r w:rsidR="00A051ED">
              <w:rPr>
                <w:rFonts w:ascii="Arial" w:hAnsi="Arial"/>
                <w:sz w:val="22"/>
              </w:rPr>
              <w:t>272</w:t>
            </w:r>
            <w:r>
              <w:rPr>
                <w:rFonts w:ascii="Arial" w:hAnsi="Arial"/>
                <w:sz w:val="22"/>
              </w:rPr>
              <w:t>/hr</w:t>
            </w:r>
          </w:p>
        </w:tc>
      </w:tr>
      <w:tr w:rsidR="00576A29" w:rsidTr="00AA0889">
        <w:trPr>
          <w:cantSplit/>
        </w:trPr>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2F0991">
            <w:pPr>
              <w:widowControl w:val="0"/>
              <w:spacing w:line="240" w:lineRule="exact"/>
              <w:rPr>
                <w:rFonts w:ascii="Arial" w:hAnsi="Arial"/>
                <w:sz w:val="22"/>
              </w:rPr>
            </w:pPr>
            <w:r>
              <w:rPr>
                <w:rFonts w:ascii="Arial" w:hAnsi="Arial"/>
                <w:sz w:val="22"/>
              </w:rPr>
              <w:t>Reporting</w:t>
            </w:r>
          </w:p>
        </w:tc>
        <w:tc>
          <w:tcPr>
            <w:tcW w:w="1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0</w:t>
            </w:r>
          </w:p>
        </w:tc>
        <w:tc>
          <w:tcPr>
            <w:tcW w:w="20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 xml:space="preserve">     56</w:t>
            </w:r>
          </w:p>
        </w:tc>
        <w:tc>
          <w:tcPr>
            <w:tcW w:w="2040" w:type="dxa"/>
            <w:tcBorders>
              <w:top w:val="single" w:sz="8" w:space="0" w:color="000000"/>
              <w:left w:val="single" w:sz="8" w:space="0" w:color="000000"/>
              <w:bottom w:val="single" w:sz="8" w:space="0" w:color="000000"/>
              <w:right w:val="single" w:sz="8" w:space="0" w:color="000000"/>
            </w:tcBorders>
          </w:tcPr>
          <w:p w:rsidR="00086FBA" w:rsidRDefault="00576A29" w:rsidP="00A051ED">
            <w:pPr>
              <w:rPr>
                <w:rFonts w:ascii="Arial" w:hAnsi="Arial"/>
                <w:sz w:val="22"/>
              </w:rPr>
            </w:pPr>
            <w:r>
              <w:rPr>
                <w:rFonts w:ascii="Arial" w:hAnsi="Arial"/>
                <w:sz w:val="22"/>
              </w:rPr>
              <w:t xml:space="preserve">     $</w:t>
            </w:r>
            <w:r w:rsidR="00A051ED">
              <w:rPr>
                <w:rFonts w:ascii="Arial" w:hAnsi="Arial"/>
                <w:sz w:val="22"/>
              </w:rPr>
              <w:t>15,232</w:t>
            </w:r>
          </w:p>
        </w:tc>
      </w:tr>
      <w:tr w:rsidR="00576A29" w:rsidTr="00AA0889">
        <w:trPr>
          <w:cantSplit/>
        </w:trPr>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2F0991">
            <w:pPr>
              <w:widowControl w:val="0"/>
              <w:spacing w:line="240" w:lineRule="exact"/>
              <w:rPr>
                <w:rFonts w:ascii="Arial" w:hAnsi="Arial"/>
                <w:sz w:val="22"/>
              </w:rPr>
            </w:pPr>
            <w:r>
              <w:rPr>
                <w:rFonts w:ascii="Arial" w:hAnsi="Arial"/>
                <w:sz w:val="22"/>
              </w:rPr>
              <w:t>Recordkeeping</w:t>
            </w:r>
          </w:p>
        </w:tc>
        <w:tc>
          <w:tcPr>
            <w:tcW w:w="1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0</w:t>
            </w:r>
          </w:p>
        </w:tc>
        <w:tc>
          <w:tcPr>
            <w:tcW w:w="20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CE61D5">
            <w:pPr>
              <w:widowControl w:val="0"/>
              <w:spacing w:line="240" w:lineRule="exact"/>
              <w:jc w:val="center"/>
              <w:rPr>
                <w:rFonts w:ascii="Arial" w:hAnsi="Arial"/>
                <w:sz w:val="22"/>
              </w:rPr>
            </w:pPr>
            <w:r>
              <w:rPr>
                <w:rFonts w:ascii="Arial" w:hAnsi="Arial"/>
                <w:sz w:val="22"/>
              </w:rPr>
              <w:t>5,</w:t>
            </w:r>
            <w:r w:rsidR="00CE61D5">
              <w:rPr>
                <w:rFonts w:ascii="Arial" w:hAnsi="Arial"/>
                <w:sz w:val="22"/>
              </w:rPr>
              <w:t>316</w:t>
            </w:r>
          </w:p>
        </w:tc>
        <w:tc>
          <w:tcPr>
            <w:tcW w:w="2040" w:type="dxa"/>
            <w:tcBorders>
              <w:top w:val="single" w:sz="8" w:space="0" w:color="000000"/>
              <w:left w:val="single" w:sz="8" w:space="0" w:color="000000"/>
              <w:bottom w:val="single" w:sz="8" w:space="0" w:color="000000"/>
              <w:right w:val="single" w:sz="8" w:space="0" w:color="000000"/>
            </w:tcBorders>
          </w:tcPr>
          <w:p w:rsidR="00086FBA" w:rsidRDefault="00576A29" w:rsidP="001A6369">
            <w:pPr>
              <w:rPr>
                <w:rFonts w:ascii="Arial" w:hAnsi="Arial"/>
                <w:sz w:val="22"/>
              </w:rPr>
            </w:pPr>
            <w:r>
              <w:rPr>
                <w:rFonts w:ascii="Arial" w:hAnsi="Arial"/>
                <w:sz w:val="22"/>
              </w:rPr>
              <w:t>$</w:t>
            </w:r>
            <w:r w:rsidR="001A6369">
              <w:rPr>
                <w:rFonts w:ascii="Arial" w:hAnsi="Arial"/>
                <w:sz w:val="22"/>
              </w:rPr>
              <w:t>1,445,952</w:t>
            </w:r>
          </w:p>
        </w:tc>
      </w:tr>
      <w:tr w:rsidR="00576A29" w:rsidTr="00AA0889">
        <w:trPr>
          <w:cantSplit/>
        </w:trPr>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2F0991">
            <w:pPr>
              <w:widowControl w:val="0"/>
              <w:spacing w:line="240" w:lineRule="exact"/>
              <w:rPr>
                <w:rFonts w:ascii="Arial" w:hAnsi="Arial"/>
                <w:sz w:val="22"/>
              </w:rPr>
            </w:pPr>
            <w:r>
              <w:rPr>
                <w:rFonts w:ascii="Arial" w:hAnsi="Arial"/>
                <w:sz w:val="22"/>
              </w:rPr>
              <w:t>Total</w:t>
            </w:r>
          </w:p>
        </w:tc>
        <w:tc>
          <w:tcPr>
            <w:tcW w:w="193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3E737B">
            <w:pPr>
              <w:widowControl w:val="0"/>
              <w:spacing w:line="240" w:lineRule="exact"/>
              <w:jc w:val="center"/>
              <w:rPr>
                <w:rFonts w:ascii="Arial" w:hAnsi="Arial"/>
                <w:sz w:val="22"/>
              </w:rPr>
            </w:pPr>
            <w:r>
              <w:rPr>
                <w:rFonts w:ascii="Arial" w:hAnsi="Arial"/>
                <w:sz w:val="22"/>
              </w:rPr>
              <w:t>0</w:t>
            </w:r>
          </w:p>
        </w:tc>
        <w:tc>
          <w:tcPr>
            <w:tcW w:w="20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6A29" w:rsidRDefault="00576A29" w:rsidP="001A6369">
            <w:pPr>
              <w:widowControl w:val="0"/>
              <w:spacing w:line="240" w:lineRule="exact"/>
              <w:jc w:val="center"/>
              <w:rPr>
                <w:rFonts w:ascii="Arial" w:hAnsi="Arial"/>
                <w:sz w:val="22"/>
              </w:rPr>
            </w:pPr>
            <w:r>
              <w:rPr>
                <w:rFonts w:ascii="Arial" w:hAnsi="Arial"/>
                <w:sz w:val="22"/>
              </w:rPr>
              <w:t>5,</w:t>
            </w:r>
            <w:r w:rsidR="001A6369">
              <w:rPr>
                <w:rFonts w:ascii="Arial" w:hAnsi="Arial"/>
                <w:sz w:val="22"/>
              </w:rPr>
              <w:t>372</w:t>
            </w:r>
          </w:p>
        </w:tc>
        <w:tc>
          <w:tcPr>
            <w:tcW w:w="2040" w:type="dxa"/>
            <w:tcBorders>
              <w:top w:val="single" w:sz="8" w:space="0" w:color="000000"/>
              <w:left w:val="single" w:sz="8" w:space="0" w:color="000000"/>
              <w:bottom w:val="single" w:sz="8" w:space="0" w:color="000000"/>
              <w:right w:val="single" w:sz="8" w:space="0" w:color="000000"/>
            </w:tcBorders>
          </w:tcPr>
          <w:p w:rsidR="00086FBA" w:rsidRDefault="00576A29" w:rsidP="001A6369">
            <w:pPr>
              <w:rPr>
                <w:rFonts w:ascii="Arial" w:hAnsi="Arial"/>
                <w:sz w:val="22"/>
              </w:rPr>
            </w:pPr>
            <w:r>
              <w:rPr>
                <w:rFonts w:ascii="Arial" w:hAnsi="Arial"/>
                <w:sz w:val="22"/>
              </w:rPr>
              <w:t>$</w:t>
            </w:r>
            <w:r w:rsidR="001A6369">
              <w:rPr>
                <w:rFonts w:ascii="Arial" w:hAnsi="Arial"/>
                <w:sz w:val="22"/>
              </w:rPr>
              <w:t>1,461,184</w:t>
            </w:r>
          </w:p>
        </w:tc>
      </w:tr>
    </w:tbl>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 xml:space="preserve">The total burden </w:t>
      </w:r>
      <w:r w:rsidR="002621F7">
        <w:rPr>
          <w:rFonts w:ascii="Arial" w:hAnsi="Arial"/>
          <w:sz w:val="22"/>
        </w:rPr>
        <w:t xml:space="preserve">of 10 CFR </w:t>
      </w:r>
      <w:r>
        <w:rPr>
          <w:rFonts w:ascii="Arial" w:hAnsi="Arial"/>
          <w:sz w:val="22"/>
        </w:rPr>
        <w:t xml:space="preserve">Part 61 for </w:t>
      </w:r>
      <w:r w:rsidR="009D4E8D">
        <w:rPr>
          <w:rFonts w:ascii="Arial" w:hAnsi="Arial"/>
          <w:sz w:val="22"/>
        </w:rPr>
        <w:t>Agreement State licensees</w:t>
      </w:r>
      <w:r>
        <w:rPr>
          <w:rFonts w:ascii="Arial" w:hAnsi="Arial"/>
          <w:sz w:val="22"/>
        </w:rPr>
        <w:t xml:space="preserve"> to respond to the information collection activities is 5,</w:t>
      </w:r>
      <w:r w:rsidR="001A6369">
        <w:rPr>
          <w:rFonts w:ascii="Arial" w:hAnsi="Arial"/>
          <w:sz w:val="22"/>
        </w:rPr>
        <w:t xml:space="preserve">372 </w:t>
      </w:r>
      <w:r w:rsidR="00155290">
        <w:rPr>
          <w:rFonts w:ascii="Arial" w:hAnsi="Arial"/>
          <w:sz w:val="22"/>
        </w:rPr>
        <w:t xml:space="preserve">hours </w:t>
      </w:r>
      <w:r w:rsidR="002621F7">
        <w:rPr>
          <w:rFonts w:ascii="Arial" w:hAnsi="Arial"/>
          <w:sz w:val="22"/>
        </w:rPr>
        <w:t>(56 Reporting + 5,</w:t>
      </w:r>
      <w:r w:rsidR="001A6369">
        <w:rPr>
          <w:rFonts w:ascii="Arial" w:hAnsi="Arial"/>
          <w:sz w:val="22"/>
        </w:rPr>
        <w:t xml:space="preserve">316 </w:t>
      </w:r>
      <w:r w:rsidR="002621F7">
        <w:rPr>
          <w:rFonts w:ascii="Arial" w:hAnsi="Arial"/>
          <w:sz w:val="22"/>
        </w:rPr>
        <w:t>Recordkeeping).  The total cost is</w:t>
      </w:r>
      <w:r w:rsidR="00155290">
        <w:rPr>
          <w:rFonts w:ascii="Arial" w:hAnsi="Arial"/>
          <w:sz w:val="22"/>
        </w:rPr>
        <w:t xml:space="preserve"> $</w:t>
      </w:r>
      <w:r w:rsidR="001A6369">
        <w:rPr>
          <w:rFonts w:ascii="Arial" w:hAnsi="Arial"/>
          <w:sz w:val="22"/>
        </w:rPr>
        <w:t>1,461,184</w:t>
      </w:r>
      <w:r w:rsidR="00155290">
        <w:rPr>
          <w:rFonts w:ascii="Arial" w:hAnsi="Arial"/>
          <w:sz w:val="22"/>
        </w:rPr>
        <w:t xml:space="preserve"> ($</w:t>
      </w:r>
      <w:r w:rsidR="00A051ED">
        <w:rPr>
          <w:rFonts w:ascii="Arial" w:hAnsi="Arial"/>
          <w:sz w:val="22"/>
        </w:rPr>
        <w:t>272</w:t>
      </w:r>
      <w:r w:rsidR="00155290">
        <w:rPr>
          <w:rFonts w:ascii="Arial" w:hAnsi="Arial"/>
          <w:sz w:val="22"/>
        </w:rPr>
        <w:t>/</w:t>
      </w:r>
      <w:proofErr w:type="spellStart"/>
      <w:r w:rsidR="00155290">
        <w:rPr>
          <w:rFonts w:ascii="Arial" w:hAnsi="Arial"/>
          <w:sz w:val="22"/>
        </w:rPr>
        <w:t>hr</w:t>
      </w:r>
      <w:proofErr w:type="spellEnd"/>
      <w:r w:rsidR="00155290">
        <w:rPr>
          <w:rFonts w:ascii="Arial" w:hAnsi="Arial"/>
          <w:sz w:val="22"/>
        </w:rPr>
        <w:t xml:space="preserve"> x</w:t>
      </w:r>
      <w:r>
        <w:rPr>
          <w:rFonts w:ascii="Arial" w:hAnsi="Arial"/>
          <w:sz w:val="22"/>
        </w:rPr>
        <w:t xml:space="preserve"> 5,</w:t>
      </w:r>
      <w:r w:rsidR="001A6369">
        <w:rPr>
          <w:rFonts w:ascii="Arial" w:hAnsi="Arial"/>
          <w:sz w:val="22"/>
        </w:rPr>
        <w:t xml:space="preserve">372 </w:t>
      </w:r>
      <w:proofErr w:type="spellStart"/>
      <w:r>
        <w:rPr>
          <w:rFonts w:ascii="Arial" w:hAnsi="Arial"/>
          <w:sz w:val="22"/>
        </w:rPr>
        <w:t>hrs</w:t>
      </w:r>
      <w:proofErr w:type="spellEnd"/>
      <w:r>
        <w:rPr>
          <w:rFonts w:ascii="Arial" w:hAnsi="Arial"/>
          <w:sz w:val="22"/>
        </w:rPr>
        <w:t>).  Costs are estimated based on the rate used in NRC’s license fee rule.</w:t>
      </w:r>
    </w:p>
    <w:p w:rsidR="00945F80" w:rsidRDefault="00945F80" w:rsidP="00945F80">
      <w:pPr>
        <w:widowControl w:val="0"/>
        <w:spacing w:line="240" w:lineRule="exact"/>
        <w:rPr>
          <w:rFonts w:ascii="Arial" w:hAnsi="Arial"/>
          <w:sz w:val="22"/>
        </w:rPr>
      </w:pPr>
    </w:p>
    <w:p w:rsidR="00945F80" w:rsidRPr="009A0616" w:rsidRDefault="00945F80" w:rsidP="004B6C81">
      <w:pPr>
        <w:pStyle w:val="ListParagraph"/>
        <w:numPr>
          <w:ilvl w:val="0"/>
          <w:numId w:val="4"/>
        </w:numPr>
        <w:rPr>
          <w:rFonts w:ascii="Arial" w:hAnsi="Arial"/>
          <w:sz w:val="22"/>
        </w:rPr>
      </w:pPr>
      <w:r w:rsidRPr="009A0616">
        <w:rPr>
          <w:rFonts w:ascii="Arial" w:hAnsi="Arial"/>
          <w:sz w:val="22"/>
          <w:u w:val="single"/>
        </w:rPr>
        <w:t>Estimate of Other Additional Costs</w:t>
      </w:r>
      <w:r w:rsidRPr="009A0616">
        <w:rPr>
          <w:rFonts w:ascii="Arial" w:hAnsi="Arial"/>
          <w:sz w:val="22"/>
        </w:rPr>
        <w:t xml:space="preserve"> </w:t>
      </w:r>
    </w:p>
    <w:p w:rsidR="003E737B" w:rsidRDefault="003E737B" w:rsidP="003E737B">
      <w:pPr>
        <w:widowControl w:val="0"/>
        <w:spacing w:line="240" w:lineRule="exact"/>
        <w:ind w:left="1440"/>
        <w:rPr>
          <w:rFonts w:ascii="Arial" w:hAnsi="Arial"/>
          <w:sz w:val="22"/>
        </w:rPr>
      </w:pPr>
    </w:p>
    <w:p w:rsidR="00945F80" w:rsidRDefault="006E2083" w:rsidP="003E737B">
      <w:pPr>
        <w:widowControl w:val="0"/>
        <w:spacing w:line="240" w:lineRule="exact"/>
        <w:ind w:left="1440"/>
        <w:rPr>
          <w:rFonts w:ascii="Arial" w:hAnsi="Arial"/>
          <w:b/>
          <w:sz w:val="22"/>
          <w:highlight w:val="yellow"/>
        </w:rPr>
      </w:pPr>
      <w:r>
        <w:rPr>
          <w:rFonts w:ascii="Arial" w:hAnsi="Arial"/>
          <w:sz w:val="22"/>
        </w:rPr>
        <w:t xml:space="preserve">The </w:t>
      </w:r>
      <w:r w:rsidR="00945F80">
        <w:rPr>
          <w:rFonts w:ascii="Arial" w:hAnsi="Arial"/>
          <w:sz w:val="22"/>
        </w:rPr>
        <w:t xml:space="preserve">NRC has determined that the records storage cost is roughly proportional to the recordkeeping burden cost.  Based on a typical clearance, the records storage cost has been determined to be equal to </w:t>
      </w:r>
      <w:r>
        <w:rPr>
          <w:rFonts w:ascii="Arial" w:hAnsi="Arial"/>
          <w:sz w:val="22"/>
        </w:rPr>
        <w:t>0</w:t>
      </w:r>
      <w:r w:rsidR="00945F80">
        <w:rPr>
          <w:rFonts w:ascii="Arial" w:hAnsi="Arial"/>
          <w:sz w:val="22"/>
        </w:rPr>
        <w:t xml:space="preserve">.0004 times the recordkeeping burden cost.  Therefore, the storage cost for this clearance </w:t>
      </w:r>
      <w:r w:rsidR="007D0345">
        <w:rPr>
          <w:rFonts w:ascii="Arial" w:hAnsi="Arial"/>
          <w:sz w:val="22"/>
        </w:rPr>
        <w:t>is estimated to be $</w:t>
      </w:r>
      <w:r w:rsidR="004C1360">
        <w:rPr>
          <w:rFonts w:ascii="Arial" w:hAnsi="Arial"/>
          <w:sz w:val="22"/>
        </w:rPr>
        <w:t>5</w:t>
      </w:r>
      <w:r w:rsidR="005922C9">
        <w:rPr>
          <w:rFonts w:ascii="Arial" w:hAnsi="Arial"/>
          <w:sz w:val="22"/>
        </w:rPr>
        <w:t>78</w:t>
      </w:r>
      <w:r w:rsidR="004C1360">
        <w:rPr>
          <w:rFonts w:ascii="Arial" w:hAnsi="Arial"/>
          <w:sz w:val="22"/>
        </w:rPr>
        <w:t xml:space="preserve"> </w:t>
      </w:r>
      <w:r w:rsidR="007D0345">
        <w:rPr>
          <w:rFonts w:ascii="Arial" w:hAnsi="Arial"/>
          <w:sz w:val="22"/>
        </w:rPr>
        <w:t>(5,3</w:t>
      </w:r>
      <w:r w:rsidR="005922C9">
        <w:rPr>
          <w:rFonts w:ascii="Arial" w:hAnsi="Arial"/>
          <w:sz w:val="22"/>
        </w:rPr>
        <w:t>1</w:t>
      </w:r>
      <w:r w:rsidR="007D0345">
        <w:rPr>
          <w:rFonts w:ascii="Arial" w:hAnsi="Arial"/>
          <w:sz w:val="22"/>
        </w:rPr>
        <w:t xml:space="preserve">6 </w:t>
      </w:r>
      <w:r w:rsidR="00945F80">
        <w:rPr>
          <w:rFonts w:ascii="Arial" w:hAnsi="Arial"/>
          <w:sz w:val="22"/>
        </w:rPr>
        <w:t xml:space="preserve">recordkeeping hours x </w:t>
      </w:r>
      <w:r>
        <w:rPr>
          <w:rFonts w:ascii="Arial" w:hAnsi="Arial"/>
          <w:sz w:val="22"/>
        </w:rPr>
        <w:t>0</w:t>
      </w:r>
      <w:r w:rsidR="00945F80">
        <w:rPr>
          <w:rFonts w:ascii="Arial" w:hAnsi="Arial"/>
          <w:sz w:val="22"/>
        </w:rPr>
        <w:t>.0004 x $</w:t>
      </w:r>
      <w:r w:rsidR="002405D3">
        <w:rPr>
          <w:rFonts w:ascii="Arial" w:hAnsi="Arial"/>
          <w:sz w:val="22"/>
        </w:rPr>
        <w:t>272</w:t>
      </w:r>
      <w:r w:rsidR="00945F80">
        <w:rPr>
          <w:rFonts w:ascii="Arial" w:hAnsi="Arial"/>
          <w:sz w:val="22"/>
        </w:rPr>
        <w:t>hr).</w:t>
      </w:r>
    </w:p>
    <w:p w:rsidR="00945F80" w:rsidRDefault="00945F80" w:rsidP="00945F80">
      <w:pPr>
        <w:widowControl w:val="0"/>
        <w:spacing w:line="240" w:lineRule="exact"/>
        <w:rPr>
          <w:rFonts w:ascii="Arial" w:hAnsi="Arial"/>
          <w:b/>
          <w:sz w:val="22"/>
          <w:highlight w:val="yellow"/>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Estimated Annualized Cost to Federal Government</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1440"/>
        <w:rPr>
          <w:rFonts w:ascii="Arial" w:hAnsi="Arial"/>
          <w:sz w:val="22"/>
        </w:rPr>
      </w:pPr>
      <w:r>
        <w:rPr>
          <w:rFonts w:ascii="Arial" w:hAnsi="Arial"/>
          <w:sz w:val="22"/>
        </w:rPr>
        <w:t>There is no estimated annual cost to the Federal government for reviewing applications and reports, responding to notifications, and inspecting applicable records.</w:t>
      </w:r>
      <w:r w:rsidR="00155290">
        <w:rPr>
          <w:rFonts w:ascii="Arial" w:hAnsi="Arial"/>
          <w:sz w:val="22"/>
        </w:rPr>
        <w:t xml:space="preserve">  </w:t>
      </w:r>
      <w:r w:rsidR="00DF26E1">
        <w:rPr>
          <w:rFonts w:ascii="Arial" w:hAnsi="Arial"/>
          <w:sz w:val="22"/>
        </w:rPr>
        <w:t xml:space="preserve">Because the </w:t>
      </w:r>
      <w:r w:rsidR="009D4E8D">
        <w:rPr>
          <w:rFonts w:ascii="Arial" w:hAnsi="Arial"/>
          <w:sz w:val="22"/>
        </w:rPr>
        <w:t>four</w:t>
      </w:r>
      <w:r w:rsidR="00DF26E1">
        <w:rPr>
          <w:rFonts w:ascii="Arial" w:hAnsi="Arial"/>
          <w:sz w:val="22"/>
        </w:rPr>
        <w:t xml:space="preserve"> licensees are in Agreement States, the States in which they are located are responsible for these functions.</w:t>
      </w:r>
    </w:p>
    <w:p w:rsidR="004F4177" w:rsidRDefault="004F4177" w:rsidP="004F4177">
      <w:pPr>
        <w:widowControl w:val="0"/>
        <w:spacing w:line="240" w:lineRule="exact"/>
        <w:rPr>
          <w:rFonts w:ascii="Arial" w:hAnsi="Arial"/>
          <w:sz w:val="22"/>
        </w:rPr>
      </w:pPr>
    </w:p>
    <w:p w:rsidR="00945F80" w:rsidRDefault="00945F80" w:rsidP="003E737B">
      <w:pPr>
        <w:widowControl w:val="0"/>
        <w:numPr>
          <w:ilvl w:val="0"/>
          <w:numId w:val="4"/>
        </w:numPr>
        <w:spacing w:line="240" w:lineRule="exact"/>
        <w:rPr>
          <w:rFonts w:ascii="Arial" w:hAnsi="Arial"/>
          <w:sz w:val="22"/>
        </w:rPr>
      </w:pPr>
      <w:r w:rsidRPr="003E737B">
        <w:rPr>
          <w:rFonts w:ascii="Arial" w:hAnsi="Arial"/>
          <w:sz w:val="22"/>
          <w:u w:val="single"/>
        </w:rPr>
        <w:t>Reasons for Changes in Burden or Cost</w:t>
      </w:r>
      <w:r w:rsidRPr="003E737B">
        <w:rPr>
          <w:rFonts w:ascii="Arial" w:hAnsi="Arial"/>
          <w:sz w:val="22"/>
        </w:rPr>
        <w:t xml:space="preserve"> </w:t>
      </w:r>
    </w:p>
    <w:p w:rsidR="005922C9" w:rsidRDefault="005922C9" w:rsidP="009A0616">
      <w:pPr>
        <w:widowControl w:val="0"/>
        <w:spacing w:line="240" w:lineRule="exact"/>
        <w:ind w:left="1440"/>
        <w:rPr>
          <w:rFonts w:ascii="Arial" w:hAnsi="Arial"/>
          <w:sz w:val="22"/>
        </w:rPr>
      </w:pPr>
    </w:p>
    <w:p w:rsidR="005922C9" w:rsidRPr="005922C9" w:rsidRDefault="00DF26E1" w:rsidP="005922C9">
      <w:pPr>
        <w:widowControl w:val="0"/>
        <w:spacing w:line="240" w:lineRule="exact"/>
        <w:ind w:left="1440"/>
        <w:rPr>
          <w:rFonts w:ascii="Arial" w:hAnsi="Arial" w:cs="Arial"/>
          <w:sz w:val="22"/>
          <w:szCs w:val="22"/>
        </w:rPr>
      </w:pPr>
      <w:r>
        <w:rPr>
          <w:rFonts w:ascii="Arial" w:hAnsi="Arial"/>
          <w:sz w:val="22"/>
        </w:rPr>
        <w:t>The burden for this informa</w:t>
      </w:r>
      <w:r w:rsidR="005627D6">
        <w:rPr>
          <w:rFonts w:ascii="Arial" w:hAnsi="Arial"/>
          <w:sz w:val="22"/>
        </w:rPr>
        <w:t xml:space="preserve">tion collection has </w:t>
      </w:r>
      <w:r w:rsidR="005922C9">
        <w:rPr>
          <w:rFonts w:ascii="Arial" w:hAnsi="Arial"/>
          <w:sz w:val="22"/>
        </w:rPr>
        <w:t xml:space="preserve">decreased by 40 hours, from 5,412 hours to 5,372 hours.  This decrease is due to a correction in the way </w:t>
      </w:r>
      <w:r w:rsidR="00EB7E3B">
        <w:rPr>
          <w:rFonts w:ascii="Arial" w:hAnsi="Arial"/>
          <w:sz w:val="22"/>
        </w:rPr>
        <w:t xml:space="preserve">the </w:t>
      </w:r>
      <w:r w:rsidR="005922C9">
        <w:rPr>
          <w:rFonts w:ascii="Arial" w:hAnsi="Arial"/>
          <w:sz w:val="22"/>
        </w:rPr>
        <w:t xml:space="preserve">burden for requirements </w:t>
      </w:r>
      <w:r w:rsidR="005922C9" w:rsidRPr="005922C9">
        <w:rPr>
          <w:rFonts w:ascii="Arial" w:hAnsi="Arial"/>
          <w:sz w:val="22"/>
        </w:rPr>
        <w:t>61.30(a</w:t>
      </w:r>
      <w:proofErr w:type="gramStart"/>
      <w:r w:rsidR="005922C9" w:rsidRPr="005922C9">
        <w:rPr>
          <w:rFonts w:ascii="Arial" w:hAnsi="Arial"/>
          <w:sz w:val="22"/>
        </w:rPr>
        <w:t>)(</w:t>
      </w:r>
      <w:proofErr w:type="gramEnd"/>
      <w:r w:rsidR="005922C9" w:rsidRPr="005922C9">
        <w:rPr>
          <w:rFonts w:ascii="Arial" w:hAnsi="Arial"/>
          <w:sz w:val="22"/>
        </w:rPr>
        <w:t>3)</w:t>
      </w:r>
      <w:r w:rsidR="005922C9">
        <w:rPr>
          <w:rFonts w:ascii="Arial" w:hAnsi="Arial"/>
          <w:sz w:val="22"/>
        </w:rPr>
        <w:t xml:space="preserve"> and </w:t>
      </w:r>
      <w:r w:rsidR="005922C9" w:rsidRPr="005922C9">
        <w:rPr>
          <w:rFonts w:ascii="Arial" w:hAnsi="Arial"/>
          <w:sz w:val="22"/>
        </w:rPr>
        <w:t>61.31(c)(3)</w:t>
      </w:r>
      <w:r w:rsidR="005922C9">
        <w:rPr>
          <w:rFonts w:ascii="Arial" w:hAnsi="Arial"/>
          <w:sz w:val="22"/>
        </w:rPr>
        <w:t xml:space="preserve"> </w:t>
      </w:r>
      <w:r w:rsidR="00D64C01">
        <w:rPr>
          <w:rFonts w:ascii="Arial" w:hAnsi="Arial"/>
          <w:sz w:val="22"/>
        </w:rPr>
        <w:t>is</w:t>
      </w:r>
      <w:r w:rsidR="005922C9">
        <w:rPr>
          <w:rFonts w:ascii="Arial" w:hAnsi="Arial"/>
          <w:sz w:val="22"/>
        </w:rPr>
        <w:t xml:space="preserve"> accounted for.  61.30(a</w:t>
      </w:r>
      <w:proofErr w:type="gramStart"/>
      <w:r w:rsidR="005922C9">
        <w:rPr>
          <w:rFonts w:ascii="Arial" w:hAnsi="Arial"/>
          <w:sz w:val="22"/>
        </w:rPr>
        <w:t>)(</w:t>
      </w:r>
      <w:proofErr w:type="gramEnd"/>
      <w:r w:rsidR="005922C9">
        <w:rPr>
          <w:rFonts w:ascii="Arial" w:hAnsi="Arial"/>
          <w:sz w:val="22"/>
        </w:rPr>
        <w:t xml:space="preserve">3) </w:t>
      </w:r>
      <w:r w:rsidR="005922C9">
        <w:rPr>
          <w:rFonts w:ascii="Arial" w:hAnsi="Arial"/>
          <w:sz w:val="22"/>
        </w:rPr>
        <w:lastRenderedPageBreak/>
        <w:t xml:space="preserve">requires that records be </w:t>
      </w:r>
      <w:r w:rsidR="005922C9" w:rsidRPr="005922C9">
        <w:rPr>
          <w:rFonts w:ascii="Arial" w:hAnsi="Arial" w:cs="Arial"/>
          <w:sz w:val="22"/>
          <w:szCs w:val="22"/>
        </w:rPr>
        <w:t>transferred to the site owner at the transfer of the license.  61.31(c</w:t>
      </w:r>
      <w:proofErr w:type="gramStart"/>
      <w:r w:rsidR="005922C9" w:rsidRPr="005922C9">
        <w:rPr>
          <w:rFonts w:ascii="Arial" w:hAnsi="Arial" w:cs="Arial"/>
          <w:sz w:val="22"/>
          <w:szCs w:val="22"/>
        </w:rPr>
        <w:t>)(</w:t>
      </w:r>
      <w:proofErr w:type="gramEnd"/>
      <w:r w:rsidR="005922C9" w:rsidRPr="005922C9">
        <w:rPr>
          <w:rFonts w:ascii="Arial" w:hAnsi="Arial" w:cs="Arial"/>
          <w:sz w:val="22"/>
          <w:szCs w:val="22"/>
        </w:rPr>
        <w:t xml:space="preserve">3) requires that records be transferred to </w:t>
      </w:r>
      <w:r w:rsidR="005922C9" w:rsidRPr="009A0616">
        <w:rPr>
          <w:rFonts w:ascii="Arial" w:hAnsi="Arial" w:cs="Arial"/>
          <w:sz w:val="22"/>
          <w:szCs w:val="22"/>
          <w:lang w:val="en"/>
        </w:rPr>
        <w:t xml:space="preserve">the party responsible for institutional control of the disposal site at license termination.  </w:t>
      </w:r>
      <w:r w:rsidR="005922C9">
        <w:rPr>
          <w:rFonts w:ascii="Arial" w:hAnsi="Arial" w:cs="Arial"/>
          <w:sz w:val="22"/>
          <w:szCs w:val="22"/>
        </w:rPr>
        <w:t>Previously, these requirements were counted as annual recordkeeping burden</w:t>
      </w:r>
      <w:r w:rsidR="00EB7E3B">
        <w:rPr>
          <w:rFonts w:ascii="Arial" w:hAnsi="Arial" w:cs="Arial"/>
          <w:sz w:val="22"/>
          <w:szCs w:val="22"/>
        </w:rPr>
        <w:t xml:space="preserve"> (40 hours)</w:t>
      </w:r>
      <w:r w:rsidR="005922C9">
        <w:rPr>
          <w:rFonts w:ascii="Arial" w:hAnsi="Arial" w:cs="Arial"/>
          <w:sz w:val="22"/>
          <w:szCs w:val="22"/>
        </w:rPr>
        <w:t xml:space="preserve">.  In this renewal, the requirements are correctly identified </w:t>
      </w:r>
      <w:r w:rsidR="00EB7E3B">
        <w:rPr>
          <w:rFonts w:ascii="Arial" w:hAnsi="Arial" w:cs="Arial"/>
          <w:sz w:val="22"/>
          <w:szCs w:val="22"/>
        </w:rPr>
        <w:t xml:space="preserve">as </w:t>
      </w:r>
      <w:r w:rsidR="005922C9">
        <w:rPr>
          <w:rFonts w:ascii="Arial" w:hAnsi="Arial" w:cs="Arial"/>
          <w:sz w:val="22"/>
          <w:szCs w:val="22"/>
        </w:rPr>
        <w:t xml:space="preserve">third-party disclosures that only occur at license transfer or termination.  Because no license transfers or terminations are anticipated during the three-year clearance period, </w:t>
      </w:r>
      <w:r w:rsidR="00EB7E3B">
        <w:rPr>
          <w:rFonts w:ascii="Arial" w:hAnsi="Arial" w:cs="Arial"/>
          <w:sz w:val="22"/>
          <w:szCs w:val="22"/>
        </w:rPr>
        <w:t>there is no burden for these requirements (0 hours)</w:t>
      </w:r>
      <w:r w:rsidR="005922C9">
        <w:rPr>
          <w:rFonts w:ascii="Arial" w:hAnsi="Arial" w:cs="Arial"/>
          <w:sz w:val="22"/>
          <w:szCs w:val="22"/>
        </w:rPr>
        <w:t>.</w:t>
      </w:r>
    </w:p>
    <w:p w:rsidR="005922C9" w:rsidRDefault="005922C9" w:rsidP="003E737B">
      <w:pPr>
        <w:widowControl w:val="0"/>
        <w:spacing w:line="240" w:lineRule="exact"/>
        <w:ind w:left="1440"/>
        <w:rPr>
          <w:rFonts w:ascii="Arial" w:hAnsi="Arial"/>
          <w:sz w:val="22"/>
        </w:rPr>
      </w:pPr>
    </w:p>
    <w:p w:rsidR="00945F80" w:rsidRDefault="005922C9" w:rsidP="003E737B">
      <w:pPr>
        <w:widowControl w:val="0"/>
        <w:spacing w:line="240" w:lineRule="exact"/>
        <w:ind w:left="1440"/>
        <w:rPr>
          <w:rFonts w:ascii="Arial" w:hAnsi="Arial"/>
          <w:sz w:val="22"/>
        </w:rPr>
      </w:pPr>
      <w:r>
        <w:rPr>
          <w:rFonts w:ascii="Arial" w:hAnsi="Arial"/>
          <w:sz w:val="22"/>
        </w:rPr>
        <w:t xml:space="preserve">In addition, </w:t>
      </w:r>
      <w:r w:rsidR="00DF26E1">
        <w:rPr>
          <w:rFonts w:ascii="Arial" w:hAnsi="Arial"/>
          <w:sz w:val="22"/>
        </w:rPr>
        <w:t>t</w:t>
      </w:r>
      <w:r w:rsidR="00945F80">
        <w:rPr>
          <w:rFonts w:ascii="Arial" w:hAnsi="Arial"/>
          <w:sz w:val="22"/>
        </w:rPr>
        <w:t xml:space="preserve">here is a change in cost </w:t>
      </w:r>
      <w:r w:rsidR="00D9472A">
        <w:rPr>
          <w:rFonts w:ascii="Arial" w:hAnsi="Arial"/>
          <w:sz w:val="22"/>
        </w:rPr>
        <w:t>due to an increase in the hourly rate</w:t>
      </w:r>
      <w:r w:rsidR="00945F80">
        <w:rPr>
          <w:rFonts w:ascii="Arial" w:hAnsi="Arial"/>
          <w:sz w:val="22"/>
        </w:rPr>
        <w:t xml:space="preserve"> from $</w:t>
      </w:r>
      <w:r w:rsidR="00E26745">
        <w:rPr>
          <w:rFonts w:ascii="Arial" w:hAnsi="Arial"/>
          <w:sz w:val="22"/>
        </w:rPr>
        <w:t>2</w:t>
      </w:r>
      <w:r w:rsidR="00E14182">
        <w:rPr>
          <w:rFonts w:ascii="Arial" w:hAnsi="Arial"/>
          <w:sz w:val="22"/>
        </w:rPr>
        <w:t>5</w:t>
      </w:r>
      <w:r w:rsidR="007939C4">
        <w:rPr>
          <w:rFonts w:ascii="Arial" w:hAnsi="Arial"/>
          <w:sz w:val="22"/>
        </w:rPr>
        <w:t>9</w:t>
      </w:r>
      <w:r w:rsidR="00945F80">
        <w:rPr>
          <w:rFonts w:ascii="Arial" w:hAnsi="Arial"/>
          <w:sz w:val="22"/>
        </w:rPr>
        <w:t>/hr to $2</w:t>
      </w:r>
      <w:r w:rsidR="007939C4">
        <w:rPr>
          <w:rFonts w:ascii="Arial" w:hAnsi="Arial"/>
          <w:sz w:val="22"/>
        </w:rPr>
        <w:t>72</w:t>
      </w:r>
      <w:r w:rsidR="00945F80">
        <w:rPr>
          <w:rFonts w:ascii="Arial" w:hAnsi="Arial"/>
          <w:sz w:val="22"/>
        </w:rPr>
        <w:t>/hr.</w:t>
      </w:r>
    </w:p>
    <w:p w:rsidR="00945F80" w:rsidRDefault="00945F80" w:rsidP="00945F80">
      <w:pPr>
        <w:widowControl w:val="0"/>
        <w:spacing w:line="240" w:lineRule="exact"/>
        <w:rPr>
          <w:rFonts w:ascii="Arial" w:hAnsi="Arial"/>
          <w:sz w:val="22"/>
        </w:rPr>
      </w:pPr>
    </w:p>
    <w:p w:rsidR="00945F80" w:rsidRDefault="00945F80" w:rsidP="003E737B">
      <w:pPr>
        <w:widowControl w:val="0"/>
        <w:numPr>
          <w:ilvl w:val="0"/>
          <w:numId w:val="4"/>
        </w:numPr>
        <w:spacing w:line="240" w:lineRule="exact"/>
        <w:rPr>
          <w:rFonts w:ascii="Arial" w:hAnsi="Arial"/>
          <w:sz w:val="22"/>
        </w:rPr>
      </w:pPr>
      <w:r>
        <w:rPr>
          <w:rFonts w:ascii="Arial" w:hAnsi="Arial"/>
          <w:sz w:val="22"/>
          <w:u w:val="single"/>
        </w:rPr>
        <w:t>Publication for Statistical Use</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720"/>
        <w:rPr>
          <w:rFonts w:ascii="Arial" w:hAnsi="Arial"/>
          <w:sz w:val="22"/>
        </w:rPr>
      </w:pPr>
      <w:r>
        <w:rPr>
          <w:rFonts w:ascii="Arial" w:hAnsi="Arial"/>
          <w:sz w:val="22"/>
        </w:rPr>
        <w:tab/>
      </w:r>
      <w:proofErr w:type="gramStart"/>
      <w:r>
        <w:rPr>
          <w:rFonts w:ascii="Arial" w:hAnsi="Arial"/>
          <w:sz w:val="22"/>
        </w:rPr>
        <w:t>None.</w:t>
      </w:r>
      <w:proofErr w:type="gramEnd"/>
    </w:p>
    <w:p w:rsidR="004F4177" w:rsidRDefault="004F4177" w:rsidP="00945F80">
      <w:pPr>
        <w:widowControl w:val="0"/>
        <w:spacing w:line="240" w:lineRule="exact"/>
        <w:rPr>
          <w:rFonts w:ascii="Arial" w:hAnsi="Arial"/>
          <w:sz w:val="22"/>
        </w:rPr>
      </w:pPr>
    </w:p>
    <w:p w:rsidR="00945F80" w:rsidRDefault="00945F80" w:rsidP="004F4177">
      <w:pPr>
        <w:keepNext/>
        <w:keepLines/>
        <w:widowControl w:val="0"/>
        <w:spacing w:line="240" w:lineRule="exact"/>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p>
    <w:p w:rsidR="00945F80" w:rsidRDefault="00945F80" w:rsidP="004F4177">
      <w:pPr>
        <w:keepNext/>
        <w:keepLines/>
        <w:widowControl w:val="0"/>
        <w:spacing w:line="240" w:lineRule="exact"/>
        <w:rPr>
          <w:rFonts w:ascii="Arial" w:hAnsi="Arial"/>
          <w:sz w:val="22"/>
        </w:rPr>
      </w:pPr>
    </w:p>
    <w:p w:rsidR="00945F80" w:rsidRDefault="007939C4" w:rsidP="00167924">
      <w:pPr>
        <w:widowControl w:val="0"/>
        <w:spacing w:line="240" w:lineRule="exact"/>
        <w:ind w:left="1440"/>
        <w:rPr>
          <w:rFonts w:ascii="Arial" w:hAnsi="Arial"/>
          <w:sz w:val="22"/>
        </w:rPr>
      </w:pPr>
      <w:r w:rsidRPr="007939C4">
        <w:rPr>
          <w:rFonts w:ascii="Arial" w:hAnsi="Arial"/>
          <w:sz w:val="22"/>
        </w:rPr>
        <w:t>NRC is not requesting any exemptions from OMB criteria</w:t>
      </w:r>
      <w:r>
        <w:rPr>
          <w:rFonts w:ascii="Arial" w:hAnsi="Arial"/>
          <w:sz w:val="22"/>
        </w:rPr>
        <w:t xml:space="preserve">.  </w:t>
      </w:r>
    </w:p>
    <w:p w:rsidR="00A207F5" w:rsidRDefault="00A207F5">
      <w:pPr>
        <w:rPr>
          <w:rFonts w:ascii="Arial" w:hAnsi="Arial"/>
          <w:sz w:val="22"/>
        </w:rPr>
      </w:pPr>
    </w:p>
    <w:p w:rsidR="004C1360" w:rsidRDefault="004C1360" w:rsidP="00167924">
      <w:pPr>
        <w:widowControl w:val="0"/>
        <w:spacing w:line="240" w:lineRule="exact"/>
        <w:ind w:left="1440"/>
        <w:rPr>
          <w:rFonts w:ascii="Arial" w:hAnsi="Arial"/>
          <w:sz w:val="22"/>
        </w:rPr>
      </w:pPr>
    </w:p>
    <w:p w:rsidR="00945F80" w:rsidRDefault="00945F80" w:rsidP="00945F80">
      <w:pPr>
        <w:widowControl w:val="0"/>
        <w:spacing w:line="240" w:lineRule="exact"/>
        <w:rPr>
          <w:rFonts w:ascii="Arial" w:hAnsi="Arial"/>
          <w:sz w:val="22"/>
        </w:rPr>
      </w:pPr>
      <w:r>
        <w:rPr>
          <w:rFonts w:ascii="Arial" w:hAnsi="Arial"/>
          <w:sz w:val="22"/>
        </w:rPr>
        <w:tab/>
        <w:t>18.</w:t>
      </w:r>
      <w:r>
        <w:rPr>
          <w:rFonts w:ascii="Arial" w:hAnsi="Arial"/>
          <w:sz w:val="22"/>
        </w:rPr>
        <w:tab/>
      </w:r>
      <w:r>
        <w:rPr>
          <w:rFonts w:ascii="Arial" w:hAnsi="Arial"/>
          <w:sz w:val="22"/>
          <w:u w:val="single"/>
        </w:rPr>
        <w:t>Exceptions to the Certification Statement</w:t>
      </w:r>
    </w:p>
    <w:p w:rsidR="00945F80" w:rsidRDefault="00945F80" w:rsidP="00945F80">
      <w:pPr>
        <w:widowControl w:val="0"/>
        <w:spacing w:line="240" w:lineRule="exact"/>
        <w:rPr>
          <w:rFonts w:ascii="Arial" w:hAnsi="Arial"/>
          <w:sz w:val="22"/>
        </w:rPr>
      </w:pPr>
    </w:p>
    <w:p w:rsidR="00945F80" w:rsidRDefault="00945F80" w:rsidP="003E737B">
      <w:pPr>
        <w:widowControl w:val="0"/>
        <w:spacing w:line="240" w:lineRule="exact"/>
        <w:ind w:left="720"/>
        <w:rPr>
          <w:rFonts w:ascii="Arial" w:hAnsi="Arial"/>
          <w:sz w:val="22"/>
        </w:rPr>
      </w:pPr>
      <w:r>
        <w:rPr>
          <w:rFonts w:ascii="Arial" w:hAnsi="Arial"/>
          <w:sz w:val="22"/>
        </w:rPr>
        <w:tab/>
      </w:r>
      <w:proofErr w:type="gramStart"/>
      <w:r>
        <w:rPr>
          <w:rFonts w:ascii="Arial" w:hAnsi="Arial"/>
          <w:sz w:val="22"/>
        </w:rPr>
        <w:t>None.</w:t>
      </w:r>
      <w:proofErr w:type="gramEnd"/>
    </w:p>
    <w:p w:rsidR="00E20D05" w:rsidRDefault="00E20D05" w:rsidP="003E737B">
      <w:pPr>
        <w:widowControl w:val="0"/>
        <w:spacing w:line="240" w:lineRule="exact"/>
        <w:ind w:left="720"/>
        <w:rPr>
          <w:rFonts w:ascii="Arial" w:hAnsi="Arial"/>
          <w:sz w:val="22"/>
        </w:rPr>
      </w:pPr>
    </w:p>
    <w:p w:rsidR="00945F80" w:rsidRDefault="00945F80" w:rsidP="00945F80">
      <w:pPr>
        <w:widowControl w:val="0"/>
        <w:spacing w:line="240" w:lineRule="exact"/>
        <w:rPr>
          <w:rFonts w:ascii="Arial" w:hAnsi="Arial"/>
          <w:sz w:val="22"/>
        </w:rPr>
      </w:pPr>
    </w:p>
    <w:p w:rsidR="00945F80" w:rsidRDefault="00945F80" w:rsidP="00197A32">
      <w:pPr>
        <w:rPr>
          <w:rFonts w:ascii="Arial" w:hAnsi="Arial"/>
          <w:sz w:val="22"/>
        </w:rPr>
      </w:pPr>
      <w:r>
        <w:rPr>
          <w:rFonts w:ascii="Arial" w:hAnsi="Arial"/>
          <w:sz w:val="22"/>
        </w:rPr>
        <w:t xml:space="preserve">B. </w:t>
      </w:r>
      <w:r>
        <w:rPr>
          <w:rFonts w:ascii="Arial" w:hAnsi="Arial"/>
          <w:sz w:val="22"/>
        </w:rPr>
        <w:tab/>
        <w:t>COLLECTIONS OF INFORMATION EMPLOYING STATISTICAL METHODS</w:t>
      </w:r>
    </w:p>
    <w:p w:rsidR="00945F80" w:rsidRDefault="00945F80" w:rsidP="00945F80">
      <w:pPr>
        <w:widowControl w:val="0"/>
        <w:spacing w:line="240" w:lineRule="exact"/>
        <w:rPr>
          <w:rFonts w:ascii="Arial" w:hAnsi="Arial"/>
          <w:sz w:val="22"/>
        </w:rPr>
      </w:pPr>
    </w:p>
    <w:p w:rsidR="004F4177" w:rsidRDefault="00945F80" w:rsidP="00945F80">
      <w:pPr>
        <w:widowControl w:val="0"/>
        <w:spacing w:line="240" w:lineRule="exact"/>
        <w:rPr>
          <w:rFonts w:ascii="Arial" w:hAnsi="Arial"/>
          <w:sz w:val="22"/>
        </w:rPr>
      </w:pPr>
      <w:r>
        <w:rPr>
          <w:rFonts w:ascii="Arial" w:hAnsi="Arial"/>
          <w:sz w:val="22"/>
        </w:rPr>
        <w:t>Statistical methods a</w:t>
      </w:r>
      <w:bookmarkStart w:id="1" w:name="QuickMark_1"/>
      <w:bookmarkEnd w:id="1"/>
      <w:r>
        <w:rPr>
          <w:rFonts w:ascii="Arial" w:hAnsi="Arial"/>
          <w:sz w:val="22"/>
        </w:rPr>
        <w:t>re not used in this collection of information.</w:t>
      </w:r>
    </w:p>
    <w:p w:rsidR="00197A32" w:rsidRDefault="00197A32" w:rsidP="00234CA7">
      <w:pPr>
        <w:widowControl w:val="0"/>
        <w:spacing w:line="240" w:lineRule="exact"/>
        <w:rPr>
          <w:rFonts w:ascii="Arial" w:hAnsi="Arial"/>
          <w:sz w:val="22"/>
        </w:rPr>
      </w:pPr>
    </w:p>
    <w:p w:rsidR="00A207F5" w:rsidRDefault="00A207F5">
      <w:pPr>
        <w:rPr>
          <w:rFonts w:ascii="Arial" w:hAnsi="Arial"/>
          <w:sz w:val="22"/>
        </w:rPr>
      </w:pPr>
      <w:r>
        <w:rPr>
          <w:rFonts w:ascii="Arial" w:hAnsi="Arial"/>
          <w:sz w:val="22"/>
        </w:rPr>
        <w:br w:type="page"/>
      </w:r>
    </w:p>
    <w:p w:rsidR="00945F80" w:rsidRDefault="004A7CD0" w:rsidP="00197A32">
      <w:pPr>
        <w:widowControl w:val="0"/>
        <w:spacing w:line="240" w:lineRule="exact"/>
        <w:jc w:val="center"/>
        <w:rPr>
          <w:rFonts w:ascii="Arial" w:hAnsi="Arial"/>
          <w:sz w:val="22"/>
        </w:rPr>
      </w:pPr>
      <w:r w:rsidRPr="004A7CD0">
        <w:rPr>
          <w:rFonts w:ascii="Arial" w:hAnsi="Arial"/>
          <w:sz w:val="22"/>
        </w:rPr>
        <w:lastRenderedPageBreak/>
        <w:t>Table 1</w:t>
      </w:r>
    </w:p>
    <w:p w:rsidR="004A7CD0" w:rsidRDefault="004A7CD0" w:rsidP="007D0345">
      <w:pPr>
        <w:widowControl w:val="0"/>
        <w:tabs>
          <w:tab w:val="center" w:pos="4680"/>
        </w:tabs>
        <w:spacing w:line="240" w:lineRule="exact"/>
        <w:jc w:val="center"/>
        <w:rPr>
          <w:rFonts w:ascii="Arial" w:hAnsi="Arial"/>
          <w:sz w:val="22"/>
        </w:rPr>
      </w:pPr>
      <w:r>
        <w:rPr>
          <w:rFonts w:ascii="Arial" w:hAnsi="Arial"/>
          <w:sz w:val="22"/>
        </w:rPr>
        <w:t xml:space="preserve">Annual Reporting Requirements </w:t>
      </w:r>
      <w:proofErr w:type="gramStart"/>
      <w:r>
        <w:rPr>
          <w:rFonts w:ascii="Arial" w:hAnsi="Arial"/>
          <w:sz w:val="22"/>
        </w:rPr>
        <w:t>Under</w:t>
      </w:r>
      <w:proofErr w:type="gramEnd"/>
      <w:r>
        <w:rPr>
          <w:rFonts w:ascii="Arial" w:hAnsi="Arial"/>
          <w:sz w:val="22"/>
        </w:rPr>
        <w:t xml:space="preserve"> 10 CFR 61</w:t>
      </w:r>
    </w:p>
    <w:p w:rsidR="00945F80" w:rsidRDefault="00945F80" w:rsidP="00945F80">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gridCol w:w="1596"/>
        <w:gridCol w:w="1596"/>
      </w:tblGrid>
      <w:tr w:rsidR="007D0345" w:rsidRPr="0083039E" w:rsidTr="00242130">
        <w:trPr>
          <w:jc w:val="center"/>
        </w:trPr>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Section</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No. of Respondents</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Responses per Respondent</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 Responses</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Burden Hours per Response</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 Annual Burden (Hrs)</w:t>
            </w:r>
          </w:p>
        </w:tc>
      </w:tr>
      <w:tr w:rsidR="007D0345" w:rsidRPr="0083039E" w:rsidTr="00242130">
        <w:trPr>
          <w:trHeight w:val="143"/>
          <w:jc w:val="center"/>
        </w:trPr>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61.3(b)</w:t>
            </w:r>
            <w:r w:rsidR="00AC62C9" w:rsidRPr="00197A32">
              <w:rPr>
                <w:rFonts w:ascii="Arial" w:hAnsi="Arial"/>
                <w:sz w:val="20"/>
              </w:rPr>
              <w:t>, 61.11, 61.12, 61.13, 61.14, 61.15, 61.20, 61.22(b), 61.24(b)</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18,000</w:t>
            </w:r>
          </w:p>
        </w:tc>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7D0345" w:rsidRPr="0083039E" w:rsidTr="00242130">
        <w:trPr>
          <w:jc w:val="center"/>
        </w:trPr>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61.6</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2</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7D0345" w:rsidRPr="0083039E" w:rsidTr="00242130">
        <w:trPr>
          <w:jc w:val="center"/>
        </w:trPr>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61.9a(b)</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242130">
        <w:trPr>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61.10</w:t>
            </w:r>
          </w:p>
        </w:tc>
        <w:tc>
          <w:tcPr>
            <w:tcW w:w="7980" w:type="dxa"/>
            <w:gridSpan w:val="5"/>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Included in 61.3(b) above or in 10 CFR Part 51, OMB No. 3150-0021</w:t>
            </w:r>
          </w:p>
        </w:tc>
      </w:tr>
      <w:tr w:rsidR="004A7CD0" w:rsidRPr="0083039E" w:rsidTr="00242130">
        <w:trPr>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61.16</w:t>
            </w:r>
          </w:p>
        </w:tc>
        <w:tc>
          <w:tcPr>
            <w:tcW w:w="7980" w:type="dxa"/>
            <w:gridSpan w:val="5"/>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Included in 61.3(b) above or in OMB Clearances 3150-0009 or 3150-0002</w:t>
            </w:r>
          </w:p>
        </w:tc>
      </w:tr>
      <w:tr w:rsidR="007D0345" w:rsidRPr="0083039E" w:rsidTr="00242130">
        <w:trPr>
          <w:jc w:val="center"/>
        </w:trPr>
        <w:tc>
          <w:tcPr>
            <w:tcW w:w="1596" w:type="dxa"/>
          </w:tcPr>
          <w:p w:rsidR="007D0345" w:rsidRPr="00197A32" w:rsidRDefault="007D0345"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61.24(k)</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0.5</w:t>
            </w:r>
          </w:p>
        </w:tc>
        <w:tc>
          <w:tcPr>
            <w:tcW w:w="1596" w:type="dxa"/>
          </w:tcPr>
          <w:p w:rsidR="007D0345"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242130">
        <w:trPr>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61.26</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500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242130">
        <w:trPr>
          <w:jc w:val="center"/>
        </w:trPr>
        <w:tc>
          <w:tcPr>
            <w:tcW w:w="1596" w:type="dxa"/>
          </w:tcPr>
          <w:p w:rsidR="004A7CD0" w:rsidRPr="00197A32" w:rsidRDefault="004A7CD0" w:rsidP="000C2562">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61.27</w:t>
            </w:r>
            <w:r w:rsidR="00AC62C9" w:rsidRPr="00197A32">
              <w:rPr>
                <w:rFonts w:ascii="Arial" w:hAnsi="Arial"/>
                <w:sz w:val="20"/>
              </w:rPr>
              <w:t>, 61.28, 61.30</w:t>
            </w:r>
            <w:r w:rsidR="00697C71">
              <w:rPr>
                <w:rFonts w:ascii="Arial" w:hAnsi="Arial"/>
                <w:sz w:val="20"/>
              </w:rPr>
              <w:t>, 61.31</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2,500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242130">
        <w:trPr>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61.61</w:t>
            </w:r>
            <w:r w:rsidR="00697C71">
              <w:rPr>
                <w:rFonts w:ascii="Arial" w:hAnsi="Arial"/>
                <w:sz w:val="20"/>
              </w:rPr>
              <w:t>, 61,62</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2,000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242130">
        <w:trPr>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61.55(a)(2)(iv)</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2,000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242130">
        <w:trPr>
          <w:jc w:val="center"/>
        </w:trPr>
        <w:tc>
          <w:tcPr>
            <w:tcW w:w="1596" w:type="dxa"/>
          </w:tcPr>
          <w:p w:rsidR="004A7CD0" w:rsidRPr="00197A32" w:rsidRDefault="004A7CD0" w:rsidP="00697C71">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61.58</w:t>
            </w:r>
            <w:r w:rsidR="00697C71">
              <w:rPr>
                <w:rFonts w:ascii="Arial" w:hAnsi="Arial"/>
                <w:sz w:val="20"/>
              </w:rPr>
              <w:t>, 61.63</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1,000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242130">
        <w:trPr>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61.72</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2</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4A7CD0" w:rsidRPr="0083039E" w:rsidTr="00242130">
        <w:trPr>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61.80(g),(j)</w:t>
            </w:r>
          </w:p>
        </w:tc>
        <w:tc>
          <w:tcPr>
            <w:tcW w:w="7980" w:type="dxa"/>
            <w:gridSpan w:val="5"/>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Included in OMB Clearances 3150-0017, 3150-0020, and 3150-0009</w:t>
            </w:r>
          </w:p>
        </w:tc>
      </w:tr>
      <w:tr w:rsidR="004A7CD0" w:rsidRPr="0083039E" w:rsidTr="00242130">
        <w:trPr>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61.80(h)</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r>
      <w:tr w:rsidR="004A7CD0" w:rsidRPr="0083039E" w:rsidTr="00242130">
        <w:trPr>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61.80(i)</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9</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36</w:t>
            </w:r>
          </w:p>
        </w:tc>
      </w:tr>
      <w:tr w:rsidR="004A7CD0" w:rsidRPr="0083039E" w:rsidTr="00242130">
        <w:trPr>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61.80(l)</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4</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16</w:t>
            </w:r>
          </w:p>
        </w:tc>
      </w:tr>
      <w:tr w:rsidR="004A7CD0" w:rsidRPr="0083039E" w:rsidTr="00242130">
        <w:trPr>
          <w:trHeight w:val="63"/>
          <w:jc w:val="center"/>
        </w:trPr>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12</w:t>
            </w: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p>
        </w:tc>
        <w:tc>
          <w:tcPr>
            <w:tcW w:w="1596" w:type="dxa"/>
          </w:tcPr>
          <w:p w:rsidR="004A7CD0" w:rsidRPr="00197A32" w:rsidRDefault="004A7CD0" w:rsidP="0083039E">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56</w:t>
            </w:r>
          </w:p>
        </w:tc>
      </w:tr>
    </w:tbl>
    <w:p w:rsidR="00945F80" w:rsidRDefault="00945F80" w:rsidP="00945F80">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242130" w:rsidRDefault="004A7CD0" w:rsidP="00945F80">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720" w:hanging="720"/>
        <w:rPr>
          <w:rFonts w:ascii="Arial" w:hAnsi="Arial"/>
          <w:sz w:val="22"/>
        </w:rPr>
      </w:pPr>
      <w:r>
        <w:rPr>
          <w:rFonts w:ascii="Arial" w:hAnsi="Arial"/>
          <w:sz w:val="22"/>
        </w:rPr>
        <w:t xml:space="preserve">NOTE: </w:t>
      </w:r>
      <w:r w:rsidR="00242130">
        <w:rPr>
          <w:rFonts w:ascii="Arial" w:hAnsi="Arial"/>
          <w:sz w:val="22"/>
        </w:rPr>
        <w:t xml:space="preserve"> </w:t>
      </w:r>
      <w:r w:rsidR="00945F80">
        <w:rPr>
          <w:rFonts w:ascii="Arial" w:hAnsi="Arial"/>
          <w:sz w:val="22"/>
        </w:rPr>
        <w:t xml:space="preserve">The </w:t>
      </w:r>
      <w:r>
        <w:rPr>
          <w:rFonts w:ascii="Arial" w:hAnsi="Arial"/>
          <w:sz w:val="22"/>
        </w:rPr>
        <w:t>four</w:t>
      </w:r>
      <w:r w:rsidR="00945F80">
        <w:rPr>
          <w:rFonts w:ascii="Arial" w:hAnsi="Arial"/>
          <w:sz w:val="22"/>
        </w:rPr>
        <w:t xml:space="preserve"> respondents indicated are Agreement State licensees (SC, WA, </w:t>
      </w:r>
      <w:r w:rsidR="00E26745">
        <w:rPr>
          <w:rFonts w:ascii="Arial" w:hAnsi="Arial"/>
          <w:sz w:val="22"/>
        </w:rPr>
        <w:t xml:space="preserve">TX, </w:t>
      </w:r>
      <w:r w:rsidR="00945F80">
        <w:rPr>
          <w:rFonts w:ascii="Arial" w:hAnsi="Arial"/>
          <w:sz w:val="22"/>
        </w:rPr>
        <w:t>and UT</w:t>
      </w:r>
      <w:r w:rsidR="00274901">
        <w:rPr>
          <w:rFonts w:ascii="Arial" w:hAnsi="Arial"/>
          <w:sz w:val="22"/>
        </w:rPr>
        <w:t>)</w:t>
      </w:r>
      <w:r w:rsidR="00242130">
        <w:rPr>
          <w:rFonts w:ascii="Arial" w:hAnsi="Arial"/>
          <w:sz w:val="22"/>
        </w:rPr>
        <w:t xml:space="preserve">. </w:t>
      </w:r>
    </w:p>
    <w:p w:rsidR="00945F80" w:rsidRDefault="006E2083" w:rsidP="00242130">
      <w:pPr>
        <w:widowControl w:val="0"/>
        <w:tabs>
          <w:tab w:val="left" w:pos="-720"/>
          <w:tab w:val="left" w:pos="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r>
        <w:rPr>
          <w:rFonts w:ascii="Arial" w:hAnsi="Arial"/>
          <w:sz w:val="22"/>
        </w:rPr>
        <w:t xml:space="preserve">The </w:t>
      </w:r>
      <w:r w:rsidR="00945F80">
        <w:rPr>
          <w:rFonts w:ascii="Arial" w:hAnsi="Arial"/>
          <w:sz w:val="22"/>
        </w:rPr>
        <w:t>NRC has no existing disposal facility licensees, and no NRC applications are expected in the next three years.</w:t>
      </w:r>
    </w:p>
    <w:p w:rsidR="004A7CD0" w:rsidRDefault="004A7CD0" w:rsidP="00945F80">
      <w:pPr>
        <w:widowControl w:val="0"/>
        <w:tabs>
          <w:tab w:val="center" w:pos="4680"/>
        </w:tabs>
        <w:spacing w:line="240" w:lineRule="exact"/>
        <w:rPr>
          <w:rFonts w:ascii="Arial" w:hAnsi="Arial"/>
          <w:sz w:val="22"/>
        </w:rPr>
      </w:pPr>
    </w:p>
    <w:p w:rsidR="004A7CD0" w:rsidRDefault="00AC62C9" w:rsidP="004A7CD0">
      <w:pPr>
        <w:widowControl w:val="0"/>
        <w:tabs>
          <w:tab w:val="center" w:pos="4680"/>
        </w:tabs>
        <w:spacing w:line="240" w:lineRule="exact"/>
        <w:rPr>
          <w:rFonts w:ascii="Arial" w:hAnsi="Arial"/>
          <w:sz w:val="22"/>
        </w:rPr>
      </w:pPr>
      <w:r>
        <w:rPr>
          <w:rFonts w:ascii="Arial" w:hAnsi="Arial"/>
          <w:sz w:val="22"/>
        </w:rPr>
        <w:br w:type="page"/>
      </w:r>
    </w:p>
    <w:p w:rsidR="004A7CD0" w:rsidRDefault="004A7CD0" w:rsidP="004A7CD0">
      <w:pPr>
        <w:widowControl w:val="0"/>
        <w:tabs>
          <w:tab w:val="center" w:pos="4680"/>
        </w:tabs>
        <w:spacing w:line="240" w:lineRule="exact"/>
        <w:jc w:val="center"/>
        <w:rPr>
          <w:rFonts w:ascii="Arial" w:hAnsi="Arial"/>
          <w:sz w:val="22"/>
        </w:rPr>
      </w:pPr>
      <w:r w:rsidRPr="004A7CD0">
        <w:rPr>
          <w:rFonts w:ascii="Arial" w:hAnsi="Arial"/>
          <w:sz w:val="22"/>
        </w:rPr>
        <w:lastRenderedPageBreak/>
        <w:t xml:space="preserve">Table </w:t>
      </w:r>
      <w:r w:rsidR="00AC62C9">
        <w:rPr>
          <w:rFonts w:ascii="Arial" w:hAnsi="Arial"/>
          <w:sz w:val="22"/>
        </w:rPr>
        <w:t>2</w:t>
      </w:r>
    </w:p>
    <w:p w:rsidR="004A7CD0" w:rsidRPr="004A7CD0" w:rsidRDefault="004A7CD0" w:rsidP="004A7CD0">
      <w:pPr>
        <w:widowControl w:val="0"/>
        <w:tabs>
          <w:tab w:val="center" w:pos="4680"/>
        </w:tabs>
        <w:spacing w:line="240" w:lineRule="exact"/>
        <w:jc w:val="center"/>
        <w:rPr>
          <w:rFonts w:ascii="Arial" w:hAnsi="Arial"/>
          <w:sz w:val="22"/>
        </w:rPr>
      </w:pPr>
      <w:r>
        <w:rPr>
          <w:rFonts w:ascii="Arial" w:hAnsi="Arial"/>
          <w:sz w:val="22"/>
        </w:rPr>
        <w:t xml:space="preserve">Annual Recordkeeping Requirements </w:t>
      </w:r>
      <w:proofErr w:type="gramStart"/>
      <w:r>
        <w:rPr>
          <w:rFonts w:ascii="Arial" w:hAnsi="Arial"/>
          <w:sz w:val="22"/>
        </w:rPr>
        <w:t>Under</w:t>
      </w:r>
      <w:proofErr w:type="gramEnd"/>
      <w:r>
        <w:rPr>
          <w:rFonts w:ascii="Arial" w:hAnsi="Arial"/>
          <w:sz w:val="22"/>
        </w:rPr>
        <w:t xml:space="preserve"> 10 CFR 61</w:t>
      </w:r>
    </w:p>
    <w:p w:rsidR="00945F80" w:rsidRDefault="00945F80" w:rsidP="00945F80">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4A7CD0" w:rsidRPr="0083039E" w:rsidTr="00242130">
        <w:trPr>
          <w:jc w:val="center"/>
        </w:trPr>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Section</w:t>
            </w:r>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No. of Recordkeepers</w:t>
            </w:r>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Burden Hrs per Recordkeeper</w:t>
            </w:r>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 Burden (hrs/yr)</w:t>
            </w:r>
          </w:p>
        </w:tc>
        <w:tc>
          <w:tcPr>
            <w:tcW w:w="1916" w:type="dxa"/>
          </w:tcPr>
          <w:p w:rsidR="004A7CD0" w:rsidRPr="0083039E"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18"/>
                <w:szCs w:val="18"/>
              </w:rPr>
            </w:pPr>
            <w:r w:rsidRPr="0083039E">
              <w:rPr>
                <w:rFonts w:ascii="Arial" w:hAnsi="Arial"/>
                <w:sz w:val="18"/>
                <w:szCs w:val="18"/>
              </w:rPr>
              <w:t>Record Retention</w:t>
            </w:r>
          </w:p>
        </w:tc>
      </w:tr>
      <w:tr w:rsidR="004A7CD0" w:rsidRPr="0083039E" w:rsidTr="00242130">
        <w:trPr>
          <w:jc w:val="center"/>
        </w:trPr>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61.53</w:t>
            </w:r>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4</w:t>
            </w: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960</w:t>
            </w: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3,840</w:t>
            </w:r>
          </w:p>
        </w:tc>
        <w:tc>
          <w:tcPr>
            <w:tcW w:w="1916" w:type="dxa"/>
          </w:tcPr>
          <w:p w:rsidR="004A7CD0" w:rsidRPr="0083039E"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18"/>
                <w:szCs w:val="18"/>
              </w:rPr>
            </w:pPr>
            <w:r w:rsidRPr="0083039E">
              <w:rPr>
                <w:rFonts w:ascii="Arial" w:hAnsi="Arial"/>
                <w:sz w:val="18"/>
                <w:szCs w:val="18"/>
              </w:rPr>
              <w:t>Duration of License</w:t>
            </w:r>
          </w:p>
        </w:tc>
      </w:tr>
      <w:tr w:rsidR="004A7CD0" w:rsidRPr="0083039E" w:rsidTr="00242130">
        <w:trPr>
          <w:jc w:val="center"/>
        </w:trPr>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w:t>
            </w:r>
            <w:r w:rsidR="009B6D5B">
              <w:rPr>
                <w:rFonts w:ascii="Arial" w:hAnsi="Arial"/>
                <w:sz w:val="20"/>
              </w:rPr>
              <w:t>(e)&amp;</w:t>
            </w:r>
            <w:r w:rsidRPr="00197A32">
              <w:rPr>
                <w:rFonts w:ascii="Arial" w:hAnsi="Arial"/>
                <w:sz w:val="20"/>
              </w:rPr>
              <w:t>(f)</w:t>
            </w:r>
          </w:p>
        </w:tc>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4</w:t>
            </w: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369</w:t>
            </w: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1,476</w:t>
            </w:r>
          </w:p>
        </w:tc>
        <w:tc>
          <w:tcPr>
            <w:tcW w:w="1916" w:type="dxa"/>
          </w:tcPr>
          <w:p w:rsidR="004A7CD0" w:rsidRPr="0083039E"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18"/>
                <w:szCs w:val="18"/>
              </w:rPr>
            </w:pPr>
            <w:r w:rsidRPr="0083039E">
              <w:rPr>
                <w:rFonts w:ascii="Arial" w:hAnsi="Arial"/>
                <w:sz w:val="18"/>
                <w:szCs w:val="18"/>
              </w:rPr>
              <w:t>Duration of License</w:t>
            </w:r>
          </w:p>
        </w:tc>
      </w:tr>
      <w:tr w:rsidR="00FB2C13" w:rsidRPr="0083039E" w:rsidTr="00242130">
        <w:trPr>
          <w:jc w:val="center"/>
        </w:trPr>
        <w:tc>
          <w:tcPr>
            <w:tcW w:w="1915" w:type="dxa"/>
          </w:tcPr>
          <w:p w:rsidR="00FB2C13"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61.80(k)</w:t>
            </w:r>
          </w:p>
        </w:tc>
        <w:tc>
          <w:tcPr>
            <w:tcW w:w="7661" w:type="dxa"/>
            <w:gridSpan w:val="4"/>
          </w:tcPr>
          <w:p w:rsidR="00FB2C13"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Included in OMB Clearances 3150-0017, 3150-0020, and 3150-0009</w:t>
            </w:r>
          </w:p>
        </w:tc>
      </w:tr>
      <w:tr w:rsidR="00FB2C13" w:rsidRPr="0083039E" w:rsidTr="00242130">
        <w:trPr>
          <w:jc w:val="center"/>
        </w:trPr>
        <w:tc>
          <w:tcPr>
            <w:tcW w:w="1915" w:type="dxa"/>
          </w:tcPr>
          <w:p w:rsidR="00FB2C13"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61.80(l)</w:t>
            </w:r>
          </w:p>
        </w:tc>
        <w:tc>
          <w:tcPr>
            <w:tcW w:w="7661" w:type="dxa"/>
            <w:gridSpan w:val="4"/>
          </w:tcPr>
          <w:p w:rsidR="00FB2C13"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Included in 61.80(f) and 10 CFR Part 20 Appendix G</w:t>
            </w:r>
          </w:p>
        </w:tc>
      </w:tr>
      <w:tr w:rsidR="004A7CD0" w:rsidRPr="0083039E" w:rsidTr="00242130">
        <w:trPr>
          <w:jc w:val="center"/>
        </w:trPr>
        <w:tc>
          <w:tcPr>
            <w:tcW w:w="1915" w:type="dxa"/>
          </w:tcPr>
          <w:p w:rsidR="004A7CD0" w:rsidRPr="00197A32" w:rsidRDefault="00FB2C13"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w:t>
            </w: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4</w:t>
            </w:r>
          </w:p>
        </w:tc>
        <w:tc>
          <w:tcPr>
            <w:tcW w:w="1915" w:type="dxa"/>
          </w:tcPr>
          <w:p w:rsidR="004A7CD0" w:rsidRPr="00197A32" w:rsidRDefault="004A7CD0"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p>
        </w:tc>
        <w:tc>
          <w:tcPr>
            <w:tcW w:w="1915" w:type="dxa"/>
          </w:tcPr>
          <w:p w:rsidR="004A7CD0" w:rsidRPr="00197A32" w:rsidRDefault="00614274"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center"/>
              <w:rPr>
                <w:rFonts w:ascii="Arial" w:hAnsi="Arial"/>
                <w:sz w:val="20"/>
              </w:rPr>
            </w:pPr>
            <w:r w:rsidRPr="00197A32">
              <w:rPr>
                <w:rFonts w:ascii="Arial" w:hAnsi="Arial"/>
                <w:sz w:val="20"/>
              </w:rPr>
              <w:t>5,3</w:t>
            </w:r>
            <w:r w:rsidR="009B6D5B">
              <w:rPr>
                <w:rFonts w:ascii="Arial" w:hAnsi="Arial"/>
                <w:sz w:val="20"/>
              </w:rPr>
              <w:t>1</w:t>
            </w:r>
            <w:r w:rsidRPr="00197A32">
              <w:rPr>
                <w:rFonts w:ascii="Arial" w:hAnsi="Arial"/>
                <w:sz w:val="20"/>
              </w:rPr>
              <w:t>6</w:t>
            </w:r>
          </w:p>
        </w:tc>
        <w:tc>
          <w:tcPr>
            <w:tcW w:w="1916" w:type="dxa"/>
          </w:tcPr>
          <w:p w:rsidR="004A7CD0" w:rsidRPr="0083039E" w:rsidRDefault="004A7CD0" w:rsidP="0083039E">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18"/>
                <w:szCs w:val="18"/>
              </w:rPr>
            </w:pPr>
          </w:p>
        </w:tc>
      </w:tr>
    </w:tbl>
    <w:p w:rsidR="00945F80" w:rsidRDefault="00945F80" w:rsidP="00945F80">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6E13EB" w:rsidRDefault="006E13EB" w:rsidP="00945F80">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6E13EB" w:rsidRDefault="006E13EB" w:rsidP="006E13EB">
      <w:pPr>
        <w:widowControl w:val="0"/>
        <w:spacing w:line="240" w:lineRule="exact"/>
        <w:jc w:val="center"/>
        <w:rPr>
          <w:rFonts w:ascii="Arial" w:hAnsi="Arial"/>
          <w:sz w:val="22"/>
        </w:rPr>
      </w:pPr>
      <w:r>
        <w:rPr>
          <w:rFonts w:ascii="Arial" w:hAnsi="Arial"/>
          <w:sz w:val="22"/>
        </w:rPr>
        <w:t>Table 3</w:t>
      </w:r>
    </w:p>
    <w:p w:rsidR="006E13EB" w:rsidRDefault="006E13EB" w:rsidP="006E13EB">
      <w:pPr>
        <w:widowControl w:val="0"/>
        <w:tabs>
          <w:tab w:val="center" w:pos="4680"/>
        </w:tabs>
        <w:spacing w:line="240" w:lineRule="exact"/>
        <w:jc w:val="center"/>
        <w:rPr>
          <w:rFonts w:ascii="Arial" w:hAnsi="Arial"/>
          <w:sz w:val="22"/>
        </w:rPr>
      </w:pPr>
      <w:r>
        <w:rPr>
          <w:rFonts w:ascii="Arial" w:hAnsi="Arial"/>
          <w:sz w:val="22"/>
        </w:rPr>
        <w:t>Annual Third Party Disclosure Requirements Under 10 CFR 61</w:t>
      </w:r>
    </w:p>
    <w:p w:rsidR="006E13EB"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gridCol w:w="1596"/>
        <w:gridCol w:w="1596"/>
      </w:tblGrid>
      <w:tr w:rsidR="006E13EB" w:rsidRPr="0083039E" w:rsidTr="006E13EB">
        <w:trPr>
          <w:jc w:val="center"/>
        </w:trPr>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Section</w:t>
            </w:r>
          </w:p>
        </w:tc>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No. of Respondents</w:t>
            </w:r>
          </w:p>
        </w:tc>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Responses per Respondent</w:t>
            </w:r>
          </w:p>
        </w:tc>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 Responses</w:t>
            </w:r>
          </w:p>
        </w:tc>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Burden Hours per Response</w:t>
            </w:r>
          </w:p>
        </w:tc>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sidRPr="00197A32">
              <w:rPr>
                <w:rFonts w:ascii="Arial" w:hAnsi="Arial"/>
                <w:sz w:val="20"/>
              </w:rPr>
              <w:t>Total Annual Burden (Hrs)</w:t>
            </w:r>
          </w:p>
        </w:tc>
      </w:tr>
      <w:tr w:rsidR="006E13EB" w:rsidRPr="0083039E" w:rsidTr="006E13EB">
        <w:trPr>
          <w:trHeight w:val="143"/>
          <w:jc w:val="center"/>
        </w:trPr>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Pr>
                <w:rFonts w:ascii="Arial" w:hAnsi="Arial"/>
                <w:sz w:val="20"/>
              </w:rPr>
              <w:t>61.30(a)(3)</w:t>
            </w:r>
          </w:p>
        </w:tc>
        <w:tc>
          <w:tcPr>
            <w:tcW w:w="1596" w:type="dxa"/>
          </w:tcPr>
          <w:p w:rsidR="006E13EB" w:rsidRPr="00197A32" w:rsidRDefault="009A0616"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4.5</w:t>
            </w:r>
          </w:p>
        </w:tc>
        <w:tc>
          <w:tcPr>
            <w:tcW w:w="1596" w:type="dxa"/>
          </w:tcPr>
          <w:p w:rsidR="006E13EB" w:rsidRPr="00197A32" w:rsidRDefault="006E13E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sidRPr="00197A32">
              <w:rPr>
                <w:rFonts w:ascii="Arial" w:hAnsi="Arial"/>
                <w:sz w:val="20"/>
              </w:rPr>
              <w:t>0</w:t>
            </w:r>
          </w:p>
        </w:tc>
      </w:tr>
      <w:tr w:rsidR="006E13EB" w:rsidRPr="0083039E" w:rsidTr="006E13EB">
        <w:trPr>
          <w:jc w:val="center"/>
        </w:trPr>
        <w:tc>
          <w:tcPr>
            <w:tcW w:w="1596" w:type="dxa"/>
          </w:tcPr>
          <w:p w:rsidR="006E13EB" w:rsidRPr="00197A32" w:rsidRDefault="00A207F5"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Pr>
                <w:rFonts w:ascii="Arial" w:hAnsi="Arial"/>
                <w:sz w:val="20"/>
              </w:rPr>
              <w:t>61.31(c)(3)</w:t>
            </w:r>
          </w:p>
        </w:tc>
        <w:tc>
          <w:tcPr>
            <w:tcW w:w="1596" w:type="dxa"/>
          </w:tcPr>
          <w:p w:rsidR="006E13EB" w:rsidRPr="00197A32" w:rsidRDefault="009A0616"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c>
          <w:tcPr>
            <w:tcW w:w="1596" w:type="dxa"/>
          </w:tcPr>
          <w:p w:rsidR="006E13EB" w:rsidRPr="00197A32" w:rsidRDefault="00A207F5"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c>
          <w:tcPr>
            <w:tcW w:w="1596" w:type="dxa"/>
          </w:tcPr>
          <w:p w:rsidR="006E13EB" w:rsidRPr="00197A32" w:rsidRDefault="00A207F5"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c>
          <w:tcPr>
            <w:tcW w:w="1596" w:type="dxa"/>
          </w:tcPr>
          <w:p w:rsidR="006E13EB" w:rsidRPr="00197A32" w:rsidRDefault="00A207F5"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5.5</w:t>
            </w:r>
          </w:p>
        </w:tc>
        <w:tc>
          <w:tcPr>
            <w:tcW w:w="1596" w:type="dxa"/>
          </w:tcPr>
          <w:p w:rsidR="006E13EB" w:rsidRPr="00197A32" w:rsidRDefault="00A207F5"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r>
      <w:tr w:rsidR="006E13EB" w:rsidRPr="0083039E" w:rsidTr="006E13EB">
        <w:trPr>
          <w:jc w:val="center"/>
        </w:trPr>
        <w:tc>
          <w:tcPr>
            <w:tcW w:w="1596" w:type="dxa"/>
          </w:tcPr>
          <w:p w:rsidR="006E13EB" w:rsidRPr="00197A32" w:rsidRDefault="00DF0655"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Pr>
                <w:rFonts w:ascii="Arial" w:hAnsi="Arial"/>
                <w:sz w:val="20"/>
              </w:rPr>
              <w:t>60.80(e)</w:t>
            </w:r>
          </w:p>
        </w:tc>
        <w:tc>
          <w:tcPr>
            <w:tcW w:w="1596" w:type="dxa"/>
          </w:tcPr>
          <w:p w:rsidR="006E13EB" w:rsidRPr="00197A32" w:rsidRDefault="009A0616"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c>
          <w:tcPr>
            <w:tcW w:w="1596" w:type="dxa"/>
          </w:tcPr>
          <w:p w:rsidR="006E13EB" w:rsidRPr="00197A32" w:rsidRDefault="00DF0655"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c>
          <w:tcPr>
            <w:tcW w:w="1596" w:type="dxa"/>
          </w:tcPr>
          <w:p w:rsidR="006E13EB" w:rsidRPr="00197A32" w:rsidRDefault="00DF0655"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c>
          <w:tcPr>
            <w:tcW w:w="1596" w:type="dxa"/>
          </w:tcPr>
          <w:p w:rsidR="006E13EB" w:rsidRPr="00197A32" w:rsidRDefault="009B6D5B"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5.5</w:t>
            </w:r>
          </w:p>
        </w:tc>
        <w:tc>
          <w:tcPr>
            <w:tcW w:w="1596" w:type="dxa"/>
          </w:tcPr>
          <w:p w:rsidR="006E13EB" w:rsidRPr="00197A32" w:rsidRDefault="00DF0655" w:rsidP="006E13EB">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r>
      <w:tr w:rsidR="00DF0655" w:rsidRPr="0083039E" w:rsidTr="006E13EB">
        <w:trPr>
          <w:jc w:val="center"/>
        </w:trPr>
        <w:tc>
          <w:tcPr>
            <w:tcW w:w="1596" w:type="dxa"/>
          </w:tcPr>
          <w:p w:rsidR="00DF0655" w:rsidRPr="00197A32" w:rsidRDefault="00DF0655" w:rsidP="00BA3F8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rPr>
                <w:rFonts w:ascii="Arial" w:hAnsi="Arial"/>
                <w:sz w:val="20"/>
              </w:rPr>
            </w:pPr>
            <w:r>
              <w:rPr>
                <w:rFonts w:ascii="Arial" w:hAnsi="Arial"/>
                <w:sz w:val="20"/>
              </w:rPr>
              <w:t>Total</w:t>
            </w:r>
          </w:p>
        </w:tc>
        <w:tc>
          <w:tcPr>
            <w:tcW w:w="1596" w:type="dxa"/>
          </w:tcPr>
          <w:p w:rsidR="00DF0655" w:rsidRPr="00197A32" w:rsidRDefault="009A0616" w:rsidP="00BA3F8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c>
          <w:tcPr>
            <w:tcW w:w="1596" w:type="dxa"/>
          </w:tcPr>
          <w:p w:rsidR="00DF0655" w:rsidRPr="00197A32" w:rsidRDefault="00DF0655" w:rsidP="00BA3F8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p>
        </w:tc>
        <w:tc>
          <w:tcPr>
            <w:tcW w:w="1596" w:type="dxa"/>
          </w:tcPr>
          <w:p w:rsidR="00DF0655" w:rsidRPr="00197A32" w:rsidRDefault="00DF0655" w:rsidP="00BA3F8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c>
          <w:tcPr>
            <w:tcW w:w="1596" w:type="dxa"/>
          </w:tcPr>
          <w:p w:rsidR="00DF0655" w:rsidRPr="00197A32" w:rsidRDefault="00DF0655" w:rsidP="00BA3F8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p>
        </w:tc>
        <w:tc>
          <w:tcPr>
            <w:tcW w:w="1596" w:type="dxa"/>
          </w:tcPr>
          <w:p w:rsidR="00DF0655" w:rsidRPr="00197A32" w:rsidRDefault="00DF0655" w:rsidP="00BA3F8A">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exact"/>
              <w:jc w:val="right"/>
              <w:rPr>
                <w:rFonts w:ascii="Arial" w:hAnsi="Arial"/>
                <w:sz w:val="20"/>
              </w:rPr>
            </w:pPr>
            <w:r>
              <w:rPr>
                <w:rFonts w:ascii="Arial" w:hAnsi="Arial"/>
                <w:sz w:val="20"/>
              </w:rPr>
              <w:t>0</w:t>
            </w:r>
          </w:p>
        </w:tc>
      </w:tr>
    </w:tbl>
    <w:p w:rsidR="006E13EB" w:rsidRDefault="006E13EB" w:rsidP="00945F80">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6E13EB" w:rsidRDefault="006E13EB" w:rsidP="00945F80">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6E13EB" w:rsidRDefault="006E13EB" w:rsidP="00945F80">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242130" w:rsidRDefault="002870A8" w:rsidP="002870A8">
      <w:pPr>
        <w:widowControl w:val="0"/>
        <w:tabs>
          <w:tab w:val="left" w:pos="-720"/>
          <w:tab w:val="left" w:pos="0"/>
          <w:tab w:val="left" w:pos="72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720" w:hanging="720"/>
        <w:rPr>
          <w:rFonts w:ascii="Arial" w:hAnsi="Arial"/>
          <w:sz w:val="22"/>
        </w:rPr>
      </w:pPr>
      <w:r>
        <w:rPr>
          <w:rFonts w:ascii="Arial" w:hAnsi="Arial"/>
          <w:sz w:val="22"/>
        </w:rPr>
        <w:t xml:space="preserve">NOTE: </w:t>
      </w:r>
      <w:r w:rsidR="00242130">
        <w:rPr>
          <w:rFonts w:ascii="Arial" w:hAnsi="Arial"/>
          <w:sz w:val="22"/>
        </w:rPr>
        <w:t xml:space="preserve"> </w:t>
      </w:r>
      <w:r>
        <w:rPr>
          <w:rFonts w:ascii="Arial" w:hAnsi="Arial"/>
          <w:sz w:val="22"/>
        </w:rPr>
        <w:t>The four respondents indicated are Agreement State licensees (SC, WA,</w:t>
      </w:r>
      <w:r w:rsidR="00197A32">
        <w:rPr>
          <w:rFonts w:ascii="Arial" w:hAnsi="Arial"/>
          <w:sz w:val="22"/>
        </w:rPr>
        <w:t xml:space="preserve"> </w:t>
      </w:r>
      <w:r w:rsidR="00E26745">
        <w:rPr>
          <w:rFonts w:ascii="Arial" w:hAnsi="Arial"/>
          <w:sz w:val="22"/>
        </w:rPr>
        <w:t xml:space="preserve">TX, </w:t>
      </w:r>
      <w:r>
        <w:rPr>
          <w:rFonts w:ascii="Arial" w:hAnsi="Arial"/>
          <w:sz w:val="22"/>
        </w:rPr>
        <w:t xml:space="preserve">and UT).  </w:t>
      </w:r>
    </w:p>
    <w:p w:rsidR="002870A8" w:rsidRDefault="006E2083" w:rsidP="00242130">
      <w:pPr>
        <w:widowControl w:val="0"/>
        <w:tabs>
          <w:tab w:val="left" w:pos="-1440"/>
          <w:tab w:val="left" w:pos="-720"/>
          <w:tab w:val="left" w:pos="0"/>
          <w:tab w:val="left" w:pos="1091"/>
          <w:tab w:val="decimal" w:pos="1697"/>
          <w:tab w:val="left" w:pos="2666"/>
          <w:tab w:val="decimal" w:pos="3272"/>
          <w:tab w:val="left" w:pos="4484"/>
          <w:tab w:val="decimal" w:pos="4969"/>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r>
        <w:rPr>
          <w:rFonts w:ascii="Arial" w:hAnsi="Arial"/>
          <w:sz w:val="22"/>
        </w:rPr>
        <w:t xml:space="preserve">The </w:t>
      </w:r>
      <w:r w:rsidR="002870A8">
        <w:rPr>
          <w:rFonts w:ascii="Arial" w:hAnsi="Arial"/>
          <w:sz w:val="22"/>
        </w:rPr>
        <w:t>NRC has no existing disposal facility licensees, and no NRC applications are expected in the next three years.</w:t>
      </w:r>
      <w:r w:rsidR="000C2562">
        <w:rPr>
          <w:rFonts w:ascii="Arial" w:hAnsi="Arial"/>
          <w:sz w:val="22"/>
        </w:rPr>
        <w:t xml:space="preserve">  Also, the NRC does not anticipate any of these facilities </w:t>
      </w:r>
      <w:r w:rsidR="006040C9">
        <w:rPr>
          <w:rFonts w:ascii="Arial" w:hAnsi="Arial"/>
          <w:sz w:val="22"/>
        </w:rPr>
        <w:t>transferring or terminating their licenses</w:t>
      </w:r>
      <w:r w:rsidR="000C2562">
        <w:rPr>
          <w:rFonts w:ascii="Arial" w:hAnsi="Arial"/>
          <w:sz w:val="22"/>
        </w:rPr>
        <w:t xml:space="preserve"> in the next three years.</w:t>
      </w:r>
    </w:p>
    <w:p w:rsidR="002870A8" w:rsidRDefault="002870A8" w:rsidP="00945F80">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p w:rsidR="002870A8" w:rsidRPr="002870A8" w:rsidRDefault="002870A8" w:rsidP="002870A8">
      <w:pPr>
        <w:autoSpaceDE w:val="0"/>
        <w:autoSpaceDN w:val="0"/>
        <w:adjustRightInd w:val="0"/>
        <w:rPr>
          <w:rFonts w:ascii="Arial" w:hAnsi="Arial" w:cs="Arial"/>
          <w:color w:val="000000"/>
          <w:sz w:val="22"/>
          <w:szCs w:val="22"/>
        </w:rPr>
      </w:pPr>
      <w:r w:rsidRPr="002870A8">
        <w:rPr>
          <w:rFonts w:ascii="Arial" w:hAnsi="Arial" w:cs="Arial"/>
          <w:color w:val="000000"/>
          <w:sz w:val="22"/>
          <w:szCs w:val="22"/>
        </w:rPr>
        <w:t xml:space="preserve">Total Overall Responses = </w:t>
      </w:r>
      <w:r>
        <w:rPr>
          <w:rFonts w:ascii="Arial" w:hAnsi="Arial" w:cs="Arial"/>
          <w:color w:val="000000"/>
          <w:sz w:val="22"/>
          <w:szCs w:val="22"/>
        </w:rPr>
        <w:t>16</w:t>
      </w:r>
      <w:r w:rsidRPr="002870A8">
        <w:rPr>
          <w:rFonts w:ascii="Arial" w:hAnsi="Arial" w:cs="Arial"/>
          <w:color w:val="000000"/>
          <w:sz w:val="22"/>
          <w:szCs w:val="22"/>
        </w:rPr>
        <w:t xml:space="preserve"> (</w:t>
      </w:r>
      <w:r>
        <w:rPr>
          <w:rFonts w:ascii="Arial" w:hAnsi="Arial" w:cs="Arial"/>
          <w:color w:val="000000"/>
          <w:sz w:val="22"/>
          <w:szCs w:val="22"/>
        </w:rPr>
        <w:t>12</w:t>
      </w:r>
      <w:r w:rsidRPr="002870A8">
        <w:rPr>
          <w:rFonts w:ascii="Arial" w:hAnsi="Arial" w:cs="Arial"/>
          <w:color w:val="000000"/>
          <w:sz w:val="22"/>
          <w:szCs w:val="22"/>
        </w:rPr>
        <w:t xml:space="preserve"> responses for reporting + </w:t>
      </w:r>
      <w:r>
        <w:rPr>
          <w:rFonts w:ascii="Arial" w:hAnsi="Arial" w:cs="Arial"/>
          <w:color w:val="000000"/>
          <w:sz w:val="22"/>
          <w:szCs w:val="22"/>
        </w:rPr>
        <w:t>4</w:t>
      </w:r>
      <w:r w:rsidRPr="002870A8">
        <w:rPr>
          <w:rFonts w:ascii="Arial" w:hAnsi="Arial" w:cs="Arial"/>
          <w:color w:val="000000"/>
          <w:sz w:val="22"/>
          <w:szCs w:val="22"/>
        </w:rPr>
        <w:t xml:space="preserve"> recordkeepers)</w:t>
      </w:r>
    </w:p>
    <w:p w:rsidR="002870A8" w:rsidRPr="002870A8" w:rsidRDefault="006E2083" w:rsidP="002870A8">
      <w:pPr>
        <w:autoSpaceDE w:val="0"/>
        <w:autoSpaceDN w:val="0"/>
        <w:adjustRightInd w:val="0"/>
        <w:rPr>
          <w:rFonts w:ascii="Arial" w:hAnsi="Arial" w:cs="Arial"/>
          <w:color w:val="000000"/>
          <w:sz w:val="22"/>
          <w:szCs w:val="22"/>
        </w:rPr>
      </w:pPr>
      <w:r>
        <w:rPr>
          <w:rFonts w:ascii="Arial" w:hAnsi="Arial" w:cs="Arial"/>
          <w:color w:val="000000"/>
          <w:sz w:val="22"/>
          <w:szCs w:val="22"/>
        </w:rPr>
        <w:t>Total Burden Hours</w:t>
      </w:r>
      <w:r w:rsidR="002870A8" w:rsidRPr="002870A8">
        <w:rPr>
          <w:rFonts w:ascii="Arial" w:hAnsi="Arial" w:cs="Arial"/>
          <w:color w:val="000000"/>
          <w:sz w:val="22"/>
          <w:szCs w:val="22"/>
        </w:rPr>
        <w:t xml:space="preserve"> = </w:t>
      </w:r>
      <w:r w:rsidR="002870A8">
        <w:rPr>
          <w:rFonts w:ascii="Arial" w:hAnsi="Arial" w:cs="Arial"/>
          <w:color w:val="000000"/>
          <w:sz w:val="22"/>
          <w:szCs w:val="22"/>
        </w:rPr>
        <w:t>5,</w:t>
      </w:r>
      <w:r w:rsidR="009B6D5B">
        <w:rPr>
          <w:rFonts w:ascii="Arial" w:hAnsi="Arial" w:cs="Arial"/>
          <w:color w:val="000000"/>
          <w:sz w:val="22"/>
          <w:szCs w:val="22"/>
        </w:rPr>
        <w:t xml:space="preserve">372 </w:t>
      </w:r>
      <w:r w:rsidR="002870A8">
        <w:rPr>
          <w:rFonts w:ascii="Arial" w:hAnsi="Arial" w:cs="Arial"/>
          <w:color w:val="000000"/>
          <w:sz w:val="22"/>
          <w:szCs w:val="22"/>
        </w:rPr>
        <w:t>(56</w:t>
      </w:r>
      <w:r w:rsidR="000C1F6E">
        <w:rPr>
          <w:rFonts w:ascii="Arial" w:hAnsi="Arial" w:cs="Arial"/>
          <w:color w:val="000000"/>
          <w:sz w:val="22"/>
          <w:szCs w:val="22"/>
        </w:rPr>
        <w:t xml:space="preserve"> reporting + 5,</w:t>
      </w:r>
      <w:r w:rsidR="009B6D5B">
        <w:rPr>
          <w:rFonts w:ascii="Arial" w:hAnsi="Arial" w:cs="Arial"/>
          <w:color w:val="000000"/>
          <w:sz w:val="22"/>
          <w:szCs w:val="22"/>
        </w:rPr>
        <w:t>316</w:t>
      </w:r>
      <w:r w:rsidR="009B6D5B" w:rsidRPr="002870A8">
        <w:rPr>
          <w:rFonts w:ascii="Arial" w:hAnsi="Arial" w:cs="Arial"/>
          <w:color w:val="000000"/>
          <w:sz w:val="22"/>
          <w:szCs w:val="22"/>
        </w:rPr>
        <w:t xml:space="preserve"> </w:t>
      </w:r>
      <w:r w:rsidR="002870A8" w:rsidRPr="002870A8">
        <w:rPr>
          <w:rFonts w:ascii="Arial" w:hAnsi="Arial" w:cs="Arial"/>
          <w:color w:val="000000"/>
          <w:sz w:val="22"/>
          <w:szCs w:val="22"/>
        </w:rPr>
        <w:t>recordkeeping)</w:t>
      </w:r>
    </w:p>
    <w:p w:rsidR="002870A8" w:rsidRDefault="002870A8" w:rsidP="002870A8">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r w:rsidRPr="00BE497B">
        <w:rPr>
          <w:rFonts w:ascii="Arial" w:hAnsi="Arial" w:cs="Arial"/>
          <w:bCs/>
          <w:color w:val="000000"/>
          <w:sz w:val="22"/>
          <w:szCs w:val="22"/>
        </w:rPr>
        <w:t>Total Cost to Respondent</w:t>
      </w:r>
      <w:r w:rsidR="00440DFB" w:rsidRPr="00BE497B">
        <w:rPr>
          <w:rFonts w:ascii="Arial" w:hAnsi="Arial" w:cs="Arial"/>
          <w:bCs/>
          <w:color w:val="000000"/>
          <w:sz w:val="22"/>
          <w:szCs w:val="22"/>
        </w:rPr>
        <w:t>s</w:t>
      </w:r>
      <w:r w:rsidRPr="00BE497B">
        <w:rPr>
          <w:rFonts w:ascii="Arial" w:hAnsi="Arial" w:cs="Arial"/>
          <w:bCs/>
          <w:color w:val="000000"/>
          <w:sz w:val="22"/>
          <w:szCs w:val="22"/>
        </w:rPr>
        <w:t xml:space="preserve"> = </w:t>
      </w:r>
      <w:r w:rsidRPr="00BE497B">
        <w:rPr>
          <w:rFonts w:ascii="Arial" w:hAnsi="Arial"/>
          <w:sz w:val="22"/>
        </w:rPr>
        <w:t>$</w:t>
      </w:r>
      <w:r w:rsidR="009B6D5B" w:rsidRPr="009B6D5B">
        <w:rPr>
          <w:rFonts w:ascii="Arial" w:hAnsi="Arial"/>
          <w:sz w:val="22"/>
        </w:rPr>
        <w:t>1</w:t>
      </w:r>
      <w:r w:rsidR="009B6D5B">
        <w:rPr>
          <w:rFonts w:ascii="Arial" w:hAnsi="Arial"/>
          <w:sz w:val="22"/>
        </w:rPr>
        <w:t>,</w:t>
      </w:r>
      <w:r w:rsidR="009B6D5B" w:rsidRPr="009B6D5B">
        <w:rPr>
          <w:rFonts w:ascii="Arial" w:hAnsi="Arial"/>
          <w:sz w:val="22"/>
        </w:rPr>
        <w:t>461</w:t>
      </w:r>
      <w:r w:rsidR="009B6D5B">
        <w:rPr>
          <w:rFonts w:ascii="Arial" w:hAnsi="Arial"/>
          <w:sz w:val="22"/>
        </w:rPr>
        <w:t>,</w:t>
      </w:r>
      <w:r w:rsidR="009B6D5B" w:rsidRPr="009B6D5B">
        <w:rPr>
          <w:rFonts w:ascii="Arial" w:hAnsi="Arial"/>
          <w:sz w:val="22"/>
        </w:rPr>
        <w:t>184</w:t>
      </w:r>
      <w:r w:rsidR="009B6D5B" w:rsidRPr="009B6D5B" w:rsidDel="009B6D5B">
        <w:rPr>
          <w:rFonts w:ascii="Arial" w:hAnsi="Arial"/>
          <w:sz w:val="22"/>
        </w:rPr>
        <w:t xml:space="preserve"> </w:t>
      </w:r>
      <w:r w:rsidRPr="00BE497B">
        <w:rPr>
          <w:rFonts w:ascii="Arial" w:hAnsi="Arial" w:cs="Arial"/>
          <w:bCs/>
          <w:color w:val="000000"/>
          <w:sz w:val="22"/>
          <w:szCs w:val="22"/>
        </w:rPr>
        <w:t>(5,</w:t>
      </w:r>
      <w:r w:rsidR="00CE61D5">
        <w:rPr>
          <w:rFonts w:ascii="Arial" w:hAnsi="Arial" w:cs="Arial"/>
          <w:bCs/>
          <w:color w:val="000000"/>
          <w:sz w:val="22"/>
          <w:szCs w:val="22"/>
        </w:rPr>
        <w:t>372</w:t>
      </w:r>
      <w:r w:rsidR="00CE61D5" w:rsidRPr="00BE497B">
        <w:rPr>
          <w:rFonts w:ascii="Arial" w:hAnsi="Arial" w:cs="Arial"/>
          <w:bCs/>
          <w:color w:val="000000"/>
          <w:sz w:val="22"/>
          <w:szCs w:val="22"/>
        </w:rPr>
        <w:t xml:space="preserve"> </w:t>
      </w:r>
      <w:r w:rsidRPr="00BE497B">
        <w:rPr>
          <w:rFonts w:ascii="Arial" w:hAnsi="Arial" w:cs="Arial"/>
          <w:bCs/>
          <w:color w:val="000000"/>
          <w:sz w:val="22"/>
          <w:szCs w:val="22"/>
        </w:rPr>
        <w:t>burden hours x $</w:t>
      </w:r>
      <w:r w:rsidR="00BE497B" w:rsidRPr="00BE497B">
        <w:rPr>
          <w:rFonts w:ascii="Arial" w:hAnsi="Arial" w:cs="Arial"/>
          <w:bCs/>
          <w:color w:val="000000"/>
          <w:sz w:val="22"/>
          <w:szCs w:val="22"/>
        </w:rPr>
        <w:t>2</w:t>
      </w:r>
      <w:r w:rsidR="00BE497B">
        <w:rPr>
          <w:rFonts w:ascii="Arial" w:hAnsi="Arial" w:cs="Arial"/>
          <w:bCs/>
          <w:color w:val="000000"/>
          <w:sz w:val="22"/>
          <w:szCs w:val="22"/>
        </w:rPr>
        <w:t>72</w:t>
      </w:r>
      <w:r w:rsidRPr="00BE497B">
        <w:rPr>
          <w:rFonts w:ascii="Arial" w:hAnsi="Arial" w:cs="Arial"/>
          <w:bCs/>
          <w:color w:val="000000"/>
          <w:sz w:val="22"/>
          <w:szCs w:val="22"/>
        </w:rPr>
        <w:t>/hr</w:t>
      </w:r>
      <w:r w:rsidRPr="002870A8">
        <w:rPr>
          <w:rFonts w:ascii="Arial" w:hAnsi="Arial" w:cs="Arial"/>
          <w:b/>
          <w:bCs/>
          <w:color w:val="000000"/>
          <w:sz w:val="22"/>
          <w:szCs w:val="22"/>
        </w:rPr>
        <w:t>)</w:t>
      </w:r>
    </w:p>
    <w:p w:rsidR="002870A8" w:rsidRDefault="002870A8" w:rsidP="00945F80">
      <w:pPr>
        <w:widowControl w:val="0"/>
        <w:tabs>
          <w:tab w:val="left" w:pos="-720"/>
          <w:tab w:val="left" w:pos="0"/>
          <w:tab w:val="left" w:pos="1333"/>
          <w:tab w:val="decimal" w:pos="2182"/>
          <w:tab w:val="left" w:pos="3636"/>
          <w:tab w:val="decimal" w:pos="4484"/>
          <w:tab w:val="left" w:pos="5760"/>
          <w:tab w:val="decimal" w:pos="6908"/>
          <w:tab w:val="left" w:pos="7636"/>
          <w:tab w:val="decimal"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sz w:val="22"/>
        </w:rPr>
      </w:pPr>
    </w:p>
    <w:sectPr w:rsidR="002870A8" w:rsidSect="00242130">
      <w:footerReference w:type="default" r:id="rId9"/>
      <w:footerReference w:type="first" r:id="rId10"/>
      <w:pgSz w:w="12240" w:h="15840" w:code="1"/>
      <w:pgMar w:top="1440" w:right="1440" w:bottom="1440" w:left="1440" w:header="1440" w:footer="1440" w:gutter="0"/>
      <w:paperSrc w:first="260" w:other="26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6B7" w:rsidRDefault="00E046B7">
      <w:r>
        <w:separator/>
      </w:r>
    </w:p>
  </w:endnote>
  <w:endnote w:type="continuationSeparator" w:id="0">
    <w:p w:rsidR="00E046B7" w:rsidRDefault="00E0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582350"/>
      <w:docPartObj>
        <w:docPartGallery w:val="Page Numbers (Bottom of Page)"/>
        <w:docPartUnique/>
      </w:docPartObj>
    </w:sdtPr>
    <w:sdtEndPr/>
    <w:sdtContent>
      <w:p w:rsidR="00BA3F8A" w:rsidRDefault="00BA3F8A">
        <w:pPr>
          <w:pStyle w:val="Footer"/>
          <w:jc w:val="center"/>
        </w:pPr>
      </w:p>
      <w:p w:rsidR="00BA3F8A" w:rsidRDefault="00BA3F8A">
        <w:pPr>
          <w:pStyle w:val="Footer"/>
          <w:jc w:val="center"/>
        </w:pPr>
        <w:r w:rsidRPr="00234CA7">
          <w:rPr>
            <w:rFonts w:ascii="Arial" w:hAnsi="Arial" w:cs="Arial"/>
            <w:sz w:val="22"/>
            <w:szCs w:val="22"/>
          </w:rPr>
          <w:fldChar w:fldCharType="begin"/>
        </w:r>
        <w:r w:rsidRPr="00234CA7">
          <w:rPr>
            <w:rFonts w:ascii="Arial" w:hAnsi="Arial" w:cs="Arial"/>
            <w:sz w:val="22"/>
            <w:szCs w:val="22"/>
          </w:rPr>
          <w:instrText xml:space="preserve"> PAGE   \* MERGEFORMAT </w:instrText>
        </w:r>
        <w:r w:rsidRPr="00234CA7">
          <w:rPr>
            <w:rFonts w:ascii="Arial" w:hAnsi="Arial" w:cs="Arial"/>
            <w:sz w:val="22"/>
            <w:szCs w:val="22"/>
          </w:rPr>
          <w:fldChar w:fldCharType="separate"/>
        </w:r>
        <w:r w:rsidR="0050492F">
          <w:rPr>
            <w:rFonts w:ascii="Arial" w:hAnsi="Arial" w:cs="Arial"/>
            <w:noProof/>
            <w:sz w:val="22"/>
            <w:szCs w:val="22"/>
          </w:rPr>
          <w:t>13</w:t>
        </w:r>
        <w:r w:rsidRPr="00234CA7">
          <w:rPr>
            <w:rFonts w:ascii="Arial" w:hAnsi="Arial" w:cs="Arial"/>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F8A" w:rsidRDefault="00BA3F8A">
    <w:pPr>
      <w:pStyle w:val="Footer"/>
      <w:jc w:val="center"/>
    </w:pPr>
  </w:p>
  <w:p w:rsidR="00BA3F8A" w:rsidRDefault="00BA3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6B7" w:rsidRDefault="00E046B7">
      <w:r>
        <w:separator/>
      </w:r>
    </w:p>
  </w:footnote>
  <w:footnote w:type="continuationSeparator" w:id="0">
    <w:p w:rsidR="00E046B7" w:rsidRDefault="00E046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6452B8E"/>
    <w:multiLevelType w:val="hybridMultilevel"/>
    <w:tmpl w:val="72A23F6E"/>
    <w:lvl w:ilvl="0" w:tplc="F21A55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05406F"/>
    <w:multiLevelType w:val="hybridMultilevel"/>
    <w:tmpl w:val="2B36171C"/>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3">
    <w:nsid w:val="68BE0410"/>
    <w:multiLevelType w:val="hybridMultilevel"/>
    <w:tmpl w:val="B4D602CE"/>
    <w:lvl w:ilvl="0" w:tplc="F21A55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348"/>
    <w:rsid w:val="000317F9"/>
    <w:rsid w:val="00086FBA"/>
    <w:rsid w:val="00087E7C"/>
    <w:rsid w:val="0009077F"/>
    <w:rsid w:val="000C1F6E"/>
    <w:rsid w:val="000C2562"/>
    <w:rsid w:val="000D2D9B"/>
    <w:rsid w:val="000D3348"/>
    <w:rsid w:val="000E1208"/>
    <w:rsid w:val="000E559C"/>
    <w:rsid w:val="000F0F46"/>
    <w:rsid w:val="00107DE5"/>
    <w:rsid w:val="00112E8E"/>
    <w:rsid w:val="00115EFC"/>
    <w:rsid w:val="00155290"/>
    <w:rsid w:val="00167924"/>
    <w:rsid w:val="001902B3"/>
    <w:rsid w:val="00195311"/>
    <w:rsid w:val="00197A32"/>
    <w:rsid w:val="001A6369"/>
    <w:rsid w:val="001B253C"/>
    <w:rsid w:val="001F57C6"/>
    <w:rsid w:val="00203071"/>
    <w:rsid w:val="002152CA"/>
    <w:rsid w:val="00234CA7"/>
    <w:rsid w:val="002405D3"/>
    <w:rsid w:val="00242130"/>
    <w:rsid w:val="002621F7"/>
    <w:rsid w:val="00274901"/>
    <w:rsid w:val="002803F3"/>
    <w:rsid w:val="00281812"/>
    <w:rsid w:val="0028240A"/>
    <w:rsid w:val="002870A8"/>
    <w:rsid w:val="002F0991"/>
    <w:rsid w:val="002F10E7"/>
    <w:rsid w:val="002F77FA"/>
    <w:rsid w:val="00303195"/>
    <w:rsid w:val="00304360"/>
    <w:rsid w:val="0031039E"/>
    <w:rsid w:val="00333A75"/>
    <w:rsid w:val="0036510A"/>
    <w:rsid w:val="00376B48"/>
    <w:rsid w:val="00381CA6"/>
    <w:rsid w:val="003E737B"/>
    <w:rsid w:val="003F7FAF"/>
    <w:rsid w:val="00413CBA"/>
    <w:rsid w:val="00415383"/>
    <w:rsid w:val="0041590B"/>
    <w:rsid w:val="004167BE"/>
    <w:rsid w:val="00440DFB"/>
    <w:rsid w:val="00444CBC"/>
    <w:rsid w:val="00462A61"/>
    <w:rsid w:val="00486629"/>
    <w:rsid w:val="00486984"/>
    <w:rsid w:val="00495B46"/>
    <w:rsid w:val="004A63BF"/>
    <w:rsid w:val="004A7CD0"/>
    <w:rsid w:val="004B446A"/>
    <w:rsid w:val="004B6C81"/>
    <w:rsid w:val="004C1360"/>
    <w:rsid w:val="004C6D8F"/>
    <w:rsid w:val="004E10F7"/>
    <w:rsid w:val="004F05A1"/>
    <w:rsid w:val="004F091B"/>
    <w:rsid w:val="004F4177"/>
    <w:rsid w:val="0050492F"/>
    <w:rsid w:val="00550C34"/>
    <w:rsid w:val="00554431"/>
    <w:rsid w:val="00554F80"/>
    <w:rsid w:val="005627D6"/>
    <w:rsid w:val="00563B4B"/>
    <w:rsid w:val="00573D51"/>
    <w:rsid w:val="00576A29"/>
    <w:rsid w:val="0058781F"/>
    <w:rsid w:val="005920D5"/>
    <w:rsid w:val="005922C9"/>
    <w:rsid w:val="005C1E0C"/>
    <w:rsid w:val="005C436E"/>
    <w:rsid w:val="005D0BFA"/>
    <w:rsid w:val="005D4AB1"/>
    <w:rsid w:val="005E6AE7"/>
    <w:rsid w:val="005F568F"/>
    <w:rsid w:val="006040C9"/>
    <w:rsid w:val="00614274"/>
    <w:rsid w:val="0064722E"/>
    <w:rsid w:val="00654E90"/>
    <w:rsid w:val="00660FBF"/>
    <w:rsid w:val="00673ACB"/>
    <w:rsid w:val="00684778"/>
    <w:rsid w:val="00686B95"/>
    <w:rsid w:val="006878B2"/>
    <w:rsid w:val="00696748"/>
    <w:rsid w:val="00697C71"/>
    <w:rsid w:val="006C02E8"/>
    <w:rsid w:val="006E13EB"/>
    <w:rsid w:val="006E2083"/>
    <w:rsid w:val="007442FE"/>
    <w:rsid w:val="007447F2"/>
    <w:rsid w:val="00771F62"/>
    <w:rsid w:val="00773B77"/>
    <w:rsid w:val="00793867"/>
    <w:rsid w:val="007939C4"/>
    <w:rsid w:val="00793EC5"/>
    <w:rsid w:val="00794617"/>
    <w:rsid w:val="007972D3"/>
    <w:rsid w:val="007A62A4"/>
    <w:rsid w:val="007D0345"/>
    <w:rsid w:val="00807DE3"/>
    <w:rsid w:val="008265C5"/>
    <w:rsid w:val="0083039E"/>
    <w:rsid w:val="00837953"/>
    <w:rsid w:val="00841722"/>
    <w:rsid w:val="0084223F"/>
    <w:rsid w:val="00843ACC"/>
    <w:rsid w:val="00865630"/>
    <w:rsid w:val="00880B03"/>
    <w:rsid w:val="00892081"/>
    <w:rsid w:val="00893015"/>
    <w:rsid w:val="008943FB"/>
    <w:rsid w:val="008A685B"/>
    <w:rsid w:val="008E03B7"/>
    <w:rsid w:val="008E6468"/>
    <w:rsid w:val="0090472E"/>
    <w:rsid w:val="00945F80"/>
    <w:rsid w:val="009522C8"/>
    <w:rsid w:val="009667A8"/>
    <w:rsid w:val="00967ACD"/>
    <w:rsid w:val="009754B8"/>
    <w:rsid w:val="009A0616"/>
    <w:rsid w:val="009B6D5B"/>
    <w:rsid w:val="009C168E"/>
    <w:rsid w:val="009D4E8D"/>
    <w:rsid w:val="009D55D9"/>
    <w:rsid w:val="00A051ED"/>
    <w:rsid w:val="00A207F5"/>
    <w:rsid w:val="00A44F98"/>
    <w:rsid w:val="00A64CA8"/>
    <w:rsid w:val="00A7295F"/>
    <w:rsid w:val="00A90588"/>
    <w:rsid w:val="00AA0889"/>
    <w:rsid w:val="00AB328E"/>
    <w:rsid w:val="00AB6404"/>
    <w:rsid w:val="00AC339B"/>
    <w:rsid w:val="00AC62C9"/>
    <w:rsid w:val="00AD3BF9"/>
    <w:rsid w:val="00AD420C"/>
    <w:rsid w:val="00AD5363"/>
    <w:rsid w:val="00B05D78"/>
    <w:rsid w:val="00B05FF7"/>
    <w:rsid w:val="00B2138E"/>
    <w:rsid w:val="00B36B4C"/>
    <w:rsid w:val="00B37E1C"/>
    <w:rsid w:val="00B66F09"/>
    <w:rsid w:val="00B72DF7"/>
    <w:rsid w:val="00B72FA3"/>
    <w:rsid w:val="00B73388"/>
    <w:rsid w:val="00BA3F8A"/>
    <w:rsid w:val="00BD05C8"/>
    <w:rsid w:val="00BE497B"/>
    <w:rsid w:val="00C027F9"/>
    <w:rsid w:val="00C23D99"/>
    <w:rsid w:val="00C24F5B"/>
    <w:rsid w:val="00C321FF"/>
    <w:rsid w:val="00C43A6D"/>
    <w:rsid w:val="00C751E2"/>
    <w:rsid w:val="00CA0607"/>
    <w:rsid w:val="00CB3EC6"/>
    <w:rsid w:val="00CE40E3"/>
    <w:rsid w:val="00CE61D5"/>
    <w:rsid w:val="00CF16CE"/>
    <w:rsid w:val="00CF4098"/>
    <w:rsid w:val="00D15FC1"/>
    <w:rsid w:val="00D16C59"/>
    <w:rsid w:val="00D64C01"/>
    <w:rsid w:val="00D758F7"/>
    <w:rsid w:val="00D9472A"/>
    <w:rsid w:val="00D96179"/>
    <w:rsid w:val="00DB4D7B"/>
    <w:rsid w:val="00DD03F8"/>
    <w:rsid w:val="00DD6CB1"/>
    <w:rsid w:val="00DE106C"/>
    <w:rsid w:val="00DF0655"/>
    <w:rsid w:val="00DF26E1"/>
    <w:rsid w:val="00E009E9"/>
    <w:rsid w:val="00E046B7"/>
    <w:rsid w:val="00E14182"/>
    <w:rsid w:val="00E14564"/>
    <w:rsid w:val="00E20D05"/>
    <w:rsid w:val="00E20F8D"/>
    <w:rsid w:val="00E254B1"/>
    <w:rsid w:val="00E2670C"/>
    <w:rsid w:val="00E26745"/>
    <w:rsid w:val="00E26FCA"/>
    <w:rsid w:val="00E345A3"/>
    <w:rsid w:val="00E57823"/>
    <w:rsid w:val="00E86AA0"/>
    <w:rsid w:val="00E9199A"/>
    <w:rsid w:val="00EB57C8"/>
    <w:rsid w:val="00EB7E3B"/>
    <w:rsid w:val="00EF2854"/>
    <w:rsid w:val="00EF562A"/>
    <w:rsid w:val="00EF5BD0"/>
    <w:rsid w:val="00F00B1D"/>
    <w:rsid w:val="00F26AC2"/>
    <w:rsid w:val="00F3262C"/>
    <w:rsid w:val="00F35B12"/>
    <w:rsid w:val="00F365D7"/>
    <w:rsid w:val="00F406C3"/>
    <w:rsid w:val="00F60F91"/>
    <w:rsid w:val="00F87806"/>
    <w:rsid w:val="00F9722F"/>
    <w:rsid w:val="00FA40EC"/>
    <w:rsid w:val="00FB2C13"/>
    <w:rsid w:val="00FB72B0"/>
    <w:rsid w:val="00FC372E"/>
    <w:rsid w:val="00FE3452"/>
    <w:rsid w:val="00FE77AE"/>
    <w:rsid w:val="00FF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0D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91B"/>
    <w:pPr>
      <w:tabs>
        <w:tab w:val="center" w:pos="4320"/>
        <w:tab w:val="right" w:pos="8640"/>
      </w:tabs>
    </w:pPr>
  </w:style>
  <w:style w:type="paragraph" w:customStyle="1" w:styleId="Level1">
    <w:name w:val="Level 1"/>
    <w:basedOn w:val="Normal"/>
    <w:rsid w:val="005920D5"/>
    <w:pPr>
      <w:widowControl w:val="0"/>
    </w:pPr>
  </w:style>
  <w:style w:type="paragraph" w:customStyle="1" w:styleId="Level2">
    <w:name w:val="Level 2"/>
    <w:basedOn w:val="Normal"/>
    <w:rsid w:val="005920D5"/>
    <w:pPr>
      <w:widowControl w:val="0"/>
    </w:pPr>
  </w:style>
  <w:style w:type="paragraph" w:customStyle="1" w:styleId="Level3">
    <w:name w:val="Level 3"/>
    <w:basedOn w:val="Normal"/>
    <w:rsid w:val="005920D5"/>
    <w:pPr>
      <w:widowControl w:val="0"/>
    </w:pPr>
  </w:style>
  <w:style w:type="paragraph" w:customStyle="1" w:styleId="Level4">
    <w:name w:val="Level 4"/>
    <w:basedOn w:val="Normal"/>
    <w:rsid w:val="005920D5"/>
    <w:pPr>
      <w:widowControl w:val="0"/>
    </w:pPr>
  </w:style>
  <w:style w:type="paragraph" w:customStyle="1" w:styleId="Level5">
    <w:name w:val="Level 5"/>
    <w:basedOn w:val="Normal"/>
    <w:rsid w:val="005920D5"/>
    <w:pPr>
      <w:widowControl w:val="0"/>
    </w:pPr>
  </w:style>
  <w:style w:type="paragraph" w:customStyle="1" w:styleId="Level6">
    <w:name w:val="Level 6"/>
    <w:basedOn w:val="Normal"/>
    <w:rsid w:val="005920D5"/>
    <w:pPr>
      <w:widowControl w:val="0"/>
    </w:pPr>
  </w:style>
  <w:style w:type="paragraph" w:customStyle="1" w:styleId="Level7">
    <w:name w:val="Level 7"/>
    <w:basedOn w:val="Normal"/>
    <w:rsid w:val="005920D5"/>
    <w:pPr>
      <w:widowControl w:val="0"/>
    </w:pPr>
  </w:style>
  <w:style w:type="paragraph" w:customStyle="1" w:styleId="Level8">
    <w:name w:val="Level 8"/>
    <w:basedOn w:val="Normal"/>
    <w:rsid w:val="005920D5"/>
    <w:pPr>
      <w:widowControl w:val="0"/>
    </w:pPr>
  </w:style>
  <w:style w:type="paragraph" w:customStyle="1" w:styleId="Level9">
    <w:name w:val="Level 9"/>
    <w:basedOn w:val="Normal"/>
    <w:rsid w:val="005920D5"/>
    <w:pPr>
      <w:widowControl w:val="0"/>
    </w:pPr>
    <w:rPr>
      <w:b/>
    </w:rPr>
  </w:style>
  <w:style w:type="paragraph" w:styleId="Footer">
    <w:name w:val="footer"/>
    <w:basedOn w:val="Normal"/>
    <w:link w:val="FooterChar"/>
    <w:uiPriority w:val="99"/>
    <w:rsid w:val="004F091B"/>
    <w:pPr>
      <w:tabs>
        <w:tab w:val="center" w:pos="4320"/>
        <w:tab w:val="right" w:pos="8640"/>
      </w:tabs>
    </w:pPr>
  </w:style>
  <w:style w:type="paragraph" w:styleId="BalloonText">
    <w:name w:val="Balloon Text"/>
    <w:basedOn w:val="Normal"/>
    <w:semiHidden/>
    <w:rsid w:val="009C168E"/>
    <w:rPr>
      <w:rFonts w:ascii="Tahoma" w:hAnsi="Tahoma" w:cs="Tahoma"/>
      <w:sz w:val="16"/>
      <w:szCs w:val="16"/>
    </w:rPr>
  </w:style>
  <w:style w:type="character" w:styleId="PageNumber">
    <w:name w:val="page number"/>
    <w:basedOn w:val="DefaultParagraphFont"/>
    <w:rsid w:val="00945F80"/>
  </w:style>
  <w:style w:type="table" w:styleId="TableGrid">
    <w:name w:val="Table Grid"/>
    <w:basedOn w:val="TableNormal"/>
    <w:rsid w:val="007D0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6745"/>
    <w:rPr>
      <w:sz w:val="16"/>
      <w:szCs w:val="16"/>
    </w:rPr>
  </w:style>
  <w:style w:type="paragraph" w:styleId="CommentText">
    <w:name w:val="annotation text"/>
    <w:basedOn w:val="Normal"/>
    <w:link w:val="CommentTextChar"/>
    <w:rsid w:val="00E26745"/>
    <w:rPr>
      <w:sz w:val="20"/>
    </w:rPr>
  </w:style>
  <w:style w:type="character" w:customStyle="1" w:styleId="CommentTextChar">
    <w:name w:val="Comment Text Char"/>
    <w:basedOn w:val="DefaultParagraphFont"/>
    <w:link w:val="CommentText"/>
    <w:rsid w:val="00E26745"/>
  </w:style>
  <w:style w:type="paragraph" w:styleId="CommentSubject">
    <w:name w:val="annotation subject"/>
    <w:basedOn w:val="CommentText"/>
    <w:next w:val="CommentText"/>
    <w:link w:val="CommentSubjectChar"/>
    <w:rsid w:val="00E26745"/>
    <w:rPr>
      <w:b/>
      <w:bCs/>
    </w:rPr>
  </w:style>
  <w:style w:type="character" w:customStyle="1" w:styleId="CommentSubjectChar">
    <w:name w:val="Comment Subject Char"/>
    <w:basedOn w:val="CommentTextChar"/>
    <w:link w:val="CommentSubject"/>
    <w:rsid w:val="00E26745"/>
    <w:rPr>
      <w:b/>
      <w:bCs/>
    </w:rPr>
  </w:style>
  <w:style w:type="paragraph" w:styleId="Revision">
    <w:name w:val="Revision"/>
    <w:hidden/>
    <w:uiPriority w:val="99"/>
    <w:semiHidden/>
    <w:rsid w:val="00654E90"/>
    <w:rPr>
      <w:sz w:val="24"/>
    </w:rPr>
  </w:style>
  <w:style w:type="character" w:customStyle="1" w:styleId="FooterChar">
    <w:name w:val="Footer Char"/>
    <w:basedOn w:val="DefaultParagraphFont"/>
    <w:link w:val="Footer"/>
    <w:uiPriority w:val="99"/>
    <w:rsid w:val="00B36B4C"/>
    <w:rPr>
      <w:sz w:val="24"/>
    </w:rPr>
  </w:style>
  <w:style w:type="paragraph" w:styleId="ListParagraph">
    <w:name w:val="List Paragraph"/>
    <w:basedOn w:val="Normal"/>
    <w:uiPriority w:val="34"/>
    <w:qFormat/>
    <w:rsid w:val="009B6D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0D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91B"/>
    <w:pPr>
      <w:tabs>
        <w:tab w:val="center" w:pos="4320"/>
        <w:tab w:val="right" w:pos="8640"/>
      </w:tabs>
    </w:pPr>
  </w:style>
  <w:style w:type="paragraph" w:customStyle="1" w:styleId="Level1">
    <w:name w:val="Level 1"/>
    <w:basedOn w:val="Normal"/>
    <w:rsid w:val="005920D5"/>
    <w:pPr>
      <w:widowControl w:val="0"/>
    </w:pPr>
  </w:style>
  <w:style w:type="paragraph" w:customStyle="1" w:styleId="Level2">
    <w:name w:val="Level 2"/>
    <w:basedOn w:val="Normal"/>
    <w:rsid w:val="005920D5"/>
    <w:pPr>
      <w:widowControl w:val="0"/>
    </w:pPr>
  </w:style>
  <w:style w:type="paragraph" w:customStyle="1" w:styleId="Level3">
    <w:name w:val="Level 3"/>
    <w:basedOn w:val="Normal"/>
    <w:rsid w:val="005920D5"/>
    <w:pPr>
      <w:widowControl w:val="0"/>
    </w:pPr>
  </w:style>
  <w:style w:type="paragraph" w:customStyle="1" w:styleId="Level4">
    <w:name w:val="Level 4"/>
    <w:basedOn w:val="Normal"/>
    <w:rsid w:val="005920D5"/>
    <w:pPr>
      <w:widowControl w:val="0"/>
    </w:pPr>
  </w:style>
  <w:style w:type="paragraph" w:customStyle="1" w:styleId="Level5">
    <w:name w:val="Level 5"/>
    <w:basedOn w:val="Normal"/>
    <w:rsid w:val="005920D5"/>
    <w:pPr>
      <w:widowControl w:val="0"/>
    </w:pPr>
  </w:style>
  <w:style w:type="paragraph" w:customStyle="1" w:styleId="Level6">
    <w:name w:val="Level 6"/>
    <w:basedOn w:val="Normal"/>
    <w:rsid w:val="005920D5"/>
    <w:pPr>
      <w:widowControl w:val="0"/>
    </w:pPr>
  </w:style>
  <w:style w:type="paragraph" w:customStyle="1" w:styleId="Level7">
    <w:name w:val="Level 7"/>
    <w:basedOn w:val="Normal"/>
    <w:rsid w:val="005920D5"/>
    <w:pPr>
      <w:widowControl w:val="0"/>
    </w:pPr>
  </w:style>
  <w:style w:type="paragraph" w:customStyle="1" w:styleId="Level8">
    <w:name w:val="Level 8"/>
    <w:basedOn w:val="Normal"/>
    <w:rsid w:val="005920D5"/>
    <w:pPr>
      <w:widowControl w:val="0"/>
    </w:pPr>
  </w:style>
  <w:style w:type="paragraph" w:customStyle="1" w:styleId="Level9">
    <w:name w:val="Level 9"/>
    <w:basedOn w:val="Normal"/>
    <w:rsid w:val="005920D5"/>
    <w:pPr>
      <w:widowControl w:val="0"/>
    </w:pPr>
    <w:rPr>
      <w:b/>
    </w:rPr>
  </w:style>
  <w:style w:type="paragraph" w:styleId="Footer">
    <w:name w:val="footer"/>
    <w:basedOn w:val="Normal"/>
    <w:link w:val="FooterChar"/>
    <w:uiPriority w:val="99"/>
    <w:rsid w:val="004F091B"/>
    <w:pPr>
      <w:tabs>
        <w:tab w:val="center" w:pos="4320"/>
        <w:tab w:val="right" w:pos="8640"/>
      </w:tabs>
    </w:pPr>
  </w:style>
  <w:style w:type="paragraph" w:styleId="BalloonText">
    <w:name w:val="Balloon Text"/>
    <w:basedOn w:val="Normal"/>
    <w:semiHidden/>
    <w:rsid w:val="009C168E"/>
    <w:rPr>
      <w:rFonts w:ascii="Tahoma" w:hAnsi="Tahoma" w:cs="Tahoma"/>
      <w:sz w:val="16"/>
      <w:szCs w:val="16"/>
    </w:rPr>
  </w:style>
  <w:style w:type="character" w:styleId="PageNumber">
    <w:name w:val="page number"/>
    <w:basedOn w:val="DefaultParagraphFont"/>
    <w:rsid w:val="00945F80"/>
  </w:style>
  <w:style w:type="table" w:styleId="TableGrid">
    <w:name w:val="Table Grid"/>
    <w:basedOn w:val="TableNormal"/>
    <w:rsid w:val="007D0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6745"/>
    <w:rPr>
      <w:sz w:val="16"/>
      <w:szCs w:val="16"/>
    </w:rPr>
  </w:style>
  <w:style w:type="paragraph" w:styleId="CommentText">
    <w:name w:val="annotation text"/>
    <w:basedOn w:val="Normal"/>
    <w:link w:val="CommentTextChar"/>
    <w:rsid w:val="00E26745"/>
    <w:rPr>
      <w:sz w:val="20"/>
    </w:rPr>
  </w:style>
  <w:style w:type="character" w:customStyle="1" w:styleId="CommentTextChar">
    <w:name w:val="Comment Text Char"/>
    <w:basedOn w:val="DefaultParagraphFont"/>
    <w:link w:val="CommentText"/>
    <w:rsid w:val="00E26745"/>
  </w:style>
  <w:style w:type="paragraph" w:styleId="CommentSubject">
    <w:name w:val="annotation subject"/>
    <w:basedOn w:val="CommentText"/>
    <w:next w:val="CommentText"/>
    <w:link w:val="CommentSubjectChar"/>
    <w:rsid w:val="00E26745"/>
    <w:rPr>
      <w:b/>
      <w:bCs/>
    </w:rPr>
  </w:style>
  <w:style w:type="character" w:customStyle="1" w:styleId="CommentSubjectChar">
    <w:name w:val="Comment Subject Char"/>
    <w:basedOn w:val="CommentTextChar"/>
    <w:link w:val="CommentSubject"/>
    <w:rsid w:val="00E26745"/>
    <w:rPr>
      <w:b/>
      <w:bCs/>
    </w:rPr>
  </w:style>
  <w:style w:type="paragraph" w:styleId="Revision">
    <w:name w:val="Revision"/>
    <w:hidden/>
    <w:uiPriority w:val="99"/>
    <w:semiHidden/>
    <w:rsid w:val="00654E90"/>
    <w:rPr>
      <w:sz w:val="24"/>
    </w:rPr>
  </w:style>
  <w:style w:type="character" w:customStyle="1" w:styleId="FooterChar">
    <w:name w:val="Footer Char"/>
    <w:basedOn w:val="DefaultParagraphFont"/>
    <w:link w:val="Footer"/>
    <w:uiPriority w:val="99"/>
    <w:rsid w:val="00B36B4C"/>
    <w:rPr>
      <w:sz w:val="24"/>
    </w:rPr>
  </w:style>
  <w:style w:type="paragraph" w:styleId="ListParagraph">
    <w:name w:val="List Paragraph"/>
    <w:basedOn w:val="Normal"/>
    <w:uiPriority w:val="34"/>
    <w:qFormat/>
    <w:rsid w:val="009B6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3479">
      <w:bodyDiv w:val="1"/>
      <w:marLeft w:val="0"/>
      <w:marRight w:val="0"/>
      <w:marTop w:val="0"/>
      <w:marBottom w:val="0"/>
      <w:divBdr>
        <w:top w:val="none" w:sz="0" w:space="0" w:color="auto"/>
        <w:left w:val="none" w:sz="0" w:space="0" w:color="auto"/>
        <w:bottom w:val="none" w:sz="0" w:space="0" w:color="auto"/>
        <w:right w:val="none" w:sz="0" w:space="0" w:color="auto"/>
      </w:divBdr>
    </w:div>
    <w:div w:id="472216610">
      <w:bodyDiv w:val="1"/>
      <w:marLeft w:val="0"/>
      <w:marRight w:val="0"/>
      <w:marTop w:val="0"/>
      <w:marBottom w:val="0"/>
      <w:divBdr>
        <w:top w:val="none" w:sz="0" w:space="0" w:color="auto"/>
        <w:left w:val="none" w:sz="0" w:space="0" w:color="auto"/>
        <w:bottom w:val="none" w:sz="0" w:space="0" w:color="auto"/>
        <w:right w:val="none" w:sz="0" w:space="0" w:color="auto"/>
      </w:divBdr>
    </w:div>
    <w:div w:id="960038446">
      <w:bodyDiv w:val="1"/>
      <w:marLeft w:val="0"/>
      <w:marRight w:val="0"/>
      <w:marTop w:val="0"/>
      <w:marBottom w:val="0"/>
      <w:divBdr>
        <w:top w:val="none" w:sz="0" w:space="0" w:color="auto"/>
        <w:left w:val="none" w:sz="0" w:space="0" w:color="auto"/>
        <w:bottom w:val="none" w:sz="0" w:space="0" w:color="auto"/>
        <w:right w:val="none" w:sz="0" w:space="0" w:color="auto"/>
      </w:divBdr>
    </w:div>
    <w:div w:id="14399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2DDBB-C49D-402C-A051-92893C3D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5021</Words>
  <Characters>28024</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USNRC</Company>
  <LinksUpToDate>false</LinksUpToDate>
  <CharactersWithSpaces>32980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cxc7</dc:creator>
  <cp:lastModifiedBy>lxa1</cp:lastModifiedBy>
  <cp:revision>2</cp:revision>
  <cp:lastPrinted>2014-03-20T11:48:00Z</cp:lastPrinted>
  <dcterms:created xsi:type="dcterms:W3CDTF">2014-07-30T15:19:00Z</dcterms:created>
  <dcterms:modified xsi:type="dcterms:W3CDTF">2014-07-30T15:19:00Z</dcterms:modified>
</cp:coreProperties>
</file>