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55" w:rsidRPr="001C4F55" w:rsidRDefault="001C4F55" w:rsidP="001C4F55">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4"/>
        </w:rPr>
      </w:pPr>
      <w:bookmarkStart w:id="0" w:name="_GoBack"/>
      <w:bookmarkEnd w:id="0"/>
      <w:r w:rsidRPr="001C4F55">
        <w:rPr>
          <w:rFonts w:ascii="Arial" w:eastAsia="Times New Roman" w:hAnsi="Arial" w:cs="Times New Roman"/>
          <w:b/>
          <w:color w:val="FFFFFF"/>
          <w:kern w:val="28"/>
          <w:sz w:val="28"/>
          <w:szCs w:val="24"/>
        </w:rPr>
        <w:t>Appendix L: Non-Response Bias Analysis</w:t>
      </w:r>
    </w:p>
    <w:p w:rsidR="001C4F55" w:rsidRPr="001C4F55" w:rsidRDefault="001C4F55" w:rsidP="001C4F55">
      <w:pPr>
        <w:keepNext/>
        <w:pBdr>
          <w:top w:val="single" w:sz="6" w:space="1" w:color="D0D3D4"/>
          <w:bottom w:val="single" w:sz="6" w:space="1" w:color="D0D3D4"/>
        </w:pBdr>
        <w:shd w:val="clear" w:color="auto" w:fill="D0D3D4"/>
        <w:spacing w:before="120" w:after="120" w:line="264" w:lineRule="auto"/>
        <w:outlineLvl w:val="1"/>
        <w:rPr>
          <w:rFonts w:ascii="Arial" w:eastAsia="Times New Roman" w:hAnsi="Arial" w:cs="Arial"/>
          <w:b/>
          <w:bCs/>
          <w:iCs/>
          <w:color w:val="000000"/>
          <w:sz w:val="24"/>
          <w:szCs w:val="28"/>
        </w:rPr>
      </w:pPr>
      <w:r w:rsidRPr="001C4F55">
        <w:rPr>
          <w:rFonts w:ascii="Arial" w:eastAsia="Times New Roman" w:hAnsi="Arial" w:cs="Arial"/>
          <w:b/>
          <w:bCs/>
          <w:iCs/>
          <w:color w:val="000000"/>
          <w:sz w:val="24"/>
          <w:szCs w:val="28"/>
        </w:rPr>
        <w:t>Types of Missing Data</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There are two types of missing data that can arise in a survey, even after repeated attempts to collect data: (1) unit non-response, and (2) item non-response. Our approach to dealing with each of these is described below.</w:t>
      </w:r>
    </w:p>
    <w:p w:rsidR="001C4F55" w:rsidRPr="001C4F55" w:rsidRDefault="001C4F55" w:rsidP="001C4F55">
      <w:pPr>
        <w:keepNext/>
        <w:spacing w:before="60" w:after="120" w:line="264" w:lineRule="auto"/>
        <w:outlineLvl w:val="2"/>
        <w:rPr>
          <w:rFonts w:ascii="Arial" w:eastAsia="Times New Roman" w:hAnsi="Arial" w:cs="Times New Roman"/>
          <w:b/>
          <w:color w:val="DA291C"/>
          <w:sz w:val="20"/>
          <w:szCs w:val="24"/>
        </w:rPr>
      </w:pPr>
      <w:r w:rsidRPr="001C4F55">
        <w:rPr>
          <w:rFonts w:ascii="Arial" w:eastAsia="Times New Roman" w:hAnsi="Arial" w:cs="Times New Roman"/>
          <w:b/>
          <w:color w:val="DA291C"/>
          <w:sz w:val="20"/>
          <w:szCs w:val="24"/>
        </w:rPr>
        <w:t>Unit Non-Response</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Unit non-response occurs when an entire data instrument is not received from a potential respondent.  The expected non-response rates for this evaluation are greater than 10%, hence we will examine for bias because of unit non-response by first examining the response rates overall, as well as by year and by relevant subgroups (e.g., cohort year, or by gender and race/ethnicity). Large differences in the response rates by year and for subgroups could indicate that potential biases may exist</w:t>
      </w:r>
      <w:r w:rsidRPr="001C4F55">
        <w:rPr>
          <w:rFonts w:ascii="Times New Roman" w:eastAsia="Times New Roman" w:hAnsi="Times New Roman" w:cs="Times New Roman"/>
          <w:sz w:val="24"/>
          <w:szCs w:val="24"/>
          <w:vertAlign w:val="superscript"/>
        </w:rPr>
        <w:footnoteReference w:id="1"/>
      </w:r>
      <w:r w:rsidRPr="001C4F55">
        <w:rPr>
          <w:rFonts w:ascii="Times New Roman" w:eastAsia="Times New Roman" w:hAnsi="Times New Roman" w:cs="Times New Roman"/>
          <w:sz w:val="24"/>
          <w:szCs w:val="24"/>
        </w:rPr>
        <w:t xml:space="preserve">.  For example, if the response rate from women was very low and women were less likely to belong to the treatment group then any difference in the outcomes between the treatment and comparison groups could result in a biased estimate of the impact of the treatment.  </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To address unit non-response, we will estimate the probability of a person responding to the survey both for responding and non-responding individuals, as function of baseline characteristics that are available for both types of individuals (e.g. proposal score, cohort year, gender), and create weighting classes for adjusting the weights of responding individuals to alleviate the bias due to non-response, which is a commonly utilized approach. The following steps will be taken to accomplish this task.</w:t>
      </w:r>
    </w:p>
    <w:p w:rsidR="001C4F55" w:rsidRPr="001C4F55" w:rsidRDefault="001C4F55" w:rsidP="001C4F55">
      <w:pPr>
        <w:keepNext/>
        <w:spacing w:before="60" w:after="60" w:line="264" w:lineRule="auto"/>
        <w:outlineLvl w:val="3"/>
        <w:rPr>
          <w:rFonts w:ascii="Arial" w:eastAsia="Times New Roman" w:hAnsi="Arial" w:cs="Times New Roman"/>
          <w:b/>
          <w:sz w:val="20"/>
          <w:szCs w:val="24"/>
        </w:rPr>
      </w:pPr>
      <w:bookmarkStart w:id="1" w:name="_Toc289853607"/>
      <w:r w:rsidRPr="001C4F55">
        <w:rPr>
          <w:rFonts w:ascii="Arial" w:eastAsia="Times New Roman" w:hAnsi="Arial" w:cs="Times New Roman"/>
          <w:b/>
          <w:sz w:val="20"/>
          <w:szCs w:val="24"/>
        </w:rPr>
        <w:t>Step 1: Fit Models</w:t>
      </w:r>
      <w:bookmarkEnd w:id="1"/>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 xml:space="preserve">To estimate the probability of a person responding to the survey we will use logistic regression models, where the response (dependent) variable is a dummy variable that takes the value “1” for responding individuals and take the value “0” for non-responding individuals.  Examples of the explanatory (independent) variables are gender, race/ethnicity, proposal score, cohort year, citizenship status, and disability status. </w:t>
      </w:r>
    </w:p>
    <w:p w:rsidR="001C4F55" w:rsidRPr="001C4F55" w:rsidRDefault="001C4F55" w:rsidP="001C4F55">
      <w:pPr>
        <w:spacing w:after="180" w:line="264" w:lineRule="auto"/>
        <w:rPr>
          <w:rFonts w:ascii="Calibri" w:eastAsia="Times New Roman" w:hAnsi="Calibri" w:cs="Times New Roman"/>
          <w:sz w:val="24"/>
          <w:szCs w:val="24"/>
        </w:rPr>
      </w:pPr>
      <w:r w:rsidRPr="001C4F55">
        <w:rPr>
          <w:rFonts w:ascii="Times New Roman" w:eastAsia="Times New Roman" w:hAnsi="Times New Roman" w:cs="Times New Roman"/>
          <w:sz w:val="24"/>
          <w:szCs w:val="24"/>
        </w:rPr>
        <w:t>Several models will be fit to identify the set of explanatory variables that have statistically significant associations with the dependent variable (p&lt;</w:t>
      </w:r>
      <w:r w:rsidR="00487A6D" w:rsidRPr="001C4F55">
        <w:rPr>
          <w:rFonts w:ascii="Times New Roman" w:eastAsia="Times New Roman" w:hAnsi="Times New Roman" w:cs="Times New Roman"/>
          <w:sz w:val="24"/>
          <w:szCs w:val="24"/>
        </w:rPr>
        <w:t>0.20</w:t>
      </w:r>
      <w:r w:rsidR="00487A6D">
        <w:rPr>
          <w:rFonts w:ascii="Times New Roman" w:eastAsia="Times New Roman" w:hAnsi="Times New Roman" w:cs="Times New Roman"/>
          <w:sz w:val="24"/>
          <w:szCs w:val="24"/>
        </w:rPr>
        <w:t xml:space="preserve"> </w:t>
      </w:r>
      <w:r w:rsidR="00487A6D" w:rsidRPr="001C4F55">
        <w:rPr>
          <w:rFonts w:ascii="Times New Roman" w:eastAsia="Times New Roman" w:hAnsi="Times New Roman" w:cs="Times New Roman"/>
          <w:sz w:val="24"/>
          <w:szCs w:val="24"/>
        </w:rPr>
        <w:t>criterion</w:t>
      </w:r>
      <w:r w:rsidRPr="001C4F55">
        <w:rPr>
          <w:rFonts w:ascii="Times New Roman" w:eastAsia="Times New Roman" w:hAnsi="Times New Roman" w:cs="Times New Roman"/>
          <w:sz w:val="24"/>
          <w:szCs w:val="24"/>
        </w:rPr>
        <w:t>) after controlling for other statistically significant control variables. This will be accomplished by using backwards elimination with forward checking.</w:t>
      </w:r>
      <w:r w:rsidRPr="001C4F55">
        <w:rPr>
          <w:rFonts w:ascii="Times New Roman" w:eastAsia="Times New Roman" w:hAnsi="Times New Roman" w:cs="Times New Roman"/>
          <w:sz w:val="24"/>
          <w:szCs w:val="24"/>
          <w:vertAlign w:val="superscript"/>
        </w:rPr>
        <w:footnoteReference w:id="2"/>
      </w:r>
      <w:r w:rsidRPr="001C4F55">
        <w:rPr>
          <w:rFonts w:ascii="Times New Roman" w:eastAsia="Times New Roman" w:hAnsi="Times New Roman" w:cs="Times New Roman"/>
          <w:sz w:val="24"/>
          <w:szCs w:val="24"/>
          <w:vertAlign w:val="superscript"/>
        </w:rPr>
        <w:t xml:space="preserve"> </w:t>
      </w:r>
      <w:r w:rsidRPr="001C4F55">
        <w:rPr>
          <w:rFonts w:ascii="Times New Roman" w:eastAsia="Times New Roman" w:hAnsi="Times New Roman" w:cs="Times New Roman"/>
          <w:sz w:val="24"/>
          <w:szCs w:val="24"/>
        </w:rPr>
        <w:t xml:space="preserve">  In this method, all of the explanatory variables are entered </w:t>
      </w:r>
      <w:proofErr w:type="gramStart"/>
      <w:r w:rsidRPr="001C4F55">
        <w:rPr>
          <w:rFonts w:ascii="Times New Roman" w:eastAsia="Times New Roman" w:hAnsi="Times New Roman" w:cs="Times New Roman"/>
          <w:sz w:val="24"/>
          <w:szCs w:val="24"/>
        </w:rPr>
        <w:lastRenderedPageBreak/>
        <w:t>as</w:t>
      </w:r>
      <w:proofErr w:type="gramEnd"/>
      <w:r w:rsidRPr="001C4F55">
        <w:rPr>
          <w:rFonts w:ascii="Times New Roman" w:eastAsia="Times New Roman" w:hAnsi="Times New Roman" w:cs="Times New Roman"/>
          <w:sz w:val="24"/>
          <w:szCs w:val="24"/>
        </w:rPr>
        <w:t xml:space="preserve"> predictors in the logistic</w:t>
      </w:r>
      <w:r w:rsidRPr="001C4F55">
        <w:rPr>
          <w:rFonts w:ascii="Calibri" w:eastAsia="Times New Roman" w:hAnsi="Calibri" w:cs="Times New Roman"/>
          <w:sz w:val="24"/>
          <w:szCs w:val="24"/>
        </w:rPr>
        <w:t xml:space="preserve"> </w:t>
      </w:r>
      <w:r w:rsidRPr="001C4F55">
        <w:rPr>
          <w:rFonts w:ascii="Times New Roman" w:eastAsia="Times New Roman" w:hAnsi="Times New Roman" w:cs="Times New Roman"/>
          <w:sz w:val="24"/>
          <w:szCs w:val="24"/>
        </w:rPr>
        <w:t>regression model.  The explanatory variable with the largest non-significant value is dropped from the subsequent model.  This step is repeated until the only explanatory variables that remain in the model are those that meet the p&lt;0.20 criterion.  In the forwards checking step, each of the previously eliminated control variables are checked by adding each one to the model with only the significant predictors.  In this step, each variable has a chance to get back into the model.   The final model that results from this process is used to calculate individual response propensities.</w:t>
      </w:r>
    </w:p>
    <w:p w:rsidR="001C4F55" w:rsidRPr="001C4F55" w:rsidRDefault="001C4F55" w:rsidP="001C4F55">
      <w:pPr>
        <w:keepNext/>
        <w:spacing w:before="60" w:after="60" w:line="264" w:lineRule="auto"/>
        <w:outlineLvl w:val="3"/>
        <w:rPr>
          <w:rFonts w:ascii="Arial" w:eastAsia="Times New Roman" w:hAnsi="Arial" w:cs="Times New Roman"/>
          <w:b/>
          <w:sz w:val="20"/>
          <w:szCs w:val="24"/>
        </w:rPr>
      </w:pPr>
      <w:bookmarkStart w:id="2" w:name="_Toc289853608"/>
      <w:r w:rsidRPr="001C4F55">
        <w:rPr>
          <w:rFonts w:ascii="Arial" w:eastAsia="Times New Roman" w:hAnsi="Arial" w:cs="Times New Roman"/>
          <w:b/>
          <w:sz w:val="20"/>
          <w:szCs w:val="24"/>
        </w:rPr>
        <w:t>Step 2: Use Model Results to Calculate Response Propensities</w:t>
      </w:r>
      <w:bookmarkEnd w:id="2"/>
    </w:p>
    <w:p w:rsidR="001C4F55" w:rsidRPr="001C4F55" w:rsidRDefault="001C4F55" w:rsidP="001C4F55">
      <w:pPr>
        <w:spacing w:line="276" w:lineRule="auto"/>
        <w:rPr>
          <w:rFonts w:ascii="Times New Roman" w:eastAsia="Times New Roman" w:hAnsi="Times New Roman" w:cs="Times New Roman"/>
          <w:sz w:val="24"/>
          <w:szCs w:val="20"/>
        </w:rPr>
      </w:pPr>
      <w:r w:rsidRPr="001C4F55">
        <w:rPr>
          <w:rFonts w:ascii="Times New Roman" w:eastAsia="Times New Roman" w:hAnsi="Times New Roman" w:cs="Times New Roman"/>
          <w:sz w:val="24"/>
          <w:szCs w:val="20"/>
        </w:rPr>
        <w:t>In Step 2, parameter estimates obtained from the fitted model in step 1 will be used to calculate the predicted probability that an individual will respond to the survey. The logistic regression model is represented as:</w:t>
      </w:r>
    </w:p>
    <w:p w:rsidR="001C4F55" w:rsidRPr="001C4F55" w:rsidRDefault="001C4F55" w:rsidP="001C4F55">
      <w:pPr>
        <w:rPr>
          <w:rFonts w:ascii="Times New Roman" w:eastAsia="Times New Roman" w:hAnsi="Times New Roman" w:cs="Times New Roman"/>
          <w:sz w:val="24"/>
          <w:szCs w:val="20"/>
        </w:rPr>
      </w:pPr>
      <w:r w:rsidRPr="001C4F55">
        <w:rPr>
          <w:rFonts w:ascii="Times New Roman" w:eastAsia="Times New Roman" w:hAnsi="Times New Roman" w:cs="Times New Roman"/>
          <w:position w:val="-30"/>
          <w:sz w:val="24"/>
          <w:szCs w:val="20"/>
        </w:rPr>
        <w:object w:dxaOrig="2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4.5pt" o:ole="">
            <v:imagedata r:id="rId7" o:title=""/>
          </v:shape>
          <o:OLEObject Type="Embed" ProgID="Equation.3" ShapeID="_x0000_i1025" DrawAspect="Content" ObjectID="_1466404494" r:id="rId8"/>
        </w:object>
      </w:r>
      <w:r w:rsidRPr="001C4F55">
        <w:rPr>
          <w:rFonts w:ascii="Times New Roman" w:eastAsia="Times New Roman" w:hAnsi="Times New Roman" w:cs="Times New Roman"/>
          <w:sz w:val="24"/>
          <w:szCs w:val="20"/>
        </w:rPr>
        <w:t>,     (Eq. 1)</w:t>
      </w:r>
    </w:p>
    <w:p w:rsidR="001C4F55" w:rsidRPr="001C4F55" w:rsidRDefault="001C4F55" w:rsidP="001C4F55">
      <w:pPr>
        <w:rPr>
          <w:rFonts w:ascii="Times New Roman" w:eastAsia="Times New Roman" w:hAnsi="Times New Roman" w:cs="Times New Roman"/>
          <w:sz w:val="24"/>
          <w:szCs w:val="20"/>
        </w:rPr>
      </w:pPr>
    </w:p>
    <w:p w:rsidR="001C4F55" w:rsidRPr="001C4F55" w:rsidRDefault="001C4F55" w:rsidP="001C4F55">
      <w:pPr>
        <w:spacing w:line="276" w:lineRule="auto"/>
        <w:rPr>
          <w:rFonts w:ascii="Times New Roman" w:eastAsia="Times New Roman" w:hAnsi="Times New Roman" w:cs="Times New Roman"/>
          <w:sz w:val="24"/>
          <w:szCs w:val="24"/>
        </w:rPr>
      </w:pPr>
      <w:proofErr w:type="gramStart"/>
      <w:r w:rsidRPr="001C4F55">
        <w:rPr>
          <w:rFonts w:ascii="Times New Roman" w:eastAsia="Times New Roman" w:hAnsi="Times New Roman" w:cs="Times New Roman"/>
          <w:sz w:val="24"/>
          <w:szCs w:val="20"/>
        </w:rPr>
        <w:t>where</w:t>
      </w:r>
      <w:proofErr w:type="gramEnd"/>
      <w:r w:rsidRPr="001C4F55">
        <w:rPr>
          <w:rFonts w:ascii="Times New Roman" w:eastAsia="Times New Roman" w:hAnsi="Times New Roman" w:cs="Times New Roman"/>
          <w:sz w:val="24"/>
          <w:szCs w:val="20"/>
        </w:rPr>
        <w:t xml:space="preserve"> </w:t>
      </w:r>
      <w:r w:rsidRPr="001C4F55">
        <w:rPr>
          <w:rFonts w:ascii="Times New Roman" w:eastAsia="Times New Roman" w:hAnsi="Times New Roman" w:cs="Times New Roman"/>
          <w:position w:val="-12"/>
          <w:szCs w:val="20"/>
        </w:rPr>
        <w:object w:dxaOrig="260" w:dyaOrig="360">
          <v:shape id="_x0000_i1026" type="#_x0000_t75" style="width:12.75pt;height:18pt" o:ole="">
            <v:imagedata r:id="rId9" o:title=""/>
          </v:shape>
          <o:OLEObject Type="Embed" ProgID="Equation.3" ShapeID="_x0000_i1026" DrawAspect="Content" ObjectID="_1466404495" r:id="rId10"/>
        </w:object>
      </w:r>
      <w:r w:rsidRPr="001C4F55">
        <w:rPr>
          <w:rFonts w:ascii="Times New Roman" w:eastAsia="Times New Roman" w:hAnsi="Times New Roman" w:cs="Times New Roman"/>
          <w:sz w:val="24"/>
          <w:szCs w:val="20"/>
        </w:rPr>
        <w:t xml:space="preserve"> is the probability that person i is a responder, given the k explanatory variables in the final model. The predicted probabilities will be obtained by solving Equation 1 for πi, and substituting the</w:t>
      </w:r>
      <w:r w:rsidRPr="001C4F55">
        <w:rPr>
          <w:rFonts w:ascii="Times New Roman" w:eastAsia="Times New Roman" w:hAnsi="Times New Roman" w:cs="Times New Roman"/>
          <w:szCs w:val="20"/>
        </w:rPr>
        <w:t xml:space="preserve"> </w:t>
      </w:r>
      <w:r w:rsidRPr="001C4F55">
        <w:rPr>
          <w:rFonts w:ascii="Times New Roman" w:eastAsia="Times New Roman" w:hAnsi="Times New Roman" w:cs="Times New Roman"/>
          <w:sz w:val="24"/>
          <w:szCs w:val="24"/>
        </w:rPr>
        <w:t xml:space="preserve">parameter estimates (i.e., the values of βk) from the fitted model in place of the parameters.  </w:t>
      </w:r>
      <w:r w:rsidR="00487A6D" w:rsidRPr="001C4F55">
        <w:rPr>
          <w:rFonts w:ascii="Times New Roman" w:eastAsia="Times New Roman" w:hAnsi="Times New Roman" w:cs="Times New Roman"/>
          <w:sz w:val="24"/>
          <w:szCs w:val="24"/>
        </w:rPr>
        <w:t>The solution for the predicted probability for person is given by:</w:t>
      </w:r>
    </w:p>
    <w:p w:rsidR="001C4F55" w:rsidRPr="001C4F55" w:rsidRDefault="001C4F55" w:rsidP="001C4F55">
      <w:pPr>
        <w:spacing w:after="180" w:line="264" w:lineRule="auto"/>
        <w:rPr>
          <w:rFonts w:ascii="Times New Roman" w:eastAsia="Times New Roman" w:hAnsi="Times New Roman" w:cs="Times New Roman"/>
          <w:b/>
          <w:bCs/>
          <w:sz w:val="24"/>
          <w:szCs w:val="24"/>
        </w:rPr>
      </w:pPr>
      <w:r w:rsidRPr="001C4F55">
        <w:rPr>
          <w:rFonts w:ascii="Times New Roman" w:eastAsia="Times New Roman" w:hAnsi="Times New Roman" w:cs="Times New Roman"/>
          <w:sz w:val="24"/>
          <w:szCs w:val="24"/>
        </w:rPr>
        <w:object w:dxaOrig="2400" w:dyaOrig="1080">
          <v:shape id="_x0000_i1027" type="#_x0000_t75" style="width:126pt;height:54.75pt" o:ole="">
            <v:imagedata r:id="rId11" o:title=""/>
          </v:shape>
          <o:OLEObject Type="Embed" ProgID="Equation.3" ShapeID="_x0000_i1027" DrawAspect="Content" ObjectID="_1466404496" r:id="rId12"/>
        </w:objec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Each person’s predicted probability of response (</w:t>
      </w:r>
      <w:r w:rsidRPr="001C4F55">
        <w:rPr>
          <w:rFonts w:ascii="Times New Roman" w:eastAsia="Times New Roman" w:hAnsi="Times New Roman" w:cs="Times New Roman"/>
          <w:position w:val="-12"/>
          <w:sz w:val="24"/>
          <w:szCs w:val="24"/>
        </w:rPr>
        <w:object w:dxaOrig="260" w:dyaOrig="360">
          <v:shape id="_x0000_i1028" type="#_x0000_t75" style="width:12.75pt;height:18pt" o:ole="">
            <v:imagedata r:id="rId13" o:title=""/>
          </v:shape>
          <o:OLEObject Type="Embed" ProgID="Equation.3" ShapeID="_x0000_i1028" DrawAspect="Content" ObjectID="_1466404497" r:id="rId14"/>
        </w:object>
      </w:r>
      <w:r w:rsidRPr="001C4F55">
        <w:rPr>
          <w:rFonts w:ascii="Times New Roman" w:eastAsia="Times New Roman" w:hAnsi="Times New Roman" w:cs="Times New Roman"/>
          <w:sz w:val="24"/>
          <w:szCs w:val="24"/>
        </w:rPr>
        <w:t>) is called their “response propensity”. Individuals with similar response propensities have similar characteristics (explanatory variables). In particular, they are similar on the characteristics that are most related to the probability of response.</w:t>
      </w:r>
    </w:p>
    <w:p w:rsidR="001C4F55" w:rsidRPr="001C4F55" w:rsidRDefault="001C4F55" w:rsidP="001C4F55">
      <w:pPr>
        <w:keepNext/>
        <w:spacing w:before="60" w:after="60" w:line="264" w:lineRule="auto"/>
        <w:outlineLvl w:val="3"/>
        <w:rPr>
          <w:rFonts w:ascii="Arial" w:eastAsia="Times New Roman" w:hAnsi="Arial" w:cs="Times New Roman"/>
          <w:b/>
          <w:sz w:val="20"/>
          <w:szCs w:val="24"/>
        </w:rPr>
      </w:pPr>
      <w:bookmarkStart w:id="3" w:name="_Toc289853609"/>
      <w:r w:rsidRPr="001C4F55">
        <w:rPr>
          <w:rFonts w:ascii="Arial" w:eastAsia="Times New Roman" w:hAnsi="Arial" w:cs="Times New Roman"/>
          <w:b/>
          <w:sz w:val="20"/>
          <w:szCs w:val="24"/>
        </w:rPr>
        <w:lastRenderedPageBreak/>
        <w:t>Step 3: Group Individuals with Similar Response Propensities into Weighting Classes</w:t>
      </w:r>
      <w:bookmarkEnd w:id="3"/>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 xml:space="preserve">In this step, individuals with similar response propensities will be grouped into weighting classes.  Weighting classes will be formed to ensure that all individuals within a class fall within a narrow range of response propensity scores. The boundaries for the weighting classes will be determined by creating approximately equal-interval propensity score groupings. </w:t>
      </w:r>
    </w:p>
    <w:p w:rsidR="001C4F55" w:rsidRPr="001C4F55" w:rsidRDefault="001C4F55" w:rsidP="001C4F55">
      <w:pPr>
        <w:keepNext/>
        <w:spacing w:before="60" w:after="60" w:line="264" w:lineRule="auto"/>
        <w:outlineLvl w:val="3"/>
        <w:rPr>
          <w:rFonts w:ascii="Arial" w:eastAsia="Times New Roman" w:hAnsi="Arial" w:cs="Times New Roman"/>
          <w:b/>
          <w:sz w:val="20"/>
          <w:szCs w:val="24"/>
        </w:rPr>
      </w:pPr>
      <w:bookmarkStart w:id="4" w:name="_Toc289853610"/>
      <w:r w:rsidRPr="001C4F55">
        <w:rPr>
          <w:rFonts w:ascii="Arial" w:eastAsia="Times New Roman" w:hAnsi="Arial" w:cs="Times New Roman"/>
          <w:b/>
          <w:sz w:val="20"/>
          <w:szCs w:val="24"/>
        </w:rPr>
        <w:t>Step 4: Within Weighting Class, Inflate Weights of Responding Individuals to Sum to Population Total</w:t>
      </w:r>
      <w:bookmarkEnd w:id="4"/>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 xml:space="preserve">The weights of responding individuals within a class will be inflated so that the responding individuals within the class represent the population of responding and non-responding individuals within that class.  That is, because the non-responders within a given class are statistically similar to the responders, the weighting procedure increases the degree to which the responders “represent” the class as a whole.   </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 xml:space="preserve">Within each weighting class, the weights of all individual (both responders and non-responders) will be summed (since we took a census of applicants each individual has an original weight of 1).  Next, the weights of just the responding individuals will be summed.  Then, within each weighting class, new, adjusted weights of responding individuals will be calculated by multiplying the initial weights by a factor equal to the ratio of the sum of the weights of all individuals to the sum of the weights of the responding individual.  The adjusted weight for the </w:t>
      </w:r>
      <w:proofErr w:type="spellStart"/>
      <w:r w:rsidRPr="001C4F55">
        <w:rPr>
          <w:rFonts w:ascii="Times New Roman" w:eastAsia="Times New Roman" w:hAnsi="Times New Roman" w:cs="Times New Roman"/>
          <w:i/>
          <w:iCs/>
          <w:sz w:val="24"/>
          <w:szCs w:val="24"/>
        </w:rPr>
        <w:t>i</w:t>
      </w:r>
      <w:r w:rsidRPr="001C4F55">
        <w:rPr>
          <w:rFonts w:ascii="Times New Roman" w:eastAsia="Times New Roman" w:hAnsi="Times New Roman" w:cs="Times New Roman"/>
          <w:sz w:val="24"/>
          <w:szCs w:val="24"/>
          <w:vertAlign w:val="superscript"/>
        </w:rPr>
        <w:t>th</w:t>
      </w:r>
      <w:proofErr w:type="spellEnd"/>
      <w:r w:rsidRPr="001C4F55">
        <w:rPr>
          <w:rFonts w:ascii="Times New Roman" w:eastAsia="Times New Roman" w:hAnsi="Times New Roman" w:cs="Times New Roman"/>
          <w:sz w:val="24"/>
          <w:szCs w:val="24"/>
        </w:rPr>
        <w:t xml:space="preserve"> person in the </w:t>
      </w:r>
      <w:proofErr w:type="spellStart"/>
      <w:r w:rsidRPr="001C4F55">
        <w:rPr>
          <w:rFonts w:ascii="Times New Roman" w:eastAsia="Times New Roman" w:hAnsi="Times New Roman" w:cs="Times New Roman"/>
          <w:i/>
          <w:iCs/>
          <w:sz w:val="24"/>
          <w:szCs w:val="24"/>
        </w:rPr>
        <w:t>j</w:t>
      </w:r>
      <w:r w:rsidRPr="001C4F55">
        <w:rPr>
          <w:rFonts w:ascii="Times New Roman" w:eastAsia="Times New Roman" w:hAnsi="Times New Roman" w:cs="Times New Roman"/>
          <w:sz w:val="24"/>
          <w:szCs w:val="24"/>
          <w:vertAlign w:val="superscript"/>
        </w:rPr>
        <w:t>th</w:t>
      </w:r>
      <w:proofErr w:type="spellEnd"/>
      <w:r w:rsidRPr="001C4F55">
        <w:rPr>
          <w:rFonts w:ascii="Times New Roman" w:eastAsia="Times New Roman" w:hAnsi="Times New Roman" w:cs="Times New Roman"/>
          <w:sz w:val="24"/>
          <w:szCs w:val="24"/>
        </w:rPr>
        <w:t xml:space="preserve"> weighting class is represented symbolically by:</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object w:dxaOrig="3060" w:dyaOrig="1120">
          <v:shape id="_x0000_i1029" type="#_x0000_t75" style="width:153pt;height:54.75pt" o:ole="">
            <v:imagedata r:id="rId15" o:title=""/>
          </v:shape>
          <o:OLEObject Type="Embed" ProgID="Equation.3" ShapeID="_x0000_i1029" DrawAspect="Content" ObjectID="_1466404498" r:id="rId16"/>
        </w:object>
      </w:r>
      <w:r w:rsidRPr="001C4F55">
        <w:rPr>
          <w:rFonts w:ascii="Times New Roman" w:eastAsia="Times New Roman" w:hAnsi="Times New Roman" w:cs="Times New Roman"/>
          <w:sz w:val="24"/>
          <w:szCs w:val="24"/>
        </w:rPr>
        <w:t>,</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where</w:t>
      </w:r>
      <w:r w:rsidRPr="001C4F55">
        <w:rPr>
          <w:rFonts w:ascii="Times New Roman" w:eastAsia="Times New Roman" w:hAnsi="Times New Roman" w:cs="Times New Roman"/>
          <w:position w:val="-14"/>
          <w:sz w:val="24"/>
          <w:szCs w:val="24"/>
        </w:rPr>
        <w:object w:dxaOrig="320" w:dyaOrig="380">
          <v:shape id="_x0000_i1030" type="#_x0000_t75" style="width:17.25pt;height:18.75pt" o:ole="">
            <v:imagedata r:id="rId17" o:title=""/>
          </v:shape>
          <o:OLEObject Type="Embed" ProgID="Equation.3" ShapeID="_x0000_i1030" DrawAspect="Content" ObjectID="_1466404499" r:id="rId18"/>
        </w:object>
      </w:r>
      <w:r w:rsidRPr="001C4F55">
        <w:rPr>
          <w:rFonts w:ascii="Times New Roman" w:eastAsia="Times New Roman" w:hAnsi="Times New Roman" w:cs="Times New Roman"/>
          <w:sz w:val="24"/>
          <w:szCs w:val="24"/>
        </w:rPr>
        <w:t xml:space="preserve"> is the initial sampling weight for the </w:t>
      </w:r>
      <w:proofErr w:type="spellStart"/>
      <w:r w:rsidRPr="001C4F55">
        <w:rPr>
          <w:rFonts w:ascii="Times New Roman" w:eastAsia="Times New Roman" w:hAnsi="Times New Roman" w:cs="Times New Roman"/>
          <w:i/>
          <w:iCs/>
          <w:sz w:val="24"/>
          <w:szCs w:val="24"/>
        </w:rPr>
        <w:t>i</w:t>
      </w:r>
      <w:r w:rsidRPr="001C4F55">
        <w:rPr>
          <w:rFonts w:ascii="Times New Roman" w:eastAsia="Times New Roman" w:hAnsi="Times New Roman" w:cs="Times New Roman"/>
          <w:sz w:val="24"/>
          <w:szCs w:val="24"/>
          <w:vertAlign w:val="superscript"/>
        </w:rPr>
        <w:t>th</w:t>
      </w:r>
      <w:proofErr w:type="spellEnd"/>
      <w:r w:rsidRPr="001C4F55">
        <w:rPr>
          <w:rFonts w:ascii="Times New Roman" w:eastAsia="Times New Roman" w:hAnsi="Times New Roman" w:cs="Times New Roman"/>
          <w:sz w:val="24"/>
          <w:szCs w:val="24"/>
        </w:rPr>
        <w:t xml:space="preserve"> person in the </w:t>
      </w:r>
      <w:proofErr w:type="spellStart"/>
      <w:r w:rsidRPr="001C4F55">
        <w:rPr>
          <w:rFonts w:ascii="Times New Roman" w:eastAsia="Times New Roman" w:hAnsi="Times New Roman" w:cs="Times New Roman"/>
          <w:i/>
          <w:iCs/>
          <w:sz w:val="24"/>
          <w:szCs w:val="24"/>
        </w:rPr>
        <w:t>j</w:t>
      </w:r>
      <w:r w:rsidRPr="001C4F55">
        <w:rPr>
          <w:rFonts w:ascii="Times New Roman" w:eastAsia="Times New Roman" w:hAnsi="Times New Roman" w:cs="Times New Roman"/>
          <w:sz w:val="24"/>
          <w:szCs w:val="24"/>
          <w:vertAlign w:val="superscript"/>
        </w:rPr>
        <w:t>th</w:t>
      </w:r>
      <w:proofErr w:type="spellEnd"/>
      <w:r w:rsidRPr="001C4F55">
        <w:rPr>
          <w:rFonts w:ascii="Times New Roman" w:eastAsia="Times New Roman" w:hAnsi="Times New Roman" w:cs="Times New Roman"/>
          <w:sz w:val="24"/>
          <w:szCs w:val="24"/>
        </w:rPr>
        <w:t xml:space="preserve"> weighting class, the summation in the numerator is over all </w:t>
      </w:r>
      <w:r w:rsidRPr="001C4F55">
        <w:rPr>
          <w:rFonts w:ascii="Times New Roman" w:eastAsia="Times New Roman" w:hAnsi="Times New Roman" w:cs="Times New Roman"/>
          <w:i/>
          <w:iCs/>
          <w:sz w:val="24"/>
          <w:szCs w:val="24"/>
        </w:rPr>
        <w:t xml:space="preserve">k </w:t>
      </w:r>
      <w:r w:rsidRPr="001C4F55">
        <w:rPr>
          <w:rFonts w:ascii="Times New Roman" w:eastAsia="Times New Roman" w:hAnsi="Times New Roman" w:cs="Times New Roman"/>
          <w:sz w:val="24"/>
          <w:szCs w:val="24"/>
        </w:rPr>
        <w:t xml:space="preserve">individuals in the set of responders and non-responders within weighting class </w:t>
      </w:r>
      <w:r w:rsidRPr="001C4F55">
        <w:rPr>
          <w:rFonts w:ascii="Times New Roman" w:eastAsia="Times New Roman" w:hAnsi="Times New Roman" w:cs="Times New Roman"/>
          <w:i/>
          <w:iCs/>
          <w:sz w:val="24"/>
          <w:szCs w:val="24"/>
        </w:rPr>
        <w:t>j</w:t>
      </w:r>
      <w:r w:rsidRPr="001C4F55">
        <w:rPr>
          <w:rFonts w:ascii="Times New Roman" w:eastAsia="Times New Roman" w:hAnsi="Times New Roman" w:cs="Times New Roman"/>
          <w:sz w:val="24"/>
          <w:szCs w:val="24"/>
        </w:rPr>
        <w:t xml:space="preserve">, the summation in the denominator is over all </w:t>
      </w:r>
      <w:r w:rsidRPr="001C4F55">
        <w:rPr>
          <w:rFonts w:ascii="Times New Roman" w:eastAsia="Times New Roman" w:hAnsi="Times New Roman" w:cs="Times New Roman"/>
          <w:i/>
          <w:iCs/>
          <w:sz w:val="24"/>
          <w:szCs w:val="24"/>
        </w:rPr>
        <w:t>i</w:t>
      </w:r>
      <w:r w:rsidRPr="001C4F55">
        <w:rPr>
          <w:rFonts w:ascii="Times New Roman" w:eastAsia="Times New Roman" w:hAnsi="Times New Roman" w:cs="Times New Roman"/>
          <w:sz w:val="24"/>
          <w:szCs w:val="24"/>
        </w:rPr>
        <w:t xml:space="preserve"> individuals in the set of responders in weighting class </w:t>
      </w:r>
      <w:r w:rsidRPr="001C4F55">
        <w:rPr>
          <w:rFonts w:ascii="Times New Roman" w:eastAsia="Times New Roman" w:hAnsi="Times New Roman" w:cs="Times New Roman"/>
          <w:i/>
          <w:iCs/>
          <w:sz w:val="24"/>
          <w:szCs w:val="24"/>
        </w:rPr>
        <w:t>j</w:t>
      </w:r>
      <w:r w:rsidRPr="001C4F55">
        <w:rPr>
          <w:rFonts w:ascii="Times New Roman" w:eastAsia="Times New Roman" w:hAnsi="Times New Roman" w:cs="Times New Roman"/>
          <w:sz w:val="24"/>
          <w:szCs w:val="24"/>
        </w:rPr>
        <w:t xml:space="preserve">, and there are </w:t>
      </w:r>
      <w:r w:rsidRPr="001C4F55">
        <w:rPr>
          <w:rFonts w:ascii="Times New Roman" w:eastAsia="Times New Roman" w:hAnsi="Times New Roman" w:cs="Times New Roman"/>
          <w:i/>
          <w:iCs/>
          <w:sz w:val="24"/>
          <w:szCs w:val="24"/>
        </w:rPr>
        <w:t>j</w:t>
      </w:r>
      <w:r w:rsidRPr="001C4F55">
        <w:rPr>
          <w:rFonts w:ascii="Times New Roman" w:eastAsia="Times New Roman" w:hAnsi="Times New Roman" w:cs="Times New Roman"/>
          <w:sz w:val="24"/>
          <w:szCs w:val="24"/>
        </w:rPr>
        <w:t xml:space="preserve"> = 1,…, n weighting classes.  The new, adjusted sampling weights sum to the population total. This result can be written symbolically as:</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object w:dxaOrig="3720" w:dyaOrig="580">
          <v:shape id="_x0000_i1031" type="#_x0000_t75" style="width:186pt;height:28.5pt" o:ole="">
            <v:imagedata r:id="rId19" o:title=""/>
          </v:shape>
          <o:OLEObject Type="Embed" ProgID="Equation.3" ShapeID="_x0000_i1031" DrawAspect="Content" ObjectID="_1466404500" r:id="rId20"/>
        </w:object>
      </w:r>
      <w:bookmarkStart w:id="5" w:name="_Toc289853611"/>
    </w:p>
    <w:p w:rsidR="001C4F55" w:rsidRPr="001C4F55" w:rsidRDefault="001C4F55" w:rsidP="001C4F55">
      <w:pPr>
        <w:keepNext/>
        <w:spacing w:before="60" w:after="120" w:line="264" w:lineRule="auto"/>
        <w:outlineLvl w:val="2"/>
        <w:rPr>
          <w:rFonts w:ascii="Arial" w:eastAsia="Times New Roman" w:hAnsi="Arial" w:cs="Times New Roman"/>
          <w:b/>
          <w:color w:val="DA291C"/>
          <w:sz w:val="20"/>
          <w:szCs w:val="24"/>
        </w:rPr>
      </w:pPr>
      <w:r w:rsidRPr="001C4F55">
        <w:rPr>
          <w:rFonts w:ascii="Arial" w:eastAsia="Times New Roman" w:hAnsi="Arial" w:cs="Times New Roman"/>
          <w:b/>
          <w:color w:val="DA291C"/>
          <w:sz w:val="20"/>
          <w:szCs w:val="24"/>
        </w:rPr>
        <w:t>Item non-response</w:t>
      </w:r>
      <w:bookmarkEnd w:id="5"/>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Item non-response refers to one or more specific uncompleted items on an otherwise completed/returned questionnaire. When the amount of missing data on an individual item is modest (across all returned surveys), we will calculate statistics on only the non-missing items, which is equivalent to an assumption that missing data on an item are missing completely at random. The amount of missing data for each item will be presented in all tables/figures included in reports.</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 xml:space="preserve">Where necessary for impact analyses, we will take distinct approaches to imputing values depending on whether data are missing for an item used to construct a covariate or predictor variable, or an outcome variable. For impact analyses where missing data on covariate or predictor variables require imputation to prevent having to omit those respondents from the analysis, we will use a “dummy-variable” method. This method entails (i) creating a dummy variable that equals “1” if the value of the variable is missing and “0” otherwise, (ii) adding the dummy variable to the impact model as a covariate, and (iii) replacing the missing value of the original variable with any constant, such as zero or the mean for non-missing cases. </w:t>
      </w:r>
    </w:p>
    <w:p w:rsidR="001C4F55" w:rsidRPr="001C4F55" w:rsidRDefault="001C4F55" w:rsidP="001C4F55">
      <w:pPr>
        <w:spacing w:after="180" w:line="264" w:lineRule="auto"/>
        <w:rPr>
          <w:rFonts w:ascii="Times New Roman" w:eastAsia="Times New Roman" w:hAnsi="Times New Roman" w:cs="Times New Roman"/>
          <w:sz w:val="24"/>
          <w:szCs w:val="24"/>
        </w:rPr>
      </w:pPr>
      <w:r w:rsidRPr="001C4F55">
        <w:rPr>
          <w:rFonts w:ascii="Times New Roman" w:eastAsia="Times New Roman" w:hAnsi="Times New Roman" w:cs="Times New Roman"/>
          <w:sz w:val="24"/>
          <w:szCs w:val="24"/>
        </w:rPr>
        <w:t>If the missing data occurs in an item used to construct an outcome—that is, one of the primary outcomes of interest that we have specified above (for example, the post-fellowship number of publications produced with a foreign co-author)—we will impute values if more than 20% of respondents have missing values. We will use the multiple stochastic regression imputation approach recommended by Puma et al 2009.</w:t>
      </w:r>
      <w:r w:rsidRPr="001C4F55">
        <w:rPr>
          <w:rFonts w:ascii="Times New Roman" w:eastAsia="Times New Roman" w:hAnsi="Times New Roman" w:cs="Times New Roman"/>
          <w:sz w:val="24"/>
          <w:szCs w:val="24"/>
          <w:vertAlign w:val="superscript"/>
        </w:rPr>
        <w:footnoteReference w:id="3"/>
      </w:r>
      <w:r w:rsidRPr="001C4F55">
        <w:rPr>
          <w:rFonts w:ascii="Times New Roman" w:eastAsia="Times New Roman" w:hAnsi="Times New Roman" w:cs="Times New Roman"/>
          <w:sz w:val="24"/>
          <w:szCs w:val="24"/>
          <w:vertAlign w:val="superscript"/>
        </w:rPr>
        <w:t xml:space="preserve"> </w:t>
      </w:r>
      <w:r w:rsidRPr="001C4F55">
        <w:rPr>
          <w:rFonts w:ascii="Times New Roman" w:eastAsia="Times New Roman" w:hAnsi="Times New Roman" w:cs="Times New Roman"/>
          <w:sz w:val="24"/>
          <w:szCs w:val="24"/>
        </w:rPr>
        <w:t>In this multiple imputation approach, instead of generating one set of values to replace the missing outcome, we generate multiple sets of imputed values, for example 10 sets of values. In this procedure, first, predicted values (to replace the missing values) are generated from an OLS regression that is estimated with data that is available for all individuals (respondents and non-respondents).  Then, to each predicted value, we add a randomly-selected residual from the OLS regression, to account for the inherent uncertainty in predicting missing data—this comprises the first set of imputed values. Ten sets of such predicted outcome values are generated, each by adding a randomly selected set of residuals from the OLS regression. Next, the impact estimate is calculated using each of the ten datasets in which missing data were replaced with regression-predicted values with the random residuals. That is, we calculate ten different estimates of the impact of the program on the specified outcome; each impact estimate has used one of the ten datasets in which missing data were replaced with the predicted value plus residual. The final impact estimate (that is, the estimate of the effect of the program on the outcome) is the mean of the ten individual impact estimates. The multiple imputation method is preferred over a single imputation method because the single imputation tends to understate the true variability in the imputed variable and leads to underestimated standard errors.</w:t>
      </w:r>
    </w:p>
    <w:p w:rsidR="001C4F55" w:rsidRPr="001C4F55" w:rsidRDefault="001C4F55" w:rsidP="001C4F55">
      <w:pPr>
        <w:spacing w:after="180" w:line="264" w:lineRule="auto"/>
        <w:rPr>
          <w:rFonts w:ascii="Times New Roman" w:eastAsia="Times New Roman" w:hAnsi="Times New Roman" w:cs="Times New Roman"/>
          <w:sz w:val="24"/>
          <w:szCs w:val="24"/>
        </w:rPr>
      </w:pPr>
    </w:p>
    <w:p w:rsidR="002D4994" w:rsidRDefault="002D4994"/>
    <w:sectPr w:rsidR="002D4994" w:rsidSect="001C4F55">
      <w:footerReference w:type="default" r:id="rId21"/>
      <w:pgSz w:w="12240" w:h="15840"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55" w:rsidRDefault="001C4F55" w:rsidP="001C4F55">
      <w:r>
        <w:separator/>
      </w:r>
    </w:p>
  </w:endnote>
  <w:endnote w:type="continuationSeparator" w:id="0">
    <w:p w:rsidR="001C4F55" w:rsidRDefault="001C4F55" w:rsidP="001C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A6" w:rsidRDefault="00487A6D" w:rsidP="009E58A6">
    <w:pPr>
      <w:pStyle w:val="Footer"/>
    </w:pPr>
    <w:r>
      <w:t>Appendix L: Non-response bias analysis</w:t>
    </w:r>
    <w:r>
      <w:tab/>
    </w:r>
    <w:r>
      <w:tab/>
    </w:r>
    <w:r>
      <w:fldChar w:fldCharType="begin"/>
    </w:r>
    <w:r>
      <w:instrText xml:space="preserve"> PAGE   \* MERGEFORMAT </w:instrText>
    </w:r>
    <w:r>
      <w:fldChar w:fldCharType="separate"/>
    </w:r>
    <w:r w:rsidR="00385DA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55" w:rsidRDefault="001C4F55" w:rsidP="001C4F55">
      <w:r>
        <w:separator/>
      </w:r>
    </w:p>
  </w:footnote>
  <w:footnote w:type="continuationSeparator" w:id="0">
    <w:p w:rsidR="001C4F55" w:rsidRDefault="001C4F55" w:rsidP="001C4F55">
      <w:r>
        <w:continuationSeparator/>
      </w:r>
    </w:p>
  </w:footnote>
  <w:footnote w:id="1">
    <w:p w:rsidR="001C4F55" w:rsidRPr="001C4F55" w:rsidRDefault="001C4F55" w:rsidP="001C4F55">
      <w:pPr>
        <w:tabs>
          <w:tab w:val="left" w:pos="360"/>
        </w:tabs>
        <w:ind w:left="360" w:hanging="360"/>
        <w:rPr>
          <w:rFonts w:ascii="Times New Roman" w:hAnsi="Times New Roman" w:cs="Times New Roman"/>
          <w:sz w:val="18"/>
          <w:szCs w:val="18"/>
        </w:rPr>
      </w:pPr>
      <w:r w:rsidRPr="001C4F55">
        <w:rPr>
          <w:rStyle w:val="FootnoteReference"/>
          <w:rFonts w:ascii="Times New Roman" w:hAnsi="Times New Roman" w:cs="Times New Roman"/>
          <w:sz w:val="18"/>
          <w:szCs w:val="18"/>
        </w:rPr>
        <w:footnoteRef/>
      </w:r>
      <w:r w:rsidRPr="001C4F55">
        <w:rPr>
          <w:rFonts w:ascii="Times New Roman" w:hAnsi="Times New Roman" w:cs="Times New Roman"/>
          <w:sz w:val="18"/>
          <w:szCs w:val="18"/>
        </w:rPr>
        <w:t xml:space="preserve"> </w:t>
      </w:r>
      <w:r w:rsidRPr="001C4F55">
        <w:rPr>
          <w:rFonts w:ascii="Times New Roman" w:hAnsi="Times New Roman" w:cs="Times New Roman"/>
          <w:sz w:val="18"/>
          <w:szCs w:val="18"/>
        </w:rPr>
        <w:tab/>
        <w:t>Note that a large non-response rate does not necessarily create bias. For example, if the non-respondents were similar across the treatment and comparison group, then the impact estimate would not be biased necessarily; rather, any effect of the program could not be generalized to the non-respondents (i.e. it would create an external validity problem but not necessarily an internal validity issue).</w:t>
      </w:r>
    </w:p>
  </w:footnote>
  <w:footnote w:id="2">
    <w:p w:rsidR="001C4F55" w:rsidRPr="001C4F55" w:rsidRDefault="001C4F55" w:rsidP="001C4F55">
      <w:pPr>
        <w:tabs>
          <w:tab w:val="left" w:pos="360"/>
        </w:tabs>
        <w:ind w:left="360" w:hanging="360"/>
        <w:rPr>
          <w:rFonts w:ascii="Times New Roman" w:hAnsi="Times New Roman" w:cs="Times New Roman"/>
          <w:sz w:val="18"/>
          <w:szCs w:val="18"/>
        </w:rPr>
      </w:pPr>
      <w:r w:rsidRPr="001C4F55">
        <w:rPr>
          <w:rStyle w:val="FootnoteReference"/>
          <w:rFonts w:ascii="Times New Roman" w:hAnsi="Times New Roman" w:cs="Times New Roman"/>
          <w:sz w:val="18"/>
          <w:szCs w:val="18"/>
        </w:rPr>
        <w:footnoteRef/>
      </w:r>
      <w:r w:rsidRPr="001C4F55">
        <w:rPr>
          <w:rFonts w:ascii="Times New Roman" w:hAnsi="Times New Roman" w:cs="Times New Roman"/>
          <w:sz w:val="18"/>
          <w:szCs w:val="18"/>
        </w:rPr>
        <w:t xml:space="preserve"> </w:t>
      </w:r>
      <w:r w:rsidRPr="001C4F55">
        <w:rPr>
          <w:rFonts w:ascii="Times New Roman" w:hAnsi="Times New Roman" w:cs="Times New Roman"/>
          <w:sz w:val="18"/>
          <w:szCs w:val="18"/>
        </w:rPr>
        <w:tab/>
        <w:t xml:space="preserve">Backwards elimination methods are attractive from the point of view that they are often used and familiar.  But use of this method using the conventional p&lt;0.05 criterion has been criticized from the point of view that the selection criteria tend to favor covariates with strong relationships to the outcome, but may omit important confounders (i.e., variables that have a weaker relationship to the outcome, but have a strong relationship to the predictor variable of interest).  Maldonado and Greenland (1993) evaluated a backwards elimination strategy and a change-in-estimate strategy using simulated data from a </w:t>
      </w:r>
      <w:r w:rsidR="00487A6D" w:rsidRPr="001C4F55">
        <w:rPr>
          <w:rFonts w:ascii="Times New Roman" w:hAnsi="Times New Roman" w:cs="Times New Roman"/>
          <w:sz w:val="18"/>
          <w:szCs w:val="18"/>
        </w:rPr>
        <w:t>Poisson</w:t>
      </w:r>
      <w:r w:rsidRPr="001C4F55">
        <w:rPr>
          <w:rFonts w:ascii="Times New Roman" w:hAnsi="Times New Roman" w:cs="Times New Roman"/>
          <w:sz w:val="18"/>
          <w:szCs w:val="18"/>
        </w:rPr>
        <w:t xml:space="preserve"> regression model. They found that the p-value based method performed adequately when the alpha levels were</w:t>
      </w:r>
      <w:r w:rsidRPr="00C27F0F">
        <w:rPr>
          <w:sz w:val="18"/>
          <w:szCs w:val="18"/>
        </w:rPr>
        <w:t xml:space="preserve"> </w:t>
      </w:r>
      <w:r w:rsidRPr="001C4F55">
        <w:rPr>
          <w:rFonts w:ascii="Times New Roman" w:hAnsi="Times New Roman" w:cs="Times New Roman"/>
          <w:sz w:val="18"/>
          <w:szCs w:val="18"/>
        </w:rPr>
        <w:t xml:space="preserve">higher than conventional levels (0.20 or more), and found that the change-in-estimate strategy performed adequately when the cut point was set to 10 percent.  However, their data, generated from a </w:t>
      </w:r>
      <w:r w:rsidR="00487A6D" w:rsidRPr="001C4F55">
        <w:rPr>
          <w:rFonts w:ascii="Times New Roman" w:hAnsi="Times New Roman" w:cs="Times New Roman"/>
          <w:sz w:val="18"/>
          <w:szCs w:val="18"/>
        </w:rPr>
        <w:t>Poisson</w:t>
      </w:r>
      <w:r w:rsidRPr="001C4F55">
        <w:rPr>
          <w:rFonts w:ascii="Times New Roman" w:hAnsi="Times New Roman" w:cs="Times New Roman"/>
          <w:sz w:val="18"/>
          <w:szCs w:val="18"/>
        </w:rPr>
        <w:t xml:space="preserve"> model, and their analysis model, with only a single covariate in addition to the key exposure variable, are very different than the models anticipated for our current purpose.  </w:t>
      </w:r>
    </w:p>
    <w:p w:rsidR="001C4F55" w:rsidRDefault="00487A6D" w:rsidP="001C4F55">
      <w:pPr>
        <w:pStyle w:val="FootnoteText"/>
        <w:tabs>
          <w:tab w:val="left" w:pos="360"/>
        </w:tabs>
        <w:ind w:left="360" w:hanging="360"/>
        <w:rPr>
          <w:rFonts w:ascii="Times New Roman" w:hAnsi="Times New Roman" w:cs="Times New Roman"/>
          <w:sz w:val="18"/>
          <w:szCs w:val="18"/>
        </w:rPr>
      </w:pPr>
      <w:proofErr w:type="spellStart"/>
      <w:r w:rsidRPr="001C4F55">
        <w:rPr>
          <w:rFonts w:ascii="Times New Roman" w:hAnsi="Times New Roman" w:cs="Times New Roman"/>
          <w:sz w:val="18"/>
          <w:szCs w:val="18"/>
        </w:rPr>
        <w:t>Budtz</w:t>
      </w:r>
      <w:proofErr w:type="spellEnd"/>
      <w:r w:rsidRPr="001C4F55">
        <w:rPr>
          <w:rFonts w:ascii="Times New Roman" w:hAnsi="Times New Roman" w:cs="Times New Roman"/>
          <w:sz w:val="18"/>
          <w:szCs w:val="18"/>
        </w:rPr>
        <w:t xml:space="preserve">-Jorgensen et </w:t>
      </w:r>
      <w:r w:rsidR="001C4F55" w:rsidRPr="001C4F55">
        <w:rPr>
          <w:rFonts w:ascii="Times New Roman" w:hAnsi="Times New Roman" w:cs="Times New Roman"/>
          <w:sz w:val="18"/>
          <w:szCs w:val="18"/>
        </w:rPr>
        <w:t xml:space="preserve">al. (2001) compared several covariate selection strategies including backwards elimination and change-in-estimate. They looked at the backwards elimination strategy with three p-value cut-off levels, 0.05, 0.10, and 0.20, and, following the recommendation of Maldonado and Greenland (1993) used a 10% criterion for the change-in-estimate method. They found that, although the change-in-estimate strategy did an adequate job of identifying confounders and keeping them in the model, it sometimes threw out variables that were correlated with the outcome, but were not confounders. Therefore, this method threw out variables that, if retained, would have reduced the residual error and reduced the standard error of the exposure coefficient (thus increasing the power to detect exposure effects </w:t>
      </w:r>
      <w:r w:rsidRPr="001C4F55">
        <w:rPr>
          <w:rFonts w:ascii="Times New Roman" w:hAnsi="Times New Roman" w:cs="Times New Roman"/>
          <w:sz w:val="18"/>
          <w:szCs w:val="18"/>
        </w:rPr>
        <w:t>– exposure</w:t>
      </w:r>
      <w:r w:rsidR="001C4F55" w:rsidRPr="001C4F55">
        <w:rPr>
          <w:rFonts w:ascii="Times New Roman" w:hAnsi="Times New Roman" w:cs="Times New Roman"/>
          <w:sz w:val="18"/>
          <w:szCs w:val="18"/>
        </w:rPr>
        <w:t xml:space="preserve"> effect is analogous to our key predictor of interest).  Although they found that backwards elimination with a p&lt;0.05 criterion was un-suited for confounder identification, they found that when the p-value criterion was set to p&lt;0.20, backwards elimination strategy resulted in a reduction of residual error variance and did not throw out important confounders.  They recommended the backwards elimination strategy with a p&lt;0.20 criterion over the change-in-estimate strategy.  </w:t>
      </w:r>
    </w:p>
    <w:p w:rsidR="001C4F55" w:rsidRPr="001C4F55" w:rsidRDefault="001C4F55" w:rsidP="001C4F55">
      <w:pPr>
        <w:pStyle w:val="FootnoteText"/>
        <w:tabs>
          <w:tab w:val="left" w:pos="360"/>
        </w:tabs>
        <w:ind w:left="360" w:hanging="360"/>
        <w:rPr>
          <w:rFonts w:ascii="Times New Roman" w:hAnsi="Times New Roman" w:cs="Times New Roman"/>
          <w:sz w:val="18"/>
          <w:szCs w:val="18"/>
        </w:rPr>
      </w:pPr>
      <w:r w:rsidRPr="001C4F55">
        <w:rPr>
          <w:rFonts w:ascii="Times New Roman" w:hAnsi="Times New Roman" w:cs="Times New Roman"/>
          <w:sz w:val="18"/>
          <w:szCs w:val="18"/>
        </w:rPr>
        <w:t xml:space="preserve">See:  </w:t>
      </w:r>
      <w:r w:rsidR="00487A6D">
        <w:rPr>
          <w:rFonts w:ascii="Times New Roman" w:hAnsi="Times New Roman" w:cs="Times New Roman"/>
          <w:sz w:val="18"/>
          <w:szCs w:val="18"/>
        </w:rPr>
        <w:t>Maldonado, G. and Greenland, S.</w:t>
      </w:r>
      <w:r w:rsidRPr="001C4F55">
        <w:rPr>
          <w:rFonts w:ascii="Times New Roman" w:hAnsi="Times New Roman" w:cs="Times New Roman"/>
          <w:sz w:val="18"/>
          <w:szCs w:val="18"/>
        </w:rPr>
        <w:t xml:space="preserve"> (1993). </w:t>
      </w:r>
      <w:proofErr w:type="gramStart"/>
      <w:r w:rsidRPr="001C4F55">
        <w:rPr>
          <w:rFonts w:ascii="Times New Roman" w:hAnsi="Times New Roman" w:cs="Times New Roman"/>
          <w:sz w:val="18"/>
          <w:szCs w:val="18"/>
        </w:rPr>
        <w:t>Simulation study of confounder-selection strategies.</w:t>
      </w:r>
      <w:proofErr w:type="gramEnd"/>
      <w:r w:rsidRPr="001C4F55">
        <w:rPr>
          <w:rFonts w:ascii="Times New Roman" w:hAnsi="Times New Roman" w:cs="Times New Roman"/>
          <w:sz w:val="18"/>
          <w:szCs w:val="18"/>
        </w:rPr>
        <w:t xml:space="preserve"> </w:t>
      </w:r>
      <w:proofErr w:type="gramStart"/>
      <w:r w:rsidRPr="00487A6D">
        <w:rPr>
          <w:rFonts w:ascii="Times New Roman" w:hAnsi="Times New Roman" w:cs="Times New Roman"/>
          <w:i/>
          <w:sz w:val="18"/>
          <w:szCs w:val="18"/>
        </w:rPr>
        <w:t>American Journal of Epidemiology 138</w:t>
      </w:r>
      <w:r w:rsidR="00487A6D">
        <w:rPr>
          <w:rFonts w:ascii="Times New Roman" w:hAnsi="Times New Roman" w:cs="Times New Roman"/>
          <w:i/>
          <w:sz w:val="18"/>
          <w:szCs w:val="18"/>
        </w:rPr>
        <w:t>,</w:t>
      </w:r>
      <w:r w:rsidRPr="001C4F55">
        <w:rPr>
          <w:rFonts w:ascii="Times New Roman" w:hAnsi="Times New Roman" w:cs="Times New Roman"/>
          <w:sz w:val="18"/>
          <w:szCs w:val="18"/>
        </w:rPr>
        <w:t xml:space="preserve"> 923-936; and </w:t>
      </w:r>
      <w:proofErr w:type="spellStart"/>
      <w:r w:rsidRPr="001C4F55">
        <w:rPr>
          <w:rFonts w:ascii="Times New Roman" w:hAnsi="Times New Roman" w:cs="Times New Roman"/>
          <w:sz w:val="18"/>
          <w:szCs w:val="18"/>
        </w:rPr>
        <w:t>Budtz</w:t>
      </w:r>
      <w:proofErr w:type="spellEnd"/>
      <w:r w:rsidRPr="001C4F55">
        <w:rPr>
          <w:rFonts w:ascii="Times New Roman" w:hAnsi="Times New Roman" w:cs="Times New Roman"/>
          <w:sz w:val="18"/>
          <w:szCs w:val="18"/>
        </w:rPr>
        <w:t xml:space="preserve">-Jorgensen, E., </w:t>
      </w:r>
      <w:proofErr w:type="spellStart"/>
      <w:r w:rsidRPr="001C4F55">
        <w:rPr>
          <w:rFonts w:ascii="Times New Roman" w:hAnsi="Times New Roman" w:cs="Times New Roman"/>
          <w:sz w:val="18"/>
          <w:szCs w:val="18"/>
        </w:rPr>
        <w:t>Keilding</w:t>
      </w:r>
      <w:proofErr w:type="spellEnd"/>
      <w:r w:rsidRPr="001C4F55">
        <w:rPr>
          <w:rFonts w:ascii="Times New Roman" w:hAnsi="Times New Roman" w:cs="Times New Roman"/>
          <w:sz w:val="18"/>
          <w:szCs w:val="18"/>
        </w:rPr>
        <w:t xml:space="preserve">, N., </w:t>
      </w:r>
      <w:proofErr w:type="spellStart"/>
      <w:r w:rsidRPr="001C4F55">
        <w:rPr>
          <w:rFonts w:ascii="Times New Roman" w:hAnsi="Times New Roman" w:cs="Times New Roman"/>
          <w:sz w:val="18"/>
          <w:szCs w:val="18"/>
        </w:rPr>
        <w:t>Grandjean</w:t>
      </w:r>
      <w:proofErr w:type="spellEnd"/>
      <w:r w:rsidRPr="001C4F55">
        <w:rPr>
          <w:rFonts w:ascii="Times New Roman" w:hAnsi="Times New Roman" w:cs="Times New Roman"/>
          <w:sz w:val="18"/>
          <w:szCs w:val="18"/>
        </w:rPr>
        <w:t xml:space="preserve">, P., </w:t>
      </w:r>
      <w:proofErr w:type="spellStart"/>
      <w:r w:rsidRPr="001C4F55">
        <w:rPr>
          <w:rFonts w:ascii="Times New Roman" w:hAnsi="Times New Roman" w:cs="Times New Roman"/>
          <w:sz w:val="18"/>
          <w:szCs w:val="18"/>
        </w:rPr>
        <w:t>Weihe</w:t>
      </w:r>
      <w:proofErr w:type="spellEnd"/>
      <w:r w:rsidRPr="001C4F55">
        <w:rPr>
          <w:rFonts w:ascii="Times New Roman" w:hAnsi="Times New Roman" w:cs="Times New Roman"/>
          <w:sz w:val="18"/>
          <w:szCs w:val="18"/>
        </w:rPr>
        <w:t>, P.</w:t>
      </w:r>
      <w:r w:rsidR="00487A6D" w:rsidRPr="001C4F55">
        <w:rPr>
          <w:rFonts w:ascii="Times New Roman" w:hAnsi="Times New Roman" w:cs="Times New Roman"/>
          <w:sz w:val="18"/>
          <w:szCs w:val="18"/>
        </w:rPr>
        <w:t>, White</w:t>
      </w:r>
      <w:r w:rsidRPr="001C4F55">
        <w:rPr>
          <w:rFonts w:ascii="Times New Roman" w:hAnsi="Times New Roman" w:cs="Times New Roman"/>
          <w:sz w:val="18"/>
          <w:szCs w:val="18"/>
        </w:rPr>
        <w:t>, R. (2001).</w:t>
      </w:r>
      <w:proofErr w:type="gramEnd"/>
      <w:r w:rsidRPr="001C4F55">
        <w:rPr>
          <w:rFonts w:ascii="Times New Roman" w:hAnsi="Times New Roman" w:cs="Times New Roman"/>
          <w:sz w:val="18"/>
          <w:szCs w:val="18"/>
        </w:rPr>
        <w:t xml:space="preserve"> Confounder </w:t>
      </w:r>
      <w:r w:rsidR="00487A6D" w:rsidRPr="001C4F55">
        <w:rPr>
          <w:rFonts w:ascii="Times New Roman" w:hAnsi="Times New Roman" w:cs="Times New Roman"/>
          <w:sz w:val="18"/>
          <w:szCs w:val="18"/>
        </w:rPr>
        <w:t>identification in environmental epidemiology</w:t>
      </w:r>
      <w:r w:rsidR="00487A6D">
        <w:rPr>
          <w:rFonts w:ascii="Times New Roman" w:hAnsi="Times New Roman" w:cs="Times New Roman"/>
          <w:sz w:val="18"/>
          <w:szCs w:val="18"/>
        </w:rPr>
        <w:t>:</w:t>
      </w:r>
      <w:r w:rsidRPr="001C4F55">
        <w:rPr>
          <w:rFonts w:ascii="Times New Roman" w:hAnsi="Times New Roman" w:cs="Times New Roman"/>
          <w:sz w:val="18"/>
          <w:szCs w:val="18"/>
        </w:rPr>
        <w:t xml:space="preserve"> Assessment of health effects of prenatal mercury exposure. Downloaded from </w:t>
      </w:r>
      <w:hyperlink r:id="rId1" w:history="1">
        <w:r w:rsidRPr="001C4F55">
          <w:rPr>
            <w:rFonts w:ascii="Times New Roman" w:hAnsi="Times New Roman" w:cs="Times New Roman"/>
            <w:sz w:val="18"/>
            <w:szCs w:val="18"/>
          </w:rPr>
          <w:t>http://www.pubhealth.ku.dk/bsa/research-reports/paper_ms.ps</w:t>
        </w:r>
      </w:hyperlink>
    </w:p>
    <w:p w:rsidR="001C4F55" w:rsidRPr="001C4F55" w:rsidRDefault="001C4F55" w:rsidP="001C4F55">
      <w:pPr>
        <w:pStyle w:val="FootnoteText"/>
        <w:rPr>
          <w:rFonts w:ascii="Times New Roman" w:hAnsi="Times New Roman" w:cs="Times New Roman"/>
          <w:sz w:val="18"/>
          <w:szCs w:val="18"/>
        </w:rPr>
      </w:pPr>
    </w:p>
  </w:footnote>
  <w:footnote w:id="3">
    <w:p w:rsidR="001C4F55" w:rsidRPr="001C4F55" w:rsidRDefault="001C4F55" w:rsidP="001C4F55">
      <w:pPr>
        <w:tabs>
          <w:tab w:val="left" w:pos="360"/>
        </w:tabs>
        <w:ind w:left="360" w:hanging="360"/>
        <w:rPr>
          <w:rFonts w:ascii="Times New Roman" w:hAnsi="Times New Roman" w:cs="Times New Roman"/>
          <w:sz w:val="18"/>
          <w:szCs w:val="18"/>
        </w:rPr>
      </w:pPr>
      <w:r w:rsidRPr="001C4F55">
        <w:rPr>
          <w:rStyle w:val="FootnoteReference"/>
          <w:rFonts w:ascii="Times New Roman" w:hAnsi="Times New Roman" w:cs="Times New Roman"/>
          <w:sz w:val="18"/>
          <w:szCs w:val="18"/>
        </w:rPr>
        <w:footnoteRef/>
      </w:r>
      <w:r w:rsidRPr="001C4F55">
        <w:rPr>
          <w:rFonts w:ascii="Times New Roman" w:hAnsi="Times New Roman" w:cs="Times New Roman"/>
          <w:sz w:val="18"/>
          <w:szCs w:val="18"/>
        </w:rPr>
        <w:t xml:space="preserve">    </w:t>
      </w:r>
      <w:r>
        <w:rPr>
          <w:rFonts w:ascii="Times New Roman" w:hAnsi="Times New Roman" w:cs="Times New Roman"/>
          <w:sz w:val="18"/>
          <w:szCs w:val="18"/>
        </w:rPr>
        <w:tab/>
      </w:r>
      <w:proofErr w:type="gramStart"/>
      <w:r w:rsidRPr="001C4F55">
        <w:rPr>
          <w:rFonts w:ascii="Times New Roman" w:hAnsi="Times New Roman" w:cs="Times New Roman"/>
          <w:sz w:val="18"/>
          <w:szCs w:val="18"/>
        </w:rPr>
        <w:t>Puma, M.J. Olsen, R.B., Bell, S.H., and Price, C. (2009).</w:t>
      </w:r>
      <w:proofErr w:type="gramEnd"/>
      <w:r w:rsidRPr="001C4F55">
        <w:rPr>
          <w:rFonts w:ascii="Times New Roman" w:hAnsi="Times New Roman" w:cs="Times New Roman"/>
          <w:sz w:val="18"/>
          <w:szCs w:val="18"/>
        </w:rPr>
        <w:t xml:space="preserve"> </w:t>
      </w:r>
      <w:r w:rsidR="00487A6D" w:rsidRPr="001C4F55">
        <w:rPr>
          <w:rFonts w:ascii="Times New Roman" w:hAnsi="Times New Roman" w:cs="Times New Roman"/>
          <w:sz w:val="18"/>
          <w:szCs w:val="18"/>
        </w:rPr>
        <w:t>What to do when data are missing in group</w:t>
      </w:r>
      <w:r w:rsidR="00487A6D">
        <w:rPr>
          <w:rFonts w:ascii="Times New Roman" w:hAnsi="Times New Roman" w:cs="Times New Roman"/>
          <w:sz w:val="18"/>
          <w:szCs w:val="18"/>
        </w:rPr>
        <w:t xml:space="preserve"> </w:t>
      </w:r>
      <w:r w:rsidR="00487A6D" w:rsidRPr="001C4F55">
        <w:rPr>
          <w:rFonts w:ascii="Times New Roman" w:hAnsi="Times New Roman" w:cs="Times New Roman"/>
          <w:sz w:val="18"/>
          <w:szCs w:val="18"/>
        </w:rPr>
        <w:t>randomized controlled trials</w:t>
      </w:r>
      <w:r w:rsidRPr="001C4F55">
        <w:rPr>
          <w:rFonts w:ascii="Times New Roman" w:hAnsi="Times New Roman" w:cs="Times New Roman"/>
          <w:sz w:val="18"/>
          <w:szCs w:val="18"/>
        </w:rPr>
        <w:t xml:space="preserve">. </w:t>
      </w:r>
      <w:r w:rsidR="00487A6D">
        <w:rPr>
          <w:rFonts w:ascii="Times New Roman" w:hAnsi="Times New Roman" w:cs="Times New Roman"/>
          <w:sz w:val="18"/>
          <w:szCs w:val="18"/>
        </w:rPr>
        <w:t xml:space="preserve">Washington DC: </w:t>
      </w:r>
      <w:r w:rsidR="00487A6D" w:rsidRPr="001C4F55">
        <w:rPr>
          <w:rFonts w:ascii="Times New Roman" w:hAnsi="Times New Roman" w:cs="Times New Roman"/>
          <w:sz w:val="18"/>
          <w:szCs w:val="18"/>
        </w:rPr>
        <w:t xml:space="preserve"> </w:t>
      </w:r>
      <w:r w:rsidRPr="001C4F55">
        <w:rPr>
          <w:rFonts w:ascii="Times New Roman" w:hAnsi="Times New Roman" w:cs="Times New Roman"/>
          <w:sz w:val="18"/>
          <w:szCs w:val="18"/>
        </w:rPr>
        <w:t>U.S. Department of Education, NCEE 20090049 (available</w:t>
      </w:r>
      <w:r w:rsidR="00487A6D">
        <w:rPr>
          <w:rFonts w:ascii="Times New Roman" w:hAnsi="Times New Roman" w:cs="Times New Roman"/>
          <w:sz w:val="18"/>
          <w:szCs w:val="18"/>
        </w:rPr>
        <w:t xml:space="preserve"> h</w:t>
      </w:r>
      <w:r w:rsidRPr="001C4F55">
        <w:rPr>
          <w:rFonts w:ascii="Times New Roman" w:hAnsi="Times New Roman" w:cs="Times New Roman"/>
          <w:sz w:val="18"/>
          <w:szCs w:val="18"/>
        </w:rPr>
        <w:t>ttp://ies.ed.gov/pubsearch/pubsinfo.asp?pubid=NCEE20090049).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55"/>
    <w:rsid w:val="001C4F55"/>
    <w:rsid w:val="002D4994"/>
    <w:rsid w:val="00385DA7"/>
    <w:rsid w:val="0048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4F55"/>
    <w:pPr>
      <w:tabs>
        <w:tab w:val="center" w:pos="4680"/>
        <w:tab w:val="right" w:pos="9360"/>
      </w:tabs>
    </w:pPr>
  </w:style>
  <w:style w:type="character" w:customStyle="1" w:styleId="FooterChar">
    <w:name w:val="Footer Char"/>
    <w:basedOn w:val="DefaultParagraphFont"/>
    <w:link w:val="Footer"/>
    <w:uiPriority w:val="99"/>
    <w:rsid w:val="001C4F55"/>
  </w:style>
  <w:style w:type="paragraph" w:styleId="Header">
    <w:name w:val="header"/>
    <w:basedOn w:val="Normal"/>
    <w:link w:val="HeaderChar"/>
    <w:uiPriority w:val="99"/>
    <w:unhideWhenUsed/>
    <w:rsid w:val="001C4F55"/>
    <w:pPr>
      <w:tabs>
        <w:tab w:val="center" w:pos="4680"/>
        <w:tab w:val="right" w:pos="9360"/>
      </w:tabs>
    </w:pPr>
  </w:style>
  <w:style w:type="character" w:customStyle="1" w:styleId="HeaderChar">
    <w:name w:val="Header Char"/>
    <w:basedOn w:val="DefaultParagraphFont"/>
    <w:link w:val="Header"/>
    <w:uiPriority w:val="99"/>
    <w:rsid w:val="001C4F55"/>
  </w:style>
  <w:style w:type="paragraph" w:styleId="FootnoteText">
    <w:name w:val="footnote text"/>
    <w:basedOn w:val="Normal"/>
    <w:link w:val="FootnoteTextChar"/>
    <w:uiPriority w:val="99"/>
    <w:semiHidden/>
    <w:unhideWhenUsed/>
    <w:rsid w:val="001C4F55"/>
    <w:rPr>
      <w:sz w:val="20"/>
      <w:szCs w:val="20"/>
    </w:rPr>
  </w:style>
  <w:style w:type="character" w:customStyle="1" w:styleId="FootnoteTextChar">
    <w:name w:val="Footnote Text Char"/>
    <w:basedOn w:val="DefaultParagraphFont"/>
    <w:link w:val="FootnoteText"/>
    <w:uiPriority w:val="99"/>
    <w:semiHidden/>
    <w:rsid w:val="001C4F55"/>
    <w:rPr>
      <w:sz w:val="20"/>
      <w:szCs w:val="20"/>
    </w:rPr>
  </w:style>
  <w:style w:type="character" w:styleId="FootnoteReference">
    <w:name w:val="footnote reference"/>
    <w:basedOn w:val="DefaultParagraphFont"/>
    <w:rsid w:val="001C4F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4F55"/>
    <w:pPr>
      <w:tabs>
        <w:tab w:val="center" w:pos="4680"/>
        <w:tab w:val="right" w:pos="9360"/>
      </w:tabs>
    </w:pPr>
  </w:style>
  <w:style w:type="character" w:customStyle="1" w:styleId="FooterChar">
    <w:name w:val="Footer Char"/>
    <w:basedOn w:val="DefaultParagraphFont"/>
    <w:link w:val="Footer"/>
    <w:uiPriority w:val="99"/>
    <w:rsid w:val="001C4F55"/>
  </w:style>
  <w:style w:type="paragraph" w:styleId="Header">
    <w:name w:val="header"/>
    <w:basedOn w:val="Normal"/>
    <w:link w:val="HeaderChar"/>
    <w:uiPriority w:val="99"/>
    <w:unhideWhenUsed/>
    <w:rsid w:val="001C4F55"/>
    <w:pPr>
      <w:tabs>
        <w:tab w:val="center" w:pos="4680"/>
        <w:tab w:val="right" w:pos="9360"/>
      </w:tabs>
    </w:pPr>
  </w:style>
  <w:style w:type="character" w:customStyle="1" w:styleId="HeaderChar">
    <w:name w:val="Header Char"/>
    <w:basedOn w:val="DefaultParagraphFont"/>
    <w:link w:val="Header"/>
    <w:uiPriority w:val="99"/>
    <w:rsid w:val="001C4F55"/>
  </w:style>
  <w:style w:type="paragraph" w:styleId="FootnoteText">
    <w:name w:val="footnote text"/>
    <w:basedOn w:val="Normal"/>
    <w:link w:val="FootnoteTextChar"/>
    <w:uiPriority w:val="99"/>
    <w:semiHidden/>
    <w:unhideWhenUsed/>
    <w:rsid w:val="001C4F55"/>
    <w:rPr>
      <w:sz w:val="20"/>
      <w:szCs w:val="20"/>
    </w:rPr>
  </w:style>
  <w:style w:type="character" w:customStyle="1" w:styleId="FootnoteTextChar">
    <w:name w:val="Footnote Text Char"/>
    <w:basedOn w:val="DefaultParagraphFont"/>
    <w:link w:val="FootnoteText"/>
    <w:uiPriority w:val="99"/>
    <w:semiHidden/>
    <w:rsid w:val="001C4F55"/>
    <w:rPr>
      <w:sz w:val="20"/>
      <w:szCs w:val="20"/>
    </w:rPr>
  </w:style>
  <w:style w:type="character" w:styleId="FootnoteReference">
    <w:name w:val="footnote reference"/>
    <w:basedOn w:val="DefaultParagraphFont"/>
    <w:rsid w:val="001C4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ubhealth.ku.dk/bsa/research-reports/paper_ms.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7967</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2</cp:revision>
  <dcterms:created xsi:type="dcterms:W3CDTF">2014-07-09T13:45:00Z</dcterms:created>
  <dcterms:modified xsi:type="dcterms:W3CDTF">2014-07-09T13:45:00Z</dcterms:modified>
</cp:coreProperties>
</file>