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9E5" w:rsidRPr="00972E19" w:rsidRDefault="00EC79E5" w:rsidP="00744121">
      <w:pPr>
        <w:jc w:val="center"/>
        <w:rPr>
          <w:rFonts w:asciiTheme="minorHAnsi" w:hAnsiTheme="minorHAnsi" w:cs="Arial"/>
          <w:b/>
          <w:sz w:val="22"/>
          <w:szCs w:val="22"/>
        </w:rPr>
      </w:pPr>
      <w:r w:rsidRPr="00972E19">
        <w:rPr>
          <w:rFonts w:asciiTheme="minorHAnsi" w:hAnsiTheme="minorHAnsi" w:cs="Arial"/>
          <w:b/>
          <w:sz w:val="22"/>
          <w:szCs w:val="22"/>
        </w:rPr>
        <w:t>Survey Planning and Design Document</w:t>
      </w:r>
    </w:p>
    <w:p w:rsidR="00EC79E5" w:rsidRPr="00972E19" w:rsidRDefault="00EC79E5" w:rsidP="00744121">
      <w:pPr>
        <w:jc w:val="center"/>
        <w:rPr>
          <w:rFonts w:asciiTheme="minorHAnsi" w:hAnsiTheme="minorHAnsi" w:cs="Arial"/>
          <w:sz w:val="22"/>
          <w:szCs w:val="22"/>
        </w:rPr>
      </w:pPr>
    </w:p>
    <w:p w:rsidR="00972E23" w:rsidRDefault="00EC79E5" w:rsidP="00744121">
      <w:pPr>
        <w:jc w:val="center"/>
        <w:rPr>
          <w:rFonts w:asciiTheme="minorHAnsi" w:hAnsiTheme="minorHAnsi" w:cs="Arial"/>
          <w:sz w:val="22"/>
          <w:szCs w:val="22"/>
        </w:rPr>
      </w:pPr>
      <w:r w:rsidRPr="00972E19">
        <w:rPr>
          <w:rFonts w:asciiTheme="minorHAnsi" w:hAnsiTheme="minorHAnsi" w:cs="Arial"/>
          <w:sz w:val="22"/>
          <w:szCs w:val="22"/>
        </w:rPr>
        <w:t xml:space="preserve">Survey of the </w:t>
      </w:r>
      <w:r w:rsidR="0044096A" w:rsidRPr="00972E19">
        <w:rPr>
          <w:rFonts w:asciiTheme="minorHAnsi" w:hAnsiTheme="minorHAnsi" w:cs="Arial"/>
          <w:sz w:val="22"/>
          <w:szCs w:val="22"/>
        </w:rPr>
        <w:t xml:space="preserve">Trade Community on </w:t>
      </w:r>
      <w:r w:rsidR="00972E23">
        <w:rPr>
          <w:rFonts w:asciiTheme="minorHAnsi" w:hAnsiTheme="minorHAnsi" w:cs="Arial"/>
          <w:sz w:val="22"/>
          <w:szCs w:val="22"/>
        </w:rPr>
        <w:t xml:space="preserve">information </w:t>
      </w:r>
      <w:r w:rsidR="0044096A" w:rsidRPr="00972E19">
        <w:rPr>
          <w:rFonts w:asciiTheme="minorHAnsi" w:hAnsiTheme="minorHAnsi" w:cs="Arial"/>
          <w:sz w:val="22"/>
          <w:szCs w:val="22"/>
        </w:rPr>
        <w:t xml:space="preserve">collection </w:t>
      </w:r>
      <w:r w:rsidR="00D52A3B">
        <w:rPr>
          <w:rFonts w:asciiTheme="minorHAnsi" w:hAnsiTheme="minorHAnsi" w:cs="Arial"/>
          <w:sz w:val="22"/>
          <w:szCs w:val="22"/>
        </w:rPr>
        <w:t>through</w:t>
      </w:r>
    </w:p>
    <w:p w:rsidR="00EC79E5" w:rsidRPr="00972E19" w:rsidRDefault="00972E23" w:rsidP="00744121">
      <w:pPr>
        <w:jc w:val="center"/>
        <w:rPr>
          <w:rFonts w:asciiTheme="minorHAnsi" w:hAnsiTheme="minorHAnsi" w:cs="Arial"/>
          <w:sz w:val="22"/>
          <w:szCs w:val="22"/>
        </w:rPr>
      </w:pPr>
      <w:r>
        <w:rPr>
          <w:rFonts w:asciiTheme="minorHAnsi" w:hAnsiTheme="minorHAnsi" w:cs="Arial"/>
          <w:sz w:val="22"/>
          <w:szCs w:val="22"/>
        </w:rPr>
        <w:t xml:space="preserve">antidumping and countervailing duty </w:t>
      </w:r>
      <w:r w:rsidR="00A8306F">
        <w:rPr>
          <w:rFonts w:asciiTheme="minorHAnsi" w:hAnsiTheme="minorHAnsi" w:cs="Arial"/>
          <w:sz w:val="22"/>
          <w:szCs w:val="22"/>
        </w:rPr>
        <w:t xml:space="preserve">(AD/CVD) </w:t>
      </w:r>
      <w:r w:rsidR="00D52A3B">
        <w:rPr>
          <w:rFonts w:asciiTheme="minorHAnsi" w:hAnsiTheme="minorHAnsi" w:cs="Arial"/>
          <w:sz w:val="22"/>
          <w:szCs w:val="22"/>
        </w:rPr>
        <w:t>questionnaires</w:t>
      </w:r>
    </w:p>
    <w:p w:rsidR="00EC79E5" w:rsidRPr="00972E19" w:rsidRDefault="00EC79E5" w:rsidP="004F2C6A">
      <w:pPr>
        <w:rPr>
          <w:rFonts w:asciiTheme="minorHAnsi" w:hAnsiTheme="minorHAnsi" w:cs="Arial"/>
          <w:sz w:val="22"/>
          <w:szCs w:val="22"/>
        </w:rPr>
      </w:pPr>
    </w:p>
    <w:p w:rsidR="00EC79E5" w:rsidRPr="00972E19" w:rsidRDefault="00EC79E5" w:rsidP="00D55A25">
      <w:pPr>
        <w:rPr>
          <w:rFonts w:asciiTheme="minorHAnsi" w:hAnsiTheme="minorHAnsi" w:cs="Arial"/>
          <w:sz w:val="22"/>
          <w:szCs w:val="22"/>
        </w:rPr>
      </w:pPr>
      <w:r w:rsidRPr="00972E19">
        <w:rPr>
          <w:rFonts w:asciiTheme="minorHAnsi" w:hAnsiTheme="minorHAnsi" w:cs="Arial"/>
          <w:sz w:val="22"/>
          <w:szCs w:val="22"/>
        </w:rPr>
        <w:t xml:space="preserve">The U.S. International Trade Commission (USITC) is implementing a survey to gather user feedback to aid in evaluating </w:t>
      </w:r>
      <w:r w:rsidR="00A8306F">
        <w:rPr>
          <w:rFonts w:asciiTheme="minorHAnsi" w:hAnsiTheme="minorHAnsi" w:cs="Arial"/>
          <w:sz w:val="22"/>
          <w:szCs w:val="22"/>
        </w:rPr>
        <w:t xml:space="preserve">the structure and content of its AD/CVD questionnaires.  Enhancements to the questionnaires will reduce response and processing costs, </w:t>
      </w:r>
      <w:r w:rsidR="00AE7C7D">
        <w:rPr>
          <w:rFonts w:asciiTheme="minorHAnsi" w:hAnsiTheme="minorHAnsi" w:cs="Arial"/>
          <w:sz w:val="22"/>
          <w:szCs w:val="22"/>
        </w:rPr>
        <w:t>increase response rates, and improve initial response accuracy</w:t>
      </w:r>
      <w:r w:rsidRPr="00972E19">
        <w:rPr>
          <w:rFonts w:asciiTheme="minorHAnsi" w:hAnsiTheme="minorHAnsi" w:cs="Arial"/>
          <w:sz w:val="22"/>
          <w:szCs w:val="22"/>
        </w:rPr>
        <w:t xml:space="preserve">. </w:t>
      </w:r>
    </w:p>
    <w:p w:rsidR="00EC79E5" w:rsidRPr="00972E19" w:rsidRDefault="00EC79E5" w:rsidP="00D55A25">
      <w:pPr>
        <w:rPr>
          <w:rFonts w:asciiTheme="minorHAnsi" w:hAnsiTheme="minorHAnsi" w:cs="Arial"/>
          <w:sz w:val="22"/>
          <w:szCs w:val="22"/>
        </w:rPr>
      </w:pPr>
    </w:p>
    <w:p w:rsidR="00EC79E5" w:rsidRPr="00972E19" w:rsidRDefault="00EC79E5" w:rsidP="00FF24B6">
      <w:pPr>
        <w:spacing w:after="100" w:afterAutospacing="1"/>
        <w:rPr>
          <w:rFonts w:asciiTheme="minorHAnsi" w:hAnsiTheme="minorHAnsi" w:cs="Arial"/>
          <w:b/>
          <w:sz w:val="22"/>
          <w:szCs w:val="22"/>
        </w:rPr>
      </w:pPr>
      <w:r w:rsidRPr="00972E19">
        <w:rPr>
          <w:rFonts w:asciiTheme="minorHAnsi" w:hAnsiTheme="minorHAnsi" w:cs="Arial"/>
          <w:b/>
          <w:sz w:val="22"/>
          <w:szCs w:val="22"/>
        </w:rPr>
        <w:t>A. The Survey Population</w:t>
      </w:r>
    </w:p>
    <w:p w:rsidR="00EC79E5" w:rsidRPr="00972E19" w:rsidRDefault="00EC79E5" w:rsidP="008A384A">
      <w:pPr>
        <w:spacing w:after="100" w:afterAutospacing="1"/>
        <w:rPr>
          <w:rFonts w:asciiTheme="minorHAnsi" w:hAnsiTheme="minorHAnsi" w:cs="Arial"/>
          <w:sz w:val="22"/>
          <w:szCs w:val="22"/>
        </w:rPr>
      </w:pPr>
      <w:r w:rsidRPr="00972E19">
        <w:rPr>
          <w:rFonts w:asciiTheme="minorHAnsi" w:hAnsiTheme="minorHAnsi" w:cs="Arial"/>
          <w:sz w:val="22"/>
          <w:szCs w:val="22"/>
        </w:rPr>
        <w:t xml:space="preserve">This will be a voluntary, web-based survey.  The survey population likely will include </w:t>
      </w:r>
      <w:r w:rsidR="00972E19">
        <w:rPr>
          <w:rFonts w:asciiTheme="minorHAnsi" w:hAnsiTheme="minorHAnsi" w:cs="Arial"/>
          <w:sz w:val="22"/>
          <w:szCs w:val="22"/>
        </w:rPr>
        <w:t xml:space="preserve">trade counsel </w:t>
      </w:r>
      <w:r w:rsidRPr="00972E19">
        <w:rPr>
          <w:rFonts w:asciiTheme="minorHAnsi" w:hAnsiTheme="minorHAnsi" w:cs="Arial"/>
          <w:sz w:val="22"/>
          <w:szCs w:val="22"/>
        </w:rPr>
        <w:t>alerted to the survey through several means.  The princip</w:t>
      </w:r>
      <w:r w:rsidR="00070CA4" w:rsidRPr="00972E19">
        <w:rPr>
          <w:rFonts w:asciiTheme="minorHAnsi" w:hAnsiTheme="minorHAnsi" w:cs="Arial"/>
          <w:sz w:val="22"/>
          <w:szCs w:val="22"/>
        </w:rPr>
        <w:t>al</w:t>
      </w:r>
      <w:r w:rsidRPr="00972E19">
        <w:rPr>
          <w:rFonts w:asciiTheme="minorHAnsi" w:hAnsiTheme="minorHAnsi" w:cs="Arial"/>
          <w:sz w:val="22"/>
          <w:szCs w:val="22"/>
        </w:rPr>
        <w:t xml:space="preserve"> avenue will be through a </w:t>
      </w:r>
      <w:r w:rsidR="00070CA4" w:rsidRPr="00972E19">
        <w:rPr>
          <w:rFonts w:asciiTheme="minorHAnsi" w:hAnsiTheme="minorHAnsi" w:cs="Arial"/>
          <w:sz w:val="22"/>
          <w:szCs w:val="22"/>
        </w:rPr>
        <w:t>news</w:t>
      </w:r>
      <w:r w:rsidRPr="00972E19">
        <w:rPr>
          <w:rFonts w:asciiTheme="minorHAnsi" w:hAnsiTheme="minorHAnsi" w:cs="Arial"/>
          <w:sz w:val="22"/>
          <w:szCs w:val="22"/>
        </w:rPr>
        <w:t xml:space="preserve"> release directing interested parties to the survey on the agency’s web page.  The </w:t>
      </w:r>
      <w:r w:rsidR="00070CA4" w:rsidRPr="00972E19">
        <w:rPr>
          <w:rFonts w:asciiTheme="minorHAnsi" w:hAnsiTheme="minorHAnsi" w:cs="Arial"/>
          <w:sz w:val="22"/>
          <w:szCs w:val="22"/>
        </w:rPr>
        <w:t>news</w:t>
      </w:r>
      <w:r w:rsidRPr="00972E19">
        <w:rPr>
          <w:rFonts w:asciiTheme="minorHAnsi" w:hAnsiTheme="minorHAnsi" w:cs="Arial"/>
          <w:sz w:val="22"/>
          <w:szCs w:val="22"/>
        </w:rPr>
        <w:t xml:space="preserve"> release will appear on the agency’s web page and will be distributed via email to the agency’s pre-existing list of self-subscribing entities as well as a list of organizations that USITC staff thinks may have an interest in the </w:t>
      </w:r>
      <w:r w:rsidR="00B263BB">
        <w:rPr>
          <w:rFonts w:asciiTheme="minorHAnsi" w:hAnsiTheme="minorHAnsi" w:cs="Arial"/>
          <w:sz w:val="22"/>
          <w:szCs w:val="22"/>
        </w:rPr>
        <w:t>survey</w:t>
      </w:r>
      <w:bookmarkStart w:id="0" w:name="_GoBack"/>
      <w:bookmarkEnd w:id="0"/>
      <w:r w:rsidRPr="00972E19">
        <w:rPr>
          <w:rFonts w:asciiTheme="minorHAnsi" w:hAnsiTheme="minorHAnsi" w:cs="Arial"/>
          <w:sz w:val="22"/>
          <w:szCs w:val="22"/>
        </w:rPr>
        <w:t xml:space="preserve">.  </w:t>
      </w:r>
    </w:p>
    <w:p w:rsidR="00EC79E5" w:rsidRPr="00972E19" w:rsidRDefault="00EC79E5" w:rsidP="00FF24B6">
      <w:pPr>
        <w:spacing w:after="100" w:afterAutospacing="1"/>
        <w:rPr>
          <w:rFonts w:asciiTheme="minorHAnsi" w:hAnsiTheme="minorHAnsi" w:cs="Arial"/>
          <w:b/>
          <w:sz w:val="22"/>
          <w:szCs w:val="22"/>
        </w:rPr>
      </w:pPr>
      <w:r w:rsidRPr="00972E19">
        <w:rPr>
          <w:rFonts w:asciiTheme="minorHAnsi" w:hAnsiTheme="minorHAnsi" w:cs="Arial"/>
          <w:b/>
          <w:sz w:val="22"/>
          <w:szCs w:val="22"/>
        </w:rPr>
        <w:t>B. Field Testing</w:t>
      </w:r>
    </w:p>
    <w:p w:rsidR="00EC79E5" w:rsidRPr="00972E19" w:rsidRDefault="00EC79E5" w:rsidP="008A384A">
      <w:pPr>
        <w:spacing w:after="100" w:afterAutospacing="1"/>
        <w:rPr>
          <w:rFonts w:asciiTheme="minorHAnsi" w:hAnsiTheme="minorHAnsi" w:cs="Arial"/>
          <w:sz w:val="22"/>
          <w:szCs w:val="22"/>
        </w:rPr>
      </w:pPr>
      <w:r w:rsidRPr="00972E19">
        <w:rPr>
          <w:rFonts w:asciiTheme="minorHAnsi" w:hAnsiTheme="minorHAnsi" w:cs="Arial"/>
          <w:sz w:val="22"/>
          <w:szCs w:val="22"/>
        </w:rPr>
        <w:t xml:space="preserve">In </w:t>
      </w:r>
      <w:r w:rsidR="00D90267">
        <w:rPr>
          <w:rFonts w:asciiTheme="minorHAnsi" w:hAnsiTheme="minorHAnsi" w:cs="Arial"/>
          <w:sz w:val="22"/>
          <w:szCs w:val="22"/>
        </w:rPr>
        <w:t xml:space="preserve">May </w:t>
      </w:r>
      <w:r w:rsidRPr="00972E19">
        <w:rPr>
          <w:rFonts w:asciiTheme="minorHAnsi" w:hAnsiTheme="minorHAnsi" w:cs="Arial"/>
          <w:sz w:val="22"/>
          <w:szCs w:val="22"/>
        </w:rPr>
        <w:t>201</w:t>
      </w:r>
      <w:r w:rsidR="0079002C">
        <w:rPr>
          <w:rFonts w:asciiTheme="minorHAnsi" w:hAnsiTheme="minorHAnsi" w:cs="Arial"/>
          <w:sz w:val="22"/>
          <w:szCs w:val="22"/>
        </w:rPr>
        <w:t>5</w:t>
      </w:r>
      <w:r w:rsidRPr="00972E19">
        <w:rPr>
          <w:rFonts w:asciiTheme="minorHAnsi" w:hAnsiTheme="minorHAnsi" w:cs="Arial"/>
          <w:sz w:val="22"/>
          <w:szCs w:val="22"/>
        </w:rPr>
        <w:t xml:space="preserve"> the USITC field tested the survey with regard to scope and clarity of questions.  Individuals with the organizations presented in the table below were identified as participants for field testing of the survey.  </w:t>
      </w:r>
    </w:p>
    <w:tbl>
      <w:tblPr>
        <w:tblStyle w:val="TableGrid"/>
        <w:tblW w:w="0" w:type="auto"/>
        <w:tblLook w:val="04A0" w:firstRow="1" w:lastRow="0" w:firstColumn="1" w:lastColumn="0" w:noHBand="0" w:noVBand="1"/>
      </w:tblPr>
      <w:tblGrid>
        <w:gridCol w:w="2358"/>
        <w:gridCol w:w="4181"/>
        <w:gridCol w:w="3037"/>
      </w:tblGrid>
      <w:tr w:rsidR="00EC79E5" w:rsidRPr="00972E19" w:rsidTr="00631F56">
        <w:tc>
          <w:tcPr>
            <w:tcW w:w="2358" w:type="dxa"/>
            <w:shd w:val="clear" w:color="auto" w:fill="EEECE1" w:themeFill="background2"/>
          </w:tcPr>
          <w:p w:rsidR="00EC79E5" w:rsidRPr="00972E19" w:rsidRDefault="00EC79E5" w:rsidP="00C572BF">
            <w:pPr>
              <w:spacing w:after="100" w:afterAutospacing="1"/>
              <w:jc w:val="center"/>
              <w:rPr>
                <w:rFonts w:asciiTheme="minorHAnsi" w:hAnsiTheme="minorHAnsi" w:cs="Arial"/>
                <w:sz w:val="22"/>
                <w:szCs w:val="22"/>
              </w:rPr>
            </w:pPr>
            <w:r w:rsidRPr="00972E19">
              <w:rPr>
                <w:rFonts w:asciiTheme="minorHAnsi" w:hAnsiTheme="minorHAnsi" w:cs="Arial"/>
                <w:sz w:val="22"/>
                <w:szCs w:val="22"/>
              </w:rPr>
              <w:t>Name</w:t>
            </w:r>
          </w:p>
        </w:tc>
        <w:tc>
          <w:tcPr>
            <w:tcW w:w="4181" w:type="dxa"/>
            <w:shd w:val="clear" w:color="auto" w:fill="EEECE1" w:themeFill="background2"/>
          </w:tcPr>
          <w:p w:rsidR="00EC79E5" w:rsidRPr="00972E19" w:rsidRDefault="00EC79E5" w:rsidP="00C572BF">
            <w:pPr>
              <w:spacing w:after="100" w:afterAutospacing="1"/>
              <w:jc w:val="center"/>
              <w:rPr>
                <w:rFonts w:asciiTheme="minorHAnsi" w:hAnsiTheme="minorHAnsi" w:cs="Arial"/>
                <w:sz w:val="22"/>
                <w:szCs w:val="22"/>
              </w:rPr>
            </w:pPr>
            <w:r w:rsidRPr="00972E19">
              <w:rPr>
                <w:rFonts w:asciiTheme="minorHAnsi" w:hAnsiTheme="minorHAnsi" w:cs="Arial"/>
                <w:sz w:val="22"/>
                <w:szCs w:val="22"/>
              </w:rPr>
              <w:t>Organization</w:t>
            </w:r>
          </w:p>
        </w:tc>
        <w:tc>
          <w:tcPr>
            <w:tcW w:w="3037" w:type="dxa"/>
            <w:shd w:val="clear" w:color="auto" w:fill="EEECE1" w:themeFill="background2"/>
          </w:tcPr>
          <w:p w:rsidR="00EC79E5" w:rsidRPr="00972E19" w:rsidRDefault="00EC79E5" w:rsidP="00C572BF">
            <w:pPr>
              <w:spacing w:after="100" w:afterAutospacing="1"/>
              <w:jc w:val="center"/>
              <w:rPr>
                <w:rFonts w:asciiTheme="minorHAnsi" w:hAnsiTheme="minorHAnsi" w:cs="Arial"/>
                <w:sz w:val="22"/>
                <w:szCs w:val="22"/>
              </w:rPr>
            </w:pPr>
            <w:r w:rsidRPr="00972E19">
              <w:rPr>
                <w:rFonts w:asciiTheme="minorHAnsi" w:hAnsiTheme="minorHAnsi" w:cs="Arial"/>
                <w:sz w:val="22"/>
                <w:szCs w:val="22"/>
              </w:rPr>
              <w:t>Email Address</w:t>
            </w:r>
          </w:p>
        </w:tc>
      </w:tr>
      <w:tr w:rsidR="00EC79E5" w:rsidRPr="00972E19" w:rsidTr="00631F56">
        <w:tc>
          <w:tcPr>
            <w:tcW w:w="2358" w:type="dxa"/>
          </w:tcPr>
          <w:p w:rsidR="00EC79E5" w:rsidRPr="00972E19" w:rsidRDefault="0079002C" w:rsidP="00631F56">
            <w:pPr>
              <w:spacing w:after="100" w:afterAutospacing="1"/>
              <w:rPr>
                <w:rFonts w:asciiTheme="minorHAnsi" w:hAnsiTheme="minorHAnsi" w:cs="Arial"/>
                <w:sz w:val="22"/>
                <w:szCs w:val="22"/>
              </w:rPr>
            </w:pPr>
            <w:r>
              <w:rPr>
                <w:rFonts w:asciiTheme="minorHAnsi" w:hAnsiTheme="minorHAnsi" w:cs="Arial"/>
                <w:sz w:val="22"/>
                <w:szCs w:val="22"/>
              </w:rPr>
              <w:t xml:space="preserve">Alan Price </w:t>
            </w:r>
            <w:r w:rsidR="00631F56">
              <w:rPr>
                <w:rFonts w:asciiTheme="minorHAnsi" w:hAnsiTheme="minorHAnsi" w:cs="Arial"/>
                <w:sz w:val="22"/>
                <w:szCs w:val="22"/>
              </w:rPr>
              <w:t>and</w:t>
            </w:r>
            <w:r>
              <w:rPr>
                <w:rFonts w:asciiTheme="minorHAnsi" w:hAnsiTheme="minorHAnsi" w:cs="Arial"/>
                <w:sz w:val="22"/>
                <w:szCs w:val="22"/>
              </w:rPr>
              <w:t xml:space="preserve"> Maureen Thorson</w:t>
            </w:r>
          </w:p>
        </w:tc>
        <w:tc>
          <w:tcPr>
            <w:tcW w:w="4181" w:type="dxa"/>
          </w:tcPr>
          <w:p w:rsidR="00EC79E5" w:rsidRPr="00972E19" w:rsidRDefault="0079002C" w:rsidP="008A384A">
            <w:pPr>
              <w:spacing w:after="100" w:afterAutospacing="1"/>
              <w:rPr>
                <w:rFonts w:asciiTheme="minorHAnsi" w:hAnsiTheme="minorHAnsi" w:cs="Arial"/>
                <w:sz w:val="22"/>
                <w:szCs w:val="22"/>
              </w:rPr>
            </w:pPr>
            <w:r>
              <w:rPr>
                <w:rFonts w:asciiTheme="minorHAnsi" w:hAnsiTheme="minorHAnsi" w:cs="Arial"/>
                <w:sz w:val="22"/>
                <w:szCs w:val="22"/>
              </w:rPr>
              <w:t>Wiley Rein</w:t>
            </w:r>
            <w:r w:rsidR="00BF13AA">
              <w:rPr>
                <w:rFonts w:asciiTheme="minorHAnsi" w:hAnsiTheme="minorHAnsi" w:cs="Arial"/>
                <w:sz w:val="22"/>
                <w:szCs w:val="22"/>
              </w:rPr>
              <w:t xml:space="preserve"> LLP</w:t>
            </w:r>
          </w:p>
        </w:tc>
        <w:tc>
          <w:tcPr>
            <w:tcW w:w="3037" w:type="dxa"/>
          </w:tcPr>
          <w:p w:rsidR="0079002C" w:rsidRPr="00972E19" w:rsidRDefault="00667E29" w:rsidP="0079002C">
            <w:pPr>
              <w:spacing w:after="100" w:afterAutospacing="1"/>
              <w:rPr>
                <w:rFonts w:asciiTheme="minorHAnsi" w:hAnsiTheme="minorHAnsi" w:cs="Arial"/>
                <w:sz w:val="22"/>
                <w:szCs w:val="22"/>
              </w:rPr>
            </w:pPr>
            <w:hyperlink r:id="rId9" w:history="1">
              <w:r w:rsidR="0079002C" w:rsidRPr="00DC108D">
                <w:rPr>
                  <w:rStyle w:val="Hyperlink"/>
                  <w:rFonts w:asciiTheme="minorHAnsi" w:hAnsiTheme="minorHAnsi" w:cs="Arial"/>
                  <w:sz w:val="22"/>
                  <w:szCs w:val="22"/>
                </w:rPr>
                <w:t>aprice@wileyrein.com</w:t>
              </w:r>
            </w:hyperlink>
          </w:p>
        </w:tc>
      </w:tr>
      <w:tr w:rsidR="00EC79E5" w:rsidRPr="00972E19" w:rsidTr="00631F56">
        <w:tc>
          <w:tcPr>
            <w:tcW w:w="2358" w:type="dxa"/>
          </w:tcPr>
          <w:p w:rsidR="00EC79E5" w:rsidRPr="00972E19" w:rsidRDefault="00BF13AA" w:rsidP="00BF13AA">
            <w:pPr>
              <w:spacing w:after="100" w:afterAutospacing="1"/>
              <w:rPr>
                <w:rFonts w:asciiTheme="minorHAnsi" w:hAnsiTheme="minorHAnsi" w:cs="Arial"/>
                <w:sz w:val="22"/>
                <w:szCs w:val="22"/>
              </w:rPr>
            </w:pPr>
            <w:r>
              <w:rPr>
                <w:rFonts w:asciiTheme="minorHAnsi" w:hAnsiTheme="minorHAnsi" w:cs="Arial"/>
                <w:sz w:val="22"/>
                <w:szCs w:val="22"/>
              </w:rPr>
              <w:t>Stephen Vaughn</w:t>
            </w:r>
          </w:p>
        </w:tc>
        <w:tc>
          <w:tcPr>
            <w:tcW w:w="4181" w:type="dxa"/>
          </w:tcPr>
          <w:p w:rsidR="00EC79E5" w:rsidRPr="00972E19" w:rsidRDefault="00BF13AA" w:rsidP="00702245">
            <w:pPr>
              <w:spacing w:after="100" w:afterAutospacing="1"/>
              <w:rPr>
                <w:rFonts w:asciiTheme="minorHAnsi" w:hAnsiTheme="minorHAnsi" w:cs="Arial"/>
                <w:sz w:val="22"/>
                <w:szCs w:val="22"/>
              </w:rPr>
            </w:pPr>
            <w:r w:rsidRPr="00BF13AA">
              <w:rPr>
                <w:rFonts w:asciiTheme="minorHAnsi" w:hAnsiTheme="minorHAnsi" w:cs="Arial"/>
                <w:sz w:val="22"/>
                <w:szCs w:val="22"/>
              </w:rPr>
              <w:t xml:space="preserve">Skadden, Arps, Slate, Meagher &amp; Flom LLP </w:t>
            </w:r>
          </w:p>
        </w:tc>
        <w:tc>
          <w:tcPr>
            <w:tcW w:w="3037" w:type="dxa"/>
          </w:tcPr>
          <w:p w:rsidR="00BF13AA" w:rsidRPr="00972E19" w:rsidRDefault="00667E29" w:rsidP="00BF13AA">
            <w:pPr>
              <w:spacing w:after="100" w:afterAutospacing="1"/>
              <w:rPr>
                <w:rFonts w:asciiTheme="minorHAnsi" w:hAnsiTheme="minorHAnsi" w:cs="Arial"/>
                <w:sz w:val="22"/>
                <w:szCs w:val="22"/>
              </w:rPr>
            </w:pPr>
            <w:hyperlink r:id="rId10" w:history="1">
              <w:r w:rsidR="00BF13AA" w:rsidRPr="00DC108D">
                <w:rPr>
                  <w:rStyle w:val="Hyperlink"/>
                  <w:rFonts w:asciiTheme="minorHAnsi" w:hAnsiTheme="minorHAnsi" w:cs="Arial"/>
                  <w:sz w:val="22"/>
                  <w:szCs w:val="22"/>
                </w:rPr>
                <w:t>stephen.vaughn@skadden.com</w:t>
              </w:r>
            </w:hyperlink>
          </w:p>
        </w:tc>
      </w:tr>
      <w:tr w:rsidR="00EC79E5" w:rsidRPr="00972E19" w:rsidTr="00631F56">
        <w:tc>
          <w:tcPr>
            <w:tcW w:w="2358" w:type="dxa"/>
          </w:tcPr>
          <w:p w:rsidR="00EC79E5" w:rsidRPr="00972E19" w:rsidRDefault="00BF13AA" w:rsidP="008A384A">
            <w:pPr>
              <w:spacing w:after="100" w:afterAutospacing="1"/>
              <w:rPr>
                <w:rFonts w:asciiTheme="minorHAnsi" w:hAnsiTheme="minorHAnsi" w:cs="Arial"/>
                <w:sz w:val="22"/>
                <w:szCs w:val="22"/>
              </w:rPr>
            </w:pPr>
            <w:r>
              <w:rPr>
                <w:rFonts w:asciiTheme="minorHAnsi" w:hAnsiTheme="minorHAnsi" w:cs="Arial"/>
                <w:sz w:val="22"/>
                <w:szCs w:val="22"/>
              </w:rPr>
              <w:t>Joseph Dorn</w:t>
            </w:r>
          </w:p>
        </w:tc>
        <w:tc>
          <w:tcPr>
            <w:tcW w:w="4181" w:type="dxa"/>
          </w:tcPr>
          <w:p w:rsidR="00EC79E5" w:rsidRPr="00972E19" w:rsidRDefault="00702245" w:rsidP="008A384A">
            <w:pPr>
              <w:spacing w:after="100" w:afterAutospacing="1"/>
              <w:rPr>
                <w:rFonts w:asciiTheme="minorHAnsi" w:hAnsiTheme="minorHAnsi" w:cs="Arial"/>
                <w:sz w:val="22"/>
                <w:szCs w:val="22"/>
              </w:rPr>
            </w:pPr>
            <w:r w:rsidRPr="00702245">
              <w:rPr>
                <w:rFonts w:asciiTheme="minorHAnsi" w:hAnsiTheme="minorHAnsi" w:cs="Arial"/>
                <w:sz w:val="22"/>
                <w:szCs w:val="22"/>
              </w:rPr>
              <w:t>King &amp; Spalding</w:t>
            </w:r>
          </w:p>
        </w:tc>
        <w:tc>
          <w:tcPr>
            <w:tcW w:w="3037" w:type="dxa"/>
          </w:tcPr>
          <w:p w:rsidR="00702245" w:rsidRPr="00972E19" w:rsidRDefault="00667E29" w:rsidP="00702245">
            <w:pPr>
              <w:spacing w:after="100" w:afterAutospacing="1"/>
              <w:rPr>
                <w:rFonts w:asciiTheme="minorHAnsi" w:hAnsiTheme="minorHAnsi" w:cs="Arial"/>
                <w:sz w:val="22"/>
                <w:szCs w:val="22"/>
              </w:rPr>
            </w:pPr>
            <w:hyperlink r:id="rId11" w:history="1">
              <w:r w:rsidR="00702245" w:rsidRPr="00DC108D">
                <w:rPr>
                  <w:rStyle w:val="Hyperlink"/>
                  <w:rFonts w:asciiTheme="minorHAnsi" w:hAnsiTheme="minorHAnsi" w:cs="Arial"/>
                  <w:sz w:val="22"/>
                  <w:szCs w:val="22"/>
                </w:rPr>
                <w:t>jdorn@kslaw.com</w:t>
              </w:r>
            </w:hyperlink>
          </w:p>
        </w:tc>
      </w:tr>
      <w:tr w:rsidR="00EC79E5" w:rsidRPr="00972E19" w:rsidTr="00631F56">
        <w:tc>
          <w:tcPr>
            <w:tcW w:w="2358" w:type="dxa"/>
          </w:tcPr>
          <w:p w:rsidR="00EC79E5" w:rsidRPr="00972E19" w:rsidRDefault="009F7BEA" w:rsidP="008A384A">
            <w:pPr>
              <w:spacing w:after="100" w:afterAutospacing="1"/>
              <w:rPr>
                <w:rFonts w:asciiTheme="minorHAnsi" w:hAnsiTheme="minorHAnsi" w:cs="Arial"/>
                <w:sz w:val="22"/>
                <w:szCs w:val="22"/>
              </w:rPr>
            </w:pPr>
            <w:r>
              <w:rPr>
                <w:rFonts w:asciiTheme="minorHAnsi" w:hAnsiTheme="minorHAnsi" w:cs="Arial"/>
                <w:sz w:val="22"/>
                <w:szCs w:val="22"/>
              </w:rPr>
              <w:t>Daniel Klett</w:t>
            </w:r>
          </w:p>
        </w:tc>
        <w:tc>
          <w:tcPr>
            <w:tcW w:w="4181" w:type="dxa"/>
          </w:tcPr>
          <w:p w:rsidR="00EC79E5" w:rsidRPr="00972E19" w:rsidRDefault="00702245" w:rsidP="008A384A">
            <w:pPr>
              <w:spacing w:after="100" w:afterAutospacing="1"/>
              <w:rPr>
                <w:rFonts w:asciiTheme="minorHAnsi" w:hAnsiTheme="minorHAnsi" w:cs="Arial"/>
                <w:sz w:val="22"/>
                <w:szCs w:val="22"/>
              </w:rPr>
            </w:pPr>
            <w:r w:rsidRPr="00702245">
              <w:rPr>
                <w:rFonts w:asciiTheme="minorHAnsi" w:hAnsiTheme="minorHAnsi" w:cs="Arial"/>
                <w:sz w:val="22"/>
                <w:szCs w:val="22"/>
              </w:rPr>
              <w:t>Capital Trade Inc.</w:t>
            </w:r>
          </w:p>
        </w:tc>
        <w:tc>
          <w:tcPr>
            <w:tcW w:w="3037" w:type="dxa"/>
          </w:tcPr>
          <w:p w:rsidR="009F7BEA" w:rsidRPr="00972E19" w:rsidRDefault="00667E29" w:rsidP="009F7BEA">
            <w:pPr>
              <w:spacing w:after="100" w:afterAutospacing="1"/>
              <w:rPr>
                <w:rFonts w:asciiTheme="minorHAnsi" w:hAnsiTheme="minorHAnsi" w:cs="Arial"/>
                <w:sz w:val="22"/>
                <w:szCs w:val="22"/>
              </w:rPr>
            </w:pPr>
            <w:hyperlink r:id="rId12" w:history="1">
              <w:r w:rsidR="009F7BEA" w:rsidRPr="00DC108D">
                <w:rPr>
                  <w:rStyle w:val="Hyperlink"/>
                  <w:rFonts w:asciiTheme="minorHAnsi" w:hAnsiTheme="minorHAnsi" w:cs="Arial"/>
                  <w:sz w:val="22"/>
                  <w:szCs w:val="22"/>
                </w:rPr>
                <w:t>dklett@captrade.com</w:t>
              </w:r>
            </w:hyperlink>
          </w:p>
        </w:tc>
      </w:tr>
      <w:tr w:rsidR="0079002C" w:rsidRPr="00972E19" w:rsidTr="00631F56">
        <w:tc>
          <w:tcPr>
            <w:tcW w:w="2358" w:type="dxa"/>
          </w:tcPr>
          <w:p w:rsidR="0079002C" w:rsidRPr="00972E19" w:rsidRDefault="00BF13AA" w:rsidP="008A384A">
            <w:pPr>
              <w:spacing w:after="100" w:afterAutospacing="1"/>
              <w:rPr>
                <w:rFonts w:asciiTheme="minorHAnsi" w:hAnsiTheme="minorHAnsi" w:cs="Arial"/>
                <w:sz w:val="22"/>
                <w:szCs w:val="22"/>
              </w:rPr>
            </w:pPr>
            <w:r>
              <w:rPr>
                <w:rFonts w:asciiTheme="minorHAnsi" w:hAnsiTheme="minorHAnsi" w:cs="Arial"/>
                <w:sz w:val="22"/>
                <w:szCs w:val="22"/>
              </w:rPr>
              <w:t>Walter Spak</w:t>
            </w:r>
          </w:p>
        </w:tc>
        <w:tc>
          <w:tcPr>
            <w:tcW w:w="4181" w:type="dxa"/>
          </w:tcPr>
          <w:p w:rsidR="0079002C" w:rsidRPr="00972E19" w:rsidRDefault="009F7BEA" w:rsidP="008A384A">
            <w:pPr>
              <w:spacing w:after="100" w:afterAutospacing="1"/>
              <w:rPr>
                <w:rFonts w:asciiTheme="minorHAnsi" w:hAnsiTheme="minorHAnsi" w:cs="Arial"/>
                <w:sz w:val="22"/>
                <w:szCs w:val="22"/>
              </w:rPr>
            </w:pPr>
            <w:r w:rsidRPr="009F7BEA">
              <w:rPr>
                <w:rFonts w:asciiTheme="minorHAnsi" w:hAnsiTheme="minorHAnsi" w:cs="Arial"/>
                <w:sz w:val="22"/>
                <w:szCs w:val="22"/>
              </w:rPr>
              <w:t>White &amp; Case LLP</w:t>
            </w:r>
          </w:p>
        </w:tc>
        <w:tc>
          <w:tcPr>
            <w:tcW w:w="3037" w:type="dxa"/>
          </w:tcPr>
          <w:p w:rsidR="00BF13AA" w:rsidRPr="00972E19" w:rsidRDefault="00667E29" w:rsidP="00BF13AA">
            <w:pPr>
              <w:spacing w:after="100" w:afterAutospacing="1"/>
              <w:rPr>
                <w:rFonts w:asciiTheme="minorHAnsi" w:hAnsiTheme="minorHAnsi" w:cs="Arial"/>
                <w:sz w:val="22"/>
                <w:szCs w:val="22"/>
              </w:rPr>
            </w:pPr>
            <w:hyperlink r:id="rId13" w:history="1">
              <w:r w:rsidR="00BF13AA" w:rsidRPr="00DC108D">
                <w:rPr>
                  <w:rStyle w:val="Hyperlink"/>
                  <w:rFonts w:asciiTheme="minorHAnsi" w:hAnsiTheme="minorHAnsi" w:cs="Arial"/>
                  <w:sz w:val="22"/>
                  <w:szCs w:val="22"/>
                </w:rPr>
                <w:t>wspak@whitecase.com</w:t>
              </w:r>
            </w:hyperlink>
          </w:p>
        </w:tc>
      </w:tr>
      <w:tr w:rsidR="00EC79E5" w:rsidRPr="00972E19" w:rsidTr="00631F56">
        <w:tc>
          <w:tcPr>
            <w:tcW w:w="2358" w:type="dxa"/>
          </w:tcPr>
          <w:p w:rsidR="00EC79E5" w:rsidRPr="00972E19" w:rsidRDefault="00BF13AA" w:rsidP="008A384A">
            <w:pPr>
              <w:spacing w:after="100" w:afterAutospacing="1"/>
              <w:rPr>
                <w:rFonts w:asciiTheme="minorHAnsi" w:hAnsiTheme="minorHAnsi" w:cs="Arial"/>
                <w:sz w:val="22"/>
                <w:szCs w:val="22"/>
              </w:rPr>
            </w:pPr>
            <w:r>
              <w:rPr>
                <w:rFonts w:asciiTheme="minorHAnsi" w:hAnsiTheme="minorHAnsi" w:cs="Arial"/>
                <w:sz w:val="22"/>
                <w:szCs w:val="22"/>
              </w:rPr>
              <w:t>William Connelly</w:t>
            </w:r>
          </w:p>
        </w:tc>
        <w:tc>
          <w:tcPr>
            <w:tcW w:w="4181" w:type="dxa"/>
          </w:tcPr>
          <w:p w:rsidR="00EC79E5" w:rsidRPr="00972E19" w:rsidRDefault="00BF13AA" w:rsidP="008A384A">
            <w:pPr>
              <w:spacing w:after="100" w:afterAutospacing="1"/>
              <w:rPr>
                <w:rFonts w:asciiTheme="minorHAnsi" w:hAnsiTheme="minorHAnsi" w:cs="Arial"/>
                <w:sz w:val="22"/>
                <w:szCs w:val="22"/>
              </w:rPr>
            </w:pPr>
            <w:r w:rsidRPr="00BF13AA">
              <w:rPr>
                <w:rFonts w:asciiTheme="minorHAnsi" w:hAnsiTheme="minorHAnsi" w:cs="Arial"/>
                <w:sz w:val="22"/>
                <w:szCs w:val="22"/>
              </w:rPr>
              <w:t>Akin Gump Strauss Hauer &amp; Feld LLP</w:t>
            </w:r>
          </w:p>
        </w:tc>
        <w:tc>
          <w:tcPr>
            <w:tcW w:w="3037" w:type="dxa"/>
          </w:tcPr>
          <w:p w:rsidR="00BF13AA" w:rsidRPr="00972E19" w:rsidRDefault="00667E29" w:rsidP="00BF13AA">
            <w:pPr>
              <w:spacing w:after="100" w:afterAutospacing="1"/>
              <w:rPr>
                <w:rFonts w:asciiTheme="minorHAnsi" w:hAnsiTheme="minorHAnsi" w:cs="Arial"/>
                <w:sz w:val="22"/>
                <w:szCs w:val="22"/>
              </w:rPr>
            </w:pPr>
            <w:hyperlink r:id="rId14" w:history="1">
              <w:r w:rsidR="00BF13AA" w:rsidRPr="00DC108D">
                <w:rPr>
                  <w:rStyle w:val="Hyperlink"/>
                  <w:rFonts w:asciiTheme="minorHAnsi" w:hAnsiTheme="minorHAnsi" w:cs="Arial"/>
                  <w:sz w:val="22"/>
                  <w:szCs w:val="22"/>
                </w:rPr>
                <w:t>wconnelly@akingump.com</w:t>
              </w:r>
            </w:hyperlink>
          </w:p>
        </w:tc>
      </w:tr>
    </w:tbl>
    <w:p w:rsidR="00EC79E5" w:rsidRPr="00972E19" w:rsidRDefault="00EC79E5" w:rsidP="008A384A">
      <w:pPr>
        <w:spacing w:after="100" w:afterAutospacing="1"/>
        <w:rPr>
          <w:rFonts w:asciiTheme="minorHAnsi" w:hAnsiTheme="minorHAnsi" w:cs="Arial"/>
          <w:sz w:val="22"/>
          <w:szCs w:val="22"/>
        </w:rPr>
      </w:pPr>
    </w:p>
    <w:p w:rsidR="00252825" w:rsidRPr="00972E19" w:rsidRDefault="00631F56" w:rsidP="0021793C">
      <w:pPr>
        <w:spacing w:after="100" w:afterAutospacing="1"/>
        <w:rPr>
          <w:rFonts w:asciiTheme="minorHAnsi" w:hAnsiTheme="minorHAnsi" w:cs="Arial"/>
          <w:sz w:val="22"/>
          <w:szCs w:val="22"/>
        </w:rPr>
      </w:pPr>
      <w:r>
        <w:rPr>
          <w:rFonts w:asciiTheme="minorHAnsi" w:hAnsiTheme="minorHAnsi" w:cs="Arial"/>
          <w:sz w:val="22"/>
          <w:szCs w:val="22"/>
        </w:rPr>
        <w:t xml:space="preserve">The following </w:t>
      </w:r>
      <w:r w:rsidR="00EC79E5" w:rsidRPr="00972E19">
        <w:rPr>
          <w:rFonts w:asciiTheme="minorHAnsi" w:hAnsiTheme="minorHAnsi" w:cs="Arial"/>
          <w:sz w:val="22"/>
          <w:szCs w:val="22"/>
        </w:rPr>
        <w:t xml:space="preserve">table </w:t>
      </w:r>
      <w:r>
        <w:rPr>
          <w:rFonts w:asciiTheme="minorHAnsi" w:hAnsiTheme="minorHAnsi" w:cs="Arial"/>
          <w:sz w:val="22"/>
          <w:szCs w:val="22"/>
        </w:rPr>
        <w:t xml:space="preserve">presents comments </w:t>
      </w:r>
      <w:r w:rsidR="00EC79E5" w:rsidRPr="00972E19">
        <w:rPr>
          <w:rFonts w:asciiTheme="minorHAnsi" w:hAnsiTheme="minorHAnsi" w:cs="Arial"/>
          <w:sz w:val="22"/>
          <w:szCs w:val="22"/>
        </w:rPr>
        <w:t>from field test participants and actions taken in response to those comments.  Comments on the survey were received from</w:t>
      </w:r>
      <w:r>
        <w:rPr>
          <w:rFonts w:asciiTheme="minorHAnsi" w:hAnsiTheme="minorHAnsi" w:cs="Arial"/>
          <w:sz w:val="22"/>
          <w:szCs w:val="22"/>
        </w:rPr>
        <w:t xml:space="preserve"> Ms. Thorsen, Mr. Dorn, and Mr. Klett.  In addition, Mr. Vaughn completed the draft survey but did not provide comments</w:t>
      </w:r>
      <w:r w:rsidR="00EC79E5" w:rsidRPr="00972E19">
        <w:rPr>
          <w:rFonts w:asciiTheme="minorHAnsi" w:hAnsiTheme="minorHAnsi" w:cs="Arial"/>
          <w:sz w:val="22"/>
          <w:szCs w:val="22"/>
        </w:rPr>
        <w:t xml:space="preserve">. </w:t>
      </w:r>
    </w:p>
    <w:tbl>
      <w:tblPr>
        <w:tblStyle w:val="TableGrid"/>
        <w:tblW w:w="0" w:type="auto"/>
        <w:tblLook w:val="04A0" w:firstRow="1" w:lastRow="0" w:firstColumn="1" w:lastColumn="0" w:noHBand="0" w:noVBand="1"/>
      </w:tblPr>
      <w:tblGrid>
        <w:gridCol w:w="1368"/>
        <w:gridCol w:w="5490"/>
        <w:gridCol w:w="2718"/>
      </w:tblGrid>
      <w:tr w:rsidR="00EC79E5" w:rsidRPr="00972E19" w:rsidTr="004918FE">
        <w:tc>
          <w:tcPr>
            <w:tcW w:w="1368" w:type="dxa"/>
            <w:shd w:val="clear" w:color="auto" w:fill="EEECE1" w:themeFill="background2"/>
          </w:tcPr>
          <w:p w:rsidR="00EC79E5" w:rsidRPr="00972E19" w:rsidRDefault="00EC79E5" w:rsidP="00684705">
            <w:pPr>
              <w:spacing w:after="100" w:afterAutospacing="1"/>
              <w:jc w:val="center"/>
              <w:rPr>
                <w:rFonts w:asciiTheme="minorHAnsi" w:hAnsiTheme="minorHAnsi" w:cs="Arial"/>
                <w:sz w:val="22"/>
                <w:szCs w:val="22"/>
              </w:rPr>
            </w:pPr>
            <w:r w:rsidRPr="00972E19">
              <w:rPr>
                <w:rFonts w:asciiTheme="minorHAnsi" w:hAnsiTheme="minorHAnsi" w:cs="Arial"/>
                <w:sz w:val="22"/>
                <w:szCs w:val="22"/>
              </w:rPr>
              <w:t>Field Tester</w:t>
            </w:r>
          </w:p>
        </w:tc>
        <w:tc>
          <w:tcPr>
            <w:tcW w:w="5490" w:type="dxa"/>
            <w:shd w:val="clear" w:color="auto" w:fill="EEECE1" w:themeFill="background2"/>
          </w:tcPr>
          <w:p w:rsidR="00EC79E5" w:rsidRPr="00972E19" w:rsidRDefault="00EC79E5" w:rsidP="00684705">
            <w:pPr>
              <w:spacing w:after="100" w:afterAutospacing="1"/>
              <w:jc w:val="center"/>
              <w:rPr>
                <w:rFonts w:asciiTheme="minorHAnsi" w:hAnsiTheme="minorHAnsi" w:cs="Arial"/>
                <w:sz w:val="22"/>
                <w:szCs w:val="22"/>
              </w:rPr>
            </w:pPr>
            <w:r w:rsidRPr="00972E19">
              <w:rPr>
                <w:rFonts w:asciiTheme="minorHAnsi" w:hAnsiTheme="minorHAnsi" w:cs="Arial"/>
                <w:sz w:val="22"/>
                <w:szCs w:val="22"/>
              </w:rPr>
              <w:t>Recommendation</w:t>
            </w:r>
          </w:p>
        </w:tc>
        <w:tc>
          <w:tcPr>
            <w:tcW w:w="2718" w:type="dxa"/>
            <w:shd w:val="clear" w:color="auto" w:fill="EEECE1" w:themeFill="background2"/>
          </w:tcPr>
          <w:p w:rsidR="00EC79E5" w:rsidRPr="00972E19" w:rsidRDefault="00EC79E5" w:rsidP="00CD639D">
            <w:pPr>
              <w:spacing w:after="100" w:afterAutospacing="1"/>
              <w:jc w:val="center"/>
              <w:rPr>
                <w:rFonts w:asciiTheme="minorHAnsi" w:hAnsiTheme="minorHAnsi" w:cs="Arial"/>
                <w:sz w:val="22"/>
                <w:szCs w:val="22"/>
              </w:rPr>
            </w:pPr>
            <w:r w:rsidRPr="00972E19">
              <w:rPr>
                <w:rFonts w:asciiTheme="minorHAnsi" w:hAnsiTheme="minorHAnsi" w:cs="Arial"/>
                <w:sz w:val="22"/>
                <w:szCs w:val="22"/>
              </w:rPr>
              <w:t>Comment/Solution</w:t>
            </w:r>
          </w:p>
        </w:tc>
      </w:tr>
      <w:tr w:rsidR="00EC79E5" w:rsidRPr="00EA0B89" w:rsidTr="004918FE">
        <w:tc>
          <w:tcPr>
            <w:tcW w:w="1368" w:type="dxa"/>
          </w:tcPr>
          <w:p w:rsidR="00EC79E5" w:rsidRPr="00972E19" w:rsidRDefault="00EA0B89" w:rsidP="00EA0B89">
            <w:pPr>
              <w:spacing w:after="100" w:afterAutospacing="1"/>
              <w:rPr>
                <w:rFonts w:asciiTheme="minorHAnsi" w:hAnsiTheme="minorHAnsi" w:cs="Arial"/>
                <w:sz w:val="22"/>
                <w:szCs w:val="22"/>
              </w:rPr>
            </w:pPr>
            <w:r>
              <w:rPr>
                <w:rFonts w:asciiTheme="minorHAnsi" w:hAnsiTheme="minorHAnsi" w:cs="Arial"/>
                <w:sz w:val="22"/>
                <w:szCs w:val="22"/>
              </w:rPr>
              <w:t>Joseph Dorn</w:t>
            </w:r>
          </w:p>
        </w:tc>
        <w:tc>
          <w:tcPr>
            <w:tcW w:w="5490" w:type="dxa"/>
          </w:tcPr>
          <w:p w:rsidR="00EC79E5" w:rsidRPr="00EA0B89" w:rsidRDefault="00EA0B89" w:rsidP="001A5C49">
            <w:pPr>
              <w:rPr>
                <w:rFonts w:asciiTheme="minorHAnsi" w:hAnsiTheme="minorHAnsi"/>
                <w:bCs/>
                <w:sz w:val="22"/>
                <w:szCs w:val="22"/>
              </w:rPr>
            </w:pPr>
            <w:r w:rsidRPr="00EA0B89">
              <w:rPr>
                <w:rFonts w:asciiTheme="minorHAnsi" w:hAnsiTheme="minorHAnsi"/>
                <w:bCs/>
                <w:sz w:val="22"/>
                <w:szCs w:val="22"/>
              </w:rPr>
              <w:t xml:space="preserve">Sorry for the confusion on my end.   I think your survey is fine.  I added a couple of comments to the attached.  </w:t>
            </w:r>
            <w:r w:rsidRPr="00A9508C">
              <w:rPr>
                <w:rFonts w:asciiTheme="minorHAnsi" w:hAnsiTheme="minorHAnsi"/>
                <w:b/>
                <w:bCs/>
                <w:sz w:val="22"/>
                <w:szCs w:val="22"/>
              </w:rPr>
              <w:t>You might add a catch-all question at the end:  “Please provide any suggestions you may have for improving the questionnaires and the process for submitting them.”</w:t>
            </w:r>
          </w:p>
        </w:tc>
        <w:tc>
          <w:tcPr>
            <w:tcW w:w="2718" w:type="dxa"/>
          </w:tcPr>
          <w:p w:rsidR="00EC79E5" w:rsidRPr="00EA0B89" w:rsidRDefault="00001AF5" w:rsidP="00EA0B89">
            <w:pPr>
              <w:rPr>
                <w:rFonts w:asciiTheme="minorHAnsi" w:hAnsiTheme="minorHAnsi" w:cs="Arial"/>
                <w:sz w:val="22"/>
                <w:szCs w:val="22"/>
              </w:rPr>
            </w:pPr>
            <w:r w:rsidRPr="00EA0B89">
              <w:rPr>
                <w:rFonts w:asciiTheme="minorHAnsi" w:hAnsiTheme="minorHAnsi" w:cs="Arial"/>
                <w:sz w:val="22"/>
                <w:szCs w:val="22"/>
              </w:rPr>
              <w:t>R</w:t>
            </w:r>
            <w:r w:rsidR="001A5C49" w:rsidRPr="00EA0B89">
              <w:rPr>
                <w:rFonts w:asciiTheme="minorHAnsi" w:hAnsiTheme="minorHAnsi" w:cs="Arial"/>
                <w:sz w:val="22"/>
                <w:szCs w:val="22"/>
              </w:rPr>
              <w:t xml:space="preserve">evised </w:t>
            </w:r>
            <w:r w:rsidR="00EA0B89" w:rsidRPr="00EA0B89">
              <w:rPr>
                <w:rFonts w:asciiTheme="minorHAnsi" w:hAnsiTheme="minorHAnsi" w:cs="Arial"/>
                <w:sz w:val="22"/>
                <w:szCs w:val="22"/>
              </w:rPr>
              <w:t xml:space="preserve">survey </w:t>
            </w:r>
            <w:r w:rsidR="001A5C49" w:rsidRPr="00EA0B89">
              <w:rPr>
                <w:rFonts w:asciiTheme="minorHAnsi" w:hAnsiTheme="minorHAnsi" w:cs="Arial"/>
                <w:sz w:val="22"/>
                <w:szCs w:val="22"/>
              </w:rPr>
              <w:t xml:space="preserve">to incorporate </w:t>
            </w:r>
            <w:r w:rsidR="00EA0B89" w:rsidRPr="00EA0B89">
              <w:rPr>
                <w:rFonts w:asciiTheme="minorHAnsi" w:hAnsiTheme="minorHAnsi" w:cs="Arial"/>
                <w:sz w:val="22"/>
                <w:szCs w:val="22"/>
              </w:rPr>
              <w:t>question (#6)</w:t>
            </w:r>
            <w:r w:rsidR="001A5C49" w:rsidRPr="00EA0B89">
              <w:rPr>
                <w:rFonts w:asciiTheme="minorHAnsi" w:hAnsiTheme="minorHAnsi" w:cs="Arial"/>
                <w:sz w:val="22"/>
                <w:szCs w:val="22"/>
              </w:rPr>
              <w:t xml:space="preserve">. </w:t>
            </w:r>
          </w:p>
        </w:tc>
      </w:tr>
    </w:tbl>
    <w:p w:rsidR="00035AEF" w:rsidRDefault="00035AEF">
      <w:r>
        <w:br w:type="page"/>
      </w:r>
    </w:p>
    <w:tbl>
      <w:tblPr>
        <w:tblStyle w:val="TableGrid"/>
        <w:tblW w:w="0" w:type="auto"/>
        <w:tblLook w:val="04A0" w:firstRow="1" w:lastRow="0" w:firstColumn="1" w:lastColumn="0" w:noHBand="0" w:noVBand="1"/>
      </w:tblPr>
      <w:tblGrid>
        <w:gridCol w:w="1368"/>
        <w:gridCol w:w="5490"/>
        <w:gridCol w:w="2718"/>
      </w:tblGrid>
      <w:tr w:rsidR="001A5C49" w:rsidRPr="00EA0B89" w:rsidTr="004918FE">
        <w:tc>
          <w:tcPr>
            <w:tcW w:w="1368" w:type="dxa"/>
          </w:tcPr>
          <w:p w:rsidR="001A5C49" w:rsidRDefault="00EA0B89" w:rsidP="00744121">
            <w:pPr>
              <w:spacing w:after="100" w:afterAutospacing="1"/>
              <w:rPr>
                <w:rFonts w:asciiTheme="minorHAnsi" w:hAnsiTheme="minorHAnsi" w:cs="Arial"/>
                <w:sz w:val="22"/>
                <w:szCs w:val="22"/>
              </w:rPr>
            </w:pPr>
            <w:r>
              <w:rPr>
                <w:rFonts w:asciiTheme="minorHAnsi" w:hAnsiTheme="minorHAnsi" w:cs="Arial"/>
                <w:sz w:val="22"/>
                <w:szCs w:val="22"/>
              </w:rPr>
              <w:lastRenderedPageBreak/>
              <w:t>Daniel Klett</w:t>
            </w:r>
          </w:p>
        </w:tc>
        <w:tc>
          <w:tcPr>
            <w:tcW w:w="5490" w:type="dxa"/>
          </w:tcPr>
          <w:p w:rsidR="001A5C49" w:rsidRPr="00EA0B89" w:rsidRDefault="00EA0B89" w:rsidP="00A9508C">
            <w:pPr>
              <w:rPr>
                <w:rFonts w:asciiTheme="minorHAnsi" w:hAnsiTheme="minorHAnsi"/>
                <w:color w:val="000000" w:themeColor="text1"/>
                <w:sz w:val="22"/>
                <w:szCs w:val="22"/>
              </w:rPr>
            </w:pPr>
            <w:r w:rsidRPr="00EA0B89">
              <w:rPr>
                <w:rFonts w:asciiTheme="minorHAnsi" w:hAnsiTheme="minorHAnsi"/>
                <w:color w:val="000000" w:themeColor="text1"/>
                <w:sz w:val="22"/>
                <w:szCs w:val="22"/>
              </w:rPr>
              <w:t xml:space="preserve">I do have one suggestion with respect to clarity.  For Questions 5a and 5b, are you referring to questionnaires generally (as prior question asked about other than ITC Qs), or ITC questionnaires specifically?  I think the former, and if so maybe </w:t>
            </w:r>
            <w:r w:rsidRPr="00A9508C">
              <w:rPr>
                <w:rFonts w:asciiTheme="minorHAnsi" w:hAnsiTheme="minorHAnsi"/>
                <w:color w:val="000000" w:themeColor="text1"/>
                <w:sz w:val="22"/>
                <w:szCs w:val="22"/>
              </w:rPr>
              <w:t>add</w:t>
            </w:r>
            <w:r w:rsidRPr="00A9508C">
              <w:rPr>
                <w:rFonts w:asciiTheme="minorHAnsi" w:hAnsiTheme="minorHAnsi"/>
                <w:b/>
                <w:color w:val="000000" w:themeColor="text1"/>
                <w:sz w:val="22"/>
                <w:szCs w:val="22"/>
              </w:rPr>
              <w:t xml:space="preserve">:  “Based on your and/or clients’ experience with responding to government questionnaires, . . </w:t>
            </w:r>
            <w:r w:rsidR="00A9508C" w:rsidRPr="00A9508C">
              <w:rPr>
                <w:rFonts w:asciiTheme="minorHAnsi" w:hAnsiTheme="minorHAnsi"/>
                <w:b/>
                <w:color w:val="000000" w:themeColor="text1"/>
                <w:sz w:val="22"/>
                <w:szCs w:val="22"/>
              </w:rPr>
              <w:t>”</w:t>
            </w:r>
          </w:p>
        </w:tc>
        <w:tc>
          <w:tcPr>
            <w:tcW w:w="2718" w:type="dxa"/>
          </w:tcPr>
          <w:p w:rsidR="001A5C49" w:rsidRPr="00EA0B89" w:rsidRDefault="00EA0B89" w:rsidP="00EA0B89">
            <w:pPr>
              <w:rPr>
                <w:rFonts w:asciiTheme="minorHAnsi" w:hAnsiTheme="minorHAnsi" w:cs="Arial"/>
                <w:sz w:val="22"/>
                <w:szCs w:val="22"/>
              </w:rPr>
            </w:pPr>
            <w:r w:rsidRPr="00EA0B89">
              <w:rPr>
                <w:rFonts w:asciiTheme="minorHAnsi" w:hAnsiTheme="minorHAnsi" w:cs="Arial"/>
                <w:sz w:val="22"/>
                <w:szCs w:val="22"/>
              </w:rPr>
              <w:t>Revised survey to reflect changes to questions (#5a and #5b).</w:t>
            </w:r>
          </w:p>
        </w:tc>
      </w:tr>
      <w:tr w:rsidR="00EA0B89" w:rsidRPr="00EA0B89" w:rsidTr="004918FE">
        <w:tc>
          <w:tcPr>
            <w:tcW w:w="1368" w:type="dxa"/>
          </w:tcPr>
          <w:p w:rsidR="00EA0B89" w:rsidRDefault="00EA0B89" w:rsidP="00744121">
            <w:pPr>
              <w:spacing w:after="100" w:afterAutospacing="1"/>
              <w:rPr>
                <w:rFonts w:asciiTheme="minorHAnsi" w:hAnsiTheme="minorHAnsi" w:cs="Arial"/>
                <w:sz w:val="22"/>
                <w:szCs w:val="22"/>
              </w:rPr>
            </w:pPr>
            <w:r>
              <w:rPr>
                <w:rFonts w:asciiTheme="minorHAnsi" w:hAnsiTheme="minorHAnsi" w:cs="Arial"/>
                <w:sz w:val="22"/>
                <w:szCs w:val="22"/>
              </w:rPr>
              <w:t>Maureen Thorson</w:t>
            </w:r>
          </w:p>
        </w:tc>
        <w:tc>
          <w:tcPr>
            <w:tcW w:w="5490" w:type="dxa"/>
          </w:tcPr>
          <w:p w:rsidR="00EA0B89" w:rsidRPr="00EA0B89" w:rsidRDefault="00EA0B89" w:rsidP="00EA0B89">
            <w:pPr>
              <w:rPr>
                <w:rFonts w:asciiTheme="minorHAnsi" w:hAnsiTheme="minorHAnsi"/>
                <w:color w:val="000000" w:themeColor="text1"/>
                <w:sz w:val="22"/>
                <w:szCs w:val="22"/>
              </w:rPr>
            </w:pPr>
            <w:r w:rsidRPr="00EA0B89">
              <w:rPr>
                <w:rFonts w:asciiTheme="minorHAnsi" w:hAnsiTheme="minorHAnsi"/>
                <w:color w:val="000000" w:themeColor="text1"/>
                <w:sz w:val="22"/>
                <w:szCs w:val="22"/>
              </w:rPr>
              <w:t xml:space="preserve">Question 3(c) asks whether ITC questionnaires are “easier” or “more difficult” to answer than any non-ITC questionnaires that survey participants may have received in trade cases, such as DOC questionnaires, or questionnaires from AD/CVD authorities in other countries. Given how utterly different DOC questionnaires are from ITC questionnaires, as well as the significant differences between ITC questionnaires and non-US trade questionnaires, it strikes us that there is no really sensible rubric for providing an “up/down” response to whether particular kinds of questionnaires are overall “harder” or “easier” than ITC questionnaires. </w:t>
            </w:r>
          </w:p>
          <w:p w:rsidR="00EA0B89" w:rsidRPr="00EA0B89" w:rsidRDefault="00EA0B89" w:rsidP="00EA0B89">
            <w:pPr>
              <w:rPr>
                <w:rFonts w:asciiTheme="minorHAnsi" w:hAnsiTheme="minorHAnsi"/>
                <w:color w:val="000000" w:themeColor="text1"/>
                <w:sz w:val="22"/>
                <w:szCs w:val="22"/>
              </w:rPr>
            </w:pPr>
          </w:p>
          <w:p w:rsidR="00EA0B89" w:rsidRPr="00EA0B89" w:rsidRDefault="00EA0B89" w:rsidP="00EA0B89">
            <w:pPr>
              <w:rPr>
                <w:rFonts w:asciiTheme="minorHAnsi" w:hAnsiTheme="minorHAnsi"/>
                <w:color w:val="000000" w:themeColor="text1"/>
                <w:sz w:val="22"/>
                <w:szCs w:val="22"/>
              </w:rPr>
            </w:pPr>
            <w:r w:rsidRPr="00EA0B89">
              <w:rPr>
                <w:rFonts w:asciiTheme="minorHAnsi" w:hAnsiTheme="minorHAnsi"/>
                <w:color w:val="000000" w:themeColor="text1"/>
                <w:sz w:val="22"/>
                <w:szCs w:val="22"/>
              </w:rPr>
              <w:t xml:space="preserve">It might make sense for the ITC to ask the question somewhat differently. </w:t>
            </w:r>
            <w:r w:rsidRPr="00A9508C">
              <w:rPr>
                <w:rFonts w:asciiTheme="minorHAnsi" w:hAnsiTheme="minorHAnsi"/>
                <w:b/>
                <w:color w:val="000000" w:themeColor="text1"/>
                <w:sz w:val="22"/>
                <w:szCs w:val="22"/>
              </w:rPr>
              <w:t>Rather than ask for an up/down answer on whether ITC questionnaires are easier or more difficult, the agency could ask respondents to comment briefly on the differences between ITC questionnaires and the various kinds of questionnaires that they identified in response to Question 3(a), and to identify any specific features of these other authorities’ questionnaires that make them easier to respond to than ITC questionnaires.</w:t>
            </w:r>
          </w:p>
        </w:tc>
        <w:tc>
          <w:tcPr>
            <w:tcW w:w="2718" w:type="dxa"/>
          </w:tcPr>
          <w:p w:rsidR="00EA0B89" w:rsidRPr="00035AEF" w:rsidRDefault="00EA0B89" w:rsidP="00EA0B89">
            <w:pPr>
              <w:rPr>
                <w:rFonts w:asciiTheme="minorHAnsi" w:hAnsiTheme="minorHAnsi" w:cs="Arial"/>
                <w:sz w:val="22"/>
                <w:szCs w:val="22"/>
              </w:rPr>
            </w:pPr>
            <w:r w:rsidRPr="00035AEF">
              <w:rPr>
                <w:rFonts w:asciiTheme="minorHAnsi" w:hAnsiTheme="minorHAnsi" w:cs="Arial"/>
                <w:sz w:val="22"/>
                <w:szCs w:val="22"/>
              </w:rPr>
              <w:t>Revised survey to reflect changes to question (#3c).</w:t>
            </w:r>
          </w:p>
          <w:p w:rsidR="00EA0B89" w:rsidRPr="00035AEF" w:rsidRDefault="00EA0B89" w:rsidP="00EA0B89">
            <w:pPr>
              <w:rPr>
                <w:rFonts w:asciiTheme="minorHAnsi" w:hAnsiTheme="minorHAnsi"/>
                <w:sz w:val="22"/>
                <w:szCs w:val="22"/>
              </w:rPr>
            </w:pPr>
          </w:p>
          <w:p w:rsidR="00EA0B89" w:rsidRPr="00035AEF" w:rsidRDefault="00EA0B89" w:rsidP="00EA0B89">
            <w:pPr>
              <w:rPr>
                <w:rFonts w:asciiTheme="minorHAnsi" w:hAnsiTheme="minorHAnsi"/>
                <w:sz w:val="22"/>
                <w:szCs w:val="22"/>
              </w:rPr>
            </w:pPr>
            <w:r w:rsidRPr="00035AEF">
              <w:rPr>
                <w:rFonts w:asciiTheme="minorHAnsi" w:hAnsiTheme="minorHAnsi"/>
                <w:sz w:val="22"/>
                <w:szCs w:val="22"/>
              </w:rPr>
              <w:t xml:space="preserve">*Added “mixed” option to “easier” and “more difficult” </w:t>
            </w:r>
            <w:r w:rsidR="00035AEF" w:rsidRPr="00035AEF">
              <w:rPr>
                <w:rFonts w:asciiTheme="minorHAnsi" w:hAnsiTheme="minorHAnsi"/>
                <w:sz w:val="22"/>
                <w:szCs w:val="22"/>
              </w:rPr>
              <w:t>to recognize that a single characterization might not be possible.</w:t>
            </w:r>
          </w:p>
          <w:p w:rsidR="00EA0B89" w:rsidRPr="00035AEF" w:rsidRDefault="00EA0B89" w:rsidP="00EA0B89">
            <w:pPr>
              <w:rPr>
                <w:rFonts w:asciiTheme="minorHAnsi" w:hAnsiTheme="minorHAnsi"/>
                <w:sz w:val="22"/>
                <w:szCs w:val="22"/>
              </w:rPr>
            </w:pPr>
          </w:p>
          <w:p w:rsidR="00EA0B89" w:rsidRPr="00EA0B89" w:rsidRDefault="00035AEF" w:rsidP="00035AEF">
            <w:pPr>
              <w:rPr>
                <w:rFonts w:asciiTheme="minorHAnsi" w:hAnsiTheme="minorHAnsi"/>
              </w:rPr>
            </w:pPr>
            <w:r w:rsidRPr="00035AEF">
              <w:rPr>
                <w:rFonts w:asciiTheme="minorHAnsi" w:hAnsiTheme="minorHAnsi"/>
                <w:sz w:val="22"/>
                <w:szCs w:val="22"/>
              </w:rPr>
              <w:t>*Added “</w:t>
            </w:r>
            <w:r w:rsidR="00EA0B89" w:rsidRPr="00035AEF">
              <w:rPr>
                <w:rFonts w:asciiTheme="minorHAnsi" w:hAnsiTheme="minorHAnsi"/>
                <w:sz w:val="22"/>
                <w:szCs w:val="22"/>
              </w:rPr>
              <w:t>describe any features of other authorities’ questionnaires that make them easier to respond to than USITC questionnaires</w:t>
            </w:r>
            <w:r w:rsidRPr="00035AEF">
              <w:rPr>
                <w:rFonts w:asciiTheme="minorHAnsi" w:hAnsiTheme="minorHAnsi"/>
                <w:sz w:val="22"/>
                <w:szCs w:val="22"/>
              </w:rPr>
              <w:t>” consistent with suggestion.</w:t>
            </w:r>
          </w:p>
        </w:tc>
      </w:tr>
    </w:tbl>
    <w:p w:rsidR="00035AEF" w:rsidRDefault="00035AEF">
      <w:r>
        <w:br w:type="page"/>
      </w:r>
    </w:p>
    <w:tbl>
      <w:tblPr>
        <w:tblStyle w:val="TableGrid"/>
        <w:tblW w:w="0" w:type="auto"/>
        <w:tblLook w:val="04A0" w:firstRow="1" w:lastRow="0" w:firstColumn="1" w:lastColumn="0" w:noHBand="0" w:noVBand="1"/>
      </w:tblPr>
      <w:tblGrid>
        <w:gridCol w:w="1368"/>
        <w:gridCol w:w="5490"/>
        <w:gridCol w:w="2718"/>
      </w:tblGrid>
      <w:tr w:rsidR="00035AEF" w:rsidRPr="00EA0B89" w:rsidTr="004918FE">
        <w:tc>
          <w:tcPr>
            <w:tcW w:w="1368" w:type="dxa"/>
          </w:tcPr>
          <w:p w:rsidR="00035AEF" w:rsidRDefault="00035AEF" w:rsidP="00744121">
            <w:pPr>
              <w:spacing w:after="100" w:afterAutospacing="1"/>
              <w:rPr>
                <w:rFonts w:asciiTheme="minorHAnsi" w:hAnsiTheme="minorHAnsi" w:cs="Arial"/>
                <w:sz w:val="22"/>
                <w:szCs w:val="22"/>
              </w:rPr>
            </w:pPr>
            <w:r>
              <w:rPr>
                <w:rFonts w:asciiTheme="minorHAnsi" w:hAnsiTheme="minorHAnsi" w:cs="Arial"/>
                <w:sz w:val="22"/>
                <w:szCs w:val="22"/>
              </w:rPr>
              <w:lastRenderedPageBreak/>
              <w:t>Maureen Thorson</w:t>
            </w:r>
          </w:p>
        </w:tc>
        <w:tc>
          <w:tcPr>
            <w:tcW w:w="5490" w:type="dxa"/>
          </w:tcPr>
          <w:p w:rsidR="00035AEF" w:rsidRPr="00035AEF" w:rsidRDefault="00035AEF" w:rsidP="00035AEF">
            <w:pPr>
              <w:rPr>
                <w:rFonts w:asciiTheme="minorHAnsi" w:hAnsiTheme="minorHAnsi"/>
                <w:color w:val="000000" w:themeColor="text1"/>
                <w:sz w:val="22"/>
                <w:szCs w:val="22"/>
              </w:rPr>
            </w:pPr>
            <w:r w:rsidRPr="00035AEF">
              <w:rPr>
                <w:rFonts w:asciiTheme="minorHAnsi" w:hAnsiTheme="minorHAnsi"/>
                <w:color w:val="000000" w:themeColor="text1"/>
                <w:sz w:val="22"/>
                <w:szCs w:val="22"/>
              </w:rPr>
              <w:t>Question 4 asks whether respondents have received questionnaires from government agencies in non-trade situations and, if so, to comment on the relative ease of response. We foresee three potential problems with this question.</w:t>
            </w:r>
          </w:p>
          <w:p w:rsidR="00035AEF" w:rsidRPr="00035AEF" w:rsidRDefault="00035AEF" w:rsidP="00035AEF">
            <w:pPr>
              <w:rPr>
                <w:rFonts w:asciiTheme="minorHAnsi" w:hAnsiTheme="minorHAnsi"/>
                <w:color w:val="000000" w:themeColor="text1"/>
                <w:sz w:val="22"/>
                <w:szCs w:val="22"/>
              </w:rPr>
            </w:pPr>
            <w:r w:rsidRPr="00035AEF">
              <w:rPr>
                <w:rFonts w:asciiTheme="minorHAnsi" w:hAnsiTheme="minorHAnsi"/>
                <w:color w:val="000000" w:themeColor="text1"/>
                <w:sz w:val="22"/>
                <w:szCs w:val="22"/>
              </w:rPr>
              <w:t>•</w:t>
            </w:r>
            <w:r w:rsidRPr="00035AEF">
              <w:rPr>
                <w:rFonts w:asciiTheme="minorHAnsi" w:hAnsiTheme="minorHAnsi"/>
                <w:color w:val="000000" w:themeColor="text1"/>
                <w:sz w:val="22"/>
                <w:szCs w:val="22"/>
              </w:rPr>
              <w:tab/>
              <w:t xml:space="preserve">First, it is not clear how a “questionnaire” is being defined for purposes of the question. Many types of documents could reasonably be framed as government questionnaires (i.e., requests for information) or responses thereto – including tax returns and SEC disclosures – but it is not certain that the ITC would benefit from comparisons of its questionnaires against these types of requests. </w:t>
            </w:r>
          </w:p>
          <w:p w:rsidR="00035AEF" w:rsidRPr="00035AEF" w:rsidRDefault="00035AEF" w:rsidP="00035AEF">
            <w:pPr>
              <w:rPr>
                <w:rFonts w:asciiTheme="minorHAnsi" w:hAnsiTheme="minorHAnsi"/>
                <w:color w:val="000000" w:themeColor="text1"/>
                <w:sz w:val="22"/>
                <w:szCs w:val="22"/>
              </w:rPr>
            </w:pPr>
            <w:r w:rsidRPr="00035AEF">
              <w:rPr>
                <w:rFonts w:asciiTheme="minorHAnsi" w:hAnsiTheme="minorHAnsi"/>
                <w:color w:val="000000" w:themeColor="text1"/>
                <w:sz w:val="22"/>
                <w:szCs w:val="22"/>
              </w:rPr>
              <w:t>•</w:t>
            </w:r>
            <w:r w:rsidRPr="00035AEF">
              <w:rPr>
                <w:rFonts w:asciiTheme="minorHAnsi" w:hAnsiTheme="minorHAnsi"/>
                <w:color w:val="000000" w:themeColor="text1"/>
                <w:sz w:val="22"/>
                <w:szCs w:val="22"/>
              </w:rPr>
              <w:tab/>
              <w:t xml:space="preserve">Relatedly, because government requests may cover vastly different topics and be for vastly different purposes, it may be difficult to make useful comparisons against ITC questionnaires. For example, a company may receive a CF-28 Request for Information from U.S. Customs and Border Protection, asking the company to support the claimed classification of an import entry. These usually take the form of 1-page requests for specific documents; they are therefore quite different from ITC questionnaires, and the “ease” of responding is generally unrelated to the formatting of the request itself, or to its length – it will depend primarily on whether the company actually has supportive documents. </w:t>
            </w:r>
          </w:p>
          <w:p w:rsidR="00035AEF" w:rsidRPr="00035AEF" w:rsidRDefault="00035AEF" w:rsidP="00035AEF">
            <w:pPr>
              <w:rPr>
                <w:rFonts w:asciiTheme="minorHAnsi" w:hAnsiTheme="minorHAnsi"/>
                <w:color w:val="000000" w:themeColor="text1"/>
                <w:sz w:val="22"/>
                <w:szCs w:val="22"/>
              </w:rPr>
            </w:pPr>
            <w:r w:rsidRPr="00035AEF">
              <w:rPr>
                <w:rFonts w:asciiTheme="minorHAnsi" w:hAnsiTheme="minorHAnsi"/>
                <w:color w:val="000000" w:themeColor="text1"/>
                <w:sz w:val="22"/>
                <w:szCs w:val="22"/>
              </w:rPr>
              <w:t>•</w:t>
            </w:r>
            <w:r w:rsidRPr="00035AEF">
              <w:rPr>
                <w:rFonts w:asciiTheme="minorHAnsi" w:hAnsiTheme="minorHAnsi"/>
                <w:color w:val="000000" w:themeColor="text1"/>
                <w:sz w:val="22"/>
                <w:szCs w:val="22"/>
              </w:rPr>
              <w:tab/>
              <w:t>Finally, because there are so many different types of information requests that a company can receive, it is unlikely that the ITC will get full or accurate responses to the question in any event, if only because the persons responding to the question are unlikely to be familiar with the full gamut of potentially relevant information requests that their companies or clients receive.</w:t>
            </w:r>
          </w:p>
          <w:p w:rsidR="00035AEF" w:rsidRPr="00035AEF" w:rsidRDefault="00035AEF" w:rsidP="00035AEF">
            <w:pPr>
              <w:rPr>
                <w:rFonts w:asciiTheme="minorHAnsi" w:hAnsiTheme="minorHAnsi"/>
                <w:color w:val="000000" w:themeColor="text1"/>
                <w:sz w:val="22"/>
                <w:szCs w:val="22"/>
              </w:rPr>
            </w:pPr>
            <w:r w:rsidRPr="00035AEF">
              <w:rPr>
                <w:rFonts w:asciiTheme="minorHAnsi" w:hAnsiTheme="minorHAnsi"/>
                <w:color w:val="000000" w:themeColor="text1"/>
                <w:sz w:val="22"/>
                <w:szCs w:val="22"/>
              </w:rPr>
              <w:t xml:space="preserve"> </w:t>
            </w:r>
          </w:p>
          <w:p w:rsidR="00035AEF" w:rsidRPr="00A9508C" w:rsidRDefault="00035AEF" w:rsidP="00035AEF">
            <w:pPr>
              <w:rPr>
                <w:rFonts w:asciiTheme="minorHAnsi" w:hAnsiTheme="minorHAnsi"/>
                <w:b/>
                <w:color w:val="000000" w:themeColor="text1"/>
                <w:sz w:val="22"/>
                <w:szCs w:val="22"/>
              </w:rPr>
            </w:pPr>
            <w:r w:rsidRPr="00A9508C">
              <w:rPr>
                <w:rFonts w:asciiTheme="minorHAnsi" w:hAnsiTheme="minorHAnsi"/>
                <w:b/>
                <w:color w:val="000000" w:themeColor="text1"/>
                <w:sz w:val="22"/>
                <w:szCs w:val="22"/>
              </w:rPr>
              <w:t>It may therefore make more sense for the agency to delete question 4, and rely on the trade-action-specific responses it gets with respect to Question 3.</w:t>
            </w:r>
          </w:p>
        </w:tc>
        <w:tc>
          <w:tcPr>
            <w:tcW w:w="2718" w:type="dxa"/>
          </w:tcPr>
          <w:p w:rsidR="00035AEF" w:rsidRPr="00035AEF" w:rsidRDefault="00035AEF" w:rsidP="00035AEF">
            <w:pPr>
              <w:rPr>
                <w:rFonts w:asciiTheme="minorHAnsi" w:hAnsiTheme="minorHAnsi" w:cs="Arial"/>
                <w:sz w:val="22"/>
                <w:szCs w:val="22"/>
              </w:rPr>
            </w:pPr>
            <w:r w:rsidRPr="00035AEF">
              <w:rPr>
                <w:rFonts w:asciiTheme="minorHAnsi" w:hAnsiTheme="minorHAnsi" w:cs="Arial"/>
                <w:sz w:val="22"/>
                <w:szCs w:val="22"/>
              </w:rPr>
              <w:t>Revised survey to reflect changes to question</w:t>
            </w:r>
            <w:r>
              <w:rPr>
                <w:rFonts w:asciiTheme="minorHAnsi" w:hAnsiTheme="minorHAnsi" w:cs="Arial"/>
                <w:sz w:val="22"/>
                <w:szCs w:val="22"/>
              </w:rPr>
              <w:t>s</w:t>
            </w:r>
            <w:r w:rsidRPr="00035AEF">
              <w:rPr>
                <w:rFonts w:asciiTheme="minorHAnsi" w:hAnsiTheme="minorHAnsi" w:cs="Arial"/>
                <w:sz w:val="22"/>
                <w:szCs w:val="22"/>
              </w:rPr>
              <w:t xml:space="preserve"> (#</w:t>
            </w:r>
            <w:r>
              <w:rPr>
                <w:rFonts w:asciiTheme="minorHAnsi" w:hAnsiTheme="minorHAnsi" w:cs="Arial"/>
                <w:sz w:val="22"/>
                <w:szCs w:val="22"/>
              </w:rPr>
              <w:t>4a and #4b</w:t>
            </w:r>
            <w:r w:rsidRPr="00035AEF">
              <w:rPr>
                <w:rFonts w:asciiTheme="minorHAnsi" w:hAnsiTheme="minorHAnsi" w:cs="Arial"/>
                <w:sz w:val="22"/>
                <w:szCs w:val="22"/>
              </w:rPr>
              <w:t>).</w:t>
            </w:r>
          </w:p>
          <w:p w:rsidR="00035AEF" w:rsidRDefault="00035AEF" w:rsidP="00EA0B89">
            <w:pPr>
              <w:rPr>
                <w:rFonts w:asciiTheme="minorHAnsi" w:hAnsiTheme="minorHAnsi" w:cs="Arial"/>
                <w:sz w:val="22"/>
                <w:szCs w:val="22"/>
              </w:rPr>
            </w:pPr>
          </w:p>
          <w:p w:rsidR="00035AEF" w:rsidRPr="00035AEF" w:rsidRDefault="00035AEF" w:rsidP="00035AEF">
            <w:pPr>
              <w:rPr>
                <w:rFonts w:asciiTheme="minorHAnsi" w:hAnsiTheme="minorHAnsi"/>
                <w:sz w:val="22"/>
                <w:szCs w:val="22"/>
              </w:rPr>
            </w:pPr>
            <w:r w:rsidRPr="00035AEF">
              <w:rPr>
                <w:rFonts w:asciiTheme="minorHAnsi" w:hAnsiTheme="minorHAnsi" w:cs="Arial"/>
                <w:sz w:val="22"/>
                <w:szCs w:val="22"/>
              </w:rPr>
              <w:t>Because the goal is to assess desirable elements from other data collection instruments, question 4 was not eliminated.  However, “questionnaire” was defined and the required response specificity was reduced to “</w:t>
            </w:r>
            <w:r w:rsidRPr="00035AEF">
              <w:rPr>
                <w:rFonts w:asciiTheme="minorHAnsi" w:hAnsiTheme="minorHAnsi"/>
                <w:sz w:val="22"/>
                <w:szCs w:val="22"/>
              </w:rPr>
              <w:t>Please describe any features of these questionnaires that you feel could be applied to the USITC’s questionnaires to improve information gathering.”</w:t>
            </w:r>
          </w:p>
          <w:p w:rsidR="00035AEF" w:rsidRPr="00035AEF" w:rsidRDefault="00035AEF" w:rsidP="00035AEF">
            <w:pPr>
              <w:rPr>
                <w:rFonts w:asciiTheme="minorHAnsi" w:hAnsiTheme="minorHAnsi" w:cs="Arial"/>
                <w:sz w:val="22"/>
                <w:szCs w:val="22"/>
              </w:rPr>
            </w:pPr>
          </w:p>
        </w:tc>
      </w:tr>
    </w:tbl>
    <w:p w:rsidR="00EC79E5" w:rsidRPr="00972E19" w:rsidRDefault="00EC79E5" w:rsidP="00F329E0">
      <w:pPr>
        <w:spacing w:after="100" w:afterAutospacing="1"/>
        <w:rPr>
          <w:rFonts w:asciiTheme="minorHAnsi" w:hAnsiTheme="minorHAnsi" w:cs="Arial"/>
          <w:sz w:val="22"/>
          <w:szCs w:val="22"/>
        </w:rPr>
      </w:pPr>
    </w:p>
    <w:p w:rsidR="00EC79E5" w:rsidRPr="00972E19" w:rsidRDefault="00EC79E5" w:rsidP="00EF2F49">
      <w:pPr>
        <w:rPr>
          <w:rFonts w:asciiTheme="minorHAnsi" w:hAnsiTheme="minorHAnsi" w:cs="Arial"/>
          <w:sz w:val="22"/>
          <w:szCs w:val="22"/>
        </w:rPr>
      </w:pPr>
      <w:r w:rsidRPr="00972E19">
        <w:rPr>
          <w:rFonts w:asciiTheme="minorHAnsi" w:hAnsiTheme="minorHAnsi" w:cs="Arial"/>
          <w:sz w:val="22"/>
          <w:szCs w:val="22"/>
        </w:rPr>
        <w:t>C. Reporting Burden and Projected Cost</w:t>
      </w:r>
    </w:p>
    <w:p w:rsidR="00EC79E5" w:rsidRPr="00972E19" w:rsidRDefault="00EC79E5" w:rsidP="00EF2F49">
      <w:pPr>
        <w:rPr>
          <w:rFonts w:asciiTheme="minorHAnsi" w:hAnsiTheme="minorHAnsi" w:cs="Arial"/>
          <w:sz w:val="22"/>
          <w:szCs w:val="22"/>
        </w:rPr>
      </w:pPr>
    </w:p>
    <w:p w:rsidR="00EC79E5" w:rsidRPr="00972E19" w:rsidRDefault="00EC79E5" w:rsidP="00EF2F49">
      <w:pPr>
        <w:rPr>
          <w:rFonts w:asciiTheme="minorHAnsi" w:hAnsiTheme="minorHAnsi" w:cs="Arial"/>
          <w:sz w:val="22"/>
          <w:szCs w:val="22"/>
        </w:rPr>
      </w:pPr>
      <w:r w:rsidRPr="00972E19">
        <w:rPr>
          <w:rFonts w:asciiTheme="minorHAnsi" w:hAnsiTheme="minorHAnsi" w:cs="Arial"/>
          <w:sz w:val="22"/>
          <w:szCs w:val="22"/>
        </w:rPr>
        <w:t xml:space="preserve">Total number of survey respondents: </w:t>
      </w:r>
      <w:r w:rsidR="003C5265" w:rsidRPr="00972E19">
        <w:rPr>
          <w:rFonts w:asciiTheme="minorHAnsi" w:hAnsiTheme="minorHAnsi" w:cs="Arial"/>
          <w:sz w:val="22"/>
          <w:szCs w:val="22"/>
        </w:rPr>
        <w:t xml:space="preserve">  </w:t>
      </w:r>
      <w:r w:rsidRPr="00972E19">
        <w:rPr>
          <w:rFonts w:asciiTheme="minorHAnsi" w:hAnsiTheme="minorHAnsi" w:cs="Arial"/>
          <w:sz w:val="22"/>
          <w:szCs w:val="22"/>
        </w:rPr>
        <w:t>(No.)</w:t>
      </w:r>
      <w:r w:rsidRPr="00972E19">
        <w:rPr>
          <w:rFonts w:asciiTheme="minorHAnsi" w:hAnsiTheme="minorHAnsi" w:cs="Arial"/>
          <w:sz w:val="22"/>
          <w:szCs w:val="22"/>
        </w:rPr>
        <w:tab/>
      </w:r>
      <w:r w:rsidRPr="00972E19">
        <w:rPr>
          <w:rFonts w:asciiTheme="minorHAnsi" w:hAnsiTheme="minorHAnsi" w:cs="Arial"/>
          <w:sz w:val="22"/>
          <w:szCs w:val="22"/>
        </w:rPr>
        <w:tab/>
        <w:t>Not to exceed 100</w:t>
      </w:r>
    </w:p>
    <w:p w:rsidR="00EC79E5" w:rsidRPr="00972E19" w:rsidRDefault="00EC79E5" w:rsidP="00EF2F49">
      <w:pPr>
        <w:rPr>
          <w:rFonts w:asciiTheme="minorHAnsi" w:hAnsiTheme="minorHAnsi" w:cs="Arial"/>
          <w:sz w:val="22"/>
          <w:szCs w:val="22"/>
        </w:rPr>
      </w:pPr>
      <w:r w:rsidRPr="00972E19">
        <w:rPr>
          <w:rFonts w:asciiTheme="minorHAnsi" w:hAnsiTheme="minorHAnsi" w:cs="Arial"/>
          <w:sz w:val="22"/>
          <w:szCs w:val="22"/>
        </w:rPr>
        <w:t>Frequency of response:</w:t>
      </w:r>
      <w:r w:rsidRPr="00972E19">
        <w:rPr>
          <w:rFonts w:asciiTheme="minorHAnsi" w:hAnsiTheme="minorHAnsi" w:cs="Arial"/>
          <w:sz w:val="22"/>
          <w:szCs w:val="22"/>
        </w:rPr>
        <w:tab/>
      </w:r>
      <w:r w:rsidRPr="00972E19">
        <w:rPr>
          <w:rFonts w:asciiTheme="minorHAnsi" w:hAnsiTheme="minorHAnsi" w:cs="Arial"/>
          <w:sz w:val="22"/>
          <w:szCs w:val="22"/>
        </w:rPr>
        <w:tab/>
      </w:r>
      <w:r w:rsidR="003C5265" w:rsidRPr="00972E19">
        <w:rPr>
          <w:rFonts w:asciiTheme="minorHAnsi" w:hAnsiTheme="minorHAnsi" w:cs="Arial"/>
          <w:sz w:val="22"/>
          <w:szCs w:val="22"/>
        </w:rPr>
        <w:t xml:space="preserve"> </w:t>
      </w:r>
      <w:r w:rsidR="00805973" w:rsidRPr="00972E19">
        <w:rPr>
          <w:rFonts w:asciiTheme="minorHAnsi" w:hAnsiTheme="minorHAnsi" w:cs="Arial"/>
          <w:sz w:val="22"/>
          <w:szCs w:val="22"/>
        </w:rPr>
        <w:t xml:space="preserve">      </w:t>
      </w:r>
      <w:r w:rsidR="003C5265" w:rsidRPr="00972E19">
        <w:rPr>
          <w:rFonts w:asciiTheme="minorHAnsi" w:hAnsiTheme="minorHAnsi" w:cs="Arial"/>
          <w:sz w:val="22"/>
          <w:szCs w:val="22"/>
        </w:rPr>
        <w:t xml:space="preserve">   </w:t>
      </w:r>
      <w:r w:rsidRPr="00972E19">
        <w:rPr>
          <w:rFonts w:asciiTheme="minorHAnsi" w:hAnsiTheme="minorHAnsi" w:cs="Arial"/>
          <w:sz w:val="22"/>
          <w:szCs w:val="22"/>
        </w:rPr>
        <w:t>(No.)</w:t>
      </w:r>
      <w:r w:rsidRPr="00972E19">
        <w:rPr>
          <w:rFonts w:asciiTheme="minorHAnsi" w:hAnsiTheme="minorHAnsi" w:cs="Arial"/>
          <w:sz w:val="22"/>
          <w:szCs w:val="22"/>
        </w:rPr>
        <w:tab/>
      </w:r>
      <w:r w:rsidRPr="00972E19">
        <w:rPr>
          <w:rFonts w:asciiTheme="minorHAnsi" w:hAnsiTheme="minorHAnsi" w:cs="Arial"/>
          <w:sz w:val="22"/>
          <w:szCs w:val="22"/>
        </w:rPr>
        <w:tab/>
        <w:t>1</w:t>
      </w:r>
      <w:r w:rsidRPr="00972E19">
        <w:rPr>
          <w:rFonts w:asciiTheme="minorHAnsi" w:hAnsiTheme="minorHAnsi" w:cs="Arial"/>
          <w:sz w:val="22"/>
          <w:szCs w:val="22"/>
        </w:rPr>
        <w:tab/>
      </w:r>
      <w:r w:rsidRPr="00972E19">
        <w:rPr>
          <w:rFonts w:asciiTheme="minorHAnsi" w:hAnsiTheme="minorHAnsi" w:cs="Arial"/>
          <w:sz w:val="22"/>
          <w:szCs w:val="22"/>
        </w:rPr>
        <w:tab/>
      </w:r>
    </w:p>
    <w:p w:rsidR="00EC79E5" w:rsidRPr="00972E19" w:rsidRDefault="00EC79E5" w:rsidP="00EF2F49">
      <w:pPr>
        <w:rPr>
          <w:rFonts w:asciiTheme="minorHAnsi" w:hAnsiTheme="minorHAnsi" w:cs="Arial"/>
          <w:sz w:val="22"/>
          <w:szCs w:val="22"/>
        </w:rPr>
      </w:pPr>
      <w:r w:rsidRPr="00972E19">
        <w:rPr>
          <w:rFonts w:asciiTheme="minorHAnsi" w:hAnsiTheme="minorHAnsi" w:cs="Arial"/>
          <w:sz w:val="22"/>
          <w:szCs w:val="22"/>
        </w:rPr>
        <w:t>Average completion time per survey:</w:t>
      </w:r>
      <w:r w:rsidR="003C5265" w:rsidRPr="00972E19">
        <w:rPr>
          <w:rFonts w:asciiTheme="minorHAnsi" w:hAnsiTheme="minorHAnsi" w:cs="Arial"/>
          <w:sz w:val="22"/>
          <w:szCs w:val="22"/>
        </w:rPr>
        <w:t xml:space="preserve">  </w:t>
      </w:r>
      <w:r w:rsidRPr="00972E19">
        <w:rPr>
          <w:rFonts w:asciiTheme="minorHAnsi" w:hAnsiTheme="minorHAnsi" w:cs="Arial"/>
          <w:sz w:val="22"/>
          <w:szCs w:val="22"/>
        </w:rPr>
        <w:t>(hours)</w:t>
      </w:r>
      <w:r w:rsidRPr="00972E19">
        <w:rPr>
          <w:rFonts w:asciiTheme="minorHAnsi" w:hAnsiTheme="minorHAnsi" w:cs="Arial"/>
          <w:sz w:val="22"/>
          <w:szCs w:val="22"/>
        </w:rPr>
        <w:tab/>
      </w:r>
      <w:r w:rsidR="00805973" w:rsidRPr="00972E19">
        <w:rPr>
          <w:rFonts w:asciiTheme="minorHAnsi" w:hAnsiTheme="minorHAnsi" w:cs="Arial"/>
          <w:sz w:val="22"/>
          <w:szCs w:val="22"/>
        </w:rPr>
        <w:tab/>
      </w:r>
      <w:r w:rsidRPr="00972E19">
        <w:rPr>
          <w:rFonts w:asciiTheme="minorHAnsi" w:hAnsiTheme="minorHAnsi" w:cs="Arial"/>
          <w:sz w:val="22"/>
          <w:szCs w:val="22"/>
        </w:rPr>
        <w:t>0.</w:t>
      </w:r>
      <w:r w:rsidR="00035AEF">
        <w:rPr>
          <w:rFonts w:asciiTheme="minorHAnsi" w:hAnsiTheme="minorHAnsi" w:cs="Arial"/>
          <w:sz w:val="22"/>
          <w:szCs w:val="22"/>
        </w:rPr>
        <w:t>50</w:t>
      </w:r>
    </w:p>
    <w:p w:rsidR="00EC79E5" w:rsidRPr="00972E19" w:rsidRDefault="00EC79E5" w:rsidP="00EF2F49">
      <w:pPr>
        <w:rPr>
          <w:rFonts w:asciiTheme="minorHAnsi" w:hAnsiTheme="minorHAnsi" w:cs="Arial"/>
          <w:sz w:val="22"/>
          <w:szCs w:val="22"/>
        </w:rPr>
      </w:pPr>
      <w:r w:rsidRPr="00972E19">
        <w:rPr>
          <w:rFonts w:asciiTheme="minorHAnsi" w:hAnsiTheme="minorHAnsi" w:cs="Arial"/>
          <w:sz w:val="22"/>
          <w:szCs w:val="22"/>
        </w:rPr>
        <w:t xml:space="preserve">Total burden: </w:t>
      </w:r>
      <w:r w:rsidRPr="00972E19">
        <w:rPr>
          <w:rFonts w:asciiTheme="minorHAnsi" w:hAnsiTheme="minorHAnsi" w:cs="Arial"/>
          <w:sz w:val="22"/>
          <w:szCs w:val="22"/>
        </w:rPr>
        <w:tab/>
      </w:r>
      <w:r w:rsidRPr="00972E19">
        <w:rPr>
          <w:rFonts w:asciiTheme="minorHAnsi" w:hAnsiTheme="minorHAnsi" w:cs="Arial"/>
          <w:sz w:val="22"/>
          <w:szCs w:val="22"/>
        </w:rPr>
        <w:tab/>
      </w:r>
      <w:r w:rsidRPr="00972E19">
        <w:rPr>
          <w:rFonts w:asciiTheme="minorHAnsi" w:hAnsiTheme="minorHAnsi" w:cs="Arial"/>
          <w:sz w:val="22"/>
          <w:szCs w:val="22"/>
        </w:rPr>
        <w:tab/>
      </w:r>
      <w:r w:rsidR="003C5265" w:rsidRPr="00972E19">
        <w:rPr>
          <w:rFonts w:asciiTheme="minorHAnsi" w:hAnsiTheme="minorHAnsi" w:cs="Arial"/>
          <w:sz w:val="22"/>
          <w:szCs w:val="22"/>
        </w:rPr>
        <w:t xml:space="preserve">    </w:t>
      </w:r>
      <w:r w:rsidR="00805973" w:rsidRPr="00972E19">
        <w:rPr>
          <w:rFonts w:asciiTheme="minorHAnsi" w:hAnsiTheme="minorHAnsi" w:cs="Arial"/>
          <w:sz w:val="22"/>
          <w:szCs w:val="22"/>
        </w:rPr>
        <w:t xml:space="preserve">     </w:t>
      </w:r>
      <w:r w:rsidRPr="00972E19">
        <w:rPr>
          <w:rFonts w:asciiTheme="minorHAnsi" w:hAnsiTheme="minorHAnsi" w:cs="Arial"/>
          <w:sz w:val="22"/>
          <w:szCs w:val="22"/>
        </w:rPr>
        <w:t>(hours)</w:t>
      </w:r>
      <w:r w:rsidRPr="00972E19">
        <w:rPr>
          <w:rFonts w:asciiTheme="minorHAnsi" w:hAnsiTheme="minorHAnsi" w:cs="Arial"/>
          <w:sz w:val="22"/>
          <w:szCs w:val="22"/>
        </w:rPr>
        <w:tab/>
      </w:r>
      <w:r w:rsidR="00805973" w:rsidRPr="00972E19">
        <w:rPr>
          <w:rFonts w:asciiTheme="minorHAnsi" w:hAnsiTheme="minorHAnsi" w:cs="Arial"/>
          <w:sz w:val="22"/>
          <w:szCs w:val="22"/>
        </w:rPr>
        <w:tab/>
      </w:r>
      <w:r w:rsidR="00035AEF">
        <w:rPr>
          <w:rFonts w:asciiTheme="minorHAnsi" w:hAnsiTheme="minorHAnsi" w:cs="Arial"/>
          <w:sz w:val="22"/>
          <w:szCs w:val="22"/>
        </w:rPr>
        <w:t>50</w:t>
      </w:r>
      <w:r w:rsidRPr="00972E19">
        <w:rPr>
          <w:rFonts w:asciiTheme="minorHAnsi" w:hAnsiTheme="minorHAnsi" w:cs="Arial"/>
          <w:sz w:val="22"/>
          <w:szCs w:val="22"/>
        </w:rPr>
        <w:t xml:space="preserve"> hours</w:t>
      </w:r>
    </w:p>
    <w:p w:rsidR="00257385" w:rsidRPr="001B43CF" w:rsidRDefault="00EC79E5" w:rsidP="00257385">
      <w:pPr>
        <w:spacing w:after="100" w:afterAutospacing="1"/>
        <w:rPr>
          <w:rFonts w:asciiTheme="minorHAnsi" w:hAnsiTheme="minorHAnsi" w:cs="Arial"/>
          <w:sz w:val="22"/>
          <w:szCs w:val="22"/>
        </w:rPr>
      </w:pPr>
      <w:r w:rsidRPr="00972E19">
        <w:rPr>
          <w:rFonts w:asciiTheme="minorHAnsi" w:hAnsiTheme="minorHAnsi" w:cs="Arial"/>
          <w:sz w:val="22"/>
          <w:szCs w:val="22"/>
        </w:rPr>
        <w:t>Total cost:</w:t>
      </w:r>
      <w:r w:rsidRPr="00972E19">
        <w:rPr>
          <w:rFonts w:asciiTheme="minorHAnsi" w:hAnsiTheme="minorHAnsi" w:cs="Arial"/>
          <w:sz w:val="22"/>
          <w:szCs w:val="22"/>
        </w:rPr>
        <w:tab/>
      </w:r>
      <w:r w:rsidRPr="00972E19">
        <w:rPr>
          <w:rFonts w:asciiTheme="minorHAnsi" w:hAnsiTheme="minorHAnsi" w:cs="Arial"/>
          <w:sz w:val="22"/>
          <w:szCs w:val="22"/>
        </w:rPr>
        <w:tab/>
      </w:r>
      <w:r w:rsidRPr="00972E19">
        <w:rPr>
          <w:rFonts w:asciiTheme="minorHAnsi" w:hAnsiTheme="minorHAnsi" w:cs="Arial"/>
          <w:sz w:val="22"/>
          <w:szCs w:val="22"/>
        </w:rPr>
        <w:tab/>
      </w:r>
      <w:r w:rsidR="003C5265" w:rsidRPr="00972E19">
        <w:rPr>
          <w:rFonts w:asciiTheme="minorHAnsi" w:hAnsiTheme="minorHAnsi" w:cs="Arial"/>
          <w:sz w:val="22"/>
          <w:szCs w:val="22"/>
        </w:rPr>
        <w:t xml:space="preserve">   </w:t>
      </w:r>
      <w:r w:rsidR="00805973" w:rsidRPr="00972E19">
        <w:rPr>
          <w:rFonts w:asciiTheme="minorHAnsi" w:hAnsiTheme="minorHAnsi" w:cs="Arial"/>
          <w:sz w:val="22"/>
          <w:szCs w:val="22"/>
        </w:rPr>
        <w:t xml:space="preserve">      </w:t>
      </w:r>
      <w:r w:rsidRPr="00972E19">
        <w:rPr>
          <w:rFonts w:asciiTheme="minorHAnsi" w:hAnsiTheme="minorHAnsi" w:cs="Arial"/>
          <w:sz w:val="22"/>
          <w:szCs w:val="22"/>
        </w:rPr>
        <w:t>(dollars)</w:t>
      </w:r>
      <w:r w:rsidRPr="00972E19">
        <w:rPr>
          <w:rFonts w:asciiTheme="minorHAnsi" w:hAnsiTheme="minorHAnsi" w:cs="Arial"/>
          <w:sz w:val="22"/>
          <w:szCs w:val="22"/>
        </w:rPr>
        <w:tab/>
      </w:r>
      <w:r w:rsidR="00805973" w:rsidRPr="00972E19">
        <w:rPr>
          <w:rFonts w:asciiTheme="minorHAnsi" w:hAnsiTheme="minorHAnsi" w:cs="Arial"/>
          <w:sz w:val="22"/>
          <w:szCs w:val="22"/>
        </w:rPr>
        <w:tab/>
      </w:r>
      <w:r w:rsidRPr="001B43CF">
        <w:rPr>
          <w:rFonts w:asciiTheme="minorHAnsi" w:hAnsiTheme="minorHAnsi" w:cs="Arial"/>
          <w:sz w:val="22"/>
          <w:szCs w:val="22"/>
        </w:rPr>
        <w:t>$</w:t>
      </w:r>
      <w:r w:rsidR="001D66C8" w:rsidRPr="001B43CF">
        <w:rPr>
          <w:rFonts w:asciiTheme="minorHAnsi" w:hAnsiTheme="minorHAnsi" w:cs="Arial"/>
          <w:sz w:val="22"/>
          <w:szCs w:val="22"/>
        </w:rPr>
        <w:t>3</w:t>
      </w:r>
      <w:r w:rsidRPr="001B43CF">
        <w:rPr>
          <w:rFonts w:asciiTheme="minorHAnsi" w:hAnsiTheme="minorHAnsi" w:cs="Arial"/>
          <w:sz w:val="22"/>
          <w:szCs w:val="22"/>
        </w:rPr>
        <w:t>,</w:t>
      </w:r>
      <w:r w:rsidR="001D66C8" w:rsidRPr="001B43CF">
        <w:rPr>
          <w:rFonts w:asciiTheme="minorHAnsi" w:hAnsiTheme="minorHAnsi" w:cs="Arial"/>
          <w:sz w:val="22"/>
          <w:szCs w:val="22"/>
        </w:rPr>
        <w:t>500</w:t>
      </w:r>
      <w:r w:rsidRPr="001B43CF">
        <w:rPr>
          <w:rFonts w:asciiTheme="minorHAnsi" w:hAnsiTheme="minorHAnsi" w:cs="Arial"/>
          <w:sz w:val="22"/>
          <w:szCs w:val="22"/>
        </w:rPr>
        <w:t xml:space="preserve"> (</w:t>
      </w:r>
      <w:r w:rsidR="001D66C8" w:rsidRPr="001B43CF">
        <w:rPr>
          <w:rFonts w:asciiTheme="minorHAnsi" w:hAnsiTheme="minorHAnsi" w:cs="Arial"/>
          <w:sz w:val="22"/>
          <w:szCs w:val="22"/>
        </w:rPr>
        <w:t xml:space="preserve">50 </w:t>
      </w:r>
      <w:r w:rsidRPr="001B43CF">
        <w:rPr>
          <w:rFonts w:asciiTheme="minorHAnsi" w:hAnsiTheme="minorHAnsi" w:cs="Arial"/>
          <w:sz w:val="22"/>
          <w:szCs w:val="22"/>
        </w:rPr>
        <w:t>hours X $</w:t>
      </w:r>
      <w:r w:rsidR="001D66C8" w:rsidRPr="001B43CF">
        <w:rPr>
          <w:rFonts w:asciiTheme="minorHAnsi" w:hAnsiTheme="minorHAnsi" w:cs="Arial"/>
          <w:sz w:val="22"/>
          <w:szCs w:val="22"/>
        </w:rPr>
        <w:t>70</w:t>
      </w:r>
      <w:r w:rsidRPr="001B43CF">
        <w:rPr>
          <w:rFonts w:asciiTheme="minorHAnsi" w:hAnsiTheme="minorHAnsi" w:cs="Arial"/>
          <w:sz w:val="22"/>
          <w:szCs w:val="22"/>
        </w:rPr>
        <w:t xml:space="preserve">/per hour) </w:t>
      </w:r>
    </w:p>
    <w:p w:rsidR="00CA66AE" w:rsidRPr="00972E19" w:rsidRDefault="00EC79E5" w:rsidP="002B0A9D">
      <w:pPr>
        <w:spacing w:after="100" w:afterAutospacing="1"/>
        <w:rPr>
          <w:rFonts w:asciiTheme="minorHAnsi" w:hAnsiTheme="minorHAnsi" w:cs="Arial"/>
          <w:sz w:val="22"/>
          <w:szCs w:val="22"/>
        </w:rPr>
      </w:pPr>
      <w:r w:rsidRPr="001B43CF">
        <w:rPr>
          <w:rFonts w:asciiTheme="minorHAnsi" w:hAnsiTheme="minorHAnsi" w:cs="Arial"/>
          <w:sz w:val="22"/>
          <w:szCs w:val="22"/>
        </w:rPr>
        <w:t>Note: The hourly cost estimate reflects the average USITC employee hourly cost</w:t>
      </w:r>
      <w:r w:rsidR="001B43CF">
        <w:rPr>
          <w:rFonts w:asciiTheme="minorHAnsi" w:hAnsiTheme="minorHAnsi" w:cs="Arial"/>
          <w:sz w:val="22"/>
          <w:szCs w:val="22"/>
        </w:rPr>
        <w:t xml:space="preserve"> for FY15 YTD</w:t>
      </w:r>
      <w:r w:rsidRPr="001B43CF">
        <w:rPr>
          <w:rFonts w:asciiTheme="minorHAnsi" w:hAnsiTheme="minorHAnsi" w:cs="Arial"/>
          <w:sz w:val="22"/>
          <w:szCs w:val="22"/>
        </w:rPr>
        <w:t>.</w:t>
      </w:r>
    </w:p>
    <w:sectPr w:rsidR="00CA66AE" w:rsidRPr="00972E19" w:rsidSect="00C0674E">
      <w:footerReference w:type="default" r:id="rId15"/>
      <w:pgSz w:w="12240" w:h="15840"/>
      <w:pgMar w:top="1440" w:right="1440" w:bottom="1440" w:left="1440" w:header="36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872" w:rsidRDefault="00A53872">
      <w:r>
        <w:separator/>
      </w:r>
    </w:p>
  </w:endnote>
  <w:endnote w:type="continuationSeparator" w:id="0">
    <w:p w:rsidR="00A53872" w:rsidRDefault="00A53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6057951"/>
      <w:docPartObj>
        <w:docPartGallery w:val="Page Numbers (Bottom of Page)"/>
        <w:docPartUnique/>
      </w:docPartObj>
    </w:sdtPr>
    <w:sdtEndPr>
      <w:rPr>
        <w:noProof/>
      </w:rPr>
    </w:sdtEndPr>
    <w:sdtContent>
      <w:p w:rsidR="00DC5B07" w:rsidRDefault="00DC5B07">
        <w:pPr>
          <w:pStyle w:val="Footer"/>
          <w:jc w:val="center"/>
        </w:pPr>
        <w:r>
          <w:fldChar w:fldCharType="begin"/>
        </w:r>
        <w:r>
          <w:instrText xml:space="preserve"> PAGE   \* MERGEFORMAT </w:instrText>
        </w:r>
        <w:r>
          <w:fldChar w:fldCharType="separate"/>
        </w:r>
        <w:r w:rsidR="00667E29">
          <w:rPr>
            <w:noProof/>
          </w:rPr>
          <w:t>1</w:t>
        </w:r>
        <w:r>
          <w:rPr>
            <w:noProof/>
          </w:rPr>
          <w:fldChar w:fldCharType="end"/>
        </w:r>
      </w:p>
    </w:sdtContent>
  </w:sdt>
  <w:p w:rsidR="00DC5B07" w:rsidRDefault="00DC5B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872" w:rsidRDefault="00A53872">
      <w:r>
        <w:separator/>
      </w:r>
    </w:p>
  </w:footnote>
  <w:footnote w:type="continuationSeparator" w:id="0">
    <w:p w:rsidR="00A53872" w:rsidRDefault="00A538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5109C"/>
    <w:multiLevelType w:val="hybridMultilevel"/>
    <w:tmpl w:val="3C087FC8"/>
    <w:lvl w:ilvl="0" w:tplc="305EF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C94D09"/>
    <w:multiLevelType w:val="hybridMultilevel"/>
    <w:tmpl w:val="4B1CD126"/>
    <w:lvl w:ilvl="0" w:tplc="305EF8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E62704"/>
    <w:multiLevelType w:val="hybridMultilevel"/>
    <w:tmpl w:val="6100A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8C1BBE"/>
    <w:multiLevelType w:val="hybridMultilevel"/>
    <w:tmpl w:val="AF8E8E72"/>
    <w:lvl w:ilvl="0" w:tplc="AFD285E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43A730A5"/>
    <w:multiLevelType w:val="hybridMultilevel"/>
    <w:tmpl w:val="679C2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6E1A4F"/>
    <w:multiLevelType w:val="hybridMultilevel"/>
    <w:tmpl w:val="EE1AF1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6ABC7EBE"/>
    <w:multiLevelType w:val="hybridMultilevel"/>
    <w:tmpl w:val="0778FE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6C3F698F"/>
    <w:multiLevelType w:val="hybridMultilevel"/>
    <w:tmpl w:val="CD46A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293924"/>
    <w:multiLevelType w:val="hybridMultilevel"/>
    <w:tmpl w:val="D208FF08"/>
    <w:lvl w:ilvl="0" w:tplc="14381ADC">
      <w:start w:val="2"/>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3B54C7"/>
    <w:multiLevelType w:val="hybridMultilevel"/>
    <w:tmpl w:val="40E4FC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6"/>
  </w:num>
  <w:num w:numId="3">
    <w:abstractNumId w:val="9"/>
  </w:num>
  <w:num w:numId="4">
    <w:abstractNumId w:val="0"/>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rove" w:val="(1) Notice of institution_x000b_(2) Proposed staffing plan_x000b_(3) Proposed work schedule_x000b_(4) Distribution plan_x000b_(5) Proposed expenditure estimates_x000b_(6) Draft news release_x000b_(7) Response letter to the requestor and the incoming letter"/>
    <w:docVar w:name="background" w:val="The initiating Action Jacket,, was approved by the Commission on."/>
    <w:docVar w:name="chairmandate" w:val="04/xx/2014"/>
    <w:docVar w:name="datecode" w:val="04/xx/2014"/>
    <w:docVar w:name="initiated" w:val="5/7/07"/>
    <w:docVar w:name="intiated" w:val="2/2/07"/>
    <w:docVar w:name="invnum" w:val="213"/>
    <w:docVar w:name="office" w:val="Office of Industries"/>
    <w:docVar w:name="purpose" w:val="To obtain Commission approval of the proposed information collection, survey, and 30-day Federal Register notice for submission to OMB for clearance."/>
    <w:docVar w:name="requestdate" w:val="04/xx/2014"/>
    <w:docVar w:name="requestor" w:val="xxxxx"/>
    <w:docVar w:name="subject" w:val="SERWERWEARWE"/>
    <w:docVar w:name="title" w:val="DataWeb Survey"/>
  </w:docVars>
  <w:rsids>
    <w:rsidRoot w:val="00A53872"/>
    <w:rsid w:val="00001AF5"/>
    <w:rsid w:val="00007951"/>
    <w:rsid w:val="00035AEF"/>
    <w:rsid w:val="00041C50"/>
    <w:rsid w:val="00062B9E"/>
    <w:rsid w:val="00070CA4"/>
    <w:rsid w:val="0007436A"/>
    <w:rsid w:val="0008085F"/>
    <w:rsid w:val="000859BE"/>
    <w:rsid w:val="00093441"/>
    <w:rsid w:val="000A010D"/>
    <w:rsid w:val="000A057D"/>
    <w:rsid w:val="000B07EE"/>
    <w:rsid w:val="000B200F"/>
    <w:rsid w:val="000B27C8"/>
    <w:rsid w:val="000B4223"/>
    <w:rsid w:val="000C063F"/>
    <w:rsid w:val="000C2A61"/>
    <w:rsid w:val="000C50D0"/>
    <w:rsid w:val="000C5709"/>
    <w:rsid w:val="000D5999"/>
    <w:rsid w:val="000D74F9"/>
    <w:rsid w:val="000F3D41"/>
    <w:rsid w:val="00104245"/>
    <w:rsid w:val="00111975"/>
    <w:rsid w:val="001201F8"/>
    <w:rsid w:val="00121D8B"/>
    <w:rsid w:val="0012602D"/>
    <w:rsid w:val="00132292"/>
    <w:rsid w:val="00133A40"/>
    <w:rsid w:val="00137AF0"/>
    <w:rsid w:val="00140995"/>
    <w:rsid w:val="001468CD"/>
    <w:rsid w:val="00155863"/>
    <w:rsid w:val="0016510C"/>
    <w:rsid w:val="00166366"/>
    <w:rsid w:val="00167224"/>
    <w:rsid w:val="00175151"/>
    <w:rsid w:val="001757F3"/>
    <w:rsid w:val="001764D9"/>
    <w:rsid w:val="00182143"/>
    <w:rsid w:val="00197562"/>
    <w:rsid w:val="00197F4B"/>
    <w:rsid w:val="001A4556"/>
    <w:rsid w:val="001A5C49"/>
    <w:rsid w:val="001B43CF"/>
    <w:rsid w:val="001C1500"/>
    <w:rsid w:val="001C6A82"/>
    <w:rsid w:val="001C6DDE"/>
    <w:rsid w:val="001D66C8"/>
    <w:rsid w:val="001F1003"/>
    <w:rsid w:val="002033A2"/>
    <w:rsid w:val="00216641"/>
    <w:rsid w:val="002211AF"/>
    <w:rsid w:val="00237BBF"/>
    <w:rsid w:val="00247916"/>
    <w:rsid w:val="00252825"/>
    <w:rsid w:val="00257385"/>
    <w:rsid w:val="00262C10"/>
    <w:rsid w:val="00274E34"/>
    <w:rsid w:val="00274FA7"/>
    <w:rsid w:val="002753A8"/>
    <w:rsid w:val="002758FF"/>
    <w:rsid w:val="00281125"/>
    <w:rsid w:val="00282790"/>
    <w:rsid w:val="0028515A"/>
    <w:rsid w:val="00285F07"/>
    <w:rsid w:val="00292D48"/>
    <w:rsid w:val="002940AF"/>
    <w:rsid w:val="002B0A9D"/>
    <w:rsid w:val="002B70B2"/>
    <w:rsid w:val="002C04AC"/>
    <w:rsid w:val="002C435F"/>
    <w:rsid w:val="002C531D"/>
    <w:rsid w:val="002E0357"/>
    <w:rsid w:val="002E1E9E"/>
    <w:rsid w:val="002F459C"/>
    <w:rsid w:val="0031354F"/>
    <w:rsid w:val="003212F2"/>
    <w:rsid w:val="00323C6C"/>
    <w:rsid w:val="0033239C"/>
    <w:rsid w:val="00344246"/>
    <w:rsid w:val="00362C2C"/>
    <w:rsid w:val="00392592"/>
    <w:rsid w:val="00392B4F"/>
    <w:rsid w:val="00394EA3"/>
    <w:rsid w:val="003A2925"/>
    <w:rsid w:val="003B1EC0"/>
    <w:rsid w:val="003C1AFD"/>
    <w:rsid w:val="003C4964"/>
    <w:rsid w:val="003C5265"/>
    <w:rsid w:val="003D0201"/>
    <w:rsid w:val="003E1E41"/>
    <w:rsid w:val="003E37F2"/>
    <w:rsid w:val="003E3B80"/>
    <w:rsid w:val="003F2D27"/>
    <w:rsid w:val="003F448B"/>
    <w:rsid w:val="003F672F"/>
    <w:rsid w:val="00407C14"/>
    <w:rsid w:val="00411208"/>
    <w:rsid w:val="00420593"/>
    <w:rsid w:val="00430D1D"/>
    <w:rsid w:val="00433295"/>
    <w:rsid w:val="00436684"/>
    <w:rsid w:val="0044096A"/>
    <w:rsid w:val="0045430E"/>
    <w:rsid w:val="004656EE"/>
    <w:rsid w:val="004847BB"/>
    <w:rsid w:val="00487BC5"/>
    <w:rsid w:val="00490F3D"/>
    <w:rsid w:val="004918FE"/>
    <w:rsid w:val="00492198"/>
    <w:rsid w:val="004A63D0"/>
    <w:rsid w:val="004B440A"/>
    <w:rsid w:val="004B7900"/>
    <w:rsid w:val="004C3AB0"/>
    <w:rsid w:val="004D1846"/>
    <w:rsid w:val="004D3DC8"/>
    <w:rsid w:val="004D74C6"/>
    <w:rsid w:val="004E3AE4"/>
    <w:rsid w:val="004F0282"/>
    <w:rsid w:val="004F0E5D"/>
    <w:rsid w:val="00501B7E"/>
    <w:rsid w:val="0050247F"/>
    <w:rsid w:val="005049E3"/>
    <w:rsid w:val="00517CAE"/>
    <w:rsid w:val="005231DC"/>
    <w:rsid w:val="0052531C"/>
    <w:rsid w:val="005309AF"/>
    <w:rsid w:val="00530EC0"/>
    <w:rsid w:val="00536D5F"/>
    <w:rsid w:val="00541AF5"/>
    <w:rsid w:val="005477F3"/>
    <w:rsid w:val="005661BC"/>
    <w:rsid w:val="00571E2E"/>
    <w:rsid w:val="00582785"/>
    <w:rsid w:val="005A21EB"/>
    <w:rsid w:val="005C2644"/>
    <w:rsid w:val="005E455C"/>
    <w:rsid w:val="005E5AAF"/>
    <w:rsid w:val="005F6D7C"/>
    <w:rsid w:val="00607776"/>
    <w:rsid w:val="00611306"/>
    <w:rsid w:val="00612BB3"/>
    <w:rsid w:val="0062105E"/>
    <w:rsid w:val="00631F56"/>
    <w:rsid w:val="00644ABA"/>
    <w:rsid w:val="00645657"/>
    <w:rsid w:val="0064775F"/>
    <w:rsid w:val="00662E17"/>
    <w:rsid w:val="006665F1"/>
    <w:rsid w:val="00667E01"/>
    <w:rsid w:val="00667E29"/>
    <w:rsid w:val="00695515"/>
    <w:rsid w:val="006C6AF3"/>
    <w:rsid w:val="006D2443"/>
    <w:rsid w:val="006F01F2"/>
    <w:rsid w:val="006F05BE"/>
    <w:rsid w:val="006F34B9"/>
    <w:rsid w:val="006F3EC6"/>
    <w:rsid w:val="006F50AE"/>
    <w:rsid w:val="00702245"/>
    <w:rsid w:val="0071610C"/>
    <w:rsid w:val="00742036"/>
    <w:rsid w:val="00751D35"/>
    <w:rsid w:val="00760DC6"/>
    <w:rsid w:val="007644F4"/>
    <w:rsid w:val="0077352D"/>
    <w:rsid w:val="007830D7"/>
    <w:rsid w:val="0079002C"/>
    <w:rsid w:val="007A232C"/>
    <w:rsid w:val="007A5A90"/>
    <w:rsid w:val="007B0E10"/>
    <w:rsid w:val="007B572B"/>
    <w:rsid w:val="007C0A21"/>
    <w:rsid w:val="007C687C"/>
    <w:rsid w:val="007D0969"/>
    <w:rsid w:val="007D72A4"/>
    <w:rsid w:val="007E0CF4"/>
    <w:rsid w:val="007E1126"/>
    <w:rsid w:val="007E3895"/>
    <w:rsid w:val="007F1804"/>
    <w:rsid w:val="0080318C"/>
    <w:rsid w:val="0080458D"/>
    <w:rsid w:val="00805973"/>
    <w:rsid w:val="0082586E"/>
    <w:rsid w:val="00832574"/>
    <w:rsid w:val="008549AC"/>
    <w:rsid w:val="00872177"/>
    <w:rsid w:val="00872894"/>
    <w:rsid w:val="0087480C"/>
    <w:rsid w:val="00876B47"/>
    <w:rsid w:val="008825A8"/>
    <w:rsid w:val="008826E5"/>
    <w:rsid w:val="00883E85"/>
    <w:rsid w:val="00894832"/>
    <w:rsid w:val="008976A8"/>
    <w:rsid w:val="008A3554"/>
    <w:rsid w:val="008D17B0"/>
    <w:rsid w:val="008F655A"/>
    <w:rsid w:val="009006B1"/>
    <w:rsid w:val="00913BED"/>
    <w:rsid w:val="00916634"/>
    <w:rsid w:val="00916EE8"/>
    <w:rsid w:val="00932504"/>
    <w:rsid w:val="009436F8"/>
    <w:rsid w:val="00945869"/>
    <w:rsid w:val="009532BD"/>
    <w:rsid w:val="00962010"/>
    <w:rsid w:val="009621F8"/>
    <w:rsid w:val="009700F6"/>
    <w:rsid w:val="00972E19"/>
    <w:rsid w:val="00972E23"/>
    <w:rsid w:val="00995490"/>
    <w:rsid w:val="009A2277"/>
    <w:rsid w:val="009A755A"/>
    <w:rsid w:val="009D19B5"/>
    <w:rsid w:val="009D6AFE"/>
    <w:rsid w:val="009E5131"/>
    <w:rsid w:val="009E72F6"/>
    <w:rsid w:val="009F7BEA"/>
    <w:rsid w:val="00A06D41"/>
    <w:rsid w:val="00A2478D"/>
    <w:rsid w:val="00A40A48"/>
    <w:rsid w:val="00A53872"/>
    <w:rsid w:val="00A5740F"/>
    <w:rsid w:val="00A62061"/>
    <w:rsid w:val="00A64A56"/>
    <w:rsid w:val="00A65BE0"/>
    <w:rsid w:val="00A66C72"/>
    <w:rsid w:val="00A72E06"/>
    <w:rsid w:val="00A77FF5"/>
    <w:rsid w:val="00A8306F"/>
    <w:rsid w:val="00A859A1"/>
    <w:rsid w:val="00A867C0"/>
    <w:rsid w:val="00A86C5C"/>
    <w:rsid w:val="00A9508C"/>
    <w:rsid w:val="00AA1FA6"/>
    <w:rsid w:val="00AA6026"/>
    <w:rsid w:val="00AC0DAE"/>
    <w:rsid w:val="00AC3669"/>
    <w:rsid w:val="00AC7E79"/>
    <w:rsid w:val="00AD0E9B"/>
    <w:rsid w:val="00AD596E"/>
    <w:rsid w:val="00AE7C7D"/>
    <w:rsid w:val="00B05F5A"/>
    <w:rsid w:val="00B06A56"/>
    <w:rsid w:val="00B24695"/>
    <w:rsid w:val="00B263BB"/>
    <w:rsid w:val="00B32C9E"/>
    <w:rsid w:val="00B36438"/>
    <w:rsid w:val="00B71F53"/>
    <w:rsid w:val="00B865BB"/>
    <w:rsid w:val="00B879F4"/>
    <w:rsid w:val="00BA5AF9"/>
    <w:rsid w:val="00BA75B6"/>
    <w:rsid w:val="00BB0237"/>
    <w:rsid w:val="00BC1400"/>
    <w:rsid w:val="00BD0C3F"/>
    <w:rsid w:val="00BD39F4"/>
    <w:rsid w:val="00BE1811"/>
    <w:rsid w:val="00BE1D86"/>
    <w:rsid w:val="00BF13AA"/>
    <w:rsid w:val="00BF2F13"/>
    <w:rsid w:val="00C0674E"/>
    <w:rsid w:val="00C153BF"/>
    <w:rsid w:val="00C15766"/>
    <w:rsid w:val="00C164D8"/>
    <w:rsid w:val="00C36B70"/>
    <w:rsid w:val="00C42CA8"/>
    <w:rsid w:val="00C83FF3"/>
    <w:rsid w:val="00CA66AE"/>
    <w:rsid w:val="00CC2EB2"/>
    <w:rsid w:val="00CD46F9"/>
    <w:rsid w:val="00CE3125"/>
    <w:rsid w:val="00CF2B43"/>
    <w:rsid w:val="00D02990"/>
    <w:rsid w:val="00D04687"/>
    <w:rsid w:val="00D3746C"/>
    <w:rsid w:val="00D40B0C"/>
    <w:rsid w:val="00D52A3B"/>
    <w:rsid w:val="00D547AE"/>
    <w:rsid w:val="00D77B66"/>
    <w:rsid w:val="00D801C2"/>
    <w:rsid w:val="00D90267"/>
    <w:rsid w:val="00DA5717"/>
    <w:rsid w:val="00DA624E"/>
    <w:rsid w:val="00DB1E33"/>
    <w:rsid w:val="00DB746B"/>
    <w:rsid w:val="00DB77ED"/>
    <w:rsid w:val="00DC1748"/>
    <w:rsid w:val="00DC50A7"/>
    <w:rsid w:val="00DC536A"/>
    <w:rsid w:val="00DC5B07"/>
    <w:rsid w:val="00DE6672"/>
    <w:rsid w:val="00DF0F80"/>
    <w:rsid w:val="00E1025C"/>
    <w:rsid w:val="00E11418"/>
    <w:rsid w:val="00E21C3B"/>
    <w:rsid w:val="00E4030C"/>
    <w:rsid w:val="00E436EF"/>
    <w:rsid w:val="00E5404D"/>
    <w:rsid w:val="00E812A0"/>
    <w:rsid w:val="00E82A31"/>
    <w:rsid w:val="00E83CAF"/>
    <w:rsid w:val="00E937A1"/>
    <w:rsid w:val="00EA0B89"/>
    <w:rsid w:val="00EB4B28"/>
    <w:rsid w:val="00EC0184"/>
    <w:rsid w:val="00EC48E3"/>
    <w:rsid w:val="00EC7746"/>
    <w:rsid w:val="00EC79E5"/>
    <w:rsid w:val="00ED19A6"/>
    <w:rsid w:val="00ED74B1"/>
    <w:rsid w:val="00EE0E4B"/>
    <w:rsid w:val="00EE1A93"/>
    <w:rsid w:val="00EF787D"/>
    <w:rsid w:val="00F02F35"/>
    <w:rsid w:val="00F039CA"/>
    <w:rsid w:val="00F22A6B"/>
    <w:rsid w:val="00F56239"/>
    <w:rsid w:val="00F6109E"/>
    <w:rsid w:val="00F62741"/>
    <w:rsid w:val="00F6697D"/>
    <w:rsid w:val="00F741FF"/>
    <w:rsid w:val="00F81DB7"/>
    <w:rsid w:val="00FA0994"/>
    <w:rsid w:val="00FB42DF"/>
    <w:rsid w:val="00FC70C7"/>
    <w:rsid w:val="00FE1C74"/>
    <w:rsid w:val="00FE68F5"/>
    <w:rsid w:val="00FF3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6A56"/>
    <w:pPr>
      <w:tabs>
        <w:tab w:val="center" w:pos="4320"/>
        <w:tab w:val="right" w:pos="8640"/>
      </w:tabs>
    </w:pPr>
  </w:style>
  <w:style w:type="paragraph" w:styleId="Footer">
    <w:name w:val="footer"/>
    <w:basedOn w:val="Normal"/>
    <w:link w:val="FooterChar"/>
    <w:uiPriority w:val="99"/>
    <w:rsid w:val="00B06A56"/>
    <w:pPr>
      <w:tabs>
        <w:tab w:val="center" w:pos="4320"/>
        <w:tab w:val="right" w:pos="8640"/>
      </w:tabs>
    </w:pPr>
  </w:style>
  <w:style w:type="character" w:styleId="PageNumber">
    <w:name w:val="page number"/>
    <w:basedOn w:val="DefaultParagraphFont"/>
    <w:rsid w:val="00B06A56"/>
  </w:style>
  <w:style w:type="table" w:styleId="TableGrid">
    <w:name w:val="Table Grid"/>
    <w:basedOn w:val="TableNormal"/>
    <w:uiPriority w:val="59"/>
    <w:rsid w:val="00CF2B4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E1E41"/>
    <w:rPr>
      <w:rFonts w:ascii="Tahoma" w:hAnsi="Tahoma" w:cs="Tahoma"/>
      <w:sz w:val="16"/>
      <w:szCs w:val="16"/>
    </w:rPr>
  </w:style>
  <w:style w:type="character" w:styleId="Hyperlink">
    <w:name w:val="Hyperlink"/>
    <w:basedOn w:val="DefaultParagraphFont"/>
    <w:uiPriority w:val="99"/>
    <w:rsid w:val="00EC79E5"/>
    <w:rPr>
      <w:rFonts w:cs="Times New Roman"/>
      <w:color w:val="0000FF"/>
      <w:u w:val="single"/>
    </w:rPr>
  </w:style>
  <w:style w:type="paragraph" w:styleId="FootnoteText">
    <w:name w:val="footnote text"/>
    <w:basedOn w:val="Normal"/>
    <w:link w:val="FootnoteTextChar"/>
    <w:uiPriority w:val="99"/>
    <w:unhideWhenUsed/>
    <w:rsid w:val="00EC79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eastAsiaTheme="minorEastAsia"/>
      <w:lang w:eastAsia="en-US"/>
    </w:rPr>
  </w:style>
  <w:style w:type="character" w:customStyle="1" w:styleId="FootnoteTextChar">
    <w:name w:val="Footnote Text Char"/>
    <w:basedOn w:val="DefaultParagraphFont"/>
    <w:link w:val="FootnoteText"/>
    <w:uiPriority w:val="99"/>
    <w:rsid w:val="00EC79E5"/>
    <w:rPr>
      <w:rFonts w:eastAsiaTheme="minorEastAsia"/>
    </w:rPr>
  </w:style>
  <w:style w:type="character" w:styleId="FootnoteReference">
    <w:name w:val="footnote reference"/>
    <w:basedOn w:val="DefaultParagraphFont"/>
    <w:uiPriority w:val="99"/>
    <w:unhideWhenUsed/>
    <w:rsid w:val="00EC79E5"/>
    <w:rPr>
      <w:rFonts w:cs="Times New Roman"/>
      <w:vertAlign w:val="superscript"/>
    </w:rPr>
  </w:style>
  <w:style w:type="character" w:customStyle="1" w:styleId="FooterChar">
    <w:name w:val="Footer Char"/>
    <w:basedOn w:val="DefaultParagraphFont"/>
    <w:link w:val="Footer"/>
    <w:uiPriority w:val="99"/>
    <w:rsid w:val="00501B7E"/>
    <w:rPr>
      <w:lang w:eastAsia="zh-CN"/>
    </w:rPr>
  </w:style>
  <w:style w:type="character" w:customStyle="1" w:styleId="st1">
    <w:name w:val="st1"/>
    <w:basedOn w:val="DefaultParagraphFont"/>
    <w:rsid w:val="00972E19"/>
  </w:style>
  <w:style w:type="paragraph" w:styleId="ListParagraph">
    <w:name w:val="List Paragraph"/>
    <w:basedOn w:val="Normal"/>
    <w:uiPriority w:val="34"/>
    <w:qFormat/>
    <w:rsid w:val="004918FE"/>
    <w:pPr>
      <w:ind w:left="720"/>
    </w:pPr>
    <w:rPr>
      <w:rFonts w:ascii="Arial" w:eastAsiaTheme="minorHAnsi" w:hAnsi="Arial" w:cs="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6A56"/>
    <w:pPr>
      <w:tabs>
        <w:tab w:val="center" w:pos="4320"/>
        <w:tab w:val="right" w:pos="8640"/>
      </w:tabs>
    </w:pPr>
  </w:style>
  <w:style w:type="paragraph" w:styleId="Footer">
    <w:name w:val="footer"/>
    <w:basedOn w:val="Normal"/>
    <w:link w:val="FooterChar"/>
    <w:uiPriority w:val="99"/>
    <w:rsid w:val="00B06A56"/>
    <w:pPr>
      <w:tabs>
        <w:tab w:val="center" w:pos="4320"/>
        <w:tab w:val="right" w:pos="8640"/>
      </w:tabs>
    </w:pPr>
  </w:style>
  <w:style w:type="character" w:styleId="PageNumber">
    <w:name w:val="page number"/>
    <w:basedOn w:val="DefaultParagraphFont"/>
    <w:rsid w:val="00B06A56"/>
  </w:style>
  <w:style w:type="table" w:styleId="TableGrid">
    <w:name w:val="Table Grid"/>
    <w:basedOn w:val="TableNormal"/>
    <w:uiPriority w:val="59"/>
    <w:rsid w:val="00CF2B4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E1E41"/>
    <w:rPr>
      <w:rFonts w:ascii="Tahoma" w:hAnsi="Tahoma" w:cs="Tahoma"/>
      <w:sz w:val="16"/>
      <w:szCs w:val="16"/>
    </w:rPr>
  </w:style>
  <w:style w:type="character" w:styleId="Hyperlink">
    <w:name w:val="Hyperlink"/>
    <w:basedOn w:val="DefaultParagraphFont"/>
    <w:uiPriority w:val="99"/>
    <w:rsid w:val="00EC79E5"/>
    <w:rPr>
      <w:rFonts w:cs="Times New Roman"/>
      <w:color w:val="0000FF"/>
      <w:u w:val="single"/>
    </w:rPr>
  </w:style>
  <w:style w:type="paragraph" w:styleId="FootnoteText">
    <w:name w:val="footnote text"/>
    <w:basedOn w:val="Normal"/>
    <w:link w:val="FootnoteTextChar"/>
    <w:uiPriority w:val="99"/>
    <w:unhideWhenUsed/>
    <w:rsid w:val="00EC79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eastAsiaTheme="minorEastAsia"/>
      <w:lang w:eastAsia="en-US"/>
    </w:rPr>
  </w:style>
  <w:style w:type="character" w:customStyle="1" w:styleId="FootnoteTextChar">
    <w:name w:val="Footnote Text Char"/>
    <w:basedOn w:val="DefaultParagraphFont"/>
    <w:link w:val="FootnoteText"/>
    <w:uiPriority w:val="99"/>
    <w:rsid w:val="00EC79E5"/>
    <w:rPr>
      <w:rFonts w:eastAsiaTheme="minorEastAsia"/>
    </w:rPr>
  </w:style>
  <w:style w:type="character" w:styleId="FootnoteReference">
    <w:name w:val="footnote reference"/>
    <w:basedOn w:val="DefaultParagraphFont"/>
    <w:uiPriority w:val="99"/>
    <w:unhideWhenUsed/>
    <w:rsid w:val="00EC79E5"/>
    <w:rPr>
      <w:rFonts w:cs="Times New Roman"/>
      <w:vertAlign w:val="superscript"/>
    </w:rPr>
  </w:style>
  <w:style w:type="character" w:customStyle="1" w:styleId="FooterChar">
    <w:name w:val="Footer Char"/>
    <w:basedOn w:val="DefaultParagraphFont"/>
    <w:link w:val="Footer"/>
    <w:uiPriority w:val="99"/>
    <w:rsid w:val="00501B7E"/>
    <w:rPr>
      <w:lang w:eastAsia="zh-CN"/>
    </w:rPr>
  </w:style>
  <w:style w:type="character" w:customStyle="1" w:styleId="st1">
    <w:name w:val="st1"/>
    <w:basedOn w:val="DefaultParagraphFont"/>
    <w:rsid w:val="00972E19"/>
  </w:style>
  <w:style w:type="paragraph" w:styleId="ListParagraph">
    <w:name w:val="List Paragraph"/>
    <w:basedOn w:val="Normal"/>
    <w:uiPriority w:val="34"/>
    <w:qFormat/>
    <w:rsid w:val="004918FE"/>
    <w:pPr>
      <w:ind w:left="720"/>
    </w:pPr>
    <w:rPr>
      <w:rFonts w:ascii="Arial" w:eastAsiaTheme="minorHAns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12295">
      <w:bodyDiv w:val="1"/>
      <w:marLeft w:val="0"/>
      <w:marRight w:val="0"/>
      <w:marTop w:val="0"/>
      <w:marBottom w:val="0"/>
      <w:divBdr>
        <w:top w:val="none" w:sz="0" w:space="0" w:color="auto"/>
        <w:left w:val="none" w:sz="0" w:space="0" w:color="auto"/>
        <w:bottom w:val="none" w:sz="0" w:space="0" w:color="auto"/>
        <w:right w:val="none" w:sz="0" w:space="0" w:color="auto"/>
      </w:divBdr>
    </w:div>
    <w:div w:id="202146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spak@whitecase.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klett@captrad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dorn@kslaw.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tephen.vaughn@skadden.com" TargetMode="External"/><Relationship Id="rId4" Type="http://schemas.microsoft.com/office/2007/relationships/stylesWithEffects" Target="stylesWithEffects.xml"/><Relationship Id="rId9" Type="http://schemas.openxmlformats.org/officeDocument/2006/relationships/hyperlink" Target="mailto:aprice@wileyrein.com" TargetMode="External"/><Relationship Id="rId14" Type="http://schemas.openxmlformats.org/officeDocument/2006/relationships/hyperlink" Target="mailto:wconnelly@akingump.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332MAN\New_Manual\web\templates\AJ.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FD115-6925-421B-A3E1-555B2B749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AJ</Template>
  <TotalTime>0</TotalTime>
  <Pages>3</Pages>
  <Words>1039</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USITC 001 (rev</vt:lpstr>
    </vt:vector>
  </TitlesOfParts>
  <Company>USITC</Company>
  <LinksUpToDate>false</LinksUpToDate>
  <CharactersWithSpaces>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 001 (rev</dc:title>
  <dc:creator>Gillen, Louise</dc:creator>
  <cp:lastModifiedBy>Corkran, Douglas</cp:lastModifiedBy>
  <cp:revision>2</cp:revision>
  <cp:lastPrinted>2014-04-08T19:01:00Z</cp:lastPrinted>
  <dcterms:created xsi:type="dcterms:W3CDTF">2015-06-25T18:16:00Z</dcterms:created>
  <dcterms:modified xsi:type="dcterms:W3CDTF">2015-06-25T18:16:00Z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1:20110105">
    <vt:lpwstr>Varad Kandadai</vt:lpwstr>
  </property>
</Properties>
</file>