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E5" w:rsidRDefault="00EC79E5" w:rsidP="00744121">
      <w:pPr>
        <w:jc w:val="center"/>
        <w:rPr>
          <w:b/>
          <w:sz w:val="22"/>
          <w:szCs w:val="22"/>
        </w:rPr>
      </w:pPr>
      <w:r w:rsidRPr="007830D7">
        <w:rPr>
          <w:b/>
          <w:sz w:val="22"/>
          <w:szCs w:val="22"/>
        </w:rPr>
        <w:t>Survey Planning and Design Document</w:t>
      </w:r>
    </w:p>
    <w:p w:rsidR="0012642B" w:rsidRPr="0012642B" w:rsidRDefault="0012642B" w:rsidP="0074412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April, 2015</w:t>
      </w:r>
    </w:p>
    <w:p w:rsidR="00EC79E5" w:rsidRPr="007830D7" w:rsidRDefault="00EC79E5" w:rsidP="00744121">
      <w:pPr>
        <w:jc w:val="center"/>
        <w:rPr>
          <w:sz w:val="22"/>
          <w:szCs w:val="22"/>
        </w:rPr>
      </w:pPr>
    </w:p>
    <w:p w:rsidR="00EC79E5" w:rsidRPr="007830D7" w:rsidRDefault="00B66B49" w:rsidP="00744121">
      <w:pPr>
        <w:jc w:val="center"/>
        <w:rPr>
          <w:sz w:val="22"/>
          <w:szCs w:val="22"/>
        </w:rPr>
      </w:pPr>
      <w:r>
        <w:rPr>
          <w:sz w:val="22"/>
          <w:szCs w:val="22"/>
        </w:rPr>
        <w:t>Survey of EDIS User Satisfaction</w:t>
      </w:r>
      <w:r w:rsidR="00EC79E5" w:rsidRPr="007830D7">
        <w:rPr>
          <w:sz w:val="22"/>
          <w:szCs w:val="22"/>
        </w:rPr>
        <w:t xml:space="preserve"> </w:t>
      </w:r>
      <w:r>
        <w:rPr>
          <w:sz w:val="22"/>
          <w:szCs w:val="22"/>
        </w:rPr>
        <w:t>Using EDIS of the Section 337 and Title VII</w:t>
      </w:r>
      <w:r w:rsidR="00EC79E5" w:rsidRPr="007830D7">
        <w:rPr>
          <w:sz w:val="22"/>
          <w:szCs w:val="22"/>
        </w:rPr>
        <w:t xml:space="preserve"> Community</w:t>
      </w:r>
    </w:p>
    <w:p w:rsidR="00EC79E5" w:rsidRPr="007830D7" w:rsidRDefault="00EC79E5" w:rsidP="004F2C6A">
      <w:pPr>
        <w:rPr>
          <w:sz w:val="22"/>
          <w:szCs w:val="22"/>
        </w:rPr>
      </w:pPr>
    </w:p>
    <w:p w:rsidR="00EC79E5" w:rsidRDefault="00EC79E5" w:rsidP="00D55A25">
      <w:pPr>
        <w:rPr>
          <w:sz w:val="22"/>
          <w:szCs w:val="22"/>
        </w:rPr>
      </w:pPr>
      <w:r w:rsidRPr="007830D7">
        <w:rPr>
          <w:sz w:val="22"/>
          <w:szCs w:val="22"/>
        </w:rPr>
        <w:t xml:space="preserve">The U.S. International </w:t>
      </w:r>
      <w:r w:rsidR="0012642B">
        <w:rPr>
          <w:sz w:val="22"/>
          <w:szCs w:val="22"/>
        </w:rPr>
        <w:t>Trade Commission (USITC) is re-issuing</w:t>
      </w:r>
      <w:r w:rsidR="00B66B49">
        <w:rPr>
          <w:sz w:val="22"/>
          <w:szCs w:val="22"/>
        </w:rPr>
        <w:t xml:space="preserve"> a survey to gather</w:t>
      </w:r>
      <w:r w:rsidRPr="007830D7">
        <w:rPr>
          <w:sz w:val="22"/>
          <w:szCs w:val="22"/>
        </w:rPr>
        <w:t xml:space="preserve"> fe</w:t>
      </w:r>
      <w:r w:rsidR="00B66B49">
        <w:rPr>
          <w:sz w:val="22"/>
          <w:szCs w:val="22"/>
        </w:rPr>
        <w:t>edback to evaluate the level of user satisfaction with the USITC’s Electronic Document Information System (EDIS), a web-based service that allows users to file, validate, search for, and access documents related to Commission investigations</w:t>
      </w:r>
      <w:r w:rsidRPr="007830D7">
        <w:rPr>
          <w:sz w:val="22"/>
          <w:szCs w:val="22"/>
        </w:rPr>
        <w:t>.</w:t>
      </w:r>
      <w:r w:rsidR="00E67E6A">
        <w:rPr>
          <w:sz w:val="22"/>
          <w:szCs w:val="22"/>
        </w:rPr>
        <w:t xml:space="preserve"> </w:t>
      </w:r>
      <w:r w:rsidR="00355F64">
        <w:rPr>
          <w:sz w:val="22"/>
          <w:szCs w:val="22"/>
        </w:rPr>
        <w:t>The survey responses will also be used to update functionality as part of an ongoing re-engineering effort of EDIS.</w:t>
      </w:r>
    </w:p>
    <w:p w:rsidR="007E44A4" w:rsidRDefault="007E44A4" w:rsidP="00D55A25">
      <w:pPr>
        <w:rPr>
          <w:sz w:val="22"/>
          <w:szCs w:val="22"/>
        </w:rPr>
      </w:pPr>
    </w:p>
    <w:p w:rsidR="007E44A4" w:rsidRPr="007830D7" w:rsidRDefault="007E44A4" w:rsidP="00D55A25">
      <w:pPr>
        <w:rPr>
          <w:sz w:val="22"/>
          <w:szCs w:val="22"/>
        </w:rPr>
      </w:pPr>
      <w:r>
        <w:rPr>
          <w:sz w:val="22"/>
          <w:szCs w:val="22"/>
        </w:rPr>
        <w:t>This survey was originally issued from August 29 – September 30, 2014 to generate an initial baseline of user satisfaction with EDIS.</w:t>
      </w:r>
      <w:r w:rsidR="00E67E6A">
        <w:rPr>
          <w:sz w:val="22"/>
          <w:szCs w:val="22"/>
        </w:rPr>
        <w:t xml:space="preserve"> </w:t>
      </w:r>
      <w:r>
        <w:rPr>
          <w:sz w:val="22"/>
          <w:szCs w:val="22"/>
        </w:rPr>
        <w:t>This re-issuance of the survey is to collect ongoing satisfaction data to support agency performance measures.</w:t>
      </w:r>
      <w:r w:rsidR="00E67E6A">
        <w:rPr>
          <w:sz w:val="22"/>
          <w:szCs w:val="22"/>
        </w:rPr>
        <w:t xml:space="preserve"> </w:t>
      </w:r>
      <w:r>
        <w:rPr>
          <w:sz w:val="22"/>
          <w:szCs w:val="22"/>
        </w:rPr>
        <w:t>No changes to the content of the survey have been made.</w:t>
      </w:r>
    </w:p>
    <w:p w:rsidR="00EC79E5" w:rsidRPr="007830D7" w:rsidRDefault="00EC79E5" w:rsidP="00D55A25">
      <w:pPr>
        <w:rPr>
          <w:sz w:val="22"/>
          <w:szCs w:val="22"/>
        </w:rPr>
      </w:pPr>
    </w:p>
    <w:p w:rsidR="00EC79E5" w:rsidRPr="007830D7" w:rsidRDefault="00EC79E5" w:rsidP="00FF24B6">
      <w:pPr>
        <w:spacing w:after="100" w:afterAutospacing="1"/>
        <w:rPr>
          <w:sz w:val="22"/>
          <w:szCs w:val="22"/>
        </w:rPr>
      </w:pPr>
      <w:r w:rsidRPr="007830D7">
        <w:rPr>
          <w:sz w:val="22"/>
          <w:szCs w:val="22"/>
        </w:rPr>
        <w:t>A. The Survey Population</w:t>
      </w:r>
    </w:p>
    <w:p w:rsidR="00EC79E5" w:rsidRPr="007830D7" w:rsidRDefault="00EC79E5" w:rsidP="008A384A">
      <w:pPr>
        <w:spacing w:after="100" w:afterAutospacing="1"/>
        <w:rPr>
          <w:sz w:val="22"/>
          <w:szCs w:val="22"/>
        </w:rPr>
      </w:pPr>
      <w:r w:rsidRPr="007830D7">
        <w:rPr>
          <w:sz w:val="22"/>
          <w:szCs w:val="22"/>
        </w:rPr>
        <w:t>This will be a voluntary, web-based survey.</w:t>
      </w:r>
      <w:r w:rsidR="00E67E6A">
        <w:rPr>
          <w:sz w:val="22"/>
          <w:szCs w:val="22"/>
        </w:rPr>
        <w:t xml:space="preserve"> </w:t>
      </w:r>
      <w:r w:rsidRPr="007830D7">
        <w:rPr>
          <w:sz w:val="22"/>
          <w:szCs w:val="22"/>
        </w:rPr>
        <w:t>The survey population likely will include groups alerted to the survey through several means.</w:t>
      </w:r>
      <w:r w:rsidR="00E67E6A">
        <w:rPr>
          <w:sz w:val="22"/>
          <w:szCs w:val="22"/>
        </w:rPr>
        <w:t xml:space="preserve"> </w:t>
      </w:r>
      <w:r w:rsidRPr="007830D7">
        <w:rPr>
          <w:sz w:val="22"/>
          <w:szCs w:val="22"/>
        </w:rPr>
        <w:t>The princip</w:t>
      </w:r>
      <w:r w:rsidR="00070CA4" w:rsidRPr="007830D7">
        <w:rPr>
          <w:sz w:val="22"/>
          <w:szCs w:val="22"/>
        </w:rPr>
        <w:t>al</w:t>
      </w:r>
      <w:r w:rsidRPr="007830D7">
        <w:rPr>
          <w:sz w:val="22"/>
          <w:szCs w:val="22"/>
        </w:rPr>
        <w:t xml:space="preserve"> avenue will be through</w:t>
      </w:r>
      <w:r w:rsidR="00B66B49">
        <w:rPr>
          <w:sz w:val="22"/>
          <w:szCs w:val="22"/>
        </w:rPr>
        <w:t xml:space="preserve"> a notice and link to the survey posted on the EDIS Home, Submission and Search pages.</w:t>
      </w:r>
      <w:r w:rsidR="00E67E6A">
        <w:rPr>
          <w:sz w:val="22"/>
          <w:szCs w:val="22"/>
        </w:rPr>
        <w:t xml:space="preserve"> </w:t>
      </w:r>
      <w:r w:rsidR="00AB5754">
        <w:rPr>
          <w:sz w:val="22"/>
          <w:szCs w:val="22"/>
        </w:rPr>
        <w:t>A</w:t>
      </w:r>
      <w:r w:rsidRPr="007830D7">
        <w:rPr>
          <w:sz w:val="22"/>
          <w:szCs w:val="22"/>
        </w:rPr>
        <w:t xml:space="preserve"> </w:t>
      </w:r>
      <w:r w:rsidR="00070CA4" w:rsidRPr="007830D7">
        <w:rPr>
          <w:sz w:val="22"/>
          <w:szCs w:val="22"/>
        </w:rPr>
        <w:t>news</w:t>
      </w:r>
      <w:r w:rsidRPr="007830D7">
        <w:rPr>
          <w:sz w:val="22"/>
          <w:szCs w:val="22"/>
        </w:rPr>
        <w:t xml:space="preserve"> release directing interested parties to the survey on the agency’s web page</w:t>
      </w:r>
      <w:r w:rsidR="00AB5754">
        <w:rPr>
          <w:sz w:val="22"/>
          <w:szCs w:val="22"/>
        </w:rPr>
        <w:t xml:space="preserve"> will also be posted</w:t>
      </w:r>
      <w:r w:rsidRPr="007830D7">
        <w:rPr>
          <w:sz w:val="22"/>
          <w:szCs w:val="22"/>
        </w:rPr>
        <w:t>.</w:t>
      </w:r>
      <w:r w:rsidR="00E67E6A">
        <w:rPr>
          <w:sz w:val="22"/>
          <w:szCs w:val="22"/>
        </w:rPr>
        <w:t xml:space="preserve"> </w:t>
      </w:r>
      <w:r w:rsidRPr="007830D7">
        <w:rPr>
          <w:sz w:val="22"/>
          <w:szCs w:val="22"/>
        </w:rPr>
        <w:t xml:space="preserve">The </w:t>
      </w:r>
      <w:r w:rsidR="00070CA4" w:rsidRPr="007830D7">
        <w:rPr>
          <w:sz w:val="22"/>
          <w:szCs w:val="22"/>
        </w:rPr>
        <w:t>news</w:t>
      </w:r>
      <w:r w:rsidRPr="007830D7">
        <w:rPr>
          <w:sz w:val="22"/>
          <w:szCs w:val="22"/>
        </w:rPr>
        <w:t xml:space="preserve"> release will appear on the agency’s web page and will be distributed via email to the agency’s pre-existing list of self-subscribing entities. </w:t>
      </w:r>
    </w:p>
    <w:p w:rsidR="00EC79E5" w:rsidRPr="007830D7" w:rsidRDefault="00EC79E5" w:rsidP="00FF24B6">
      <w:pPr>
        <w:spacing w:after="100" w:afterAutospacing="1"/>
        <w:rPr>
          <w:sz w:val="22"/>
          <w:szCs w:val="22"/>
        </w:rPr>
      </w:pPr>
      <w:r w:rsidRPr="007830D7">
        <w:rPr>
          <w:sz w:val="22"/>
          <w:szCs w:val="22"/>
        </w:rPr>
        <w:t>B. Field Testing</w:t>
      </w:r>
    </w:p>
    <w:p w:rsidR="00EC79E5" w:rsidRPr="007830D7" w:rsidRDefault="00AB5754" w:rsidP="008A384A">
      <w:pPr>
        <w:spacing w:after="100" w:afterAutospacing="1"/>
        <w:rPr>
          <w:sz w:val="22"/>
          <w:szCs w:val="22"/>
        </w:rPr>
      </w:pPr>
      <w:r>
        <w:rPr>
          <w:sz w:val="22"/>
          <w:szCs w:val="22"/>
        </w:rPr>
        <w:t>In June</w:t>
      </w:r>
      <w:r w:rsidR="00EC79E5" w:rsidRPr="007830D7">
        <w:rPr>
          <w:sz w:val="22"/>
          <w:szCs w:val="22"/>
        </w:rPr>
        <w:t xml:space="preserve"> 2014, the USITC field tested the </w:t>
      </w:r>
      <w:r w:rsidR="0012642B">
        <w:rPr>
          <w:sz w:val="22"/>
          <w:szCs w:val="22"/>
        </w:rPr>
        <w:t xml:space="preserve">original </w:t>
      </w:r>
      <w:r w:rsidR="00EC79E5" w:rsidRPr="007830D7">
        <w:rPr>
          <w:sz w:val="22"/>
          <w:szCs w:val="22"/>
        </w:rPr>
        <w:t>survey with regard to scope and clarity</w:t>
      </w:r>
      <w:r w:rsidR="0012642B">
        <w:rPr>
          <w:sz w:val="22"/>
          <w:szCs w:val="22"/>
        </w:rPr>
        <w:t xml:space="preserve"> of questions.</w:t>
      </w:r>
      <w:r w:rsidR="00E67E6A">
        <w:rPr>
          <w:sz w:val="22"/>
          <w:szCs w:val="22"/>
        </w:rPr>
        <w:t xml:space="preserve"> </w:t>
      </w:r>
      <w:r w:rsidR="007E44A4">
        <w:rPr>
          <w:sz w:val="22"/>
          <w:szCs w:val="22"/>
        </w:rPr>
        <w:t>The table below identifies i</w:t>
      </w:r>
      <w:r w:rsidR="0012642B">
        <w:rPr>
          <w:sz w:val="22"/>
          <w:szCs w:val="22"/>
        </w:rPr>
        <w:t>ndividuals from</w:t>
      </w:r>
      <w:r w:rsidR="007E44A4">
        <w:rPr>
          <w:sz w:val="22"/>
          <w:szCs w:val="22"/>
        </w:rPr>
        <w:t xml:space="preserve"> relevant Section 337 and Title VII organizations who were solicited</w:t>
      </w:r>
      <w:r w:rsidR="00EC79E5" w:rsidRPr="007830D7">
        <w:rPr>
          <w:sz w:val="22"/>
          <w:szCs w:val="22"/>
        </w:rPr>
        <w:t xml:space="preserve"> as pa</w:t>
      </w:r>
      <w:r w:rsidR="007E44A4">
        <w:rPr>
          <w:sz w:val="22"/>
          <w:szCs w:val="22"/>
        </w:rPr>
        <w:t xml:space="preserve">rticipants for field testing </w:t>
      </w:r>
      <w:r w:rsidR="00EC79E5" w:rsidRPr="007830D7">
        <w:rPr>
          <w:sz w:val="22"/>
          <w:szCs w:val="22"/>
        </w:rPr>
        <w:t>the</w:t>
      </w:r>
      <w:r w:rsidR="007E44A4">
        <w:rPr>
          <w:sz w:val="22"/>
          <w:szCs w:val="22"/>
        </w:rPr>
        <w:t xml:space="preserve"> original</w:t>
      </w:r>
      <w:r w:rsidR="00EC79E5" w:rsidRPr="007830D7">
        <w:rPr>
          <w:sz w:val="22"/>
          <w:szCs w:val="22"/>
        </w:rPr>
        <w:t xml:space="preserve"> survey.</w:t>
      </w:r>
      <w:r w:rsidR="00E67E6A">
        <w:rPr>
          <w:sz w:val="22"/>
          <w:szCs w:val="22"/>
        </w:rPr>
        <w:t xml:space="preserve"> </w:t>
      </w:r>
      <w:r>
        <w:rPr>
          <w:sz w:val="22"/>
          <w:szCs w:val="22"/>
        </w:rPr>
        <w:t>The participants in field testing were encouraged to circulate the survey to others within their firms who might want to provide feedback and provide a common response for their firm.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1"/>
        <w:gridCol w:w="4041"/>
        <w:gridCol w:w="3724"/>
      </w:tblGrid>
      <w:tr w:rsidR="00EC79E5" w:rsidRPr="007830D7" w:rsidTr="00144754">
        <w:tc>
          <w:tcPr>
            <w:tcW w:w="1811" w:type="dxa"/>
            <w:shd w:val="clear" w:color="auto" w:fill="EEECE1" w:themeFill="background2"/>
          </w:tcPr>
          <w:p w:rsidR="00EC79E5" w:rsidRPr="007830D7" w:rsidRDefault="00EC79E5" w:rsidP="00C572BF">
            <w:pPr>
              <w:spacing w:after="100" w:afterAutospacing="1"/>
              <w:jc w:val="center"/>
            </w:pPr>
            <w:r w:rsidRPr="007830D7">
              <w:t>Name</w:t>
            </w:r>
          </w:p>
        </w:tc>
        <w:tc>
          <w:tcPr>
            <w:tcW w:w="4041" w:type="dxa"/>
            <w:shd w:val="clear" w:color="auto" w:fill="EEECE1" w:themeFill="background2"/>
          </w:tcPr>
          <w:p w:rsidR="00EC79E5" w:rsidRPr="007830D7" w:rsidRDefault="00EC79E5" w:rsidP="00C572BF">
            <w:pPr>
              <w:spacing w:after="100" w:afterAutospacing="1"/>
              <w:jc w:val="center"/>
            </w:pPr>
            <w:r w:rsidRPr="007830D7">
              <w:t>Organization</w:t>
            </w:r>
          </w:p>
        </w:tc>
        <w:tc>
          <w:tcPr>
            <w:tcW w:w="3724" w:type="dxa"/>
            <w:shd w:val="clear" w:color="auto" w:fill="EEECE1" w:themeFill="background2"/>
          </w:tcPr>
          <w:p w:rsidR="00EC79E5" w:rsidRPr="007830D7" w:rsidRDefault="00EC79E5" w:rsidP="00C572BF">
            <w:pPr>
              <w:spacing w:after="100" w:afterAutospacing="1"/>
              <w:jc w:val="center"/>
            </w:pPr>
            <w:r w:rsidRPr="007830D7">
              <w:t>Email Address</w:t>
            </w:r>
          </w:p>
        </w:tc>
      </w:tr>
      <w:tr w:rsidR="00EC79E5" w:rsidRPr="007830D7" w:rsidTr="00144754">
        <w:tc>
          <w:tcPr>
            <w:tcW w:w="1811" w:type="dxa"/>
          </w:tcPr>
          <w:p w:rsidR="00EC79E5" w:rsidRPr="007830D7" w:rsidRDefault="00AB5754" w:rsidP="008A384A">
            <w:pPr>
              <w:spacing w:after="100" w:afterAutospacing="1"/>
            </w:pPr>
            <w:r>
              <w:t>Valencia Harvey</w:t>
            </w:r>
          </w:p>
        </w:tc>
        <w:tc>
          <w:tcPr>
            <w:tcW w:w="4041" w:type="dxa"/>
          </w:tcPr>
          <w:p w:rsidR="00EC79E5" w:rsidRPr="007830D7" w:rsidRDefault="00AB5754" w:rsidP="008A384A">
            <w:pPr>
              <w:spacing w:after="100" w:afterAutospacing="1"/>
            </w:pPr>
            <w:r>
              <w:t>Stewart &amp; Steward</w:t>
            </w:r>
          </w:p>
        </w:tc>
        <w:tc>
          <w:tcPr>
            <w:tcW w:w="3724" w:type="dxa"/>
          </w:tcPr>
          <w:p w:rsidR="00EC79E5" w:rsidRPr="007830D7" w:rsidRDefault="00A2605C" w:rsidP="00AB5754">
            <w:pPr>
              <w:spacing w:after="100" w:afterAutospacing="1"/>
            </w:pPr>
            <w:hyperlink r:id="rId9" w:history="1">
              <w:r w:rsidR="00AB5754" w:rsidRPr="00D61185">
                <w:rPr>
                  <w:rStyle w:val="Hyperlink"/>
                </w:rPr>
                <w:t>VHARVEY@stewartlaw.com</w:t>
              </w:r>
            </w:hyperlink>
          </w:p>
        </w:tc>
      </w:tr>
      <w:tr w:rsidR="00EC79E5" w:rsidRPr="007830D7" w:rsidTr="00144754">
        <w:tc>
          <w:tcPr>
            <w:tcW w:w="1811" w:type="dxa"/>
          </w:tcPr>
          <w:p w:rsidR="00EC79E5" w:rsidRPr="007830D7" w:rsidRDefault="00AB5754" w:rsidP="008A384A">
            <w:pPr>
              <w:spacing w:after="100" w:afterAutospacing="1"/>
            </w:pPr>
            <w:r>
              <w:t xml:space="preserve">Roger </w:t>
            </w:r>
            <w:proofErr w:type="spellStart"/>
            <w:r>
              <w:t>Schagrin</w:t>
            </w:r>
            <w:proofErr w:type="spellEnd"/>
          </w:p>
        </w:tc>
        <w:tc>
          <w:tcPr>
            <w:tcW w:w="4041" w:type="dxa"/>
          </w:tcPr>
          <w:p w:rsidR="00EC79E5" w:rsidRPr="007830D7" w:rsidRDefault="00AB5754" w:rsidP="008A384A">
            <w:pPr>
              <w:spacing w:after="100" w:afterAutospacing="1"/>
            </w:pPr>
            <w:proofErr w:type="spellStart"/>
            <w:r>
              <w:t>Schagrin</w:t>
            </w:r>
            <w:proofErr w:type="spellEnd"/>
            <w:r>
              <w:t xml:space="preserve"> Associates</w:t>
            </w:r>
          </w:p>
        </w:tc>
        <w:tc>
          <w:tcPr>
            <w:tcW w:w="3724" w:type="dxa"/>
          </w:tcPr>
          <w:p w:rsidR="00EC79E5" w:rsidRPr="007830D7" w:rsidRDefault="00A2605C" w:rsidP="00AB5754">
            <w:pPr>
              <w:spacing w:after="100" w:afterAutospacing="1"/>
            </w:pPr>
            <w:hyperlink r:id="rId10" w:history="1">
              <w:r w:rsidR="00AB5754" w:rsidRPr="00D61185">
                <w:rPr>
                  <w:rStyle w:val="Hyperlink"/>
                </w:rPr>
                <w:t>schagrin@erols.com</w:t>
              </w:r>
            </w:hyperlink>
          </w:p>
        </w:tc>
      </w:tr>
      <w:tr w:rsidR="00EC79E5" w:rsidRPr="007830D7" w:rsidTr="00144754">
        <w:tc>
          <w:tcPr>
            <w:tcW w:w="1811" w:type="dxa"/>
          </w:tcPr>
          <w:p w:rsidR="00EC79E5" w:rsidRPr="007830D7" w:rsidRDefault="00AB5754" w:rsidP="008A384A">
            <w:pPr>
              <w:spacing w:after="100" w:afterAutospacing="1"/>
            </w:pPr>
            <w:r>
              <w:t>Pat Cotton</w:t>
            </w:r>
          </w:p>
        </w:tc>
        <w:tc>
          <w:tcPr>
            <w:tcW w:w="4041" w:type="dxa"/>
          </w:tcPr>
          <w:p w:rsidR="00EC79E5" w:rsidRPr="007830D7" w:rsidRDefault="00AB5754" w:rsidP="008A384A">
            <w:pPr>
              <w:spacing w:after="100" w:afterAutospacing="1"/>
            </w:pPr>
            <w:proofErr w:type="spellStart"/>
            <w:r>
              <w:t>Adduci</w:t>
            </w:r>
            <w:proofErr w:type="spellEnd"/>
            <w:r>
              <w:t xml:space="preserve">, </w:t>
            </w:r>
            <w:proofErr w:type="spellStart"/>
            <w:r>
              <w:t>Mastriani</w:t>
            </w:r>
            <w:proofErr w:type="spellEnd"/>
            <w:r>
              <w:t xml:space="preserve"> &amp; Schaumberg</w:t>
            </w:r>
          </w:p>
        </w:tc>
        <w:tc>
          <w:tcPr>
            <w:tcW w:w="3724" w:type="dxa"/>
          </w:tcPr>
          <w:p w:rsidR="00EC79E5" w:rsidRPr="007830D7" w:rsidRDefault="00A2605C" w:rsidP="00AB5754">
            <w:pPr>
              <w:spacing w:after="100" w:afterAutospacing="1"/>
            </w:pPr>
            <w:hyperlink r:id="rId11" w:history="1">
              <w:r w:rsidR="00AB5754" w:rsidRPr="00D61185">
                <w:rPr>
                  <w:rStyle w:val="Hyperlink"/>
                </w:rPr>
                <w:t>cotton@adduci.com</w:t>
              </w:r>
            </w:hyperlink>
          </w:p>
        </w:tc>
      </w:tr>
      <w:tr w:rsidR="00EC79E5" w:rsidRPr="007830D7" w:rsidTr="00144754">
        <w:tc>
          <w:tcPr>
            <w:tcW w:w="1811" w:type="dxa"/>
          </w:tcPr>
          <w:p w:rsidR="00EC79E5" w:rsidRPr="007830D7" w:rsidRDefault="00AB5754" w:rsidP="008A384A">
            <w:pPr>
              <w:spacing w:after="100" w:afterAutospacing="1"/>
            </w:pPr>
            <w:r>
              <w:t>Monty Fusco</w:t>
            </w:r>
          </w:p>
        </w:tc>
        <w:tc>
          <w:tcPr>
            <w:tcW w:w="4041" w:type="dxa"/>
          </w:tcPr>
          <w:p w:rsidR="00EC79E5" w:rsidRPr="007830D7" w:rsidRDefault="00AB5754" w:rsidP="008A384A">
            <w:pPr>
              <w:spacing w:after="100" w:afterAutospacing="1"/>
            </w:pPr>
            <w:r>
              <w:t>Fish &amp; Richardson P.C.</w:t>
            </w:r>
          </w:p>
        </w:tc>
        <w:tc>
          <w:tcPr>
            <w:tcW w:w="3724" w:type="dxa"/>
          </w:tcPr>
          <w:p w:rsidR="00EC79E5" w:rsidRPr="007830D7" w:rsidRDefault="00A2605C" w:rsidP="00AB5754">
            <w:pPr>
              <w:spacing w:after="100" w:afterAutospacing="1"/>
            </w:pPr>
            <w:hyperlink r:id="rId12" w:history="1">
              <w:r w:rsidR="00AB5754" w:rsidRPr="00D61185">
                <w:rPr>
                  <w:rStyle w:val="Hyperlink"/>
                </w:rPr>
                <w:t>fusco@fr.com</w:t>
              </w:r>
            </w:hyperlink>
          </w:p>
        </w:tc>
      </w:tr>
    </w:tbl>
    <w:p w:rsidR="00AB5754" w:rsidRDefault="00AB5754" w:rsidP="008A384A">
      <w:pPr>
        <w:spacing w:after="100" w:afterAutospacing="1"/>
        <w:rPr>
          <w:sz w:val="22"/>
          <w:szCs w:val="22"/>
        </w:rPr>
      </w:pPr>
    </w:p>
    <w:p w:rsidR="00AB5754" w:rsidRPr="007830D7" w:rsidRDefault="00AB5754" w:rsidP="008A384A">
      <w:pPr>
        <w:spacing w:after="100" w:afterAutospacing="1"/>
        <w:rPr>
          <w:sz w:val="22"/>
          <w:szCs w:val="22"/>
        </w:rPr>
      </w:pPr>
      <w:r>
        <w:rPr>
          <w:sz w:val="22"/>
          <w:szCs w:val="22"/>
        </w:rPr>
        <w:t>In addition, the survey was circulated amongst the EDIS Policy Working Group within the USITC to get feedback from internal users of EDIS.</w:t>
      </w:r>
    </w:p>
    <w:p w:rsidR="00EC79E5" w:rsidRPr="007830D7" w:rsidRDefault="00EC79E5" w:rsidP="0021793C">
      <w:pPr>
        <w:spacing w:after="100" w:afterAutospacing="1"/>
        <w:rPr>
          <w:sz w:val="22"/>
          <w:szCs w:val="22"/>
        </w:rPr>
      </w:pPr>
      <w:r w:rsidRPr="007830D7">
        <w:rPr>
          <w:sz w:val="22"/>
          <w:szCs w:val="22"/>
        </w:rPr>
        <w:t xml:space="preserve">Below is a table providing comments from field test participants and actions taken in response to those </w:t>
      </w:r>
      <w:proofErr w:type="gramStart"/>
      <w:r w:rsidRPr="007830D7">
        <w:rPr>
          <w:sz w:val="22"/>
          <w:szCs w:val="22"/>
        </w:rPr>
        <w:t>comments.</w:t>
      </w:r>
      <w:proofErr w:type="gramEnd"/>
      <w:r w:rsidR="00E67E6A">
        <w:rPr>
          <w:sz w:val="22"/>
          <w:szCs w:val="22"/>
        </w:rPr>
        <w:t xml:space="preserve"> </w:t>
      </w:r>
      <w:r w:rsidRPr="007830D7">
        <w:rPr>
          <w:sz w:val="22"/>
          <w:szCs w:val="22"/>
        </w:rPr>
        <w:t>Comments on the survey wer</w:t>
      </w:r>
      <w:r w:rsidR="001628DA">
        <w:rPr>
          <w:sz w:val="22"/>
          <w:szCs w:val="22"/>
        </w:rPr>
        <w:t>e received from three field testers</w:t>
      </w:r>
      <w:r w:rsidRPr="007830D7">
        <w:rPr>
          <w:sz w:val="22"/>
          <w:szCs w:val="22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5016"/>
        <w:gridCol w:w="3192"/>
      </w:tblGrid>
      <w:tr w:rsidR="00EC79E5" w:rsidRPr="007830D7" w:rsidTr="00C42D39">
        <w:tc>
          <w:tcPr>
            <w:tcW w:w="1368" w:type="dxa"/>
            <w:shd w:val="clear" w:color="auto" w:fill="EEECE1" w:themeFill="background2"/>
          </w:tcPr>
          <w:p w:rsidR="00EC79E5" w:rsidRPr="007830D7" w:rsidRDefault="00EC79E5" w:rsidP="00684705">
            <w:pPr>
              <w:spacing w:after="100" w:afterAutospacing="1"/>
              <w:jc w:val="center"/>
            </w:pPr>
            <w:r w:rsidRPr="007830D7">
              <w:t>Field Tester</w:t>
            </w:r>
          </w:p>
        </w:tc>
        <w:tc>
          <w:tcPr>
            <w:tcW w:w="5016" w:type="dxa"/>
            <w:shd w:val="clear" w:color="auto" w:fill="EEECE1" w:themeFill="background2"/>
          </w:tcPr>
          <w:p w:rsidR="00EC79E5" w:rsidRPr="007830D7" w:rsidRDefault="00EC79E5" w:rsidP="00684705">
            <w:pPr>
              <w:spacing w:after="100" w:afterAutospacing="1"/>
              <w:jc w:val="center"/>
            </w:pPr>
            <w:r w:rsidRPr="007830D7">
              <w:t>Recommendation</w:t>
            </w:r>
          </w:p>
        </w:tc>
        <w:tc>
          <w:tcPr>
            <w:tcW w:w="3192" w:type="dxa"/>
            <w:shd w:val="clear" w:color="auto" w:fill="EEECE1" w:themeFill="background2"/>
          </w:tcPr>
          <w:p w:rsidR="00EC79E5" w:rsidRPr="007830D7" w:rsidRDefault="00EC79E5" w:rsidP="00CD639D">
            <w:pPr>
              <w:spacing w:after="100" w:afterAutospacing="1"/>
              <w:jc w:val="center"/>
            </w:pPr>
            <w:r w:rsidRPr="007830D7">
              <w:t>Comment/Solution</w:t>
            </w:r>
          </w:p>
        </w:tc>
      </w:tr>
      <w:tr w:rsidR="00EC79E5" w:rsidRPr="007830D7" w:rsidTr="00C42D39">
        <w:tc>
          <w:tcPr>
            <w:tcW w:w="1368" w:type="dxa"/>
          </w:tcPr>
          <w:p w:rsidR="00EC79E5" w:rsidRPr="007830D7" w:rsidRDefault="00C7596D" w:rsidP="00744121">
            <w:pPr>
              <w:spacing w:after="100" w:afterAutospacing="1"/>
            </w:pPr>
            <w:r>
              <w:t>David Lloyd</w:t>
            </w:r>
            <w:r w:rsidR="001628DA">
              <w:t xml:space="preserve"> (EDIS Policy Group)</w:t>
            </w:r>
          </w:p>
        </w:tc>
        <w:tc>
          <w:tcPr>
            <w:tcW w:w="5016" w:type="dxa"/>
          </w:tcPr>
          <w:p w:rsidR="00EC79E5" w:rsidRPr="007830D7" w:rsidRDefault="00EC79E5" w:rsidP="00B62986">
            <w:pPr>
              <w:spacing w:after="100" w:afterAutospacing="1"/>
            </w:pPr>
            <w:r w:rsidRPr="007830D7">
              <w:t>1.</w:t>
            </w:r>
            <w:r w:rsidR="00E67E6A">
              <w:t xml:space="preserve"> </w:t>
            </w:r>
            <w:r w:rsidR="00C7596D">
              <w:t xml:space="preserve">You </w:t>
            </w:r>
            <w:r w:rsidR="00C7596D" w:rsidRPr="00C7596D">
              <w:t>might want to consider using more descriptive phrases for the functions you are asking about (e.g., instead of “submission,” consider “submitting documents” or “filing documents”; and I’m not sure what you mean by “EDIS web service</w:t>
            </w:r>
            <w:r w:rsidR="00C7596D">
              <w:t>”).</w:t>
            </w:r>
          </w:p>
        </w:tc>
        <w:tc>
          <w:tcPr>
            <w:tcW w:w="3192" w:type="dxa"/>
          </w:tcPr>
          <w:p w:rsidR="00EC79E5" w:rsidRDefault="00F5482A" w:rsidP="00F329E0">
            <w:r>
              <w:t>1.</w:t>
            </w:r>
            <w:r w:rsidR="00E67E6A">
              <w:t xml:space="preserve"> </w:t>
            </w:r>
            <w:r>
              <w:t>Renamed “Submission” to “Submitting/Filing Documents”</w:t>
            </w:r>
            <w:r w:rsidR="00EC79E5" w:rsidRPr="007830D7">
              <w:t>.</w:t>
            </w:r>
          </w:p>
          <w:p w:rsidR="00F5482A" w:rsidRPr="007830D7" w:rsidRDefault="00F5482A" w:rsidP="00F329E0">
            <w:r>
              <w:t>2. Removed question regarding EDIS Web Service.</w:t>
            </w:r>
          </w:p>
          <w:p w:rsidR="00EC79E5" w:rsidRPr="007830D7" w:rsidRDefault="00EC79E5" w:rsidP="003F0AE7"/>
        </w:tc>
      </w:tr>
      <w:tr w:rsidR="00C7596D" w:rsidRPr="007830D7" w:rsidTr="00C42D39">
        <w:tc>
          <w:tcPr>
            <w:tcW w:w="1368" w:type="dxa"/>
          </w:tcPr>
          <w:p w:rsidR="00C7596D" w:rsidRDefault="001628DA" w:rsidP="00744121">
            <w:pPr>
              <w:spacing w:after="100" w:afterAutospacing="1"/>
            </w:pPr>
            <w:r>
              <w:t>Pat Cotton</w:t>
            </w:r>
          </w:p>
        </w:tc>
        <w:tc>
          <w:tcPr>
            <w:tcW w:w="5016" w:type="dxa"/>
          </w:tcPr>
          <w:p w:rsidR="00C7596D" w:rsidRDefault="001628DA" w:rsidP="001628DA">
            <w:pPr>
              <w:spacing w:after="100" w:afterAutospacing="1"/>
            </w:pPr>
            <w:r>
              <w:t xml:space="preserve">1. </w:t>
            </w:r>
            <w:r w:rsidRPr="001628DA">
              <w:t xml:space="preserve">A couple of the questions seem vague - e.g. EDIS Help </w:t>
            </w:r>
            <w:r w:rsidRPr="001628DA">
              <w:lastRenderedPageBreak/>
              <w:t>(</w:t>
            </w:r>
            <w:r w:rsidRPr="001628DA">
              <w:rPr>
                <w:b/>
                <w:bCs/>
              </w:rPr>
              <w:t>documentation of website</w:t>
            </w:r>
            <w:r w:rsidRPr="001628DA">
              <w:t>) - I'm not sure what this means. Same with "</w:t>
            </w:r>
            <w:r w:rsidRPr="001628DA">
              <w:rPr>
                <w:b/>
                <w:bCs/>
              </w:rPr>
              <w:t>Reports</w:t>
            </w:r>
            <w:r w:rsidRPr="001628DA">
              <w:t>".</w:t>
            </w:r>
            <w:r>
              <w:t xml:space="preserve"> </w:t>
            </w:r>
            <w:r w:rsidRPr="001628DA">
              <w:t>Perhaps more explanations should be provided.</w:t>
            </w:r>
          </w:p>
          <w:p w:rsidR="001628DA" w:rsidRDefault="001628DA" w:rsidP="001628DA">
            <w:pPr>
              <w:spacing w:after="100" w:afterAutospacing="1"/>
            </w:pPr>
            <w:r>
              <w:t xml:space="preserve">2. </w:t>
            </w:r>
            <w:r w:rsidRPr="001628DA">
              <w:t>The comment boxes should be larger.</w:t>
            </w:r>
          </w:p>
          <w:p w:rsidR="001628DA" w:rsidRPr="007830D7" w:rsidRDefault="001628DA" w:rsidP="001628DA">
            <w:pPr>
              <w:spacing w:after="100" w:afterAutospacing="1"/>
            </w:pPr>
            <w:r>
              <w:t xml:space="preserve">3. </w:t>
            </w:r>
            <w:r w:rsidRPr="001628DA">
              <w:t>This survey should only take the user 5-10 minutes to complete</w:t>
            </w:r>
            <w:r>
              <w:t>.</w:t>
            </w:r>
          </w:p>
        </w:tc>
        <w:tc>
          <w:tcPr>
            <w:tcW w:w="3192" w:type="dxa"/>
          </w:tcPr>
          <w:p w:rsidR="00C7596D" w:rsidRDefault="00F5482A" w:rsidP="00F329E0">
            <w:r>
              <w:lastRenderedPageBreak/>
              <w:t xml:space="preserve">1. Provided clarifying explanation </w:t>
            </w:r>
            <w:r>
              <w:lastRenderedPageBreak/>
              <w:t>about what EDIS Help covers.</w:t>
            </w:r>
          </w:p>
          <w:p w:rsidR="00F5482A" w:rsidRDefault="00F5482A" w:rsidP="00F329E0">
            <w:r>
              <w:t>2. Renamed “Reports” to “Document Filing Report” to be more specific.</w:t>
            </w:r>
          </w:p>
          <w:p w:rsidR="00F5482A" w:rsidRDefault="00F5482A" w:rsidP="00F329E0">
            <w:r>
              <w:t>3. The comment boxes will be expandable when the survey is implemented in the survey tool.</w:t>
            </w:r>
          </w:p>
          <w:p w:rsidR="00F5482A" w:rsidRPr="007830D7" w:rsidRDefault="00F5482A" w:rsidP="00F329E0">
            <w:r>
              <w:t>3. Used this information to calculate the cost.</w:t>
            </w:r>
          </w:p>
        </w:tc>
      </w:tr>
    </w:tbl>
    <w:p w:rsidR="00EC79E5" w:rsidRPr="007830D7" w:rsidRDefault="00EC79E5" w:rsidP="00F329E0">
      <w:pPr>
        <w:spacing w:after="100" w:afterAutospacing="1"/>
      </w:pPr>
    </w:p>
    <w:p w:rsidR="00EC79E5" w:rsidRPr="007830D7" w:rsidRDefault="00EC79E5" w:rsidP="00EF2F49">
      <w:pPr>
        <w:rPr>
          <w:sz w:val="22"/>
          <w:szCs w:val="22"/>
        </w:rPr>
      </w:pPr>
      <w:r w:rsidRPr="007830D7">
        <w:rPr>
          <w:sz w:val="22"/>
          <w:szCs w:val="22"/>
        </w:rPr>
        <w:t>C. Reporting Burden and Projected Cost</w:t>
      </w:r>
    </w:p>
    <w:p w:rsidR="00EC79E5" w:rsidRPr="007830D7" w:rsidRDefault="00EC79E5" w:rsidP="00EF2F49">
      <w:pPr>
        <w:rPr>
          <w:sz w:val="22"/>
          <w:szCs w:val="22"/>
        </w:rPr>
      </w:pPr>
    </w:p>
    <w:p w:rsidR="00EC79E5" w:rsidRPr="007830D7" w:rsidRDefault="00EC79E5" w:rsidP="00EF2F49">
      <w:pPr>
        <w:rPr>
          <w:sz w:val="22"/>
          <w:szCs w:val="22"/>
        </w:rPr>
      </w:pPr>
      <w:r w:rsidRPr="007830D7">
        <w:rPr>
          <w:sz w:val="22"/>
          <w:szCs w:val="22"/>
        </w:rPr>
        <w:t>The reporting burden is estimated to be:</w:t>
      </w:r>
    </w:p>
    <w:p w:rsidR="00EC79E5" w:rsidRPr="007830D7" w:rsidRDefault="00EC79E5" w:rsidP="00EF2F49">
      <w:pPr>
        <w:rPr>
          <w:sz w:val="22"/>
          <w:szCs w:val="22"/>
        </w:rPr>
      </w:pPr>
    </w:p>
    <w:p w:rsidR="00EC79E5" w:rsidRPr="007830D7" w:rsidRDefault="00EC79E5" w:rsidP="00EF2F49">
      <w:pPr>
        <w:rPr>
          <w:sz w:val="22"/>
          <w:szCs w:val="22"/>
        </w:rPr>
      </w:pPr>
      <w:r w:rsidRPr="007830D7">
        <w:rPr>
          <w:sz w:val="22"/>
          <w:szCs w:val="22"/>
        </w:rPr>
        <w:t>Total number of survey respondents:</w:t>
      </w:r>
      <w:r w:rsidR="00A2605C">
        <w:rPr>
          <w:sz w:val="22"/>
          <w:szCs w:val="22"/>
        </w:rPr>
        <w:tab/>
      </w:r>
      <w:r w:rsidRPr="007830D7">
        <w:rPr>
          <w:sz w:val="22"/>
          <w:szCs w:val="22"/>
        </w:rPr>
        <w:t>(No.)</w:t>
      </w:r>
      <w:r w:rsidRPr="007830D7">
        <w:rPr>
          <w:sz w:val="22"/>
          <w:szCs w:val="22"/>
        </w:rPr>
        <w:tab/>
      </w:r>
      <w:r w:rsidRPr="007830D7">
        <w:rPr>
          <w:sz w:val="22"/>
          <w:szCs w:val="22"/>
        </w:rPr>
        <w:tab/>
      </w:r>
      <w:proofErr w:type="gramStart"/>
      <w:r w:rsidRPr="007830D7">
        <w:rPr>
          <w:sz w:val="22"/>
          <w:szCs w:val="22"/>
        </w:rPr>
        <w:t>Not</w:t>
      </w:r>
      <w:proofErr w:type="gramEnd"/>
      <w:r w:rsidR="00AB5754">
        <w:rPr>
          <w:sz w:val="22"/>
          <w:szCs w:val="22"/>
        </w:rPr>
        <w:t xml:space="preserve"> to exceed </w:t>
      </w:r>
      <w:r w:rsidR="00A40179">
        <w:rPr>
          <w:sz w:val="22"/>
          <w:szCs w:val="22"/>
        </w:rPr>
        <w:t>2</w:t>
      </w:r>
      <w:r w:rsidRPr="007830D7">
        <w:rPr>
          <w:sz w:val="22"/>
          <w:szCs w:val="22"/>
        </w:rPr>
        <w:t>00</w:t>
      </w:r>
    </w:p>
    <w:p w:rsidR="00EC79E5" w:rsidRPr="007830D7" w:rsidRDefault="00EC79E5" w:rsidP="00EF2F49">
      <w:pPr>
        <w:rPr>
          <w:sz w:val="22"/>
          <w:szCs w:val="22"/>
        </w:rPr>
      </w:pPr>
      <w:r w:rsidRPr="007830D7">
        <w:rPr>
          <w:sz w:val="22"/>
          <w:szCs w:val="22"/>
        </w:rPr>
        <w:t>Frequency of response:</w:t>
      </w:r>
      <w:r w:rsidRPr="007830D7">
        <w:rPr>
          <w:sz w:val="22"/>
          <w:szCs w:val="22"/>
        </w:rPr>
        <w:tab/>
      </w:r>
      <w:r w:rsidR="00A2605C">
        <w:rPr>
          <w:sz w:val="22"/>
          <w:szCs w:val="22"/>
        </w:rPr>
        <w:tab/>
      </w:r>
      <w:r w:rsidR="00A2605C">
        <w:rPr>
          <w:sz w:val="22"/>
          <w:szCs w:val="22"/>
        </w:rPr>
        <w:tab/>
      </w:r>
      <w:r w:rsidRPr="007830D7">
        <w:rPr>
          <w:sz w:val="22"/>
          <w:szCs w:val="22"/>
        </w:rPr>
        <w:t>(No.)</w:t>
      </w:r>
      <w:r w:rsidRPr="007830D7">
        <w:rPr>
          <w:sz w:val="22"/>
          <w:szCs w:val="22"/>
        </w:rPr>
        <w:tab/>
      </w:r>
      <w:r w:rsidRPr="007830D7">
        <w:rPr>
          <w:sz w:val="22"/>
          <w:szCs w:val="22"/>
        </w:rPr>
        <w:tab/>
        <w:t>1</w:t>
      </w:r>
      <w:r w:rsidRPr="007830D7">
        <w:rPr>
          <w:sz w:val="22"/>
          <w:szCs w:val="22"/>
        </w:rPr>
        <w:tab/>
      </w:r>
      <w:r w:rsidRPr="007830D7">
        <w:rPr>
          <w:sz w:val="22"/>
          <w:szCs w:val="22"/>
        </w:rPr>
        <w:tab/>
      </w:r>
    </w:p>
    <w:p w:rsidR="00EC79E5" w:rsidRPr="007830D7" w:rsidRDefault="00EC79E5" w:rsidP="00EF2F49">
      <w:pPr>
        <w:rPr>
          <w:sz w:val="22"/>
          <w:szCs w:val="22"/>
        </w:rPr>
      </w:pPr>
      <w:r w:rsidRPr="007830D7">
        <w:rPr>
          <w:sz w:val="22"/>
          <w:szCs w:val="22"/>
        </w:rPr>
        <w:t>Average completion time per survey:</w:t>
      </w:r>
      <w:r w:rsidR="00A2605C">
        <w:rPr>
          <w:sz w:val="22"/>
          <w:szCs w:val="22"/>
        </w:rPr>
        <w:tab/>
        <w:t>(hours)</w:t>
      </w:r>
      <w:r w:rsidR="00A2605C">
        <w:rPr>
          <w:sz w:val="22"/>
          <w:szCs w:val="22"/>
        </w:rPr>
        <w:tab/>
      </w:r>
      <w:r w:rsidR="00A2605C">
        <w:rPr>
          <w:sz w:val="22"/>
          <w:szCs w:val="22"/>
        </w:rPr>
        <w:tab/>
      </w:r>
      <w:r w:rsidR="00D46861">
        <w:rPr>
          <w:sz w:val="22"/>
          <w:szCs w:val="22"/>
        </w:rPr>
        <w:t>0.20</w:t>
      </w:r>
      <w:r w:rsidR="00D46861">
        <w:rPr>
          <w:sz w:val="22"/>
          <w:szCs w:val="22"/>
        </w:rPr>
        <w:tab/>
      </w:r>
    </w:p>
    <w:p w:rsidR="00EC79E5" w:rsidRPr="007830D7" w:rsidRDefault="00EC79E5" w:rsidP="00EF2F49">
      <w:pPr>
        <w:rPr>
          <w:sz w:val="22"/>
          <w:szCs w:val="22"/>
        </w:rPr>
      </w:pPr>
      <w:r w:rsidRPr="007830D7">
        <w:rPr>
          <w:sz w:val="22"/>
          <w:szCs w:val="22"/>
        </w:rPr>
        <w:t>Total burden:</w:t>
      </w:r>
      <w:r w:rsidR="00A2605C">
        <w:rPr>
          <w:sz w:val="22"/>
          <w:szCs w:val="22"/>
        </w:rPr>
        <w:tab/>
      </w:r>
      <w:r w:rsidR="00A2605C">
        <w:rPr>
          <w:sz w:val="22"/>
          <w:szCs w:val="22"/>
        </w:rPr>
        <w:tab/>
      </w:r>
      <w:r w:rsidR="00A2605C">
        <w:rPr>
          <w:sz w:val="22"/>
          <w:szCs w:val="22"/>
        </w:rPr>
        <w:tab/>
      </w:r>
      <w:r w:rsidR="00A2605C">
        <w:rPr>
          <w:sz w:val="22"/>
          <w:szCs w:val="22"/>
        </w:rPr>
        <w:tab/>
      </w:r>
      <w:r w:rsidRPr="007830D7">
        <w:rPr>
          <w:sz w:val="22"/>
          <w:szCs w:val="22"/>
        </w:rPr>
        <w:t>(hours)</w:t>
      </w:r>
      <w:r w:rsidRPr="007830D7">
        <w:rPr>
          <w:sz w:val="22"/>
          <w:szCs w:val="22"/>
        </w:rPr>
        <w:tab/>
      </w:r>
      <w:r w:rsidR="00805973">
        <w:rPr>
          <w:sz w:val="22"/>
          <w:szCs w:val="22"/>
        </w:rPr>
        <w:tab/>
      </w:r>
      <w:r w:rsidR="00D46861">
        <w:rPr>
          <w:sz w:val="22"/>
          <w:szCs w:val="22"/>
        </w:rPr>
        <w:t>40</w:t>
      </w:r>
      <w:r w:rsidRPr="007830D7">
        <w:rPr>
          <w:sz w:val="22"/>
          <w:szCs w:val="22"/>
        </w:rPr>
        <w:t xml:space="preserve"> hours</w:t>
      </w:r>
    </w:p>
    <w:p w:rsidR="00EC79E5" w:rsidRPr="007830D7" w:rsidRDefault="00EC79E5" w:rsidP="00EF2F49">
      <w:pPr>
        <w:spacing w:after="100" w:afterAutospacing="1"/>
        <w:rPr>
          <w:sz w:val="22"/>
          <w:szCs w:val="22"/>
        </w:rPr>
      </w:pPr>
      <w:r w:rsidRPr="007830D7">
        <w:rPr>
          <w:sz w:val="22"/>
          <w:szCs w:val="22"/>
        </w:rPr>
        <w:t>Total cost:</w:t>
      </w:r>
      <w:r w:rsidR="00A2605C">
        <w:rPr>
          <w:sz w:val="22"/>
          <w:szCs w:val="22"/>
        </w:rPr>
        <w:tab/>
      </w:r>
      <w:r w:rsidR="00A2605C">
        <w:rPr>
          <w:sz w:val="22"/>
          <w:szCs w:val="22"/>
        </w:rPr>
        <w:tab/>
      </w:r>
      <w:r w:rsidR="00A2605C">
        <w:rPr>
          <w:sz w:val="22"/>
          <w:szCs w:val="22"/>
        </w:rPr>
        <w:tab/>
      </w:r>
      <w:r w:rsidR="00A2605C">
        <w:rPr>
          <w:sz w:val="22"/>
          <w:szCs w:val="22"/>
        </w:rPr>
        <w:tab/>
      </w:r>
      <w:r w:rsidRPr="007830D7">
        <w:rPr>
          <w:sz w:val="22"/>
          <w:szCs w:val="22"/>
        </w:rPr>
        <w:t>(dollars)</w:t>
      </w:r>
      <w:r w:rsidR="00805973">
        <w:rPr>
          <w:sz w:val="22"/>
          <w:szCs w:val="22"/>
        </w:rPr>
        <w:tab/>
      </w:r>
      <w:r w:rsidR="00D46861">
        <w:rPr>
          <w:sz w:val="22"/>
          <w:szCs w:val="22"/>
        </w:rPr>
        <w:t>$2,680</w:t>
      </w:r>
      <w:r w:rsidRPr="007830D7">
        <w:rPr>
          <w:sz w:val="22"/>
          <w:szCs w:val="22"/>
        </w:rPr>
        <w:t xml:space="preserve"> (</w:t>
      </w:r>
      <w:r w:rsidR="00D46861">
        <w:rPr>
          <w:sz w:val="22"/>
          <w:szCs w:val="22"/>
        </w:rPr>
        <w:t>4</w:t>
      </w:r>
      <w:r w:rsidR="00A40179">
        <w:rPr>
          <w:sz w:val="22"/>
          <w:szCs w:val="22"/>
        </w:rPr>
        <w:t>0</w:t>
      </w:r>
      <w:r w:rsidRPr="007830D7">
        <w:rPr>
          <w:sz w:val="22"/>
          <w:szCs w:val="22"/>
        </w:rPr>
        <w:t xml:space="preserve"> hours X $67/per hour) </w:t>
      </w:r>
      <w:bookmarkStart w:id="0" w:name="_GoBack"/>
      <w:bookmarkEnd w:id="0"/>
    </w:p>
    <w:p w:rsidR="00EC79E5" w:rsidRPr="007830D7" w:rsidRDefault="00EC79E5" w:rsidP="00EF2F49">
      <w:pPr>
        <w:rPr>
          <w:sz w:val="22"/>
          <w:szCs w:val="22"/>
        </w:rPr>
      </w:pPr>
      <w:r w:rsidRPr="007830D7">
        <w:rPr>
          <w:sz w:val="22"/>
          <w:szCs w:val="22"/>
        </w:rPr>
        <w:t>Note: The hourly cost estimate reflects the average USITC employee hourly cost.</w:t>
      </w:r>
    </w:p>
    <w:p w:rsidR="00EC79E5" w:rsidRPr="007830D7" w:rsidRDefault="00EC79E5" w:rsidP="00F329E0">
      <w:pPr>
        <w:spacing w:after="100" w:afterAutospacing="1"/>
        <w:rPr>
          <w:sz w:val="22"/>
          <w:szCs w:val="22"/>
        </w:rPr>
      </w:pPr>
    </w:p>
    <w:p w:rsidR="00916EE8" w:rsidRPr="007830D7" w:rsidRDefault="00916EE8"/>
    <w:p w:rsidR="00CA66AE" w:rsidRPr="007830D7" w:rsidRDefault="00CA66AE" w:rsidP="00B06A56"/>
    <w:sectPr w:rsidR="00CA66AE" w:rsidRPr="007830D7" w:rsidSect="00C0674E">
      <w:footerReference w:type="default" r:id="rId13"/>
      <w:pgSz w:w="12240" w:h="15840"/>
      <w:pgMar w:top="1440" w:right="1440" w:bottom="1440" w:left="1440" w:header="36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872" w:rsidRDefault="00A53872">
      <w:r>
        <w:separator/>
      </w:r>
    </w:p>
  </w:endnote>
  <w:endnote w:type="continuationSeparator" w:id="0">
    <w:p w:rsidR="00A53872" w:rsidRDefault="00A5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60579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5B07" w:rsidRDefault="00DC5B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0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5B07" w:rsidRDefault="00DC5B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872" w:rsidRDefault="00A53872">
      <w:r>
        <w:separator/>
      </w:r>
    </w:p>
  </w:footnote>
  <w:footnote w:type="continuationSeparator" w:id="0">
    <w:p w:rsidR="00A53872" w:rsidRDefault="00A53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109C"/>
    <w:multiLevelType w:val="hybridMultilevel"/>
    <w:tmpl w:val="3C087FC8"/>
    <w:lvl w:ilvl="0" w:tplc="305EF8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94D09"/>
    <w:multiLevelType w:val="hybridMultilevel"/>
    <w:tmpl w:val="4B1CD126"/>
    <w:lvl w:ilvl="0" w:tplc="305EF86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6E1A4F"/>
    <w:multiLevelType w:val="hybridMultilevel"/>
    <w:tmpl w:val="EE1AF1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ABC7EBE"/>
    <w:multiLevelType w:val="hybridMultilevel"/>
    <w:tmpl w:val="0778FE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7F3B54C7"/>
    <w:multiLevelType w:val="hybridMultilevel"/>
    <w:tmpl w:val="40E4FC5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rove" w:val="(1) Notice of institution_x000b_(2) Proposed staffing plan_x000b_(3) Proposed work schedule_x000b_(4) Distribution plan_x000b_(5) Proposed expenditure estimates_x000b_(6) Draft news release_x000b_(7) Response letter to the requestor and the incoming letter"/>
    <w:docVar w:name="background" w:val="The initiating Action Jacket,, was approved by the Commission on."/>
    <w:docVar w:name="chairmandate" w:val="04/xx/2014"/>
    <w:docVar w:name="datecode" w:val="04/xx/2014"/>
    <w:docVar w:name="initiated" w:val="5/7/07"/>
    <w:docVar w:name="intiated" w:val="2/2/07"/>
    <w:docVar w:name="invnum" w:val="213"/>
    <w:docVar w:name="office" w:val="Office of Industries"/>
    <w:docVar w:name="purpose" w:val="To obtain Commission approval of the proposed information collection, survey, and 30-day Federal Register notice for submission to OMB for clearance."/>
    <w:docVar w:name="requestdate" w:val="04/xx/2014"/>
    <w:docVar w:name="requestor" w:val="xxxxx"/>
    <w:docVar w:name="subject" w:val="SERWERWEARWE"/>
    <w:docVar w:name="title" w:val="DataWeb Survey"/>
  </w:docVars>
  <w:rsids>
    <w:rsidRoot w:val="00A53872"/>
    <w:rsid w:val="00007951"/>
    <w:rsid w:val="00041C50"/>
    <w:rsid w:val="00062B9E"/>
    <w:rsid w:val="00070CA4"/>
    <w:rsid w:val="0007436A"/>
    <w:rsid w:val="0008085F"/>
    <w:rsid w:val="000859BE"/>
    <w:rsid w:val="00093441"/>
    <w:rsid w:val="000A010D"/>
    <w:rsid w:val="000A057D"/>
    <w:rsid w:val="000B07EE"/>
    <w:rsid w:val="000B200F"/>
    <w:rsid w:val="000B27C8"/>
    <w:rsid w:val="000B4223"/>
    <w:rsid w:val="000C063F"/>
    <w:rsid w:val="000C2A61"/>
    <w:rsid w:val="000C50D0"/>
    <w:rsid w:val="000C5709"/>
    <w:rsid w:val="000D5999"/>
    <w:rsid w:val="000D74F9"/>
    <w:rsid w:val="000F3D41"/>
    <w:rsid w:val="00104245"/>
    <w:rsid w:val="00111975"/>
    <w:rsid w:val="001201F8"/>
    <w:rsid w:val="00121D8B"/>
    <w:rsid w:val="0012642B"/>
    <w:rsid w:val="00132292"/>
    <w:rsid w:val="00133A40"/>
    <w:rsid w:val="00137AF0"/>
    <w:rsid w:val="00140995"/>
    <w:rsid w:val="00155863"/>
    <w:rsid w:val="001628DA"/>
    <w:rsid w:val="0016510C"/>
    <w:rsid w:val="00166366"/>
    <w:rsid w:val="00167224"/>
    <w:rsid w:val="00175151"/>
    <w:rsid w:val="001757F3"/>
    <w:rsid w:val="001764D9"/>
    <w:rsid w:val="001766AC"/>
    <w:rsid w:val="00182143"/>
    <w:rsid w:val="00197562"/>
    <w:rsid w:val="00197F4B"/>
    <w:rsid w:val="001A4556"/>
    <w:rsid w:val="001C1500"/>
    <w:rsid w:val="001C6A82"/>
    <w:rsid w:val="001C6DDE"/>
    <w:rsid w:val="001F1003"/>
    <w:rsid w:val="002033A2"/>
    <w:rsid w:val="00216641"/>
    <w:rsid w:val="002211AF"/>
    <w:rsid w:val="00237BBF"/>
    <w:rsid w:val="00247916"/>
    <w:rsid w:val="00252825"/>
    <w:rsid w:val="00262C10"/>
    <w:rsid w:val="00274E34"/>
    <w:rsid w:val="00274FA7"/>
    <w:rsid w:val="002753A8"/>
    <w:rsid w:val="002758FF"/>
    <w:rsid w:val="00281125"/>
    <w:rsid w:val="00282790"/>
    <w:rsid w:val="0028515A"/>
    <w:rsid w:val="00285F07"/>
    <w:rsid w:val="00292D48"/>
    <w:rsid w:val="002940AF"/>
    <w:rsid w:val="002B70B2"/>
    <w:rsid w:val="002C04AC"/>
    <w:rsid w:val="002C435F"/>
    <w:rsid w:val="002C531D"/>
    <w:rsid w:val="002E0357"/>
    <w:rsid w:val="002E1E9E"/>
    <w:rsid w:val="002F459C"/>
    <w:rsid w:val="0031354F"/>
    <w:rsid w:val="003212F2"/>
    <w:rsid w:val="00323C6C"/>
    <w:rsid w:val="0033239C"/>
    <w:rsid w:val="00344246"/>
    <w:rsid w:val="00355F64"/>
    <w:rsid w:val="00362C2C"/>
    <w:rsid w:val="00392592"/>
    <w:rsid w:val="00392B4F"/>
    <w:rsid w:val="00394EA3"/>
    <w:rsid w:val="003A2925"/>
    <w:rsid w:val="003B1EC0"/>
    <w:rsid w:val="003C1AFD"/>
    <w:rsid w:val="003C4964"/>
    <w:rsid w:val="003C5265"/>
    <w:rsid w:val="003D0201"/>
    <w:rsid w:val="003E1E41"/>
    <w:rsid w:val="003E37F2"/>
    <w:rsid w:val="003E3B80"/>
    <w:rsid w:val="003F2D27"/>
    <w:rsid w:val="003F448B"/>
    <w:rsid w:val="003F672F"/>
    <w:rsid w:val="00407C14"/>
    <w:rsid w:val="00411208"/>
    <w:rsid w:val="00420593"/>
    <w:rsid w:val="00430D1D"/>
    <w:rsid w:val="00433295"/>
    <w:rsid w:val="0043573C"/>
    <w:rsid w:val="00436684"/>
    <w:rsid w:val="0045430E"/>
    <w:rsid w:val="004847BB"/>
    <w:rsid w:val="00487BC5"/>
    <w:rsid w:val="00490F3D"/>
    <w:rsid w:val="00492198"/>
    <w:rsid w:val="004A63D0"/>
    <w:rsid w:val="004B440A"/>
    <w:rsid w:val="004B7900"/>
    <w:rsid w:val="004C3AB0"/>
    <w:rsid w:val="004D1846"/>
    <w:rsid w:val="004D3DC8"/>
    <w:rsid w:val="004D74C6"/>
    <w:rsid w:val="004E3AE4"/>
    <w:rsid w:val="004F0282"/>
    <w:rsid w:val="004F0E5D"/>
    <w:rsid w:val="00501B7E"/>
    <w:rsid w:val="0050247F"/>
    <w:rsid w:val="005049E3"/>
    <w:rsid w:val="00517CAE"/>
    <w:rsid w:val="005231DC"/>
    <w:rsid w:val="0052531C"/>
    <w:rsid w:val="005309AF"/>
    <w:rsid w:val="00530EC0"/>
    <w:rsid w:val="00536D5F"/>
    <w:rsid w:val="00541AF5"/>
    <w:rsid w:val="005477F3"/>
    <w:rsid w:val="005661BC"/>
    <w:rsid w:val="00571E2E"/>
    <w:rsid w:val="00582785"/>
    <w:rsid w:val="005A21EB"/>
    <w:rsid w:val="005C2644"/>
    <w:rsid w:val="005E455C"/>
    <w:rsid w:val="005E5AAF"/>
    <w:rsid w:val="005F6D7C"/>
    <w:rsid w:val="00607776"/>
    <w:rsid w:val="00611306"/>
    <w:rsid w:val="00612BB3"/>
    <w:rsid w:val="0062105E"/>
    <w:rsid w:val="00644ABA"/>
    <w:rsid w:val="00645657"/>
    <w:rsid w:val="0064775F"/>
    <w:rsid w:val="00662E17"/>
    <w:rsid w:val="006665F1"/>
    <w:rsid w:val="00667E01"/>
    <w:rsid w:val="00695515"/>
    <w:rsid w:val="006C6AF3"/>
    <w:rsid w:val="006D2443"/>
    <w:rsid w:val="006F01F2"/>
    <w:rsid w:val="006F05BE"/>
    <w:rsid w:val="006F34B9"/>
    <w:rsid w:val="006F3EC6"/>
    <w:rsid w:val="006F50AE"/>
    <w:rsid w:val="00742036"/>
    <w:rsid w:val="00751D35"/>
    <w:rsid w:val="00760DC6"/>
    <w:rsid w:val="007644F4"/>
    <w:rsid w:val="0077352D"/>
    <w:rsid w:val="007830D7"/>
    <w:rsid w:val="007A232C"/>
    <w:rsid w:val="007A5A90"/>
    <w:rsid w:val="007B0E10"/>
    <w:rsid w:val="007B572B"/>
    <w:rsid w:val="007C0A21"/>
    <w:rsid w:val="007C687C"/>
    <w:rsid w:val="007D0969"/>
    <w:rsid w:val="007D72A4"/>
    <w:rsid w:val="007E0CF4"/>
    <w:rsid w:val="007E1126"/>
    <w:rsid w:val="007E3895"/>
    <w:rsid w:val="007E44A4"/>
    <w:rsid w:val="007F1804"/>
    <w:rsid w:val="0080318C"/>
    <w:rsid w:val="0080458D"/>
    <w:rsid w:val="00805973"/>
    <w:rsid w:val="0082586E"/>
    <w:rsid w:val="00832574"/>
    <w:rsid w:val="008549AC"/>
    <w:rsid w:val="00872177"/>
    <w:rsid w:val="00872894"/>
    <w:rsid w:val="0087480C"/>
    <w:rsid w:val="00876B47"/>
    <w:rsid w:val="008825A8"/>
    <w:rsid w:val="008826E5"/>
    <w:rsid w:val="00883E85"/>
    <w:rsid w:val="00894832"/>
    <w:rsid w:val="008976A8"/>
    <w:rsid w:val="008A3554"/>
    <w:rsid w:val="008D17B0"/>
    <w:rsid w:val="008F655A"/>
    <w:rsid w:val="009006B1"/>
    <w:rsid w:val="00913BED"/>
    <w:rsid w:val="00916634"/>
    <w:rsid w:val="00916EE8"/>
    <w:rsid w:val="00932504"/>
    <w:rsid w:val="009436F8"/>
    <w:rsid w:val="00945869"/>
    <w:rsid w:val="009532BD"/>
    <w:rsid w:val="00962010"/>
    <w:rsid w:val="009621F8"/>
    <w:rsid w:val="009700F6"/>
    <w:rsid w:val="00995490"/>
    <w:rsid w:val="009A2277"/>
    <w:rsid w:val="009A755A"/>
    <w:rsid w:val="009D19B5"/>
    <w:rsid w:val="009D6AFE"/>
    <w:rsid w:val="009E5131"/>
    <w:rsid w:val="009E72F6"/>
    <w:rsid w:val="00A06D41"/>
    <w:rsid w:val="00A2478D"/>
    <w:rsid w:val="00A2605C"/>
    <w:rsid w:val="00A40179"/>
    <w:rsid w:val="00A40A48"/>
    <w:rsid w:val="00A53872"/>
    <w:rsid w:val="00A5740F"/>
    <w:rsid w:val="00A62061"/>
    <w:rsid w:val="00A64A56"/>
    <w:rsid w:val="00A65BE0"/>
    <w:rsid w:val="00A72E06"/>
    <w:rsid w:val="00A77FF5"/>
    <w:rsid w:val="00A8162B"/>
    <w:rsid w:val="00A859A1"/>
    <w:rsid w:val="00A867C0"/>
    <w:rsid w:val="00A86C5C"/>
    <w:rsid w:val="00AA1FA6"/>
    <w:rsid w:val="00AA6026"/>
    <w:rsid w:val="00AB5754"/>
    <w:rsid w:val="00AC0DAE"/>
    <w:rsid w:val="00AC7E79"/>
    <w:rsid w:val="00AD0E9B"/>
    <w:rsid w:val="00AD596E"/>
    <w:rsid w:val="00B05F5A"/>
    <w:rsid w:val="00B06A56"/>
    <w:rsid w:val="00B24695"/>
    <w:rsid w:val="00B32C9E"/>
    <w:rsid w:val="00B36438"/>
    <w:rsid w:val="00B66B49"/>
    <w:rsid w:val="00B71F53"/>
    <w:rsid w:val="00B865BB"/>
    <w:rsid w:val="00B879F4"/>
    <w:rsid w:val="00BA5AF9"/>
    <w:rsid w:val="00BA75B6"/>
    <w:rsid w:val="00BB0237"/>
    <w:rsid w:val="00BC1400"/>
    <w:rsid w:val="00BD0C3F"/>
    <w:rsid w:val="00BD39F4"/>
    <w:rsid w:val="00BE1811"/>
    <w:rsid w:val="00BE1D86"/>
    <w:rsid w:val="00BF2F13"/>
    <w:rsid w:val="00C0674E"/>
    <w:rsid w:val="00C153BF"/>
    <w:rsid w:val="00C15766"/>
    <w:rsid w:val="00C164D8"/>
    <w:rsid w:val="00C36B70"/>
    <w:rsid w:val="00C42CA8"/>
    <w:rsid w:val="00C7596D"/>
    <w:rsid w:val="00C83FF3"/>
    <w:rsid w:val="00CA66AE"/>
    <w:rsid w:val="00CC2EB2"/>
    <w:rsid w:val="00CD46F9"/>
    <w:rsid w:val="00CE3125"/>
    <w:rsid w:val="00CF2B43"/>
    <w:rsid w:val="00D02990"/>
    <w:rsid w:val="00D04687"/>
    <w:rsid w:val="00D3746C"/>
    <w:rsid w:val="00D40B0C"/>
    <w:rsid w:val="00D46861"/>
    <w:rsid w:val="00D547AE"/>
    <w:rsid w:val="00D77B66"/>
    <w:rsid w:val="00D801C2"/>
    <w:rsid w:val="00DA5717"/>
    <w:rsid w:val="00DA624E"/>
    <w:rsid w:val="00DB1E33"/>
    <w:rsid w:val="00DB746B"/>
    <w:rsid w:val="00DB77ED"/>
    <w:rsid w:val="00DC1748"/>
    <w:rsid w:val="00DC50A7"/>
    <w:rsid w:val="00DC536A"/>
    <w:rsid w:val="00DC5B07"/>
    <w:rsid w:val="00DE6672"/>
    <w:rsid w:val="00DF0F80"/>
    <w:rsid w:val="00E1025C"/>
    <w:rsid w:val="00E11418"/>
    <w:rsid w:val="00E21C3B"/>
    <w:rsid w:val="00E4030C"/>
    <w:rsid w:val="00E436EF"/>
    <w:rsid w:val="00E5404D"/>
    <w:rsid w:val="00E67E6A"/>
    <w:rsid w:val="00E812A0"/>
    <w:rsid w:val="00E83CAF"/>
    <w:rsid w:val="00E937A1"/>
    <w:rsid w:val="00EB4B28"/>
    <w:rsid w:val="00EC0184"/>
    <w:rsid w:val="00EC48E3"/>
    <w:rsid w:val="00EC7746"/>
    <w:rsid w:val="00EC79E5"/>
    <w:rsid w:val="00ED19A6"/>
    <w:rsid w:val="00ED74B1"/>
    <w:rsid w:val="00EE0E4B"/>
    <w:rsid w:val="00EE1A93"/>
    <w:rsid w:val="00EF787D"/>
    <w:rsid w:val="00F02F35"/>
    <w:rsid w:val="00F039CA"/>
    <w:rsid w:val="00F5482A"/>
    <w:rsid w:val="00F56239"/>
    <w:rsid w:val="00F6109E"/>
    <w:rsid w:val="00F62741"/>
    <w:rsid w:val="00F6697D"/>
    <w:rsid w:val="00F741FF"/>
    <w:rsid w:val="00F81DB7"/>
    <w:rsid w:val="00FA0994"/>
    <w:rsid w:val="00FB42DF"/>
    <w:rsid w:val="00FC70C7"/>
    <w:rsid w:val="00FE1C74"/>
    <w:rsid w:val="00FE68F5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6A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06A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6A56"/>
  </w:style>
  <w:style w:type="table" w:styleId="TableGrid">
    <w:name w:val="Table Grid"/>
    <w:basedOn w:val="TableNormal"/>
    <w:uiPriority w:val="59"/>
    <w:rsid w:val="00CF2B4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E1E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C79E5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C79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eastAsiaTheme="minorEastAsia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C79E5"/>
    <w:rPr>
      <w:rFonts w:eastAsiaTheme="minorEastAsia"/>
    </w:rPr>
  </w:style>
  <w:style w:type="character" w:styleId="FootnoteReference">
    <w:name w:val="footnote reference"/>
    <w:basedOn w:val="DefaultParagraphFont"/>
    <w:uiPriority w:val="99"/>
    <w:unhideWhenUsed/>
    <w:rsid w:val="00EC79E5"/>
    <w:rPr>
      <w:rFonts w:cs="Times New Roman"/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501B7E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6A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06A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6A56"/>
  </w:style>
  <w:style w:type="table" w:styleId="TableGrid">
    <w:name w:val="Table Grid"/>
    <w:basedOn w:val="TableNormal"/>
    <w:uiPriority w:val="59"/>
    <w:rsid w:val="00CF2B4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E1E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C79E5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C79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eastAsiaTheme="minorEastAsia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C79E5"/>
    <w:rPr>
      <w:rFonts w:eastAsiaTheme="minorEastAsia"/>
    </w:rPr>
  </w:style>
  <w:style w:type="character" w:styleId="FootnoteReference">
    <w:name w:val="footnote reference"/>
    <w:basedOn w:val="DefaultParagraphFont"/>
    <w:uiPriority w:val="99"/>
    <w:unhideWhenUsed/>
    <w:rsid w:val="00EC79E5"/>
    <w:rPr>
      <w:rFonts w:cs="Times New Roman"/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501B7E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fusco@f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tton@adduci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chagrin@erols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HARVEY@stewartlaw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332MAN\New_Manual\web\templates\AJ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82809-AAE4-42F4-9C6E-3B80777F4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AJ</Template>
  <TotalTime>1</TotalTime>
  <Pages>2</Pages>
  <Words>596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USITC 001 (rev</vt:lpstr>
    </vt:vector>
  </TitlesOfParts>
  <Company>USITC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USITC 001 (rev</dc:title>
  <dc:creator>Gillen, Louise</dc:creator>
  <cp:lastModifiedBy>J.Wise</cp:lastModifiedBy>
  <cp:revision>3</cp:revision>
  <cp:lastPrinted>2014-04-08T19:01:00Z</cp:lastPrinted>
  <dcterms:created xsi:type="dcterms:W3CDTF">2015-04-23T12:28:00Z</dcterms:created>
  <dcterms:modified xsi:type="dcterms:W3CDTF">2015-04-23T12:31:00Z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1:20110105">
    <vt:lpwstr>Varad Kandadai</vt:lpwstr>
  </property>
</Properties>
</file>