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0C6" w:rsidRDefault="003740C6" w:rsidP="000C02E9">
      <w:pPr>
        <w:autoSpaceDE w:val="0"/>
        <w:autoSpaceDN w:val="0"/>
        <w:adjustRightInd w:val="0"/>
        <w:rPr>
          <w:b/>
          <w:bCs/>
          <w:szCs w:val="24"/>
        </w:rPr>
      </w:pPr>
    </w:p>
    <w:p w:rsidR="000C02E9" w:rsidRPr="00B024B4" w:rsidRDefault="000C02E9" w:rsidP="003740C6">
      <w:pPr>
        <w:autoSpaceDE w:val="0"/>
        <w:autoSpaceDN w:val="0"/>
        <w:adjustRightInd w:val="0"/>
        <w:jc w:val="center"/>
        <w:rPr>
          <w:b/>
          <w:bCs/>
          <w:szCs w:val="24"/>
        </w:rPr>
      </w:pPr>
      <w:bookmarkStart w:id="0" w:name="_GoBack"/>
      <w:bookmarkEnd w:id="0"/>
      <w:r w:rsidRPr="008574F9">
        <w:rPr>
          <w:b/>
          <w:bCs/>
          <w:szCs w:val="24"/>
        </w:rPr>
        <w:t>SUPPORTING STATEMENT</w:t>
      </w:r>
      <w:r w:rsidR="00EE2B29">
        <w:rPr>
          <w:b/>
          <w:bCs/>
          <w:szCs w:val="24"/>
        </w:rPr>
        <w:t xml:space="preserve"> – </w:t>
      </w:r>
      <w:r w:rsidR="00B024B4">
        <w:rPr>
          <w:b/>
          <w:bCs/>
          <w:szCs w:val="24"/>
        </w:rPr>
        <w:t>INFORMATION COLLECTION REQUEST (ICR)</w:t>
      </w:r>
    </w:p>
    <w:p w:rsidR="004761EA" w:rsidRDefault="00BE76DD" w:rsidP="00800F56">
      <w:pPr>
        <w:autoSpaceDE w:val="0"/>
        <w:autoSpaceDN w:val="0"/>
        <w:adjustRightInd w:val="0"/>
        <w:jc w:val="center"/>
        <w:rPr>
          <w:b/>
          <w:szCs w:val="24"/>
        </w:rPr>
      </w:pPr>
      <w:r>
        <w:rPr>
          <w:b/>
          <w:bCs/>
          <w:szCs w:val="24"/>
        </w:rPr>
        <w:t>Federal Implementation Plans t</w:t>
      </w:r>
      <w:r w:rsidR="000C02E9" w:rsidRPr="003B7307">
        <w:rPr>
          <w:b/>
          <w:bCs/>
          <w:szCs w:val="24"/>
        </w:rPr>
        <w:t xml:space="preserve">o </w:t>
      </w:r>
      <w:r w:rsidR="004761EA">
        <w:rPr>
          <w:b/>
          <w:szCs w:val="24"/>
        </w:rPr>
        <w:t xml:space="preserve">Reduce Interstate Transport of </w:t>
      </w:r>
    </w:p>
    <w:p w:rsidR="000C02E9" w:rsidRPr="00BB5043" w:rsidRDefault="00A17894" w:rsidP="00800F56">
      <w:pPr>
        <w:autoSpaceDE w:val="0"/>
        <w:autoSpaceDN w:val="0"/>
        <w:adjustRightInd w:val="0"/>
        <w:jc w:val="center"/>
        <w:rPr>
          <w:b/>
          <w:bCs/>
          <w:szCs w:val="24"/>
          <w:highlight w:val="lightGray"/>
        </w:rPr>
      </w:pPr>
      <w:r w:rsidRPr="003B7307">
        <w:rPr>
          <w:b/>
          <w:szCs w:val="24"/>
        </w:rPr>
        <w:t>Fine Particulate Matter and Ozone</w:t>
      </w:r>
      <w:r w:rsidR="003B7307">
        <w:rPr>
          <w:b/>
          <w:szCs w:val="24"/>
        </w:rPr>
        <w:t xml:space="preserve"> </w:t>
      </w:r>
      <w:r w:rsidR="00F82DFC">
        <w:rPr>
          <w:b/>
          <w:szCs w:val="24"/>
        </w:rPr>
        <w:t>(</w:t>
      </w:r>
      <w:r w:rsidR="00FA718E">
        <w:rPr>
          <w:b/>
          <w:szCs w:val="24"/>
        </w:rPr>
        <w:t>Renewal</w:t>
      </w:r>
      <w:r w:rsidR="00F82DFC">
        <w:rPr>
          <w:b/>
          <w:szCs w:val="24"/>
        </w:rPr>
        <w:t>)</w:t>
      </w:r>
      <w:r w:rsidR="003740C6">
        <w:rPr>
          <w:b/>
          <w:szCs w:val="24"/>
        </w:rPr>
        <w:br/>
      </w:r>
    </w:p>
    <w:p w:rsidR="000C02E9" w:rsidRPr="008574F9" w:rsidRDefault="000C02E9" w:rsidP="000C02E9">
      <w:pPr>
        <w:autoSpaceDE w:val="0"/>
        <w:autoSpaceDN w:val="0"/>
        <w:adjustRightInd w:val="0"/>
        <w:rPr>
          <w:b/>
          <w:bCs/>
          <w:szCs w:val="24"/>
        </w:rPr>
      </w:pPr>
      <w:r w:rsidRPr="008574F9">
        <w:rPr>
          <w:b/>
          <w:bCs/>
          <w:szCs w:val="24"/>
        </w:rPr>
        <w:t>1.</w:t>
      </w:r>
      <w:r w:rsidR="0066040C">
        <w:rPr>
          <w:b/>
          <w:bCs/>
          <w:szCs w:val="24"/>
        </w:rPr>
        <w:t>0</w:t>
      </w:r>
      <w:r w:rsidRPr="008574F9">
        <w:rPr>
          <w:b/>
          <w:bCs/>
          <w:szCs w:val="24"/>
        </w:rPr>
        <w:t xml:space="preserve"> </w:t>
      </w:r>
      <w:r w:rsidR="003740C6">
        <w:rPr>
          <w:b/>
          <w:bCs/>
          <w:szCs w:val="24"/>
        </w:rPr>
        <w:t xml:space="preserve"> </w:t>
      </w:r>
      <w:r w:rsidRPr="008574F9">
        <w:rPr>
          <w:b/>
          <w:bCs/>
          <w:szCs w:val="24"/>
        </w:rPr>
        <w:t>I</w:t>
      </w:r>
      <w:r w:rsidR="003740C6">
        <w:rPr>
          <w:rFonts w:ascii="Times New Roman Bold" w:hAnsi="Times New Roman Bold"/>
          <w:b/>
          <w:bCs/>
          <w:szCs w:val="24"/>
        </w:rPr>
        <w:t>dentification</w:t>
      </w:r>
      <w:r w:rsidRPr="003740C6">
        <w:rPr>
          <w:rFonts w:ascii="Times New Roman Bold" w:hAnsi="Times New Roman Bold"/>
          <w:b/>
          <w:bCs/>
          <w:szCs w:val="24"/>
        </w:rPr>
        <w:t xml:space="preserve"> </w:t>
      </w:r>
      <w:r w:rsidR="003740C6">
        <w:rPr>
          <w:rFonts w:ascii="Times New Roman Bold" w:hAnsi="Times New Roman Bold"/>
          <w:b/>
          <w:bCs/>
          <w:szCs w:val="24"/>
        </w:rPr>
        <w:t>of the Information</w:t>
      </w:r>
      <w:r w:rsidRPr="003740C6">
        <w:rPr>
          <w:rFonts w:ascii="Times New Roman Bold" w:hAnsi="Times New Roman Bold"/>
          <w:b/>
          <w:bCs/>
          <w:szCs w:val="24"/>
        </w:rPr>
        <w:t xml:space="preserve"> C</w:t>
      </w:r>
      <w:r w:rsidR="003740C6">
        <w:rPr>
          <w:rFonts w:ascii="Times New Roman Bold" w:hAnsi="Times New Roman Bold"/>
          <w:b/>
          <w:bCs/>
          <w:szCs w:val="24"/>
        </w:rPr>
        <w:t>ollection</w:t>
      </w:r>
    </w:p>
    <w:p w:rsidR="004F729B" w:rsidRPr="008574F9" w:rsidRDefault="004F729B" w:rsidP="000C02E9">
      <w:pPr>
        <w:autoSpaceDE w:val="0"/>
        <w:autoSpaceDN w:val="0"/>
        <w:adjustRightInd w:val="0"/>
        <w:rPr>
          <w:b/>
          <w:bCs/>
          <w:szCs w:val="24"/>
        </w:rPr>
      </w:pPr>
    </w:p>
    <w:p w:rsidR="000C02E9" w:rsidRDefault="003740C6" w:rsidP="003740C6">
      <w:pPr>
        <w:autoSpaceDE w:val="0"/>
        <w:autoSpaceDN w:val="0"/>
        <w:adjustRightInd w:val="0"/>
        <w:ind w:left="360"/>
        <w:rPr>
          <w:b/>
          <w:bCs/>
          <w:szCs w:val="24"/>
        </w:rPr>
      </w:pPr>
      <w:r>
        <w:rPr>
          <w:b/>
          <w:bCs/>
          <w:szCs w:val="24"/>
        </w:rPr>
        <w:t>1.1</w:t>
      </w:r>
      <w:r w:rsidR="000C02E9" w:rsidRPr="008574F9">
        <w:rPr>
          <w:b/>
          <w:bCs/>
          <w:szCs w:val="24"/>
        </w:rPr>
        <w:t xml:space="preserve"> </w:t>
      </w:r>
      <w:r>
        <w:rPr>
          <w:b/>
          <w:bCs/>
          <w:szCs w:val="24"/>
        </w:rPr>
        <w:t xml:space="preserve"> </w:t>
      </w:r>
      <w:r w:rsidR="000C02E9" w:rsidRPr="008574F9">
        <w:rPr>
          <w:b/>
          <w:bCs/>
          <w:szCs w:val="24"/>
        </w:rPr>
        <w:t>Title of the Information Collection</w:t>
      </w:r>
    </w:p>
    <w:p w:rsidR="003740C6" w:rsidRPr="008574F9" w:rsidRDefault="003740C6" w:rsidP="003740C6">
      <w:pPr>
        <w:autoSpaceDE w:val="0"/>
        <w:autoSpaceDN w:val="0"/>
        <w:adjustRightInd w:val="0"/>
        <w:ind w:left="360"/>
        <w:rPr>
          <w:b/>
          <w:bCs/>
          <w:szCs w:val="24"/>
        </w:rPr>
      </w:pPr>
    </w:p>
    <w:p w:rsidR="000C02E9" w:rsidRPr="008574F9" w:rsidRDefault="003740C6" w:rsidP="000C02E9">
      <w:pPr>
        <w:autoSpaceDE w:val="0"/>
        <w:autoSpaceDN w:val="0"/>
        <w:adjustRightInd w:val="0"/>
        <w:rPr>
          <w:szCs w:val="24"/>
        </w:rPr>
      </w:pPr>
      <w:r>
        <w:rPr>
          <w:szCs w:val="24"/>
        </w:rPr>
        <w:tab/>
      </w:r>
      <w:r w:rsidR="00BE76DD">
        <w:rPr>
          <w:szCs w:val="24"/>
        </w:rPr>
        <w:t>Federal Implementation Plans</w:t>
      </w:r>
      <w:r w:rsidR="004C3721" w:rsidRPr="008574F9">
        <w:rPr>
          <w:szCs w:val="24"/>
        </w:rPr>
        <w:t xml:space="preserve"> to Reduce Interstate Transport of Fine Particulate Matter and Ozone</w:t>
      </w:r>
      <w:r w:rsidR="00686A3D">
        <w:rPr>
          <w:szCs w:val="24"/>
        </w:rPr>
        <w:t xml:space="preserve">, </w:t>
      </w:r>
      <w:r w:rsidR="00686A3D" w:rsidRPr="00950854">
        <w:rPr>
          <w:szCs w:val="24"/>
        </w:rPr>
        <w:t>EPA ICR Number 239</w:t>
      </w:r>
      <w:r w:rsidR="00F82DFC" w:rsidRPr="00950854">
        <w:rPr>
          <w:szCs w:val="24"/>
        </w:rPr>
        <w:t>1.0</w:t>
      </w:r>
      <w:r w:rsidR="00EE03D1" w:rsidRPr="00701545">
        <w:rPr>
          <w:szCs w:val="24"/>
        </w:rPr>
        <w:t>3</w:t>
      </w:r>
      <w:r w:rsidR="00F82DFC" w:rsidRPr="00950854">
        <w:rPr>
          <w:szCs w:val="24"/>
        </w:rPr>
        <w:t>, OMB Control Number 2060-</w:t>
      </w:r>
      <w:r w:rsidR="00EE03D1">
        <w:rPr>
          <w:szCs w:val="24"/>
        </w:rPr>
        <w:t>0667</w:t>
      </w:r>
      <w:r w:rsidR="008A5428">
        <w:rPr>
          <w:szCs w:val="24"/>
        </w:rPr>
        <w:t>.</w:t>
      </w:r>
    </w:p>
    <w:p w:rsidR="004F729B" w:rsidRPr="008574F9" w:rsidRDefault="004F729B" w:rsidP="000C02E9">
      <w:pPr>
        <w:autoSpaceDE w:val="0"/>
        <w:autoSpaceDN w:val="0"/>
        <w:adjustRightInd w:val="0"/>
        <w:rPr>
          <w:b/>
          <w:bCs/>
          <w:szCs w:val="24"/>
        </w:rPr>
      </w:pPr>
    </w:p>
    <w:p w:rsidR="000C02E9" w:rsidRPr="008574F9" w:rsidRDefault="003740C6" w:rsidP="003740C6">
      <w:pPr>
        <w:autoSpaceDE w:val="0"/>
        <w:autoSpaceDN w:val="0"/>
        <w:adjustRightInd w:val="0"/>
        <w:ind w:left="360"/>
        <w:rPr>
          <w:b/>
          <w:bCs/>
          <w:szCs w:val="24"/>
        </w:rPr>
      </w:pPr>
      <w:r>
        <w:rPr>
          <w:b/>
          <w:bCs/>
          <w:szCs w:val="24"/>
        </w:rPr>
        <w:t xml:space="preserve">1.2 </w:t>
      </w:r>
      <w:r w:rsidR="000C02E9" w:rsidRPr="008574F9">
        <w:rPr>
          <w:b/>
          <w:bCs/>
          <w:szCs w:val="24"/>
        </w:rPr>
        <w:t xml:space="preserve"> Short Characterization/Abstract</w:t>
      </w:r>
    </w:p>
    <w:p w:rsidR="00781E96" w:rsidRPr="008574F9" w:rsidRDefault="00781E96" w:rsidP="00820788">
      <w:pPr>
        <w:autoSpaceDE w:val="0"/>
        <w:autoSpaceDN w:val="0"/>
        <w:adjustRightInd w:val="0"/>
        <w:ind w:firstLine="720"/>
        <w:rPr>
          <w:szCs w:val="24"/>
        </w:rPr>
      </w:pPr>
    </w:p>
    <w:p w:rsidR="00597C92" w:rsidRDefault="000C02E9" w:rsidP="00820788">
      <w:pPr>
        <w:autoSpaceDE w:val="0"/>
        <w:autoSpaceDN w:val="0"/>
        <w:adjustRightInd w:val="0"/>
        <w:ind w:firstLine="720"/>
        <w:rPr>
          <w:szCs w:val="24"/>
        </w:rPr>
      </w:pPr>
      <w:r w:rsidRPr="008574F9">
        <w:rPr>
          <w:szCs w:val="24"/>
        </w:rPr>
        <w:t>The United States Environmental Protection Agency (EPA)</w:t>
      </w:r>
      <w:r w:rsidR="00290DF7">
        <w:rPr>
          <w:szCs w:val="24"/>
        </w:rPr>
        <w:t xml:space="preserve"> is </w:t>
      </w:r>
      <w:r w:rsidR="00EE03D1">
        <w:rPr>
          <w:szCs w:val="24"/>
        </w:rPr>
        <w:t xml:space="preserve">renewing </w:t>
      </w:r>
      <w:r w:rsidR="0060542C">
        <w:rPr>
          <w:szCs w:val="24"/>
        </w:rPr>
        <w:t xml:space="preserve">an information collection request for the </w:t>
      </w:r>
      <w:r w:rsidR="00433F9F">
        <w:rPr>
          <w:szCs w:val="24"/>
        </w:rPr>
        <w:t>Federal Implementation Plans</w:t>
      </w:r>
      <w:r w:rsidRPr="008574F9">
        <w:rPr>
          <w:szCs w:val="24"/>
        </w:rPr>
        <w:t xml:space="preserve"> to</w:t>
      </w:r>
      <w:r w:rsidR="00820788" w:rsidRPr="008574F9">
        <w:rPr>
          <w:szCs w:val="24"/>
        </w:rPr>
        <w:t xml:space="preserve"> </w:t>
      </w:r>
      <w:r w:rsidR="004C3721" w:rsidRPr="008574F9">
        <w:rPr>
          <w:szCs w:val="24"/>
        </w:rPr>
        <w:t xml:space="preserve">Reduce Interstate Transport of Fine Particulate Matter and Ozone </w:t>
      </w:r>
      <w:r w:rsidR="00F82DFC">
        <w:rPr>
          <w:szCs w:val="24"/>
        </w:rPr>
        <w:t xml:space="preserve">(Transport Rule) </w:t>
      </w:r>
      <w:r w:rsidR="00962BDF">
        <w:rPr>
          <w:szCs w:val="24"/>
        </w:rPr>
        <w:t>to allow for</w:t>
      </w:r>
      <w:r w:rsidR="00C20077">
        <w:rPr>
          <w:szCs w:val="24"/>
        </w:rPr>
        <w:t xml:space="preserve"> </w:t>
      </w:r>
      <w:r w:rsidR="00962BDF">
        <w:rPr>
          <w:szCs w:val="24"/>
        </w:rPr>
        <w:t>future implementation</w:t>
      </w:r>
      <w:r w:rsidR="0060542C">
        <w:rPr>
          <w:szCs w:val="24"/>
        </w:rPr>
        <w:t xml:space="preserve"> of the rule</w:t>
      </w:r>
      <w:r w:rsidR="00962BDF">
        <w:rPr>
          <w:szCs w:val="24"/>
        </w:rPr>
        <w:t xml:space="preserve">. </w:t>
      </w:r>
      <w:r w:rsidR="005F44B8">
        <w:rPr>
          <w:szCs w:val="24"/>
        </w:rPr>
        <w:t xml:space="preserve"> </w:t>
      </w:r>
      <w:r w:rsidR="0060542C">
        <w:rPr>
          <w:szCs w:val="24"/>
        </w:rPr>
        <w:t>The Transport Rule</w:t>
      </w:r>
      <w:r w:rsidR="0060542C" w:rsidRPr="0060542C">
        <w:t xml:space="preserve"> </w:t>
      </w:r>
      <w:r w:rsidR="0060542C" w:rsidRPr="0060542C">
        <w:rPr>
          <w:szCs w:val="24"/>
        </w:rPr>
        <w:t>was published in the Federal Register on August 8, 2011 (76 FR 48208)</w:t>
      </w:r>
      <w:r w:rsidR="0060542C">
        <w:rPr>
          <w:rStyle w:val="FootnoteReference"/>
          <w:szCs w:val="24"/>
        </w:rPr>
        <w:footnoteReference w:id="1"/>
      </w:r>
      <w:r w:rsidR="0060542C" w:rsidRPr="0060542C">
        <w:rPr>
          <w:szCs w:val="24"/>
        </w:rPr>
        <w:t xml:space="preserve"> and compliance obligations were originally scheduled to commence on January 1, 2012. </w:t>
      </w:r>
      <w:r w:rsidR="005F44B8">
        <w:rPr>
          <w:szCs w:val="24"/>
        </w:rPr>
        <w:t xml:space="preserve"> </w:t>
      </w:r>
      <w:r w:rsidR="0060542C" w:rsidRPr="0060542C">
        <w:rPr>
          <w:szCs w:val="24"/>
        </w:rPr>
        <w:t>However, the U.S. Court of Appeals for the District of Columbia Circuit (D.C. Circuit) stayed the rule prior to implementation and subsequently issued an opinion vacating the rule.</w:t>
      </w:r>
      <w:r w:rsidR="005F44B8">
        <w:rPr>
          <w:szCs w:val="24"/>
        </w:rPr>
        <w:t xml:space="preserve"> </w:t>
      </w:r>
      <w:r w:rsidR="0060542C">
        <w:rPr>
          <w:szCs w:val="24"/>
        </w:rPr>
        <w:t xml:space="preserve"> </w:t>
      </w:r>
      <w:r w:rsidR="00EE03D1">
        <w:rPr>
          <w:szCs w:val="24"/>
        </w:rPr>
        <w:t>On April 29, 2014</w:t>
      </w:r>
      <w:r w:rsidR="00962BDF">
        <w:rPr>
          <w:szCs w:val="24"/>
        </w:rPr>
        <w:t>,</w:t>
      </w:r>
      <w:r w:rsidR="00EE03D1">
        <w:rPr>
          <w:szCs w:val="24"/>
        </w:rPr>
        <w:t xml:space="preserve"> the</w:t>
      </w:r>
      <w:r w:rsidR="00EE03D1" w:rsidRPr="00EE03D1">
        <w:rPr>
          <w:szCs w:val="24"/>
        </w:rPr>
        <w:t xml:space="preserve"> U.S. Supreme Court reversed the D.C. Circuit opinion vacating </w:t>
      </w:r>
      <w:r w:rsidR="00C20077">
        <w:rPr>
          <w:szCs w:val="24"/>
        </w:rPr>
        <w:t>the Transport Rule</w:t>
      </w:r>
      <w:r w:rsidR="00EE03D1" w:rsidRPr="00EE03D1">
        <w:rPr>
          <w:szCs w:val="24"/>
        </w:rPr>
        <w:t xml:space="preserve">. </w:t>
      </w:r>
      <w:r w:rsidR="005F44B8">
        <w:rPr>
          <w:szCs w:val="24"/>
        </w:rPr>
        <w:t xml:space="preserve"> </w:t>
      </w:r>
      <w:r w:rsidR="0060542C" w:rsidRPr="0060542C">
        <w:rPr>
          <w:szCs w:val="24"/>
        </w:rPr>
        <w:t xml:space="preserve">On </w:t>
      </w:r>
      <w:r w:rsidR="00950854">
        <w:rPr>
          <w:szCs w:val="24"/>
        </w:rPr>
        <w:t>June 26, 2014,</w:t>
      </w:r>
      <w:r w:rsidR="0060542C" w:rsidRPr="0060542C">
        <w:rPr>
          <w:szCs w:val="24"/>
        </w:rPr>
        <w:t xml:space="preserve"> the U.S. Department of Justice filed a motion on EPA’s behalf at the D.C. Circuit seeking to </w:t>
      </w:r>
      <w:r w:rsidR="003449B4">
        <w:rPr>
          <w:szCs w:val="24"/>
        </w:rPr>
        <w:t xml:space="preserve">have </w:t>
      </w:r>
      <w:r w:rsidR="0060542C" w:rsidRPr="0060542C">
        <w:rPr>
          <w:szCs w:val="24"/>
        </w:rPr>
        <w:t xml:space="preserve">the stay </w:t>
      </w:r>
      <w:r w:rsidR="003449B4">
        <w:rPr>
          <w:szCs w:val="24"/>
        </w:rPr>
        <w:t xml:space="preserve">lifted </w:t>
      </w:r>
      <w:r w:rsidR="0060542C" w:rsidRPr="0060542C">
        <w:rPr>
          <w:szCs w:val="24"/>
        </w:rPr>
        <w:t xml:space="preserve">and to allow compliance obligations under the rule to commence as of January 1, 2015. </w:t>
      </w:r>
      <w:r w:rsidR="005F44B8">
        <w:rPr>
          <w:szCs w:val="24"/>
        </w:rPr>
        <w:t xml:space="preserve"> </w:t>
      </w:r>
      <w:r w:rsidR="0060542C" w:rsidRPr="0060542C">
        <w:rPr>
          <w:szCs w:val="24"/>
        </w:rPr>
        <w:t xml:space="preserve">The D.C. Circuit has not yet ruled on that motion. </w:t>
      </w:r>
      <w:r w:rsidR="005F44B8">
        <w:rPr>
          <w:szCs w:val="24"/>
        </w:rPr>
        <w:t xml:space="preserve"> </w:t>
      </w:r>
    </w:p>
    <w:p w:rsidR="00597C92" w:rsidRDefault="00597C92" w:rsidP="00820788">
      <w:pPr>
        <w:autoSpaceDE w:val="0"/>
        <w:autoSpaceDN w:val="0"/>
        <w:adjustRightInd w:val="0"/>
        <w:ind w:firstLine="720"/>
        <w:rPr>
          <w:szCs w:val="24"/>
        </w:rPr>
      </w:pPr>
    </w:p>
    <w:p w:rsidR="000C02E9" w:rsidRPr="008574F9" w:rsidRDefault="00592F41" w:rsidP="00820788">
      <w:pPr>
        <w:autoSpaceDE w:val="0"/>
        <w:autoSpaceDN w:val="0"/>
        <w:adjustRightInd w:val="0"/>
        <w:ind w:firstLine="720"/>
        <w:rPr>
          <w:szCs w:val="24"/>
        </w:rPr>
      </w:pPr>
      <w:r>
        <w:rPr>
          <w:szCs w:val="24"/>
        </w:rPr>
        <w:t xml:space="preserve">Once implemented, the Transport Rule’s requirements </w:t>
      </w:r>
      <w:r w:rsidR="00282A14">
        <w:rPr>
          <w:szCs w:val="24"/>
        </w:rPr>
        <w:t>would</w:t>
      </w:r>
      <w:r>
        <w:rPr>
          <w:szCs w:val="24"/>
        </w:rPr>
        <w:t xml:space="preserve"> </w:t>
      </w:r>
      <w:r w:rsidR="002B1238">
        <w:rPr>
          <w:szCs w:val="24"/>
        </w:rPr>
        <w:t xml:space="preserve">incorporate and </w:t>
      </w:r>
      <w:r>
        <w:rPr>
          <w:szCs w:val="24"/>
        </w:rPr>
        <w:t xml:space="preserve">supersede the existing requirements under the Clean Air Interstate Rule (CAIR).  </w:t>
      </w:r>
      <w:r w:rsidR="00597C92">
        <w:rPr>
          <w:szCs w:val="24"/>
        </w:rPr>
        <w:t>CAIR’s requirements, in turn, incorporated certain requirements under the NO</w:t>
      </w:r>
      <w:r w:rsidR="00597C92" w:rsidRPr="00EE5A50">
        <w:rPr>
          <w:szCs w:val="24"/>
          <w:vertAlign w:val="subscript"/>
        </w:rPr>
        <w:t>X</w:t>
      </w:r>
      <w:r w:rsidR="00597C92">
        <w:rPr>
          <w:szCs w:val="24"/>
        </w:rPr>
        <w:t xml:space="preserve"> SIP Call.  The Transport Rule </w:t>
      </w:r>
      <w:r w:rsidR="000C02E9" w:rsidRPr="008574F9">
        <w:rPr>
          <w:szCs w:val="24"/>
        </w:rPr>
        <w:t>includes new reporting requirements and</w:t>
      </w:r>
      <w:r w:rsidR="003449B4">
        <w:rPr>
          <w:szCs w:val="24"/>
        </w:rPr>
        <w:t>,</w:t>
      </w:r>
      <w:r w:rsidR="000C02E9" w:rsidRPr="008574F9">
        <w:rPr>
          <w:szCs w:val="24"/>
        </w:rPr>
        <w:t xml:space="preserve"> </w:t>
      </w:r>
      <w:r w:rsidR="00597C92">
        <w:rPr>
          <w:szCs w:val="24"/>
        </w:rPr>
        <w:t>like CAIR and the NO</w:t>
      </w:r>
      <w:r w:rsidR="00597C92" w:rsidRPr="00EE5A50">
        <w:rPr>
          <w:szCs w:val="24"/>
          <w:vertAlign w:val="subscript"/>
        </w:rPr>
        <w:t>X</w:t>
      </w:r>
      <w:r w:rsidR="00597C92">
        <w:rPr>
          <w:szCs w:val="24"/>
        </w:rPr>
        <w:t xml:space="preserve"> SIP Call</w:t>
      </w:r>
      <w:r w:rsidR="003449B4">
        <w:rPr>
          <w:szCs w:val="24"/>
        </w:rPr>
        <w:t>,</w:t>
      </w:r>
      <w:r w:rsidR="00597C92">
        <w:rPr>
          <w:szCs w:val="24"/>
        </w:rPr>
        <w:t xml:space="preserve"> </w:t>
      </w:r>
      <w:r w:rsidR="000C02E9" w:rsidRPr="008574F9">
        <w:rPr>
          <w:szCs w:val="24"/>
        </w:rPr>
        <w:t>combines these requirements with</w:t>
      </w:r>
      <w:r w:rsidR="004F729B" w:rsidRPr="008574F9">
        <w:rPr>
          <w:szCs w:val="24"/>
        </w:rPr>
        <w:t xml:space="preserve"> </w:t>
      </w:r>
      <w:r w:rsidR="000C02E9" w:rsidRPr="008574F9">
        <w:rPr>
          <w:szCs w:val="24"/>
        </w:rPr>
        <w:t xml:space="preserve">existing requirements from the Acid Rain Program </w:t>
      </w:r>
      <w:r w:rsidR="00F01416">
        <w:rPr>
          <w:szCs w:val="24"/>
        </w:rPr>
        <w:t xml:space="preserve">(ARP) </w:t>
      </w:r>
      <w:r w:rsidR="000C02E9" w:rsidRPr="008574F9">
        <w:rPr>
          <w:szCs w:val="24"/>
        </w:rPr>
        <w:t>under Title IV of the C</w:t>
      </w:r>
      <w:r w:rsidR="0068196D">
        <w:rPr>
          <w:szCs w:val="24"/>
        </w:rPr>
        <w:t xml:space="preserve">lean </w:t>
      </w:r>
      <w:r w:rsidR="000C02E9" w:rsidRPr="008574F9">
        <w:rPr>
          <w:szCs w:val="24"/>
        </w:rPr>
        <w:t>A</w:t>
      </w:r>
      <w:r w:rsidR="0068196D">
        <w:rPr>
          <w:szCs w:val="24"/>
        </w:rPr>
        <w:t xml:space="preserve">ir </w:t>
      </w:r>
      <w:r w:rsidR="000C02E9" w:rsidRPr="008574F9">
        <w:rPr>
          <w:szCs w:val="24"/>
        </w:rPr>
        <w:t>A</w:t>
      </w:r>
      <w:r w:rsidR="0068196D">
        <w:rPr>
          <w:szCs w:val="24"/>
        </w:rPr>
        <w:t>ct</w:t>
      </w:r>
      <w:r w:rsidR="000C02E9" w:rsidRPr="008574F9">
        <w:rPr>
          <w:szCs w:val="24"/>
        </w:rPr>
        <w:t xml:space="preserve"> </w:t>
      </w:r>
      <w:r w:rsidR="0068196D">
        <w:rPr>
          <w:szCs w:val="24"/>
        </w:rPr>
        <w:t xml:space="preserve">(CAA) </w:t>
      </w:r>
      <w:r w:rsidR="000C02E9" w:rsidRPr="008574F9">
        <w:rPr>
          <w:szCs w:val="24"/>
        </w:rPr>
        <w:t xml:space="preserve">Amendments of 1990. </w:t>
      </w:r>
      <w:r w:rsidR="007A7202">
        <w:rPr>
          <w:szCs w:val="24"/>
        </w:rPr>
        <w:t xml:space="preserve"> </w:t>
      </w:r>
      <w:r w:rsidR="000C02E9" w:rsidRPr="008574F9">
        <w:rPr>
          <w:szCs w:val="24"/>
        </w:rPr>
        <w:t>Each of these</w:t>
      </w:r>
      <w:r w:rsidR="004F729B" w:rsidRPr="008574F9">
        <w:rPr>
          <w:szCs w:val="24"/>
        </w:rPr>
        <w:t xml:space="preserve"> </w:t>
      </w:r>
      <w:r w:rsidR="000C02E9" w:rsidRPr="008574F9">
        <w:rPr>
          <w:szCs w:val="24"/>
        </w:rPr>
        <w:t>existing requirements has an approved ICR in place</w:t>
      </w:r>
      <w:r w:rsidR="003972B1" w:rsidRPr="008574F9">
        <w:rPr>
          <w:szCs w:val="24"/>
        </w:rPr>
        <w:t xml:space="preserve">.  </w:t>
      </w:r>
      <w:r w:rsidR="000C02E9" w:rsidRPr="008574F9">
        <w:rPr>
          <w:szCs w:val="24"/>
        </w:rPr>
        <w:t>The current</w:t>
      </w:r>
      <w:r w:rsidR="007A7202">
        <w:rPr>
          <w:szCs w:val="24"/>
        </w:rPr>
        <w:t xml:space="preserve"> </w:t>
      </w:r>
      <w:r w:rsidR="000C02E9" w:rsidRPr="008574F9">
        <w:rPr>
          <w:szCs w:val="24"/>
        </w:rPr>
        <w:t>ICRs are</w:t>
      </w:r>
      <w:r w:rsidR="00433F9F">
        <w:rPr>
          <w:szCs w:val="24"/>
        </w:rPr>
        <w:t xml:space="preserve">: </w:t>
      </w:r>
      <w:r w:rsidR="00DC4FDD">
        <w:rPr>
          <w:szCs w:val="24"/>
        </w:rPr>
        <w:t xml:space="preserve"> </w:t>
      </w:r>
      <w:r w:rsidR="007338D6">
        <w:rPr>
          <w:szCs w:val="24"/>
        </w:rPr>
        <w:t>CAIR (</w:t>
      </w:r>
      <w:r w:rsidR="000B5E1F">
        <w:rPr>
          <w:szCs w:val="24"/>
        </w:rPr>
        <w:t xml:space="preserve">EPA ICR Number </w:t>
      </w:r>
      <w:r w:rsidR="007338D6">
        <w:rPr>
          <w:szCs w:val="24"/>
        </w:rPr>
        <w:t>2152.0</w:t>
      </w:r>
      <w:r w:rsidR="00A227AE">
        <w:rPr>
          <w:szCs w:val="24"/>
        </w:rPr>
        <w:t>5</w:t>
      </w:r>
      <w:r w:rsidR="007338D6">
        <w:rPr>
          <w:szCs w:val="24"/>
        </w:rPr>
        <w:t>/</w:t>
      </w:r>
      <w:r w:rsidR="000B5E1F">
        <w:rPr>
          <w:szCs w:val="24"/>
        </w:rPr>
        <w:t xml:space="preserve">OMB Control Number </w:t>
      </w:r>
      <w:r w:rsidR="007338D6">
        <w:rPr>
          <w:szCs w:val="24"/>
        </w:rPr>
        <w:t>2060-0570)</w:t>
      </w:r>
      <w:r w:rsidR="00E67C01" w:rsidRPr="008574F9">
        <w:rPr>
          <w:bCs/>
          <w:szCs w:val="24"/>
        </w:rPr>
        <w:t xml:space="preserve">, </w:t>
      </w:r>
      <w:r w:rsidR="007B40DE" w:rsidRPr="007B40DE">
        <w:rPr>
          <w:szCs w:val="24"/>
        </w:rPr>
        <w:t>NO</w:t>
      </w:r>
      <w:r w:rsidR="002B09EE">
        <w:rPr>
          <w:szCs w:val="24"/>
          <w:vertAlign w:val="subscript"/>
        </w:rPr>
        <w:t>X</w:t>
      </w:r>
      <w:r w:rsidR="000C02E9" w:rsidRPr="008574F9">
        <w:rPr>
          <w:szCs w:val="24"/>
        </w:rPr>
        <w:t xml:space="preserve"> SIP Call</w:t>
      </w:r>
      <w:r w:rsidR="007338D6">
        <w:rPr>
          <w:szCs w:val="24"/>
        </w:rPr>
        <w:t xml:space="preserve"> (</w:t>
      </w:r>
      <w:r w:rsidR="000B5E1F">
        <w:rPr>
          <w:szCs w:val="24"/>
        </w:rPr>
        <w:t xml:space="preserve">EPA ICR Number </w:t>
      </w:r>
      <w:r w:rsidR="00821F7C">
        <w:rPr>
          <w:szCs w:val="24"/>
        </w:rPr>
        <w:t>1857.</w:t>
      </w:r>
      <w:r w:rsidR="00A227AE">
        <w:rPr>
          <w:szCs w:val="24"/>
        </w:rPr>
        <w:t>06</w:t>
      </w:r>
      <w:r w:rsidR="007338D6">
        <w:rPr>
          <w:szCs w:val="24"/>
        </w:rPr>
        <w:t>/</w:t>
      </w:r>
      <w:r w:rsidR="000B5E1F">
        <w:rPr>
          <w:szCs w:val="24"/>
        </w:rPr>
        <w:t xml:space="preserve">OMB Control Number </w:t>
      </w:r>
      <w:r w:rsidR="007338D6">
        <w:rPr>
          <w:szCs w:val="24"/>
        </w:rPr>
        <w:t>2060-0445)</w:t>
      </w:r>
      <w:r w:rsidR="000C02E9" w:rsidRPr="008574F9">
        <w:rPr>
          <w:szCs w:val="24"/>
        </w:rPr>
        <w:t xml:space="preserve"> and </w:t>
      </w:r>
      <w:r w:rsidR="00F01416">
        <w:rPr>
          <w:szCs w:val="24"/>
        </w:rPr>
        <w:t>ARP</w:t>
      </w:r>
      <w:r w:rsidR="007338D6">
        <w:rPr>
          <w:szCs w:val="24"/>
        </w:rPr>
        <w:t xml:space="preserve"> (</w:t>
      </w:r>
      <w:r w:rsidR="000B5E1F">
        <w:rPr>
          <w:szCs w:val="24"/>
        </w:rPr>
        <w:t xml:space="preserve">EPA ICR Number </w:t>
      </w:r>
      <w:r w:rsidR="00821F7C">
        <w:rPr>
          <w:szCs w:val="24"/>
        </w:rPr>
        <w:t>1633.</w:t>
      </w:r>
      <w:r w:rsidR="00A227AE">
        <w:rPr>
          <w:szCs w:val="24"/>
        </w:rPr>
        <w:t>16</w:t>
      </w:r>
      <w:r w:rsidR="007338D6">
        <w:rPr>
          <w:szCs w:val="24"/>
        </w:rPr>
        <w:t>/</w:t>
      </w:r>
      <w:r w:rsidR="000B5E1F">
        <w:rPr>
          <w:szCs w:val="24"/>
        </w:rPr>
        <w:t xml:space="preserve">OMB Control Number </w:t>
      </w:r>
      <w:r w:rsidR="007338D6">
        <w:rPr>
          <w:szCs w:val="24"/>
        </w:rPr>
        <w:t>2060-0258)</w:t>
      </w:r>
      <w:r w:rsidR="000C02E9" w:rsidRPr="008574F9">
        <w:rPr>
          <w:szCs w:val="24"/>
        </w:rPr>
        <w:t>.</w:t>
      </w:r>
      <w:r w:rsidR="00B553BD" w:rsidRPr="008574F9">
        <w:rPr>
          <w:szCs w:val="24"/>
        </w:rPr>
        <w:t xml:space="preserve"> </w:t>
      </w:r>
    </w:p>
    <w:p w:rsidR="004F729B" w:rsidRPr="008574F9" w:rsidRDefault="004F729B" w:rsidP="000C02E9">
      <w:pPr>
        <w:autoSpaceDE w:val="0"/>
        <w:autoSpaceDN w:val="0"/>
        <w:adjustRightInd w:val="0"/>
        <w:rPr>
          <w:szCs w:val="24"/>
        </w:rPr>
      </w:pPr>
    </w:p>
    <w:p w:rsidR="00ED7FD5" w:rsidRDefault="000C02E9" w:rsidP="00820788">
      <w:pPr>
        <w:autoSpaceDE w:val="0"/>
        <w:autoSpaceDN w:val="0"/>
        <w:adjustRightInd w:val="0"/>
        <w:ind w:firstLine="720"/>
        <w:rPr>
          <w:szCs w:val="24"/>
        </w:rPr>
      </w:pPr>
      <w:r w:rsidRPr="008574F9">
        <w:rPr>
          <w:szCs w:val="24"/>
        </w:rPr>
        <w:t>Thi</w:t>
      </w:r>
      <w:r w:rsidR="00433F9F">
        <w:rPr>
          <w:szCs w:val="24"/>
        </w:rPr>
        <w:t>s supporting statement and ICR are</w:t>
      </w:r>
      <w:r w:rsidRPr="008574F9">
        <w:rPr>
          <w:szCs w:val="24"/>
        </w:rPr>
        <w:t xml:space="preserve"> being submitted to account for the incremental burden</w:t>
      </w:r>
      <w:r w:rsidR="004F729B" w:rsidRPr="008574F9">
        <w:rPr>
          <w:szCs w:val="24"/>
        </w:rPr>
        <w:t xml:space="preserve"> </w:t>
      </w:r>
      <w:r w:rsidR="00C77017" w:rsidRPr="008574F9">
        <w:rPr>
          <w:szCs w:val="24"/>
        </w:rPr>
        <w:t>associated with the</w:t>
      </w:r>
      <w:r w:rsidR="004C3721" w:rsidRPr="008574F9">
        <w:rPr>
          <w:szCs w:val="24"/>
        </w:rPr>
        <w:t xml:space="preserve"> Transport Rule</w:t>
      </w:r>
      <w:r w:rsidR="008266BA">
        <w:rPr>
          <w:szCs w:val="24"/>
        </w:rPr>
        <w:t xml:space="preserve"> </w:t>
      </w:r>
      <w:r w:rsidR="00F01416">
        <w:rPr>
          <w:szCs w:val="24"/>
        </w:rPr>
        <w:t>(TR)</w:t>
      </w:r>
      <w:r w:rsidR="00A227AE">
        <w:rPr>
          <w:szCs w:val="24"/>
        </w:rPr>
        <w:t>,</w:t>
      </w:r>
      <w:r w:rsidR="001A38CD">
        <w:rPr>
          <w:szCs w:val="24"/>
        </w:rPr>
        <w:t xml:space="preserve"> </w:t>
      </w:r>
      <w:r w:rsidR="0060542C">
        <w:rPr>
          <w:szCs w:val="24"/>
        </w:rPr>
        <w:t>once it is</w:t>
      </w:r>
      <w:r w:rsidR="00A227AE">
        <w:rPr>
          <w:szCs w:val="24"/>
        </w:rPr>
        <w:t xml:space="preserve"> implemented</w:t>
      </w:r>
      <w:r w:rsidR="0060542C">
        <w:rPr>
          <w:szCs w:val="24"/>
        </w:rPr>
        <w:t xml:space="preserve"> and supersedes CAIR</w:t>
      </w:r>
      <w:r w:rsidR="003972B1" w:rsidRPr="008574F9">
        <w:rPr>
          <w:szCs w:val="24"/>
        </w:rPr>
        <w:t xml:space="preserve">.  </w:t>
      </w:r>
      <w:r w:rsidRPr="008574F9">
        <w:rPr>
          <w:szCs w:val="24"/>
        </w:rPr>
        <w:t>As such, this supporting statement references the burden analysis</w:t>
      </w:r>
      <w:r w:rsidR="004F729B" w:rsidRPr="008574F9">
        <w:rPr>
          <w:szCs w:val="24"/>
        </w:rPr>
        <w:t xml:space="preserve"> </w:t>
      </w:r>
      <w:r w:rsidRPr="008574F9">
        <w:rPr>
          <w:szCs w:val="24"/>
        </w:rPr>
        <w:t>include</w:t>
      </w:r>
      <w:r w:rsidR="00C77017" w:rsidRPr="008574F9">
        <w:rPr>
          <w:szCs w:val="24"/>
        </w:rPr>
        <w:t xml:space="preserve">d in </w:t>
      </w:r>
      <w:r w:rsidR="000B5E1F">
        <w:rPr>
          <w:szCs w:val="24"/>
        </w:rPr>
        <w:t xml:space="preserve">EPA </w:t>
      </w:r>
      <w:r w:rsidR="00C77017" w:rsidRPr="008574F9">
        <w:rPr>
          <w:szCs w:val="24"/>
        </w:rPr>
        <w:t xml:space="preserve">ICR </w:t>
      </w:r>
      <w:r w:rsidR="000B5E1F">
        <w:rPr>
          <w:szCs w:val="24"/>
        </w:rPr>
        <w:t>Numbers</w:t>
      </w:r>
      <w:r w:rsidR="00C77017" w:rsidRPr="008574F9">
        <w:rPr>
          <w:szCs w:val="24"/>
        </w:rPr>
        <w:t xml:space="preserve"> </w:t>
      </w:r>
      <w:r w:rsidR="00DD63EC" w:rsidRPr="008574F9">
        <w:rPr>
          <w:bCs/>
          <w:szCs w:val="24"/>
        </w:rPr>
        <w:t>2152.0</w:t>
      </w:r>
      <w:r w:rsidR="002A2546">
        <w:rPr>
          <w:bCs/>
          <w:szCs w:val="24"/>
        </w:rPr>
        <w:t>4</w:t>
      </w:r>
      <w:r w:rsidR="00DD63EC" w:rsidRPr="008574F9">
        <w:rPr>
          <w:bCs/>
          <w:szCs w:val="24"/>
        </w:rPr>
        <w:t xml:space="preserve">, </w:t>
      </w:r>
      <w:r w:rsidR="00C77017" w:rsidRPr="008574F9">
        <w:rPr>
          <w:szCs w:val="24"/>
        </w:rPr>
        <w:t>1857.0</w:t>
      </w:r>
      <w:r w:rsidR="002A1BCA">
        <w:rPr>
          <w:szCs w:val="24"/>
        </w:rPr>
        <w:t>5</w:t>
      </w:r>
      <w:r w:rsidR="00C77017" w:rsidRPr="008574F9">
        <w:rPr>
          <w:szCs w:val="24"/>
        </w:rPr>
        <w:t>,</w:t>
      </w:r>
      <w:r w:rsidRPr="008574F9">
        <w:rPr>
          <w:szCs w:val="24"/>
        </w:rPr>
        <w:t xml:space="preserve"> </w:t>
      </w:r>
      <w:r w:rsidR="00DD63EC" w:rsidRPr="008574F9">
        <w:rPr>
          <w:szCs w:val="24"/>
        </w:rPr>
        <w:t xml:space="preserve">and </w:t>
      </w:r>
      <w:r w:rsidRPr="008574F9">
        <w:rPr>
          <w:szCs w:val="24"/>
        </w:rPr>
        <w:t>1633.1</w:t>
      </w:r>
      <w:r w:rsidR="002A2546">
        <w:rPr>
          <w:szCs w:val="24"/>
        </w:rPr>
        <w:t>5</w:t>
      </w:r>
      <w:r w:rsidR="00DD63EC" w:rsidRPr="008574F9">
        <w:rPr>
          <w:szCs w:val="24"/>
        </w:rPr>
        <w:t>,</w:t>
      </w:r>
      <w:r w:rsidRPr="008574F9">
        <w:rPr>
          <w:szCs w:val="24"/>
        </w:rPr>
        <w:t xml:space="preserve"> and estimates the change in burden resulting</w:t>
      </w:r>
      <w:r w:rsidR="004F729B" w:rsidRPr="008574F9">
        <w:rPr>
          <w:szCs w:val="24"/>
        </w:rPr>
        <w:t xml:space="preserve"> </w:t>
      </w:r>
      <w:r w:rsidR="00AC0156" w:rsidRPr="008574F9">
        <w:rPr>
          <w:szCs w:val="24"/>
        </w:rPr>
        <w:t xml:space="preserve">from the </w:t>
      </w:r>
      <w:r w:rsidR="000728DC">
        <w:rPr>
          <w:szCs w:val="24"/>
        </w:rPr>
        <w:t>TR</w:t>
      </w:r>
      <w:r w:rsidR="004C3721" w:rsidRPr="008574F9">
        <w:rPr>
          <w:szCs w:val="24"/>
        </w:rPr>
        <w:t xml:space="preserve"> </w:t>
      </w:r>
      <w:r w:rsidRPr="008574F9">
        <w:rPr>
          <w:szCs w:val="24"/>
        </w:rPr>
        <w:t xml:space="preserve">beyond the scope of </w:t>
      </w:r>
      <w:r w:rsidR="008266BA">
        <w:rPr>
          <w:szCs w:val="24"/>
        </w:rPr>
        <w:t xml:space="preserve">the existing </w:t>
      </w:r>
      <w:r w:rsidR="00EE5A50">
        <w:rPr>
          <w:szCs w:val="24"/>
        </w:rPr>
        <w:t>ICR for the ARP.</w:t>
      </w:r>
      <w:r w:rsidR="0006245A">
        <w:rPr>
          <w:szCs w:val="24"/>
        </w:rPr>
        <w:t xml:space="preserve">  </w:t>
      </w:r>
      <w:r w:rsidR="002A2546">
        <w:rPr>
          <w:szCs w:val="24"/>
        </w:rPr>
        <w:t xml:space="preserve">The burden included in this ICR includes </w:t>
      </w:r>
      <w:r w:rsidR="003449B4">
        <w:rPr>
          <w:szCs w:val="24"/>
        </w:rPr>
        <w:t xml:space="preserve">(1) for units not subject to the ARP, </w:t>
      </w:r>
      <w:r w:rsidR="002A2546">
        <w:rPr>
          <w:szCs w:val="24"/>
        </w:rPr>
        <w:t>start</w:t>
      </w:r>
      <w:r w:rsidR="00433F9F">
        <w:rPr>
          <w:szCs w:val="24"/>
        </w:rPr>
        <w:t>-</w:t>
      </w:r>
      <w:r w:rsidR="002A2546">
        <w:rPr>
          <w:szCs w:val="24"/>
        </w:rPr>
        <w:t>up and capital costs</w:t>
      </w:r>
      <w:r w:rsidR="003449B4">
        <w:rPr>
          <w:szCs w:val="24"/>
        </w:rPr>
        <w:t>, to the extent those costs were not already incurred under CAIR,</w:t>
      </w:r>
      <w:r w:rsidR="005356F4">
        <w:rPr>
          <w:szCs w:val="24"/>
        </w:rPr>
        <w:t xml:space="preserve"> </w:t>
      </w:r>
      <w:r w:rsidR="003449B4">
        <w:rPr>
          <w:szCs w:val="24"/>
        </w:rPr>
        <w:t xml:space="preserve">and ongoing </w:t>
      </w:r>
      <w:r w:rsidR="00E472D6">
        <w:rPr>
          <w:szCs w:val="24"/>
        </w:rPr>
        <w:t xml:space="preserve">annualized capital costs </w:t>
      </w:r>
      <w:r w:rsidR="003449B4">
        <w:rPr>
          <w:szCs w:val="24"/>
        </w:rPr>
        <w:t>originally incurred under CAIR</w:t>
      </w:r>
      <w:r w:rsidR="00E472D6">
        <w:rPr>
          <w:szCs w:val="24"/>
        </w:rPr>
        <w:t xml:space="preserve">, </w:t>
      </w:r>
      <w:r w:rsidR="003449B4">
        <w:rPr>
          <w:szCs w:val="24"/>
        </w:rPr>
        <w:t xml:space="preserve">and </w:t>
      </w:r>
      <w:r w:rsidR="006446CC">
        <w:rPr>
          <w:szCs w:val="24"/>
        </w:rPr>
        <w:t xml:space="preserve">(2) </w:t>
      </w:r>
      <w:r w:rsidR="00AC767F">
        <w:rPr>
          <w:szCs w:val="24"/>
        </w:rPr>
        <w:t xml:space="preserve">for all </w:t>
      </w:r>
      <w:r w:rsidR="000728DC">
        <w:rPr>
          <w:szCs w:val="24"/>
        </w:rPr>
        <w:t>TR</w:t>
      </w:r>
      <w:r w:rsidR="00433F9F">
        <w:rPr>
          <w:szCs w:val="24"/>
        </w:rPr>
        <w:t>-</w:t>
      </w:r>
      <w:r w:rsidR="00AC767F">
        <w:rPr>
          <w:szCs w:val="24"/>
        </w:rPr>
        <w:t>affected units</w:t>
      </w:r>
      <w:r w:rsidR="006446CC">
        <w:rPr>
          <w:szCs w:val="24"/>
        </w:rPr>
        <w:t>, operating and maintenance costs</w:t>
      </w:r>
      <w:r w:rsidR="00B14316">
        <w:rPr>
          <w:szCs w:val="24"/>
        </w:rPr>
        <w:t xml:space="preserve"> incremental to </w:t>
      </w:r>
      <w:r w:rsidR="003449B4">
        <w:rPr>
          <w:szCs w:val="24"/>
        </w:rPr>
        <w:t>any ARP-related</w:t>
      </w:r>
      <w:r w:rsidR="00B14316">
        <w:rPr>
          <w:szCs w:val="24"/>
        </w:rPr>
        <w:t xml:space="preserve"> operation and maintenance costs</w:t>
      </w:r>
      <w:r w:rsidR="006446CC">
        <w:rPr>
          <w:szCs w:val="24"/>
        </w:rPr>
        <w:t xml:space="preserve">, including any incremental operating and </w:t>
      </w:r>
      <w:r w:rsidR="006446CC">
        <w:rPr>
          <w:szCs w:val="24"/>
        </w:rPr>
        <w:lastRenderedPageBreak/>
        <w:t>maintenance costs previously incurred under CAIR</w:t>
      </w:r>
      <w:r w:rsidR="00AC767F">
        <w:rPr>
          <w:szCs w:val="24"/>
        </w:rPr>
        <w:t xml:space="preserve">.  </w:t>
      </w:r>
      <w:r w:rsidR="008266BA">
        <w:rPr>
          <w:szCs w:val="24"/>
        </w:rPr>
        <w:t xml:space="preserve">Under the </w:t>
      </w:r>
      <w:r w:rsidR="000728DC">
        <w:rPr>
          <w:szCs w:val="24"/>
        </w:rPr>
        <w:t>TR</w:t>
      </w:r>
      <w:r w:rsidR="008266BA">
        <w:rPr>
          <w:szCs w:val="24"/>
        </w:rPr>
        <w:t>, the burden and costs a</w:t>
      </w:r>
      <w:r w:rsidR="00B63CE2">
        <w:rPr>
          <w:szCs w:val="24"/>
        </w:rPr>
        <w:t>ccounted for under the CAIR ICR (</w:t>
      </w:r>
      <w:r w:rsidR="000B5E1F">
        <w:rPr>
          <w:szCs w:val="24"/>
        </w:rPr>
        <w:t xml:space="preserve">EPA ICR Number </w:t>
      </w:r>
      <w:r w:rsidR="00B63CE2">
        <w:rPr>
          <w:szCs w:val="24"/>
        </w:rPr>
        <w:t>2152.04)</w:t>
      </w:r>
      <w:r w:rsidR="002A2546">
        <w:rPr>
          <w:szCs w:val="24"/>
        </w:rPr>
        <w:t xml:space="preserve"> </w:t>
      </w:r>
      <w:r w:rsidR="00B63CE2">
        <w:rPr>
          <w:szCs w:val="24"/>
        </w:rPr>
        <w:t xml:space="preserve">would no longer occur </w:t>
      </w:r>
      <w:r w:rsidR="00F21811">
        <w:rPr>
          <w:szCs w:val="24"/>
        </w:rPr>
        <w:t xml:space="preserve"> </w:t>
      </w:r>
      <w:r w:rsidR="0060542C">
        <w:rPr>
          <w:szCs w:val="24"/>
        </w:rPr>
        <w:t xml:space="preserve">as part of CAIR </w:t>
      </w:r>
      <w:r w:rsidR="00F21811">
        <w:rPr>
          <w:szCs w:val="24"/>
        </w:rPr>
        <w:t>implementation</w:t>
      </w:r>
      <w:r w:rsidR="00033581">
        <w:rPr>
          <w:szCs w:val="24"/>
        </w:rPr>
        <w:t xml:space="preserve">.  </w:t>
      </w:r>
      <w:r w:rsidR="003C0B02">
        <w:rPr>
          <w:szCs w:val="24"/>
        </w:rPr>
        <w:t xml:space="preserve">Instead, all </w:t>
      </w:r>
      <w:r w:rsidR="006446CC">
        <w:rPr>
          <w:szCs w:val="24"/>
        </w:rPr>
        <w:t xml:space="preserve">such ongoing </w:t>
      </w:r>
      <w:r w:rsidR="003C0B02">
        <w:rPr>
          <w:szCs w:val="24"/>
        </w:rPr>
        <w:t xml:space="preserve">burdens and costs would be accounted for under this ICR as part of </w:t>
      </w:r>
      <w:r w:rsidR="007A7202">
        <w:rPr>
          <w:szCs w:val="24"/>
        </w:rPr>
        <w:t>T</w:t>
      </w:r>
      <w:r w:rsidR="000728DC">
        <w:rPr>
          <w:szCs w:val="24"/>
        </w:rPr>
        <w:t>R</w:t>
      </w:r>
      <w:r w:rsidR="003C0B02">
        <w:rPr>
          <w:szCs w:val="24"/>
        </w:rPr>
        <w:t xml:space="preserve"> implementation.</w:t>
      </w:r>
    </w:p>
    <w:p w:rsidR="00ED7FD5" w:rsidRDefault="00ED7FD5" w:rsidP="00820788">
      <w:pPr>
        <w:autoSpaceDE w:val="0"/>
        <w:autoSpaceDN w:val="0"/>
        <w:adjustRightInd w:val="0"/>
        <w:ind w:firstLine="720"/>
        <w:rPr>
          <w:szCs w:val="24"/>
        </w:rPr>
      </w:pPr>
    </w:p>
    <w:p w:rsidR="000C02E9" w:rsidRPr="008574F9" w:rsidRDefault="00210F79" w:rsidP="00355C55">
      <w:pPr>
        <w:autoSpaceDE w:val="0"/>
        <w:autoSpaceDN w:val="0"/>
        <w:adjustRightInd w:val="0"/>
        <w:ind w:firstLine="720"/>
        <w:rPr>
          <w:szCs w:val="24"/>
        </w:rPr>
      </w:pPr>
      <w:r w:rsidRPr="008574F9">
        <w:rPr>
          <w:szCs w:val="24"/>
        </w:rPr>
        <w:t xml:space="preserve">EPA </w:t>
      </w:r>
      <w:r w:rsidR="002A1BCA">
        <w:rPr>
          <w:szCs w:val="24"/>
        </w:rPr>
        <w:t xml:space="preserve">has </w:t>
      </w:r>
      <w:r w:rsidR="00290DF7">
        <w:rPr>
          <w:szCs w:val="24"/>
        </w:rPr>
        <w:t>publish</w:t>
      </w:r>
      <w:r w:rsidR="002A1BCA">
        <w:rPr>
          <w:szCs w:val="24"/>
        </w:rPr>
        <w:t>ed</w:t>
      </w:r>
      <w:r w:rsidRPr="008574F9">
        <w:rPr>
          <w:szCs w:val="24"/>
        </w:rPr>
        <w:t xml:space="preserve"> a Notice of Proposed Rulemaking in the Federal Re</w:t>
      </w:r>
      <w:r w:rsidR="00B04ACB">
        <w:rPr>
          <w:szCs w:val="24"/>
        </w:rPr>
        <w:t xml:space="preserve">gister that </w:t>
      </w:r>
      <w:r w:rsidR="00290DF7">
        <w:rPr>
          <w:szCs w:val="24"/>
        </w:rPr>
        <w:t>detail</w:t>
      </w:r>
      <w:r w:rsidR="00B603B8">
        <w:rPr>
          <w:szCs w:val="24"/>
        </w:rPr>
        <w:t>s</w:t>
      </w:r>
      <w:r w:rsidRPr="008574F9">
        <w:rPr>
          <w:szCs w:val="24"/>
        </w:rPr>
        <w:t xml:space="preserve"> the additions and changes to reporting requirements associated with</w:t>
      </w:r>
      <w:r w:rsidR="00820788" w:rsidRPr="008574F9">
        <w:rPr>
          <w:szCs w:val="24"/>
        </w:rPr>
        <w:t xml:space="preserve"> the</w:t>
      </w:r>
      <w:r w:rsidR="00184B42" w:rsidRPr="008574F9">
        <w:rPr>
          <w:szCs w:val="24"/>
        </w:rPr>
        <w:t xml:space="preserve"> </w:t>
      </w:r>
      <w:r w:rsidR="000728DC">
        <w:rPr>
          <w:szCs w:val="24"/>
        </w:rPr>
        <w:t>TR</w:t>
      </w:r>
      <w:r w:rsidR="003972B1" w:rsidRPr="008574F9">
        <w:rPr>
          <w:szCs w:val="24"/>
        </w:rPr>
        <w:t xml:space="preserve">.  </w:t>
      </w:r>
      <w:r w:rsidR="000C02E9" w:rsidRPr="008574F9">
        <w:rPr>
          <w:szCs w:val="24"/>
        </w:rPr>
        <w:t xml:space="preserve">Taken together, the existing emission reporting requirements under </w:t>
      </w:r>
      <w:r w:rsidR="00B14316">
        <w:rPr>
          <w:szCs w:val="24"/>
        </w:rPr>
        <w:t xml:space="preserve">the ARP and </w:t>
      </w:r>
      <w:r w:rsidR="00B04ACB">
        <w:rPr>
          <w:szCs w:val="24"/>
        </w:rPr>
        <w:t>CAIR</w:t>
      </w:r>
      <w:r w:rsidR="000C02E9" w:rsidRPr="008574F9">
        <w:rPr>
          <w:szCs w:val="24"/>
        </w:rPr>
        <w:t xml:space="preserve"> </w:t>
      </w:r>
      <w:r w:rsidR="00B04ACB">
        <w:rPr>
          <w:szCs w:val="24"/>
        </w:rPr>
        <w:t xml:space="preserve">cover many of the same </w:t>
      </w:r>
      <w:r w:rsidR="009F64E8">
        <w:rPr>
          <w:szCs w:val="24"/>
        </w:rPr>
        <w:t xml:space="preserve">sources </w:t>
      </w:r>
      <w:r w:rsidR="00B04ACB">
        <w:rPr>
          <w:szCs w:val="24"/>
        </w:rPr>
        <w:t>and have similar or identical emission reporting requirements as the TR</w:t>
      </w:r>
      <w:r w:rsidR="000C02E9" w:rsidRPr="008574F9">
        <w:rPr>
          <w:szCs w:val="24"/>
        </w:rPr>
        <w:t>.</w:t>
      </w:r>
      <w:r w:rsidR="002248C4">
        <w:rPr>
          <w:szCs w:val="24"/>
        </w:rPr>
        <w:t xml:space="preserve">  The incremental burden</w:t>
      </w:r>
      <w:r w:rsidR="00B04ACB">
        <w:rPr>
          <w:szCs w:val="24"/>
        </w:rPr>
        <w:t xml:space="preserve"> </w:t>
      </w:r>
      <w:r w:rsidR="002248C4">
        <w:rPr>
          <w:szCs w:val="24"/>
        </w:rPr>
        <w:t>imposed by the TR in general is</w:t>
      </w:r>
      <w:r w:rsidR="00B04ACB">
        <w:rPr>
          <w:szCs w:val="24"/>
        </w:rPr>
        <w:t xml:space="preserve"> described below.</w:t>
      </w:r>
    </w:p>
    <w:p w:rsidR="004F729B" w:rsidRPr="008574F9" w:rsidRDefault="004F729B" w:rsidP="000C02E9">
      <w:pPr>
        <w:autoSpaceDE w:val="0"/>
        <w:autoSpaceDN w:val="0"/>
        <w:adjustRightInd w:val="0"/>
        <w:rPr>
          <w:szCs w:val="24"/>
        </w:rPr>
      </w:pPr>
    </w:p>
    <w:p w:rsidR="00E53EE7" w:rsidRPr="00C02DA2" w:rsidRDefault="00E53EE7" w:rsidP="00E53EE7">
      <w:pPr>
        <w:autoSpaceDE w:val="0"/>
        <w:autoSpaceDN w:val="0"/>
        <w:adjustRightInd w:val="0"/>
        <w:rPr>
          <w:szCs w:val="24"/>
        </w:rPr>
      </w:pPr>
      <w:r w:rsidRPr="00C02DA2">
        <w:rPr>
          <w:szCs w:val="24"/>
        </w:rPr>
        <w:tab/>
      </w:r>
      <w:r>
        <w:rPr>
          <w:szCs w:val="24"/>
        </w:rPr>
        <w:t>First</w:t>
      </w:r>
      <w:r w:rsidRPr="00C02DA2">
        <w:rPr>
          <w:szCs w:val="24"/>
        </w:rPr>
        <w:t>, sources located in Kansas, Minnesota, Nebraska, and Oklahoma</w:t>
      </w:r>
      <w:r>
        <w:rPr>
          <w:szCs w:val="24"/>
        </w:rPr>
        <w:t>, which were not affected under CAIR,</w:t>
      </w:r>
      <w:r w:rsidRPr="00C02DA2">
        <w:rPr>
          <w:szCs w:val="24"/>
        </w:rPr>
        <w:t xml:space="preserve"> </w:t>
      </w:r>
      <w:r w:rsidR="00037049">
        <w:rPr>
          <w:szCs w:val="24"/>
        </w:rPr>
        <w:t>will</w:t>
      </w:r>
      <w:r w:rsidRPr="00C02DA2">
        <w:rPr>
          <w:szCs w:val="24"/>
        </w:rPr>
        <w:t xml:space="preserve"> now </w:t>
      </w:r>
      <w:r w:rsidR="00037049">
        <w:rPr>
          <w:szCs w:val="24"/>
        </w:rPr>
        <w:t xml:space="preserve">be </w:t>
      </w:r>
      <w:r w:rsidRPr="00C02DA2">
        <w:rPr>
          <w:szCs w:val="24"/>
        </w:rPr>
        <w:t xml:space="preserve">affected under the TR.  Specifically, sources in </w:t>
      </w:r>
      <w:r>
        <w:rPr>
          <w:szCs w:val="24"/>
        </w:rPr>
        <w:t xml:space="preserve">Kansas, </w:t>
      </w:r>
      <w:r w:rsidRPr="00C02DA2">
        <w:rPr>
          <w:szCs w:val="24"/>
        </w:rPr>
        <w:t xml:space="preserve">Minnesota and Nebraska </w:t>
      </w:r>
      <w:r w:rsidR="00BF2DFC">
        <w:rPr>
          <w:szCs w:val="24"/>
        </w:rPr>
        <w:t>will be</w:t>
      </w:r>
      <w:r w:rsidRPr="00C02DA2">
        <w:rPr>
          <w:szCs w:val="24"/>
        </w:rPr>
        <w:t xml:space="preserve"> subject to TR NO</w:t>
      </w:r>
      <w:r w:rsidRPr="00C02DA2">
        <w:rPr>
          <w:szCs w:val="24"/>
          <w:vertAlign w:val="subscript"/>
        </w:rPr>
        <w:t>X</w:t>
      </w:r>
      <w:r w:rsidRPr="00C02DA2">
        <w:rPr>
          <w:szCs w:val="24"/>
        </w:rPr>
        <w:t xml:space="preserve"> and SO</w:t>
      </w:r>
      <w:r w:rsidRPr="00C02DA2">
        <w:rPr>
          <w:szCs w:val="24"/>
          <w:vertAlign w:val="subscript"/>
        </w:rPr>
        <w:t>2</w:t>
      </w:r>
      <w:r w:rsidRPr="00C02DA2">
        <w:rPr>
          <w:szCs w:val="24"/>
        </w:rPr>
        <w:t xml:space="preserve"> </w:t>
      </w:r>
      <w:r w:rsidR="00BF2DFC">
        <w:rPr>
          <w:szCs w:val="24"/>
        </w:rPr>
        <w:t xml:space="preserve">mass emissions </w:t>
      </w:r>
      <w:r w:rsidRPr="00C02DA2">
        <w:rPr>
          <w:szCs w:val="24"/>
        </w:rPr>
        <w:t>annual reporting</w:t>
      </w:r>
      <w:r>
        <w:rPr>
          <w:szCs w:val="24"/>
        </w:rPr>
        <w:t xml:space="preserve"> requirements</w:t>
      </w:r>
      <w:r w:rsidRPr="00C02DA2">
        <w:rPr>
          <w:szCs w:val="24"/>
        </w:rPr>
        <w:t xml:space="preserve">, </w:t>
      </w:r>
      <w:r>
        <w:rPr>
          <w:szCs w:val="24"/>
        </w:rPr>
        <w:t xml:space="preserve">and </w:t>
      </w:r>
      <w:r w:rsidRPr="00C02DA2">
        <w:rPr>
          <w:szCs w:val="24"/>
        </w:rPr>
        <w:t xml:space="preserve">sources in Oklahoma </w:t>
      </w:r>
      <w:r w:rsidR="00BF2DFC">
        <w:rPr>
          <w:szCs w:val="24"/>
        </w:rPr>
        <w:t>will be</w:t>
      </w:r>
      <w:r w:rsidRPr="00C02DA2">
        <w:rPr>
          <w:szCs w:val="24"/>
        </w:rPr>
        <w:t xml:space="preserve"> subject to TR NO</w:t>
      </w:r>
      <w:r w:rsidRPr="00C02DA2">
        <w:rPr>
          <w:szCs w:val="24"/>
          <w:vertAlign w:val="subscript"/>
        </w:rPr>
        <w:t>X</w:t>
      </w:r>
      <w:r w:rsidRPr="00C02DA2">
        <w:rPr>
          <w:szCs w:val="24"/>
        </w:rPr>
        <w:t xml:space="preserve"> </w:t>
      </w:r>
      <w:r w:rsidR="00BF2DFC">
        <w:rPr>
          <w:szCs w:val="24"/>
        </w:rPr>
        <w:t xml:space="preserve">mass emissions </w:t>
      </w:r>
      <w:r w:rsidRPr="00C02DA2">
        <w:rPr>
          <w:szCs w:val="24"/>
        </w:rPr>
        <w:t>ozone season reporting</w:t>
      </w:r>
      <w:r>
        <w:rPr>
          <w:szCs w:val="24"/>
        </w:rPr>
        <w:t xml:space="preserve"> requirements.  Non-ARP sources in these states </w:t>
      </w:r>
      <w:r w:rsidRPr="00C02DA2">
        <w:rPr>
          <w:szCs w:val="24"/>
        </w:rPr>
        <w:t>will need to install and operate CEMS (or an approved alternative) and meet 40 CFR part 75 requirements for NO</w:t>
      </w:r>
      <w:r w:rsidRPr="00C02DA2">
        <w:rPr>
          <w:szCs w:val="24"/>
          <w:vertAlign w:val="subscript"/>
        </w:rPr>
        <w:t>X</w:t>
      </w:r>
      <w:r w:rsidRPr="00C02DA2">
        <w:rPr>
          <w:szCs w:val="24"/>
        </w:rPr>
        <w:t xml:space="preserve"> and</w:t>
      </w:r>
      <w:r w:rsidR="00F15D53">
        <w:rPr>
          <w:szCs w:val="24"/>
        </w:rPr>
        <w:t>/or</w:t>
      </w:r>
      <w:r w:rsidRPr="00C02DA2">
        <w:rPr>
          <w:szCs w:val="24"/>
        </w:rPr>
        <w:t xml:space="preserve"> SO</w:t>
      </w:r>
      <w:r w:rsidRPr="00C02DA2">
        <w:rPr>
          <w:szCs w:val="24"/>
          <w:vertAlign w:val="subscript"/>
        </w:rPr>
        <w:t>2,</w:t>
      </w:r>
      <w:r w:rsidRPr="00C02DA2">
        <w:rPr>
          <w:szCs w:val="24"/>
        </w:rPr>
        <w:t xml:space="preserve"> as applicable.</w:t>
      </w:r>
      <w:r>
        <w:rPr>
          <w:szCs w:val="24"/>
        </w:rPr>
        <w:t xml:space="preserve">  ARP sources in these states will need to make a one-time upgrade to their data handling and acquisition system (DAHS) software.</w:t>
      </w:r>
    </w:p>
    <w:p w:rsidR="00E53EE7" w:rsidRPr="00C02DA2" w:rsidRDefault="00E53EE7" w:rsidP="00E53EE7">
      <w:pPr>
        <w:autoSpaceDE w:val="0"/>
        <w:autoSpaceDN w:val="0"/>
        <w:adjustRightInd w:val="0"/>
        <w:rPr>
          <w:szCs w:val="24"/>
        </w:rPr>
      </w:pPr>
    </w:p>
    <w:p w:rsidR="001327CE" w:rsidRPr="00C02DA2" w:rsidRDefault="00E53EE7" w:rsidP="00E0396F">
      <w:pPr>
        <w:autoSpaceDE w:val="0"/>
        <w:autoSpaceDN w:val="0"/>
        <w:adjustRightInd w:val="0"/>
        <w:ind w:firstLine="720"/>
        <w:rPr>
          <w:szCs w:val="24"/>
        </w:rPr>
      </w:pPr>
      <w:r>
        <w:rPr>
          <w:szCs w:val="24"/>
        </w:rPr>
        <w:t>Second</w:t>
      </w:r>
      <w:r w:rsidR="00807149" w:rsidRPr="00C02DA2">
        <w:rPr>
          <w:szCs w:val="24"/>
        </w:rPr>
        <w:t xml:space="preserve">, </w:t>
      </w:r>
      <w:r w:rsidR="005A454D" w:rsidRPr="00C02DA2">
        <w:rPr>
          <w:szCs w:val="24"/>
        </w:rPr>
        <w:t xml:space="preserve">sources located </w:t>
      </w:r>
      <w:r w:rsidR="00807149" w:rsidRPr="00C02DA2">
        <w:rPr>
          <w:szCs w:val="24"/>
        </w:rPr>
        <w:t>in</w:t>
      </w:r>
      <w:r w:rsidR="00336C3A" w:rsidRPr="00C02DA2">
        <w:rPr>
          <w:szCs w:val="24"/>
        </w:rPr>
        <w:t xml:space="preserve"> Georgia</w:t>
      </w:r>
      <w:r w:rsidR="000C0B8F" w:rsidRPr="00C02DA2">
        <w:rPr>
          <w:szCs w:val="24"/>
        </w:rPr>
        <w:t xml:space="preserve"> and</w:t>
      </w:r>
      <w:r w:rsidR="004C4007" w:rsidRPr="00C02DA2">
        <w:rPr>
          <w:szCs w:val="24"/>
        </w:rPr>
        <w:t xml:space="preserve"> </w:t>
      </w:r>
      <w:r w:rsidR="000C0B8F" w:rsidRPr="00C02DA2">
        <w:rPr>
          <w:szCs w:val="24"/>
        </w:rPr>
        <w:t xml:space="preserve">Texas </w:t>
      </w:r>
      <w:r w:rsidR="00BF2DFC">
        <w:rPr>
          <w:szCs w:val="24"/>
        </w:rPr>
        <w:t>will</w:t>
      </w:r>
      <w:r w:rsidR="00BF2DFC" w:rsidRPr="00C02DA2">
        <w:rPr>
          <w:szCs w:val="24"/>
        </w:rPr>
        <w:t xml:space="preserve"> </w:t>
      </w:r>
      <w:r w:rsidR="000C0B8F" w:rsidRPr="00C02DA2">
        <w:rPr>
          <w:szCs w:val="24"/>
        </w:rPr>
        <w:t xml:space="preserve">now </w:t>
      </w:r>
      <w:r w:rsidR="00BF2DFC">
        <w:rPr>
          <w:szCs w:val="24"/>
        </w:rPr>
        <w:t xml:space="preserve">be </w:t>
      </w:r>
      <w:r w:rsidR="000C0B8F" w:rsidRPr="00C02DA2">
        <w:rPr>
          <w:szCs w:val="24"/>
        </w:rPr>
        <w:t>required to</w:t>
      </w:r>
      <w:r w:rsidR="00807149" w:rsidRPr="00C02DA2">
        <w:rPr>
          <w:szCs w:val="24"/>
        </w:rPr>
        <w:t xml:space="preserve"> report </w:t>
      </w:r>
      <w:r w:rsidR="007B40DE" w:rsidRPr="00C02DA2">
        <w:rPr>
          <w:szCs w:val="24"/>
        </w:rPr>
        <w:t>NO</w:t>
      </w:r>
      <w:r w:rsidR="002B09EE" w:rsidRPr="00C02DA2">
        <w:rPr>
          <w:szCs w:val="24"/>
          <w:vertAlign w:val="subscript"/>
        </w:rPr>
        <w:t>X</w:t>
      </w:r>
      <w:r w:rsidR="001C2A22" w:rsidRPr="00C02DA2">
        <w:rPr>
          <w:szCs w:val="24"/>
        </w:rPr>
        <w:t xml:space="preserve"> </w:t>
      </w:r>
      <w:r w:rsidR="00BF2DFC">
        <w:rPr>
          <w:szCs w:val="24"/>
        </w:rPr>
        <w:t xml:space="preserve">mass </w:t>
      </w:r>
      <w:r w:rsidR="00807149" w:rsidRPr="00C02DA2">
        <w:rPr>
          <w:szCs w:val="24"/>
        </w:rPr>
        <w:t xml:space="preserve">emissions during the </w:t>
      </w:r>
      <w:r w:rsidR="00592E0E" w:rsidRPr="00C02DA2">
        <w:rPr>
          <w:szCs w:val="24"/>
        </w:rPr>
        <w:t>five</w:t>
      </w:r>
      <w:r w:rsidR="00807149" w:rsidRPr="00C02DA2">
        <w:rPr>
          <w:szCs w:val="24"/>
        </w:rPr>
        <w:t xml:space="preserve">-month ozone season, in addition to </w:t>
      </w:r>
      <w:r w:rsidR="00037049">
        <w:rPr>
          <w:szCs w:val="24"/>
        </w:rPr>
        <w:t xml:space="preserve">being required to report </w:t>
      </w:r>
      <w:r w:rsidR="005B4F4A">
        <w:rPr>
          <w:szCs w:val="24"/>
        </w:rPr>
        <w:t>NOx and SO</w:t>
      </w:r>
      <w:r w:rsidR="005B4F4A" w:rsidRPr="00BF2DFC">
        <w:rPr>
          <w:szCs w:val="24"/>
          <w:vertAlign w:val="subscript"/>
        </w:rPr>
        <w:t>2</w:t>
      </w:r>
      <w:r w:rsidR="005B4F4A">
        <w:rPr>
          <w:szCs w:val="24"/>
        </w:rPr>
        <w:t xml:space="preserve"> </w:t>
      </w:r>
      <w:r w:rsidR="00BF2DFC">
        <w:rPr>
          <w:szCs w:val="24"/>
        </w:rPr>
        <w:t xml:space="preserve">mass </w:t>
      </w:r>
      <w:r w:rsidR="00807149" w:rsidRPr="00C02DA2">
        <w:rPr>
          <w:szCs w:val="24"/>
        </w:rPr>
        <w:t>emissions for the full year</w:t>
      </w:r>
      <w:r w:rsidR="00037049">
        <w:rPr>
          <w:szCs w:val="24"/>
        </w:rPr>
        <w:t xml:space="preserve"> as currently required under CAIR</w:t>
      </w:r>
      <w:r w:rsidR="003972B1" w:rsidRPr="00C02DA2">
        <w:rPr>
          <w:szCs w:val="24"/>
        </w:rPr>
        <w:t xml:space="preserve">.  </w:t>
      </w:r>
      <w:r>
        <w:rPr>
          <w:szCs w:val="24"/>
        </w:rPr>
        <w:t xml:space="preserve">This change </w:t>
      </w:r>
      <w:r w:rsidR="000C0B8F" w:rsidRPr="00C02DA2">
        <w:rPr>
          <w:szCs w:val="24"/>
        </w:rPr>
        <w:t xml:space="preserve">will require </w:t>
      </w:r>
      <w:r w:rsidR="00F15D53">
        <w:rPr>
          <w:szCs w:val="24"/>
        </w:rPr>
        <w:t xml:space="preserve">some </w:t>
      </w:r>
      <w:r w:rsidR="000C0B8F" w:rsidRPr="00C02DA2">
        <w:rPr>
          <w:szCs w:val="24"/>
        </w:rPr>
        <w:t xml:space="preserve">sources </w:t>
      </w:r>
      <w:r w:rsidR="007A7202" w:rsidRPr="00C02DA2">
        <w:rPr>
          <w:szCs w:val="24"/>
        </w:rPr>
        <w:t xml:space="preserve">to </w:t>
      </w:r>
      <w:r w:rsidR="000C0B8F" w:rsidRPr="00C02DA2">
        <w:rPr>
          <w:szCs w:val="24"/>
        </w:rPr>
        <w:t xml:space="preserve">modify </w:t>
      </w:r>
      <w:r w:rsidR="00037049">
        <w:rPr>
          <w:szCs w:val="24"/>
        </w:rPr>
        <w:t xml:space="preserve">their </w:t>
      </w:r>
      <w:r w:rsidR="000C0B8F" w:rsidRPr="00C02DA2">
        <w:rPr>
          <w:szCs w:val="24"/>
        </w:rPr>
        <w:t>DAHS software.</w:t>
      </w:r>
    </w:p>
    <w:p w:rsidR="00F863E2" w:rsidRPr="00C02DA2" w:rsidRDefault="00F863E2" w:rsidP="000C02E9">
      <w:pPr>
        <w:autoSpaceDE w:val="0"/>
        <w:autoSpaceDN w:val="0"/>
        <w:adjustRightInd w:val="0"/>
        <w:rPr>
          <w:szCs w:val="24"/>
        </w:rPr>
      </w:pPr>
    </w:p>
    <w:p w:rsidR="008B4E9A" w:rsidRPr="00C02DA2" w:rsidRDefault="008B4E9A" w:rsidP="000C02E9">
      <w:pPr>
        <w:autoSpaceDE w:val="0"/>
        <w:autoSpaceDN w:val="0"/>
        <w:adjustRightInd w:val="0"/>
        <w:rPr>
          <w:szCs w:val="24"/>
        </w:rPr>
      </w:pPr>
      <w:r w:rsidRPr="00C02DA2">
        <w:rPr>
          <w:szCs w:val="24"/>
        </w:rPr>
        <w:tab/>
      </w:r>
      <w:r w:rsidR="00E53EE7">
        <w:rPr>
          <w:szCs w:val="24"/>
        </w:rPr>
        <w:t>Third</w:t>
      </w:r>
      <w:r w:rsidRPr="00C02DA2">
        <w:rPr>
          <w:szCs w:val="24"/>
        </w:rPr>
        <w:t xml:space="preserve">, </w:t>
      </w:r>
      <w:r w:rsidR="000C0B8F" w:rsidRPr="00C02DA2">
        <w:rPr>
          <w:szCs w:val="24"/>
        </w:rPr>
        <w:t xml:space="preserve">sources located in </w:t>
      </w:r>
      <w:r w:rsidR="004073C9">
        <w:rPr>
          <w:szCs w:val="24"/>
        </w:rPr>
        <w:t xml:space="preserve">Florida, Louisiana, and </w:t>
      </w:r>
      <w:r w:rsidR="000C0B8F" w:rsidRPr="00C02DA2">
        <w:rPr>
          <w:szCs w:val="24"/>
        </w:rPr>
        <w:t xml:space="preserve">Mississippi, </w:t>
      </w:r>
      <w:r w:rsidR="00530200" w:rsidRPr="00C02DA2">
        <w:rPr>
          <w:szCs w:val="24"/>
        </w:rPr>
        <w:t xml:space="preserve">which under CAIR were required to report </w:t>
      </w:r>
      <w:r w:rsidR="00E076D5" w:rsidRPr="00C02DA2">
        <w:rPr>
          <w:szCs w:val="24"/>
        </w:rPr>
        <w:t>NO</w:t>
      </w:r>
      <w:r w:rsidR="00E076D5" w:rsidRPr="00C02DA2">
        <w:rPr>
          <w:szCs w:val="24"/>
          <w:vertAlign w:val="subscript"/>
        </w:rPr>
        <w:t>X</w:t>
      </w:r>
      <w:r w:rsidR="00E076D5" w:rsidRPr="00C02DA2">
        <w:rPr>
          <w:szCs w:val="24"/>
        </w:rPr>
        <w:t xml:space="preserve"> and </w:t>
      </w:r>
      <w:r w:rsidR="00530200" w:rsidRPr="00C02DA2">
        <w:rPr>
          <w:szCs w:val="24"/>
        </w:rPr>
        <w:t>SO</w:t>
      </w:r>
      <w:r w:rsidR="00530200" w:rsidRPr="00C02DA2">
        <w:rPr>
          <w:szCs w:val="24"/>
          <w:vertAlign w:val="subscript"/>
        </w:rPr>
        <w:t>2</w:t>
      </w:r>
      <w:r w:rsidR="00E076D5" w:rsidRPr="00C02DA2">
        <w:rPr>
          <w:szCs w:val="24"/>
        </w:rPr>
        <w:t xml:space="preserve"> </w:t>
      </w:r>
      <w:r w:rsidR="00BF2DFC">
        <w:rPr>
          <w:szCs w:val="24"/>
        </w:rPr>
        <w:t xml:space="preserve">mass </w:t>
      </w:r>
      <w:r w:rsidR="00530200" w:rsidRPr="00C02DA2">
        <w:rPr>
          <w:szCs w:val="24"/>
        </w:rPr>
        <w:t xml:space="preserve">emissions annually, </w:t>
      </w:r>
      <w:r w:rsidR="00BF2DFC">
        <w:rPr>
          <w:szCs w:val="24"/>
        </w:rPr>
        <w:t xml:space="preserve">will </w:t>
      </w:r>
      <w:r w:rsidR="00F87C60" w:rsidRPr="00C02DA2">
        <w:rPr>
          <w:szCs w:val="24"/>
        </w:rPr>
        <w:t xml:space="preserve">now only </w:t>
      </w:r>
      <w:r w:rsidR="00BF2DFC">
        <w:rPr>
          <w:szCs w:val="24"/>
        </w:rPr>
        <w:t xml:space="preserve">be </w:t>
      </w:r>
      <w:r w:rsidR="00F87C60" w:rsidRPr="00C02DA2">
        <w:rPr>
          <w:szCs w:val="24"/>
        </w:rPr>
        <w:t xml:space="preserve">required to report </w:t>
      </w:r>
      <w:r w:rsidR="00530200" w:rsidRPr="00C02DA2">
        <w:rPr>
          <w:szCs w:val="24"/>
        </w:rPr>
        <w:t>NO</w:t>
      </w:r>
      <w:r w:rsidR="00530200" w:rsidRPr="00C02DA2">
        <w:rPr>
          <w:szCs w:val="24"/>
          <w:vertAlign w:val="subscript"/>
        </w:rPr>
        <w:t>X</w:t>
      </w:r>
      <w:r w:rsidR="00530200" w:rsidRPr="00C02DA2">
        <w:rPr>
          <w:szCs w:val="24"/>
        </w:rPr>
        <w:t xml:space="preserve"> </w:t>
      </w:r>
      <w:r w:rsidR="00BF2DFC">
        <w:rPr>
          <w:szCs w:val="24"/>
        </w:rPr>
        <w:t xml:space="preserve">mass emissions </w:t>
      </w:r>
      <w:r w:rsidR="00F87C60" w:rsidRPr="00C02DA2">
        <w:rPr>
          <w:szCs w:val="24"/>
        </w:rPr>
        <w:t xml:space="preserve">for </w:t>
      </w:r>
      <w:r w:rsidR="007A7202" w:rsidRPr="00C02DA2">
        <w:rPr>
          <w:szCs w:val="24"/>
        </w:rPr>
        <w:t xml:space="preserve">the </w:t>
      </w:r>
      <w:r w:rsidR="00530200" w:rsidRPr="00C02DA2">
        <w:rPr>
          <w:szCs w:val="24"/>
        </w:rPr>
        <w:t xml:space="preserve">TR </w:t>
      </w:r>
      <w:r w:rsidR="00F87C60" w:rsidRPr="00C02DA2">
        <w:rPr>
          <w:szCs w:val="24"/>
        </w:rPr>
        <w:t>ozone season</w:t>
      </w:r>
      <w:r w:rsidRPr="00C02DA2">
        <w:rPr>
          <w:szCs w:val="24"/>
        </w:rPr>
        <w:t>.</w:t>
      </w:r>
      <w:r w:rsidR="00E0396F" w:rsidRPr="00C02DA2">
        <w:rPr>
          <w:szCs w:val="24"/>
        </w:rPr>
        <w:t xml:space="preserve">  </w:t>
      </w:r>
      <w:r w:rsidR="00BF2DFC">
        <w:rPr>
          <w:szCs w:val="24"/>
        </w:rPr>
        <w:t>(ARP-affected sources in these states will still be required to report SO</w:t>
      </w:r>
      <w:r w:rsidR="00BF2DFC" w:rsidRPr="00BF2DFC">
        <w:rPr>
          <w:szCs w:val="24"/>
          <w:vertAlign w:val="subscript"/>
        </w:rPr>
        <w:t>2</w:t>
      </w:r>
      <w:r w:rsidR="00BF2DFC">
        <w:rPr>
          <w:szCs w:val="24"/>
        </w:rPr>
        <w:t xml:space="preserve"> mass emissions and NO</w:t>
      </w:r>
      <w:r w:rsidR="00BF2DFC" w:rsidRPr="00BF2DFC">
        <w:rPr>
          <w:szCs w:val="24"/>
          <w:vertAlign w:val="subscript"/>
        </w:rPr>
        <w:t>X</w:t>
      </w:r>
      <w:r w:rsidR="00BF2DFC">
        <w:rPr>
          <w:szCs w:val="24"/>
        </w:rPr>
        <w:t xml:space="preserve"> emission rate under that program.)  </w:t>
      </w:r>
      <w:r w:rsidR="00037049">
        <w:rPr>
          <w:szCs w:val="24"/>
        </w:rPr>
        <w:t>This change is a reduction in reporting requirements, but sources may need to modify their DAHS software.</w:t>
      </w:r>
    </w:p>
    <w:p w:rsidR="00F87C60" w:rsidRPr="00C02DA2" w:rsidRDefault="00F87C60" w:rsidP="000C02E9">
      <w:pPr>
        <w:autoSpaceDE w:val="0"/>
        <w:autoSpaceDN w:val="0"/>
        <w:adjustRightInd w:val="0"/>
        <w:rPr>
          <w:szCs w:val="24"/>
        </w:rPr>
      </w:pPr>
    </w:p>
    <w:p w:rsidR="003D6CC9" w:rsidRDefault="00EF4537" w:rsidP="008574F9">
      <w:pPr>
        <w:autoSpaceDE w:val="0"/>
        <w:autoSpaceDN w:val="0"/>
        <w:adjustRightInd w:val="0"/>
        <w:rPr>
          <w:szCs w:val="24"/>
        </w:rPr>
      </w:pPr>
      <w:r w:rsidRPr="00C02DA2">
        <w:rPr>
          <w:szCs w:val="24"/>
        </w:rPr>
        <w:tab/>
        <w:t xml:space="preserve">Fourth, </w:t>
      </w:r>
      <w:r w:rsidR="003D6CC9">
        <w:rPr>
          <w:szCs w:val="24"/>
        </w:rPr>
        <w:t xml:space="preserve">sources located in Connecticut, Delaware, Massachusetts, and the District of Columbia, which were affected under CAIR, are not affected under the TR.  </w:t>
      </w:r>
      <w:r w:rsidR="00BF2DFC">
        <w:rPr>
          <w:szCs w:val="24"/>
        </w:rPr>
        <w:t>(ARP-affected sources in these states will still be required to report SO</w:t>
      </w:r>
      <w:r w:rsidR="00BF2DFC" w:rsidRPr="00BF2DFC">
        <w:rPr>
          <w:szCs w:val="24"/>
          <w:vertAlign w:val="subscript"/>
        </w:rPr>
        <w:t>2</w:t>
      </w:r>
      <w:r w:rsidR="00BF2DFC">
        <w:rPr>
          <w:szCs w:val="24"/>
        </w:rPr>
        <w:t xml:space="preserve"> mass emissions and NO</w:t>
      </w:r>
      <w:r w:rsidR="00BF2DFC" w:rsidRPr="00BF2DFC">
        <w:rPr>
          <w:szCs w:val="24"/>
          <w:vertAlign w:val="subscript"/>
        </w:rPr>
        <w:t>X</w:t>
      </w:r>
      <w:r w:rsidR="00BF2DFC">
        <w:rPr>
          <w:szCs w:val="24"/>
        </w:rPr>
        <w:t xml:space="preserve"> emission rate under that program.)  </w:t>
      </w:r>
      <w:r w:rsidR="003D6CC9">
        <w:rPr>
          <w:szCs w:val="24"/>
        </w:rPr>
        <w:t xml:space="preserve">This change is a reduction in reporting </w:t>
      </w:r>
      <w:r w:rsidR="00F15D53">
        <w:rPr>
          <w:szCs w:val="24"/>
        </w:rPr>
        <w:t xml:space="preserve">requirements </w:t>
      </w:r>
      <w:r w:rsidR="003D6CC9">
        <w:rPr>
          <w:szCs w:val="24"/>
        </w:rPr>
        <w:t xml:space="preserve">for these sources.  </w:t>
      </w:r>
    </w:p>
    <w:p w:rsidR="003D6CC9" w:rsidRDefault="003D6CC9" w:rsidP="008574F9">
      <w:pPr>
        <w:autoSpaceDE w:val="0"/>
        <w:autoSpaceDN w:val="0"/>
        <w:adjustRightInd w:val="0"/>
        <w:rPr>
          <w:szCs w:val="24"/>
        </w:rPr>
      </w:pPr>
    </w:p>
    <w:p w:rsidR="00EF4537" w:rsidRDefault="00037049" w:rsidP="00037049">
      <w:pPr>
        <w:autoSpaceDE w:val="0"/>
        <w:autoSpaceDN w:val="0"/>
        <w:adjustRightInd w:val="0"/>
        <w:ind w:firstLine="720"/>
        <w:rPr>
          <w:szCs w:val="24"/>
        </w:rPr>
      </w:pPr>
      <w:r>
        <w:rPr>
          <w:szCs w:val="24"/>
        </w:rPr>
        <w:t>Sources</w:t>
      </w:r>
      <w:r w:rsidRPr="00C02DA2">
        <w:rPr>
          <w:szCs w:val="24"/>
        </w:rPr>
        <w:t xml:space="preserve"> </w:t>
      </w:r>
      <w:r w:rsidR="00EF4537" w:rsidRPr="00C02DA2">
        <w:rPr>
          <w:szCs w:val="24"/>
        </w:rPr>
        <w:t xml:space="preserve">located in Alabama, Illinois, Indiana, </w:t>
      </w:r>
      <w:r w:rsidR="004073C9">
        <w:rPr>
          <w:szCs w:val="24"/>
        </w:rPr>
        <w:t xml:space="preserve">Iowa, </w:t>
      </w:r>
      <w:r w:rsidR="00EF4537" w:rsidRPr="00C02DA2">
        <w:rPr>
          <w:szCs w:val="24"/>
        </w:rPr>
        <w:t xml:space="preserve">Kentucky, Maryland, Michigan, </w:t>
      </w:r>
      <w:r w:rsidR="004073C9">
        <w:rPr>
          <w:szCs w:val="24"/>
        </w:rPr>
        <w:t xml:space="preserve">Missouri, </w:t>
      </w:r>
      <w:r w:rsidR="00EF4537" w:rsidRPr="00C02DA2">
        <w:rPr>
          <w:szCs w:val="24"/>
        </w:rPr>
        <w:t>New Jersey, New York, North Carolina, Ohio, Pennsylvania, South Carolina, Tennessee, Virginia, West Virginia, and Wisconsin will continue to monitor and report NO</w:t>
      </w:r>
      <w:r w:rsidR="00CF1B63" w:rsidRPr="00C02DA2">
        <w:rPr>
          <w:szCs w:val="24"/>
          <w:vertAlign w:val="subscript"/>
        </w:rPr>
        <w:t>X</w:t>
      </w:r>
      <w:r w:rsidR="00EF4537" w:rsidRPr="00C02DA2">
        <w:rPr>
          <w:szCs w:val="24"/>
        </w:rPr>
        <w:t xml:space="preserve"> and SO</w:t>
      </w:r>
      <w:r w:rsidR="00CF1B63" w:rsidRPr="00C02DA2">
        <w:rPr>
          <w:szCs w:val="24"/>
          <w:vertAlign w:val="subscript"/>
        </w:rPr>
        <w:t>2</w:t>
      </w:r>
      <w:r w:rsidR="00EF4537" w:rsidRPr="00C02DA2">
        <w:rPr>
          <w:szCs w:val="24"/>
        </w:rPr>
        <w:t xml:space="preserve"> </w:t>
      </w:r>
      <w:r>
        <w:rPr>
          <w:szCs w:val="24"/>
        </w:rPr>
        <w:t xml:space="preserve">mass </w:t>
      </w:r>
      <w:r w:rsidR="00EF4537" w:rsidRPr="00C02DA2">
        <w:rPr>
          <w:szCs w:val="24"/>
        </w:rPr>
        <w:t>emissions on a year</w:t>
      </w:r>
      <w:r w:rsidR="004073C9">
        <w:rPr>
          <w:szCs w:val="24"/>
        </w:rPr>
        <w:t>-</w:t>
      </w:r>
      <w:r w:rsidR="00EF4537" w:rsidRPr="00C02DA2">
        <w:rPr>
          <w:szCs w:val="24"/>
        </w:rPr>
        <w:t>round b</w:t>
      </w:r>
      <w:r w:rsidR="0070503D" w:rsidRPr="00C02DA2">
        <w:rPr>
          <w:szCs w:val="24"/>
        </w:rPr>
        <w:t>asis</w:t>
      </w:r>
      <w:r w:rsidR="006446CC">
        <w:rPr>
          <w:szCs w:val="24"/>
        </w:rPr>
        <w:t xml:space="preserve"> (as well as NO</w:t>
      </w:r>
      <w:r w:rsidR="006446CC" w:rsidRPr="004D4BE7">
        <w:rPr>
          <w:szCs w:val="24"/>
          <w:vertAlign w:val="subscript"/>
        </w:rPr>
        <w:t>X</w:t>
      </w:r>
      <w:r w:rsidR="006446CC">
        <w:rPr>
          <w:szCs w:val="24"/>
        </w:rPr>
        <w:t xml:space="preserve"> mass emissions on an ozone-season basis) </w:t>
      </w:r>
      <w:r w:rsidR="002E197F" w:rsidRPr="00C02DA2">
        <w:rPr>
          <w:szCs w:val="24"/>
        </w:rPr>
        <w:t xml:space="preserve">under the TR </w:t>
      </w:r>
      <w:r w:rsidR="0070503D" w:rsidRPr="00C02DA2">
        <w:rPr>
          <w:szCs w:val="24"/>
        </w:rPr>
        <w:t xml:space="preserve">as </w:t>
      </w:r>
      <w:r w:rsidR="002E197F" w:rsidRPr="00C02DA2">
        <w:rPr>
          <w:szCs w:val="24"/>
        </w:rPr>
        <w:t xml:space="preserve">currently </w:t>
      </w:r>
      <w:r w:rsidR="0070503D" w:rsidRPr="00C02DA2">
        <w:rPr>
          <w:szCs w:val="24"/>
        </w:rPr>
        <w:t>required under CAIR. Sources located in Arkansas will</w:t>
      </w:r>
      <w:r w:rsidR="002E197F" w:rsidRPr="00C02DA2">
        <w:rPr>
          <w:szCs w:val="24"/>
        </w:rPr>
        <w:t>, under the TR,</w:t>
      </w:r>
      <w:r w:rsidR="0070503D" w:rsidRPr="00C02DA2">
        <w:rPr>
          <w:szCs w:val="24"/>
        </w:rPr>
        <w:t xml:space="preserve"> continue to report </w:t>
      </w:r>
      <w:r>
        <w:rPr>
          <w:szCs w:val="24"/>
        </w:rPr>
        <w:t>NO</w:t>
      </w:r>
      <w:r w:rsidRPr="00037049">
        <w:rPr>
          <w:szCs w:val="24"/>
          <w:vertAlign w:val="subscript"/>
        </w:rPr>
        <w:t>X</w:t>
      </w:r>
      <w:r>
        <w:rPr>
          <w:szCs w:val="24"/>
        </w:rPr>
        <w:t xml:space="preserve"> mass emissions </w:t>
      </w:r>
      <w:r w:rsidR="0070503D" w:rsidRPr="00C02DA2">
        <w:rPr>
          <w:szCs w:val="24"/>
        </w:rPr>
        <w:t xml:space="preserve">for </w:t>
      </w:r>
      <w:r w:rsidR="002E197F" w:rsidRPr="00C02DA2">
        <w:rPr>
          <w:szCs w:val="24"/>
        </w:rPr>
        <w:t>the o</w:t>
      </w:r>
      <w:r w:rsidR="0070503D" w:rsidRPr="00C02DA2">
        <w:rPr>
          <w:szCs w:val="24"/>
        </w:rPr>
        <w:t>zone season only as</w:t>
      </w:r>
      <w:r w:rsidR="002E197F" w:rsidRPr="00C02DA2">
        <w:rPr>
          <w:szCs w:val="24"/>
        </w:rPr>
        <w:t xml:space="preserve"> currently </w:t>
      </w:r>
      <w:r w:rsidR="0070503D" w:rsidRPr="00C02DA2">
        <w:rPr>
          <w:szCs w:val="24"/>
        </w:rPr>
        <w:t>required under CAIR.</w:t>
      </w:r>
    </w:p>
    <w:p w:rsidR="003D6CC9" w:rsidRDefault="003D6CC9" w:rsidP="00037049">
      <w:pPr>
        <w:autoSpaceDE w:val="0"/>
        <w:autoSpaceDN w:val="0"/>
        <w:adjustRightInd w:val="0"/>
        <w:ind w:firstLine="720"/>
        <w:rPr>
          <w:szCs w:val="24"/>
        </w:rPr>
      </w:pPr>
    </w:p>
    <w:p w:rsidR="002834C2" w:rsidRPr="004D4BE7" w:rsidRDefault="002834C2" w:rsidP="002834C2">
      <w:pPr>
        <w:autoSpaceDE w:val="0"/>
        <w:autoSpaceDN w:val="0"/>
        <w:adjustRightInd w:val="0"/>
        <w:ind w:firstLine="720"/>
        <w:rPr>
          <w:szCs w:val="24"/>
        </w:rPr>
      </w:pPr>
      <w:r w:rsidRPr="004D4BE7">
        <w:rPr>
          <w:szCs w:val="24"/>
        </w:rPr>
        <w:t xml:space="preserve">To meet the </w:t>
      </w:r>
      <w:r w:rsidR="006446CC" w:rsidRPr="004D4BE7">
        <w:rPr>
          <w:szCs w:val="24"/>
        </w:rPr>
        <w:t xml:space="preserve">TR </w:t>
      </w:r>
      <w:r w:rsidRPr="004D4BE7">
        <w:rPr>
          <w:szCs w:val="24"/>
        </w:rPr>
        <w:t xml:space="preserve">emissions monitoring, recordkeeping and reporting requirements, affected units are required to:  (1) submit a monitoring plan and certification reports for each </w:t>
      </w:r>
      <w:r w:rsidRPr="004D4BE7">
        <w:rPr>
          <w:szCs w:val="24"/>
        </w:rPr>
        <w:lastRenderedPageBreak/>
        <w:t>monitoring system, (2) record hourly emissions data, and (3) submit reports of their emissions and operating data to EPA.  All sources affected by the TR will be required to monitor and report NO</w:t>
      </w:r>
      <w:r w:rsidRPr="004D4BE7">
        <w:rPr>
          <w:szCs w:val="24"/>
          <w:vertAlign w:val="subscript"/>
        </w:rPr>
        <w:t>X</w:t>
      </w:r>
      <w:r w:rsidRPr="004D4BE7">
        <w:rPr>
          <w:szCs w:val="24"/>
        </w:rPr>
        <w:t xml:space="preserve"> and/or SO</w:t>
      </w:r>
      <w:r w:rsidRPr="004D4BE7">
        <w:rPr>
          <w:szCs w:val="24"/>
          <w:vertAlign w:val="subscript"/>
        </w:rPr>
        <w:t>2</w:t>
      </w:r>
      <w:r w:rsidRPr="004D4BE7">
        <w:rPr>
          <w:szCs w:val="24"/>
        </w:rPr>
        <w:t xml:space="preserve"> emissions in accordance with 40 CFR part 75.  Sources with monitors already certified under 40 CFR part 75 may be exempt from initial certification requirements.</w:t>
      </w:r>
    </w:p>
    <w:p w:rsidR="002834C2" w:rsidRPr="004D4BE7" w:rsidRDefault="002834C2" w:rsidP="002834C2">
      <w:pPr>
        <w:autoSpaceDE w:val="0"/>
        <w:autoSpaceDN w:val="0"/>
        <w:adjustRightInd w:val="0"/>
        <w:ind w:firstLine="720"/>
        <w:rPr>
          <w:szCs w:val="24"/>
        </w:rPr>
      </w:pPr>
    </w:p>
    <w:p w:rsidR="002834C2" w:rsidRPr="004D4BE7" w:rsidRDefault="002834C2" w:rsidP="002834C2">
      <w:pPr>
        <w:autoSpaceDE w:val="0"/>
        <w:autoSpaceDN w:val="0"/>
        <w:adjustRightInd w:val="0"/>
        <w:ind w:firstLine="720"/>
        <w:rPr>
          <w:szCs w:val="24"/>
        </w:rPr>
      </w:pPr>
      <w:r w:rsidRPr="004D4BE7">
        <w:rPr>
          <w:szCs w:val="24"/>
        </w:rPr>
        <w:t>Like the ARP, the NO</w:t>
      </w:r>
      <w:r w:rsidRPr="004D4BE7">
        <w:rPr>
          <w:szCs w:val="24"/>
          <w:vertAlign w:val="subscript"/>
        </w:rPr>
        <w:t>X</w:t>
      </w:r>
      <w:r w:rsidRPr="004D4BE7">
        <w:rPr>
          <w:szCs w:val="24"/>
        </w:rPr>
        <w:t xml:space="preserve"> SIP Call, and CAIR, the TR employs emission trading programs as a mechanism to reduce the overall costs of reducing emissions.  In addition to the emission monitoring, recordkeeping, and reporting requirements just described, trading programs require other tasks that involve an information collection burden</w:t>
      </w:r>
      <w:r w:rsidR="006446CC" w:rsidRPr="004D4BE7">
        <w:rPr>
          <w:szCs w:val="24"/>
        </w:rPr>
        <w:t xml:space="preserve"> for sources, EPA, and permitting authorities</w:t>
      </w:r>
      <w:r w:rsidRPr="004D4BE7">
        <w:rPr>
          <w:szCs w:val="24"/>
        </w:rPr>
        <w:t>.  These tasks include: (1) transferring and tracking allowances; (2) permitting; and (3) determining annual year end compliance.</w:t>
      </w:r>
      <w:r w:rsidR="006446CC" w:rsidRPr="004D4BE7">
        <w:rPr>
          <w:szCs w:val="24"/>
        </w:rPr>
        <w:t xml:space="preserve">  Emission allowance market participants using the CAMD Business System (CBS) to transfer allowances are required either to complete and submit an allowance transfer form for each allowance transfer or to perform the transfer on-line.  CBS users that are not covered sources, such as allowance brokers, fuel suppliers, and environmental groups, are also required to file a onetime account information application to establish accounts in CBS.</w:t>
      </w:r>
      <w:r w:rsidRPr="004D4BE7">
        <w:rPr>
          <w:szCs w:val="24"/>
        </w:rPr>
        <w:t xml:space="preserve">       </w:t>
      </w:r>
    </w:p>
    <w:p w:rsidR="002834C2" w:rsidRPr="004D4BE7" w:rsidRDefault="002834C2" w:rsidP="002834C2">
      <w:pPr>
        <w:autoSpaceDE w:val="0"/>
        <w:autoSpaceDN w:val="0"/>
        <w:adjustRightInd w:val="0"/>
        <w:ind w:firstLine="720"/>
        <w:rPr>
          <w:szCs w:val="24"/>
        </w:rPr>
      </w:pPr>
    </w:p>
    <w:p w:rsidR="003D6CC9" w:rsidRDefault="00F15D53" w:rsidP="00037049">
      <w:pPr>
        <w:autoSpaceDE w:val="0"/>
        <w:autoSpaceDN w:val="0"/>
        <w:adjustRightInd w:val="0"/>
        <w:ind w:firstLine="720"/>
        <w:rPr>
          <w:szCs w:val="24"/>
        </w:rPr>
      </w:pPr>
      <w:r>
        <w:rPr>
          <w:szCs w:val="24"/>
        </w:rPr>
        <w:t xml:space="preserve">The TR regulates sources directly through Federal Implementation Plans (FIPs) and does not impose any reporting obligations on non-industry entities.  </w:t>
      </w:r>
      <w:r w:rsidR="002834C2">
        <w:rPr>
          <w:szCs w:val="24"/>
        </w:rPr>
        <w:t>States have the option to replace the FIPs in whole or in part by submitting revisions to their State Implementation Plans (SIPs).</w:t>
      </w:r>
    </w:p>
    <w:p w:rsidR="004F729B" w:rsidRPr="008574F9" w:rsidRDefault="004F729B" w:rsidP="000C02E9">
      <w:pPr>
        <w:autoSpaceDE w:val="0"/>
        <w:autoSpaceDN w:val="0"/>
        <w:adjustRightInd w:val="0"/>
        <w:rPr>
          <w:b/>
          <w:bCs/>
          <w:szCs w:val="24"/>
        </w:rPr>
      </w:pPr>
    </w:p>
    <w:p w:rsidR="000C02E9" w:rsidRPr="008574F9" w:rsidRDefault="000C02E9">
      <w:pPr>
        <w:keepNext/>
        <w:autoSpaceDE w:val="0"/>
        <w:autoSpaceDN w:val="0"/>
        <w:adjustRightInd w:val="0"/>
        <w:rPr>
          <w:b/>
          <w:bCs/>
          <w:szCs w:val="24"/>
        </w:rPr>
      </w:pPr>
      <w:r w:rsidRPr="008574F9">
        <w:rPr>
          <w:b/>
          <w:bCs/>
          <w:szCs w:val="24"/>
        </w:rPr>
        <w:t>2.</w:t>
      </w:r>
      <w:r w:rsidR="003740C6">
        <w:rPr>
          <w:b/>
          <w:bCs/>
          <w:szCs w:val="24"/>
        </w:rPr>
        <w:t xml:space="preserve">0 </w:t>
      </w:r>
      <w:r w:rsidRPr="008574F9">
        <w:rPr>
          <w:b/>
          <w:bCs/>
          <w:szCs w:val="24"/>
        </w:rPr>
        <w:t xml:space="preserve"> N</w:t>
      </w:r>
      <w:r w:rsidR="003740C6">
        <w:rPr>
          <w:b/>
          <w:bCs/>
          <w:szCs w:val="24"/>
        </w:rPr>
        <w:t>eed</w:t>
      </w:r>
      <w:r w:rsidRPr="008574F9">
        <w:rPr>
          <w:b/>
          <w:bCs/>
          <w:szCs w:val="24"/>
        </w:rPr>
        <w:t xml:space="preserve"> </w:t>
      </w:r>
      <w:r w:rsidR="003740C6">
        <w:rPr>
          <w:b/>
          <w:bCs/>
          <w:szCs w:val="24"/>
        </w:rPr>
        <w:t>for and</w:t>
      </w:r>
      <w:r w:rsidRPr="008574F9">
        <w:rPr>
          <w:b/>
          <w:bCs/>
          <w:szCs w:val="24"/>
        </w:rPr>
        <w:t xml:space="preserve"> U</w:t>
      </w:r>
      <w:r w:rsidR="003740C6">
        <w:rPr>
          <w:b/>
          <w:bCs/>
          <w:szCs w:val="24"/>
        </w:rPr>
        <w:t>se</w:t>
      </w:r>
      <w:r w:rsidRPr="008574F9">
        <w:rPr>
          <w:b/>
          <w:bCs/>
          <w:szCs w:val="24"/>
        </w:rPr>
        <w:t xml:space="preserve"> </w:t>
      </w:r>
      <w:r w:rsidR="003740C6">
        <w:rPr>
          <w:b/>
          <w:bCs/>
          <w:szCs w:val="24"/>
        </w:rPr>
        <w:t>of</w:t>
      </w:r>
      <w:r w:rsidRPr="008574F9">
        <w:rPr>
          <w:b/>
          <w:bCs/>
          <w:szCs w:val="24"/>
        </w:rPr>
        <w:t xml:space="preserve"> </w:t>
      </w:r>
      <w:r w:rsidR="003740C6">
        <w:rPr>
          <w:b/>
          <w:bCs/>
          <w:szCs w:val="24"/>
        </w:rPr>
        <w:t>the</w:t>
      </w:r>
      <w:r w:rsidRPr="008574F9">
        <w:rPr>
          <w:b/>
          <w:bCs/>
          <w:szCs w:val="24"/>
        </w:rPr>
        <w:t xml:space="preserve"> C</w:t>
      </w:r>
      <w:r w:rsidR="003740C6">
        <w:rPr>
          <w:b/>
          <w:bCs/>
          <w:szCs w:val="24"/>
        </w:rPr>
        <w:t>ollection</w:t>
      </w:r>
    </w:p>
    <w:p w:rsidR="00D314FB" w:rsidRPr="008574F9" w:rsidRDefault="00D314FB">
      <w:pPr>
        <w:keepNext/>
        <w:autoSpaceDE w:val="0"/>
        <w:autoSpaceDN w:val="0"/>
        <w:adjustRightInd w:val="0"/>
        <w:rPr>
          <w:b/>
          <w:bCs/>
          <w:szCs w:val="24"/>
        </w:rPr>
      </w:pPr>
    </w:p>
    <w:p w:rsidR="000C02E9" w:rsidRPr="008574F9" w:rsidRDefault="003740C6" w:rsidP="001A38CD">
      <w:pPr>
        <w:keepNext/>
        <w:autoSpaceDE w:val="0"/>
        <w:autoSpaceDN w:val="0"/>
        <w:adjustRightInd w:val="0"/>
        <w:ind w:left="360"/>
        <w:rPr>
          <w:b/>
          <w:bCs/>
          <w:szCs w:val="24"/>
        </w:rPr>
      </w:pPr>
      <w:r>
        <w:rPr>
          <w:b/>
          <w:bCs/>
          <w:szCs w:val="24"/>
        </w:rPr>
        <w:t xml:space="preserve">2.1  </w:t>
      </w:r>
      <w:r w:rsidR="000C02E9" w:rsidRPr="008574F9">
        <w:rPr>
          <w:b/>
          <w:bCs/>
          <w:szCs w:val="24"/>
        </w:rPr>
        <w:t>Need/Authority for the Collection</w:t>
      </w:r>
    </w:p>
    <w:p w:rsidR="00FF7B14" w:rsidRPr="008574F9" w:rsidRDefault="00FF7B14" w:rsidP="001A38CD">
      <w:pPr>
        <w:keepNext/>
        <w:autoSpaceDE w:val="0"/>
        <w:autoSpaceDN w:val="0"/>
        <w:adjustRightInd w:val="0"/>
        <w:rPr>
          <w:b/>
          <w:bCs/>
          <w:szCs w:val="24"/>
        </w:rPr>
      </w:pPr>
    </w:p>
    <w:p w:rsidR="00CB0AA9" w:rsidRDefault="000C02E9" w:rsidP="001A38CD">
      <w:pPr>
        <w:keepNext/>
        <w:autoSpaceDE w:val="0"/>
        <w:autoSpaceDN w:val="0"/>
        <w:adjustRightInd w:val="0"/>
        <w:ind w:firstLine="720"/>
        <w:rPr>
          <w:szCs w:val="24"/>
        </w:rPr>
      </w:pPr>
      <w:r w:rsidRPr="008574F9">
        <w:rPr>
          <w:szCs w:val="24"/>
        </w:rPr>
        <w:t>Emissions data</w:t>
      </w:r>
      <w:r w:rsidR="00FF7B14" w:rsidRPr="008574F9">
        <w:rPr>
          <w:szCs w:val="24"/>
        </w:rPr>
        <w:t xml:space="preserve"> </w:t>
      </w:r>
      <w:r w:rsidRPr="008574F9">
        <w:rPr>
          <w:szCs w:val="24"/>
        </w:rPr>
        <w:t>are of vital importance to the EPA for fulfilling a host of monitoring, standard-setting,</w:t>
      </w:r>
      <w:r w:rsidR="00FF7B14" w:rsidRPr="008574F9">
        <w:rPr>
          <w:szCs w:val="24"/>
        </w:rPr>
        <w:t xml:space="preserve"> </w:t>
      </w:r>
      <w:r w:rsidRPr="008574F9">
        <w:rPr>
          <w:szCs w:val="24"/>
        </w:rPr>
        <w:t>rulemaking, reviewing, and reporting duties</w:t>
      </w:r>
      <w:r w:rsidR="003972B1" w:rsidRPr="008574F9">
        <w:rPr>
          <w:szCs w:val="24"/>
        </w:rPr>
        <w:t xml:space="preserve">.  </w:t>
      </w:r>
      <w:r w:rsidR="00CB0AA9" w:rsidRPr="00CB0AA9">
        <w:rPr>
          <w:szCs w:val="24"/>
        </w:rPr>
        <w:t>Section 110(a)(2)(D) of the CAA, often referred to as the “good neighbor” provision of the Act, requires states to prohibit certain emissions because of their impact on air quality in downwind states.  Specifically, it requires all states, within 3 years of promulgation of</w:t>
      </w:r>
      <w:r w:rsidR="00F114CA">
        <w:rPr>
          <w:szCs w:val="24"/>
        </w:rPr>
        <w:t xml:space="preserve"> </w:t>
      </w:r>
      <w:r w:rsidR="00CB0AA9" w:rsidRPr="00CB0AA9">
        <w:rPr>
          <w:szCs w:val="24"/>
        </w:rPr>
        <w:t xml:space="preserve">new or revised NAAQS, to submit </w:t>
      </w:r>
      <w:r w:rsidR="00783064">
        <w:rPr>
          <w:szCs w:val="24"/>
        </w:rPr>
        <w:t>state implementation plans (</w:t>
      </w:r>
      <w:r w:rsidR="00CB0AA9" w:rsidRPr="00CB0AA9">
        <w:rPr>
          <w:szCs w:val="24"/>
        </w:rPr>
        <w:t>SIPs</w:t>
      </w:r>
      <w:r w:rsidR="00783064">
        <w:rPr>
          <w:szCs w:val="24"/>
        </w:rPr>
        <w:t>)</w:t>
      </w:r>
      <w:r w:rsidR="00CB0AA9" w:rsidRPr="00CB0AA9">
        <w:rPr>
          <w:szCs w:val="24"/>
        </w:rPr>
        <w:t xml:space="preserve"> that prohibit certain emissions of air pollutants because of the impact they would have on air quality in other states.  </w:t>
      </w:r>
      <w:r w:rsidR="00AB0752">
        <w:rPr>
          <w:szCs w:val="24"/>
        </w:rPr>
        <w:t>The Transport Rule</w:t>
      </w:r>
      <w:r w:rsidR="00CB0AA9" w:rsidRPr="00CB0AA9">
        <w:rPr>
          <w:szCs w:val="24"/>
        </w:rPr>
        <w:t xml:space="preserve"> addresses the requirement in section 110(a)(2)(D)(i)(I) regarding the prohibition of emissions within a state that will significantly contribute to nonattainment or interfere with maintenance of NAAQS in any other state.  EPA issued two </w:t>
      </w:r>
      <w:r w:rsidR="00295B91">
        <w:rPr>
          <w:szCs w:val="24"/>
        </w:rPr>
        <w:t xml:space="preserve">previous </w:t>
      </w:r>
      <w:r w:rsidR="00CB0AA9" w:rsidRPr="00CB0AA9">
        <w:rPr>
          <w:szCs w:val="24"/>
        </w:rPr>
        <w:t>rules interpreting and clarifying the requirements of section 110(a)(2)(D)(i)(I).  The NO</w:t>
      </w:r>
      <w:r w:rsidR="00CF1B63" w:rsidRPr="00CF1B63">
        <w:rPr>
          <w:szCs w:val="24"/>
          <w:vertAlign w:val="subscript"/>
        </w:rPr>
        <w:t>X</w:t>
      </w:r>
      <w:r w:rsidR="00CB0AA9" w:rsidRPr="00CB0AA9">
        <w:rPr>
          <w:szCs w:val="24"/>
        </w:rPr>
        <w:t xml:space="preserve"> SIP Call, promulgated in 1998, was largely upheld by the U.S. Court of Appeals for the D.C. Circuit in </w:t>
      </w:r>
      <w:r w:rsidR="00CB0AA9" w:rsidRPr="00F15D53">
        <w:rPr>
          <w:i/>
          <w:szCs w:val="24"/>
        </w:rPr>
        <w:t xml:space="preserve">Michigan </w:t>
      </w:r>
      <w:r w:rsidR="00124859" w:rsidRPr="00F15D53">
        <w:rPr>
          <w:i/>
          <w:szCs w:val="24"/>
        </w:rPr>
        <w:t>v. EPA</w:t>
      </w:r>
      <w:r w:rsidR="00124859">
        <w:rPr>
          <w:szCs w:val="24"/>
        </w:rPr>
        <w:t xml:space="preserve">, </w:t>
      </w:r>
      <w:r w:rsidR="00CB0AA9" w:rsidRPr="00CB0AA9">
        <w:rPr>
          <w:szCs w:val="24"/>
        </w:rPr>
        <w:t>213 F.3d 663</w:t>
      </w:r>
      <w:r w:rsidR="00124859">
        <w:rPr>
          <w:szCs w:val="24"/>
        </w:rPr>
        <w:t xml:space="preserve"> (D.C. Cir. 2001</w:t>
      </w:r>
      <w:r w:rsidR="005E7ED4">
        <w:rPr>
          <w:szCs w:val="24"/>
        </w:rPr>
        <w:t>)</w:t>
      </w:r>
      <w:r w:rsidR="00CB0AA9" w:rsidRPr="00CB0AA9">
        <w:rPr>
          <w:szCs w:val="24"/>
        </w:rPr>
        <w:t>.  CAIR, promulgated in 2005, was remanded by the</w:t>
      </w:r>
      <w:r w:rsidR="005E7ED4">
        <w:rPr>
          <w:szCs w:val="24"/>
        </w:rPr>
        <w:t xml:space="preserve"> D.C. Circuit in </w:t>
      </w:r>
      <w:r w:rsidR="005E7ED4" w:rsidRPr="00F15D53">
        <w:rPr>
          <w:i/>
          <w:szCs w:val="24"/>
        </w:rPr>
        <w:t xml:space="preserve">North Carolina </w:t>
      </w:r>
      <w:r w:rsidR="00124859" w:rsidRPr="00F15D53">
        <w:rPr>
          <w:i/>
          <w:szCs w:val="24"/>
        </w:rPr>
        <w:t>v. EPA</w:t>
      </w:r>
      <w:r w:rsidR="00124859">
        <w:rPr>
          <w:szCs w:val="24"/>
        </w:rPr>
        <w:t xml:space="preserve">, </w:t>
      </w:r>
      <w:r w:rsidR="00CB0AA9" w:rsidRPr="00CB0AA9">
        <w:rPr>
          <w:szCs w:val="24"/>
        </w:rPr>
        <w:t>531 F.3d 896</w:t>
      </w:r>
      <w:r w:rsidR="00124859">
        <w:rPr>
          <w:szCs w:val="24"/>
        </w:rPr>
        <w:t xml:space="preserve"> (D.C. Cir.</w:t>
      </w:r>
      <w:r w:rsidR="005E7ED4">
        <w:rPr>
          <w:szCs w:val="24"/>
        </w:rPr>
        <w:t>)</w:t>
      </w:r>
      <w:r w:rsidR="00CB0AA9" w:rsidRPr="00CB0AA9">
        <w:rPr>
          <w:szCs w:val="24"/>
        </w:rPr>
        <w:t xml:space="preserve">, </w:t>
      </w:r>
      <w:r w:rsidR="00CB0AA9" w:rsidRPr="00F15D53">
        <w:rPr>
          <w:i/>
          <w:szCs w:val="24"/>
        </w:rPr>
        <w:t xml:space="preserve">modified on </w:t>
      </w:r>
      <w:r w:rsidR="005E7ED4" w:rsidRPr="00F15D53">
        <w:rPr>
          <w:i/>
          <w:szCs w:val="24"/>
        </w:rPr>
        <w:t>rehearing</w:t>
      </w:r>
      <w:r w:rsidR="00CB0AA9" w:rsidRPr="00CB0AA9">
        <w:rPr>
          <w:szCs w:val="24"/>
        </w:rPr>
        <w:t>, 550 F.3d. 1176</w:t>
      </w:r>
      <w:r w:rsidR="00124859">
        <w:rPr>
          <w:szCs w:val="24"/>
        </w:rPr>
        <w:t xml:space="preserve"> (D.C. Cir. 2008</w:t>
      </w:r>
      <w:r w:rsidR="005E7ED4">
        <w:rPr>
          <w:szCs w:val="24"/>
        </w:rPr>
        <w:t>)</w:t>
      </w:r>
      <w:r w:rsidR="00CB0AA9" w:rsidRPr="00CB0AA9">
        <w:rPr>
          <w:szCs w:val="24"/>
        </w:rPr>
        <w:t xml:space="preserve">.  </w:t>
      </w:r>
    </w:p>
    <w:p w:rsidR="00AF42F5" w:rsidRPr="00CB0AA9" w:rsidRDefault="00AF42F5" w:rsidP="00AF42F5">
      <w:pPr>
        <w:autoSpaceDE w:val="0"/>
        <w:autoSpaceDN w:val="0"/>
        <w:adjustRightInd w:val="0"/>
        <w:rPr>
          <w:szCs w:val="24"/>
        </w:rPr>
      </w:pPr>
    </w:p>
    <w:p w:rsidR="00CB0AA9" w:rsidRDefault="00CB0AA9" w:rsidP="00CB0AA9">
      <w:pPr>
        <w:autoSpaceDE w:val="0"/>
        <w:autoSpaceDN w:val="0"/>
        <w:adjustRightInd w:val="0"/>
        <w:ind w:firstLine="720"/>
        <w:rPr>
          <w:szCs w:val="24"/>
        </w:rPr>
      </w:pPr>
      <w:r w:rsidRPr="00CB0AA9">
        <w:rPr>
          <w:szCs w:val="24"/>
        </w:rPr>
        <w:t xml:space="preserve">Section 301(a)(1) of the CAA also gives the </w:t>
      </w:r>
      <w:r w:rsidR="00783064">
        <w:rPr>
          <w:szCs w:val="24"/>
        </w:rPr>
        <w:t xml:space="preserve">EPA </w:t>
      </w:r>
      <w:r w:rsidRPr="00CB0AA9">
        <w:rPr>
          <w:szCs w:val="24"/>
        </w:rPr>
        <w:t>Administrator general authority to prescribe such regulations as are necessary to carry out her functions under the Act</w:t>
      </w:r>
      <w:r w:rsidR="0074075C">
        <w:rPr>
          <w:szCs w:val="24"/>
        </w:rPr>
        <w:t>,</w:t>
      </w:r>
      <w:r w:rsidRPr="00CB0AA9">
        <w:rPr>
          <w:szCs w:val="24"/>
        </w:rPr>
        <w:t xml:space="preserve"> 42 U.S.C. § 7601(a)(1).  Pursuant to th</w:t>
      </w:r>
      <w:r w:rsidR="00F114CA">
        <w:rPr>
          <w:szCs w:val="24"/>
        </w:rPr>
        <w:t>is</w:t>
      </w:r>
      <w:r w:rsidRPr="00CB0AA9">
        <w:rPr>
          <w:szCs w:val="24"/>
        </w:rPr>
        <w:t xml:space="preserve"> section, EPA has </w:t>
      </w:r>
      <w:r w:rsidR="00F114CA">
        <w:rPr>
          <w:szCs w:val="24"/>
        </w:rPr>
        <w:t xml:space="preserve">the </w:t>
      </w:r>
      <w:r w:rsidRPr="00CB0AA9">
        <w:rPr>
          <w:szCs w:val="24"/>
        </w:rPr>
        <w:t xml:space="preserve">authority to clarify the applicability of CAA requirements.  In this action, among other things, EPA is clarifying the applicability of section 110(a)(2)(D)(i)(I) by identifying </w:t>
      </w:r>
      <w:r w:rsidR="00E076D5">
        <w:rPr>
          <w:szCs w:val="24"/>
        </w:rPr>
        <w:t>NO</w:t>
      </w:r>
      <w:r w:rsidR="00E076D5" w:rsidRPr="00CF1B63">
        <w:rPr>
          <w:szCs w:val="24"/>
          <w:vertAlign w:val="subscript"/>
        </w:rPr>
        <w:t>X</w:t>
      </w:r>
      <w:r w:rsidR="00E076D5" w:rsidRPr="00CB0AA9">
        <w:rPr>
          <w:szCs w:val="24"/>
        </w:rPr>
        <w:t xml:space="preserve"> </w:t>
      </w:r>
      <w:r w:rsidR="00E076D5">
        <w:rPr>
          <w:szCs w:val="24"/>
        </w:rPr>
        <w:t xml:space="preserve">and </w:t>
      </w:r>
      <w:r w:rsidRPr="00CB0AA9">
        <w:rPr>
          <w:szCs w:val="24"/>
        </w:rPr>
        <w:t>SO</w:t>
      </w:r>
      <w:r w:rsidR="00CF1B63" w:rsidRPr="00CF1B63">
        <w:rPr>
          <w:szCs w:val="24"/>
          <w:vertAlign w:val="subscript"/>
        </w:rPr>
        <w:t>2</w:t>
      </w:r>
      <w:r w:rsidRPr="00CB0AA9">
        <w:rPr>
          <w:szCs w:val="24"/>
        </w:rPr>
        <w:t xml:space="preserve"> emissions that must be prohibited with respect to the PM</w:t>
      </w:r>
      <w:r w:rsidR="00CF1B63" w:rsidRPr="00CF1B63">
        <w:rPr>
          <w:szCs w:val="24"/>
          <w:vertAlign w:val="subscript"/>
        </w:rPr>
        <w:t>2.5</w:t>
      </w:r>
      <w:r w:rsidRPr="00CB0AA9">
        <w:rPr>
          <w:szCs w:val="24"/>
        </w:rPr>
        <w:t xml:space="preserve"> NAAQS promulgated in 1997 and 2006 and the 8-hour ozone NAAQS promulgated in </w:t>
      </w:r>
      <w:r w:rsidRPr="00CB0AA9">
        <w:rPr>
          <w:szCs w:val="24"/>
        </w:rPr>
        <w:lastRenderedPageBreak/>
        <w:t>1997.  In addition, section 110(k)(1)(A) calls for the Administrator to establish criteria for determining whether SIP submissions are complete</w:t>
      </w:r>
      <w:r w:rsidR="0074075C">
        <w:rPr>
          <w:szCs w:val="24"/>
        </w:rPr>
        <w:t xml:space="preserve">, </w:t>
      </w:r>
      <w:r w:rsidRPr="00CB0AA9">
        <w:rPr>
          <w:szCs w:val="24"/>
        </w:rPr>
        <w:t>42 U.S.C. sec. 7410(k)(1)(A).  Among other things, this action helps to clarify what SIP submissions must contain to address the requirements of section 110(a)(2)(D)(i).</w:t>
      </w:r>
    </w:p>
    <w:p w:rsidR="00AF42F5" w:rsidRPr="00CB0AA9" w:rsidRDefault="00AF42F5" w:rsidP="00AF42F5">
      <w:pPr>
        <w:autoSpaceDE w:val="0"/>
        <w:autoSpaceDN w:val="0"/>
        <w:adjustRightInd w:val="0"/>
        <w:rPr>
          <w:szCs w:val="24"/>
        </w:rPr>
      </w:pPr>
    </w:p>
    <w:p w:rsidR="00CB0AA9" w:rsidRDefault="00CB0AA9" w:rsidP="00CB0AA9">
      <w:pPr>
        <w:autoSpaceDE w:val="0"/>
        <w:autoSpaceDN w:val="0"/>
        <w:adjustRightInd w:val="0"/>
        <w:ind w:firstLine="720"/>
        <w:rPr>
          <w:szCs w:val="24"/>
        </w:rPr>
      </w:pPr>
      <w:r w:rsidRPr="00CB0AA9">
        <w:rPr>
          <w:szCs w:val="24"/>
        </w:rPr>
        <w:t>Section 110(c)(1) of the Act also requires EPA to act in certain circumstances where state SIP deficiencies exist</w:t>
      </w:r>
      <w:r w:rsidR="00783064">
        <w:rPr>
          <w:szCs w:val="24"/>
        </w:rPr>
        <w:t>.</w:t>
      </w:r>
      <w:r w:rsidRPr="00CB0AA9">
        <w:rPr>
          <w:szCs w:val="24"/>
        </w:rPr>
        <w:t xml:space="preserve">  Specifically, section 110(c)(1) requires the Administrator to promulgate a </w:t>
      </w:r>
      <w:r w:rsidR="00783064">
        <w:rPr>
          <w:szCs w:val="24"/>
        </w:rPr>
        <w:t>federal implementation plan (</w:t>
      </w:r>
      <w:r w:rsidRPr="00CB0AA9">
        <w:rPr>
          <w:szCs w:val="24"/>
        </w:rPr>
        <w:t>FIP</w:t>
      </w:r>
      <w:r w:rsidR="00783064">
        <w:rPr>
          <w:szCs w:val="24"/>
        </w:rPr>
        <w:t>)</w:t>
      </w:r>
      <w:r w:rsidRPr="00CB0AA9">
        <w:rPr>
          <w:szCs w:val="24"/>
        </w:rPr>
        <w:t xml:space="preserve"> </w:t>
      </w:r>
      <w:r w:rsidR="00BA1456">
        <w:rPr>
          <w:szCs w:val="24"/>
        </w:rPr>
        <w:t>at any time within two</w:t>
      </w:r>
      <w:r w:rsidRPr="00CB0AA9">
        <w:rPr>
          <w:szCs w:val="24"/>
        </w:rPr>
        <w:t xml:space="preserve"> years after the Administrator </w:t>
      </w:r>
      <w:r w:rsidR="00783064">
        <w:rPr>
          <w:szCs w:val="24"/>
        </w:rPr>
        <w:t xml:space="preserve">either (1) </w:t>
      </w:r>
      <w:r w:rsidRPr="00CB0AA9">
        <w:rPr>
          <w:szCs w:val="24"/>
        </w:rPr>
        <w:t xml:space="preserve">finds that a </w:t>
      </w:r>
      <w:r w:rsidR="00AF42F5">
        <w:rPr>
          <w:szCs w:val="24"/>
        </w:rPr>
        <w:t>s</w:t>
      </w:r>
      <w:r w:rsidRPr="00CB0AA9">
        <w:rPr>
          <w:szCs w:val="24"/>
        </w:rPr>
        <w:t>tate has failed to make a required SIP submission</w:t>
      </w:r>
      <w:r w:rsidR="00AF42F5">
        <w:rPr>
          <w:szCs w:val="24"/>
        </w:rPr>
        <w:t xml:space="preserve">; (2) </w:t>
      </w:r>
      <w:r w:rsidR="00783064">
        <w:rPr>
          <w:szCs w:val="24"/>
        </w:rPr>
        <w:t xml:space="preserve">finds that </w:t>
      </w:r>
      <w:r w:rsidRPr="00CB0AA9">
        <w:rPr>
          <w:szCs w:val="24"/>
        </w:rPr>
        <w:t xml:space="preserve">a SIP submission </w:t>
      </w:r>
      <w:r w:rsidR="00AF42F5">
        <w:rPr>
          <w:szCs w:val="24"/>
        </w:rPr>
        <w:t xml:space="preserve">is </w:t>
      </w:r>
      <w:r w:rsidRPr="00CB0AA9">
        <w:rPr>
          <w:szCs w:val="24"/>
        </w:rPr>
        <w:t>incomplete</w:t>
      </w:r>
      <w:r w:rsidR="00AF42F5">
        <w:rPr>
          <w:szCs w:val="24"/>
        </w:rPr>
        <w:t xml:space="preserve">; </w:t>
      </w:r>
      <w:r w:rsidRPr="00CB0AA9">
        <w:rPr>
          <w:szCs w:val="24"/>
        </w:rPr>
        <w:t xml:space="preserve">or </w:t>
      </w:r>
      <w:r w:rsidR="00AF42F5">
        <w:rPr>
          <w:szCs w:val="24"/>
        </w:rPr>
        <w:t xml:space="preserve">(3) </w:t>
      </w:r>
      <w:r w:rsidRPr="00CB0AA9">
        <w:rPr>
          <w:szCs w:val="24"/>
        </w:rPr>
        <w:t>disapproves a SIP submission</w:t>
      </w:r>
      <w:r w:rsidR="00230007">
        <w:rPr>
          <w:szCs w:val="24"/>
        </w:rPr>
        <w:t xml:space="preserve">.  The Administrator must promulgate a FIP in the above-described scenarios </w:t>
      </w:r>
      <w:r w:rsidRPr="00CB0AA9">
        <w:rPr>
          <w:szCs w:val="24"/>
        </w:rPr>
        <w:t xml:space="preserve">unless the </w:t>
      </w:r>
      <w:r w:rsidR="00AF42F5">
        <w:rPr>
          <w:szCs w:val="24"/>
        </w:rPr>
        <w:t>s</w:t>
      </w:r>
      <w:r w:rsidRPr="00CB0AA9">
        <w:rPr>
          <w:szCs w:val="24"/>
        </w:rPr>
        <w:t xml:space="preserve">tate corrects the deficiency and the Administrator approves the SIP revision before the Administrator promulgates </w:t>
      </w:r>
      <w:r w:rsidR="00407B77">
        <w:rPr>
          <w:szCs w:val="24"/>
        </w:rPr>
        <w:t>the relevant</w:t>
      </w:r>
      <w:r w:rsidRPr="00CB0AA9">
        <w:rPr>
          <w:szCs w:val="24"/>
        </w:rPr>
        <w:t xml:space="preserve"> FIP</w:t>
      </w:r>
      <w:r w:rsidR="00230007">
        <w:rPr>
          <w:szCs w:val="24"/>
        </w:rPr>
        <w:t xml:space="preserve">.  </w:t>
      </w:r>
      <w:r w:rsidRPr="00CB0AA9">
        <w:rPr>
          <w:szCs w:val="24"/>
        </w:rPr>
        <w:t>42 U.S.C. sec. 7410(c)(1).</w:t>
      </w:r>
    </w:p>
    <w:p w:rsidR="00BA1456" w:rsidRDefault="00BA1456" w:rsidP="003740C6">
      <w:pPr>
        <w:autoSpaceDE w:val="0"/>
        <w:autoSpaceDN w:val="0"/>
        <w:adjustRightInd w:val="0"/>
        <w:ind w:left="360"/>
        <w:rPr>
          <w:b/>
          <w:bCs/>
          <w:szCs w:val="24"/>
        </w:rPr>
      </w:pPr>
    </w:p>
    <w:p w:rsidR="000C02E9" w:rsidRPr="008574F9" w:rsidRDefault="000C02E9" w:rsidP="001A38CD">
      <w:pPr>
        <w:keepNext/>
        <w:autoSpaceDE w:val="0"/>
        <w:autoSpaceDN w:val="0"/>
        <w:adjustRightInd w:val="0"/>
        <w:ind w:left="360"/>
        <w:rPr>
          <w:b/>
          <w:bCs/>
          <w:szCs w:val="24"/>
        </w:rPr>
      </w:pPr>
      <w:r w:rsidRPr="008574F9">
        <w:rPr>
          <w:b/>
          <w:bCs/>
          <w:szCs w:val="24"/>
        </w:rPr>
        <w:t>2</w:t>
      </w:r>
      <w:r w:rsidR="003740C6">
        <w:rPr>
          <w:b/>
          <w:bCs/>
          <w:szCs w:val="24"/>
        </w:rPr>
        <w:t xml:space="preserve">.2 </w:t>
      </w:r>
      <w:r w:rsidRPr="008574F9">
        <w:rPr>
          <w:b/>
          <w:bCs/>
          <w:szCs w:val="24"/>
        </w:rPr>
        <w:t xml:space="preserve"> Practical Utility/Users of the Data</w:t>
      </w:r>
    </w:p>
    <w:p w:rsidR="00D314FB" w:rsidRPr="008574F9" w:rsidRDefault="00D314FB" w:rsidP="001A38CD">
      <w:pPr>
        <w:keepNext/>
        <w:autoSpaceDE w:val="0"/>
        <w:autoSpaceDN w:val="0"/>
        <w:adjustRightInd w:val="0"/>
        <w:rPr>
          <w:b/>
          <w:bCs/>
          <w:szCs w:val="24"/>
        </w:rPr>
      </w:pPr>
    </w:p>
    <w:p w:rsidR="000C02E9" w:rsidRPr="008574F9" w:rsidRDefault="000C02E9" w:rsidP="007C52F6">
      <w:pPr>
        <w:autoSpaceDE w:val="0"/>
        <w:autoSpaceDN w:val="0"/>
        <w:adjustRightInd w:val="0"/>
        <w:ind w:firstLine="720"/>
        <w:rPr>
          <w:szCs w:val="24"/>
        </w:rPr>
      </w:pPr>
      <w:r w:rsidRPr="008574F9">
        <w:rPr>
          <w:szCs w:val="24"/>
        </w:rPr>
        <w:t>Emission</w:t>
      </w:r>
      <w:r w:rsidR="008906DA">
        <w:rPr>
          <w:szCs w:val="24"/>
        </w:rPr>
        <w:t>s</w:t>
      </w:r>
      <w:r w:rsidRPr="008574F9">
        <w:rPr>
          <w:szCs w:val="24"/>
        </w:rPr>
        <w:t xml:space="preserve"> data and related information on stationary point and nonpoint sources, as well as</w:t>
      </w:r>
      <w:r w:rsidR="007C52F6" w:rsidRPr="008574F9">
        <w:rPr>
          <w:szCs w:val="24"/>
        </w:rPr>
        <w:t xml:space="preserve"> </w:t>
      </w:r>
      <w:r w:rsidRPr="008574F9">
        <w:rPr>
          <w:szCs w:val="24"/>
        </w:rPr>
        <w:t xml:space="preserve">nonroad mobile and onroad mobile sources, are routinely used by </w:t>
      </w:r>
      <w:r w:rsidR="009E21BF">
        <w:rPr>
          <w:szCs w:val="24"/>
        </w:rPr>
        <w:t>OAP, OAQPS,</w:t>
      </w:r>
      <w:r w:rsidRPr="008574F9">
        <w:rPr>
          <w:szCs w:val="24"/>
        </w:rPr>
        <w:t xml:space="preserve"> and the EPA</w:t>
      </w:r>
      <w:r w:rsidR="007C52F6" w:rsidRPr="008574F9">
        <w:rPr>
          <w:szCs w:val="24"/>
        </w:rPr>
        <w:t xml:space="preserve"> </w:t>
      </w:r>
      <w:r w:rsidRPr="008574F9">
        <w:rPr>
          <w:szCs w:val="24"/>
        </w:rPr>
        <w:t>Regional Offices in carrying out a variety of activities</w:t>
      </w:r>
      <w:r w:rsidR="003972B1" w:rsidRPr="008574F9">
        <w:rPr>
          <w:szCs w:val="24"/>
        </w:rPr>
        <w:t xml:space="preserve">.  </w:t>
      </w:r>
      <w:r w:rsidRPr="008574F9">
        <w:rPr>
          <w:szCs w:val="24"/>
        </w:rPr>
        <w:t>These activities support regulatory</w:t>
      </w:r>
      <w:r w:rsidR="007C52F6" w:rsidRPr="008574F9">
        <w:rPr>
          <w:szCs w:val="24"/>
        </w:rPr>
        <w:t xml:space="preserve"> </w:t>
      </w:r>
      <w:r w:rsidRPr="008574F9">
        <w:rPr>
          <w:szCs w:val="24"/>
        </w:rPr>
        <w:t>functions as well as functions that are more programmatic in nature such as trend analyses</w:t>
      </w:r>
      <w:r w:rsidR="003972B1" w:rsidRPr="008574F9">
        <w:rPr>
          <w:szCs w:val="24"/>
        </w:rPr>
        <w:t xml:space="preserve">.  </w:t>
      </w:r>
      <w:r w:rsidRPr="008574F9">
        <w:rPr>
          <w:szCs w:val="24"/>
        </w:rPr>
        <w:t>Such</w:t>
      </w:r>
      <w:r w:rsidR="007C52F6" w:rsidRPr="008574F9">
        <w:rPr>
          <w:szCs w:val="24"/>
        </w:rPr>
        <w:t xml:space="preserve"> </w:t>
      </w:r>
      <w:r w:rsidRPr="008574F9">
        <w:rPr>
          <w:szCs w:val="24"/>
        </w:rPr>
        <w:t>projects include:</w:t>
      </w:r>
    </w:p>
    <w:p w:rsidR="007C52F6" w:rsidRPr="008574F9" w:rsidRDefault="007C52F6" w:rsidP="000C02E9">
      <w:pPr>
        <w:autoSpaceDE w:val="0"/>
        <w:autoSpaceDN w:val="0"/>
        <w:adjustRightInd w:val="0"/>
        <w:rPr>
          <w:szCs w:val="24"/>
        </w:rPr>
      </w:pPr>
    </w:p>
    <w:p w:rsidR="000C02E9" w:rsidRPr="008574F9" w:rsidRDefault="003740C6" w:rsidP="000303E6">
      <w:pPr>
        <w:keepNext/>
        <w:autoSpaceDE w:val="0"/>
        <w:autoSpaceDN w:val="0"/>
        <w:adjustRightInd w:val="0"/>
        <w:ind w:left="720" w:hanging="360"/>
        <w:rPr>
          <w:szCs w:val="24"/>
        </w:rPr>
      </w:pPr>
      <w:r>
        <w:rPr>
          <w:szCs w:val="24"/>
        </w:rPr>
        <w:t>●</w:t>
      </w:r>
      <w:r>
        <w:rPr>
          <w:szCs w:val="24"/>
        </w:rPr>
        <w:tab/>
      </w:r>
      <w:r w:rsidR="000C02E9" w:rsidRPr="008574F9">
        <w:rPr>
          <w:szCs w:val="24"/>
        </w:rPr>
        <w:t xml:space="preserve">Evaluation of existing control strategies, such as the </w:t>
      </w:r>
      <w:r w:rsidR="002834C2">
        <w:rPr>
          <w:szCs w:val="24"/>
        </w:rPr>
        <w:t>Transport Rule</w:t>
      </w:r>
      <w:r w:rsidR="00803A13">
        <w:rPr>
          <w:szCs w:val="24"/>
        </w:rPr>
        <w:t>, for s</w:t>
      </w:r>
      <w:r w:rsidR="000C02E9" w:rsidRPr="008574F9">
        <w:rPr>
          <w:szCs w:val="24"/>
        </w:rPr>
        <w:t>tates and larger</w:t>
      </w:r>
      <w:r w:rsidR="007C52F6" w:rsidRPr="008574F9">
        <w:rPr>
          <w:szCs w:val="24"/>
        </w:rPr>
        <w:t xml:space="preserve"> </w:t>
      </w:r>
      <w:r w:rsidR="000C02E9" w:rsidRPr="008574F9">
        <w:rPr>
          <w:szCs w:val="24"/>
        </w:rPr>
        <w:t>areas;</w:t>
      </w:r>
    </w:p>
    <w:p w:rsidR="007C52F6" w:rsidRPr="008574F9" w:rsidRDefault="007C52F6" w:rsidP="00DE6404">
      <w:pPr>
        <w:autoSpaceDE w:val="0"/>
        <w:autoSpaceDN w:val="0"/>
        <w:adjustRightInd w:val="0"/>
        <w:ind w:left="720" w:hanging="360"/>
        <w:rPr>
          <w:szCs w:val="24"/>
        </w:rPr>
      </w:pPr>
    </w:p>
    <w:p w:rsidR="007C52F6" w:rsidRDefault="003740C6" w:rsidP="00DE6404">
      <w:pPr>
        <w:autoSpaceDE w:val="0"/>
        <w:autoSpaceDN w:val="0"/>
        <w:adjustRightInd w:val="0"/>
        <w:ind w:left="720" w:hanging="360"/>
        <w:rPr>
          <w:szCs w:val="24"/>
        </w:rPr>
      </w:pPr>
      <w:r>
        <w:rPr>
          <w:szCs w:val="24"/>
        </w:rPr>
        <w:t>●</w:t>
      </w:r>
      <w:r>
        <w:rPr>
          <w:szCs w:val="24"/>
        </w:rPr>
        <w:tab/>
      </w:r>
      <w:r w:rsidR="000C02E9" w:rsidRPr="008574F9">
        <w:rPr>
          <w:szCs w:val="24"/>
        </w:rPr>
        <w:t>Evaluation of proposed contr</w:t>
      </w:r>
      <w:r w:rsidR="00803A13">
        <w:rPr>
          <w:szCs w:val="24"/>
        </w:rPr>
        <w:t>ol strategies for s</w:t>
      </w:r>
      <w:r w:rsidR="000C02E9" w:rsidRPr="008574F9">
        <w:rPr>
          <w:szCs w:val="24"/>
        </w:rPr>
        <w:t>tates and larger areas, including</w:t>
      </w:r>
      <w:r w:rsidR="007C52F6" w:rsidRPr="008574F9">
        <w:rPr>
          <w:szCs w:val="24"/>
        </w:rPr>
        <w:t xml:space="preserve"> </w:t>
      </w:r>
      <w:r w:rsidR="000C02E9" w:rsidRPr="008574F9">
        <w:rPr>
          <w:szCs w:val="24"/>
        </w:rPr>
        <w:t>applications of regional scale models;</w:t>
      </w:r>
    </w:p>
    <w:p w:rsidR="00AA049D" w:rsidRPr="008574F9" w:rsidRDefault="00AA049D" w:rsidP="00DE6404">
      <w:pPr>
        <w:autoSpaceDE w:val="0"/>
        <w:autoSpaceDN w:val="0"/>
        <w:adjustRightInd w:val="0"/>
        <w:ind w:left="720" w:hanging="360"/>
        <w:rPr>
          <w:szCs w:val="24"/>
        </w:rPr>
      </w:pPr>
    </w:p>
    <w:p w:rsidR="007C52F6" w:rsidRPr="008574F9" w:rsidRDefault="003740C6" w:rsidP="00DE6404">
      <w:pPr>
        <w:autoSpaceDE w:val="0"/>
        <w:autoSpaceDN w:val="0"/>
        <w:adjustRightInd w:val="0"/>
        <w:ind w:left="720" w:hanging="360"/>
        <w:rPr>
          <w:szCs w:val="24"/>
        </w:rPr>
      </w:pPr>
      <w:r>
        <w:rPr>
          <w:szCs w:val="24"/>
        </w:rPr>
        <w:t>●</w:t>
      </w:r>
      <w:r>
        <w:rPr>
          <w:szCs w:val="24"/>
        </w:rPr>
        <w:tab/>
      </w:r>
      <w:r w:rsidR="000C02E9" w:rsidRPr="008574F9">
        <w:rPr>
          <w:szCs w:val="24"/>
        </w:rPr>
        <w:t>Development of national control strategies and preparation of Regulatory Impact</w:t>
      </w:r>
      <w:r w:rsidR="007C52F6" w:rsidRPr="008574F9">
        <w:rPr>
          <w:szCs w:val="24"/>
        </w:rPr>
        <w:t xml:space="preserve"> </w:t>
      </w:r>
      <w:r w:rsidR="000C02E9" w:rsidRPr="008574F9">
        <w:rPr>
          <w:szCs w:val="24"/>
        </w:rPr>
        <w:t>Analyses (RIA</w:t>
      </w:r>
      <w:r w:rsidR="00C17557">
        <w:rPr>
          <w:szCs w:val="24"/>
        </w:rPr>
        <w:t>s</w:t>
      </w:r>
      <w:r w:rsidR="000C02E9" w:rsidRPr="008574F9">
        <w:rPr>
          <w:szCs w:val="24"/>
        </w:rPr>
        <w:t>);</w:t>
      </w:r>
    </w:p>
    <w:p w:rsidR="007C52F6" w:rsidRPr="008574F9" w:rsidRDefault="007C52F6" w:rsidP="00DE6404">
      <w:pPr>
        <w:autoSpaceDE w:val="0"/>
        <w:autoSpaceDN w:val="0"/>
        <w:adjustRightInd w:val="0"/>
        <w:ind w:left="720" w:hanging="360"/>
        <w:rPr>
          <w:szCs w:val="24"/>
        </w:rPr>
      </w:pPr>
    </w:p>
    <w:p w:rsidR="000C02E9" w:rsidRPr="008574F9" w:rsidRDefault="00E86F33" w:rsidP="00DE6404">
      <w:pPr>
        <w:autoSpaceDE w:val="0"/>
        <w:autoSpaceDN w:val="0"/>
        <w:adjustRightInd w:val="0"/>
        <w:ind w:left="720" w:hanging="360"/>
        <w:rPr>
          <w:szCs w:val="24"/>
        </w:rPr>
      </w:pPr>
      <w:r>
        <w:rPr>
          <w:szCs w:val="24"/>
        </w:rPr>
        <w:t>●</w:t>
      </w:r>
      <w:r>
        <w:rPr>
          <w:szCs w:val="24"/>
        </w:rPr>
        <w:tab/>
      </w:r>
      <w:r w:rsidR="000C02E9" w:rsidRPr="008574F9">
        <w:rPr>
          <w:szCs w:val="24"/>
        </w:rPr>
        <w:t>Preparation and publication of national summaries of emissions</w:t>
      </w:r>
      <w:r w:rsidR="00C17557">
        <w:rPr>
          <w:szCs w:val="24"/>
        </w:rPr>
        <w:t>,</w:t>
      </w:r>
      <w:r w:rsidR="000C02E9" w:rsidRPr="008574F9">
        <w:rPr>
          <w:szCs w:val="24"/>
        </w:rPr>
        <w:t xml:space="preserve"> including trend analyses;</w:t>
      </w:r>
    </w:p>
    <w:p w:rsidR="007C52F6" w:rsidRPr="008574F9" w:rsidRDefault="007C52F6" w:rsidP="00DE6404">
      <w:pPr>
        <w:autoSpaceDE w:val="0"/>
        <w:autoSpaceDN w:val="0"/>
        <w:adjustRightInd w:val="0"/>
        <w:ind w:left="720" w:hanging="360"/>
        <w:rPr>
          <w:szCs w:val="24"/>
        </w:rPr>
      </w:pPr>
    </w:p>
    <w:p w:rsidR="000C02E9" w:rsidRPr="008574F9" w:rsidRDefault="00E86F33" w:rsidP="00DE6404">
      <w:pPr>
        <w:autoSpaceDE w:val="0"/>
        <w:autoSpaceDN w:val="0"/>
        <w:adjustRightInd w:val="0"/>
        <w:ind w:left="720" w:hanging="360"/>
        <w:rPr>
          <w:szCs w:val="24"/>
        </w:rPr>
      </w:pPr>
      <w:r>
        <w:rPr>
          <w:szCs w:val="24"/>
        </w:rPr>
        <w:t>●</w:t>
      </w:r>
      <w:r>
        <w:rPr>
          <w:szCs w:val="24"/>
        </w:rPr>
        <w:tab/>
      </w:r>
      <w:r w:rsidR="00295B91">
        <w:rPr>
          <w:szCs w:val="24"/>
        </w:rPr>
        <w:t xml:space="preserve">Development and maintenance of </w:t>
      </w:r>
      <w:r w:rsidR="00987803">
        <w:rPr>
          <w:szCs w:val="24"/>
        </w:rPr>
        <w:t>a data</w:t>
      </w:r>
      <w:r w:rsidR="000C02E9" w:rsidRPr="008574F9">
        <w:rPr>
          <w:szCs w:val="24"/>
        </w:rPr>
        <w:t>base to assist in the identification of important source categories for future</w:t>
      </w:r>
      <w:r w:rsidR="007C52F6" w:rsidRPr="008574F9">
        <w:rPr>
          <w:szCs w:val="24"/>
        </w:rPr>
        <w:t xml:space="preserve"> </w:t>
      </w:r>
      <w:r w:rsidR="000C02E9" w:rsidRPr="008574F9">
        <w:rPr>
          <w:szCs w:val="24"/>
        </w:rPr>
        <w:t>regulation; and</w:t>
      </w:r>
    </w:p>
    <w:p w:rsidR="007C52F6" w:rsidRPr="008574F9" w:rsidRDefault="007C52F6" w:rsidP="00DE6404">
      <w:pPr>
        <w:autoSpaceDE w:val="0"/>
        <w:autoSpaceDN w:val="0"/>
        <w:adjustRightInd w:val="0"/>
        <w:ind w:left="720" w:hanging="360"/>
        <w:rPr>
          <w:szCs w:val="24"/>
        </w:rPr>
      </w:pPr>
    </w:p>
    <w:p w:rsidR="007C52F6" w:rsidRPr="008574F9" w:rsidRDefault="00E86F33" w:rsidP="00DE6404">
      <w:pPr>
        <w:autoSpaceDE w:val="0"/>
        <w:autoSpaceDN w:val="0"/>
        <w:adjustRightInd w:val="0"/>
        <w:ind w:left="720" w:hanging="360"/>
        <w:rPr>
          <w:szCs w:val="24"/>
        </w:rPr>
      </w:pPr>
      <w:r>
        <w:rPr>
          <w:szCs w:val="24"/>
        </w:rPr>
        <w:t>●</w:t>
      </w:r>
      <w:r>
        <w:rPr>
          <w:szCs w:val="24"/>
        </w:rPr>
        <w:tab/>
      </w:r>
      <w:r w:rsidR="000C02E9" w:rsidRPr="008574F9">
        <w:rPr>
          <w:szCs w:val="24"/>
        </w:rPr>
        <w:t>Preparation of the stationary source portion of a report to Congress on SO</w:t>
      </w:r>
      <w:r w:rsidR="000C02E9" w:rsidRPr="00E975AC">
        <w:rPr>
          <w:szCs w:val="24"/>
          <w:vertAlign w:val="subscript"/>
        </w:rPr>
        <w:t>2</w:t>
      </w:r>
      <w:r w:rsidR="000C02E9" w:rsidRPr="008574F9">
        <w:rPr>
          <w:szCs w:val="24"/>
        </w:rPr>
        <w:t xml:space="preserve"> emissions</w:t>
      </w:r>
      <w:r w:rsidR="003972B1" w:rsidRPr="008574F9">
        <w:rPr>
          <w:szCs w:val="24"/>
        </w:rPr>
        <w:t xml:space="preserve">.  </w:t>
      </w:r>
      <w:r w:rsidR="000C02E9" w:rsidRPr="008574F9">
        <w:rPr>
          <w:szCs w:val="24"/>
        </w:rPr>
        <w:t xml:space="preserve">This report is required by Section 406 of the CAA and is due on a </w:t>
      </w:r>
      <w:r w:rsidR="0066040C">
        <w:rPr>
          <w:szCs w:val="24"/>
        </w:rPr>
        <w:t>five</w:t>
      </w:r>
      <w:r w:rsidR="00295B91">
        <w:rPr>
          <w:szCs w:val="24"/>
        </w:rPr>
        <w:t>-</w:t>
      </w:r>
      <w:r w:rsidR="000C02E9" w:rsidRPr="008574F9">
        <w:rPr>
          <w:szCs w:val="24"/>
        </w:rPr>
        <w:t>year cycle that</w:t>
      </w:r>
      <w:r w:rsidR="007C52F6" w:rsidRPr="008574F9">
        <w:rPr>
          <w:szCs w:val="24"/>
        </w:rPr>
        <w:t xml:space="preserve"> </w:t>
      </w:r>
      <w:r w:rsidR="000C02E9" w:rsidRPr="008574F9">
        <w:rPr>
          <w:szCs w:val="24"/>
        </w:rPr>
        <w:t>began on January 1, 1995</w:t>
      </w:r>
      <w:r w:rsidR="003972B1" w:rsidRPr="008574F9">
        <w:rPr>
          <w:szCs w:val="24"/>
        </w:rPr>
        <w:t xml:space="preserve">.  </w:t>
      </w:r>
      <w:r w:rsidR="000C02E9" w:rsidRPr="008574F9">
        <w:rPr>
          <w:szCs w:val="24"/>
        </w:rPr>
        <w:t>The report must contain an inventory of national annual SO</w:t>
      </w:r>
      <w:r w:rsidR="000C02E9" w:rsidRPr="00E975AC">
        <w:rPr>
          <w:szCs w:val="24"/>
          <w:vertAlign w:val="subscript"/>
        </w:rPr>
        <w:t>2</w:t>
      </w:r>
      <w:r w:rsidR="007C52F6" w:rsidRPr="008574F9">
        <w:rPr>
          <w:szCs w:val="24"/>
        </w:rPr>
        <w:t xml:space="preserve"> </w:t>
      </w:r>
      <w:r w:rsidR="000C02E9" w:rsidRPr="008574F9">
        <w:rPr>
          <w:szCs w:val="24"/>
        </w:rPr>
        <w:t>emissions from industrial sources (as defined in Title IV of the CAA).</w:t>
      </w:r>
      <w:r w:rsidR="007C52F6" w:rsidRPr="008574F9">
        <w:rPr>
          <w:szCs w:val="24"/>
        </w:rPr>
        <w:t xml:space="preserve"> </w:t>
      </w:r>
    </w:p>
    <w:p w:rsidR="007C52F6" w:rsidRPr="008574F9" w:rsidRDefault="007C52F6" w:rsidP="000C02E9">
      <w:pPr>
        <w:autoSpaceDE w:val="0"/>
        <w:autoSpaceDN w:val="0"/>
        <w:adjustRightInd w:val="0"/>
        <w:rPr>
          <w:szCs w:val="24"/>
        </w:rPr>
      </w:pPr>
    </w:p>
    <w:p w:rsidR="000C02E9" w:rsidRPr="008574F9" w:rsidRDefault="000C02E9" w:rsidP="007C52F6">
      <w:pPr>
        <w:autoSpaceDE w:val="0"/>
        <w:autoSpaceDN w:val="0"/>
        <w:adjustRightInd w:val="0"/>
        <w:ind w:firstLine="720"/>
        <w:rPr>
          <w:szCs w:val="24"/>
        </w:rPr>
      </w:pPr>
      <w:r w:rsidRPr="008574F9">
        <w:rPr>
          <w:szCs w:val="24"/>
        </w:rPr>
        <w:t>EPA</w:t>
      </w:r>
      <w:r w:rsidR="00033581">
        <w:rPr>
          <w:szCs w:val="24"/>
        </w:rPr>
        <w:t>'</w:t>
      </w:r>
      <w:r w:rsidRPr="008574F9">
        <w:rPr>
          <w:szCs w:val="24"/>
        </w:rPr>
        <w:t>s Office of Research and Development (ORD) uses emission source data in</w:t>
      </w:r>
      <w:r w:rsidR="007C52F6" w:rsidRPr="008574F9">
        <w:rPr>
          <w:szCs w:val="24"/>
        </w:rPr>
        <w:t xml:space="preserve"> </w:t>
      </w:r>
      <w:r w:rsidRPr="008574F9">
        <w:rPr>
          <w:szCs w:val="24"/>
        </w:rPr>
        <w:t>determining priorities for control technology research and as a key data component in the</w:t>
      </w:r>
      <w:r w:rsidR="007C52F6" w:rsidRPr="008574F9">
        <w:rPr>
          <w:szCs w:val="24"/>
        </w:rPr>
        <w:t xml:space="preserve"> </w:t>
      </w:r>
      <w:r w:rsidRPr="008574F9">
        <w:rPr>
          <w:szCs w:val="24"/>
        </w:rPr>
        <w:t>application of regional scale models</w:t>
      </w:r>
      <w:r w:rsidR="003972B1" w:rsidRPr="008574F9">
        <w:rPr>
          <w:szCs w:val="24"/>
        </w:rPr>
        <w:t xml:space="preserve">.  </w:t>
      </w:r>
      <w:r w:rsidRPr="008574F9">
        <w:rPr>
          <w:szCs w:val="24"/>
        </w:rPr>
        <w:t>The EPA</w:t>
      </w:r>
      <w:r w:rsidR="00033581">
        <w:rPr>
          <w:szCs w:val="24"/>
        </w:rPr>
        <w:t>'</w:t>
      </w:r>
      <w:r w:rsidRPr="008574F9">
        <w:rPr>
          <w:szCs w:val="24"/>
        </w:rPr>
        <w:t>s Regional Offices use emission and other source</w:t>
      </w:r>
      <w:r w:rsidR="007C52F6" w:rsidRPr="008574F9">
        <w:rPr>
          <w:szCs w:val="24"/>
        </w:rPr>
        <w:t xml:space="preserve"> </w:t>
      </w:r>
      <w:r w:rsidRPr="008574F9">
        <w:rPr>
          <w:szCs w:val="24"/>
        </w:rPr>
        <w:t>parameters to support source inspections and in the analyses of the impact of new or modified</w:t>
      </w:r>
      <w:r w:rsidR="007C52F6" w:rsidRPr="008574F9">
        <w:rPr>
          <w:szCs w:val="24"/>
        </w:rPr>
        <w:t xml:space="preserve"> </w:t>
      </w:r>
      <w:r w:rsidRPr="008574F9">
        <w:rPr>
          <w:szCs w:val="24"/>
        </w:rPr>
        <w:lastRenderedPageBreak/>
        <w:t>sources within an area</w:t>
      </w:r>
      <w:r w:rsidR="003972B1" w:rsidRPr="008574F9">
        <w:rPr>
          <w:szCs w:val="24"/>
        </w:rPr>
        <w:t xml:space="preserve">.  </w:t>
      </w:r>
      <w:r w:rsidRPr="008574F9">
        <w:rPr>
          <w:szCs w:val="24"/>
        </w:rPr>
        <w:t>EPA</w:t>
      </w:r>
      <w:r w:rsidR="00033581">
        <w:rPr>
          <w:szCs w:val="24"/>
        </w:rPr>
        <w:t>'</w:t>
      </w:r>
      <w:r w:rsidRPr="008574F9">
        <w:rPr>
          <w:szCs w:val="24"/>
        </w:rPr>
        <w:t>s Emission Factor and Inventory Group (EFIG) use</w:t>
      </w:r>
      <w:r w:rsidR="00295B91">
        <w:rPr>
          <w:szCs w:val="24"/>
        </w:rPr>
        <w:t>s</w:t>
      </w:r>
      <w:r w:rsidRPr="008574F9">
        <w:rPr>
          <w:szCs w:val="24"/>
        </w:rPr>
        <w:t xml:space="preserve"> the data to</w:t>
      </w:r>
      <w:r w:rsidR="007C52F6" w:rsidRPr="008574F9">
        <w:rPr>
          <w:szCs w:val="24"/>
        </w:rPr>
        <w:t xml:space="preserve"> </w:t>
      </w:r>
      <w:r w:rsidRPr="008574F9">
        <w:rPr>
          <w:szCs w:val="24"/>
        </w:rPr>
        <w:t>assess and analyze trends in criteria pollutant emissions over time.</w:t>
      </w:r>
    </w:p>
    <w:p w:rsidR="007C52F6" w:rsidRPr="008574F9" w:rsidRDefault="007C52F6" w:rsidP="000C02E9">
      <w:pPr>
        <w:autoSpaceDE w:val="0"/>
        <w:autoSpaceDN w:val="0"/>
        <w:adjustRightInd w:val="0"/>
        <w:rPr>
          <w:szCs w:val="24"/>
        </w:rPr>
      </w:pPr>
    </w:p>
    <w:p w:rsidR="000C02E9" w:rsidRPr="008574F9" w:rsidRDefault="000C02E9" w:rsidP="007C52F6">
      <w:pPr>
        <w:autoSpaceDE w:val="0"/>
        <w:autoSpaceDN w:val="0"/>
        <w:adjustRightInd w:val="0"/>
        <w:ind w:firstLine="720"/>
        <w:rPr>
          <w:szCs w:val="24"/>
        </w:rPr>
      </w:pPr>
      <w:r w:rsidRPr="008574F9">
        <w:rPr>
          <w:szCs w:val="24"/>
        </w:rPr>
        <w:t>In addition to supporting projects and initiatives inte</w:t>
      </w:r>
      <w:r w:rsidR="007C52F6" w:rsidRPr="008574F9">
        <w:rPr>
          <w:szCs w:val="24"/>
        </w:rPr>
        <w:t xml:space="preserve">rnal to EPA, </w:t>
      </w:r>
      <w:r w:rsidR="009E21BF">
        <w:rPr>
          <w:szCs w:val="24"/>
        </w:rPr>
        <w:t xml:space="preserve">both </w:t>
      </w:r>
      <w:r w:rsidR="00233689">
        <w:rPr>
          <w:szCs w:val="24"/>
        </w:rPr>
        <w:t xml:space="preserve">the </w:t>
      </w:r>
      <w:r w:rsidR="007C52F6" w:rsidRPr="008574F9">
        <w:rPr>
          <w:szCs w:val="24"/>
        </w:rPr>
        <w:t>O</w:t>
      </w:r>
      <w:r w:rsidR="00233689">
        <w:rPr>
          <w:szCs w:val="24"/>
        </w:rPr>
        <w:t xml:space="preserve">ffice of </w:t>
      </w:r>
      <w:r w:rsidR="007C52F6" w:rsidRPr="008574F9">
        <w:rPr>
          <w:szCs w:val="24"/>
        </w:rPr>
        <w:t>A</w:t>
      </w:r>
      <w:r w:rsidR="00233689">
        <w:rPr>
          <w:szCs w:val="24"/>
        </w:rPr>
        <w:t xml:space="preserve">ir </w:t>
      </w:r>
      <w:r w:rsidR="007C52F6" w:rsidRPr="008574F9">
        <w:rPr>
          <w:szCs w:val="24"/>
        </w:rPr>
        <w:t>Q</w:t>
      </w:r>
      <w:r w:rsidR="00233689">
        <w:rPr>
          <w:szCs w:val="24"/>
        </w:rPr>
        <w:t xml:space="preserve">uality </w:t>
      </w:r>
      <w:r w:rsidR="007C52F6" w:rsidRPr="008574F9">
        <w:rPr>
          <w:szCs w:val="24"/>
        </w:rPr>
        <w:t>P</w:t>
      </w:r>
      <w:r w:rsidR="00233689">
        <w:rPr>
          <w:szCs w:val="24"/>
        </w:rPr>
        <w:t xml:space="preserve">lanning </w:t>
      </w:r>
      <w:r w:rsidR="00295B91">
        <w:rPr>
          <w:szCs w:val="24"/>
        </w:rPr>
        <w:t xml:space="preserve">and </w:t>
      </w:r>
      <w:r w:rsidR="007C52F6" w:rsidRPr="008574F9">
        <w:rPr>
          <w:szCs w:val="24"/>
        </w:rPr>
        <w:t>S</w:t>
      </w:r>
      <w:r w:rsidR="00233689">
        <w:rPr>
          <w:szCs w:val="24"/>
        </w:rPr>
        <w:t>tandards (OAQPS)</w:t>
      </w:r>
      <w:r w:rsidR="007C52F6" w:rsidRPr="008574F9">
        <w:rPr>
          <w:szCs w:val="24"/>
        </w:rPr>
        <w:t xml:space="preserve"> and </w:t>
      </w:r>
      <w:r w:rsidRPr="008574F9">
        <w:rPr>
          <w:szCs w:val="24"/>
        </w:rPr>
        <w:t>the</w:t>
      </w:r>
      <w:r w:rsidR="007C52F6" w:rsidRPr="008574F9">
        <w:rPr>
          <w:szCs w:val="24"/>
        </w:rPr>
        <w:t xml:space="preserve"> </w:t>
      </w:r>
      <w:r w:rsidRPr="008574F9">
        <w:rPr>
          <w:szCs w:val="24"/>
        </w:rPr>
        <w:t>Regional Offices respond to numerous requests for reports on emission</w:t>
      </w:r>
      <w:r w:rsidR="00207C28">
        <w:rPr>
          <w:szCs w:val="24"/>
        </w:rPr>
        <w:t>s from</w:t>
      </w:r>
      <w:r w:rsidRPr="008574F9">
        <w:rPr>
          <w:szCs w:val="24"/>
        </w:rPr>
        <w:t xml:space="preserve"> sources</w:t>
      </w:r>
      <w:r w:rsidR="003972B1" w:rsidRPr="008574F9">
        <w:rPr>
          <w:szCs w:val="24"/>
        </w:rPr>
        <w:t xml:space="preserve">.  </w:t>
      </w:r>
      <w:r w:rsidRPr="008574F9">
        <w:rPr>
          <w:szCs w:val="24"/>
        </w:rPr>
        <w:t>Most requests come from contractors and</w:t>
      </w:r>
      <w:r w:rsidR="007C52F6" w:rsidRPr="008574F9">
        <w:rPr>
          <w:szCs w:val="24"/>
        </w:rPr>
        <w:t xml:space="preserve"> </w:t>
      </w:r>
      <w:r w:rsidRPr="008574F9">
        <w:rPr>
          <w:szCs w:val="24"/>
        </w:rPr>
        <w:t xml:space="preserve">consultants involved in special studies; a smaller number come </w:t>
      </w:r>
      <w:r w:rsidR="00207C28">
        <w:rPr>
          <w:szCs w:val="24"/>
        </w:rPr>
        <w:t xml:space="preserve">from the press, </w:t>
      </w:r>
      <w:r w:rsidR="007C52F6" w:rsidRPr="008574F9">
        <w:rPr>
          <w:szCs w:val="24"/>
        </w:rPr>
        <w:t>universities</w:t>
      </w:r>
      <w:r w:rsidR="00207C28">
        <w:rPr>
          <w:szCs w:val="24"/>
        </w:rPr>
        <w:t>,</w:t>
      </w:r>
      <w:r w:rsidR="007C52F6" w:rsidRPr="008574F9">
        <w:rPr>
          <w:szCs w:val="24"/>
        </w:rPr>
        <w:t xml:space="preserve"> </w:t>
      </w:r>
      <w:r w:rsidRPr="008574F9">
        <w:rPr>
          <w:szCs w:val="24"/>
        </w:rPr>
        <w:t>and</w:t>
      </w:r>
      <w:r w:rsidR="007C52F6" w:rsidRPr="008574F9">
        <w:rPr>
          <w:szCs w:val="24"/>
        </w:rPr>
        <w:t xml:space="preserve"> </w:t>
      </w:r>
      <w:r w:rsidRPr="008574F9">
        <w:rPr>
          <w:szCs w:val="24"/>
        </w:rPr>
        <w:t>others involved in research.</w:t>
      </w:r>
    </w:p>
    <w:p w:rsidR="007C52F6" w:rsidRPr="008574F9" w:rsidRDefault="007C52F6" w:rsidP="000C02E9">
      <w:pPr>
        <w:autoSpaceDE w:val="0"/>
        <w:autoSpaceDN w:val="0"/>
        <w:adjustRightInd w:val="0"/>
        <w:rPr>
          <w:szCs w:val="24"/>
        </w:rPr>
      </w:pPr>
    </w:p>
    <w:p w:rsidR="000C02E9" w:rsidRPr="008574F9" w:rsidRDefault="000C02E9" w:rsidP="00DE6404">
      <w:pPr>
        <w:autoSpaceDE w:val="0"/>
        <w:autoSpaceDN w:val="0"/>
        <w:adjustRightInd w:val="0"/>
        <w:ind w:firstLine="720"/>
        <w:rPr>
          <w:szCs w:val="24"/>
        </w:rPr>
      </w:pPr>
      <w:r w:rsidRPr="008574F9">
        <w:rPr>
          <w:szCs w:val="24"/>
        </w:rPr>
        <w:t>The collection of emissions data specific to nonattainment areas for certain criteria air</w:t>
      </w:r>
      <w:r w:rsidR="007C52F6" w:rsidRPr="008574F9">
        <w:rPr>
          <w:szCs w:val="24"/>
        </w:rPr>
        <w:t xml:space="preserve"> </w:t>
      </w:r>
      <w:r w:rsidRPr="008574F9">
        <w:rPr>
          <w:szCs w:val="24"/>
        </w:rPr>
        <w:t>pollutants is necessary to comply with requirements specified in Title I of the CAA</w:t>
      </w:r>
      <w:r w:rsidR="003972B1" w:rsidRPr="008574F9">
        <w:rPr>
          <w:szCs w:val="24"/>
        </w:rPr>
        <w:t xml:space="preserve">.  </w:t>
      </w:r>
      <w:r w:rsidRPr="008574F9">
        <w:rPr>
          <w:szCs w:val="24"/>
        </w:rPr>
        <w:t>States with</w:t>
      </w:r>
      <w:r w:rsidR="007C52F6" w:rsidRPr="008574F9">
        <w:rPr>
          <w:szCs w:val="24"/>
        </w:rPr>
        <w:t xml:space="preserve"> </w:t>
      </w:r>
      <w:r w:rsidRPr="008574F9">
        <w:rPr>
          <w:szCs w:val="24"/>
        </w:rPr>
        <w:t xml:space="preserve">nonattainment areas rely on current </w:t>
      </w:r>
      <w:r w:rsidR="008906DA">
        <w:rPr>
          <w:szCs w:val="24"/>
        </w:rPr>
        <w:t xml:space="preserve">emissions </w:t>
      </w:r>
      <w:r w:rsidRPr="008574F9">
        <w:rPr>
          <w:szCs w:val="24"/>
        </w:rPr>
        <w:t>informati</w:t>
      </w:r>
      <w:r w:rsidR="008906DA">
        <w:rPr>
          <w:szCs w:val="24"/>
        </w:rPr>
        <w:t>on from</w:t>
      </w:r>
      <w:r w:rsidRPr="008574F9">
        <w:rPr>
          <w:szCs w:val="24"/>
        </w:rPr>
        <w:t xml:space="preserve"> point, nonpoint, and mobile sources to revise</w:t>
      </w:r>
      <w:r w:rsidR="007C52F6" w:rsidRPr="008574F9">
        <w:rPr>
          <w:szCs w:val="24"/>
        </w:rPr>
        <w:t xml:space="preserve"> </w:t>
      </w:r>
      <w:r w:rsidRPr="008574F9">
        <w:rPr>
          <w:szCs w:val="24"/>
        </w:rPr>
        <w:t>their SIPs and to plan for emission reductions mandated by the CAA</w:t>
      </w:r>
      <w:r w:rsidR="003972B1" w:rsidRPr="008574F9">
        <w:rPr>
          <w:szCs w:val="24"/>
        </w:rPr>
        <w:t xml:space="preserve">.  </w:t>
      </w:r>
      <w:r w:rsidRPr="008574F9">
        <w:rPr>
          <w:szCs w:val="24"/>
        </w:rPr>
        <w:t xml:space="preserve">In addition, a </w:t>
      </w:r>
      <w:r w:rsidR="00803A13">
        <w:rPr>
          <w:szCs w:val="24"/>
        </w:rPr>
        <w:t>s</w:t>
      </w:r>
      <w:r w:rsidRPr="008574F9">
        <w:rPr>
          <w:szCs w:val="24"/>
        </w:rPr>
        <w:t>tate</w:t>
      </w:r>
      <w:r w:rsidR="009D2B68">
        <w:rPr>
          <w:szCs w:val="24"/>
        </w:rPr>
        <w:t>-</w:t>
      </w:r>
      <w:r w:rsidRPr="008574F9">
        <w:rPr>
          <w:szCs w:val="24"/>
        </w:rPr>
        <w:t>wide</w:t>
      </w:r>
      <w:r w:rsidR="007C52F6" w:rsidRPr="008574F9">
        <w:rPr>
          <w:szCs w:val="24"/>
        </w:rPr>
        <w:t xml:space="preserve"> </w:t>
      </w:r>
      <w:r w:rsidRPr="008574F9">
        <w:rPr>
          <w:szCs w:val="24"/>
        </w:rPr>
        <w:t xml:space="preserve">inventory compiled at least every </w:t>
      </w:r>
      <w:r w:rsidR="0066040C">
        <w:rPr>
          <w:szCs w:val="24"/>
        </w:rPr>
        <w:t>three</w:t>
      </w:r>
      <w:r w:rsidRPr="008574F9">
        <w:rPr>
          <w:szCs w:val="24"/>
        </w:rPr>
        <w:t xml:space="preserve"> years for all point, </w:t>
      </w:r>
      <w:r w:rsidR="007C52F6" w:rsidRPr="008574F9">
        <w:rPr>
          <w:szCs w:val="24"/>
        </w:rPr>
        <w:t xml:space="preserve">nonpoint, and mobile sources is </w:t>
      </w:r>
      <w:r w:rsidRPr="008574F9">
        <w:rPr>
          <w:szCs w:val="24"/>
        </w:rPr>
        <w:t>considered</w:t>
      </w:r>
      <w:r w:rsidR="007C52F6" w:rsidRPr="008574F9">
        <w:rPr>
          <w:szCs w:val="24"/>
        </w:rPr>
        <w:t xml:space="preserve"> </w:t>
      </w:r>
      <w:r w:rsidR="00803A13">
        <w:rPr>
          <w:szCs w:val="24"/>
        </w:rPr>
        <w:t>to be a key tool to assist s</w:t>
      </w:r>
      <w:r w:rsidRPr="008574F9">
        <w:rPr>
          <w:szCs w:val="24"/>
        </w:rPr>
        <w:t>tates in meeting CAA requirements that address emissions tracking,</w:t>
      </w:r>
      <w:r w:rsidR="007C52F6" w:rsidRPr="008574F9">
        <w:rPr>
          <w:szCs w:val="24"/>
        </w:rPr>
        <w:t xml:space="preserve"> </w:t>
      </w:r>
      <w:r w:rsidRPr="008574F9">
        <w:rPr>
          <w:szCs w:val="24"/>
        </w:rPr>
        <w:t>compliance issues, and mid-course adjustments</w:t>
      </w:r>
      <w:r w:rsidR="003972B1" w:rsidRPr="008574F9">
        <w:rPr>
          <w:szCs w:val="24"/>
        </w:rPr>
        <w:t xml:space="preserve">.  </w:t>
      </w:r>
      <w:r w:rsidRPr="008574F9">
        <w:rPr>
          <w:szCs w:val="24"/>
        </w:rPr>
        <w:t>State</w:t>
      </w:r>
      <w:r w:rsidR="009D2B68">
        <w:rPr>
          <w:szCs w:val="24"/>
        </w:rPr>
        <w:t>-</w:t>
      </w:r>
      <w:r w:rsidRPr="008574F9">
        <w:rPr>
          <w:szCs w:val="24"/>
        </w:rPr>
        <w:t>wide emission inventories can be used by</w:t>
      </w:r>
      <w:r w:rsidR="007C52F6" w:rsidRPr="008574F9">
        <w:rPr>
          <w:szCs w:val="24"/>
        </w:rPr>
        <w:t xml:space="preserve"> </w:t>
      </w:r>
      <w:r w:rsidR="00803A13">
        <w:rPr>
          <w:szCs w:val="24"/>
        </w:rPr>
        <w:t>s</w:t>
      </w:r>
      <w:r w:rsidRPr="008574F9">
        <w:rPr>
          <w:szCs w:val="24"/>
        </w:rPr>
        <w:t>tates affected by pollution transport from upwind areas to develop more efficient control</w:t>
      </w:r>
      <w:r w:rsidR="007C52F6" w:rsidRPr="008574F9">
        <w:rPr>
          <w:szCs w:val="24"/>
        </w:rPr>
        <w:t xml:space="preserve"> </w:t>
      </w:r>
      <w:r w:rsidR="008906DA">
        <w:rPr>
          <w:szCs w:val="24"/>
        </w:rPr>
        <w:t xml:space="preserve">strategies to meet </w:t>
      </w:r>
      <w:r w:rsidRPr="008574F9">
        <w:rPr>
          <w:szCs w:val="24"/>
        </w:rPr>
        <w:t>NAAQS</w:t>
      </w:r>
      <w:r w:rsidR="003972B1" w:rsidRPr="008574F9">
        <w:rPr>
          <w:szCs w:val="24"/>
        </w:rPr>
        <w:t xml:space="preserve">.  </w:t>
      </w:r>
      <w:r w:rsidRPr="008574F9">
        <w:rPr>
          <w:szCs w:val="24"/>
        </w:rPr>
        <w:t>State</w:t>
      </w:r>
      <w:r w:rsidR="009D2B68">
        <w:rPr>
          <w:szCs w:val="24"/>
        </w:rPr>
        <w:t>-</w:t>
      </w:r>
      <w:r w:rsidRPr="008574F9">
        <w:rPr>
          <w:szCs w:val="24"/>
        </w:rPr>
        <w:t>wide emission inventories that were developed by EPA (the</w:t>
      </w:r>
      <w:r w:rsidR="007C52F6" w:rsidRPr="008574F9">
        <w:rPr>
          <w:szCs w:val="24"/>
        </w:rPr>
        <w:t xml:space="preserve"> </w:t>
      </w:r>
      <w:r w:rsidRPr="008574F9">
        <w:rPr>
          <w:szCs w:val="24"/>
        </w:rPr>
        <w:t>N</w:t>
      </w:r>
      <w:r w:rsidR="008906DA">
        <w:rPr>
          <w:szCs w:val="24"/>
        </w:rPr>
        <w:t xml:space="preserve">ational </w:t>
      </w:r>
      <w:r w:rsidRPr="008574F9">
        <w:rPr>
          <w:szCs w:val="24"/>
        </w:rPr>
        <w:t>E</w:t>
      </w:r>
      <w:r w:rsidR="008906DA">
        <w:rPr>
          <w:szCs w:val="24"/>
        </w:rPr>
        <w:t xml:space="preserve">missions </w:t>
      </w:r>
      <w:r w:rsidRPr="008574F9">
        <w:rPr>
          <w:szCs w:val="24"/>
        </w:rPr>
        <w:t>I</w:t>
      </w:r>
      <w:r w:rsidR="008906DA">
        <w:rPr>
          <w:szCs w:val="24"/>
        </w:rPr>
        <w:t>nventory, or NEI</w:t>
      </w:r>
      <w:r w:rsidRPr="008574F9">
        <w:rPr>
          <w:szCs w:val="24"/>
        </w:rPr>
        <w:t>) are being used by the Regional Planning Organizations (RPOs) as the starting point for the</w:t>
      </w:r>
      <w:r w:rsidR="007C52F6" w:rsidRPr="008574F9">
        <w:rPr>
          <w:szCs w:val="24"/>
        </w:rPr>
        <w:t xml:space="preserve"> </w:t>
      </w:r>
      <w:r w:rsidRPr="008574F9">
        <w:rPr>
          <w:szCs w:val="24"/>
        </w:rPr>
        <w:t xml:space="preserve">development of </w:t>
      </w:r>
      <w:r w:rsidR="00803A13">
        <w:rPr>
          <w:szCs w:val="24"/>
        </w:rPr>
        <w:t>s</w:t>
      </w:r>
      <w:r w:rsidRPr="008574F9">
        <w:rPr>
          <w:szCs w:val="24"/>
        </w:rPr>
        <w:t>tate</w:t>
      </w:r>
      <w:r w:rsidR="009D2B68">
        <w:rPr>
          <w:szCs w:val="24"/>
        </w:rPr>
        <w:t>-</w:t>
      </w:r>
      <w:r w:rsidRPr="008574F9">
        <w:rPr>
          <w:szCs w:val="24"/>
        </w:rPr>
        <w:t>wide emission inventories used in the regional haze program to define control</w:t>
      </w:r>
      <w:r w:rsidR="007C52F6" w:rsidRPr="008574F9">
        <w:rPr>
          <w:szCs w:val="24"/>
        </w:rPr>
        <w:t xml:space="preserve"> </w:t>
      </w:r>
      <w:r w:rsidRPr="008574F9">
        <w:rPr>
          <w:szCs w:val="24"/>
        </w:rPr>
        <w:t>strategies.</w:t>
      </w:r>
    </w:p>
    <w:p w:rsidR="00D314FB" w:rsidRPr="008574F9" w:rsidRDefault="00D314FB" w:rsidP="000C02E9">
      <w:pPr>
        <w:autoSpaceDE w:val="0"/>
        <w:autoSpaceDN w:val="0"/>
        <w:adjustRightInd w:val="0"/>
        <w:rPr>
          <w:b/>
          <w:bCs/>
          <w:szCs w:val="24"/>
        </w:rPr>
      </w:pPr>
    </w:p>
    <w:p w:rsidR="000C02E9" w:rsidRPr="008574F9" w:rsidRDefault="00B23B41" w:rsidP="00DE6404">
      <w:pPr>
        <w:autoSpaceDE w:val="0"/>
        <w:autoSpaceDN w:val="0"/>
        <w:adjustRightInd w:val="0"/>
        <w:ind w:firstLine="720"/>
        <w:rPr>
          <w:szCs w:val="24"/>
        </w:rPr>
      </w:pPr>
      <w:r>
        <w:rPr>
          <w:szCs w:val="24"/>
        </w:rPr>
        <w:t>Accurate d</w:t>
      </w:r>
      <w:r w:rsidR="000C02E9" w:rsidRPr="008574F9">
        <w:rPr>
          <w:szCs w:val="24"/>
        </w:rPr>
        <w:t xml:space="preserve">ata from emissions monitoring </w:t>
      </w:r>
      <w:r>
        <w:rPr>
          <w:szCs w:val="24"/>
        </w:rPr>
        <w:t xml:space="preserve">under 40 CFR part 75 </w:t>
      </w:r>
      <w:r w:rsidR="000C02E9" w:rsidRPr="008574F9">
        <w:rPr>
          <w:szCs w:val="24"/>
        </w:rPr>
        <w:t>is indispensable to successful implementation of the trading</w:t>
      </w:r>
      <w:r w:rsidR="00DE6404" w:rsidRPr="008574F9">
        <w:rPr>
          <w:szCs w:val="24"/>
        </w:rPr>
        <w:t xml:space="preserve"> </w:t>
      </w:r>
      <w:r w:rsidR="000C02E9" w:rsidRPr="008574F9">
        <w:rPr>
          <w:szCs w:val="24"/>
        </w:rPr>
        <w:t>programs for two reasons:</w:t>
      </w:r>
    </w:p>
    <w:p w:rsidR="00DE6404" w:rsidRPr="008574F9" w:rsidRDefault="00DE6404" w:rsidP="00DE6404">
      <w:pPr>
        <w:autoSpaceDE w:val="0"/>
        <w:autoSpaceDN w:val="0"/>
        <w:adjustRightInd w:val="0"/>
        <w:rPr>
          <w:szCs w:val="24"/>
        </w:rPr>
      </w:pPr>
    </w:p>
    <w:p w:rsidR="000C02E9" w:rsidRPr="008574F9" w:rsidRDefault="00E86F33" w:rsidP="00DE6404">
      <w:pPr>
        <w:autoSpaceDE w:val="0"/>
        <w:autoSpaceDN w:val="0"/>
        <w:adjustRightInd w:val="0"/>
        <w:ind w:left="720" w:hanging="360"/>
        <w:rPr>
          <w:szCs w:val="24"/>
        </w:rPr>
      </w:pPr>
      <w:r>
        <w:rPr>
          <w:szCs w:val="24"/>
        </w:rPr>
        <w:t>●</w:t>
      </w:r>
      <w:r>
        <w:rPr>
          <w:szCs w:val="24"/>
        </w:rPr>
        <w:tab/>
      </w:r>
      <w:r w:rsidR="00B23B41">
        <w:rPr>
          <w:szCs w:val="24"/>
        </w:rPr>
        <w:t xml:space="preserve">Accurate emissions data is integral in EPA and state assessment of the impact of the trading programs </w:t>
      </w:r>
      <w:r w:rsidR="00D76EA7">
        <w:rPr>
          <w:szCs w:val="24"/>
        </w:rPr>
        <w:t>in reducing NO</w:t>
      </w:r>
      <w:r w:rsidR="00D76EA7" w:rsidRPr="00D76EA7">
        <w:rPr>
          <w:szCs w:val="24"/>
          <w:vertAlign w:val="subscript"/>
        </w:rPr>
        <w:t>X</w:t>
      </w:r>
      <w:r w:rsidR="00D76EA7">
        <w:rPr>
          <w:szCs w:val="24"/>
        </w:rPr>
        <w:t xml:space="preserve"> and SO</w:t>
      </w:r>
      <w:r w:rsidR="00D76EA7" w:rsidRPr="00D76EA7">
        <w:rPr>
          <w:szCs w:val="24"/>
          <w:vertAlign w:val="subscript"/>
        </w:rPr>
        <w:t>2</w:t>
      </w:r>
      <w:r w:rsidR="00D76EA7">
        <w:rPr>
          <w:szCs w:val="24"/>
        </w:rPr>
        <w:t xml:space="preserve"> emissions, and therefore </w:t>
      </w:r>
      <w:r w:rsidR="00B23B41">
        <w:rPr>
          <w:szCs w:val="24"/>
        </w:rPr>
        <w:t xml:space="preserve">in </w:t>
      </w:r>
      <w:r w:rsidR="00803A13">
        <w:rPr>
          <w:szCs w:val="24"/>
        </w:rPr>
        <w:t>assist</w:t>
      </w:r>
      <w:r w:rsidR="00B23B41">
        <w:rPr>
          <w:szCs w:val="24"/>
        </w:rPr>
        <w:t>ing</w:t>
      </w:r>
      <w:r w:rsidR="00803A13">
        <w:rPr>
          <w:szCs w:val="24"/>
        </w:rPr>
        <w:t xml:space="preserve"> s</w:t>
      </w:r>
      <w:r w:rsidR="00B23B41">
        <w:rPr>
          <w:szCs w:val="24"/>
        </w:rPr>
        <w:t xml:space="preserve">tates in meeting </w:t>
      </w:r>
      <w:r w:rsidR="000C02E9" w:rsidRPr="008574F9">
        <w:rPr>
          <w:szCs w:val="24"/>
        </w:rPr>
        <w:t>the</w:t>
      </w:r>
      <w:r w:rsidR="00DE6404" w:rsidRPr="008574F9">
        <w:rPr>
          <w:szCs w:val="24"/>
        </w:rPr>
        <w:t xml:space="preserve"> </w:t>
      </w:r>
      <w:r w:rsidR="000C02E9" w:rsidRPr="008574F9">
        <w:rPr>
          <w:szCs w:val="24"/>
        </w:rPr>
        <w:t xml:space="preserve">ozone and </w:t>
      </w:r>
      <w:r w:rsidR="00B23B41">
        <w:rPr>
          <w:szCs w:val="24"/>
        </w:rPr>
        <w:t>fine particulate matter NAAQS.   By reducing levels of NO</w:t>
      </w:r>
      <w:r w:rsidR="00B23B41" w:rsidRPr="00D76EA7">
        <w:rPr>
          <w:szCs w:val="24"/>
          <w:vertAlign w:val="subscript"/>
        </w:rPr>
        <w:t>X</w:t>
      </w:r>
      <w:r w:rsidR="00B23B41">
        <w:rPr>
          <w:szCs w:val="24"/>
        </w:rPr>
        <w:t xml:space="preserve"> and SO</w:t>
      </w:r>
      <w:r w:rsidR="00B23B41" w:rsidRPr="00D76EA7">
        <w:rPr>
          <w:szCs w:val="24"/>
          <w:vertAlign w:val="subscript"/>
        </w:rPr>
        <w:t>2</w:t>
      </w:r>
      <w:r w:rsidR="00B23B41">
        <w:rPr>
          <w:szCs w:val="24"/>
        </w:rPr>
        <w:t xml:space="preserve"> emissions, the trading programs reduce</w:t>
      </w:r>
      <w:r w:rsidR="000C02E9" w:rsidRPr="008574F9">
        <w:rPr>
          <w:szCs w:val="24"/>
        </w:rPr>
        <w:t xml:space="preserve"> the adverse effects of the transport of ozone, ozone precursors</w:t>
      </w:r>
      <w:r w:rsidR="00A71F4F">
        <w:rPr>
          <w:szCs w:val="24"/>
        </w:rPr>
        <w:t>,</w:t>
      </w:r>
      <w:r w:rsidR="000C02E9" w:rsidRPr="008574F9">
        <w:rPr>
          <w:szCs w:val="24"/>
        </w:rPr>
        <w:t xml:space="preserve"> and fine</w:t>
      </w:r>
      <w:r w:rsidR="00DE6404" w:rsidRPr="008574F9">
        <w:rPr>
          <w:szCs w:val="24"/>
        </w:rPr>
        <w:t xml:space="preserve"> </w:t>
      </w:r>
      <w:r w:rsidR="00803A13">
        <w:rPr>
          <w:szCs w:val="24"/>
        </w:rPr>
        <w:t>particles from upwind s</w:t>
      </w:r>
      <w:r w:rsidR="000C02E9" w:rsidRPr="008574F9">
        <w:rPr>
          <w:szCs w:val="24"/>
        </w:rPr>
        <w:t>tates</w:t>
      </w:r>
      <w:r w:rsidR="00B23B41">
        <w:rPr>
          <w:szCs w:val="24"/>
        </w:rPr>
        <w:t>.</w:t>
      </w:r>
    </w:p>
    <w:p w:rsidR="00DE6404" w:rsidRPr="008574F9" w:rsidRDefault="00DE6404" w:rsidP="00DE6404">
      <w:pPr>
        <w:autoSpaceDE w:val="0"/>
        <w:autoSpaceDN w:val="0"/>
        <w:adjustRightInd w:val="0"/>
        <w:ind w:left="720" w:hanging="360"/>
        <w:rPr>
          <w:szCs w:val="24"/>
        </w:rPr>
      </w:pPr>
    </w:p>
    <w:p w:rsidR="00DE6404" w:rsidRPr="008574F9" w:rsidRDefault="00E86F33" w:rsidP="00DE6404">
      <w:pPr>
        <w:autoSpaceDE w:val="0"/>
        <w:autoSpaceDN w:val="0"/>
        <w:adjustRightInd w:val="0"/>
        <w:ind w:left="720" w:hanging="360"/>
        <w:rPr>
          <w:szCs w:val="24"/>
        </w:rPr>
      </w:pPr>
      <w:r>
        <w:rPr>
          <w:szCs w:val="24"/>
        </w:rPr>
        <w:t>●</w:t>
      </w:r>
      <w:r>
        <w:rPr>
          <w:szCs w:val="24"/>
        </w:rPr>
        <w:tab/>
      </w:r>
      <w:r w:rsidR="000C02E9" w:rsidRPr="008574F9">
        <w:rPr>
          <w:szCs w:val="24"/>
        </w:rPr>
        <w:t>EPA enforce</w:t>
      </w:r>
      <w:r w:rsidR="00390759">
        <w:rPr>
          <w:szCs w:val="24"/>
        </w:rPr>
        <w:t>s</w:t>
      </w:r>
      <w:r w:rsidR="000C02E9" w:rsidRPr="008574F9">
        <w:rPr>
          <w:szCs w:val="24"/>
        </w:rPr>
        <w:t xml:space="preserve"> the program </w:t>
      </w:r>
      <w:r w:rsidR="00390759">
        <w:rPr>
          <w:szCs w:val="24"/>
        </w:rPr>
        <w:t xml:space="preserve">(in part) </w:t>
      </w:r>
      <w:r w:rsidR="00B23B41">
        <w:rPr>
          <w:szCs w:val="24"/>
        </w:rPr>
        <w:t xml:space="preserve">by comparing </w:t>
      </w:r>
      <w:r w:rsidR="000C02E9" w:rsidRPr="008574F9">
        <w:rPr>
          <w:szCs w:val="24"/>
        </w:rPr>
        <w:t>emissions data</w:t>
      </w:r>
      <w:r w:rsidR="00DE6404" w:rsidRPr="008574F9">
        <w:rPr>
          <w:szCs w:val="24"/>
        </w:rPr>
        <w:t xml:space="preserve"> </w:t>
      </w:r>
      <w:r w:rsidR="00D76EA7">
        <w:rPr>
          <w:szCs w:val="24"/>
        </w:rPr>
        <w:t xml:space="preserve">measured, recorded, and reported under 40 CFR part 75 </w:t>
      </w:r>
      <w:r w:rsidR="00B23B41">
        <w:rPr>
          <w:szCs w:val="24"/>
        </w:rPr>
        <w:t xml:space="preserve">from affected sources with </w:t>
      </w:r>
      <w:r w:rsidR="000C02E9" w:rsidRPr="008574F9">
        <w:rPr>
          <w:szCs w:val="24"/>
        </w:rPr>
        <w:t>the number of allowances held</w:t>
      </w:r>
      <w:r w:rsidR="00B23B41">
        <w:rPr>
          <w:szCs w:val="24"/>
        </w:rPr>
        <w:t xml:space="preserve"> in the respective compliance accounts of such affected sources</w:t>
      </w:r>
      <w:r w:rsidR="000C02E9" w:rsidRPr="008574F9">
        <w:rPr>
          <w:szCs w:val="24"/>
        </w:rPr>
        <w:t>.</w:t>
      </w:r>
    </w:p>
    <w:p w:rsidR="00DE6404" w:rsidRPr="008574F9" w:rsidRDefault="00DE6404" w:rsidP="00DE6404">
      <w:pPr>
        <w:autoSpaceDE w:val="0"/>
        <w:autoSpaceDN w:val="0"/>
        <w:adjustRightInd w:val="0"/>
        <w:rPr>
          <w:szCs w:val="24"/>
        </w:rPr>
      </w:pPr>
    </w:p>
    <w:p w:rsidR="00DE6404" w:rsidRPr="008574F9" w:rsidRDefault="000C02E9" w:rsidP="00DE6404">
      <w:pPr>
        <w:autoSpaceDE w:val="0"/>
        <w:autoSpaceDN w:val="0"/>
        <w:adjustRightInd w:val="0"/>
        <w:ind w:firstLine="720"/>
        <w:rPr>
          <w:szCs w:val="24"/>
        </w:rPr>
      </w:pPr>
      <w:r w:rsidRPr="008574F9">
        <w:rPr>
          <w:szCs w:val="24"/>
        </w:rPr>
        <w:t xml:space="preserve">Information collected on allowance transfers </w:t>
      </w:r>
      <w:r w:rsidR="00147A57">
        <w:rPr>
          <w:szCs w:val="24"/>
        </w:rPr>
        <w:t xml:space="preserve">in the CAMD Business System (CBS) </w:t>
      </w:r>
      <w:r w:rsidRPr="008574F9">
        <w:rPr>
          <w:szCs w:val="24"/>
        </w:rPr>
        <w:t>is used by EPA to track</w:t>
      </w:r>
      <w:r w:rsidR="00DE6404" w:rsidRPr="008574F9">
        <w:rPr>
          <w:szCs w:val="24"/>
        </w:rPr>
        <w:t xml:space="preserve"> </w:t>
      </w:r>
      <w:r w:rsidRPr="008574F9">
        <w:rPr>
          <w:szCs w:val="24"/>
        </w:rPr>
        <w:t xml:space="preserve">allowances for the purpose of determining compliance with the </w:t>
      </w:r>
      <w:r w:rsidR="007B40DE" w:rsidRPr="007B40DE">
        <w:rPr>
          <w:szCs w:val="24"/>
        </w:rPr>
        <w:t>NO</w:t>
      </w:r>
      <w:r w:rsidR="002B09EE">
        <w:rPr>
          <w:szCs w:val="24"/>
          <w:vertAlign w:val="subscript"/>
        </w:rPr>
        <w:t>X</w:t>
      </w:r>
      <w:r w:rsidRPr="008574F9">
        <w:rPr>
          <w:szCs w:val="24"/>
        </w:rPr>
        <w:t xml:space="preserve"> and SO</w:t>
      </w:r>
      <w:r w:rsidRPr="00E975AC">
        <w:rPr>
          <w:szCs w:val="24"/>
          <w:vertAlign w:val="subscript"/>
        </w:rPr>
        <w:t>2</w:t>
      </w:r>
      <w:r w:rsidRPr="008574F9">
        <w:rPr>
          <w:szCs w:val="24"/>
        </w:rPr>
        <w:t xml:space="preserve"> </w:t>
      </w:r>
      <w:r w:rsidR="009E21BF">
        <w:rPr>
          <w:szCs w:val="24"/>
        </w:rPr>
        <w:t>t</w:t>
      </w:r>
      <w:r w:rsidRPr="008574F9">
        <w:rPr>
          <w:szCs w:val="24"/>
        </w:rPr>
        <w:t xml:space="preserve">rading </w:t>
      </w:r>
      <w:r w:rsidR="009E21BF">
        <w:rPr>
          <w:szCs w:val="24"/>
        </w:rPr>
        <w:t>p</w:t>
      </w:r>
      <w:r w:rsidRPr="008574F9">
        <w:rPr>
          <w:szCs w:val="24"/>
        </w:rPr>
        <w:t>rograms</w:t>
      </w:r>
      <w:r w:rsidR="003972B1" w:rsidRPr="008574F9">
        <w:rPr>
          <w:szCs w:val="24"/>
        </w:rPr>
        <w:t xml:space="preserve">.  </w:t>
      </w:r>
      <w:r w:rsidRPr="008574F9">
        <w:rPr>
          <w:szCs w:val="24"/>
        </w:rPr>
        <w:t>Information on allowance transfers is also used by participants in the allowance market and the</w:t>
      </w:r>
      <w:r w:rsidR="00DE6404" w:rsidRPr="008574F9">
        <w:rPr>
          <w:szCs w:val="24"/>
        </w:rPr>
        <w:t xml:space="preserve"> </w:t>
      </w:r>
      <w:r w:rsidRPr="008574F9">
        <w:rPr>
          <w:szCs w:val="24"/>
        </w:rPr>
        <w:t>public to evaluate the activities of affected sources, and by EPA for program evaluation.</w:t>
      </w:r>
      <w:r w:rsidR="00DE6404" w:rsidRPr="008574F9">
        <w:rPr>
          <w:szCs w:val="24"/>
        </w:rPr>
        <w:t xml:space="preserve"> </w:t>
      </w:r>
    </w:p>
    <w:p w:rsidR="00DE6404" w:rsidRPr="008574F9" w:rsidRDefault="00DE6404" w:rsidP="000C02E9">
      <w:pPr>
        <w:autoSpaceDE w:val="0"/>
        <w:autoSpaceDN w:val="0"/>
        <w:adjustRightInd w:val="0"/>
        <w:rPr>
          <w:szCs w:val="24"/>
        </w:rPr>
      </w:pPr>
    </w:p>
    <w:p w:rsidR="00147A57" w:rsidRPr="008574F9" w:rsidRDefault="00147A57" w:rsidP="00147A57">
      <w:pPr>
        <w:autoSpaceDE w:val="0"/>
        <w:autoSpaceDN w:val="0"/>
        <w:adjustRightInd w:val="0"/>
        <w:ind w:firstLine="720"/>
        <w:rPr>
          <w:szCs w:val="24"/>
        </w:rPr>
      </w:pPr>
      <w:r w:rsidRPr="008574F9">
        <w:rPr>
          <w:szCs w:val="24"/>
        </w:rPr>
        <w:t>Permit applications, including pr</w:t>
      </w:r>
      <w:r>
        <w:rPr>
          <w:szCs w:val="24"/>
        </w:rPr>
        <w:t>oposed compliance plans, are</w:t>
      </w:r>
      <w:r w:rsidRPr="008574F9">
        <w:rPr>
          <w:szCs w:val="24"/>
        </w:rPr>
        <w:t xml:space="preserve"> us</w:t>
      </w:r>
      <w:r>
        <w:rPr>
          <w:szCs w:val="24"/>
        </w:rPr>
        <w:t>ed by s</w:t>
      </w:r>
      <w:r w:rsidRPr="008574F9">
        <w:rPr>
          <w:szCs w:val="24"/>
        </w:rPr>
        <w:t xml:space="preserve">tates and EPA to issue operating permits.  A permit application is legally binding on the owners, operators, and designated representative of a source until the permit is issued.  </w:t>
      </w:r>
      <w:r>
        <w:rPr>
          <w:szCs w:val="24"/>
        </w:rPr>
        <w:t xml:space="preserve">Affected sources </w:t>
      </w:r>
      <w:r w:rsidRPr="008574F9">
        <w:rPr>
          <w:szCs w:val="24"/>
        </w:rPr>
        <w:t xml:space="preserve">rely </w:t>
      </w:r>
      <w:r>
        <w:rPr>
          <w:szCs w:val="24"/>
        </w:rPr>
        <w:t>on the permit for information regarding</w:t>
      </w:r>
      <w:r w:rsidRPr="008574F9">
        <w:rPr>
          <w:szCs w:val="24"/>
        </w:rPr>
        <w:t xml:space="preserve"> the </w:t>
      </w:r>
      <w:r>
        <w:rPr>
          <w:szCs w:val="24"/>
        </w:rPr>
        <w:t xml:space="preserve">applicable </w:t>
      </w:r>
      <w:r w:rsidRPr="008574F9">
        <w:rPr>
          <w:szCs w:val="24"/>
        </w:rPr>
        <w:t xml:space="preserve">requirements with which they must comply.  </w:t>
      </w:r>
      <w:r w:rsidRPr="008574F9">
        <w:rPr>
          <w:szCs w:val="24"/>
        </w:rPr>
        <w:lastRenderedPageBreak/>
        <w:t>Because permit applications and permits are public documents, they may be used by the public to examine activities undertaken by affected sources.</w:t>
      </w:r>
    </w:p>
    <w:p w:rsidR="00147A57" w:rsidRPr="008574F9" w:rsidRDefault="00147A57" w:rsidP="00147A57">
      <w:pPr>
        <w:autoSpaceDE w:val="0"/>
        <w:autoSpaceDN w:val="0"/>
        <w:adjustRightInd w:val="0"/>
        <w:rPr>
          <w:szCs w:val="24"/>
        </w:rPr>
      </w:pPr>
    </w:p>
    <w:p w:rsidR="000C02E9" w:rsidRPr="008574F9" w:rsidRDefault="000C02E9" w:rsidP="00DE6404">
      <w:pPr>
        <w:autoSpaceDE w:val="0"/>
        <w:autoSpaceDN w:val="0"/>
        <w:adjustRightInd w:val="0"/>
        <w:ind w:firstLine="720"/>
        <w:rPr>
          <w:szCs w:val="24"/>
        </w:rPr>
      </w:pPr>
      <w:r w:rsidRPr="008574F9">
        <w:rPr>
          <w:szCs w:val="24"/>
        </w:rPr>
        <w:t>Toge</w:t>
      </w:r>
      <w:r w:rsidR="001B0F74">
        <w:rPr>
          <w:szCs w:val="24"/>
        </w:rPr>
        <w:t xml:space="preserve">ther, the </w:t>
      </w:r>
      <w:r w:rsidR="00147A57">
        <w:rPr>
          <w:szCs w:val="24"/>
        </w:rPr>
        <w:t xml:space="preserve">emissions data, </w:t>
      </w:r>
      <w:r w:rsidR="00020898">
        <w:rPr>
          <w:szCs w:val="24"/>
        </w:rPr>
        <w:t>CBS</w:t>
      </w:r>
      <w:r w:rsidRPr="008574F9">
        <w:rPr>
          <w:szCs w:val="24"/>
        </w:rPr>
        <w:t xml:space="preserve">, </w:t>
      </w:r>
      <w:r w:rsidR="00147A57">
        <w:rPr>
          <w:szCs w:val="24"/>
        </w:rPr>
        <w:t xml:space="preserve">and </w:t>
      </w:r>
      <w:r w:rsidRPr="008574F9">
        <w:rPr>
          <w:szCs w:val="24"/>
        </w:rPr>
        <w:t>operating permits help to</w:t>
      </w:r>
      <w:r w:rsidR="00DE6404" w:rsidRPr="008574F9">
        <w:rPr>
          <w:szCs w:val="24"/>
        </w:rPr>
        <w:t xml:space="preserve"> </w:t>
      </w:r>
      <w:r w:rsidRPr="008574F9">
        <w:rPr>
          <w:szCs w:val="24"/>
        </w:rPr>
        <w:t xml:space="preserve">provide the accountability to allow the </w:t>
      </w:r>
      <w:r w:rsidR="007B40DE" w:rsidRPr="007B40DE">
        <w:rPr>
          <w:szCs w:val="24"/>
        </w:rPr>
        <w:t>NO</w:t>
      </w:r>
      <w:r w:rsidR="002B09EE">
        <w:rPr>
          <w:szCs w:val="24"/>
          <w:vertAlign w:val="subscript"/>
        </w:rPr>
        <w:t>X</w:t>
      </w:r>
      <w:r w:rsidRPr="008574F9">
        <w:rPr>
          <w:szCs w:val="24"/>
        </w:rPr>
        <w:t xml:space="preserve"> and SO</w:t>
      </w:r>
      <w:r w:rsidRPr="00E975AC">
        <w:rPr>
          <w:szCs w:val="24"/>
          <w:vertAlign w:val="subscript"/>
        </w:rPr>
        <w:t>2</w:t>
      </w:r>
      <w:r w:rsidR="00A71F4F">
        <w:rPr>
          <w:szCs w:val="24"/>
        </w:rPr>
        <w:t xml:space="preserve"> trading p</w:t>
      </w:r>
      <w:r w:rsidRPr="008574F9">
        <w:rPr>
          <w:szCs w:val="24"/>
        </w:rPr>
        <w:t>rograms to function without more</w:t>
      </w:r>
      <w:r w:rsidR="00DE6404" w:rsidRPr="008574F9">
        <w:rPr>
          <w:szCs w:val="24"/>
        </w:rPr>
        <w:t xml:space="preserve"> </w:t>
      </w:r>
      <w:r w:rsidRPr="008574F9">
        <w:rPr>
          <w:szCs w:val="24"/>
        </w:rPr>
        <w:t>stringent command and control approaches.</w:t>
      </w:r>
    </w:p>
    <w:p w:rsidR="00AA0E61" w:rsidRDefault="00AA0E61" w:rsidP="000C02E9">
      <w:pPr>
        <w:autoSpaceDE w:val="0"/>
        <w:autoSpaceDN w:val="0"/>
        <w:adjustRightInd w:val="0"/>
        <w:rPr>
          <w:b/>
          <w:bCs/>
          <w:szCs w:val="24"/>
        </w:rPr>
      </w:pPr>
    </w:p>
    <w:p w:rsidR="000C02E9" w:rsidRPr="008574F9" w:rsidRDefault="000C02E9" w:rsidP="000C02E9">
      <w:pPr>
        <w:autoSpaceDE w:val="0"/>
        <w:autoSpaceDN w:val="0"/>
        <w:adjustRightInd w:val="0"/>
        <w:rPr>
          <w:b/>
          <w:bCs/>
          <w:szCs w:val="24"/>
        </w:rPr>
      </w:pPr>
      <w:r w:rsidRPr="008574F9">
        <w:rPr>
          <w:b/>
          <w:bCs/>
          <w:szCs w:val="24"/>
        </w:rPr>
        <w:t>3.</w:t>
      </w:r>
      <w:r w:rsidR="00E86F33">
        <w:rPr>
          <w:b/>
          <w:bCs/>
          <w:szCs w:val="24"/>
        </w:rPr>
        <w:t xml:space="preserve">0 </w:t>
      </w:r>
      <w:r w:rsidRPr="008574F9">
        <w:rPr>
          <w:b/>
          <w:bCs/>
          <w:szCs w:val="24"/>
        </w:rPr>
        <w:t xml:space="preserve"> N</w:t>
      </w:r>
      <w:r w:rsidR="00E86F33">
        <w:rPr>
          <w:b/>
          <w:bCs/>
          <w:szCs w:val="24"/>
        </w:rPr>
        <w:t>onduplication</w:t>
      </w:r>
      <w:r w:rsidRPr="008574F9">
        <w:rPr>
          <w:b/>
          <w:bCs/>
          <w:szCs w:val="24"/>
        </w:rPr>
        <w:t>, C</w:t>
      </w:r>
      <w:r w:rsidR="00E86F33">
        <w:rPr>
          <w:b/>
          <w:bCs/>
          <w:szCs w:val="24"/>
        </w:rPr>
        <w:t>onsultations</w:t>
      </w:r>
      <w:r w:rsidRPr="008574F9">
        <w:rPr>
          <w:b/>
          <w:bCs/>
          <w:szCs w:val="24"/>
        </w:rPr>
        <w:t xml:space="preserve">, </w:t>
      </w:r>
      <w:r w:rsidR="00E86F33">
        <w:rPr>
          <w:b/>
          <w:bCs/>
          <w:szCs w:val="24"/>
        </w:rPr>
        <w:t>and Other</w:t>
      </w:r>
      <w:r w:rsidRPr="008574F9">
        <w:rPr>
          <w:b/>
          <w:bCs/>
          <w:szCs w:val="24"/>
        </w:rPr>
        <w:t xml:space="preserve"> C</w:t>
      </w:r>
      <w:r w:rsidR="00E86F33">
        <w:rPr>
          <w:b/>
          <w:bCs/>
          <w:szCs w:val="24"/>
        </w:rPr>
        <w:t>ollection</w:t>
      </w:r>
      <w:r w:rsidRPr="008574F9">
        <w:rPr>
          <w:b/>
          <w:bCs/>
          <w:szCs w:val="24"/>
        </w:rPr>
        <w:t xml:space="preserve"> C</w:t>
      </w:r>
      <w:r w:rsidR="00E86F33">
        <w:rPr>
          <w:b/>
          <w:bCs/>
          <w:szCs w:val="24"/>
        </w:rPr>
        <w:t>riteria</w:t>
      </w:r>
    </w:p>
    <w:p w:rsidR="00D314FB" w:rsidRPr="008574F9" w:rsidRDefault="00D314FB" w:rsidP="000C02E9">
      <w:pPr>
        <w:autoSpaceDE w:val="0"/>
        <w:autoSpaceDN w:val="0"/>
        <w:adjustRightInd w:val="0"/>
        <w:rPr>
          <w:b/>
          <w:bCs/>
          <w:szCs w:val="24"/>
        </w:rPr>
      </w:pPr>
    </w:p>
    <w:p w:rsidR="000C02E9" w:rsidRPr="008574F9" w:rsidRDefault="000C02E9" w:rsidP="00E86F33">
      <w:pPr>
        <w:autoSpaceDE w:val="0"/>
        <w:autoSpaceDN w:val="0"/>
        <w:adjustRightInd w:val="0"/>
        <w:ind w:left="360"/>
        <w:rPr>
          <w:b/>
          <w:bCs/>
          <w:szCs w:val="24"/>
        </w:rPr>
      </w:pPr>
      <w:r w:rsidRPr="008574F9">
        <w:rPr>
          <w:b/>
          <w:bCs/>
          <w:szCs w:val="24"/>
        </w:rPr>
        <w:t>3</w:t>
      </w:r>
      <w:r w:rsidR="00E86F33">
        <w:rPr>
          <w:b/>
          <w:bCs/>
          <w:szCs w:val="24"/>
        </w:rPr>
        <w:t xml:space="preserve">.1  </w:t>
      </w:r>
      <w:r w:rsidRPr="008574F9">
        <w:rPr>
          <w:b/>
          <w:bCs/>
          <w:szCs w:val="24"/>
        </w:rPr>
        <w:t>Nonduplication</w:t>
      </w:r>
    </w:p>
    <w:p w:rsidR="00D314FB" w:rsidRPr="008574F9" w:rsidRDefault="00D314FB" w:rsidP="000C02E9">
      <w:pPr>
        <w:autoSpaceDE w:val="0"/>
        <w:autoSpaceDN w:val="0"/>
        <w:adjustRightInd w:val="0"/>
        <w:rPr>
          <w:b/>
          <w:bCs/>
          <w:szCs w:val="24"/>
        </w:rPr>
      </w:pPr>
    </w:p>
    <w:p w:rsidR="000C02E9" w:rsidRDefault="000C02E9" w:rsidP="00B3743F">
      <w:pPr>
        <w:autoSpaceDE w:val="0"/>
        <w:autoSpaceDN w:val="0"/>
        <w:adjustRightInd w:val="0"/>
        <w:ind w:firstLine="720"/>
        <w:rPr>
          <w:szCs w:val="24"/>
        </w:rPr>
      </w:pPr>
      <w:r w:rsidRPr="008574F9">
        <w:rPr>
          <w:szCs w:val="24"/>
        </w:rPr>
        <w:t xml:space="preserve">Reporting requirements for affected sources for the </w:t>
      </w:r>
      <w:r w:rsidR="000728DC">
        <w:rPr>
          <w:szCs w:val="24"/>
        </w:rPr>
        <w:t>TR</w:t>
      </w:r>
      <w:r w:rsidRPr="008574F9">
        <w:rPr>
          <w:szCs w:val="24"/>
        </w:rPr>
        <w:t xml:space="preserve"> </w:t>
      </w:r>
      <w:r w:rsidR="007B40DE" w:rsidRPr="007B40DE">
        <w:rPr>
          <w:szCs w:val="24"/>
        </w:rPr>
        <w:t>NO</w:t>
      </w:r>
      <w:r w:rsidR="002B09EE">
        <w:rPr>
          <w:szCs w:val="24"/>
          <w:vertAlign w:val="subscript"/>
        </w:rPr>
        <w:t>X</w:t>
      </w:r>
      <w:r w:rsidRPr="008574F9">
        <w:rPr>
          <w:szCs w:val="24"/>
        </w:rPr>
        <w:t xml:space="preserve"> and SO</w:t>
      </w:r>
      <w:r w:rsidRPr="00E975AC">
        <w:rPr>
          <w:szCs w:val="24"/>
          <w:vertAlign w:val="subscript"/>
        </w:rPr>
        <w:t>2</w:t>
      </w:r>
      <w:r w:rsidRPr="008574F9">
        <w:rPr>
          <w:szCs w:val="24"/>
        </w:rPr>
        <w:t xml:space="preserve"> </w:t>
      </w:r>
      <w:r w:rsidR="009E21BF">
        <w:rPr>
          <w:szCs w:val="24"/>
        </w:rPr>
        <w:t>t</w:t>
      </w:r>
      <w:r w:rsidRPr="008574F9">
        <w:rPr>
          <w:szCs w:val="24"/>
        </w:rPr>
        <w:t xml:space="preserve">rading </w:t>
      </w:r>
      <w:r w:rsidR="009E21BF">
        <w:rPr>
          <w:szCs w:val="24"/>
        </w:rPr>
        <w:t>p</w:t>
      </w:r>
      <w:r w:rsidRPr="008574F9">
        <w:rPr>
          <w:szCs w:val="24"/>
        </w:rPr>
        <w:t>rograms</w:t>
      </w:r>
      <w:r w:rsidR="000312ED" w:rsidRPr="008574F9">
        <w:rPr>
          <w:szCs w:val="24"/>
        </w:rPr>
        <w:t xml:space="preserve"> </w:t>
      </w:r>
      <w:r w:rsidRPr="008574F9">
        <w:rPr>
          <w:szCs w:val="24"/>
        </w:rPr>
        <w:t>are i</w:t>
      </w:r>
      <w:r w:rsidR="00D56CFE">
        <w:rPr>
          <w:szCs w:val="24"/>
        </w:rPr>
        <w:t xml:space="preserve">ntegrated with existing </w:t>
      </w:r>
      <w:r w:rsidRPr="008574F9">
        <w:rPr>
          <w:szCs w:val="24"/>
        </w:rPr>
        <w:t>reporting formats</w:t>
      </w:r>
      <w:r w:rsidR="00D56CFE">
        <w:rPr>
          <w:szCs w:val="24"/>
        </w:rPr>
        <w:t xml:space="preserve"> under 40 CFR part 75</w:t>
      </w:r>
      <w:r w:rsidR="003972B1" w:rsidRPr="008574F9">
        <w:rPr>
          <w:szCs w:val="24"/>
        </w:rPr>
        <w:t xml:space="preserve">.  </w:t>
      </w:r>
      <w:r w:rsidRPr="008574F9">
        <w:rPr>
          <w:szCs w:val="24"/>
        </w:rPr>
        <w:t>The</w:t>
      </w:r>
      <w:r w:rsidR="00E46D96">
        <w:rPr>
          <w:szCs w:val="24"/>
        </w:rPr>
        <w:t>se</w:t>
      </w:r>
      <w:r w:rsidRPr="008574F9">
        <w:rPr>
          <w:szCs w:val="24"/>
        </w:rPr>
        <w:t xml:space="preserve"> reporting formats are currently used</w:t>
      </w:r>
      <w:r w:rsidR="000312ED" w:rsidRPr="008574F9">
        <w:rPr>
          <w:szCs w:val="24"/>
        </w:rPr>
        <w:t xml:space="preserve"> </w:t>
      </w:r>
      <w:r w:rsidRPr="008574F9">
        <w:rPr>
          <w:szCs w:val="24"/>
        </w:rPr>
        <w:t xml:space="preserve">by </w:t>
      </w:r>
      <w:r w:rsidR="00F01416">
        <w:rPr>
          <w:szCs w:val="24"/>
        </w:rPr>
        <w:t>ARP</w:t>
      </w:r>
      <w:r w:rsidR="009D2B68">
        <w:rPr>
          <w:szCs w:val="24"/>
        </w:rPr>
        <w:t>-affected</w:t>
      </w:r>
      <w:r w:rsidR="007A7B16" w:rsidRPr="008574F9">
        <w:rPr>
          <w:szCs w:val="24"/>
        </w:rPr>
        <w:t xml:space="preserve"> </w:t>
      </w:r>
      <w:r w:rsidRPr="008574F9">
        <w:rPr>
          <w:szCs w:val="24"/>
        </w:rPr>
        <w:t>units under Title IV of the Act</w:t>
      </w:r>
      <w:r w:rsidR="00B63CE2">
        <w:rPr>
          <w:szCs w:val="24"/>
        </w:rPr>
        <w:t xml:space="preserve">, </w:t>
      </w:r>
      <w:r w:rsidR="00057BDD">
        <w:rPr>
          <w:szCs w:val="24"/>
        </w:rPr>
        <w:t xml:space="preserve">as well as by </w:t>
      </w:r>
      <w:r w:rsidR="00B63CE2">
        <w:rPr>
          <w:szCs w:val="24"/>
        </w:rPr>
        <w:t>CAIR</w:t>
      </w:r>
      <w:r w:rsidR="00432B16">
        <w:rPr>
          <w:szCs w:val="24"/>
        </w:rPr>
        <w:t>-</w:t>
      </w:r>
      <w:r w:rsidR="00057BDD">
        <w:rPr>
          <w:szCs w:val="24"/>
        </w:rPr>
        <w:t>affected</w:t>
      </w:r>
      <w:r w:rsidR="00B63CE2">
        <w:rPr>
          <w:szCs w:val="24"/>
        </w:rPr>
        <w:t xml:space="preserve"> units.</w:t>
      </w:r>
      <w:r w:rsidR="003972B1" w:rsidRPr="008574F9">
        <w:rPr>
          <w:szCs w:val="24"/>
        </w:rPr>
        <w:t xml:space="preserve">  </w:t>
      </w:r>
      <w:r w:rsidRPr="008574F9">
        <w:rPr>
          <w:szCs w:val="24"/>
        </w:rPr>
        <w:t xml:space="preserve">Thus, for units subject to </w:t>
      </w:r>
      <w:r w:rsidR="002B37C4">
        <w:rPr>
          <w:szCs w:val="24"/>
        </w:rPr>
        <w:t>ARP</w:t>
      </w:r>
      <w:r w:rsidRPr="008574F9">
        <w:rPr>
          <w:szCs w:val="24"/>
        </w:rPr>
        <w:t xml:space="preserve"> or</w:t>
      </w:r>
      <w:r w:rsidR="000312ED" w:rsidRPr="008574F9">
        <w:rPr>
          <w:szCs w:val="24"/>
        </w:rPr>
        <w:t xml:space="preserve"> </w:t>
      </w:r>
      <w:r w:rsidR="000728DC">
        <w:rPr>
          <w:szCs w:val="24"/>
        </w:rPr>
        <w:t>TR</w:t>
      </w:r>
      <w:r w:rsidRPr="008574F9">
        <w:rPr>
          <w:szCs w:val="24"/>
        </w:rPr>
        <w:t xml:space="preserve"> quarterly reporting requirements, or both, only one submission will need to be made on</w:t>
      </w:r>
      <w:r w:rsidR="000312ED" w:rsidRPr="008574F9">
        <w:rPr>
          <w:szCs w:val="24"/>
        </w:rPr>
        <w:t xml:space="preserve"> </w:t>
      </w:r>
      <w:r w:rsidRPr="008574F9">
        <w:rPr>
          <w:szCs w:val="24"/>
        </w:rPr>
        <w:t>a quarterly basis</w:t>
      </w:r>
      <w:r w:rsidR="003972B1" w:rsidRPr="008574F9">
        <w:rPr>
          <w:szCs w:val="24"/>
        </w:rPr>
        <w:t xml:space="preserve">.  </w:t>
      </w:r>
      <w:r w:rsidRPr="008574F9">
        <w:rPr>
          <w:szCs w:val="24"/>
        </w:rPr>
        <w:t>(</w:t>
      </w:r>
      <w:r w:rsidR="00447672" w:rsidRPr="008574F9">
        <w:rPr>
          <w:szCs w:val="24"/>
        </w:rPr>
        <w:t>CAIR</w:t>
      </w:r>
      <w:r w:rsidRPr="008574F9">
        <w:rPr>
          <w:szCs w:val="24"/>
        </w:rPr>
        <w:t xml:space="preserve"> trading pr</w:t>
      </w:r>
      <w:r w:rsidR="00464D5B">
        <w:rPr>
          <w:szCs w:val="24"/>
        </w:rPr>
        <w:t xml:space="preserve">ogram reporting will be superseded by </w:t>
      </w:r>
      <w:r w:rsidR="000728DC">
        <w:rPr>
          <w:szCs w:val="24"/>
        </w:rPr>
        <w:t>TR</w:t>
      </w:r>
      <w:r w:rsidR="000312ED" w:rsidRPr="008574F9">
        <w:rPr>
          <w:szCs w:val="24"/>
        </w:rPr>
        <w:t xml:space="preserve"> </w:t>
      </w:r>
      <w:r w:rsidRPr="008574F9">
        <w:rPr>
          <w:szCs w:val="24"/>
        </w:rPr>
        <w:t>reporting.)</w:t>
      </w:r>
    </w:p>
    <w:p w:rsidR="00147A57" w:rsidRDefault="00147A57" w:rsidP="00B3743F">
      <w:pPr>
        <w:autoSpaceDE w:val="0"/>
        <w:autoSpaceDN w:val="0"/>
        <w:adjustRightInd w:val="0"/>
        <w:ind w:firstLine="720"/>
        <w:rPr>
          <w:szCs w:val="24"/>
        </w:rPr>
      </w:pPr>
    </w:p>
    <w:p w:rsidR="00147A57" w:rsidRDefault="00147A57" w:rsidP="00B3743F">
      <w:pPr>
        <w:autoSpaceDE w:val="0"/>
        <w:autoSpaceDN w:val="0"/>
        <w:adjustRightInd w:val="0"/>
        <w:ind w:firstLine="720"/>
        <w:rPr>
          <w:szCs w:val="24"/>
        </w:rPr>
      </w:pPr>
      <w:r>
        <w:rPr>
          <w:szCs w:val="24"/>
        </w:rPr>
        <w:t>Permitting requirements for TR-affected sources are integrated with other source permitting requirements under Title V.</w:t>
      </w:r>
    </w:p>
    <w:p w:rsidR="00057BDD" w:rsidRPr="008574F9" w:rsidRDefault="00057BDD" w:rsidP="00B3743F">
      <w:pPr>
        <w:autoSpaceDE w:val="0"/>
        <w:autoSpaceDN w:val="0"/>
        <w:adjustRightInd w:val="0"/>
        <w:ind w:firstLine="720"/>
        <w:rPr>
          <w:szCs w:val="24"/>
        </w:rPr>
      </w:pPr>
    </w:p>
    <w:p w:rsidR="000C02E9" w:rsidRPr="008574F9" w:rsidRDefault="00E86F33" w:rsidP="00592E0E">
      <w:pPr>
        <w:keepNext/>
        <w:autoSpaceDE w:val="0"/>
        <w:autoSpaceDN w:val="0"/>
        <w:adjustRightInd w:val="0"/>
        <w:ind w:left="360"/>
        <w:rPr>
          <w:b/>
          <w:bCs/>
          <w:szCs w:val="24"/>
        </w:rPr>
      </w:pPr>
      <w:r>
        <w:rPr>
          <w:b/>
          <w:bCs/>
          <w:szCs w:val="24"/>
        </w:rPr>
        <w:t xml:space="preserve">3.2 </w:t>
      </w:r>
      <w:r w:rsidR="000C02E9" w:rsidRPr="008574F9">
        <w:rPr>
          <w:b/>
          <w:bCs/>
          <w:szCs w:val="24"/>
        </w:rPr>
        <w:t xml:space="preserve"> Public Notice </w:t>
      </w:r>
    </w:p>
    <w:p w:rsidR="00D314FB" w:rsidRPr="008574F9" w:rsidRDefault="00D314FB" w:rsidP="00E86F33">
      <w:pPr>
        <w:keepNext/>
        <w:autoSpaceDE w:val="0"/>
        <w:autoSpaceDN w:val="0"/>
        <w:adjustRightInd w:val="0"/>
        <w:rPr>
          <w:szCs w:val="24"/>
        </w:rPr>
      </w:pPr>
    </w:p>
    <w:p w:rsidR="00DB0B5B" w:rsidRDefault="00233689" w:rsidP="004D4BE7">
      <w:pPr>
        <w:autoSpaceDE w:val="0"/>
        <w:autoSpaceDN w:val="0"/>
        <w:adjustRightInd w:val="0"/>
        <w:ind w:firstLine="720"/>
        <w:rPr>
          <w:szCs w:val="24"/>
        </w:rPr>
      </w:pPr>
      <w:r w:rsidRPr="00233689">
        <w:rPr>
          <w:szCs w:val="24"/>
        </w:rPr>
        <w:t xml:space="preserve">EPA </w:t>
      </w:r>
      <w:r w:rsidR="00DC536A">
        <w:rPr>
          <w:szCs w:val="24"/>
        </w:rPr>
        <w:t xml:space="preserve">previously provided </w:t>
      </w:r>
      <w:r w:rsidRPr="00233689">
        <w:rPr>
          <w:szCs w:val="24"/>
        </w:rPr>
        <w:t xml:space="preserve">public notice </w:t>
      </w:r>
      <w:r w:rsidR="00DC536A">
        <w:rPr>
          <w:szCs w:val="24"/>
        </w:rPr>
        <w:t xml:space="preserve">of the proposed ICR </w:t>
      </w:r>
      <w:r w:rsidRPr="00233689">
        <w:rPr>
          <w:szCs w:val="24"/>
        </w:rPr>
        <w:t>in the Federal Register</w:t>
      </w:r>
      <w:r w:rsidR="003335E6">
        <w:rPr>
          <w:szCs w:val="24"/>
        </w:rPr>
        <w:t xml:space="preserve"> on February 6, 2014 (79 FR 7179)</w:t>
      </w:r>
      <w:r w:rsidRPr="00233689">
        <w:rPr>
          <w:szCs w:val="24"/>
        </w:rPr>
        <w:t xml:space="preserve">. </w:t>
      </w:r>
      <w:r w:rsidR="00DC536A">
        <w:rPr>
          <w:szCs w:val="24"/>
        </w:rPr>
        <w:t>EPA receive</w:t>
      </w:r>
      <w:r w:rsidR="0050715C">
        <w:rPr>
          <w:szCs w:val="24"/>
        </w:rPr>
        <w:t>d</w:t>
      </w:r>
      <w:r w:rsidR="00DC536A">
        <w:rPr>
          <w:szCs w:val="24"/>
        </w:rPr>
        <w:t xml:space="preserve"> </w:t>
      </w:r>
      <w:r w:rsidR="0050715C">
        <w:rPr>
          <w:szCs w:val="24"/>
        </w:rPr>
        <w:t>no</w:t>
      </w:r>
      <w:r w:rsidR="00DC536A">
        <w:rPr>
          <w:szCs w:val="24"/>
        </w:rPr>
        <w:t xml:space="preserve"> comments during the comment period announced in that notice. </w:t>
      </w:r>
      <w:r w:rsidRPr="00233689">
        <w:rPr>
          <w:szCs w:val="24"/>
        </w:rPr>
        <w:t>Docket ID No. EPA-HQ-OAR-2009-</w:t>
      </w:r>
      <w:r>
        <w:rPr>
          <w:szCs w:val="24"/>
        </w:rPr>
        <w:t>0491</w:t>
      </w:r>
      <w:r w:rsidRPr="00233689">
        <w:rPr>
          <w:szCs w:val="24"/>
        </w:rPr>
        <w:t xml:space="preserve"> is available for online viewing at www.regulations.gov or in</w:t>
      </w:r>
      <w:r w:rsidR="003335E6">
        <w:rPr>
          <w:szCs w:val="24"/>
        </w:rPr>
        <w:t>-</w:t>
      </w:r>
      <w:r w:rsidRPr="00233689">
        <w:rPr>
          <w:szCs w:val="24"/>
        </w:rPr>
        <w:t>person viewing at the Air and Radiation Docket in the EPA Docket Center (EPA/DC), EPA West, Room 3334, 1301 Constitution Ave., NW, Washington, D.C.</w:t>
      </w:r>
    </w:p>
    <w:p w:rsidR="00D314FB" w:rsidRPr="008574F9" w:rsidRDefault="00D314FB" w:rsidP="004D4BE7">
      <w:pPr>
        <w:autoSpaceDE w:val="0"/>
        <w:autoSpaceDN w:val="0"/>
        <w:adjustRightInd w:val="0"/>
        <w:ind w:firstLine="720"/>
        <w:rPr>
          <w:b/>
          <w:bCs/>
          <w:szCs w:val="24"/>
        </w:rPr>
      </w:pPr>
    </w:p>
    <w:p w:rsidR="000C02E9" w:rsidRPr="008574F9" w:rsidRDefault="000C02E9" w:rsidP="00592E0E">
      <w:pPr>
        <w:autoSpaceDE w:val="0"/>
        <w:autoSpaceDN w:val="0"/>
        <w:adjustRightInd w:val="0"/>
        <w:ind w:left="360"/>
        <w:rPr>
          <w:b/>
          <w:bCs/>
          <w:szCs w:val="24"/>
        </w:rPr>
      </w:pPr>
      <w:r w:rsidRPr="008574F9">
        <w:rPr>
          <w:b/>
          <w:bCs/>
          <w:szCs w:val="24"/>
        </w:rPr>
        <w:t>3</w:t>
      </w:r>
      <w:r w:rsidR="00E86F33">
        <w:rPr>
          <w:b/>
          <w:bCs/>
          <w:szCs w:val="24"/>
        </w:rPr>
        <w:t xml:space="preserve">.3 </w:t>
      </w:r>
      <w:r w:rsidRPr="008574F9">
        <w:rPr>
          <w:b/>
          <w:bCs/>
          <w:szCs w:val="24"/>
        </w:rPr>
        <w:t xml:space="preserve"> Consultations</w:t>
      </w:r>
    </w:p>
    <w:p w:rsidR="00D314FB" w:rsidRPr="008574F9" w:rsidRDefault="00D314FB" w:rsidP="000C02E9">
      <w:pPr>
        <w:autoSpaceDE w:val="0"/>
        <w:autoSpaceDN w:val="0"/>
        <w:adjustRightInd w:val="0"/>
        <w:rPr>
          <w:b/>
          <w:bCs/>
          <w:szCs w:val="24"/>
        </w:rPr>
      </w:pPr>
    </w:p>
    <w:p w:rsidR="001B32A6" w:rsidRDefault="001E7698" w:rsidP="000C02E9">
      <w:pPr>
        <w:autoSpaceDE w:val="0"/>
        <w:autoSpaceDN w:val="0"/>
        <w:adjustRightInd w:val="0"/>
        <w:rPr>
          <w:szCs w:val="24"/>
        </w:rPr>
      </w:pPr>
      <w:r>
        <w:rPr>
          <w:b/>
          <w:bCs/>
          <w:szCs w:val="24"/>
        </w:rPr>
        <w:tab/>
      </w:r>
      <w:r w:rsidR="00976A12">
        <w:rPr>
          <w:szCs w:val="24"/>
        </w:rPr>
        <w:t xml:space="preserve">During the development of </w:t>
      </w:r>
      <w:r>
        <w:rPr>
          <w:szCs w:val="24"/>
        </w:rPr>
        <w:t>CAIR, d</w:t>
      </w:r>
      <w:r w:rsidRPr="008574F9">
        <w:rPr>
          <w:szCs w:val="24"/>
        </w:rPr>
        <w:t xml:space="preserve">iscussions </w:t>
      </w:r>
      <w:r>
        <w:rPr>
          <w:szCs w:val="24"/>
        </w:rPr>
        <w:t>were</w:t>
      </w:r>
      <w:r w:rsidRPr="008574F9">
        <w:rPr>
          <w:szCs w:val="24"/>
        </w:rPr>
        <w:t xml:space="preserve"> held with </w:t>
      </w:r>
      <w:r w:rsidR="005A4047">
        <w:rPr>
          <w:szCs w:val="24"/>
        </w:rPr>
        <w:t xml:space="preserve">the National Association of Clean Air Agencies (NACAA) </w:t>
      </w:r>
      <w:r w:rsidRPr="008574F9">
        <w:rPr>
          <w:szCs w:val="24"/>
        </w:rPr>
        <w:t>to clarif</w:t>
      </w:r>
      <w:r w:rsidR="00370979">
        <w:rPr>
          <w:szCs w:val="24"/>
        </w:rPr>
        <w:t>y EPA</w:t>
      </w:r>
      <w:r w:rsidR="00033581">
        <w:rPr>
          <w:szCs w:val="24"/>
        </w:rPr>
        <w:t>'</w:t>
      </w:r>
      <w:r w:rsidR="00370979">
        <w:rPr>
          <w:szCs w:val="24"/>
        </w:rPr>
        <w:t>s logic in developing the emissions reporting requirement</w:t>
      </w:r>
      <w:r w:rsidR="005A4047">
        <w:rPr>
          <w:szCs w:val="24"/>
        </w:rPr>
        <w:t>s</w:t>
      </w:r>
      <w:r w:rsidR="00370979">
        <w:rPr>
          <w:szCs w:val="24"/>
        </w:rPr>
        <w:t xml:space="preserve"> contained within the </w:t>
      </w:r>
      <w:r w:rsidRPr="008574F9">
        <w:rPr>
          <w:szCs w:val="24"/>
        </w:rPr>
        <w:t>rule and to answer questions.</w:t>
      </w:r>
      <w:r w:rsidR="00D4655A">
        <w:rPr>
          <w:szCs w:val="24"/>
        </w:rPr>
        <w:t xml:space="preserve">  Information ari</w:t>
      </w:r>
      <w:r w:rsidR="00370979">
        <w:rPr>
          <w:szCs w:val="24"/>
        </w:rPr>
        <w:t xml:space="preserve">sing from those discussions, as well as </w:t>
      </w:r>
      <w:r w:rsidR="00D4655A" w:rsidRPr="008574F9">
        <w:rPr>
          <w:szCs w:val="24"/>
        </w:rPr>
        <w:t xml:space="preserve">the decision handed down in the </w:t>
      </w:r>
      <w:r w:rsidR="00D4655A" w:rsidRPr="00B63CE2">
        <w:rPr>
          <w:i/>
          <w:szCs w:val="24"/>
        </w:rPr>
        <w:t>North Carolina v. EPA</w:t>
      </w:r>
      <w:r w:rsidR="00976A12">
        <w:rPr>
          <w:szCs w:val="24"/>
        </w:rPr>
        <w:t xml:space="preserve"> </w:t>
      </w:r>
      <w:r w:rsidR="009E21BF">
        <w:rPr>
          <w:szCs w:val="24"/>
        </w:rPr>
        <w:t xml:space="preserve">court </w:t>
      </w:r>
      <w:r w:rsidR="00976A12">
        <w:rPr>
          <w:szCs w:val="24"/>
        </w:rPr>
        <w:t>case related to</w:t>
      </w:r>
      <w:r w:rsidR="00D4655A" w:rsidRPr="008574F9">
        <w:rPr>
          <w:szCs w:val="24"/>
        </w:rPr>
        <w:t xml:space="preserve"> CAIR</w:t>
      </w:r>
      <w:r w:rsidR="00D4655A">
        <w:rPr>
          <w:szCs w:val="24"/>
        </w:rPr>
        <w:t xml:space="preserve"> (531 F.3d at 908)</w:t>
      </w:r>
      <w:r w:rsidR="00370979">
        <w:rPr>
          <w:szCs w:val="24"/>
        </w:rPr>
        <w:t xml:space="preserve">, </w:t>
      </w:r>
      <w:r w:rsidR="001407FB">
        <w:rPr>
          <w:szCs w:val="24"/>
        </w:rPr>
        <w:t xml:space="preserve">was </w:t>
      </w:r>
      <w:r w:rsidR="00370979">
        <w:rPr>
          <w:szCs w:val="24"/>
        </w:rPr>
        <w:t xml:space="preserve">taken into consideration when developing the </w:t>
      </w:r>
      <w:r w:rsidR="000728DC">
        <w:rPr>
          <w:szCs w:val="24"/>
        </w:rPr>
        <w:t>TR</w:t>
      </w:r>
      <w:r w:rsidR="00370979">
        <w:rPr>
          <w:szCs w:val="24"/>
        </w:rPr>
        <w:t xml:space="preserve"> emission reporting requirements</w:t>
      </w:r>
      <w:r w:rsidR="00D4655A" w:rsidRPr="008574F9">
        <w:rPr>
          <w:szCs w:val="24"/>
        </w:rPr>
        <w:t>.</w:t>
      </w:r>
    </w:p>
    <w:p w:rsidR="00AA0E61" w:rsidRDefault="00AA0E61" w:rsidP="000C02E9">
      <w:pPr>
        <w:autoSpaceDE w:val="0"/>
        <w:autoSpaceDN w:val="0"/>
        <w:adjustRightInd w:val="0"/>
        <w:rPr>
          <w:szCs w:val="24"/>
        </w:rPr>
      </w:pPr>
    </w:p>
    <w:p w:rsidR="00B3743F" w:rsidRPr="008574F9" w:rsidRDefault="000C02E9" w:rsidP="008803CE">
      <w:pPr>
        <w:autoSpaceDE w:val="0"/>
        <w:autoSpaceDN w:val="0"/>
        <w:adjustRightInd w:val="0"/>
        <w:ind w:firstLine="720"/>
        <w:rPr>
          <w:szCs w:val="24"/>
        </w:rPr>
      </w:pPr>
      <w:r w:rsidRPr="008574F9">
        <w:rPr>
          <w:szCs w:val="24"/>
        </w:rPr>
        <w:t xml:space="preserve">The requirements for the </w:t>
      </w:r>
      <w:r w:rsidR="000728DC">
        <w:rPr>
          <w:szCs w:val="24"/>
        </w:rPr>
        <w:t xml:space="preserve">TR </w:t>
      </w:r>
      <w:r w:rsidRPr="008574F9">
        <w:rPr>
          <w:szCs w:val="24"/>
        </w:rPr>
        <w:t>have been developed using the</w:t>
      </w:r>
      <w:r w:rsidR="00B3743F" w:rsidRPr="008574F9">
        <w:rPr>
          <w:szCs w:val="24"/>
        </w:rPr>
        <w:t xml:space="preserve"> </w:t>
      </w:r>
      <w:r w:rsidRPr="008574F9">
        <w:rPr>
          <w:szCs w:val="24"/>
        </w:rPr>
        <w:t>methodology found in existing trading programs</w:t>
      </w:r>
      <w:r w:rsidR="004367CA" w:rsidRPr="008574F9">
        <w:rPr>
          <w:szCs w:val="24"/>
        </w:rPr>
        <w:t>,</w:t>
      </w:r>
      <w:r w:rsidRPr="008574F9">
        <w:rPr>
          <w:szCs w:val="24"/>
        </w:rPr>
        <w:t xml:space="preserve"> consultations with interested parties</w:t>
      </w:r>
      <w:r w:rsidR="00F86164" w:rsidRPr="008574F9">
        <w:rPr>
          <w:szCs w:val="24"/>
        </w:rPr>
        <w:t>, and reflections on the decision handed down in</w:t>
      </w:r>
      <w:r w:rsidR="008803CE" w:rsidRPr="008574F9">
        <w:rPr>
          <w:szCs w:val="24"/>
        </w:rPr>
        <w:t xml:space="preserve"> </w:t>
      </w:r>
      <w:r w:rsidR="004367CA" w:rsidRPr="008574F9">
        <w:rPr>
          <w:szCs w:val="24"/>
        </w:rPr>
        <w:t xml:space="preserve">the </w:t>
      </w:r>
      <w:r w:rsidR="004367CA" w:rsidRPr="00B63CE2">
        <w:rPr>
          <w:i/>
          <w:szCs w:val="24"/>
        </w:rPr>
        <w:t>North Carolina</w:t>
      </w:r>
      <w:r w:rsidR="004367CA" w:rsidRPr="008574F9">
        <w:rPr>
          <w:szCs w:val="24"/>
        </w:rPr>
        <w:t xml:space="preserve"> </w:t>
      </w:r>
      <w:r w:rsidR="009E21BF">
        <w:rPr>
          <w:szCs w:val="24"/>
        </w:rPr>
        <w:t xml:space="preserve">court </w:t>
      </w:r>
      <w:r w:rsidR="008803CE" w:rsidRPr="008574F9">
        <w:rPr>
          <w:szCs w:val="24"/>
        </w:rPr>
        <w:t xml:space="preserve">case </w:t>
      </w:r>
      <w:r w:rsidR="00B44964">
        <w:rPr>
          <w:szCs w:val="24"/>
        </w:rPr>
        <w:t>(531 F.3d at 908)</w:t>
      </w:r>
      <w:r w:rsidR="003972B1" w:rsidRPr="008574F9">
        <w:rPr>
          <w:szCs w:val="24"/>
        </w:rPr>
        <w:t xml:space="preserve">.  </w:t>
      </w:r>
      <w:r w:rsidRPr="00BB7FF0">
        <w:rPr>
          <w:szCs w:val="24"/>
        </w:rPr>
        <w:t xml:space="preserve">EPA </w:t>
      </w:r>
      <w:r w:rsidR="004A76E0" w:rsidRPr="00BB7FF0">
        <w:rPr>
          <w:szCs w:val="24"/>
        </w:rPr>
        <w:t>modified</w:t>
      </w:r>
      <w:r w:rsidRPr="00BB7FF0">
        <w:rPr>
          <w:szCs w:val="24"/>
        </w:rPr>
        <w:t xml:space="preserve"> the cap</w:t>
      </w:r>
      <w:r w:rsidR="001407FB">
        <w:rPr>
          <w:szCs w:val="24"/>
        </w:rPr>
        <w:t>-</w:t>
      </w:r>
      <w:r w:rsidRPr="00BB7FF0">
        <w:rPr>
          <w:szCs w:val="24"/>
        </w:rPr>
        <w:t>and</w:t>
      </w:r>
      <w:r w:rsidR="001407FB">
        <w:rPr>
          <w:szCs w:val="24"/>
        </w:rPr>
        <w:t>-</w:t>
      </w:r>
      <w:r w:rsidRPr="00BB7FF0">
        <w:rPr>
          <w:szCs w:val="24"/>
        </w:rPr>
        <w:t xml:space="preserve">trade strategy </w:t>
      </w:r>
      <w:r w:rsidR="00DB0B5B">
        <w:rPr>
          <w:szCs w:val="24"/>
        </w:rPr>
        <w:t xml:space="preserve">previously </w:t>
      </w:r>
      <w:r w:rsidRPr="00BB7FF0">
        <w:rPr>
          <w:szCs w:val="24"/>
        </w:rPr>
        <w:t xml:space="preserve">used in the </w:t>
      </w:r>
      <w:r w:rsidR="00F01416" w:rsidRPr="00BB7FF0">
        <w:rPr>
          <w:szCs w:val="24"/>
        </w:rPr>
        <w:t>ARP</w:t>
      </w:r>
      <w:r w:rsidRPr="00BB7FF0">
        <w:rPr>
          <w:szCs w:val="24"/>
        </w:rPr>
        <w:t xml:space="preserve">, </w:t>
      </w:r>
      <w:r w:rsidR="001407FB">
        <w:rPr>
          <w:szCs w:val="24"/>
        </w:rPr>
        <w:t xml:space="preserve">the </w:t>
      </w:r>
      <w:r w:rsidRPr="00BB7FF0">
        <w:rPr>
          <w:szCs w:val="24"/>
        </w:rPr>
        <w:t>Ozone Transport</w:t>
      </w:r>
      <w:r w:rsidR="00B3743F" w:rsidRPr="00BB7FF0">
        <w:rPr>
          <w:szCs w:val="24"/>
        </w:rPr>
        <w:t xml:space="preserve"> </w:t>
      </w:r>
      <w:r w:rsidRPr="00BB7FF0">
        <w:rPr>
          <w:szCs w:val="24"/>
        </w:rPr>
        <w:t>Commission</w:t>
      </w:r>
      <w:r w:rsidR="00033581" w:rsidRPr="00BB7FF0">
        <w:rPr>
          <w:szCs w:val="24"/>
        </w:rPr>
        <w:t>'</w:t>
      </w:r>
      <w:r w:rsidRPr="00BB7FF0">
        <w:rPr>
          <w:szCs w:val="24"/>
        </w:rPr>
        <w:t xml:space="preserve">s </w:t>
      </w:r>
      <w:r w:rsidR="007B40DE" w:rsidRPr="00BB7FF0">
        <w:rPr>
          <w:szCs w:val="24"/>
        </w:rPr>
        <w:t>NO</w:t>
      </w:r>
      <w:r w:rsidR="002B09EE" w:rsidRPr="00BB7FF0">
        <w:rPr>
          <w:szCs w:val="24"/>
          <w:vertAlign w:val="subscript"/>
        </w:rPr>
        <w:t>X</w:t>
      </w:r>
      <w:r w:rsidRPr="00BB7FF0">
        <w:rPr>
          <w:szCs w:val="24"/>
        </w:rPr>
        <w:t xml:space="preserve"> Budget Program, the </w:t>
      </w:r>
      <w:r w:rsidR="007B40DE" w:rsidRPr="00BB7FF0">
        <w:rPr>
          <w:szCs w:val="24"/>
        </w:rPr>
        <w:t>NO</w:t>
      </w:r>
      <w:r w:rsidR="002B09EE" w:rsidRPr="00BB7FF0">
        <w:rPr>
          <w:szCs w:val="24"/>
          <w:vertAlign w:val="subscript"/>
        </w:rPr>
        <w:t>X</w:t>
      </w:r>
      <w:r w:rsidRPr="00BB7FF0">
        <w:rPr>
          <w:szCs w:val="24"/>
        </w:rPr>
        <w:t xml:space="preserve"> SIP Call</w:t>
      </w:r>
      <w:r w:rsidR="001407FB">
        <w:rPr>
          <w:szCs w:val="24"/>
        </w:rPr>
        <w:t>, and CAIR</w:t>
      </w:r>
      <w:r w:rsidR="003F434D">
        <w:rPr>
          <w:szCs w:val="24"/>
        </w:rPr>
        <w:t xml:space="preserve"> </w:t>
      </w:r>
      <w:r w:rsidR="00DB0B5B">
        <w:rPr>
          <w:szCs w:val="24"/>
        </w:rPr>
        <w:t xml:space="preserve">in order </w:t>
      </w:r>
      <w:r w:rsidR="003F434D">
        <w:rPr>
          <w:szCs w:val="24"/>
        </w:rPr>
        <w:t>to</w:t>
      </w:r>
      <w:r w:rsidR="008803CE" w:rsidRPr="008574F9">
        <w:rPr>
          <w:szCs w:val="24"/>
        </w:rPr>
        <w:t xml:space="preserve"> address the </w:t>
      </w:r>
      <w:r w:rsidR="00DB0B5B">
        <w:rPr>
          <w:szCs w:val="24"/>
        </w:rPr>
        <w:t>D.C. Circuit’s</w:t>
      </w:r>
      <w:r w:rsidR="00DB0B5B" w:rsidRPr="008574F9">
        <w:rPr>
          <w:szCs w:val="24"/>
        </w:rPr>
        <w:t xml:space="preserve"> </w:t>
      </w:r>
      <w:r w:rsidR="008803CE" w:rsidRPr="008574F9">
        <w:rPr>
          <w:szCs w:val="24"/>
        </w:rPr>
        <w:t xml:space="preserve">concerns related to </w:t>
      </w:r>
      <w:r w:rsidR="00033581">
        <w:rPr>
          <w:szCs w:val="24"/>
        </w:rPr>
        <w:t>"</w:t>
      </w:r>
      <w:r w:rsidR="00B44964">
        <w:rPr>
          <w:szCs w:val="24"/>
        </w:rPr>
        <w:t>emissions from sources that contribute significantly and interfere with maintenance</w:t>
      </w:r>
      <w:r w:rsidR="00033581">
        <w:rPr>
          <w:szCs w:val="24"/>
        </w:rPr>
        <w:t>"</w:t>
      </w:r>
      <w:r w:rsidR="008803CE" w:rsidRPr="008574F9">
        <w:rPr>
          <w:szCs w:val="24"/>
        </w:rPr>
        <w:t xml:space="preserve"> in another </w:t>
      </w:r>
      <w:r w:rsidR="00803A13">
        <w:rPr>
          <w:szCs w:val="24"/>
        </w:rPr>
        <w:t>s</w:t>
      </w:r>
      <w:r w:rsidR="009D2B68">
        <w:rPr>
          <w:szCs w:val="24"/>
        </w:rPr>
        <w:t>tate</w:t>
      </w:r>
      <w:r w:rsidR="003972B1" w:rsidRPr="008574F9">
        <w:rPr>
          <w:szCs w:val="24"/>
        </w:rPr>
        <w:t xml:space="preserve">.  </w:t>
      </w:r>
      <w:r w:rsidR="0010711C" w:rsidRPr="0010711C">
        <w:rPr>
          <w:i/>
          <w:szCs w:val="24"/>
        </w:rPr>
        <w:t>North Carolina</w:t>
      </w:r>
      <w:r w:rsidR="0010711C" w:rsidRPr="008574F9">
        <w:rPr>
          <w:szCs w:val="24"/>
        </w:rPr>
        <w:t xml:space="preserve"> </w:t>
      </w:r>
      <w:r w:rsidR="0010711C">
        <w:rPr>
          <w:szCs w:val="24"/>
        </w:rPr>
        <w:t>(531 F.3d at 908).</w:t>
      </w:r>
      <w:r w:rsidR="003F434D">
        <w:rPr>
          <w:szCs w:val="24"/>
        </w:rPr>
        <w:t xml:space="preserve">  This resulted in the development of an unlimited </w:t>
      </w:r>
      <w:r w:rsidR="003F434D">
        <w:rPr>
          <w:szCs w:val="24"/>
        </w:rPr>
        <w:lastRenderedPageBreak/>
        <w:t>intrastate and limited interstate trading program based on state-specific budgets rather than regional caps.</w:t>
      </w:r>
    </w:p>
    <w:p w:rsidR="00B3743F" w:rsidRPr="008574F9" w:rsidRDefault="00B3743F" w:rsidP="00B3743F">
      <w:pPr>
        <w:autoSpaceDE w:val="0"/>
        <w:autoSpaceDN w:val="0"/>
        <w:adjustRightInd w:val="0"/>
        <w:ind w:firstLine="720"/>
        <w:rPr>
          <w:szCs w:val="24"/>
        </w:rPr>
      </w:pPr>
    </w:p>
    <w:p w:rsidR="000C02E9" w:rsidRPr="008574F9" w:rsidRDefault="000C02E9" w:rsidP="00B3743F">
      <w:pPr>
        <w:autoSpaceDE w:val="0"/>
        <w:autoSpaceDN w:val="0"/>
        <w:adjustRightInd w:val="0"/>
        <w:ind w:firstLine="720"/>
        <w:rPr>
          <w:szCs w:val="24"/>
        </w:rPr>
      </w:pPr>
      <w:r w:rsidRPr="008574F9">
        <w:rPr>
          <w:szCs w:val="24"/>
        </w:rPr>
        <w:t xml:space="preserve">EPA held two workshops with </w:t>
      </w:r>
      <w:r w:rsidR="00803A13">
        <w:rPr>
          <w:szCs w:val="24"/>
        </w:rPr>
        <w:t>s</w:t>
      </w:r>
      <w:r w:rsidR="009D2B68">
        <w:rPr>
          <w:szCs w:val="24"/>
        </w:rPr>
        <w:t>tate</w:t>
      </w:r>
      <w:r w:rsidRPr="008574F9">
        <w:rPr>
          <w:szCs w:val="24"/>
        </w:rPr>
        <w:t xml:space="preserve">s </w:t>
      </w:r>
      <w:r w:rsidR="00647459">
        <w:rPr>
          <w:szCs w:val="24"/>
        </w:rPr>
        <w:t xml:space="preserve">that participated </w:t>
      </w:r>
      <w:r w:rsidRPr="008574F9">
        <w:rPr>
          <w:szCs w:val="24"/>
        </w:rPr>
        <w:t xml:space="preserve">in the </w:t>
      </w:r>
      <w:r w:rsidR="007B40DE" w:rsidRPr="007B40DE">
        <w:rPr>
          <w:szCs w:val="24"/>
        </w:rPr>
        <w:t>NO</w:t>
      </w:r>
      <w:r w:rsidR="002B09EE">
        <w:rPr>
          <w:szCs w:val="24"/>
          <w:vertAlign w:val="subscript"/>
        </w:rPr>
        <w:t>X</w:t>
      </w:r>
      <w:r w:rsidRPr="008574F9">
        <w:rPr>
          <w:szCs w:val="24"/>
        </w:rPr>
        <w:t xml:space="preserve"> SIP Call or OTC programs to discuss</w:t>
      </w:r>
      <w:r w:rsidR="00B3743F" w:rsidRPr="008574F9">
        <w:rPr>
          <w:szCs w:val="24"/>
        </w:rPr>
        <w:t xml:space="preserve"> </w:t>
      </w:r>
      <w:r w:rsidRPr="008574F9">
        <w:rPr>
          <w:szCs w:val="24"/>
        </w:rPr>
        <w:t>lessons learned in those programs</w:t>
      </w:r>
      <w:r w:rsidR="00370979">
        <w:rPr>
          <w:szCs w:val="24"/>
        </w:rPr>
        <w:t xml:space="preserve"> when formulating the emissi</w:t>
      </w:r>
      <w:r w:rsidR="00647459">
        <w:rPr>
          <w:szCs w:val="24"/>
        </w:rPr>
        <w:t xml:space="preserve">on trading requirements of </w:t>
      </w:r>
      <w:r w:rsidR="00370979">
        <w:rPr>
          <w:szCs w:val="24"/>
        </w:rPr>
        <w:t>CAIR</w:t>
      </w:r>
      <w:r w:rsidR="003972B1" w:rsidRPr="008574F9">
        <w:rPr>
          <w:szCs w:val="24"/>
        </w:rPr>
        <w:t xml:space="preserve">.  </w:t>
      </w:r>
      <w:r w:rsidRPr="008574F9">
        <w:rPr>
          <w:szCs w:val="24"/>
        </w:rPr>
        <w:t xml:space="preserve">Additionally, EPA has </w:t>
      </w:r>
      <w:r w:rsidR="0010711C">
        <w:rPr>
          <w:szCs w:val="24"/>
        </w:rPr>
        <w:t xml:space="preserve">had </w:t>
      </w:r>
      <w:r w:rsidRPr="008574F9">
        <w:rPr>
          <w:szCs w:val="24"/>
        </w:rPr>
        <w:t>frequent interaction with affected</w:t>
      </w:r>
      <w:r w:rsidR="00B3743F" w:rsidRPr="008574F9">
        <w:rPr>
          <w:szCs w:val="24"/>
        </w:rPr>
        <w:t xml:space="preserve"> </w:t>
      </w:r>
      <w:r w:rsidRPr="008574F9">
        <w:rPr>
          <w:szCs w:val="24"/>
        </w:rPr>
        <w:t xml:space="preserve">sources and </w:t>
      </w:r>
      <w:r w:rsidR="00803A13">
        <w:rPr>
          <w:szCs w:val="24"/>
        </w:rPr>
        <w:t>s</w:t>
      </w:r>
      <w:r w:rsidR="009D2B68">
        <w:rPr>
          <w:szCs w:val="24"/>
        </w:rPr>
        <w:t>tate</w:t>
      </w:r>
      <w:r w:rsidRPr="008574F9">
        <w:rPr>
          <w:szCs w:val="24"/>
        </w:rPr>
        <w:t xml:space="preserve">s in the course of implementing the </w:t>
      </w:r>
      <w:r w:rsidR="002B37C4">
        <w:rPr>
          <w:szCs w:val="24"/>
        </w:rPr>
        <w:t>ARP</w:t>
      </w:r>
      <w:r w:rsidR="0010711C">
        <w:rPr>
          <w:szCs w:val="24"/>
        </w:rPr>
        <w:t>,</w:t>
      </w:r>
      <w:r w:rsidRPr="008574F9">
        <w:rPr>
          <w:szCs w:val="24"/>
        </w:rPr>
        <w:t xml:space="preserve"> </w:t>
      </w:r>
      <w:r w:rsidR="007B40DE" w:rsidRPr="007B40DE">
        <w:rPr>
          <w:szCs w:val="24"/>
        </w:rPr>
        <w:t>NO</w:t>
      </w:r>
      <w:r w:rsidR="002B09EE">
        <w:rPr>
          <w:szCs w:val="24"/>
          <w:vertAlign w:val="subscript"/>
        </w:rPr>
        <w:t>X</w:t>
      </w:r>
      <w:r w:rsidRPr="008574F9">
        <w:rPr>
          <w:szCs w:val="24"/>
        </w:rPr>
        <w:t xml:space="preserve"> SIP Call</w:t>
      </w:r>
      <w:r w:rsidR="0010711C">
        <w:rPr>
          <w:szCs w:val="24"/>
        </w:rPr>
        <w:t>, and CAIR</w:t>
      </w:r>
      <w:r w:rsidRPr="008574F9">
        <w:rPr>
          <w:szCs w:val="24"/>
        </w:rPr>
        <w:t xml:space="preserve"> </w:t>
      </w:r>
      <w:r w:rsidR="001407FB">
        <w:rPr>
          <w:szCs w:val="24"/>
        </w:rPr>
        <w:t>t</w:t>
      </w:r>
      <w:r w:rsidRPr="008574F9">
        <w:rPr>
          <w:szCs w:val="24"/>
        </w:rPr>
        <w:t>rading</w:t>
      </w:r>
      <w:r w:rsidR="00B3743F" w:rsidRPr="008574F9">
        <w:rPr>
          <w:szCs w:val="24"/>
        </w:rPr>
        <w:t xml:space="preserve"> </w:t>
      </w:r>
      <w:r w:rsidR="001407FB">
        <w:rPr>
          <w:szCs w:val="24"/>
        </w:rPr>
        <w:t>p</w:t>
      </w:r>
      <w:r w:rsidRPr="008574F9">
        <w:rPr>
          <w:szCs w:val="24"/>
        </w:rPr>
        <w:t>rograms</w:t>
      </w:r>
      <w:r w:rsidR="003972B1" w:rsidRPr="008574F9">
        <w:rPr>
          <w:szCs w:val="24"/>
        </w:rPr>
        <w:t xml:space="preserve">.  </w:t>
      </w:r>
      <w:r w:rsidR="00B63CE2">
        <w:rPr>
          <w:szCs w:val="24"/>
        </w:rPr>
        <w:t xml:space="preserve">In 2009, EPA </w:t>
      </w:r>
      <w:r w:rsidR="00800F56">
        <w:rPr>
          <w:szCs w:val="24"/>
        </w:rPr>
        <w:t>held</w:t>
      </w:r>
      <w:r w:rsidR="00B63CE2">
        <w:rPr>
          <w:szCs w:val="24"/>
        </w:rPr>
        <w:t xml:space="preserve"> a series of conference calls and meetings with stakeholders to identify potential </w:t>
      </w:r>
      <w:r w:rsidR="0006245A">
        <w:rPr>
          <w:szCs w:val="24"/>
        </w:rPr>
        <w:t>options</w:t>
      </w:r>
      <w:r w:rsidR="00B63CE2">
        <w:rPr>
          <w:szCs w:val="24"/>
        </w:rPr>
        <w:t xml:space="preserve"> for addressing the </w:t>
      </w:r>
      <w:r w:rsidR="00B63CE2" w:rsidRPr="00B63CE2">
        <w:rPr>
          <w:i/>
          <w:szCs w:val="24"/>
        </w:rPr>
        <w:t>North Carolina v. EPA</w:t>
      </w:r>
      <w:r w:rsidR="00B63CE2">
        <w:rPr>
          <w:szCs w:val="24"/>
        </w:rPr>
        <w:t xml:space="preserve"> court decision</w:t>
      </w:r>
      <w:r w:rsidR="0006245A">
        <w:rPr>
          <w:szCs w:val="24"/>
        </w:rPr>
        <w:t xml:space="preserve">.  </w:t>
      </w:r>
      <w:r w:rsidRPr="008574F9">
        <w:rPr>
          <w:szCs w:val="24"/>
        </w:rPr>
        <w:t xml:space="preserve">EPA received comments following the workshops and through </w:t>
      </w:r>
      <w:r w:rsidR="00B63CE2">
        <w:rPr>
          <w:szCs w:val="24"/>
        </w:rPr>
        <w:t>other</w:t>
      </w:r>
      <w:r w:rsidR="00B3743F" w:rsidRPr="008574F9">
        <w:rPr>
          <w:szCs w:val="24"/>
        </w:rPr>
        <w:t xml:space="preserve"> </w:t>
      </w:r>
      <w:r w:rsidRPr="008574F9">
        <w:rPr>
          <w:szCs w:val="24"/>
        </w:rPr>
        <w:t xml:space="preserve">interactions and considered and incorporated those comments into the </w:t>
      </w:r>
      <w:r w:rsidR="00F22C99">
        <w:rPr>
          <w:szCs w:val="24"/>
        </w:rPr>
        <w:t>TR</w:t>
      </w:r>
      <w:r w:rsidRPr="008574F9">
        <w:rPr>
          <w:szCs w:val="24"/>
        </w:rPr>
        <w:t xml:space="preserve"> and </w:t>
      </w:r>
      <w:r w:rsidR="007454C2">
        <w:rPr>
          <w:szCs w:val="24"/>
        </w:rPr>
        <w:t xml:space="preserve">this </w:t>
      </w:r>
      <w:r w:rsidRPr="008574F9">
        <w:rPr>
          <w:szCs w:val="24"/>
        </w:rPr>
        <w:t>ICR.</w:t>
      </w:r>
    </w:p>
    <w:p w:rsidR="00D314FB" w:rsidRPr="008574F9" w:rsidRDefault="00D314FB" w:rsidP="000C02E9">
      <w:pPr>
        <w:autoSpaceDE w:val="0"/>
        <w:autoSpaceDN w:val="0"/>
        <w:adjustRightInd w:val="0"/>
        <w:rPr>
          <w:szCs w:val="24"/>
        </w:rPr>
      </w:pPr>
    </w:p>
    <w:p w:rsidR="000C02E9" w:rsidRPr="008574F9" w:rsidRDefault="000C02E9" w:rsidP="00B3743F">
      <w:pPr>
        <w:autoSpaceDE w:val="0"/>
        <w:autoSpaceDN w:val="0"/>
        <w:adjustRightInd w:val="0"/>
        <w:ind w:firstLine="720"/>
        <w:rPr>
          <w:szCs w:val="24"/>
        </w:rPr>
      </w:pPr>
      <w:r w:rsidRPr="008574F9">
        <w:rPr>
          <w:szCs w:val="24"/>
        </w:rPr>
        <w:t xml:space="preserve">Finally, as part of updating the ICR for the </w:t>
      </w:r>
      <w:r w:rsidR="00F01416">
        <w:rPr>
          <w:szCs w:val="24"/>
        </w:rPr>
        <w:t>ARP</w:t>
      </w:r>
      <w:r w:rsidR="00647459">
        <w:rPr>
          <w:szCs w:val="24"/>
        </w:rPr>
        <w:t xml:space="preserve"> </w:t>
      </w:r>
      <w:r w:rsidRPr="008574F9">
        <w:rPr>
          <w:szCs w:val="24"/>
        </w:rPr>
        <w:t>monitoring</w:t>
      </w:r>
      <w:r w:rsidR="00B3743F" w:rsidRPr="008574F9">
        <w:rPr>
          <w:szCs w:val="24"/>
        </w:rPr>
        <w:t xml:space="preserve"> </w:t>
      </w:r>
      <w:r w:rsidRPr="008574F9">
        <w:rPr>
          <w:szCs w:val="24"/>
        </w:rPr>
        <w:t>requirements</w:t>
      </w:r>
      <w:r w:rsidR="00647459">
        <w:rPr>
          <w:szCs w:val="24"/>
        </w:rPr>
        <w:t xml:space="preserve"> (40 CFR part 75)</w:t>
      </w:r>
      <w:r w:rsidRPr="008574F9">
        <w:rPr>
          <w:szCs w:val="24"/>
        </w:rPr>
        <w:t>, EPA contacted various affected parties to ga</w:t>
      </w:r>
      <w:r w:rsidR="00B3743F" w:rsidRPr="008574F9">
        <w:rPr>
          <w:szCs w:val="24"/>
        </w:rPr>
        <w:t xml:space="preserve">ther information on CEM capital </w:t>
      </w:r>
      <w:r w:rsidRPr="008574F9">
        <w:rPr>
          <w:szCs w:val="24"/>
        </w:rPr>
        <w:t>costs,</w:t>
      </w:r>
      <w:r w:rsidR="00B3743F" w:rsidRPr="008574F9">
        <w:rPr>
          <w:szCs w:val="24"/>
        </w:rPr>
        <w:t xml:space="preserve"> </w:t>
      </w:r>
      <w:r w:rsidRPr="008574F9">
        <w:rPr>
          <w:szCs w:val="24"/>
        </w:rPr>
        <w:t>CEM operation and maintenance costs, fuel meter capital costs, and CEM/fuel</w:t>
      </w:r>
      <w:r w:rsidR="004A76E0">
        <w:rPr>
          <w:szCs w:val="24"/>
        </w:rPr>
        <w:t xml:space="preserve"> </w:t>
      </w:r>
      <w:r w:rsidRPr="008574F9">
        <w:rPr>
          <w:szCs w:val="24"/>
        </w:rPr>
        <w:t>meter testing costs</w:t>
      </w:r>
      <w:r w:rsidR="003972B1" w:rsidRPr="008574F9">
        <w:rPr>
          <w:szCs w:val="24"/>
        </w:rPr>
        <w:t xml:space="preserve">.  </w:t>
      </w:r>
      <w:r w:rsidRPr="008574F9">
        <w:rPr>
          <w:szCs w:val="24"/>
        </w:rPr>
        <w:t>That information has been used in this</w:t>
      </w:r>
      <w:r w:rsidR="00FE6353">
        <w:rPr>
          <w:szCs w:val="24"/>
        </w:rPr>
        <w:t xml:space="preserve"> </w:t>
      </w:r>
      <w:r w:rsidRPr="008574F9">
        <w:rPr>
          <w:szCs w:val="24"/>
        </w:rPr>
        <w:t>ICR</w:t>
      </w:r>
      <w:r w:rsidR="003F434D">
        <w:rPr>
          <w:szCs w:val="24"/>
        </w:rPr>
        <w:t>, as</w:t>
      </w:r>
      <w:r w:rsidRPr="008574F9">
        <w:rPr>
          <w:szCs w:val="24"/>
        </w:rPr>
        <w:t xml:space="preserve"> appropriate.</w:t>
      </w:r>
    </w:p>
    <w:p w:rsidR="003F7265" w:rsidRDefault="003F7265" w:rsidP="00592E0E">
      <w:pPr>
        <w:tabs>
          <w:tab w:val="left" w:pos="360"/>
        </w:tabs>
        <w:autoSpaceDE w:val="0"/>
        <w:autoSpaceDN w:val="0"/>
        <w:adjustRightInd w:val="0"/>
        <w:ind w:left="360"/>
        <w:rPr>
          <w:b/>
          <w:bCs/>
          <w:szCs w:val="24"/>
        </w:rPr>
      </w:pPr>
    </w:p>
    <w:p w:rsidR="000C02E9" w:rsidRPr="008574F9" w:rsidRDefault="00E86F33" w:rsidP="00592E0E">
      <w:pPr>
        <w:tabs>
          <w:tab w:val="left" w:pos="360"/>
        </w:tabs>
        <w:autoSpaceDE w:val="0"/>
        <w:autoSpaceDN w:val="0"/>
        <w:adjustRightInd w:val="0"/>
        <w:ind w:left="360"/>
        <w:rPr>
          <w:b/>
          <w:bCs/>
          <w:szCs w:val="24"/>
        </w:rPr>
      </w:pPr>
      <w:r>
        <w:rPr>
          <w:b/>
          <w:bCs/>
          <w:szCs w:val="24"/>
        </w:rPr>
        <w:t xml:space="preserve">3.4  </w:t>
      </w:r>
      <w:r w:rsidR="000C02E9" w:rsidRPr="008574F9">
        <w:rPr>
          <w:b/>
          <w:bCs/>
          <w:szCs w:val="24"/>
        </w:rPr>
        <w:t>Effects of Less Frequent Collection</w:t>
      </w:r>
    </w:p>
    <w:p w:rsidR="00D314FB" w:rsidRPr="008574F9" w:rsidRDefault="00D314FB" w:rsidP="000C02E9">
      <w:pPr>
        <w:autoSpaceDE w:val="0"/>
        <w:autoSpaceDN w:val="0"/>
        <w:adjustRightInd w:val="0"/>
        <w:rPr>
          <w:b/>
          <w:bCs/>
          <w:szCs w:val="24"/>
        </w:rPr>
      </w:pPr>
    </w:p>
    <w:p w:rsidR="000C02E9" w:rsidRPr="008574F9" w:rsidRDefault="000C02E9" w:rsidP="00B3743F">
      <w:pPr>
        <w:autoSpaceDE w:val="0"/>
        <w:autoSpaceDN w:val="0"/>
        <w:adjustRightInd w:val="0"/>
        <w:ind w:firstLine="720"/>
        <w:rPr>
          <w:szCs w:val="24"/>
        </w:rPr>
      </w:pPr>
      <w:r w:rsidRPr="008574F9">
        <w:rPr>
          <w:szCs w:val="24"/>
        </w:rPr>
        <w:t>Submittal o</w:t>
      </w:r>
      <w:r w:rsidR="006B6CC0">
        <w:rPr>
          <w:szCs w:val="24"/>
        </w:rPr>
        <w:t xml:space="preserve">f allowance trading </w:t>
      </w:r>
      <w:r w:rsidRPr="008574F9">
        <w:rPr>
          <w:szCs w:val="24"/>
        </w:rPr>
        <w:t>and emissions information on an annual basis</w:t>
      </w:r>
      <w:r w:rsidR="00B3743F" w:rsidRPr="008574F9">
        <w:rPr>
          <w:szCs w:val="24"/>
        </w:rPr>
        <w:t xml:space="preserve"> </w:t>
      </w:r>
      <w:r w:rsidR="003F434D">
        <w:rPr>
          <w:szCs w:val="24"/>
        </w:rPr>
        <w:t xml:space="preserve">(and/or on an ozone-season basis, as applicable) </w:t>
      </w:r>
      <w:r w:rsidRPr="008574F9">
        <w:rPr>
          <w:szCs w:val="24"/>
        </w:rPr>
        <w:t xml:space="preserve">provides </w:t>
      </w:r>
      <w:r w:rsidR="00F464BD">
        <w:rPr>
          <w:szCs w:val="24"/>
        </w:rPr>
        <w:t xml:space="preserve">the data </w:t>
      </w:r>
      <w:r w:rsidRPr="008574F9">
        <w:rPr>
          <w:szCs w:val="24"/>
        </w:rPr>
        <w:t xml:space="preserve">necessary </w:t>
      </w:r>
      <w:r w:rsidR="00F464BD">
        <w:rPr>
          <w:szCs w:val="24"/>
        </w:rPr>
        <w:t xml:space="preserve">to determine </w:t>
      </w:r>
      <w:r w:rsidR="006B6CC0">
        <w:rPr>
          <w:szCs w:val="24"/>
        </w:rPr>
        <w:t xml:space="preserve">whether </w:t>
      </w:r>
      <w:r w:rsidR="003F434D">
        <w:rPr>
          <w:szCs w:val="24"/>
        </w:rPr>
        <w:t>state budgets</w:t>
      </w:r>
      <w:r w:rsidRPr="008574F9">
        <w:rPr>
          <w:szCs w:val="24"/>
        </w:rPr>
        <w:t xml:space="preserve"> have been </w:t>
      </w:r>
      <w:r w:rsidR="003F434D">
        <w:rPr>
          <w:szCs w:val="24"/>
        </w:rPr>
        <w:t>exceede</w:t>
      </w:r>
      <w:r w:rsidRPr="008574F9">
        <w:rPr>
          <w:szCs w:val="24"/>
        </w:rPr>
        <w:t>d</w:t>
      </w:r>
      <w:r w:rsidR="003972B1" w:rsidRPr="008574F9">
        <w:rPr>
          <w:szCs w:val="24"/>
        </w:rPr>
        <w:t xml:space="preserve">.  </w:t>
      </w:r>
      <w:r w:rsidRPr="008574F9">
        <w:rPr>
          <w:szCs w:val="24"/>
        </w:rPr>
        <w:t>If this information collection were not carried out annually for</w:t>
      </w:r>
      <w:r w:rsidR="00B3743F" w:rsidRPr="008574F9">
        <w:rPr>
          <w:szCs w:val="24"/>
        </w:rPr>
        <w:t xml:space="preserve"> </w:t>
      </w:r>
      <w:r w:rsidRPr="008574F9">
        <w:rPr>
          <w:szCs w:val="24"/>
        </w:rPr>
        <w:t>sources</w:t>
      </w:r>
      <w:r w:rsidR="006B6CC0">
        <w:rPr>
          <w:szCs w:val="24"/>
        </w:rPr>
        <w:t xml:space="preserve"> subject to the TR</w:t>
      </w:r>
      <w:r w:rsidRPr="008574F9">
        <w:rPr>
          <w:szCs w:val="24"/>
        </w:rPr>
        <w:t>, EPA would not be able to verify that</w:t>
      </w:r>
      <w:r w:rsidR="00B3743F" w:rsidRPr="008574F9">
        <w:rPr>
          <w:szCs w:val="24"/>
        </w:rPr>
        <w:t xml:space="preserve"> </w:t>
      </w:r>
      <w:r w:rsidRPr="008574F9">
        <w:rPr>
          <w:szCs w:val="24"/>
        </w:rPr>
        <w:t>emission red</w:t>
      </w:r>
      <w:r w:rsidR="00803A13">
        <w:rPr>
          <w:szCs w:val="24"/>
        </w:rPr>
        <w:t>uctions necessary to meet each s</w:t>
      </w:r>
      <w:r w:rsidRPr="008574F9">
        <w:rPr>
          <w:szCs w:val="24"/>
        </w:rPr>
        <w:t>tate</w:t>
      </w:r>
      <w:r w:rsidR="00033581">
        <w:rPr>
          <w:szCs w:val="24"/>
        </w:rPr>
        <w:t>'</w:t>
      </w:r>
      <w:r w:rsidRPr="008574F9">
        <w:rPr>
          <w:szCs w:val="24"/>
        </w:rPr>
        <w:t xml:space="preserve">s </w:t>
      </w:r>
      <w:r w:rsidR="00E076D5">
        <w:rPr>
          <w:szCs w:val="24"/>
        </w:rPr>
        <w:t>NO</w:t>
      </w:r>
      <w:r w:rsidR="00E076D5" w:rsidRPr="00CF1B63">
        <w:rPr>
          <w:szCs w:val="24"/>
          <w:vertAlign w:val="subscript"/>
        </w:rPr>
        <w:t>X</w:t>
      </w:r>
      <w:r w:rsidR="00E076D5" w:rsidRPr="008574F9">
        <w:rPr>
          <w:szCs w:val="24"/>
        </w:rPr>
        <w:t xml:space="preserve"> </w:t>
      </w:r>
      <w:r w:rsidR="00E076D5">
        <w:rPr>
          <w:szCs w:val="24"/>
        </w:rPr>
        <w:t xml:space="preserve">and </w:t>
      </w:r>
      <w:r w:rsidRPr="008574F9">
        <w:rPr>
          <w:szCs w:val="24"/>
        </w:rPr>
        <w:t>SO</w:t>
      </w:r>
      <w:r w:rsidRPr="00E975AC">
        <w:rPr>
          <w:szCs w:val="24"/>
          <w:vertAlign w:val="subscript"/>
        </w:rPr>
        <w:t>2</w:t>
      </w:r>
      <w:r w:rsidR="00E076D5">
        <w:rPr>
          <w:szCs w:val="24"/>
        </w:rPr>
        <w:t xml:space="preserve"> </w:t>
      </w:r>
      <w:r w:rsidRPr="008574F9">
        <w:rPr>
          <w:szCs w:val="24"/>
        </w:rPr>
        <w:t>emission budgets were being</w:t>
      </w:r>
      <w:r w:rsidR="00B3743F" w:rsidRPr="008574F9">
        <w:rPr>
          <w:szCs w:val="24"/>
        </w:rPr>
        <w:t xml:space="preserve"> </w:t>
      </w:r>
      <w:r w:rsidRPr="008574F9">
        <w:rPr>
          <w:szCs w:val="24"/>
        </w:rPr>
        <w:t>achieved</w:t>
      </w:r>
      <w:r w:rsidR="003972B1" w:rsidRPr="008574F9">
        <w:rPr>
          <w:szCs w:val="24"/>
        </w:rPr>
        <w:t xml:space="preserve">.  </w:t>
      </w:r>
      <w:r w:rsidRPr="008574F9">
        <w:rPr>
          <w:szCs w:val="24"/>
        </w:rPr>
        <w:t xml:space="preserve">Because the </w:t>
      </w:r>
      <w:r w:rsidR="00E076D5">
        <w:rPr>
          <w:szCs w:val="24"/>
        </w:rPr>
        <w:t>NO</w:t>
      </w:r>
      <w:r w:rsidR="00E076D5" w:rsidRPr="00CF1B63">
        <w:rPr>
          <w:szCs w:val="24"/>
          <w:vertAlign w:val="subscript"/>
        </w:rPr>
        <w:t>X</w:t>
      </w:r>
      <w:r w:rsidR="00E076D5" w:rsidRPr="008574F9">
        <w:rPr>
          <w:szCs w:val="24"/>
        </w:rPr>
        <w:t xml:space="preserve"> </w:t>
      </w:r>
      <w:r w:rsidR="00E076D5">
        <w:rPr>
          <w:szCs w:val="24"/>
        </w:rPr>
        <w:t xml:space="preserve">and </w:t>
      </w:r>
      <w:r w:rsidRPr="008574F9">
        <w:rPr>
          <w:szCs w:val="24"/>
        </w:rPr>
        <w:t>SO</w:t>
      </w:r>
      <w:r w:rsidRPr="00E975AC">
        <w:rPr>
          <w:szCs w:val="24"/>
          <w:vertAlign w:val="subscript"/>
        </w:rPr>
        <w:t>2</w:t>
      </w:r>
      <w:r w:rsidR="00E076D5">
        <w:rPr>
          <w:szCs w:val="24"/>
        </w:rPr>
        <w:t xml:space="preserve"> </w:t>
      </w:r>
      <w:r w:rsidRPr="008574F9">
        <w:rPr>
          <w:szCs w:val="24"/>
        </w:rPr>
        <w:t>budgets prescribed have been deemed essential in order to</w:t>
      </w:r>
      <w:r w:rsidR="00B3743F" w:rsidRPr="008574F9">
        <w:rPr>
          <w:szCs w:val="24"/>
        </w:rPr>
        <w:t xml:space="preserve"> </w:t>
      </w:r>
      <w:r w:rsidR="00803A13">
        <w:rPr>
          <w:szCs w:val="24"/>
        </w:rPr>
        <w:t>aid downwind s</w:t>
      </w:r>
      <w:r w:rsidRPr="008574F9">
        <w:rPr>
          <w:szCs w:val="24"/>
        </w:rPr>
        <w:t>tates in attaining the NAAQS in a timely manner, data collected less frequently</w:t>
      </w:r>
      <w:r w:rsidR="00B3743F" w:rsidRPr="008574F9">
        <w:rPr>
          <w:szCs w:val="24"/>
        </w:rPr>
        <w:t xml:space="preserve"> </w:t>
      </w:r>
      <w:r w:rsidRPr="008574F9">
        <w:rPr>
          <w:szCs w:val="24"/>
        </w:rPr>
        <w:t>would be of little or no use.</w:t>
      </w:r>
    </w:p>
    <w:p w:rsidR="00B3743F" w:rsidRPr="008574F9" w:rsidRDefault="00B3743F" w:rsidP="000C02E9">
      <w:pPr>
        <w:autoSpaceDE w:val="0"/>
        <w:autoSpaceDN w:val="0"/>
        <w:adjustRightInd w:val="0"/>
        <w:rPr>
          <w:szCs w:val="24"/>
        </w:rPr>
      </w:pPr>
    </w:p>
    <w:p w:rsidR="000C02E9" w:rsidRPr="008574F9" w:rsidRDefault="000C02E9" w:rsidP="00B3743F">
      <w:pPr>
        <w:autoSpaceDE w:val="0"/>
        <w:autoSpaceDN w:val="0"/>
        <w:adjustRightInd w:val="0"/>
        <w:ind w:firstLine="720"/>
        <w:rPr>
          <w:szCs w:val="24"/>
        </w:rPr>
      </w:pPr>
      <w:r w:rsidRPr="008574F9">
        <w:rPr>
          <w:szCs w:val="24"/>
        </w:rPr>
        <w:t xml:space="preserve">Quarterly collection of emissions data allows </w:t>
      </w:r>
      <w:r w:rsidR="005438C0">
        <w:rPr>
          <w:szCs w:val="24"/>
        </w:rPr>
        <w:t xml:space="preserve">for frequent </w:t>
      </w:r>
      <w:r w:rsidRPr="008574F9">
        <w:rPr>
          <w:szCs w:val="24"/>
        </w:rPr>
        <w:t>check</w:t>
      </w:r>
      <w:r w:rsidR="005438C0">
        <w:rPr>
          <w:szCs w:val="24"/>
        </w:rPr>
        <w:t>ing of</w:t>
      </w:r>
      <w:r w:rsidRPr="008574F9">
        <w:rPr>
          <w:szCs w:val="24"/>
        </w:rPr>
        <w:t xml:space="preserve"> data for errors and</w:t>
      </w:r>
      <w:r w:rsidR="00B3743F" w:rsidRPr="008574F9">
        <w:rPr>
          <w:szCs w:val="24"/>
        </w:rPr>
        <w:t xml:space="preserve"> </w:t>
      </w:r>
      <w:r w:rsidRPr="008574F9">
        <w:rPr>
          <w:szCs w:val="24"/>
        </w:rPr>
        <w:t>provide</w:t>
      </w:r>
      <w:r w:rsidR="005438C0">
        <w:rPr>
          <w:szCs w:val="24"/>
        </w:rPr>
        <w:t>s rapid feedback to industry of</w:t>
      </w:r>
      <w:r w:rsidRPr="008574F9">
        <w:rPr>
          <w:szCs w:val="24"/>
        </w:rPr>
        <w:t xml:space="preserve"> needed adjustments</w:t>
      </w:r>
      <w:r w:rsidR="005438C0">
        <w:rPr>
          <w:szCs w:val="24"/>
        </w:rPr>
        <w:t xml:space="preserve"> to data collection systems, thereby promoting more</w:t>
      </w:r>
      <w:r w:rsidR="00B3743F" w:rsidRPr="008574F9">
        <w:rPr>
          <w:szCs w:val="24"/>
        </w:rPr>
        <w:t xml:space="preserve"> </w:t>
      </w:r>
      <w:r w:rsidRPr="008574F9">
        <w:rPr>
          <w:szCs w:val="24"/>
        </w:rPr>
        <w:t>accurate and reliable emissions data</w:t>
      </w:r>
      <w:r w:rsidR="003972B1" w:rsidRPr="008574F9">
        <w:rPr>
          <w:szCs w:val="24"/>
        </w:rPr>
        <w:t xml:space="preserve">.  </w:t>
      </w:r>
      <w:r w:rsidR="005438C0">
        <w:rPr>
          <w:szCs w:val="24"/>
        </w:rPr>
        <w:t>Also</w:t>
      </w:r>
      <w:r w:rsidRPr="008574F9">
        <w:rPr>
          <w:szCs w:val="24"/>
        </w:rPr>
        <w:t xml:space="preserve">, existing federal and </w:t>
      </w:r>
      <w:r w:rsidR="00803A13">
        <w:rPr>
          <w:szCs w:val="24"/>
        </w:rPr>
        <w:t>s</w:t>
      </w:r>
      <w:r w:rsidR="009D2B68">
        <w:rPr>
          <w:szCs w:val="24"/>
        </w:rPr>
        <w:t>tate</w:t>
      </w:r>
      <w:r w:rsidRPr="008574F9">
        <w:rPr>
          <w:szCs w:val="24"/>
        </w:rPr>
        <w:t xml:space="preserve"> emission</w:t>
      </w:r>
      <w:r w:rsidR="00B3743F" w:rsidRPr="008574F9">
        <w:rPr>
          <w:szCs w:val="24"/>
        </w:rPr>
        <w:t xml:space="preserve"> </w:t>
      </w:r>
      <w:r w:rsidRPr="008574F9">
        <w:rPr>
          <w:szCs w:val="24"/>
        </w:rPr>
        <w:t>monitoring programs often require quarterly reporting, or in some cases, monthly</w:t>
      </w:r>
      <w:r w:rsidR="003972B1" w:rsidRPr="008574F9">
        <w:rPr>
          <w:szCs w:val="24"/>
        </w:rPr>
        <w:t xml:space="preserve">.  </w:t>
      </w:r>
      <w:r w:rsidRPr="008574F9">
        <w:rPr>
          <w:szCs w:val="24"/>
        </w:rPr>
        <w:t>Less frequent</w:t>
      </w:r>
      <w:r w:rsidR="00B3743F" w:rsidRPr="008574F9">
        <w:rPr>
          <w:szCs w:val="24"/>
        </w:rPr>
        <w:t xml:space="preserve"> </w:t>
      </w:r>
      <w:r w:rsidRPr="008574F9">
        <w:rPr>
          <w:szCs w:val="24"/>
        </w:rPr>
        <w:t>collection, such as semi-annually or annually, would increase the amount of preparation and</w:t>
      </w:r>
      <w:r w:rsidR="00B3743F" w:rsidRPr="008574F9">
        <w:rPr>
          <w:szCs w:val="24"/>
        </w:rPr>
        <w:t xml:space="preserve"> </w:t>
      </w:r>
      <w:r w:rsidRPr="008574F9">
        <w:rPr>
          <w:szCs w:val="24"/>
        </w:rPr>
        <w:t>review time at the end of the reporting period both for regulated sources and for EPA</w:t>
      </w:r>
      <w:r w:rsidR="00F464BD">
        <w:rPr>
          <w:szCs w:val="24"/>
        </w:rPr>
        <w:t xml:space="preserve">, and </w:t>
      </w:r>
      <w:r w:rsidRPr="008574F9">
        <w:rPr>
          <w:szCs w:val="24"/>
        </w:rPr>
        <w:t>would slow down the process of compliance</w:t>
      </w:r>
      <w:r w:rsidR="00F464BD">
        <w:rPr>
          <w:szCs w:val="24"/>
        </w:rPr>
        <w:t xml:space="preserve"> determination</w:t>
      </w:r>
      <w:r w:rsidRPr="008574F9">
        <w:rPr>
          <w:szCs w:val="24"/>
        </w:rPr>
        <w:t>.</w:t>
      </w:r>
    </w:p>
    <w:p w:rsidR="003F7265" w:rsidRDefault="003F7265" w:rsidP="0000737E">
      <w:pPr>
        <w:autoSpaceDE w:val="0"/>
        <w:autoSpaceDN w:val="0"/>
        <w:adjustRightInd w:val="0"/>
        <w:rPr>
          <w:b/>
          <w:bCs/>
          <w:szCs w:val="24"/>
        </w:rPr>
      </w:pPr>
    </w:p>
    <w:p w:rsidR="000C02E9" w:rsidRPr="008574F9" w:rsidRDefault="000C02E9" w:rsidP="00592E0E">
      <w:pPr>
        <w:autoSpaceDE w:val="0"/>
        <w:autoSpaceDN w:val="0"/>
        <w:adjustRightInd w:val="0"/>
        <w:ind w:left="360"/>
        <w:rPr>
          <w:b/>
          <w:bCs/>
          <w:szCs w:val="24"/>
        </w:rPr>
      </w:pPr>
      <w:r w:rsidRPr="008574F9">
        <w:rPr>
          <w:b/>
          <w:bCs/>
          <w:szCs w:val="24"/>
        </w:rPr>
        <w:t>3</w:t>
      </w:r>
      <w:r w:rsidR="00E86F33">
        <w:rPr>
          <w:b/>
          <w:bCs/>
          <w:szCs w:val="24"/>
        </w:rPr>
        <w:t xml:space="preserve">.5 </w:t>
      </w:r>
      <w:r w:rsidRPr="008574F9">
        <w:rPr>
          <w:b/>
          <w:bCs/>
          <w:szCs w:val="24"/>
        </w:rPr>
        <w:t xml:space="preserve"> General Guidelines</w:t>
      </w:r>
    </w:p>
    <w:p w:rsidR="00D314FB" w:rsidRPr="008574F9" w:rsidRDefault="00D314FB" w:rsidP="000C02E9">
      <w:pPr>
        <w:autoSpaceDE w:val="0"/>
        <w:autoSpaceDN w:val="0"/>
        <w:adjustRightInd w:val="0"/>
        <w:rPr>
          <w:szCs w:val="24"/>
        </w:rPr>
      </w:pPr>
    </w:p>
    <w:p w:rsidR="000C02E9" w:rsidRPr="008574F9" w:rsidRDefault="000C02E9" w:rsidP="00B3743F">
      <w:pPr>
        <w:autoSpaceDE w:val="0"/>
        <w:autoSpaceDN w:val="0"/>
        <w:adjustRightInd w:val="0"/>
        <w:ind w:firstLine="720"/>
        <w:rPr>
          <w:szCs w:val="24"/>
        </w:rPr>
      </w:pPr>
      <w:r w:rsidRPr="008574F9">
        <w:rPr>
          <w:szCs w:val="24"/>
        </w:rPr>
        <w:t>This ICR does not violate any of OMB</w:t>
      </w:r>
      <w:r w:rsidR="00033581">
        <w:rPr>
          <w:szCs w:val="24"/>
        </w:rPr>
        <w:t>'</w:t>
      </w:r>
      <w:r w:rsidRPr="008574F9">
        <w:rPr>
          <w:szCs w:val="24"/>
        </w:rPr>
        <w:t>s guidelines for information collections.</w:t>
      </w:r>
    </w:p>
    <w:p w:rsidR="00D314FB" w:rsidRPr="008574F9" w:rsidRDefault="00D314FB" w:rsidP="000C02E9">
      <w:pPr>
        <w:autoSpaceDE w:val="0"/>
        <w:autoSpaceDN w:val="0"/>
        <w:adjustRightInd w:val="0"/>
        <w:rPr>
          <w:b/>
          <w:bCs/>
          <w:szCs w:val="24"/>
        </w:rPr>
      </w:pPr>
    </w:p>
    <w:p w:rsidR="000C02E9" w:rsidRPr="008574F9" w:rsidRDefault="000C02E9" w:rsidP="00592E0E">
      <w:pPr>
        <w:autoSpaceDE w:val="0"/>
        <w:autoSpaceDN w:val="0"/>
        <w:adjustRightInd w:val="0"/>
        <w:ind w:left="360"/>
        <w:rPr>
          <w:b/>
          <w:bCs/>
          <w:szCs w:val="24"/>
        </w:rPr>
      </w:pPr>
      <w:r w:rsidRPr="008574F9">
        <w:rPr>
          <w:b/>
          <w:bCs/>
          <w:szCs w:val="24"/>
        </w:rPr>
        <w:t>3</w:t>
      </w:r>
      <w:r w:rsidR="00E86F33">
        <w:rPr>
          <w:b/>
          <w:bCs/>
          <w:szCs w:val="24"/>
        </w:rPr>
        <w:t xml:space="preserve">.6 </w:t>
      </w:r>
      <w:r w:rsidRPr="008574F9">
        <w:rPr>
          <w:b/>
          <w:bCs/>
          <w:szCs w:val="24"/>
        </w:rPr>
        <w:t xml:space="preserve"> Confidentiality</w:t>
      </w:r>
    </w:p>
    <w:p w:rsidR="009B4B4C" w:rsidRPr="008574F9" w:rsidRDefault="009B4B4C" w:rsidP="009B4B4C">
      <w:pPr>
        <w:autoSpaceDE w:val="0"/>
        <w:autoSpaceDN w:val="0"/>
        <w:adjustRightInd w:val="0"/>
        <w:rPr>
          <w:szCs w:val="24"/>
        </w:rPr>
      </w:pPr>
    </w:p>
    <w:p w:rsidR="000C02E9" w:rsidRDefault="000C02E9" w:rsidP="00B3743F">
      <w:pPr>
        <w:autoSpaceDE w:val="0"/>
        <w:autoSpaceDN w:val="0"/>
        <w:adjustRightInd w:val="0"/>
        <w:ind w:firstLine="720"/>
        <w:rPr>
          <w:szCs w:val="24"/>
        </w:rPr>
      </w:pPr>
      <w:r w:rsidRPr="008574F9">
        <w:rPr>
          <w:szCs w:val="24"/>
        </w:rPr>
        <w:t>Any data that is submitted to EPA under this rule will be considered in the public domain and</w:t>
      </w:r>
      <w:r w:rsidR="00B3743F" w:rsidRPr="008574F9">
        <w:rPr>
          <w:szCs w:val="24"/>
        </w:rPr>
        <w:t xml:space="preserve"> </w:t>
      </w:r>
      <w:r w:rsidRPr="008574F9">
        <w:rPr>
          <w:szCs w:val="24"/>
        </w:rPr>
        <w:t>cannot be treated as confidential.</w:t>
      </w:r>
    </w:p>
    <w:p w:rsidR="00057BDD" w:rsidRPr="008574F9" w:rsidRDefault="00057BDD" w:rsidP="00B3743F">
      <w:pPr>
        <w:autoSpaceDE w:val="0"/>
        <w:autoSpaceDN w:val="0"/>
        <w:adjustRightInd w:val="0"/>
        <w:ind w:firstLine="720"/>
        <w:rPr>
          <w:szCs w:val="24"/>
        </w:rPr>
      </w:pPr>
    </w:p>
    <w:p w:rsidR="005153D7" w:rsidRPr="008574F9" w:rsidRDefault="000C02E9" w:rsidP="00B3743F">
      <w:pPr>
        <w:autoSpaceDE w:val="0"/>
        <w:autoSpaceDN w:val="0"/>
        <w:adjustRightInd w:val="0"/>
        <w:ind w:firstLine="720"/>
        <w:rPr>
          <w:szCs w:val="24"/>
        </w:rPr>
      </w:pPr>
      <w:r w:rsidRPr="008574F9">
        <w:rPr>
          <w:szCs w:val="24"/>
        </w:rPr>
        <w:t xml:space="preserve">As required by Section 114 of the </w:t>
      </w:r>
      <w:r w:rsidR="0068196D">
        <w:rPr>
          <w:szCs w:val="24"/>
        </w:rPr>
        <w:t>CAA</w:t>
      </w:r>
      <w:r w:rsidRPr="008574F9">
        <w:rPr>
          <w:szCs w:val="24"/>
        </w:rPr>
        <w:t>, estimates or measurements of emissions</w:t>
      </w:r>
      <w:r w:rsidR="00B3743F" w:rsidRPr="008574F9">
        <w:rPr>
          <w:szCs w:val="24"/>
        </w:rPr>
        <w:t xml:space="preserve"> </w:t>
      </w:r>
      <w:r w:rsidRPr="008574F9">
        <w:rPr>
          <w:szCs w:val="24"/>
        </w:rPr>
        <w:t>must be treated as non</w:t>
      </w:r>
      <w:r w:rsidR="009B4B4C" w:rsidRPr="008574F9">
        <w:rPr>
          <w:szCs w:val="24"/>
        </w:rPr>
        <w:t>-</w:t>
      </w:r>
      <w:r w:rsidRPr="008574F9">
        <w:rPr>
          <w:szCs w:val="24"/>
        </w:rPr>
        <w:t>confidential</w:t>
      </w:r>
      <w:r w:rsidR="003972B1" w:rsidRPr="008574F9">
        <w:rPr>
          <w:szCs w:val="24"/>
        </w:rPr>
        <w:t xml:space="preserve">.  </w:t>
      </w:r>
      <w:r w:rsidRPr="008574F9">
        <w:rPr>
          <w:szCs w:val="24"/>
        </w:rPr>
        <w:t>Under Agency procedures, data items relating to the</w:t>
      </w:r>
      <w:r w:rsidR="00B3743F" w:rsidRPr="008574F9">
        <w:rPr>
          <w:szCs w:val="24"/>
        </w:rPr>
        <w:t xml:space="preserve"> </w:t>
      </w:r>
      <w:r w:rsidRPr="008574F9">
        <w:rPr>
          <w:szCs w:val="24"/>
        </w:rPr>
        <w:t xml:space="preserve">computation of </w:t>
      </w:r>
      <w:r w:rsidRPr="008574F9">
        <w:rPr>
          <w:szCs w:val="24"/>
        </w:rPr>
        <w:lastRenderedPageBreak/>
        <w:t xml:space="preserve">emissions may be identified as sensitive by </w:t>
      </w:r>
      <w:r w:rsidR="00803A13">
        <w:rPr>
          <w:szCs w:val="24"/>
        </w:rPr>
        <w:t>a s</w:t>
      </w:r>
      <w:r w:rsidR="00B3743F" w:rsidRPr="008574F9">
        <w:rPr>
          <w:szCs w:val="24"/>
        </w:rPr>
        <w:t xml:space="preserve">tate and are then treated as </w:t>
      </w:r>
      <w:r w:rsidR="00033581">
        <w:rPr>
          <w:szCs w:val="24"/>
        </w:rPr>
        <w:t>"</w:t>
      </w:r>
      <w:r w:rsidR="00803A13">
        <w:rPr>
          <w:szCs w:val="24"/>
        </w:rPr>
        <w:t>s</w:t>
      </w:r>
      <w:r w:rsidRPr="008574F9">
        <w:rPr>
          <w:szCs w:val="24"/>
        </w:rPr>
        <w:t>tate</w:t>
      </w:r>
      <w:r w:rsidR="009B4B4C" w:rsidRPr="008574F9">
        <w:rPr>
          <w:szCs w:val="24"/>
        </w:rPr>
        <w:t>-</w:t>
      </w:r>
      <w:r w:rsidRPr="008574F9">
        <w:rPr>
          <w:szCs w:val="24"/>
        </w:rPr>
        <w:t>sensitive</w:t>
      </w:r>
      <w:r w:rsidR="00033581">
        <w:rPr>
          <w:szCs w:val="24"/>
        </w:rPr>
        <w:t>"</w:t>
      </w:r>
      <w:r w:rsidR="00B3743F" w:rsidRPr="008574F9">
        <w:rPr>
          <w:szCs w:val="24"/>
        </w:rPr>
        <w:t xml:space="preserve"> </w:t>
      </w:r>
      <w:r w:rsidRPr="008574F9">
        <w:rPr>
          <w:szCs w:val="24"/>
        </w:rPr>
        <w:t>by EPA</w:t>
      </w:r>
      <w:r w:rsidR="003972B1" w:rsidRPr="008574F9">
        <w:rPr>
          <w:szCs w:val="24"/>
        </w:rPr>
        <w:t xml:space="preserve">.  </w:t>
      </w:r>
      <w:r w:rsidR="00803A13">
        <w:rPr>
          <w:szCs w:val="24"/>
        </w:rPr>
        <w:t>The potentially s</w:t>
      </w:r>
      <w:r w:rsidRPr="008574F9">
        <w:rPr>
          <w:szCs w:val="24"/>
        </w:rPr>
        <w:t>tate-sensitive items include the following: Process rate,</w:t>
      </w:r>
      <w:r w:rsidR="00B3743F" w:rsidRPr="008574F9">
        <w:rPr>
          <w:szCs w:val="24"/>
        </w:rPr>
        <w:t xml:space="preserve"> </w:t>
      </w:r>
      <w:r w:rsidRPr="008574F9">
        <w:rPr>
          <w:szCs w:val="24"/>
        </w:rPr>
        <w:t>boiler design capacity, emission estimation codes, percent space heat, operating rate, and</w:t>
      </w:r>
      <w:r w:rsidR="00B3743F" w:rsidRPr="008574F9">
        <w:rPr>
          <w:szCs w:val="24"/>
        </w:rPr>
        <w:t xml:space="preserve"> </w:t>
      </w:r>
      <w:r w:rsidRPr="008574F9">
        <w:rPr>
          <w:szCs w:val="24"/>
        </w:rPr>
        <w:t>maximum operation rate/hour</w:t>
      </w:r>
      <w:r w:rsidR="003972B1" w:rsidRPr="008574F9">
        <w:rPr>
          <w:szCs w:val="24"/>
        </w:rPr>
        <w:t xml:space="preserve">.  </w:t>
      </w:r>
      <w:r w:rsidR="00427748">
        <w:rPr>
          <w:szCs w:val="24"/>
        </w:rPr>
        <w:t>Where f</w:t>
      </w:r>
      <w:r w:rsidR="00803A13">
        <w:rPr>
          <w:szCs w:val="24"/>
        </w:rPr>
        <w:t>ederal and s</w:t>
      </w:r>
      <w:r w:rsidRPr="008574F9">
        <w:rPr>
          <w:szCs w:val="24"/>
        </w:rPr>
        <w:t xml:space="preserve">tate requirements are inconsistent, </w:t>
      </w:r>
      <w:r w:rsidR="00F375D1">
        <w:rPr>
          <w:szCs w:val="24"/>
        </w:rPr>
        <w:t xml:space="preserve">the appropriate </w:t>
      </w:r>
      <w:r w:rsidRPr="008574F9">
        <w:rPr>
          <w:szCs w:val="24"/>
        </w:rPr>
        <w:t>EPA</w:t>
      </w:r>
      <w:r w:rsidR="00B3743F" w:rsidRPr="008574F9">
        <w:rPr>
          <w:szCs w:val="24"/>
        </w:rPr>
        <w:t xml:space="preserve"> </w:t>
      </w:r>
      <w:r w:rsidRPr="008574F9">
        <w:rPr>
          <w:szCs w:val="24"/>
        </w:rPr>
        <w:t>Regional Office should be consulted.</w:t>
      </w:r>
    </w:p>
    <w:p w:rsidR="00A55C35" w:rsidRDefault="00A55C35" w:rsidP="006B6347">
      <w:pPr>
        <w:keepNext/>
        <w:autoSpaceDE w:val="0"/>
        <w:autoSpaceDN w:val="0"/>
        <w:adjustRightInd w:val="0"/>
        <w:ind w:left="360"/>
        <w:rPr>
          <w:b/>
          <w:bCs/>
          <w:szCs w:val="24"/>
        </w:rPr>
      </w:pPr>
    </w:p>
    <w:p w:rsidR="000C02E9" w:rsidRPr="008574F9" w:rsidRDefault="000C02E9" w:rsidP="006B6347">
      <w:pPr>
        <w:keepNext/>
        <w:autoSpaceDE w:val="0"/>
        <w:autoSpaceDN w:val="0"/>
        <w:adjustRightInd w:val="0"/>
        <w:ind w:left="360"/>
        <w:rPr>
          <w:b/>
          <w:bCs/>
          <w:szCs w:val="24"/>
        </w:rPr>
      </w:pPr>
      <w:r w:rsidRPr="008574F9">
        <w:rPr>
          <w:b/>
          <w:bCs/>
          <w:szCs w:val="24"/>
        </w:rPr>
        <w:t>3</w:t>
      </w:r>
      <w:r w:rsidR="00E86F33">
        <w:rPr>
          <w:b/>
          <w:bCs/>
          <w:szCs w:val="24"/>
        </w:rPr>
        <w:t xml:space="preserve">.7 </w:t>
      </w:r>
      <w:r w:rsidRPr="008574F9">
        <w:rPr>
          <w:b/>
          <w:bCs/>
          <w:szCs w:val="24"/>
        </w:rPr>
        <w:t xml:space="preserve"> Sensitive Questions</w:t>
      </w:r>
    </w:p>
    <w:p w:rsidR="00D314FB" w:rsidRPr="008574F9" w:rsidRDefault="00D314FB" w:rsidP="006B6347">
      <w:pPr>
        <w:keepNext/>
        <w:autoSpaceDE w:val="0"/>
        <w:autoSpaceDN w:val="0"/>
        <w:adjustRightInd w:val="0"/>
        <w:rPr>
          <w:szCs w:val="24"/>
        </w:rPr>
      </w:pPr>
    </w:p>
    <w:p w:rsidR="000C02E9" w:rsidRPr="008574F9" w:rsidRDefault="000C02E9" w:rsidP="006B6347">
      <w:pPr>
        <w:keepNext/>
        <w:autoSpaceDE w:val="0"/>
        <w:autoSpaceDN w:val="0"/>
        <w:adjustRightInd w:val="0"/>
        <w:ind w:firstLine="720"/>
        <w:rPr>
          <w:szCs w:val="24"/>
        </w:rPr>
      </w:pPr>
      <w:r w:rsidRPr="008574F9">
        <w:rPr>
          <w:szCs w:val="24"/>
        </w:rPr>
        <w:t>This information collection does not ask any questions concerning sexual behavior or</w:t>
      </w:r>
      <w:r w:rsidR="00B3743F" w:rsidRPr="008574F9">
        <w:rPr>
          <w:szCs w:val="24"/>
        </w:rPr>
        <w:t xml:space="preserve"> </w:t>
      </w:r>
      <w:r w:rsidRPr="008574F9">
        <w:rPr>
          <w:szCs w:val="24"/>
        </w:rPr>
        <w:t>attitudes, religious beliefs, or other matters usually considered private.</w:t>
      </w:r>
    </w:p>
    <w:p w:rsidR="00D314FB" w:rsidRPr="008574F9" w:rsidRDefault="00D314FB" w:rsidP="000C02E9">
      <w:pPr>
        <w:autoSpaceDE w:val="0"/>
        <w:autoSpaceDN w:val="0"/>
        <w:adjustRightInd w:val="0"/>
        <w:rPr>
          <w:b/>
          <w:bCs/>
          <w:szCs w:val="24"/>
        </w:rPr>
      </w:pPr>
    </w:p>
    <w:p w:rsidR="000C02E9" w:rsidRPr="008574F9" w:rsidRDefault="000C02E9" w:rsidP="00B63D8F">
      <w:pPr>
        <w:keepNext/>
        <w:autoSpaceDE w:val="0"/>
        <w:autoSpaceDN w:val="0"/>
        <w:adjustRightInd w:val="0"/>
        <w:rPr>
          <w:b/>
          <w:bCs/>
          <w:szCs w:val="24"/>
        </w:rPr>
      </w:pPr>
      <w:r w:rsidRPr="008574F9">
        <w:rPr>
          <w:b/>
          <w:bCs/>
          <w:szCs w:val="24"/>
        </w:rPr>
        <w:t>4.</w:t>
      </w:r>
      <w:r w:rsidR="00E86F33">
        <w:rPr>
          <w:b/>
          <w:bCs/>
          <w:szCs w:val="24"/>
        </w:rPr>
        <w:t xml:space="preserve">0 </w:t>
      </w:r>
      <w:r w:rsidRPr="008574F9">
        <w:rPr>
          <w:b/>
          <w:bCs/>
          <w:szCs w:val="24"/>
        </w:rPr>
        <w:t xml:space="preserve"> T</w:t>
      </w:r>
      <w:r w:rsidR="00E86F33">
        <w:rPr>
          <w:b/>
          <w:bCs/>
          <w:szCs w:val="24"/>
        </w:rPr>
        <w:t>he</w:t>
      </w:r>
      <w:r w:rsidRPr="008574F9">
        <w:rPr>
          <w:b/>
          <w:bCs/>
          <w:szCs w:val="24"/>
        </w:rPr>
        <w:t xml:space="preserve"> R</w:t>
      </w:r>
      <w:r w:rsidR="00E86F33">
        <w:rPr>
          <w:b/>
          <w:bCs/>
          <w:szCs w:val="24"/>
        </w:rPr>
        <w:t>espon</w:t>
      </w:r>
      <w:r w:rsidR="003972B1">
        <w:rPr>
          <w:b/>
          <w:bCs/>
          <w:szCs w:val="24"/>
        </w:rPr>
        <w:t>d</w:t>
      </w:r>
      <w:r w:rsidR="00E86F33">
        <w:rPr>
          <w:b/>
          <w:bCs/>
          <w:szCs w:val="24"/>
        </w:rPr>
        <w:t>e</w:t>
      </w:r>
      <w:r w:rsidR="003972B1">
        <w:rPr>
          <w:b/>
          <w:bCs/>
          <w:szCs w:val="24"/>
        </w:rPr>
        <w:t>n</w:t>
      </w:r>
      <w:r w:rsidR="00E86F33">
        <w:rPr>
          <w:b/>
          <w:bCs/>
          <w:szCs w:val="24"/>
        </w:rPr>
        <w:t>ts</w:t>
      </w:r>
      <w:r w:rsidRPr="008574F9">
        <w:rPr>
          <w:b/>
          <w:bCs/>
          <w:szCs w:val="24"/>
        </w:rPr>
        <w:t xml:space="preserve"> </w:t>
      </w:r>
      <w:r w:rsidR="00E86F33">
        <w:rPr>
          <w:b/>
          <w:bCs/>
          <w:szCs w:val="24"/>
        </w:rPr>
        <w:t>and</w:t>
      </w:r>
      <w:r w:rsidRPr="008574F9">
        <w:rPr>
          <w:b/>
          <w:bCs/>
          <w:szCs w:val="24"/>
        </w:rPr>
        <w:t xml:space="preserve"> </w:t>
      </w:r>
      <w:r w:rsidR="00E86F33">
        <w:rPr>
          <w:b/>
          <w:bCs/>
          <w:szCs w:val="24"/>
        </w:rPr>
        <w:t>the</w:t>
      </w:r>
      <w:r w:rsidRPr="008574F9">
        <w:rPr>
          <w:b/>
          <w:bCs/>
          <w:szCs w:val="24"/>
        </w:rPr>
        <w:t xml:space="preserve"> I</w:t>
      </w:r>
      <w:r w:rsidR="00E86F33">
        <w:rPr>
          <w:b/>
          <w:bCs/>
          <w:szCs w:val="24"/>
        </w:rPr>
        <w:t>nformation</w:t>
      </w:r>
      <w:r w:rsidRPr="008574F9">
        <w:rPr>
          <w:b/>
          <w:bCs/>
          <w:szCs w:val="24"/>
        </w:rPr>
        <w:t xml:space="preserve"> R</w:t>
      </w:r>
      <w:r w:rsidR="00E86F33">
        <w:rPr>
          <w:b/>
          <w:bCs/>
          <w:szCs w:val="24"/>
        </w:rPr>
        <w:t>equested</w:t>
      </w:r>
    </w:p>
    <w:p w:rsidR="00D314FB" w:rsidRPr="008574F9" w:rsidRDefault="00D314FB" w:rsidP="00B63D8F">
      <w:pPr>
        <w:keepNext/>
        <w:autoSpaceDE w:val="0"/>
        <w:autoSpaceDN w:val="0"/>
        <w:adjustRightInd w:val="0"/>
        <w:rPr>
          <w:b/>
          <w:bCs/>
          <w:szCs w:val="24"/>
        </w:rPr>
      </w:pPr>
    </w:p>
    <w:p w:rsidR="0000737E" w:rsidRDefault="00E86F33" w:rsidP="00B63D8F">
      <w:pPr>
        <w:keepNext/>
        <w:autoSpaceDE w:val="0"/>
        <w:autoSpaceDN w:val="0"/>
        <w:adjustRightInd w:val="0"/>
        <w:ind w:left="360"/>
        <w:rPr>
          <w:b/>
          <w:bCs/>
          <w:szCs w:val="24"/>
        </w:rPr>
      </w:pPr>
      <w:r>
        <w:rPr>
          <w:b/>
          <w:bCs/>
          <w:szCs w:val="24"/>
        </w:rPr>
        <w:t xml:space="preserve">4.1 </w:t>
      </w:r>
      <w:r w:rsidR="000C02E9" w:rsidRPr="008574F9">
        <w:rPr>
          <w:b/>
          <w:bCs/>
          <w:szCs w:val="24"/>
        </w:rPr>
        <w:t xml:space="preserve"> Respondents/Standard Industrial Classification (SIC) Codes</w:t>
      </w:r>
    </w:p>
    <w:p w:rsidR="00B63D8F" w:rsidRDefault="00B63D8F" w:rsidP="00B63D8F">
      <w:pPr>
        <w:keepNext/>
        <w:autoSpaceDE w:val="0"/>
        <w:autoSpaceDN w:val="0"/>
        <w:adjustRightInd w:val="0"/>
        <w:ind w:left="360"/>
        <w:rPr>
          <w:b/>
          <w:bCs/>
          <w:szCs w:val="24"/>
        </w:rPr>
      </w:pPr>
    </w:p>
    <w:p w:rsidR="000C02E9" w:rsidRDefault="000C02E9" w:rsidP="00B3743F">
      <w:pPr>
        <w:autoSpaceDE w:val="0"/>
        <w:autoSpaceDN w:val="0"/>
        <w:adjustRightInd w:val="0"/>
        <w:ind w:firstLine="720"/>
        <w:rPr>
          <w:szCs w:val="24"/>
        </w:rPr>
      </w:pPr>
      <w:r w:rsidRPr="008574F9">
        <w:rPr>
          <w:szCs w:val="24"/>
        </w:rPr>
        <w:t xml:space="preserve">This ICR estimates a burden for affected industry sources to monitor </w:t>
      </w:r>
      <w:r w:rsidR="00E076D5">
        <w:rPr>
          <w:szCs w:val="24"/>
        </w:rPr>
        <w:t>NO</w:t>
      </w:r>
      <w:r w:rsidR="00E076D5" w:rsidRPr="00CF1B63">
        <w:rPr>
          <w:szCs w:val="24"/>
          <w:vertAlign w:val="subscript"/>
        </w:rPr>
        <w:t>X</w:t>
      </w:r>
      <w:r w:rsidR="00E076D5" w:rsidRPr="008574F9">
        <w:rPr>
          <w:szCs w:val="24"/>
        </w:rPr>
        <w:t xml:space="preserve"> </w:t>
      </w:r>
      <w:r w:rsidR="00E076D5">
        <w:rPr>
          <w:szCs w:val="24"/>
        </w:rPr>
        <w:t xml:space="preserve">and </w:t>
      </w:r>
      <w:r w:rsidRPr="008574F9">
        <w:rPr>
          <w:szCs w:val="24"/>
        </w:rPr>
        <w:t>SO</w:t>
      </w:r>
      <w:r w:rsidRPr="00E975AC">
        <w:rPr>
          <w:szCs w:val="24"/>
          <w:vertAlign w:val="subscript"/>
        </w:rPr>
        <w:t>2</w:t>
      </w:r>
      <w:r w:rsidR="00E076D5">
        <w:rPr>
          <w:szCs w:val="24"/>
        </w:rPr>
        <w:t xml:space="preserve"> </w:t>
      </w:r>
      <w:r w:rsidRPr="008574F9">
        <w:rPr>
          <w:szCs w:val="24"/>
        </w:rPr>
        <w:t>mass</w:t>
      </w:r>
      <w:r w:rsidR="00B3743F" w:rsidRPr="008574F9">
        <w:rPr>
          <w:szCs w:val="24"/>
        </w:rPr>
        <w:t xml:space="preserve"> </w:t>
      </w:r>
      <w:r w:rsidRPr="008574F9">
        <w:rPr>
          <w:szCs w:val="24"/>
        </w:rPr>
        <w:t xml:space="preserve">emissions and demonstrate compliance with </w:t>
      </w:r>
      <w:r w:rsidR="00E076D5">
        <w:rPr>
          <w:szCs w:val="24"/>
        </w:rPr>
        <w:t>NO</w:t>
      </w:r>
      <w:r w:rsidR="00E076D5" w:rsidRPr="00CF1B63">
        <w:rPr>
          <w:szCs w:val="24"/>
          <w:vertAlign w:val="subscript"/>
        </w:rPr>
        <w:t>X</w:t>
      </w:r>
      <w:r w:rsidR="00E076D5" w:rsidRPr="008574F9">
        <w:rPr>
          <w:szCs w:val="24"/>
        </w:rPr>
        <w:t xml:space="preserve"> </w:t>
      </w:r>
      <w:r w:rsidR="00E076D5">
        <w:rPr>
          <w:szCs w:val="24"/>
        </w:rPr>
        <w:t xml:space="preserve">and </w:t>
      </w:r>
      <w:r w:rsidRPr="008574F9">
        <w:rPr>
          <w:szCs w:val="24"/>
        </w:rPr>
        <w:t>SO</w:t>
      </w:r>
      <w:r w:rsidRPr="00E975AC">
        <w:rPr>
          <w:szCs w:val="24"/>
          <w:vertAlign w:val="subscript"/>
        </w:rPr>
        <w:t>2</w:t>
      </w:r>
      <w:r w:rsidR="00E076D5">
        <w:rPr>
          <w:szCs w:val="24"/>
        </w:rPr>
        <w:t xml:space="preserve"> </w:t>
      </w:r>
      <w:r w:rsidRPr="008574F9">
        <w:rPr>
          <w:szCs w:val="24"/>
        </w:rPr>
        <w:t>control measures</w:t>
      </w:r>
      <w:r w:rsidR="003972B1" w:rsidRPr="008574F9">
        <w:rPr>
          <w:szCs w:val="24"/>
        </w:rPr>
        <w:t xml:space="preserve">.  </w:t>
      </w:r>
      <w:r w:rsidR="00A05103">
        <w:rPr>
          <w:szCs w:val="24"/>
        </w:rPr>
        <w:t xml:space="preserve">Sources </w:t>
      </w:r>
      <w:r w:rsidRPr="008574F9">
        <w:rPr>
          <w:szCs w:val="24"/>
        </w:rPr>
        <w:t>report</w:t>
      </w:r>
      <w:r w:rsidR="00B3743F" w:rsidRPr="008574F9">
        <w:rPr>
          <w:szCs w:val="24"/>
        </w:rPr>
        <w:t xml:space="preserve"> </w:t>
      </w:r>
      <w:r w:rsidRPr="008574F9">
        <w:rPr>
          <w:szCs w:val="24"/>
        </w:rPr>
        <w:t xml:space="preserve">data directly to EPA </w:t>
      </w:r>
      <w:r w:rsidR="008F49BA">
        <w:rPr>
          <w:szCs w:val="24"/>
        </w:rPr>
        <w:t>as</w:t>
      </w:r>
      <w:r w:rsidRPr="008574F9">
        <w:rPr>
          <w:szCs w:val="24"/>
        </w:rPr>
        <w:t xml:space="preserve"> required to meet the monito</w:t>
      </w:r>
      <w:r w:rsidR="00A05103">
        <w:rPr>
          <w:szCs w:val="24"/>
        </w:rPr>
        <w:t xml:space="preserve">ring and reporting requirements </w:t>
      </w:r>
      <w:r w:rsidRPr="008574F9">
        <w:rPr>
          <w:szCs w:val="24"/>
        </w:rPr>
        <w:t>of</w:t>
      </w:r>
      <w:r w:rsidR="00B3743F" w:rsidRPr="008574F9">
        <w:rPr>
          <w:szCs w:val="24"/>
        </w:rPr>
        <w:t xml:space="preserve"> </w:t>
      </w:r>
      <w:r w:rsidR="00A05103">
        <w:rPr>
          <w:szCs w:val="24"/>
        </w:rPr>
        <w:t>40 CFR p</w:t>
      </w:r>
      <w:r w:rsidRPr="008574F9">
        <w:rPr>
          <w:szCs w:val="24"/>
        </w:rPr>
        <w:t>art 75</w:t>
      </w:r>
      <w:r w:rsidR="003972B1" w:rsidRPr="008574F9">
        <w:rPr>
          <w:szCs w:val="24"/>
        </w:rPr>
        <w:t xml:space="preserve">.  </w:t>
      </w:r>
      <w:r w:rsidR="008F49BA">
        <w:rPr>
          <w:szCs w:val="24"/>
        </w:rPr>
        <w:t>This rule affects</w:t>
      </w:r>
      <w:r w:rsidRPr="008574F9">
        <w:rPr>
          <w:szCs w:val="24"/>
        </w:rPr>
        <w:t xml:space="preserve"> large el</w:t>
      </w:r>
      <w:r w:rsidR="00B3743F" w:rsidRPr="008574F9">
        <w:rPr>
          <w:szCs w:val="24"/>
        </w:rPr>
        <w:t>ectric utility sources</w:t>
      </w:r>
      <w:r w:rsidR="008F49BA">
        <w:rPr>
          <w:szCs w:val="24"/>
        </w:rPr>
        <w:t xml:space="preserve"> which</w:t>
      </w:r>
      <w:r w:rsidRPr="008574F9">
        <w:rPr>
          <w:szCs w:val="24"/>
        </w:rPr>
        <w:t xml:space="preserve"> are generally</w:t>
      </w:r>
      <w:r w:rsidR="00B3743F" w:rsidRPr="008574F9">
        <w:rPr>
          <w:szCs w:val="24"/>
        </w:rPr>
        <w:t xml:space="preserve"> </w:t>
      </w:r>
      <w:r w:rsidRPr="008574F9">
        <w:rPr>
          <w:szCs w:val="24"/>
        </w:rPr>
        <w:t xml:space="preserve">classified as either SIC 4911 - </w:t>
      </w:r>
      <w:r w:rsidRPr="008574F9">
        <w:rPr>
          <w:i/>
          <w:iCs/>
          <w:szCs w:val="24"/>
        </w:rPr>
        <w:t xml:space="preserve">Electric Services, </w:t>
      </w:r>
      <w:r w:rsidRPr="008574F9">
        <w:rPr>
          <w:szCs w:val="24"/>
        </w:rPr>
        <w:t xml:space="preserve">or 4931 - </w:t>
      </w:r>
      <w:r w:rsidRPr="008574F9">
        <w:rPr>
          <w:i/>
          <w:iCs/>
          <w:szCs w:val="24"/>
        </w:rPr>
        <w:t>Electric and Other Services Combined</w:t>
      </w:r>
      <w:r w:rsidR="00B3743F" w:rsidRPr="008574F9">
        <w:rPr>
          <w:szCs w:val="24"/>
        </w:rPr>
        <w:t xml:space="preserve"> </w:t>
      </w:r>
      <w:r w:rsidRPr="008574F9">
        <w:rPr>
          <w:szCs w:val="24"/>
        </w:rPr>
        <w:t>[NAICS 221112 Electric Power Distribution].</w:t>
      </w:r>
    </w:p>
    <w:p w:rsidR="00385539" w:rsidRPr="008574F9" w:rsidRDefault="00385539" w:rsidP="00B3743F">
      <w:pPr>
        <w:autoSpaceDE w:val="0"/>
        <w:autoSpaceDN w:val="0"/>
        <w:adjustRightInd w:val="0"/>
        <w:ind w:firstLine="720"/>
        <w:rPr>
          <w:szCs w:val="24"/>
        </w:rPr>
      </w:pPr>
      <w:r>
        <w:rPr>
          <w:szCs w:val="24"/>
        </w:rPr>
        <w:t>As noted above, the TR regulates sources directly through FIPs and does not impose any reporting obligations on non-industry entities.  However, states have the option to replace the FIPs in whole or in part by submitting revisions to their SIPs</w:t>
      </w:r>
      <w:r w:rsidR="00B52825">
        <w:rPr>
          <w:szCs w:val="24"/>
        </w:rPr>
        <w:t>, including limited SIP revisions that would change only how TR emission allowances are allocated among the state’s affected sources</w:t>
      </w:r>
      <w:r>
        <w:rPr>
          <w:szCs w:val="24"/>
        </w:rPr>
        <w:t xml:space="preserve">.  </w:t>
      </w:r>
      <w:r w:rsidR="00B52825">
        <w:rPr>
          <w:szCs w:val="24"/>
        </w:rPr>
        <w:t xml:space="preserve">This ICR estimates a burden for </w:t>
      </w:r>
      <w:r w:rsidR="00C10F29">
        <w:rPr>
          <w:szCs w:val="24"/>
        </w:rPr>
        <w:t xml:space="preserve">each of the 28 states with TR-affected sources </w:t>
      </w:r>
      <w:r w:rsidR="00B52825">
        <w:rPr>
          <w:szCs w:val="24"/>
        </w:rPr>
        <w:t>to</w:t>
      </w:r>
      <w:r>
        <w:rPr>
          <w:szCs w:val="24"/>
        </w:rPr>
        <w:t xml:space="preserve"> submit SIP revisions for th</w:t>
      </w:r>
      <w:r w:rsidR="00B52825">
        <w:rPr>
          <w:szCs w:val="24"/>
        </w:rPr>
        <w:t>at p</w:t>
      </w:r>
      <w:r>
        <w:rPr>
          <w:szCs w:val="24"/>
        </w:rPr>
        <w:t>urpose.</w:t>
      </w:r>
    </w:p>
    <w:p w:rsidR="00D314FB" w:rsidRPr="008574F9" w:rsidRDefault="00D314FB" w:rsidP="000C02E9">
      <w:pPr>
        <w:autoSpaceDE w:val="0"/>
        <w:autoSpaceDN w:val="0"/>
        <w:adjustRightInd w:val="0"/>
        <w:rPr>
          <w:b/>
          <w:bCs/>
          <w:szCs w:val="24"/>
        </w:rPr>
      </w:pPr>
    </w:p>
    <w:p w:rsidR="000C02E9" w:rsidRPr="008574F9" w:rsidRDefault="00E86F33" w:rsidP="00360CF0">
      <w:pPr>
        <w:keepNext/>
        <w:autoSpaceDE w:val="0"/>
        <w:autoSpaceDN w:val="0"/>
        <w:adjustRightInd w:val="0"/>
        <w:ind w:left="360"/>
        <w:rPr>
          <w:b/>
          <w:bCs/>
          <w:szCs w:val="24"/>
        </w:rPr>
      </w:pPr>
      <w:r>
        <w:rPr>
          <w:b/>
          <w:bCs/>
          <w:szCs w:val="24"/>
        </w:rPr>
        <w:t xml:space="preserve">4.2 </w:t>
      </w:r>
      <w:r w:rsidR="000C02E9" w:rsidRPr="008574F9">
        <w:rPr>
          <w:b/>
          <w:bCs/>
          <w:szCs w:val="24"/>
        </w:rPr>
        <w:t xml:space="preserve"> Information Requested</w:t>
      </w:r>
    </w:p>
    <w:p w:rsidR="00D314FB" w:rsidRPr="008574F9" w:rsidRDefault="00D314FB" w:rsidP="00592E0E">
      <w:pPr>
        <w:keepNext/>
        <w:autoSpaceDE w:val="0"/>
        <w:autoSpaceDN w:val="0"/>
        <w:adjustRightInd w:val="0"/>
        <w:rPr>
          <w:b/>
          <w:bCs/>
          <w:szCs w:val="24"/>
        </w:rPr>
      </w:pPr>
    </w:p>
    <w:p w:rsidR="000C02E9" w:rsidRPr="008574F9" w:rsidRDefault="000C02E9" w:rsidP="00B3743F">
      <w:pPr>
        <w:autoSpaceDE w:val="0"/>
        <w:autoSpaceDN w:val="0"/>
        <w:adjustRightInd w:val="0"/>
        <w:ind w:firstLine="720"/>
        <w:rPr>
          <w:szCs w:val="24"/>
        </w:rPr>
      </w:pPr>
      <w:r w:rsidRPr="008574F9">
        <w:rPr>
          <w:szCs w:val="24"/>
        </w:rPr>
        <w:t xml:space="preserve">The </w:t>
      </w:r>
      <w:r w:rsidR="00A05103">
        <w:rPr>
          <w:szCs w:val="24"/>
        </w:rPr>
        <w:t>ARP</w:t>
      </w:r>
      <w:r w:rsidR="00AA0E61">
        <w:rPr>
          <w:szCs w:val="24"/>
        </w:rPr>
        <w:t xml:space="preserve"> </w:t>
      </w:r>
      <w:r w:rsidRPr="008574F9">
        <w:rPr>
          <w:szCs w:val="24"/>
        </w:rPr>
        <w:t xml:space="preserve">and </w:t>
      </w:r>
      <w:r w:rsidR="007B40DE" w:rsidRPr="007B40DE">
        <w:rPr>
          <w:szCs w:val="24"/>
        </w:rPr>
        <w:t>NO</w:t>
      </w:r>
      <w:r w:rsidR="002B09EE">
        <w:rPr>
          <w:szCs w:val="24"/>
          <w:vertAlign w:val="subscript"/>
        </w:rPr>
        <w:t>X</w:t>
      </w:r>
      <w:r w:rsidRPr="008574F9">
        <w:rPr>
          <w:szCs w:val="24"/>
        </w:rPr>
        <w:t xml:space="preserve"> SIP Call established the basic emission reporting requirements</w:t>
      </w:r>
      <w:r w:rsidR="00DB0B5B">
        <w:rPr>
          <w:szCs w:val="24"/>
        </w:rPr>
        <w:t xml:space="preserve"> under 40 CFR part 75</w:t>
      </w:r>
      <w:r w:rsidR="003972B1" w:rsidRPr="008574F9">
        <w:rPr>
          <w:szCs w:val="24"/>
        </w:rPr>
        <w:t>.</w:t>
      </w:r>
      <w:r w:rsidR="004B6AD2">
        <w:rPr>
          <w:szCs w:val="24"/>
        </w:rPr>
        <w:t xml:space="preserve">  </w:t>
      </w:r>
      <w:r w:rsidR="00120D72">
        <w:rPr>
          <w:szCs w:val="24"/>
        </w:rPr>
        <w:t xml:space="preserve">CAIR modified these requirements and the </w:t>
      </w:r>
      <w:r w:rsidR="00F22C99">
        <w:rPr>
          <w:szCs w:val="24"/>
        </w:rPr>
        <w:t>TR</w:t>
      </w:r>
      <w:r w:rsidRPr="008574F9">
        <w:rPr>
          <w:szCs w:val="24"/>
        </w:rPr>
        <w:t xml:space="preserve"> </w:t>
      </w:r>
      <w:r w:rsidR="00120D72">
        <w:rPr>
          <w:szCs w:val="24"/>
        </w:rPr>
        <w:t>would continue to impleme</w:t>
      </w:r>
      <w:r w:rsidR="0006245A">
        <w:rPr>
          <w:szCs w:val="24"/>
        </w:rPr>
        <w:t xml:space="preserve">nt the changes included in </w:t>
      </w:r>
      <w:r w:rsidR="00A05103">
        <w:rPr>
          <w:szCs w:val="24"/>
        </w:rPr>
        <w:t xml:space="preserve">the </w:t>
      </w:r>
      <w:r w:rsidR="0006245A">
        <w:rPr>
          <w:szCs w:val="24"/>
        </w:rPr>
        <w:t>CAIR</w:t>
      </w:r>
      <w:r w:rsidR="00120D72">
        <w:rPr>
          <w:szCs w:val="24"/>
        </w:rPr>
        <w:t xml:space="preserve"> </w:t>
      </w:r>
      <w:r w:rsidRPr="008574F9">
        <w:rPr>
          <w:szCs w:val="24"/>
        </w:rPr>
        <w:t>requirements</w:t>
      </w:r>
      <w:r w:rsidR="00DB0B5B">
        <w:rPr>
          <w:szCs w:val="24"/>
        </w:rPr>
        <w:t>.</w:t>
      </w:r>
      <w:r w:rsidR="003972B1" w:rsidRPr="008574F9">
        <w:rPr>
          <w:szCs w:val="24"/>
        </w:rPr>
        <w:t xml:space="preserve">  </w:t>
      </w:r>
      <w:r w:rsidRPr="008574F9">
        <w:rPr>
          <w:szCs w:val="24"/>
        </w:rPr>
        <w:t xml:space="preserve">Only the </w:t>
      </w:r>
      <w:r w:rsidR="00120D72">
        <w:rPr>
          <w:szCs w:val="24"/>
        </w:rPr>
        <w:t xml:space="preserve">incremental </w:t>
      </w:r>
      <w:r w:rsidRPr="008574F9">
        <w:rPr>
          <w:szCs w:val="24"/>
        </w:rPr>
        <w:t xml:space="preserve">changes to the </w:t>
      </w:r>
      <w:r w:rsidR="00393A76">
        <w:rPr>
          <w:szCs w:val="24"/>
        </w:rPr>
        <w:t>ARP</w:t>
      </w:r>
      <w:r w:rsidRPr="008574F9">
        <w:rPr>
          <w:szCs w:val="24"/>
        </w:rPr>
        <w:t xml:space="preserve"> and </w:t>
      </w:r>
      <w:r w:rsidR="007B40DE" w:rsidRPr="007B40DE">
        <w:rPr>
          <w:szCs w:val="24"/>
        </w:rPr>
        <w:t>NO</w:t>
      </w:r>
      <w:r w:rsidR="002B09EE">
        <w:rPr>
          <w:szCs w:val="24"/>
          <w:vertAlign w:val="subscript"/>
        </w:rPr>
        <w:t>X</w:t>
      </w:r>
      <w:r w:rsidRPr="008574F9">
        <w:rPr>
          <w:szCs w:val="24"/>
        </w:rPr>
        <w:t xml:space="preserve"> SIP Call reporting</w:t>
      </w:r>
      <w:r w:rsidR="00B3743F" w:rsidRPr="008574F9">
        <w:rPr>
          <w:szCs w:val="24"/>
        </w:rPr>
        <w:t xml:space="preserve"> </w:t>
      </w:r>
      <w:r w:rsidRPr="008574F9">
        <w:rPr>
          <w:szCs w:val="24"/>
        </w:rPr>
        <w:t>requirements that would change reporting burden are discussed here.</w:t>
      </w:r>
    </w:p>
    <w:p w:rsidR="00B3743F" w:rsidRPr="008574F9" w:rsidRDefault="00B3743F" w:rsidP="00B3743F">
      <w:pPr>
        <w:autoSpaceDE w:val="0"/>
        <w:autoSpaceDN w:val="0"/>
        <w:adjustRightInd w:val="0"/>
        <w:ind w:left="720" w:hanging="360"/>
        <w:rPr>
          <w:szCs w:val="24"/>
        </w:rPr>
      </w:pPr>
    </w:p>
    <w:p w:rsidR="000C02E9" w:rsidRPr="008574F9" w:rsidRDefault="000C02E9" w:rsidP="00B3743F">
      <w:pPr>
        <w:autoSpaceDE w:val="0"/>
        <w:autoSpaceDN w:val="0"/>
        <w:adjustRightInd w:val="0"/>
        <w:ind w:firstLine="720"/>
        <w:rPr>
          <w:szCs w:val="24"/>
        </w:rPr>
      </w:pPr>
      <w:r w:rsidRPr="008574F9">
        <w:rPr>
          <w:szCs w:val="24"/>
        </w:rPr>
        <w:t>This section describes the data items requested from affected sources for the collections</w:t>
      </w:r>
      <w:r w:rsidR="00B3743F" w:rsidRPr="008574F9">
        <w:rPr>
          <w:szCs w:val="24"/>
        </w:rPr>
        <w:t xml:space="preserve"> </w:t>
      </w:r>
      <w:r w:rsidRPr="008574F9">
        <w:rPr>
          <w:szCs w:val="24"/>
        </w:rPr>
        <w:t>described in this ICR</w:t>
      </w:r>
      <w:r w:rsidR="003972B1" w:rsidRPr="008574F9">
        <w:rPr>
          <w:szCs w:val="24"/>
        </w:rPr>
        <w:t xml:space="preserve">.  </w:t>
      </w:r>
      <w:r w:rsidRPr="008574F9">
        <w:rPr>
          <w:szCs w:val="24"/>
        </w:rPr>
        <w:t>This section also defines the activities i</w:t>
      </w:r>
      <w:r w:rsidR="00B3743F" w:rsidRPr="008574F9">
        <w:rPr>
          <w:szCs w:val="24"/>
        </w:rPr>
        <w:t xml:space="preserve">n which respondents must engage </w:t>
      </w:r>
      <w:r w:rsidRPr="008574F9">
        <w:rPr>
          <w:szCs w:val="24"/>
        </w:rPr>
        <w:t>to</w:t>
      </w:r>
      <w:r w:rsidR="00B3743F" w:rsidRPr="008574F9">
        <w:rPr>
          <w:szCs w:val="24"/>
        </w:rPr>
        <w:t xml:space="preserve"> </w:t>
      </w:r>
      <w:r w:rsidRPr="008574F9">
        <w:rPr>
          <w:szCs w:val="24"/>
        </w:rPr>
        <w:t>assemble, submit, or store these data items.</w:t>
      </w:r>
    </w:p>
    <w:p w:rsidR="00B3743F" w:rsidRPr="008574F9" w:rsidRDefault="00B3743F" w:rsidP="000C02E9">
      <w:pPr>
        <w:autoSpaceDE w:val="0"/>
        <w:autoSpaceDN w:val="0"/>
        <w:adjustRightInd w:val="0"/>
        <w:rPr>
          <w:i/>
          <w:iCs/>
          <w:szCs w:val="24"/>
        </w:rPr>
      </w:pPr>
    </w:p>
    <w:p w:rsidR="000C02E9" w:rsidRPr="004C38AD" w:rsidRDefault="000C02E9" w:rsidP="00360CF0">
      <w:pPr>
        <w:autoSpaceDE w:val="0"/>
        <w:autoSpaceDN w:val="0"/>
        <w:adjustRightInd w:val="0"/>
        <w:ind w:left="720"/>
        <w:rPr>
          <w:iCs/>
          <w:szCs w:val="24"/>
        </w:rPr>
      </w:pPr>
      <w:r w:rsidRPr="004C38AD">
        <w:rPr>
          <w:iCs/>
          <w:szCs w:val="24"/>
        </w:rPr>
        <w:t xml:space="preserve">(i) </w:t>
      </w:r>
      <w:r w:rsidR="00E86F33" w:rsidRPr="004C38AD">
        <w:rPr>
          <w:iCs/>
          <w:szCs w:val="24"/>
        </w:rPr>
        <w:t xml:space="preserve"> </w:t>
      </w:r>
      <w:r w:rsidRPr="004C38AD">
        <w:rPr>
          <w:iCs/>
          <w:szCs w:val="24"/>
        </w:rPr>
        <w:t>Data Items, Including Recordkeeping Requirements</w:t>
      </w:r>
    </w:p>
    <w:p w:rsidR="00D314FB" w:rsidRPr="008574F9" w:rsidRDefault="00D314FB" w:rsidP="000C02E9">
      <w:pPr>
        <w:autoSpaceDE w:val="0"/>
        <w:autoSpaceDN w:val="0"/>
        <w:adjustRightInd w:val="0"/>
        <w:rPr>
          <w:szCs w:val="24"/>
        </w:rPr>
      </w:pPr>
    </w:p>
    <w:p w:rsidR="000C02E9" w:rsidRPr="008574F9" w:rsidRDefault="000C02E9" w:rsidP="00360CF0">
      <w:pPr>
        <w:autoSpaceDE w:val="0"/>
        <w:autoSpaceDN w:val="0"/>
        <w:adjustRightInd w:val="0"/>
        <w:ind w:left="1080"/>
        <w:rPr>
          <w:szCs w:val="24"/>
        </w:rPr>
      </w:pPr>
      <w:r w:rsidRPr="008574F9">
        <w:rPr>
          <w:szCs w:val="24"/>
        </w:rPr>
        <w:t xml:space="preserve">(a) </w:t>
      </w:r>
      <w:r w:rsidR="00E86F33">
        <w:rPr>
          <w:szCs w:val="24"/>
        </w:rPr>
        <w:t xml:space="preserve"> </w:t>
      </w:r>
      <w:r w:rsidRPr="008574F9">
        <w:rPr>
          <w:szCs w:val="24"/>
        </w:rPr>
        <w:t>Allowance Tracking</w:t>
      </w:r>
    </w:p>
    <w:p w:rsidR="00B3743F" w:rsidRPr="008574F9" w:rsidRDefault="00B3743F" w:rsidP="000C02E9">
      <w:pPr>
        <w:autoSpaceDE w:val="0"/>
        <w:autoSpaceDN w:val="0"/>
        <w:adjustRightInd w:val="0"/>
        <w:rPr>
          <w:szCs w:val="24"/>
        </w:rPr>
      </w:pPr>
    </w:p>
    <w:p w:rsidR="000C02E9" w:rsidRPr="008574F9" w:rsidRDefault="000C02E9" w:rsidP="00B3743F">
      <w:pPr>
        <w:autoSpaceDE w:val="0"/>
        <w:autoSpaceDN w:val="0"/>
        <w:adjustRightInd w:val="0"/>
        <w:ind w:firstLine="720"/>
        <w:rPr>
          <w:szCs w:val="24"/>
        </w:rPr>
      </w:pPr>
      <w:r w:rsidRPr="008574F9">
        <w:rPr>
          <w:szCs w:val="24"/>
        </w:rPr>
        <w:t>There are several data items required for allowance tracking activities</w:t>
      </w:r>
      <w:r w:rsidR="003972B1" w:rsidRPr="008574F9">
        <w:rPr>
          <w:szCs w:val="24"/>
        </w:rPr>
        <w:t xml:space="preserve">.  </w:t>
      </w:r>
      <w:r w:rsidR="004B6AD2">
        <w:rPr>
          <w:szCs w:val="24"/>
        </w:rPr>
        <w:t xml:space="preserve">For each </w:t>
      </w:r>
      <w:r w:rsidRPr="008574F9">
        <w:rPr>
          <w:szCs w:val="24"/>
        </w:rPr>
        <w:t>affected</w:t>
      </w:r>
      <w:r w:rsidR="00B3743F" w:rsidRPr="008574F9">
        <w:rPr>
          <w:szCs w:val="24"/>
        </w:rPr>
        <w:t xml:space="preserve"> </w:t>
      </w:r>
      <w:r w:rsidRPr="008574F9">
        <w:rPr>
          <w:szCs w:val="24"/>
        </w:rPr>
        <w:t>source</w:t>
      </w:r>
      <w:r w:rsidR="004B6AD2">
        <w:rPr>
          <w:szCs w:val="24"/>
        </w:rPr>
        <w:t>, the designated representative</w:t>
      </w:r>
      <w:r w:rsidRPr="008574F9">
        <w:rPr>
          <w:szCs w:val="24"/>
        </w:rPr>
        <w:t xml:space="preserve"> must submit </w:t>
      </w:r>
      <w:r w:rsidR="004B6AD2">
        <w:rPr>
          <w:szCs w:val="24"/>
        </w:rPr>
        <w:t xml:space="preserve">a </w:t>
      </w:r>
      <w:r w:rsidRPr="008574F9">
        <w:rPr>
          <w:szCs w:val="24"/>
        </w:rPr>
        <w:t>certificate of representation</w:t>
      </w:r>
      <w:r w:rsidR="003972B1" w:rsidRPr="008574F9">
        <w:rPr>
          <w:szCs w:val="24"/>
        </w:rPr>
        <w:t xml:space="preserve">.  </w:t>
      </w:r>
      <w:r w:rsidR="004B6AD2">
        <w:rPr>
          <w:szCs w:val="24"/>
        </w:rPr>
        <w:t xml:space="preserve">Under </w:t>
      </w:r>
      <w:r w:rsidRPr="008574F9">
        <w:rPr>
          <w:szCs w:val="24"/>
        </w:rPr>
        <w:t xml:space="preserve">40 CFR §§ </w:t>
      </w:r>
      <w:r w:rsidR="00612114">
        <w:rPr>
          <w:szCs w:val="24"/>
        </w:rPr>
        <w:t>97.41</w:t>
      </w:r>
      <w:r w:rsidR="00B70B84">
        <w:rPr>
          <w:szCs w:val="24"/>
        </w:rPr>
        <w:t>6</w:t>
      </w:r>
      <w:r w:rsidR="00612114">
        <w:rPr>
          <w:szCs w:val="24"/>
        </w:rPr>
        <w:t xml:space="preserve">, </w:t>
      </w:r>
      <w:r w:rsidR="00B70B84">
        <w:rPr>
          <w:szCs w:val="24"/>
        </w:rPr>
        <w:t>97</w:t>
      </w:r>
      <w:r w:rsidR="00612114">
        <w:rPr>
          <w:szCs w:val="24"/>
        </w:rPr>
        <w:t>.51</w:t>
      </w:r>
      <w:r w:rsidR="00B70B84">
        <w:rPr>
          <w:szCs w:val="24"/>
        </w:rPr>
        <w:t>6</w:t>
      </w:r>
      <w:r w:rsidR="00612114">
        <w:rPr>
          <w:szCs w:val="24"/>
        </w:rPr>
        <w:t xml:space="preserve">, </w:t>
      </w:r>
      <w:r w:rsidR="00B70B84">
        <w:rPr>
          <w:szCs w:val="24"/>
        </w:rPr>
        <w:t>97.</w:t>
      </w:r>
      <w:r w:rsidR="00612114">
        <w:rPr>
          <w:szCs w:val="24"/>
        </w:rPr>
        <w:t>61</w:t>
      </w:r>
      <w:r w:rsidR="00B70B84">
        <w:rPr>
          <w:szCs w:val="24"/>
        </w:rPr>
        <w:t>6</w:t>
      </w:r>
      <w:r w:rsidR="004B6AD2">
        <w:rPr>
          <w:szCs w:val="24"/>
        </w:rPr>
        <w:t xml:space="preserve">, and </w:t>
      </w:r>
      <w:r w:rsidR="00B70B84">
        <w:rPr>
          <w:szCs w:val="24"/>
        </w:rPr>
        <w:t>97.716</w:t>
      </w:r>
      <w:r w:rsidR="004B6AD2">
        <w:rPr>
          <w:szCs w:val="24"/>
        </w:rPr>
        <w:t>, a complete certificate of representation</w:t>
      </w:r>
      <w:r w:rsidR="00612114">
        <w:rPr>
          <w:szCs w:val="24"/>
        </w:rPr>
        <w:t xml:space="preserve"> </w:t>
      </w:r>
      <w:r w:rsidRPr="008574F9">
        <w:rPr>
          <w:szCs w:val="24"/>
        </w:rPr>
        <w:t>include</w:t>
      </w:r>
      <w:r w:rsidR="004B6AD2">
        <w:rPr>
          <w:szCs w:val="24"/>
        </w:rPr>
        <w:t>s</w:t>
      </w:r>
      <w:r w:rsidRPr="008574F9">
        <w:rPr>
          <w:szCs w:val="24"/>
        </w:rPr>
        <w:t>:</w:t>
      </w:r>
    </w:p>
    <w:p w:rsidR="00B3743F" w:rsidRPr="008574F9" w:rsidRDefault="00B3743F" w:rsidP="000C02E9">
      <w:pPr>
        <w:autoSpaceDE w:val="0"/>
        <w:autoSpaceDN w:val="0"/>
        <w:adjustRightInd w:val="0"/>
        <w:rPr>
          <w:szCs w:val="24"/>
        </w:rPr>
      </w:pPr>
    </w:p>
    <w:p w:rsidR="000C02E9" w:rsidRPr="008574F9" w:rsidRDefault="00E86F33" w:rsidP="00B3743F">
      <w:pPr>
        <w:autoSpaceDE w:val="0"/>
        <w:autoSpaceDN w:val="0"/>
        <w:adjustRightInd w:val="0"/>
        <w:ind w:left="720" w:hanging="360"/>
        <w:rPr>
          <w:szCs w:val="24"/>
        </w:rPr>
      </w:pPr>
      <w:r>
        <w:rPr>
          <w:szCs w:val="24"/>
        </w:rPr>
        <w:t>●</w:t>
      </w:r>
      <w:r w:rsidR="00B3743F" w:rsidRPr="008574F9">
        <w:rPr>
          <w:szCs w:val="24"/>
        </w:rPr>
        <w:tab/>
      </w:r>
      <w:r w:rsidR="000C02E9" w:rsidRPr="008574F9">
        <w:rPr>
          <w:szCs w:val="24"/>
        </w:rPr>
        <w:t>Identi</w:t>
      </w:r>
      <w:r w:rsidR="00107C72">
        <w:rPr>
          <w:szCs w:val="24"/>
        </w:rPr>
        <w:t>fication of the source and unit;</w:t>
      </w:r>
    </w:p>
    <w:p w:rsidR="00941414" w:rsidRPr="008574F9" w:rsidRDefault="00941414" w:rsidP="00B3743F">
      <w:pPr>
        <w:autoSpaceDE w:val="0"/>
        <w:autoSpaceDN w:val="0"/>
        <w:adjustRightInd w:val="0"/>
        <w:ind w:left="720" w:hanging="360"/>
        <w:rPr>
          <w:szCs w:val="24"/>
        </w:rPr>
      </w:pPr>
    </w:p>
    <w:p w:rsidR="000C02E9" w:rsidRPr="008574F9" w:rsidRDefault="00E86F33" w:rsidP="00B3743F">
      <w:pPr>
        <w:autoSpaceDE w:val="0"/>
        <w:autoSpaceDN w:val="0"/>
        <w:adjustRightInd w:val="0"/>
        <w:ind w:left="720" w:hanging="360"/>
        <w:rPr>
          <w:szCs w:val="24"/>
        </w:rPr>
      </w:pPr>
      <w:r>
        <w:rPr>
          <w:szCs w:val="24"/>
        </w:rPr>
        <w:t>●</w:t>
      </w:r>
      <w:r w:rsidR="00B3743F" w:rsidRPr="008574F9">
        <w:rPr>
          <w:szCs w:val="24"/>
        </w:rPr>
        <w:tab/>
      </w:r>
      <w:r w:rsidR="000C02E9" w:rsidRPr="008574F9">
        <w:rPr>
          <w:szCs w:val="24"/>
        </w:rPr>
        <w:t xml:space="preserve">Dates on which </w:t>
      </w:r>
      <w:r w:rsidR="00E076D5">
        <w:rPr>
          <w:szCs w:val="24"/>
        </w:rPr>
        <w:t xml:space="preserve">the unit </w:t>
      </w:r>
      <w:r w:rsidR="00107C72">
        <w:rPr>
          <w:szCs w:val="24"/>
        </w:rPr>
        <w:t>commenced commercial operation;</w:t>
      </w:r>
    </w:p>
    <w:p w:rsidR="00941414" w:rsidRPr="008574F9" w:rsidRDefault="00941414" w:rsidP="00B3743F">
      <w:pPr>
        <w:autoSpaceDE w:val="0"/>
        <w:autoSpaceDN w:val="0"/>
        <w:adjustRightInd w:val="0"/>
        <w:ind w:left="720" w:hanging="360"/>
        <w:rPr>
          <w:szCs w:val="24"/>
        </w:rPr>
      </w:pPr>
    </w:p>
    <w:p w:rsidR="000C02E9" w:rsidRPr="008574F9" w:rsidRDefault="00E86F33" w:rsidP="00B3743F">
      <w:pPr>
        <w:autoSpaceDE w:val="0"/>
        <w:autoSpaceDN w:val="0"/>
        <w:adjustRightInd w:val="0"/>
        <w:ind w:left="720" w:hanging="360"/>
        <w:rPr>
          <w:szCs w:val="24"/>
        </w:rPr>
      </w:pPr>
      <w:r>
        <w:rPr>
          <w:szCs w:val="24"/>
        </w:rPr>
        <w:t>●</w:t>
      </w:r>
      <w:r w:rsidR="00B3743F" w:rsidRPr="008574F9">
        <w:rPr>
          <w:szCs w:val="24"/>
        </w:rPr>
        <w:tab/>
      </w:r>
      <w:r w:rsidR="000C02E9" w:rsidRPr="008574F9">
        <w:rPr>
          <w:szCs w:val="24"/>
        </w:rPr>
        <w:t>Name and contact information for the</w:t>
      </w:r>
      <w:r w:rsidR="002C00B4" w:rsidRPr="008574F9">
        <w:rPr>
          <w:szCs w:val="24"/>
        </w:rPr>
        <w:t xml:space="preserve"> </w:t>
      </w:r>
      <w:r w:rsidR="00F22C99">
        <w:rPr>
          <w:szCs w:val="24"/>
        </w:rPr>
        <w:t>TR</w:t>
      </w:r>
      <w:r w:rsidR="000C02E9" w:rsidRPr="008574F9">
        <w:rPr>
          <w:szCs w:val="24"/>
        </w:rPr>
        <w:t xml:space="preserve"> designat</w:t>
      </w:r>
      <w:r w:rsidR="00107C72">
        <w:rPr>
          <w:szCs w:val="24"/>
        </w:rPr>
        <w:t>ed representative and alternate</w:t>
      </w:r>
      <w:r w:rsidR="00E076D5">
        <w:rPr>
          <w:szCs w:val="24"/>
        </w:rPr>
        <w:t xml:space="preserve"> (if applicable)</w:t>
      </w:r>
      <w:r w:rsidR="00107C72">
        <w:rPr>
          <w:szCs w:val="24"/>
        </w:rPr>
        <w:t>;</w:t>
      </w:r>
    </w:p>
    <w:p w:rsidR="00941414" w:rsidRPr="008574F9" w:rsidRDefault="00941414" w:rsidP="00B3743F">
      <w:pPr>
        <w:autoSpaceDE w:val="0"/>
        <w:autoSpaceDN w:val="0"/>
        <w:adjustRightInd w:val="0"/>
        <w:ind w:left="720" w:hanging="360"/>
        <w:rPr>
          <w:szCs w:val="24"/>
        </w:rPr>
      </w:pPr>
    </w:p>
    <w:p w:rsidR="000C02E9" w:rsidRPr="008574F9" w:rsidRDefault="00E86F33" w:rsidP="00E86F33">
      <w:pPr>
        <w:keepNext/>
        <w:autoSpaceDE w:val="0"/>
        <w:autoSpaceDN w:val="0"/>
        <w:adjustRightInd w:val="0"/>
        <w:ind w:left="720" w:hanging="360"/>
        <w:rPr>
          <w:szCs w:val="24"/>
        </w:rPr>
      </w:pPr>
      <w:r>
        <w:rPr>
          <w:szCs w:val="24"/>
        </w:rPr>
        <w:t>●</w:t>
      </w:r>
      <w:r w:rsidR="00B3743F" w:rsidRPr="008574F9">
        <w:rPr>
          <w:szCs w:val="24"/>
        </w:rPr>
        <w:tab/>
      </w:r>
      <w:r w:rsidR="000C02E9" w:rsidRPr="008574F9">
        <w:rPr>
          <w:szCs w:val="24"/>
        </w:rPr>
        <w:t>A list of the owners and op</w:t>
      </w:r>
      <w:r w:rsidR="00107C72">
        <w:rPr>
          <w:szCs w:val="24"/>
        </w:rPr>
        <w:t>erators of each unit;</w:t>
      </w:r>
      <w:r w:rsidR="000C02E9" w:rsidRPr="008574F9">
        <w:rPr>
          <w:szCs w:val="24"/>
        </w:rPr>
        <w:t xml:space="preserve"> and</w:t>
      </w:r>
    </w:p>
    <w:p w:rsidR="00941414" w:rsidRPr="008574F9" w:rsidRDefault="00941414" w:rsidP="00E86F33">
      <w:pPr>
        <w:keepNext/>
        <w:autoSpaceDE w:val="0"/>
        <w:autoSpaceDN w:val="0"/>
        <w:adjustRightInd w:val="0"/>
        <w:ind w:left="720" w:hanging="360"/>
        <w:rPr>
          <w:szCs w:val="24"/>
        </w:rPr>
      </w:pPr>
    </w:p>
    <w:p w:rsidR="000C02E9" w:rsidRPr="008574F9" w:rsidRDefault="00E86F33" w:rsidP="00B3743F">
      <w:pPr>
        <w:autoSpaceDE w:val="0"/>
        <w:autoSpaceDN w:val="0"/>
        <w:adjustRightInd w:val="0"/>
        <w:ind w:left="720" w:hanging="360"/>
        <w:rPr>
          <w:szCs w:val="24"/>
        </w:rPr>
      </w:pPr>
      <w:r>
        <w:rPr>
          <w:szCs w:val="24"/>
        </w:rPr>
        <w:t>●</w:t>
      </w:r>
      <w:r w:rsidR="00B3743F" w:rsidRPr="008574F9">
        <w:rPr>
          <w:szCs w:val="24"/>
        </w:rPr>
        <w:tab/>
      </w:r>
      <w:r w:rsidR="000C02E9" w:rsidRPr="008574F9">
        <w:rPr>
          <w:szCs w:val="24"/>
        </w:rPr>
        <w:t xml:space="preserve">A certification statement and signature of the </w:t>
      </w:r>
      <w:r w:rsidR="00F22C99">
        <w:rPr>
          <w:szCs w:val="24"/>
        </w:rPr>
        <w:t>TR</w:t>
      </w:r>
      <w:r w:rsidR="000C02E9" w:rsidRPr="008574F9">
        <w:rPr>
          <w:szCs w:val="24"/>
        </w:rPr>
        <w:t xml:space="preserve"> designated representative and</w:t>
      </w:r>
      <w:r w:rsidR="00B3743F" w:rsidRPr="008574F9">
        <w:rPr>
          <w:szCs w:val="24"/>
        </w:rPr>
        <w:t xml:space="preserve"> </w:t>
      </w:r>
      <w:r w:rsidR="000C02E9" w:rsidRPr="008574F9">
        <w:rPr>
          <w:szCs w:val="24"/>
        </w:rPr>
        <w:t>alternate</w:t>
      </w:r>
      <w:r w:rsidR="006119BC">
        <w:rPr>
          <w:szCs w:val="24"/>
        </w:rPr>
        <w:t xml:space="preserve"> (if applicable)</w:t>
      </w:r>
      <w:r w:rsidR="000C02E9" w:rsidRPr="008574F9">
        <w:rPr>
          <w:szCs w:val="24"/>
        </w:rPr>
        <w:t>.</w:t>
      </w:r>
    </w:p>
    <w:p w:rsidR="00941414" w:rsidRPr="008574F9" w:rsidRDefault="00941414" w:rsidP="000C02E9">
      <w:pPr>
        <w:autoSpaceDE w:val="0"/>
        <w:autoSpaceDN w:val="0"/>
        <w:adjustRightInd w:val="0"/>
        <w:rPr>
          <w:szCs w:val="24"/>
        </w:rPr>
      </w:pPr>
    </w:p>
    <w:p w:rsidR="000C02E9" w:rsidRPr="008574F9" w:rsidRDefault="000C02E9" w:rsidP="00941414">
      <w:pPr>
        <w:autoSpaceDE w:val="0"/>
        <w:autoSpaceDN w:val="0"/>
        <w:adjustRightInd w:val="0"/>
        <w:ind w:firstLine="720"/>
        <w:rPr>
          <w:szCs w:val="24"/>
        </w:rPr>
      </w:pPr>
      <w:r w:rsidRPr="008574F9">
        <w:rPr>
          <w:szCs w:val="24"/>
        </w:rPr>
        <w:t xml:space="preserve">Certification applications are to be kept for a period of </w:t>
      </w:r>
      <w:r w:rsidR="00107C72">
        <w:rPr>
          <w:szCs w:val="24"/>
        </w:rPr>
        <w:t>five</w:t>
      </w:r>
      <w:r w:rsidRPr="008574F9">
        <w:rPr>
          <w:szCs w:val="24"/>
        </w:rPr>
        <w:t xml:space="preserve"> years pursuant to the general</w:t>
      </w:r>
      <w:r w:rsidR="00941414" w:rsidRPr="008574F9">
        <w:rPr>
          <w:szCs w:val="24"/>
        </w:rPr>
        <w:t xml:space="preserve"> </w:t>
      </w:r>
      <w:r w:rsidRPr="008574F9">
        <w:rPr>
          <w:szCs w:val="24"/>
        </w:rPr>
        <w:t>requirements imposed for Title V permitted facilities.</w:t>
      </w:r>
    </w:p>
    <w:p w:rsidR="00864996" w:rsidRDefault="00864996" w:rsidP="000C02E9">
      <w:pPr>
        <w:autoSpaceDE w:val="0"/>
        <w:autoSpaceDN w:val="0"/>
        <w:adjustRightInd w:val="0"/>
        <w:rPr>
          <w:szCs w:val="24"/>
        </w:rPr>
      </w:pPr>
    </w:p>
    <w:p w:rsidR="00612114" w:rsidRDefault="00612114" w:rsidP="000C02E9">
      <w:pPr>
        <w:autoSpaceDE w:val="0"/>
        <w:autoSpaceDN w:val="0"/>
        <w:adjustRightInd w:val="0"/>
        <w:rPr>
          <w:szCs w:val="24"/>
        </w:rPr>
      </w:pPr>
      <w:r>
        <w:rPr>
          <w:szCs w:val="24"/>
        </w:rPr>
        <w:tab/>
      </w:r>
      <w:r w:rsidR="00DB0B5B">
        <w:rPr>
          <w:szCs w:val="24"/>
        </w:rPr>
        <w:t xml:space="preserve">Sources </w:t>
      </w:r>
      <w:r>
        <w:rPr>
          <w:szCs w:val="24"/>
        </w:rPr>
        <w:t xml:space="preserve">and other trading program participants must </w:t>
      </w:r>
      <w:r w:rsidR="00DB0B5B">
        <w:rPr>
          <w:szCs w:val="24"/>
        </w:rPr>
        <w:t xml:space="preserve">also </w:t>
      </w:r>
      <w:r>
        <w:rPr>
          <w:szCs w:val="24"/>
        </w:rPr>
        <w:t>submit allowance transfer, allowance deduction, and compliance assurance information, as necessary.</w:t>
      </w:r>
    </w:p>
    <w:p w:rsidR="00612114" w:rsidRPr="008574F9" w:rsidRDefault="00612114" w:rsidP="000C02E9">
      <w:pPr>
        <w:autoSpaceDE w:val="0"/>
        <w:autoSpaceDN w:val="0"/>
        <w:adjustRightInd w:val="0"/>
        <w:rPr>
          <w:szCs w:val="24"/>
        </w:rPr>
      </w:pPr>
    </w:p>
    <w:p w:rsidR="000C02E9" w:rsidRPr="008574F9" w:rsidRDefault="000C02E9" w:rsidP="00360CF0">
      <w:pPr>
        <w:autoSpaceDE w:val="0"/>
        <w:autoSpaceDN w:val="0"/>
        <w:adjustRightInd w:val="0"/>
        <w:ind w:left="1080"/>
        <w:rPr>
          <w:szCs w:val="24"/>
        </w:rPr>
      </w:pPr>
      <w:r w:rsidRPr="008574F9">
        <w:rPr>
          <w:szCs w:val="24"/>
        </w:rPr>
        <w:t xml:space="preserve">(b) </w:t>
      </w:r>
      <w:r w:rsidR="00E86F33">
        <w:rPr>
          <w:szCs w:val="24"/>
        </w:rPr>
        <w:t xml:space="preserve"> </w:t>
      </w:r>
      <w:r w:rsidRPr="008574F9">
        <w:rPr>
          <w:szCs w:val="24"/>
        </w:rPr>
        <w:t>Permitting</w:t>
      </w:r>
    </w:p>
    <w:p w:rsidR="00941414" w:rsidRPr="008574F9" w:rsidRDefault="00941414" w:rsidP="000C02E9">
      <w:pPr>
        <w:autoSpaceDE w:val="0"/>
        <w:autoSpaceDN w:val="0"/>
        <w:adjustRightInd w:val="0"/>
        <w:rPr>
          <w:szCs w:val="24"/>
        </w:rPr>
      </w:pPr>
    </w:p>
    <w:p w:rsidR="000C02E9" w:rsidRPr="008574F9" w:rsidRDefault="000C02E9" w:rsidP="00941414">
      <w:pPr>
        <w:autoSpaceDE w:val="0"/>
        <w:autoSpaceDN w:val="0"/>
        <w:adjustRightInd w:val="0"/>
        <w:ind w:firstLine="720"/>
        <w:rPr>
          <w:szCs w:val="24"/>
        </w:rPr>
      </w:pPr>
      <w:r w:rsidRPr="008574F9">
        <w:rPr>
          <w:szCs w:val="24"/>
        </w:rPr>
        <w:t>The basic requirement for permitting is an application for a permit revision to a source</w:t>
      </w:r>
      <w:r w:rsidR="00033581">
        <w:rPr>
          <w:szCs w:val="24"/>
        </w:rPr>
        <w:t>'</w:t>
      </w:r>
      <w:r w:rsidRPr="008574F9">
        <w:rPr>
          <w:szCs w:val="24"/>
        </w:rPr>
        <w:t>s</w:t>
      </w:r>
      <w:r w:rsidR="00941414" w:rsidRPr="008574F9">
        <w:rPr>
          <w:szCs w:val="24"/>
        </w:rPr>
        <w:t xml:space="preserve"> </w:t>
      </w:r>
      <w:r w:rsidRPr="008574F9">
        <w:rPr>
          <w:szCs w:val="24"/>
        </w:rPr>
        <w:t>operating permit issued under Title V of the Act</w:t>
      </w:r>
      <w:r w:rsidR="003972B1" w:rsidRPr="008574F9">
        <w:rPr>
          <w:szCs w:val="24"/>
        </w:rPr>
        <w:t xml:space="preserve">.  </w:t>
      </w:r>
      <w:r w:rsidRPr="008574F9">
        <w:rPr>
          <w:szCs w:val="24"/>
        </w:rPr>
        <w:t>Although there is some possibility that a non-</w:t>
      </w:r>
      <w:r w:rsidR="00941414" w:rsidRPr="008574F9">
        <w:rPr>
          <w:szCs w:val="24"/>
        </w:rPr>
        <w:t xml:space="preserve"> </w:t>
      </w:r>
      <w:r w:rsidRPr="008574F9">
        <w:rPr>
          <w:szCs w:val="24"/>
        </w:rPr>
        <w:t>Title V source could be affected under the</w:t>
      </w:r>
      <w:r w:rsidR="002C00B4" w:rsidRPr="008574F9">
        <w:rPr>
          <w:szCs w:val="24"/>
        </w:rPr>
        <w:t xml:space="preserve"> </w:t>
      </w:r>
      <w:r w:rsidR="00F22C99">
        <w:rPr>
          <w:szCs w:val="24"/>
        </w:rPr>
        <w:t>TR</w:t>
      </w:r>
      <w:r w:rsidRPr="008574F9">
        <w:rPr>
          <w:szCs w:val="24"/>
        </w:rPr>
        <w:t xml:space="preserve">, all </w:t>
      </w:r>
      <w:r w:rsidR="00E076D5">
        <w:rPr>
          <w:szCs w:val="24"/>
        </w:rPr>
        <w:t>TR-</w:t>
      </w:r>
      <w:r w:rsidRPr="008574F9">
        <w:rPr>
          <w:szCs w:val="24"/>
        </w:rPr>
        <w:t>affected sources are</w:t>
      </w:r>
      <w:r w:rsidR="00941414" w:rsidRPr="008574F9">
        <w:rPr>
          <w:szCs w:val="24"/>
        </w:rPr>
        <w:t xml:space="preserve"> </w:t>
      </w:r>
      <w:r w:rsidRPr="008574F9">
        <w:rPr>
          <w:szCs w:val="24"/>
        </w:rPr>
        <w:t>assumed to be Title V sources for purposes of this ICR</w:t>
      </w:r>
      <w:r w:rsidR="003972B1" w:rsidRPr="008574F9">
        <w:rPr>
          <w:szCs w:val="24"/>
        </w:rPr>
        <w:t xml:space="preserve">. </w:t>
      </w:r>
      <w:r w:rsidR="00F22C99">
        <w:rPr>
          <w:szCs w:val="24"/>
        </w:rPr>
        <w:t xml:space="preserve"> </w:t>
      </w:r>
      <w:r w:rsidR="008E57A5">
        <w:rPr>
          <w:szCs w:val="24"/>
        </w:rPr>
        <w:t>It is assumed t</w:t>
      </w:r>
      <w:r w:rsidRPr="008574F9">
        <w:rPr>
          <w:szCs w:val="24"/>
        </w:rPr>
        <w:t>he permit revision</w:t>
      </w:r>
      <w:r w:rsidR="00941414" w:rsidRPr="008574F9">
        <w:rPr>
          <w:szCs w:val="24"/>
        </w:rPr>
        <w:t xml:space="preserve"> </w:t>
      </w:r>
      <w:r w:rsidRPr="008574F9">
        <w:rPr>
          <w:szCs w:val="24"/>
        </w:rPr>
        <w:t>application</w:t>
      </w:r>
      <w:r w:rsidR="008E57A5">
        <w:rPr>
          <w:szCs w:val="24"/>
        </w:rPr>
        <w:t xml:space="preserve"> and </w:t>
      </w:r>
      <w:r w:rsidRPr="008574F9">
        <w:rPr>
          <w:szCs w:val="24"/>
        </w:rPr>
        <w:t>all other monitoring, reporting</w:t>
      </w:r>
      <w:r w:rsidR="0063062A">
        <w:rPr>
          <w:szCs w:val="24"/>
        </w:rPr>
        <w:t>,</w:t>
      </w:r>
      <w:r w:rsidRPr="008574F9">
        <w:rPr>
          <w:szCs w:val="24"/>
        </w:rPr>
        <w:t xml:space="preserve"> or recordkeeping requirements associated with</w:t>
      </w:r>
      <w:r w:rsidR="002C00B4" w:rsidRPr="008574F9">
        <w:rPr>
          <w:szCs w:val="24"/>
        </w:rPr>
        <w:t xml:space="preserve"> </w:t>
      </w:r>
      <w:r w:rsidRPr="008574F9">
        <w:rPr>
          <w:szCs w:val="24"/>
        </w:rPr>
        <w:t>Title V permitting are  part of the baseline Title V requirements</w:t>
      </w:r>
      <w:r w:rsidR="00EF4E68">
        <w:rPr>
          <w:szCs w:val="24"/>
        </w:rPr>
        <w:t>.</w:t>
      </w:r>
      <w:r w:rsidR="003972B1" w:rsidRPr="008574F9">
        <w:rPr>
          <w:szCs w:val="24"/>
        </w:rPr>
        <w:t xml:space="preserve">  </w:t>
      </w:r>
      <w:r w:rsidRPr="008574F9">
        <w:rPr>
          <w:szCs w:val="24"/>
        </w:rPr>
        <w:t xml:space="preserve">Title V permit applications must be kept for </w:t>
      </w:r>
      <w:r w:rsidR="00107C72">
        <w:rPr>
          <w:szCs w:val="24"/>
        </w:rPr>
        <w:t>five</w:t>
      </w:r>
      <w:r w:rsidRPr="008574F9">
        <w:rPr>
          <w:szCs w:val="24"/>
        </w:rPr>
        <w:t xml:space="preserve"> years pursuant to Title V</w:t>
      </w:r>
      <w:r w:rsidR="00941414" w:rsidRPr="008574F9">
        <w:rPr>
          <w:szCs w:val="24"/>
        </w:rPr>
        <w:t xml:space="preserve"> </w:t>
      </w:r>
      <w:r w:rsidRPr="008574F9">
        <w:rPr>
          <w:szCs w:val="24"/>
        </w:rPr>
        <w:t>recordkeeping requirements</w:t>
      </w:r>
      <w:r w:rsidR="003972B1" w:rsidRPr="008574F9">
        <w:rPr>
          <w:szCs w:val="24"/>
        </w:rPr>
        <w:t>.</w:t>
      </w:r>
    </w:p>
    <w:p w:rsidR="00864996" w:rsidRPr="008574F9" w:rsidRDefault="00864996" w:rsidP="000C02E9">
      <w:pPr>
        <w:autoSpaceDE w:val="0"/>
        <w:autoSpaceDN w:val="0"/>
        <w:adjustRightInd w:val="0"/>
        <w:rPr>
          <w:szCs w:val="24"/>
        </w:rPr>
      </w:pPr>
    </w:p>
    <w:p w:rsidR="000C02E9" w:rsidRPr="008574F9" w:rsidRDefault="000C02E9" w:rsidP="00360CF0">
      <w:pPr>
        <w:autoSpaceDE w:val="0"/>
        <w:autoSpaceDN w:val="0"/>
        <w:adjustRightInd w:val="0"/>
        <w:ind w:left="1080"/>
        <w:rPr>
          <w:szCs w:val="24"/>
        </w:rPr>
      </w:pPr>
      <w:r w:rsidRPr="008574F9">
        <w:rPr>
          <w:szCs w:val="24"/>
        </w:rPr>
        <w:t xml:space="preserve">(c) </w:t>
      </w:r>
      <w:r w:rsidR="00E86F33">
        <w:rPr>
          <w:szCs w:val="24"/>
        </w:rPr>
        <w:t xml:space="preserve"> </w:t>
      </w:r>
      <w:r w:rsidRPr="008574F9">
        <w:rPr>
          <w:szCs w:val="24"/>
        </w:rPr>
        <w:t>Monitoring and Reporting</w:t>
      </w:r>
    </w:p>
    <w:p w:rsidR="00941414" w:rsidRPr="008574F9" w:rsidRDefault="00941414" w:rsidP="000C02E9">
      <w:pPr>
        <w:autoSpaceDE w:val="0"/>
        <w:autoSpaceDN w:val="0"/>
        <w:adjustRightInd w:val="0"/>
        <w:rPr>
          <w:szCs w:val="24"/>
        </w:rPr>
      </w:pPr>
    </w:p>
    <w:p w:rsidR="000C02E9" w:rsidRPr="008574F9" w:rsidRDefault="006455AC" w:rsidP="00941414">
      <w:pPr>
        <w:autoSpaceDE w:val="0"/>
        <w:autoSpaceDN w:val="0"/>
        <w:adjustRightInd w:val="0"/>
        <w:ind w:firstLine="720"/>
        <w:rPr>
          <w:szCs w:val="24"/>
        </w:rPr>
      </w:pPr>
      <w:r>
        <w:rPr>
          <w:szCs w:val="24"/>
        </w:rPr>
        <w:t xml:space="preserve">TR-affected </w:t>
      </w:r>
      <w:r w:rsidR="000C02E9" w:rsidRPr="008574F9">
        <w:rPr>
          <w:szCs w:val="24"/>
        </w:rPr>
        <w:t>so</w:t>
      </w:r>
      <w:r w:rsidR="00E076D5">
        <w:rPr>
          <w:szCs w:val="24"/>
        </w:rPr>
        <w:t xml:space="preserve">urces are required to monitor </w:t>
      </w:r>
      <w:r w:rsidR="007B40DE" w:rsidRPr="007B40DE">
        <w:rPr>
          <w:szCs w:val="24"/>
        </w:rPr>
        <w:t>NO</w:t>
      </w:r>
      <w:r w:rsidR="002B09EE">
        <w:rPr>
          <w:szCs w:val="24"/>
          <w:vertAlign w:val="subscript"/>
        </w:rPr>
        <w:t>X</w:t>
      </w:r>
      <w:r w:rsidR="000C02E9" w:rsidRPr="008574F9">
        <w:rPr>
          <w:szCs w:val="24"/>
        </w:rPr>
        <w:t xml:space="preserve"> </w:t>
      </w:r>
      <w:r w:rsidR="00E076D5">
        <w:rPr>
          <w:szCs w:val="24"/>
        </w:rPr>
        <w:t>and</w:t>
      </w:r>
      <w:r w:rsidR="00DB0B5B">
        <w:rPr>
          <w:szCs w:val="24"/>
        </w:rPr>
        <w:t>/or</w:t>
      </w:r>
      <w:r w:rsidR="00E076D5">
        <w:rPr>
          <w:szCs w:val="24"/>
        </w:rPr>
        <w:t xml:space="preserve"> SO</w:t>
      </w:r>
      <w:r w:rsidR="00E076D5" w:rsidRPr="00E076D5">
        <w:rPr>
          <w:szCs w:val="24"/>
          <w:vertAlign w:val="subscript"/>
        </w:rPr>
        <w:t>2</w:t>
      </w:r>
      <w:r w:rsidR="00E076D5">
        <w:rPr>
          <w:szCs w:val="24"/>
        </w:rPr>
        <w:t xml:space="preserve"> </w:t>
      </w:r>
      <w:r w:rsidR="000C02E9" w:rsidRPr="008574F9">
        <w:rPr>
          <w:szCs w:val="24"/>
        </w:rPr>
        <w:t>mass emissions and</w:t>
      </w:r>
      <w:r w:rsidR="00941414" w:rsidRPr="008574F9">
        <w:rPr>
          <w:szCs w:val="24"/>
        </w:rPr>
        <w:t xml:space="preserve"> </w:t>
      </w:r>
      <w:r w:rsidR="000C02E9" w:rsidRPr="008574F9">
        <w:rPr>
          <w:szCs w:val="24"/>
        </w:rPr>
        <w:t>record and report emissions data using the</w:t>
      </w:r>
      <w:r w:rsidR="00D56CFE">
        <w:rPr>
          <w:szCs w:val="24"/>
        </w:rPr>
        <w:t xml:space="preserve"> requirements of 40 CFR p</w:t>
      </w:r>
      <w:r w:rsidR="000C02E9" w:rsidRPr="008574F9">
        <w:rPr>
          <w:szCs w:val="24"/>
        </w:rPr>
        <w:t>art 75</w:t>
      </w:r>
      <w:r w:rsidR="003972B1" w:rsidRPr="008574F9">
        <w:rPr>
          <w:szCs w:val="24"/>
        </w:rPr>
        <w:t xml:space="preserve">.  </w:t>
      </w:r>
      <w:r w:rsidR="000C02E9" w:rsidRPr="008574F9">
        <w:rPr>
          <w:szCs w:val="24"/>
        </w:rPr>
        <w:t>The emissions</w:t>
      </w:r>
      <w:r w:rsidR="00941414" w:rsidRPr="008574F9">
        <w:rPr>
          <w:szCs w:val="24"/>
        </w:rPr>
        <w:t xml:space="preserve"> </w:t>
      </w:r>
      <w:r w:rsidR="000C02E9" w:rsidRPr="008574F9">
        <w:rPr>
          <w:szCs w:val="24"/>
        </w:rPr>
        <w:t>monitoring requirements specify that affected sources must (1) submit a monitoring plan for each</w:t>
      </w:r>
      <w:r w:rsidR="00941414" w:rsidRPr="008574F9">
        <w:rPr>
          <w:szCs w:val="24"/>
        </w:rPr>
        <w:t xml:space="preserve"> </w:t>
      </w:r>
      <w:r w:rsidR="000C02E9" w:rsidRPr="008574F9">
        <w:rPr>
          <w:szCs w:val="24"/>
        </w:rPr>
        <w:t>affected unit at a source, (2) submit data for cer</w:t>
      </w:r>
      <w:r>
        <w:rPr>
          <w:szCs w:val="24"/>
        </w:rPr>
        <w:t xml:space="preserve">tification of each monitor, </w:t>
      </w:r>
      <w:r w:rsidR="000C02E9" w:rsidRPr="008574F9">
        <w:rPr>
          <w:szCs w:val="24"/>
        </w:rPr>
        <w:t>(3) record hourly</w:t>
      </w:r>
      <w:r w:rsidR="00941414" w:rsidRPr="008574F9">
        <w:rPr>
          <w:szCs w:val="24"/>
        </w:rPr>
        <w:t xml:space="preserve"> </w:t>
      </w:r>
      <w:r w:rsidR="000C02E9" w:rsidRPr="008574F9">
        <w:rPr>
          <w:szCs w:val="24"/>
        </w:rPr>
        <w:t>operational, pollutant monitor, and flow monitor data for each affected unit</w:t>
      </w:r>
      <w:r>
        <w:rPr>
          <w:szCs w:val="24"/>
        </w:rPr>
        <w:t>,</w:t>
      </w:r>
      <w:r w:rsidR="000C02E9" w:rsidRPr="008574F9">
        <w:rPr>
          <w:szCs w:val="24"/>
        </w:rPr>
        <w:t xml:space="preserve"> and </w:t>
      </w:r>
      <w:r>
        <w:rPr>
          <w:szCs w:val="24"/>
        </w:rPr>
        <w:t xml:space="preserve">(4) </w:t>
      </w:r>
      <w:r w:rsidR="000C02E9" w:rsidRPr="008574F9">
        <w:rPr>
          <w:szCs w:val="24"/>
        </w:rPr>
        <w:t>submit quarterly</w:t>
      </w:r>
      <w:r w:rsidR="00941414" w:rsidRPr="008574F9">
        <w:rPr>
          <w:szCs w:val="24"/>
        </w:rPr>
        <w:t xml:space="preserve"> </w:t>
      </w:r>
      <w:r w:rsidR="000C02E9" w:rsidRPr="008574F9">
        <w:rPr>
          <w:szCs w:val="24"/>
        </w:rPr>
        <w:t>reports of their emissions data to EPA.</w:t>
      </w:r>
    </w:p>
    <w:p w:rsidR="00941414" w:rsidRPr="008574F9" w:rsidRDefault="00941414" w:rsidP="000C02E9">
      <w:pPr>
        <w:autoSpaceDE w:val="0"/>
        <w:autoSpaceDN w:val="0"/>
        <w:adjustRightInd w:val="0"/>
        <w:rPr>
          <w:szCs w:val="24"/>
        </w:rPr>
      </w:pPr>
    </w:p>
    <w:p w:rsidR="000C02E9" w:rsidRPr="008574F9" w:rsidRDefault="00022D38" w:rsidP="00941414">
      <w:pPr>
        <w:autoSpaceDE w:val="0"/>
        <w:autoSpaceDN w:val="0"/>
        <w:adjustRightInd w:val="0"/>
        <w:ind w:firstLine="720"/>
        <w:rPr>
          <w:szCs w:val="24"/>
        </w:rPr>
      </w:pPr>
      <w:r>
        <w:rPr>
          <w:szCs w:val="24"/>
        </w:rPr>
        <w:t>Respondents are required under</w:t>
      </w:r>
      <w:r w:rsidR="000C02E9" w:rsidRPr="008574F9">
        <w:rPr>
          <w:szCs w:val="24"/>
        </w:rPr>
        <w:t xml:space="preserve"> 40 CFR 75.64 to submit the quarterly </w:t>
      </w:r>
      <w:r w:rsidR="00E076D5" w:rsidRPr="007B40DE">
        <w:rPr>
          <w:szCs w:val="24"/>
        </w:rPr>
        <w:t>NO</w:t>
      </w:r>
      <w:r w:rsidR="00E076D5">
        <w:rPr>
          <w:szCs w:val="24"/>
          <w:vertAlign w:val="subscript"/>
        </w:rPr>
        <w:t>X</w:t>
      </w:r>
      <w:r w:rsidR="00E076D5" w:rsidRPr="008574F9">
        <w:rPr>
          <w:szCs w:val="24"/>
        </w:rPr>
        <w:t xml:space="preserve"> </w:t>
      </w:r>
      <w:r w:rsidR="00E076D5">
        <w:rPr>
          <w:szCs w:val="24"/>
        </w:rPr>
        <w:t xml:space="preserve">and </w:t>
      </w:r>
      <w:r w:rsidR="000C02E9" w:rsidRPr="008574F9">
        <w:rPr>
          <w:szCs w:val="24"/>
        </w:rPr>
        <w:t>SO</w:t>
      </w:r>
      <w:r w:rsidR="000C02E9" w:rsidRPr="00E975AC">
        <w:rPr>
          <w:szCs w:val="24"/>
          <w:vertAlign w:val="subscript"/>
        </w:rPr>
        <w:t>2</w:t>
      </w:r>
      <w:r w:rsidR="000C02E9" w:rsidRPr="008574F9">
        <w:rPr>
          <w:szCs w:val="24"/>
        </w:rPr>
        <w:t xml:space="preserve"> mass</w:t>
      </w:r>
      <w:r w:rsidR="00941414" w:rsidRPr="008574F9">
        <w:rPr>
          <w:szCs w:val="24"/>
        </w:rPr>
        <w:t xml:space="preserve"> </w:t>
      </w:r>
      <w:r w:rsidR="000C02E9" w:rsidRPr="008574F9">
        <w:rPr>
          <w:szCs w:val="24"/>
        </w:rPr>
        <w:t>emissions data</w:t>
      </w:r>
      <w:r w:rsidR="000344B0">
        <w:rPr>
          <w:szCs w:val="24"/>
        </w:rPr>
        <w:t xml:space="preserve"> via </w:t>
      </w:r>
      <w:r w:rsidR="000C02E9" w:rsidRPr="008574F9">
        <w:rPr>
          <w:szCs w:val="24"/>
        </w:rPr>
        <w:t>direct electronic submission to EPA</w:t>
      </w:r>
      <w:r>
        <w:rPr>
          <w:szCs w:val="24"/>
        </w:rPr>
        <w:t>.  S</w:t>
      </w:r>
      <w:r w:rsidR="000344B0">
        <w:rPr>
          <w:szCs w:val="24"/>
        </w:rPr>
        <w:t xml:space="preserve">uch data </w:t>
      </w:r>
      <w:r w:rsidR="000C02E9" w:rsidRPr="008574F9">
        <w:rPr>
          <w:szCs w:val="24"/>
        </w:rPr>
        <w:t>must</w:t>
      </w:r>
      <w:r w:rsidR="000344B0">
        <w:rPr>
          <w:szCs w:val="24"/>
        </w:rPr>
        <w:t xml:space="preserve"> </w:t>
      </w:r>
      <w:r w:rsidR="000C02E9" w:rsidRPr="008574F9">
        <w:rPr>
          <w:szCs w:val="24"/>
        </w:rPr>
        <w:t>include a</w:t>
      </w:r>
      <w:r w:rsidR="00941414" w:rsidRPr="008574F9">
        <w:rPr>
          <w:szCs w:val="24"/>
        </w:rPr>
        <w:t xml:space="preserve"> </w:t>
      </w:r>
      <w:r w:rsidR="000C02E9" w:rsidRPr="008574F9">
        <w:rPr>
          <w:szCs w:val="24"/>
        </w:rPr>
        <w:t>certification statement by the designated representative of th</w:t>
      </w:r>
      <w:r w:rsidR="000344B0">
        <w:rPr>
          <w:szCs w:val="24"/>
        </w:rPr>
        <w:t>e facility</w:t>
      </w:r>
      <w:r>
        <w:rPr>
          <w:szCs w:val="24"/>
        </w:rPr>
        <w:t xml:space="preserve"> attesting to the accuracy, truthfulness, and completeness of the submission</w:t>
      </w:r>
      <w:r w:rsidR="003972B1" w:rsidRPr="008574F9">
        <w:rPr>
          <w:szCs w:val="24"/>
        </w:rPr>
        <w:t xml:space="preserve">.  </w:t>
      </w:r>
      <w:r w:rsidR="000344B0">
        <w:rPr>
          <w:szCs w:val="24"/>
        </w:rPr>
        <w:t>Generally, a</w:t>
      </w:r>
      <w:r w:rsidR="000C02E9" w:rsidRPr="008574F9">
        <w:rPr>
          <w:szCs w:val="24"/>
        </w:rPr>
        <w:t xml:space="preserve">ll monitoring records are </w:t>
      </w:r>
      <w:r>
        <w:rPr>
          <w:szCs w:val="24"/>
        </w:rPr>
        <w:t xml:space="preserve">required </w:t>
      </w:r>
      <w:r w:rsidR="000C02E9" w:rsidRPr="008574F9">
        <w:rPr>
          <w:szCs w:val="24"/>
        </w:rPr>
        <w:t>to</w:t>
      </w:r>
      <w:r w:rsidR="00941414" w:rsidRPr="008574F9">
        <w:rPr>
          <w:szCs w:val="24"/>
        </w:rPr>
        <w:t xml:space="preserve"> </w:t>
      </w:r>
      <w:r w:rsidR="000C02E9" w:rsidRPr="008574F9">
        <w:rPr>
          <w:szCs w:val="24"/>
        </w:rPr>
        <w:t>be kept for three years.</w:t>
      </w:r>
    </w:p>
    <w:p w:rsidR="00D314FB" w:rsidRPr="008574F9" w:rsidRDefault="00D314FB" w:rsidP="000C02E9">
      <w:pPr>
        <w:autoSpaceDE w:val="0"/>
        <w:autoSpaceDN w:val="0"/>
        <w:adjustRightInd w:val="0"/>
        <w:rPr>
          <w:szCs w:val="24"/>
        </w:rPr>
      </w:pPr>
    </w:p>
    <w:p w:rsidR="000C02E9" w:rsidRPr="004C38AD" w:rsidRDefault="000C02E9" w:rsidP="000303E6">
      <w:pPr>
        <w:keepNext/>
        <w:autoSpaceDE w:val="0"/>
        <w:autoSpaceDN w:val="0"/>
        <w:adjustRightInd w:val="0"/>
        <w:ind w:left="720"/>
        <w:rPr>
          <w:iCs/>
          <w:szCs w:val="24"/>
        </w:rPr>
      </w:pPr>
      <w:r w:rsidRPr="004C38AD">
        <w:rPr>
          <w:iCs/>
          <w:szCs w:val="24"/>
        </w:rPr>
        <w:lastRenderedPageBreak/>
        <w:t xml:space="preserve">(ii) </w:t>
      </w:r>
      <w:r w:rsidR="00E86F33" w:rsidRPr="004C38AD">
        <w:rPr>
          <w:iCs/>
          <w:szCs w:val="24"/>
        </w:rPr>
        <w:t xml:space="preserve"> </w:t>
      </w:r>
      <w:r w:rsidRPr="004C38AD">
        <w:rPr>
          <w:iCs/>
          <w:szCs w:val="24"/>
        </w:rPr>
        <w:t>Respondent Activities</w:t>
      </w:r>
    </w:p>
    <w:p w:rsidR="00941414" w:rsidRPr="008574F9" w:rsidRDefault="00941414" w:rsidP="000303E6">
      <w:pPr>
        <w:keepNext/>
        <w:autoSpaceDE w:val="0"/>
        <w:autoSpaceDN w:val="0"/>
        <w:adjustRightInd w:val="0"/>
        <w:rPr>
          <w:szCs w:val="24"/>
        </w:rPr>
      </w:pPr>
    </w:p>
    <w:p w:rsidR="000C02E9" w:rsidRDefault="000C02E9" w:rsidP="00941414">
      <w:pPr>
        <w:autoSpaceDE w:val="0"/>
        <w:autoSpaceDN w:val="0"/>
        <w:adjustRightInd w:val="0"/>
        <w:ind w:firstLine="720"/>
        <w:rPr>
          <w:szCs w:val="24"/>
        </w:rPr>
      </w:pPr>
      <w:r w:rsidRPr="008574F9">
        <w:rPr>
          <w:szCs w:val="24"/>
        </w:rPr>
        <w:t>The primary tasks that will be performed by respondents to meet the</w:t>
      </w:r>
      <w:r w:rsidR="00941414" w:rsidRPr="008574F9">
        <w:rPr>
          <w:szCs w:val="24"/>
        </w:rPr>
        <w:t xml:space="preserve"> </w:t>
      </w:r>
      <w:r w:rsidRPr="008574F9">
        <w:rPr>
          <w:szCs w:val="24"/>
        </w:rPr>
        <w:t>em</w:t>
      </w:r>
      <w:r w:rsidR="005D5C58">
        <w:rPr>
          <w:szCs w:val="24"/>
        </w:rPr>
        <w:t xml:space="preserve">issions monitoring requirements </w:t>
      </w:r>
      <w:r w:rsidRPr="008574F9">
        <w:rPr>
          <w:szCs w:val="24"/>
        </w:rPr>
        <w:t>are</w:t>
      </w:r>
      <w:r w:rsidR="005D5C58">
        <w:rPr>
          <w:szCs w:val="24"/>
        </w:rPr>
        <w:t xml:space="preserve">:  </w:t>
      </w:r>
      <w:r w:rsidRPr="008574F9">
        <w:rPr>
          <w:szCs w:val="24"/>
        </w:rPr>
        <w:t>(1) completing and su</w:t>
      </w:r>
      <w:r w:rsidR="00941414" w:rsidRPr="008574F9">
        <w:rPr>
          <w:szCs w:val="24"/>
        </w:rPr>
        <w:t xml:space="preserve">bmitting appropriate monitoring </w:t>
      </w:r>
      <w:r w:rsidRPr="008574F9">
        <w:rPr>
          <w:szCs w:val="24"/>
        </w:rPr>
        <w:t>plan</w:t>
      </w:r>
      <w:r w:rsidR="00941414" w:rsidRPr="008574F9">
        <w:rPr>
          <w:szCs w:val="24"/>
        </w:rPr>
        <w:t xml:space="preserve"> </w:t>
      </w:r>
      <w:r w:rsidRPr="008574F9">
        <w:rPr>
          <w:szCs w:val="24"/>
        </w:rPr>
        <w:t xml:space="preserve">forms for each affected source and each affected unit at a </w:t>
      </w:r>
      <w:r w:rsidR="00941414" w:rsidRPr="008574F9">
        <w:rPr>
          <w:szCs w:val="24"/>
        </w:rPr>
        <w:t xml:space="preserve">source; (2) conducting tests to </w:t>
      </w:r>
      <w:r w:rsidRPr="008574F9">
        <w:rPr>
          <w:szCs w:val="24"/>
        </w:rPr>
        <w:t>certify</w:t>
      </w:r>
      <w:r w:rsidR="005D5C58">
        <w:rPr>
          <w:szCs w:val="24"/>
        </w:rPr>
        <w:t xml:space="preserve"> </w:t>
      </w:r>
      <w:r w:rsidRPr="008574F9">
        <w:rPr>
          <w:szCs w:val="24"/>
        </w:rPr>
        <w:t>monitors and submitting test resul</w:t>
      </w:r>
      <w:r w:rsidR="00941414" w:rsidRPr="008574F9">
        <w:rPr>
          <w:szCs w:val="24"/>
        </w:rPr>
        <w:t xml:space="preserve">ts to EPA; (3) recording hourly </w:t>
      </w:r>
      <w:r w:rsidRPr="008574F9">
        <w:rPr>
          <w:szCs w:val="24"/>
        </w:rPr>
        <w:t>emissions data</w:t>
      </w:r>
      <w:r w:rsidR="00941414" w:rsidRPr="008574F9">
        <w:rPr>
          <w:szCs w:val="24"/>
        </w:rPr>
        <w:t xml:space="preserve"> </w:t>
      </w:r>
      <w:r w:rsidRPr="008574F9">
        <w:rPr>
          <w:szCs w:val="24"/>
        </w:rPr>
        <w:t xml:space="preserve">(this activity </w:t>
      </w:r>
      <w:r w:rsidR="00EF4A9E">
        <w:rPr>
          <w:szCs w:val="24"/>
        </w:rPr>
        <w:t xml:space="preserve">is </w:t>
      </w:r>
      <w:r w:rsidRPr="008574F9">
        <w:rPr>
          <w:szCs w:val="24"/>
        </w:rPr>
        <w:t>generally performed ele</w:t>
      </w:r>
      <w:r w:rsidR="00941414" w:rsidRPr="008574F9">
        <w:rPr>
          <w:szCs w:val="24"/>
        </w:rPr>
        <w:t xml:space="preserve">ctronically); (4) </w:t>
      </w:r>
      <w:r w:rsidR="005D5C58">
        <w:rPr>
          <w:szCs w:val="24"/>
        </w:rPr>
        <w:t xml:space="preserve">performing </w:t>
      </w:r>
      <w:r w:rsidR="00941414" w:rsidRPr="008574F9">
        <w:rPr>
          <w:szCs w:val="24"/>
        </w:rPr>
        <w:t xml:space="preserve">operation and </w:t>
      </w:r>
      <w:r w:rsidRPr="008574F9">
        <w:rPr>
          <w:szCs w:val="24"/>
        </w:rPr>
        <w:t>maintenance activities</w:t>
      </w:r>
      <w:r w:rsidR="00941414" w:rsidRPr="008574F9">
        <w:rPr>
          <w:szCs w:val="24"/>
        </w:rPr>
        <w:t xml:space="preserve"> </w:t>
      </w:r>
      <w:r w:rsidRPr="008574F9">
        <w:rPr>
          <w:szCs w:val="24"/>
        </w:rPr>
        <w:t>associated with monitoring, including quality assurance activi</w:t>
      </w:r>
      <w:r w:rsidR="00941414" w:rsidRPr="008574F9">
        <w:rPr>
          <w:szCs w:val="24"/>
        </w:rPr>
        <w:t>ties; (5) assuring data quality</w:t>
      </w:r>
      <w:r w:rsidR="00EF4A9E">
        <w:rPr>
          <w:szCs w:val="24"/>
        </w:rPr>
        <w:t>,</w:t>
      </w:r>
      <w:r w:rsidR="00941414" w:rsidRPr="008574F9">
        <w:rPr>
          <w:szCs w:val="24"/>
        </w:rPr>
        <w:t xml:space="preserve"> </w:t>
      </w:r>
      <w:r w:rsidRPr="008574F9">
        <w:rPr>
          <w:szCs w:val="24"/>
        </w:rPr>
        <w:t>preparing quarterly reports of emissions data</w:t>
      </w:r>
      <w:r w:rsidR="00EF4A9E">
        <w:rPr>
          <w:szCs w:val="24"/>
        </w:rPr>
        <w:t>,</w:t>
      </w:r>
      <w:r w:rsidRPr="008574F9">
        <w:rPr>
          <w:szCs w:val="24"/>
        </w:rPr>
        <w:t xml:space="preserve"> and submitting these reports to EPA; and (6)</w:t>
      </w:r>
      <w:r w:rsidR="00941414" w:rsidRPr="008574F9">
        <w:rPr>
          <w:szCs w:val="24"/>
        </w:rPr>
        <w:t xml:space="preserve"> </w:t>
      </w:r>
      <w:r w:rsidRPr="008574F9">
        <w:rPr>
          <w:szCs w:val="24"/>
        </w:rPr>
        <w:t xml:space="preserve">responding to error messages generated by </w:t>
      </w:r>
      <w:r w:rsidR="00EF4A9E">
        <w:rPr>
          <w:szCs w:val="24"/>
        </w:rPr>
        <w:t>such submissions</w:t>
      </w:r>
      <w:r w:rsidRPr="008574F9">
        <w:rPr>
          <w:szCs w:val="24"/>
        </w:rPr>
        <w:t xml:space="preserve">. </w:t>
      </w:r>
      <w:r w:rsidR="00EF4A9E">
        <w:rPr>
          <w:szCs w:val="24"/>
        </w:rPr>
        <w:t xml:space="preserve"> </w:t>
      </w:r>
      <w:r w:rsidRPr="008574F9">
        <w:rPr>
          <w:szCs w:val="24"/>
        </w:rPr>
        <w:t>In addition, respondents will have to purchase</w:t>
      </w:r>
      <w:r w:rsidR="00941414" w:rsidRPr="008574F9">
        <w:rPr>
          <w:szCs w:val="24"/>
        </w:rPr>
        <w:t xml:space="preserve"> </w:t>
      </w:r>
      <w:r w:rsidRPr="008574F9">
        <w:rPr>
          <w:szCs w:val="24"/>
        </w:rPr>
        <w:t>the necessary monitoring hardware and electronic data reporting software (or</w:t>
      </w:r>
      <w:r w:rsidR="00941414" w:rsidRPr="008574F9">
        <w:rPr>
          <w:szCs w:val="24"/>
        </w:rPr>
        <w:t xml:space="preserve"> </w:t>
      </w:r>
      <w:r w:rsidRPr="008574F9">
        <w:rPr>
          <w:szCs w:val="24"/>
        </w:rPr>
        <w:t>software upgrades).</w:t>
      </w:r>
    </w:p>
    <w:p w:rsidR="00CC0E23" w:rsidRDefault="00CC0E23" w:rsidP="00941414">
      <w:pPr>
        <w:autoSpaceDE w:val="0"/>
        <w:autoSpaceDN w:val="0"/>
        <w:adjustRightInd w:val="0"/>
        <w:ind w:firstLine="720"/>
        <w:rPr>
          <w:szCs w:val="24"/>
        </w:rPr>
      </w:pPr>
    </w:p>
    <w:p w:rsidR="00CC0E23" w:rsidRPr="008574F9" w:rsidRDefault="00CC0E23" w:rsidP="00941414">
      <w:pPr>
        <w:autoSpaceDE w:val="0"/>
        <w:autoSpaceDN w:val="0"/>
        <w:adjustRightInd w:val="0"/>
        <w:ind w:firstLine="720"/>
        <w:rPr>
          <w:szCs w:val="24"/>
        </w:rPr>
      </w:pPr>
      <w:r>
        <w:rPr>
          <w:szCs w:val="24"/>
        </w:rPr>
        <w:t xml:space="preserve">For </w:t>
      </w:r>
      <w:r w:rsidR="00E12ADC">
        <w:rPr>
          <w:szCs w:val="24"/>
        </w:rPr>
        <w:t>respondents</w:t>
      </w:r>
      <w:r>
        <w:rPr>
          <w:szCs w:val="24"/>
        </w:rPr>
        <w:t xml:space="preserve"> that are also subject to the ARP, most of the burden associated with these activities is included in the ARP ICR.</w:t>
      </w:r>
    </w:p>
    <w:p w:rsidR="00D314FB" w:rsidRPr="008574F9" w:rsidRDefault="00D314FB" w:rsidP="000C02E9">
      <w:pPr>
        <w:autoSpaceDE w:val="0"/>
        <w:autoSpaceDN w:val="0"/>
        <w:adjustRightInd w:val="0"/>
        <w:rPr>
          <w:b/>
          <w:bCs/>
          <w:szCs w:val="24"/>
        </w:rPr>
      </w:pPr>
    </w:p>
    <w:p w:rsidR="000C02E9" w:rsidRPr="008574F9" w:rsidRDefault="000C02E9" w:rsidP="00E86F33">
      <w:pPr>
        <w:tabs>
          <w:tab w:val="left" w:pos="450"/>
        </w:tabs>
        <w:autoSpaceDE w:val="0"/>
        <w:autoSpaceDN w:val="0"/>
        <w:adjustRightInd w:val="0"/>
        <w:ind w:left="450" w:hanging="450"/>
        <w:rPr>
          <w:b/>
          <w:bCs/>
          <w:szCs w:val="24"/>
        </w:rPr>
      </w:pPr>
      <w:r w:rsidRPr="008574F9">
        <w:rPr>
          <w:b/>
          <w:bCs/>
          <w:szCs w:val="24"/>
        </w:rPr>
        <w:t>5.</w:t>
      </w:r>
      <w:r w:rsidR="00E86F33">
        <w:rPr>
          <w:b/>
          <w:bCs/>
          <w:szCs w:val="24"/>
        </w:rPr>
        <w:t>0</w:t>
      </w:r>
      <w:r w:rsidR="00E86F33">
        <w:rPr>
          <w:b/>
          <w:bCs/>
          <w:szCs w:val="24"/>
        </w:rPr>
        <w:tab/>
      </w:r>
      <w:r w:rsidRPr="008574F9">
        <w:rPr>
          <w:b/>
          <w:bCs/>
          <w:szCs w:val="24"/>
        </w:rPr>
        <w:t>T</w:t>
      </w:r>
      <w:r w:rsidR="00E86F33">
        <w:rPr>
          <w:b/>
          <w:bCs/>
          <w:szCs w:val="24"/>
        </w:rPr>
        <w:t>he</w:t>
      </w:r>
      <w:r w:rsidRPr="008574F9">
        <w:rPr>
          <w:b/>
          <w:bCs/>
          <w:szCs w:val="24"/>
        </w:rPr>
        <w:t xml:space="preserve"> I</w:t>
      </w:r>
      <w:r w:rsidR="00E86F33">
        <w:rPr>
          <w:b/>
          <w:bCs/>
          <w:szCs w:val="24"/>
        </w:rPr>
        <w:t>nformation</w:t>
      </w:r>
      <w:r w:rsidRPr="008574F9">
        <w:rPr>
          <w:b/>
          <w:bCs/>
          <w:szCs w:val="24"/>
        </w:rPr>
        <w:t xml:space="preserve"> C</w:t>
      </w:r>
      <w:r w:rsidR="00E86F33">
        <w:rPr>
          <w:b/>
          <w:bCs/>
          <w:szCs w:val="24"/>
        </w:rPr>
        <w:t xml:space="preserve">ollected </w:t>
      </w:r>
      <w:r w:rsidRPr="008574F9">
        <w:rPr>
          <w:b/>
          <w:bCs/>
          <w:szCs w:val="24"/>
        </w:rPr>
        <w:t>–</w:t>
      </w:r>
      <w:r w:rsidR="00E86F33">
        <w:rPr>
          <w:b/>
          <w:bCs/>
          <w:szCs w:val="24"/>
        </w:rPr>
        <w:t xml:space="preserve"> </w:t>
      </w:r>
      <w:r w:rsidRPr="008574F9">
        <w:rPr>
          <w:b/>
          <w:bCs/>
          <w:szCs w:val="24"/>
        </w:rPr>
        <w:t>A</w:t>
      </w:r>
      <w:r w:rsidR="00E86F33">
        <w:rPr>
          <w:b/>
          <w:bCs/>
          <w:szCs w:val="24"/>
        </w:rPr>
        <w:t>gency</w:t>
      </w:r>
      <w:r w:rsidRPr="008574F9">
        <w:rPr>
          <w:b/>
          <w:bCs/>
          <w:szCs w:val="24"/>
        </w:rPr>
        <w:t xml:space="preserve"> A</w:t>
      </w:r>
      <w:r w:rsidR="00E86F33">
        <w:rPr>
          <w:b/>
          <w:bCs/>
          <w:szCs w:val="24"/>
        </w:rPr>
        <w:t>ctivities</w:t>
      </w:r>
      <w:r w:rsidRPr="008574F9">
        <w:rPr>
          <w:b/>
          <w:bCs/>
          <w:szCs w:val="24"/>
        </w:rPr>
        <w:t>, C</w:t>
      </w:r>
      <w:r w:rsidR="00E86F33">
        <w:rPr>
          <w:b/>
          <w:bCs/>
          <w:szCs w:val="24"/>
        </w:rPr>
        <w:t>ollection Methods</w:t>
      </w:r>
      <w:r w:rsidRPr="008574F9">
        <w:rPr>
          <w:b/>
          <w:bCs/>
          <w:szCs w:val="24"/>
        </w:rPr>
        <w:t xml:space="preserve">, </w:t>
      </w:r>
      <w:r w:rsidR="000303E6">
        <w:rPr>
          <w:b/>
          <w:bCs/>
          <w:szCs w:val="24"/>
        </w:rPr>
        <w:br/>
      </w:r>
      <w:r w:rsidR="00E86F33">
        <w:rPr>
          <w:b/>
          <w:bCs/>
          <w:szCs w:val="24"/>
        </w:rPr>
        <w:t>and</w:t>
      </w:r>
      <w:r w:rsidRPr="008574F9">
        <w:rPr>
          <w:b/>
          <w:bCs/>
          <w:szCs w:val="24"/>
        </w:rPr>
        <w:t xml:space="preserve"> I</w:t>
      </w:r>
      <w:r w:rsidR="00E86F33">
        <w:rPr>
          <w:b/>
          <w:bCs/>
          <w:szCs w:val="24"/>
        </w:rPr>
        <w:t>nformation Management</w:t>
      </w:r>
    </w:p>
    <w:p w:rsidR="00D314FB" w:rsidRPr="008574F9" w:rsidRDefault="00D314FB" w:rsidP="000C02E9">
      <w:pPr>
        <w:autoSpaceDE w:val="0"/>
        <w:autoSpaceDN w:val="0"/>
        <w:adjustRightInd w:val="0"/>
        <w:rPr>
          <w:b/>
          <w:bCs/>
          <w:szCs w:val="24"/>
        </w:rPr>
      </w:pPr>
    </w:p>
    <w:p w:rsidR="000C02E9" w:rsidRPr="008574F9" w:rsidRDefault="00E86F33" w:rsidP="00E86F33">
      <w:pPr>
        <w:autoSpaceDE w:val="0"/>
        <w:autoSpaceDN w:val="0"/>
        <w:adjustRightInd w:val="0"/>
        <w:ind w:left="360"/>
        <w:rPr>
          <w:b/>
          <w:bCs/>
          <w:szCs w:val="24"/>
        </w:rPr>
      </w:pPr>
      <w:r>
        <w:rPr>
          <w:b/>
          <w:bCs/>
          <w:szCs w:val="24"/>
        </w:rPr>
        <w:t xml:space="preserve">5.1 </w:t>
      </w:r>
      <w:r w:rsidR="000C02E9" w:rsidRPr="008574F9">
        <w:rPr>
          <w:b/>
          <w:bCs/>
          <w:szCs w:val="24"/>
        </w:rPr>
        <w:t xml:space="preserve"> Agency Activities</w:t>
      </w:r>
    </w:p>
    <w:p w:rsidR="00D314FB" w:rsidRPr="008574F9" w:rsidRDefault="00D314FB" w:rsidP="000C02E9">
      <w:pPr>
        <w:autoSpaceDE w:val="0"/>
        <w:autoSpaceDN w:val="0"/>
        <w:adjustRightInd w:val="0"/>
        <w:rPr>
          <w:b/>
          <w:bCs/>
          <w:szCs w:val="24"/>
        </w:rPr>
      </w:pPr>
    </w:p>
    <w:p w:rsidR="000C02E9" w:rsidRPr="008574F9" w:rsidRDefault="000C02E9" w:rsidP="00941414">
      <w:pPr>
        <w:autoSpaceDE w:val="0"/>
        <w:autoSpaceDN w:val="0"/>
        <w:adjustRightInd w:val="0"/>
        <w:ind w:firstLine="720"/>
        <w:rPr>
          <w:szCs w:val="24"/>
        </w:rPr>
      </w:pPr>
      <w:r w:rsidRPr="008574F9">
        <w:rPr>
          <w:szCs w:val="24"/>
        </w:rPr>
        <w:t xml:space="preserve">The EPA activities associated with the </w:t>
      </w:r>
      <w:r w:rsidR="00CC0E23">
        <w:rPr>
          <w:szCs w:val="24"/>
        </w:rPr>
        <w:t>TR</w:t>
      </w:r>
      <w:r w:rsidR="00CC0E23" w:rsidRPr="008574F9">
        <w:rPr>
          <w:szCs w:val="24"/>
        </w:rPr>
        <w:t xml:space="preserve"> </w:t>
      </w:r>
      <w:r w:rsidRPr="008574F9">
        <w:rPr>
          <w:szCs w:val="24"/>
        </w:rPr>
        <w:t>include:</w:t>
      </w:r>
    </w:p>
    <w:p w:rsidR="00941414" w:rsidRPr="008574F9" w:rsidRDefault="00941414" w:rsidP="000C02E9">
      <w:pPr>
        <w:autoSpaceDE w:val="0"/>
        <w:autoSpaceDN w:val="0"/>
        <w:adjustRightInd w:val="0"/>
        <w:rPr>
          <w:szCs w:val="24"/>
        </w:rPr>
      </w:pPr>
    </w:p>
    <w:p w:rsidR="000C02E9" w:rsidRPr="008574F9" w:rsidRDefault="00E86F33" w:rsidP="00941414">
      <w:pPr>
        <w:autoSpaceDE w:val="0"/>
        <w:autoSpaceDN w:val="0"/>
        <w:adjustRightInd w:val="0"/>
        <w:ind w:left="720" w:hanging="360"/>
        <w:rPr>
          <w:szCs w:val="24"/>
        </w:rPr>
      </w:pPr>
      <w:r>
        <w:rPr>
          <w:szCs w:val="24"/>
        </w:rPr>
        <w:t>●</w:t>
      </w:r>
      <w:r w:rsidR="00941414" w:rsidRPr="008574F9">
        <w:rPr>
          <w:szCs w:val="24"/>
        </w:rPr>
        <w:tab/>
      </w:r>
      <w:r w:rsidR="000C02E9" w:rsidRPr="008574F9">
        <w:rPr>
          <w:szCs w:val="24"/>
        </w:rPr>
        <w:t>Receiving, reviewing, and storing emission in</w:t>
      </w:r>
      <w:r w:rsidR="00687275">
        <w:rPr>
          <w:szCs w:val="24"/>
        </w:rPr>
        <w:t xml:space="preserve">ventory data submitted by each </w:t>
      </w:r>
      <w:r w:rsidR="0064514F">
        <w:rPr>
          <w:szCs w:val="24"/>
        </w:rPr>
        <w:t>source</w:t>
      </w:r>
      <w:r w:rsidR="000C02E9" w:rsidRPr="008574F9">
        <w:rPr>
          <w:szCs w:val="24"/>
        </w:rPr>
        <w:t>;</w:t>
      </w:r>
    </w:p>
    <w:p w:rsidR="00941414" w:rsidRPr="008574F9" w:rsidRDefault="00941414" w:rsidP="00941414">
      <w:pPr>
        <w:autoSpaceDE w:val="0"/>
        <w:autoSpaceDN w:val="0"/>
        <w:adjustRightInd w:val="0"/>
        <w:ind w:left="720" w:hanging="360"/>
        <w:rPr>
          <w:szCs w:val="24"/>
        </w:rPr>
      </w:pPr>
    </w:p>
    <w:p w:rsidR="000C02E9" w:rsidRPr="008574F9" w:rsidRDefault="00E86F33" w:rsidP="00941414">
      <w:pPr>
        <w:autoSpaceDE w:val="0"/>
        <w:autoSpaceDN w:val="0"/>
        <w:adjustRightInd w:val="0"/>
        <w:ind w:left="720" w:hanging="360"/>
        <w:rPr>
          <w:szCs w:val="24"/>
        </w:rPr>
      </w:pPr>
      <w:r>
        <w:rPr>
          <w:szCs w:val="24"/>
        </w:rPr>
        <w:t>●</w:t>
      </w:r>
      <w:r w:rsidR="00941414" w:rsidRPr="008574F9">
        <w:rPr>
          <w:szCs w:val="24"/>
        </w:rPr>
        <w:tab/>
      </w:r>
      <w:r w:rsidR="000C02E9" w:rsidRPr="008574F9">
        <w:rPr>
          <w:szCs w:val="24"/>
        </w:rPr>
        <w:t xml:space="preserve">Processing </w:t>
      </w:r>
      <w:r w:rsidR="00687275">
        <w:rPr>
          <w:szCs w:val="24"/>
        </w:rPr>
        <w:t xml:space="preserve">and updating data submitted by </w:t>
      </w:r>
      <w:r w:rsidR="0064514F">
        <w:rPr>
          <w:szCs w:val="24"/>
        </w:rPr>
        <w:t>sources</w:t>
      </w:r>
      <w:r w:rsidR="000C02E9" w:rsidRPr="008574F9">
        <w:rPr>
          <w:szCs w:val="24"/>
        </w:rPr>
        <w:t>, including performing quality</w:t>
      </w:r>
      <w:r w:rsidR="00941414" w:rsidRPr="008574F9">
        <w:rPr>
          <w:szCs w:val="24"/>
        </w:rPr>
        <w:t xml:space="preserve"> </w:t>
      </w:r>
      <w:r w:rsidR="000C02E9" w:rsidRPr="008574F9">
        <w:rPr>
          <w:szCs w:val="24"/>
        </w:rPr>
        <w:t>assurance of data, and coordination of efforts to resolve errors and anomalies; and</w:t>
      </w:r>
    </w:p>
    <w:p w:rsidR="00941414" w:rsidRPr="008574F9" w:rsidRDefault="00941414" w:rsidP="00941414">
      <w:pPr>
        <w:autoSpaceDE w:val="0"/>
        <w:autoSpaceDN w:val="0"/>
        <w:adjustRightInd w:val="0"/>
        <w:ind w:left="720" w:hanging="360"/>
        <w:rPr>
          <w:szCs w:val="24"/>
        </w:rPr>
      </w:pPr>
    </w:p>
    <w:p w:rsidR="000C02E9" w:rsidRPr="008574F9" w:rsidRDefault="00E86F33" w:rsidP="00941414">
      <w:pPr>
        <w:autoSpaceDE w:val="0"/>
        <w:autoSpaceDN w:val="0"/>
        <w:adjustRightInd w:val="0"/>
        <w:ind w:left="720" w:hanging="360"/>
        <w:rPr>
          <w:szCs w:val="24"/>
        </w:rPr>
      </w:pPr>
      <w:r>
        <w:rPr>
          <w:szCs w:val="24"/>
        </w:rPr>
        <w:t>●</w:t>
      </w:r>
      <w:r w:rsidR="00941414" w:rsidRPr="008574F9">
        <w:rPr>
          <w:szCs w:val="24"/>
        </w:rPr>
        <w:tab/>
      </w:r>
      <w:r w:rsidR="000C02E9" w:rsidRPr="008574F9">
        <w:rPr>
          <w:szCs w:val="24"/>
        </w:rPr>
        <w:t>Fulfilling information requests.</w:t>
      </w:r>
    </w:p>
    <w:p w:rsidR="005153D7" w:rsidRPr="008574F9" w:rsidRDefault="005153D7" w:rsidP="000C02E9">
      <w:pPr>
        <w:autoSpaceDE w:val="0"/>
        <w:autoSpaceDN w:val="0"/>
        <w:adjustRightInd w:val="0"/>
        <w:rPr>
          <w:b/>
          <w:bCs/>
          <w:szCs w:val="24"/>
        </w:rPr>
      </w:pPr>
    </w:p>
    <w:p w:rsidR="000C02E9" w:rsidRPr="008574F9" w:rsidRDefault="00DB0B5B" w:rsidP="006B6347">
      <w:pPr>
        <w:keepNext/>
        <w:autoSpaceDE w:val="0"/>
        <w:autoSpaceDN w:val="0"/>
        <w:adjustRightInd w:val="0"/>
        <w:ind w:firstLine="720"/>
        <w:rPr>
          <w:szCs w:val="24"/>
        </w:rPr>
      </w:pPr>
      <w:r>
        <w:rPr>
          <w:szCs w:val="24"/>
        </w:rPr>
        <w:t xml:space="preserve">Other </w:t>
      </w:r>
      <w:r w:rsidR="000C02E9" w:rsidRPr="008574F9">
        <w:rPr>
          <w:szCs w:val="24"/>
        </w:rPr>
        <w:t xml:space="preserve"> EPA activities related to the </w:t>
      </w:r>
      <w:r w:rsidR="00F22C99">
        <w:rPr>
          <w:szCs w:val="24"/>
        </w:rPr>
        <w:t>TR</w:t>
      </w:r>
      <w:r w:rsidR="000C02E9" w:rsidRPr="008574F9">
        <w:rPr>
          <w:szCs w:val="24"/>
        </w:rPr>
        <w:t xml:space="preserve"> include (1) </w:t>
      </w:r>
      <w:r w:rsidR="00A422CD">
        <w:rPr>
          <w:szCs w:val="24"/>
        </w:rPr>
        <w:t xml:space="preserve">allocation of allowances to affected units, (2) </w:t>
      </w:r>
      <w:r w:rsidR="000C02E9" w:rsidRPr="008574F9">
        <w:rPr>
          <w:szCs w:val="24"/>
        </w:rPr>
        <w:t>maintenance and</w:t>
      </w:r>
      <w:r w:rsidR="00941414" w:rsidRPr="008574F9">
        <w:rPr>
          <w:szCs w:val="24"/>
        </w:rPr>
        <w:t xml:space="preserve"> </w:t>
      </w:r>
      <w:r w:rsidR="000C02E9" w:rsidRPr="008574F9">
        <w:rPr>
          <w:szCs w:val="24"/>
        </w:rPr>
        <w:t xml:space="preserve">administration of the </w:t>
      </w:r>
      <w:r w:rsidR="00913B86">
        <w:rPr>
          <w:szCs w:val="24"/>
        </w:rPr>
        <w:t>NO</w:t>
      </w:r>
      <w:r w:rsidR="00913B86" w:rsidRPr="00CF1B63">
        <w:rPr>
          <w:szCs w:val="24"/>
          <w:vertAlign w:val="subscript"/>
        </w:rPr>
        <w:t>X</w:t>
      </w:r>
      <w:r w:rsidR="00913B86" w:rsidRPr="008574F9">
        <w:rPr>
          <w:szCs w:val="24"/>
        </w:rPr>
        <w:t xml:space="preserve"> </w:t>
      </w:r>
      <w:r w:rsidR="00B01EFD">
        <w:rPr>
          <w:szCs w:val="24"/>
        </w:rPr>
        <w:t>allowances</w:t>
      </w:r>
      <w:r w:rsidR="00941414" w:rsidRPr="008574F9">
        <w:rPr>
          <w:szCs w:val="24"/>
        </w:rPr>
        <w:t>, (</w:t>
      </w:r>
      <w:r w:rsidR="00A422CD">
        <w:rPr>
          <w:szCs w:val="24"/>
        </w:rPr>
        <w:t>3</w:t>
      </w:r>
      <w:r w:rsidR="00941414" w:rsidRPr="008574F9">
        <w:rPr>
          <w:szCs w:val="24"/>
        </w:rPr>
        <w:t xml:space="preserve">) </w:t>
      </w:r>
      <w:r w:rsidR="003B7CE5">
        <w:rPr>
          <w:szCs w:val="24"/>
        </w:rPr>
        <w:t xml:space="preserve">reviewing </w:t>
      </w:r>
      <w:r w:rsidR="00143464">
        <w:rPr>
          <w:szCs w:val="24"/>
        </w:rPr>
        <w:t xml:space="preserve">and processing </w:t>
      </w:r>
      <w:r w:rsidR="003B7CE5">
        <w:rPr>
          <w:szCs w:val="24"/>
        </w:rPr>
        <w:t xml:space="preserve">certificates of representation, (4) </w:t>
      </w:r>
      <w:r w:rsidR="00941414" w:rsidRPr="008574F9">
        <w:rPr>
          <w:szCs w:val="24"/>
        </w:rPr>
        <w:t xml:space="preserve">reviewing permit </w:t>
      </w:r>
      <w:r w:rsidR="000C02E9" w:rsidRPr="008574F9">
        <w:rPr>
          <w:szCs w:val="24"/>
        </w:rPr>
        <w:t>applications,</w:t>
      </w:r>
      <w:r w:rsidR="00941414" w:rsidRPr="008574F9">
        <w:rPr>
          <w:szCs w:val="24"/>
        </w:rPr>
        <w:t xml:space="preserve"> </w:t>
      </w:r>
      <w:r w:rsidR="000C02E9" w:rsidRPr="008574F9">
        <w:rPr>
          <w:szCs w:val="24"/>
        </w:rPr>
        <w:t>(</w:t>
      </w:r>
      <w:r w:rsidR="00A422CD">
        <w:rPr>
          <w:szCs w:val="24"/>
        </w:rPr>
        <w:t>4</w:t>
      </w:r>
      <w:r w:rsidR="000C02E9" w:rsidRPr="008574F9">
        <w:rPr>
          <w:szCs w:val="24"/>
        </w:rPr>
        <w:t>) reviewing monitoring plans and certification applications, (</w:t>
      </w:r>
      <w:r w:rsidR="00A422CD">
        <w:rPr>
          <w:szCs w:val="24"/>
        </w:rPr>
        <w:t>5</w:t>
      </w:r>
      <w:r w:rsidR="000C02E9" w:rsidRPr="008574F9">
        <w:rPr>
          <w:szCs w:val="24"/>
        </w:rPr>
        <w:t>) processing, reviewing</w:t>
      </w:r>
      <w:r w:rsidR="003F434D">
        <w:rPr>
          <w:szCs w:val="24"/>
        </w:rPr>
        <w:t>,</w:t>
      </w:r>
      <w:r w:rsidR="000C02E9" w:rsidRPr="008574F9">
        <w:rPr>
          <w:szCs w:val="24"/>
        </w:rPr>
        <w:t xml:space="preserve"> and</w:t>
      </w:r>
      <w:r w:rsidR="00941414" w:rsidRPr="008574F9">
        <w:rPr>
          <w:szCs w:val="24"/>
        </w:rPr>
        <w:t xml:space="preserve"> </w:t>
      </w:r>
      <w:r w:rsidR="000C02E9" w:rsidRPr="008574F9">
        <w:rPr>
          <w:szCs w:val="24"/>
        </w:rPr>
        <w:t>evaluating reports of quarterly emission</w:t>
      </w:r>
      <w:r w:rsidR="00941414" w:rsidRPr="008574F9">
        <w:rPr>
          <w:szCs w:val="24"/>
        </w:rPr>
        <w:t>s data from affected units, (</w:t>
      </w:r>
      <w:r w:rsidR="00A422CD">
        <w:rPr>
          <w:szCs w:val="24"/>
        </w:rPr>
        <w:t>6</w:t>
      </w:r>
      <w:r w:rsidR="00941414" w:rsidRPr="008574F9">
        <w:rPr>
          <w:szCs w:val="24"/>
        </w:rPr>
        <w:t xml:space="preserve">) </w:t>
      </w:r>
      <w:r w:rsidR="000C02E9" w:rsidRPr="008574F9">
        <w:rPr>
          <w:szCs w:val="24"/>
        </w:rPr>
        <w:t>calculating/reviewing annual</w:t>
      </w:r>
      <w:r w:rsidR="00941414" w:rsidRPr="008574F9">
        <w:rPr>
          <w:szCs w:val="24"/>
        </w:rPr>
        <w:t xml:space="preserve"> </w:t>
      </w:r>
      <w:r w:rsidR="000C02E9" w:rsidRPr="008574F9">
        <w:rPr>
          <w:szCs w:val="24"/>
        </w:rPr>
        <w:t>emissions from affected sources</w:t>
      </w:r>
      <w:r w:rsidR="00F0767B">
        <w:rPr>
          <w:szCs w:val="24"/>
        </w:rPr>
        <w:t xml:space="preserve">, and aggregating such annual emissions for </w:t>
      </w:r>
      <w:r w:rsidR="00143464">
        <w:rPr>
          <w:szCs w:val="24"/>
        </w:rPr>
        <w:t>compliance ass</w:t>
      </w:r>
      <w:r w:rsidR="00F0767B">
        <w:rPr>
          <w:szCs w:val="24"/>
        </w:rPr>
        <w:t>urance purposes</w:t>
      </w:r>
      <w:r w:rsidR="000C02E9" w:rsidRPr="008574F9">
        <w:rPr>
          <w:szCs w:val="24"/>
        </w:rPr>
        <w:t>, and (</w:t>
      </w:r>
      <w:r w:rsidR="00A422CD">
        <w:rPr>
          <w:szCs w:val="24"/>
        </w:rPr>
        <w:t>7</w:t>
      </w:r>
      <w:r w:rsidR="000C02E9" w:rsidRPr="008574F9">
        <w:rPr>
          <w:szCs w:val="24"/>
        </w:rPr>
        <w:t>) reviewing total annual emissions data submitted to track</w:t>
      </w:r>
      <w:r w:rsidR="00941414" w:rsidRPr="008574F9">
        <w:rPr>
          <w:szCs w:val="24"/>
        </w:rPr>
        <w:t xml:space="preserve"> </w:t>
      </w:r>
      <w:r w:rsidR="00687275">
        <w:rPr>
          <w:szCs w:val="24"/>
        </w:rPr>
        <w:t>each s</w:t>
      </w:r>
      <w:r w:rsidR="000C02E9" w:rsidRPr="008574F9">
        <w:rPr>
          <w:szCs w:val="24"/>
        </w:rPr>
        <w:t>tate</w:t>
      </w:r>
      <w:r w:rsidR="00033581">
        <w:rPr>
          <w:szCs w:val="24"/>
        </w:rPr>
        <w:t>'</w:t>
      </w:r>
      <w:r w:rsidR="000C02E9" w:rsidRPr="008574F9">
        <w:rPr>
          <w:szCs w:val="24"/>
        </w:rPr>
        <w:t>s progress toward meeting its budgets and creating a summary report of emissions.</w:t>
      </w:r>
      <w:r w:rsidR="00941414" w:rsidRPr="008574F9">
        <w:rPr>
          <w:szCs w:val="24"/>
        </w:rPr>
        <w:t xml:space="preserve"> </w:t>
      </w:r>
      <w:r w:rsidR="003F434D">
        <w:rPr>
          <w:szCs w:val="24"/>
        </w:rPr>
        <w:t xml:space="preserve"> </w:t>
      </w:r>
      <w:r w:rsidR="00F0767B">
        <w:rPr>
          <w:szCs w:val="24"/>
        </w:rPr>
        <w:t xml:space="preserve">EPA </w:t>
      </w:r>
      <w:r w:rsidR="000C02E9" w:rsidRPr="008574F9">
        <w:rPr>
          <w:szCs w:val="24"/>
        </w:rPr>
        <w:t>use</w:t>
      </w:r>
      <w:r w:rsidR="00F0767B">
        <w:rPr>
          <w:szCs w:val="24"/>
        </w:rPr>
        <w:t>s</w:t>
      </w:r>
      <w:r w:rsidR="000C02E9" w:rsidRPr="008574F9">
        <w:rPr>
          <w:szCs w:val="24"/>
        </w:rPr>
        <w:t xml:space="preserve"> a computer system to track and maintain monitoring and emissions information</w:t>
      </w:r>
      <w:r w:rsidR="00924E7C">
        <w:rPr>
          <w:szCs w:val="24"/>
        </w:rPr>
        <w:t xml:space="preserve">, and </w:t>
      </w:r>
      <w:r w:rsidR="000C02E9" w:rsidRPr="008574F9">
        <w:rPr>
          <w:szCs w:val="24"/>
        </w:rPr>
        <w:t>will also answer respondent questions and conduct audits of data submissions.</w:t>
      </w:r>
    </w:p>
    <w:p w:rsidR="00D314FB" w:rsidRPr="008574F9" w:rsidRDefault="00D314FB" w:rsidP="000C02E9">
      <w:pPr>
        <w:autoSpaceDE w:val="0"/>
        <w:autoSpaceDN w:val="0"/>
        <w:adjustRightInd w:val="0"/>
        <w:rPr>
          <w:b/>
          <w:bCs/>
          <w:szCs w:val="24"/>
        </w:rPr>
      </w:pPr>
    </w:p>
    <w:p w:rsidR="000C02E9" w:rsidRDefault="000C02E9" w:rsidP="00870452">
      <w:pPr>
        <w:keepNext/>
        <w:autoSpaceDE w:val="0"/>
        <w:autoSpaceDN w:val="0"/>
        <w:adjustRightInd w:val="0"/>
        <w:ind w:left="360"/>
        <w:rPr>
          <w:b/>
          <w:bCs/>
          <w:szCs w:val="24"/>
        </w:rPr>
      </w:pPr>
      <w:r w:rsidRPr="008574F9">
        <w:rPr>
          <w:b/>
          <w:bCs/>
          <w:szCs w:val="24"/>
        </w:rPr>
        <w:lastRenderedPageBreak/>
        <w:t>5</w:t>
      </w:r>
      <w:r w:rsidR="00E86F33">
        <w:rPr>
          <w:b/>
          <w:bCs/>
          <w:szCs w:val="24"/>
        </w:rPr>
        <w:t xml:space="preserve">.2  </w:t>
      </w:r>
      <w:r w:rsidRPr="008574F9">
        <w:rPr>
          <w:b/>
          <w:bCs/>
          <w:szCs w:val="24"/>
        </w:rPr>
        <w:t>Collection Methodology and Management</w:t>
      </w:r>
    </w:p>
    <w:p w:rsidR="00B01EFD" w:rsidRPr="008574F9" w:rsidRDefault="00B01EFD" w:rsidP="00870452">
      <w:pPr>
        <w:keepNext/>
        <w:autoSpaceDE w:val="0"/>
        <w:autoSpaceDN w:val="0"/>
        <w:adjustRightInd w:val="0"/>
        <w:ind w:left="360"/>
        <w:rPr>
          <w:b/>
          <w:bCs/>
          <w:szCs w:val="24"/>
        </w:rPr>
      </w:pPr>
    </w:p>
    <w:p w:rsidR="000C02E9" w:rsidRPr="008574F9" w:rsidRDefault="000C02E9" w:rsidP="00B01EFD">
      <w:pPr>
        <w:keepNext/>
        <w:autoSpaceDE w:val="0"/>
        <w:autoSpaceDN w:val="0"/>
        <w:adjustRightInd w:val="0"/>
        <w:ind w:firstLine="720"/>
        <w:rPr>
          <w:szCs w:val="24"/>
        </w:rPr>
      </w:pPr>
      <w:r w:rsidRPr="008574F9">
        <w:rPr>
          <w:szCs w:val="24"/>
        </w:rPr>
        <w:t>To ensure consistency region</w:t>
      </w:r>
      <w:r w:rsidR="00E011B0" w:rsidRPr="008574F9">
        <w:rPr>
          <w:szCs w:val="24"/>
        </w:rPr>
        <w:t xml:space="preserve"> </w:t>
      </w:r>
      <w:r w:rsidRPr="008574F9">
        <w:rPr>
          <w:szCs w:val="24"/>
        </w:rPr>
        <w:t>wide and to expedite data entry, EPA requires that standard</w:t>
      </w:r>
      <w:r w:rsidR="00941414" w:rsidRPr="008574F9">
        <w:rPr>
          <w:szCs w:val="24"/>
        </w:rPr>
        <w:t xml:space="preserve"> </w:t>
      </w:r>
      <w:r w:rsidR="00D56CFE">
        <w:rPr>
          <w:szCs w:val="24"/>
        </w:rPr>
        <w:t xml:space="preserve">formats used for </w:t>
      </w:r>
      <w:r w:rsidRPr="008574F9">
        <w:rPr>
          <w:szCs w:val="24"/>
        </w:rPr>
        <w:t xml:space="preserve">reporting </w:t>
      </w:r>
      <w:r w:rsidR="00D56CFE">
        <w:rPr>
          <w:szCs w:val="24"/>
        </w:rPr>
        <w:t xml:space="preserve">under 40 CFR part 75 </w:t>
      </w:r>
      <w:r w:rsidRPr="008574F9">
        <w:rPr>
          <w:szCs w:val="24"/>
        </w:rPr>
        <w:t xml:space="preserve">be used to submit the information collected for the </w:t>
      </w:r>
      <w:r w:rsidR="00F22C99">
        <w:rPr>
          <w:szCs w:val="24"/>
        </w:rPr>
        <w:t>TR</w:t>
      </w:r>
      <w:r w:rsidRPr="008574F9">
        <w:rPr>
          <w:szCs w:val="24"/>
        </w:rPr>
        <w:t>.</w:t>
      </w:r>
    </w:p>
    <w:p w:rsidR="00941414" w:rsidRPr="008574F9" w:rsidRDefault="00941414" w:rsidP="000C02E9">
      <w:pPr>
        <w:autoSpaceDE w:val="0"/>
        <w:autoSpaceDN w:val="0"/>
        <w:adjustRightInd w:val="0"/>
        <w:rPr>
          <w:szCs w:val="24"/>
        </w:rPr>
      </w:pPr>
    </w:p>
    <w:p w:rsidR="000C02E9" w:rsidRPr="008574F9" w:rsidRDefault="000C02E9" w:rsidP="00941414">
      <w:pPr>
        <w:autoSpaceDE w:val="0"/>
        <w:autoSpaceDN w:val="0"/>
        <w:adjustRightInd w:val="0"/>
        <w:ind w:firstLine="720"/>
        <w:rPr>
          <w:szCs w:val="24"/>
        </w:rPr>
      </w:pPr>
      <w:r w:rsidRPr="008574F9">
        <w:rPr>
          <w:szCs w:val="24"/>
        </w:rPr>
        <w:t>Several computer systems and associated databases have been developed to (1) track</w:t>
      </w:r>
      <w:r w:rsidR="00941414" w:rsidRPr="008574F9">
        <w:rPr>
          <w:szCs w:val="24"/>
        </w:rPr>
        <w:t xml:space="preserve"> </w:t>
      </w:r>
      <w:r w:rsidR="00897F31">
        <w:rPr>
          <w:szCs w:val="24"/>
        </w:rPr>
        <w:t>allowance activity</w:t>
      </w:r>
      <w:r w:rsidRPr="008574F9">
        <w:rPr>
          <w:szCs w:val="24"/>
        </w:rPr>
        <w:t>, (2) record quarterly emissions monitoring data, and (3) calculate the number of</w:t>
      </w:r>
      <w:r w:rsidR="00941414" w:rsidRPr="008574F9">
        <w:rPr>
          <w:szCs w:val="24"/>
        </w:rPr>
        <w:t xml:space="preserve"> </w:t>
      </w:r>
      <w:r w:rsidRPr="008574F9">
        <w:rPr>
          <w:szCs w:val="24"/>
        </w:rPr>
        <w:t>allowances to be deducted each year</w:t>
      </w:r>
      <w:r w:rsidR="003972B1" w:rsidRPr="008574F9">
        <w:rPr>
          <w:szCs w:val="24"/>
        </w:rPr>
        <w:t xml:space="preserve">.  </w:t>
      </w:r>
      <w:r w:rsidRPr="008574F9">
        <w:rPr>
          <w:szCs w:val="24"/>
        </w:rPr>
        <w:t>The</w:t>
      </w:r>
      <w:r w:rsidR="008B73DB">
        <w:rPr>
          <w:szCs w:val="24"/>
        </w:rPr>
        <w:t>se</w:t>
      </w:r>
      <w:r w:rsidRPr="008574F9">
        <w:rPr>
          <w:szCs w:val="24"/>
        </w:rPr>
        <w:t xml:space="preserve"> systems and database</w:t>
      </w:r>
      <w:r w:rsidR="008B73DB">
        <w:rPr>
          <w:szCs w:val="24"/>
        </w:rPr>
        <w:t xml:space="preserve">s are designed to provide </w:t>
      </w:r>
      <w:r w:rsidRPr="008574F9">
        <w:rPr>
          <w:szCs w:val="24"/>
        </w:rPr>
        <w:t xml:space="preserve">easy access </w:t>
      </w:r>
      <w:r w:rsidR="008B73DB">
        <w:rPr>
          <w:szCs w:val="24"/>
        </w:rPr>
        <w:t xml:space="preserve">to information for </w:t>
      </w:r>
      <w:r w:rsidRPr="008574F9">
        <w:rPr>
          <w:szCs w:val="24"/>
        </w:rPr>
        <w:t xml:space="preserve">use by the Agency, </w:t>
      </w:r>
      <w:r w:rsidR="00687275">
        <w:rPr>
          <w:szCs w:val="24"/>
        </w:rPr>
        <w:t>s</w:t>
      </w:r>
      <w:r w:rsidR="009D2B68">
        <w:rPr>
          <w:szCs w:val="24"/>
        </w:rPr>
        <w:t>tate</w:t>
      </w:r>
      <w:r w:rsidR="008B73DB">
        <w:rPr>
          <w:szCs w:val="24"/>
        </w:rPr>
        <w:t xml:space="preserve">s, regulated community, and general </w:t>
      </w:r>
      <w:r w:rsidRPr="008574F9">
        <w:rPr>
          <w:szCs w:val="24"/>
        </w:rPr>
        <w:t>public.</w:t>
      </w:r>
    </w:p>
    <w:p w:rsidR="00941414" w:rsidRPr="008574F9" w:rsidRDefault="00941414" w:rsidP="000C02E9">
      <w:pPr>
        <w:autoSpaceDE w:val="0"/>
        <w:autoSpaceDN w:val="0"/>
        <w:adjustRightInd w:val="0"/>
        <w:rPr>
          <w:szCs w:val="24"/>
        </w:rPr>
      </w:pPr>
    </w:p>
    <w:p w:rsidR="000C02E9" w:rsidRPr="008574F9" w:rsidRDefault="008B73DB" w:rsidP="00941414">
      <w:pPr>
        <w:autoSpaceDE w:val="0"/>
        <w:autoSpaceDN w:val="0"/>
        <w:adjustRightInd w:val="0"/>
        <w:ind w:firstLine="720"/>
        <w:rPr>
          <w:szCs w:val="24"/>
        </w:rPr>
      </w:pPr>
      <w:r>
        <w:rPr>
          <w:szCs w:val="24"/>
        </w:rPr>
        <w:t xml:space="preserve">The EPA </w:t>
      </w:r>
      <w:r w:rsidR="000C02E9" w:rsidRPr="008574F9">
        <w:rPr>
          <w:szCs w:val="24"/>
        </w:rPr>
        <w:t xml:space="preserve">has </w:t>
      </w:r>
      <w:r>
        <w:rPr>
          <w:szCs w:val="24"/>
        </w:rPr>
        <w:t xml:space="preserve">also </w:t>
      </w:r>
      <w:r w:rsidR="000C02E9" w:rsidRPr="008574F9">
        <w:rPr>
          <w:szCs w:val="24"/>
        </w:rPr>
        <w:t xml:space="preserve">established a Clean Air Markets </w:t>
      </w:r>
      <w:r w:rsidR="00924E7C">
        <w:rPr>
          <w:szCs w:val="24"/>
        </w:rPr>
        <w:t>website</w:t>
      </w:r>
      <w:r w:rsidR="000C02E9" w:rsidRPr="008574F9">
        <w:rPr>
          <w:szCs w:val="24"/>
        </w:rPr>
        <w:t>, which includes</w:t>
      </w:r>
      <w:r w:rsidR="00941414" w:rsidRPr="008574F9">
        <w:rPr>
          <w:szCs w:val="24"/>
        </w:rPr>
        <w:t xml:space="preserve"> detailed</w:t>
      </w:r>
      <w:r w:rsidR="000C02E9" w:rsidRPr="008574F9">
        <w:rPr>
          <w:szCs w:val="24"/>
        </w:rPr>
        <w:t xml:space="preserve"> information collected from emissions reports</w:t>
      </w:r>
      <w:r w:rsidR="003972B1" w:rsidRPr="008574F9">
        <w:rPr>
          <w:szCs w:val="24"/>
        </w:rPr>
        <w:t xml:space="preserve">.  </w:t>
      </w:r>
      <w:r>
        <w:rPr>
          <w:szCs w:val="24"/>
        </w:rPr>
        <w:t>Those without access to the i</w:t>
      </w:r>
      <w:r w:rsidR="000C02E9" w:rsidRPr="008574F9">
        <w:rPr>
          <w:szCs w:val="24"/>
        </w:rPr>
        <w:t>nternet may</w:t>
      </w:r>
      <w:r w:rsidR="00941414" w:rsidRPr="008574F9">
        <w:rPr>
          <w:szCs w:val="24"/>
        </w:rPr>
        <w:t xml:space="preserve"> </w:t>
      </w:r>
      <w:r w:rsidR="000C02E9" w:rsidRPr="008574F9">
        <w:rPr>
          <w:szCs w:val="24"/>
        </w:rPr>
        <w:t>use the Clean Air Markets Hotline to request information, including summary reports</w:t>
      </w:r>
      <w:r w:rsidR="003972B1" w:rsidRPr="008574F9">
        <w:rPr>
          <w:szCs w:val="24"/>
        </w:rPr>
        <w:t xml:space="preserve">.  </w:t>
      </w:r>
      <w:r w:rsidR="000C02E9" w:rsidRPr="008574F9">
        <w:rPr>
          <w:szCs w:val="24"/>
        </w:rPr>
        <w:t>The</w:t>
      </w:r>
      <w:r w:rsidR="00941414" w:rsidRPr="008574F9">
        <w:rPr>
          <w:szCs w:val="24"/>
        </w:rPr>
        <w:t xml:space="preserve"> </w:t>
      </w:r>
      <w:r w:rsidR="00FC66A6">
        <w:rPr>
          <w:szCs w:val="24"/>
        </w:rPr>
        <w:t xml:space="preserve">Agency will </w:t>
      </w:r>
      <w:r w:rsidR="000C02E9" w:rsidRPr="008574F9">
        <w:rPr>
          <w:szCs w:val="24"/>
        </w:rPr>
        <w:t xml:space="preserve">rely on these electronic means to disseminate information about the </w:t>
      </w:r>
      <w:r w:rsidR="00F22C99">
        <w:rPr>
          <w:szCs w:val="24"/>
        </w:rPr>
        <w:t>TR</w:t>
      </w:r>
      <w:r w:rsidR="00941414" w:rsidRPr="008574F9">
        <w:rPr>
          <w:szCs w:val="24"/>
        </w:rPr>
        <w:t xml:space="preserve"> </w:t>
      </w:r>
      <w:r w:rsidR="000C02E9" w:rsidRPr="008574F9">
        <w:rPr>
          <w:szCs w:val="24"/>
        </w:rPr>
        <w:t>as the program is implemented.</w:t>
      </w:r>
    </w:p>
    <w:p w:rsidR="00D314FB" w:rsidRPr="008574F9" w:rsidRDefault="00D314FB" w:rsidP="000C02E9">
      <w:pPr>
        <w:autoSpaceDE w:val="0"/>
        <w:autoSpaceDN w:val="0"/>
        <w:adjustRightInd w:val="0"/>
        <w:rPr>
          <w:b/>
          <w:bCs/>
          <w:szCs w:val="24"/>
        </w:rPr>
      </w:pPr>
    </w:p>
    <w:p w:rsidR="000C02E9" w:rsidRPr="008574F9" w:rsidRDefault="000C02E9" w:rsidP="006B6347">
      <w:pPr>
        <w:keepNext/>
        <w:autoSpaceDE w:val="0"/>
        <w:autoSpaceDN w:val="0"/>
        <w:adjustRightInd w:val="0"/>
        <w:ind w:left="360"/>
        <w:rPr>
          <w:b/>
          <w:bCs/>
          <w:szCs w:val="24"/>
        </w:rPr>
      </w:pPr>
      <w:r w:rsidRPr="008574F9">
        <w:rPr>
          <w:b/>
          <w:bCs/>
          <w:szCs w:val="24"/>
        </w:rPr>
        <w:t>5</w:t>
      </w:r>
      <w:r w:rsidR="00E86F33">
        <w:rPr>
          <w:b/>
          <w:bCs/>
          <w:szCs w:val="24"/>
        </w:rPr>
        <w:t xml:space="preserve">.3 </w:t>
      </w:r>
      <w:r w:rsidRPr="008574F9">
        <w:rPr>
          <w:b/>
          <w:bCs/>
          <w:szCs w:val="24"/>
        </w:rPr>
        <w:t xml:space="preserve"> Small Entity Flexibility</w:t>
      </w:r>
    </w:p>
    <w:p w:rsidR="00D314FB" w:rsidRPr="008574F9" w:rsidRDefault="00D314FB" w:rsidP="006B6347">
      <w:pPr>
        <w:keepNext/>
        <w:autoSpaceDE w:val="0"/>
        <w:autoSpaceDN w:val="0"/>
        <w:adjustRightInd w:val="0"/>
        <w:rPr>
          <w:b/>
          <w:bCs/>
          <w:szCs w:val="24"/>
        </w:rPr>
      </w:pPr>
    </w:p>
    <w:p w:rsidR="000C02E9" w:rsidRPr="008574F9" w:rsidRDefault="000C02E9" w:rsidP="00941414">
      <w:pPr>
        <w:autoSpaceDE w:val="0"/>
        <w:autoSpaceDN w:val="0"/>
        <w:adjustRightInd w:val="0"/>
        <w:ind w:firstLine="720"/>
        <w:rPr>
          <w:szCs w:val="24"/>
        </w:rPr>
      </w:pPr>
      <w:r w:rsidRPr="008574F9">
        <w:rPr>
          <w:szCs w:val="24"/>
        </w:rPr>
        <w:t xml:space="preserve">The </w:t>
      </w:r>
      <w:r w:rsidR="00F22C99">
        <w:rPr>
          <w:szCs w:val="24"/>
        </w:rPr>
        <w:t>TR</w:t>
      </w:r>
      <w:r w:rsidR="005A3001">
        <w:rPr>
          <w:szCs w:val="24"/>
        </w:rPr>
        <w:t xml:space="preserve"> applies to</w:t>
      </w:r>
      <w:r w:rsidRPr="008574F9">
        <w:rPr>
          <w:szCs w:val="24"/>
        </w:rPr>
        <w:t xml:space="preserve"> fossil fuel-fired units (stationary boilers</w:t>
      </w:r>
      <w:r w:rsidR="00123759" w:rsidRPr="008574F9">
        <w:rPr>
          <w:szCs w:val="24"/>
        </w:rPr>
        <w:t xml:space="preserve"> and</w:t>
      </w:r>
      <w:r w:rsidRPr="008574F9">
        <w:rPr>
          <w:szCs w:val="24"/>
        </w:rPr>
        <w:t xml:space="preserve"> combustion</w:t>
      </w:r>
      <w:r w:rsidR="00941414" w:rsidRPr="008574F9">
        <w:rPr>
          <w:szCs w:val="24"/>
        </w:rPr>
        <w:t xml:space="preserve"> </w:t>
      </w:r>
      <w:r w:rsidRPr="008574F9">
        <w:rPr>
          <w:szCs w:val="24"/>
        </w:rPr>
        <w:t xml:space="preserve">turbines) that </w:t>
      </w:r>
      <w:r w:rsidR="00897F31">
        <w:rPr>
          <w:szCs w:val="24"/>
        </w:rPr>
        <w:t>serve an electrical generator with nameplate</w:t>
      </w:r>
      <w:r w:rsidRPr="008574F9">
        <w:rPr>
          <w:szCs w:val="24"/>
        </w:rPr>
        <w:t xml:space="preserve"> capacity greater than</w:t>
      </w:r>
      <w:r w:rsidR="00941414" w:rsidRPr="008574F9">
        <w:rPr>
          <w:szCs w:val="24"/>
        </w:rPr>
        <w:t xml:space="preserve"> </w:t>
      </w:r>
      <w:r w:rsidRPr="008574F9">
        <w:rPr>
          <w:szCs w:val="24"/>
        </w:rPr>
        <w:t>25 MWe</w:t>
      </w:r>
      <w:r w:rsidR="003972B1" w:rsidRPr="008574F9">
        <w:rPr>
          <w:szCs w:val="24"/>
        </w:rPr>
        <w:t>.</w:t>
      </w:r>
      <w:r w:rsidR="006F03E8">
        <w:rPr>
          <w:szCs w:val="24"/>
        </w:rPr>
        <w:t xml:space="preserve">  </w:t>
      </w:r>
      <w:r w:rsidR="00CC0E23">
        <w:rPr>
          <w:szCs w:val="24"/>
        </w:rPr>
        <w:t>Some</w:t>
      </w:r>
      <w:r w:rsidR="009E5D82">
        <w:rPr>
          <w:szCs w:val="24"/>
        </w:rPr>
        <w:t xml:space="preserve"> </w:t>
      </w:r>
      <w:r w:rsidR="00005E04">
        <w:rPr>
          <w:szCs w:val="24"/>
        </w:rPr>
        <w:t>cogener</w:t>
      </w:r>
      <w:r w:rsidR="00DE2114">
        <w:rPr>
          <w:szCs w:val="24"/>
        </w:rPr>
        <w:t>ation units and</w:t>
      </w:r>
      <w:r w:rsidR="00005E04">
        <w:rPr>
          <w:szCs w:val="24"/>
        </w:rPr>
        <w:t xml:space="preserve"> solid waste incinerators</w:t>
      </w:r>
      <w:r w:rsidR="00DE2114">
        <w:rPr>
          <w:szCs w:val="24"/>
        </w:rPr>
        <w:t xml:space="preserve"> </w:t>
      </w:r>
      <w:r w:rsidR="009E5D82">
        <w:rPr>
          <w:szCs w:val="24"/>
        </w:rPr>
        <w:t>are exempt from the TR</w:t>
      </w:r>
      <w:r w:rsidR="00DE2114">
        <w:rPr>
          <w:szCs w:val="24"/>
        </w:rPr>
        <w:t xml:space="preserve"> if they me</w:t>
      </w:r>
      <w:r w:rsidR="009E5D82">
        <w:rPr>
          <w:szCs w:val="24"/>
        </w:rPr>
        <w:t>e</w:t>
      </w:r>
      <w:r w:rsidR="00DE2114">
        <w:rPr>
          <w:szCs w:val="24"/>
        </w:rPr>
        <w:t xml:space="preserve">t </w:t>
      </w:r>
      <w:r w:rsidR="009E5D82">
        <w:rPr>
          <w:szCs w:val="24"/>
        </w:rPr>
        <w:t xml:space="preserve">certain </w:t>
      </w:r>
      <w:r w:rsidR="00DE2114">
        <w:rPr>
          <w:szCs w:val="24"/>
        </w:rPr>
        <w:t>criteria.</w:t>
      </w:r>
    </w:p>
    <w:p w:rsidR="00941414" w:rsidRPr="008574F9" w:rsidRDefault="00941414" w:rsidP="000C02E9">
      <w:pPr>
        <w:autoSpaceDE w:val="0"/>
        <w:autoSpaceDN w:val="0"/>
        <w:adjustRightInd w:val="0"/>
        <w:rPr>
          <w:szCs w:val="24"/>
        </w:rPr>
      </w:pPr>
    </w:p>
    <w:p w:rsidR="000C02E9" w:rsidRPr="008574F9" w:rsidRDefault="000C02E9" w:rsidP="00941414">
      <w:pPr>
        <w:autoSpaceDE w:val="0"/>
        <w:autoSpaceDN w:val="0"/>
        <w:adjustRightInd w:val="0"/>
        <w:ind w:firstLine="720"/>
        <w:rPr>
          <w:szCs w:val="24"/>
        </w:rPr>
      </w:pPr>
      <w:r w:rsidRPr="008574F9">
        <w:rPr>
          <w:szCs w:val="24"/>
        </w:rPr>
        <w:t>The</w:t>
      </w:r>
      <w:r w:rsidR="005A3001">
        <w:rPr>
          <w:szCs w:val="24"/>
        </w:rPr>
        <w:t xml:space="preserve"> low mass emissions provisions under 40 CFR 75.19 provide for</w:t>
      </w:r>
      <w:r w:rsidRPr="008574F9">
        <w:rPr>
          <w:szCs w:val="24"/>
        </w:rPr>
        <w:t xml:space="preserve"> optional reduced</w:t>
      </w:r>
      <w:r w:rsidR="00941414" w:rsidRPr="008574F9">
        <w:rPr>
          <w:szCs w:val="24"/>
        </w:rPr>
        <w:t xml:space="preserve"> </w:t>
      </w:r>
      <w:r w:rsidRPr="008574F9">
        <w:rPr>
          <w:szCs w:val="24"/>
        </w:rPr>
        <w:t xml:space="preserve">monitoring, quality assurance, and reporting requirements for </w:t>
      </w:r>
      <w:r w:rsidR="00CC0E23">
        <w:rPr>
          <w:szCs w:val="24"/>
        </w:rPr>
        <w:t xml:space="preserve">certain </w:t>
      </w:r>
      <w:r w:rsidRPr="008574F9">
        <w:rPr>
          <w:szCs w:val="24"/>
        </w:rPr>
        <w:t>units that combust natural gas</w:t>
      </w:r>
      <w:r w:rsidR="00941414" w:rsidRPr="008574F9">
        <w:rPr>
          <w:szCs w:val="24"/>
        </w:rPr>
        <w:t xml:space="preserve"> </w:t>
      </w:r>
      <w:r w:rsidRPr="008574F9">
        <w:rPr>
          <w:szCs w:val="24"/>
        </w:rPr>
        <w:t>and/or fuel oil</w:t>
      </w:r>
      <w:r w:rsidR="005A3001">
        <w:rPr>
          <w:szCs w:val="24"/>
        </w:rPr>
        <w:t xml:space="preserve">.  Such units must </w:t>
      </w:r>
      <w:r w:rsidRPr="008574F9">
        <w:rPr>
          <w:szCs w:val="24"/>
        </w:rPr>
        <w:t xml:space="preserve">emit no more than 100 tons of </w:t>
      </w:r>
      <w:r w:rsidR="007B40DE" w:rsidRPr="007B40DE">
        <w:rPr>
          <w:szCs w:val="24"/>
        </w:rPr>
        <w:t>NO</w:t>
      </w:r>
      <w:r w:rsidR="002B09EE">
        <w:rPr>
          <w:szCs w:val="24"/>
          <w:vertAlign w:val="subscript"/>
        </w:rPr>
        <w:t>X</w:t>
      </w:r>
      <w:r w:rsidR="005A3001">
        <w:rPr>
          <w:szCs w:val="24"/>
        </w:rPr>
        <w:t xml:space="preserve"> annually, </w:t>
      </w:r>
      <w:r w:rsidRPr="008574F9">
        <w:rPr>
          <w:szCs w:val="24"/>
        </w:rPr>
        <w:t xml:space="preserve">50 tons of </w:t>
      </w:r>
      <w:r w:rsidR="007B40DE" w:rsidRPr="007B40DE">
        <w:rPr>
          <w:szCs w:val="24"/>
        </w:rPr>
        <w:t>NO</w:t>
      </w:r>
      <w:r w:rsidR="002B09EE">
        <w:rPr>
          <w:szCs w:val="24"/>
          <w:vertAlign w:val="subscript"/>
        </w:rPr>
        <w:t>X</w:t>
      </w:r>
      <w:r w:rsidR="005A3001">
        <w:rPr>
          <w:szCs w:val="24"/>
        </w:rPr>
        <w:t xml:space="preserve"> during </w:t>
      </w:r>
      <w:r w:rsidRPr="008574F9">
        <w:rPr>
          <w:szCs w:val="24"/>
        </w:rPr>
        <w:t>the ozone season (May 1 – September 30)</w:t>
      </w:r>
      <w:r w:rsidR="005A3001">
        <w:rPr>
          <w:szCs w:val="24"/>
        </w:rPr>
        <w:t xml:space="preserve">, </w:t>
      </w:r>
      <w:r w:rsidR="00264C2E">
        <w:rPr>
          <w:szCs w:val="24"/>
        </w:rPr>
        <w:t xml:space="preserve">and </w:t>
      </w:r>
      <w:r w:rsidRPr="008574F9">
        <w:rPr>
          <w:szCs w:val="24"/>
        </w:rPr>
        <w:t>25 tons</w:t>
      </w:r>
      <w:r w:rsidR="00941414" w:rsidRPr="008574F9">
        <w:rPr>
          <w:szCs w:val="24"/>
        </w:rPr>
        <w:t xml:space="preserve"> </w:t>
      </w:r>
      <w:r w:rsidRPr="008574F9">
        <w:rPr>
          <w:szCs w:val="24"/>
        </w:rPr>
        <w:t>of SO</w:t>
      </w:r>
      <w:r w:rsidRPr="00E975AC">
        <w:rPr>
          <w:szCs w:val="24"/>
          <w:vertAlign w:val="subscript"/>
        </w:rPr>
        <w:t>2</w:t>
      </w:r>
      <w:r w:rsidRPr="008574F9">
        <w:rPr>
          <w:szCs w:val="24"/>
        </w:rPr>
        <w:t xml:space="preserve"> annually</w:t>
      </w:r>
      <w:r w:rsidR="009E5D82">
        <w:rPr>
          <w:szCs w:val="24"/>
        </w:rPr>
        <w:t>,</w:t>
      </w:r>
      <w:r w:rsidRPr="008574F9">
        <w:rPr>
          <w:szCs w:val="24"/>
        </w:rPr>
        <w:t xml:space="preserve"> </w:t>
      </w:r>
      <w:r w:rsidR="005A3001">
        <w:rPr>
          <w:szCs w:val="24"/>
        </w:rPr>
        <w:t xml:space="preserve">and </w:t>
      </w:r>
      <w:r w:rsidRPr="008574F9">
        <w:rPr>
          <w:szCs w:val="24"/>
        </w:rPr>
        <w:t>calculate no more than the</w:t>
      </w:r>
      <w:r w:rsidR="005A3001">
        <w:rPr>
          <w:szCs w:val="24"/>
        </w:rPr>
        <w:t>se</w:t>
      </w:r>
      <w:r w:rsidRPr="008574F9">
        <w:rPr>
          <w:szCs w:val="24"/>
        </w:rPr>
        <w:t xml:space="preserve"> same amount</w:t>
      </w:r>
      <w:r w:rsidR="005A3001">
        <w:rPr>
          <w:szCs w:val="24"/>
        </w:rPr>
        <w:t>s</w:t>
      </w:r>
      <w:r w:rsidRPr="008574F9">
        <w:rPr>
          <w:szCs w:val="24"/>
        </w:rPr>
        <w:t xml:space="preserve"> based on specified procedures</w:t>
      </w:r>
      <w:r w:rsidR="00941414" w:rsidRPr="008574F9">
        <w:rPr>
          <w:szCs w:val="24"/>
        </w:rPr>
        <w:t xml:space="preserve"> </w:t>
      </w:r>
      <w:r w:rsidRPr="008574F9">
        <w:rPr>
          <w:szCs w:val="24"/>
        </w:rPr>
        <w:t>for calculating and reporting emissions</w:t>
      </w:r>
      <w:r w:rsidR="003972B1" w:rsidRPr="008574F9">
        <w:rPr>
          <w:szCs w:val="24"/>
        </w:rPr>
        <w:t xml:space="preserve">.  </w:t>
      </w:r>
      <w:r w:rsidR="005502CE">
        <w:rPr>
          <w:szCs w:val="24"/>
        </w:rPr>
        <w:t>Units</w:t>
      </w:r>
      <w:r w:rsidRPr="008574F9">
        <w:rPr>
          <w:szCs w:val="24"/>
        </w:rPr>
        <w:t xml:space="preserve"> that qualify are </w:t>
      </w:r>
      <w:r w:rsidR="005502CE">
        <w:rPr>
          <w:szCs w:val="24"/>
        </w:rPr>
        <w:t xml:space="preserve">exempted from certain requirements to install and operate monitoring equipment, </w:t>
      </w:r>
      <w:r w:rsidRPr="008574F9">
        <w:rPr>
          <w:szCs w:val="24"/>
        </w:rPr>
        <w:t>conduct fuel sampl</w:t>
      </w:r>
      <w:r w:rsidR="005502CE">
        <w:rPr>
          <w:szCs w:val="24"/>
        </w:rPr>
        <w:t>ing, and</w:t>
      </w:r>
      <w:r w:rsidRPr="008574F9">
        <w:rPr>
          <w:szCs w:val="24"/>
        </w:rPr>
        <w:t xml:space="preserve"> perform quality assu</w:t>
      </w:r>
      <w:r w:rsidR="00941414" w:rsidRPr="008574F9">
        <w:rPr>
          <w:szCs w:val="24"/>
        </w:rPr>
        <w:t>rance or quality control tests</w:t>
      </w:r>
      <w:r w:rsidR="003972B1" w:rsidRPr="008574F9">
        <w:rPr>
          <w:szCs w:val="24"/>
        </w:rPr>
        <w:t xml:space="preserve">.  </w:t>
      </w:r>
      <w:r w:rsidRPr="008574F9">
        <w:rPr>
          <w:szCs w:val="24"/>
        </w:rPr>
        <w:t>Moreover, emissions reporting</w:t>
      </w:r>
      <w:r w:rsidR="00941414" w:rsidRPr="008574F9">
        <w:rPr>
          <w:szCs w:val="24"/>
        </w:rPr>
        <w:t xml:space="preserve"> </w:t>
      </w:r>
      <w:r w:rsidRPr="008574F9">
        <w:rPr>
          <w:szCs w:val="24"/>
        </w:rPr>
        <w:t>requirements are significantly simplified for these units.</w:t>
      </w:r>
    </w:p>
    <w:p w:rsidR="00941414" w:rsidRPr="008574F9" w:rsidRDefault="00941414" w:rsidP="000C02E9">
      <w:pPr>
        <w:autoSpaceDE w:val="0"/>
        <w:autoSpaceDN w:val="0"/>
        <w:adjustRightInd w:val="0"/>
        <w:rPr>
          <w:szCs w:val="24"/>
        </w:rPr>
      </w:pPr>
    </w:p>
    <w:p w:rsidR="00A55C35" w:rsidRPr="00717AE0" w:rsidRDefault="009F3548" w:rsidP="00717AE0">
      <w:pPr>
        <w:autoSpaceDE w:val="0"/>
        <w:autoSpaceDN w:val="0"/>
        <w:adjustRightInd w:val="0"/>
        <w:ind w:firstLine="720"/>
        <w:rPr>
          <w:szCs w:val="24"/>
        </w:rPr>
      </w:pPr>
      <w:r>
        <w:rPr>
          <w:szCs w:val="24"/>
        </w:rPr>
        <w:t>G</w:t>
      </w:r>
      <w:r w:rsidR="000C02E9" w:rsidRPr="008574F9">
        <w:rPr>
          <w:szCs w:val="24"/>
        </w:rPr>
        <w:t>as- or oil-fired unit</w:t>
      </w:r>
      <w:r>
        <w:rPr>
          <w:szCs w:val="24"/>
        </w:rPr>
        <w:t>s that do not qualify for</w:t>
      </w:r>
      <w:r w:rsidR="000C02E9" w:rsidRPr="008574F9">
        <w:rPr>
          <w:szCs w:val="24"/>
        </w:rPr>
        <w:t xml:space="preserve"> the low mass emissions unit p</w:t>
      </w:r>
      <w:r>
        <w:rPr>
          <w:szCs w:val="24"/>
        </w:rPr>
        <w:t>rovisions</w:t>
      </w:r>
      <w:r w:rsidR="00941414" w:rsidRPr="008574F9">
        <w:rPr>
          <w:szCs w:val="24"/>
        </w:rPr>
        <w:t xml:space="preserve"> </w:t>
      </w:r>
      <w:r>
        <w:rPr>
          <w:szCs w:val="24"/>
        </w:rPr>
        <w:t xml:space="preserve">under </w:t>
      </w:r>
      <w:r w:rsidR="00D56CFE">
        <w:rPr>
          <w:szCs w:val="24"/>
        </w:rPr>
        <w:t>40 CFR part 75</w:t>
      </w:r>
      <w:r w:rsidR="00F6033B">
        <w:rPr>
          <w:szCs w:val="24"/>
        </w:rPr>
        <w:t xml:space="preserve"> </w:t>
      </w:r>
      <w:r>
        <w:rPr>
          <w:szCs w:val="24"/>
        </w:rPr>
        <w:t>may still meet criteria that allows for the</w:t>
      </w:r>
      <w:r w:rsidR="000C02E9" w:rsidRPr="008574F9">
        <w:rPr>
          <w:szCs w:val="24"/>
        </w:rPr>
        <w:t xml:space="preserve"> use of </w:t>
      </w:r>
      <w:r w:rsidR="00897F31">
        <w:rPr>
          <w:szCs w:val="24"/>
        </w:rPr>
        <w:t xml:space="preserve">alternative methods to measure </w:t>
      </w:r>
      <w:r w:rsidR="000C02E9" w:rsidRPr="008574F9">
        <w:rPr>
          <w:szCs w:val="24"/>
        </w:rPr>
        <w:t>emissions</w:t>
      </w:r>
      <w:r w:rsidR="003972B1" w:rsidRPr="008574F9">
        <w:rPr>
          <w:szCs w:val="24"/>
        </w:rPr>
        <w:t xml:space="preserve">.  </w:t>
      </w:r>
      <w:r w:rsidR="000C02E9" w:rsidRPr="008574F9">
        <w:rPr>
          <w:szCs w:val="24"/>
        </w:rPr>
        <w:t>As discussed in the R</w:t>
      </w:r>
      <w:r w:rsidR="00717AE0">
        <w:rPr>
          <w:szCs w:val="24"/>
        </w:rPr>
        <w:t>egulatory Impact Analysis of the final ARP regulations</w:t>
      </w:r>
      <w:r w:rsidR="000C02E9" w:rsidRPr="008574F9">
        <w:rPr>
          <w:szCs w:val="24"/>
        </w:rPr>
        <w:t xml:space="preserve"> (October 19, 1992), smaller utilities are more like</w:t>
      </w:r>
      <w:r w:rsidR="00941414" w:rsidRPr="008574F9">
        <w:rPr>
          <w:szCs w:val="24"/>
        </w:rPr>
        <w:t xml:space="preserve">ly to be dependent </w:t>
      </w:r>
      <w:r w:rsidR="00717AE0">
        <w:rPr>
          <w:szCs w:val="24"/>
        </w:rPr>
        <w:t>on these oil</w:t>
      </w:r>
      <w:r w:rsidR="005C592E">
        <w:rPr>
          <w:szCs w:val="24"/>
        </w:rPr>
        <w:t>-</w:t>
      </w:r>
      <w:r w:rsidR="00717AE0">
        <w:rPr>
          <w:szCs w:val="24"/>
        </w:rPr>
        <w:t xml:space="preserve"> </w:t>
      </w:r>
      <w:r w:rsidR="000C02E9" w:rsidRPr="008574F9">
        <w:rPr>
          <w:szCs w:val="24"/>
        </w:rPr>
        <w:t>and gas-fired units, especially very small utilities</w:t>
      </w:r>
      <w:r w:rsidR="003972B1" w:rsidRPr="008574F9">
        <w:rPr>
          <w:szCs w:val="24"/>
        </w:rPr>
        <w:t>.</w:t>
      </w:r>
    </w:p>
    <w:p w:rsidR="00A55C35" w:rsidRDefault="00A55C35" w:rsidP="00E86F33">
      <w:pPr>
        <w:autoSpaceDE w:val="0"/>
        <w:autoSpaceDN w:val="0"/>
        <w:adjustRightInd w:val="0"/>
        <w:ind w:left="360"/>
        <w:rPr>
          <w:b/>
          <w:bCs/>
          <w:szCs w:val="24"/>
        </w:rPr>
      </w:pPr>
    </w:p>
    <w:p w:rsidR="000C02E9" w:rsidRPr="008574F9" w:rsidRDefault="000C02E9" w:rsidP="00E86F33">
      <w:pPr>
        <w:autoSpaceDE w:val="0"/>
        <w:autoSpaceDN w:val="0"/>
        <w:adjustRightInd w:val="0"/>
        <w:ind w:left="360"/>
        <w:rPr>
          <w:b/>
          <w:bCs/>
          <w:szCs w:val="24"/>
        </w:rPr>
      </w:pPr>
      <w:r w:rsidRPr="008574F9">
        <w:rPr>
          <w:b/>
          <w:bCs/>
          <w:szCs w:val="24"/>
        </w:rPr>
        <w:t>5</w:t>
      </w:r>
      <w:r w:rsidR="00E86F33">
        <w:rPr>
          <w:b/>
          <w:bCs/>
          <w:szCs w:val="24"/>
        </w:rPr>
        <w:t xml:space="preserve">.4 </w:t>
      </w:r>
      <w:r w:rsidRPr="008574F9">
        <w:rPr>
          <w:b/>
          <w:bCs/>
          <w:szCs w:val="24"/>
        </w:rPr>
        <w:t xml:space="preserve"> Collection Schedule</w:t>
      </w:r>
    </w:p>
    <w:p w:rsidR="00941414" w:rsidRPr="008574F9" w:rsidRDefault="00941414" w:rsidP="00941414">
      <w:pPr>
        <w:autoSpaceDE w:val="0"/>
        <w:autoSpaceDN w:val="0"/>
        <w:adjustRightInd w:val="0"/>
        <w:ind w:firstLine="720"/>
        <w:rPr>
          <w:szCs w:val="24"/>
        </w:rPr>
      </w:pPr>
    </w:p>
    <w:p w:rsidR="00FC1D29" w:rsidRPr="001774B5" w:rsidRDefault="00FC1D29" w:rsidP="00FC1D29">
      <w:pPr>
        <w:ind w:firstLine="720"/>
      </w:pPr>
      <w:r>
        <w:t xml:space="preserve">Collection frequency under the </w:t>
      </w:r>
      <w:r w:rsidR="00F22C99">
        <w:t>TR</w:t>
      </w:r>
      <w:r w:rsidR="00897F31">
        <w:t xml:space="preserve"> is</w:t>
      </w:r>
      <w:r w:rsidRPr="001774B5">
        <w:t xml:space="preserve"> on a quarterly basis.  All affected industry sources will use </w:t>
      </w:r>
      <w:r w:rsidR="00870452">
        <w:t xml:space="preserve">the </w:t>
      </w:r>
      <w:r w:rsidRPr="001774B5">
        <w:t>E</w:t>
      </w:r>
      <w:r w:rsidR="00870452">
        <w:t xml:space="preserve">mission </w:t>
      </w:r>
      <w:r w:rsidRPr="001774B5">
        <w:t>C</w:t>
      </w:r>
      <w:r w:rsidR="00870452">
        <w:t xml:space="preserve">ollection and </w:t>
      </w:r>
      <w:r w:rsidRPr="001774B5">
        <w:t>M</w:t>
      </w:r>
      <w:r w:rsidR="00870452">
        <w:t xml:space="preserve">onitoring Plan </w:t>
      </w:r>
      <w:r w:rsidRPr="001774B5">
        <w:t>S</w:t>
      </w:r>
      <w:r w:rsidR="00870452">
        <w:t>ystem (ECMPS)</w:t>
      </w:r>
      <w:r w:rsidRPr="001774B5">
        <w:t xml:space="preserve"> to submit monitoring plan, quality assurance, certification test,</w:t>
      </w:r>
      <w:r w:rsidR="00897F31">
        <w:t xml:space="preserve"> and emissions data to EPA quarterly</w:t>
      </w:r>
      <w:r w:rsidRPr="001774B5">
        <w:t xml:space="preserve">.  In addition, </w:t>
      </w:r>
      <w:r>
        <w:t xml:space="preserve">the </w:t>
      </w:r>
      <w:r w:rsidR="00F22C99">
        <w:lastRenderedPageBreak/>
        <w:t>TR</w:t>
      </w:r>
      <w:r w:rsidRPr="001774B5">
        <w:t xml:space="preserve"> requires the collection of allowance trading</w:t>
      </w:r>
      <w:r w:rsidR="00344E64">
        <w:t xml:space="preserve"> information as </w:t>
      </w:r>
      <w:r w:rsidR="001A0A58">
        <w:t>transfers are submitted</w:t>
      </w:r>
      <w:r w:rsidR="00344E64">
        <w:t>,</w:t>
      </w:r>
      <w:r w:rsidR="00F71A4D">
        <w:t xml:space="preserve"> </w:t>
      </w:r>
      <w:r w:rsidR="00AD192C">
        <w:t xml:space="preserve">as well as information regarding </w:t>
      </w:r>
      <w:r w:rsidR="00F71A4D">
        <w:t xml:space="preserve">other </w:t>
      </w:r>
      <w:r w:rsidR="00033581">
        <w:t>"</w:t>
      </w:r>
      <w:r w:rsidR="00F71A4D">
        <w:t>event</w:t>
      </w:r>
      <w:r w:rsidR="00033581">
        <w:t>"</w:t>
      </w:r>
      <w:r w:rsidR="00F71A4D">
        <w:t xml:space="preserve"> submissions </w:t>
      </w:r>
      <w:r w:rsidR="00AD192C">
        <w:t xml:space="preserve">made </w:t>
      </w:r>
      <w:r w:rsidR="00F71A4D">
        <w:t>on a one-time or annual basis</w:t>
      </w:r>
      <w:r w:rsidR="00033581">
        <w:t xml:space="preserve">.  </w:t>
      </w:r>
    </w:p>
    <w:p w:rsidR="00D314FB" w:rsidRPr="008574F9" w:rsidRDefault="00D314FB" w:rsidP="000C02E9">
      <w:pPr>
        <w:autoSpaceDE w:val="0"/>
        <w:autoSpaceDN w:val="0"/>
        <w:adjustRightInd w:val="0"/>
        <w:rPr>
          <w:b/>
          <w:bCs/>
          <w:szCs w:val="24"/>
        </w:rPr>
      </w:pPr>
    </w:p>
    <w:p w:rsidR="000C02E9" w:rsidRPr="008574F9" w:rsidRDefault="000C02E9" w:rsidP="00C10C31">
      <w:pPr>
        <w:keepNext/>
        <w:autoSpaceDE w:val="0"/>
        <w:autoSpaceDN w:val="0"/>
        <w:adjustRightInd w:val="0"/>
        <w:rPr>
          <w:b/>
          <w:bCs/>
          <w:szCs w:val="24"/>
        </w:rPr>
      </w:pPr>
      <w:r w:rsidRPr="008574F9">
        <w:rPr>
          <w:b/>
          <w:bCs/>
          <w:szCs w:val="24"/>
        </w:rPr>
        <w:t>6.</w:t>
      </w:r>
      <w:r w:rsidR="00E86F33">
        <w:rPr>
          <w:b/>
          <w:bCs/>
          <w:szCs w:val="24"/>
        </w:rPr>
        <w:t xml:space="preserve">0 </w:t>
      </w:r>
      <w:r w:rsidRPr="008574F9">
        <w:rPr>
          <w:b/>
          <w:bCs/>
          <w:szCs w:val="24"/>
        </w:rPr>
        <w:t xml:space="preserve"> E</w:t>
      </w:r>
      <w:r w:rsidR="00E86F33">
        <w:rPr>
          <w:b/>
          <w:bCs/>
          <w:szCs w:val="24"/>
        </w:rPr>
        <w:t>stimating</w:t>
      </w:r>
      <w:r w:rsidRPr="008574F9">
        <w:rPr>
          <w:b/>
          <w:bCs/>
          <w:szCs w:val="24"/>
        </w:rPr>
        <w:t xml:space="preserve"> </w:t>
      </w:r>
      <w:r w:rsidR="00E86F33">
        <w:rPr>
          <w:b/>
          <w:bCs/>
          <w:szCs w:val="24"/>
        </w:rPr>
        <w:t>the</w:t>
      </w:r>
      <w:r w:rsidRPr="008574F9">
        <w:rPr>
          <w:b/>
          <w:bCs/>
          <w:szCs w:val="24"/>
        </w:rPr>
        <w:t xml:space="preserve"> B</w:t>
      </w:r>
      <w:r w:rsidR="00E86F33">
        <w:rPr>
          <w:b/>
          <w:bCs/>
          <w:szCs w:val="24"/>
        </w:rPr>
        <w:t>urden</w:t>
      </w:r>
      <w:r w:rsidRPr="008574F9">
        <w:rPr>
          <w:b/>
          <w:bCs/>
          <w:szCs w:val="24"/>
        </w:rPr>
        <w:t xml:space="preserve"> </w:t>
      </w:r>
      <w:r w:rsidR="00E86F33">
        <w:rPr>
          <w:b/>
          <w:bCs/>
          <w:szCs w:val="24"/>
        </w:rPr>
        <w:t>and</w:t>
      </w:r>
      <w:r w:rsidRPr="008574F9">
        <w:rPr>
          <w:b/>
          <w:bCs/>
          <w:szCs w:val="24"/>
        </w:rPr>
        <w:t xml:space="preserve"> C</w:t>
      </w:r>
      <w:r w:rsidR="00E86F33">
        <w:rPr>
          <w:b/>
          <w:bCs/>
          <w:szCs w:val="24"/>
        </w:rPr>
        <w:t>ost</w:t>
      </w:r>
      <w:r w:rsidRPr="008574F9">
        <w:rPr>
          <w:b/>
          <w:bCs/>
          <w:szCs w:val="24"/>
        </w:rPr>
        <w:t xml:space="preserve"> </w:t>
      </w:r>
      <w:r w:rsidR="00E86F33">
        <w:rPr>
          <w:b/>
          <w:bCs/>
          <w:szCs w:val="24"/>
        </w:rPr>
        <w:t>of the</w:t>
      </w:r>
      <w:r w:rsidRPr="008574F9">
        <w:rPr>
          <w:b/>
          <w:bCs/>
          <w:szCs w:val="24"/>
        </w:rPr>
        <w:t xml:space="preserve"> C</w:t>
      </w:r>
      <w:r w:rsidR="00E86F33">
        <w:rPr>
          <w:b/>
          <w:bCs/>
          <w:szCs w:val="24"/>
        </w:rPr>
        <w:t>ollection</w:t>
      </w:r>
    </w:p>
    <w:p w:rsidR="00D314FB" w:rsidRPr="008574F9" w:rsidRDefault="00D314FB" w:rsidP="00C10C31">
      <w:pPr>
        <w:keepNext/>
        <w:autoSpaceDE w:val="0"/>
        <w:autoSpaceDN w:val="0"/>
        <w:adjustRightInd w:val="0"/>
        <w:rPr>
          <w:b/>
          <w:bCs/>
          <w:szCs w:val="24"/>
        </w:rPr>
      </w:pPr>
    </w:p>
    <w:p w:rsidR="000C02E9" w:rsidRPr="008574F9" w:rsidRDefault="00E86F33" w:rsidP="00C10C31">
      <w:pPr>
        <w:keepNext/>
        <w:tabs>
          <w:tab w:val="left" w:pos="360"/>
        </w:tabs>
        <w:autoSpaceDE w:val="0"/>
        <w:autoSpaceDN w:val="0"/>
        <w:adjustRightInd w:val="0"/>
        <w:ind w:left="360"/>
        <w:rPr>
          <w:b/>
          <w:bCs/>
          <w:szCs w:val="24"/>
        </w:rPr>
      </w:pPr>
      <w:r>
        <w:rPr>
          <w:b/>
          <w:bCs/>
          <w:szCs w:val="24"/>
        </w:rPr>
        <w:t xml:space="preserve">6.1 </w:t>
      </w:r>
      <w:r w:rsidR="000C02E9" w:rsidRPr="008574F9">
        <w:rPr>
          <w:b/>
          <w:bCs/>
          <w:szCs w:val="24"/>
        </w:rPr>
        <w:t xml:space="preserve"> Estimating Respondent Burden</w:t>
      </w:r>
    </w:p>
    <w:p w:rsidR="00267A48" w:rsidRPr="008574F9" w:rsidRDefault="00267A48" w:rsidP="000C02E9">
      <w:pPr>
        <w:autoSpaceDE w:val="0"/>
        <w:autoSpaceDN w:val="0"/>
        <w:adjustRightInd w:val="0"/>
        <w:rPr>
          <w:szCs w:val="24"/>
        </w:rPr>
      </w:pPr>
    </w:p>
    <w:p w:rsidR="000C02E9" w:rsidRPr="008574F9" w:rsidRDefault="000C02E9" w:rsidP="00217148">
      <w:pPr>
        <w:autoSpaceDE w:val="0"/>
        <w:autoSpaceDN w:val="0"/>
        <w:adjustRightInd w:val="0"/>
        <w:ind w:firstLine="720"/>
        <w:rPr>
          <w:szCs w:val="24"/>
        </w:rPr>
      </w:pPr>
      <w:r w:rsidRPr="008574F9">
        <w:rPr>
          <w:szCs w:val="24"/>
        </w:rPr>
        <w:t>This section estimates the paperwork burden and cost of submitting permit applications,</w:t>
      </w:r>
      <w:r w:rsidR="00217148" w:rsidRPr="008574F9">
        <w:rPr>
          <w:szCs w:val="24"/>
        </w:rPr>
        <w:t xml:space="preserve"> </w:t>
      </w:r>
      <w:r w:rsidR="0019721A">
        <w:rPr>
          <w:szCs w:val="24"/>
        </w:rPr>
        <w:t xml:space="preserve">certificates of representation, </w:t>
      </w:r>
      <w:r w:rsidR="00162E56">
        <w:rPr>
          <w:szCs w:val="24"/>
        </w:rPr>
        <w:t xml:space="preserve">and </w:t>
      </w:r>
      <w:r w:rsidRPr="008574F9">
        <w:rPr>
          <w:szCs w:val="24"/>
        </w:rPr>
        <w:t>allowance tracking and transfer materials</w:t>
      </w:r>
      <w:r w:rsidR="00162E56">
        <w:rPr>
          <w:szCs w:val="24"/>
        </w:rPr>
        <w:t>;</w:t>
      </w:r>
      <w:r w:rsidR="00217148" w:rsidRPr="008574F9">
        <w:rPr>
          <w:szCs w:val="24"/>
        </w:rPr>
        <w:t xml:space="preserve"> </w:t>
      </w:r>
      <w:r w:rsidRPr="008574F9">
        <w:rPr>
          <w:szCs w:val="24"/>
        </w:rPr>
        <w:t>year</w:t>
      </w:r>
      <w:r w:rsidR="002A217A">
        <w:rPr>
          <w:szCs w:val="24"/>
        </w:rPr>
        <w:t>-</w:t>
      </w:r>
      <w:r w:rsidRPr="008574F9">
        <w:rPr>
          <w:szCs w:val="24"/>
        </w:rPr>
        <w:t>end</w:t>
      </w:r>
      <w:r w:rsidR="00217148" w:rsidRPr="008574F9">
        <w:rPr>
          <w:szCs w:val="24"/>
        </w:rPr>
        <w:t xml:space="preserve"> </w:t>
      </w:r>
      <w:r w:rsidRPr="008574F9">
        <w:rPr>
          <w:szCs w:val="24"/>
        </w:rPr>
        <w:t xml:space="preserve">compliance </w:t>
      </w:r>
      <w:r w:rsidR="001A0A58">
        <w:rPr>
          <w:szCs w:val="24"/>
        </w:rPr>
        <w:t>activities</w:t>
      </w:r>
      <w:r w:rsidRPr="008574F9">
        <w:rPr>
          <w:szCs w:val="24"/>
        </w:rPr>
        <w:t>, submittal of monitoring plans, obtaining certification of each</w:t>
      </w:r>
      <w:r w:rsidR="00217148" w:rsidRPr="008574F9">
        <w:rPr>
          <w:szCs w:val="24"/>
        </w:rPr>
        <w:t xml:space="preserve"> monitori</w:t>
      </w:r>
      <w:r w:rsidRPr="008574F9">
        <w:rPr>
          <w:szCs w:val="24"/>
        </w:rPr>
        <w:t>ng system, conducting monitor quality assurance activities, and recording and reporting</w:t>
      </w:r>
      <w:r w:rsidR="00217148" w:rsidRPr="008574F9">
        <w:rPr>
          <w:szCs w:val="24"/>
        </w:rPr>
        <w:t xml:space="preserve"> </w:t>
      </w:r>
      <w:r w:rsidRPr="008574F9">
        <w:rPr>
          <w:szCs w:val="24"/>
        </w:rPr>
        <w:t>data from CEM systems (or approved alternatives).</w:t>
      </w:r>
    </w:p>
    <w:p w:rsidR="00217148" w:rsidRPr="008574F9" w:rsidRDefault="00217148" w:rsidP="000C02E9">
      <w:pPr>
        <w:autoSpaceDE w:val="0"/>
        <w:autoSpaceDN w:val="0"/>
        <w:adjustRightInd w:val="0"/>
        <w:rPr>
          <w:szCs w:val="24"/>
        </w:rPr>
      </w:pPr>
    </w:p>
    <w:p w:rsidR="00A55C35" w:rsidRDefault="000C02E9" w:rsidP="002A217A">
      <w:pPr>
        <w:autoSpaceDE w:val="0"/>
        <w:autoSpaceDN w:val="0"/>
        <w:adjustRightInd w:val="0"/>
        <w:ind w:firstLine="720"/>
        <w:rPr>
          <w:szCs w:val="24"/>
        </w:rPr>
      </w:pPr>
      <w:r w:rsidRPr="008574F9">
        <w:rPr>
          <w:szCs w:val="24"/>
        </w:rPr>
        <w:t xml:space="preserve">To estimate the burden </w:t>
      </w:r>
      <w:r w:rsidR="002A217A">
        <w:rPr>
          <w:szCs w:val="24"/>
        </w:rPr>
        <w:t>and/or cost of each requirement, EPA utilized</w:t>
      </w:r>
      <w:r w:rsidRPr="008574F9">
        <w:rPr>
          <w:szCs w:val="24"/>
        </w:rPr>
        <w:t xml:space="preserve"> prior estimates of the costs of activities, estimates provided by affec</w:t>
      </w:r>
      <w:r w:rsidR="00217148" w:rsidRPr="008574F9">
        <w:rPr>
          <w:szCs w:val="24"/>
        </w:rPr>
        <w:t xml:space="preserve">ted </w:t>
      </w:r>
      <w:r w:rsidRPr="008574F9">
        <w:rPr>
          <w:szCs w:val="24"/>
        </w:rPr>
        <w:t>utilities</w:t>
      </w:r>
      <w:r w:rsidR="00217148" w:rsidRPr="008574F9">
        <w:rPr>
          <w:szCs w:val="24"/>
        </w:rPr>
        <w:t xml:space="preserve"> </w:t>
      </w:r>
      <w:r w:rsidRPr="008574F9">
        <w:rPr>
          <w:szCs w:val="24"/>
        </w:rPr>
        <w:t>in comments to the Agency, and</w:t>
      </w:r>
      <w:r w:rsidR="004E69B2">
        <w:rPr>
          <w:szCs w:val="24"/>
        </w:rPr>
        <w:t>/or</w:t>
      </w:r>
      <w:r w:rsidRPr="008574F9">
        <w:rPr>
          <w:szCs w:val="24"/>
        </w:rPr>
        <w:t xml:space="preserve"> estimates base</w:t>
      </w:r>
      <w:r w:rsidR="00217148" w:rsidRPr="008574F9">
        <w:rPr>
          <w:szCs w:val="24"/>
        </w:rPr>
        <w:t>d on the Agency</w:t>
      </w:r>
      <w:r w:rsidR="00033581">
        <w:rPr>
          <w:szCs w:val="24"/>
        </w:rPr>
        <w:t>'</w:t>
      </w:r>
      <w:r w:rsidR="00217148" w:rsidRPr="008574F9">
        <w:rPr>
          <w:szCs w:val="24"/>
        </w:rPr>
        <w:t xml:space="preserve">s experience in </w:t>
      </w:r>
      <w:r w:rsidR="002A217A">
        <w:rPr>
          <w:szCs w:val="24"/>
        </w:rPr>
        <w:t xml:space="preserve">implementing </w:t>
      </w:r>
      <w:r w:rsidRPr="008574F9">
        <w:rPr>
          <w:szCs w:val="24"/>
        </w:rPr>
        <w:t>existing trading programs.</w:t>
      </w:r>
    </w:p>
    <w:p w:rsidR="00A55C35" w:rsidRDefault="00A55C35" w:rsidP="00217148">
      <w:pPr>
        <w:autoSpaceDE w:val="0"/>
        <w:autoSpaceDN w:val="0"/>
        <w:adjustRightInd w:val="0"/>
        <w:ind w:firstLine="720"/>
        <w:rPr>
          <w:szCs w:val="24"/>
        </w:rPr>
      </w:pPr>
    </w:p>
    <w:p w:rsidR="000C02E9" w:rsidRPr="008574F9" w:rsidRDefault="000C02E9" w:rsidP="00217148">
      <w:pPr>
        <w:autoSpaceDE w:val="0"/>
        <w:autoSpaceDN w:val="0"/>
        <w:adjustRightInd w:val="0"/>
        <w:ind w:firstLine="720"/>
        <w:rPr>
          <w:szCs w:val="24"/>
        </w:rPr>
      </w:pPr>
      <w:r w:rsidRPr="008574F9">
        <w:rPr>
          <w:szCs w:val="24"/>
        </w:rPr>
        <w:t xml:space="preserve">The </w:t>
      </w:r>
      <w:r w:rsidR="00F22C99">
        <w:rPr>
          <w:szCs w:val="24"/>
        </w:rPr>
        <w:t>TR</w:t>
      </w:r>
      <w:r w:rsidRPr="008574F9">
        <w:rPr>
          <w:szCs w:val="24"/>
        </w:rPr>
        <w:t xml:space="preserve"> </w:t>
      </w:r>
      <w:r w:rsidR="00007FDB">
        <w:rPr>
          <w:szCs w:val="24"/>
        </w:rPr>
        <w:t xml:space="preserve">generally </w:t>
      </w:r>
      <w:r w:rsidRPr="008574F9">
        <w:rPr>
          <w:szCs w:val="24"/>
        </w:rPr>
        <w:t xml:space="preserve">requires all affected sources to monitor </w:t>
      </w:r>
      <w:r w:rsidR="004E69B2">
        <w:rPr>
          <w:szCs w:val="24"/>
        </w:rPr>
        <w:t>their</w:t>
      </w:r>
      <w:r w:rsidRPr="008574F9">
        <w:rPr>
          <w:szCs w:val="24"/>
        </w:rPr>
        <w:t xml:space="preserve"> </w:t>
      </w:r>
      <w:r w:rsidR="007B40DE" w:rsidRPr="007B40DE">
        <w:rPr>
          <w:szCs w:val="24"/>
        </w:rPr>
        <w:t>NO</w:t>
      </w:r>
      <w:r w:rsidR="002B09EE">
        <w:rPr>
          <w:szCs w:val="24"/>
          <w:vertAlign w:val="subscript"/>
        </w:rPr>
        <w:t>X</w:t>
      </w:r>
      <w:r w:rsidRPr="008574F9">
        <w:rPr>
          <w:szCs w:val="24"/>
        </w:rPr>
        <w:t xml:space="preserve"> emission rate,</w:t>
      </w:r>
      <w:r w:rsidR="00217148" w:rsidRPr="008574F9">
        <w:rPr>
          <w:szCs w:val="24"/>
        </w:rPr>
        <w:t xml:space="preserve"> </w:t>
      </w:r>
      <w:r w:rsidRPr="008574F9">
        <w:rPr>
          <w:szCs w:val="24"/>
        </w:rPr>
        <w:t>SO</w:t>
      </w:r>
      <w:r w:rsidRPr="00E975AC">
        <w:rPr>
          <w:szCs w:val="24"/>
          <w:vertAlign w:val="subscript"/>
        </w:rPr>
        <w:t>2</w:t>
      </w:r>
      <w:r w:rsidRPr="008574F9">
        <w:rPr>
          <w:szCs w:val="24"/>
        </w:rPr>
        <w:t xml:space="preserve"> emission rate</w:t>
      </w:r>
      <w:r w:rsidR="004E69B2">
        <w:rPr>
          <w:szCs w:val="24"/>
        </w:rPr>
        <w:t>,</w:t>
      </w:r>
      <w:r w:rsidRPr="008574F9">
        <w:rPr>
          <w:szCs w:val="24"/>
        </w:rPr>
        <w:t xml:space="preserve"> and heat input in order to determine </w:t>
      </w:r>
      <w:r w:rsidR="007B40DE" w:rsidRPr="007B40DE">
        <w:rPr>
          <w:szCs w:val="24"/>
        </w:rPr>
        <w:t>NO</w:t>
      </w:r>
      <w:r w:rsidR="002B09EE">
        <w:rPr>
          <w:szCs w:val="24"/>
          <w:vertAlign w:val="subscript"/>
        </w:rPr>
        <w:t>X</w:t>
      </w:r>
      <w:r w:rsidRPr="008574F9">
        <w:rPr>
          <w:szCs w:val="24"/>
        </w:rPr>
        <w:t xml:space="preserve"> mass emissions and SO</w:t>
      </w:r>
      <w:r w:rsidRPr="00E975AC">
        <w:rPr>
          <w:szCs w:val="24"/>
          <w:vertAlign w:val="subscript"/>
        </w:rPr>
        <w:t>2</w:t>
      </w:r>
      <w:r w:rsidRPr="008574F9">
        <w:rPr>
          <w:szCs w:val="24"/>
        </w:rPr>
        <w:t xml:space="preserve"> mass</w:t>
      </w:r>
      <w:r w:rsidR="00217148" w:rsidRPr="008574F9">
        <w:rPr>
          <w:szCs w:val="24"/>
        </w:rPr>
        <w:t xml:space="preserve"> </w:t>
      </w:r>
      <w:r w:rsidRPr="008574F9">
        <w:rPr>
          <w:szCs w:val="24"/>
        </w:rPr>
        <w:t>emissions</w:t>
      </w:r>
      <w:r w:rsidR="0040499E">
        <w:rPr>
          <w:szCs w:val="24"/>
        </w:rPr>
        <w:t xml:space="preserve"> (</w:t>
      </w:r>
      <w:r w:rsidR="00007FDB">
        <w:rPr>
          <w:szCs w:val="24"/>
        </w:rPr>
        <w:t xml:space="preserve">except that </w:t>
      </w:r>
      <w:r w:rsidR="0040499E">
        <w:rPr>
          <w:szCs w:val="24"/>
        </w:rPr>
        <w:t>the TR does not require SO</w:t>
      </w:r>
      <w:r w:rsidR="0040499E" w:rsidRPr="004D4BE7">
        <w:rPr>
          <w:szCs w:val="24"/>
          <w:vertAlign w:val="subscript"/>
        </w:rPr>
        <w:t>2</w:t>
      </w:r>
      <w:r w:rsidR="0040499E">
        <w:rPr>
          <w:szCs w:val="24"/>
        </w:rPr>
        <w:t xml:space="preserve"> monitoring for sources subject to only the TR NO</w:t>
      </w:r>
      <w:r w:rsidR="0040499E" w:rsidRPr="004D4BE7">
        <w:rPr>
          <w:szCs w:val="24"/>
          <w:vertAlign w:val="subscript"/>
        </w:rPr>
        <w:t>X</w:t>
      </w:r>
      <w:r w:rsidR="0040499E">
        <w:rPr>
          <w:szCs w:val="24"/>
        </w:rPr>
        <w:t xml:space="preserve"> ozone program)</w:t>
      </w:r>
      <w:r w:rsidR="003972B1" w:rsidRPr="008574F9">
        <w:rPr>
          <w:szCs w:val="24"/>
        </w:rPr>
        <w:t xml:space="preserve">.  </w:t>
      </w:r>
      <w:r w:rsidR="005E644B">
        <w:t xml:space="preserve">Coal-fired units use </w:t>
      </w:r>
      <w:r w:rsidR="00615F6A">
        <w:rPr>
          <w:szCs w:val="24"/>
        </w:rPr>
        <w:t>NO</w:t>
      </w:r>
      <w:r w:rsidR="00615F6A" w:rsidRPr="00CF1B63">
        <w:rPr>
          <w:szCs w:val="24"/>
          <w:vertAlign w:val="subscript"/>
        </w:rPr>
        <w:t>X</w:t>
      </w:r>
      <w:r w:rsidR="00615F6A">
        <w:t xml:space="preserve">, </w:t>
      </w:r>
      <w:r w:rsidR="00EE7C6C" w:rsidRPr="001774B5">
        <w:t>SO</w:t>
      </w:r>
      <w:r w:rsidR="00EE7C6C" w:rsidRPr="001774B5">
        <w:rPr>
          <w:vertAlign w:val="subscript"/>
        </w:rPr>
        <w:t>2</w:t>
      </w:r>
      <w:r w:rsidR="00615F6A">
        <w:t xml:space="preserve">, </w:t>
      </w:r>
      <w:r w:rsidR="00EE7C6C" w:rsidRPr="001774B5">
        <w:t>and flow CEMS to meet those requirement</w:t>
      </w:r>
      <w:r w:rsidR="005E644B">
        <w:t xml:space="preserve">s.  Oil and gas units have </w:t>
      </w:r>
      <w:r w:rsidR="00EE7C6C" w:rsidRPr="001774B5">
        <w:t>alternatives.  For SO</w:t>
      </w:r>
      <w:r w:rsidR="00EE7C6C" w:rsidRPr="001774B5">
        <w:rPr>
          <w:vertAlign w:val="subscript"/>
        </w:rPr>
        <w:t>2</w:t>
      </w:r>
      <w:r w:rsidR="00EE7C6C" w:rsidRPr="001774B5">
        <w:t>, these units can use fuel sampling and analysis (or an SO</w:t>
      </w:r>
      <w:r w:rsidR="00EE7C6C" w:rsidRPr="001774B5">
        <w:rPr>
          <w:vertAlign w:val="subscript"/>
        </w:rPr>
        <w:t>2</w:t>
      </w:r>
      <w:r w:rsidR="00EE7C6C" w:rsidRPr="001774B5">
        <w:t xml:space="preserve"> default factor for pipeline natural gas) combined with a fuel flow</w:t>
      </w:r>
      <w:r w:rsidR="00CC0E23">
        <w:t xml:space="preserve"> </w:t>
      </w:r>
      <w:r w:rsidR="00EE7C6C" w:rsidRPr="001774B5">
        <w:t xml:space="preserve">meter.  </w:t>
      </w:r>
      <w:r w:rsidRPr="008574F9">
        <w:rPr>
          <w:szCs w:val="24"/>
        </w:rPr>
        <w:t>In addition, peaking units that burn natural gas and/or fuel oil may use an alternative</w:t>
      </w:r>
      <w:r w:rsidR="00217148" w:rsidRPr="008574F9">
        <w:rPr>
          <w:szCs w:val="24"/>
        </w:rPr>
        <w:t xml:space="preserve"> </w:t>
      </w:r>
      <w:r w:rsidRPr="008574F9">
        <w:rPr>
          <w:szCs w:val="24"/>
        </w:rPr>
        <w:t xml:space="preserve">method for calculating </w:t>
      </w:r>
      <w:r w:rsidR="007B40DE" w:rsidRPr="007B40DE">
        <w:rPr>
          <w:szCs w:val="24"/>
        </w:rPr>
        <w:t>NO</w:t>
      </w:r>
      <w:r w:rsidR="002B09EE">
        <w:rPr>
          <w:szCs w:val="24"/>
          <w:vertAlign w:val="subscript"/>
        </w:rPr>
        <w:t>X</w:t>
      </w:r>
      <w:r w:rsidRPr="008574F9">
        <w:rPr>
          <w:szCs w:val="24"/>
        </w:rPr>
        <w:t xml:space="preserve"> emission rates</w:t>
      </w:r>
      <w:r w:rsidR="003972B1" w:rsidRPr="008574F9">
        <w:rPr>
          <w:szCs w:val="24"/>
        </w:rPr>
        <w:t xml:space="preserve">.  </w:t>
      </w:r>
      <w:r w:rsidRPr="008574F9">
        <w:rPr>
          <w:szCs w:val="24"/>
        </w:rPr>
        <w:t>EPA will also allow certain low mass emissions units</w:t>
      </w:r>
      <w:r w:rsidR="00217148" w:rsidRPr="008574F9">
        <w:rPr>
          <w:szCs w:val="24"/>
        </w:rPr>
        <w:t xml:space="preserve"> </w:t>
      </w:r>
      <w:r w:rsidRPr="008574F9">
        <w:rPr>
          <w:szCs w:val="24"/>
        </w:rPr>
        <w:t>to use assumed emissions factors together with operational data to calculate emissions.</w:t>
      </w:r>
    </w:p>
    <w:p w:rsidR="00217148" w:rsidRPr="008574F9" w:rsidRDefault="00217148" w:rsidP="000C02E9">
      <w:pPr>
        <w:autoSpaceDE w:val="0"/>
        <w:autoSpaceDN w:val="0"/>
        <w:adjustRightInd w:val="0"/>
        <w:rPr>
          <w:szCs w:val="24"/>
        </w:rPr>
      </w:pPr>
    </w:p>
    <w:p w:rsidR="00295D1B" w:rsidRDefault="000C02E9" w:rsidP="00217148">
      <w:pPr>
        <w:autoSpaceDE w:val="0"/>
        <w:autoSpaceDN w:val="0"/>
        <w:adjustRightInd w:val="0"/>
        <w:ind w:firstLine="720"/>
        <w:rPr>
          <w:szCs w:val="24"/>
        </w:rPr>
      </w:pPr>
      <w:r w:rsidRPr="008574F9">
        <w:rPr>
          <w:szCs w:val="24"/>
        </w:rPr>
        <w:t>For purposes of thi</w:t>
      </w:r>
      <w:r w:rsidR="005E644B">
        <w:rPr>
          <w:szCs w:val="24"/>
        </w:rPr>
        <w:t>s ICR, burdens and costs are</w:t>
      </w:r>
      <w:r w:rsidRPr="008574F9">
        <w:rPr>
          <w:szCs w:val="24"/>
        </w:rPr>
        <w:t xml:space="preserve"> calculated only in</w:t>
      </w:r>
      <w:r w:rsidR="00217148" w:rsidRPr="008574F9">
        <w:rPr>
          <w:szCs w:val="24"/>
        </w:rPr>
        <w:t xml:space="preserve"> </w:t>
      </w:r>
      <w:r w:rsidRPr="008574F9">
        <w:rPr>
          <w:szCs w:val="24"/>
        </w:rPr>
        <w:t xml:space="preserve">terms of incremental impacts for units subject to the </w:t>
      </w:r>
      <w:r w:rsidR="00F01416">
        <w:rPr>
          <w:szCs w:val="24"/>
        </w:rPr>
        <w:t>ARP</w:t>
      </w:r>
      <w:r w:rsidR="003972B1" w:rsidRPr="008574F9">
        <w:rPr>
          <w:szCs w:val="24"/>
        </w:rPr>
        <w:t xml:space="preserve">.  </w:t>
      </w:r>
      <w:r w:rsidR="00B0748D">
        <w:rPr>
          <w:szCs w:val="24"/>
        </w:rPr>
        <w:t xml:space="preserve">Units </w:t>
      </w:r>
      <w:r w:rsidR="00053A38">
        <w:rPr>
          <w:szCs w:val="24"/>
        </w:rPr>
        <w:t>sub</w:t>
      </w:r>
      <w:r w:rsidR="006522FF">
        <w:rPr>
          <w:szCs w:val="24"/>
        </w:rPr>
        <w:t xml:space="preserve">ject to the </w:t>
      </w:r>
      <w:r w:rsidR="00F01416">
        <w:rPr>
          <w:szCs w:val="24"/>
        </w:rPr>
        <w:t>ARP</w:t>
      </w:r>
      <w:r w:rsidR="006522FF">
        <w:rPr>
          <w:szCs w:val="24"/>
        </w:rPr>
        <w:t xml:space="preserve"> already have </w:t>
      </w:r>
      <w:r w:rsidR="001B328D">
        <w:rPr>
          <w:szCs w:val="24"/>
        </w:rPr>
        <w:t xml:space="preserve">much of the monitoring and reporting capability </w:t>
      </w:r>
      <w:r w:rsidR="004E69B2">
        <w:rPr>
          <w:szCs w:val="24"/>
        </w:rPr>
        <w:t xml:space="preserve">required </w:t>
      </w:r>
      <w:r w:rsidR="001B328D">
        <w:rPr>
          <w:szCs w:val="24"/>
        </w:rPr>
        <w:t>under</w:t>
      </w:r>
      <w:r w:rsidR="006522FF">
        <w:rPr>
          <w:szCs w:val="24"/>
        </w:rPr>
        <w:t xml:space="preserve"> the </w:t>
      </w:r>
      <w:r w:rsidR="00F22C99">
        <w:rPr>
          <w:szCs w:val="24"/>
        </w:rPr>
        <w:t>TR</w:t>
      </w:r>
      <w:r w:rsidR="00B0748D">
        <w:rPr>
          <w:szCs w:val="24"/>
        </w:rPr>
        <w:t>, and th</w:t>
      </w:r>
      <w:r w:rsidR="00102063">
        <w:rPr>
          <w:szCs w:val="24"/>
        </w:rPr>
        <w:t>e</w:t>
      </w:r>
      <w:r w:rsidR="00B0748D">
        <w:rPr>
          <w:szCs w:val="24"/>
        </w:rPr>
        <w:t xml:space="preserve"> </w:t>
      </w:r>
      <w:r w:rsidR="00102063">
        <w:rPr>
          <w:szCs w:val="24"/>
        </w:rPr>
        <w:t xml:space="preserve">associated </w:t>
      </w:r>
      <w:r w:rsidR="00B0748D">
        <w:rPr>
          <w:szCs w:val="24"/>
        </w:rPr>
        <w:t xml:space="preserve">burdens and costs are </w:t>
      </w:r>
      <w:r w:rsidR="00102063">
        <w:rPr>
          <w:szCs w:val="24"/>
        </w:rPr>
        <w:t xml:space="preserve">entirely or largely </w:t>
      </w:r>
      <w:r w:rsidR="00B0748D">
        <w:rPr>
          <w:szCs w:val="24"/>
        </w:rPr>
        <w:t>accounted for under the ARP ICR</w:t>
      </w:r>
      <w:r w:rsidR="00033581">
        <w:rPr>
          <w:szCs w:val="24"/>
        </w:rPr>
        <w:t xml:space="preserve">.  </w:t>
      </w:r>
      <w:r w:rsidR="00B0748D">
        <w:rPr>
          <w:szCs w:val="24"/>
        </w:rPr>
        <w:t xml:space="preserve">Non-ARP units subject to CAIR similarly already have </w:t>
      </w:r>
      <w:r w:rsidR="00102063">
        <w:rPr>
          <w:szCs w:val="24"/>
        </w:rPr>
        <w:t xml:space="preserve">all or </w:t>
      </w:r>
      <w:r w:rsidR="00B0748D">
        <w:rPr>
          <w:szCs w:val="24"/>
        </w:rPr>
        <w:t xml:space="preserve">much of the monitoring and reporting capability required under the TR, but their burden and costs have been accounted for under the CAIR ICR and </w:t>
      </w:r>
      <w:r w:rsidR="00CC0E23">
        <w:rPr>
          <w:szCs w:val="24"/>
        </w:rPr>
        <w:t xml:space="preserve">the ongoing burden, including annualized capital costs originally incurred under CAIR, </w:t>
      </w:r>
      <w:r w:rsidR="00B0748D">
        <w:rPr>
          <w:szCs w:val="24"/>
        </w:rPr>
        <w:t xml:space="preserve">will be accounted for under this ICR once the TR supersedes CAIR.  </w:t>
      </w:r>
      <w:r w:rsidRPr="008574F9">
        <w:rPr>
          <w:szCs w:val="24"/>
        </w:rPr>
        <w:t>Thus, it</w:t>
      </w:r>
      <w:r w:rsidR="00217148" w:rsidRPr="008574F9">
        <w:rPr>
          <w:szCs w:val="24"/>
        </w:rPr>
        <w:t xml:space="preserve"> </w:t>
      </w:r>
      <w:r w:rsidRPr="008574F9">
        <w:rPr>
          <w:szCs w:val="24"/>
        </w:rPr>
        <w:t>should be noted that the labor hour</w:t>
      </w:r>
      <w:r w:rsidR="00DF54FD">
        <w:rPr>
          <w:szCs w:val="24"/>
        </w:rPr>
        <w:t>s</w:t>
      </w:r>
      <w:r w:rsidRPr="008574F9">
        <w:rPr>
          <w:szCs w:val="24"/>
        </w:rPr>
        <w:t xml:space="preserve"> and cost estimates per u</w:t>
      </w:r>
      <w:r w:rsidR="002875B6">
        <w:rPr>
          <w:szCs w:val="24"/>
        </w:rPr>
        <w:t>nit identified in this document</w:t>
      </w:r>
      <w:r w:rsidR="00217148" w:rsidRPr="008574F9">
        <w:rPr>
          <w:szCs w:val="24"/>
        </w:rPr>
        <w:t xml:space="preserve"> </w:t>
      </w:r>
      <w:r w:rsidRPr="008574F9">
        <w:rPr>
          <w:szCs w:val="24"/>
        </w:rPr>
        <w:t>represent the weighted average burden and cost for all units and do not represent the actual</w:t>
      </w:r>
      <w:r w:rsidR="00217148" w:rsidRPr="008574F9">
        <w:rPr>
          <w:szCs w:val="24"/>
        </w:rPr>
        <w:t xml:space="preserve"> </w:t>
      </w:r>
      <w:r w:rsidRPr="008574F9">
        <w:rPr>
          <w:szCs w:val="24"/>
        </w:rPr>
        <w:t>burden and cost for a particular unit</w:t>
      </w:r>
      <w:r w:rsidR="003972B1" w:rsidRPr="008574F9">
        <w:rPr>
          <w:szCs w:val="24"/>
        </w:rPr>
        <w:t>.</w:t>
      </w:r>
      <w:r w:rsidR="003972B1">
        <w:rPr>
          <w:szCs w:val="24"/>
        </w:rPr>
        <w:t xml:space="preserve">  </w:t>
      </w:r>
      <w:r w:rsidR="001778E9">
        <w:rPr>
          <w:szCs w:val="24"/>
        </w:rPr>
        <w:t>See the following table for a grap</w:t>
      </w:r>
      <w:r w:rsidR="00687275">
        <w:rPr>
          <w:szCs w:val="24"/>
        </w:rPr>
        <w:t>hical reference of s</w:t>
      </w:r>
      <w:r w:rsidR="001778E9">
        <w:rPr>
          <w:szCs w:val="24"/>
        </w:rPr>
        <w:t xml:space="preserve">tate reporting classifications related to </w:t>
      </w:r>
      <w:r w:rsidR="002875B6">
        <w:rPr>
          <w:szCs w:val="24"/>
        </w:rPr>
        <w:t xml:space="preserve">CAIR, the </w:t>
      </w:r>
      <w:r w:rsidR="007B40DE" w:rsidRPr="007B40DE">
        <w:rPr>
          <w:szCs w:val="24"/>
        </w:rPr>
        <w:t>NO</w:t>
      </w:r>
      <w:r w:rsidR="00B02F83">
        <w:rPr>
          <w:szCs w:val="24"/>
          <w:vertAlign w:val="subscript"/>
        </w:rPr>
        <w:t>X</w:t>
      </w:r>
      <w:r w:rsidR="002875B6">
        <w:rPr>
          <w:szCs w:val="24"/>
        </w:rPr>
        <w:t xml:space="preserve"> SIP Call, </w:t>
      </w:r>
      <w:r w:rsidR="001778E9">
        <w:rPr>
          <w:szCs w:val="24"/>
        </w:rPr>
        <w:t xml:space="preserve">and the </w:t>
      </w:r>
      <w:r w:rsidR="00F22C99">
        <w:rPr>
          <w:szCs w:val="24"/>
        </w:rPr>
        <w:t>TR</w:t>
      </w:r>
      <w:r w:rsidR="001778E9">
        <w:rPr>
          <w:szCs w:val="24"/>
        </w:rPr>
        <w:t>.</w:t>
      </w:r>
    </w:p>
    <w:p w:rsidR="00653EF0" w:rsidRDefault="00295D1B" w:rsidP="00C10C31">
      <w:pPr>
        <w:keepNext/>
        <w:autoSpaceDE w:val="0"/>
        <w:autoSpaceDN w:val="0"/>
        <w:adjustRightInd w:val="0"/>
        <w:jc w:val="center"/>
        <w:rPr>
          <w:b/>
          <w:szCs w:val="24"/>
        </w:rPr>
      </w:pPr>
      <w:r>
        <w:rPr>
          <w:szCs w:val="24"/>
        </w:rPr>
        <w:br w:type="page"/>
      </w:r>
      <w:r w:rsidR="00083A8F" w:rsidRPr="00083A8F">
        <w:rPr>
          <w:b/>
          <w:szCs w:val="24"/>
        </w:rPr>
        <w:lastRenderedPageBreak/>
        <w:t>Table 6-1</w:t>
      </w:r>
      <w:r w:rsidR="00800F56">
        <w:rPr>
          <w:b/>
          <w:szCs w:val="24"/>
        </w:rPr>
        <w:t>:</w:t>
      </w:r>
      <w:r w:rsidR="000425D4">
        <w:rPr>
          <w:b/>
          <w:szCs w:val="24"/>
        </w:rPr>
        <w:t xml:space="preserve">  </w:t>
      </w:r>
    </w:p>
    <w:p w:rsidR="00083A8F" w:rsidRDefault="00083A8F" w:rsidP="00C10C31">
      <w:pPr>
        <w:keepNext/>
        <w:autoSpaceDE w:val="0"/>
        <w:autoSpaceDN w:val="0"/>
        <w:adjustRightInd w:val="0"/>
        <w:jc w:val="center"/>
        <w:rPr>
          <w:b/>
          <w:bCs/>
          <w:szCs w:val="24"/>
        </w:rPr>
      </w:pPr>
      <w:r>
        <w:rPr>
          <w:b/>
          <w:bCs/>
          <w:szCs w:val="24"/>
        </w:rPr>
        <w:t>State Reporting Classifications for the CAIR</w:t>
      </w:r>
      <w:r w:rsidR="00B01EFD">
        <w:rPr>
          <w:b/>
          <w:bCs/>
          <w:szCs w:val="24"/>
        </w:rPr>
        <w:t xml:space="preserve"> </w:t>
      </w:r>
      <w:r>
        <w:rPr>
          <w:b/>
          <w:bCs/>
          <w:szCs w:val="24"/>
        </w:rPr>
        <w:t xml:space="preserve">and </w:t>
      </w:r>
      <w:r w:rsidR="00F22C99">
        <w:rPr>
          <w:b/>
          <w:bCs/>
          <w:szCs w:val="24"/>
        </w:rPr>
        <w:t>the TR</w:t>
      </w:r>
    </w:p>
    <w:p w:rsidR="00242166" w:rsidRDefault="00242166" w:rsidP="00C10C31">
      <w:pPr>
        <w:keepNext/>
        <w:autoSpaceDE w:val="0"/>
        <w:autoSpaceDN w:val="0"/>
        <w:adjustRightInd w:val="0"/>
        <w:jc w:val="center"/>
        <w:rPr>
          <w:b/>
          <w:bCs/>
          <w:szCs w:val="24"/>
        </w:rPr>
      </w:pPr>
    </w:p>
    <w:tbl>
      <w:tblPr>
        <w:tblW w:w="781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1906"/>
        <w:gridCol w:w="1359"/>
        <w:gridCol w:w="1440"/>
        <w:gridCol w:w="1560"/>
        <w:gridCol w:w="1549"/>
      </w:tblGrid>
      <w:tr w:rsidR="00B01EFD" w:rsidRPr="004C38AD" w:rsidTr="00B01EFD">
        <w:trPr>
          <w:trHeight w:val="18"/>
          <w:jc w:val="center"/>
        </w:trPr>
        <w:tc>
          <w:tcPr>
            <w:tcW w:w="1906" w:type="dxa"/>
            <w:shd w:val="pct10" w:color="auto" w:fill="auto"/>
            <w:vAlign w:val="bottom"/>
          </w:tcPr>
          <w:p w:rsidR="00B01EFD" w:rsidRPr="004C38AD" w:rsidRDefault="00B01EFD" w:rsidP="00242166">
            <w:pPr>
              <w:jc w:val="center"/>
              <w:rPr>
                <w:rFonts w:eastAsia="Times New Roman"/>
                <w:b/>
                <w:color w:val="000000"/>
                <w:sz w:val="22"/>
              </w:rPr>
            </w:pPr>
            <w:r w:rsidRPr="004C38AD">
              <w:rPr>
                <w:rFonts w:eastAsia="Times New Roman"/>
                <w:b/>
                <w:color w:val="000000"/>
                <w:sz w:val="22"/>
              </w:rPr>
              <w:t>State</w:t>
            </w:r>
          </w:p>
        </w:tc>
        <w:tc>
          <w:tcPr>
            <w:tcW w:w="1359" w:type="dxa"/>
            <w:shd w:val="pct10" w:color="auto" w:fill="auto"/>
            <w:vAlign w:val="bottom"/>
          </w:tcPr>
          <w:p w:rsidR="00B01EFD" w:rsidRPr="004C38AD" w:rsidRDefault="00B01EFD" w:rsidP="00242166">
            <w:pPr>
              <w:jc w:val="center"/>
              <w:rPr>
                <w:rFonts w:eastAsia="Times New Roman"/>
                <w:b/>
                <w:color w:val="000000"/>
                <w:sz w:val="22"/>
              </w:rPr>
            </w:pPr>
            <w:r w:rsidRPr="004C38AD">
              <w:rPr>
                <w:rFonts w:eastAsia="Times New Roman"/>
                <w:b/>
                <w:color w:val="000000"/>
                <w:sz w:val="22"/>
              </w:rPr>
              <w:t>CAIR Ozone</w:t>
            </w:r>
          </w:p>
        </w:tc>
        <w:tc>
          <w:tcPr>
            <w:tcW w:w="1440" w:type="dxa"/>
            <w:shd w:val="pct10" w:color="auto" w:fill="auto"/>
            <w:vAlign w:val="bottom"/>
          </w:tcPr>
          <w:p w:rsidR="00B01EFD" w:rsidRDefault="00B01EFD" w:rsidP="00242166">
            <w:pPr>
              <w:jc w:val="center"/>
              <w:rPr>
                <w:rFonts w:eastAsia="Times New Roman"/>
                <w:b/>
                <w:color w:val="000000"/>
                <w:sz w:val="22"/>
              </w:rPr>
            </w:pPr>
            <w:r w:rsidRPr="004C38AD">
              <w:rPr>
                <w:rFonts w:eastAsia="Times New Roman"/>
                <w:b/>
                <w:color w:val="000000"/>
                <w:sz w:val="22"/>
              </w:rPr>
              <w:t>CAIR Annual</w:t>
            </w:r>
          </w:p>
          <w:p w:rsidR="00B01EFD" w:rsidRPr="004C38AD" w:rsidRDefault="00B01EFD" w:rsidP="00242166">
            <w:pPr>
              <w:jc w:val="center"/>
              <w:rPr>
                <w:rFonts w:eastAsia="Times New Roman"/>
                <w:b/>
                <w:color w:val="000000"/>
                <w:sz w:val="22"/>
              </w:rPr>
            </w:pPr>
            <w:r>
              <w:rPr>
                <w:rFonts w:eastAsia="Times New Roman"/>
                <w:b/>
                <w:color w:val="000000"/>
                <w:sz w:val="22"/>
              </w:rPr>
              <w:t>(NO</w:t>
            </w:r>
            <w:r w:rsidRPr="00FF743A">
              <w:rPr>
                <w:rFonts w:eastAsia="Times New Roman"/>
                <w:b/>
                <w:color w:val="000000"/>
                <w:sz w:val="22"/>
                <w:vertAlign w:val="subscript"/>
              </w:rPr>
              <w:t>X</w:t>
            </w:r>
            <w:r>
              <w:rPr>
                <w:rFonts w:eastAsia="Times New Roman"/>
                <w:b/>
                <w:color w:val="000000"/>
                <w:sz w:val="22"/>
              </w:rPr>
              <w:t xml:space="preserve"> &amp; SO</w:t>
            </w:r>
            <w:r w:rsidRPr="00FF743A">
              <w:rPr>
                <w:rFonts w:eastAsia="Times New Roman"/>
                <w:b/>
                <w:color w:val="000000"/>
                <w:sz w:val="22"/>
                <w:vertAlign w:val="subscript"/>
              </w:rPr>
              <w:t>2</w:t>
            </w:r>
            <w:r>
              <w:rPr>
                <w:rFonts w:eastAsia="Times New Roman"/>
                <w:b/>
                <w:color w:val="000000"/>
                <w:sz w:val="22"/>
              </w:rPr>
              <w:t>)</w:t>
            </w:r>
          </w:p>
        </w:tc>
        <w:tc>
          <w:tcPr>
            <w:tcW w:w="1560" w:type="dxa"/>
            <w:shd w:val="pct10" w:color="auto" w:fill="auto"/>
            <w:vAlign w:val="bottom"/>
          </w:tcPr>
          <w:p w:rsidR="00B01EFD" w:rsidRPr="004C38AD" w:rsidRDefault="00B01EFD" w:rsidP="00242166">
            <w:pPr>
              <w:jc w:val="center"/>
              <w:rPr>
                <w:rFonts w:eastAsia="Times New Roman"/>
                <w:b/>
                <w:color w:val="000000"/>
                <w:sz w:val="22"/>
              </w:rPr>
            </w:pPr>
            <w:r>
              <w:rPr>
                <w:rFonts w:eastAsia="Times New Roman"/>
                <w:b/>
                <w:color w:val="000000"/>
                <w:sz w:val="22"/>
              </w:rPr>
              <w:t>TR</w:t>
            </w:r>
            <w:r w:rsidRPr="004C38AD">
              <w:rPr>
                <w:rFonts w:eastAsia="Times New Roman"/>
                <w:b/>
                <w:color w:val="000000"/>
                <w:sz w:val="22"/>
              </w:rPr>
              <w:t xml:space="preserve"> Ozone</w:t>
            </w:r>
          </w:p>
        </w:tc>
        <w:tc>
          <w:tcPr>
            <w:tcW w:w="1549" w:type="dxa"/>
            <w:shd w:val="pct10" w:color="auto" w:fill="auto"/>
            <w:vAlign w:val="bottom"/>
          </w:tcPr>
          <w:p w:rsidR="00B01EFD" w:rsidRPr="004C38AD" w:rsidRDefault="00B01EFD" w:rsidP="00242166">
            <w:pPr>
              <w:jc w:val="center"/>
              <w:rPr>
                <w:rFonts w:eastAsia="Times New Roman"/>
                <w:b/>
                <w:color w:val="000000"/>
                <w:sz w:val="22"/>
              </w:rPr>
            </w:pPr>
            <w:r>
              <w:rPr>
                <w:rFonts w:eastAsia="Times New Roman"/>
                <w:b/>
                <w:color w:val="000000"/>
                <w:sz w:val="22"/>
              </w:rPr>
              <w:t>TR</w:t>
            </w:r>
            <w:r w:rsidRPr="004C38AD">
              <w:rPr>
                <w:rFonts w:eastAsia="Times New Roman"/>
                <w:b/>
                <w:color w:val="000000"/>
                <w:sz w:val="22"/>
              </w:rPr>
              <w:t xml:space="preserve"> Annual</w:t>
            </w:r>
            <w:r>
              <w:rPr>
                <w:rFonts w:eastAsia="Times New Roman"/>
                <w:b/>
                <w:color w:val="000000"/>
                <w:sz w:val="22"/>
              </w:rPr>
              <w:t xml:space="preserve"> (NO</w:t>
            </w:r>
            <w:r w:rsidRPr="00FF743A">
              <w:rPr>
                <w:rFonts w:eastAsia="Times New Roman"/>
                <w:b/>
                <w:color w:val="000000"/>
                <w:sz w:val="22"/>
                <w:vertAlign w:val="subscript"/>
              </w:rPr>
              <w:t>X</w:t>
            </w:r>
            <w:r>
              <w:rPr>
                <w:rFonts w:eastAsia="Times New Roman"/>
                <w:b/>
                <w:color w:val="000000"/>
                <w:sz w:val="22"/>
              </w:rPr>
              <w:t xml:space="preserve"> &amp; SO</w:t>
            </w:r>
            <w:r w:rsidRPr="00FF743A">
              <w:rPr>
                <w:rFonts w:eastAsia="Times New Roman"/>
                <w:b/>
                <w:color w:val="000000"/>
                <w:sz w:val="22"/>
                <w:vertAlign w:val="subscript"/>
              </w:rPr>
              <w:t>2</w:t>
            </w:r>
            <w:r>
              <w:rPr>
                <w:rFonts w:eastAsia="Times New Roman"/>
                <w:b/>
                <w:color w:val="000000"/>
                <w:sz w:val="22"/>
              </w:rPr>
              <w:t>)</w:t>
            </w:r>
          </w:p>
        </w:tc>
      </w:tr>
      <w:tr w:rsidR="00B01EFD" w:rsidRPr="004C38AD" w:rsidTr="00B01EFD">
        <w:trPr>
          <w:trHeight w:val="18"/>
          <w:jc w:val="center"/>
        </w:trPr>
        <w:tc>
          <w:tcPr>
            <w:tcW w:w="7814" w:type="dxa"/>
            <w:gridSpan w:val="5"/>
            <w:shd w:val="pct10" w:color="auto" w:fill="auto"/>
          </w:tcPr>
          <w:p w:rsidR="00B01EFD" w:rsidRPr="004C38AD" w:rsidRDefault="00B01EFD" w:rsidP="00AB082F">
            <w:pPr>
              <w:jc w:val="center"/>
              <w:rPr>
                <w:rFonts w:eastAsia="Times New Roman"/>
                <w:color w:val="000000"/>
                <w:sz w:val="20"/>
                <w:szCs w:val="20"/>
              </w:rPr>
            </w:pPr>
            <w:r>
              <w:rPr>
                <w:rFonts w:eastAsia="Times New Roman"/>
                <w:b/>
                <w:iCs/>
                <w:color w:val="000000"/>
                <w:sz w:val="20"/>
                <w:szCs w:val="20"/>
              </w:rPr>
              <w:t xml:space="preserve">States with </w:t>
            </w:r>
            <w:r w:rsidRPr="004C38AD">
              <w:rPr>
                <w:rFonts w:eastAsia="Times New Roman"/>
                <w:b/>
                <w:iCs/>
                <w:color w:val="000000"/>
                <w:sz w:val="20"/>
                <w:szCs w:val="20"/>
              </w:rPr>
              <w:t>No Change in Classification</w:t>
            </w:r>
            <w:r>
              <w:rPr>
                <w:rFonts w:eastAsia="Times New Roman"/>
                <w:b/>
                <w:iCs/>
                <w:color w:val="000000"/>
                <w:sz w:val="20"/>
                <w:szCs w:val="20"/>
              </w:rPr>
              <w:t xml:space="preserve"> from CAIR to TR</w:t>
            </w:r>
          </w:p>
        </w:tc>
      </w:tr>
      <w:tr w:rsidR="00B01EFD" w:rsidRPr="004C38AD" w:rsidTr="00B01EFD">
        <w:trPr>
          <w:trHeight w:val="18"/>
          <w:jc w:val="center"/>
        </w:trPr>
        <w:tc>
          <w:tcPr>
            <w:tcW w:w="1906" w:type="dxa"/>
            <w:shd w:val="clear" w:color="auto" w:fill="auto"/>
          </w:tcPr>
          <w:p w:rsidR="00B01EFD" w:rsidRPr="004C38AD" w:rsidRDefault="00B01EFD" w:rsidP="00242166">
            <w:pPr>
              <w:rPr>
                <w:rFonts w:eastAsia="Times New Roman"/>
                <w:color w:val="000000"/>
                <w:sz w:val="20"/>
                <w:szCs w:val="20"/>
              </w:rPr>
            </w:pPr>
            <w:r w:rsidRPr="004C38AD">
              <w:rPr>
                <w:rFonts w:eastAsia="Times New Roman"/>
                <w:color w:val="000000"/>
                <w:sz w:val="20"/>
                <w:szCs w:val="20"/>
              </w:rPr>
              <w:t>Alabama</w:t>
            </w:r>
          </w:p>
        </w:tc>
        <w:tc>
          <w:tcPr>
            <w:tcW w:w="135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4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r>
      <w:tr w:rsidR="00B01EFD" w:rsidRPr="004C38AD" w:rsidTr="00B01EFD">
        <w:trPr>
          <w:trHeight w:val="18"/>
          <w:jc w:val="center"/>
        </w:trPr>
        <w:tc>
          <w:tcPr>
            <w:tcW w:w="1906" w:type="dxa"/>
            <w:shd w:val="clear" w:color="auto" w:fill="auto"/>
          </w:tcPr>
          <w:p w:rsidR="00B01EFD" w:rsidRPr="004C38AD" w:rsidRDefault="00B01EFD" w:rsidP="00242166">
            <w:pPr>
              <w:rPr>
                <w:rFonts w:eastAsia="Times New Roman"/>
                <w:color w:val="000000"/>
                <w:sz w:val="20"/>
                <w:szCs w:val="20"/>
              </w:rPr>
            </w:pPr>
            <w:r>
              <w:rPr>
                <w:rFonts w:eastAsia="Times New Roman"/>
                <w:color w:val="000000"/>
                <w:sz w:val="20"/>
                <w:szCs w:val="20"/>
              </w:rPr>
              <w:t>Arkansas</w:t>
            </w:r>
          </w:p>
        </w:tc>
        <w:tc>
          <w:tcPr>
            <w:tcW w:w="1359" w:type="dxa"/>
            <w:shd w:val="clear" w:color="auto" w:fill="auto"/>
          </w:tcPr>
          <w:p w:rsidR="00B01EFD" w:rsidRPr="004C38AD" w:rsidRDefault="00B01EFD" w:rsidP="00242166">
            <w:pPr>
              <w:jc w:val="center"/>
              <w:rPr>
                <w:rFonts w:eastAsia="Times New Roman"/>
                <w:color w:val="000000"/>
                <w:sz w:val="20"/>
                <w:szCs w:val="20"/>
              </w:rPr>
            </w:pPr>
            <w:r>
              <w:rPr>
                <w:rFonts w:eastAsia="Times New Roman"/>
                <w:color w:val="000000"/>
                <w:sz w:val="20"/>
                <w:szCs w:val="20"/>
              </w:rPr>
              <w:t>X</w:t>
            </w:r>
          </w:p>
        </w:tc>
        <w:tc>
          <w:tcPr>
            <w:tcW w:w="1440" w:type="dxa"/>
            <w:shd w:val="clear" w:color="auto" w:fill="auto"/>
          </w:tcPr>
          <w:p w:rsidR="00B01EFD" w:rsidRPr="004C38AD" w:rsidRDefault="00B01EFD" w:rsidP="00242166">
            <w:pPr>
              <w:jc w:val="center"/>
              <w:rPr>
                <w:rFonts w:eastAsia="Times New Roman"/>
                <w:color w:val="000000"/>
                <w:sz w:val="20"/>
                <w:szCs w:val="20"/>
              </w:rPr>
            </w:pPr>
          </w:p>
        </w:tc>
        <w:tc>
          <w:tcPr>
            <w:tcW w:w="1560" w:type="dxa"/>
            <w:shd w:val="clear" w:color="auto" w:fill="auto"/>
          </w:tcPr>
          <w:p w:rsidR="00B01EFD" w:rsidRPr="004C38AD" w:rsidRDefault="00B01EFD" w:rsidP="00242166">
            <w:pPr>
              <w:jc w:val="center"/>
              <w:rPr>
                <w:rFonts w:eastAsia="Times New Roman"/>
                <w:color w:val="000000"/>
                <w:sz w:val="20"/>
                <w:szCs w:val="20"/>
              </w:rPr>
            </w:pPr>
            <w:r>
              <w:rPr>
                <w:rFonts w:eastAsia="Times New Roman"/>
                <w:color w:val="000000"/>
                <w:sz w:val="20"/>
                <w:szCs w:val="20"/>
              </w:rPr>
              <w:t>X</w:t>
            </w:r>
          </w:p>
        </w:tc>
        <w:tc>
          <w:tcPr>
            <w:tcW w:w="1549" w:type="dxa"/>
            <w:shd w:val="clear" w:color="auto" w:fill="auto"/>
          </w:tcPr>
          <w:p w:rsidR="00B01EFD" w:rsidRPr="004C38AD" w:rsidRDefault="00B01EFD" w:rsidP="00242166">
            <w:pPr>
              <w:jc w:val="center"/>
              <w:rPr>
                <w:rFonts w:eastAsia="Times New Roman"/>
                <w:color w:val="000000"/>
                <w:sz w:val="20"/>
                <w:szCs w:val="20"/>
              </w:rPr>
            </w:pPr>
          </w:p>
        </w:tc>
      </w:tr>
      <w:tr w:rsidR="00B01EFD" w:rsidRPr="004C38AD" w:rsidTr="00B01EFD">
        <w:trPr>
          <w:trHeight w:val="18"/>
          <w:jc w:val="center"/>
        </w:trPr>
        <w:tc>
          <w:tcPr>
            <w:tcW w:w="1906" w:type="dxa"/>
            <w:shd w:val="clear" w:color="auto" w:fill="auto"/>
          </w:tcPr>
          <w:p w:rsidR="00B01EFD" w:rsidRPr="004C38AD" w:rsidRDefault="00B01EFD" w:rsidP="00242166">
            <w:pPr>
              <w:rPr>
                <w:rFonts w:eastAsia="Times New Roman"/>
                <w:color w:val="000000"/>
                <w:sz w:val="20"/>
                <w:szCs w:val="20"/>
              </w:rPr>
            </w:pPr>
            <w:r w:rsidRPr="004C38AD">
              <w:rPr>
                <w:rFonts w:eastAsia="Times New Roman"/>
                <w:color w:val="000000"/>
                <w:sz w:val="20"/>
                <w:szCs w:val="20"/>
              </w:rPr>
              <w:t>Illinois</w:t>
            </w:r>
          </w:p>
        </w:tc>
        <w:tc>
          <w:tcPr>
            <w:tcW w:w="135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4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r>
      <w:tr w:rsidR="00B01EFD" w:rsidRPr="004C38AD" w:rsidTr="00B01EFD">
        <w:trPr>
          <w:trHeight w:val="18"/>
          <w:jc w:val="center"/>
        </w:trPr>
        <w:tc>
          <w:tcPr>
            <w:tcW w:w="1906" w:type="dxa"/>
            <w:shd w:val="clear" w:color="auto" w:fill="auto"/>
          </w:tcPr>
          <w:p w:rsidR="00B01EFD" w:rsidRPr="004C38AD" w:rsidRDefault="00B01EFD" w:rsidP="00242166">
            <w:pPr>
              <w:rPr>
                <w:rFonts w:eastAsia="Times New Roman"/>
                <w:color w:val="000000"/>
                <w:sz w:val="20"/>
                <w:szCs w:val="20"/>
              </w:rPr>
            </w:pPr>
            <w:r w:rsidRPr="004C38AD">
              <w:rPr>
                <w:rFonts w:eastAsia="Times New Roman"/>
                <w:color w:val="000000"/>
                <w:sz w:val="20"/>
                <w:szCs w:val="20"/>
              </w:rPr>
              <w:t>Indiana</w:t>
            </w:r>
          </w:p>
        </w:tc>
        <w:tc>
          <w:tcPr>
            <w:tcW w:w="135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4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r>
      <w:tr w:rsidR="00B01EFD" w:rsidRPr="004C38AD" w:rsidTr="00B01EFD">
        <w:trPr>
          <w:trHeight w:val="18"/>
          <w:jc w:val="center"/>
        </w:trPr>
        <w:tc>
          <w:tcPr>
            <w:tcW w:w="1906" w:type="dxa"/>
            <w:shd w:val="clear" w:color="auto" w:fill="auto"/>
          </w:tcPr>
          <w:p w:rsidR="00B01EFD" w:rsidRPr="004C38AD" w:rsidRDefault="00B01EFD" w:rsidP="00242166">
            <w:pPr>
              <w:rPr>
                <w:rFonts w:eastAsia="Times New Roman"/>
                <w:color w:val="000000"/>
                <w:sz w:val="20"/>
                <w:szCs w:val="20"/>
              </w:rPr>
            </w:pPr>
            <w:r>
              <w:rPr>
                <w:rFonts w:eastAsia="Times New Roman"/>
                <w:color w:val="000000"/>
                <w:sz w:val="20"/>
                <w:szCs w:val="20"/>
              </w:rPr>
              <w:t>Iowa</w:t>
            </w:r>
          </w:p>
        </w:tc>
        <w:tc>
          <w:tcPr>
            <w:tcW w:w="1359" w:type="dxa"/>
            <w:shd w:val="clear" w:color="auto" w:fill="auto"/>
          </w:tcPr>
          <w:p w:rsidR="00B01EFD" w:rsidRPr="004C38AD" w:rsidRDefault="00B01EFD" w:rsidP="00242166">
            <w:pPr>
              <w:jc w:val="center"/>
              <w:rPr>
                <w:rFonts w:eastAsia="Times New Roman"/>
                <w:color w:val="000000"/>
                <w:sz w:val="20"/>
                <w:szCs w:val="20"/>
              </w:rPr>
            </w:pPr>
            <w:r>
              <w:rPr>
                <w:rFonts w:eastAsia="Times New Roman"/>
                <w:color w:val="000000"/>
                <w:sz w:val="20"/>
                <w:szCs w:val="20"/>
              </w:rPr>
              <w:t>X</w:t>
            </w:r>
          </w:p>
        </w:tc>
        <w:tc>
          <w:tcPr>
            <w:tcW w:w="1440" w:type="dxa"/>
            <w:shd w:val="clear" w:color="auto" w:fill="auto"/>
          </w:tcPr>
          <w:p w:rsidR="00B01EFD" w:rsidRPr="004C38AD" w:rsidRDefault="00B01EFD" w:rsidP="00242166">
            <w:pPr>
              <w:jc w:val="center"/>
              <w:rPr>
                <w:rFonts w:eastAsia="Times New Roman"/>
                <w:color w:val="000000"/>
                <w:sz w:val="20"/>
                <w:szCs w:val="20"/>
              </w:rPr>
            </w:pPr>
            <w:r>
              <w:rPr>
                <w:rFonts w:eastAsia="Times New Roman"/>
                <w:color w:val="000000"/>
                <w:sz w:val="20"/>
                <w:szCs w:val="20"/>
              </w:rPr>
              <w:t>X</w:t>
            </w:r>
          </w:p>
        </w:tc>
        <w:tc>
          <w:tcPr>
            <w:tcW w:w="1560" w:type="dxa"/>
            <w:shd w:val="clear" w:color="auto" w:fill="auto"/>
          </w:tcPr>
          <w:p w:rsidR="00B01EFD" w:rsidRPr="004C38AD" w:rsidRDefault="00B01EFD" w:rsidP="00242166">
            <w:pPr>
              <w:jc w:val="center"/>
              <w:rPr>
                <w:rFonts w:eastAsia="Times New Roman"/>
                <w:color w:val="000000"/>
                <w:sz w:val="20"/>
                <w:szCs w:val="20"/>
              </w:rPr>
            </w:pPr>
            <w:r>
              <w:rPr>
                <w:rFonts w:eastAsia="Times New Roman"/>
                <w:color w:val="000000"/>
                <w:sz w:val="20"/>
                <w:szCs w:val="20"/>
              </w:rPr>
              <w:t>X</w:t>
            </w:r>
          </w:p>
        </w:tc>
        <w:tc>
          <w:tcPr>
            <w:tcW w:w="1549" w:type="dxa"/>
            <w:shd w:val="clear" w:color="auto" w:fill="auto"/>
          </w:tcPr>
          <w:p w:rsidR="00B01EFD" w:rsidRPr="004C38AD" w:rsidRDefault="00B01EFD" w:rsidP="00242166">
            <w:pPr>
              <w:jc w:val="center"/>
              <w:rPr>
                <w:rFonts w:eastAsia="Times New Roman"/>
                <w:color w:val="000000"/>
                <w:sz w:val="20"/>
                <w:szCs w:val="20"/>
              </w:rPr>
            </w:pPr>
            <w:r>
              <w:rPr>
                <w:rFonts w:eastAsia="Times New Roman"/>
                <w:color w:val="000000"/>
                <w:sz w:val="20"/>
                <w:szCs w:val="20"/>
              </w:rPr>
              <w:t>X</w:t>
            </w:r>
          </w:p>
        </w:tc>
      </w:tr>
      <w:tr w:rsidR="00B01EFD" w:rsidRPr="004C38AD" w:rsidTr="00B01EFD">
        <w:trPr>
          <w:trHeight w:val="18"/>
          <w:jc w:val="center"/>
        </w:trPr>
        <w:tc>
          <w:tcPr>
            <w:tcW w:w="1906" w:type="dxa"/>
            <w:shd w:val="clear" w:color="auto" w:fill="auto"/>
          </w:tcPr>
          <w:p w:rsidR="00B01EFD" w:rsidRPr="004C38AD" w:rsidRDefault="00B01EFD" w:rsidP="00242166">
            <w:pPr>
              <w:rPr>
                <w:rFonts w:eastAsia="Times New Roman"/>
                <w:color w:val="000000"/>
                <w:sz w:val="20"/>
                <w:szCs w:val="20"/>
              </w:rPr>
            </w:pPr>
            <w:r w:rsidRPr="004C38AD">
              <w:rPr>
                <w:rFonts w:eastAsia="Times New Roman"/>
                <w:color w:val="000000"/>
                <w:sz w:val="20"/>
                <w:szCs w:val="20"/>
              </w:rPr>
              <w:t>Kentucky</w:t>
            </w:r>
          </w:p>
        </w:tc>
        <w:tc>
          <w:tcPr>
            <w:tcW w:w="135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4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r>
      <w:tr w:rsidR="00B01EFD" w:rsidRPr="004C38AD" w:rsidTr="00B01EFD">
        <w:trPr>
          <w:trHeight w:val="18"/>
          <w:jc w:val="center"/>
        </w:trPr>
        <w:tc>
          <w:tcPr>
            <w:tcW w:w="1906" w:type="dxa"/>
            <w:shd w:val="clear" w:color="auto" w:fill="auto"/>
          </w:tcPr>
          <w:p w:rsidR="00B01EFD" w:rsidRPr="004C38AD" w:rsidRDefault="00B01EFD" w:rsidP="00242166">
            <w:pPr>
              <w:rPr>
                <w:rFonts w:eastAsia="Times New Roman"/>
                <w:color w:val="000000"/>
                <w:sz w:val="20"/>
                <w:szCs w:val="20"/>
              </w:rPr>
            </w:pPr>
            <w:r w:rsidRPr="004C38AD">
              <w:rPr>
                <w:rFonts w:eastAsia="Times New Roman"/>
                <w:color w:val="000000"/>
                <w:sz w:val="20"/>
                <w:szCs w:val="20"/>
              </w:rPr>
              <w:t>Maryland</w:t>
            </w:r>
          </w:p>
        </w:tc>
        <w:tc>
          <w:tcPr>
            <w:tcW w:w="135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4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r>
      <w:tr w:rsidR="00B01EFD" w:rsidRPr="004C38AD" w:rsidTr="00B01EFD">
        <w:trPr>
          <w:trHeight w:val="18"/>
          <w:jc w:val="center"/>
        </w:trPr>
        <w:tc>
          <w:tcPr>
            <w:tcW w:w="1906" w:type="dxa"/>
            <w:shd w:val="clear" w:color="auto" w:fill="auto"/>
          </w:tcPr>
          <w:p w:rsidR="00B01EFD" w:rsidRPr="004C38AD" w:rsidRDefault="00B01EFD" w:rsidP="00242166">
            <w:pPr>
              <w:rPr>
                <w:rFonts w:eastAsia="Times New Roman"/>
                <w:color w:val="000000"/>
                <w:sz w:val="20"/>
                <w:szCs w:val="20"/>
              </w:rPr>
            </w:pPr>
            <w:r w:rsidRPr="004C38AD">
              <w:rPr>
                <w:rFonts w:eastAsia="Times New Roman"/>
                <w:color w:val="000000"/>
                <w:sz w:val="20"/>
                <w:szCs w:val="20"/>
              </w:rPr>
              <w:t>Michigan</w:t>
            </w:r>
          </w:p>
        </w:tc>
        <w:tc>
          <w:tcPr>
            <w:tcW w:w="135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4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r>
      <w:tr w:rsidR="00B01EFD" w:rsidRPr="004C38AD" w:rsidTr="00B01EFD">
        <w:trPr>
          <w:trHeight w:val="18"/>
          <w:jc w:val="center"/>
        </w:trPr>
        <w:tc>
          <w:tcPr>
            <w:tcW w:w="1906" w:type="dxa"/>
            <w:shd w:val="clear" w:color="auto" w:fill="auto"/>
          </w:tcPr>
          <w:p w:rsidR="00B01EFD" w:rsidRPr="004C38AD" w:rsidRDefault="00B01EFD" w:rsidP="004B7C4E">
            <w:pPr>
              <w:rPr>
                <w:rFonts w:eastAsia="Times New Roman"/>
                <w:color w:val="000000"/>
                <w:sz w:val="20"/>
                <w:szCs w:val="20"/>
              </w:rPr>
            </w:pPr>
            <w:r>
              <w:rPr>
                <w:rFonts w:eastAsia="Times New Roman"/>
                <w:color w:val="000000"/>
                <w:sz w:val="20"/>
                <w:szCs w:val="20"/>
              </w:rPr>
              <w:t>Missouri</w:t>
            </w:r>
          </w:p>
        </w:tc>
        <w:tc>
          <w:tcPr>
            <w:tcW w:w="1359" w:type="dxa"/>
            <w:shd w:val="clear" w:color="auto" w:fill="auto"/>
          </w:tcPr>
          <w:p w:rsidR="00B01EFD" w:rsidRPr="004C38AD" w:rsidRDefault="00B01EFD" w:rsidP="00242166">
            <w:pPr>
              <w:jc w:val="center"/>
              <w:rPr>
                <w:rFonts w:eastAsia="Times New Roman"/>
                <w:color w:val="000000"/>
                <w:sz w:val="20"/>
                <w:szCs w:val="20"/>
              </w:rPr>
            </w:pPr>
            <w:r>
              <w:rPr>
                <w:rFonts w:eastAsia="Times New Roman"/>
                <w:color w:val="000000"/>
                <w:sz w:val="20"/>
                <w:szCs w:val="20"/>
              </w:rPr>
              <w:t>X</w:t>
            </w:r>
          </w:p>
        </w:tc>
        <w:tc>
          <w:tcPr>
            <w:tcW w:w="1440" w:type="dxa"/>
            <w:shd w:val="clear" w:color="auto" w:fill="auto"/>
          </w:tcPr>
          <w:p w:rsidR="00B01EFD" w:rsidRPr="004C38AD" w:rsidRDefault="00B01EFD" w:rsidP="00242166">
            <w:pPr>
              <w:jc w:val="center"/>
              <w:rPr>
                <w:rFonts w:eastAsia="Times New Roman"/>
                <w:color w:val="000000"/>
                <w:sz w:val="20"/>
                <w:szCs w:val="20"/>
              </w:rPr>
            </w:pPr>
            <w:r>
              <w:rPr>
                <w:rFonts w:eastAsia="Times New Roman"/>
                <w:color w:val="000000"/>
                <w:sz w:val="20"/>
                <w:szCs w:val="20"/>
              </w:rPr>
              <w:t>X</w:t>
            </w:r>
          </w:p>
        </w:tc>
        <w:tc>
          <w:tcPr>
            <w:tcW w:w="1560" w:type="dxa"/>
            <w:shd w:val="clear" w:color="auto" w:fill="auto"/>
          </w:tcPr>
          <w:p w:rsidR="00B01EFD" w:rsidRPr="004C38AD" w:rsidRDefault="00B01EFD" w:rsidP="00242166">
            <w:pPr>
              <w:jc w:val="center"/>
              <w:rPr>
                <w:rFonts w:eastAsia="Times New Roman"/>
                <w:color w:val="000000"/>
                <w:sz w:val="20"/>
                <w:szCs w:val="20"/>
              </w:rPr>
            </w:pPr>
            <w:r>
              <w:rPr>
                <w:rFonts w:eastAsia="Times New Roman"/>
                <w:color w:val="000000"/>
                <w:sz w:val="20"/>
                <w:szCs w:val="20"/>
              </w:rPr>
              <w:t>X</w:t>
            </w:r>
          </w:p>
        </w:tc>
        <w:tc>
          <w:tcPr>
            <w:tcW w:w="1549" w:type="dxa"/>
            <w:shd w:val="clear" w:color="auto" w:fill="auto"/>
          </w:tcPr>
          <w:p w:rsidR="00B01EFD" w:rsidRPr="004C38AD" w:rsidRDefault="00B01EFD" w:rsidP="00242166">
            <w:pPr>
              <w:jc w:val="center"/>
              <w:rPr>
                <w:rFonts w:eastAsia="Times New Roman"/>
                <w:color w:val="000000"/>
                <w:sz w:val="20"/>
                <w:szCs w:val="20"/>
              </w:rPr>
            </w:pPr>
            <w:r>
              <w:rPr>
                <w:rFonts w:eastAsia="Times New Roman"/>
                <w:color w:val="000000"/>
                <w:sz w:val="20"/>
                <w:szCs w:val="20"/>
              </w:rPr>
              <w:t>X</w:t>
            </w:r>
          </w:p>
        </w:tc>
      </w:tr>
      <w:tr w:rsidR="00B01EFD" w:rsidRPr="004C38AD" w:rsidTr="00B01EFD">
        <w:trPr>
          <w:trHeight w:val="18"/>
          <w:jc w:val="center"/>
        </w:trPr>
        <w:tc>
          <w:tcPr>
            <w:tcW w:w="1906" w:type="dxa"/>
            <w:shd w:val="clear" w:color="auto" w:fill="auto"/>
          </w:tcPr>
          <w:p w:rsidR="00B01EFD" w:rsidRPr="004C38AD" w:rsidRDefault="00B01EFD" w:rsidP="00242166">
            <w:pPr>
              <w:rPr>
                <w:rFonts w:eastAsia="Times New Roman"/>
                <w:color w:val="000000"/>
                <w:sz w:val="20"/>
                <w:szCs w:val="20"/>
              </w:rPr>
            </w:pPr>
            <w:r w:rsidRPr="004C38AD">
              <w:rPr>
                <w:rFonts w:eastAsia="Times New Roman"/>
                <w:color w:val="000000"/>
                <w:sz w:val="20"/>
                <w:szCs w:val="20"/>
              </w:rPr>
              <w:t>New Jersey</w:t>
            </w:r>
          </w:p>
        </w:tc>
        <w:tc>
          <w:tcPr>
            <w:tcW w:w="135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4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r>
      <w:tr w:rsidR="00B01EFD" w:rsidRPr="004C38AD" w:rsidTr="00B01EFD">
        <w:trPr>
          <w:trHeight w:val="18"/>
          <w:jc w:val="center"/>
        </w:trPr>
        <w:tc>
          <w:tcPr>
            <w:tcW w:w="1906" w:type="dxa"/>
            <w:shd w:val="clear" w:color="auto" w:fill="auto"/>
          </w:tcPr>
          <w:p w:rsidR="00B01EFD" w:rsidRPr="004C38AD" w:rsidRDefault="00B01EFD" w:rsidP="00242166">
            <w:pPr>
              <w:rPr>
                <w:rFonts w:eastAsia="Times New Roman"/>
                <w:color w:val="000000"/>
                <w:sz w:val="20"/>
                <w:szCs w:val="20"/>
              </w:rPr>
            </w:pPr>
            <w:r w:rsidRPr="004C38AD">
              <w:rPr>
                <w:rFonts w:eastAsia="Times New Roman"/>
                <w:color w:val="000000"/>
                <w:sz w:val="20"/>
                <w:szCs w:val="20"/>
              </w:rPr>
              <w:t>New York</w:t>
            </w:r>
          </w:p>
        </w:tc>
        <w:tc>
          <w:tcPr>
            <w:tcW w:w="135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4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r>
      <w:tr w:rsidR="00B01EFD" w:rsidRPr="004C38AD" w:rsidTr="00B01EFD">
        <w:trPr>
          <w:trHeight w:val="18"/>
          <w:jc w:val="center"/>
        </w:trPr>
        <w:tc>
          <w:tcPr>
            <w:tcW w:w="1906" w:type="dxa"/>
            <w:shd w:val="clear" w:color="auto" w:fill="auto"/>
          </w:tcPr>
          <w:p w:rsidR="00B01EFD" w:rsidRPr="004C38AD" w:rsidRDefault="00B01EFD" w:rsidP="00242166">
            <w:pPr>
              <w:rPr>
                <w:rFonts w:eastAsia="Times New Roman"/>
                <w:color w:val="000000"/>
                <w:sz w:val="20"/>
                <w:szCs w:val="20"/>
              </w:rPr>
            </w:pPr>
            <w:r w:rsidRPr="004C38AD">
              <w:rPr>
                <w:rFonts w:eastAsia="Times New Roman"/>
                <w:color w:val="000000"/>
                <w:sz w:val="20"/>
                <w:szCs w:val="20"/>
              </w:rPr>
              <w:t>North Carolina</w:t>
            </w:r>
          </w:p>
        </w:tc>
        <w:tc>
          <w:tcPr>
            <w:tcW w:w="135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4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r>
      <w:tr w:rsidR="00B01EFD" w:rsidRPr="004C38AD" w:rsidTr="00B01EFD">
        <w:trPr>
          <w:trHeight w:val="18"/>
          <w:jc w:val="center"/>
        </w:trPr>
        <w:tc>
          <w:tcPr>
            <w:tcW w:w="1906" w:type="dxa"/>
            <w:shd w:val="clear" w:color="auto" w:fill="auto"/>
          </w:tcPr>
          <w:p w:rsidR="00B01EFD" w:rsidRPr="004C38AD" w:rsidRDefault="00B01EFD" w:rsidP="00242166">
            <w:pPr>
              <w:rPr>
                <w:rFonts w:eastAsia="Times New Roman"/>
                <w:color w:val="000000"/>
                <w:sz w:val="20"/>
                <w:szCs w:val="20"/>
              </w:rPr>
            </w:pPr>
            <w:r w:rsidRPr="004C38AD">
              <w:rPr>
                <w:rFonts w:eastAsia="Times New Roman"/>
                <w:color w:val="000000"/>
                <w:sz w:val="20"/>
                <w:szCs w:val="20"/>
              </w:rPr>
              <w:t>Ohio</w:t>
            </w:r>
          </w:p>
        </w:tc>
        <w:tc>
          <w:tcPr>
            <w:tcW w:w="135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4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r>
      <w:tr w:rsidR="00B01EFD" w:rsidRPr="004C38AD" w:rsidTr="00B01EFD">
        <w:trPr>
          <w:trHeight w:val="18"/>
          <w:jc w:val="center"/>
        </w:trPr>
        <w:tc>
          <w:tcPr>
            <w:tcW w:w="1906" w:type="dxa"/>
            <w:tcBorders>
              <w:bottom w:val="single" w:sz="2" w:space="0" w:color="auto"/>
            </w:tcBorders>
            <w:shd w:val="clear" w:color="auto" w:fill="auto"/>
          </w:tcPr>
          <w:p w:rsidR="00B01EFD" w:rsidRPr="004C38AD" w:rsidRDefault="00B01EFD" w:rsidP="00242166">
            <w:pPr>
              <w:rPr>
                <w:rFonts w:eastAsia="Times New Roman"/>
                <w:color w:val="000000"/>
                <w:sz w:val="20"/>
                <w:szCs w:val="20"/>
              </w:rPr>
            </w:pPr>
            <w:r w:rsidRPr="004C38AD">
              <w:rPr>
                <w:rFonts w:eastAsia="Times New Roman"/>
                <w:color w:val="000000"/>
                <w:sz w:val="20"/>
                <w:szCs w:val="20"/>
              </w:rPr>
              <w:t>Pennsylvania</w:t>
            </w:r>
          </w:p>
        </w:tc>
        <w:tc>
          <w:tcPr>
            <w:tcW w:w="1359" w:type="dxa"/>
            <w:tcBorders>
              <w:bottom w:val="single" w:sz="2" w:space="0" w:color="auto"/>
            </w:tcBorders>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440" w:type="dxa"/>
            <w:tcBorders>
              <w:bottom w:val="single" w:sz="2" w:space="0" w:color="auto"/>
            </w:tcBorders>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60" w:type="dxa"/>
            <w:tcBorders>
              <w:bottom w:val="single" w:sz="2" w:space="0" w:color="auto"/>
            </w:tcBorders>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49" w:type="dxa"/>
            <w:tcBorders>
              <w:bottom w:val="single" w:sz="2" w:space="0" w:color="auto"/>
            </w:tcBorders>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r>
      <w:tr w:rsidR="00B01EFD" w:rsidRPr="004C38AD" w:rsidTr="00B01EFD">
        <w:trPr>
          <w:trHeight w:val="18"/>
          <w:jc w:val="center"/>
        </w:trPr>
        <w:tc>
          <w:tcPr>
            <w:tcW w:w="1906" w:type="dxa"/>
            <w:shd w:val="clear" w:color="auto" w:fill="auto"/>
          </w:tcPr>
          <w:p w:rsidR="00B01EFD" w:rsidRPr="004C38AD" w:rsidRDefault="00B01EFD" w:rsidP="00242166">
            <w:pPr>
              <w:rPr>
                <w:rFonts w:eastAsia="Times New Roman"/>
                <w:color w:val="000000"/>
                <w:sz w:val="20"/>
                <w:szCs w:val="20"/>
              </w:rPr>
            </w:pPr>
            <w:r w:rsidRPr="004C38AD">
              <w:rPr>
                <w:rFonts w:eastAsia="Times New Roman"/>
                <w:color w:val="000000"/>
                <w:sz w:val="20"/>
                <w:szCs w:val="20"/>
              </w:rPr>
              <w:t>South Carolina</w:t>
            </w:r>
          </w:p>
        </w:tc>
        <w:tc>
          <w:tcPr>
            <w:tcW w:w="135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4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r>
      <w:tr w:rsidR="00B01EFD" w:rsidRPr="004C38AD" w:rsidTr="00B01EFD">
        <w:trPr>
          <w:trHeight w:val="18"/>
          <w:jc w:val="center"/>
        </w:trPr>
        <w:tc>
          <w:tcPr>
            <w:tcW w:w="1906" w:type="dxa"/>
            <w:shd w:val="clear" w:color="auto" w:fill="auto"/>
          </w:tcPr>
          <w:p w:rsidR="00B01EFD" w:rsidRPr="004C38AD" w:rsidRDefault="00B01EFD" w:rsidP="00242166">
            <w:pPr>
              <w:rPr>
                <w:rFonts w:eastAsia="Times New Roman"/>
                <w:color w:val="000000"/>
                <w:sz w:val="20"/>
                <w:szCs w:val="20"/>
              </w:rPr>
            </w:pPr>
            <w:r w:rsidRPr="004C38AD">
              <w:rPr>
                <w:rFonts w:eastAsia="Times New Roman"/>
                <w:color w:val="000000"/>
                <w:sz w:val="20"/>
                <w:szCs w:val="20"/>
              </w:rPr>
              <w:t>Tennessee</w:t>
            </w:r>
          </w:p>
        </w:tc>
        <w:tc>
          <w:tcPr>
            <w:tcW w:w="135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4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r>
      <w:tr w:rsidR="00B01EFD" w:rsidRPr="004C38AD" w:rsidTr="00B01EFD">
        <w:trPr>
          <w:trHeight w:val="18"/>
          <w:jc w:val="center"/>
        </w:trPr>
        <w:tc>
          <w:tcPr>
            <w:tcW w:w="1906" w:type="dxa"/>
            <w:shd w:val="clear" w:color="auto" w:fill="auto"/>
          </w:tcPr>
          <w:p w:rsidR="00B01EFD" w:rsidRPr="004C38AD" w:rsidRDefault="00B01EFD" w:rsidP="00242166">
            <w:pPr>
              <w:rPr>
                <w:rFonts w:eastAsia="Times New Roman"/>
                <w:color w:val="000000"/>
                <w:sz w:val="20"/>
                <w:szCs w:val="20"/>
              </w:rPr>
            </w:pPr>
            <w:r w:rsidRPr="004C38AD">
              <w:rPr>
                <w:rFonts w:eastAsia="Times New Roman"/>
                <w:color w:val="000000"/>
                <w:sz w:val="20"/>
                <w:szCs w:val="20"/>
              </w:rPr>
              <w:t>Virginia</w:t>
            </w:r>
          </w:p>
        </w:tc>
        <w:tc>
          <w:tcPr>
            <w:tcW w:w="135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4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r>
      <w:tr w:rsidR="00B01EFD" w:rsidRPr="004C38AD" w:rsidTr="00B01EFD">
        <w:trPr>
          <w:trHeight w:val="18"/>
          <w:jc w:val="center"/>
        </w:trPr>
        <w:tc>
          <w:tcPr>
            <w:tcW w:w="1906" w:type="dxa"/>
            <w:shd w:val="clear" w:color="auto" w:fill="auto"/>
          </w:tcPr>
          <w:p w:rsidR="00B01EFD" w:rsidRPr="004C38AD" w:rsidRDefault="00B01EFD" w:rsidP="00242166">
            <w:pPr>
              <w:rPr>
                <w:rFonts w:eastAsia="Times New Roman"/>
                <w:color w:val="000000"/>
                <w:sz w:val="20"/>
                <w:szCs w:val="20"/>
              </w:rPr>
            </w:pPr>
            <w:r w:rsidRPr="004C38AD">
              <w:rPr>
                <w:rFonts w:eastAsia="Times New Roman"/>
                <w:color w:val="000000"/>
                <w:sz w:val="20"/>
                <w:szCs w:val="20"/>
              </w:rPr>
              <w:t>West Virginia</w:t>
            </w:r>
          </w:p>
        </w:tc>
        <w:tc>
          <w:tcPr>
            <w:tcW w:w="135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4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r>
      <w:tr w:rsidR="00B01EFD" w:rsidRPr="004C38AD" w:rsidTr="00B01EFD">
        <w:trPr>
          <w:trHeight w:val="18"/>
          <w:jc w:val="center"/>
        </w:trPr>
        <w:tc>
          <w:tcPr>
            <w:tcW w:w="1906" w:type="dxa"/>
            <w:shd w:val="clear" w:color="auto" w:fill="auto"/>
          </w:tcPr>
          <w:p w:rsidR="00B01EFD" w:rsidRPr="004C38AD" w:rsidRDefault="00B01EFD" w:rsidP="00242166">
            <w:pPr>
              <w:rPr>
                <w:rFonts w:eastAsia="Times New Roman"/>
                <w:color w:val="000000"/>
                <w:sz w:val="20"/>
                <w:szCs w:val="20"/>
              </w:rPr>
            </w:pPr>
            <w:r w:rsidRPr="004C38AD">
              <w:rPr>
                <w:rFonts w:eastAsia="Times New Roman"/>
                <w:color w:val="000000"/>
                <w:sz w:val="20"/>
                <w:szCs w:val="20"/>
              </w:rPr>
              <w:t>Wisconsin</w:t>
            </w:r>
          </w:p>
        </w:tc>
        <w:tc>
          <w:tcPr>
            <w:tcW w:w="135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B01EFD" w:rsidRPr="004C38AD" w:rsidRDefault="00B01EFD" w:rsidP="00242166">
            <w:pPr>
              <w:jc w:val="center"/>
              <w:rPr>
                <w:rFonts w:eastAsia="Times New Roman"/>
                <w:color w:val="000000"/>
                <w:sz w:val="20"/>
                <w:szCs w:val="20"/>
              </w:rPr>
            </w:pPr>
            <w:r>
              <w:rPr>
                <w:rFonts w:eastAsia="Times New Roman"/>
                <w:color w:val="000000"/>
                <w:sz w:val="20"/>
                <w:szCs w:val="20"/>
              </w:rPr>
              <w:t>X</w:t>
            </w:r>
          </w:p>
        </w:tc>
        <w:tc>
          <w:tcPr>
            <w:tcW w:w="154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r>
      <w:tr w:rsidR="00B01EFD" w:rsidRPr="004C38AD" w:rsidTr="00B01EFD">
        <w:trPr>
          <w:trHeight w:val="18"/>
          <w:jc w:val="center"/>
        </w:trPr>
        <w:tc>
          <w:tcPr>
            <w:tcW w:w="7814" w:type="dxa"/>
            <w:gridSpan w:val="5"/>
            <w:shd w:val="pct10" w:color="auto" w:fill="auto"/>
          </w:tcPr>
          <w:p w:rsidR="00B01EFD" w:rsidRPr="004C38AD" w:rsidRDefault="00B01EFD" w:rsidP="00AB082F">
            <w:pPr>
              <w:jc w:val="center"/>
              <w:rPr>
                <w:rFonts w:eastAsia="Times New Roman"/>
                <w:color w:val="000000"/>
                <w:sz w:val="20"/>
                <w:szCs w:val="20"/>
              </w:rPr>
            </w:pPr>
            <w:r>
              <w:rPr>
                <w:rFonts w:eastAsia="Times New Roman"/>
                <w:b/>
                <w:iCs/>
                <w:color w:val="000000"/>
                <w:sz w:val="20"/>
                <w:szCs w:val="20"/>
              </w:rPr>
              <w:t>CAIR Annual-Only States Becoming TR Annual/Ozone States</w:t>
            </w:r>
          </w:p>
        </w:tc>
      </w:tr>
      <w:tr w:rsidR="00B01EFD" w:rsidRPr="004C38AD" w:rsidTr="00B01EFD">
        <w:trPr>
          <w:trHeight w:val="18"/>
          <w:jc w:val="center"/>
        </w:trPr>
        <w:tc>
          <w:tcPr>
            <w:tcW w:w="1906" w:type="dxa"/>
            <w:shd w:val="clear" w:color="auto" w:fill="auto"/>
          </w:tcPr>
          <w:p w:rsidR="00B01EFD" w:rsidRPr="004C38AD" w:rsidRDefault="00B01EFD" w:rsidP="00242166">
            <w:pPr>
              <w:rPr>
                <w:rFonts w:eastAsia="Times New Roman"/>
                <w:color w:val="000000"/>
                <w:sz w:val="20"/>
                <w:szCs w:val="20"/>
              </w:rPr>
            </w:pPr>
            <w:r w:rsidRPr="004C38AD">
              <w:rPr>
                <w:rFonts w:eastAsia="Times New Roman"/>
                <w:color w:val="000000"/>
                <w:sz w:val="20"/>
                <w:szCs w:val="20"/>
              </w:rPr>
              <w:t>Georgia</w:t>
            </w:r>
          </w:p>
        </w:tc>
        <w:tc>
          <w:tcPr>
            <w:tcW w:w="1359" w:type="dxa"/>
            <w:shd w:val="clear" w:color="auto" w:fill="auto"/>
          </w:tcPr>
          <w:p w:rsidR="00B01EFD" w:rsidRPr="004C38AD" w:rsidRDefault="00B01EFD" w:rsidP="00242166">
            <w:pPr>
              <w:jc w:val="center"/>
              <w:rPr>
                <w:rFonts w:eastAsia="Times New Roman"/>
                <w:color w:val="000000"/>
                <w:sz w:val="20"/>
                <w:szCs w:val="20"/>
              </w:rPr>
            </w:pPr>
          </w:p>
        </w:tc>
        <w:tc>
          <w:tcPr>
            <w:tcW w:w="144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49"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r>
      <w:tr w:rsidR="00B01EFD" w:rsidRPr="004C38AD" w:rsidTr="00B01EFD">
        <w:trPr>
          <w:trHeight w:val="18"/>
          <w:jc w:val="center"/>
        </w:trPr>
        <w:tc>
          <w:tcPr>
            <w:tcW w:w="1906" w:type="dxa"/>
            <w:shd w:val="clear" w:color="auto" w:fill="auto"/>
          </w:tcPr>
          <w:p w:rsidR="00B01EFD" w:rsidRPr="004C38AD" w:rsidRDefault="00B01EFD" w:rsidP="00242166">
            <w:pPr>
              <w:rPr>
                <w:rFonts w:eastAsia="Times New Roman"/>
                <w:color w:val="000000"/>
                <w:sz w:val="20"/>
                <w:szCs w:val="20"/>
              </w:rPr>
            </w:pPr>
            <w:r w:rsidRPr="004C38AD">
              <w:rPr>
                <w:rFonts w:eastAsia="Times New Roman"/>
                <w:color w:val="000000"/>
                <w:sz w:val="20"/>
                <w:szCs w:val="20"/>
              </w:rPr>
              <w:t>Texas</w:t>
            </w:r>
          </w:p>
        </w:tc>
        <w:tc>
          <w:tcPr>
            <w:tcW w:w="1359" w:type="dxa"/>
            <w:shd w:val="clear" w:color="auto" w:fill="auto"/>
          </w:tcPr>
          <w:p w:rsidR="00B01EFD" w:rsidRPr="004C38AD" w:rsidRDefault="00B01EFD" w:rsidP="00242166">
            <w:pPr>
              <w:jc w:val="center"/>
              <w:rPr>
                <w:rFonts w:eastAsia="Times New Roman"/>
                <w:color w:val="000000"/>
                <w:sz w:val="20"/>
                <w:szCs w:val="20"/>
              </w:rPr>
            </w:pPr>
          </w:p>
        </w:tc>
        <w:tc>
          <w:tcPr>
            <w:tcW w:w="144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60" w:type="dxa"/>
            <w:shd w:val="clear" w:color="auto" w:fill="auto"/>
          </w:tcPr>
          <w:p w:rsidR="00B01EFD" w:rsidRPr="004C38AD" w:rsidRDefault="00B01EFD" w:rsidP="00242166">
            <w:pPr>
              <w:jc w:val="center"/>
              <w:rPr>
                <w:rFonts w:eastAsia="Times New Roman"/>
                <w:color w:val="000000"/>
                <w:sz w:val="20"/>
                <w:szCs w:val="20"/>
              </w:rPr>
            </w:pPr>
            <w:r w:rsidRPr="004C38AD">
              <w:rPr>
                <w:rFonts w:eastAsia="Times New Roman"/>
                <w:color w:val="000000"/>
                <w:sz w:val="20"/>
                <w:szCs w:val="20"/>
              </w:rPr>
              <w:t>X</w:t>
            </w:r>
          </w:p>
        </w:tc>
        <w:tc>
          <w:tcPr>
            <w:tcW w:w="1549" w:type="dxa"/>
            <w:shd w:val="clear" w:color="auto" w:fill="auto"/>
          </w:tcPr>
          <w:p w:rsidR="00B01EFD" w:rsidRPr="004C38AD" w:rsidRDefault="00B01EFD" w:rsidP="00242166">
            <w:pPr>
              <w:jc w:val="center"/>
              <w:rPr>
                <w:rFonts w:eastAsia="Times New Roman"/>
                <w:color w:val="000000"/>
                <w:sz w:val="20"/>
                <w:szCs w:val="20"/>
              </w:rPr>
            </w:pPr>
            <w:r>
              <w:rPr>
                <w:rFonts w:eastAsia="Times New Roman"/>
                <w:color w:val="000000"/>
                <w:sz w:val="20"/>
                <w:szCs w:val="20"/>
              </w:rPr>
              <w:t>X</w:t>
            </w:r>
          </w:p>
        </w:tc>
      </w:tr>
    </w:tbl>
    <w:p w:rsidR="006F03E8" w:rsidRDefault="006F03E8">
      <w:r>
        <w:br w:type="page"/>
      </w:r>
    </w:p>
    <w:tbl>
      <w:tblPr>
        <w:tblW w:w="805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1980"/>
        <w:gridCol w:w="1350"/>
        <w:gridCol w:w="1440"/>
        <w:gridCol w:w="1530"/>
        <w:gridCol w:w="1685"/>
        <w:gridCol w:w="65"/>
      </w:tblGrid>
      <w:tr w:rsidR="00242166" w:rsidRPr="004C38AD" w:rsidTr="00AA3192">
        <w:trPr>
          <w:gridAfter w:val="1"/>
          <w:wAfter w:w="65" w:type="dxa"/>
          <w:trHeight w:val="300"/>
          <w:jc w:val="center"/>
        </w:trPr>
        <w:tc>
          <w:tcPr>
            <w:tcW w:w="7985" w:type="dxa"/>
            <w:gridSpan w:val="5"/>
            <w:tcBorders>
              <w:top w:val="nil"/>
              <w:left w:val="nil"/>
              <w:right w:val="nil"/>
            </w:tcBorders>
            <w:shd w:val="clear" w:color="auto" w:fill="auto"/>
          </w:tcPr>
          <w:p w:rsidR="00242166" w:rsidRPr="00083A8F" w:rsidRDefault="00242166" w:rsidP="00242166">
            <w:pPr>
              <w:keepNext/>
              <w:autoSpaceDE w:val="0"/>
              <w:autoSpaceDN w:val="0"/>
              <w:adjustRightInd w:val="0"/>
              <w:jc w:val="center"/>
              <w:rPr>
                <w:b/>
                <w:szCs w:val="24"/>
              </w:rPr>
            </w:pPr>
            <w:r w:rsidRPr="00083A8F">
              <w:rPr>
                <w:b/>
                <w:szCs w:val="24"/>
              </w:rPr>
              <w:lastRenderedPageBreak/>
              <w:t>Table 6-1</w:t>
            </w:r>
            <w:r>
              <w:rPr>
                <w:b/>
                <w:szCs w:val="24"/>
              </w:rPr>
              <w:t xml:space="preserve">: </w:t>
            </w:r>
          </w:p>
          <w:p w:rsidR="00242166" w:rsidRPr="008574F9" w:rsidRDefault="00242166" w:rsidP="00242166">
            <w:pPr>
              <w:keepNext/>
              <w:autoSpaceDE w:val="0"/>
              <w:autoSpaceDN w:val="0"/>
              <w:adjustRightInd w:val="0"/>
              <w:jc w:val="center"/>
              <w:rPr>
                <w:b/>
                <w:bCs/>
                <w:szCs w:val="24"/>
              </w:rPr>
            </w:pPr>
            <w:r>
              <w:rPr>
                <w:b/>
                <w:bCs/>
                <w:szCs w:val="24"/>
              </w:rPr>
              <w:t xml:space="preserve">State Reporting Classifications for the CAIR and </w:t>
            </w:r>
            <w:r w:rsidR="00F22C99">
              <w:rPr>
                <w:b/>
                <w:bCs/>
                <w:szCs w:val="24"/>
              </w:rPr>
              <w:t>the TR</w:t>
            </w:r>
            <w:r>
              <w:rPr>
                <w:b/>
                <w:bCs/>
                <w:szCs w:val="24"/>
              </w:rPr>
              <w:t xml:space="preserve"> (cont.)</w:t>
            </w:r>
          </w:p>
          <w:p w:rsidR="00242166" w:rsidRDefault="00242166" w:rsidP="00242166">
            <w:pPr>
              <w:keepNext/>
              <w:jc w:val="right"/>
              <w:rPr>
                <w:rFonts w:eastAsia="Times New Roman"/>
                <w:color w:val="000000"/>
                <w:sz w:val="20"/>
                <w:szCs w:val="20"/>
              </w:rPr>
            </w:pPr>
          </w:p>
        </w:tc>
      </w:tr>
      <w:tr w:rsidR="00AA3192" w:rsidRPr="004C38AD" w:rsidTr="00AA3192">
        <w:trPr>
          <w:trHeight w:val="43"/>
          <w:jc w:val="center"/>
        </w:trPr>
        <w:tc>
          <w:tcPr>
            <w:tcW w:w="1980" w:type="dxa"/>
            <w:shd w:val="pct10" w:color="auto" w:fill="auto"/>
            <w:vAlign w:val="bottom"/>
          </w:tcPr>
          <w:p w:rsidR="00AA3192" w:rsidRPr="004C38AD" w:rsidRDefault="00AA3192" w:rsidP="00242166">
            <w:pPr>
              <w:keepNext/>
              <w:jc w:val="center"/>
              <w:rPr>
                <w:rFonts w:eastAsia="Times New Roman"/>
                <w:b/>
                <w:color w:val="000000"/>
                <w:sz w:val="22"/>
              </w:rPr>
            </w:pPr>
            <w:r w:rsidRPr="004C38AD">
              <w:rPr>
                <w:rFonts w:eastAsia="Times New Roman"/>
                <w:b/>
                <w:color w:val="000000"/>
                <w:sz w:val="22"/>
              </w:rPr>
              <w:t>State</w:t>
            </w:r>
          </w:p>
        </w:tc>
        <w:tc>
          <w:tcPr>
            <w:tcW w:w="1350" w:type="dxa"/>
            <w:shd w:val="pct10" w:color="auto" w:fill="auto"/>
            <w:vAlign w:val="bottom"/>
          </w:tcPr>
          <w:p w:rsidR="00AA3192" w:rsidRPr="004C38AD" w:rsidRDefault="00AA3192" w:rsidP="00242166">
            <w:pPr>
              <w:keepNext/>
              <w:jc w:val="center"/>
              <w:rPr>
                <w:rFonts w:eastAsia="Times New Roman"/>
                <w:b/>
                <w:color w:val="000000"/>
                <w:sz w:val="22"/>
              </w:rPr>
            </w:pPr>
            <w:r w:rsidRPr="004C38AD">
              <w:rPr>
                <w:rFonts w:eastAsia="Times New Roman"/>
                <w:b/>
                <w:color w:val="000000"/>
                <w:sz w:val="22"/>
              </w:rPr>
              <w:t>CAIR Ozone</w:t>
            </w:r>
          </w:p>
        </w:tc>
        <w:tc>
          <w:tcPr>
            <w:tcW w:w="1440" w:type="dxa"/>
            <w:shd w:val="pct10" w:color="auto" w:fill="auto"/>
            <w:vAlign w:val="bottom"/>
          </w:tcPr>
          <w:p w:rsidR="00AA3192" w:rsidRDefault="00AA3192" w:rsidP="00242166">
            <w:pPr>
              <w:keepNext/>
              <w:jc w:val="center"/>
              <w:rPr>
                <w:rFonts w:eastAsia="Times New Roman"/>
                <w:b/>
                <w:color w:val="000000"/>
                <w:sz w:val="22"/>
              </w:rPr>
            </w:pPr>
            <w:r w:rsidRPr="004C38AD">
              <w:rPr>
                <w:rFonts w:eastAsia="Times New Roman"/>
                <w:b/>
                <w:color w:val="000000"/>
                <w:sz w:val="22"/>
              </w:rPr>
              <w:t>CAIR Annual</w:t>
            </w:r>
          </w:p>
          <w:p w:rsidR="00AA3192" w:rsidRPr="004C38AD" w:rsidRDefault="00AA3192" w:rsidP="00242166">
            <w:pPr>
              <w:keepNext/>
              <w:jc w:val="center"/>
              <w:rPr>
                <w:rFonts w:eastAsia="Times New Roman"/>
                <w:b/>
                <w:color w:val="000000"/>
                <w:sz w:val="22"/>
              </w:rPr>
            </w:pPr>
            <w:r>
              <w:rPr>
                <w:rFonts w:eastAsia="Times New Roman"/>
                <w:b/>
                <w:color w:val="000000"/>
                <w:sz w:val="22"/>
              </w:rPr>
              <w:t>(NO</w:t>
            </w:r>
            <w:r w:rsidRPr="00846BF4">
              <w:rPr>
                <w:rFonts w:eastAsia="Times New Roman"/>
                <w:b/>
                <w:color w:val="000000"/>
                <w:sz w:val="22"/>
                <w:vertAlign w:val="subscript"/>
              </w:rPr>
              <w:t>X</w:t>
            </w:r>
            <w:r>
              <w:rPr>
                <w:rFonts w:eastAsia="Times New Roman"/>
                <w:b/>
                <w:color w:val="000000"/>
                <w:sz w:val="22"/>
              </w:rPr>
              <w:t xml:space="preserve"> &amp; SO</w:t>
            </w:r>
            <w:r w:rsidRPr="00846BF4">
              <w:rPr>
                <w:rFonts w:eastAsia="Times New Roman"/>
                <w:b/>
                <w:color w:val="000000"/>
                <w:sz w:val="22"/>
                <w:vertAlign w:val="subscript"/>
              </w:rPr>
              <w:t>2</w:t>
            </w:r>
            <w:r>
              <w:rPr>
                <w:rFonts w:eastAsia="Times New Roman"/>
                <w:b/>
                <w:color w:val="000000"/>
                <w:sz w:val="22"/>
              </w:rPr>
              <w:t>)</w:t>
            </w:r>
          </w:p>
        </w:tc>
        <w:tc>
          <w:tcPr>
            <w:tcW w:w="1530" w:type="dxa"/>
            <w:shd w:val="pct10" w:color="auto" w:fill="auto"/>
            <w:vAlign w:val="bottom"/>
          </w:tcPr>
          <w:p w:rsidR="00AA3192" w:rsidRPr="004C38AD" w:rsidRDefault="00AA3192" w:rsidP="00242166">
            <w:pPr>
              <w:keepNext/>
              <w:jc w:val="center"/>
              <w:rPr>
                <w:rFonts w:eastAsia="Times New Roman"/>
                <w:b/>
                <w:color w:val="000000"/>
                <w:sz w:val="22"/>
              </w:rPr>
            </w:pPr>
            <w:r>
              <w:rPr>
                <w:rFonts w:eastAsia="Times New Roman"/>
                <w:b/>
                <w:color w:val="000000"/>
                <w:sz w:val="22"/>
              </w:rPr>
              <w:t>TR</w:t>
            </w:r>
            <w:r w:rsidRPr="004C38AD">
              <w:rPr>
                <w:rFonts w:eastAsia="Times New Roman"/>
                <w:b/>
                <w:color w:val="000000"/>
                <w:sz w:val="22"/>
              </w:rPr>
              <w:t xml:space="preserve"> Ozone</w:t>
            </w:r>
          </w:p>
        </w:tc>
        <w:tc>
          <w:tcPr>
            <w:tcW w:w="1750" w:type="dxa"/>
            <w:gridSpan w:val="2"/>
            <w:shd w:val="pct10" w:color="auto" w:fill="auto"/>
            <w:vAlign w:val="bottom"/>
          </w:tcPr>
          <w:p w:rsidR="00AA3192" w:rsidRPr="004C38AD" w:rsidRDefault="00AA3192" w:rsidP="00242166">
            <w:pPr>
              <w:keepNext/>
              <w:jc w:val="center"/>
              <w:rPr>
                <w:rFonts w:eastAsia="Times New Roman"/>
                <w:b/>
                <w:color w:val="000000"/>
                <w:sz w:val="22"/>
              </w:rPr>
            </w:pPr>
            <w:r>
              <w:rPr>
                <w:rFonts w:eastAsia="Times New Roman"/>
                <w:b/>
                <w:color w:val="000000"/>
                <w:sz w:val="22"/>
              </w:rPr>
              <w:t>TR</w:t>
            </w:r>
            <w:r w:rsidRPr="004C38AD">
              <w:rPr>
                <w:rFonts w:eastAsia="Times New Roman"/>
                <w:b/>
                <w:color w:val="000000"/>
                <w:sz w:val="22"/>
              </w:rPr>
              <w:t xml:space="preserve"> Annual</w:t>
            </w:r>
            <w:r>
              <w:rPr>
                <w:rFonts w:eastAsia="Times New Roman"/>
                <w:b/>
                <w:color w:val="000000"/>
                <w:sz w:val="22"/>
              </w:rPr>
              <w:t xml:space="preserve"> (NO</w:t>
            </w:r>
            <w:r w:rsidRPr="00846BF4">
              <w:rPr>
                <w:rFonts w:eastAsia="Times New Roman"/>
                <w:b/>
                <w:color w:val="000000"/>
                <w:sz w:val="22"/>
                <w:vertAlign w:val="subscript"/>
              </w:rPr>
              <w:t>X</w:t>
            </w:r>
            <w:r>
              <w:rPr>
                <w:rFonts w:eastAsia="Times New Roman"/>
                <w:b/>
                <w:color w:val="000000"/>
                <w:sz w:val="22"/>
              </w:rPr>
              <w:t xml:space="preserve"> &amp; SO</w:t>
            </w:r>
            <w:r w:rsidRPr="00846BF4">
              <w:rPr>
                <w:rFonts w:eastAsia="Times New Roman"/>
                <w:b/>
                <w:color w:val="000000"/>
                <w:sz w:val="22"/>
                <w:vertAlign w:val="subscript"/>
              </w:rPr>
              <w:t>2</w:t>
            </w:r>
            <w:r>
              <w:rPr>
                <w:rFonts w:eastAsia="Times New Roman"/>
                <w:b/>
                <w:color w:val="000000"/>
                <w:sz w:val="22"/>
              </w:rPr>
              <w:t>)</w:t>
            </w:r>
          </w:p>
        </w:tc>
      </w:tr>
      <w:tr w:rsidR="00AA3192" w:rsidRPr="004C38AD" w:rsidTr="00AA3192">
        <w:trPr>
          <w:trHeight w:val="18"/>
          <w:jc w:val="center"/>
        </w:trPr>
        <w:tc>
          <w:tcPr>
            <w:tcW w:w="8050" w:type="dxa"/>
            <w:gridSpan w:val="6"/>
            <w:shd w:val="pct10" w:color="auto" w:fill="auto"/>
          </w:tcPr>
          <w:p w:rsidR="00AA3192" w:rsidRPr="004C38AD" w:rsidRDefault="00AA3192" w:rsidP="00AB082F">
            <w:pPr>
              <w:jc w:val="center"/>
              <w:rPr>
                <w:rFonts w:eastAsia="Times New Roman"/>
                <w:color w:val="000000"/>
                <w:sz w:val="20"/>
                <w:szCs w:val="20"/>
              </w:rPr>
            </w:pPr>
            <w:r>
              <w:rPr>
                <w:rFonts w:eastAsia="Times New Roman"/>
                <w:b/>
                <w:iCs/>
                <w:color w:val="000000"/>
                <w:sz w:val="20"/>
                <w:szCs w:val="20"/>
              </w:rPr>
              <w:t>CAIR Annual/Ozone States Becoming TR Ozone-Only States</w:t>
            </w:r>
          </w:p>
        </w:tc>
      </w:tr>
      <w:tr w:rsidR="00AA3192" w:rsidRPr="004C38AD" w:rsidTr="00AA3192">
        <w:trPr>
          <w:trHeight w:val="18"/>
          <w:jc w:val="center"/>
        </w:trPr>
        <w:tc>
          <w:tcPr>
            <w:tcW w:w="1980" w:type="dxa"/>
            <w:shd w:val="clear" w:color="auto" w:fill="auto"/>
          </w:tcPr>
          <w:p w:rsidR="00AA3192" w:rsidRPr="004C38AD" w:rsidRDefault="00AA3192" w:rsidP="00242166">
            <w:pPr>
              <w:rPr>
                <w:rFonts w:eastAsia="Times New Roman"/>
                <w:color w:val="000000"/>
                <w:sz w:val="20"/>
                <w:szCs w:val="20"/>
              </w:rPr>
            </w:pPr>
            <w:r w:rsidRPr="004C38AD">
              <w:rPr>
                <w:rFonts w:eastAsia="Times New Roman"/>
                <w:color w:val="000000"/>
                <w:sz w:val="20"/>
                <w:szCs w:val="20"/>
              </w:rPr>
              <w:t>Florida</w:t>
            </w:r>
          </w:p>
        </w:tc>
        <w:tc>
          <w:tcPr>
            <w:tcW w:w="1350" w:type="dxa"/>
            <w:shd w:val="clear" w:color="auto" w:fill="auto"/>
          </w:tcPr>
          <w:p w:rsidR="00AA3192" w:rsidRPr="004C38AD" w:rsidRDefault="00AA3192"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AA3192" w:rsidRPr="004C38AD" w:rsidRDefault="00AA3192" w:rsidP="00242166">
            <w:pPr>
              <w:jc w:val="center"/>
              <w:rPr>
                <w:rFonts w:eastAsia="Times New Roman"/>
                <w:color w:val="000000"/>
                <w:sz w:val="20"/>
                <w:szCs w:val="20"/>
              </w:rPr>
            </w:pPr>
            <w:r w:rsidRPr="004C38AD">
              <w:rPr>
                <w:rFonts w:eastAsia="Times New Roman"/>
                <w:color w:val="000000"/>
                <w:sz w:val="20"/>
                <w:szCs w:val="20"/>
              </w:rPr>
              <w:t>X</w:t>
            </w:r>
          </w:p>
        </w:tc>
        <w:tc>
          <w:tcPr>
            <w:tcW w:w="1530" w:type="dxa"/>
            <w:shd w:val="clear" w:color="auto" w:fill="auto"/>
          </w:tcPr>
          <w:p w:rsidR="00AA3192" w:rsidRPr="004C38AD" w:rsidRDefault="00AA3192" w:rsidP="00242166">
            <w:pPr>
              <w:jc w:val="center"/>
              <w:rPr>
                <w:rFonts w:eastAsia="Times New Roman"/>
                <w:color w:val="000000"/>
                <w:sz w:val="20"/>
                <w:szCs w:val="20"/>
              </w:rPr>
            </w:pPr>
            <w:r w:rsidRPr="004C38AD">
              <w:rPr>
                <w:rFonts w:eastAsia="Times New Roman"/>
                <w:color w:val="000000"/>
                <w:sz w:val="20"/>
                <w:szCs w:val="20"/>
              </w:rPr>
              <w:t>X</w:t>
            </w:r>
          </w:p>
        </w:tc>
        <w:tc>
          <w:tcPr>
            <w:tcW w:w="1750" w:type="dxa"/>
            <w:gridSpan w:val="2"/>
            <w:shd w:val="clear" w:color="auto" w:fill="auto"/>
          </w:tcPr>
          <w:p w:rsidR="00AA3192" w:rsidRPr="004C38AD" w:rsidRDefault="00AA3192" w:rsidP="00242166">
            <w:pPr>
              <w:jc w:val="center"/>
              <w:rPr>
                <w:rFonts w:eastAsia="Times New Roman"/>
                <w:color w:val="000000"/>
                <w:sz w:val="20"/>
                <w:szCs w:val="20"/>
              </w:rPr>
            </w:pPr>
          </w:p>
        </w:tc>
      </w:tr>
      <w:tr w:rsidR="00AA3192" w:rsidRPr="004C38AD" w:rsidTr="00AA3192">
        <w:trPr>
          <w:trHeight w:val="18"/>
          <w:jc w:val="center"/>
        </w:trPr>
        <w:tc>
          <w:tcPr>
            <w:tcW w:w="1980" w:type="dxa"/>
            <w:shd w:val="clear" w:color="auto" w:fill="auto"/>
          </w:tcPr>
          <w:p w:rsidR="00AA3192" w:rsidRPr="004C38AD" w:rsidRDefault="00AA3192" w:rsidP="00242166">
            <w:pPr>
              <w:rPr>
                <w:rFonts w:eastAsia="Times New Roman"/>
                <w:color w:val="000000"/>
                <w:sz w:val="20"/>
                <w:szCs w:val="20"/>
              </w:rPr>
            </w:pPr>
            <w:r w:rsidRPr="004C38AD">
              <w:rPr>
                <w:rFonts w:eastAsia="Times New Roman"/>
                <w:color w:val="000000"/>
                <w:sz w:val="20"/>
                <w:szCs w:val="20"/>
              </w:rPr>
              <w:t>Louisiana</w:t>
            </w:r>
          </w:p>
        </w:tc>
        <w:tc>
          <w:tcPr>
            <w:tcW w:w="1350" w:type="dxa"/>
            <w:shd w:val="clear" w:color="auto" w:fill="auto"/>
          </w:tcPr>
          <w:p w:rsidR="00AA3192" w:rsidRPr="004C38AD" w:rsidRDefault="00AA3192"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AA3192" w:rsidRPr="004C38AD" w:rsidRDefault="00AA3192" w:rsidP="00242166">
            <w:pPr>
              <w:jc w:val="center"/>
              <w:rPr>
                <w:rFonts w:eastAsia="Times New Roman"/>
                <w:color w:val="000000"/>
                <w:sz w:val="20"/>
                <w:szCs w:val="20"/>
              </w:rPr>
            </w:pPr>
            <w:r w:rsidRPr="004C38AD">
              <w:rPr>
                <w:rFonts w:eastAsia="Times New Roman"/>
                <w:color w:val="000000"/>
                <w:sz w:val="20"/>
                <w:szCs w:val="20"/>
              </w:rPr>
              <w:t>X</w:t>
            </w:r>
          </w:p>
        </w:tc>
        <w:tc>
          <w:tcPr>
            <w:tcW w:w="1530" w:type="dxa"/>
            <w:shd w:val="clear" w:color="auto" w:fill="auto"/>
          </w:tcPr>
          <w:p w:rsidR="00AA3192" w:rsidRPr="004C38AD" w:rsidRDefault="00AA3192" w:rsidP="00242166">
            <w:pPr>
              <w:jc w:val="center"/>
              <w:rPr>
                <w:rFonts w:eastAsia="Times New Roman"/>
                <w:color w:val="000000"/>
                <w:sz w:val="20"/>
                <w:szCs w:val="20"/>
              </w:rPr>
            </w:pPr>
            <w:r w:rsidRPr="004C38AD">
              <w:rPr>
                <w:rFonts w:eastAsia="Times New Roman"/>
                <w:color w:val="000000"/>
                <w:sz w:val="20"/>
                <w:szCs w:val="20"/>
              </w:rPr>
              <w:t>X</w:t>
            </w:r>
          </w:p>
        </w:tc>
        <w:tc>
          <w:tcPr>
            <w:tcW w:w="1750" w:type="dxa"/>
            <w:gridSpan w:val="2"/>
            <w:shd w:val="clear" w:color="auto" w:fill="auto"/>
          </w:tcPr>
          <w:p w:rsidR="00AA3192" w:rsidRPr="004C38AD" w:rsidRDefault="00AA3192" w:rsidP="00242166">
            <w:pPr>
              <w:jc w:val="center"/>
              <w:rPr>
                <w:rFonts w:eastAsia="Times New Roman"/>
                <w:color w:val="000000"/>
                <w:sz w:val="20"/>
                <w:szCs w:val="20"/>
              </w:rPr>
            </w:pPr>
          </w:p>
        </w:tc>
      </w:tr>
      <w:tr w:rsidR="00AA3192" w:rsidRPr="004C38AD" w:rsidTr="00AA3192">
        <w:trPr>
          <w:trHeight w:val="18"/>
          <w:jc w:val="center"/>
        </w:trPr>
        <w:tc>
          <w:tcPr>
            <w:tcW w:w="1980" w:type="dxa"/>
            <w:shd w:val="clear" w:color="auto" w:fill="auto"/>
          </w:tcPr>
          <w:p w:rsidR="00AA3192" w:rsidRPr="004C38AD" w:rsidRDefault="00AA3192" w:rsidP="00242166">
            <w:pPr>
              <w:rPr>
                <w:rFonts w:eastAsia="Times New Roman"/>
                <w:color w:val="000000"/>
                <w:sz w:val="20"/>
                <w:szCs w:val="20"/>
              </w:rPr>
            </w:pPr>
            <w:r>
              <w:rPr>
                <w:rFonts w:eastAsia="Times New Roman"/>
                <w:color w:val="000000"/>
                <w:sz w:val="20"/>
                <w:szCs w:val="20"/>
              </w:rPr>
              <w:t>Mississippi</w:t>
            </w:r>
          </w:p>
        </w:tc>
        <w:tc>
          <w:tcPr>
            <w:tcW w:w="1350" w:type="dxa"/>
            <w:shd w:val="clear" w:color="auto" w:fill="auto"/>
          </w:tcPr>
          <w:p w:rsidR="00AA3192" w:rsidRPr="004C38AD" w:rsidRDefault="00AA3192" w:rsidP="00242166">
            <w:pPr>
              <w:jc w:val="center"/>
              <w:rPr>
                <w:rFonts w:eastAsia="Times New Roman"/>
                <w:color w:val="000000"/>
                <w:sz w:val="20"/>
                <w:szCs w:val="20"/>
              </w:rPr>
            </w:pPr>
            <w:r>
              <w:rPr>
                <w:rFonts w:eastAsia="Times New Roman"/>
                <w:color w:val="000000"/>
                <w:sz w:val="20"/>
                <w:szCs w:val="20"/>
              </w:rPr>
              <w:t>X</w:t>
            </w:r>
          </w:p>
        </w:tc>
        <w:tc>
          <w:tcPr>
            <w:tcW w:w="1440" w:type="dxa"/>
            <w:shd w:val="clear" w:color="auto" w:fill="auto"/>
          </w:tcPr>
          <w:p w:rsidR="00AA3192" w:rsidRPr="004C38AD" w:rsidRDefault="00AA3192" w:rsidP="00242166">
            <w:pPr>
              <w:jc w:val="center"/>
              <w:rPr>
                <w:rFonts w:eastAsia="Times New Roman"/>
                <w:color w:val="000000"/>
                <w:sz w:val="20"/>
                <w:szCs w:val="20"/>
              </w:rPr>
            </w:pPr>
            <w:r>
              <w:rPr>
                <w:rFonts w:eastAsia="Times New Roman"/>
                <w:color w:val="000000"/>
                <w:sz w:val="20"/>
                <w:szCs w:val="20"/>
              </w:rPr>
              <w:t>X</w:t>
            </w:r>
          </w:p>
        </w:tc>
        <w:tc>
          <w:tcPr>
            <w:tcW w:w="1530" w:type="dxa"/>
            <w:shd w:val="clear" w:color="auto" w:fill="auto"/>
          </w:tcPr>
          <w:p w:rsidR="00AA3192" w:rsidRPr="004C38AD" w:rsidRDefault="00AA3192" w:rsidP="00242166">
            <w:pPr>
              <w:jc w:val="center"/>
              <w:rPr>
                <w:rFonts w:eastAsia="Times New Roman"/>
                <w:color w:val="000000"/>
                <w:sz w:val="20"/>
                <w:szCs w:val="20"/>
              </w:rPr>
            </w:pPr>
            <w:r>
              <w:rPr>
                <w:rFonts w:eastAsia="Times New Roman"/>
                <w:color w:val="000000"/>
                <w:sz w:val="20"/>
                <w:szCs w:val="20"/>
              </w:rPr>
              <w:t>X</w:t>
            </w:r>
          </w:p>
        </w:tc>
        <w:tc>
          <w:tcPr>
            <w:tcW w:w="1750" w:type="dxa"/>
            <w:gridSpan w:val="2"/>
            <w:shd w:val="clear" w:color="auto" w:fill="auto"/>
          </w:tcPr>
          <w:p w:rsidR="00AA3192" w:rsidRPr="004C38AD" w:rsidRDefault="00AA3192" w:rsidP="00242166">
            <w:pPr>
              <w:jc w:val="center"/>
              <w:rPr>
                <w:rFonts w:eastAsia="Times New Roman"/>
                <w:color w:val="000000"/>
                <w:sz w:val="20"/>
                <w:szCs w:val="20"/>
              </w:rPr>
            </w:pPr>
          </w:p>
        </w:tc>
      </w:tr>
      <w:tr w:rsidR="00AA3192" w:rsidRPr="004C38AD" w:rsidTr="00AA3192">
        <w:trPr>
          <w:trHeight w:val="18"/>
          <w:jc w:val="center"/>
        </w:trPr>
        <w:tc>
          <w:tcPr>
            <w:tcW w:w="8050" w:type="dxa"/>
            <w:gridSpan w:val="6"/>
            <w:shd w:val="pct10" w:color="auto" w:fill="auto"/>
          </w:tcPr>
          <w:p w:rsidR="00AA3192" w:rsidRPr="004C38AD" w:rsidRDefault="00AA3192" w:rsidP="00104765">
            <w:pPr>
              <w:jc w:val="center"/>
              <w:rPr>
                <w:rFonts w:eastAsia="Times New Roman"/>
                <w:color w:val="000000"/>
                <w:sz w:val="20"/>
                <w:szCs w:val="20"/>
              </w:rPr>
            </w:pPr>
            <w:r>
              <w:rPr>
                <w:rFonts w:eastAsia="Times New Roman"/>
                <w:b/>
                <w:iCs/>
                <w:color w:val="000000"/>
                <w:sz w:val="20"/>
                <w:szCs w:val="20"/>
              </w:rPr>
              <w:t>CAIR Non-Covered States Becoming TR Covered States</w:t>
            </w:r>
          </w:p>
        </w:tc>
      </w:tr>
      <w:tr w:rsidR="00AA3192" w:rsidRPr="004C38AD" w:rsidTr="00AA3192">
        <w:trPr>
          <w:trHeight w:val="18"/>
          <w:jc w:val="center"/>
        </w:trPr>
        <w:tc>
          <w:tcPr>
            <w:tcW w:w="1980" w:type="dxa"/>
            <w:shd w:val="clear" w:color="auto" w:fill="auto"/>
          </w:tcPr>
          <w:p w:rsidR="00AA3192" w:rsidRPr="00054FF5" w:rsidRDefault="00AA3192" w:rsidP="00242166">
            <w:pPr>
              <w:rPr>
                <w:rFonts w:eastAsia="Times New Roman"/>
                <w:color w:val="000000"/>
                <w:sz w:val="20"/>
                <w:szCs w:val="20"/>
                <w:vertAlign w:val="superscript"/>
              </w:rPr>
            </w:pPr>
            <w:r w:rsidRPr="004C38AD">
              <w:rPr>
                <w:rFonts w:eastAsia="Times New Roman"/>
                <w:color w:val="000000"/>
                <w:sz w:val="20"/>
                <w:szCs w:val="20"/>
              </w:rPr>
              <w:t>Kansas</w:t>
            </w:r>
            <w:r w:rsidR="00054FF5">
              <w:rPr>
                <w:rFonts w:eastAsia="Times New Roman"/>
                <w:color w:val="000000"/>
                <w:sz w:val="20"/>
                <w:szCs w:val="20"/>
                <w:vertAlign w:val="superscript"/>
              </w:rPr>
              <w:t>1</w:t>
            </w:r>
          </w:p>
        </w:tc>
        <w:tc>
          <w:tcPr>
            <w:tcW w:w="1350" w:type="dxa"/>
            <w:shd w:val="clear" w:color="auto" w:fill="auto"/>
          </w:tcPr>
          <w:p w:rsidR="00AA3192" w:rsidRPr="004C38AD" w:rsidRDefault="00AA3192" w:rsidP="00242166">
            <w:pPr>
              <w:rPr>
                <w:rFonts w:eastAsia="Times New Roman"/>
                <w:color w:val="000000"/>
                <w:sz w:val="20"/>
                <w:szCs w:val="20"/>
              </w:rPr>
            </w:pPr>
            <w:r w:rsidRPr="004C38AD">
              <w:rPr>
                <w:rFonts w:eastAsia="Times New Roman"/>
                <w:color w:val="000000"/>
                <w:sz w:val="20"/>
                <w:szCs w:val="20"/>
              </w:rPr>
              <w:t> </w:t>
            </w:r>
          </w:p>
        </w:tc>
        <w:tc>
          <w:tcPr>
            <w:tcW w:w="1440" w:type="dxa"/>
            <w:shd w:val="clear" w:color="auto" w:fill="auto"/>
          </w:tcPr>
          <w:p w:rsidR="00AA3192" w:rsidRPr="004C38AD" w:rsidRDefault="00AA3192" w:rsidP="00242166">
            <w:pPr>
              <w:jc w:val="center"/>
              <w:rPr>
                <w:rFonts w:eastAsia="Times New Roman"/>
                <w:color w:val="000000"/>
                <w:sz w:val="20"/>
                <w:szCs w:val="20"/>
              </w:rPr>
            </w:pPr>
          </w:p>
        </w:tc>
        <w:tc>
          <w:tcPr>
            <w:tcW w:w="1530" w:type="dxa"/>
            <w:shd w:val="clear" w:color="auto" w:fill="auto"/>
          </w:tcPr>
          <w:p w:rsidR="00AA3192" w:rsidRPr="004C38AD" w:rsidRDefault="00AA3192" w:rsidP="00242166">
            <w:pPr>
              <w:jc w:val="center"/>
              <w:rPr>
                <w:rFonts w:eastAsia="Times New Roman"/>
                <w:color w:val="000000"/>
                <w:sz w:val="20"/>
                <w:szCs w:val="20"/>
              </w:rPr>
            </w:pPr>
          </w:p>
        </w:tc>
        <w:tc>
          <w:tcPr>
            <w:tcW w:w="1750" w:type="dxa"/>
            <w:gridSpan w:val="2"/>
            <w:shd w:val="clear" w:color="auto" w:fill="auto"/>
          </w:tcPr>
          <w:p w:rsidR="00AA3192" w:rsidRPr="004C38AD" w:rsidRDefault="00AA3192" w:rsidP="00242166">
            <w:pPr>
              <w:jc w:val="center"/>
              <w:rPr>
                <w:rFonts w:eastAsia="Times New Roman"/>
                <w:color w:val="000000"/>
                <w:sz w:val="20"/>
                <w:szCs w:val="20"/>
              </w:rPr>
            </w:pPr>
            <w:r w:rsidRPr="004C38AD">
              <w:rPr>
                <w:rFonts w:eastAsia="Times New Roman"/>
                <w:color w:val="000000"/>
                <w:sz w:val="20"/>
                <w:szCs w:val="20"/>
              </w:rPr>
              <w:t>X</w:t>
            </w:r>
          </w:p>
        </w:tc>
      </w:tr>
      <w:tr w:rsidR="00AA3192" w:rsidRPr="004C38AD" w:rsidTr="00AA3192">
        <w:trPr>
          <w:trHeight w:val="18"/>
          <w:jc w:val="center"/>
        </w:trPr>
        <w:tc>
          <w:tcPr>
            <w:tcW w:w="1980" w:type="dxa"/>
            <w:shd w:val="clear" w:color="auto" w:fill="auto"/>
          </w:tcPr>
          <w:p w:rsidR="00AA3192" w:rsidRPr="004C38AD" w:rsidRDefault="00AA3192" w:rsidP="00242166">
            <w:pPr>
              <w:rPr>
                <w:rFonts w:eastAsia="Times New Roman"/>
                <w:color w:val="000000"/>
                <w:sz w:val="20"/>
                <w:szCs w:val="20"/>
              </w:rPr>
            </w:pPr>
            <w:r w:rsidRPr="004C38AD">
              <w:rPr>
                <w:rFonts w:eastAsia="Times New Roman"/>
                <w:color w:val="000000"/>
                <w:sz w:val="20"/>
                <w:szCs w:val="20"/>
              </w:rPr>
              <w:t>Minnesota</w:t>
            </w:r>
          </w:p>
        </w:tc>
        <w:tc>
          <w:tcPr>
            <w:tcW w:w="1350" w:type="dxa"/>
            <w:shd w:val="clear" w:color="auto" w:fill="auto"/>
          </w:tcPr>
          <w:p w:rsidR="00AA3192" w:rsidRPr="004C38AD" w:rsidRDefault="00AA3192" w:rsidP="00242166">
            <w:pPr>
              <w:rPr>
                <w:rFonts w:eastAsia="Times New Roman"/>
                <w:color w:val="000000"/>
                <w:sz w:val="20"/>
                <w:szCs w:val="20"/>
              </w:rPr>
            </w:pPr>
            <w:r w:rsidRPr="004C38AD">
              <w:rPr>
                <w:rFonts w:eastAsia="Times New Roman"/>
                <w:color w:val="000000"/>
                <w:sz w:val="20"/>
                <w:szCs w:val="20"/>
              </w:rPr>
              <w:t> </w:t>
            </w:r>
          </w:p>
        </w:tc>
        <w:tc>
          <w:tcPr>
            <w:tcW w:w="1440" w:type="dxa"/>
            <w:shd w:val="clear" w:color="auto" w:fill="auto"/>
          </w:tcPr>
          <w:p w:rsidR="00AA3192" w:rsidRPr="004C38AD" w:rsidRDefault="00AA3192" w:rsidP="00242166">
            <w:pPr>
              <w:jc w:val="center"/>
              <w:rPr>
                <w:rFonts w:eastAsia="Times New Roman"/>
                <w:color w:val="000000"/>
                <w:sz w:val="20"/>
                <w:szCs w:val="20"/>
              </w:rPr>
            </w:pPr>
          </w:p>
        </w:tc>
        <w:tc>
          <w:tcPr>
            <w:tcW w:w="1530" w:type="dxa"/>
            <w:shd w:val="clear" w:color="auto" w:fill="auto"/>
          </w:tcPr>
          <w:p w:rsidR="00AA3192" w:rsidRPr="004C38AD" w:rsidRDefault="00AA3192" w:rsidP="00242166">
            <w:pPr>
              <w:jc w:val="center"/>
              <w:rPr>
                <w:rFonts w:eastAsia="Times New Roman"/>
                <w:color w:val="000000"/>
                <w:sz w:val="20"/>
                <w:szCs w:val="20"/>
              </w:rPr>
            </w:pPr>
          </w:p>
        </w:tc>
        <w:tc>
          <w:tcPr>
            <w:tcW w:w="1750" w:type="dxa"/>
            <w:gridSpan w:val="2"/>
            <w:shd w:val="clear" w:color="auto" w:fill="auto"/>
          </w:tcPr>
          <w:p w:rsidR="00AA3192" w:rsidRPr="004C38AD" w:rsidRDefault="00AA3192" w:rsidP="00242166">
            <w:pPr>
              <w:jc w:val="center"/>
              <w:rPr>
                <w:rFonts w:eastAsia="Times New Roman"/>
                <w:color w:val="000000"/>
                <w:sz w:val="20"/>
                <w:szCs w:val="20"/>
              </w:rPr>
            </w:pPr>
            <w:r w:rsidRPr="004C38AD">
              <w:rPr>
                <w:rFonts w:eastAsia="Times New Roman"/>
                <w:color w:val="000000"/>
                <w:sz w:val="20"/>
                <w:szCs w:val="20"/>
              </w:rPr>
              <w:t>X</w:t>
            </w:r>
          </w:p>
        </w:tc>
      </w:tr>
      <w:tr w:rsidR="00AA3192" w:rsidRPr="004C38AD" w:rsidTr="00AA3192">
        <w:trPr>
          <w:trHeight w:val="18"/>
          <w:jc w:val="center"/>
        </w:trPr>
        <w:tc>
          <w:tcPr>
            <w:tcW w:w="1980" w:type="dxa"/>
            <w:shd w:val="clear" w:color="auto" w:fill="auto"/>
          </w:tcPr>
          <w:p w:rsidR="00AA3192" w:rsidRPr="004C38AD" w:rsidRDefault="00AA3192" w:rsidP="00242166">
            <w:pPr>
              <w:rPr>
                <w:rFonts w:eastAsia="Times New Roman"/>
                <w:color w:val="000000"/>
                <w:sz w:val="20"/>
                <w:szCs w:val="20"/>
              </w:rPr>
            </w:pPr>
            <w:r w:rsidRPr="004C38AD">
              <w:rPr>
                <w:rFonts w:eastAsia="Times New Roman"/>
                <w:color w:val="000000"/>
                <w:sz w:val="20"/>
                <w:szCs w:val="20"/>
              </w:rPr>
              <w:t>Nebraska</w:t>
            </w:r>
          </w:p>
        </w:tc>
        <w:tc>
          <w:tcPr>
            <w:tcW w:w="1350" w:type="dxa"/>
            <w:shd w:val="clear" w:color="auto" w:fill="auto"/>
          </w:tcPr>
          <w:p w:rsidR="00AA3192" w:rsidRPr="004C38AD" w:rsidRDefault="00AA3192" w:rsidP="00242166">
            <w:pPr>
              <w:rPr>
                <w:rFonts w:eastAsia="Times New Roman"/>
                <w:color w:val="000000"/>
                <w:sz w:val="20"/>
                <w:szCs w:val="20"/>
              </w:rPr>
            </w:pPr>
            <w:r w:rsidRPr="004C38AD">
              <w:rPr>
                <w:rFonts w:eastAsia="Times New Roman"/>
                <w:color w:val="000000"/>
                <w:sz w:val="20"/>
                <w:szCs w:val="20"/>
              </w:rPr>
              <w:t> </w:t>
            </w:r>
          </w:p>
        </w:tc>
        <w:tc>
          <w:tcPr>
            <w:tcW w:w="1440" w:type="dxa"/>
            <w:shd w:val="clear" w:color="auto" w:fill="auto"/>
          </w:tcPr>
          <w:p w:rsidR="00AA3192" w:rsidRPr="004C38AD" w:rsidRDefault="00AA3192" w:rsidP="00242166">
            <w:pPr>
              <w:jc w:val="center"/>
              <w:rPr>
                <w:rFonts w:eastAsia="Times New Roman"/>
                <w:color w:val="000000"/>
                <w:sz w:val="20"/>
                <w:szCs w:val="20"/>
              </w:rPr>
            </w:pPr>
          </w:p>
        </w:tc>
        <w:tc>
          <w:tcPr>
            <w:tcW w:w="1530" w:type="dxa"/>
            <w:shd w:val="clear" w:color="auto" w:fill="auto"/>
          </w:tcPr>
          <w:p w:rsidR="00AA3192" w:rsidRPr="004C38AD" w:rsidRDefault="00AA3192" w:rsidP="00242166">
            <w:pPr>
              <w:jc w:val="center"/>
              <w:rPr>
                <w:rFonts w:eastAsia="Times New Roman"/>
                <w:color w:val="000000"/>
                <w:sz w:val="20"/>
                <w:szCs w:val="20"/>
              </w:rPr>
            </w:pPr>
          </w:p>
        </w:tc>
        <w:tc>
          <w:tcPr>
            <w:tcW w:w="1750" w:type="dxa"/>
            <w:gridSpan w:val="2"/>
            <w:shd w:val="clear" w:color="auto" w:fill="auto"/>
          </w:tcPr>
          <w:p w:rsidR="00AA3192" w:rsidRPr="004C38AD" w:rsidRDefault="00AA3192" w:rsidP="00242166">
            <w:pPr>
              <w:jc w:val="center"/>
              <w:rPr>
                <w:rFonts w:eastAsia="Times New Roman"/>
                <w:color w:val="000000"/>
                <w:sz w:val="20"/>
                <w:szCs w:val="20"/>
              </w:rPr>
            </w:pPr>
            <w:r w:rsidRPr="004C38AD">
              <w:rPr>
                <w:rFonts w:eastAsia="Times New Roman"/>
                <w:color w:val="000000"/>
                <w:sz w:val="20"/>
                <w:szCs w:val="20"/>
              </w:rPr>
              <w:t>X</w:t>
            </w:r>
          </w:p>
        </w:tc>
      </w:tr>
      <w:tr w:rsidR="00AA3192" w:rsidRPr="004C38AD" w:rsidTr="00054FF5">
        <w:trPr>
          <w:trHeight w:val="18"/>
          <w:jc w:val="center"/>
        </w:trPr>
        <w:tc>
          <w:tcPr>
            <w:tcW w:w="1980" w:type="dxa"/>
            <w:tcBorders>
              <w:bottom w:val="single" w:sz="2" w:space="0" w:color="auto"/>
            </w:tcBorders>
            <w:shd w:val="clear" w:color="auto" w:fill="auto"/>
          </w:tcPr>
          <w:p w:rsidR="00AA3192" w:rsidRPr="004C38AD" w:rsidRDefault="00AA3192" w:rsidP="00242166">
            <w:pPr>
              <w:rPr>
                <w:rFonts w:eastAsia="Times New Roman"/>
                <w:color w:val="000000"/>
                <w:sz w:val="20"/>
                <w:szCs w:val="20"/>
              </w:rPr>
            </w:pPr>
            <w:r w:rsidRPr="004C38AD">
              <w:rPr>
                <w:rFonts w:eastAsia="Times New Roman"/>
                <w:color w:val="000000"/>
                <w:sz w:val="20"/>
                <w:szCs w:val="20"/>
              </w:rPr>
              <w:t>Oklahoma</w:t>
            </w:r>
          </w:p>
        </w:tc>
        <w:tc>
          <w:tcPr>
            <w:tcW w:w="1350" w:type="dxa"/>
            <w:tcBorders>
              <w:bottom w:val="single" w:sz="2" w:space="0" w:color="auto"/>
            </w:tcBorders>
            <w:shd w:val="clear" w:color="auto" w:fill="auto"/>
          </w:tcPr>
          <w:p w:rsidR="00AA3192" w:rsidRPr="004C38AD" w:rsidRDefault="00AA3192" w:rsidP="00242166">
            <w:pPr>
              <w:rPr>
                <w:rFonts w:eastAsia="Times New Roman"/>
                <w:color w:val="000000"/>
                <w:sz w:val="20"/>
                <w:szCs w:val="20"/>
              </w:rPr>
            </w:pPr>
            <w:r w:rsidRPr="004C38AD">
              <w:rPr>
                <w:rFonts w:eastAsia="Times New Roman"/>
                <w:color w:val="000000"/>
                <w:sz w:val="20"/>
                <w:szCs w:val="20"/>
              </w:rPr>
              <w:t> </w:t>
            </w:r>
          </w:p>
        </w:tc>
        <w:tc>
          <w:tcPr>
            <w:tcW w:w="1440" w:type="dxa"/>
            <w:tcBorders>
              <w:bottom w:val="single" w:sz="2" w:space="0" w:color="auto"/>
            </w:tcBorders>
            <w:shd w:val="clear" w:color="auto" w:fill="auto"/>
          </w:tcPr>
          <w:p w:rsidR="00AA3192" w:rsidRPr="004C38AD" w:rsidRDefault="00AA3192" w:rsidP="00242166">
            <w:pPr>
              <w:jc w:val="center"/>
              <w:rPr>
                <w:rFonts w:eastAsia="Times New Roman"/>
                <w:color w:val="000000"/>
                <w:sz w:val="20"/>
                <w:szCs w:val="20"/>
              </w:rPr>
            </w:pPr>
          </w:p>
        </w:tc>
        <w:tc>
          <w:tcPr>
            <w:tcW w:w="1530" w:type="dxa"/>
            <w:tcBorders>
              <w:bottom w:val="single" w:sz="2" w:space="0" w:color="auto"/>
            </w:tcBorders>
            <w:shd w:val="clear" w:color="auto" w:fill="auto"/>
          </w:tcPr>
          <w:p w:rsidR="00AA3192" w:rsidRPr="004C38AD" w:rsidRDefault="00AA3192" w:rsidP="00242166">
            <w:pPr>
              <w:jc w:val="center"/>
              <w:rPr>
                <w:rFonts w:eastAsia="Times New Roman"/>
                <w:color w:val="000000"/>
                <w:sz w:val="20"/>
                <w:szCs w:val="20"/>
              </w:rPr>
            </w:pPr>
            <w:r w:rsidRPr="004C38AD">
              <w:rPr>
                <w:rFonts w:eastAsia="Times New Roman"/>
                <w:color w:val="000000"/>
                <w:sz w:val="20"/>
                <w:szCs w:val="20"/>
              </w:rPr>
              <w:t>X</w:t>
            </w:r>
          </w:p>
        </w:tc>
        <w:tc>
          <w:tcPr>
            <w:tcW w:w="1750" w:type="dxa"/>
            <w:gridSpan w:val="2"/>
            <w:tcBorders>
              <w:bottom w:val="single" w:sz="2" w:space="0" w:color="auto"/>
            </w:tcBorders>
            <w:shd w:val="clear" w:color="auto" w:fill="auto"/>
          </w:tcPr>
          <w:p w:rsidR="00AA3192" w:rsidRPr="004C38AD" w:rsidRDefault="00AA3192" w:rsidP="00242166">
            <w:pPr>
              <w:jc w:val="center"/>
              <w:rPr>
                <w:rFonts w:eastAsia="Times New Roman"/>
                <w:color w:val="000000"/>
                <w:sz w:val="20"/>
                <w:szCs w:val="20"/>
              </w:rPr>
            </w:pPr>
          </w:p>
        </w:tc>
      </w:tr>
      <w:tr w:rsidR="00AA3192" w:rsidRPr="00054FF5" w:rsidTr="00054FF5">
        <w:trPr>
          <w:trHeight w:val="18"/>
          <w:jc w:val="center"/>
        </w:trPr>
        <w:tc>
          <w:tcPr>
            <w:tcW w:w="8050" w:type="dxa"/>
            <w:gridSpan w:val="6"/>
            <w:shd w:val="pct10" w:color="auto" w:fill="auto"/>
          </w:tcPr>
          <w:p w:rsidR="00AA3192" w:rsidRPr="00054FF5" w:rsidRDefault="00AA3192" w:rsidP="00104765">
            <w:pPr>
              <w:jc w:val="center"/>
              <w:rPr>
                <w:rFonts w:eastAsia="Times New Roman"/>
                <w:b/>
                <w:iCs/>
                <w:color w:val="000000"/>
                <w:sz w:val="20"/>
                <w:szCs w:val="20"/>
              </w:rPr>
            </w:pPr>
            <w:r w:rsidRPr="00054FF5">
              <w:rPr>
                <w:rFonts w:eastAsia="Times New Roman"/>
                <w:b/>
                <w:iCs/>
                <w:color w:val="000000"/>
                <w:sz w:val="20"/>
                <w:szCs w:val="20"/>
              </w:rPr>
              <w:t>CAIR Covered States Becoming TR Non-Covered States</w:t>
            </w:r>
          </w:p>
        </w:tc>
      </w:tr>
      <w:tr w:rsidR="00AA3192" w:rsidRPr="004C38AD" w:rsidTr="00AA3192">
        <w:trPr>
          <w:trHeight w:val="18"/>
          <w:jc w:val="center"/>
        </w:trPr>
        <w:tc>
          <w:tcPr>
            <w:tcW w:w="1980" w:type="dxa"/>
            <w:shd w:val="clear" w:color="auto" w:fill="auto"/>
          </w:tcPr>
          <w:p w:rsidR="00AA3192" w:rsidRPr="004C38AD" w:rsidRDefault="00AA3192" w:rsidP="00242166">
            <w:pPr>
              <w:rPr>
                <w:rFonts w:eastAsia="Times New Roman"/>
                <w:color w:val="000000"/>
                <w:sz w:val="20"/>
                <w:szCs w:val="20"/>
              </w:rPr>
            </w:pPr>
            <w:r w:rsidRPr="004C38AD">
              <w:rPr>
                <w:rFonts w:eastAsia="Times New Roman"/>
                <w:color w:val="000000"/>
                <w:sz w:val="20"/>
                <w:szCs w:val="20"/>
              </w:rPr>
              <w:t>Connecticut</w:t>
            </w:r>
          </w:p>
        </w:tc>
        <w:tc>
          <w:tcPr>
            <w:tcW w:w="1350" w:type="dxa"/>
            <w:shd w:val="clear" w:color="auto" w:fill="auto"/>
          </w:tcPr>
          <w:p w:rsidR="00AA3192" w:rsidRDefault="00AA3192"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AA3192" w:rsidRPr="004C38AD" w:rsidRDefault="00AA3192" w:rsidP="00242166">
            <w:pPr>
              <w:jc w:val="center"/>
              <w:rPr>
                <w:rFonts w:eastAsia="Times New Roman"/>
                <w:color w:val="000000"/>
                <w:sz w:val="20"/>
                <w:szCs w:val="20"/>
              </w:rPr>
            </w:pPr>
          </w:p>
        </w:tc>
        <w:tc>
          <w:tcPr>
            <w:tcW w:w="1530" w:type="dxa"/>
            <w:shd w:val="clear" w:color="auto" w:fill="auto"/>
          </w:tcPr>
          <w:p w:rsidR="00AA3192" w:rsidRPr="004C38AD" w:rsidRDefault="00AA3192" w:rsidP="00242166">
            <w:pPr>
              <w:jc w:val="center"/>
              <w:rPr>
                <w:rFonts w:eastAsia="Times New Roman"/>
                <w:color w:val="000000"/>
                <w:sz w:val="20"/>
                <w:szCs w:val="20"/>
              </w:rPr>
            </w:pPr>
          </w:p>
        </w:tc>
        <w:tc>
          <w:tcPr>
            <w:tcW w:w="1750" w:type="dxa"/>
            <w:gridSpan w:val="2"/>
            <w:shd w:val="clear" w:color="auto" w:fill="auto"/>
          </w:tcPr>
          <w:p w:rsidR="00AA3192" w:rsidRPr="004C38AD" w:rsidRDefault="00AA3192" w:rsidP="00242166">
            <w:pPr>
              <w:jc w:val="center"/>
              <w:rPr>
                <w:rFonts w:eastAsia="Times New Roman"/>
                <w:color w:val="000000"/>
                <w:sz w:val="20"/>
                <w:szCs w:val="20"/>
              </w:rPr>
            </w:pPr>
          </w:p>
        </w:tc>
      </w:tr>
      <w:tr w:rsidR="00AA3192" w:rsidRPr="004C38AD" w:rsidTr="00AA3192">
        <w:trPr>
          <w:trHeight w:val="18"/>
          <w:jc w:val="center"/>
        </w:trPr>
        <w:tc>
          <w:tcPr>
            <w:tcW w:w="1980" w:type="dxa"/>
            <w:shd w:val="clear" w:color="auto" w:fill="auto"/>
          </w:tcPr>
          <w:p w:rsidR="00AA3192" w:rsidRPr="004C38AD" w:rsidRDefault="00AA3192" w:rsidP="00242166">
            <w:pPr>
              <w:rPr>
                <w:rFonts w:eastAsia="Times New Roman"/>
                <w:color w:val="000000"/>
                <w:sz w:val="20"/>
                <w:szCs w:val="20"/>
              </w:rPr>
            </w:pPr>
            <w:r w:rsidRPr="004C38AD">
              <w:rPr>
                <w:rFonts w:eastAsia="Times New Roman"/>
                <w:color w:val="000000"/>
                <w:sz w:val="20"/>
                <w:szCs w:val="20"/>
              </w:rPr>
              <w:t>Delaware</w:t>
            </w:r>
          </w:p>
        </w:tc>
        <w:tc>
          <w:tcPr>
            <w:tcW w:w="1350" w:type="dxa"/>
            <w:shd w:val="clear" w:color="auto" w:fill="auto"/>
          </w:tcPr>
          <w:p w:rsidR="00AA3192" w:rsidRDefault="00AA3192"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AA3192" w:rsidRPr="004C38AD" w:rsidRDefault="00AA3192" w:rsidP="00242166">
            <w:pPr>
              <w:jc w:val="center"/>
              <w:rPr>
                <w:rFonts w:eastAsia="Times New Roman"/>
                <w:color w:val="000000"/>
                <w:sz w:val="20"/>
                <w:szCs w:val="20"/>
              </w:rPr>
            </w:pPr>
            <w:r w:rsidRPr="004C38AD">
              <w:rPr>
                <w:rFonts w:eastAsia="Times New Roman"/>
                <w:color w:val="000000"/>
                <w:sz w:val="20"/>
                <w:szCs w:val="20"/>
              </w:rPr>
              <w:t>X</w:t>
            </w:r>
          </w:p>
        </w:tc>
        <w:tc>
          <w:tcPr>
            <w:tcW w:w="1530" w:type="dxa"/>
            <w:shd w:val="clear" w:color="auto" w:fill="auto"/>
          </w:tcPr>
          <w:p w:rsidR="00AA3192" w:rsidRPr="004C38AD" w:rsidRDefault="00AA3192" w:rsidP="00242166">
            <w:pPr>
              <w:jc w:val="center"/>
              <w:rPr>
                <w:rFonts w:eastAsia="Times New Roman"/>
                <w:color w:val="000000"/>
                <w:sz w:val="20"/>
                <w:szCs w:val="20"/>
              </w:rPr>
            </w:pPr>
          </w:p>
        </w:tc>
        <w:tc>
          <w:tcPr>
            <w:tcW w:w="1750" w:type="dxa"/>
            <w:gridSpan w:val="2"/>
            <w:shd w:val="clear" w:color="auto" w:fill="auto"/>
          </w:tcPr>
          <w:p w:rsidR="00AA3192" w:rsidRPr="004C38AD" w:rsidRDefault="00AA3192" w:rsidP="00242166">
            <w:pPr>
              <w:jc w:val="center"/>
              <w:rPr>
                <w:rFonts w:eastAsia="Times New Roman"/>
                <w:color w:val="000000"/>
                <w:sz w:val="20"/>
                <w:szCs w:val="20"/>
              </w:rPr>
            </w:pPr>
          </w:p>
        </w:tc>
      </w:tr>
      <w:tr w:rsidR="00AA3192" w:rsidRPr="004C38AD" w:rsidTr="00AA3192">
        <w:trPr>
          <w:trHeight w:val="18"/>
          <w:jc w:val="center"/>
        </w:trPr>
        <w:tc>
          <w:tcPr>
            <w:tcW w:w="1980" w:type="dxa"/>
            <w:shd w:val="clear" w:color="auto" w:fill="auto"/>
          </w:tcPr>
          <w:p w:rsidR="00AA3192" w:rsidRPr="004C38AD" w:rsidRDefault="00AA3192" w:rsidP="00242166">
            <w:pPr>
              <w:rPr>
                <w:rFonts w:eastAsia="Times New Roman"/>
                <w:color w:val="000000"/>
                <w:sz w:val="20"/>
                <w:szCs w:val="20"/>
              </w:rPr>
            </w:pPr>
            <w:r>
              <w:rPr>
                <w:rFonts w:eastAsia="Times New Roman"/>
                <w:color w:val="000000"/>
                <w:sz w:val="20"/>
                <w:szCs w:val="20"/>
              </w:rPr>
              <w:t>District of Columbia</w:t>
            </w:r>
          </w:p>
        </w:tc>
        <w:tc>
          <w:tcPr>
            <w:tcW w:w="1350" w:type="dxa"/>
            <w:shd w:val="clear" w:color="auto" w:fill="auto"/>
          </w:tcPr>
          <w:p w:rsidR="00AA3192" w:rsidRPr="004C38AD" w:rsidRDefault="00AA3192" w:rsidP="00242166">
            <w:pPr>
              <w:jc w:val="center"/>
              <w:rPr>
                <w:rFonts w:eastAsia="Times New Roman"/>
                <w:color w:val="000000"/>
                <w:sz w:val="20"/>
                <w:szCs w:val="20"/>
              </w:rPr>
            </w:pPr>
            <w:r>
              <w:rPr>
                <w:rFonts w:eastAsia="Times New Roman"/>
                <w:color w:val="000000"/>
                <w:sz w:val="20"/>
                <w:szCs w:val="20"/>
              </w:rPr>
              <w:t>X</w:t>
            </w:r>
          </w:p>
        </w:tc>
        <w:tc>
          <w:tcPr>
            <w:tcW w:w="1440" w:type="dxa"/>
            <w:shd w:val="clear" w:color="auto" w:fill="auto"/>
          </w:tcPr>
          <w:p w:rsidR="00AA3192" w:rsidRPr="004C38AD" w:rsidRDefault="00AA3192" w:rsidP="00242166">
            <w:pPr>
              <w:jc w:val="center"/>
              <w:rPr>
                <w:rFonts w:eastAsia="Times New Roman"/>
                <w:color w:val="000000"/>
                <w:sz w:val="20"/>
                <w:szCs w:val="20"/>
              </w:rPr>
            </w:pPr>
            <w:r>
              <w:rPr>
                <w:rFonts w:eastAsia="Times New Roman"/>
                <w:color w:val="000000"/>
                <w:sz w:val="20"/>
                <w:szCs w:val="20"/>
              </w:rPr>
              <w:t>X</w:t>
            </w:r>
          </w:p>
        </w:tc>
        <w:tc>
          <w:tcPr>
            <w:tcW w:w="1530" w:type="dxa"/>
            <w:shd w:val="clear" w:color="auto" w:fill="auto"/>
          </w:tcPr>
          <w:p w:rsidR="00AA3192" w:rsidRPr="004C38AD" w:rsidRDefault="00AA3192" w:rsidP="00242166">
            <w:pPr>
              <w:jc w:val="center"/>
              <w:rPr>
                <w:rFonts w:eastAsia="Times New Roman"/>
                <w:color w:val="000000"/>
                <w:sz w:val="20"/>
                <w:szCs w:val="20"/>
              </w:rPr>
            </w:pPr>
          </w:p>
        </w:tc>
        <w:tc>
          <w:tcPr>
            <w:tcW w:w="1750" w:type="dxa"/>
            <w:gridSpan w:val="2"/>
            <w:shd w:val="clear" w:color="auto" w:fill="auto"/>
          </w:tcPr>
          <w:p w:rsidR="00AA3192" w:rsidRPr="004C38AD" w:rsidRDefault="00AA3192" w:rsidP="00242166">
            <w:pPr>
              <w:jc w:val="center"/>
              <w:rPr>
                <w:rFonts w:eastAsia="Times New Roman"/>
                <w:color w:val="000000"/>
                <w:sz w:val="20"/>
                <w:szCs w:val="20"/>
              </w:rPr>
            </w:pPr>
          </w:p>
        </w:tc>
      </w:tr>
      <w:tr w:rsidR="00AA3192" w:rsidRPr="004C38AD" w:rsidTr="00AA3192">
        <w:trPr>
          <w:trHeight w:val="18"/>
          <w:jc w:val="center"/>
        </w:trPr>
        <w:tc>
          <w:tcPr>
            <w:tcW w:w="1980" w:type="dxa"/>
            <w:shd w:val="clear" w:color="auto" w:fill="auto"/>
          </w:tcPr>
          <w:p w:rsidR="00AA3192" w:rsidRPr="004C38AD" w:rsidRDefault="00AA3192" w:rsidP="00242166">
            <w:pPr>
              <w:rPr>
                <w:rFonts w:eastAsia="Times New Roman"/>
                <w:color w:val="000000"/>
                <w:sz w:val="20"/>
                <w:szCs w:val="20"/>
              </w:rPr>
            </w:pPr>
            <w:r w:rsidRPr="004C38AD">
              <w:rPr>
                <w:rFonts w:eastAsia="Times New Roman"/>
                <w:color w:val="000000"/>
                <w:sz w:val="20"/>
                <w:szCs w:val="20"/>
              </w:rPr>
              <w:t>Massachusetts</w:t>
            </w:r>
          </w:p>
        </w:tc>
        <w:tc>
          <w:tcPr>
            <w:tcW w:w="1350" w:type="dxa"/>
            <w:shd w:val="clear" w:color="auto" w:fill="auto"/>
          </w:tcPr>
          <w:p w:rsidR="00AA3192" w:rsidRPr="004C38AD" w:rsidRDefault="00AA3192" w:rsidP="00242166">
            <w:pPr>
              <w:jc w:val="center"/>
              <w:rPr>
                <w:rFonts w:eastAsia="Times New Roman"/>
                <w:color w:val="000000"/>
                <w:sz w:val="20"/>
                <w:szCs w:val="20"/>
              </w:rPr>
            </w:pPr>
            <w:r w:rsidRPr="004C38AD">
              <w:rPr>
                <w:rFonts w:eastAsia="Times New Roman"/>
                <w:color w:val="000000"/>
                <w:sz w:val="20"/>
                <w:szCs w:val="20"/>
              </w:rPr>
              <w:t>X</w:t>
            </w:r>
          </w:p>
        </w:tc>
        <w:tc>
          <w:tcPr>
            <w:tcW w:w="1440" w:type="dxa"/>
            <w:shd w:val="clear" w:color="auto" w:fill="auto"/>
          </w:tcPr>
          <w:p w:rsidR="00AA3192" w:rsidRPr="004C38AD" w:rsidRDefault="00AA3192" w:rsidP="00242166">
            <w:pPr>
              <w:jc w:val="center"/>
              <w:rPr>
                <w:rFonts w:eastAsia="Times New Roman"/>
                <w:color w:val="000000"/>
                <w:sz w:val="20"/>
                <w:szCs w:val="20"/>
              </w:rPr>
            </w:pPr>
          </w:p>
        </w:tc>
        <w:tc>
          <w:tcPr>
            <w:tcW w:w="1530" w:type="dxa"/>
            <w:shd w:val="clear" w:color="auto" w:fill="auto"/>
          </w:tcPr>
          <w:p w:rsidR="00AA3192" w:rsidRPr="004C38AD" w:rsidRDefault="00AA3192" w:rsidP="00242166">
            <w:pPr>
              <w:jc w:val="center"/>
              <w:rPr>
                <w:rFonts w:eastAsia="Times New Roman"/>
                <w:color w:val="000000"/>
                <w:sz w:val="20"/>
                <w:szCs w:val="20"/>
              </w:rPr>
            </w:pPr>
          </w:p>
        </w:tc>
        <w:tc>
          <w:tcPr>
            <w:tcW w:w="1750" w:type="dxa"/>
            <w:gridSpan w:val="2"/>
            <w:shd w:val="clear" w:color="auto" w:fill="auto"/>
          </w:tcPr>
          <w:p w:rsidR="00AA3192" w:rsidRPr="004C38AD" w:rsidRDefault="00AA3192" w:rsidP="00242166">
            <w:pPr>
              <w:jc w:val="center"/>
              <w:rPr>
                <w:rFonts w:eastAsia="Times New Roman"/>
                <w:color w:val="000000"/>
                <w:sz w:val="20"/>
                <w:szCs w:val="20"/>
              </w:rPr>
            </w:pPr>
          </w:p>
        </w:tc>
      </w:tr>
    </w:tbl>
    <w:p w:rsidR="00242166" w:rsidRPr="00054FF5" w:rsidRDefault="00054FF5" w:rsidP="00054FF5">
      <w:pPr>
        <w:keepNext/>
        <w:autoSpaceDE w:val="0"/>
        <w:autoSpaceDN w:val="0"/>
        <w:adjustRightInd w:val="0"/>
        <w:rPr>
          <w:bCs/>
          <w:sz w:val="18"/>
          <w:szCs w:val="18"/>
        </w:rPr>
      </w:pPr>
      <w:r>
        <w:rPr>
          <w:b/>
          <w:bCs/>
          <w:szCs w:val="24"/>
        </w:rPr>
        <w:tab/>
      </w:r>
      <w:r w:rsidRPr="00A03C99">
        <w:rPr>
          <w:bCs/>
          <w:sz w:val="20"/>
          <w:szCs w:val="20"/>
          <w:vertAlign w:val="superscript"/>
        </w:rPr>
        <w:t>1</w:t>
      </w:r>
      <w:r>
        <w:rPr>
          <w:b/>
          <w:bCs/>
          <w:szCs w:val="24"/>
          <w:vertAlign w:val="superscript"/>
        </w:rPr>
        <w:t xml:space="preserve"> </w:t>
      </w:r>
      <w:r w:rsidR="005E4CA3">
        <w:rPr>
          <w:bCs/>
          <w:sz w:val="18"/>
          <w:szCs w:val="18"/>
        </w:rPr>
        <w:t xml:space="preserve">Kansas is subject to the TR annual programs only.  However, in 2011 EPA proposed a SIP call for Kansas to address transport obligations under the 1997 ozone NAAQS.  </w:t>
      </w:r>
      <w:r w:rsidR="00840A56">
        <w:rPr>
          <w:bCs/>
          <w:sz w:val="18"/>
          <w:szCs w:val="18"/>
        </w:rPr>
        <w:t xml:space="preserve">76 FR 763 (Jan. 6, 2011).  </w:t>
      </w:r>
      <w:r w:rsidR="005E4CA3">
        <w:rPr>
          <w:bCs/>
          <w:sz w:val="18"/>
          <w:szCs w:val="18"/>
        </w:rPr>
        <w:t xml:space="preserve">If that SIP call were finalized as proposed, </w:t>
      </w:r>
      <w:r w:rsidR="001B1562">
        <w:rPr>
          <w:bCs/>
          <w:sz w:val="18"/>
          <w:szCs w:val="18"/>
        </w:rPr>
        <w:t xml:space="preserve">it is possible that </w:t>
      </w:r>
      <w:r w:rsidR="005E4CA3">
        <w:rPr>
          <w:bCs/>
          <w:sz w:val="18"/>
          <w:szCs w:val="18"/>
        </w:rPr>
        <w:t>Kansas</w:t>
      </w:r>
      <w:r w:rsidR="001B1562">
        <w:rPr>
          <w:bCs/>
          <w:sz w:val="18"/>
          <w:szCs w:val="18"/>
        </w:rPr>
        <w:t xml:space="preserve">’s obligations could be met by including Kansas sources in the TR ozone-season program.  To avoid the need for an ICR revision in that event, this ICR encompasses the small incremental burden </w:t>
      </w:r>
      <w:r w:rsidR="005E4CA3">
        <w:rPr>
          <w:bCs/>
          <w:sz w:val="18"/>
          <w:szCs w:val="18"/>
        </w:rPr>
        <w:t xml:space="preserve">that would arise under that contingency. </w:t>
      </w:r>
    </w:p>
    <w:p w:rsidR="00217148" w:rsidRPr="008574F9" w:rsidRDefault="00217148" w:rsidP="000C02E9">
      <w:pPr>
        <w:autoSpaceDE w:val="0"/>
        <w:autoSpaceDN w:val="0"/>
        <w:adjustRightInd w:val="0"/>
        <w:rPr>
          <w:szCs w:val="24"/>
        </w:rPr>
      </w:pPr>
    </w:p>
    <w:p w:rsidR="000C02E9" w:rsidRDefault="000C02E9" w:rsidP="00217148">
      <w:pPr>
        <w:autoSpaceDE w:val="0"/>
        <w:autoSpaceDN w:val="0"/>
        <w:adjustRightInd w:val="0"/>
        <w:ind w:firstLine="720"/>
        <w:rPr>
          <w:szCs w:val="24"/>
        </w:rPr>
      </w:pPr>
      <w:r w:rsidRPr="008574F9">
        <w:rPr>
          <w:szCs w:val="24"/>
        </w:rPr>
        <w:t>The following discussion highlights some of the basic differences for the categories of units</w:t>
      </w:r>
      <w:r w:rsidR="003972B1" w:rsidRPr="008574F9">
        <w:rPr>
          <w:szCs w:val="24"/>
        </w:rPr>
        <w:t xml:space="preserve">.  </w:t>
      </w:r>
      <w:r w:rsidRPr="008574F9">
        <w:rPr>
          <w:szCs w:val="24"/>
        </w:rPr>
        <w:t>Included in this discussion is the consideration of monitoring and reporting that is done by many</w:t>
      </w:r>
      <w:r w:rsidR="00217148" w:rsidRPr="008574F9">
        <w:rPr>
          <w:szCs w:val="24"/>
        </w:rPr>
        <w:t xml:space="preserve"> </w:t>
      </w:r>
      <w:r w:rsidRPr="008574F9">
        <w:rPr>
          <w:szCs w:val="24"/>
        </w:rPr>
        <w:t>of th</w:t>
      </w:r>
      <w:r w:rsidR="00452651">
        <w:rPr>
          <w:szCs w:val="24"/>
        </w:rPr>
        <w:t xml:space="preserve">ese sources under the ARP and CAIR </w:t>
      </w:r>
      <w:r w:rsidRPr="008574F9">
        <w:rPr>
          <w:szCs w:val="24"/>
        </w:rPr>
        <w:t>Program</w:t>
      </w:r>
      <w:r w:rsidR="00F77289">
        <w:rPr>
          <w:szCs w:val="24"/>
        </w:rPr>
        <w:t>s</w:t>
      </w:r>
      <w:r w:rsidRPr="008574F9">
        <w:rPr>
          <w:szCs w:val="24"/>
        </w:rPr>
        <w:t>.</w:t>
      </w:r>
    </w:p>
    <w:p w:rsidR="005D5242" w:rsidRPr="008574F9" w:rsidRDefault="005D5242" w:rsidP="00217148">
      <w:pPr>
        <w:autoSpaceDE w:val="0"/>
        <w:autoSpaceDN w:val="0"/>
        <w:adjustRightInd w:val="0"/>
        <w:ind w:firstLine="720"/>
        <w:rPr>
          <w:szCs w:val="24"/>
        </w:rPr>
      </w:pPr>
    </w:p>
    <w:p w:rsidR="00035DDD" w:rsidRDefault="0001414A" w:rsidP="00217148">
      <w:pPr>
        <w:autoSpaceDE w:val="0"/>
        <w:autoSpaceDN w:val="0"/>
        <w:adjustRightInd w:val="0"/>
        <w:ind w:firstLine="720"/>
        <w:rPr>
          <w:szCs w:val="24"/>
        </w:rPr>
      </w:pPr>
      <w:r>
        <w:rPr>
          <w:szCs w:val="24"/>
        </w:rPr>
        <w:t>Existing u</w:t>
      </w:r>
      <w:r w:rsidR="00102063">
        <w:rPr>
          <w:szCs w:val="24"/>
        </w:rPr>
        <w:t xml:space="preserve">nits </w:t>
      </w:r>
      <w:r w:rsidR="006C7561">
        <w:rPr>
          <w:szCs w:val="24"/>
        </w:rPr>
        <w:t xml:space="preserve">in states </w:t>
      </w:r>
      <w:r w:rsidR="009C0229">
        <w:rPr>
          <w:szCs w:val="24"/>
        </w:rPr>
        <w:t xml:space="preserve">whose TR program coverage is the same as their CAIR program coverage </w:t>
      </w:r>
      <w:r w:rsidR="006C7561">
        <w:rPr>
          <w:szCs w:val="24"/>
        </w:rPr>
        <w:t xml:space="preserve">– i.e., the 18 states subject to both the annual and ozone-season programs under both </w:t>
      </w:r>
      <w:r w:rsidR="00997F9C">
        <w:rPr>
          <w:szCs w:val="24"/>
        </w:rPr>
        <w:t>CAIR and the TR</w:t>
      </w:r>
      <w:r w:rsidR="006C7561">
        <w:rPr>
          <w:szCs w:val="24"/>
        </w:rPr>
        <w:t xml:space="preserve">, and </w:t>
      </w:r>
      <w:r w:rsidR="00111CE9">
        <w:rPr>
          <w:szCs w:val="24"/>
        </w:rPr>
        <w:t xml:space="preserve">Arkansas, </w:t>
      </w:r>
      <w:r w:rsidR="00CC0E23">
        <w:rPr>
          <w:szCs w:val="24"/>
        </w:rPr>
        <w:t>which is</w:t>
      </w:r>
      <w:r w:rsidR="00111CE9">
        <w:rPr>
          <w:szCs w:val="24"/>
        </w:rPr>
        <w:t xml:space="preserve"> </w:t>
      </w:r>
      <w:r w:rsidR="006C7561">
        <w:rPr>
          <w:szCs w:val="24"/>
        </w:rPr>
        <w:t>subject to only the ozone-season program under both rules –</w:t>
      </w:r>
      <w:r w:rsidR="00CC0E23">
        <w:rPr>
          <w:szCs w:val="24"/>
        </w:rPr>
        <w:t xml:space="preserve"> </w:t>
      </w:r>
      <w:r w:rsidR="000C02E9" w:rsidRPr="008574F9">
        <w:rPr>
          <w:szCs w:val="24"/>
        </w:rPr>
        <w:t>will hav</w:t>
      </w:r>
      <w:r w:rsidR="00C8594F">
        <w:rPr>
          <w:szCs w:val="24"/>
        </w:rPr>
        <w:t xml:space="preserve">e </w:t>
      </w:r>
      <w:r w:rsidR="00250395">
        <w:rPr>
          <w:szCs w:val="24"/>
        </w:rPr>
        <w:t>no</w:t>
      </w:r>
      <w:r w:rsidR="00C8594F">
        <w:rPr>
          <w:szCs w:val="24"/>
        </w:rPr>
        <w:t xml:space="preserve"> incremental burden</w:t>
      </w:r>
      <w:r w:rsidR="000C02E9" w:rsidRPr="008574F9">
        <w:rPr>
          <w:szCs w:val="24"/>
        </w:rPr>
        <w:t xml:space="preserve"> with regard to monitoring and reporting</w:t>
      </w:r>
      <w:r w:rsidR="003972B1" w:rsidRPr="008574F9">
        <w:rPr>
          <w:szCs w:val="24"/>
        </w:rPr>
        <w:t xml:space="preserve">.  </w:t>
      </w:r>
      <w:r w:rsidR="006C7561">
        <w:rPr>
          <w:szCs w:val="24"/>
        </w:rPr>
        <w:t xml:space="preserve">These </w:t>
      </w:r>
      <w:r w:rsidR="000C02E9" w:rsidRPr="008574F9">
        <w:rPr>
          <w:szCs w:val="24"/>
        </w:rPr>
        <w:t>units are already monitoring</w:t>
      </w:r>
      <w:r w:rsidR="00217148" w:rsidRPr="008574F9">
        <w:rPr>
          <w:szCs w:val="24"/>
        </w:rPr>
        <w:t xml:space="preserve"> </w:t>
      </w:r>
      <w:r w:rsidR="000C02E9" w:rsidRPr="008574F9">
        <w:rPr>
          <w:szCs w:val="24"/>
        </w:rPr>
        <w:t xml:space="preserve">and reporting both </w:t>
      </w:r>
      <w:r w:rsidR="000E2FE7">
        <w:rPr>
          <w:szCs w:val="24"/>
        </w:rPr>
        <w:t>NO</w:t>
      </w:r>
      <w:r w:rsidR="000E2FE7" w:rsidRPr="00CF1B63">
        <w:rPr>
          <w:szCs w:val="24"/>
          <w:vertAlign w:val="subscript"/>
        </w:rPr>
        <w:t>X</w:t>
      </w:r>
      <w:r w:rsidR="000E2FE7" w:rsidRPr="008574F9">
        <w:rPr>
          <w:szCs w:val="24"/>
        </w:rPr>
        <w:t xml:space="preserve"> </w:t>
      </w:r>
      <w:r w:rsidR="000E2FE7">
        <w:rPr>
          <w:szCs w:val="24"/>
        </w:rPr>
        <w:t xml:space="preserve">and </w:t>
      </w:r>
      <w:r w:rsidR="000C02E9" w:rsidRPr="008574F9">
        <w:rPr>
          <w:szCs w:val="24"/>
        </w:rPr>
        <w:t>SO</w:t>
      </w:r>
      <w:r w:rsidR="000C02E9" w:rsidRPr="00E975AC">
        <w:rPr>
          <w:szCs w:val="24"/>
          <w:vertAlign w:val="subscript"/>
        </w:rPr>
        <w:t>2</w:t>
      </w:r>
      <w:r w:rsidR="000E2FE7">
        <w:rPr>
          <w:szCs w:val="24"/>
        </w:rPr>
        <w:t xml:space="preserve"> </w:t>
      </w:r>
      <w:r w:rsidR="00105DD9">
        <w:rPr>
          <w:szCs w:val="24"/>
        </w:rPr>
        <w:t xml:space="preserve">mass </w:t>
      </w:r>
      <w:r w:rsidR="000C02E9" w:rsidRPr="008574F9">
        <w:rPr>
          <w:szCs w:val="24"/>
        </w:rPr>
        <w:t>emissions on a year</w:t>
      </w:r>
      <w:r w:rsidR="00FD0327">
        <w:rPr>
          <w:szCs w:val="24"/>
        </w:rPr>
        <w:t>-</w:t>
      </w:r>
      <w:r w:rsidR="000C02E9" w:rsidRPr="008574F9">
        <w:rPr>
          <w:szCs w:val="24"/>
        </w:rPr>
        <w:t xml:space="preserve">round basis </w:t>
      </w:r>
      <w:r w:rsidR="00105DD9">
        <w:rPr>
          <w:szCs w:val="24"/>
        </w:rPr>
        <w:t xml:space="preserve">(except for Arkansas units, which under both CAIR and the TR are </w:t>
      </w:r>
      <w:r w:rsidR="00CC0E23">
        <w:rPr>
          <w:szCs w:val="24"/>
        </w:rPr>
        <w:t xml:space="preserve">only </w:t>
      </w:r>
      <w:r w:rsidR="00105DD9">
        <w:rPr>
          <w:szCs w:val="24"/>
        </w:rPr>
        <w:t>required to report NO</w:t>
      </w:r>
      <w:r w:rsidR="00105DD9" w:rsidRPr="00105DD9">
        <w:rPr>
          <w:szCs w:val="24"/>
          <w:vertAlign w:val="subscript"/>
        </w:rPr>
        <w:t>X</w:t>
      </w:r>
      <w:r w:rsidR="00105DD9">
        <w:rPr>
          <w:szCs w:val="24"/>
        </w:rPr>
        <w:t xml:space="preserve"> mass emissions for the ozone season) </w:t>
      </w:r>
      <w:r w:rsidR="000C02E9" w:rsidRPr="008574F9">
        <w:rPr>
          <w:szCs w:val="24"/>
        </w:rPr>
        <w:t>and will not incur additional</w:t>
      </w:r>
      <w:r w:rsidR="00217148" w:rsidRPr="008574F9">
        <w:rPr>
          <w:szCs w:val="24"/>
        </w:rPr>
        <w:t xml:space="preserve"> </w:t>
      </w:r>
      <w:r w:rsidR="000C02E9" w:rsidRPr="008574F9">
        <w:rPr>
          <w:szCs w:val="24"/>
        </w:rPr>
        <w:t>burdens (or capital</w:t>
      </w:r>
      <w:r w:rsidR="00C8594F">
        <w:rPr>
          <w:szCs w:val="24"/>
        </w:rPr>
        <w:t xml:space="preserve">, </w:t>
      </w:r>
      <w:r w:rsidR="000C02E9" w:rsidRPr="008574F9">
        <w:rPr>
          <w:szCs w:val="24"/>
        </w:rPr>
        <w:t>operating</w:t>
      </w:r>
      <w:r w:rsidR="00C8594F">
        <w:rPr>
          <w:szCs w:val="24"/>
        </w:rPr>
        <w:t>,</w:t>
      </w:r>
      <w:r w:rsidR="000C02E9" w:rsidRPr="008574F9">
        <w:rPr>
          <w:szCs w:val="24"/>
        </w:rPr>
        <w:t xml:space="preserve"> and maintenance costs) as a result of the </w:t>
      </w:r>
      <w:r w:rsidR="00F22C99">
        <w:rPr>
          <w:szCs w:val="24"/>
        </w:rPr>
        <w:t>TR</w:t>
      </w:r>
      <w:r w:rsidR="000C02E9" w:rsidRPr="008574F9">
        <w:rPr>
          <w:szCs w:val="24"/>
        </w:rPr>
        <w:t xml:space="preserve"> since they have</w:t>
      </w:r>
      <w:r w:rsidR="00217148" w:rsidRPr="008574F9">
        <w:rPr>
          <w:szCs w:val="24"/>
        </w:rPr>
        <w:t xml:space="preserve"> </w:t>
      </w:r>
      <w:r w:rsidR="000C02E9" w:rsidRPr="008574F9">
        <w:rPr>
          <w:szCs w:val="24"/>
        </w:rPr>
        <w:t>already installed and are operating CEMS (or approved alternative</w:t>
      </w:r>
      <w:r w:rsidR="00634498">
        <w:rPr>
          <w:szCs w:val="24"/>
        </w:rPr>
        <w:t>s</w:t>
      </w:r>
      <w:r w:rsidR="000C02E9" w:rsidRPr="008574F9">
        <w:rPr>
          <w:szCs w:val="24"/>
        </w:rPr>
        <w:t xml:space="preserve">) and meet </w:t>
      </w:r>
      <w:r w:rsidR="00D56CFE">
        <w:rPr>
          <w:szCs w:val="24"/>
        </w:rPr>
        <w:t>40 CFR part 75</w:t>
      </w:r>
      <w:r w:rsidR="00217148" w:rsidRPr="008574F9">
        <w:rPr>
          <w:szCs w:val="24"/>
        </w:rPr>
        <w:t xml:space="preserve"> </w:t>
      </w:r>
      <w:r w:rsidR="000C02E9" w:rsidRPr="008574F9">
        <w:rPr>
          <w:szCs w:val="24"/>
        </w:rPr>
        <w:t xml:space="preserve">requirements for </w:t>
      </w:r>
      <w:r w:rsidR="000E2FE7">
        <w:rPr>
          <w:szCs w:val="24"/>
        </w:rPr>
        <w:t>NO</w:t>
      </w:r>
      <w:r w:rsidR="000E2FE7" w:rsidRPr="00CF1B63">
        <w:rPr>
          <w:szCs w:val="24"/>
          <w:vertAlign w:val="subscript"/>
        </w:rPr>
        <w:t>X</w:t>
      </w:r>
      <w:r w:rsidR="000E2FE7" w:rsidRPr="008574F9">
        <w:rPr>
          <w:szCs w:val="24"/>
        </w:rPr>
        <w:t xml:space="preserve"> </w:t>
      </w:r>
      <w:r w:rsidR="000E2FE7">
        <w:rPr>
          <w:szCs w:val="24"/>
        </w:rPr>
        <w:t>and</w:t>
      </w:r>
      <w:r w:rsidR="00634498">
        <w:rPr>
          <w:szCs w:val="24"/>
        </w:rPr>
        <w:t>/or</w:t>
      </w:r>
      <w:r w:rsidR="000E2FE7">
        <w:rPr>
          <w:szCs w:val="24"/>
        </w:rPr>
        <w:t xml:space="preserve"> </w:t>
      </w:r>
      <w:r w:rsidR="000C02E9" w:rsidRPr="008574F9">
        <w:rPr>
          <w:szCs w:val="24"/>
        </w:rPr>
        <w:t>SO</w:t>
      </w:r>
      <w:r w:rsidR="000C02E9" w:rsidRPr="00E975AC">
        <w:rPr>
          <w:szCs w:val="24"/>
          <w:vertAlign w:val="subscript"/>
        </w:rPr>
        <w:t>2</w:t>
      </w:r>
      <w:r w:rsidR="00634498">
        <w:rPr>
          <w:szCs w:val="24"/>
        </w:rPr>
        <w:t>, as appropriate.</w:t>
      </w:r>
      <w:r w:rsidR="003972B1" w:rsidRPr="008574F9">
        <w:rPr>
          <w:szCs w:val="24"/>
        </w:rPr>
        <w:t xml:space="preserve">  </w:t>
      </w:r>
      <w:r w:rsidR="006C7561">
        <w:rPr>
          <w:szCs w:val="24"/>
        </w:rPr>
        <w:t xml:space="preserve">For ARP-affected units in these states, the burden and costs associated with </w:t>
      </w:r>
      <w:r w:rsidR="009C0229">
        <w:rPr>
          <w:szCs w:val="24"/>
        </w:rPr>
        <w:t xml:space="preserve">the required </w:t>
      </w:r>
      <w:r w:rsidR="00111CE9">
        <w:rPr>
          <w:szCs w:val="24"/>
        </w:rPr>
        <w:t xml:space="preserve">ongoing </w:t>
      </w:r>
      <w:r w:rsidR="006C7561">
        <w:rPr>
          <w:szCs w:val="24"/>
        </w:rPr>
        <w:t xml:space="preserve">monitoring are accounted for in the ARP ICR. </w:t>
      </w:r>
      <w:r w:rsidR="00105DD9">
        <w:rPr>
          <w:szCs w:val="24"/>
        </w:rPr>
        <w:t xml:space="preserve"> </w:t>
      </w:r>
      <w:r w:rsidR="00634498">
        <w:rPr>
          <w:szCs w:val="24"/>
        </w:rPr>
        <w:t>This</w:t>
      </w:r>
      <w:r w:rsidR="00035DDD">
        <w:rPr>
          <w:szCs w:val="24"/>
        </w:rPr>
        <w:t xml:space="preserve"> ICR incorporates</w:t>
      </w:r>
      <w:r w:rsidR="00C8594F">
        <w:rPr>
          <w:szCs w:val="24"/>
        </w:rPr>
        <w:t xml:space="preserve"> the </w:t>
      </w:r>
      <w:r w:rsidR="00C8594F">
        <w:rPr>
          <w:szCs w:val="24"/>
        </w:rPr>
        <w:lastRenderedPageBreak/>
        <w:t>burden and costs associated</w:t>
      </w:r>
      <w:r w:rsidR="00035DDD">
        <w:rPr>
          <w:szCs w:val="24"/>
        </w:rPr>
        <w:t xml:space="preserve"> with </w:t>
      </w:r>
      <w:r w:rsidR="00126EAF">
        <w:rPr>
          <w:szCs w:val="24"/>
        </w:rPr>
        <w:t xml:space="preserve">ongoing </w:t>
      </w:r>
      <w:r w:rsidR="00035DDD">
        <w:rPr>
          <w:szCs w:val="24"/>
        </w:rPr>
        <w:t xml:space="preserve">monitoring at </w:t>
      </w:r>
      <w:r w:rsidR="009C0229">
        <w:rPr>
          <w:szCs w:val="24"/>
        </w:rPr>
        <w:t xml:space="preserve">non-ARP </w:t>
      </w:r>
      <w:r w:rsidR="00035DDD">
        <w:rPr>
          <w:szCs w:val="24"/>
        </w:rPr>
        <w:t>units</w:t>
      </w:r>
      <w:r w:rsidR="009C0229">
        <w:rPr>
          <w:szCs w:val="24"/>
        </w:rPr>
        <w:t xml:space="preserve"> in these states</w:t>
      </w:r>
      <w:r w:rsidR="00035DDD">
        <w:rPr>
          <w:szCs w:val="24"/>
        </w:rPr>
        <w:t xml:space="preserve">, including annualized capital costs </w:t>
      </w:r>
      <w:r w:rsidR="00126EAF">
        <w:rPr>
          <w:szCs w:val="24"/>
        </w:rPr>
        <w:t xml:space="preserve">incurred under CAIR </w:t>
      </w:r>
      <w:r w:rsidR="00035DDD">
        <w:rPr>
          <w:szCs w:val="24"/>
        </w:rPr>
        <w:t>that would continue to be born</w:t>
      </w:r>
      <w:r w:rsidR="00126EAF">
        <w:rPr>
          <w:szCs w:val="24"/>
        </w:rPr>
        <w:t>e</w:t>
      </w:r>
      <w:r w:rsidR="00035DDD">
        <w:rPr>
          <w:szCs w:val="24"/>
        </w:rPr>
        <w:t xml:space="preserve"> under the </w:t>
      </w:r>
      <w:r w:rsidR="00F22C99">
        <w:rPr>
          <w:szCs w:val="24"/>
        </w:rPr>
        <w:t>TR</w:t>
      </w:r>
      <w:r w:rsidR="00035DDD">
        <w:rPr>
          <w:szCs w:val="24"/>
        </w:rPr>
        <w:t>.</w:t>
      </w:r>
    </w:p>
    <w:p w:rsidR="00F8101D" w:rsidRDefault="00F8101D" w:rsidP="00217148">
      <w:pPr>
        <w:autoSpaceDE w:val="0"/>
        <w:autoSpaceDN w:val="0"/>
        <w:adjustRightInd w:val="0"/>
        <w:ind w:firstLine="720"/>
        <w:rPr>
          <w:szCs w:val="24"/>
        </w:rPr>
      </w:pPr>
    </w:p>
    <w:p w:rsidR="009C0229" w:rsidRDefault="00111CE9" w:rsidP="009C0229">
      <w:pPr>
        <w:autoSpaceDE w:val="0"/>
        <w:autoSpaceDN w:val="0"/>
        <w:adjustRightInd w:val="0"/>
        <w:ind w:firstLine="720"/>
        <w:rPr>
          <w:szCs w:val="24"/>
        </w:rPr>
      </w:pPr>
      <w:r>
        <w:rPr>
          <w:szCs w:val="24"/>
        </w:rPr>
        <w:t>Existing u</w:t>
      </w:r>
      <w:r w:rsidR="009C0229">
        <w:rPr>
          <w:szCs w:val="24"/>
        </w:rPr>
        <w:t xml:space="preserve">nits in states covered by CAIR but whose TR program coverage </w:t>
      </w:r>
      <w:r w:rsidR="00105DD9">
        <w:rPr>
          <w:szCs w:val="24"/>
        </w:rPr>
        <w:t xml:space="preserve">differs from </w:t>
      </w:r>
      <w:r w:rsidR="009C0229">
        <w:rPr>
          <w:szCs w:val="24"/>
        </w:rPr>
        <w:t xml:space="preserve">their CAIR program coverage – i.e., Georgia and Texas, </w:t>
      </w:r>
      <w:r w:rsidR="00CC0E23">
        <w:rPr>
          <w:szCs w:val="24"/>
        </w:rPr>
        <w:t>which are</w:t>
      </w:r>
      <w:r w:rsidR="009C0229">
        <w:rPr>
          <w:szCs w:val="24"/>
        </w:rPr>
        <w:t xml:space="preserve"> </w:t>
      </w:r>
      <w:r w:rsidR="00105DD9">
        <w:rPr>
          <w:szCs w:val="24"/>
        </w:rPr>
        <w:t>covered by</w:t>
      </w:r>
      <w:r w:rsidR="009C0229">
        <w:rPr>
          <w:szCs w:val="24"/>
        </w:rPr>
        <w:t xml:space="preserve"> only the CAIR annual program</w:t>
      </w:r>
      <w:r w:rsidR="00105DD9">
        <w:rPr>
          <w:szCs w:val="24"/>
        </w:rPr>
        <w:t>s</w:t>
      </w:r>
      <w:r w:rsidR="009C0229">
        <w:rPr>
          <w:szCs w:val="24"/>
        </w:rPr>
        <w:t xml:space="preserve"> but </w:t>
      </w:r>
      <w:r w:rsidR="00CC0E23">
        <w:rPr>
          <w:szCs w:val="24"/>
        </w:rPr>
        <w:t xml:space="preserve">are </w:t>
      </w:r>
      <w:r w:rsidR="00105DD9">
        <w:rPr>
          <w:szCs w:val="24"/>
        </w:rPr>
        <w:t>covered by</w:t>
      </w:r>
      <w:r w:rsidR="009C0229">
        <w:rPr>
          <w:szCs w:val="24"/>
        </w:rPr>
        <w:t xml:space="preserve"> both the TR annual and ozone-season programs</w:t>
      </w:r>
      <w:r w:rsidR="009704F3">
        <w:rPr>
          <w:szCs w:val="24"/>
        </w:rPr>
        <w:t xml:space="preserve">, and Florida, Louisiana, and Mississippi, </w:t>
      </w:r>
      <w:r w:rsidR="00CC0E23">
        <w:rPr>
          <w:szCs w:val="24"/>
        </w:rPr>
        <w:t>which are</w:t>
      </w:r>
      <w:r w:rsidR="009704F3">
        <w:rPr>
          <w:szCs w:val="24"/>
        </w:rPr>
        <w:t xml:space="preserve"> </w:t>
      </w:r>
      <w:r w:rsidR="00105DD9">
        <w:rPr>
          <w:szCs w:val="24"/>
        </w:rPr>
        <w:t>covered by</w:t>
      </w:r>
      <w:r w:rsidR="009704F3">
        <w:rPr>
          <w:szCs w:val="24"/>
        </w:rPr>
        <w:t xml:space="preserve"> both the CAIR annual and ozone-season programs but </w:t>
      </w:r>
      <w:r w:rsidR="00CC0E23">
        <w:rPr>
          <w:szCs w:val="24"/>
        </w:rPr>
        <w:t xml:space="preserve">are </w:t>
      </w:r>
      <w:r w:rsidR="00105DD9">
        <w:rPr>
          <w:szCs w:val="24"/>
        </w:rPr>
        <w:t>covered by</w:t>
      </w:r>
      <w:r w:rsidR="009704F3">
        <w:rPr>
          <w:szCs w:val="24"/>
        </w:rPr>
        <w:t xml:space="preserve"> only the TR ozone-season program</w:t>
      </w:r>
      <w:r w:rsidR="009C0229">
        <w:rPr>
          <w:szCs w:val="24"/>
        </w:rPr>
        <w:t xml:space="preserve"> – will also have a very small incremental burden</w:t>
      </w:r>
      <w:r w:rsidR="009C0229" w:rsidRPr="008574F9">
        <w:rPr>
          <w:szCs w:val="24"/>
        </w:rPr>
        <w:t xml:space="preserve"> with regard to monitoring and reporting.  </w:t>
      </w:r>
      <w:r w:rsidR="009C0229">
        <w:rPr>
          <w:szCs w:val="24"/>
        </w:rPr>
        <w:t xml:space="preserve">These </w:t>
      </w:r>
      <w:r w:rsidR="009C0229" w:rsidRPr="008574F9">
        <w:rPr>
          <w:szCs w:val="24"/>
        </w:rPr>
        <w:t xml:space="preserve">units </w:t>
      </w:r>
      <w:r w:rsidRPr="008574F9">
        <w:rPr>
          <w:szCs w:val="24"/>
        </w:rPr>
        <w:t xml:space="preserve">are already monitoring and reporting both </w:t>
      </w:r>
      <w:r>
        <w:rPr>
          <w:szCs w:val="24"/>
        </w:rPr>
        <w:t>NO</w:t>
      </w:r>
      <w:r w:rsidRPr="00CF1B63">
        <w:rPr>
          <w:szCs w:val="24"/>
          <w:vertAlign w:val="subscript"/>
        </w:rPr>
        <w:t>X</w:t>
      </w:r>
      <w:r w:rsidRPr="008574F9">
        <w:rPr>
          <w:szCs w:val="24"/>
        </w:rPr>
        <w:t xml:space="preserve"> </w:t>
      </w:r>
      <w:r>
        <w:rPr>
          <w:szCs w:val="24"/>
        </w:rPr>
        <w:t xml:space="preserve">and </w:t>
      </w:r>
      <w:r w:rsidRPr="008574F9">
        <w:rPr>
          <w:szCs w:val="24"/>
        </w:rPr>
        <w:t>SO</w:t>
      </w:r>
      <w:r w:rsidRPr="00E975AC">
        <w:rPr>
          <w:szCs w:val="24"/>
          <w:vertAlign w:val="subscript"/>
        </w:rPr>
        <w:t>2</w:t>
      </w:r>
      <w:r>
        <w:rPr>
          <w:szCs w:val="24"/>
        </w:rPr>
        <w:t xml:space="preserve"> </w:t>
      </w:r>
      <w:r w:rsidR="00997F9C">
        <w:rPr>
          <w:szCs w:val="24"/>
        </w:rPr>
        <w:t xml:space="preserve">mass </w:t>
      </w:r>
      <w:r w:rsidRPr="008574F9">
        <w:rPr>
          <w:szCs w:val="24"/>
        </w:rPr>
        <w:t>emissions on a year</w:t>
      </w:r>
      <w:r>
        <w:rPr>
          <w:szCs w:val="24"/>
        </w:rPr>
        <w:t>-</w:t>
      </w:r>
      <w:r w:rsidRPr="008574F9">
        <w:rPr>
          <w:szCs w:val="24"/>
        </w:rPr>
        <w:t xml:space="preserve">round basis </w:t>
      </w:r>
      <w:r>
        <w:rPr>
          <w:szCs w:val="24"/>
        </w:rPr>
        <w:t xml:space="preserve">and </w:t>
      </w:r>
      <w:r w:rsidR="009704F3" w:rsidRPr="008574F9">
        <w:rPr>
          <w:szCs w:val="24"/>
        </w:rPr>
        <w:t xml:space="preserve">have already installed and are operating CEMS (or </w:t>
      </w:r>
      <w:r w:rsidR="00791386">
        <w:rPr>
          <w:szCs w:val="24"/>
        </w:rPr>
        <w:t xml:space="preserve">an </w:t>
      </w:r>
      <w:r w:rsidR="009704F3" w:rsidRPr="008574F9">
        <w:rPr>
          <w:szCs w:val="24"/>
        </w:rPr>
        <w:t xml:space="preserve">approved alternative) and meet </w:t>
      </w:r>
      <w:r w:rsidR="009704F3">
        <w:rPr>
          <w:szCs w:val="24"/>
        </w:rPr>
        <w:t>40 CFR part 75</w:t>
      </w:r>
      <w:r w:rsidR="009704F3" w:rsidRPr="008574F9">
        <w:rPr>
          <w:szCs w:val="24"/>
        </w:rPr>
        <w:t xml:space="preserve"> requirements for both </w:t>
      </w:r>
      <w:r w:rsidR="009704F3">
        <w:rPr>
          <w:szCs w:val="24"/>
        </w:rPr>
        <w:t>NO</w:t>
      </w:r>
      <w:r w:rsidR="009704F3" w:rsidRPr="00CF1B63">
        <w:rPr>
          <w:szCs w:val="24"/>
          <w:vertAlign w:val="subscript"/>
        </w:rPr>
        <w:t>X</w:t>
      </w:r>
      <w:r w:rsidR="009704F3" w:rsidRPr="008574F9">
        <w:rPr>
          <w:szCs w:val="24"/>
        </w:rPr>
        <w:t xml:space="preserve"> </w:t>
      </w:r>
      <w:r w:rsidR="009704F3">
        <w:rPr>
          <w:szCs w:val="24"/>
        </w:rPr>
        <w:t xml:space="preserve">and </w:t>
      </w:r>
      <w:r w:rsidR="009704F3" w:rsidRPr="008574F9">
        <w:rPr>
          <w:szCs w:val="24"/>
        </w:rPr>
        <w:t>SO</w:t>
      </w:r>
      <w:r w:rsidR="009704F3" w:rsidRPr="00E975AC">
        <w:rPr>
          <w:szCs w:val="24"/>
          <w:vertAlign w:val="subscript"/>
        </w:rPr>
        <w:t>2</w:t>
      </w:r>
      <w:r>
        <w:rPr>
          <w:szCs w:val="24"/>
        </w:rPr>
        <w:t xml:space="preserve">.  Their only </w:t>
      </w:r>
      <w:r w:rsidR="009C0229" w:rsidRPr="008574F9">
        <w:rPr>
          <w:szCs w:val="24"/>
        </w:rPr>
        <w:t xml:space="preserve">additional burden </w:t>
      </w:r>
      <w:r>
        <w:rPr>
          <w:szCs w:val="24"/>
        </w:rPr>
        <w:t xml:space="preserve">resulting from </w:t>
      </w:r>
      <w:r w:rsidR="009C0229" w:rsidRPr="008574F9">
        <w:rPr>
          <w:szCs w:val="24"/>
        </w:rPr>
        <w:t xml:space="preserve">the </w:t>
      </w:r>
      <w:r w:rsidR="009C0229">
        <w:rPr>
          <w:szCs w:val="24"/>
        </w:rPr>
        <w:t>TR</w:t>
      </w:r>
      <w:r>
        <w:rPr>
          <w:szCs w:val="24"/>
        </w:rPr>
        <w:t xml:space="preserve"> will consist of </w:t>
      </w:r>
      <w:r w:rsidR="00646EA5">
        <w:rPr>
          <w:szCs w:val="24"/>
        </w:rPr>
        <w:t xml:space="preserve">minor </w:t>
      </w:r>
      <w:r>
        <w:rPr>
          <w:szCs w:val="24"/>
        </w:rPr>
        <w:t xml:space="preserve">one-time DAHS software </w:t>
      </w:r>
      <w:r w:rsidR="00646EA5">
        <w:rPr>
          <w:szCs w:val="24"/>
        </w:rPr>
        <w:t xml:space="preserve">upgrades </w:t>
      </w:r>
      <w:r>
        <w:rPr>
          <w:szCs w:val="24"/>
        </w:rPr>
        <w:t xml:space="preserve">to change </w:t>
      </w:r>
      <w:r w:rsidR="00997F9C">
        <w:rPr>
          <w:szCs w:val="24"/>
        </w:rPr>
        <w:t>what</w:t>
      </w:r>
      <w:r>
        <w:rPr>
          <w:szCs w:val="24"/>
        </w:rPr>
        <w:t xml:space="preserve"> information that is already being monitored and recorded </w:t>
      </w:r>
      <w:r w:rsidR="00997F9C">
        <w:rPr>
          <w:szCs w:val="24"/>
        </w:rPr>
        <w:t>will be</w:t>
      </w:r>
      <w:r>
        <w:rPr>
          <w:szCs w:val="24"/>
        </w:rPr>
        <w:t xml:space="preserve"> reported to EPA.</w:t>
      </w:r>
      <w:r w:rsidR="009C0229" w:rsidRPr="008574F9">
        <w:rPr>
          <w:szCs w:val="24"/>
        </w:rPr>
        <w:t xml:space="preserve">  </w:t>
      </w:r>
      <w:r w:rsidR="00634498">
        <w:rPr>
          <w:szCs w:val="24"/>
        </w:rPr>
        <w:t>For</w:t>
      </w:r>
      <w:r w:rsidR="009C0229">
        <w:rPr>
          <w:szCs w:val="24"/>
        </w:rPr>
        <w:t xml:space="preserve"> ARP-affected units in these states, the burden and costs associated with the required </w:t>
      </w:r>
      <w:r>
        <w:rPr>
          <w:szCs w:val="24"/>
        </w:rPr>
        <w:t xml:space="preserve">ongoing </w:t>
      </w:r>
      <w:r w:rsidR="009C0229">
        <w:rPr>
          <w:szCs w:val="24"/>
        </w:rPr>
        <w:t xml:space="preserve">monitoring are accounted for in the ARP ICR. </w:t>
      </w:r>
      <w:r>
        <w:rPr>
          <w:szCs w:val="24"/>
        </w:rPr>
        <w:t xml:space="preserve"> </w:t>
      </w:r>
      <w:r w:rsidR="00634498">
        <w:rPr>
          <w:szCs w:val="24"/>
        </w:rPr>
        <w:t>This</w:t>
      </w:r>
      <w:r w:rsidR="009C0229">
        <w:rPr>
          <w:szCs w:val="24"/>
        </w:rPr>
        <w:t xml:space="preserve"> ICR incorporates the burden and costs associated with </w:t>
      </w:r>
      <w:r w:rsidR="00126EAF">
        <w:rPr>
          <w:szCs w:val="24"/>
        </w:rPr>
        <w:t xml:space="preserve">ongoing </w:t>
      </w:r>
      <w:r w:rsidR="009C0229">
        <w:rPr>
          <w:szCs w:val="24"/>
        </w:rPr>
        <w:t xml:space="preserve">monitoring at non-ARP units in these states, including annualized capital costs </w:t>
      </w:r>
      <w:r w:rsidR="00126EAF">
        <w:rPr>
          <w:szCs w:val="24"/>
        </w:rPr>
        <w:t xml:space="preserve">incurred under CAIR </w:t>
      </w:r>
      <w:r w:rsidR="009C0229">
        <w:rPr>
          <w:szCs w:val="24"/>
        </w:rPr>
        <w:t>that would continue to be born</w:t>
      </w:r>
      <w:r w:rsidR="00126EAF">
        <w:rPr>
          <w:szCs w:val="24"/>
        </w:rPr>
        <w:t>e</w:t>
      </w:r>
      <w:r w:rsidR="009C0229">
        <w:rPr>
          <w:szCs w:val="24"/>
        </w:rPr>
        <w:t xml:space="preserve"> under the TR.</w:t>
      </w:r>
      <w:r w:rsidR="009704F3">
        <w:rPr>
          <w:szCs w:val="24"/>
        </w:rPr>
        <w:t xml:space="preserve">  </w:t>
      </w:r>
    </w:p>
    <w:p w:rsidR="009C0229" w:rsidRDefault="009C0229" w:rsidP="00217148">
      <w:pPr>
        <w:autoSpaceDE w:val="0"/>
        <w:autoSpaceDN w:val="0"/>
        <w:adjustRightInd w:val="0"/>
        <w:ind w:firstLine="720"/>
        <w:rPr>
          <w:szCs w:val="24"/>
        </w:rPr>
      </w:pPr>
    </w:p>
    <w:p w:rsidR="0001414A" w:rsidRDefault="00111CE9" w:rsidP="00217148">
      <w:pPr>
        <w:autoSpaceDE w:val="0"/>
        <w:autoSpaceDN w:val="0"/>
        <w:adjustRightInd w:val="0"/>
        <w:ind w:firstLine="720"/>
        <w:rPr>
          <w:szCs w:val="24"/>
        </w:rPr>
      </w:pPr>
      <w:r>
        <w:rPr>
          <w:szCs w:val="24"/>
        </w:rPr>
        <w:t>In states covered by the TR but not covered by CAIR</w:t>
      </w:r>
      <w:r w:rsidR="00646EA5">
        <w:rPr>
          <w:szCs w:val="24"/>
        </w:rPr>
        <w:t xml:space="preserve"> – i.e., Kansas, Minnesota, and Nebraska, which are covered by the TR annual programs, and Oklahoma, which is covered by the TR ozone-season program – </w:t>
      </w:r>
      <w:r w:rsidR="00105DD9">
        <w:rPr>
          <w:szCs w:val="24"/>
        </w:rPr>
        <w:t xml:space="preserve">the </w:t>
      </w:r>
      <w:r w:rsidR="00126EAF">
        <w:rPr>
          <w:szCs w:val="24"/>
        </w:rPr>
        <w:t xml:space="preserve">TR will result in very minor incremental </w:t>
      </w:r>
      <w:r w:rsidR="00646EA5">
        <w:rPr>
          <w:szCs w:val="24"/>
        </w:rPr>
        <w:t xml:space="preserve">burdens </w:t>
      </w:r>
      <w:r w:rsidR="00126EAF">
        <w:rPr>
          <w:szCs w:val="24"/>
        </w:rPr>
        <w:t xml:space="preserve">for </w:t>
      </w:r>
      <w:r>
        <w:rPr>
          <w:szCs w:val="24"/>
        </w:rPr>
        <w:t xml:space="preserve">ARP-affected </w:t>
      </w:r>
      <w:r w:rsidR="00126EAF">
        <w:rPr>
          <w:szCs w:val="24"/>
        </w:rPr>
        <w:t xml:space="preserve">units, but more substantial burdens for </w:t>
      </w:r>
      <w:r>
        <w:rPr>
          <w:szCs w:val="24"/>
        </w:rPr>
        <w:t xml:space="preserve">non-ARP units.  </w:t>
      </w:r>
      <w:r w:rsidR="00646EA5">
        <w:rPr>
          <w:szCs w:val="24"/>
        </w:rPr>
        <w:t xml:space="preserve">ARP-affected units in these states </w:t>
      </w:r>
      <w:r w:rsidR="000C02E9" w:rsidRPr="008574F9">
        <w:rPr>
          <w:szCs w:val="24"/>
        </w:rPr>
        <w:t>are already monitoring and reporting SO</w:t>
      </w:r>
      <w:r w:rsidR="000C02E9" w:rsidRPr="00E975AC">
        <w:rPr>
          <w:szCs w:val="24"/>
          <w:vertAlign w:val="subscript"/>
        </w:rPr>
        <w:t>2</w:t>
      </w:r>
      <w:r w:rsidR="000C02E9" w:rsidRPr="008574F9">
        <w:rPr>
          <w:szCs w:val="24"/>
        </w:rPr>
        <w:t xml:space="preserve"> </w:t>
      </w:r>
      <w:r w:rsidR="00997F9C">
        <w:rPr>
          <w:szCs w:val="24"/>
        </w:rPr>
        <w:t xml:space="preserve">mass </w:t>
      </w:r>
      <w:r w:rsidR="000C02E9" w:rsidRPr="008574F9">
        <w:rPr>
          <w:szCs w:val="24"/>
        </w:rPr>
        <w:t xml:space="preserve">emissions and </w:t>
      </w:r>
      <w:r w:rsidR="007B40DE" w:rsidRPr="007B40DE">
        <w:rPr>
          <w:szCs w:val="24"/>
        </w:rPr>
        <w:t>NO</w:t>
      </w:r>
      <w:r w:rsidR="00B02F83">
        <w:rPr>
          <w:szCs w:val="24"/>
          <w:vertAlign w:val="subscript"/>
        </w:rPr>
        <w:t>X</w:t>
      </w:r>
      <w:r w:rsidR="000C02E9" w:rsidRPr="008574F9">
        <w:rPr>
          <w:szCs w:val="24"/>
        </w:rPr>
        <w:t xml:space="preserve"> </w:t>
      </w:r>
      <w:r w:rsidR="00646EA5">
        <w:rPr>
          <w:szCs w:val="24"/>
        </w:rPr>
        <w:t xml:space="preserve">emission </w:t>
      </w:r>
      <w:r w:rsidR="000C02E9" w:rsidRPr="008574F9">
        <w:rPr>
          <w:szCs w:val="24"/>
        </w:rPr>
        <w:t>rates on a</w:t>
      </w:r>
      <w:r w:rsidR="00217148" w:rsidRPr="008574F9">
        <w:rPr>
          <w:szCs w:val="24"/>
        </w:rPr>
        <w:t xml:space="preserve"> </w:t>
      </w:r>
      <w:r w:rsidR="000C02E9" w:rsidRPr="008574F9">
        <w:rPr>
          <w:szCs w:val="24"/>
        </w:rPr>
        <w:t xml:space="preserve">year round basis and in accordance with </w:t>
      </w:r>
      <w:r w:rsidR="00D56CFE">
        <w:rPr>
          <w:szCs w:val="24"/>
        </w:rPr>
        <w:t>40 CFR part 75</w:t>
      </w:r>
      <w:r w:rsidR="003972B1" w:rsidRPr="008574F9">
        <w:rPr>
          <w:szCs w:val="24"/>
        </w:rPr>
        <w:t xml:space="preserve">.  </w:t>
      </w:r>
      <w:r w:rsidR="00646EA5">
        <w:rPr>
          <w:szCs w:val="24"/>
        </w:rPr>
        <w:t>Monitoring of SO</w:t>
      </w:r>
      <w:r w:rsidR="00646EA5" w:rsidRPr="00E1110C">
        <w:rPr>
          <w:szCs w:val="24"/>
          <w:vertAlign w:val="subscript"/>
        </w:rPr>
        <w:t>2</w:t>
      </w:r>
      <w:r w:rsidR="00646EA5">
        <w:rPr>
          <w:szCs w:val="24"/>
        </w:rPr>
        <w:t xml:space="preserve"> mass emissions </w:t>
      </w:r>
      <w:r w:rsidR="000C02E9" w:rsidRPr="008574F9">
        <w:rPr>
          <w:szCs w:val="24"/>
        </w:rPr>
        <w:t>requires heat input</w:t>
      </w:r>
      <w:r w:rsidR="00217148" w:rsidRPr="008574F9">
        <w:rPr>
          <w:szCs w:val="24"/>
        </w:rPr>
        <w:t xml:space="preserve"> </w:t>
      </w:r>
      <w:r w:rsidR="000C02E9" w:rsidRPr="008574F9">
        <w:rPr>
          <w:szCs w:val="24"/>
        </w:rPr>
        <w:t xml:space="preserve">measurement that can be used with the </w:t>
      </w:r>
      <w:r w:rsidR="007B40DE" w:rsidRPr="007B40DE">
        <w:rPr>
          <w:szCs w:val="24"/>
        </w:rPr>
        <w:t>NO</w:t>
      </w:r>
      <w:r w:rsidR="00B02F83">
        <w:rPr>
          <w:szCs w:val="24"/>
          <w:vertAlign w:val="subscript"/>
        </w:rPr>
        <w:t>X</w:t>
      </w:r>
      <w:r w:rsidR="000C02E9" w:rsidRPr="008574F9">
        <w:rPr>
          <w:szCs w:val="24"/>
        </w:rPr>
        <w:t xml:space="preserve"> emission rate information to calculate </w:t>
      </w:r>
      <w:r w:rsidR="007B40DE" w:rsidRPr="007B40DE">
        <w:rPr>
          <w:szCs w:val="24"/>
        </w:rPr>
        <w:t>NO</w:t>
      </w:r>
      <w:r w:rsidR="007D0F5C">
        <w:rPr>
          <w:szCs w:val="24"/>
          <w:vertAlign w:val="subscript"/>
        </w:rPr>
        <w:t>X</w:t>
      </w:r>
      <w:r w:rsidR="000C02E9" w:rsidRPr="008574F9">
        <w:rPr>
          <w:szCs w:val="24"/>
        </w:rPr>
        <w:t xml:space="preserve"> mass</w:t>
      </w:r>
      <w:r w:rsidR="00217148" w:rsidRPr="008574F9">
        <w:rPr>
          <w:szCs w:val="24"/>
        </w:rPr>
        <w:t xml:space="preserve"> </w:t>
      </w:r>
      <w:r w:rsidR="000C02E9" w:rsidRPr="008574F9">
        <w:rPr>
          <w:szCs w:val="24"/>
        </w:rPr>
        <w:t>emissions</w:t>
      </w:r>
      <w:r w:rsidR="003972B1" w:rsidRPr="008574F9">
        <w:rPr>
          <w:szCs w:val="24"/>
        </w:rPr>
        <w:t xml:space="preserve">.  </w:t>
      </w:r>
      <w:r w:rsidR="000C02E9" w:rsidRPr="008574F9">
        <w:rPr>
          <w:szCs w:val="24"/>
        </w:rPr>
        <w:t xml:space="preserve">Therefore, these sources would need to make minor </w:t>
      </w:r>
      <w:r w:rsidR="00646EA5">
        <w:rPr>
          <w:szCs w:val="24"/>
        </w:rPr>
        <w:t xml:space="preserve">one-time DAHS software upgrades </w:t>
      </w:r>
      <w:r w:rsidR="000C02E9" w:rsidRPr="008574F9">
        <w:rPr>
          <w:szCs w:val="24"/>
        </w:rPr>
        <w:t xml:space="preserve">in order to </w:t>
      </w:r>
      <w:r w:rsidR="00126EAF">
        <w:rPr>
          <w:szCs w:val="24"/>
        </w:rPr>
        <w:t xml:space="preserve">compute and </w:t>
      </w:r>
      <w:r w:rsidR="000C02E9" w:rsidRPr="008574F9">
        <w:rPr>
          <w:szCs w:val="24"/>
        </w:rPr>
        <w:t xml:space="preserve">report </w:t>
      </w:r>
      <w:r w:rsidR="007B40DE" w:rsidRPr="007B40DE">
        <w:rPr>
          <w:szCs w:val="24"/>
        </w:rPr>
        <w:t>NO</w:t>
      </w:r>
      <w:r w:rsidR="007D0F5C">
        <w:rPr>
          <w:szCs w:val="24"/>
          <w:vertAlign w:val="subscript"/>
        </w:rPr>
        <w:t>X</w:t>
      </w:r>
      <w:r w:rsidR="000C02E9" w:rsidRPr="008574F9">
        <w:rPr>
          <w:szCs w:val="24"/>
        </w:rPr>
        <w:t xml:space="preserve"> mass emissions </w:t>
      </w:r>
      <w:r w:rsidR="00BD3130">
        <w:rPr>
          <w:szCs w:val="24"/>
        </w:rPr>
        <w:t>under the TR</w:t>
      </w:r>
      <w:r w:rsidR="000C02E9" w:rsidRPr="008574F9">
        <w:rPr>
          <w:szCs w:val="24"/>
        </w:rPr>
        <w:t xml:space="preserve">, </w:t>
      </w:r>
      <w:r w:rsidR="00646EA5">
        <w:rPr>
          <w:szCs w:val="24"/>
        </w:rPr>
        <w:t xml:space="preserve">either on an annual or ozone-season basis as appropriate, </w:t>
      </w:r>
      <w:r w:rsidR="000C02E9" w:rsidRPr="008574F9">
        <w:rPr>
          <w:szCs w:val="24"/>
        </w:rPr>
        <w:t>but would not likely need to</w:t>
      </w:r>
      <w:r w:rsidR="00217148" w:rsidRPr="008574F9">
        <w:rPr>
          <w:szCs w:val="24"/>
        </w:rPr>
        <w:t xml:space="preserve"> </w:t>
      </w:r>
      <w:r w:rsidR="000C02E9" w:rsidRPr="008574F9">
        <w:rPr>
          <w:szCs w:val="24"/>
        </w:rPr>
        <w:t>purchase additional monitoring equipment</w:t>
      </w:r>
      <w:r w:rsidR="003972B1" w:rsidRPr="008574F9">
        <w:rPr>
          <w:szCs w:val="24"/>
        </w:rPr>
        <w:t xml:space="preserve">.  </w:t>
      </w:r>
      <w:r w:rsidR="0001414A">
        <w:rPr>
          <w:szCs w:val="24"/>
        </w:rPr>
        <w:t xml:space="preserve">The burden and costs associated with the required ongoing monitoring for these ARP-affected units are accounted for in the ARP ICR.  </w:t>
      </w:r>
    </w:p>
    <w:p w:rsidR="00126EAF" w:rsidRDefault="00126EAF" w:rsidP="00217148">
      <w:pPr>
        <w:autoSpaceDE w:val="0"/>
        <w:autoSpaceDN w:val="0"/>
        <w:adjustRightInd w:val="0"/>
        <w:ind w:firstLine="720"/>
        <w:rPr>
          <w:szCs w:val="24"/>
        </w:rPr>
      </w:pPr>
    </w:p>
    <w:p w:rsidR="000C02E9" w:rsidRPr="008574F9" w:rsidRDefault="0001414A" w:rsidP="00217148">
      <w:pPr>
        <w:autoSpaceDE w:val="0"/>
        <w:autoSpaceDN w:val="0"/>
        <w:adjustRightInd w:val="0"/>
        <w:ind w:firstLine="720"/>
        <w:rPr>
          <w:szCs w:val="24"/>
        </w:rPr>
      </w:pPr>
      <w:r>
        <w:rPr>
          <w:szCs w:val="24"/>
        </w:rPr>
        <w:t>The non-ARP-affected existing units</w:t>
      </w:r>
      <w:r w:rsidRPr="008574F9">
        <w:rPr>
          <w:szCs w:val="24"/>
        </w:rPr>
        <w:t xml:space="preserve"> in </w:t>
      </w:r>
      <w:r>
        <w:rPr>
          <w:szCs w:val="24"/>
        </w:rPr>
        <w:t>states covered by the TR but not covered by CAIR were not previously required to monitor under</w:t>
      </w:r>
      <w:r w:rsidRPr="008574F9">
        <w:rPr>
          <w:szCs w:val="24"/>
        </w:rPr>
        <w:t xml:space="preserve"> </w:t>
      </w:r>
      <w:r>
        <w:rPr>
          <w:szCs w:val="24"/>
        </w:rPr>
        <w:t>40 CFR part 75 under either the ARP or CAIR (</w:t>
      </w:r>
      <w:r w:rsidR="00126EAF">
        <w:rPr>
          <w:szCs w:val="24"/>
        </w:rPr>
        <w:t>or the NO</w:t>
      </w:r>
      <w:r w:rsidR="00126EAF" w:rsidRPr="00126EAF">
        <w:rPr>
          <w:szCs w:val="24"/>
          <w:vertAlign w:val="subscript"/>
        </w:rPr>
        <w:t>X</w:t>
      </w:r>
      <w:r w:rsidR="00126EAF">
        <w:rPr>
          <w:szCs w:val="24"/>
        </w:rPr>
        <w:t xml:space="preserve"> SIP Call), </w:t>
      </w:r>
      <w:r>
        <w:rPr>
          <w:szCs w:val="24"/>
        </w:rPr>
        <w:t xml:space="preserve">although some units may have had similar monitoring requirements under other regulatory programs.  Under the TR, these units will be required to </w:t>
      </w:r>
      <w:r w:rsidRPr="008574F9">
        <w:rPr>
          <w:szCs w:val="24"/>
        </w:rPr>
        <w:t xml:space="preserve">monitor and report both </w:t>
      </w:r>
      <w:r>
        <w:rPr>
          <w:szCs w:val="24"/>
        </w:rPr>
        <w:t>NO</w:t>
      </w:r>
      <w:r w:rsidRPr="00CF1B63">
        <w:rPr>
          <w:szCs w:val="24"/>
          <w:vertAlign w:val="subscript"/>
        </w:rPr>
        <w:t>X</w:t>
      </w:r>
      <w:r w:rsidRPr="008574F9">
        <w:rPr>
          <w:szCs w:val="24"/>
        </w:rPr>
        <w:t xml:space="preserve"> </w:t>
      </w:r>
      <w:r>
        <w:rPr>
          <w:szCs w:val="24"/>
        </w:rPr>
        <w:t xml:space="preserve">and </w:t>
      </w:r>
      <w:r w:rsidRPr="008574F9">
        <w:rPr>
          <w:szCs w:val="24"/>
        </w:rPr>
        <w:t>SO</w:t>
      </w:r>
      <w:r w:rsidRPr="00E975AC">
        <w:rPr>
          <w:szCs w:val="24"/>
          <w:vertAlign w:val="subscript"/>
        </w:rPr>
        <w:t>2</w:t>
      </w:r>
      <w:r>
        <w:rPr>
          <w:szCs w:val="24"/>
        </w:rPr>
        <w:t xml:space="preserve"> </w:t>
      </w:r>
      <w:r w:rsidR="00997F9C">
        <w:rPr>
          <w:szCs w:val="24"/>
        </w:rPr>
        <w:t xml:space="preserve">mass </w:t>
      </w:r>
      <w:r w:rsidRPr="008574F9">
        <w:rPr>
          <w:szCs w:val="24"/>
        </w:rPr>
        <w:t>emissions on a year</w:t>
      </w:r>
      <w:r>
        <w:rPr>
          <w:szCs w:val="24"/>
        </w:rPr>
        <w:t>-</w:t>
      </w:r>
      <w:r w:rsidRPr="008574F9">
        <w:rPr>
          <w:szCs w:val="24"/>
        </w:rPr>
        <w:t>round basis</w:t>
      </w:r>
      <w:r>
        <w:rPr>
          <w:szCs w:val="24"/>
        </w:rPr>
        <w:t>, in the case of Kansas, Minnesota, and Nebraska, or to monitor and report NO</w:t>
      </w:r>
      <w:r w:rsidRPr="00126EAF">
        <w:rPr>
          <w:szCs w:val="24"/>
          <w:vertAlign w:val="subscript"/>
        </w:rPr>
        <w:t>X</w:t>
      </w:r>
      <w:r>
        <w:rPr>
          <w:szCs w:val="24"/>
        </w:rPr>
        <w:t xml:space="preserve"> </w:t>
      </w:r>
      <w:r w:rsidR="00997F9C">
        <w:rPr>
          <w:szCs w:val="24"/>
        </w:rPr>
        <w:t xml:space="preserve">mass </w:t>
      </w:r>
      <w:r>
        <w:rPr>
          <w:szCs w:val="24"/>
        </w:rPr>
        <w:t>emissions on an ozone-season basis, in the case of Oklahoma.  The units will have to install</w:t>
      </w:r>
      <w:r w:rsidRPr="008574F9">
        <w:rPr>
          <w:szCs w:val="24"/>
        </w:rPr>
        <w:t xml:space="preserve"> and operat</w:t>
      </w:r>
      <w:r>
        <w:rPr>
          <w:szCs w:val="24"/>
        </w:rPr>
        <w:t>e</w:t>
      </w:r>
      <w:r w:rsidRPr="008574F9">
        <w:rPr>
          <w:szCs w:val="24"/>
        </w:rPr>
        <w:t xml:space="preserve"> CEMS (or </w:t>
      </w:r>
      <w:r w:rsidR="00791386">
        <w:rPr>
          <w:szCs w:val="24"/>
        </w:rPr>
        <w:t xml:space="preserve">an </w:t>
      </w:r>
      <w:r w:rsidRPr="008574F9">
        <w:rPr>
          <w:szCs w:val="24"/>
        </w:rPr>
        <w:t xml:space="preserve">approved alternative) and meet </w:t>
      </w:r>
      <w:r>
        <w:rPr>
          <w:szCs w:val="24"/>
        </w:rPr>
        <w:t>40 CFR part 75</w:t>
      </w:r>
      <w:r w:rsidRPr="008574F9">
        <w:rPr>
          <w:szCs w:val="24"/>
        </w:rPr>
        <w:t xml:space="preserve"> requirements for </w:t>
      </w:r>
      <w:r>
        <w:rPr>
          <w:szCs w:val="24"/>
        </w:rPr>
        <w:t>NO</w:t>
      </w:r>
      <w:r w:rsidRPr="00CF1B63">
        <w:rPr>
          <w:szCs w:val="24"/>
          <w:vertAlign w:val="subscript"/>
        </w:rPr>
        <w:t>X</w:t>
      </w:r>
      <w:r w:rsidRPr="008574F9">
        <w:rPr>
          <w:szCs w:val="24"/>
        </w:rPr>
        <w:t xml:space="preserve"> </w:t>
      </w:r>
      <w:r>
        <w:rPr>
          <w:szCs w:val="24"/>
        </w:rPr>
        <w:t xml:space="preserve">and/or </w:t>
      </w:r>
      <w:r w:rsidRPr="008574F9">
        <w:rPr>
          <w:szCs w:val="24"/>
        </w:rPr>
        <w:t>SO</w:t>
      </w:r>
      <w:r w:rsidRPr="00E975AC">
        <w:rPr>
          <w:szCs w:val="24"/>
          <w:vertAlign w:val="subscript"/>
        </w:rPr>
        <w:t>2</w:t>
      </w:r>
      <w:r>
        <w:rPr>
          <w:szCs w:val="24"/>
        </w:rPr>
        <w:t xml:space="preserve">, as appropriate.  </w:t>
      </w:r>
      <w:r w:rsidR="00D2072B">
        <w:rPr>
          <w:szCs w:val="24"/>
        </w:rPr>
        <w:t>The monitoring burden</w:t>
      </w:r>
      <w:r w:rsidR="000C02E9" w:rsidRPr="008574F9">
        <w:rPr>
          <w:szCs w:val="24"/>
        </w:rPr>
        <w:t xml:space="preserve"> depend</w:t>
      </w:r>
      <w:r w:rsidR="00D2072B">
        <w:rPr>
          <w:szCs w:val="24"/>
        </w:rPr>
        <w:t>s in part</w:t>
      </w:r>
      <w:r w:rsidR="000C02E9" w:rsidRPr="008574F9">
        <w:rPr>
          <w:szCs w:val="24"/>
        </w:rPr>
        <w:t xml:space="preserve"> on the type of fuel </w:t>
      </w:r>
      <w:r w:rsidR="00D2072B">
        <w:rPr>
          <w:szCs w:val="24"/>
        </w:rPr>
        <w:t xml:space="preserve">combusted </w:t>
      </w:r>
      <w:r w:rsidR="000C02E9" w:rsidRPr="008574F9">
        <w:rPr>
          <w:szCs w:val="24"/>
        </w:rPr>
        <w:t>and the</w:t>
      </w:r>
      <w:r w:rsidR="00217148" w:rsidRPr="008574F9">
        <w:rPr>
          <w:szCs w:val="24"/>
        </w:rPr>
        <w:t xml:space="preserve"> </w:t>
      </w:r>
      <w:r w:rsidR="000C02E9" w:rsidRPr="008574F9">
        <w:rPr>
          <w:szCs w:val="24"/>
        </w:rPr>
        <w:t>amount of time the unit is operated</w:t>
      </w:r>
      <w:r w:rsidR="003972B1" w:rsidRPr="008574F9">
        <w:rPr>
          <w:szCs w:val="24"/>
        </w:rPr>
        <w:t xml:space="preserve">.  </w:t>
      </w:r>
      <w:r w:rsidR="000C02E9" w:rsidRPr="008574F9">
        <w:rPr>
          <w:szCs w:val="24"/>
        </w:rPr>
        <w:t>Therefore, the costs will vary depending on what monitoring</w:t>
      </w:r>
      <w:r w:rsidR="00217148" w:rsidRPr="008574F9">
        <w:rPr>
          <w:szCs w:val="24"/>
        </w:rPr>
        <w:t xml:space="preserve"> </w:t>
      </w:r>
      <w:r w:rsidR="000C02E9" w:rsidRPr="008574F9">
        <w:rPr>
          <w:szCs w:val="24"/>
        </w:rPr>
        <w:t>alternative is appropriate for the unit and what monitoring requirements apply to the unit under</w:t>
      </w:r>
      <w:r w:rsidR="00217148" w:rsidRPr="008574F9">
        <w:rPr>
          <w:szCs w:val="24"/>
        </w:rPr>
        <w:t xml:space="preserve"> </w:t>
      </w:r>
      <w:r w:rsidR="000C02E9" w:rsidRPr="008574F9">
        <w:rPr>
          <w:szCs w:val="24"/>
        </w:rPr>
        <w:t>other regulatory programs</w:t>
      </w:r>
      <w:r w:rsidR="0006245A" w:rsidRPr="008574F9">
        <w:rPr>
          <w:szCs w:val="24"/>
        </w:rPr>
        <w:t>.</w:t>
      </w:r>
      <w:r w:rsidR="0006245A">
        <w:rPr>
          <w:szCs w:val="24"/>
        </w:rPr>
        <w:t xml:space="preserve">  </w:t>
      </w:r>
      <w:r w:rsidR="00907184">
        <w:rPr>
          <w:szCs w:val="24"/>
        </w:rPr>
        <w:t xml:space="preserve">This ICR includes </w:t>
      </w:r>
      <w:r w:rsidR="00791386">
        <w:rPr>
          <w:szCs w:val="24"/>
        </w:rPr>
        <w:t xml:space="preserve">estimated burden and costs for </w:t>
      </w:r>
      <w:r>
        <w:rPr>
          <w:szCs w:val="24"/>
        </w:rPr>
        <w:t xml:space="preserve">these </w:t>
      </w:r>
      <w:r w:rsidR="00907184">
        <w:rPr>
          <w:szCs w:val="24"/>
        </w:rPr>
        <w:t>newly a</w:t>
      </w:r>
      <w:r w:rsidR="00D2072B">
        <w:rPr>
          <w:szCs w:val="24"/>
        </w:rPr>
        <w:t xml:space="preserve">ffected </w:t>
      </w:r>
      <w:r>
        <w:rPr>
          <w:szCs w:val="24"/>
        </w:rPr>
        <w:t xml:space="preserve">non-ARP </w:t>
      </w:r>
      <w:r w:rsidR="00D2072B">
        <w:rPr>
          <w:szCs w:val="24"/>
        </w:rPr>
        <w:t xml:space="preserve">sources in </w:t>
      </w:r>
      <w:r w:rsidR="00F22C99">
        <w:rPr>
          <w:szCs w:val="24"/>
        </w:rPr>
        <w:t>TR</w:t>
      </w:r>
      <w:r w:rsidR="00D2072B">
        <w:rPr>
          <w:szCs w:val="24"/>
        </w:rPr>
        <w:t xml:space="preserve"> states</w:t>
      </w:r>
      <w:r w:rsidR="00907184">
        <w:rPr>
          <w:szCs w:val="24"/>
        </w:rPr>
        <w:t>.</w:t>
      </w:r>
    </w:p>
    <w:p w:rsidR="00C83332" w:rsidRPr="008574F9" w:rsidRDefault="00C83332" w:rsidP="000C02E9">
      <w:pPr>
        <w:autoSpaceDE w:val="0"/>
        <w:autoSpaceDN w:val="0"/>
        <w:adjustRightInd w:val="0"/>
        <w:rPr>
          <w:szCs w:val="24"/>
        </w:rPr>
      </w:pPr>
    </w:p>
    <w:p w:rsidR="00A15716" w:rsidRDefault="00A15716" w:rsidP="00217148">
      <w:pPr>
        <w:autoSpaceDE w:val="0"/>
        <w:autoSpaceDN w:val="0"/>
        <w:adjustRightInd w:val="0"/>
        <w:ind w:firstLine="720"/>
        <w:rPr>
          <w:szCs w:val="24"/>
        </w:rPr>
      </w:pPr>
      <w:r>
        <w:rPr>
          <w:szCs w:val="24"/>
        </w:rPr>
        <w:lastRenderedPageBreak/>
        <w:t xml:space="preserve">New units covered by the TR will in most cases also be covered by the ARP.  The TR creates no material incremental burden or costs for these units, and their </w:t>
      </w:r>
      <w:r w:rsidR="00A011C4">
        <w:rPr>
          <w:szCs w:val="24"/>
        </w:rPr>
        <w:t>b</w:t>
      </w:r>
      <w:r>
        <w:rPr>
          <w:szCs w:val="24"/>
        </w:rPr>
        <w:t xml:space="preserve">urden and costs (both capital/startup and ongoing) are accounted for in the ARP ICR.  This ICR includes monitoring and reporting burden and costs for an estimated </w:t>
      </w:r>
      <w:r w:rsidR="00997F9C">
        <w:rPr>
          <w:szCs w:val="24"/>
        </w:rPr>
        <w:t>number</w:t>
      </w:r>
      <w:r>
        <w:rPr>
          <w:szCs w:val="24"/>
        </w:rPr>
        <w:t xml:space="preserve"> of new TR units not covered by the ARP.</w:t>
      </w:r>
    </w:p>
    <w:p w:rsidR="00A15716" w:rsidRDefault="00A15716" w:rsidP="00217148">
      <w:pPr>
        <w:autoSpaceDE w:val="0"/>
        <w:autoSpaceDN w:val="0"/>
        <w:adjustRightInd w:val="0"/>
        <w:ind w:firstLine="720"/>
        <w:rPr>
          <w:szCs w:val="24"/>
        </w:rPr>
      </w:pPr>
    </w:p>
    <w:p w:rsidR="000C02E9" w:rsidRPr="008574F9" w:rsidRDefault="000C02E9" w:rsidP="00217148">
      <w:pPr>
        <w:autoSpaceDE w:val="0"/>
        <w:autoSpaceDN w:val="0"/>
        <w:adjustRightInd w:val="0"/>
        <w:ind w:firstLine="720"/>
        <w:rPr>
          <w:szCs w:val="24"/>
        </w:rPr>
      </w:pPr>
      <w:r w:rsidRPr="008574F9">
        <w:rPr>
          <w:szCs w:val="24"/>
        </w:rPr>
        <w:t xml:space="preserve">Sources will be subject to </w:t>
      </w:r>
      <w:r w:rsidR="00A16CC8">
        <w:rPr>
          <w:szCs w:val="24"/>
        </w:rPr>
        <w:t xml:space="preserve">TR </w:t>
      </w:r>
      <w:r w:rsidR="007B40DE" w:rsidRPr="007B40DE">
        <w:rPr>
          <w:szCs w:val="24"/>
        </w:rPr>
        <w:t>NO</w:t>
      </w:r>
      <w:r w:rsidR="007D0F5C">
        <w:rPr>
          <w:szCs w:val="24"/>
          <w:vertAlign w:val="subscript"/>
        </w:rPr>
        <w:t>X</w:t>
      </w:r>
      <w:r w:rsidRPr="008574F9">
        <w:rPr>
          <w:szCs w:val="24"/>
        </w:rPr>
        <w:t xml:space="preserve"> </w:t>
      </w:r>
      <w:r w:rsidR="0094311C">
        <w:rPr>
          <w:szCs w:val="24"/>
        </w:rPr>
        <w:t>and SO</w:t>
      </w:r>
      <w:r w:rsidR="0094311C" w:rsidRPr="00E975AC">
        <w:rPr>
          <w:szCs w:val="24"/>
          <w:vertAlign w:val="subscript"/>
        </w:rPr>
        <w:t>2</w:t>
      </w:r>
      <w:r w:rsidR="0094311C">
        <w:rPr>
          <w:szCs w:val="24"/>
        </w:rPr>
        <w:t xml:space="preserve"> </w:t>
      </w:r>
      <w:r w:rsidRPr="008574F9">
        <w:rPr>
          <w:szCs w:val="24"/>
        </w:rPr>
        <w:t>monitoring and reporting</w:t>
      </w:r>
      <w:r w:rsidR="00217148" w:rsidRPr="008574F9">
        <w:rPr>
          <w:szCs w:val="24"/>
        </w:rPr>
        <w:t xml:space="preserve"> </w:t>
      </w:r>
      <w:r w:rsidRPr="008574F9">
        <w:rPr>
          <w:szCs w:val="24"/>
        </w:rPr>
        <w:t xml:space="preserve">requirements </w:t>
      </w:r>
      <w:r w:rsidR="0094311C">
        <w:rPr>
          <w:szCs w:val="24"/>
        </w:rPr>
        <w:t xml:space="preserve">starting </w:t>
      </w:r>
      <w:r w:rsidR="00E1110C">
        <w:rPr>
          <w:szCs w:val="24"/>
        </w:rPr>
        <w:t>once the TR supersedes CAIR</w:t>
      </w:r>
      <w:r w:rsidR="003972B1" w:rsidRPr="008574F9">
        <w:rPr>
          <w:szCs w:val="24"/>
        </w:rPr>
        <w:t xml:space="preserve">.  </w:t>
      </w:r>
      <w:r w:rsidRPr="008574F9">
        <w:rPr>
          <w:szCs w:val="24"/>
        </w:rPr>
        <w:t xml:space="preserve">Table </w:t>
      </w:r>
      <w:r w:rsidR="009269F3">
        <w:rPr>
          <w:szCs w:val="24"/>
        </w:rPr>
        <w:t>6-5</w:t>
      </w:r>
      <w:r w:rsidRPr="008574F9">
        <w:rPr>
          <w:szCs w:val="24"/>
        </w:rPr>
        <w:t xml:space="preserve"> shows the burden associated with monitoring </w:t>
      </w:r>
      <w:r w:rsidR="007B40DE" w:rsidRPr="007B40DE">
        <w:rPr>
          <w:szCs w:val="24"/>
        </w:rPr>
        <w:t>NO</w:t>
      </w:r>
      <w:r w:rsidR="007D0F5C">
        <w:rPr>
          <w:szCs w:val="24"/>
          <w:vertAlign w:val="subscript"/>
        </w:rPr>
        <w:t>X</w:t>
      </w:r>
      <w:r w:rsidRPr="008574F9">
        <w:rPr>
          <w:szCs w:val="24"/>
        </w:rPr>
        <w:t xml:space="preserve"> </w:t>
      </w:r>
      <w:r w:rsidR="006E571A">
        <w:rPr>
          <w:szCs w:val="24"/>
        </w:rPr>
        <w:t>and SO</w:t>
      </w:r>
      <w:r w:rsidR="006E571A" w:rsidRPr="000714D7">
        <w:rPr>
          <w:szCs w:val="24"/>
          <w:vertAlign w:val="subscript"/>
        </w:rPr>
        <w:t>2</w:t>
      </w:r>
      <w:r w:rsidR="006E571A">
        <w:rPr>
          <w:szCs w:val="24"/>
        </w:rPr>
        <w:t xml:space="preserve"> </w:t>
      </w:r>
      <w:r w:rsidRPr="008574F9">
        <w:rPr>
          <w:szCs w:val="24"/>
        </w:rPr>
        <w:t xml:space="preserve">under </w:t>
      </w:r>
      <w:r w:rsidR="0094311C">
        <w:rPr>
          <w:szCs w:val="24"/>
        </w:rPr>
        <w:t xml:space="preserve">the </w:t>
      </w:r>
      <w:r w:rsidR="00A16CC8">
        <w:rPr>
          <w:szCs w:val="24"/>
        </w:rPr>
        <w:t>TR</w:t>
      </w:r>
      <w:r w:rsidR="00217148" w:rsidRPr="008574F9">
        <w:rPr>
          <w:szCs w:val="24"/>
        </w:rPr>
        <w:t xml:space="preserve"> </w:t>
      </w:r>
      <w:r w:rsidRPr="008574F9">
        <w:rPr>
          <w:szCs w:val="24"/>
        </w:rPr>
        <w:t>at various types of sources.</w:t>
      </w:r>
    </w:p>
    <w:p w:rsidR="00217148" w:rsidRPr="008574F9" w:rsidRDefault="00217148" w:rsidP="000C02E9">
      <w:pPr>
        <w:autoSpaceDE w:val="0"/>
        <w:autoSpaceDN w:val="0"/>
        <w:adjustRightInd w:val="0"/>
        <w:rPr>
          <w:szCs w:val="24"/>
        </w:rPr>
      </w:pPr>
    </w:p>
    <w:p w:rsidR="0075787D" w:rsidRDefault="000C02E9" w:rsidP="000714D7">
      <w:pPr>
        <w:autoSpaceDE w:val="0"/>
        <w:autoSpaceDN w:val="0"/>
        <w:adjustRightInd w:val="0"/>
        <w:ind w:firstLine="720"/>
        <w:rPr>
          <w:iCs/>
          <w:szCs w:val="24"/>
        </w:rPr>
      </w:pPr>
      <w:r w:rsidRPr="008574F9">
        <w:rPr>
          <w:szCs w:val="24"/>
        </w:rPr>
        <w:t xml:space="preserve">The primary tasks </w:t>
      </w:r>
      <w:r w:rsidR="004E7FDE">
        <w:rPr>
          <w:szCs w:val="24"/>
        </w:rPr>
        <w:t xml:space="preserve">under the TR </w:t>
      </w:r>
      <w:r w:rsidR="00997F9C">
        <w:rPr>
          <w:szCs w:val="24"/>
        </w:rPr>
        <w:t xml:space="preserve">with information collection-related burden and costs </w:t>
      </w:r>
      <w:r w:rsidRPr="008574F9">
        <w:rPr>
          <w:szCs w:val="24"/>
        </w:rPr>
        <w:t>are (1) permitting, (2)</w:t>
      </w:r>
      <w:r w:rsidR="00217148" w:rsidRPr="008574F9">
        <w:rPr>
          <w:szCs w:val="24"/>
        </w:rPr>
        <w:t xml:space="preserve"> </w:t>
      </w:r>
      <w:r w:rsidRPr="008574F9">
        <w:rPr>
          <w:szCs w:val="24"/>
        </w:rPr>
        <w:t xml:space="preserve">monitoring, recording, and reporting emissions data, </w:t>
      </w:r>
      <w:r w:rsidR="006E571A">
        <w:rPr>
          <w:szCs w:val="24"/>
        </w:rPr>
        <w:t xml:space="preserve">and </w:t>
      </w:r>
      <w:r w:rsidRPr="008574F9">
        <w:rPr>
          <w:szCs w:val="24"/>
        </w:rPr>
        <w:t>(3) allowance trading activities.</w:t>
      </w:r>
    </w:p>
    <w:p w:rsidR="0075787D" w:rsidRDefault="0075787D" w:rsidP="00360CF0">
      <w:pPr>
        <w:autoSpaceDE w:val="0"/>
        <w:autoSpaceDN w:val="0"/>
        <w:adjustRightInd w:val="0"/>
        <w:ind w:left="720"/>
        <w:rPr>
          <w:iCs/>
          <w:szCs w:val="24"/>
        </w:rPr>
      </w:pPr>
    </w:p>
    <w:p w:rsidR="000C02E9" w:rsidRDefault="000C02E9" w:rsidP="00273A97">
      <w:pPr>
        <w:keepNext/>
        <w:autoSpaceDE w:val="0"/>
        <w:autoSpaceDN w:val="0"/>
        <w:adjustRightInd w:val="0"/>
        <w:ind w:left="720"/>
        <w:rPr>
          <w:iCs/>
          <w:szCs w:val="24"/>
        </w:rPr>
      </w:pPr>
      <w:r w:rsidRPr="00BE7306">
        <w:rPr>
          <w:iCs/>
          <w:szCs w:val="24"/>
        </w:rPr>
        <w:t>(i)</w:t>
      </w:r>
      <w:r w:rsidR="00E86F33" w:rsidRPr="00BE7306">
        <w:rPr>
          <w:iCs/>
          <w:szCs w:val="24"/>
        </w:rPr>
        <w:t xml:space="preserve"> </w:t>
      </w:r>
      <w:r w:rsidRPr="00BE7306">
        <w:rPr>
          <w:iCs/>
          <w:szCs w:val="24"/>
        </w:rPr>
        <w:t xml:space="preserve"> </w:t>
      </w:r>
      <w:r w:rsidR="00267A48">
        <w:rPr>
          <w:iCs/>
          <w:szCs w:val="24"/>
        </w:rPr>
        <w:t xml:space="preserve">Respondent </w:t>
      </w:r>
      <w:r w:rsidRPr="00BE7306">
        <w:rPr>
          <w:iCs/>
          <w:szCs w:val="24"/>
        </w:rPr>
        <w:t>Permitting</w:t>
      </w:r>
      <w:r w:rsidR="00267A48">
        <w:rPr>
          <w:iCs/>
          <w:szCs w:val="24"/>
        </w:rPr>
        <w:t xml:space="preserve"> Activities</w:t>
      </w:r>
    </w:p>
    <w:p w:rsidR="00217148" w:rsidRPr="008574F9" w:rsidRDefault="00217148" w:rsidP="00217148">
      <w:pPr>
        <w:autoSpaceDE w:val="0"/>
        <w:autoSpaceDN w:val="0"/>
        <w:adjustRightInd w:val="0"/>
        <w:ind w:firstLine="720"/>
        <w:rPr>
          <w:szCs w:val="24"/>
        </w:rPr>
      </w:pPr>
    </w:p>
    <w:p w:rsidR="00401022" w:rsidRPr="008574F9" w:rsidRDefault="006C6732" w:rsidP="00217148">
      <w:pPr>
        <w:autoSpaceDE w:val="0"/>
        <w:autoSpaceDN w:val="0"/>
        <w:adjustRightInd w:val="0"/>
        <w:ind w:firstLine="720"/>
        <w:rPr>
          <w:szCs w:val="24"/>
        </w:rPr>
      </w:pPr>
      <w:r>
        <w:rPr>
          <w:szCs w:val="24"/>
        </w:rPr>
        <w:t>Under the TR, the designated representative for e</w:t>
      </w:r>
      <w:r w:rsidR="00401022">
        <w:rPr>
          <w:szCs w:val="24"/>
        </w:rPr>
        <w:t xml:space="preserve">ach affected </w:t>
      </w:r>
      <w:r>
        <w:rPr>
          <w:szCs w:val="24"/>
        </w:rPr>
        <w:t xml:space="preserve">source must </w:t>
      </w:r>
      <w:r w:rsidR="00401022">
        <w:rPr>
          <w:szCs w:val="24"/>
        </w:rPr>
        <w:t>submit a certificate of representation to EPA.</w:t>
      </w:r>
      <w:r>
        <w:rPr>
          <w:szCs w:val="24"/>
        </w:rPr>
        <w:t xml:space="preserve">  Since most existing TR-affected sources are already subject to the ARP and/or CAIR,</w:t>
      </w:r>
      <w:r w:rsidR="000A0014">
        <w:rPr>
          <w:szCs w:val="24"/>
        </w:rPr>
        <w:t xml:space="preserve"> </w:t>
      </w:r>
      <w:r>
        <w:rPr>
          <w:szCs w:val="24"/>
        </w:rPr>
        <w:t>t</w:t>
      </w:r>
      <w:r w:rsidR="000A0014" w:rsidRPr="008574F9">
        <w:rPr>
          <w:szCs w:val="24"/>
        </w:rPr>
        <w:t xml:space="preserve">he Agency believes that </w:t>
      </w:r>
      <w:r>
        <w:rPr>
          <w:szCs w:val="24"/>
        </w:rPr>
        <w:t xml:space="preserve">the DRs for most TR-affected sources will only need to revise their certificates of representation, and that </w:t>
      </w:r>
      <w:r w:rsidR="00A543D4">
        <w:rPr>
          <w:szCs w:val="24"/>
        </w:rPr>
        <w:t xml:space="preserve">such </w:t>
      </w:r>
      <w:r w:rsidR="000A0014">
        <w:rPr>
          <w:szCs w:val="24"/>
        </w:rPr>
        <w:t>revision</w:t>
      </w:r>
      <w:r>
        <w:rPr>
          <w:szCs w:val="24"/>
        </w:rPr>
        <w:t>s</w:t>
      </w:r>
      <w:r w:rsidR="000A0014" w:rsidRPr="008574F9">
        <w:rPr>
          <w:szCs w:val="24"/>
        </w:rPr>
        <w:t xml:space="preserve"> </w:t>
      </w:r>
      <w:r>
        <w:rPr>
          <w:szCs w:val="24"/>
        </w:rPr>
        <w:t>are</w:t>
      </w:r>
      <w:r w:rsidR="000A0014" w:rsidRPr="008574F9">
        <w:rPr>
          <w:szCs w:val="24"/>
        </w:rPr>
        <w:t xml:space="preserve"> routine</w:t>
      </w:r>
      <w:r w:rsidR="000A0014">
        <w:rPr>
          <w:szCs w:val="24"/>
        </w:rPr>
        <w:t>.</w:t>
      </w:r>
      <w:r w:rsidR="000A0014" w:rsidRPr="000A0014">
        <w:rPr>
          <w:szCs w:val="24"/>
        </w:rPr>
        <w:t xml:space="preserve"> </w:t>
      </w:r>
      <w:r w:rsidR="000A0014" w:rsidRPr="008574F9">
        <w:rPr>
          <w:szCs w:val="24"/>
        </w:rPr>
        <w:t xml:space="preserve">The Agency </w:t>
      </w:r>
      <w:r>
        <w:rPr>
          <w:szCs w:val="24"/>
        </w:rPr>
        <w:t xml:space="preserve">therefore </w:t>
      </w:r>
      <w:r w:rsidR="000A0014" w:rsidRPr="008574F9">
        <w:rPr>
          <w:szCs w:val="24"/>
        </w:rPr>
        <w:t xml:space="preserve">estimates that, on a per unit basis, about </w:t>
      </w:r>
      <w:r w:rsidR="000A0014">
        <w:rPr>
          <w:szCs w:val="24"/>
        </w:rPr>
        <w:t>one half hour of</w:t>
      </w:r>
      <w:r w:rsidR="000A0014" w:rsidRPr="00A829B0">
        <w:rPr>
          <w:szCs w:val="24"/>
        </w:rPr>
        <w:t xml:space="preserve"> managerial </w:t>
      </w:r>
      <w:r w:rsidR="000A0014">
        <w:rPr>
          <w:szCs w:val="24"/>
        </w:rPr>
        <w:t>time and one half hour of technical time</w:t>
      </w:r>
      <w:r w:rsidR="000A0014" w:rsidRPr="00A829B0">
        <w:rPr>
          <w:szCs w:val="24"/>
        </w:rPr>
        <w:t xml:space="preserve"> will be requi</w:t>
      </w:r>
      <w:r w:rsidR="000A0014">
        <w:rPr>
          <w:szCs w:val="24"/>
        </w:rPr>
        <w:t>red to revise the certificate of representation</w:t>
      </w:r>
      <w:r w:rsidR="000A0014" w:rsidRPr="008574F9">
        <w:rPr>
          <w:szCs w:val="24"/>
        </w:rPr>
        <w:t>.</w:t>
      </w:r>
    </w:p>
    <w:p w:rsidR="00D6009C" w:rsidRPr="008574F9" w:rsidRDefault="00D6009C" w:rsidP="000C02E9">
      <w:pPr>
        <w:autoSpaceDE w:val="0"/>
        <w:autoSpaceDN w:val="0"/>
        <w:adjustRightInd w:val="0"/>
        <w:rPr>
          <w:i/>
          <w:iCs/>
          <w:szCs w:val="24"/>
        </w:rPr>
      </w:pPr>
    </w:p>
    <w:p w:rsidR="004E7FDE" w:rsidRDefault="004E7FDE" w:rsidP="004E7FDE">
      <w:pPr>
        <w:autoSpaceDE w:val="0"/>
        <w:autoSpaceDN w:val="0"/>
        <w:adjustRightInd w:val="0"/>
        <w:ind w:firstLine="720"/>
        <w:rPr>
          <w:szCs w:val="24"/>
        </w:rPr>
      </w:pPr>
      <w:r w:rsidRPr="008574F9">
        <w:rPr>
          <w:szCs w:val="24"/>
        </w:rPr>
        <w:t>Some sources will also be required to construct additional facilities, and therefore will need to complete a permit to construct application</w:t>
      </w:r>
      <w:r>
        <w:rPr>
          <w:szCs w:val="24"/>
        </w:rPr>
        <w:t>.  Based on the existing CAIR ICR, the Agency estimates</w:t>
      </w:r>
      <w:r w:rsidRPr="008574F9">
        <w:rPr>
          <w:szCs w:val="24"/>
        </w:rPr>
        <w:t xml:space="preserve"> that th</w:t>
      </w:r>
      <w:r>
        <w:rPr>
          <w:szCs w:val="24"/>
        </w:rPr>
        <w:t>is</w:t>
      </w:r>
      <w:r w:rsidRPr="008574F9">
        <w:rPr>
          <w:szCs w:val="24"/>
        </w:rPr>
        <w:t xml:space="preserve"> task will take </w:t>
      </w:r>
      <w:r w:rsidRPr="00D8541A">
        <w:rPr>
          <w:szCs w:val="24"/>
        </w:rPr>
        <w:t>20 hours of managerial and 20 hours of technician time</w:t>
      </w:r>
      <w:r w:rsidRPr="008574F9">
        <w:rPr>
          <w:szCs w:val="24"/>
        </w:rPr>
        <w:t>, per permit.</w:t>
      </w:r>
    </w:p>
    <w:p w:rsidR="004E7FDE" w:rsidRDefault="004E7FDE" w:rsidP="004E7FDE">
      <w:pPr>
        <w:autoSpaceDE w:val="0"/>
        <w:autoSpaceDN w:val="0"/>
        <w:adjustRightInd w:val="0"/>
        <w:ind w:firstLine="720"/>
        <w:rPr>
          <w:szCs w:val="24"/>
        </w:rPr>
      </w:pPr>
    </w:p>
    <w:p w:rsidR="00267A48" w:rsidRDefault="00267A48" w:rsidP="004E7FDE">
      <w:pPr>
        <w:keepNext/>
        <w:autoSpaceDE w:val="0"/>
        <w:autoSpaceDN w:val="0"/>
        <w:adjustRightInd w:val="0"/>
        <w:ind w:left="720"/>
        <w:rPr>
          <w:iCs/>
          <w:szCs w:val="24"/>
        </w:rPr>
      </w:pPr>
      <w:r>
        <w:rPr>
          <w:iCs/>
          <w:szCs w:val="24"/>
        </w:rPr>
        <w:t>(ii</w:t>
      </w:r>
      <w:r w:rsidRPr="00BE7306">
        <w:rPr>
          <w:iCs/>
          <w:szCs w:val="24"/>
        </w:rPr>
        <w:t>)</w:t>
      </w:r>
      <w:r>
        <w:rPr>
          <w:iCs/>
          <w:szCs w:val="24"/>
        </w:rPr>
        <w:t xml:space="preserve"> </w:t>
      </w:r>
      <w:r w:rsidRPr="00BE7306">
        <w:rPr>
          <w:iCs/>
          <w:szCs w:val="24"/>
        </w:rPr>
        <w:t xml:space="preserve"> </w:t>
      </w:r>
      <w:r>
        <w:rPr>
          <w:iCs/>
          <w:szCs w:val="24"/>
        </w:rPr>
        <w:t xml:space="preserve">Agency </w:t>
      </w:r>
      <w:r w:rsidRPr="00BE7306">
        <w:rPr>
          <w:iCs/>
          <w:szCs w:val="24"/>
        </w:rPr>
        <w:t>Permitting</w:t>
      </w:r>
      <w:r>
        <w:rPr>
          <w:iCs/>
          <w:szCs w:val="24"/>
        </w:rPr>
        <w:t xml:space="preserve"> Activities</w:t>
      </w:r>
    </w:p>
    <w:p w:rsidR="00267A48" w:rsidRDefault="00267A48" w:rsidP="00267A48">
      <w:pPr>
        <w:keepNext/>
        <w:autoSpaceDE w:val="0"/>
        <w:autoSpaceDN w:val="0"/>
        <w:adjustRightInd w:val="0"/>
        <w:ind w:left="720"/>
        <w:rPr>
          <w:iCs/>
          <w:szCs w:val="24"/>
        </w:rPr>
      </w:pPr>
    </w:p>
    <w:p w:rsidR="00C10C31" w:rsidRDefault="00267A48">
      <w:pPr>
        <w:ind w:firstLine="720"/>
        <w:rPr>
          <w:rFonts w:eastAsia="Times New Roman"/>
          <w:bCs/>
          <w:color w:val="000000"/>
          <w:szCs w:val="24"/>
        </w:rPr>
      </w:pPr>
      <w:r>
        <w:rPr>
          <w:iCs/>
          <w:szCs w:val="24"/>
        </w:rPr>
        <w:t xml:space="preserve">Agency permitting activities </w:t>
      </w:r>
      <w:r w:rsidR="00963B00">
        <w:rPr>
          <w:iCs/>
          <w:szCs w:val="24"/>
        </w:rPr>
        <w:t xml:space="preserve">(including activities of permitting authorities) </w:t>
      </w:r>
      <w:r>
        <w:rPr>
          <w:iCs/>
          <w:szCs w:val="24"/>
        </w:rPr>
        <w:t>include</w:t>
      </w:r>
      <w:r w:rsidR="0059178C">
        <w:rPr>
          <w:iCs/>
          <w:szCs w:val="24"/>
        </w:rPr>
        <w:t xml:space="preserve"> receiving and processing </w:t>
      </w:r>
      <w:r w:rsidR="009626F2" w:rsidRPr="009626F2">
        <w:rPr>
          <w:iCs/>
          <w:szCs w:val="24"/>
        </w:rPr>
        <w:t>certificates of represe</w:t>
      </w:r>
      <w:r w:rsidR="009626F2">
        <w:rPr>
          <w:iCs/>
          <w:szCs w:val="24"/>
        </w:rPr>
        <w:t>nt</w:t>
      </w:r>
      <w:r w:rsidR="0059178C">
        <w:rPr>
          <w:iCs/>
          <w:szCs w:val="24"/>
        </w:rPr>
        <w:t>ation</w:t>
      </w:r>
      <w:r w:rsidR="00963B00">
        <w:rPr>
          <w:iCs/>
          <w:szCs w:val="24"/>
        </w:rPr>
        <w:t>, permit applications,</w:t>
      </w:r>
      <w:r w:rsidR="0059178C">
        <w:rPr>
          <w:iCs/>
          <w:szCs w:val="24"/>
        </w:rPr>
        <w:t xml:space="preserve"> and </w:t>
      </w:r>
      <w:r w:rsidR="009626F2" w:rsidRPr="009626F2">
        <w:rPr>
          <w:iCs/>
          <w:szCs w:val="24"/>
        </w:rPr>
        <w:t>retired unit exemptions.</w:t>
      </w:r>
      <w:r w:rsidR="009626F2">
        <w:rPr>
          <w:iCs/>
          <w:szCs w:val="24"/>
        </w:rPr>
        <w:t xml:space="preserve">  The Agency estimates that these activities will require </w:t>
      </w:r>
      <w:r w:rsidR="00B720CE" w:rsidRPr="001F32EF">
        <w:rPr>
          <w:rFonts w:eastAsia="Times New Roman"/>
          <w:bCs/>
          <w:color w:val="000000"/>
          <w:szCs w:val="24"/>
        </w:rPr>
        <w:t>2,9</w:t>
      </w:r>
      <w:r w:rsidR="00D8541A">
        <w:rPr>
          <w:rFonts w:eastAsia="Times New Roman"/>
          <w:bCs/>
          <w:color w:val="000000"/>
          <w:szCs w:val="24"/>
        </w:rPr>
        <w:t>26</w:t>
      </w:r>
      <w:r w:rsidR="00963B00">
        <w:rPr>
          <w:rFonts w:eastAsia="Times New Roman"/>
          <w:bCs/>
          <w:color w:val="000000"/>
          <w:szCs w:val="24"/>
        </w:rPr>
        <w:t xml:space="preserve"> </w:t>
      </w:r>
      <w:r w:rsidR="009626F2" w:rsidRPr="001F32EF">
        <w:rPr>
          <w:rFonts w:eastAsia="Times New Roman"/>
          <w:bCs/>
          <w:color w:val="000000"/>
          <w:szCs w:val="24"/>
        </w:rPr>
        <w:t>hours per year</w:t>
      </w:r>
      <w:r w:rsidR="004368B9">
        <w:rPr>
          <w:rFonts w:eastAsia="Times New Roman"/>
          <w:bCs/>
          <w:color w:val="000000"/>
          <w:szCs w:val="24"/>
        </w:rPr>
        <w:t xml:space="preserve"> (see Table 6-</w:t>
      </w:r>
      <w:r w:rsidR="009269F3">
        <w:rPr>
          <w:rFonts w:eastAsia="Times New Roman"/>
          <w:bCs/>
          <w:color w:val="000000"/>
          <w:szCs w:val="24"/>
        </w:rPr>
        <w:t>6</w:t>
      </w:r>
      <w:r w:rsidR="004368B9">
        <w:rPr>
          <w:rFonts w:eastAsia="Times New Roman"/>
          <w:bCs/>
          <w:color w:val="000000"/>
          <w:szCs w:val="24"/>
        </w:rPr>
        <w:t>)</w:t>
      </w:r>
      <w:r w:rsidR="009626F2">
        <w:rPr>
          <w:rFonts w:eastAsia="Times New Roman"/>
          <w:bCs/>
          <w:color w:val="000000"/>
          <w:szCs w:val="24"/>
        </w:rPr>
        <w:t>.</w:t>
      </w:r>
    </w:p>
    <w:p w:rsidR="00DE1A89" w:rsidRDefault="00DE1A89">
      <w:pPr>
        <w:ind w:firstLine="720"/>
        <w:rPr>
          <w:rFonts w:eastAsia="Times New Roman"/>
          <w:bCs/>
          <w:color w:val="000000"/>
          <w:szCs w:val="24"/>
        </w:rPr>
      </w:pPr>
    </w:p>
    <w:p w:rsidR="00DE1A89" w:rsidRDefault="00DE1A89">
      <w:pPr>
        <w:ind w:firstLine="720"/>
        <w:rPr>
          <w:rFonts w:eastAsia="Times New Roman"/>
          <w:b/>
          <w:bCs/>
          <w:color w:val="000000"/>
          <w:sz w:val="20"/>
          <w:szCs w:val="20"/>
        </w:rPr>
      </w:pPr>
      <w:r>
        <w:rPr>
          <w:rFonts w:eastAsia="Times New Roman"/>
          <w:bCs/>
          <w:color w:val="000000"/>
          <w:szCs w:val="24"/>
        </w:rPr>
        <w:t xml:space="preserve">The ICR also includes a one-time allocation of burden for </w:t>
      </w:r>
      <w:r w:rsidR="00963B00">
        <w:rPr>
          <w:rFonts w:eastAsia="Times New Roman"/>
          <w:bCs/>
          <w:color w:val="000000"/>
          <w:szCs w:val="24"/>
        </w:rPr>
        <w:t xml:space="preserve">staff at </w:t>
      </w:r>
      <w:r>
        <w:rPr>
          <w:rFonts w:eastAsia="Times New Roman"/>
          <w:bCs/>
          <w:color w:val="000000"/>
          <w:szCs w:val="24"/>
        </w:rPr>
        <w:t>permitting authorities to read the requirements of the TR.</w:t>
      </w:r>
    </w:p>
    <w:p w:rsidR="00267A48" w:rsidRDefault="00267A48" w:rsidP="00267A48">
      <w:pPr>
        <w:keepNext/>
        <w:autoSpaceDE w:val="0"/>
        <w:autoSpaceDN w:val="0"/>
        <w:adjustRightInd w:val="0"/>
        <w:ind w:left="720"/>
        <w:rPr>
          <w:iCs/>
          <w:szCs w:val="24"/>
        </w:rPr>
      </w:pPr>
    </w:p>
    <w:p w:rsidR="000C02E9" w:rsidRPr="00BE7306" w:rsidRDefault="000C02E9" w:rsidP="00267A48">
      <w:pPr>
        <w:autoSpaceDE w:val="0"/>
        <w:autoSpaceDN w:val="0"/>
        <w:adjustRightInd w:val="0"/>
        <w:ind w:left="720"/>
        <w:rPr>
          <w:szCs w:val="24"/>
        </w:rPr>
      </w:pPr>
      <w:r w:rsidRPr="00BE7306">
        <w:rPr>
          <w:iCs/>
          <w:szCs w:val="24"/>
        </w:rPr>
        <w:t>(ii</w:t>
      </w:r>
      <w:r w:rsidR="00267A48">
        <w:rPr>
          <w:iCs/>
          <w:szCs w:val="24"/>
        </w:rPr>
        <w:t>i</w:t>
      </w:r>
      <w:r w:rsidRPr="00BE7306">
        <w:rPr>
          <w:iCs/>
          <w:szCs w:val="24"/>
        </w:rPr>
        <w:t xml:space="preserve">) </w:t>
      </w:r>
      <w:r w:rsidR="00E86F33" w:rsidRPr="00BE7306">
        <w:rPr>
          <w:iCs/>
          <w:szCs w:val="24"/>
        </w:rPr>
        <w:t xml:space="preserve"> </w:t>
      </w:r>
      <w:r w:rsidR="009626F2">
        <w:rPr>
          <w:iCs/>
          <w:szCs w:val="24"/>
        </w:rPr>
        <w:t xml:space="preserve">Respondent </w:t>
      </w:r>
      <w:r w:rsidRPr="00BE7306">
        <w:rPr>
          <w:iCs/>
          <w:szCs w:val="24"/>
        </w:rPr>
        <w:t>Monitoring</w:t>
      </w:r>
      <w:r w:rsidR="009626F2">
        <w:rPr>
          <w:iCs/>
          <w:szCs w:val="24"/>
        </w:rPr>
        <w:t xml:space="preserve"> Activities</w:t>
      </w:r>
    </w:p>
    <w:p w:rsidR="00217148" w:rsidRPr="008574F9" w:rsidRDefault="00217148" w:rsidP="000C02E9">
      <w:pPr>
        <w:autoSpaceDE w:val="0"/>
        <w:autoSpaceDN w:val="0"/>
        <w:adjustRightInd w:val="0"/>
        <w:rPr>
          <w:szCs w:val="24"/>
        </w:rPr>
      </w:pPr>
    </w:p>
    <w:p w:rsidR="000C02E9" w:rsidRPr="008574F9" w:rsidRDefault="000C02E9" w:rsidP="00E05148">
      <w:pPr>
        <w:autoSpaceDE w:val="0"/>
        <w:autoSpaceDN w:val="0"/>
        <w:adjustRightInd w:val="0"/>
        <w:ind w:firstLine="720"/>
        <w:rPr>
          <w:szCs w:val="24"/>
        </w:rPr>
      </w:pPr>
      <w:r w:rsidRPr="008574F9">
        <w:rPr>
          <w:szCs w:val="24"/>
        </w:rPr>
        <w:t>For monitoring, the burdens differ greatly based on the amount and type of monitoring the</w:t>
      </w:r>
      <w:r w:rsidR="00217148" w:rsidRPr="008574F9">
        <w:rPr>
          <w:szCs w:val="24"/>
        </w:rPr>
        <w:t xml:space="preserve"> </w:t>
      </w:r>
      <w:r w:rsidRPr="008574F9">
        <w:rPr>
          <w:szCs w:val="24"/>
        </w:rPr>
        <w:t>unit is already subject to and the particular subtask of monitoring being conducted</w:t>
      </w:r>
      <w:r w:rsidR="003972B1" w:rsidRPr="008574F9">
        <w:rPr>
          <w:szCs w:val="24"/>
        </w:rPr>
        <w:t xml:space="preserve">.  </w:t>
      </w:r>
      <w:r w:rsidRPr="008574F9">
        <w:rPr>
          <w:szCs w:val="24"/>
        </w:rPr>
        <w:t>The specific</w:t>
      </w:r>
      <w:r w:rsidR="00217148" w:rsidRPr="008574F9">
        <w:rPr>
          <w:szCs w:val="24"/>
        </w:rPr>
        <w:t xml:space="preserve"> </w:t>
      </w:r>
      <w:r w:rsidRPr="008574F9">
        <w:rPr>
          <w:szCs w:val="24"/>
        </w:rPr>
        <w:t xml:space="preserve">elements of </w:t>
      </w:r>
      <w:r w:rsidR="00F76FEE">
        <w:rPr>
          <w:szCs w:val="24"/>
        </w:rPr>
        <w:t>this burden are described below.</w:t>
      </w:r>
    </w:p>
    <w:p w:rsidR="00D6009C" w:rsidRPr="008574F9" w:rsidRDefault="00D6009C" w:rsidP="000C02E9">
      <w:pPr>
        <w:autoSpaceDE w:val="0"/>
        <w:autoSpaceDN w:val="0"/>
        <w:adjustRightInd w:val="0"/>
        <w:rPr>
          <w:i/>
          <w:iCs/>
          <w:szCs w:val="24"/>
        </w:rPr>
      </w:pPr>
    </w:p>
    <w:p w:rsidR="00BE7306" w:rsidRDefault="00BE7306" w:rsidP="00BE7306">
      <w:pPr>
        <w:autoSpaceDE w:val="0"/>
        <w:autoSpaceDN w:val="0"/>
        <w:adjustRightInd w:val="0"/>
        <w:rPr>
          <w:i/>
          <w:iCs/>
          <w:szCs w:val="24"/>
        </w:rPr>
      </w:pPr>
      <w:r>
        <w:rPr>
          <w:i/>
          <w:iCs/>
          <w:szCs w:val="24"/>
        </w:rPr>
        <w:t>Start-up Activities</w:t>
      </w:r>
    </w:p>
    <w:p w:rsidR="00BE7306" w:rsidRDefault="00BE7306" w:rsidP="00184ED8">
      <w:pPr>
        <w:autoSpaceDE w:val="0"/>
        <w:autoSpaceDN w:val="0"/>
        <w:adjustRightInd w:val="0"/>
        <w:ind w:firstLine="720"/>
        <w:rPr>
          <w:i/>
          <w:iCs/>
          <w:szCs w:val="24"/>
        </w:rPr>
      </w:pPr>
    </w:p>
    <w:p w:rsidR="00184ED8" w:rsidRDefault="000C02E9" w:rsidP="00184ED8">
      <w:pPr>
        <w:autoSpaceDE w:val="0"/>
        <w:autoSpaceDN w:val="0"/>
        <w:adjustRightInd w:val="0"/>
        <w:ind w:firstLine="720"/>
        <w:rPr>
          <w:szCs w:val="24"/>
        </w:rPr>
      </w:pPr>
      <w:r w:rsidRPr="008574F9">
        <w:rPr>
          <w:szCs w:val="24"/>
        </w:rPr>
        <w:lastRenderedPageBreak/>
        <w:t>A large part of start-up activities</w:t>
      </w:r>
      <w:r w:rsidR="00841C6C">
        <w:rPr>
          <w:szCs w:val="24"/>
        </w:rPr>
        <w:t>, involving</w:t>
      </w:r>
      <w:r w:rsidRPr="008574F9">
        <w:rPr>
          <w:szCs w:val="24"/>
        </w:rPr>
        <w:t xml:space="preserve"> </w:t>
      </w:r>
      <w:r w:rsidR="00F76FEE">
        <w:rPr>
          <w:szCs w:val="24"/>
        </w:rPr>
        <w:t>both capital expenditures and labor</w:t>
      </w:r>
      <w:r w:rsidR="00217148" w:rsidRPr="008574F9">
        <w:rPr>
          <w:szCs w:val="24"/>
        </w:rPr>
        <w:t xml:space="preserve"> </w:t>
      </w:r>
      <w:r w:rsidRPr="008574F9">
        <w:rPr>
          <w:szCs w:val="24"/>
        </w:rPr>
        <w:t>costs</w:t>
      </w:r>
      <w:r w:rsidR="00841C6C">
        <w:rPr>
          <w:szCs w:val="24"/>
        </w:rPr>
        <w:t>, concerns</w:t>
      </w:r>
      <w:r w:rsidR="00F76FEE">
        <w:rPr>
          <w:szCs w:val="24"/>
        </w:rPr>
        <w:t xml:space="preserve"> the acquisition, installation, and testing of monitoring equipment, </w:t>
      </w:r>
      <w:r w:rsidRPr="008574F9">
        <w:rPr>
          <w:szCs w:val="24"/>
        </w:rPr>
        <w:t>as</w:t>
      </w:r>
      <w:r w:rsidR="00217148" w:rsidRPr="008574F9">
        <w:rPr>
          <w:szCs w:val="24"/>
        </w:rPr>
        <w:t xml:space="preserve"> </w:t>
      </w:r>
      <w:r w:rsidR="00F76FEE">
        <w:rPr>
          <w:szCs w:val="24"/>
        </w:rPr>
        <w:t>foll</w:t>
      </w:r>
      <w:r w:rsidR="007B2B69">
        <w:rPr>
          <w:szCs w:val="24"/>
        </w:rPr>
        <w:t>o</w:t>
      </w:r>
      <w:r w:rsidR="00F76FEE">
        <w:rPr>
          <w:szCs w:val="24"/>
        </w:rPr>
        <w:t>ws</w:t>
      </w:r>
      <w:r w:rsidR="00E847B5">
        <w:rPr>
          <w:szCs w:val="24"/>
        </w:rPr>
        <w:t>:</w:t>
      </w:r>
      <w:r w:rsidRPr="008574F9">
        <w:rPr>
          <w:szCs w:val="24"/>
        </w:rPr>
        <w:t xml:space="preserve"> </w:t>
      </w:r>
    </w:p>
    <w:p w:rsidR="004E33D2" w:rsidRDefault="004E33D2" w:rsidP="00184ED8">
      <w:pPr>
        <w:autoSpaceDE w:val="0"/>
        <w:autoSpaceDN w:val="0"/>
        <w:adjustRightInd w:val="0"/>
        <w:ind w:firstLine="720"/>
        <w:rPr>
          <w:szCs w:val="24"/>
        </w:rPr>
      </w:pPr>
    </w:p>
    <w:p w:rsidR="00184ED8" w:rsidRDefault="00907184" w:rsidP="004E33D2">
      <w:pPr>
        <w:autoSpaceDE w:val="0"/>
        <w:autoSpaceDN w:val="0"/>
        <w:adjustRightInd w:val="0"/>
        <w:ind w:left="720" w:hanging="360"/>
        <w:rPr>
          <w:szCs w:val="24"/>
        </w:rPr>
      </w:pPr>
      <w:r>
        <w:rPr>
          <w:szCs w:val="24"/>
        </w:rPr>
        <w:t>1)</w:t>
      </w:r>
      <w:r w:rsidR="004E33D2" w:rsidRPr="008574F9">
        <w:rPr>
          <w:szCs w:val="24"/>
        </w:rPr>
        <w:tab/>
      </w:r>
      <w:r w:rsidR="000C02E9" w:rsidRPr="008574F9">
        <w:rPr>
          <w:szCs w:val="24"/>
        </w:rPr>
        <w:t xml:space="preserve">For </w:t>
      </w:r>
      <w:r w:rsidR="004E7FDE">
        <w:rPr>
          <w:szCs w:val="24"/>
        </w:rPr>
        <w:t>all units in states whose TR program coverage is the same as their CAIR program coverage</w:t>
      </w:r>
      <w:r w:rsidR="000C02E9" w:rsidRPr="008574F9">
        <w:rPr>
          <w:szCs w:val="24"/>
        </w:rPr>
        <w:t xml:space="preserve">, </w:t>
      </w:r>
      <w:r w:rsidR="00DC3328">
        <w:rPr>
          <w:szCs w:val="24"/>
        </w:rPr>
        <w:t xml:space="preserve">the </w:t>
      </w:r>
      <w:r w:rsidR="00A16CC8">
        <w:rPr>
          <w:szCs w:val="24"/>
        </w:rPr>
        <w:t>TR</w:t>
      </w:r>
      <w:r w:rsidR="000C02E9" w:rsidRPr="008574F9">
        <w:rPr>
          <w:szCs w:val="24"/>
        </w:rPr>
        <w:t xml:space="preserve"> imposes no start-up burdens</w:t>
      </w:r>
      <w:r w:rsidR="00217148" w:rsidRPr="008574F9">
        <w:rPr>
          <w:szCs w:val="24"/>
        </w:rPr>
        <w:t xml:space="preserve"> </w:t>
      </w:r>
      <w:r w:rsidR="000C02E9" w:rsidRPr="008574F9">
        <w:rPr>
          <w:szCs w:val="24"/>
        </w:rPr>
        <w:t xml:space="preserve">beyond existing programs. </w:t>
      </w:r>
    </w:p>
    <w:p w:rsidR="004E33D2" w:rsidRDefault="004E33D2" w:rsidP="004E33D2">
      <w:pPr>
        <w:autoSpaceDE w:val="0"/>
        <w:autoSpaceDN w:val="0"/>
        <w:adjustRightInd w:val="0"/>
        <w:ind w:left="720" w:hanging="360"/>
        <w:rPr>
          <w:szCs w:val="24"/>
        </w:rPr>
      </w:pPr>
    </w:p>
    <w:p w:rsidR="00184ED8" w:rsidRDefault="00E847B5" w:rsidP="004E33D2">
      <w:pPr>
        <w:autoSpaceDE w:val="0"/>
        <w:autoSpaceDN w:val="0"/>
        <w:adjustRightInd w:val="0"/>
        <w:ind w:left="720" w:hanging="360"/>
        <w:rPr>
          <w:szCs w:val="24"/>
        </w:rPr>
      </w:pPr>
      <w:r>
        <w:rPr>
          <w:szCs w:val="24"/>
        </w:rPr>
        <w:t>2)</w:t>
      </w:r>
      <w:r w:rsidR="004E33D2" w:rsidRPr="008574F9">
        <w:rPr>
          <w:szCs w:val="24"/>
        </w:rPr>
        <w:tab/>
      </w:r>
      <w:r w:rsidR="00687275">
        <w:rPr>
          <w:szCs w:val="24"/>
        </w:rPr>
        <w:t xml:space="preserve">For </w:t>
      </w:r>
      <w:r w:rsidR="00621B20">
        <w:rPr>
          <w:szCs w:val="24"/>
        </w:rPr>
        <w:t>all units in states covered by both the TR and CAIR, but with a change in program coverage (</w:t>
      </w:r>
      <w:r w:rsidR="00CE2191">
        <w:rPr>
          <w:szCs w:val="24"/>
        </w:rPr>
        <w:t>Florida, Georgia, Louisiana, Mississippi, and Texas)</w:t>
      </w:r>
      <w:r w:rsidR="00621B20">
        <w:rPr>
          <w:szCs w:val="24"/>
        </w:rPr>
        <w:t>, and for ARP-affected units in states covered by the TR but not by CAIR</w:t>
      </w:r>
      <w:r w:rsidR="00CE2191">
        <w:rPr>
          <w:szCs w:val="24"/>
        </w:rPr>
        <w:t xml:space="preserve"> (Kansas, Minnesota, Nebraska, and Oklahoma)</w:t>
      </w:r>
      <w:r w:rsidR="000C02E9" w:rsidRPr="008574F9">
        <w:rPr>
          <w:szCs w:val="24"/>
        </w:rPr>
        <w:t>, the owner or operator will incur</w:t>
      </w:r>
      <w:r w:rsidR="00217148" w:rsidRPr="008574F9">
        <w:rPr>
          <w:szCs w:val="24"/>
        </w:rPr>
        <w:t xml:space="preserve"> </w:t>
      </w:r>
      <w:r w:rsidR="000C02E9" w:rsidRPr="008574F9">
        <w:rPr>
          <w:szCs w:val="24"/>
        </w:rPr>
        <w:t xml:space="preserve">some small amount of burden </w:t>
      </w:r>
      <w:r>
        <w:rPr>
          <w:szCs w:val="24"/>
        </w:rPr>
        <w:t xml:space="preserve">and costs </w:t>
      </w:r>
      <w:r w:rsidR="000C02E9" w:rsidRPr="008574F9">
        <w:rPr>
          <w:szCs w:val="24"/>
        </w:rPr>
        <w:t>associated with DAHS upgrades</w:t>
      </w:r>
      <w:r w:rsidR="002552E4">
        <w:rPr>
          <w:szCs w:val="24"/>
        </w:rPr>
        <w:t xml:space="preserve"> for </w:t>
      </w:r>
      <w:r w:rsidR="00841C6C">
        <w:rPr>
          <w:szCs w:val="24"/>
        </w:rPr>
        <w:t>changing what information that is already monitored and recorded is reported to EPA.</w:t>
      </w:r>
      <w:r w:rsidR="000C02E9" w:rsidRPr="008574F9">
        <w:rPr>
          <w:szCs w:val="24"/>
        </w:rPr>
        <w:t xml:space="preserve"> </w:t>
      </w:r>
    </w:p>
    <w:p w:rsidR="004E33D2" w:rsidRDefault="004E33D2" w:rsidP="004E33D2">
      <w:pPr>
        <w:autoSpaceDE w:val="0"/>
        <w:autoSpaceDN w:val="0"/>
        <w:adjustRightInd w:val="0"/>
        <w:ind w:left="720" w:hanging="360"/>
        <w:rPr>
          <w:szCs w:val="24"/>
        </w:rPr>
      </w:pPr>
    </w:p>
    <w:p w:rsidR="00184ED8" w:rsidRDefault="00E847B5" w:rsidP="004E33D2">
      <w:pPr>
        <w:autoSpaceDE w:val="0"/>
        <w:autoSpaceDN w:val="0"/>
        <w:adjustRightInd w:val="0"/>
        <w:ind w:left="720" w:hanging="360"/>
        <w:rPr>
          <w:szCs w:val="24"/>
        </w:rPr>
      </w:pPr>
      <w:r>
        <w:rPr>
          <w:szCs w:val="24"/>
        </w:rPr>
        <w:t>3)</w:t>
      </w:r>
      <w:r w:rsidR="004E33D2" w:rsidRPr="008574F9">
        <w:rPr>
          <w:szCs w:val="24"/>
        </w:rPr>
        <w:tab/>
      </w:r>
      <w:r w:rsidR="000C02E9" w:rsidRPr="008574F9">
        <w:rPr>
          <w:szCs w:val="24"/>
        </w:rPr>
        <w:t xml:space="preserve">For </w:t>
      </w:r>
      <w:r w:rsidR="00CE2191">
        <w:rPr>
          <w:szCs w:val="24"/>
        </w:rPr>
        <w:t>non-ARP units in states covered by the TR annual programs and not by CAIR (Kansas, Minnesota, and Nebraska)</w:t>
      </w:r>
      <w:r w:rsidR="000C02E9" w:rsidRPr="008574F9">
        <w:rPr>
          <w:szCs w:val="24"/>
        </w:rPr>
        <w:t>, the burdens</w:t>
      </w:r>
      <w:r>
        <w:rPr>
          <w:szCs w:val="24"/>
        </w:rPr>
        <w:t xml:space="preserve"> and costs </w:t>
      </w:r>
      <w:r w:rsidR="000C02E9" w:rsidRPr="008574F9">
        <w:rPr>
          <w:szCs w:val="24"/>
        </w:rPr>
        <w:t xml:space="preserve">reflect </w:t>
      </w:r>
      <w:r w:rsidR="00CE2191">
        <w:rPr>
          <w:szCs w:val="24"/>
        </w:rPr>
        <w:t>purchase and certification of NO</w:t>
      </w:r>
      <w:r w:rsidR="00CE2191" w:rsidRPr="00CE2191">
        <w:rPr>
          <w:szCs w:val="24"/>
          <w:vertAlign w:val="subscript"/>
        </w:rPr>
        <w:t>X</w:t>
      </w:r>
      <w:r w:rsidR="00CE2191">
        <w:rPr>
          <w:szCs w:val="24"/>
        </w:rPr>
        <w:t xml:space="preserve"> and SO</w:t>
      </w:r>
      <w:r w:rsidR="00CE2191" w:rsidRPr="009C7937">
        <w:rPr>
          <w:szCs w:val="24"/>
          <w:vertAlign w:val="subscript"/>
        </w:rPr>
        <w:t>2</w:t>
      </w:r>
      <w:r w:rsidR="00CE2191">
        <w:rPr>
          <w:szCs w:val="24"/>
        </w:rPr>
        <w:t xml:space="preserve"> monitoring systems.</w:t>
      </w:r>
      <w:r w:rsidR="000C02E9" w:rsidRPr="008574F9">
        <w:rPr>
          <w:szCs w:val="24"/>
        </w:rPr>
        <w:t xml:space="preserve"> </w:t>
      </w:r>
    </w:p>
    <w:p w:rsidR="004E33D2" w:rsidRDefault="004E33D2" w:rsidP="004E33D2">
      <w:pPr>
        <w:autoSpaceDE w:val="0"/>
        <w:autoSpaceDN w:val="0"/>
        <w:adjustRightInd w:val="0"/>
        <w:ind w:left="720" w:hanging="360"/>
        <w:rPr>
          <w:szCs w:val="24"/>
        </w:rPr>
      </w:pPr>
    </w:p>
    <w:p w:rsidR="000C02E9" w:rsidRPr="008574F9" w:rsidRDefault="00E847B5" w:rsidP="00AA0E61">
      <w:pPr>
        <w:autoSpaceDE w:val="0"/>
        <w:autoSpaceDN w:val="0"/>
        <w:adjustRightInd w:val="0"/>
        <w:ind w:left="720" w:hanging="360"/>
        <w:rPr>
          <w:szCs w:val="24"/>
        </w:rPr>
      </w:pPr>
      <w:r>
        <w:rPr>
          <w:szCs w:val="24"/>
        </w:rPr>
        <w:t>4)</w:t>
      </w:r>
      <w:r w:rsidR="004E33D2" w:rsidRPr="008574F9">
        <w:rPr>
          <w:szCs w:val="24"/>
        </w:rPr>
        <w:tab/>
      </w:r>
      <w:r w:rsidR="004E33D2" w:rsidRPr="004E33D2">
        <w:rPr>
          <w:szCs w:val="24"/>
        </w:rPr>
        <w:t xml:space="preserve">For </w:t>
      </w:r>
      <w:r w:rsidR="00CE2191">
        <w:rPr>
          <w:szCs w:val="24"/>
        </w:rPr>
        <w:t>non-ARP units in states covered by the TR ozone-season program and not by CAIR (Oklahoma), the burdens and costs</w:t>
      </w:r>
      <w:r w:rsidR="004E33D2" w:rsidRPr="008574F9">
        <w:rPr>
          <w:szCs w:val="24"/>
        </w:rPr>
        <w:t xml:space="preserve"> reflect purchase and certification of </w:t>
      </w:r>
      <w:r w:rsidR="007B40DE" w:rsidRPr="007B40DE">
        <w:rPr>
          <w:szCs w:val="24"/>
        </w:rPr>
        <w:t>NO</w:t>
      </w:r>
      <w:r w:rsidR="007D0F5C">
        <w:rPr>
          <w:szCs w:val="24"/>
          <w:vertAlign w:val="subscript"/>
        </w:rPr>
        <w:t>X</w:t>
      </w:r>
      <w:r w:rsidR="004E33D2" w:rsidRPr="008574F9">
        <w:rPr>
          <w:szCs w:val="24"/>
        </w:rPr>
        <w:t xml:space="preserve"> monitoring systems.</w:t>
      </w:r>
      <w:r w:rsidR="00AA0E61" w:rsidRPr="008574F9" w:rsidDel="00AA0E61">
        <w:rPr>
          <w:szCs w:val="24"/>
        </w:rPr>
        <w:t xml:space="preserve"> </w:t>
      </w:r>
    </w:p>
    <w:p w:rsidR="00CE67EF" w:rsidRDefault="00CE67EF" w:rsidP="000C02E9">
      <w:pPr>
        <w:autoSpaceDE w:val="0"/>
        <w:autoSpaceDN w:val="0"/>
        <w:adjustRightInd w:val="0"/>
        <w:rPr>
          <w:i/>
          <w:iCs/>
          <w:szCs w:val="24"/>
        </w:rPr>
      </w:pPr>
      <w:r>
        <w:rPr>
          <w:i/>
          <w:iCs/>
          <w:szCs w:val="24"/>
        </w:rPr>
        <w:tab/>
      </w:r>
    </w:p>
    <w:p w:rsidR="00D6009C" w:rsidRPr="00344E64" w:rsidRDefault="00CE67EF" w:rsidP="000C02E9">
      <w:pPr>
        <w:autoSpaceDE w:val="0"/>
        <w:autoSpaceDN w:val="0"/>
        <w:adjustRightInd w:val="0"/>
        <w:rPr>
          <w:iCs/>
          <w:szCs w:val="24"/>
        </w:rPr>
      </w:pPr>
      <w:r>
        <w:rPr>
          <w:i/>
          <w:iCs/>
          <w:szCs w:val="24"/>
        </w:rPr>
        <w:tab/>
      </w:r>
      <w:r w:rsidR="00344E64">
        <w:rPr>
          <w:iCs/>
          <w:szCs w:val="24"/>
        </w:rPr>
        <w:t>Note that w</w:t>
      </w:r>
      <w:r w:rsidR="00493AF1" w:rsidRPr="00493AF1">
        <w:rPr>
          <w:iCs/>
          <w:szCs w:val="24"/>
        </w:rPr>
        <w:t>here the start-up burdens were already incurred as a result of CAIR, this ICR reflects minimal burden hours or non-capital costs, but continues to account for annualized capital costs</w:t>
      </w:r>
      <w:r w:rsidR="00841C6C">
        <w:rPr>
          <w:iCs/>
          <w:szCs w:val="24"/>
        </w:rPr>
        <w:t xml:space="preserve"> incremental to burdens accounted for in the ARP ICR</w:t>
      </w:r>
      <w:r w:rsidR="00493AF1" w:rsidRPr="00493AF1">
        <w:rPr>
          <w:iCs/>
          <w:szCs w:val="24"/>
        </w:rPr>
        <w:t xml:space="preserve">. </w:t>
      </w:r>
    </w:p>
    <w:p w:rsidR="005153D7" w:rsidRPr="008574F9" w:rsidRDefault="005153D7" w:rsidP="000C02E9">
      <w:pPr>
        <w:autoSpaceDE w:val="0"/>
        <w:autoSpaceDN w:val="0"/>
        <w:adjustRightInd w:val="0"/>
        <w:rPr>
          <w:i/>
          <w:iCs/>
          <w:szCs w:val="24"/>
        </w:rPr>
      </w:pPr>
    </w:p>
    <w:p w:rsidR="00E86F33" w:rsidRDefault="000C02E9" w:rsidP="006B6347">
      <w:pPr>
        <w:keepNext/>
        <w:autoSpaceDE w:val="0"/>
        <w:autoSpaceDN w:val="0"/>
        <w:adjustRightInd w:val="0"/>
        <w:rPr>
          <w:szCs w:val="24"/>
        </w:rPr>
      </w:pPr>
      <w:r w:rsidRPr="008574F9">
        <w:rPr>
          <w:i/>
          <w:iCs/>
          <w:szCs w:val="24"/>
        </w:rPr>
        <w:t>Regulatory Review</w:t>
      </w:r>
    </w:p>
    <w:p w:rsidR="00E86F33" w:rsidRDefault="00E86F33" w:rsidP="006B6347">
      <w:pPr>
        <w:keepNext/>
        <w:autoSpaceDE w:val="0"/>
        <w:autoSpaceDN w:val="0"/>
        <w:adjustRightInd w:val="0"/>
        <w:ind w:firstLine="720"/>
        <w:rPr>
          <w:szCs w:val="24"/>
        </w:rPr>
      </w:pPr>
    </w:p>
    <w:p w:rsidR="000C02E9" w:rsidRPr="008574F9" w:rsidRDefault="000C02E9" w:rsidP="006B6347">
      <w:pPr>
        <w:keepNext/>
        <w:autoSpaceDE w:val="0"/>
        <w:autoSpaceDN w:val="0"/>
        <w:adjustRightInd w:val="0"/>
        <w:ind w:firstLine="720"/>
        <w:rPr>
          <w:szCs w:val="24"/>
        </w:rPr>
      </w:pPr>
      <w:r w:rsidRPr="008574F9">
        <w:rPr>
          <w:szCs w:val="24"/>
        </w:rPr>
        <w:t>The ICR includes an allocation of time for the managerial and</w:t>
      </w:r>
      <w:r w:rsidR="00217148" w:rsidRPr="008574F9">
        <w:rPr>
          <w:szCs w:val="24"/>
        </w:rPr>
        <w:t xml:space="preserve"> </w:t>
      </w:r>
      <w:r w:rsidRPr="008574F9">
        <w:rPr>
          <w:szCs w:val="24"/>
        </w:rPr>
        <w:t>technical staff to review</w:t>
      </w:r>
      <w:r w:rsidR="00807E40">
        <w:rPr>
          <w:szCs w:val="24"/>
        </w:rPr>
        <w:t xml:space="preserve"> the </w:t>
      </w:r>
      <w:r w:rsidR="00841C6C">
        <w:rPr>
          <w:szCs w:val="24"/>
        </w:rPr>
        <w:t xml:space="preserve">TR </w:t>
      </w:r>
      <w:r w:rsidR="00807E40">
        <w:rPr>
          <w:szCs w:val="24"/>
        </w:rPr>
        <w:t>regulatory requirements as well as</w:t>
      </w:r>
      <w:r w:rsidRPr="008574F9">
        <w:rPr>
          <w:szCs w:val="24"/>
        </w:rPr>
        <w:t xml:space="preserve"> the </w:t>
      </w:r>
      <w:r w:rsidR="00A829B0">
        <w:rPr>
          <w:szCs w:val="24"/>
        </w:rPr>
        <w:t>XML</w:t>
      </w:r>
      <w:r w:rsidRPr="008574F9">
        <w:rPr>
          <w:szCs w:val="24"/>
        </w:rPr>
        <w:t xml:space="preserve"> formats and instructions</w:t>
      </w:r>
      <w:r w:rsidR="00807E40">
        <w:rPr>
          <w:szCs w:val="24"/>
        </w:rPr>
        <w:t xml:space="preserve"> associated with electronic emissions data submissions</w:t>
      </w:r>
      <w:r w:rsidR="003972B1" w:rsidRPr="008574F9">
        <w:rPr>
          <w:szCs w:val="24"/>
        </w:rPr>
        <w:t xml:space="preserve">.  </w:t>
      </w:r>
      <w:r w:rsidRPr="008574F9">
        <w:rPr>
          <w:szCs w:val="24"/>
        </w:rPr>
        <w:t>The</w:t>
      </w:r>
      <w:r w:rsidR="00217148" w:rsidRPr="008574F9">
        <w:rPr>
          <w:szCs w:val="24"/>
        </w:rPr>
        <w:t xml:space="preserve"> </w:t>
      </w:r>
      <w:r w:rsidR="000C2CBF">
        <w:rPr>
          <w:szCs w:val="24"/>
        </w:rPr>
        <w:t>units not in the ARP</w:t>
      </w:r>
      <w:r w:rsidR="00CB2ED9">
        <w:rPr>
          <w:szCs w:val="24"/>
        </w:rPr>
        <w:t xml:space="preserve"> or</w:t>
      </w:r>
      <w:r w:rsidR="0012505C">
        <w:rPr>
          <w:szCs w:val="24"/>
        </w:rPr>
        <w:t xml:space="preserve"> CAIR</w:t>
      </w:r>
      <w:r w:rsidR="000C2CBF">
        <w:rPr>
          <w:szCs w:val="24"/>
        </w:rPr>
        <w:t xml:space="preserve"> programs</w:t>
      </w:r>
      <w:r w:rsidRPr="008574F9">
        <w:rPr>
          <w:szCs w:val="24"/>
        </w:rPr>
        <w:t xml:space="preserve"> will have a burden similar to that</w:t>
      </w:r>
      <w:r w:rsidR="00217148" w:rsidRPr="008574F9">
        <w:rPr>
          <w:szCs w:val="24"/>
        </w:rPr>
        <w:t xml:space="preserve"> </w:t>
      </w:r>
      <w:r w:rsidRPr="008574F9">
        <w:rPr>
          <w:szCs w:val="24"/>
        </w:rPr>
        <w:t xml:space="preserve">estimated for </w:t>
      </w:r>
      <w:r w:rsidR="00F01416">
        <w:rPr>
          <w:szCs w:val="24"/>
        </w:rPr>
        <w:t>ARP</w:t>
      </w:r>
      <w:r w:rsidRPr="008574F9">
        <w:rPr>
          <w:szCs w:val="24"/>
        </w:rPr>
        <w:t xml:space="preserve"> units in the </w:t>
      </w:r>
      <w:r w:rsidR="00F01416">
        <w:rPr>
          <w:szCs w:val="24"/>
        </w:rPr>
        <w:t>ARP</w:t>
      </w:r>
      <w:r w:rsidRPr="008574F9">
        <w:rPr>
          <w:szCs w:val="24"/>
        </w:rPr>
        <w:t xml:space="preserve"> </w:t>
      </w:r>
      <w:r w:rsidRPr="00D8541A">
        <w:rPr>
          <w:szCs w:val="24"/>
        </w:rPr>
        <w:t xml:space="preserve">ICR -- </w:t>
      </w:r>
      <w:r w:rsidR="001574E9" w:rsidRPr="00D8541A">
        <w:rPr>
          <w:szCs w:val="24"/>
        </w:rPr>
        <w:t xml:space="preserve">16 </w:t>
      </w:r>
      <w:r w:rsidRPr="00D8541A">
        <w:rPr>
          <w:szCs w:val="24"/>
        </w:rPr>
        <w:t>hours of managerial</w:t>
      </w:r>
      <w:r w:rsidR="00217148" w:rsidRPr="00D8541A">
        <w:rPr>
          <w:szCs w:val="24"/>
        </w:rPr>
        <w:t xml:space="preserve"> </w:t>
      </w:r>
      <w:r w:rsidRPr="00D8541A">
        <w:rPr>
          <w:szCs w:val="24"/>
        </w:rPr>
        <w:t xml:space="preserve">time and </w:t>
      </w:r>
      <w:r w:rsidR="001574E9" w:rsidRPr="00D8541A">
        <w:rPr>
          <w:szCs w:val="24"/>
        </w:rPr>
        <w:t xml:space="preserve">16 </w:t>
      </w:r>
      <w:r w:rsidRPr="00D8541A">
        <w:rPr>
          <w:szCs w:val="24"/>
        </w:rPr>
        <w:t xml:space="preserve">hours of technician time in year one of the program and </w:t>
      </w:r>
      <w:r w:rsidR="00592E0E" w:rsidRPr="00D8541A">
        <w:rPr>
          <w:szCs w:val="24"/>
        </w:rPr>
        <w:t>four</w:t>
      </w:r>
      <w:r w:rsidRPr="00D8541A">
        <w:rPr>
          <w:szCs w:val="24"/>
        </w:rPr>
        <w:t xml:space="preserve"> hours each for managerial</w:t>
      </w:r>
      <w:r w:rsidR="00217148" w:rsidRPr="00D8541A">
        <w:rPr>
          <w:szCs w:val="24"/>
        </w:rPr>
        <w:t xml:space="preserve"> </w:t>
      </w:r>
      <w:r w:rsidRPr="00D8541A">
        <w:rPr>
          <w:szCs w:val="24"/>
        </w:rPr>
        <w:t>and technician time, per year, after year one</w:t>
      </w:r>
      <w:r w:rsidR="003972B1" w:rsidRPr="00D8541A">
        <w:rPr>
          <w:szCs w:val="24"/>
        </w:rPr>
        <w:t xml:space="preserve">.  </w:t>
      </w:r>
      <w:r w:rsidRPr="00D8541A">
        <w:rPr>
          <w:szCs w:val="24"/>
        </w:rPr>
        <w:t xml:space="preserve">The burden estimates for all </w:t>
      </w:r>
      <w:r w:rsidR="00C30592" w:rsidRPr="00D8541A">
        <w:rPr>
          <w:szCs w:val="24"/>
        </w:rPr>
        <w:t xml:space="preserve">units previously included in the </w:t>
      </w:r>
      <w:r w:rsidR="000C2CBF" w:rsidRPr="00D8541A">
        <w:rPr>
          <w:szCs w:val="24"/>
        </w:rPr>
        <w:t>ARP</w:t>
      </w:r>
      <w:r w:rsidR="006F03E8" w:rsidRPr="00D8541A">
        <w:rPr>
          <w:szCs w:val="24"/>
        </w:rPr>
        <w:t xml:space="preserve"> </w:t>
      </w:r>
      <w:r w:rsidR="00CB2ED9" w:rsidRPr="00D8541A">
        <w:rPr>
          <w:szCs w:val="24"/>
        </w:rPr>
        <w:t xml:space="preserve">or </w:t>
      </w:r>
      <w:r w:rsidR="00C30592" w:rsidRPr="00D8541A">
        <w:rPr>
          <w:szCs w:val="24"/>
        </w:rPr>
        <w:t>CAIR</w:t>
      </w:r>
      <w:r w:rsidRPr="00D8541A">
        <w:rPr>
          <w:szCs w:val="24"/>
        </w:rPr>
        <w:t xml:space="preserve"> is reduced because of the similar requirements</w:t>
      </w:r>
      <w:r w:rsidR="00B4371D" w:rsidRPr="00D8541A">
        <w:rPr>
          <w:szCs w:val="24"/>
        </w:rPr>
        <w:t xml:space="preserve"> involved in these trading programs</w:t>
      </w:r>
      <w:r w:rsidR="003972B1" w:rsidRPr="00D8541A">
        <w:rPr>
          <w:szCs w:val="24"/>
        </w:rPr>
        <w:t xml:space="preserve">.  </w:t>
      </w:r>
      <w:r w:rsidRPr="00D8541A">
        <w:rPr>
          <w:szCs w:val="24"/>
        </w:rPr>
        <w:t xml:space="preserve">The estimates for these units are </w:t>
      </w:r>
      <w:r w:rsidR="001574E9" w:rsidRPr="00D8541A">
        <w:rPr>
          <w:szCs w:val="24"/>
        </w:rPr>
        <w:t xml:space="preserve">ten </w:t>
      </w:r>
      <w:r w:rsidRPr="00D8541A">
        <w:rPr>
          <w:szCs w:val="24"/>
        </w:rPr>
        <w:t xml:space="preserve">hours of managerial time and </w:t>
      </w:r>
      <w:r w:rsidR="001574E9" w:rsidRPr="00D8541A">
        <w:rPr>
          <w:szCs w:val="24"/>
        </w:rPr>
        <w:t xml:space="preserve">ten </w:t>
      </w:r>
      <w:r w:rsidRPr="00D8541A">
        <w:rPr>
          <w:szCs w:val="24"/>
        </w:rPr>
        <w:t>hours of</w:t>
      </w:r>
      <w:r w:rsidR="00217148" w:rsidRPr="00D8541A">
        <w:rPr>
          <w:szCs w:val="24"/>
        </w:rPr>
        <w:t xml:space="preserve"> </w:t>
      </w:r>
      <w:r w:rsidRPr="00D8541A">
        <w:rPr>
          <w:szCs w:val="24"/>
        </w:rPr>
        <w:t xml:space="preserve">technician time in year one and </w:t>
      </w:r>
      <w:r w:rsidR="00592E0E" w:rsidRPr="00D8541A">
        <w:rPr>
          <w:szCs w:val="24"/>
        </w:rPr>
        <w:t>one</w:t>
      </w:r>
      <w:r w:rsidRPr="00D8541A">
        <w:rPr>
          <w:szCs w:val="24"/>
        </w:rPr>
        <w:t xml:space="preserve"> hour each per year after year one.</w:t>
      </w:r>
    </w:p>
    <w:p w:rsidR="00D6009C" w:rsidRPr="008574F9" w:rsidRDefault="00D6009C" w:rsidP="000C02E9">
      <w:pPr>
        <w:autoSpaceDE w:val="0"/>
        <w:autoSpaceDN w:val="0"/>
        <w:adjustRightInd w:val="0"/>
        <w:rPr>
          <w:i/>
          <w:iCs/>
          <w:szCs w:val="24"/>
        </w:rPr>
      </w:pPr>
    </w:p>
    <w:p w:rsidR="004C38AD" w:rsidRDefault="000C02E9" w:rsidP="004C38AD">
      <w:pPr>
        <w:autoSpaceDE w:val="0"/>
        <w:autoSpaceDN w:val="0"/>
        <w:adjustRightInd w:val="0"/>
        <w:rPr>
          <w:szCs w:val="24"/>
        </w:rPr>
      </w:pPr>
      <w:r w:rsidRPr="008574F9">
        <w:rPr>
          <w:i/>
          <w:iCs/>
          <w:szCs w:val="24"/>
        </w:rPr>
        <w:t>Response to Error Messages</w:t>
      </w:r>
    </w:p>
    <w:p w:rsidR="004C38AD" w:rsidRDefault="004C38AD" w:rsidP="00217148">
      <w:pPr>
        <w:autoSpaceDE w:val="0"/>
        <w:autoSpaceDN w:val="0"/>
        <w:adjustRightInd w:val="0"/>
        <w:ind w:firstLine="720"/>
        <w:rPr>
          <w:szCs w:val="24"/>
        </w:rPr>
      </w:pPr>
    </w:p>
    <w:p w:rsidR="000C02E9" w:rsidRPr="008574F9" w:rsidRDefault="000C02E9" w:rsidP="00217148">
      <w:pPr>
        <w:autoSpaceDE w:val="0"/>
        <w:autoSpaceDN w:val="0"/>
        <w:adjustRightInd w:val="0"/>
        <w:ind w:firstLine="720"/>
        <w:rPr>
          <w:szCs w:val="24"/>
        </w:rPr>
      </w:pPr>
      <w:r w:rsidRPr="00D8541A">
        <w:rPr>
          <w:szCs w:val="24"/>
        </w:rPr>
        <w:t>The Agency provid</w:t>
      </w:r>
      <w:r w:rsidR="00BC4476" w:rsidRPr="00D8541A">
        <w:rPr>
          <w:szCs w:val="24"/>
        </w:rPr>
        <w:t xml:space="preserve">es feedback </w:t>
      </w:r>
      <w:r w:rsidRPr="00D8541A">
        <w:rPr>
          <w:szCs w:val="24"/>
        </w:rPr>
        <w:t>for</w:t>
      </w:r>
      <w:r w:rsidR="00217148" w:rsidRPr="00D8541A">
        <w:rPr>
          <w:szCs w:val="24"/>
        </w:rPr>
        <w:t xml:space="preserve"> </w:t>
      </w:r>
      <w:r w:rsidRPr="00D8541A">
        <w:rPr>
          <w:szCs w:val="24"/>
        </w:rPr>
        <w:t>errors that are found in monitoring plans or other reports</w:t>
      </w:r>
      <w:r w:rsidR="003972B1" w:rsidRPr="00D8541A">
        <w:rPr>
          <w:szCs w:val="24"/>
        </w:rPr>
        <w:t xml:space="preserve">.  </w:t>
      </w:r>
      <w:r w:rsidRPr="00D8541A">
        <w:rPr>
          <w:szCs w:val="24"/>
        </w:rPr>
        <w:t>The Agency estimates that for each</w:t>
      </w:r>
      <w:r w:rsidR="00217148" w:rsidRPr="00D8541A">
        <w:rPr>
          <w:szCs w:val="24"/>
        </w:rPr>
        <w:t xml:space="preserve"> </w:t>
      </w:r>
      <w:r w:rsidRPr="00D8541A">
        <w:rPr>
          <w:szCs w:val="24"/>
        </w:rPr>
        <w:t xml:space="preserve">unit not </w:t>
      </w:r>
      <w:r w:rsidR="00C30592" w:rsidRPr="00D8541A">
        <w:rPr>
          <w:szCs w:val="24"/>
        </w:rPr>
        <w:t xml:space="preserve">previously included </w:t>
      </w:r>
      <w:r w:rsidRPr="00D8541A">
        <w:rPr>
          <w:szCs w:val="24"/>
        </w:rPr>
        <w:t xml:space="preserve">in the </w:t>
      </w:r>
      <w:r w:rsidR="00DE1A89">
        <w:rPr>
          <w:szCs w:val="24"/>
        </w:rPr>
        <w:t>ARP</w:t>
      </w:r>
      <w:r w:rsidRPr="00D8541A">
        <w:rPr>
          <w:szCs w:val="24"/>
        </w:rPr>
        <w:t xml:space="preserve">, an owner or operator will spend approximately </w:t>
      </w:r>
      <w:r w:rsidR="007B40DE" w:rsidRPr="00D8541A">
        <w:rPr>
          <w:szCs w:val="24"/>
        </w:rPr>
        <w:t>four</w:t>
      </w:r>
      <w:r w:rsidR="00217148" w:rsidRPr="00D8541A">
        <w:rPr>
          <w:szCs w:val="24"/>
        </w:rPr>
        <w:t xml:space="preserve"> </w:t>
      </w:r>
      <w:r w:rsidRPr="00D8541A">
        <w:rPr>
          <w:szCs w:val="24"/>
        </w:rPr>
        <w:t xml:space="preserve">hours of managerial time and </w:t>
      </w:r>
      <w:r w:rsidR="007B40DE" w:rsidRPr="00D8541A">
        <w:rPr>
          <w:szCs w:val="24"/>
        </w:rPr>
        <w:t>eight</w:t>
      </w:r>
      <w:r w:rsidRPr="00D8541A">
        <w:rPr>
          <w:szCs w:val="24"/>
        </w:rPr>
        <w:t xml:space="preserve"> hours of technician time res</w:t>
      </w:r>
      <w:r w:rsidR="00217148" w:rsidRPr="00D8541A">
        <w:rPr>
          <w:szCs w:val="24"/>
        </w:rPr>
        <w:t xml:space="preserve">ponding to these error messages </w:t>
      </w:r>
      <w:r w:rsidRPr="00D8541A">
        <w:rPr>
          <w:szCs w:val="24"/>
        </w:rPr>
        <w:t>each</w:t>
      </w:r>
      <w:r w:rsidR="00217148" w:rsidRPr="00D8541A">
        <w:rPr>
          <w:szCs w:val="24"/>
        </w:rPr>
        <w:t xml:space="preserve"> </w:t>
      </w:r>
      <w:r w:rsidRPr="00D8541A">
        <w:rPr>
          <w:szCs w:val="24"/>
        </w:rPr>
        <w:t>year</w:t>
      </w:r>
      <w:r w:rsidR="003972B1" w:rsidRPr="00D8541A">
        <w:rPr>
          <w:szCs w:val="24"/>
        </w:rPr>
        <w:t xml:space="preserve">.  </w:t>
      </w:r>
      <w:r w:rsidRPr="00D8541A">
        <w:rPr>
          <w:szCs w:val="24"/>
        </w:rPr>
        <w:t>(The time for the other sources is accounted for in other ICRs.)</w:t>
      </w:r>
    </w:p>
    <w:p w:rsidR="00D6009C" w:rsidRPr="008574F9" w:rsidRDefault="00D6009C" w:rsidP="000C02E9">
      <w:pPr>
        <w:autoSpaceDE w:val="0"/>
        <w:autoSpaceDN w:val="0"/>
        <w:adjustRightInd w:val="0"/>
        <w:rPr>
          <w:i/>
          <w:iCs/>
          <w:szCs w:val="24"/>
        </w:rPr>
      </w:pPr>
    </w:p>
    <w:p w:rsidR="003972B1" w:rsidRDefault="000C02E9" w:rsidP="00EC41B5">
      <w:pPr>
        <w:keepNext/>
        <w:autoSpaceDE w:val="0"/>
        <w:autoSpaceDN w:val="0"/>
        <w:adjustRightInd w:val="0"/>
        <w:rPr>
          <w:szCs w:val="24"/>
        </w:rPr>
      </w:pPr>
      <w:r w:rsidRPr="008574F9">
        <w:rPr>
          <w:i/>
          <w:iCs/>
          <w:szCs w:val="24"/>
        </w:rPr>
        <w:lastRenderedPageBreak/>
        <w:t>DAHS Debugging</w:t>
      </w:r>
    </w:p>
    <w:p w:rsidR="003972B1" w:rsidRDefault="003972B1" w:rsidP="00EC41B5">
      <w:pPr>
        <w:keepNext/>
        <w:autoSpaceDE w:val="0"/>
        <w:autoSpaceDN w:val="0"/>
        <w:adjustRightInd w:val="0"/>
        <w:ind w:firstLine="720"/>
        <w:rPr>
          <w:szCs w:val="24"/>
        </w:rPr>
      </w:pPr>
    </w:p>
    <w:p w:rsidR="000C02E9" w:rsidRPr="008574F9" w:rsidRDefault="000C02E9" w:rsidP="00EC41B5">
      <w:pPr>
        <w:keepNext/>
        <w:autoSpaceDE w:val="0"/>
        <w:autoSpaceDN w:val="0"/>
        <w:adjustRightInd w:val="0"/>
        <w:ind w:firstLine="720"/>
        <w:rPr>
          <w:szCs w:val="24"/>
        </w:rPr>
      </w:pPr>
      <w:r w:rsidRPr="00D8541A">
        <w:rPr>
          <w:szCs w:val="24"/>
        </w:rPr>
        <w:t xml:space="preserve">Based </w:t>
      </w:r>
      <w:r w:rsidR="00BC4476" w:rsidRPr="00D8541A">
        <w:rPr>
          <w:szCs w:val="24"/>
        </w:rPr>
        <w:t xml:space="preserve">on experience with the ARP </w:t>
      </w:r>
      <w:r w:rsidR="00CA16F5" w:rsidRPr="00D8541A">
        <w:rPr>
          <w:szCs w:val="24"/>
        </w:rPr>
        <w:t>and CAIR</w:t>
      </w:r>
      <w:r w:rsidRPr="00D8541A">
        <w:rPr>
          <w:szCs w:val="24"/>
        </w:rPr>
        <w:t xml:space="preserve"> Program</w:t>
      </w:r>
      <w:r w:rsidR="00CA16F5" w:rsidRPr="00D8541A">
        <w:rPr>
          <w:szCs w:val="24"/>
        </w:rPr>
        <w:t>s</w:t>
      </w:r>
      <w:r w:rsidRPr="00D8541A">
        <w:rPr>
          <w:szCs w:val="24"/>
        </w:rPr>
        <w:t>, some effort will</w:t>
      </w:r>
      <w:r w:rsidR="00217148" w:rsidRPr="00D8541A">
        <w:rPr>
          <w:szCs w:val="24"/>
        </w:rPr>
        <w:t xml:space="preserve"> </w:t>
      </w:r>
      <w:r w:rsidRPr="00D8541A">
        <w:rPr>
          <w:szCs w:val="24"/>
        </w:rPr>
        <w:t xml:space="preserve">be involved to fix problems with the DAHS software used to report in the </w:t>
      </w:r>
      <w:r w:rsidR="00D56CFE" w:rsidRPr="00D8541A">
        <w:rPr>
          <w:szCs w:val="24"/>
        </w:rPr>
        <w:t>40 CFR part 75</w:t>
      </w:r>
      <w:r w:rsidRPr="00D8541A">
        <w:rPr>
          <w:szCs w:val="24"/>
        </w:rPr>
        <w:t xml:space="preserve"> formats</w:t>
      </w:r>
      <w:r w:rsidR="003972B1" w:rsidRPr="00D8541A">
        <w:rPr>
          <w:szCs w:val="24"/>
        </w:rPr>
        <w:t xml:space="preserve">.  </w:t>
      </w:r>
      <w:r w:rsidRPr="00D8541A">
        <w:rPr>
          <w:szCs w:val="24"/>
        </w:rPr>
        <w:t>This</w:t>
      </w:r>
      <w:r w:rsidR="00217148" w:rsidRPr="00D8541A">
        <w:rPr>
          <w:szCs w:val="24"/>
        </w:rPr>
        <w:t xml:space="preserve"> </w:t>
      </w:r>
      <w:r w:rsidRPr="00D8541A">
        <w:rPr>
          <w:szCs w:val="24"/>
        </w:rPr>
        <w:t xml:space="preserve">burden is assumed to fall primarily on units that </w:t>
      </w:r>
      <w:r w:rsidR="00C30592" w:rsidRPr="00D8541A">
        <w:rPr>
          <w:szCs w:val="24"/>
        </w:rPr>
        <w:t>have</w:t>
      </w:r>
      <w:r w:rsidRPr="00D8541A">
        <w:rPr>
          <w:szCs w:val="24"/>
        </w:rPr>
        <w:t xml:space="preserve"> not </w:t>
      </w:r>
      <w:r w:rsidR="00C30592" w:rsidRPr="00D8541A">
        <w:rPr>
          <w:szCs w:val="24"/>
        </w:rPr>
        <w:t xml:space="preserve">previously been </w:t>
      </w:r>
      <w:r w:rsidR="00BC4476" w:rsidRPr="00D8541A">
        <w:rPr>
          <w:szCs w:val="24"/>
        </w:rPr>
        <w:t>affected under the ARP</w:t>
      </w:r>
      <w:r w:rsidR="00DE1A89">
        <w:rPr>
          <w:szCs w:val="24"/>
        </w:rPr>
        <w:t xml:space="preserve"> or</w:t>
      </w:r>
      <w:r w:rsidR="00BC4476" w:rsidRPr="00D8541A">
        <w:rPr>
          <w:szCs w:val="24"/>
        </w:rPr>
        <w:t xml:space="preserve"> CAIR</w:t>
      </w:r>
      <w:r w:rsidR="003972B1" w:rsidRPr="00D8541A">
        <w:rPr>
          <w:szCs w:val="24"/>
        </w:rPr>
        <w:t xml:space="preserve">.  </w:t>
      </w:r>
      <w:r w:rsidRPr="00D8541A">
        <w:rPr>
          <w:szCs w:val="24"/>
        </w:rPr>
        <w:t xml:space="preserve">Consistent with the existing </w:t>
      </w:r>
      <w:r w:rsidR="00250395">
        <w:rPr>
          <w:szCs w:val="24"/>
        </w:rPr>
        <w:t>ARP ICR</w:t>
      </w:r>
      <w:r w:rsidRPr="00D8541A">
        <w:rPr>
          <w:szCs w:val="24"/>
        </w:rPr>
        <w:t>, the Agency estimates that</w:t>
      </w:r>
      <w:r w:rsidR="00217148" w:rsidRPr="00D8541A">
        <w:rPr>
          <w:szCs w:val="24"/>
        </w:rPr>
        <w:t xml:space="preserve"> </w:t>
      </w:r>
      <w:r w:rsidRPr="00D8541A">
        <w:rPr>
          <w:szCs w:val="24"/>
        </w:rPr>
        <w:t xml:space="preserve">about </w:t>
      </w:r>
      <w:r w:rsidR="001574E9" w:rsidRPr="00D8541A">
        <w:rPr>
          <w:szCs w:val="24"/>
        </w:rPr>
        <w:t>14</w:t>
      </w:r>
      <w:r w:rsidR="00273A97" w:rsidRPr="00D8541A">
        <w:rPr>
          <w:szCs w:val="24"/>
        </w:rPr>
        <w:t xml:space="preserve"> </w:t>
      </w:r>
      <w:r w:rsidRPr="00D8541A">
        <w:rPr>
          <w:szCs w:val="24"/>
        </w:rPr>
        <w:t xml:space="preserve">managerial and </w:t>
      </w:r>
      <w:r w:rsidR="001574E9" w:rsidRPr="00D8541A">
        <w:rPr>
          <w:szCs w:val="24"/>
        </w:rPr>
        <w:t xml:space="preserve">80 </w:t>
      </w:r>
      <w:r w:rsidRPr="00D8541A">
        <w:rPr>
          <w:szCs w:val="24"/>
        </w:rPr>
        <w:t>technician hours will be spent on this task in the first year of</w:t>
      </w:r>
      <w:r w:rsidR="00217148" w:rsidRPr="00D8541A">
        <w:rPr>
          <w:szCs w:val="24"/>
        </w:rPr>
        <w:t xml:space="preserve"> </w:t>
      </w:r>
      <w:r w:rsidRPr="00D8541A">
        <w:rPr>
          <w:szCs w:val="24"/>
        </w:rPr>
        <w:t xml:space="preserve">implementation, and then </w:t>
      </w:r>
      <w:r w:rsidR="007B40DE" w:rsidRPr="00D8541A">
        <w:rPr>
          <w:szCs w:val="24"/>
        </w:rPr>
        <w:t>one</w:t>
      </w:r>
      <w:r w:rsidRPr="00D8541A">
        <w:rPr>
          <w:szCs w:val="24"/>
        </w:rPr>
        <w:t xml:space="preserve"> managerial and </w:t>
      </w:r>
      <w:r w:rsidR="007B40DE" w:rsidRPr="00D8541A">
        <w:rPr>
          <w:szCs w:val="24"/>
        </w:rPr>
        <w:t>four</w:t>
      </w:r>
      <w:r w:rsidRPr="00D8541A">
        <w:rPr>
          <w:szCs w:val="24"/>
        </w:rPr>
        <w:t xml:space="preserve"> technician hours will be required in the second and</w:t>
      </w:r>
      <w:r w:rsidR="00217148" w:rsidRPr="00D8541A">
        <w:rPr>
          <w:szCs w:val="24"/>
        </w:rPr>
        <w:t xml:space="preserve"> </w:t>
      </w:r>
      <w:r w:rsidRPr="00D8541A">
        <w:rPr>
          <w:szCs w:val="24"/>
        </w:rPr>
        <w:t>subsequent years of implementation</w:t>
      </w:r>
      <w:r w:rsidR="0006245A" w:rsidRPr="00D8541A">
        <w:rPr>
          <w:szCs w:val="24"/>
        </w:rPr>
        <w:t xml:space="preserve">.  </w:t>
      </w:r>
      <w:r w:rsidR="00CE67EF" w:rsidRPr="00D8541A">
        <w:rPr>
          <w:szCs w:val="24"/>
        </w:rPr>
        <w:t xml:space="preserve">Units </w:t>
      </w:r>
      <w:r w:rsidR="00BC4476" w:rsidRPr="00D8541A">
        <w:rPr>
          <w:szCs w:val="24"/>
        </w:rPr>
        <w:t xml:space="preserve">that are subject to the ARP, and/or were </w:t>
      </w:r>
      <w:r w:rsidR="00CE67EF" w:rsidRPr="00D8541A">
        <w:rPr>
          <w:szCs w:val="24"/>
        </w:rPr>
        <w:t>previously subject to CAIR</w:t>
      </w:r>
      <w:r w:rsidR="00BC4476" w:rsidRPr="00D8541A">
        <w:rPr>
          <w:szCs w:val="24"/>
        </w:rPr>
        <w:t>,</w:t>
      </w:r>
      <w:r w:rsidR="001A6513" w:rsidRPr="00D8541A">
        <w:rPr>
          <w:szCs w:val="24"/>
        </w:rPr>
        <w:t xml:space="preserve"> </w:t>
      </w:r>
      <w:r w:rsidR="00CE67EF" w:rsidRPr="00D8541A">
        <w:rPr>
          <w:szCs w:val="24"/>
        </w:rPr>
        <w:t xml:space="preserve">are expected to incur the </w:t>
      </w:r>
      <w:r w:rsidR="00033581" w:rsidRPr="00D8541A">
        <w:rPr>
          <w:szCs w:val="24"/>
        </w:rPr>
        <w:t>"</w:t>
      </w:r>
      <w:r w:rsidR="00CE67EF" w:rsidRPr="00D8541A">
        <w:rPr>
          <w:szCs w:val="24"/>
        </w:rPr>
        <w:t>subsequent years</w:t>
      </w:r>
      <w:r w:rsidR="00033581" w:rsidRPr="00D8541A">
        <w:rPr>
          <w:szCs w:val="24"/>
        </w:rPr>
        <w:t>"</w:t>
      </w:r>
      <w:r w:rsidR="00CE67EF" w:rsidRPr="00D8541A">
        <w:rPr>
          <w:szCs w:val="24"/>
        </w:rPr>
        <w:t xml:space="preserve"> burden.</w:t>
      </w:r>
    </w:p>
    <w:p w:rsidR="00D6009C" w:rsidRDefault="00D6009C" w:rsidP="000C02E9">
      <w:pPr>
        <w:autoSpaceDE w:val="0"/>
        <w:autoSpaceDN w:val="0"/>
        <w:adjustRightInd w:val="0"/>
        <w:rPr>
          <w:i/>
          <w:iCs/>
          <w:szCs w:val="24"/>
        </w:rPr>
      </w:pPr>
    </w:p>
    <w:p w:rsidR="004C38AD" w:rsidRDefault="000C02E9" w:rsidP="004C38AD">
      <w:pPr>
        <w:autoSpaceDE w:val="0"/>
        <w:autoSpaceDN w:val="0"/>
        <w:adjustRightInd w:val="0"/>
        <w:rPr>
          <w:szCs w:val="24"/>
        </w:rPr>
      </w:pPr>
      <w:r w:rsidRPr="008574F9">
        <w:rPr>
          <w:i/>
          <w:iCs/>
          <w:szCs w:val="24"/>
        </w:rPr>
        <w:t>Monitoring Plans</w:t>
      </w:r>
    </w:p>
    <w:p w:rsidR="004C38AD" w:rsidRDefault="004C38AD" w:rsidP="00217148">
      <w:pPr>
        <w:autoSpaceDE w:val="0"/>
        <w:autoSpaceDN w:val="0"/>
        <w:adjustRightInd w:val="0"/>
        <w:ind w:firstLine="720"/>
        <w:rPr>
          <w:szCs w:val="24"/>
        </w:rPr>
      </w:pPr>
    </w:p>
    <w:p w:rsidR="000C02E9" w:rsidRPr="008574F9" w:rsidRDefault="000C02E9" w:rsidP="00217148">
      <w:pPr>
        <w:autoSpaceDE w:val="0"/>
        <w:autoSpaceDN w:val="0"/>
        <w:adjustRightInd w:val="0"/>
        <w:ind w:firstLine="720"/>
        <w:rPr>
          <w:szCs w:val="24"/>
        </w:rPr>
      </w:pPr>
      <w:r w:rsidRPr="008574F9">
        <w:rPr>
          <w:szCs w:val="24"/>
        </w:rPr>
        <w:t>The regulations require submittal of monitoring plans</w:t>
      </w:r>
      <w:r w:rsidR="003972B1" w:rsidRPr="008574F9">
        <w:rPr>
          <w:szCs w:val="24"/>
        </w:rPr>
        <w:t xml:space="preserve">.  </w:t>
      </w:r>
      <w:r w:rsidRPr="008574F9">
        <w:rPr>
          <w:szCs w:val="24"/>
        </w:rPr>
        <w:t>Because most</w:t>
      </w:r>
      <w:r w:rsidR="00217148" w:rsidRPr="008574F9">
        <w:rPr>
          <w:szCs w:val="24"/>
        </w:rPr>
        <w:t xml:space="preserve"> </w:t>
      </w:r>
      <w:r w:rsidRPr="008574F9">
        <w:rPr>
          <w:szCs w:val="24"/>
        </w:rPr>
        <w:t xml:space="preserve">of the monitoring plan elements are now part of the </w:t>
      </w:r>
      <w:r w:rsidR="00720CC5">
        <w:rPr>
          <w:szCs w:val="24"/>
        </w:rPr>
        <w:t>reporting</w:t>
      </w:r>
      <w:r w:rsidR="00217148" w:rsidRPr="008574F9">
        <w:rPr>
          <w:szCs w:val="24"/>
        </w:rPr>
        <w:t xml:space="preserve"> format, the effort involved in </w:t>
      </w:r>
      <w:r w:rsidRPr="008574F9">
        <w:rPr>
          <w:szCs w:val="24"/>
        </w:rPr>
        <w:t>developing</w:t>
      </w:r>
      <w:r w:rsidR="00217148" w:rsidRPr="008574F9">
        <w:rPr>
          <w:szCs w:val="24"/>
        </w:rPr>
        <w:t xml:space="preserve"> </w:t>
      </w:r>
      <w:r w:rsidRPr="008574F9">
        <w:rPr>
          <w:szCs w:val="24"/>
        </w:rPr>
        <w:t>and maintaining the plans are incorporated into the overall reporting burden estimate.</w:t>
      </w:r>
    </w:p>
    <w:p w:rsidR="00D6009C" w:rsidRPr="008574F9" w:rsidRDefault="00D6009C" w:rsidP="000C02E9">
      <w:pPr>
        <w:autoSpaceDE w:val="0"/>
        <w:autoSpaceDN w:val="0"/>
        <w:adjustRightInd w:val="0"/>
        <w:rPr>
          <w:i/>
          <w:iCs/>
          <w:szCs w:val="24"/>
        </w:rPr>
      </w:pPr>
    </w:p>
    <w:p w:rsidR="004C38AD" w:rsidRDefault="000C02E9" w:rsidP="00BE7306">
      <w:pPr>
        <w:keepNext/>
        <w:autoSpaceDE w:val="0"/>
        <w:autoSpaceDN w:val="0"/>
        <w:adjustRightInd w:val="0"/>
        <w:rPr>
          <w:szCs w:val="24"/>
        </w:rPr>
      </w:pPr>
      <w:r w:rsidRPr="008574F9">
        <w:rPr>
          <w:i/>
          <w:iCs/>
          <w:szCs w:val="24"/>
        </w:rPr>
        <w:t>Monitor Certification/Recertification</w:t>
      </w:r>
    </w:p>
    <w:p w:rsidR="004C38AD" w:rsidRDefault="004C38AD" w:rsidP="00BE7306">
      <w:pPr>
        <w:keepNext/>
        <w:autoSpaceDE w:val="0"/>
        <w:autoSpaceDN w:val="0"/>
        <w:adjustRightInd w:val="0"/>
        <w:rPr>
          <w:szCs w:val="24"/>
        </w:rPr>
      </w:pPr>
    </w:p>
    <w:p w:rsidR="000C02E9" w:rsidRPr="008574F9" w:rsidRDefault="004C38AD" w:rsidP="004C38AD">
      <w:pPr>
        <w:autoSpaceDE w:val="0"/>
        <w:autoSpaceDN w:val="0"/>
        <w:adjustRightInd w:val="0"/>
        <w:rPr>
          <w:szCs w:val="24"/>
        </w:rPr>
      </w:pPr>
      <w:r>
        <w:rPr>
          <w:szCs w:val="24"/>
        </w:rPr>
        <w:tab/>
      </w:r>
      <w:r w:rsidR="000C02E9" w:rsidRPr="008574F9">
        <w:rPr>
          <w:szCs w:val="24"/>
        </w:rPr>
        <w:t>Initial certification burdens and costs for new</w:t>
      </w:r>
      <w:r w:rsidR="00217148" w:rsidRPr="008574F9">
        <w:rPr>
          <w:szCs w:val="24"/>
        </w:rPr>
        <w:t xml:space="preserve"> </w:t>
      </w:r>
      <w:r w:rsidR="000C02E9" w:rsidRPr="008574F9">
        <w:rPr>
          <w:szCs w:val="24"/>
        </w:rPr>
        <w:t>monitoring equipment are addressed above under start-up activities since these costs are often</w:t>
      </w:r>
      <w:r w:rsidR="00217148" w:rsidRPr="008574F9">
        <w:rPr>
          <w:szCs w:val="24"/>
        </w:rPr>
        <w:t xml:space="preserve"> </w:t>
      </w:r>
      <w:r w:rsidR="000C02E9" w:rsidRPr="008574F9">
        <w:rPr>
          <w:szCs w:val="24"/>
        </w:rPr>
        <w:t>part of the overall purchase expense for the equipment</w:t>
      </w:r>
      <w:r w:rsidR="003972B1" w:rsidRPr="008574F9">
        <w:rPr>
          <w:szCs w:val="24"/>
        </w:rPr>
        <w:t xml:space="preserve">.  </w:t>
      </w:r>
      <w:r w:rsidR="000C02E9" w:rsidRPr="008574F9">
        <w:rPr>
          <w:szCs w:val="24"/>
        </w:rPr>
        <w:t>For some non</w:t>
      </w:r>
      <w:r w:rsidR="005B39F5">
        <w:rPr>
          <w:szCs w:val="24"/>
        </w:rPr>
        <w:t>-</w:t>
      </w:r>
      <w:r w:rsidR="00307157">
        <w:rPr>
          <w:szCs w:val="24"/>
        </w:rPr>
        <w:t>ARP-affected</w:t>
      </w:r>
      <w:r w:rsidR="000C02E9" w:rsidRPr="008574F9">
        <w:rPr>
          <w:szCs w:val="24"/>
        </w:rPr>
        <w:t xml:space="preserve"> units, however,</w:t>
      </w:r>
      <w:r w:rsidR="00217148" w:rsidRPr="008574F9">
        <w:rPr>
          <w:szCs w:val="24"/>
        </w:rPr>
        <w:t xml:space="preserve"> </w:t>
      </w:r>
      <w:r w:rsidR="000C02E9" w:rsidRPr="008574F9">
        <w:rPr>
          <w:szCs w:val="24"/>
        </w:rPr>
        <w:t>there will be burdens associated with certifying existing monito</w:t>
      </w:r>
      <w:r w:rsidR="00B61CD7">
        <w:rPr>
          <w:szCs w:val="24"/>
        </w:rPr>
        <w:t>rs used under other programs</w:t>
      </w:r>
      <w:r w:rsidR="000C02E9" w:rsidRPr="008574F9">
        <w:rPr>
          <w:szCs w:val="24"/>
        </w:rPr>
        <w:t>, as well as burdens for recertification to the extent a change in a monitoring system</w:t>
      </w:r>
      <w:r w:rsidR="00217148" w:rsidRPr="008574F9">
        <w:rPr>
          <w:szCs w:val="24"/>
        </w:rPr>
        <w:t xml:space="preserve"> </w:t>
      </w:r>
      <w:r w:rsidR="000C02E9" w:rsidRPr="008574F9">
        <w:rPr>
          <w:szCs w:val="24"/>
        </w:rPr>
        <w:t>requires recertification</w:t>
      </w:r>
      <w:r w:rsidR="003972B1" w:rsidRPr="008574F9">
        <w:rPr>
          <w:szCs w:val="24"/>
        </w:rPr>
        <w:t xml:space="preserve">.  </w:t>
      </w:r>
      <w:r w:rsidR="00675F88">
        <w:rPr>
          <w:szCs w:val="24"/>
        </w:rPr>
        <w:t xml:space="preserve">Based on the current CAIR ICR, </w:t>
      </w:r>
      <w:r w:rsidR="000C02E9" w:rsidRPr="008574F9">
        <w:rPr>
          <w:szCs w:val="24"/>
        </w:rPr>
        <w:t xml:space="preserve">EPA estimates that approximately </w:t>
      </w:r>
      <w:r w:rsidR="00592E0E">
        <w:rPr>
          <w:szCs w:val="24"/>
        </w:rPr>
        <w:t>ten percent</w:t>
      </w:r>
      <w:r w:rsidR="000C02E9" w:rsidRPr="008574F9">
        <w:rPr>
          <w:szCs w:val="24"/>
        </w:rPr>
        <w:t xml:space="preserve"> of all units will have to recertify</w:t>
      </w:r>
      <w:r w:rsidR="00217148" w:rsidRPr="008574F9">
        <w:rPr>
          <w:szCs w:val="24"/>
        </w:rPr>
        <w:t xml:space="preserve"> </w:t>
      </w:r>
      <w:r w:rsidR="000C02E9" w:rsidRPr="008574F9">
        <w:rPr>
          <w:szCs w:val="24"/>
        </w:rPr>
        <w:t>each year following the year in which the initial certification</w:t>
      </w:r>
      <w:r w:rsidR="00217148" w:rsidRPr="008574F9">
        <w:rPr>
          <w:szCs w:val="24"/>
        </w:rPr>
        <w:t xml:space="preserve"> occurs</w:t>
      </w:r>
      <w:r w:rsidR="003972B1" w:rsidRPr="008574F9">
        <w:rPr>
          <w:szCs w:val="24"/>
        </w:rPr>
        <w:t xml:space="preserve">.  </w:t>
      </w:r>
      <w:r w:rsidR="00217148" w:rsidRPr="008574F9">
        <w:rPr>
          <w:szCs w:val="24"/>
        </w:rPr>
        <w:t xml:space="preserve">The ICR incorporates a </w:t>
      </w:r>
      <w:r w:rsidR="000C02E9" w:rsidRPr="008574F9">
        <w:rPr>
          <w:szCs w:val="24"/>
        </w:rPr>
        <w:t>labor</w:t>
      </w:r>
      <w:r w:rsidR="00217148" w:rsidRPr="008574F9">
        <w:rPr>
          <w:szCs w:val="24"/>
        </w:rPr>
        <w:t xml:space="preserve"> </w:t>
      </w:r>
      <w:r w:rsidR="000C02E9" w:rsidRPr="008574F9">
        <w:rPr>
          <w:szCs w:val="24"/>
        </w:rPr>
        <w:t>burden estimate generally consistent with existing Agen</w:t>
      </w:r>
      <w:r w:rsidR="00217148" w:rsidRPr="008574F9">
        <w:rPr>
          <w:szCs w:val="24"/>
        </w:rPr>
        <w:t xml:space="preserve">cy models for the labor burdens </w:t>
      </w:r>
      <w:r w:rsidR="000C02E9" w:rsidRPr="008574F9">
        <w:rPr>
          <w:szCs w:val="24"/>
        </w:rPr>
        <w:t>associated</w:t>
      </w:r>
      <w:r w:rsidR="00217148" w:rsidRPr="008574F9">
        <w:rPr>
          <w:szCs w:val="24"/>
        </w:rPr>
        <w:t xml:space="preserve"> </w:t>
      </w:r>
      <w:r w:rsidR="000C02E9" w:rsidRPr="008574F9">
        <w:rPr>
          <w:szCs w:val="24"/>
        </w:rPr>
        <w:t>with certification</w:t>
      </w:r>
      <w:r w:rsidR="003972B1" w:rsidRPr="008574F9">
        <w:rPr>
          <w:szCs w:val="24"/>
        </w:rPr>
        <w:t xml:space="preserve">.  </w:t>
      </w:r>
      <w:r w:rsidR="000C02E9" w:rsidRPr="008574F9">
        <w:rPr>
          <w:szCs w:val="24"/>
        </w:rPr>
        <w:t>However, note that the ICR reduces the labor hours for this activity to avoid</w:t>
      </w:r>
      <w:r w:rsidR="00217148" w:rsidRPr="008574F9">
        <w:rPr>
          <w:szCs w:val="24"/>
        </w:rPr>
        <w:t xml:space="preserve"> </w:t>
      </w:r>
      <w:r w:rsidR="000C02E9" w:rsidRPr="008574F9">
        <w:rPr>
          <w:szCs w:val="24"/>
        </w:rPr>
        <w:t>double counting hours that are already accounted for in the quality assurance activity area (see the</w:t>
      </w:r>
      <w:r w:rsidR="00217148" w:rsidRPr="008574F9">
        <w:rPr>
          <w:szCs w:val="24"/>
        </w:rPr>
        <w:t xml:space="preserve"> </w:t>
      </w:r>
      <w:r w:rsidR="000C02E9" w:rsidRPr="008574F9">
        <w:rPr>
          <w:szCs w:val="24"/>
        </w:rPr>
        <w:t>following subsection)</w:t>
      </w:r>
      <w:r w:rsidR="003972B1" w:rsidRPr="008574F9">
        <w:rPr>
          <w:szCs w:val="24"/>
        </w:rPr>
        <w:t xml:space="preserve">.  </w:t>
      </w:r>
      <w:r w:rsidR="000C02E9" w:rsidRPr="008574F9">
        <w:rPr>
          <w:szCs w:val="24"/>
        </w:rPr>
        <w:t>The double counting would occur because a portion of the labor incurred</w:t>
      </w:r>
      <w:r w:rsidR="00217148" w:rsidRPr="008574F9">
        <w:rPr>
          <w:szCs w:val="24"/>
        </w:rPr>
        <w:t xml:space="preserve"> </w:t>
      </w:r>
      <w:r w:rsidR="000C02E9" w:rsidRPr="008574F9">
        <w:rPr>
          <w:szCs w:val="24"/>
        </w:rPr>
        <w:t>for the certification or recertification event replaces the labor burden that is generally allocated to</w:t>
      </w:r>
      <w:r w:rsidR="00217148" w:rsidRPr="008574F9">
        <w:rPr>
          <w:szCs w:val="24"/>
        </w:rPr>
        <w:t xml:space="preserve"> </w:t>
      </w:r>
      <w:r w:rsidR="000C02E9" w:rsidRPr="008574F9">
        <w:rPr>
          <w:szCs w:val="24"/>
        </w:rPr>
        <w:t>the annual relative accuracy test audit (RATA) in the year in which the certification event occurs.</w:t>
      </w:r>
    </w:p>
    <w:p w:rsidR="00D6009C" w:rsidRPr="008574F9" w:rsidRDefault="00D6009C" w:rsidP="000C02E9">
      <w:pPr>
        <w:autoSpaceDE w:val="0"/>
        <w:autoSpaceDN w:val="0"/>
        <w:adjustRightInd w:val="0"/>
        <w:rPr>
          <w:i/>
          <w:iCs/>
          <w:szCs w:val="24"/>
        </w:rPr>
      </w:pPr>
    </w:p>
    <w:p w:rsidR="004C38AD" w:rsidRDefault="000C02E9" w:rsidP="004C38AD">
      <w:pPr>
        <w:autoSpaceDE w:val="0"/>
        <w:autoSpaceDN w:val="0"/>
        <w:adjustRightInd w:val="0"/>
        <w:rPr>
          <w:szCs w:val="24"/>
        </w:rPr>
      </w:pPr>
      <w:r w:rsidRPr="008574F9">
        <w:rPr>
          <w:i/>
          <w:iCs/>
          <w:szCs w:val="24"/>
        </w:rPr>
        <w:t>Quality Assurance</w:t>
      </w:r>
    </w:p>
    <w:p w:rsidR="004C38AD" w:rsidRDefault="004C38AD" w:rsidP="004C38AD">
      <w:pPr>
        <w:autoSpaceDE w:val="0"/>
        <w:autoSpaceDN w:val="0"/>
        <w:adjustRightInd w:val="0"/>
        <w:rPr>
          <w:szCs w:val="24"/>
        </w:rPr>
      </w:pPr>
    </w:p>
    <w:p w:rsidR="000C02E9" w:rsidRPr="008574F9" w:rsidRDefault="004C38AD" w:rsidP="004C38AD">
      <w:pPr>
        <w:autoSpaceDE w:val="0"/>
        <w:autoSpaceDN w:val="0"/>
        <w:adjustRightInd w:val="0"/>
        <w:rPr>
          <w:szCs w:val="24"/>
        </w:rPr>
      </w:pPr>
      <w:r>
        <w:rPr>
          <w:szCs w:val="24"/>
        </w:rPr>
        <w:tab/>
      </w:r>
      <w:r w:rsidR="000C02E9" w:rsidRPr="008574F9">
        <w:rPr>
          <w:szCs w:val="24"/>
        </w:rPr>
        <w:t>Quality assurance (QA) activities and other routine maintenance for</w:t>
      </w:r>
      <w:r w:rsidR="00217148" w:rsidRPr="008574F9">
        <w:rPr>
          <w:szCs w:val="24"/>
        </w:rPr>
        <w:t xml:space="preserve"> </w:t>
      </w:r>
      <w:r w:rsidR="000C02E9" w:rsidRPr="008574F9">
        <w:rPr>
          <w:szCs w:val="24"/>
        </w:rPr>
        <w:t xml:space="preserve">monitoring systems is the largest burden item under the </w:t>
      </w:r>
      <w:r w:rsidR="00A16CC8">
        <w:rPr>
          <w:szCs w:val="24"/>
        </w:rPr>
        <w:t>TR</w:t>
      </w:r>
      <w:r w:rsidR="003972B1" w:rsidRPr="008574F9">
        <w:rPr>
          <w:szCs w:val="24"/>
        </w:rPr>
        <w:t xml:space="preserve">.  </w:t>
      </w:r>
      <w:r w:rsidR="000C02E9" w:rsidRPr="008574F9">
        <w:rPr>
          <w:szCs w:val="24"/>
        </w:rPr>
        <w:t>These</w:t>
      </w:r>
      <w:r w:rsidR="00217148" w:rsidRPr="008574F9">
        <w:rPr>
          <w:szCs w:val="24"/>
        </w:rPr>
        <w:t xml:space="preserve"> </w:t>
      </w:r>
      <w:r w:rsidR="000C02E9" w:rsidRPr="008574F9">
        <w:rPr>
          <w:szCs w:val="24"/>
        </w:rPr>
        <w:t>requirements generally include daily, quarterly</w:t>
      </w:r>
      <w:r w:rsidR="00C10C31">
        <w:rPr>
          <w:szCs w:val="24"/>
        </w:rPr>
        <w:t>,</w:t>
      </w:r>
      <w:r w:rsidR="000C02E9" w:rsidRPr="008574F9">
        <w:rPr>
          <w:szCs w:val="24"/>
        </w:rPr>
        <w:t xml:space="preserve"> and annual QA requirements, depending on the</w:t>
      </w:r>
      <w:r w:rsidR="00217148" w:rsidRPr="008574F9">
        <w:rPr>
          <w:szCs w:val="24"/>
        </w:rPr>
        <w:t xml:space="preserve"> </w:t>
      </w:r>
      <w:r w:rsidR="000C02E9" w:rsidRPr="008574F9">
        <w:rPr>
          <w:szCs w:val="24"/>
        </w:rPr>
        <w:t>monitoring approach being used</w:t>
      </w:r>
      <w:r w:rsidR="003972B1" w:rsidRPr="008574F9">
        <w:rPr>
          <w:szCs w:val="24"/>
        </w:rPr>
        <w:t xml:space="preserve">.  </w:t>
      </w:r>
      <w:r w:rsidR="000C02E9" w:rsidRPr="008574F9">
        <w:rPr>
          <w:szCs w:val="24"/>
        </w:rPr>
        <w:t>For reporting units that use a CEMS, the Agency has assumed a</w:t>
      </w:r>
      <w:r w:rsidR="00217148" w:rsidRPr="008574F9">
        <w:rPr>
          <w:szCs w:val="24"/>
        </w:rPr>
        <w:t xml:space="preserve"> </w:t>
      </w:r>
      <w:r w:rsidR="000C02E9" w:rsidRPr="008574F9">
        <w:rPr>
          <w:szCs w:val="24"/>
        </w:rPr>
        <w:t xml:space="preserve">per unit labor burden based on a variety of sources, including the existing </w:t>
      </w:r>
      <w:r w:rsidR="00F01416">
        <w:rPr>
          <w:szCs w:val="24"/>
        </w:rPr>
        <w:t>ARP</w:t>
      </w:r>
      <w:r w:rsidR="00217148" w:rsidRPr="008574F9">
        <w:rPr>
          <w:szCs w:val="24"/>
        </w:rPr>
        <w:t xml:space="preserve"> </w:t>
      </w:r>
      <w:r w:rsidR="000C02E9" w:rsidRPr="008574F9">
        <w:rPr>
          <w:szCs w:val="24"/>
        </w:rPr>
        <w:t xml:space="preserve">ICR, information provided </w:t>
      </w:r>
      <w:r w:rsidR="00217148" w:rsidRPr="008574F9">
        <w:rPr>
          <w:szCs w:val="24"/>
        </w:rPr>
        <w:t xml:space="preserve">by </w:t>
      </w:r>
      <w:r w:rsidR="00F01416">
        <w:rPr>
          <w:szCs w:val="24"/>
        </w:rPr>
        <w:t>ARP</w:t>
      </w:r>
      <w:r w:rsidR="00217148" w:rsidRPr="008574F9">
        <w:rPr>
          <w:szCs w:val="24"/>
        </w:rPr>
        <w:t xml:space="preserve"> </w:t>
      </w:r>
      <w:r w:rsidR="00500E67">
        <w:rPr>
          <w:szCs w:val="24"/>
        </w:rPr>
        <w:t xml:space="preserve">and CAIR </w:t>
      </w:r>
      <w:r w:rsidR="00217148" w:rsidRPr="008574F9">
        <w:rPr>
          <w:szCs w:val="24"/>
        </w:rPr>
        <w:t xml:space="preserve">sources, a </w:t>
      </w:r>
      <w:r w:rsidR="000C02E9" w:rsidRPr="008574F9">
        <w:rPr>
          <w:szCs w:val="24"/>
        </w:rPr>
        <w:t>CEM</w:t>
      </w:r>
      <w:r w:rsidR="00217148" w:rsidRPr="008574F9">
        <w:rPr>
          <w:szCs w:val="24"/>
        </w:rPr>
        <w:t xml:space="preserve"> </w:t>
      </w:r>
      <w:r w:rsidR="000C02E9" w:rsidRPr="008574F9">
        <w:rPr>
          <w:szCs w:val="24"/>
        </w:rPr>
        <w:t>cost model developed by EPA, and comments submitted in response to the section 110 SIP Call</w:t>
      </w:r>
      <w:r w:rsidR="00217148" w:rsidRPr="008574F9">
        <w:rPr>
          <w:szCs w:val="24"/>
        </w:rPr>
        <w:t xml:space="preserve"> </w:t>
      </w:r>
      <w:r w:rsidR="000C02E9" w:rsidRPr="008574F9">
        <w:rPr>
          <w:szCs w:val="24"/>
        </w:rPr>
        <w:t>for ozone transport</w:t>
      </w:r>
      <w:r w:rsidR="003972B1" w:rsidRPr="008574F9">
        <w:rPr>
          <w:szCs w:val="24"/>
        </w:rPr>
        <w:t xml:space="preserve">.  </w:t>
      </w:r>
      <w:r w:rsidR="000C02E9" w:rsidRPr="008574F9">
        <w:rPr>
          <w:szCs w:val="24"/>
        </w:rPr>
        <w:t>For units that rely on alternative methodologies, reduced labor burden</w:t>
      </w:r>
      <w:r w:rsidR="00217148" w:rsidRPr="008574F9">
        <w:rPr>
          <w:szCs w:val="24"/>
        </w:rPr>
        <w:t xml:space="preserve"> </w:t>
      </w:r>
      <w:r w:rsidR="000C02E9" w:rsidRPr="008574F9">
        <w:rPr>
          <w:szCs w:val="24"/>
        </w:rPr>
        <w:t>estimates apply because the quality assurance activities for the excepted methods are less than</w:t>
      </w:r>
      <w:r w:rsidR="00217148" w:rsidRPr="008574F9">
        <w:rPr>
          <w:szCs w:val="24"/>
        </w:rPr>
        <w:t xml:space="preserve"> </w:t>
      </w:r>
      <w:r w:rsidR="000C02E9" w:rsidRPr="008574F9">
        <w:rPr>
          <w:szCs w:val="24"/>
        </w:rPr>
        <w:t>for</w:t>
      </w:r>
      <w:r w:rsidR="00217148" w:rsidRPr="008574F9">
        <w:rPr>
          <w:szCs w:val="24"/>
        </w:rPr>
        <w:t xml:space="preserve"> </w:t>
      </w:r>
      <w:r w:rsidR="000C02E9" w:rsidRPr="008574F9">
        <w:rPr>
          <w:szCs w:val="24"/>
        </w:rPr>
        <w:t>a CEMS</w:t>
      </w:r>
      <w:r w:rsidR="003972B1" w:rsidRPr="008574F9">
        <w:rPr>
          <w:szCs w:val="24"/>
        </w:rPr>
        <w:t xml:space="preserve">.  </w:t>
      </w:r>
      <w:r w:rsidR="000C02E9" w:rsidRPr="008574F9">
        <w:rPr>
          <w:szCs w:val="24"/>
        </w:rPr>
        <w:t xml:space="preserve">Consistent with the existing </w:t>
      </w:r>
      <w:r w:rsidR="00F01416">
        <w:rPr>
          <w:szCs w:val="24"/>
        </w:rPr>
        <w:t>ARP</w:t>
      </w:r>
      <w:r w:rsidR="000C02E9" w:rsidRPr="008574F9">
        <w:rPr>
          <w:szCs w:val="24"/>
        </w:rPr>
        <w:t xml:space="preserve"> </w:t>
      </w:r>
      <w:r w:rsidR="00DE2491">
        <w:rPr>
          <w:szCs w:val="24"/>
        </w:rPr>
        <w:t xml:space="preserve">and CAIR </w:t>
      </w:r>
      <w:r w:rsidR="000C02E9" w:rsidRPr="008574F9">
        <w:rPr>
          <w:szCs w:val="24"/>
        </w:rPr>
        <w:t>ICR</w:t>
      </w:r>
      <w:r w:rsidR="00DE2491">
        <w:rPr>
          <w:szCs w:val="24"/>
        </w:rPr>
        <w:t>s</w:t>
      </w:r>
      <w:r w:rsidR="000C02E9" w:rsidRPr="008574F9">
        <w:rPr>
          <w:szCs w:val="24"/>
        </w:rPr>
        <w:t>, the labor burden is expected to be</w:t>
      </w:r>
      <w:r w:rsidR="00217148" w:rsidRPr="008574F9">
        <w:rPr>
          <w:szCs w:val="24"/>
        </w:rPr>
        <w:t xml:space="preserve"> </w:t>
      </w:r>
      <w:r w:rsidR="000C02E9" w:rsidRPr="008574F9">
        <w:rPr>
          <w:szCs w:val="24"/>
        </w:rPr>
        <w:t>almost entirely technician labor.</w:t>
      </w:r>
    </w:p>
    <w:p w:rsidR="00D6009C" w:rsidRPr="008574F9" w:rsidRDefault="00D6009C" w:rsidP="000C02E9">
      <w:pPr>
        <w:autoSpaceDE w:val="0"/>
        <w:autoSpaceDN w:val="0"/>
        <w:adjustRightInd w:val="0"/>
        <w:rPr>
          <w:i/>
          <w:iCs/>
          <w:szCs w:val="24"/>
        </w:rPr>
      </w:pPr>
    </w:p>
    <w:p w:rsidR="004C38AD" w:rsidRDefault="000C02E9" w:rsidP="004C38AD">
      <w:pPr>
        <w:autoSpaceDE w:val="0"/>
        <w:autoSpaceDN w:val="0"/>
        <w:adjustRightInd w:val="0"/>
        <w:rPr>
          <w:szCs w:val="24"/>
        </w:rPr>
      </w:pPr>
      <w:r w:rsidRPr="008574F9">
        <w:rPr>
          <w:i/>
          <w:iCs/>
          <w:szCs w:val="24"/>
        </w:rPr>
        <w:lastRenderedPageBreak/>
        <w:t>Quarterly Reports</w:t>
      </w:r>
    </w:p>
    <w:p w:rsidR="004C38AD" w:rsidRDefault="004C38AD" w:rsidP="004C38AD">
      <w:pPr>
        <w:autoSpaceDE w:val="0"/>
        <w:autoSpaceDN w:val="0"/>
        <w:adjustRightInd w:val="0"/>
        <w:rPr>
          <w:szCs w:val="24"/>
        </w:rPr>
      </w:pPr>
    </w:p>
    <w:p w:rsidR="000C02E9" w:rsidRPr="008574F9" w:rsidRDefault="004C38AD" w:rsidP="004C38AD">
      <w:pPr>
        <w:autoSpaceDE w:val="0"/>
        <w:autoSpaceDN w:val="0"/>
        <w:adjustRightInd w:val="0"/>
        <w:rPr>
          <w:szCs w:val="24"/>
        </w:rPr>
      </w:pPr>
      <w:r>
        <w:rPr>
          <w:szCs w:val="24"/>
        </w:rPr>
        <w:tab/>
      </w:r>
      <w:r w:rsidR="000C02E9" w:rsidRPr="008574F9">
        <w:rPr>
          <w:szCs w:val="24"/>
        </w:rPr>
        <w:t>Tasks performed by utilities in preparing quarterly reports include:</w:t>
      </w:r>
      <w:r w:rsidR="00217148" w:rsidRPr="008574F9">
        <w:rPr>
          <w:szCs w:val="24"/>
        </w:rPr>
        <w:t xml:space="preserve"> </w:t>
      </w:r>
      <w:r w:rsidR="00360CF0">
        <w:rPr>
          <w:szCs w:val="24"/>
        </w:rPr>
        <w:t xml:space="preserve"> </w:t>
      </w:r>
      <w:r w:rsidR="000C02E9" w:rsidRPr="008574F9">
        <w:rPr>
          <w:szCs w:val="24"/>
        </w:rPr>
        <w:t>(1) assuring the quality of the data, (2) preparing the quarterly report, (3) revising the monitoring</w:t>
      </w:r>
      <w:r w:rsidR="00217148" w:rsidRPr="008574F9">
        <w:rPr>
          <w:szCs w:val="24"/>
        </w:rPr>
        <w:t xml:space="preserve"> </w:t>
      </w:r>
      <w:r w:rsidR="000C02E9" w:rsidRPr="008574F9">
        <w:rPr>
          <w:szCs w:val="24"/>
        </w:rPr>
        <w:t>plan, if necessary, (4) preparation of hard copy documentation accompanying the quarterly</w:t>
      </w:r>
      <w:r w:rsidR="00217148" w:rsidRPr="008574F9">
        <w:rPr>
          <w:szCs w:val="24"/>
        </w:rPr>
        <w:t xml:space="preserve"> </w:t>
      </w:r>
      <w:r w:rsidR="000C02E9" w:rsidRPr="008574F9">
        <w:rPr>
          <w:szCs w:val="24"/>
        </w:rPr>
        <w:t>repor</w:t>
      </w:r>
      <w:r w:rsidR="00C74CE4">
        <w:rPr>
          <w:szCs w:val="24"/>
        </w:rPr>
        <w:t>t</w:t>
      </w:r>
      <w:r w:rsidR="000C02E9" w:rsidRPr="008574F9">
        <w:rPr>
          <w:szCs w:val="24"/>
        </w:rPr>
        <w:t xml:space="preserve">s, and </w:t>
      </w:r>
      <w:r w:rsidR="00C74CE4">
        <w:rPr>
          <w:szCs w:val="24"/>
        </w:rPr>
        <w:t xml:space="preserve">(5) </w:t>
      </w:r>
      <w:r w:rsidR="000C02E9" w:rsidRPr="008574F9">
        <w:rPr>
          <w:szCs w:val="24"/>
        </w:rPr>
        <w:t>managerial review</w:t>
      </w:r>
      <w:r w:rsidR="003972B1" w:rsidRPr="008574F9">
        <w:rPr>
          <w:szCs w:val="24"/>
        </w:rPr>
        <w:t xml:space="preserve">.  </w:t>
      </w:r>
      <w:r w:rsidR="000C02E9" w:rsidRPr="008574F9">
        <w:rPr>
          <w:szCs w:val="24"/>
        </w:rPr>
        <w:t>The existing Acid Rain ICR was used as the basis for</w:t>
      </w:r>
      <w:r w:rsidR="00217148" w:rsidRPr="008574F9">
        <w:rPr>
          <w:szCs w:val="24"/>
        </w:rPr>
        <w:t xml:space="preserve"> </w:t>
      </w:r>
      <w:r w:rsidR="000C02E9" w:rsidRPr="008574F9">
        <w:rPr>
          <w:szCs w:val="24"/>
        </w:rPr>
        <w:t>these estimates.</w:t>
      </w:r>
    </w:p>
    <w:p w:rsidR="0075787D" w:rsidRPr="008574F9" w:rsidRDefault="0075787D" w:rsidP="000C02E9">
      <w:pPr>
        <w:autoSpaceDE w:val="0"/>
        <w:autoSpaceDN w:val="0"/>
        <w:adjustRightInd w:val="0"/>
        <w:rPr>
          <w:i/>
          <w:iCs/>
          <w:szCs w:val="24"/>
        </w:rPr>
      </w:pPr>
    </w:p>
    <w:p w:rsidR="004C38AD" w:rsidRDefault="000C02E9" w:rsidP="004C38AD">
      <w:pPr>
        <w:autoSpaceDE w:val="0"/>
        <w:autoSpaceDN w:val="0"/>
        <w:adjustRightInd w:val="0"/>
        <w:rPr>
          <w:i/>
          <w:iCs/>
          <w:szCs w:val="24"/>
        </w:rPr>
      </w:pPr>
      <w:r w:rsidRPr="008574F9">
        <w:rPr>
          <w:i/>
          <w:iCs/>
          <w:szCs w:val="24"/>
        </w:rPr>
        <w:t>Fuel Sampling</w:t>
      </w:r>
    </w:p>
    <w:p w:rsidR="004C38AD" w:rsidRDefault="004C38AD" w:rsidP="004C38AD">
      <w:pPr>
        <w:autoSpaceDE w:val="0"/>
        <w:autoSpaceDN w:val="0"/>
        <w:adjustRightInd w:val="0"/>
        <w:rPr>
          <w:szCs w:val="24"/>
        </w:rPr>
      </w:pPr>
    </w:p>
    <w:p w:rsidR="000C02E9" w:rsidRPr="008574F9" w:rsidRDefault="000C02E9" w:rsidP="00217148">
      <w:pPr>
        <w:autoSpaceDE w:val="0"/>
        <w:autoSpaceDN w:val="0"/>
        <w:adjustRightInd w:val="0"/>
        <w:ind w:firstLine="720"/>
        <w:rPr>
          <w:szCs w:val="24"/>
        </w:rPr>
      </w:pPr>
      <w:r w:rsidRPr="008574F9">
        <w:rPr>
          <w:szCs w:val="24"/>
        </w:rPr>
        <w:t>To calculate heat input where the source is using the fuel flow</w:t>
      </w:r>
      <w:r w:rsidR="00C74CE4">
        <w:rPr>
          <w:szCs w:val="24"/>
        </w:rPr>
        <w:t xml:space="preserve"> </w:t>
      </w:r>
      <w:r w:rsidRPr="008574F9">
        <w:rPr>
          <w:szCs w:val="24"/>
        </w:rPr>
        <w:t>meter</w:t>
      </w:r>
      <w:r w:rsidR="00217148" w:rsidRPr="008574F9">
        <w:rPr>
          <w:szCs w:val="24"/>
        </w:rPr>
        <w:t xml:space="preserve"> </w:t>
      </w:r>
      <w:r w:rsidRPr="008574F9">
        <w:rPr>
          <w:szCs w:val="24"/>
        </w:rPr>
        <w:t xml:space="preserve">option for an oil or gas-fired unit, the source must obtain </w:t>
      </w:r>
      <w:r w:rsidR="00217148" w:rsidRPr="008574F9">
        <w:rPr>
          <w:szCs w:val="24"/>
        </w:rPr>
        <w:t xml:space="preserve">gross calorific value data from </w:t>
      </w:r>
      <w:r w:rsidRPr="008574F9">
        <w:rPr>
          <w:szCs w:val="24"/>
        </w:rPr>
        <w:t>sampling</w:t>
      </w:r>
      <w:r w:rsidR="00217148" w:rsidRPr="008574F9">
        <w:rPr>
          <w:szCs w:val="24"/>
        </w:rPr>
        <w:t xml:space="preserve"> </w:t>
      </w:r>
      <w:r w:rsidRPr="008574F9">
        <w:rPr>
          <w:szCs w:val="24"/>
        </w:rPr>
        <w:t xml:space="preserve">in accordance with Appendix D of </w:t>
      </w:r>
      <w:r w:rsidR="00D56CFE">
        <w:rPr>
          <w:szCs w:val="24"/>
        </w:rPr>
        <w:t>40 CFR part 75</w:t>
      </w:r>
      <w:r w:rsidR="003972B1" w:rsidRPr="008574F9">
        <w:rPr>
          <w:szCs w:val="24"/>
        </w:rPr>
        <w:t xml:space="preserve">.  </w:t>
      </w:r>
      <w:r w:rsidRPr="008574F9">
        <w:rPr>
          <w:szCs w:val="24"/>
        </w:rPr>
        <w:t>For purposes of this ICR, it is assumed that the GCV</w:t>
      </w:r>
      <w:r w:rsidR="00217148" w:rsidRPr="008574F9">
        <w:rPr>
          <w:szCs w:val="24"/>
        </w:rPr>
        <w:t xml:space="preserve"> </w:t>
      </w:r>
      <w:r w:rsidRPr="008574F9">
        <w:rPr>
          <w:szCs w:val="24"/>
        </w:rPr>
        <w:t>data would be collected as part of standard business operating procedures to assure compliance</w:t>
      </w:r>
      <w:r w:rsidR="00217148" w:rsidRPr="008574F9">
        <w:rPr>
          <w:szCs w:val="24"/>
        </w:rPr>
        <w:t xml:space="preserve"> </w:t>
      </w:r>
      <w:r w:rsidRPr="008574F9">
        <w:rPr>
          <w:szCs w:val="24"/>
        </w:rPr>
        <w:t>with contractual specifications</w:t>
      </w:r>
      <w:r w:rsidR="003972B1" w:rsidRPr="008574F9">
        <w:rPr>
          <w:szCs w:val="24"/>
        </w:rPr>
        <w:t xml:space="preserve">.  </w:t>
      </w:r>
      <w:r w:rsidRPr="008574F9">
        <w:rPr>
          <w:szCs w:val="24"/>
        </w:rPr>
        <w:t>Thus no additional fuel sampling burdens or costs should be</w:t>
      </w:r>
      <w:r w:rsidR="00217148" w:rsidRPr="008574F9">
        <w:rPr>
          <w:szCs w:val="24"/>
        </w:rPr>
        <w:t xml:space="preserve"> </w:t>
      </w:r>
      <w:r w:rsidRPr="008574F9">
        <w:rPr>
          <w:szCs w:val="24"/>
        </w:rPr>
        <w:t>incurred.</w:t>
      </w:r>
    </w:p>
    <w:p w:rsidR="00B44AC8" w:rsidRDefault="00B44AC8" w:rsidP="00360CF0">
      <w:pPr>
        <w:autoSpaceDE w:val="0"/>
        <w:autoSpaceDN w:val="0"/>
        <w:adjustRightInd w:val="0"/>
        <w:ind w:left="720"/>
        <w:rPr>
          <w:iCs/>
          <w:szCs w:val="24"/>
        </w:rPr>
      </w:pPr>
    </w:p>
    <w:p w:rsidR="009626F2" w:rsidRDefault="009626F2" w:rsidP="00360CF0">
      <w:pPr>
        <w:autoSpaceDE w:val="0"/>
        <w:autoSpaceDN w:val="0"/>
        <w:adjustRightInd w:val="0"/>
        <w:ind w:left="720"/>
        <w:rPr>
          <w:iCs/>
          <w:szCs w:val="24"/>
        </w:rPr>
      </w:pPr>
      <w:r>
        <w:rPr>
          <w:iCs/>
          <w:szCs w:val="24"/>
        </w:rPr>
        <w:t>(iv)  Agency Monitoring Activities</w:t>
      </w:r>
    </w:p>
    <w:p w:rsidR="009626F2" w:rsidRDefault="009626F2" w:rsidP="00360CF0">
      <w:pPr>
        <w:autoSpaceDE w:val="0"/>
        <w:autoSpaceDN w:val="0"/>
        <w:adjustRightInd w:val="0"/>
        <w:ind w:left="720"/>
        <w:rPr>
          <w:iCs/>
          <w:szCs w:val="24"/>
        </w:rPr>
      </w:pPr>
    </w:p>
    <w:p w:rsidR="00957585" w:rsidRPr="00D8541A" w:rsidRDefault="00957585" w:rsidP="00957585">
      <w:pPr>
        <w:autoSpaceDE w:val="0"/>
        <w:autoSpaceDN w:val="0"/>
        <w:adjustRightInd w:val="0"/>
        <w:ind w:firstLine="720"/>
        <w:rPr>
          <w:iCs/>
          <w:szCs w:val="24"/>
        </w:rPr>
      </w:pPr>
      <w:r w:rsidRPr="00D8541A">
        <w:rPr>
          <w:iCs/>
          <w:szCs w:val="24"/>
        </w:rPr>
        <w:t>Agency activities related to the monitoring and reporting of emissions data include processing, reviewing</w:t>
      </w:r>
      <w:r w:rsidR="00C74CE4" w:rsidRPr="00D8541A">
        <w:rPr>
          <w:iCs/>
          <w:szCs w:val="24"/>
        </w:rPr>
        <w:t>,</w:t>
      </w:r>
      <w:r w:rsidRPr="00D8541A">
        <w:rPr>
          <w:iCs/>
          <w:szCs w:val="24"/>
        </w:rPr>
        <w:t xml:space="preserve"> and evaluating reports of quarterly emissions data from affected units.  The Agency estimates that these activities will require </w:t>
      </w:r>
      <w:r w:rsidR="001F32EF" w:rsidRPr="00D8541A">
        <w:rPr>
          <w:iCs/>
          <w:szCs w:val="24"/>
        </w:rPr>
        <w:t>4,500</w:t>
      </w:r>
      <w:r w:rsidR="00841C6C">
        <w:rPr>
          <w:iCs/>
          <w:szCs w:val="24"/>
        </w:rPr>
        <w:t xml:space="preserve"> </w:t>
      </w:r>
      <w:r w:rsidRPr="00D8541A">
        <w:rPr>
          <w:iCs/>
          <w:szCs w:val="24"/>
        </w:rPr>
        <w:t>hours per year</w:t>
      </w:r>
      <w:r w:rsidR="004368B9" w:rsidRPr="00D8541A">
        <w:rPr>
          <w:iCs/>
          <w:szCs w:val="24"/>
        </w:rPr>
        <w:t xml:space="preserve"> (see Table 6-10)</w:t>
      </w:r>
      <w:r w:rsidRPr="00D8541A">
        <w:rPr>
          <w:iCs/>
          <w:szCs w:val="24"/>
        </w:rPr>
        <w:t>.</w:t>
      </w:r>
    </w:p>
    <w:p w:rsidR="00957585" w:rsidRPr="00D8541A" w:rsidRDefault="00957585" w:rsidP="00360CF0">
      <w:pPr>
        <w:autoSpaceDE w:val="0"/>
        <w:autoSpaceDN w:val="0"/>
        <w:adjustRightInd w:val="0"/>
        <w:ind w:left="720"/>
        <w:rPr>
          <w:iCs/>
          <w:szCs w:val="24"/>
        </w:rPr>
      </w:pPr>
    </w:p>
    <w:p w:rsidR="000C02E9" w:rsidRPr="00BE7306" w:rsidRDefault="000C02E9" w:rsidP="00360CF0">
      <w:pPr>
        <w:autoSpaceDE w:val="0"/>
        <w:autoSpaceDN w:val="0"/>
        <w:adjustRightInd w:val="0"/>
        <w:ind w:left="720"/>
        <w:rPr>
          <w:szCs w:val="24"/>
        </w:rPr>
      </w:pPr>
      <w:r w:rsidRPr="00D8541A">
        <w:rPr>
          <w:iCs/>
          <w:szCs w:val="24"/>
        </w:rPr>
        <w:t>(</w:t>
      </w:r>
      <w:r w:rsidR="00957585" w:rsidRPr="00D8541A">
        <w:rPr>
          <w:iCs/>
          <w:szCs w:val="24"/>
        </w:rPr>
        <w:t>v</w:t>
      </w:r>
      <w:r w:rsidRPr="00D8541A">
        <w:rPr>
          <w:iCs/>
          <w:szCs w:val="24"/>
        </w:rPr>
        <w:t xml:space="preserve">) </w:t>
      </w:r>
      <w:r w:rsidR="004C38AD" w:rsidRPr="00D8541A">
        <w:rPr>
          <w:iCs/>
          <w:szCs w:val="24"/>
        </w:rPr>
        <w:t xml:space="preserve"> </w:t>
      </w:r>
      <w:r w:rsidR="00267A48" w:rsidRPr="00D8541A">
        <w:rPr>
          <w:iCs/>
          <w:szCs w:val="24"/>
        </w:rPr>
        <w:t xml:space="preserve">Respondent </w:t>
      </w:r>
      <w:r w:rsidR="00BE7306" w:rsidRPr="00D8541A">
        <w:rPr>
          <w:iCs/>
          <w:szCs w:val="24"/>
        </w:rPr>
        <w:t>Allowance Transaction A</w:t>
      </w:r>
      <w:r w:rsidRPr="00D8541A">
        <w:rPr>
          <w:iCs/>
          <w:szCs w:val="24"/>
        </w:rPr>
        <w:t>ctivities</w:t>
      </w:r>
    </w:p>
    <w:p w:rsidR="00217148" w:rsidRPr="008574F9" w:rsidRDefault="00217148" w:rsidP="000C02E9">
      <w:pPr>
        <w:autoSpaceDE w:val="0"/>
        <w:autoSpaceDN w:val="0"/>
        <w:adjustRightInd w:val="0"/>
        <w:rPr>
          <w:szCs w:val="24"/>
        </w:rPr>
      </w:pPr>
    </w:p>
    <w:p w:rsidR="00675F88" w:rsidRPr="001774B5" w:rsidRDefault="00675F88" w:rsidP="00675F88">
      <w:pPr>
        <w:ind w:firstLine="720"/>
        <w:rPr>
          <w:b/>
          <w:i/>
        </w:rPr>
      </w:pPr>
      <w:r w:rsidRPr="001774B5">
        <w:t xml:space="preserve">The Agency anticipates the average number of additional allowance transactions will be approximately </w:t>
      </w:r>
      <w:r w:rsidRPr="00D8541A">
        <w:t>7,500 per year beginning</w:t>
      </w:r>
      <w:r>
        <w:t xml:space="preserve"> in </w:t>
      </w:r>
      <w:r w:rsidR="00354567">
        <w:t>sometime after 2014</w:t>
      </w:r>
      <w:r w:rsidRPr="001774B5">
        <w:t xml:space="preserve">.  </w:t>
      </w:r>
      <w:r>
        <w:t>This estimate is based on transaction data associated with the current CAIR trading programs.</w:t>
      </w:r>
      <w:r w:rsidRPr="001774B5">
        <w:t xml:space="preserve"> </w:t>
      </w:r>
      <w:r>
        <w:t xml:space="preserve"> </w:t>
      </w:r>
      <w:r w:rsidRPr="001774B5">
        <w:t xml:space="preserve">A portion of all </w:t>
      </w:r>
      <w:r w:rsidR="00876923">
        <w:t>sources</w:t>
      </w:r>
      <w:r w:rsidR="00876923" w:rsidRPr="001774B5">
        <w:t xml:space="preserve"> </w:t>
      </w:r>
      <w:r w:rsidRPr="001774B5">
        <w:t>will likely conduct transactions in each year solely as a result of this program.  The Agency believes that each transaction will involve about one hour each of managerial and technician time.</w:t>
      </w:r>
      <w:r w:rsidRPr="001774B5">
        <w:rPr>
          <w:b/>
          <w:i/>
        </w:rPr>
        <w:t xml:space="preserve"> </w:t>
      </w:r>
    </w:p>
    <w:p w:rsidR="00267A48" w:rsidRDefault="00267A48" w:rsidP="000C02E9">
      <w:pPr>
        <w:autoSpaceDE w:val="0"/>
        <w:autoSpaceDN w:val="0"/>
        <w:adjustRightInd w:val="0"/>
        <w:rPr>
          <w:szCs w:val="24"/>
        </w:rPr>
      </w:pPr>
    </w:p>
    <w:p w:rsidR="00267A48" w:rsidRPr="00BE7306" w:rsidRDefault="00957585" w:rsidP="00267A48">
      <w:pPr>
        <w:autoSpaceDE w:val="0"/>
        <w:autoSpaceDN w:val="0"/>
        <w:adjustRightInd w:val="0"/>
        <w:ind w:left="720"/>
        <w:rPr>
          <w:szCs w:val="24"/>
        </w:rPr>
      </w:pPr>
      <w:r>
        <w:rPr>
          <w:iCs/>
          <w:szCs w:val="24"/>
        </w:rPr>
        <w:t>(</w:t>
      </w:r>
      <w:r w:rsidR="00267A48">
        <w:rPr>
          <w:iCs/>
          <w:szCs w:val="24"/>
        </w:rPr>
        <w:t>v</w:t>
      </w:r>
      <w:r>
        <w:rPr>
          <w:iCs/>
          <w:szCs w:val="24"/>
        </w:rPr>
        <w:t>i</w:t>
      </w:r>
      <w:r w:rsidR="00267A48" w:rsidRPr="00BE7306">
        <w:rPr>
          <w:iCs/>
          <w:szCs w:val="24"/>
        </w:rPr>
        <w:t xml:space="preserve">)  </w:t>
      </w:r>
      <w:r w:rsidR="00267A48">
        <w:rPr>
          <w:iCs/>
          <w:szCs w:val="24"/>
        </w:rPr>
        <w:t>Agency Allowance Transaction A</w:t>
      </w:r>
      <w:r w:rsidR="00267A48" w:rsidRPr="00BE7306">
        <w:rPr>
          <w:iCs/>
          <w:szCs w:val="24"/>
        </w:rPr>
        <w:t>ctivities</w:t>
      </w:r>
    </w:p>
    <w:p w:rsidR="00267A48" w:rsidRDefault="00267A48" w:rsidP="000C02E9">
      <w:pPr>
        <w:autoSpaceDE w:val="0"/>
        <w:autoSpaceDN w:val="0"/>
        <w:adjustRightInd w:val="0"/>
        <w:rPr>
          <w:szCs w:val="24"/>
        </w:rPr>
      </w:pPr>
    </w:p>
    <w:p w:rsidR="00957585" w:rsidRDefault="00957585" w:rsidP="00957585">
      <w:pPr>
        <w:autoSpaceDE w:val="0"/>
        <w:autoSpaceDN w:val="0"/>
        <w:adjustRightInd w:val="0"/>
        <w:ind w:firstLine="720"/>
        <w:rPr>
          <w:iCs/>
          <w:szCs w:val="24"/>
        </w:rPr>
      </w:pPr>
      <w:r>
        <w:rPr>
          <w:iCs/>
          <w:szCs w:val="24"/>
        </w:rPr>
        <w:t xml:space="preserve">Agency activities related to </w:t>
      </w:r>
      <w:r w:rsidR="001A6513">
        <w:rPr>
          <w:iCs/>
          <w:szCs w:val="24"/>
        </w:rPr>
        <w:t>a</w:t>
      </w:r>
      <w:r>
        <w:rPr>
          <w:iCs/>
          <w:szCs w:val="24"/>
        </w:rPr>
        <w:t xml:space="preserve">llowance </w:t>
      </w:r>
      <w:r w:rsidR="001A6513">
        <w:rPr>
          <w:iCs/>
          <w:szCs w:val="24"/>
        </w:rPr>
        <w:t>t</w:t>
      </w:r>
      <w:r>
        <w:rPr>
          <w:iCs/>
          <w:szCs w:val="24"/>
        </w:rPr>
        <w:t>ransactions include allocating allowances to existing and new units, r</w:t>
      </w:r>
      <w:r w:rsidRPr="00957585">
        <w:rPr>
          <w:iCs/>
          <w:szCs w:val="24"/>
        </w:rPr>
        <w:t>eview</w:t>
      </w:r>
      <w:r>
        <w:rPr>
          <w:iCs/>
          <w:szCs w:val="24"/>
        </w:rPr>
        <w:t>ing</w:t>
      </w:r>
      <w:r w:rsidRPr="00957585">
        <w:rPr>
          <w:iCs/>
          <w:szCs w:val="24"/>
        </w:rPr>
        <w:t xml:space="preserve"> allowance transfer information, record</w:t>
      </w:r>
      <w:r>
        <w:rPr>
          <w:iCs/>
          <w:szCs w:val="24"/>
        </w:rPr>
        <w:t>ing</w:t>
      </w:r>
      <w:r w:rsidRPr="00957585">
        <w:rPr>
          <w:iCs/>
          <w:szCs w:val="24"/>
        </w:rPr>
        <w:t xml:space="preserve"> transfe</w:t>
      </w:r>
      <w:r>
        <w:rPr>
          <w:iCs/>
          <w:szCs w:val="24"/>
        </w:rPr>
        <w:t>rs</w:t>
      </w:r>
      <w:r w:rsidRPr="00957585">
        <w:rPr>
          <w:iCs/>
          <w:szCs w:val="24"/>
        </w:rPr>
        <w:t xml:space="preserve">, </w:t>
      </w:r>
      <w:r>
        <w:rPr>
          <w:iCs/>
          <w:szCs w:val="24"/>
        </w:rPr>
        <w:t>notify</w:t>
      </w:r>
      <w:r w:rsidR="00344E64">
        <w:rPr>
          <w:iCs/>
          <w:szCs w:val="24"/>
        </w:rPr>
        <w:t xml:space="preserve">ing </w:t>
      </w:r>
      <w:r>
        <w:rPr>
          <w:iCs/>
          <w:szCs w:val="24"/>
        </w:rPr>
        <w:t>transfer participants,</w:t>
      </w:r>
      <w:r w:rsidR="00895C45">
        <w:rPr>
          <w:iCs/>
          <w:szCs w:val="24"/>
        </w:rPr>
        <w:t xml:space="preserve"> </w:t>
      </w:r>
      <w:r>
        <w:rPr>
          <w:iCs/>
          <w:szCs w:val="24"/>
        </w:rPr>
        <w:t>e</w:t>
      </w:r>
      <w:r w:rsidRPr="00957585">
        <w:rPr>
          <w:iCs/>
          <w:szCs w:val="24"/>
        </w:rPr>
        <w:t>nter</w:t>
      </w:r>
      <w:r>
        <w:rPr>
          <w:iCs/>
          <w:szCs w:val="24"/>
        </w:rPr>
        <w:t>ing</w:t>
      </w:r>
      <w:r w:rsidRPr="00957585">
        <w:rPr>
          <w:iCs/>
          <w:szCs w:val="24"/>
        </w:rPr>
        <w:t xml:space="preserve"> deduction data and deduct</w:t>
      </w:r>
      <w:r>
        <w:rPr>
          <w:iCs/>
          <w:szCs w:val="24"/>
        </w:rPr>
        <w:t>ing allowances</w:t>
      </w:r>
      <w:r w:rsidR="00F517C5">
        <w:rPr>
          <w:iCs/>
          <w:szCs w:val="24"/>
        </w:rPr>
        <w:t xml:space="preserve">, and ensuring compliance </w:t>
      </w:r>
      <w:r w:rsidR="00F517C5" w:rsidRPr="00D8541A">
        <w:rPr>
          <w:iCs/>
          <w:szCs w:val="24"/>
        </w:rPr>
        <w:t xml:space="preserve">assurance provisions are met. </w:t>
      </w:r>
      <w:r w:rsidR="00B26494" w:rsidRPr="00D8541A">
        <w:rPr>
          <w:iCs/>
          <w:szCs w:val="24"/>
        </w:rPr>
        <w:t xml:space="preserve"> </w:t>
      </w:r>
      <w:r w:rsidR="00F517C5" w:rsidRPr="00D8541A">
        <w:rPr>
          <w:iCs/>
          <w:szCs w:val="24"/>
        </w:rPr>
        <w:t>In</w:t>
      </w:r>
      <w:r w:rsidR="00B26494" w:rsidRPr="00D8541A">
        <w:rPr>
          <w:iCs/>
          <w:szCs w:val="24"/>
        </w:rPr>
        <w:t xml:space="preserve"> the</w:t>
      </w:r>
      <w:r w:rsidR="00F517C5" w:rsidRPr="00D8541A">
        <w:rPr>
          <w:iCs/>
          <w:szCs w:val="24"/>
        </w:rPr>
        <w:t xml:space="preserve"> event that compliance assurance provisions are not met it is estimated </w:t>
      </w:r>
      <w:r w:rsidR="00B26494" w:rsidRPr="00D8541A">
        <w:rPr>
          <w:iCs/>
          <w:szCs w:val="24"/>
        </w:rPr>
        <w:t xml:space="preserve">that </w:t>
      </w:r>
      <w:r w:rsidR="00F517C5" w:rsidRPr="00D8541A">
        <w:rPr>
          <w:iCs/>
          <w:szCs w:val="24"/>
        </w:rPr>
        <w:t xml:space="preserve">the burden for each </w:t>
      </w:r>
      <w:r w:rsidR="00687275" w:rsidRPr="00D8541A">
        <w:rPr>
          <w:iCs/>
          <w:szCs w:val="24"/>
        </w:rPr>
        <w:t>s</w:t>
      </w:r>
      <w:r w:rsidR="009D2B68" w:rsidRPr="00D8541A">
        <w:rPr>
          <w:iCs/>
          <w:szCs w:val="24"/>
        </w:rPr>
        <w:t>tate</w:t>
      </w:r>
      <w:r w:rsidR="00EA0165" w:rsidRPr="00D8541A">
        <w:rPr>
          <w:iCs/>
          <w:szCs w:val="24"/>
        </w:rPr>
        <w:t xml:space="preserve"> exceeding compliance assurance levels</w:t>
      </w:r>
      <w:r w:rsidR="00F517C5" w:rsidRPr="00D8541A">
        <w:rPr>
          <w:iCs/>
          <w:szCs w:val="24"/>
        </w:rPr>
        <w:t xml:space="preserve"> would be 160 hours, however the agency assumes that zero </w:t>
      </w:r>
      <w:r w:rsidR="00687275" w:rsidRPr="00D8541A">
        <w:rPr>
          <w:iCs/>
          <w:szCs w:val="24"/>
        </w:rPr>
        <w:t>s</w:t>
      </w:r>
      <w:r w:rsidR="009D2B68" w:rsidRPr="00D8541A">
        <w:rPr>
          <w:iCs/>
          <w:szCs w:val="24"/>
        </w:rPr>
        <w:t>tate</w:t>
      </w:r>
      <w:r w:rsidR="00F517C5" w:rsidRPr="00D8541A">
        <w:rPr>
          <w:iCs/>
          <w:szCs w:val="24"/>
        </w:rPr>
        <w:t xml:space="preserve">s would exceed the limit during the </w:t>
      </w:r>
      <w:r w:rsidR="00354567" w:rsidRPr="00D8541A">
        <w:rPr>
          <w:iCs/>
          <w:szCs w:val="24"/>
        </w:rPr>
        <w:t>2014 and beyond</w:t>
      </w:r>
      <w:r w:rsidR="00F517C5" w:rsidRPr="00D8541A">
        <w:rPr>
          <w:iCs/>
          <w:szCs w:val="24"/>
        </w:rPr>
        <w:t xml:space="preserve"> time period. </w:t>
      </w:r>
      <w:r w:rsidR="00B26494" w:rsidRPr="00D8541A">
        <w:rPr>
          <w:iCs/>
          <w:szCs w:val="24"/>
        </w:rPr>
        <w:t xml:space="preserve"> </w:t>
      </w:r>
      <w:r w:rsidRPr="00D8541A">
        <w:rPr>
          <w:iCs/>
          <w:szCs w:val="24"/>
        </w:rPr>
        <w:t xml:space="preserve">The Agency estimates that these activities will require </w:t>
      </w:r>
      <w:r w:rsidR="00401022" w:rsidRPr="00D8541A">
        <w:rPr>
          <w:iCs/>
          <w:szCs w:val="24"/>
        </w:rPr>
        <w:t>290</w:t>
      </w:r>
      <w:r w:rsidRPr="00D8541A">
        <w:rPr>
          <w:iCs/>
          <w:szCs w:val="24"/>
        </w:rPr>
        <w:t xml:space="preserve"> hours per year</w:t>
      </w:r>
      <w:r w:rsidR="004368B9" w:rsidRPr="00D8541A">
        <w:rPr>
          <w:iCs/>
          <w:szCs w:val="24"/>
        </w:rPr>
        <w:t xml:space="preserve"> (see Tables 6-</w:t>
      </w:r>
      <w:r w:rsidR="004F6B8D" w:rsidRPr="00D8541A">
        <w:rPr>
          <w:iCs/>
          <w:szCs w:val="24"/>
        </w:rPr>
        <w:t xml:space="preserve">8 </w:t>
      </w:r>
      <w:r w:rsidR="00B44AC8" w:rsidRPr="00D8541A">
        <w:rPr>
          <w:iCs/>
          <w:szCs w:val="24"/>
        </w:rPr>
        <w:t>and</w:t>
      </w:r>
      <w:r w:rsidR="004368B9" w:rsidRPr="00D8541A">
        <w:rPr>
          <w:iCs/>
          <w:szCs w:val="24"/>
        </w:rPr>
        <w:t xml:space="preserve"> 6-</w:t>
      </w:r>
      <w:r w:rsidR="004F6B8D" w:rsidRPr="00D8541A">
        <w:rPr>
          <w:iCs/>
          <w:szCs w:val="24"/>
        </w:rPr>
        <w:t>9</w:t>
      </w:r>
      <w:r w:rsidR="004368B9" w:rsidRPr="00D8541A">
        <w:rPr>
          <w:iCs/>
          <w:szCs w:val="24"/>
        </w:rPr>
        <w:t>)</w:t>
      </w:r>
      <w:r w:rsidRPr="00D8541A">
        <w:rPr>
          <w:iCs/>
          <w:szCs w:val="24"/>
        </w:rPr>
        <w:t>.</w:t>
      </w:r>
      <w:r w:rsidR="00F517C5">
        <w:rPr>
          <w:iCs/>
          <w:szCs w:val="24"/>
        </w:rPr>
        <w:t xml:space="preserve"> </w:t>
      </w:r>
    </w:p>
    <w:p w:rsidR="00B52825" w:rsidRDefault="00B52825" w:rsidP="00957585">
      <w:pPr>
        <w:autoSpaceDE w:val="0"/>
        <w:autoSpaceDN w:val="0"/>
        <w:adjustRightInd w:val="0"/>
        <w:ind w:firstLine="720"/>
        <w:rPr>
          <w:iCs/>
          <w:szCs w:val="24"/>
        </w:rPr>
      </w:pPr>
    </w:p>
    <w:p w:rsidR="00B52825" w:rsidRDefault="00B52825" w:rsidP="00957585">
      <w:pPr>
        <w:autoSpaceDE w:val="0"/>
        <w:autoSpaceDN w:val="0"/>
        <w:adjustRightInd w:val="0"/>
        <w:ind w:firstLine="720"/>
        <w:rPr>
          <w:iCs/>
          <w:szCs w:val="24"/>
        </w:rPr>
      </w:pPr>
      <w:r>
        <w:rPr>
          <w:iCs/>
          <w:szCs w:val="24"/>
        </w:rPr>
        <w:t xml:space="preserve">(vii)  State SIP </w:t>
      </w:r>
      <w:r w:rsidR="00B824F9">
        <w:rPr>
          <w:iCs/>
          <w:szCs w:val="24"/>
        </w:rPr>
        <w:t xml:space="preserve">Allowance Allocation </w:t>
      </w:r>
      <w:r>
        <w:rPr>
          <w:iCs/>
          <w:szCs w:val="24"/>
        </w:rPr>
        <w:t>Activities</w:t>
      </w:r>
    </w:p>
    <w:p w:rsidR="00B52825" w:rsidRDefault="00B52825" w:rsidP="00957585">
      <w:pPr>
        <w:autoSpaceDE w:val="0"/>
        <w:autoSpaceDN w:val="0"/>
        <w:adjustRightInd w:val="0"/>
        <w:ind w:firstLine="720"/>
        <w:rPr>
          <w:iCs/>
          <w:szCs w:val="24"/>
        </w:rPr>
      </w:pPr>
    </w:p>
    <w:p w:rsidR="00B52825" w:rsidRDefault="00B824F9" w:rsidP="00957585">
      <w:pPr>
        <w:autoSpaceDE w:val="0"/>
        <w:autoSpaceDN w:val="0"/>
        <w:adjustRightInd w:val="0"/>
        <w:ind w:firstLine="720"/>
        <w:rPr>
          <w:iCs/>
          <w:szCs w:val="24"/>
        </w:rPr>
      </w:pPr>
      <w:r>
        <w:rPr>
          <w:iCs/>
          <w:szCs w:val="24"/>
        </w:rPr>
        <w:t xml:space="preserve">The FIPs promulgated by EPA specify default allocations of TR emission allowances for each TR trading program among each state’s affected sources.  </w:t>
      </w:r>
      <w:r w:rsidR="00B52825">
        <w:rPr>
          <w:iCs/>
          <w:szCs w:val="24"/>
        </w:rPr>
        <w:t xml:space="preserve">States that </w:t>
      </w:r>
      <w:r>
        <w:rPr>
          <w:iCs/>
          <w:szCs w:val="24"/>
        </w:rPr>
        <w:t xml:space="preserve">wish to revise these default allocations may do so </w:t>
      </w:r>
      <w:r w:rsidR="00B52825">
        <w:rPr>
          <w:iCs/>
          <w:szCs w:val="24"/>
        </w:rPr>
        <w:t xml:space="preserve">by submitting </w:t>
      </w:r>
      <w:r>
        <w:rPr>
          <w:iCs/>
          <w:szCs w:val="24"/>
        </w:rPr>
        <w:t xml:space="preserve">limited </w:t>
      </w:r>
      <w:r w:rsidR="00B52825">
        <w:rPr>
          <w:iCs/>
          <w:szCs w:val="24"/>
        </w:rPr>
        <w:t>SIP revisions</w:t>
      </w:r>
      <w:r>
        <w:rPr>
          <w:iCs/>
          <w:szCs w:val="24"/>
        </w:rPr>
        <w:t xml:space="preserve"> for that purpose</w:t>
      </w:r>
      <w:r w:rsidR="00B52825">
        <w:rPr>
          <w:iCs/>
          <w:szCs w:val="24"/>
        </w:rPr>
        <w:t>.  The Agency has conservatively assumed that all states with TR</w:t>
      </w:r>
      <w:r>
        <w:rPr>
          <w:iCs/>
          <w:szCs w:val="24"/>
        </w:rPr>
        <w:t>-</w:t>
      </w:r>
      <w:r w:rsidR="00B52825">
        <w:rPr>
          <w:iCs/>
          <w:szCs w:val="24"/>
        </w:rPr>
        <w:t xml:space="preserve">affected sources will </w:t>
      </w:r>
      <w:r>
        <w:rPr>
          <w:iCs/>
          <w:szCs w:val="24"/>
        </w:rPr>
        <w:t xml:space="preserve">choose to </w:t>
      </w:r>
      <w:r w:rsidR="00B52825">
        <w:rPr>
          <w:iCs/>
          <w:szCs w:val="24"/>
        </w:rPr>
        <w:t xml:space="preserve">submit such </w:t>
      </w:r>
      <w:r w:rsidR="00B52825">
        <w:rPr>
          <w:iCs/>
          <w:szCs w:val="24"/>
        </w:rPr>
        <w:lastRenderedPageBreak/>
        <w:t>revisions, and that the activities to prepare the submissions will require 100 hours per year (see Table 6-4).</w:t>
      </w:r>
    </w:p>
    <w:p w:rsidR="005153D7" w:rsidRDefault="005153D7" w:rsidP="000C02E9">
      <w:pPr>
        <w:autoSpaceDE w:val="0"/>
        <w:autoSpaceDN w:val="0"/>
        <w:adjustRightInd w:val="0"/>
        <w:rPr>
          <w:szCs w:val="24"/>
        </w:rPr>
      </w:pPr>
    </w:p>
    <w:p w:rsidR="000C02E9" w:rsidRPr="008574F9" w:rsidRDefault="000C02E9" w:rsidP="00360CF0">
      <w:pPr>
        <w:autoSpaceDE w:val="0"/>
        <w:autoSpaceDN w:val="0"/>
        <w:adjustRightInd w:val="0"/>
        <w:ind w:left="360"/>
        <w:rPr>
          <w:b/>
          <w:bCs/>
          <w:szCs w:val="24"/>
        </w:rPr>
      </w:pPr>
      <w:r w:rsidRPr="008574F9">
        <w:rPr>
          <w:b/>
          <w:bCs/>
          <w:szCs w:val="24"/>
        </w:rPr>
        <w:t>6</w:t>
      </w:r>
      <w:r w:rsidR="00BE7306">
        <w:rPr>
          <w:b/>
          <w:bCs/>
          <w:szCs w:val="24"/>
        </w:rPr>
        <w:t xml:space="preserve">.2 </w:t>
      </w:r>
      <w:r w:rsidR="009D5CF3">
        <w:rPr>
          <w:b/>
          <w:bCs/>
          <w:szCs w:val="24"/>
        </w:rPr>
        <w:t xml:space="preserve"> </w:t>
      </w:r>
      <w:r w:rsidRPr="008574F9">
        <w:rPr>
          <w:b/>
          <w:bCs/>
          <w:szCs w:val="24"/>
        </w:rPr>
        <w:t>Estimating Respondent Costs</w:t>
      </w:r>
    </w:p>
    <w:p w:rsidR="00D6009C" w:rsidRPr="008574F9" w:rsidRDefault="00D6009C" w:rsidP="000C02E9">
      <w:pPr>
        <w:autoSpaceDE w:val="0"/>
        <w:autoSpaceDN w:val="0"/>
        <w:adjustRightInd w:val="0"/>
        <w:rPr>
          <w:szCs w:val="24"/>
        </w:rPr>
      </w:pPr>
    </w:p>
    <w:p w:rsidR="000C02E9" w:rsidRPr="008574F9" w:rsidRDefault="00BB1D60" w:rsidP="00217148">
      <w:pPr>
        <w:autoSpaceDE w:val="0"/>
        <w:autoSpaceDN w:val="0"/>
        <w:adjustRightInd w:val="0"/>
        <w:ind w:firstLine="720"/>
        <w:rPr>
          <w:szCs w:val="24"/>
        </w:rPr>
      </w:pPr>
      <w:r>
        <w:rPr>
          <w:szCs w:val="24"/>
        </w:rPr>
        <w:t>Table 6-</w:t>
      </w:r>
      <w:r w:rsidR="009269F3">
        <w:rPr>
          <w:szCs w:val="24"/>
        </w:rPr>
        <w:t>4</w:t>
      </w:r>
      <w:r w:rsidR="000C02E9" w:rsidRPr="008574F9">
        <w:rPr>
          <w:szCs w:val="24"/>
        </w:rPr>
        <w:t xml:space="preserve"> presents </w:t>
      </w:r>
      <w:r w:rsidR="00687275">
        <w:rPr>
          <w:szCs w:val="24"/>
        </w:rPr>
        <w:t>s</w:t>
      </w:r>
      <w:r w:rsidR="009D2B68">
        <w:rPr>
          <w:szCs w:val="24"/>
        </w:rPr>
        <w:t>tate</w:t>
      </w:r>
      <w:r w:rsidR="000C02E9" w:rsidRPr="008574F9">
        <w:rPr>
          <w:szCs w:val="24"/>
        </w:rPr>
        <w:t xml:space="preserve"> and local respondent annualized hours and costs for each information</w:t>
      </w:r>
      <w:r w:rsidR="00217148" w:rsidRPr="008574F9">
        <w:rPr>
          <w:szCs w:val="24"/>
        </w:rPr>
        <w:t xml:space="preserve"> </w:t>
      </w:r>
      <w:r w:rsidR="000C02E9" w:rsidRPr="008574F9">
        <w:rPr>
          <w:szCs w:val="24"/>
        </w:rPr>
        <w:t>collection activity</w:t>
      </w:r>
      <w:r w:rsidR="003972B1" w:rsidRPr="008574F9">
        <w:rPr>
          <w:szCs w:val="24"/>
        </w:rPr>
        <w:t xml:space="preserve">.  </w:t>
      </w:r>
      <w:r w:rsidR="000C02E9" w:rsidRPr="008574F9">
        <w:rPr>
          <w:szCs w:val="24"/>
        </w:rPr>
        <w:t>To estimate annualized hours and costs for one-time activities,</w:t>
      </w:r>
      <w:r w:rsidR="00217148" w:rsidRPr="008574F9">
        <w:rPr>
          <w:szCs w:val="24"/>
        </w:rPr>
        <w:t xml:space="preserve"> </w:t>
      </w:r>
      <w:r w:rsidR="000C02E9" w:rsidRPr="008574F9">
        <w:rPr>
          <w:szCs w:val="24"/>
        </w:rPr>
        <w:t xml:space="preserve">the burden estimate is divided by </w:t>
      </w:r>
      <w:r w:rsidR="00360CF0">
        <w:rPr>
          <w:szCs w:val="24"/>
        </w:rPr>
        <w:t>three</w:t>
      </w:r>
      <w:r w:rsidR="000C02E9" w:rsidRPr="008574F9">
        <w:rPr>
          <w:szCs w:val="24"/>
        </w:rPr>
        <w:t xml:space="preserve"> to estimate the burden over a </w:t>
      </w:r>
      <w:r w:rsidR="00360CF0">
        <w:rPr>
          <w:szCs w:val="24"/>
        </w:rPr>
        <w:t>three</w:t>
      </w:r>
      <w:r w:rsidR="000C02E9" w:rsidRPr="008574F9">
        <w:rPr>
          <w:szCs w:val="24"/>
        </w:rPr>
        <w:t>-year period</w:t>
      </w:r>
      <w:r w:rsidR="003972B1" w:rsidRPr="008574F9">
        <w:rPr>
          <w:szCs w:val="24"/>
        </w:rPr>
        <w:t xml:space="preserve">.  </w:t>
      </w:r>
      <w:r>
        <w:rPr>
          <w:szCs w:val="24"/>
        </w:rPr>
        <w:t xml:space="preserve">Table </w:t>
      </w:r>
      <w:r w:rsidR="00AA0E61">
        <w:rPr>
          <w:szCs w:val="24"/>
        </w:rPr>
        <w:t xml:space="preserve">  </w:t>
      </w:r>
      <w:r w:rsidR="009269F3">
        <w:rPr>
          <w:szCs w:val="24"/>
        </w:rPr>
        <w:t>6-5</w:t>
      </w:r>
      <w:r w:rsidR="00217148" w:rsidRPr="008574F9">
        <w:rPr>
          <w:szCs w:val="24"/>
        </w:rPr>
        <w:t xml:space="preserve"> </w:t>
      </w:r>
      <w:r w:rsidR="000C02E9" w:rsidRPr="008574F9">
        <w:rPr>
          <w:szCs w:val="24"/>
        </w:rPr>
        <w:t>summarizes the annual industry respondent costs</w:t>
      </w:r>
      <w:r w:rsidR="003972B1" w:rsidRPr="008574F9">
        <w:rPr>
          <w:szCs w:val="24"/>
        </w:rPr>
        <w:t xml:space="preserve">.  </w:t>
      </w:r>
      <w:r w:rsidR="000C02E9" w:rsidRPr="008574F9">
        <w:rPr>
          <w:szCs w:val="24"/>
        </w:rPr>
        <w:t>The following discussion describes how the</w:t>
      </w:r>
      <w:r w:rsidR="00217148" w:rsidRPr="008574F9">
        <w:rPr>
          <w:szCs w:val="24"/>
        </w:rPr>
        <w:t xml:space="preserve"> </w:t>
      </w:r>
      <w:r w:rsidR="000C02E9" w:rsidRPr="008574F9">
        <w:rPr>
          <w:szCs w:val="24"/>
        </w:rPr>
        <w:t>costs were derived.</w:t>
      </w:r>
    </w:p>
    <w:p w:rsidR="00D6009C" w:rsidRPr="008574F9" w:rsidRDefault="00D6009C" w:rsidP="000C02E9">
      <w:pPr>
        <w:autoSpaceDE w:val="0"/>
        <w:autoSpaceDN w:val="0"/>
        <w:adjustRightInd w:val="0"/>
        <w:rPr>
          <w:i/>
          <w:iCs/>
          <w:szCs w:val="24"/>
        </w:rPr>
      </w:pPr>
    </w:p>
    <w:p w:rsidR="000C02E9" w:rsidRPr="00BE7306" w:rsidRDefault="000C02E9" w:rsidP="00360CF0">
      <w:pPr>
        <w:autoSpaceDE w:val="0"/>
        <w:autoSpaceDN w:val="0"/>
        <w:adjustRightInd w:val="0"/>
        <w:ind w:left="720"/>
        <w:rPr>
          <w:iCs/>
          <w:szCs w:val="24"/>
        </w:rPr>
      </w:pPr>
      <w:r w:rsidRPr="00BE7306">
        <w:rPr>
          <w:iCs/>
          <w:szCs w:val="24"/>
        </w:rPr>
        <w:t>(i)</w:t>
      </w:r>
      <w:r w:rsidR="00BE7306" w:rsidRPr="00BE7306">
        <w:rPr>
          <w:iCs/>
          <w:szCs w:val="24"/>
        </w:rPr>
        <w:t xml:space="preserve"> </w:t>
      </w:r>
      <w:r w:rsidRPr="00BE7306">
        <w:rPr>
          <w:iCs/>
          <w:szCs w:val="24"/>
        </w:rPr>
        <w:t xml:space="preserve"> Estimating Labor Costs</w:t>
      </w:r>
    </w:p>
    <w:p w:rsidR="00217148" w:rsidRPr="008574F9" w:rsidRDefault="00217148" w:rsidP="00217148">
      <w:pPr>
        <w:autoSpaceDE w:val="0"/>
        <w:autoSpaceDN w:val="0"/>
        <w:adjustRightInd w:val="0"/>
        <w:ind w:firstLine="720"/>
        <w:rPr>
          <w:szCs w:val="24"/>
        </w:rPr>
      </w:pPr>
    </w:p>
    <w:p w:rsidR="00217148" w:rsidRPr="008574F9" w:rsidRDefault="000C02E9" w:rsidP="00217148">
      <w:pPr>
        <w:autoSpaceDE w:val="0"/>
        <w:autoSpaceDN w:val="0"/>
        <w:adjustRightInd w:val="0"/>
        <w:ind w:firstLine="720"/>
        <w:rPr>
          <w:szCs w:val="24"/>
        </w:rPr>
      </w:pPr>
      <w:r w:rsidRPr="008574F9">
        <w:rPr>
          <w:szCs w:val="24"/>
        </w:rPr>
        <w:t>For this ICR, the labor ra</w:t>
      </w:r>
      <w:r w:rsidR="00687275">
        <w:rPr>
          <w:szCs w:val="24"/>
        </w:rPr>
        <w:t>te used for technical staff at s</w:t>
      </w:r>
      <w:r w:rsidRPr="008574F9">
        <w:rPr>
          <w:szCs w:val="24"/>
        </w:rPr>
        <w:t xml:space="preserve">tate agencies is </w:t>
      </w:r>
      <w:r w:rsidRPr="00D27A99">
        <w:rPr>
          <w:szCs w:val="24"/>
        </w:rPr>
        <w:t>$</w:t>
      </w:r>
      <w:r w:rsidR="00DE4B13" w:rsidRPr="001A38CD">
        <w:rPr>
          <w:szCs w:val="24"/>
        </w:rPr>
        <w:t>42.95</w:t>
      </w:r>
      <w:r w:rsidR="00EA0165" w:rsidRPr="00D27A99">
        <w:rPr>
          <w:szCs w:val="24"/>
        </w:rPr>
        <w:t xml:space="preserve"> </w:t>
      </w:r>
      <w:r w:rsidRPr="00A37EB5">
        <w:rPr>
          <w:szCs w:val="24"/>
        </w:rPr>
        <w:t>per hour</w:t>
      </w:r>
      <w:r w:rsidRPr="008574F9">
        <w:rPr>
          <w:szCs w:val="24"/>
        </w:rPr>
        <w:t>, and</w:t>
      </w:r>
      <w:r w:rsidR="00217148" w:rsidRPr="008574F9">
        <w:rPr>
          <w:szCs w:val="24"/>
        </w:rPr>
        <w:t xml:space="preserve"> </w:t>
      </w:r>
      <w:r w:rsidRPr="008574F9">
        <w:rPr>
          <w:szCs w:val="24"/>
        </w:rPr>
        <w:t>the labor ra</w:t>
      </w:r>
      <w:r w:rsidR="00687275">
        <w:rPr>
          <w:szCs w:val="24"/>
        </w:rPr>
        <w:t>te for managerial employees at s</w:t>
      </w:r>
      <w:r w:rsidRPr="008574F9">
        <w:rPr>
          <w:szCs w:val="24"/>
        </w:rPr>
        <w:t>tate agencies is $</w:t>
      </w:r>
      <w:r w:rsidR="004E1ACD">
        <w:rPr>
          <w:szCs w:val="24"/>
        </w:rPr>
        <w:t>52.01</w:t>
      </w:r>
      <w:r w:rsidR="003972B1" w:rsidRPr="008574F9">
        <w:rPr>
          <w:szCs w:val="24"/>
        </w:rPr>
        <w:t xml:space="preserve">.  </w:t>
      </w:r>
      <w:r w:rsidRPr="008574F9">
        <w:rPr>
          <w:szCs w:val="24"/>
        </w:rPr>
        <w:t>These labor rates include</w:t>
      </w:r>
      <w:r w:rsidR="00217148" w:rsidRPr="008574F9">
        <w:rPr>
          <w:szCs w:val="24"/>
        </w:rPr>
        <w:t xml:space="preserve"> </w:t>
      </w:r>
      <w:r w:rsidRPr="008574F9">
        <w:rPr>
          <w:szCs w:val="24"/>
        </w:rPr>
        <w:t>benefits and overhead</w:t>
      </w:r>
      <w:r w:rsidR="00C74CE4">
        <w:rPr>
          <w:szCs w:val="24"/>
        </w:rPr>
        <w:t xml:space="preserve">, and </w:t>
      </w:r>
      <w:r w:rsidRPr="008574F9">
        <w:rPr>
          <w:szCs w:val="24"/>
        </w:rPr>
        <w:t>are</w:t>
      </w:r>
      <w:r w:rsidR="00C74CE4">
        <w:rPr>
          <w:szCs w:val="24"/>
        </w:rPr>
        <w:t xml:space="preserve"> derived from data shown on the</w:t>
      </w:r>
      <w:r w:rsidRPr="008574F9">
        <w:rPr>
          <w:szCs w:val="24"/>
        </w:rPr>
        <w:t xml:space="preserve"> </w:t>
      </w:r>
      <w:r w:rsidR="00C74CE4">
        <w:rPr>
          <w:szCs w:val="24"/>
        </w:rPr>
        <w:t>Bureau of Labor Statistics web</w:t>
      </w:r>
      <w:r w:rsidRPr="008574F9">
        <w:rPr>
          <w:szCs w:val="24"/>
        </w:rPr>
        <w:t xml:space="preserve">site at </w:t>
      </w:r>
      <w:hyperlink r:id="rId8" w:history="1">
        <w:r w:rsidR="00217148" w:rsidRPr="008574F9">
          <w:rPr>
            <w:rStyle w:val="Hyperlink"/>
            <w:szCs w:val="24"/>
          </w:rPr>
          <w:t>http://stats.bls.gov/news.release/ecec.toc.htm</w:t>
        </w:r>
      </w:hyperlink>
      <w:r w:rsidR="003972B1" w:rsidRPr="008574F9">
        <w:rPr>
          <w:szCs w:val="24"/>
        </w:rPr>
        <w:t xml:space="preserve">.  </w:t>
      </w:r>
      <w:r w:rsidRPr="008574F9">
        <w:rPr>
          <w:szCs w:val="24"/>
        </w:rPr>
        <w:t xml:space="preserve">Wage and salary rates are </w:t>
      </w:r>
      <w:r w:rsidR="00C74CE4">
        <w:rPr>
          <w:szCs w:val="24"/>
        </w:rPr>
        <w:t xml:space="preserve">shown at the link “Table 3:  </w:t>
      </w:r>
      <w:r w:rsidRPr="008574F9">
        <w:rPr>
          <w:szCs w:val="24"/>
        </w:rPr>
        <w:t>State</w:t>
      </w:r>
      <w:r w:rsidR="00217148" w:rsidRPr="008574F9">
        <w:rPr>
          <w:szCs w:val="24"/>
        </w:rPr>
        <w:t xml:space="preserve"> </w:t>
      </w:r>
      <w:r w:rsidRPr="008574F9">
        <w:rPr>
          <w:szCs w:val="24"/>
        </w:rPr>
        <w:t>and local government, by major</w:t>
      </w:r>
      <w:r w:rsidR="00C74CE4">
        <w:rPr>
          <w:szCs w:val="24"/>
        </w:rPr>
        <w:t xml:space="preserve"> occupation and industry group (</w:t>
      </w:r>
      <w:r w:rsidR="00693B54">
        <w:rPr>
          <w:szCs w:val="24"/>
        </w:rPr>
        <w:t>December 2013</w:t>
      </w:r>
      <w:r w:rsidRPr="008574F9">
        <w:rPr>
          <w:szCs w:val="24"/>
        </w:rPr>
        <w:t>).</w:t>
      </w:r>
      <w:r w:rsidR="00033581">
        <w:rPr>
          <w:szCs w:val="24"/>
        </w:rPr>
        <w:t>"</w:t>
      </w:r>
      <w:r w:rsidR="003972B1" w:rsidRPr="008574F9">
        <w:rPr>
          <w:szCs w:val="24"/>
        </w:rPr>
        <w:t xml:space="preserve">  </w:t>
      </w:r>
      <w:r w:rsidRPr="008574F9">
        <w:rPr>
          <w:szCs w:val="24"/>
        </w:rPr>
        <w:t>The wage and</w:t>
      </w:r>
      <w:r w:rsidR="00217148" w:rsidRPr="008574F9">
        <w:rPr>
          <w:szCs w:val="24"/>
        </w:rPr>
        <w:t xml:space="preserve"> </w:t>
      </w:r>
      <w:r w:rsidRPr="008574F9">
        <w:rPr>
          <w:szCs w:val="24"/>
        </w:rPr>
        <w:t>salary rates from this table account for benefits provided to workers</w:t>
      </w:r>
      <w:r w:rsidR="003972B1" w:rsidRPr="008574F9">
        <w:rPr>
          <w:szCs w:val="24"/>
        </w:rPr>
        <w:t xml:space="preserve">.  </w:t>
      </w:r>
      <w:r w:rsidRPr="008574F9">
        <w:rPr>
          <w:szCs w:val="24"/>
        </w:rPr>
        <w:t>When considering both</w:t>
      </w:r>
      <w:r w:rsidR="00217148" w:rsidRPr="008574F9">
        <w:rPr>
          <w:szCs w:val="24"/>
        </w:rPr>
        <w:t xml:space="preserve"> </w:t>
      </w:r>
      <w:r w:rsidRPr="008574F9">
        <w:rPr>
          <w:szCs w:val="24"/>
        </w:rPr>
        <w:t>technical and man</w:t>
      </w:r>
      <w:r w:rsidR="00687275">
        <w:rPr>
          <w:szCs w:val="24"/>
        </w:rPr>
        <w:t>agerial hours, labor costs for s</w:t>
      </w:r>
      <w:r w:rsidRPr="008574F9">
        <w:rPr>
          <w:szCs w:val="24"/>
        </w:rPr>
        <w:t xml:space="preserve">tate and </w:t>
      </w:r>
      <w:r w:rsidR="00852DBE">
        <w:rPr>
          <w:szCs w:val="24"/>
        </w:rPr>
        <w:t>t</w:t>
      </w:r>
      <w:r w:rsidRPr="008574F9">
        <w:rPr>
          <w:szCs w:val="24"/>
        </w:rPr>
        <w:t>erritorial agencies are estimated to be</w:t>
      </w:r>
      <w:r w:rsidR="00217148" w:rsidRPr="008574F9">
        <w:rPr>
          <w:szCs w:val="24"/>
        </w:rPr>
        <w:t xml:space="preserve"> </w:t>
      </w:r>
      <w:r w:rsidR="00413C7F">
        <w:rPr>
          <w:szCs w:val="24"/>
        </w:rPr>
        <w:t>$5</w:t>
      </w:r>
      <w:r w:rsidR="005E7328">
        <w:rPr>
          <w:szCs w:val="24"/>
        </w:rPr>
        <w:t>4,000</w:t>
      </w:r>
      <w:r w:rsidR="004B2EF1">
        <w:rPr>
          <w:szCs w:val="24"/>
        </w:rPr>
        <w:t xml:space="preserve"> </w:t>
      </w:r>
      <w:r w:rsidRPr="003A5440">
        <w:rPr>
          <w:szCs w:val="24"/>
        </w:rPr>
        <w:t xml:space="preserve">per year per respondent, and labor costs for local </w:t>
      </w:r>
      <w:r w:rsidR="00413C7F">
        <w:rPr>
          <w:szCs w:val="24"/>
        </w:rPr>
        <w:t>agencies are estimated to be $3</w:t>
      </w:r>
      <w:r w:rsidR="005E7328">
        <w:rPr>
          <w:szCs w:val="24"/>
        </w:rPr>
        <w:t>5</w:t>
      </w:r>
      <w:r w:rsidRPr="003A5440">
        <w:rPr>
          <w:szCs w:val="24"/>
        </w:rPr>
        <w:t>,000</w:t>
      </w:r>
      <w:r w:rsidR="00217148" w:rsidRPr="003A5440">
        <w:rPr>
          <w:szCs w:val="24"/>
        </w:rPr>
        <w:t xml:space="preserve"> </w:t>
      </w:r>
      <w:r w:rsidRPr="003A5440">
        <w:rPr>
          <w:szCs w:val="24"/>
        </w:rPr>
        <w:t>per year per respondent for the emissions reporting requirements</w:t>
      </w:r>
      <w:r w:rsidRPr="008574F9">
        <w:rPr>
          <w:szCs w:val="24"/>
        </w:rPr>
        <w:t>.</w:t>
      </w:r>
      <w:r w:rsidR="00217148" w:rsidRPr="008574F9">
        <w:rPr>
          <w:szCs w:val="24"/>
        </w:rPr>
        <w:t xml:space="preserve"> </w:t>
      </w:r>
    </w:p>
    <w:p w:rsidR="00217148" w:rsidRPr="008574F9" w:rsidRDefault="00217148" w:rsidP="00217148">
      <w:pPr>
        <w:autoSpaceDE w:val="0"/>
        <w:autoSpaceDN w:val="0"/>
        <w:adjustRightInd w:val="0"/>
        <w:ind w:firstLine="720"/>
        <w:rPr>
          <w:szCs w:val="24"/>
        </w:rPr>
      </w:pPr>
    </w:p>
    <w:p w:rsidR="00217148" w:rsidRPr="008574F9" w:rsidRDefault="000C02E9" w:rsidP="00217148">
      <w:pPr>
        <w:autoSpaceDE w:val="0"/>
        <w:autoSpaceDN w:val="0"/>
        <w:adjustRightInd w:val="0"/>
        <w:ind w:firstLine="720"/>
        <w:rPr>
          <w:szCs w:val="24"/>
        </w:rPr>
      </w:pPr>
      <w:r w:rsidRPr="008574F9">
        <w:rPr>
          <w:szCs w:val="24"/>
        </w:rPr>
        <w:t>In estimating labor costs</w:t>
      </w:r>
      <w:r w:rsidR="00FF6E16">
        <w:rPr>
          <w:szCs w:val="24"/>
        </w:rPr>
        <w:t xml:space="preserve"> for industry</w:t>
      </w:r>
      <w:r w:rsidRPr="008574F9">
        <w:rPr>
          <w:szCs w:val="24"/>
        </w:rPr>
        <w:t xml:space="preserve">, EPA used the following amounts: </w:t>
      </w:r>
      <w:r w:rsidRPr="00897F13">
        <w:rPr>
          <w:szCs w:val="24"/>
        </w:rPr>
        <w:t>$</w:t>
      </w:r>
      <w:r w:rsidR="00F73F45">
        <w:rPr>
          <w:szCs w:val="24"/>
        </w:rPr>
        <w:t>95.10</w:t>
      </w:r>
      <w:r w:rsidRPr="00897F13">
        <w:rPr>
          <w:szCs w:val="24"/>
        </w:rPr>
        <w:t xml:space="preserve"> per hour for managers</w:t>
      </w:r>
      <w:r w:rsidR="00217148" w:rsidRPr="00897F13">
        <w:rPr>
          <w:szCs w:val="24"/>
        </w:rPr>
        <w:t xml:space="preserve"> </w:t>
      </w:r>
      <w:r w:rsidRPr="00897F13">
        <w:rPr>
          <w:szCs w:val="24"/>
        </w:rPr>
        <w:t>and $</w:t>
      </w:r>
      <w:r w:rsidR="00812D46">
        <w:rPr>
          <w:szCs w:val="24"/>
        </w:rPr>
        <w:t>67.38</w:t>
      </w:r>
      <w:r w:rsidRPr="00897F13">
        <w:rPr>
          <w:szCs w:val="24"/>
        </w:rPr>
        <w:t xml:space="preserve"> per hour for technicians</w:t>
      </w:r>
      <w:r w:rsidR="003972B1" w:rsidRPr="00897F13">
        <w:rPr>
          <w:szCs w:val="24"/>
        </w:rPr>
        <w:t>.</w:t>
      </w:r>
      <w:r w:rsidR="003972B1" w:rsidRPr="008574F9">
        <w:rPr>
          <w:szCs w:val="24"/>
        </w:rPr>
        <w:t xml:space="preserve">  </w:t>
      </w:r>
      <w:r w:rsidRPr="008574F9">
        <w:rPr>
          <w:szCs w:val="24"/>
        </w:rPr>
        <w:t xml:space="preserve">These rates were used in the existing </w:t>
      </w:r>
      <w:r w:rsidR="00F01416">
        <w:rPr>
          <w:szCs w:val="24"/>
        </w:rPr>
        <w:t>ARP</w:t>
      </w:r>
      <w:r w:rsidR="001574E9">
        <w:rPr>
          <w:szCs w:val="24"/>
        </w:rPr>
        <w:t xml:space="preserve"> </w:t>
      </w:r>
      <w:r w:rsidR="003017F3">
        <w:rPr>
          <w:szCs w:val="24"/>
        </w:rPr>
        <w:t xml:space="preserve">ICR </w:t>
      </w:r>
      <w:r w:rsidR="00BB6830">
        <w:rPr>
          <w:szCs w:val="24"/>
        </w:rPr>
        <w:t>(</w:t>
      </w:r>
      <w:r w:rsidR="00BB6830">
        <w:rPr>
          <w:rFonts w:ascii="TimesNewRoman,Bold" w:hAnsi="TimesNewRoman,Bold" w:cs="TimesNewRoman,Bold"/>
          <w:bCs/>
          <w:szCs w:val="24"/>
        </w:rPr>
        <w:t xml:space="preserve">EPA ICR Number </w:t>
      </w:r>
      <w:r w:rsidR="001574E9">
        <w:rPr>
          <w:rFonts w:ascii="TimesNewRoman,Bold" w:hAnsi="TimesNewRoman,Bold" w:cs="TimesNewRoman,Bold"/>
          <w:bCs/>
          <w:szCs w:val="24"/>
        </w:rPr>
        <w:t>1633.</w:t>
      </w:r>
      <w:r w:rsidR="00A03C99">
        <w:rPr>
          <w:rFonts w:ascii="TimesNewRoman,Bold" w:hAnsi="TimesNewRoman,Bold" w:cs="TimesNewRoman,Bold"/>
          <w:bCs/>
          <w:szCs w:val="24"/>
        </w:rPr>
        <w:t>16</w:t>
      </w:r>
      <w:r w:rsidR="00BB6830">
        <w:rPr>
          <w:rFonts w:ascii="TimesNewRoman,Bold" w:hAnsi="TimesNewRoman,Bold" w:cs="TimesNewRoman,Bold"/>
          <w:bCs/>
          <w:szCs w:val="24"/>
        </w:rPr>
        <w:t>)</w:t>
      </w:r>
      <w:r w:rsidR="00616AD6">
        <w:rPr>
          <w:rFonts w:ascii="TimesNewRoman,Bold" w:hAnsi="TimesNewRoman,Bold" w:cs="TimesNewRoman,Bold"/>
          <w:bCs/>
          <w:szCs w:val="24"/>
        </w:rPr>
        <w:t xml:space="preserve"> </w:t>
      </w:r>
      <w:r w:rsidR="001574E9">
        <w:rPr>
          <w:szCs w:val="24"/>
        </w:rPr>
        <w:t>and are the consistent with the Current Employment Cost Index year 20</w:t>
      </w:r>
      <w:r w:rsidR="00305861">
        <w:rPr>
          <w:szCs w:val="24"/>
        </w:rPr>
        <w:t>1</w:t>
      </w:r>
      <w:r w:rsidR="005E7328">
        <w:rPr>
          <w:szCs w:val="24"/>
        </w:rPr>
        <w:t>4</w:t>
      </w:r>
      <w:r w:rsidR="001574E9">
        <w:rPr>
          <w:szCs w:val="24"/>
        </w:rPr>
        <w:t>.</w:t>
      </w:r>
    </w:p>
    <w:p w:rsidR="00217148" w:rsidRPr="008574F9" w:rsidRDefault="00217148" w:rsidP="00217148">
      <w:pPr>
        <w:autoSpaceDE w:val="0"/>
        <w:autoSpaceDN w:val="0"/>
        <w:adjustRightInd w:val="0"/>
        <w:ind w:firstLine="720"/>
        <w:rPr>
          <w:szCs w:val="24"/>
        </w:rPr>
      </w:pPr>
    </w:p>
    <w:p w:rsidR="005D5242" w:rsidRDefault="00BE7306" w:rsidP="000C02E9">
      <w:pPr>
        <w:autoSpaceDE w:val="0"/>
        <w:autoSpaceDN w:val="0"/>
        <w:adjustRightInd w:val="0"/>
        <w:rPr>
          <w:b/>
          <w:bCs/>
          <w:szCs w:val="24"/>
        </w:rPr>
      </w:pPr>
      <w:r>
        <w:tab/>
      </w:r>
      <w:r w:rsidR="000C02E9" w:rsidRPr="00990AB6">
        <w:t>Federal Agency labor rates were assumed to be $</w:t>
      </w:r>
      <w:r w:rsidR="006C7870">
        <w:t>77.27</w:t>
      </w:r>
      <w:r w:rsidR="00354567">
        <w:t xml:space="preserve"> </w:t>
      </w:r>
      <w:r w:rsidR="000C02E9" w:rsidRPr="00990AB6">
        <w:t>per hour</w:t>
      </w:r>
      <w:r w:rsidR="003972B1" w:rsidRPr="00990AB6">
        <w:t xml:space="preserve">.  </w:t>
      </w:r>
      <w:r w:rsidR="000C02E9" w:rsidRPr="00990AB6">
        <w:t>This labor rate was derived</w:t>
      </w:r>
      <w:r w:rsidR="00217148" w:rsidRPr="00990AB6">
        <w:t xml:space="preserve"> </w:t>
      </w:r>
      <w:r w:rsidR="000C02E9" w:rsidRPr="00990AB6">
        <w:t>from the federal government</w:t>
      </w:r>
      <w:r w:rsidR="00033581">
        <w:t>'</w:t>
      </w:r>
      <w:r w:rsidR="000C02E9" w:rsidRPr="00990AB6">
        <w:t xml:space="preserve">s </w:t>
      </w:r>
      <w:r w:rsidR="005E7328">
        <w:t>2014</w:t>
      </w:r>
      <w:r w:rsidR="005E7328" w:rsidRPr="00990AB6">
        <w:t xml:space="preserve"> </w:t>
      </w:r>
      <w:r w:rsidR="000C02E9" w:rsidRPr="00990AB6">
        <w:t>U.S. Office of Personnel</w:t>
      </w:r>
      <w:r w:rsidR="00217148" w:rsidRPr="00990AB6">
        <w:t xml:space="preserve"> </w:t>
      </w:r>
      <w:r w:rsidR="000C02E9" w:rsidRPr="00990AB6">
        <w:t>Management</w:t>
      </w:r>
      <w:r w:rsidR="00990AB6">
        <w:t xml:space="preserve"> General Schedule</w:t>
      </w:r>
      <w:r w:rsidR="00990AB6" w:rsidRPr="00990AB6">
        <w:t xml:space="preserve"> </w:t>
      </w:r>
      <w:r w:rsidR="00033581">
        <w:t>"</w:t>
      </w:r>
      <w:r w:rsidR="00990AB6">
        <w:t>Salary Table</w:t>
      </w:r>
      <w:r w:rsidR="00990AB6" w:rsidRPr="00990AB6">
        <w:t xml:space="preserve"> 20</w:t>
      </w:r>
      <w:r w:rsidR="003F3C10">
        <w:t>1</w:t>
      </w:r>
      <w:r w:rsidR="00623D26">
        <w:t>4</w:t>
      </w:r>
      <w:r w:rsidR="00990AB6" w:rsidRPr="00990AB6">
        <w:t>-GS</w:t>
      </w:r>
      <w:r w:rsidR="00870452">
        <w:t>"(</w:t>
      </w:r>
      <w:hyperlink r:id="rId9" w:history="1">
        <w:r w:rsidR="00870452" w:rsidRPr="00870452">
          <w:rPr>
            <w:rStyle w:val="Hyperlink"/>
          </w:rPr>
          <w:t>http:/www.opm.gov/policy-data-oversight/pay-leave/salaries-wages/salary-tables/pdf/2014/GS.pdf</w:t>
        </w:r>
      </w:hyperlink>
      <w:r w:rsidR="00870452">
        <w:t>)</w:t>
      </w:r>
      <w:r w:rsidR="000C02E9" w:rsidRPr="00990AB6">
        <w:t xml:space="preserve"> u</w:t>
      </w:r>
      <w:r w:rsidR="003017F3">
        <w:t xml:space="preserve">sing the factors in </w:t>
      </w:r>
      <w:r w:rsidR="004F6B8D">
        <w:t xml:space="preserve">Table 6-2 </w:t>
      </w:r>
      <w:r w:rsidR="003017F3">
        <w:t>below</w:t>
      </w:r>
      <w:r w:rsidR="000C02E9" w:rsidRPr="00990AB6">
        <w:t>.</w:t>
      </w:r>
      <w:r w:rsidR="006D2B9E" w:rsidRPr="00990AB6">
        <w:t xml:space="preserve"> </w:t>
      </w:r>
      <w:r w:rsidR="00DF76C7">
        <w:t xml:space="preserve"> </w:t>
      </w:r>
    </w:p>
    <w:p w:rsidR="00AA0E61" w:rsidRDefault="00AA0E61" w:rsidP="005D5242">
      <w:pPr>
        <w:keepNext/>
        <w:autoSpaceDE w:val="0"/>
        <w:autoSpaceDN w:val="0"/>
        <w:adjustRightInd w:val="0"/>
        <w:jc w:val="center"/>
        <w:rPr>
          <w:rFonts w:eastAsia="Times New Roman"/>
          <w:b/>
          <w:bCs/>
          <w:color w:val="000000"/>
          <w:szCs w:val="24"/>
        </w:rPr>
      </w:pPr>
    </w:p>
    <w:p w:rsidR="00BE7306" w:rsidRDefault="00AA0E61" w:rsidP="005D5242">
      <w:pPr>
        <w:keepNext/>
        <w:autoSpaceDE w:val="0"/>
        <w:autoSpaceDN w:val="0"/>
        <w:adjustRightInd w:val="0"/>
        <w:jc w:val="center"/>
        <w:rPr>
          <w:rFonts w:eastAsia="Times New Roman"/>
          <w:b/>
          <w:bCs/>
          <w:color w:val="000000"/>
          <w:szCs w:val="24"/>
        </w:rPr>
      </w:pPr>
      <w:r>
        <w:rPr>
          <w:rFonts w:eastAsia="Times New Roman"/>
          <w:b/>
          <w:bCs/>
          <w:color w:val="000000"/>
          <w:szCs w:val="24"/>
        </w:rPr>
        <w:br w:type="page"/>
      </w:r>
      <w:r w:rsidR="005D5242" w:rsidRPr="005D5242">
        <w:rPr>
          <w:rFonts w:eastAsia="Times New Roman"/>
          <w:b/>
          <w:bCs/>
          <w:color w:val="000000"/>
          <w:szCs w:val="24"/>
        </w:rPr>
        <w:lastRenderedPageBreak/>
        <w:t xml:space="preserve">Table 6-2: </w:t>
      </w:r>
      <w:r w:rsidR="005D5242" w:rsidRPr="005D5242">
        <w:rPr>
          <w:rFonts w:eastAsia="Times New Roman"/>
          <w:b/>
          <w:bCs/>
          <w:color w:val="000000"/>
          <w:szCs w:val="24"/>
        </w:rPr>
        <w:br/>
        <w:t>Determination of Federal Wage Rates</w:t>
      </w:r>
    </w:p>
    <w:p w:rsidR="005D5242" w:rsidRPr="005D5242" w:rsidRDefault="005D5242" w:rsidP="005D5242">
      <w:pPr>
        <w:keepNext/>
        <w:autoSpaceDE w:val="0"/>
        <w:autoSpaceDN w:val="0"/>
        <w:adjustRightInd w:val="0"/>
        <w:jc w:val="center"/>
        <w:rPr>
          <w:b/>
          <w:bCs/>
          <w:szCs w:val="24"/>
        </w:rPr>
      </w:pPr>
    </w:p>
    <w:tbl>
      <w:tblPr>
        <w:tblW w:w="9350" w:type="dxa"/>
        <w:tblInd w:w="93" w:type="dxa"/>
        <w:tblLayout w:type="fixed"/>
        <w:tblCellMar>
          <w:top w:w="72" w:type="dxa"/>
          <w:left w:w="72" w:type="dxa"/>
          <w:bottom w:w="72" w:type="dxa"/>
          <w:right w:w="72" w:type="dxa"/>
        </w:tblCellMar>
        <w:tblLook w:val="04A0"/>
      </w:tblPr>
      <w:tblGrid>
        <w:gridCol w:w="6168"/>
        <w:gridCol w:w="1536"/>
        <w:gridCol w:w="1646"/>
      </w:tblGrid>
      <w:tr w:rsidR="00144993" w:rsidRPr="00BE7306" w:rsidTr="00292ECD">
        <w:trPr>
          <w:trHeight w:val="23"/>
        </w:trPr>
        <w:tc>
          <w:tcPr>
            <w:tcW w:w="6168"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144993" w:rsidRPr="002C36D7" w:rsidRDefault="00144993" w:rsidP="00144993">
            <w:pPr>
              <w:jc w:val="center"/>
              <w:rPr>
                <w:rFonts w:eastAsia="Times New Roman"/>
                <w:b/>
                <w:bCs/>
                <w:color w:val="000000"/>
                <w:sz w:val="22"/>
              </w:rPr>
            </w:pPr>
            <w:r w:rsidRPr="00144993">
              <w:rPr>
                <w:rFonts w:eastAsia="Times New Roman"/>
                <w:b/>
                <w:bCs/>
                <w:color w:val="000000"/>
                <w:sz w:val="22"/>
              </w:rPr>
              <w:t>Labor Category</w:t>
            </w:r>
            <w:r w:rsidR="002C36D7">
              <w:rPr>
                <w:rFonts w:eastAsia="Times New Roman"/>
                <w:b/>
                <w:bCs/>
                <w:color w:val="000000"/>
                <w:sz w:val="22"/>
              </w:rPr>
              <w:t xml:space="preserve"> </w:t>
            </w:r>
          </w:p>
        </w:tc>
        <w:tc>
          <w:tcPr>
            <w:tcW w:w="1536" w:type="dxa"/>
            <w:tcBorders>
              <w:top w:val="single" w:sz="4" w:space="0" w:color="auto"/>
              <w:left w:val="nil"/>
              <w:bottom w:val="single" w:sz="4" w:space="0" w:color="auto"/>
              <w:right w:val="single" w:sz="4" w:space="0" w:color="auto"/>
            </w:tcBorders>
            <w:shd w:val="clear" w:color="auto" w:fill="D9D9D9"/>
            <w:noWrap/>
          </w:tcPr>
          <w:p w:rsidR="00144993" w:rsidRPr="002C36D7" w:rsidRDefault="003017F3" w:rsidP="003017F3">
            <w:pPr>
              <w:keepNext/>
              <w:jc w:val="center"/>
              <w:rPr>
                <w:rFonts w:eastAsia="Times New Roman"/>
                <w:b/>
                <w:bCs/>
                <w:color w:val="000000"/>
                <w:sz w:val="22"/>
              </w:rPr>
            </w:pPr>
            <w:r>
              <w:rPr>
                <w:rFonts w:eastAsia="Times New Roman"/>
                <w:b/>
                <w:bCs/>
                <w:color w:val="000000"/>
                <w:sz w:val="22"/>
              </w:rPr>
              <w:t>Factors</w:t>
            </w:r>
          </w:p>
        </w:tc>
        <w:tc>
          <w:tcPr>
            <w:tcW w:w="1646" w:type="dxa"/>
            <w:tcBorders>
              <w:top w:val="single" w:sz="4" w:space="0" w:color="auto"/>
              <w:left w:val="nil"/>
              <w:bottom w:val="single" w:sz="4" w:space="0" w:color="auto"/>
              <w:right w:val="single" w:sz="4" w:space="0" w:color="auto"/>
            </w:tcBorders>
            <w:shd w:val="clear" w:color="auto" w:fill="D9D9D9"/>
            <w:noWrap/>
          </w:tcPr>
          <w:p w:rsidR="00144993" w:rsidRPr="002C36D7" w:rsidRDefault="002C36D7" w:rsidP="002C36D7">
            <w:pPr>
              <w:keepNext/>
              <w:jc w:val="center"/>
              <w:rPr>
                <w:rFonts w:eastAsia="Times New Roman"/>
                <w:b/>
                <w:bCs/>
                <w:color w:val="000000"/>
                <w:sz w:val="22"/>
              </w:rPr>
            </w:pPr>
            <w:r>
              <w:rPr>
                <w:rFonts w:eastAsia="Times New Roman"/>
                <w:b/>
                <w:bCs/>
                <w:color w:val="000000"/>
                <w:sz w:val="22"/>
              </w:rPr>
              <w:t>Total</w:t>
            </w:r>
          </w:p>
        </w:tc>
      </w:tr>
      <w:tr w:rsidR="00DE2491" w:rsidRPr="00BE7306" w:rsidTr="001C6309">
        <w:trPr>
          <w:trHeight w:val="23"/>
        </w:trPr>
        <w:tc>
          <w:tcPr>
            <w:tcW w:w="61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DE2491" w:rsidRPr="00BE7306" w:rsidRDefault="00DE2491" w:rsidP="00870452">
            <w:pPr>
              <w:keepNext/>
              <w:rPr>
                <w:rFonts w:eastAsia="Times New Roman"/>
                <w:color w:val="000000"/>
                <w:sz w:val="20"/>
                <w:szCs w:val="20"/>
              </w:rPr>
            </w:pPr>
            <w:r w:rsidRPr="00BE7306">
              <w:rPr>
                <w:rFonts w:eastAsia="Times New Roman"/>
                <w:color w:val="000000"/>
                <w:sz w:val="20"/>
                <w:szCs w:val="20"/>
              </w:rPr>
              <w:t>Annual Salary of Technical Staff, GS 1</w:t>
            </w:r>
            <w:r w:rsidR="00870452">
              <w:rPr>
                <w:rFonts w:eastAsia="Times New Roman"/>
                <w:color w:val="000000"/>
                <w:sz w:val="20"/>
                <w:szCs w:val="20"/>
              </w:rPr>
              <w:t>3</w:t>
            </w:r>
            <w:r w:rsidRPr="00BE7306">
              <w:rPr>
                <w:rFonts w:eastAsia="Times New Roman"/>
                <w:color w:val="000000"/>
                <w:sz w:val="20"/>
                <w:szCs w:val="20"/>
              </w:rPr>
              <w:t xml:space="preserve"> Step</w:t>
            </w:r>
            <w:r w:rsidR="00B948B7">
              <w:rPr>
                <w:rFonts w:eastAsia="Times New Roman"/>
                <w:color w:val="000000"/>
                <w:sz w:val="20"/>
                <w:szCs w:val="20"/>
              </w:rPr>
              <w:t xml:space="preserve"> </w:t>
            </w:r>
            <w:r w:rsidR="00870452">
              <w:rPr>
                <w:rFonts w:eastAsia="Times New Roman"/>
                <w:color w:val="000000"/>
                <w:sz w:val="20"/>
                <w:szCs w:val="20"/>
              </w:rPr>
              <w:t>8</w:t>
            </w:r>
            <w:r w:rsidRPr="00BE7306">
              <w:rPr>
                <w:rFonts w:eastAsia="Times New Roman"/>
                <w:color w:val="000000"/>
                <w:sz w:val="20"/>
                <w:szCs w:val="20"/>
              </w:rPr>
              <w:t xml:space="preserve"> </w:t>
            </w:r>
          </w:p>
        </w:tc>
        <w:tc>
          <w:tcPr>
            <w:tcW w:w="1536" w:type="dxa"/>
            <w:tcBorders>
              <w:top w:val="single" w:sz="4" w:space="0" w:color="auto"/>
              <w:left w:val="nil"/>
              <w:bottom w:val="single" w:sz="4" w:space="0" w:color="auto"/>
              <w:right w:val="single" w:sz="4" w:space="0" w:color="auto"/>
            </w:tcBorders>
            <w:shd w:val="clear" w:color="auto" w:fill="auto"/>
            <w:noWrap/>
          </w:tcPr>
          <w:p w:rsidR="00DE2491" w:rsidRPr="00BE7306" w:rsidRDefault="00DE2491" w:rsidP="001C6309">
            <w:pPr>
              <w:keepNext/>
              <w:jc w:val="right"/>
              <w:rPr>
                <w:rFonts w:eastAsia="Times New Roman"/>
                <w:color w:val="000000"/>
                <w:sz w:val="20"/>
                <w:szCs w:val="20"/>
              </w:rPr>
            </w:pPr>
          </w:p>
        </w:tc>
        <w:tc>
          <w:tcPr>
            <w:tcW w:w="1646" w:type="dxa"/>
            <w:tcBorders>
              <w:top w:val="single" w:sz="4" w:space="0" w:color="auto"/>
              <w:left w:val="nil"/>
              <w:bottom w:val="single" w:sz="4" w:space="0" w:color="auto"/>
              <w:right w:val="single" w:sz="4" w:space="0" w:color="auto"/>
            </w:tcBorders>
            <w:shd w:val="clear" w:color="auto" w:fill="auto"/>
            <w:noWrap/>
          </w:tcPr>
          <w:p w:rsidR="00DE2491" w:rsidRPr="00BE7306" w:rsidRDefault="00DE2491" w:rsidP="00B948B7">
            <w:pPr>
              <w:keepNext/>
              <w:jc w:val="right"/>
              <w:rPr>
                <w:rFonts w:eastAsia="Times New Roman"/>
                <w:color w:val="000000"/>
                <w:sz w:val="20"/>
                <w:szCs w:val="20"/>
              </w:rPr>
            </w:pPr>
            <w:r w:rsidRPr="00BE7306">
              <w:rPr>
                <w:rFonts w:eastAsia="Times New Roman"/>
                <w:color w:val="000000"/>
                <w:sz w:val="20"/>
                <w:szCs w:val="20"/>
              </w:rPr>
              <w:t>$</w:t>
            </w:r>
            <w:r w:rsidR="00B948B7">
              <w:rPr>
                <w:rFonts w:eastAsia="Times New Roman"/>
                <w:color w:val="000000"/>
                <w:sz w:val="20"/>
                <w:szCs w:val="20"/>
              </w:rPr>
              <w:t>89,282</w:t>
            </w:r>
          </w:p>
        </w:tc>
      </w:tr>
      <w:tr w:rsidR="00DE2491" w:rsidRPr="002C36D7" w:rsidTr="001C6309">
        <w:trPr>
          <w:trHeight w:val="23"/>
        </w:trPr>
        <w:tc>
          <w:tcPr>
            <w:tcW w:w="6168" w:type="dxa"/>
            <w:tcBorders>
              <w:top w:val="nil"/>
              <w:left w:val="single" w:sz="4" w:space="0" w:color="auto"/>
              <w:bottom w:val="single" w:sz="4" w:space="0" w:color="auto"/>
              <w:right w:val="single" w:sz="4" w:space="0" w:color="auto"/>
            </w:tcBorders>
            <w:shd w:val="clear" w:color="auto" w:fill="auto"/>
            <w:noWrap/>
            <w:vAlign w:val="bottom"/>
          </w:tcPr>
          <w:p w:rsidR="00DE2491" w:rsidRPr="00BE7306" w:rsidRDefault="00DE2491" w:rsidP="00870452">
            <w:pPr>
              <w:keepNext/>
              <w:rPr>
                <w:rFonts w:eastAsia="Times New Roman"/>
                <w:color w:val="000000"/>
                <w:sz w:val="20"/>
                <w:szCs w:val="20"/>
              </w:rPr>
            </w:pPr>
            <w:r w:rsidRPr="00BE7306">
              <w:rPr>
                <w:rFonts w:eastAsia="Times New Roman"/>
                <w:color w:val="000000"/>
                <w:sz w:val="20"/>
                <w:szCs w:val="20"/>
              </w:rPr>
              <w:t>Annual Cos</w:t>
            </w:r>
            <w:r w:rsidR="00BE7306">
              <w:rPr>
                <w:rFonts w:eastAsia="Times New Roman"/>
                <w:color w:val="000000"/>
                <w:sz w:val="20"/>
                <w:szCs w:val="20"/>
              </w:rPr>
              <w:t>t of Supervisory Staff, GS 1</w:t>
            </w:r>
            <w:r w:rsidR="00870452">
              <w:rPr>
                <w:rFonts w:eastAsia="Times New Roman"/>
                <w:color w:val="000000"/>
                <w:sz w:val="20"/>
                <w:szCs w:val="20"/>
              </w:rPr>
              <w:t>5</w:t>
            </w:r>
            <w:r w:rsidR="00BE7306">
              <w:rPr>
                <w:rFonts w:eastAsia="Times New Roman"/>
                <w:color w:val="000000"/>
                <w:sz w:val="20"/>
                <w:szCs w:val="20"/>
              </w:rPr>
              <w:t>, S</w:t>
            </w:r>
            <w:r w:rsidRPr="00BE7306">
              <w:rPr>
                <w:rFonts w:eastAsia="Times New Roman"/>
                <w:color w:val="000000"/>
                <w:sz w:val="20"/>
                <w:szCs w:val="20"/>
              </w:rPr>
              <w:t xml:space="preserve">tep </w:t>
            </w:r>
            <w:r w:rsidR="00870452">
              <w:rPr>
                <w:rFonts w:eastAsia="Times New Roman"/>
                <w:color w:val="000000"/>
                <w:sz w:val="20"/>
                <w:szCs w:val="20"/>
              </w:rPr>
              <w:t>8</w:t>
            </w:r>
            <w:r w:rsidRPr="00BE7306">
              <w:rPr>
                <w:rFonts w:eastAsia="Times New Roman"/>
                <w:color w:val="000000"/>
                <w:sz w:val="20"/>
                <w:szCs w:val="20"/>
              </w:rPr>
              <w:t xml:space="preserve"> </w:t>
            </w:r>
          </w:p>
        </w:tc>
        <w:tc>
          <w:tcPr>
            <w:tcW w:w="1536" w:type="dxa"/>
            <w:tcBorders>
              <w:top w:val="nil"/>
              <w:left w:val="nil"/>
              <w:bottom w:val="single" w:sz="4" w:space="0" w:color="auto"/>
              <w:right w:val="single" w:sz="4" w:space="0" w:color="auto"/>
            </w:tcBorders>
            <w:shd w:val="clear" w:color="auto" w:fill="auto"/>
            <w:noWrap/>
          </w:tcPr>
          <w:p w:rsidR="00DE2491" w:rsidRPr="00BE7306" w:rsidRDefault="003F3C10" w:rsidP="00B948B7">
            <w:pPr>
              <w:keepNext/>
              <w:jc w:val="right"/>
              <w:rPr>
                <w:rFonts w:eastAsia="Times New Roman"/>
                <w:color w:val="000000"/>
                <w:sz w:val="20"/>
                <w:szCs w:val="20"/>
              </w:rPr>
            </w:pPr>
            <w:r w:rsidRPr="003F3C10">
              <w:rPr>
                <w:rFonts w:eastAsia="Times New Roman"/>
                <w:color w:val="000000"/>
                <w:sz w:val="20"/>
                <w:szCs w:val="20"/>
              </w:rPr>
              <w:t>$</w:t>
            </w:r>
            <w:r w:rsidR="00B948B7">
              <w:rPr>
                <w:rFonts w:eastAsia="Times New Roman"/>
                <w:color w:val="000000"/>
                <w:sz w:val="20"/>
                <w:szCs w:val="20"/>
              </w:rPr>
              <w:t>124,102</w:t>
            </w:r>
          </w:p>
        </w:tc>
        <w:tc>
          <w:tcPr>
            <w:tcW w:w="1646" w:type="dxa"/>
            <w:tcBorders>
              <w:top w:val="nil"/>
              <w:left w:val="nil"/>
              <w:bottom w:val="single" w:sz="4" w:space="0" w:color="auto"/>
              <w:right w:val="single" w:sz="4" w:space="0" w:color="auto"/>
            </w:tcBorders>
            <w:shd w:val="clear" w:color="auto" w:fill="auto"/>
            <w:noWrap/>
          </w:tcPr>
          <w:p w:rsidR="00DE2491" w:rsidRPr="00BE7306" w:rsidRDefault="00DE2491" w:rsidP="001C6309">
            <w:pPr>
              <w:keepNext/>
              <w:jc w:val="right"/>
              <w:rPr>
                <w:rFonts w:eastAsia="Times New Roman"/>
                <w:color w:val="000000"/>
                <w:sz w:val="20"/>
                <w:szCs w:val="20"/>
              </w:rPr>
            </w:pPr>
          </w:p>
        </w:tc>
      </w:tr>
      <w:tr w:rsidR="00DE2491" w:rsidRPr="00BE7306" w:rsidTr="001C6309">
        <w:trPr>
          <w:trHeight w:val="23"/>
        </w:trPr>
        <w:tc>
          <w:tcPr>
            <w:tcW w:w="6168" w:type="dxa"/>
            <w:tcBorders>
              <w:top w:val="nil"/>
              <w:left w:val="single" w:sz="4" w:space="0" w:color="auto"/>
              <w:bottom w:val="single" w:sz="4" w:space="0" w:color="auto"/>
              <w:right w:val="single" w:sz="4" w:space="0" w:color="auto"/>
            </w:tcBorders>
            <w:shd w:val="clear" w:color="auto" w:fill="auto"/>
            <w:noWrap/>
            <w:vAlign w:val="bottom"/>
          </w:tcPr>
          <w:p w:rsidR="00DE2491" w:rsidRPr="00BE7306" w:rsidRDefault="00DE2491" w:rsidP="00BE7306">
            <w:pPr>
              <w:rPr>
                <w:rFonts w:eastAsia="Times New Roman"/>
                <w:color w:val="000000"/>
                <w:sz w:val="20"/>
                <w:szCs w:val="20"/>
              </w:rPr>
            </w:pPr>
            <w:r w:rsidRPr="00BE7306">
              <w:rPr>
                <w:rFonts w:eastAsia="Times New Roman"/>
                <w:color w:val="000000"/>
                <w:sz w:val="20"/>
                <w:szCs w:val="20"/>
              </w:rPr>
              <w:t xml:space="preserve">Factor (1/11) </w:t>
            </w:r>
          </w:p>
        </w:tc>
        <w:tc>
          <w:tcPr>
            <w:tcW w:w="1536" w:type="dxa"/>
            <w:tcBorders>
              <w:top w:val="nil"/>
              <w:left w:val="nil"/>
              <w:bottom w:val="single" w:sz="4" w:space="0" w:color="auto"/>
              <w:right w:val="single" w:sz="4" w:space="0" w:color="auto"/>
            </w:tcBorders>
            <w:shd w:val="clear" w:color="auto" w:fill="auto"/>
            <w:noWrap/>
          </w:tcPr>
          <w:p w:rsidR="00DE2491" w:rsidRPr="00BE7306" w:rsidRDefault="00DE2491" w:rsidP="001C6309">
            <w:pPr>
              <w:jc w:val="right"/>
              <w:rPr>
                <w:rFonts w:eastAsia="Times New Roman"/>
                <w:color w:val="000000"/>
                <w:sz w:val="20"/>
                <w:szCs w:val="20"/>
              </w:rPr>
            </w:pPr>
            <w:r w:rsidRPr="00BE7306">
              <w:rPr>
                <w:rFonts w:eastAsia="Times New Roman"/>
                <w:color w:val="000000"/>
                <w:sz w:val="20"/>
                <w:szCs w:val="20"/>
              </w:rPr>
              <w:t>0.09</w:t>
            </w:r>
          </w:p>
        </w:tc>
        <w:tc>
          <w:tcPr>
            <w:tcW w:w="1646" w:type="dxa"/>
            <w:tcBorders>
              <w:top w:val="nil"/>
              <w:left w:val="nil"/>
              <w:bottom w:val="single" w:sz="4" w:space="0" w:color="auto"/>
              <w:right w:val="single" w:sz="4" w:space="0" w:color="auto"/>
            </w:tcBorders>
            <w:shd w:val="clear" w:color="auto" w:fill="auto"/>
            <w:noWrap/>
          </w:tcPr>
          <w:p w:rsidR="00DE2491" w:rsidRPr="00BE7306" w:rsidRDefault="00DE2491" w:rsidP="001C6309">
            <w:pPr>
              <w:jc w:val="right"/>
              <w:rPr>
                <w:rFonts w:eastAsia="Times New Roman"/>
                <w:color w:val="000000"/>
                <w:sz w:val="20"/>
                <w:szCs w:val="20"/>
              </w:rPr>
            </w:pPr>
          </w:p>
        </w:tc>
      </w:tr>
      <w:tr w:rsidR="00DE2491" w:rsidRPr="00BE7306" w:rsidTr="004F6B8D">
        <w:trPr>
          <w:trHeight w:val="23"/>
        </w:trPr>
        <w:tc>
          <w:tcPr>
            <w:tcW w:w="6168" w:type="dxa"/>
            <w:tcBorders>
              <w:top w:val="nil"/>
              <w:left w:val="single" w:sz="4" w:space="0" w:color="auto"/>
              <w:bottom w:val="single" w:sz="4" w:space="0" w:color="auto"/>
              <w:right w:val="single" w:sz="4" w:space="0" w:color="auto"/>
            </w:tcBorders>
            <w:shd w:val="clear" w:color="auto" w:fill="auto"/>
            <w:noWrap/>
            <w:vAlign w:val="bottom"/>
          </w:tcPr>
          <w:p w:rsidR="00DE2491" w:rsidRPr="00BE7306" w:rsidRDefault="00DE2491" w:rsidP="00BE7306">
            <w:pPr>
              <w:rPr>
                <w:rFonts w:eastAsia="Times New Roman"/>
                <w:color w:val="000000"/>
                <w:sz w:val="20"/>
                <w:szCs w:val="20"/>
              </w:rPr>
            </w:pPr>
            <w:r w:rsidRPr="00BE7306">
              <w:rPr>
                <w:rFonts w:eastAsia="Times New Roman"/>
                <w:color w:val="000000"/>
                <w:sz w:val="20"/>
                <w:szCs w:val="20"/>
              </w:rPr>
              <w:t> </w:t>
            </w:r>
          </w:p>
        </w:tc>
        <w:tc>
          <w:tcPr>
            <w:tcW w:w="1536" w:type="dxa"/>
            <w:tcBorders>
              <w:top w:val="nil"/>
              <w:left w:val="nil"/>
              <w:bottom w:val="single" w:sz="4" w:space="0" w:color="auto"/>
              <w:right w:val="single" w:sz="4" w:space="0" w:color="auto"/>
            </w:tcBorders>
            <w:shd w:val="clear" w:color="auto" w:fill="auto"/>
            <w:noWrap/>
          </w:tcPr>
          <w:p w:rsidR="00DE2491" w:rsidRPr="00BE7306" w:rsidRDefault="00DE2491" w:rsidP="001C6309">
            <w:pPr>
              <w:jc w:val="right"/>
              <w:rPr>
                <w:rFonts w:eastAsia="Times New Roman"/>
                <w:color w:val="000000"/>
                <w:sz w:val="20"/>
                <w:szCs w:val="20"/>
              </w:rPr>
            </w:pPr>
          </w:p>
        </w:tc>
        <w:tc>
          <w:tcPr>
            <w:tcW w:w="1646" w:type="dxa"/>
            <w:tcBorders>
              <w:top w:val="nil"/>
              <w:left w:val="nil"/>
              <w:bottom w:val="single" w:sz="4" w:space="0" w:color="auto"/>
              <w:right w:val="single" w:sz="4" w:space="0" w:color="auto"/>
            </w:tcBorders>
            <w:shd w:val="clear" w:color="auto" w:fill="auto"/>
            <w:noWrap/>
            <w:vAlign w:val="bottom"/>
          </w:tcPr>
          <w:p w:rsidR="00DE2491" w:rsidRPr="00BE7306" w:rsidRDefault="003F3C10" w:rsidP="00B948B7">
            <w:pPr>
              <w:jc w:val="right"/>
              <w:rPr>
                <w:rFonts w:eastAsia="Times New Roman"/>
                <w:color w:val="000000"/>
                <w:sz w:val="20"/>
                <w:szCs w:val="20"/>
              </w:rPr>
            </w:pPr>
            <w:r w:rsidRPr="003F3C10">
              <w:rPr>
                <w:rFonts w:eastAsia="Times New Roman"/>
                <w:color w:val="000000"/>
                <w:sz w:val="20"/>
                <w:szCs w:val="20"/>
              </w:rPr>
              <w:t>$</w:t>
            </w:r>
            <w:r w:rsidR="00B948B7">
              <w:rPr>
                <w:rFonts w:eastAsia="Times New Roman"/>
                <w:color w:val="000000"/>
                <w:sz w:val="20"/>
                <w:szCs w:val="20"/>
              </w:rPr>
              <w:t>11,169</w:t>
            </w:r>
            <w:r w:rsidR="00DE44BC" w:rsidRPr="003F3C10">
              <w:rPr>
                <w:rFonts w:eastAsia="Times New Roman"/>
                <w:color w:val="000000"/>
                <w:sz w:val="20"/>
                <w:szCs w:val="20"/>
              </w:rPr>
              <w:t xml:space="preserve"> </w:t>
            </w:r>
          </w:p>
        </w:tc>
      </w:tr>
      <w:tr w:rsidR="00DE2491" w:rsidRPr="00BE7306" w:rsidTr="004F6B8D">
        <w:trPr>
          <w:trHeight w:val="23"/>
        </w:trPr>
        <w:tc>
          <w:tcPr>
            <w:tcW w:w="6168" w:type="dxa"/>
            <w:tcBorders>
              <w:top w:val="nil"/>
              <w:left w:val="single" w:sz="4" w:space="0" w:color="auto"/>
              <w:bottom w:val="single" w:sz="4" w:space="0" w:color="auto"/>
              <w:right w:val="single" w:sz="4" w:space="0" w:color="auto"/>
            </w:tcBorders>
            <w:shd w:val="clear" w:color="auto" w:fill="auto"/>
            <w:noWrap/>
            <w:vAlign w:val="bottom"/>
          </w:tcPr>
          <w:p w:rsidR="00DE2491" w:rsidRPr="00BE7306" w:rsidRDefault="00DE2491" w:rsidP="00BE7306">
            <w:pPr>
              <w:rPr>
                <w:rFonts w:eastAsia="Times New Roman"/>
                <w:color w:val="000000"/>
                <w:sz w:val="20"/>
                <w:szCs w:val="20"/>
              </w:rPr>
            </w:pPr>
            <w:r w:rsidRPr="00BE7306">
              <w:rPr>
                <w:rFonts w:eastAsia="Times New Roman"/>
                <w:color w:val="000000"/>
                <w:sz w:val="20"/>
                <w:szCs w:val="20"/>
              </w:rPr>
              <w:t>Benefits</w:t>
            </w:r>
          </w:p>
        </w:tc>
        <w:tc>
          <w:tcPr>
            <w:tcW w:w="1536" w:type="dxa"/>
            <w:tcBorders>
              <w:top w:val="nil"/>
              <w:left w:val="nil"/>
              <w:bottom w:val="single" w:sz="4" w:space="0" w:color="auto"/>
              <w:right w:val="single" w:sz="4" w:space="0" w:color="auto"/>
            </w:tcBorders>
            <w:shd w:val="clear" w:color="auto" w:fill="auto"/>
            <w:noWrap/>
          </w:tcPr>
          <w:p w:rsidR="00DE2491" w:rsidRPr="00BE7306" w:rsidRDefault="00990AB6" w:rsidP="001C6309">
            <w:pPr>
              <w:jc w:val="right"/>
              <w:rPr>
                <w:rFonts w:eastAsia="Times New Roman"/>
                <w:color w:val="000000"/>
                <w:sz w:val="20"/>
                <w:szCs w:val="20"/>
              </w:rPr>
            </w:pPr>
            <w:r w:rsidRPr="00BE7306">
              <w:rPr>
                <w:rFonts w:eastAsia="Times New Roman"/>
                <w:color w:val="000000"/>
                <w:sz w:val="20"/>
                <w:szCs w:val="20"/>
              </w:rPr>
              <w:t>1.6</w:t>
            </w:r>
          </w:p>
        </w:tc>
        <w:tc>
          <w:tcPr>
            <w:tcW w:w="1646" w:type="dxa"/>
            <w:tcBorders>
              <w:top w:val="nil"/>
              <w:left w:val="nil"/>
              <w:bottom w:val="single" w:sz="4" w:space="0" w:color="auto"/>
              <w:right w:val="single" w:sz="4" w:space="0" w:color="auto"/>
            </w:tcBorders>
            <w:shd w:val="clear" w:color="auto" w:fill="auto"/>
            <w:noWrap/>
            <w:vAlign w:val="bottom"/>
          </w:tcPr>
          <w:p w:rsidR="00DE2491" w:rsidRPr="00BE7306" w:rsidRDefault="00DE2491" w:rsidP="004F6B8D">
            <w:pPr>
              <w:jc w:val="right"/>
              <w:rPr>
                <w:rFonts w:eastAsia="Times New Roman"/>
                <w:color w:val="000000"/>
                <w:sz w:val="20"/>
                <w:szCs w:val="20"/>
              </w:rPr>
            </w:pPr>
          </w:p>
        </w:tc>
      </w:tr>
      <w:tr w:rsidR="00DE2491" w:rsidRPr="00BE7306" w:rsidTr="004F6B8D">
        <w:trPr>
          <w:trHeight w:val="23"/>
        </w:trPr>
        <w:tc>
          <w:tcPr>
            <w:tcW w:w="6168" w:type="dxa"/>
            <w:tcBorders>
              <w:top w:val="nil"/>
              <w:left w:val="single" w:sz="4" w:space="0" w:color="auto"/>
              <w:bottom w:val="single" w:sz="4" w:space="0" w:color="auto"/>
              <w:right w:val="single" w:sz="4" w:space="0" w:color="auto"/>
            </w:tcBorders>
            <w:shd w:val="clear" w:color="auto" w:fill="auto"/>
            <w:noWrap/>
            <w:vAlign w:val="bottom"/>
          </w:tcPr>
          <w:p w:rsidR="00DE2491" w:rsidRPr="00BE7306" w:rsidRDefault="00DE2491" w:rsidP="00BE7306">
            <w:pPr>
              <w:rPr>
                <w:rFonts w:eastAsia="Times New Roman"/>
                <w:color w:val="000000"/>
                <w:sz w:val="20"/>
                <w:szCs w:val="20"/>
              </w:rPr>
            </w:pPr>
            <w:r w:rsidRPr="00BE7306">
              <w:rPr>
                <w:rFonts w:eastAsia="Times New Roman"/>
                <w:color w:val="000000"/>
                <w:sz w:val="20"/>
                <w:szCs w:val="20"/>
              </w:rPr>
              <w:t xml:space="preserve">Total Cost per FTE </w:t>
            </w:r>
          </w:p>
        </w:tc>
        <w:tc>
          <w:tcPr>
            <w:tcW w:w="1536" w:type="dxa"/>
            <w:tcBorders>
              <w:top w:val="nil"/>
              <w:left w:val="nil"/>
              <w:bottom w:val="single" w:sz="4" w:space="0" w:color="auto"/>
              <w:right w:val="single" w:sz="4" w:space="0" w:color="auto"/>
            </w:tcBorders>
            <w:shd w:val="clear" w:color="auto" w:fill="auto"/>
            <w:noWrap/>
          </w:tcPr>
          <w:p w:rsidR="00DE2491" w:rsidRPr="00BE7306" w:rsidRDefault="00DE2491" w:rsidP="001C6309">
            <w:pPr>
              <w:jc w:val="right"/>
              <w:rPr>
                <w:rFonts w:eastAsia="Times New Roman"/>
                <w:color w:val="000000"/>
                <w:sz w:val="20"/>
                <w:szCs w:val="20"/>
              </w:rPr>
            </w:pPr>
          </w:p>
        </w:tc>
        <w:tc>
          <w:tcPr>
            <w:tcW w:w="1646" w:type="dxa"/>
            <w:tcBorders>
              <w:top w:val="nil"/>
              <w:left w:val="nil"/>
              <w:bottom w:val="single" w:sz="4" w:space="0" w:color="auto"/>
              <w:right w:val="single" w:sz="4" w:space="0" w:color="auto"/>
            </w:tcBorders>
            <w:shd w:val="clear" w:color="auto" w:fill="auto"/>
            <w:noWrap/>
            <w:vAlign w:val="bottom"/>
          </w:tcPr>
          <w:p w:rsidR="00DE2491" w:rsidRPr="00BE7306" w:rsidRDefault="003F3C10" w:rsidP="00B948B7">
            <w:pPr>
              <w:jc w:val="right"/>
              <w:rPr>
                <w:rFonts w:eastAsia="Times New Roman"/>
                <w:color w:val="000000"/>
                <w:sz w:val="20"/>
                <w:szCs w:val="20"/>
              </w:rPr>
            </w:pPr>
            <w:r w:rsidRPr="003F3C10">
              <w:rPr>
                <w:rFonts w:eastAsia="Times New Roman"/>
                <w:color w:val="000000"/>
                <w:sz w:val="20"/>
                <w:szCs w:val="20"/>
              </w:rPr>
              <w:t>$</w:t>
            </w:r>
            <w:r w:rsidR="00B948B7">
              <w:rPr>
                <w:rFonts w:eastAsia="Times New Roman"/>
                <w:color w:val="000000"/>
                <w:sz w:val="20"/>
                <w:szCs w:val="20"/>
              </w:rPr>
              <w:t>160,722</w:t>
            </w:r>
            <w:r w:rsidR="005E7328" w:rsidRPr="003F3C10">
              <w:rPr>
                <w:rFonts w:eastAsia="Times New Roman"/>
                <w:color w:val="000000"/>
                <w:sz w:val="20"/>
                <w:szCs w:val="20"/>
              </w:rPr>
              <w:t xml:space="preserve"> </w:t>
            </w:r>
          </w:p>
        </w:tc>
      </w:tr>
      <w:tr w:rsidR="00DE2491" w:rsidRPr="00BE7306" w:rsidTr="004F6B8D">
        <w:trPr>
          <w:trHeight w:val="23"/>
        </w:trPr>
        <w:tc>
          <w:tcPr>
            <w:tcW w:w="6168" w:type="dxa"/>
            <w:tcBorders>
              <w:top w:val="nil"/>
              <w:left w:val="single" w:sz="4" w:space="0" w:color="auto"/>
              <w:bottom w:val="single" w:sz="4" w:space="0" w:color="auto"/>
              <w:right w:val="single" w:sz="4" w:space="0" w:color="auto"/>
            </w:tcBorders>
            <w:shd w:val="clear" w:color="auto" w:fill="auto"/>
            <w:vAlign w:val="bottom"/>
          </w:tcPr>
          <w:p w:rsidR="00DE2491" w:rsidRPr="00BE7306" w:rsidRDefault="00DE2491" w:rsidP="00BE7306">
            <w:pPr>
              <w:rPr>
                <w:rFonts w:eastAsia="Times New Roman"/>
                <w:color w:val="000000"/>
                <w:sz w:val="20"/>
                <w:szCs w:val="20"/>
              </w:rPr>
            </w:pPr>
            <w:r w:rsidRPr="00BE7306">
              <w:rPr>
                <w:rFonts w:eastAsia="Times New Roman"/>
                <w:color w:val="000000"/>
                <w:sz w:val="20"/>
                <w:szCs w:val="20"/>
              </w:rPr>
              <w:t>Total Hourly Cost (total per FTE dividend divided by 2,080 hours per year)</w:t>
            </w:r>
          </w:p>
        </w:tc>
        <w:tc>
          <w:tcPr>
            <w:tcW w:w="1536" w:type="dxa"/>
            <w:tcBorders>
              <w:top w:val="nil"/>
              <w:left w:val="nil"/>
              <w:bottom w:val="single" w:sz="4" w:space="0" w:color="auto"/>
              <w:right w:val="single" w:sz="4" w:space="0" w:color="auto"/>
            </w:tcBorders>
            <w:shd w:val="clear" w:color="auto" w:fill="auto"/>
            <w:noWrap/>
          </w:tcPr>
          <w:p w:rsidR="00DE2491" w:rsidRPr="00BE7306" w:rsidRDefault="00DE2491" w:rsidP="001C6309">
            <w:pPr>
              <w:jc w:val="right"/>
              <w:rPr>
                <w:rFonts w:eastAsia="Times New Roman"/>
                <w:color w:val="000000"/>
                <w:sz w:val="20"/>
                <w:szCs w:val="20"/>
              </w:rPr>
            </w:pPr>
          </w:p>
        </w:tc>
        <w:tc>
          <w:tcPr>
            <w:tcW w:w="1646" w:type="dxa"/>
            <w:tcBorders>
              <w:top w:val="nil"/>
              <w:left w:val="nil"/>
              <w:bottom w:val="single" w:sz="4" w:space="0" w:color="auto"/>
              <w:right w:val="single" w:sz="4" w:space="0" w:color="auto"/>
            </w:tcBorders>
            <w:shd w:val="clear" w:color="auto" w:fill="auto"/>
            <w:noWrap/>
            <w:vAlign w:val="bottom"/>
          </w:tcPr>
          <w:p w:rsidR="00DE2491" w:rsidRPr="00BE7306" w:rsidRDefault="003F3C10" w:rsidP="00B948B7">
            <w:pPr>
              <w:jc w:val="right"/>
              <w:rPr>
                <w:rFonts w:eastAsia="Times New Roman"/>
                <w:color w:val="000000"/>
                <w:sz w:val="20"/>
                <w:szCs w:val="20"/>
              </w:rPr>
            </w:pPr>
            <w:r w:rsidRPr="003F3C10">
              <w:rPr>
                <w:rFonts w:eastAsia="Times New Roman"/>
                <w:color w:val="000000"/>
                <w:sz w:val="20"/>
                <w:szCs w:val="20"/>
              </w:rPr>
              <w:t>$</w:t>
            </w:r>
            <w:r w:rsidR="00B948B7">
              <w:rPr>
                <w:rFonts w:eastAsia="Times New Roman"/>
                <w:color w:val="000000"/>
                <w:sz w:val="20"/>
                <w:szCs w:val="20"/>
              </w:rPr>
              <w:t>77.27</w:t>
            </w:r>
            <w:r w:rsidR="005E7328" w:rsidRPr="003F3C10">
              <w:rPr>
                <w:rFonts w:eastAsia="Times New Roman"/>
                <w:color w:val="000000"/>
                <w:sz w:val="20"/>
                <w:szCs w:val="20"/>
              </w:rPr>
              <w:t xml:space="preserve"> </w:t>
            </w:r>
          </w:p>
        </w:tc>
      </w:tr>
    </w:tbl>
    <w:p w:rsidR="003F7265" w:rsidRPr="008574F9" w:rsidRDefault="003F7265" w:rsidP="000C02E9">
      <w:pPr>
        <w:autoSpaceDE w:val="0"/>
        <w:autoSpaceDN w:val="0"/>
        <w:adjustRightInd w:val="0"/>
        <w:rPr>
          <w:b/>
          <w:bCs/>
          <w:szCs w:val="24"/>
        </w:rPr>
      </w:pPr>
    </w:p>
    <w:p w:rsidR="000C02E9" w:rsidRPr="00BE7306" w:rsidRDefault="000C02E9" w:rsidP="00360CF0">
      <w:pPr>
        <w:autoSpaceDE w:val="0"/>
        <w:autoSpaceDN w:val="0"/>
        <w:adjustRightInd w:val="0"/>
        <w:ind w:left="720"/>
        <w:rPr>
          <w:iCs/>
          <w:szCs w:val="24"/>
        </w:rPr>
      </w:pPr>
      <w:r w:rsidRPr="00BE7306">
        <w:rPr>
          <w:bCs/>
          <w:szCs w:val="24"/>
        </w:rPr>
        <w:t>(</w:t>
      </w:r>
      <w:r w:rsidRPr="00BE7306">
        <w:rPr>
          <w:iCs/>
          <w:szCs w:val="24"/>
        </w:rPr>
        <w:t xml:space="preserve">ii) </w:t>
      </w:r>
      <w:r w:rsidR="00BE7306">
        <w:rPr>
          <w:iCs/>
          <w:szCs w:val="24"/>
        </w:rPr>
        <w:t xml:space="preserve"> </w:t>
      </w:r>
      <w:r w:rsidRPr="00BE7306">
        <w:rPr>
          <w:iCs/>
          <w:szCs w:val="24"/>
        </w:rPr>
        <w:t>Estimating Capital and Operations and Maintenance Costs</w:t>
      </w:r>
    </w:p>
    <w:p w:rsidR="00D6009C" w:rsidRPr="008574F9" w:rsidRDefault="00D6009C" w:rsidP="000C02E9">
      <w:pPr>
        <w:autoSpaceDE w:val="0"/>
        <w:autoSpaceDN w:val="0"/>
        <w:adjustRightInd w:val="0"/>
        <w:rPr>
          <w:b/>
          <w:bCs/>
          <w:szCs w:val="24"/>
        </w:rPr>
      </w:pPr>
    </w:p>
    <w:p w:rsidR="000C02E9" w:rsidRPr="008574F9" w:rsidRDefault="000C02E9" w:rsidP="00217148">
      <w:pPr>
        <w:autoSpaceDE w:val="0"/>
        <w:autoSpaceDN w:val="0"/>
        <w:adjustRightInd w:val="0"/>
        <w:ind w:firstLine="720"/>
        <w:rPr>
          <w:szCs w:val="24"/>
        </w:rPr>
      </w:pPr>
      <w:r w:rsidRPr="008574F9">
        <w:rPr>
          <w:szCs w:val="24"/>
        </w:rPr>
        <w:t>Capital/start-up costs include the cost of installing required CEMS or alternatives</w:t>
      </w:r>
      <w:r w:rsidR="003972B1" w:rsidRPr="008574F9">
        <w:rPr>
          <w:szCs w:val="24"/>
        </w:rPr>
        <w:t xml:space="preserve">.  </w:t>
      </w:r>
      <w:r w:rsidRPr="008574F9">
        <w:rPr>
          <w:szCs w:val="24"/>
        </w:rPr>
        <w:t>Operation</w:t>
      </w:r>
      <w:r w:rsidR="00217148" w:rsidRPr="008574F9">
        <w:rPr>
          <w:szCs w:val="24"/>
        </w:rPr>
        <w:t xml:space="preserve"> </w:t>
      </w:r>
      <w:r w:rsidRPr="008574F9">
        <w:rPr>
          <w:szCs w:val="24"/>
        </w:rPr>
        <w:t>and maintenance costs (exclusive of labor costs) reflect ongoing costs to a unit and include both</w:t>
      </w:r>
      <w:r w:rsidR="00217148" w:rsidRPr="008574F9">
        <w:rPr>
          <w:szCs w:val="24"/>
        </w:rPr>
        <w:t xml:space="preserve"> </w:t>
      </w:r>
      <w:r w:rsidRPr="008574F9">
        <w:rPr>
          <w:szCs w:val="24"/>
        </w:rPr>
        <w:t>contractor costs for the required recertification, diagnostic, and quality assurance (QA) testing,</w:t>
      </w:r>
      <w:r w:rsidR="00217148" w:rsidRPr="008574F9">
        <w:rPr>
          <w:szCs w:val="24"/>
        </w:rPr>
        <w:t xml:space="preserve"> </w:t>
      </w:r>
      <w:r w:rsidRPr="008574F9">
        <w:rPr>
          <w:szCs w:val="24"/>
        </w:rPr>
        <w:t>and other direct maintenance-related expenses (e.g., spare parts and calibration gases)</w:t>
      </w:r>
      <w:r w:rsidR="003972B1" w:rsidRPr="008574F9">
        <w:rPr>
          <w:szCs w:val="24"/>
        </w:rPr>
        <w:t xml:space="preserve">.  </w:t>
      </w:r>
      <w:r w:rsidRPr="008574F9">
        <w:rPr>
          <w:szCs w:val="24"/>
        </w:rPr>
        <w:t>These</w:t>
      </w:r>
      <w:r w:rsidR="00217148" w:rsidRPr="008574F9">
        <w:rPr>
          <w:szCs w:val="24"/>
        </w:rPr>
        <w:t xml:space="preserve"> </w:t>
      </w:r>
      <w:r w:rsidRPr="008574F9">
        <w:rPr>
          <w:szCs w:val="24"/>
        </w:rPr>
        <w:t xml:space="preserve">cost estimates have been derived from EPA </w:t>
      </w:r>
      <w:r w:rsidR="00217148" w:rsidRPr="008574F9">
        <w:rPr>
          <w:szCs w:val="24"/>
        </w:rPr>
        <w:t xml:space="preserve">CEM cost models, existing ICRs, </w:t>
      </w:r>
      <w:r w:rsidRPr="008574F9">
        <w:rPr>
          <w:szCs w:val="24"/>
        </w:rPr>
        <w:t>Agency staff</w:t>
      </w:r>
      <w:r w:rsidR="00217148" w:rsidRPr="008574F9">
        <w:rPr>
          <w:szCs w:val="24"/>
        </w:rPr>
        <w:t xml:space="preserve"> </w:t>
      </w:r>
      <w:r w:rsidRPr="008574F9">
        <w:rPr>
          <w:szCs w:val="24"/>
        </w:rPr>
        <w:t xml:space="preserve">experience under the </w:t>
      </w:r>
      <w:r w:rsidR="002676EE">
        <w:rPr>
          <w:szCs w:val="24"/>
        </w:rPr>
        <w:t>ARP</w:t>
      </w:r>
      <w:r w:rsidR="00D512D1">
        <w:rPr>
          <w:szCs w:val="24"/>
        </w:rPr>
        <w:t>, CAIR,</w:t>
      </w:r>
      <w:r w:rsidRPr="008574F9">
        <w:rPr>
          <w:szCs w:val="24"/>
        </w:rPr>
        <w:t xml:space="preserve"> and </w:t>
      </w:r>
      <w:r w:rsidR="007B40DE" w:rsidRPr="007B40DE">
        <w:rPr>
          <w:szCs w:val="24"/>
        </w:rPr>
        <w:t>NO</w:t>
      </w:r>
      <w:r w:rsidR="007D0F5C">
        <w:rPr>
          <w:szCs w:val="24"/>
          <w:vertAlign w:val="subscript"/>
        </w:rPr>
        <w:t>X</w:t>
      </w:r>
      <w:r w:rsidRPr="008574F9">
        <w:rPr>
          <w:szCs w:val="24"/>
        </w:rPr>
        <w:t xml:space="preserve"> SIP Call programs, and supplemental estimates provided</w:t>
      </w:r>
      <w:r w:rsidR="00217148" w:rsidRPr="008574F9">
        <w:rPr>
          <w:szCs w:val="24"/>
        </w:rPr>
        <w:t xml:space="preserve"> </w:t>
      </w:r>
      <w:r w:rsidRPr="008574F9">
        <w:rPr>
          <w:szCs w:val="24"/>
        </w:rPr>
        <w:t>by affected utilities and others related to the various cost items.</w:t>
      </w:r>
    </w:p>
    <w:p w:rsidR="00217148" w:rsidRPr="008574F9" w:rsidRDefault="00217148" w:rsidP="000C02E9">
      <w:pPr>
        <w:autoSpaceDE w:val="0"/>
        <w:autoSpaceDN w:val="0"/>
        <w:adjustRightInd w:val="0"/>
        <w:rPr>
          <w:szCs w:val="24"/>
        </w:rPr>
      </w:pPr>
    </w:p>
    <w:p w:rsidR="000C02E9" w:rsidRPr="008574F9" w:rsidRDefault="0020450C" w:rsidP="00217148">
      <w:pPr>
        <w:autoSpaceDE w:val="0"/>
        <w:autoSpaceDN w:val="0"/>
        <w:adjustRightInd w:val="0"/>
        <w:ind w:firstLine="720"/>
        <w:rPr>
          <w:szCs w:val="24"/>
        </w:rPr>
      </w:pPr>
      <w:r>
        <w:rPr>
          <w:szCs w:val="24"/>
        </w:rPr>
        <w:t xml:space="preserve">All units in states covered by </w:t>
      </w:r>
      <w:r w:rsidR="00330548">
        <w:rPr>
          <w:szCs w:val="24"/>
        </w:rPr>
        <w:t xml:space="preserve">both </w:t>
      </w:r>
      <w:r>
        <w:rPr>
          <w:szCs w:val="24"/>
        </w:rPr>
        <w:t>the TR and CAIR to the same extent</w:t>
      </w:r>
      <w:r w:rsidR="00812041">
        <w:rPr>
          <w:szCs w:val="24"/>
        </w:rPr>
        <w:t xml:space="preserve"> </w:t>
      </w:r>
      <w:r w:rsidR="000C02E9" w:rsidRPr="008574F9">
        <w:rPr>
          <w:szCs w:val="24"/>
        </w:rPr>
        <w:t>are not expected to incur any non-labor costs associated with this</w:t>
      </w:r>
      <w:r w:rsidR="00217148" w:rsidRPr="008574F9">
        <w:rPr>
          <w:szCs w:val="24"/>
        </w:rPr>
        <w:t xml:space="preserve"> </w:t>
      </w:r>
      <w:r w:rsidR="000C02E9" w:rsidRPr="008574F9">
        <w:rPr>
          <w:szCs w:val="24"/>
        </w:rPr>
        <w:t>program</w:t>
      </w:r>
      <w:r w:rsidR="003972B1" w:rsidRPr="008574F9">
        <w:rPr>
          <w:szCs w:val="24"/>
        </w:rPr>
        <w:t xml:space="preserve">.  </w:t>
      </w:r>
      <w:r>
        <w:rPr>
          <w:szCs w:val="24"/>
        </w:rPr>
        <w:t xml:space="preserve">All units in states covered by </w:t>
      </w:r>
      <w:r w:rsidR="00330548">
        <w:rPr>
          <w:szCs w:val="24"/>
        </w:rPr>
        <w:t xml:space="preserve">both </w:t>
      </w:r>
      <w:r>
        <w:rPr>
          <w:szCs w:val="24"/>
        </w:rPr>
        <w:t>the TR and CAIR</w:t>
      </w:r>
      <w:r w:rsidR="00330548">
        <w:rPr>
          <w:szCs w:val="24"/>
        </w:rPr>
        <w:t>, but</w:t>
      </w:r>
      <w:r>
        <w:rPr>
          <w:szCs w:val="24"/>
        </w:rPr>
        <w:t xml:space="preserve"> to different extents, and ARP-affected units in states covered by the TR but not </w:t>
      </w:r>
      <w:r w:rsidR="00330548">
        <w:rPr>
          <w:szCs w:val="24"/>
        </w:rPr>
        <w:t xml:space="preserve">by </w:t>
      </w:r>
      <w:r>
        <w:rPr>
          <w:szCs w:val="24"/>
        </w:rPr>
        <w:t xml:space="preserve">CAIR, are expected to incur a $4,000 non-labor startup cost for a DAHS upgrade.  This cost estimate is based </w:t>
      </w:r>
      <w:r w:rsidR="00616AD6">
        <w:rPr>
          <w:szCs w:val="24"/>
        </w:rPr>
        <w:t>on the existing CAIR ICR</w:t>
      </w:r>
      <w:r>
        <w:rPr>
          <w:szCs w:val="24"/>
        </w:rPr>
        <w:t>.</w:t>
      </w:r>
      <w:r w:rsidR="000C02E9" w:rsidRPr="00D8541A">
        <w:rPr>
          <w:szCs w:val="24"/>
        </w:rPr>
        <w:t xml:space="preserve"> </w:t>
      </w:r>
      <w:r w:rsidR="008210D9">
        <w:rPr>
          <w:szCs w:val="24"/>
        </w:rPr>
        <w:t xml:space="preserve"> Non-ARP units in states covered by the TR but not by CAIR are expected </w:t>
      </w:r>
      <w:r w:rsidR="000C02E9" w:rsidRPr="00D8541A">
        <w:rPr>
          <w:szCs w:val="24"/>
        </w:rPr>
        <w:t xml:space="preserve">require some combination of </w:t>
      </w:r>
      <w:r w:rsidR="007B40DE" w:rsidRPr="00D8541A">
        <w:rPr>
          <w:szCs w:val="24"/>
        </w:rPr>
        <w:t>NO</w:t>
      </w:r>
      <w:r w:rsidR="007D0F5C" w:rsidRPr="00D8541A">
        <w:rPr>
          <w:szCs w:val="24"/>
          <w:vertAlign w:val="subscript"/>
        </w:rPr>
        <w:t>X</w:t>
      </w:r>
      <w:r w:rsidR="000C02E9" w:rsidRPr="00D8541A">
        <w:rPr>
          <w:szCs w:val="24"/>
        </w:rPr>
        <w:t xml:space="preserve"> diluent, SO</w:t>
      </w:r>
      <w:r w:rsidR="000C02E9" w:rsidRPr="00D8541A">
        <w:rPr>
          <w:szCs w:val="24"/>
          <w:vertAlign w:val="subscript"/>
        </w:rPr>
        <w:t>2</w:t>
      </w:r>
      <w:r w:rsidR="00462F8D" w:rsidRPr="00D8541A">
        <w:rPr>
          <w:szCs w:val="24"/>
          <w:vertAlign w:val="subscript"/>
        </w:rPr>
        <w:t>,</w:t>
      </w:r>
      <w:r w:rsidR="000C02E9" w:rsidRPr="00D8541A">
        <w:rPr>
          <w:szCs w:val="24"/>
        </w:rPr>
        <w:t xml:space="preserve"> and/or</w:t>
      </w:r>
      <w:r w:rsidR="00217148" w:rsidRPr="00D8541A">
        <w:rPr>
          <w:szCs w:val="24"/>
        </w:rPr>
        <w:t xml:space="preserve"> </w:t>
      </w:r>
      <w:r w:rsidR="000C02E9" w:rsidRPr="00D8541A">
        <w:rPr>
          <w:szCs w:val="24"/>
        </w:rPr>
        <w:t>flow CEMS</w:t>
      </w:r>
      <w:r w:rsidR="003972B1" w:rsidRPr="00D8541A">
        <w:rPr>
          <w:szCs w:val="24"/>
        </w:rPr>
        <w:t xml:space="preserve">.  </w:t>
      </w:r>
      <w:r w:rsidR="000C02E9" w:rsidRPr="00D8541A">
        <w:rPr>
          <w:szCs w:val="24"/>
        </w:rPr>
        <w:t xml:space="preserve">The </w:t>
      </w:r>
      <w:r w:rsidR="00175934">
        <w:rPr>
          <w:szCs w:val="24"/>
        </w:rPr>
        <w:t xml:space="preserve">estimated </w:t>
      </w:r>
      <w:r w:rsidR="000C02E9" w:rsidRPr="00D8541A">
        <w:rPr>
          <w:szCs w:val="24"/>
        </w:rPr>
        <w:t>costs for these units range from $15,000 to $192,000</w:t>
      </w:r>
      <w:r w:rsidR="003972B1" w:rsidRPr="00D8541A">
        <w:rPr>
          <w:szCs w:val="24"/>
        </w:rPr>
        <w:t xml:space="preserve">.  </w:t>
      </w:r>
      <w:r w:rsidR="00312097" w:rsidRPr="00D8541A">
        <w:rPr>
          <w:szCs w:val="24"/>
        </w:rPr>
        <w:t>Cost</w:t>
      </w:r>
      <w:r w:rsidR="000C02E9" w:rsidRPr="00D8541A">
        <w:rPr>
          <w:szCs w:val="24"/>
        </w:rPr>
        <w:t xml:space="preserve"> variance</w:t>
      </w:r>
      <w:r w:rsidR="000C02E9" w:rsidRPr="008574F9">
        <w:rPr>
          <w:szCs w:val="24"/>
        </w:rPr>
        <w:t xml:space="preserve"> is due to</w:t>
      </w:r>
      <w:r w:rsidR="00217148" w:rsidRPr="008574F9">
        <w:rPr>
          <w:szCs w:val="24"/>
        </w:rPr>
        <w:t xml:space="preserve"> </w:t>
      </w:r>
      <w:r w:rsidR="000C02E9" w:rsidRPr="008574F9">
        <w:rPr>
          <w:szCs w:val="24"/>
        </w:rPr>
        <w:t>the monitoring methodology used and what monitoring equipment may already be in place at the</w:t>
      </w:r>
      <w:r w:rsidR="00217148" w:rsidRPr="008574F9">
        <w:rPr>
          <w:szCs w:val="24"/>
        </w:rPr>
        <w:t xml:space="preserve"> </w:t>
      </w:r>
      <w:r w:rsidR="000C02E9" w:rsidRPr="008574F9">
        <w:rPr>
          <w:szCs w:val="24"/>
        </w:rPr>
        <w:t>unit.</w:t>
      </w:r>
    </w:p>
    <w:p w:rsidR="00217148" w:rsidRPr="008574F9" w:rsidRDefault="00217148" w:rsidP="000C02E9">
      <w:pPr>
        <w:autoSpaceDE w:val="0"/>
        <w:autoSpaceDN w:val="0"/>
        <w:adjustRightInd w:val="0"/>
        <w:rPr>
          <w:szCs w:val="24"/>
        </w:rPr>
      </w:pPr>
    </w:p>
    <w:p w:rsidR="000C02E9" w:rsidRPr="008574F9" w:rsidRDefault="000C02E9" w:rsidP="001508D1">
      <w:pPr>
        <w:autoSpaceDE w:val="0"/>
        <w:autoSpaceDN w:val="0"/>
        <w:adjustRightInd w:val="0"/>
        <w:ind w:firstLine="720"/>
        <w:rPr>
          <w:szCs w:val="24"/>
        </w:rPr>
      </w:pPr>
      <w:r w:rsidRPr="008574F9">
        <w:rPr>
          <w:szCs w:val="24"/>
        </w:rPr>
        <w:t>Note that testing contractor costs for certification, recertification and annual relative accuracy</w:t>
      </w:r>
      <w:r w:rsidR="00217148" w:rsidRPr="008574F9">
        <w:rPr>
          <w:szCs w:val="24"/>
        </w:rPr>
        <w:t xml:space="preserve"> </w:t>
      </w:r>
      <w:r w:rsidRPr="008574F9">
        <w:rPr>
          <w:szCs w:val="24"/>
        </w:rPr>
        <w:t>test audits (RATAs) are presented as other direct costs and are not converted to equivalent</w:t>
      </w:r>
      <w:r w:rsidR="00217148" w:rsidRPr="008574F9">
        <w:rPr>
          <w:szCs w:val="24"/>
        </w:rPr>
        <w:t xml:space="preserve"> </w:t>
      </w:r>
      <w:r w:rsidRPr="008574F9">
        <w:rPr>
          <w:szCs w:val="24"/>
        </w:rPr>
        <w:t>source labor hours</w:t>
      </w:r>
      <w:r w:rsidR="003972B1" w:rsidRPr="008574F9">
        <w:rPr>
          <w:szCs w:val="24"/>
        </w:rPr>
        <w:t xml:space="preserve">.  </w:t>
      </w:r>
      <w:r w:rsidRPr="008574F9">
        <w:rPr>
          <w:szCs w:val="24"/>
        </w:rPr>
        <w:t xml:space="preserve">This approach is consistent with the common business practice </w:t>
      </w:r>
      <w:r w:rsidR="00175934">
        <w:rPr>
          <w:szCs w:val="24"/>
        </w:rPr>
        <w:t>of</w:t>
      </w:r>
      <w:r w:rsidR="00175934" w:rsidRPr="008574F9">
        <w:rPr>
          <w:szCs w:val="24"/>
        </w:rPr>
        <w:t xml:space="preserve"> </w:t>
      </w:r>
      <w:r w:rsidRPr="008574F9">
        <w:rPr>
          <w:szCs w:val="24"/>
        </w:rPr>
        <w:t>obtaining</w:t>
      </w:r>
      <w:r w:rsidR="00217148" w:rsidRPr="008574F9">
        <w:rPr>
          <w:szCs w:val="24"/>
        </w:rPr>
        <w:t xml:space="preserve"> </w:t>
      </w:r>
      <w:r w:rsidRPr="008574F9">
        <w:rPr>
          <w:szCs w:val="24"/>
        </w:rPr>
        <w:t>outside contractors to conduct certification/recertification tests and annual RATAs</w:t>
      </w:r>
      <w:r w:rsidR="003972B1" w:rsidRPr="008574F9">
        <w:rPr>
          <w:szCs w:val="24"/>
        </w:rPr>
        <w:t xml:space="preserve">.  </w:t>
      </w:r>
      <w:r w:rsidRPr="008574F9">
        <w:rPr>
          <w:szCs w:val="24"/>
        </w:rPr>
        <w:t>For initial</w:t>
      </w:r>
      <w:r w:rsidR="00217148" w:rsidRPr="008574F9">
        <w:rPr>
          <w:szCs w:val="24"/>
        </w:rPr>
        <w:t xml:space="preserve"> </w:t>
      </w:r>
      <w:r w:rsidRPr="008574F9">
        <w:rPr>
          <w:szCs w:val="24"/>
        </w:rPr>
        <w:t>certification, the certification test costs are commonly bundled with equipment purchase</w:t>
      </w:r>
      <w:r w:rsidR="001508D1" w:rsidRPr="008574F9">
        <w:rPr>
          <w:szCs w:val="24"/>
        </w:rPr>
        <w:t xml:space="preserve"> </w:t>
      </w:r>
      <w:r w:rsidRPr="008574F9">
        <w:rPr>
          <w:szCs w:val="24"/>
        </w:rPr>
        <w:t>contracts, according to information provided by a range of CEMS equipment vendors</w:t>
      </w:r>
      <w:r w:rsidR="003972B1" w:rsidRPr="008574F9">
        <w:rPr>
          <w:szCs w:val="24"/>
        </w:rPr>
        <w:t xml:space="preserve">.  </w:t>
      </w:r>
      <w:r w:rsidRPr="008574F9">
        <w:rPr>
          <w:szCs w:val="24"/>
        </w:rPr>
        <w:t>For</w:t>
      </w:r>
      <w:r w:rsidR="001508D1" w:rsidRPr="008574F9">
        <w:rPr>
          <w:szCs w:val="24"/>
        </w:rPr>
        <w:t xml:space="preserve"> </w:t>
      </w:r>
      <w:r w:rsidRPr="008574F9">
        <w:rPr>
          <w:szCs w:val="24"/>
        </w:rPr>
        <w:t>RATAs that are conducted either as part of the annual quality assurance requirements or as part</w:t>
      </w:r>
      <w:r w:rsidR="001508D1" w:rsidRPr="008574F9">
        <w:rPr>
          <w:szCs w:val="24"/>
        </w:rPr>
        <w:t xml:space="preserve"> </w:t>
      </w:r>
      <w:r w:rsidRPr="008574F9">
        <w:rPr>
          <w:szCs w:val="24"/>
        </w:rPr>
        <w:t>of recertification, industry contacts have indicated that RATA tes</w:t>
      </w:r>
      <w:r w:rsidR="001508D1" w:rsidRPr="008574F9">
        <w:rPr>
          <w:szCs w:val="24"/>
        </w:rPr>
        <w:t xml:space="preserve">ting is usually performed under </w:t>
      </w:r>
      <w:r w:rsidRPr="008574F9">
        <w:rPr>
          <w:szCs w:val="24"/>
        </w:rPr>
        <w:t>a</w:t>
      </w:r>
      <w:r w:rsidR="001508D1" w:rsidRPr="008574F9">
        <w:rPr>
          <w:szCs w:val="24"/>
        </w:rPr>
        <w:t xml:space="preserve"> </w:t>
      </w:r>
      <w:r w:rsidRPr="008574F9">
        <w:rPr>
          <w:szCs w:val="24"/>
        </w:rPr>
        <w:t>fixed price contract basis, except for travel costs that may be billed on an hourly basis beyond the</w:t>
      </w:r>
      <w:r w:rsidR="001508D1" w:rsidRPr="008574F9">
        <w:rPr>
          <w:szCs w:val="24"/>
        </w:rPr>
        <w:t xml:space="preserve"> </w:t>
      </w:r>
      <w:r w:rsidRPr="008574F9">
        <w:rPr>
          <w:szCs w:val="24"/>
        </w:rPr>
        <w:t>basic contract cost.</w:t>
      </w:r>
    </w:p>
    <w:p w:rsidR="001508D1" w:rsidRPr="008574F9" w:rsidRDefault="001508D1" w:rsidP="001508D1">
      <w:pPr>
        <w:autoSpaceDE w:val="0"/>
        <w:autoSpaceDN w:val="0"/>
        <w:adjustRightInd w:val="0"/>
        <w:ind w:firstLine="720"/>
        <w:rPr>
          <w:szCs w:val="24"/>
        </w:rPr>
      </w:pPr>
    </w:p>
    <w:p w:rsidR="000C02E9" w:rsidRDefault="000C02E9" w:rsidP="001508D1">
      <w:pPr>
        <w:autoSpaceDE w:val="0"/>
        <w:autoSpaceDN w:val="0"/>
        <w:adjustRightInd w:val="0"/>
        <w:ind w:firstLine="720"/>
        <w:rPr>
          <w:szCs w:val="24"/>
        </w:rPr>
      </w:pPr>
      <w:r w:rsidRPr="008574F9">
        <w:rPr>
          <w:szCs w:val="24"/>
        </w:rPr>
        <w:t>The Agency also notes that this ICR does not include a cost for the purchase of monitoring</w:t>
      </w:r>
      <w:r w:rsidR="001508D1" w:rsidRPr="008574F9">
        <w:rPr>
          <w:szCs w:val="24"/>
        </w:rPr>
        <w:t xml:space="preserve"> </w:t>
      </w:r>
      <w:r w:rsidRPr="008574F9">
        <w:rPr>
          <w:szCs w:val="24"/>
        </w:rPr>
        <w:t>equipment for all affected units</w:t>
      </w:r>
      <w:r w:rsidR="003972B1" w:rsidRPr="008574F9">
        <w:rPr>
          <w:szCs w:val="24"/>
        </w:rPr>
        <w:t xml:space="preserve">.  </w:t>
      </w:r>
      <w:r w:rsidRPr="008574F9">
        <w:rPr>
          <w:szCs w:val="24"/>
        </w:rPr>
        <w:t xml:space="preserve">Many sources covered by the </w:t>
      </w:r>
      <w:r w:rsidR="00A16CC8">
        <w:rPr>
          <w:szCs w:val="24"/>
        </w:rPr>
        <w:t>TR</w:t>
      </w:r>
      <w:r w:rsidRPr="008574F9">
        <w:rPr>
          <w:szCs w:val="24"/>
        </w:rPr>
        <w:t xml:space="preserve"> are</w:t>
      </w:r>
      <w:r w:rsidR="001508D1" w:rsidRPr="008574F9">
        <w:rPr>
          <w:szCs w:val="24"/>
        </w:rPr>
        <w:t xml:space="preserve"> </w:t>
      </w:r>
      <w:r w:rsidRPr="008574F9">
        <w:rPr>
          <w:szCs w:val="24"/>
        </w:rPr>
        <w:t>already required to have CEMS under other regulatory programs</w:t>
      </w:r>
      <w:r w:rsidR="003972B1" w:rsidRPr="008574F9">
        <w:rPr>
          <w:szCs w:val="24"/>
        </w:rPr>
        <w:t xml:space="preserve">.  </w:t>
      </w:r>
      <w:r w:rsidRPr="008574F9">
        <w:rPr>
          <w:szCs w:val="24"/>
        </w:rPr>
        <w:t>Therefore, to the extent that</w:t>
      </w:r>
      <w:r w:rsidR="001508D1" w:rsidRPr="008574F9">
        <w:rPr>
          <w:szCs w:val="24"/>
        </w:rPr>
        <w:t xml:space="preserve"> </w:t>
      </w:r>
      <w:r w:rsidRPr="008574F9">
        <w:rPr>
          <w:szCs w:val="24"/>
        </w:rPr>
        <w:t>no new equipment is needed by these sources, capital costs are not included because those costs</w:t>
      </w:r>
      <w:r w:rsidR="001508D1" w:rsidRPr="008574F9">
        <w:rPr>
          <w:szCs w:val="24"/>
        </w:rPr>
        <w:t xml:space="preserve"> </w:t>
      </w:r>
      <w:r w:rsidRPr="008574F9">
        <w:rPr>
          <w:szCs w:val="24"/>
        </w:rPr>
        <w:t>were included in the ICRs of those other programs</w:t>
      </w:r>
      <w:r w:rsidR="003972B1" w:rsidRPr="008574F9">
        <w:rPr>
          <w:szCs w:val="24"/>
        </w:rPr>
        <w:t xml:space="preserve">.  </w:t>
      </w:r>
      <w:r w:rsidRPr="008574F9">
        <w:rPr>
          <w:szCs w:val="24"/>
        </w:rPr>
        <w:t>Thus, the capital and other costs included in</w:t>
      </w:r>
      <w:r w:rsidR="001508D1" w:rsidRPr="008574F9">
        <w:rPr>
          <w:szCs w:val="24"/>
        </w:rPr>
        <w:t xml:space="preserve"> </w:t>
      </w:r>
      <w:r w:rsidR="00BB1D60">
        <w:rPr>
          <w:szCs w:val="24"/>
        </w:rPr>
        <w:t xml:space="preserve">Table </w:t>
      </w:r>
      <w:r w:rsidR="009269F3">
        <w:rPr>
          <w:szCs w:val="24"/>
        </w:rPr>
        <w:t>6-5</w:t>
      </w:r>
      <w:r w:rsidRPr="008574F9">
        <w:rPr>
          <w:szCs w:val="24"/>
        </w:rPr>
        <w:t xml:space="preserve"> represent weighted average costs for each respondent, not the total individual cost for</w:t>
      </w:r>
      <w:r w:rsidR="001508D1" w:rsidRPr="008574F9">
        <w:rPr>
          <w:szCs w:val="24"/>
        </w:rPr>
        <w:t xml:space="preserve"> </w:t>
      </w:r>
      <w:r w:rsidRPr="008574F9">
        <w:rPr>
          <w:szCs w:val="24"/>
        </w:rPr>
        <w:t>any particular respondent.</w:t>
      </w:r>
    </w:p>
    <w:p w:rsidR="00C97885" w:rsidRDefault="00C97885" w:rsidP="001508D1">
      <w:pPr>
        <w:autoSpaceDE w:val="0"/>
        <w:autoSpaceDN w:val="0"/>
        <w:adjustRightInd w:val="0"/>
        <w:ind w:firstLine="720"/>
        <w:rPr>
          <w:szCs w:val="24"/>
        </w:rPr>
      </w:pPr>
    </w:p>
    <w:p w:rsidR="00C97885" w:rsidRDefault="00C97885" w:rsidP="001508D1">
      <w:pPr>
        <w:autoSpaceDE w:val="0"/>
        <w:autoSpaceDN w:val="0"/>
        <w:adjustRightInd w:val="0"/>
        <w:ind w:firstLine="720"/>
        <w:rPr>
          <w:szCs w:val="24"/>
        </w:rPr>
      </w:pPr>
      <w:r w:rsidRPr="008574F9">
        <w:rPr>
          <w:szCs w:val="24"/>
        </w:rPr>
        <w:t>EPA has concluded that the Capital and Operations and Maintenance Costs estimated</w:t>
      </w:r>
      <w:r>
        <w:rPr>
          <w:szCs w:val="24"/>
        </w:rPr>
        <w:t xml:space="preserve"> for the Agency</w:t>
      </w:r>
      <w:r w:rsidRPr="008574F9">
        <w:rPr>
          <w:szCs w:val="24"/>
        </w:rPr>
        <w:t xml:space="preserve"> under the </w:t>
      </w:r>
      <w:r>
        <w:rPr>
          <w:szCs w:val="24"/>
        </w:rPr>
        <w:t>ARP ICR</w:t>
      </w:r>
      <w:r w:rsidRPr="008574F9">
        <w:rPr>
          <w:szCs w:val="24"/>
        </w:rPr>
        <w:t xml:space="preserve"> are sufficient to accommodate the modest changes in reporting burden for the </w:t>
      </w:r>
      <w:r w:rsidR="00A16CC8">
        <w:rPr>
          <w:szCs w:val="24"/>
        </w:rPr>
        <w:t>TR</w:t>
      </w:r>
      <w:r w:rsidRPr="008574F9">
        <w:rPr>
          <w:szCs w:val="24"/>
        </w:rPr>
        <w:t xml:space="preserve">.  Therefore, no </w:t>
      </w:r>
      <w:r>
        <w:rPr>
          <w:szCs w:val="24"/>
        </w:rPr>
        <w:t xml:space="preserve">further </w:t>
      </w:r>
      <w:r w:rsidRPr="008574F9">
        <w:rPr>
          <w:szCs w:val="24"/>
        </w:rPr>
        <w:t xml:space="preserve">estimate of Capital and Operations and Maintenance Costs </w:t>
      </w:r>
      <w:r>
        <w:rPr>
          <w:szCs w:val="24"/>
        </w:rPr>
        <w:t xml:space="preserve">for the Agency </w:t>
      </w:r>
      <w:r w:rsidRPr="008574F9">
        <w:rPr>
          <w:szCs w:val="24"/>
        </w:rPr>
        <w:t>were made for this ICR.</w:t>
      </w:r>
      <w:r w:rsidR="00D56573">
        <w:rPr>
          <w:szCs w:val="24"/>
        </w:rPr>
        <w:t xml:space="preserve"> </w:t>
      </w:r>
    </w:p>
    <w:p w:rsidR="00401022" w:rsidRPr="008574F9" w:rsidRDefault="00401022" w:rsidP="001508D1">
      <w:pPr>
        <w:autoSpaceDE w:val="0"/>
        <w:autoSpaceDN w:val="0"/>
        <w:adjustRightInd w:val="0"/>
        <w:ind w:firstLine="720"/>
        <w:rPr>
          <w:szCs w:val="24"/>
        </w:rPr>
      </w:pPr>
    </w:p>
    <w:p w:rsidR="000C02E9" w:rsidRPr="00BE7306" w:rsidRDefault="000C02E9" w:rsidP="00360CF0">
      <w:pPr>
        <w:autoSpaceDE w:val="0"/>
        <w:autoSpaceDN w:val="0"/>
        <w:adjustRightInd w:val="0"/>
        <w:ind w:left="720"/>
        <w:rPr>
          <w:iCs/>
          <w:szCs w:val="24"/>
        </w:rPr>
      </w:pPr>
      <w:r w:rsidRPr="00BE7306">
        <w:rPr>
          <w:szCs w:val="24"/>
        </w:rPr>
        <w:t>(</w:t>
      </w:r>
      <w:r w:rsidRPr="00BE7306">
        <w:rPr>
          <w:iCs/>
          <w:szCs w:val="24"/>
        </w:rPr>
        <w:t xml:space="preserve">iii) </w:t>
      </w:r>
      <w:r w:rsidR="00BE7306">
        <w:rPr>
          <w:iCs/>
          <w:szCs w:val="24"/>
        </w:rPr>
        <w:t xml:space="preserve"> </w:t>
      </w:r>
      <w:r w:rsidRPr="00BE7306">
        <w:rPr>
          <w:iCs/>
          <w:szCs w:val="24"/>
        </w:rPr>
        <w:t>Capital/Start-up vs. Operating and Maintenance (O &amp; M) Costs</w:t>
      </w:r>
    </w:p>
    <w:p w:rsidR="001508D1" w:rsidRPr="008574F9" w:rsidRDefault="001508D1" w:rsidP="000C02E9">
      <w:pPr>
        <w:autoSpaceDE w:val="0"/>
        <w:autoSpaceDN w:val="0"/>
        <w:adjustRightInd w:val="0"/>
        <w:rPr>
          <w:szCs w:val="24"/>
        </w:rPr>
      </w:pPr>
    </w:p>
    <w:p w:rsidR="00B23B41" w:rsidRDefault="000C02E9">
      <w:pPr>
        <w:autoSpaceDE w:val="0"/>
        <w:autoSpaceDN w:val="0"/>
        <w:adjustRightInd w:val="0"/>
        <w:ind w:firstLine="720"/>
        <w:rPr>
          <w:i/>
          <w:iCs/>
          <w:szCs w:val="24"/>
        </w:rPr>
      </w:pPr>
      <w:r w:rsidRPr="008574F9">
        <w:rPr>
          <w:szCs w:val="24"/>
        </w:rPr>
        <w:t>Capital costs for emissions trading reflect one-time costs for purchase of equipment which</w:t>
      </w:r>
      <w:r w:rsidR="001508D1" w:rsidRPr="008574F9">
        <w:rPr>
          <w:szCs w:val="24"/>
        </w:rPr>
        <w:t xml:space="preserve"> </w:t>
      </w:r>
      <w:r w:rsidRPr="008574F9">
        <w:rPr>
          <w:szCs w:val="24"/>
        </w:rPr>
        <w:t>will be used over a period of years</w:t>
      </w:r>
      <w:r w:rsidR="003972B1" w:rsidRPr="008574F9">
        <w:rPr>
          <w:szCs w:val="24"/>
        </w:rPr>
        <w:t xml:space="preserve">.  </w:t>
      </w:r>
      <w:r w:rsidRPr="008574F9">
        <w:rPr>
          <w:szCs w:val="24"/>
        </w:rPr>
        <w:t>Conversely, operating and maintenance costs are those costs</w:t>
      </w:r>
      <w:r w:rsidR="001508D1" w:rsidRPr="008574F9">
        <w:rPr>
          <w:szCs w:val="24"/>
        </w:rPr>
        <w:t xml:space="preserve"> </w:t>
      </w:r>
      <w:r w:rsidRPr="008574F9">
        <w:rPr>
          <w:szCs w:val="24"/>
        </w:rPr>
        <w:t>which are incurred on an annual or other scheduled basis</w:t>
      </w:r>
      <w:r w:rsidR="003972B1" w:rsidRPr="008574F9">
        <w:rPr>
          <w:szCs w:val="24"/>
        </w:rPr>
        <w:t xml:space="preserve">.  </w:t>
      </w:r>
      <w:r w:rsidRPr="008574F9">
        <w:rPr>
          <w:szCs w:val="24"/>
        </w:rPr>
        <w:t>For instance, costs associated with</w:t>
      </w:r>
      <w:r w:rsidR="001508D1" w:rsidRPr="008574F9">
        <w:rPr>
          <w:szCs w:val="24"/>
        </w:rPr>
        <w:t xml:space="preserve"> </w:t>
      </w:r>
      <w:r w:rsidRPr="008574F9">
        <w:rPr>
          <w:szCs w:val="24"/>
        </w:rPr>
        <w:t>quality assurance activities, such as spare parts or contractor costs for work, will be incurred on</w:t>
      </w:r>
      <w:r w:rsidR="001508D1" w:rsidRPr="008574F9">
        <w:rPr>
          <w:szCs w:val="24"/>
        </w:rPr>
        <w:t xml:space="preserve"> </w:t>
      </w:r>
      <w:r w:rsidRPr="008574F9">
        <w:rPr>
          <w:szCs w:val="24"/>
        </w:rPr>
        <w:t>an annual basis.</w:t>
      </w:r>
    </w:p>
    <w:p w:rsidR="00AA0E61" w:rsidRDefault="00AA0E61" w:rsidP="00360CF0">
      <w:pPr>
        <w:tabs>
          <w:tab w:val="left" w:pos="720"/>
        </w:tabs>
        <w:autoSpaceDE w:val="0"/>
        <w:autoSpaceDN w:val="0"/>
        <w:adjustRightInd w:val="0"/>
        <w:ind w:left="720"/>
        <w:rPr>
          <w:iCs/>
          <w:szCs w:val="24"/>
        </w:rPr>
      </w:pPr>
    </w:p>
    <w:p w:rsidR="000C02E9" w:rsidRPr="00BE7306" w:rsidRDefault="000C02E9" w:rsidP="00360CF0">
      <w:pPr>
        <w:tabs>
          <w:tab w:val="left" w:pos="720"/>
        </w:tabs>
        <w:autoSpaceDE w:val="0"/>
        <w:autoSpaceDN w:val="0"/>
        <w:adjustRightInd w:val="0"/>
        <w:ind w:left="720"/>
        <w:rPr>
          <w:iCs/>
          <w:szCs w:val="24"/>
        </w:rPr>
      </w:pPr>
      <w:r w:rsidRPr="00BE7306">
        <w:rPr>
          <w:iCs/>
          <w:szCs w:val="24"/>
        </w:rPr>
        <w:t xml:space="preserve">(iv) </w:t>
      </w:r>
      <w:r w:rsidR="00BE7306">
        <w:rPr>
          <w:iCs/>
          <w:szCs w:val="24"/>
        </w:rPr>
        <w:t xml:space="preserve"> </w:t>
      </w:r>
      <w:r w:rsidRPr="00BE7306">
        <w:rPr>
          <w:iCs/>
          <w:szCs w:val="24"/>
        </w:rPr>
        <w:t>Annualizing Capital Costs</w:t>
      </w:r>
    </w:p>
    <w:p w:rsidR="001508D1" w:rsidRPr="008574F9" w:rsidRDefault="001508D1" w:rsidP="000C02E9">
      <w:pPr>
        <w:autoSpaceDE w:val="0"/>
        <w:autoSpaceDN w:val="0"/>
        <w:adjustRightInd w:val="0"/>
        <w:rPr>
          <w:szCs w:val="24"/>
        </w:rPr>
      </w:pPr>
    </w:p>
    <w:p w:rsidR="000C02E9" w:rsidRPr="00D8541A" w:rsidRDefault="000C02E9" w:rsidP="001508D1">
      <w:pPr>
        <w:autoSpaceDE w:val="0"/>
        <w:autoSpaceDN w:val="0"/>
        <w:adjustRightInd w:val="0"/>
        <w:ind w:firstLine="720"/>
        <w:rPr>
          <w:szCs w:val="24"/>
        </w:rPr>
      </w:pPr>
      <w:r w:rsidRPr="008574F9">
        <w:rPr>
          <w:szCs w:val="24"/>
        </w:rPr>
        <w:t>The relevant capital costs for this ICR were annualized at a</w:t>
      </w:r>
      <w:r w:rsidR="001508D1" w:rsidRPr="008574F9">
        <w:rPr>
          <w:szCs w:val="24"/>
        </w:rPr>
        <w:t xml:space="preserve"> </w:t>
      </w:r>
      <w:r w:rsidRPr="008574F9">
        <w:rPr>
          <w:szCs w:val="24"/>
        </w:rPr>
        <w:t xml:space="preserve">rate of </w:t>
      </w:r>
      <w:r w:rsidR="00360CF0">
        <w:rPr>
          <w:szCs w:val="24"/>
        </w:rPr>
        <w:t>seven percent</w:t>
      </w:r>
      <w:r w:rsidR="006056F7">
        <w:rPr>
          <w:szCs w:val="24"/>
        </w:rPr>
        <w:t>, (</w:t>
      </w:r>
      <w:r w:rsidRPr="00AF44D8">
        <w:rPr>
          <w:szCs w:val="24"/>
        </w:rPr>
        <w:t>i.e., the annualized capital cost was calculated assuming money to purchase the</w:t>
      </w:r>
      <w:r w:rsidR="001508D1" w:rsidRPr="00AF44D8">
        <w:rPr>
          <w:szCs w:val="24"/>
        </w:rPr>
        <w:t xml:space="preserve"> </w:t>
      </w:r>
      <w:r w:rsidRPr="00AF44D8">
        <w:rPr>
          <w:szCs w:val="24"/>
        </w:rPr>
        <w:t xml:space="preserve">capital equipment was borrowed at a </w:t>
      </w:r>
      <w:r w:rsidR="00360CF0">
        <w:rPr>
          <w:szCs w:val="24"/>
        </w:rPr>
        <w:t>seven percent</w:t>
      </w:r>
      <w:r w:rsidRPr="00AF44D8">
        <w:rPr>
          <w:szCs w:val="24"/>
        </w:rPr>
        <w:t xml:space="preserve"> annual interest rate</w:t>
      </w:r>
      <w:r w:rsidRPr="008574F9">
        <w:rPr>
          <w:szCs w:val="24"/>
        </w:rPr>
        <w:t>)</w:t>
      </w:r>
      <w:r w:rsidR="003972B1" w:rsidRPr="008574F9">
        <w:rPr>
          <w:szCs w:val="24"/>
        </w:rPr>
        <w:t xml:space="preserve">.  </w:t>
      </w:r>
      <w:r w:rsidRPr="00D961DE">
        <w:rPr>
          <w:szCs w:val="24"/>
        </w:rPr>
        <w:t>The cost of the loan was</w:t>
      </w:r>
      <w:r w:rsidR="001508D1" w:rsidRPr="00D961DE">
        <w:rPr>
          <w:szCs w:val="24"/>
        </w:rPr>
        <w:t xml:space="preserve"> </w:t>
      </w:r>
      <w:r w:rsidRPr="00D961DE">
        <w:rPr>
          <w:szCs w:val="24"/>
        </w:rPr>
        <w:t xml:space="preserve">amortized over the life of the loan to repay </w:t>
      </w:r>
      <w:r w:rsidR="00462F8D">
        <w:rPr>
          <w:szCs w:val="24"/>
        </w:rPr>
        <w:t xml:space="preserve">the </w:t>
      </w:r>
      <w:r w:rsidRPr="00D961DE">
        <w:rPr>
          <w:szCs w:val="24"/>
        </w:rPr>
        <w:t>borrowed amount plus interest</w:t>
      </w:r>
      <w:r w:rsidR="003972B1" w:rsidRPr="00D961DE">
        <w:rPr>
          <w:szCs w:val="24"/>
        </w:rPr>
        <w:t xml:space="preserve">.  </w:t>
      </w:r>
      <w:r w:rsidRPr="00D961DE">
        <w:rPr>
          <w:szCs w:val="24"/>
        </w:rPr>
        <w:t>The result is</w:t>
      </w:r>
      <w:r w:rsidR="001508D1" w:rsidRPr="00D961DE">
        <w:rPr>
          <w:szCs w:val="24"/>
        </w:rPr>
        <w:t xml:space="preserve"> </w:t>
      </w:r>
      <w:r w:rsidRPr="00D961DE">
        <w:rPr>
          <w:szCs w:val="24"/>
        </w:rPr>
        <w:t>the annualized capital cost reported.</w:t>
      </w:r>
      <w:r w:rsidR="003972B1" w:rsidRPr="00D961DE">
        <w:rPr>
          <w:szCs w:val="24"/>
        </w:rPr>
        <w:t>)</w:t>
      </w:r>
      <w:r w:rsidR="003972B1" w:rsidRPr="008574F9">
        <w:rPr>
          <w:szCs w:val="24"/>
        </w:rPr>
        <w:t xml:space="preserve">  </w:t>
      </w:r>
      <w:r w:rsidRPr="008574F9">
        <w:rPr>
          <w:szCs w:val="24"/>
        </w:rPr>
        <w:t>The annualized cost of the necessary capital purchases</w:t>
      </w:r>
      <w:r w:rsidR="001508D1" w:rsidRPr="008574F9">
        <w:rPr>
          <w:szCs w:val="24"/>
        </w:rPr>
        <w:t xml:space="preserve"> </w:t>
      </w:r>
      <w:r w:rsidRPr="008574F9">
        <w:rPr>
          <w:szCs w:val="24"/>
        </w:rPr>
        <w:t xml:space="preserve">varies </w:t>
      </w:r>
      <w:r w:rsidRPr="00D8541A">
        <w:rPr>
          <w:szCs w:val="24"/>
        </w:rPr>
        <w:t>from $</w:t>
      </w:r>
      <w:r w:rsidR="0068364C" w:rsidRPr="0036770A">
        <w:rPr>
          <w:szCs w:val="24"/>
        </w:rPr>
        <w:t>600</w:t>
      </w:r>
      <w:r w:rsidRPr="00D8541A">
        <w:rPr>
          <w:szCs w:val="24"/>
        </w:rPr>
        <w:t xml:space="preserve"> to $</w:t>
      </w:r>
      <w:r w:rsidR="001574E9" w:rsidRPr="00D8541A">
        <w:rPr>
          <w:szCs w:val="24"/>
        </w:rPr>
        <w:t>29,572</w:t>
      </w:r>
      <w:r w:rsidRPr="00D8541A">
        <w:rPr>
          <w:szCs w:val="24"/>
        </w:rPr>
        <w:t xml:space="preserve"> per year per unit, depending on the type of monitoring</w:t>
      </w:r>
      <w:r w:rsidR="001508D1" w:rsidRPr="00D8541A">
        <w:rPr>
          <w:szCs w:val="24"/>
        </w:rPr>
        <w:t xml:space="preserve"> </w:t>
      </w:r>
      <w:r w:rsidR="00BB1D60" w:rsidRPr="00D8541A">
        <w:rPr>
          <w:szCs w:val="24"/>
        </w:rPr>
        <w:t xml:space="preserve">methodology. </w:t>
      </w:r>
      <w:r w:rsidR="00DF76C7" w:rsidRPr="00D8541A">
        <w:rPr>
          <w:szCs w:val="24"/>
        </w:rPr>
        <w:t xml:space="preserve"> </w:t>
      </w:r>
      <w:r w:rsidR="00BB1D60" w:rsidRPr="00D8541A">
        <w:rPr>
          <w:szCs w:val="24"/>
        </w:rPr>
        <w:t xml:space="preserve">Table </w:t>
      </w:r>
      <w:r w:rsidR="009269F3" w:rsidRPr="00D8541A">
        <w:rPr>
          <w:szCs w:val="24"/>
        </w:rPr>
        <w:t>6-5</w:t>
      </w:r>
      <w:r w:rsidRPr="00D8541A">
        <w:rPr>
          <w:szCs w:val="24"/>
        </w:rPr>
        <w:t xml:space="preserve"> contains a breakdown of annual costs by monitoring methodology.</w:t>
      </w:r>
    </w:p>
    <w:p w:rsidR="00D6009C" w:rsidRPr="00D8541A" w:rsidRDefault="00D6009C" w:rsidP="000C02E9">
      <w:pPr>
        <w:autoSpaceDE w:val="0"/>
        <w:autoSpaceDN w:val="0"/>
        <w:adjustRightInd w:val="0"/>
        <w:rPr>
          <w:b/>
          <w:bCs/>
          <w:szCs w:val="24"/>
        </w:rPr>
      </w:pPr>
    </w:p>
    <w:p w:rsidR="000C02E9" w:rsidRPr="00D8541A" w:rsidRDefault="00CB69B5" w:rsidP="00E936E3">
      <w:pPr>
        <w:keepNext/>
        <w:autoSpaceDE w:val="0"/>
        <w:autoSpaceDN w:val="0"/>
        <w:adjustRightInd w:val="0"/>
        <w:ind w:left="360"/>
        <w:rPr>
          <w:b/>
          <w:bCs/>
          <w:szCs w:val="24"/>
        </w:rPr>
      </w:pPr>
      <w:r w:rsidRPr="00D8541A">
        <w:rPr>
          <w:b/>
          <w:bCs/>
          <w:szCs w:val="24"/>
        </w:rPr>
        <w:t>6.3</w:t>
      </w:r>
      <w:r w:rsidR="009D5CF3" w:rsidRPr="00D8541A">
        <w:rPr>
          <w:b/>
          <w:bCs/>
          <w:szCs w:val="24"/>
        </w:rPr>
        <w:t xml:space="preserve">  </w:t>
      </w:r>
      <w:r w:rsidR="000C02E9" w:rsidRPr="00D8541A">
        <w:rPr>
          <w:b/>
          <w:bCs/>
          <w:szCs w:val="24"/>
        </w:rPr>
        <w:t>Estimating the Respondent Universe and Total Burden and Costs</w:t>
      </w:r>
    </w:p>
    <w:p w:rsidR="00D6009C" w:rsidRPr="00D8541A" w:rsidRDefault="00D6009C" w:rsidP="00E936E3">
      <w:pPr>
        <w:keepNext/>
        <w:autoSpaceDE w:val="0"/>
        <w:autoSpaceDN w:val="0"/>
        <w:adjustRightInd w:val="0"/>
        <w:rPr>
          <w:b/>
          <w:bCs/>
          <w:szCs w:val="24"/>
        </w:rPr>
      </w:pPr>
    </w:p>
    <w:p w:rsidR="00FC49ED" w:rsidRDefault="00250395" w:rsidP="001508D1">
      <w:pPr>
        <w:autoSpaceDE w:val="0"/>
        <w:autoSpaceDN w:val="0"/>
        <w:adjustRightInd w:val="0"/>
        <w:ind w:firstLine="720"/>
        <w:rPr>
          <w:szCs w:val="24"/>
        </w:rPr>
      </w:pPr>
      <w:r>
        <w:rPr>
          <w:szCs w:val="24"/>
        </w:rPr>
        <w:tab/>
      </w:r>
      <w:r w:rsidR="00EE282B">
        <w:rPr>
          <w:szCs w:val="24"/>
        </w:rPr>
        <w:t>S</w:t>
      </w:r>
      <w:r w:rsidR="0012189C">
        <w:rPr>
          <w:szCs w:val="24"/>
        </w:rPr>
        <w:t>tate and local permitting authorities will incur a burden associated with review of TR-related permit submissions</w:t>
      </w:r>
      <w:r w:rsidR="00175934">
        <w:rPr>
          <w:szCs w:val="24"/>
        </w:rPr>
        <w:t>, which is included in Table 6-6</w:t>
      </w:r>
      <w:r w:rsidR="0012189C">
        <w:rPr>
          <w:szCs w:val="24"/>
        </w:rPr>
        <w:t xml:space="preserve">.  </w:t>
      </w:r>
      <w:r w:rsidR="000C02E9" w:rsidRPr="00D8541A">
        <w:rPr>
          <w:szCs w:val="24"/>
        </w:rPr>
        <w:t>The</w:t>
      </w:r>
      <w:r w:rsidR="008F086F">
        <w:rPr>
          <w:szCs w:val="24"/>
        </w:rPr>
        <w:t xml:space="preserve"> total</w:t>
      </w:r>
      <w:r w:rsidR="000C02E9" w:rsidRPr="00D8541A">
        <w:rPr>
          <w:szCs w:val="24"/>
        </w:rPr>
        <w:t xml:space="preserve"> number of </w:t>
      </w:r>
      <w:r w:rsidR="008F086F">
        <w:rPr>
          <w:szCs w:val="24"/>
        </w:rPr>
        <w:t>permitting authorities</w:t>
      </w:r>
      <w:r w:rsidR="000C02E9" w:rsidRPr="00D8541A">
        <w:rPr>
          <w:szCs w:val="24"/>
        </w:rPr>
        <w:t xml:space="preserve"> </w:t>
      </w:r>
      <w:r w:rsidR="008F086F">
        <w:rPr>
          <w:szCs w:val="24"/>
        </w:rPr>
        <w:t xml:space="preserve">(including authorities for areas not covered by the TR) </w:t>
      </w:r>
      <w:r w:rsidR="00462F8D" w:rsidRPr="00D8541A">
        <w:rPr>
          <w:szCs w:val="24"/>
        </w:rPr>
        <w:t>is estimated to be</w:t>
      </w:r>
      <w:r w:rsidR="00687275" w:rsidRPr="00D8541A">
        <w:rPr>
          <w:szCs w:val="24"/>
        </w:rPr>
        <w:t xml:space="preserve"> 5</w:t>
      </w:r>
      <w:r w:rsidR="009D5CF3" w:rsidRPr="00D8541A">
        <w:rPr>
          <w:szCs w:val="24"/>
        </w:rPr>
        <w:t>0</w:t>
      </w:r>
      <w:r w:rsidR="00687275" w:rsidRPr="00D8541A">
        <w:rPr>
          <w:szCs w:val="24"/>
        </w:rPr>
        <w:t xml:space="preserve"> s</w:t>
      </w:r>
      <w:r w:rsidR="000C02E9" w:rsidRPr="00D8541A">
        <w:rPr>
          <w:szCs w:val="24"/>
        </w:rPr>
        <w:t>tates</w:t>
      </w:r>
      <w:r w:rsidR="009D5CF3" w:rsidRPr="00D8541A">
        <w:rPr>
          <w:szCs w:val="24"/>
        </w:rPr>
        <w:t xml:space="preserve"> and the District of Columbia</w:t>
      </w:r>
      <w:r w:rsidR="000C02E9" w:rsidRPr="00D8541A">
        <w:rPr>
          <w:szCs w:val="24"/>
        </w:rPr>
        <w:t xml:space="preserve">, </w:t>
      </w:r>
      <w:r w:rsidR="00273A97" w:rsidRPr="00D8541A">
        <w:rPr>
          <w:szCs w:val="24"/>
        </w:rPr>
        <w:t>four</w:t>
      </w:r>
      <w:r w:rsidR="00852DBE" w:rsidRPr="00D8541A">
        <w:rPr>
          <w:szCs w:val="24"/>
        </w:rPr>
        <w:t xml:space="preserve"> t</w:t>
      </w:r>
      <w:r w:rsidR="000C02E9" w:rsidRPr="00D8541A">
        <w:rPr>
          <w:szCs w:val="24"/>
        </w:rPr>
        <w:t>erritories and 49</w:t>
      </w:r>
      <w:r w:rsidR="001508D1" w:rsidRPr="00D8541A">
        <w:rPr>
          <w:szCs w:val="24"/>
        </w:rPr>
        <w:t xml:space="preserve"> </w:t>
      </w:r>
      <w:r w:rsidR="000C02E9" w:rsidRPr="00D8541A">
        <w:rPr>
          <w:szCs w:val="24"/>
        </w:rPr>
        <w:t xml:space="preserve">local agencies, </w:t>
      </w:r>
      <w:r w:rsidR="00462F8D" w:rsidRPr="00D8541A">
        <w:rPr>
          <w:szCs w:val="24"/>
        </w:rPr>
        <w:t>totaling</w:t>
      </w:r>
      <w:r w:rsidR="000C02E9" w:rsidRPr="00D8541A">
        <w:rPr>
          <w:szCs w:val="24"/>
        </w:rPr>
        <w:t xml:space="preserve"> 104 </w:t>
      </w:r>
      <w:r w:rsidR="008F086F">
        <w:rPr>
          <w:szCs w:val="24"/>
        </w:rPr>
        <w:t>authorities</w:t>
      </w:r>
      <w:r w:rsidR="003972B1" w:rsidRPr="008574F9">
        <w:rPr>
          <w:szCs w:val="24"/>
        </w:rPr>
        <w:t xml:space="preserve">.  </w:t>
      </w:r>
      <w:r w:rsidR="0012189C">
        <w:rPr>
          <w:szCs w:val="24"/>
        </w:rPr>
        <w:t xml:space="preserve"> </w:t>
      </w:r>
      <w:r w:rsidR="009269F3">
        <w:rPr>
          <w:szCs w:val="24"/>
        </w:rPr>
        <w:t>Table 6-4</w:t>
      </w:r>
      <w:r w:rsidR="00DC2D0B">
        <w:rPr>
          <w:szCs w:val="24"/>
        </w:rPr>
        <w:t xml:space="preserve"> details </w:t>
      </w:r>
      <w:r w:rsidR="004F6B8D">
        <w:rPr>
          <w:szCs w:val="24"/>
        </w:rPr>
        <w:t xml:space="preserve">state, territory, and local agency </w:t>
      </w:r>
      <w:r w:rsidR="0012189C">
        <w:rPr>
          <w:szCs w:val="24"/>
        </w:rPr>
        <w:t xml:space="preserve">one-time </w:t>
      </w:r>
      <w:r w:rsidR="00DC2D0B">
        <w:rPr>
          <w:szCs w:val="24"/>
        </w:rPr>
        <w:t>burdens associated with reading the rule upon publication.</w:t>
      </w:r>
      <w:r w:rsidR="00EE282B">
        <w:rPr>
          <w:szCs w:val="24"/>
        </w:rPr>
        <w:t xml:space="preserve"> Additionally this ICR contains burdens to allow for State</w:t>
      </w:r>
      <w:r w:rsidR="002313F1">
        <w:rPr>
          <w:szCs w:val="24"/>
        </w:rPr>
        <w:t>s</w:t>
      </w:r>
      <w:r w:rsidR="00EE282B">
        <w:rPr>
          <w:szCs w:val="24"/>
        </w:rPr>
        <w:t xml:space="preserve"> to allocate allowances as part of the SIP process.  </w:t>
      </w:r>
      <w:r w:rsidR="002313F1">
        <w:rPr>
          <w:szCs w:val="24"/>
        </w:rPr>
        <w:t>While state allocation of allowances is optional under the TR, for conservative estimation purposes this ICR estimates that all 28 states</w:t>
      </w:r>
      <w:r w:rsidR="001743CB">
        <w:rPr>
          <w:szCs w:val="24"/>
        </w:rPr>
        <w:t xml:space="preserve"> with sources covered by the TR</w:t>
      </w:r>
      <w:r w:rsidR="002313F1">
        <w:rPr>
          <w:szCs w:val="24"/>
        </w:rPr>
        <w:t xml:space="preserve"> will incur an annual burden of 100 hours to allocate allowances at the state level.</w:t>
      </w:r>
      <w:r w:rsidR="00385539">
        <w:rPr>
          <w:szCs w:val="24"/>
        </w:rPr>
        <w:t xml:space="preserve">  This burden is also included in Table 6-4.</w:t>
      </w:r>
    </w:p>
    <w:p w:rsidR="00D6009C" w:rsidRPr="008574F9" w:rsidRDefault="00D6009C" w:rsidP="000C02E9">
      <w:pPr>
        <w:autoSpaceDE w:val="0"/>
        <w:autoSpaceDN w:val="0"/>
        <w:adjustRightInd w:val="0"/>
        <w:rPr>
          <w:b/>
          <w:bCs/>
          <w:szCs w:val="24"/>
        </w:rPr>
      </w:pPr>
    </w:p>
    <w:p w:rsidR="000C02E9" w:rsidRPr="008574F9" w:rsidRDefault="000C02E9" w:rsidP="001508D1">
      <w:pPr>
        <w:autoSpaceDE w:val="0"/>
        <w:autoSpaceDN w:val="0"/>
        <w:adjustRightInd w:val="0"/>
        <w:ind w:firstLine="720"/>
        <w:rPr>
          <w:szCs w:val="24"/>
        </w:rPr>
      </w:pPr>
      <w:r w:rsidRPr="008574F9">
        <w:rPr>
          <w:szCs w:val="24"/>
        </w:rPr>
        <w:lastRenderedPageBreak/>
        <w:t>The number of industry respondents varies depending on the activity in question</w:t>
      </w:r>
      <w:r w:rsidR="003972B1" w:rsidRPr="008574F9">
        <w:rPr>
          <w:szCs w:val="24"/>
        </w:rPr>
        <w:t xml:space="preserve">.  </w:t>
      </w:r>
      <w:r w:rsidRPr="008574F9">
        <w:rPr>
          <w:szCs w:val="24"/>
        </w:rPr>
        <w:t>Activities</w:t>
      </w:r>
      <w:r w:rsidR="001508D1" w:rsidRPr="008574F9">
        <w:rPr>
          <w:szCs w:val="24"/>
        </w:rPr>
        <w:t xml:space="preserve"> </w:t>
      </w:r>
      <w:r w:rsidRPr="008574F9">
        <w:rPr>
          <w:szCs w:val="24"/>
        </w:rPr>
        <w:t xml:space="preserve">such as </w:t>
      </w:r>
      <w:r w:rsidR="00020021">
        <w:rPr>
          <w:szCs w:val="24"/>
        </w:rPr>
        <w:t>T</w:t>
      </w:r>
      <w:r w:rsidRPr="008574F9">
        <w:rPr>
          <w:szCs w:val="24"/>
        </w:rPr>
        <w:t xml:space="preserve">itle V permit application </w:t>
      </w:r>
      <w:r w:rsidR="00CC764C">
        <w:rPr>
          <w:szCs w:val="24"/>
        </w:rPr>
        <w:t xml:space="preserve">submission or </w:t>
      </w:r>
      <w:r w:rsidRPr="008574F9">
        <w:rPr>
          <w:szCs w:val="24"/>
        </w:rPr>
        <w:t>allowance transfers can involve nearly two</w:t>
      </w:r>
      <w:r w:rsidR="001508D1" w:rsidRPr="008574F9">
        <w:rPr>
          <w:szCs w:val="24"/>
        </w:rPr>
        <w:t xml:space="preserve"> </w:t>
      </w:r>
      <w:r w:rsidRPr="008574F9">
        <w:rPr>
          <w:szCs w:val="24"/>
        </w:rPr>
        <w:t>thousand sources</w:t>
      </w:r>
      <w:r w:rsidR="003972B1" w:rsidRPr="008574F9">
        <w:rPr>
          <w:szCs w:val="24"/>
        </w:rPr>
        <w:t xml:space="preserve">.  </w:t>
      </w:r>
      <w:r w:rsidRPr="008574F9">
        <w:rPr>
          <w:szCs w:val="24"/>
        </w:rPr>
        <w:t>The number of units which will be required to install a particular type of</w:t>
      </w:r>
      <w:r w:rsidR="001508D1" w:rsidRPr="008574F9">
        <w:rPr>
          <w:szCs w:val="24"/>
        </w:rPr>
        <w:t xml:space="preserve"> </w:t>
      </w:r>
      <w:r w:rsidRPr="008574F9">
        <w:rPr>
          <w:szCs w:val="24"/>
        </w:rPr>
        <w:t xml:space="preserve">monitoring equipment </w:t>
      </w:r>
      <w:r w:rsidR="00606C25">
        <w:rPr>
          <w:szCs w:val="24"/>
        </w:rPr>
        <w:t xml:space="preserve">is fewer </w:t>
      </w:r>
      <w:r w:rsidRPr="008574F9">
        <w:rPr>
          <w:szCs w:val="24"/>
        </w:rPr>
        <w:t xml:space="preserve">since many already have </w:t>
      </w:r>
      <w:r w:rsidR="00606C25">
        <w:rPr>
          <w:szCs w:val="24"/>
        </w:rPr>
        <w:t xml:space="preserve">the necessary </w:t>
      </w:r>
      <w:r w:rsidRPr="008574F9">
        <w:rPr>
          <w:szCs w:val="24"/>
        </w:rPr>
        <w:t>monitoring equipment</w:t>
      </w:r>
      <w:r w:rsidR="00606C25">
        <w:rPr>
          <w:szCs w:val="24"/>
        </w:rPr>
        <w:t>,</w:t>
      </w:r>
      <w:r w:rsidRPr="008574F9">
        <w:rPr>
          <w:szCs w:val="24"/>
        </w:rPr>
        <w:t xml:space="preserve"> especially if</w:t>
      </w:r>
      <w:r w:rsidR="001508D1" w:rsidRPr="008574F9">
        <w:rPr>
          <w:szCs w:val="24"/>
        </w:rPr>
        <w:t xml:space="preserve"> </w:t>
      </w:r>
      <w:r w:rsidRPr="008574F9">
        <w:rPr>
          <w:szCs w:val="24"/>
        </w:rPr>
        <w:t xml:space="preserve">they are </w:t>
      </w:r>
      <w:r w:rsidR="00F01416">
        <w:rPr>
          <w:szCs w:val="24"/>
        </w:rPr>
        <w:t>ARP</w:t>
      </w:r>
      <w:r w:rsidR="00812041">
        <w:rPr>
          <w:szCs w:val="24"/>
        </w:rPr>
        <w:t xml:space="preserve"> units or are </w:t>
      </w:r>
      <w:r w:rsidRPr="008574F9">
        <w:rPr>
          <w:szCs w:val="24"/>
        </w:rPr>
        <w:t xml:space="preserve">in </w:t>
      </w:r>
      <w:r w:rsidR="00CB2ED9">
        <w:rPr>
          <w:szCs w:val="24"/>
        </w:rPr>
        <w:t>CAIR</w:t>
      </w:r>
      <w:r w:rsidR="00B07C90">
        <w:rPr>
          <w:szCs w:val="24"/>
        </w:rPr>
        <w:t xml:space="preserve"> </w:t>
      </w:r>
      <w:r w:rsidR="00687275">
        <w:rPr>
          <w:szCs w:val="24"/>
        </w:rPr>
        <w:t>s</w:t>
      </w:r>
      <w:r w:rsidR="009D2B68">
        <w:rPr>
          <w:szCs w:val="24"/>
        </w:rPr>
        <w:t>tate</w:t>
      </w:r>
      <w:r w:rsidR="00B07C90">
        <w:rPr>
          <w:szCs w:val="24"/>
        </w:rPr>
        <w:t>s</w:t>
      </w:r>
      <w:r w:rsidR="003972B1" w:rsidRPr="008574F9">
        <w:rPr>
          <w:szCs w:val="24"/>
        </w:rPr>
        <w:t xml:space="preserve">.   </w:t>
      </w:r>
      <w:r w:rsidR="00BB1D60">
        <w:rPr>
          <w:szCs w:val="24"/>
        </w:rPr>
        <w:t xml:space="preserve">Table </w:t>
      </w:r>
      <w:r w:rsidR="009269F3">
        <w:rPr>
          <w:szCs w:val="24"/>
        </w:rPr>
        <w:t>6-5</w:t>
      </w:r>
      <w:r w:rsidRPr="008574F9">
        <w:rPr>
          <w:szCs w:val="24"/>
        </w:rPr>
        <w:t xml:space="preserve"> gives estimates of </w:t>
      </w:r>
      <w:r w:rsidR="00876923">
        <w:rPr>
          <w:szCs w:val="24"/>
        </w:rPr>
        <w:t xml:space="preserve">annual </w:t>
      </w:r>
      <w:r w:rsidRPr="008574F9">
        <w:rPr>
          <w:szCs w:val="24"/>
        </w:rPr>
        <w:t>industry burden</w:t>
      </w:r>
      <w:r w:rsidR="00CC764C">
        <w:rPr>
          <w:szCs w:val="24"/>
        </w:rPr>
        <w:t>s</w:t>
      </w:r>
      <w:r w:rsidR="00656747">
        <w:rPr>
          <w:szCs w:val="24"/>
        </w:rPr>
        <w:t xml:space="preserve"> beginning in</w:t>
      </w:r>
      <w:r w:rsidRPr="008574F9">
        <w:rPr>
          <w:szCs w:val="24"/>
        </w:rPr>
        <w:t xml:space="preserve"> </w:t>
      </w:r>
      <w:r w:rsidR="005C20C7">
        <w:rPr>
          <w:szCs w:val="24"/>
        </w:rPr>
        <w:t>once compliance obligations under the TR commence</w:t>
      </w:r>
      <w:r w:rsidR="003972B1" w:rsidRPr="008574F9">
        <w:rPr>
          <w:szCs w:val="24"/>
        </w:rPr>
        <w:t xml:space="preserve">.  </w:t>
      </w:r>
      <w:r w:rsidR="00CC764C">
        <w:rPr>
          <w:szCs w:val="24"/>
        </w:rPr>
        <w:t>These</w:t>
      </w:r>
      <w:r w:rsidRPr="008574F9">
        <w:rPr>
          <w:szCs w:val="24"/>
        </w:rPr>
        <w:t xml:space="preserve"> burden</w:t>
      </w:r>
      <w:r w:rsidR="00CC764C">
        <w:rPr>
          <w:szCs w:val="24"/>
        </w:rPr>
        <w:t>s</w:t>
      </w:r>
      <w:r w:rsidRPr="008574F9">
        <w:rPr>
          <w:szCs w:val="24"/>
        </w:rPr>
        <w:t xml:space="preserve"> include monitoring, reporting</w:t>
      </w:r>
      <w:r w:rsidR="00171B44">
        <w:rPr>
          <w:szCs w:val="24"/>
        </w:rPr>
        <w:t>,</w:t>
      </w:r>
      <w:r w:rsidRPr="008574F9">
        <w:rPr>
          <w:szCs w:val="24"/>
        </w:rPr>
        <w:t xml:space="preserve"> and other activities</w:t>
      </w:r>
      <w:r w:rsidR="001508D1" w:rsidRPr="008574F9">
        <w:rPr>
          <w:szCs w:val="24"/>
        </w:rPr>
        <w:t xml:space="preserve"> </w:t>
      </w:r>
      <w:r w:rsidRPr="008574F9">
        <w:rPr>
          <w:szCs w:val="24"/>
        </w:rPr>
        <w:t>involved in participating in an emissions trading program</w:t>
      </w:r>
      <w:r w:rsidR="003972B1" w:rsidRPr="008574F9">
        <w:rPr>
          <w:szCs w:val="24"/>
        </w:rPr>
        <w:t xml:space="preserve">.  </w:t>
      </w:r>
      <w:r w:rsidRPr="008574F9">
        <w:rPr>
          <w:szCs w:val="24"/>
        </w:rPr>
        <w:t>The total number of respondents is</w:t>
      </w:r>
      <w:r w:rsidR="001508D1" w:rsidRPr="008574F9">
        <w:rPr>
          <w:szCs w:val="24"/>
        </w:rPr>
        <w:t xml:space="preserve"> </w:t>
      </w:r>
      <w:r w:rsidRPr="008574F9">
        <w:rPr>
          <w:szCs w:val="24"/>
        </w:rPr>
        <w:t xml:space="preserve">estimated to </w:t>
      </w:r>
      <w:r w:rsidRPr="00D8541A">
        <w:rPr>
          <w:szCs w:val="24"/>
        </w:rPr>
        <w:t xml:space="preserve">be </w:t>
      </w:r>
      <w:r w:rsidR="00776B41" w:rsidRPr="00D8541A">
        <w:rPr>
          <w:szCs w:val="24"/>
        </w:rPr>
        <w:t>1,2</w:t>
      </w:r>
      <w:r w:rsidR="007817C8" w:rsidRPr="00D8541A">
        <w:rPr>
          <w:szCs w:val="24"/>
        </w:rPr>
        <w:t>0</w:t>
      </w:r>
      <w:r w:rsidR="00F37C4C" w:rsidRPr="00D8541A">
        <w:rPr>
          <w:szCs w:val="24"/>
        </w:rPr>
        <w:t>1</w:t>
      </w:r>
      <w:r w:rsidRPr="00D8541A">
        <w:rPr>
          <w:szCs w:val="24"/>
        </w:rPr>
        <w:t xml:space="preserve"> facilities.</w:t>
      </w:r>
      <w:r w:rsidR="004368B9">
        <w:rPr>
          <w:szCs w:val="24"/>
        </w:rPr>
        <w:t xml:space="preserve">  Table</w:t>
      </w:r>
      <w:r w:rsidR="009D5CF3">
        <w:rPr>
          <w:szCs w:val="24"/>
        </w:rPr>
        <w:t xml:space="preserve">s </w:t>
      </w:r>
      <w:r w:rsidR="004368B9">
        <w:rPr>
          <w:szCs w:val="24"/>
        </w:rPr>
        <w:t>6-</w:t>
      </w:r>
      <w:r w:rsidR="00110A4F">
        <w:rPr>
          <w:szCs w:val="24"/>
        </w:rPr>
        <w:t>6</w:t>
      </w:r>
      <w:r w:rsidR="009D5CF3">
        <w:rPr>
          <w:szCs w:val="24"/>
        </w:rPr>
        <w:t xml:space="preserve"> through 6-10</w:t>
      </w:r>
      <w:r w:rsidR="001866D7">
        <w:rPr>
          <w:szCs w:val="24"/>
        </w:rPr>
        <w:t xml:space="preserve"> give estimates of Agency </w:t>
      </w:r>
      <w:r w:rsidR="0012189C">
        <w:rPr>
          <w:szCs w:val="24"/>
        </w:rPr>
        <w:t xml:space="preserve">and permitting authority </w:t>
      </w:r>
      <w:r w:rsidR="001866D7">
        <w:rPr>
          <w:szCs w:val="24"/>
        </w:rPr>
        <w:t>burden</w:t>
      </w:r>
      <w:r w:rsidR="00CC764C">
        <w:rPr>
          <w:szCs w:val="24"/>
        </w:rPr>
        <w:t>s</w:t>
      </w:r>
      <w:r w:rsidR="001866D7">
        <w:rPr>
          <w:szCs w:val="24"/>
        </w:rPr>
        <w:t xml:space="preserve"> associated with permitting and managing the emissions trading programs.</w:t>
      </w:r>
    </w:p>
    <w:p w:rsidR="00DC2D0B" w:rsidRDefault="00DC2D0B" w:rsidP="000A0014">
      <w:pPr>
        <w:autoSpaceDE w:val="0"/>
        <w:autoSpaceDN w:val="0"/>
        <w:adjustRightInd w:val="0"/>
        <w:ind w:left="360"/>
        <w:rPr>
          <w:b/>
          <w:bCs/>
          <w:szCs w:val="24"/>
        </w:rPr>
      </w:pPr>
    </w:p>
    <w:p w:rsidR="000C02E9" w:rsidRPr="008574F9" w:rsidRDefault="00CB69B5" w:rsidP="000A0014">
      <w:pPr>
        <w:autoSpaceDE w:val="0"/>
        <w:autoSpaceDN w:val="0"/>
        <w:adjustRightInd w:val="0"/>
        <w:ind w:left="360"/>
        <w:rPr>
          <w:b/>
          <w:bCs/>
          <w:szCs w:val="24"/>
        </w:rPr>
      </w:pPr>
      <w:r>
        <w:rPr>
          <w:b/>
          <w:bCs/>
          <w:szCs w:val="24"/>
        </w:rPr>
        <w:t>6.4</w:t>
      </w:r>
      <w:r w:rsidR="009D5CF3">
        <w:rPr>
          <w:b/>
          <w:bCs/>
          <w:szCs w:val="24"/>
        </w:rPr>
        <w:t xml:space="preserve">  </w:t>
      </w:r>
      <w:r w:rsidR="000C02E9" w:rsidRPr="008574F9">
        <w:rPr>
          <w:b/>
          <w:bCs/>
          <w:szCs w:val="24"/>
        </w:rPr>
        <w:t>Bottom Line Burden Hours and Cost Table</w:t>
      </w:r>
    </w:p>
    <w:p w:rsidR="00D6009C" w:rsidRDefault="00D6009C" w:rsidP="000A0014">
      <w:pPr>
        <w:autoSpaceDE w:val="0"/>
        <w:autoSpaceDN w:val="0"/>
        <w:adjustRightInd w:val="0"/>
        <w:rPr>
          <w:b/>
          <w:bCs/>
          <w:szCs w:val="24"/>
        </w:rPr>
      </w:pPr>
    </w:p>
    <w:p w:rsidR="009D5CF3" w:rsidRDefault="009D5CF3" w:rsidP="000A0014">
      <w:pPr>
        <w:autoSpaceDE w:val="0"/>
        <w:autoSpaceDN w:val="0"/>
        <w:adjustRightInd w:val="0"/>
        <w:rPr>
          <w:bCs/>
          <w:szCs w:val="24"/>
        </w:rPr>
      </w:pPr>
      <w:r>
        <w:rPr>
          <w:b/>
          <w:bCs/>
          <w:szCs w:val="24"/>
        </w:rPr>
        <w:tab/>
      </w:r>
      <w:r>
        <w:rPr>
          <w:bCs/>
          <w:szCs w:val="24"/>
        </w:rPr>
        <w:t>Table 6-3 summarizes the bottom line burden and costs for state, industry, and Agency respondents.</w:t>
      </w:r>
    </w:p>
    <w:p w:rsidR="009D5CF3" w:rsidRPr="009D5CF3" w:rsidRDefault="009D5CF3" w:rsidP="000A0014">
      <w:pPr>
        <w:autoSpaceDE w:val="0"/>
        <w:autoSpaceDN w:val="0"/>
        <w:adjustRightInd w:val="0"/>
        <w:rPr>
          <w:bCs/>
          <w:szCs w:val="24"/>
        </w:rPr>
      </w:pPr>
    </w:p>
    <w:p w:rsidR="00083A8F" w:rsidRDefault="00083A8F" w:rsidP="00083A8F">
      <w:pPr>
        <w:keepNext/>
        <w:autoSpaceDE w:val="0"/>
        <w:autoSpaceDN w:val="0"/>
        <w:adjustRightInd w:val="0"/>
        <w:jc w:val="center"/>
        <w:rPr>
          <w:b/>
          <w:bCs/>
          <w:szCs w:val="24"/>
        </w:rPr>
      </w:pPr>
      <w:r>
        <w:rPr>
          <w:b/>
          <w:bCs/>
          <w:szCs w:val="24"/>
        </w:rPr>
        <w:t>Table 6-</w:t>
      </w:r>
      <w:r w:rsidR="00AA0E61">
        <w:rPr>
          <w:b/>
          <w:bCs/>
          <w:szCs w:val="24"/>
        </w:rPr>
        <w:t>3</w:t>
      </w:r>
      <w:r w:rsidR="005D5242">
        <w:rPr>
          <w:b/>
          <w:bCs/>
          <w:szCs w:val="24"/>
        </w:rPr>
        <w:t>:</w:t>
      </w:r>
    </w:p>
    <w:p w:rsidR="00BE7306" w:rsidRDefault="00BE7306" w:rsidP="00BE7306">
      <w:pPr>
        <w:keepNext/>
        <w:autoSpaceDE w:val="0"/>
        <w:autoSpaceDN w:val="0"/>
        <w:adjustRightInd w:val="0"/>
        <w:jc w:val="center"/>
        <w:rPr>
          <w:rFonts w:eastAsia="Times New Roman"/>
          <w:b/>
          <w:bCs/>
          <w:color w:val="000000"/>
        </w:rPr>
      </w:pPr>
      <w:r w:rsidRPr="00714ABD">
        <w:rPr>
          <w:rFonts w:eastAsia="Times New Roman"/>
          <w:b/>
          <w:bCs/>
          <w:color w:val="000000"/>
        </w:rPr>
        <w:t>Total Estimated Burden and Cost Summary</w:t>
      </w:r>
    </w:p>
    <w:p w:rsidR="00BE7306" w:rsidRPr="008574F9" w:rsidRDefault="00BE7306" w:rsidP="00BE7306">
      <w:pPr>
        <w:keepNext/>
        <w:autoSpaceDE w:val="0"/>
        <w:autoSpaceDN w:val="0"/>
        <w:adjustRightInd w:val="0"/>
        <w:rPr>
          <w:b/>
          <w:bCs/>
          <w:szCs w:val="24"/>
        </w:rPr>
      </w:pPr>
    </w:p>
    <w:tbl>
      <w:tblPr>
        <w:tblW w:w="825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1980"/>
        <w:gridCol w:w="1620"/>
        <w:gridCol w:w="2329"/>
        <w:gridCol w:w="2329"/>
      </w:tblGrid>
      <w:tr w:rsidR="00A650CF" w:rsidRPr="00BE7306" w:rsidTr="00DD3696">
        <w:trPr>
          <w:trHeight w:val="33"/>
          <w:jc w:val="center"/>
        </w:trPr>
        <w:tc>
          <w:tcPr>
            <w:tcW w:w="1980" w:type="dxa"/>
            <w:shd w:val="pct10" w:color="auto" w:fill="auto"/>
            <w:noWrap/>
            <w:vAlign w:val="bottom"/>
          </w:tcPr>
          <w:p w:rsidR="00A650CF" w:rsidRPr="00BE7306" w:rsidRDefault="00A650CF" w:rsidP="00BE7306">
            <w:pPr>
              <w:jc w:val="center"/>
              <w:rPr>
                <w:rFonts w:eastAsia="Times New Roman"/>
                <w:b/>
                <w:bCs/>
                <w:color w:val="000000"/>
                <w:sz w:val="22"/>
              </w:rPr>
            </w:pPr>
          </w:p>
        </w:tc>
        <w:tc>
          <w:tcPr>
            <w:tcW w:w="1620" w:type="dxa"/>
            <w:shd w:val="pct10" w:color="auto" w:fill="auto"/>
            <w:vAlign w:val="bottom"/>
          </w:tcPr>
          <w:p w:rsidR="00A650CF" w:rsidRPr="00BE7306" w:rsidRDefault="00A650CF" w:rsidP="00BE7306">
            <w:pPr>
              <w:jc w:val="center"/>
              <w:rPr>
                <w:rFonts w:eastAsia="Times New Roman"/>
                <w:b/>
                <w:bCs/>
                <w:color w:val="000000"/>
                <w:sz w:val="22"/>
              </w:rPr>
            </w:pPr>
            <w:r w:rsidRPr="00BE7306">
              <w:rPr>
                <w:rFonts w:eastAsia="Times New Roman"/>
                <w:b/>
                <w:bCs/>
                <w:color w:val="000000"/>
                <w:sz w:val="22"/>
              </w:rPr>
              <w:t>Number of Respondents</w:t>
            </w:r>
          </w:p>
        </w:tc>
        <w:tc>
          <w:tcPr>
            <w:tcW w:w="2329" w:type="dxa"/>
            <w:shd w:val="pct10" w:color="auto" w:fill="auto"/>
            <w:vAlign w:val="bottom"/>
          </w:tcPr>
          <w:p w:rsidR="00A650CF" w:rsidRPr="00BE7306" w:rsidRDefault="00A650CF" w:rsidP="00BE7306">
            <w:pPr>
              <w:jc w:val="center"/>
              <w:rPr>
                <w:rFonts w:eastAsia="Times New Roman"/>
                <w:b/>
                <w:bCs/>
                <w:color w:val="000000"/>
                <w:sz w:val="22"/>
              </w:rPr>
            </w:pPr>
            <w:r w:rsidRPr="00BE7306">
              <w:rPr>
                <w:rFonts w:eastAsia="Times New Roman"/>
                <w:b/>
                <w:bCs/>
                <w:color w:val="000000"/>
                <w:sz w:val="22"/>
              </w:rPr>
              <w:t>Total Hours Per Year</w:t>
            </w:r>
            <w:r w:rsidR="00DD3696">
              <w:rPr>
                <w:rFonts w:eastAsia="Times New Roman"/>
                <w:b/>
                <w:bCs/>
                <w:color w:val="000000"/>
                <w:sz w:val="22"/>
              </w:rPr>
              <w:t xml:space="preserve"> (All Respondents)</w:t>
            </w:r>
          </w:p>
        </w:tc>
        <w:tc>
          <w:tcPr>
            <w:tcW w:w="2329" w:type="dxa"/>
            <w:shd w:val="pct10" w:color="auto" w:fill="auto"/>
            <w:vAlign w:val="bottom"/>
          </w:tcPr>
          <w:p w:rsidR="00A650CF" w:rsidRPr="00BE7306" w:rsidRDefault="00A650CF" w:rsidP="00BE7306">
            <w:pPr>
              <w:jc w:val="center"/>
              <w:rPr>
                <w:rFonts w:eastAsia="Times New Roman"/>
                <w:b/>
                <w:bCs/>
                <w:color w:val="000000"/>
                <w:sz w:val="22"/>
              </w:rPr>
            </w:pPr>
            <w:r w:rsidRPr="00BE7306">
              <w:rPr>
                <w:rFonts w:eastAsia="Times New Roman"/>
                <w:b/>
                <w:bCs/>
                <w:color w:val="000000"/>
                <w:sz w:val="22"/>
              </w:rPr>
              <w:t>Total Costs Per Year</w:t>
            </w:r>
            <w:r w:rsidR="00DD3696">
              <w:rPr>
                <w:rFonts w:eastAsia="Times New Roman"/>
                <w:b/>
                <w:bCs/>
                <w:color w:val="000000"/>
                <w:sz w:val="22"/>
              </w:rPr>
              <w:t xml:space="preserve"> (All Respondents)</w:t>
            </w:r>
          </w:p>
        </w:tc>
      </w:tr>
      <w:tr w:rsidR="00370F79" w:rsidRPr="00BE7306" w:rsidTr="00DD3696">
        <w:trPr>
          <w:trHeight w:val="33"/>
          <w:jc w:val="center"/>
        </w:trPr>
        <w:tc>
          <w:tcPr>
            <w:tcW w:w="1980" w:type="dxa"/>
            <w:shd w:val="clear" w:color="auto" w:fill="auto"/>
            <w:noWrap/>
            <w:vAlign w:val="bottom"/>
          </w:tcPr>
          <w:p w:rsidR="00370F79" w:rsidRPr="00BE7306" w:rsidRDefault="00370F79" w:rsidP="00385539">
            <w:pPr>
              <w:rPr>
                <w:rFonts w:eastAsia="Times New Roman"/>
                <w:color w:val="000000"/>
                <w:sz w:val="20"/>
                <w:szCs w:val="20"/>
              </w:rPr>
            </w:pPr>
            <w:r w:rsidRPr="00BE7306">
              <w:rPr>
                <w:rFonts w:eastAsia="Times New Roman"/>
                <w:color w:val="000000"/>
                <w:sz w:val="20"/>
                <w:szCs w:val="20"/>
              </w:rPr>
              <w:t xml:space="preserve">State </w:t>
            </w:r>
            <w:r w:rsidR="00EC41B5">
              <w:rPr>
                <w:rFonts w:eastAsia="Times New Roman"/>
                <w:color w:val="000000"/>
                <w:sz w:val="20"/>
                <w:szCs w:val="20"/>
              </w:rPr>
              <w:t xml:space="preserve">and Local </w:t>
            </w:r>
          </w:p>
        </w:tc>
        <w:tc>
          <w:tcPr>
            <w:tcW w:w="1620" w:type="dxa"/>
            <w:shd w:val="clear" w:color="auto" w:fill="auto"/>
            <w:noWrap/>
          </w:tcPr>
          <w:p w:rsidR="00370F79" w:rsidRPr="00BE7306" w:rsidRDefault="009D5CF3" w:rsidP="00110A4F">
            <w:pPr>
              <w:jc w:val="right"/>
              <w:rPr>
                <w:rFonts w:eastAsia="Times New Roman"/>
                <w:color w:val="000000"/>
                <w:sz w:val="20"/>
                <w:szCs w:val="20"/>
              </w:rPr>
            </w:pPr>
            <w:r>
              <w:rPr>
                <w:rFonts w:eastAsia="Times New Roman"/>
                <w:color w:val="000000"/>
                <w:sz w:val="20"/>
                <w:szCs w:val="20"/>
              </w:rPr>
              <w:t>104</w:t>
            </w:r>
          </w:p>
        </w:tc>
        <w:tc>
          <w:tcPr>
            <w:tcW w:w="2329" w:type="dxa"/>
            <w:shd w:val="clear" w:color="auto" w:fill="auto"/>
            <w:noWrap/>
          </w:tcPr>
          <w:p w:rsidR="00370F79" w:rsidRPr="00BE7306" w:rsidRDefault="00EC41B5" w:rsidP="001C6309">
            <w:pPr>
              <w:jc w:val="right"/>
              <w:rPr>
                <w:rFonts w:eastAsia="Times New Roman"/>
                <w:color w:val="000000"/>
                <w:sz w:val="20"/>
                <w:szCs w:val="20"/>
              </w:rPr>
            </w:pPr>
            <w:r>
              <w:rPr>
                <w:color w:val="000000"/>
                <w:sz w:val="20"/>
                <w:szCs w:val="20"/>
              </w:rPr>
              <w:t>2,869</w:t>
            </w:r>
          </w:p>
        </w:tc>
        <w:tc>
          <w:tcPr>
            <w:tcW w:w="2329" w:type="dxa"/>
            <w:shd w:val="clear" w:color="auto" w:fill="auto"/>
            <w:noWrap/>
          </w:tcPr>
          <w:p w:rsidR="00370F79" w:rsidRPr="00BE7306" w:rsidRDefault="00370F79" w:rsidP="00EC41B5">
            <w:pPr>
              <w:jc w:val="right"/>
              <w:rPr>
                <w:rFonts w:eastAsia="Times New Roman"/>
                <w:color w:val="000000"/>
                <w:sz w:val="20"/>
                <w:szCs w:val="20"/>
              </w:rPr>
            </w:pPr>
            <w:r>
              <w:rPr>
                <w:color w:val="000000"/>
                <w:sz w:val="20"/>
                <w:szCs w:val="20"/>
              </w:rPr>
              <w:t>$</w:t>
            </w:r>
            <w:r w:rsidR="00EC41B5">
              <w:rPr>
                <w:color w:val="000000"/>
                <w:sz w:val="20"/>
                <w:szCs w:val="20"/>
              </w:rPr>
              <w:t>129,826</w:t>
            </w:r>
          </w:p>
        </w:tc>
      </w:tr>
      <w:tr w:rsidR="00370F79" w:rsidRPr="00BE7306" w:rsidTr="00DD3696">
        <w:trPr>
          <w:trHeight w:val="33"/>
          <w:jc w:val="center"/>
        </w:trPr>
        <w:tc>
          <w:tcPr>
            <w:tcW w:w="1980" w:type="dxa"/>
            <w:shd w:val="clear" w:color="auto" w:fill="auto"/>
            <w:noWrap/>
            <w:vAlign w:val="bottom"/>
          </w:tcPr>
          <w:p w:rsidR="00370F79" w:rsidRPr="00BE7306" w:rsidRDefault="00370F79" w:rsidP="00A650CF">
            <w:pPr>
              <w:rPr>
                <w:rFonts w:eastAsia="Times New Roman"/>
                <w:color w:val="000000"/>
                <w:sz w:val="20"/>
                <w:szCs w:val="20"/>
              </w:rPr>
            </w:pPr>
            <w:r w:rsidRPr="00BE7306">
              <w:rPr>
                <w:rFonts w:eastAsia="Times New Roman"/>
                <w:color w:val="000000"/>
                <w:sz w:val="20"/>
                <w:szCs w:val="20"/>
              </w:rPr>
              <w:t xml:space="preserve">Industry Respondents </w:t>
            </w:r>
          </w:p>
        </w:tc>
        <w:tc>
          <w:tcPr>
            <w:tcW w:w="1620" w:type="dxa"/>
            <w:shd w:val="clear" w:color="auto" w:fill="auto"/>
            <w:noWrap/>
          </w:tcPr>
          <w:p w:rsidR="00370F79" w:rsidRPr="00BE7306" w:rsidRDefault="00370F79" w:rsidP="00370F79">
            <w:pPr>
              <w:jc w:val="right"/>
              <w:rPr>
                <w:rFonts w:eastAsia="Times New Roman"/>
                <w:color w:val="000000"/>
                <w:sz w:val="20"/>
                <w:szCs w:val="20"/>
              </w:rPr>
            </w:pPr>
            <w:r>
              <w:rPr>
                <w:rFonts w:eastAsia="Times New Roman"/>
                <w:color w:val="000000"/>
                <w:sz w:val="20"/>
                <w:szCs w:val="20"/>
              </w:rPr>
              <w:t>1,201</w:t>
            </w:r>
          </w:p>
        </w:tc>
        <w:tc>
          <w:tcPr>
            <w:tcW w:w="2329" w:type="dxa"/>
            <w:shd w:val="clear" w:color="auto" w:fill="auto"/>
            <w:noWrap/>
          </w:tcPr>
          <w:p w:rsidR="00370F79" w:rsidRPr="00BE7306" w:rsidRDefault="00370F79" w:rsidP="001C6309">
            <w:pPr>
              <w:jc w:val="right"/>
              <w:rPr>
                <w:rFonts w:eastAsia="Times New Roman"/>
                <w:color w:val="000000"/>
                <w:sz w:val="20"/>
                <w:szCs w:val="20"/>
              </w:rPr>
            </w:pPr>
            <w:r>
              <w:rPr>
                <w:color w:val="000000"/>
                <w:sz w:val="20"/>
                <w:szCs w:val="20"/>
              </w:rPr>
              <w:t>185,132</w:t>
            </w:r>
          </w:p>
        </w:tc>
        <w:tc>
          <w:tcPr>
            <w:tcW w:w="2329" w:type="dxa"/>
            <w:shd w:val="clear" w:color="auto" w:fill="auto"/>
            <w:noWrap/>
          </w:tcPr>
          <w:p w:rsidR="00370F79" w:rsidRPr="00BE7306" w:rsidRDefault="00370F79" w:rsidP="00C4686F">
            <w:pPr>
              <w:jc w:val="right"/>
              <w:rPr>
                <w:rFonts w:eastAsia="Times New Roman"/>
                <w:color w:val="000000"/>
                <w:sz w:val="20"/>
                <w:szCs w:val="20"/>
              </w:rPr>
            </w:pPr>
            <w:r>
              <w:rPr>
                <w:color w:val="000000"/>
                <w:sz w:val="20"/>
                <w:szCs w:val="20"/>
              </w:rPr>
              <w:t>$26,</w:t>
            </w:r>
            <w:r w:rsidR="00C4686F">
              <w:rPr>
                <w:color w:val="000000"/>
                <w:sz w:val="20"/>
                <w:szCs w:val="20"/>
              </w:rPr>
              <w:t>589,016</w:t>
            </w:r>
          </w:p>
        </w:tc>
      </w:tr>
      <w:tr w:rsidR="00370F79" w:rsidRPr="00BE7306" w:rsidTr="000714D7">
        <w:trPr>
          <w:trHeight w:val="33"/>
          <w:jc w:val="center"/>
        </w:trPr>
        <w:tc>
          <w:tcPr>
            <w:tcW w:w="1980" w:type="dxa"/>
            <w:shd w:val="clear" w:color="auto" w:fill="auto"/>
            <w:noWrap/>
            <w:vAlign w:val="bottom"/>
          </w:tcPr>
          <w:p w:rsidR="00370F79" w:rsidRPr="00BE7306" w:rsidRDefault="00370F79" w:rsidP="00A650CF">
            <w:pPr>
              <w:rPr>
                <w:rFonts w:eastAsia="Times New Roman"/>
                <w:color w:val="000000"/>
                <w:sz w:val="20"/>
                <w:szCs w:val="20"/>
              </w:rPr>
            </w:pPr>
            <w:r>
              <w:rPr>
                <w:rFonts w:eastAsia="Times New Roman"/>
                <w:color w:val="000000"/>
                <w:sz w:val="20"/>
                <w:szCs w:val="20"/>
              </w:rPr>
              <w:t>Agency</w:t>
            </w:r>
          </w:p>
        </w:tc>
        <w:tc>
          <w:tcPr>
            <w:tcW w:w="1620" w:type="dxa"/>
            <w:shd w:val="clear" w:color="auto" w:fill="auto"/>
            <w:noWrap/>
          </w:tcPr>
          <w:p w:rsidR="00370F79" w:rsidDel="00B445B4" w:rsidRDefault="00370F79" w:rsidP="001C6309">
            <w:pPr>
              <w:jc w:val="right"/>
              <w:rPr>
                <w:rFonts w:eastAsia="Times New Roman"/>
                <w:color w:val="000000"/>
                <w:sz w:val="20"/>
                <w:szCs w:val="20"/>
              </w:rPr>
            </w:pPr>
            <w:r>
              <w:rPr>
                <w:rFonts w:eastAsia="Times New Roman"/>
                <w:color w:val="000000"/>
                <w:sz w:val="20"/>
                <w:szCs w:val="20"/>
              </w:rPr>
              <w:t>1</w:t>
            </w:r>
          </w:p>
        </w:tc>
        <w:tc>
          <w:tcPr>
            <w:tcW w:w="2329" w:type="dxa"/>
            <w:shd w:val="clear" w:color="auto" w:fill="auto"/>
            <w:noWrap/>
            <w:vAlign w:val="bottom"/>
          </w:tcPr>
          <w:p w:rsidR="00370F79" w:rsidRPr="000714D7" w:rsidDel="00B445B4" w:rsidRDefault="00370F79" w:rsidP="002D46C4">
            <w:pPr>
              <w:jc w:val="right"/>
              <w:rPr>
                <w:color w:val="000000"/>
                <w:sz w:val="20"/>
                <w:szCs w:val="20"/>
              </w:rPr>
            </w:pPr>
            <w:r w:rsidRPr="000714D7">
              <w:rPr>
                <w:color w:val="000000"/>
                <w:sz w:val="20"/>
                <w:szCs w:val="20"/>
              </w:rPr>
              <w:t>7,716</w:t>
            </w:r>
          </w:p>
        </w:tc>
        <w:tc>
          <w:tcPr>
            <w:tcW w:w="2329" w:type="dxa"/>
            <w:shd w:val="clear" w:color="auto" w:fill="auto"/>
            <w:noWrap/>
            <w:vAlign w:val="bottom"/>
          </w:tcPr>
          <w:p w:rsidR="00370F79" w:rsidRPr="00C4686F" w:rsidRDefault="00370F79" w:rsidP="00C4686F">
            <w:pPr>
              <w:jc w:val="right"/>
              <w:rPr>
                <w:color w:val="000000"/>
                <w:sz w:val="20"/>
                <w:szCs w:val="20"/>
                <w:highlight w:val="yellow"/>
              </w:rPr>
            </w:pPr>
            <w:r w:rsidRPr="00C4686F">
              <w:rPr>
                <w:color w:val="000000"/>
                <w:sz w:val="20"/>
                <w:szCs w:val="20"/>
              </w:rPr>
              <w:t>$</w:t>
            </w:r>
            <w:r w:rsidR="00C4686F" w:rsidRPr="00C4686F">
              <w:rPr>
                <w:color w:val="000000"/>
                <w:sz w:val="20"/>
                <w:szCs w:val="20"/>
              </w:rPr>
              <w:t>596,215</w:t>
            </w:r>
          </w:p>
        </w:tc>
      </w:tr>
    </w:tbl>
    <w:p w:rsidR="00653EF0" w:rsidRDefault="00653EF0" w:rsidP="000C02E9">
      <w:pPr>
        <w:autoSpaceDE w:val="0"/>
        <w:autoSpaceDN w:val="0"/>
        <w:adjustRightInd w:val="0"/>
        <w:rPr>
          <w:b/>
          <w:bCs/>
          <w:szCs w:val="24"/>
        </w:rPr>
      </w:pPr>
    </w:p>
    <w:p w:rsidR="00653EF0" w:rsidRDefault="00653EF0">
      <w:pPr>
        <w:rPr>
          <w:b/>
          <w:bCs/>
          <w:szCs w:val="24"/>
        </w:rPr>
      </w:pPr>
    </w:p>
    <w:p w:rsidR="000C02E9" w:rsidRPr="008574F9" w:rsidRDefault="00CB69B5" w:rsidP="00BE7306">
      <w:pPr>
        <w:autoSpaceDE w:val="0"/>
        <w:autoSpaceDN w:val="0"/>
        <w:adjustRightInd w:val="0"/>
        <w:ind w:left="360"/>
        <w:rPr>
          <w:b/>
          <w:bCs/>
          <w:szCs w:val="24"/>
        </w:rPr>
      </w:pPr>
      <w:r>
        <w:rPr>
          <w:b/>
          <w:bCs/>
          <w:szCs w:val="24"/>
        </w:rPr>
        <w:t>6.5</w:t>
      </w:r>
      <w:r w:rsidR="00BE7306">
        <w:rPr>
          <w:b/>
          <w:bCs/>
          <w:szCs w:val="24"/>
        </w:rPr>
        <w:t xml:space="preserve"> </w:t>
      </w:r>
      <w:r w:rsidR="000C02E9" w:rsidRPr="008574F9">
        <w:rPr>
          <w:b/>
          <w:bCs/>
          <w:szCs w:val="24"/>
        </w:rPr>
        <w:t xml:space="preserve"> Reasons for Change in Burden</w:t>
      </w:r>
    </w:p>
    <w:p w:rsidR="00D6009C" w:rsidRPr="008574F9" w:rsidRDefault="00D6009C" w:rsidP="000C02E9">
      <w:pPr>
        <w:autoSpaceDE w:val="0"/>
        <w:autoSpaceDN w:val="0"/>
        <w:adjustRightInd w:val="0"/>
        <w:rPr>
          <w:b/>
          <w:bCs/>
          <w:szCs w:val="24"/>
        </w:rPr>
      </w:pPr>
    </w:p>
    <w:p w:rsidR="002B7D3B" w:rsidRDefault="000C02E9" w:rsidP="006F3338">
      <w:pPr>
        <w:autoSpaceDE w:val="0"/>
        <w:autoSpaceDN w:val="0"/>
        <w:adjustRightInd w:val="0"/>
        <w:ind w:firstLine="720"/>
        <w:rPr>
          <w:szCs w:val="24"/>
        </w:rPr>
      </w:pPr>
      <w:r w:rsidRPr="008574F9">
        <w:rPr>
          <w:szCs w:val="24"/>
        </w:rPr>
        <w:t>The large</w:t>
      </w:r>
      <w:r w:rsidR="001F2462">
        <w:rPr>
          <w:szCs w:val="24"/>
        </w:rPr>
        <w:t>st</w:t>
      </w:r>
      <w:r w:rsidRPr="008574F9">
        <w:rPr>
          <w:szCs w:val="24"/>
        </w:rPr>
        <w:t xml:space="preserve"> burden associated with this rule is the cost of monitoring, certifying,</w:t>
      </w:r>
      <w:r w:rsidR="001508D1" w:rsidRPr="008574F9">
        <w:rPr>
          <w:szCs w:val="24"/>
        </w:rPr>
        <w:t xml:space="preserve"> </w:t>
      </w:r>
      <w:r w:rsidRPr="008574F9">
        <w:rPr>
          <w:szCs w:val="24"/>
        </w:rPr>
        <w:t>quality assuring</w:t>
      </w:r>
      <w:r w:rsidR="003449B4">
        <w:rPr>
          <w:szCs w:val="24"/>
        </w:rPr>
        <w:t>,</w:t>
      </w:r>
      <w:r w:rsidRPr="008574F9">
        <w:rPr>
          <w:szCs w:val="24"/>
        </w:rPr>
        <w:t xml:space="preserve"> and reporting emissions data from </w:t>
      </w:r>
      <w:r w:rsidR="00DB5B2A">
        <w:rPr>
          <w:szCs w:val="24"/>
        </w:rPr>
        <w:t xml:space="preserve">the </w:t>
      </w:r>
      <w:r w:rsidRPr="008574F9">
        <w:rPr>
          <w:szCs w:val="24"/>
        </w:rPr>
        <w:t>large electric generating units regulated under</w:t>
      </w:r>
      <w:r w:rsidR="001508D1" w:rsidRPr="008574F9">
        <w:rPr>
          <w:szCs w:val="24"/>
        </w:rPr>
        <w:t xml:space="preserve"> </w:t>
      </w:r>
      <w:r w:rsidR="00E57E6B">
        <w:rPr>
          <w:szCs w:val="24"/>
        </w:rPr>
        <w:t xml:space="preserve">the </w:t>
      </w:r>
      <w:r w:rsidR="00A16CC8">
        <w:rPr>
          <w:szCs w:val="24"/>
        </w:rPr>
        <w:t>TR</w:t>
      </w:r>
      <w:r w:rsidR="003972B1" w:rsidRPr="008574F9">
        <w:rPr>
          <w:szCs w:val="24"/>
        </w:rPr>
        <w:t xml:space="preserve">.  </w:t>
      </w:r>
      <w:r w:rsidRPr="008574F9">
        <w:rPr>
          <w:szCs w:val="24"/>
        </w:rPr>
        <w:t>This burden is tempered</w:t>
      </w:r>
      <w:r w:rsidR="001F2462">
        <w:rPr>
          <w:szCs w:val="24"/>
        </w:rPr>
        <w:t>,</w:t>
      </w:r>
      <w:r w:rsidRPr="008574F9">
        <w:rPr>
          <w:szCs w:val="24"/>
        </w:rPr>
        <w:t xml:space="preserve"> however</w:t>
      </w:r>
      <w:r w:rsidR="001F2462">
        <w:rPr>
          <w:szCs w:val="24"/>
        </w:rPr>
        <w:t>,</w:t>
      </w:r>
      <w:r w:rsidRPr="008574F9">
        <w:rPr>
          <w:szCs w:val="24"/>
        </w:rPr>
        <w:t xml:space="preserve"> by the integration of these monitoring and reporting</w:t>
      </w:r>
      <w:r w:rsidR="001508D1" w:rsidRPr="008574F9">
        <w:rPr>
          <w:szCs w:val="24"/>
        </w:rPr>
        <w:t xml:space="preserve"> </w:t>
      </w:r>
      <w:r w:rsidRPr="008574F9">
        <w:rPr>
          <w:szCs w:val="24"/>
        </w:rPr>
        <w:t>requirements with those already required under the A</w:t>
      </w:r>
      <w:r w:rsidR="00DB5B2A">
        <w:rPr>
          <w:szCs w:val="24"/>
        </w:rPr>
        <w:t>RP</w:t>
      </w:r>
      <w:r w:rsidR="00CB2ED9">
        <w:rPr>
          <w:szCs w:val="24"/>
        </w:rPr>
        <w:t xml:space="preserve"> and </w:t>
      </w:r>
      <w:r w:rsidR="003449B4">
        <w:rPr>
          <w:szCs w:val="24"/>
        </w:rPr>
        <w:t xml:space="preserve">(prior to TR implementation) under </w:t>
      </w:r>
      <w:r w:rsidR="00CB2ED9">
        <w:rPr>
          <w:szCs w:val="24"/>
        </w:rPr>
        <w:t>CAIR</w:t>
      </w:r>
      <w:r w:rsidR="003972B1" w:rsidRPr="008574F9">
        <w:rPr>
          <w:szCs w:val="24"/>
        </w:rPr>
        <w:t xml:space="preserve">.  </w:t>
      </w:r>
      <w:r w:rsidRPr="008574F9">
        <w:rPr>
          <w:szCs w:val="24"/>
        </w:rPr>
        <w:t xml:space="preserve">Otherwise, the burden </w:t>
      </w:r>
      <w:r w:rsidR="003449B4">
        <w:rPr>
          <w:szCs w:val="24"/>
        </w:rPr>
        <w:t xml:space="preserve">and costs reported under this ICR </w:t>
      </w:r>
      <w:r w:rsidRPr="008574F9">
        <w:rPr>
          <w:szCs w:val="24"/>
        </w:rPr>
        <w:t xml:space="preserve">would be significantly higher and the number of sources </w:t>
      </w:r>
      <w:r w:rsidR="003449B4">
        <w:rPr>
          <w:szCs w:val="24"/>
        </w:rPr>
        <w:t xml:space="preserve">reported under this ICR </w:t>
      </w:r>
      <w:r w:rsidRPr="008574F9">
        <w:rPr>
          <w:szCs w:val="24"/>
        </w:rPr>
        <w:t>would</w:t>
      </w:r>
      <w:r w:rsidR="001508D1" w:rsidRPr="008574F9">
        <w:rPr>
          <w:szCs w:val="24"/>
        </w:rPr>
        <w:t xml:space="preserve"> </w:t>
      </w:r>
      <w:r w:rsidR="006F3338">
        <w:rPr>
          <w:szCs w:val="24"/>
        </w:rPr>
        <w:t>be greater.  Differences between this renewal and the previous ICR are due to revised current year labor costs, and the inclusion of 100 hours annually per state (28 states) to allocate allowances as part of the SIP process, which was inadvertently omitted from the original rule ICR Supporting Statement.</w:t>
      </w:r>
    </w:p>
    <w:p w:rsidR="006F3338" w:rsidRDefault="006F3338" w:rsidP="006F3338">
      <w:pPr>
        <w:autoSpaceDE w:val="0"/>
        <w:autoSpaceDN w:val="0"/>
        <w:adjustRightInd w:val="0"/>
        <w:ind w:firstLine="720"/>
        <w:rPr>
          <w:b/>
          <w:bCs/>
          <w:szCs w:val="24"/>
        </w:rPr>
      </w:pPr>
    </w:p>
    <w:p w:rsidR="000C02E9" w:rsidRPr="008574F9" w:rsidRDefault="00CB69B5" w:rsidP="00BE7306">
      <w:pPr>
        <w:autoSpaceDE w:val="0"/>
        <w:autoSpaceDN w:val="0"/>
        <w:adjustRightInd w:val="0"/>
        <w:ind w:left="360"/>
        <w:rPr>
          <w:b/>
          <w:bCs/>
          <w:szCs w:val="24"/>
        </w:rPr>
      </w:pPr>
      <w:r>
        <w:rPr>
          <w:b/>
          <w:bCs/>
          <w:szCs w:val="24"/>
        </w:rPr>
        <w:t>6.6</w:t>
      </w:r>
      <w:r w:rsidR="00BE7306">
        <w:rPr>
          <w:b/>
          <w:bCs/>
          <w:szCs w:val="24"/>
        </w:rPr>
        <w:t xml:space="preserve"> </w:t>
      </w:r>
      <w:r w:rsidR="000C02E9" w:rsidRPr="008574F9">
        <w:rPr>
          <w:b/>
          <w:bCs/>
          <w:szCs w:val="24"/>
        </w:rPr>
        <w:t xml:space="preserve"> Burden Statement</w:t>
      </w:r>
    </w:p>
    <w:p w:rsidR="001508D1" w:rsidRPr="008574F9" w:rsidRDefault="001508D1" w:rsidP="000C02E9">
      <w:pPr>
        <w:autoSpaceDE w:val="0"/>
        <w:autoSpaceDN w:val="0"/>
        <w:adjustRightInd w:val="0"/>
        <w:rPr>
          <w:szCs w:val="24"/>
        </w:rPr>
      </w:pPr>
    </w:p>
    <w:p w:rsidR="000C02E9" w:rsidRPr="008574F9" w:rsidRDefault="008F4030" w:rsidP="001508D1">
      <w:pPr>
        <w:autoSpaceDE w:val="0"/>
        <w:autoSpaceDN w:val="0"/>
        <w:adjustRightInd w:val="0"/>
        <w:ind w:firstLine="720"/>
        <w:rPr>
          <w:szCs w:val="24"/>
        </w:rPr>
      </w:pPr>
      <w:r>
        <w:t xml:space="preserve">The annual public reporting and recordkeeping burden for this collection of information is estimated to </w:t>
      </w:r>
      <w:r w:rsidRPr="00D8541A">
        <w:t xml:space="preserve">average </w:t>
      </w:r>
      <w:r w:rsidR="003E26CD" w:rsidRPr="00D8541A">
        <w:t xml:space="preserve">11 </w:t>
      </w:r>
      <w:r w:rsidRPr="00D8541A">
        <w:rPr>
          <w:color w:val="000000"/>
        </w:rPr>
        <w:t>hours per response.</w:t>
      </w:r>
      <w:r>
        <w:rPr>
          <w:color w:val="000000"/>
        </w:rPr>
        <w:t xml:space="preserve">  </w:t>
      </w:r>
      <w:r w:rsidR="000C02E9" w:rsidRPr="008574F9">
        <w:rPr>
          <w:szCs w:val="24"/>
        </w:rPr>
        <w:t>Burden means the total time, effort, or financial resources expended by persons to generate,</w:t>
      </w:r>
      <w:r w:rsidR="001508D1" w:rsidRPr="008574F9">
        <w:rPr>
          <w:szCs w:val="24"/>
        </w:rPr>
        <w:t xml:space="preserve"> </w:t>
      </w:r>
      <w:r w:rsidR="000C02E9" w:rsidRPr="008574F9">
        <w:rPr>
          <w:szCs w:val="24"/>
        </w:rPr>
        <w:t>maintain, retain, disclose or provide information to</w:t>
      </w:r>
      <w:r w:rsidR="00ED3EAD">
        <w:rPr>
          <w:szCs w:val="24"/>
        </w:rPr>
        <w:t>,</w:t>
      </w:r>
      <w:r w:rsidR="000C02E9" w:rsidRPr="008574F9">
        <w:rPr>
          <w:szCs w:val="24"/>
        </w:rPr>
        <w:t xml:space="preserve"> or for</w:t>
      </w:r>
      <w:r w:rsidR="00ED3EAD">
        <w:rPr>
          <w:szCs w:val="24"/>
        </w:rPr>
        <w:t>,</w:t>
      </w:r>
      <w:r w:rsidR="00427748">
        <w:rPr>
          <w:szCs w:val="24"/>
        </w:rPr>
        <w:t xml:space="preserve"> a f</w:t>
      </w:r>
      <w:r w:rsidR="000C02E9" w:rsidRPr="008574F9">
        <w:rPr>
          <w:szCs w:val="24"/>
        </w:rPr>
        <w:t>ederal agency</w:t>
      </w:r>
      <w:r w:rsidR="003972B1" w:rsidRPr="008574F9">
        <w:rPr>
          <w:szCs w:val="24"/>
        </w:rPr>
        <w:t xml:space="preserve">.  </w:t>
      </w:r>
      <w:r w:rsidR="000C02E9" w:rsidRPr="008574F9">
        <w:rPr>
          <w:szCs w:val="24"/>
        </w:rPr>
        <w:t>This includes the</w:t>
      </w:r>
      <w:r w:rsidR="001508D1" w:rsidRPr="008574F9">
        <w:rPr>
          <w:szCs w:val="24"/>
        </w:rPr>
        <w:t xml:space="preserve"> </w:t>
      </w:r>
      <w:r w:rsidR="000C02E9" w:rsidRPr="008574F9">
        <w:rPr>
          <w:szCs w:val="24"/>
        </w:rPr>
        <w:t>time needed to review instructions; develop, acquire, install, and utilize technology and systems</w:t>
      </w:r>
      <w:r w:rsidR="001508D1" w:rsidRPr="008574F9">
        <w:rPr>
          <w:szCs w:val="24"/>
        </w:rPr>
        <w:t xml:space="preserve"> </w:t>
      </w:r>
      <w:r w:rsidR="000C02E9" w:rsidRPr="008574F9">
        <w:rPr>
          <w:szCs w:val="24"/>
        </w:rPr>
        <w:t xml:space="preserve">for the purposes of collecting, validating, and </w:t>
      </w:r>
      <w:r w:rsidR="000C02E9" w:rsidRPr="008574F9">
        <w:rPr>
          <w:szCs w:val="24"/>
        </w:rPr>
        <w:lastRenderedPageBreak/>
        <w:t>verifying information</w:t>
      </w:r>
      <w:r w:rsidR="00ED3EAD">
        <w:rPr>
          <w:szCs w:val="24"/>
        </w:rPr>
        <w:t>;</w:t>
      </w:r>
      <w:r w:rsidR="000C02E9" w:rsidRPr="008574F9">
        <w:rPr>
          <w:szCs w:val="24"/>
        </w:rPr>
        <w:t xml:space="preserve"> processing</w:t>
      </w:r>
      <w:r w:rsidR="00ED3EAD">
        <w:rPr>
          <w:szCs w:val="24"/>
        </w:rPr>
        <w:t xml:space="preserve">, </w:t>
      </w:r>
      <w:r w:rsidR="000C02E9" w:rsidRPr="008574F9">
        <w:rPr>
          <w:szCs w:val="24"/>
        </w:rPr>
        <w:t>maintaining, disclosing</w:t>
      </w:r>
      <w:r w:rsidR="00ED3EAD">
        <w:rPr>
          <w:szCs w:val="24"/>
        </w:rPr>
        <w:t>,</w:t>
      </w:r>
      <w:r w:rsidR="000C02E9" w:rsidRPr="008574F9">
        <w:rPr>
          <w:szCs w:val="24"/>
        </w:rPr>
        <w:t xml:space="preserve"> and providing information; adjust</w:t>
      </w:r>
      <w:r w:rsidR="00ED3EAD">
        <w:rPr>
          <w:szCs w:val="24"/>
        </w:rPr>
        <w:t>ing</w:t>
      </w:r>
      <w:r w:rsidR="000C02E9" w:rsidRPr="008574F9">
        <w:rPr>
          <w:szCs w:val="24"/>
        </w:rPr>
        <w:t xml:space="preserve"> the existing ways to comply with</w:t>
      </w:r>
      <w:r w:rsidR="001508D1" w:rsidRPr="008574F9">
        <w:rPr>
          <w:szCs w:val="24"/>
        </w:rPr>
        <w:t xml:space="preserve"> </w:t>
      </w:r>
      <w:r w:rsidR="000C02E9" w:rsidRPr="008574F9">
        <w:rPr>
          <w:szCs w:val="24"/>
        </w:rPr>
        <w:t>any previously applicable instructions and requirements; train</w:t>
      </w:r>
      <w:r w:rsidR="00ED3EAD">
        <w:rPr>
          <w:szCs w:val="24"/>
        </w:rPr>
        <w:t>ing</w:t>
      </w:r>
      <w:r w:rsidR="000C02E9" w:rsidRPr="008574F9">
        <w:rPr>
          <w:szCs w:val="24"/>
        </w:rPr>
        <w:t xml:space="preserve"> personnel to be able to respond to a</w:t>
      </w:r>
      <w:r w:rsidR="001508D1" w:rsidRPr="008574F9">
        <w:rPr>
          <w:szCs w:val="24"/>
        </w:rPr>
        <w:t xml:space="preserve"> </w:t>
      </w:r>
      <w:r w:rsidR="000C02E9" w:rsidRPr="008574F9">
        <w:rPr>
          <w:szCs w:val="24"/>
        </w:rPr>
        <w:t>collection of information; search</w:t>
      </w:r>
      <w:r w:rsidR="00ED3EAD">
        <w:rPr>
          <w:szCs w:val="24"/>
        </w:rPr>
        <w:t>ing</w:t>
      </w:r>
      <w:r w:rsidR="000C02E9" w:rsidRPr="008574F9">
        <w:rPr>
          <w:szCs w:val="24"/>
        </w:rPr>
        <w:t xml:space="preserve"> data sources; complet</w:t>
      </w:r>
      <w:r w:rsidR="00ED3EAD">
        <w:rPr>
          <w:szCs w:val="24"/>
        </w:rPr>
        <w:t>ing</w:t>
      </w:r>
      <w:r w:rsidR="000C02E9" w:rsidRPr="008574F9">
        <w:rPr>
          <w:szCs w:val="24"/>
        </w:rPr>
        <w:t xml:space="preserve"> and review</w:t>
      </w:r>
      <w:r w:rsidR="00ED3EAD">
        <w:rPr>
          <w:szCs w:val="24"/>
        </w:rPr>
        <w:t>ing</w:t>
      </w:r>
      <w:r w:rsidR="000C02E9" w:rsidRPr="008574F9">
        <w:rPr>
          <w:szCs w:val="24"/>
        </w:rPr>
        <w:t xml:space="preserve"> the collection of information;</w:t>
      </w:r>
      <w:r w:rsidR="001508D1" w:rsidRPr="008574F9">
        <w:rPr>
          <w:szCs w:val="24"/>
        </w:rPr>
        <w:t xml:space="preserve"> </w:t>
      </w:r>
      <w:r w:rsidR="000C02E9" w:rsidRPr="008574F9">
        <w:rPr>
          <w:szCs w:val="24"/>
        </w:rPr>
        <w:t>and transmit</w:t>
      </w:r>
      <w:r w:rsidR="00ED3EAD">
        <w:rPr>
          <w:szCs w:val="24"/>
        </w:rPr>
        <w:t>ting</w:t>
      </w:r>
      <w:r w:rsidR="000C02E9" w:rsidRPr="008574F9">
        <w:rPr>
          <w:szCs w:val="24"/>
        </w:rPr>
        <w:t xml:space="preserve"> or otherwise disclos</w:t>
      </w:r>
      <w:r w:rsidR="00ED3EAD">
        <w:rPr>
          <w:szCs w:val="24"/>
        </w:rPr>
        <w:t xml:space="preserve">ing </w:t>
      </w:r>
      <w:r w:rsidR="000C02E9" w:rsidRPr="008574F9">
        <w:rPr>
          <w:szCs w:val="24"/>
        </w:rPr>
        <w:t xml:space="preserve">the information. </w:t>
      </w:r>
      <w:r w:rsidR="003449B4">
        <w:rPr>
          <w:szCs w:val="24"/>
        </w:rPr>
        <w:t xml:space="preserve"> </w:t>
      </w:r>
      <w:r w:rsidR="000C02E9" w:rsidRPr="008574F9">
        <w:rPr>
          <w:szCs w:val="24"/>
        </w:rPr>
        <w:t>An agency may not conduct or sponsor, and a</w:t>
      </w:r>
      <w:r w:rsidR="001508D1" w:rsidRPr="008574F9">
        <w:rPr>
          <w:szCs w:val="24"/>
        </w:rPr>
        <w:t xml:space="preserve"> </w:t>
      </w:r>
      <w:r w:rsidR="000C02E9" w:rsidRPr="008574F9">
        <w:rPr>
          <w:szCs w:val="24"/>
        </w:rPr>
        <w:t>person is not required to respond to, a collection of information unless it displays a currently valid</w:t>
      </w:r>
      <w:r w:rsidR="001508D1" w:rsidRPr="008574F9">
        <w:rPr>
          <w:szCs w:val="24"/>
        </w:rPr>
        <w:t xml:space="preserve"> </w:t>
      </w:r>
      <w:r w:rsidR="000C02E9" w:rsidRPr="008574F9">
        <w:rPr>
          <w:szCs w:val="24"/>
        </w:rPr>
        <w:t>OMB control number</w:t>
      </w:r>
      <w:r w:rsidR="003972B1" w:rsidRPr="008574F9">
        <w:rPr>
          <w:szCs w:val="24"/>
        </w:rPr>
        <w:t xml:space="preserve">.  </w:t>
      </w:r>
      <w:r w:rsidR="000C02E9" w:rsidRPr="008574F9">
        <w:rPr>
          <w:szCs w:val="24"/>
        </w:rPr>
        <w:t>The OMB control numbers for EPA</w:t>
      </w:r>
      <w:r w:rsidR="00033581">
        <w:rPr>
          <w:szCs w:val="24"/>
        </w:rPr>
        <w:t>'</w:t>
      </w:r>
      <w:r w:rsidR="000C02E9" w:rsidRPr="008574F9">
        <w:rPr>
          <w:szCs w:val="24"/>
        </w:rPr>
        <w:t>s regulations are listed in 40 CFR</w:t>
      </w:r>
      <w:r w:rsidR="001508D1" w:rsidRPr="008574F9">
        <w:rPr>
          <w:szCs w:val="24"/>
        </w:rPr>
        <w:t xml:space="preserve"> </w:t>
      </w:r>
      <w:r w:rsidR="000C02E9" w:rsidRPr="008574F9">
        <w:rPr>
          <w:szCs w:val="24"/>
        </w:rPr>
        <w:t>Part 9 and 48 CFR Chapter 15.</w:t>
      </w:r>
    </w:p>
    <w:p w:rsidR="001508D1" w:rsidRPr="008574F9" w:rsidRDefault="001508D1" w:rsidP="000C02E9">
      <w:pPr>
        <w:autoSpaceDE w:val="0"/>
        <w:autoSpaceDN w:val="0"/>
        <w:adjustRightInd w:val="0"/>
        <w:rPr>
          <w:szCs w:val="24"/>
        </w:rPr>
      </w:pPr>
    </w:p>
    <w:p w:rsidR="000C02E9" w:rsidRPr="009B049F" w:rsidRDefault="00CF1B63" w:rsidP="00E57E6B">
      <w:pPr>
        <w:autoSpaceDE w:val="0"/>
        <w:autoSpaceDN w:val="0"/>
        <w:adjustRightInd w:val="0"/>
        <w:ind w:firstLine="720"/>
        <w:rPr>
          <w:color w:val="000000"/>
          <w:szCs w:val="24"/>
        </w:rPr>
      </w:pPr>
      <w:r w:rsidRPr="00CF1B63">
        <w:rPr>
          <w:color w:val="000000"/>
          <w:szCs w:val="24"/>
        </w:rPr>
        <w:t xml:space="preserve">To </w:t>
      </w:r>
      <w:r w:rsidR="003449B4">
        <w:rPr>
          <w:color w:val="000000"/>
          <w:szCs w:val="24"/>
        </w:rPr>
        <w:t xml:space="preserve">facilitate </w:t>
      </w:r>
      <w:r w:rsidRPr="00CF1B63">
        <w:rPr>
          <w:color w:val="000000"/>
          <w:szCs w:val="24"/>
        </w:rPr>
        <w:t xml:space="preserve">comment on the Agency's need for this information, the accuracy of the provided burden estimates, and any suggested methods for minimizing respondent burden, including the use of automated collection techniques, EPA has established a public docket for this ICR under Docket ID No. </w:t>
      </w:r>
      <w:r>
        <w:t>EPA-HQ-OAR-2009-0491</w:t>
      </w:r>
      <w:r w:rsidRPr="00CF1B63">
        <w:rPr>
          <w:color w:val="000000"/>
          <w:szCs w:val="24"/>
        </w:rPr>
        <w:t xml:space="preserve">, which is available for public viewing at the Air and Radiation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Air and Radiation Docket and </w:t>
      </w:r>
      <w:smartTag w:uri="urn:schemas-microsoft-com:office:smarttags" w:element="place">
        <w:smartTag w:uri="urn:schemas-microsoft-com:office:smarttags" w:element="PlaceName">
          <w:r w:rsidRPr="00CF1B63">
            <w:rPr>
              <w:color w:val="000000"/>
              <w:szCs w:val="24"/>
            </w:rPr>
            <w:t>Information</w:t>
          </w:r>
        </w:smartTag>
        <w:r w:rsidRPr="00CF1B63">
          <w:rPr>
            <w:color w:val="000000"/>
            <w:szCs w:val="24"/>
          </w:rPr>
          <w:t xml:space="preserve"> </w:t>
        </w:r>
        <w:smartTag w:uri="urn:schemas-microsoft-com:office:smarttags" w:element="PlaceType">
          <w:r w:rsidRPr="00CF1B63">
            <w:rPr>
              <w:color w:val="000000"/>
              <w:szCs w:val="24"/>
            </w:rPr>
            <w:t>Center</w:t>
          </w:r>
        </w:smartTag>
      </w:smartTag>
      <w:r w:rsidRPr="00CF1B63">
        <w:rPr>
          <w:color w:val="000000"/>
          <w:szCs w:val="24"/>
        </w:rPr>
        <w:t xml:space="preserve"> is (202) 566-1742.  </w:t>
      </w:r>
      <w:r>
        <w:rPr>
          <w:color w:val="0F0F0F"/>
          <w:szCs w:val="24"/>
        </w:rPr>
        <w:t xml:space="preserve"> An electronic version of the public docket is available at www.regulations.gov.  This site can be used to submit or view public comments, </w:t>
      </w:r>
      <w:r w:rsidR="002676EE">
        <w:rPr>
          <w:color w:val="0F0F0F"/>
          <w:szCs w:val="24"/>
        </w:rPr>
        <w:t xml:space="preserve">to </w:t>
      </w:r>
      <w:r>
        <w:rPr>
          <w:color w:val="0F0F0F"/>
          <w:szCs w:val="24"/>
        </w:rPr>
        <w:t xml:space="preserve">access the index listing of the contents of the public docket, and to access those documents in the public docket that are available electronically.  When in the system, select “search,” then key in the Docket ID Number identified above.  </w:t>
      </w:r>
      <w:r w:rsidRPr="00CF1B63">
        <w:rPr>
          <w:color w:val="000000"/>
          <w:szCs w:val="24"/>
        </w:rPr>
        <w:t xml:space="preserve">Also, you can send comments to the Office of Information and Regulatory Affairs, Office of Management and Budget, 725 17th Street, NW, Washington, DC 20503, Attention: Desk </w:t>
      </w:r>
      <w:r w:rsidR="002676EE">
        <w:rPr>
          <w:color w:val="000000"/>
          <w:szCs w:val="24"/>
        </w:rPr>
        <w:t xml:space="preserve">Officer </w:t>
      </w:r>
      <w:r w:rsidRPr="00CF1B63">
        <w:rPr>
          <w:color w:val="000000"/>
          <w:szCs w:val="24"/>
        </w:rPr>
        <w:t xml:space="preserve">for EPA.  Please include EPA Docket ID No. </w:t>
      </w:r>
      <w:r>
        <w:t>EPA-HQ-OAR-2009-0491</w:t>
      </w:r>
      <w:r w:rsidRPr="00CF1B63">
        <w:rPr>
          <w:color w:val="000000"/>
          <w:szCs w:val="24"/>
        </w:rPr>
        <w:t xml:space="preserve"> and OMB Control Number 2060-</w:t>
      </w:r>
      <w:r w:rsidR="002676EE">
        <w:rPr>
          <w:color w:val="000000"/>
          <w:szCs w:val="24"/>
        </w:rPr>
        <w:t>0667</w:t>
      </w:r>
      <w:r w:rsidR="002676EE" w:rsidRPr="00CF1B63">
        <w:rPr>
          <w:color w:val="000000"/>
          <w:szCs w:val="24"/>
        </w:rPr>
        <w:t xml:space="preserve"> </w:t>
      </w:r>
      <w:r w:rsidRPr="00CF1B63">
        <w:rPr>
          <w:color w:val="000000"/>
          <w:szCs w:val="24"/>
        </w:rPr>
        <w:t>in any correspondence.</w:t>
      </w:r>
    </w:p>
    <w:p w:rsidR="00B26494" w:rsidRPr="009B049F" w:rsidRDefault="00B26494" w:rsidP="00E57E6B">
      <w:pPr>
        <w:autoSpaceDE w:val="0"/>
        <w:autoSpaceDN w:val="0"/>
        <w:adjustRightInd w:val="0"/>
        <w:ind w:firstLine="720"/>
        <w:rPr>
          <w:color w:val="000000"/>
          <w:szCs w:val="24"/>
        </w:rPr>
      </w:pPr>
    </w:p>
    <w:p w:rsidR="00660EA2" w:rsidRPr="008574F9" w:rsidRDefault="00660EA2" w:rsidP="000C02E9">
      <w:pPr>
        <w:autoSpaceDE w:val="0"/>
        <w:autoSpaceDN w:val="0"/>
        <w:adjustRightInd w:val="0"/>
        <w:rPr>
          <w:b/>
          <w:bCs/>
          <w:szCs w:val="24"/>
        </w:rPr>
      </w:pPr>
    </w:p>
    <w:p w:rsidR="00D6009C" w:rsidRPr="008574F9" w:rsidRDefault="00D6009C" w:rsidP="000C02E9">
      <w:pPr>
        <w:autoSpaceDE w:val="0"/>
        <w:autoSpaceDN w:val="0"/>
        <w:adjustRightInd w:val="0"/>
        <w:rPr>
          <w:b/>
          <w:bCs/>
          <w:szCs w:val="24"/>
        </w:rPr>
      </w:pPr>
    </w:p>
    <w:p w:rsidR="000C02E9" w:rsidRDefault="000C02E9" w:rsidP="00C10C31">
      <w:pPr>
        <w:keepNext/>
        <w:autoSpaceDE w:val="0"/>
        <w:autoSpaceDN w:val="0"/>
        <w:adjustRightInd w:val="0"/>
        <w:jc w:val="center"/>
        <w:rPr>
          <w:b/>
          <w:bCs/>
          <w:szCs w:val="24"/>
        </w:rPr>
      </w:pPr>
      <w:r w:rsidRPr="008574F9">
        <w:rPr>
          <w:b/>
          <w:bCs/>
          <w:szCs w:val="24"/>
        </w:rPr>
        <w:t>T</w:t>
      </w:r>
      <w:r w:rsidR="00083A8F">
        <w:rPr>
          <w:b/>
          <w:bCs/>
          <w:szCs w:val="24"/>
        </w:rPr>
        <w:t>able 6-</w:t>
      </w:r>
      <w:r w:rsidR="009269F3">
        <w:rPr>
          <w:b/>
          <w:bCs/>
          <w:szCs w:val="24"/>
        </w:rPr>
        <w:t>4</w:t>
      </w:r>
      <w:r w:rsidR="005D5242">
        <w:rPr>
          <w:b/>
          <w:bCs/>
          <w:szCs w:val="24"/>
        </w:rPr>
        <w:t>:</w:t>
      </w:r>
      <w:r w:rsidRPr="008574F9">
        <w:rPr>
          <w:b/>
          <w:bCs/>
          <w:szCs w:val="24"/>
        </w:rPr>
        <w:t xml:space="preserve"> </w:t>
      </w:r>
      <w:r w:rsidR="00E936E3">
        <w:rPr>
          <w:b/>
          <w:bCs/>
          <w:szCs w:val="24"/>
        </w:rPr>
        <w:br/>
      </w:r>
      <w:r w:rsidRPr="008574F9">
        <w:rPr>
          <w:b/>
          <w:bCs/>
          <w:szCs w:val="24"/>
        </w:rPr>
        <w:t xml:space="preserve">Annual </w:t>
      </w:r>
      <w:r w:rsidR="00017B45">
        <w:rPr>
          <w:b/>
          <w:bCs/>
          <w:szCs w:val="24"/>
        </w:rPr>
        <w:t>State and Local</w:t>
      </w:r>
      <w:r w:rsidRPr="008574F9">
        <w:rPr>
          <w:b/>
          <w:bCs/>
          <w:szCs w:val="24"/>
        </w:rPr>
        <w:t xml:space="preserve"> Burden and Cost by Activity</w:t>
      </w:r>
    </w:p>
    <w:p w:rsidR="00674609" w:rsidRPr="008574F9" w:rsidRDefault="00674609" w:rsidP="00C10C31">
      <w:pPr>
        <w:keepNext/>
        <w:autoSpaceDE w:val="0"/>
        <w:autoSpaceDN w:val="0"/>
        <w:adjustRightInd w:val="0"/>
        <w:jc w:val="center"/>
        <w:rPr>
          <w:b/>
          <w:bCs/>
          <w:szCs w:val="24"/>
        </w:rPr>
      </w:pPr>
    </w:p>
    <w:tbl>
      <w:tblPr>
        <w:tblW w:w="9936" w:type="dxa"/>
        <w:jc w:val="center"/>
        <w:tblLayout w:type="fixed"/>
        <w:tblCellMar>
          <w:top w:w="72" w:type="dxa"/>
          <w:left w:w="72" w:type="dxa"/>
          <w:bottom w:w="72" w:type="dxa"/>
          <w:right w:w="72" w:type="dxa"/>
        </w:tblCellMar>
        <w:tblLook w:val="04A0"/>
      </w:tblPr>
      <w:tblGrid>
        <w:gridCol w:w="1908"/>
        <w:gridCol w:w="1170"/>
        <w:gridCol w:w="1170"/>
        <w:gridCol w:w="1260"/>
        <w:gridCol w:w="990"/>
        <w:gridCol w:w="1350"/>
        <w:gridCol w:w="1080"/>
        <w:gridCol w:w="1008"/>
      </w:tblGrid>
      <w:tr w:rsidR="00674609" w:rsidRPr="00706CC2" w:rsidTr="00674609">
        <w:trPr>
          <w:trHeight w:val="28"/>
          <w:jc w:val="center"/>
        </w:trPr>
        <w:tc>
          <w:tcPr>
            <w:tcW w:w="1908" w:type="dxa"/>
            <w:tcBorders>
              <w:top w:val="single" w:sz="4" w:space="0" w:color="auto"/>
              <w:left w:val="single" w:sz="4" w:space="0" w:color="auto"/>
              <w:bottom w:val="single" w:sz="4" w:space="0" w:color="auto"/>
              <w:right w:val="single" w:sz="4" w:space="0" w:color="auto"/>
            </w:tcBorders>
            <w:shd w:val="pct10" w:color="auto" w:fill="auto"/>
            <w:noWrap/>
            <w:vAlign w:val="bottom"/>
          </w:tcPr>
          <w:p w:rsidR="00674609" w:rsidRPr="00706CC2" w:rsidRDefault="00674609" w:rsidP="00674609">
            <w:pPr>
              <w:keepNext/>
              <w:jc w:val="center"/>
              <w:rPr>
                <w:rFonts w:eastAsia="Times New Roman"/>
                <w:b/>
                <w:bCs/>
                <w:color w:val="000000"/>
                <w:sz w:val="21"/>
                <w:szCs w:val="21"/>
              </w:rPr>
            </w:pPr>
          </w:p>
        </w:tc>
        <w:tc>
          <w:tcPr>
            <w:tcW w:w="4590" w:type="dxa"/>
            <w:gridSpan w:val="4"/>
            <w:tcBorders>
              <w:top w:val="single" w:sz="4" w:space="0" w:color="auto"/>
              <w:left w:val="nil"/>
              <w:bottom w:val="single" w:sz="4" w:space="0" w:color="auto"/>
              <w:right w:val="single" w:sz="4" w:space="0" w:color="auto"/>
            </w:tcBorders>
            <w:shd w:val="pct10" w:color="auto" w:fill="auto"/>
            <w:noWrap/>
            <w:vAlign w:val="bottom"/>
          </w:tcPr>
          <w:p w:rsidR="00674609" w:rsidRPr="00706CC2" w:rsidRDefault="00674609" w:rsidP="002313F1">
            <w:pPr>
              <w:keepNext/>
              <w:jc w:val="center"/>
              <w:rPr>
                <w:rFonts w:eastAsia="Times New Roman"/>
                <w:b/>
                <w:bCs/>
                <w:color w:val="000000"/>
                <w:sz w:val="21"/>
                <w:szCs w:val="21"/>
              </w:rPr>
            </w:pPr>
            <w:r w:rsidRPr="00706CC2">
              <w:rPr>
                <w:rFonts w:eastAsia="Times New Roman"/>
                <w:b/>
                <w:bCs/>
                <w:color w:val="000000"/>
                <w:sz w:val="21"/>
                <w:szCs w:val="21"/>
              </w:rPr>
              <w:t xml:space="preserve">Hours and Costs </w:t>
            </w:r>
          </w:p>
        </w:tc>
        <w:tc>
          <w:tcPr>
            <w:tcW w:w="3438" w:type="dxa"/>
            <w:gridSpan w:val="3"/>
            <w:tcBorders>
              <w:top w:val="single" w:sz="4" w:space="0" w:color="auto"/>
              <w:left w:val="nil"/>
              <w:bottom w:val="single" w:sz="4" w:space="0" w:color="auto"/>
              <w:right w:val="single" w:sz="4" w:space="0" w:color="auto"/>
            </w:tcBorders>
            <w:shd w:val="pct10" w:color="auto" w:fill="auto"/>
            <w:noWrap/>
            <w:vAlign w:val="bottom"/>
          </w:tcPr>
          <w:p w:rsidR="00674609" w:rsidRPr="00706CC2" w:rsidRDefault="00674609" w:rsidP="00674609">
            <w:pPr>
              <w:keepNext/>
              <w:jc w:val="center"/>
              <w:rPr>
                <w:rFonts w:eastAsia="Times New Roman"/>
                <w:b/>
                <w:bCs/>
                <w:color w:val="000000"/>
                <w:sz w:val="21"/>
                <w:szCs w:val="21"/>
              </w:rPr>
            </w:pPr>
            <w:r w:rsidRPr="00706CC2">
              <w:rPr>
                <w:rFonts w:eastAsia="Times New Roman"/>
                <w:b/>
                <w:bCs/>
                <w:color w:val="000000"/>
                <w:sz w:val="21"/>
                <w:szCs w:val="21"/>
              </w:rPr>
              <w:t>Total Hours and Costs</w:t>
            </w:r>
          </w:p>
        </w:tc>
      </w:tr>
      <w:tr w:rsidR="00674609" w:rsidRPr="00706CC2" w:rsidTr="00674609">
        <w:trPr>
          <w:trHeight w:val="270"/>
          <w:jc w:val="center"/>
        </w:trPr>
        <w:tc>
          <w:tcPr>
            <w:tcW w:w="1908" w:type="dxa"/>
            <w:tcBorders>
              <w:top w:val="nil"/>
              <w:left w:val="single" w:sz="4" w:space="0" w:color="auto"/>
              <w:bottom w:val="single" w:sz="4" w:space="0" w:color="auto"/>
              <w:right w:val="single" w:sz="4" w:space="0" w:color="auto"/>
            </w:tcBorders>
            <w:shd w:val="pct10" w:color="auto" w:fill="auto"/>
            <w:vAlign w:val="bottom"/>
          </w:tcPr>
          <w:p w:rsidR="00674609" w:rsidRPr="00706CC2" w:rsidRDefault="00674609" w:rsidP="00674609">
            <w:pPr>
              <w:keepNext/>
              <w:jc w:val="center"/>
              <w:rPr>
                <w:rFonts w:eastAsia="Times New Roman"/>
                <w:b/>
                <w:bCs/>
                <w:color w:val="000000"/>
                <w:sz w:val="21"/>
                <w:szCs w:val="21"/>
              </w:rPr>
            </w:pPr>
            <w:r w:rsidRPr="00706CC2">
              <w:rPr>
                <w:rFonts w:eastAsia="Times New Roman"/>
                <w:b/>
                <w:bCs/>
                <w:color w:val="000000"/>
                <w:sz w:val="21"/>
                <w:szCs w:val="21"/>
              </w:rPr>
              <w:t>Activity</w:t>
            </w:r>
          </w:p>
        </w:tc>
        <w:tc>
          <w:tcPr>
            <w:tcW w:w="1170" w:type="dxa"/>
            <w:tcBorders>
              <w:top w:val="nil"/>
              <w:left w:val="nil"/>
              <w:bottom w:val="single" w:sz="4" w:space="0" w:color="auto"/>
              <w:right w:val="single" w:sz="4" w:space="0" w:color="auto"/>
            </w:tcBorders>
            <w:shd w:val="pct10" w:color="auto" w:fill="auto"/>
            <w:vAlign w:val="bottom"/>
          </w:tcPr>
          <w:p w:rsidR="00674609" w:rsidRPr="00706CC2" w:rsidRDefault="00674609" w:rsidP="00556985">
            <w:pPr>
              <w:keepNext/>
              <w:jc w:val="center"/>
              <w:rPr>
                <w:rFonts w:eastAsia="Times New Roman"/>
                <w:b/>
                <w:bCs/>
                <w:color w:val="000000"/>
                <w:sz w:val="21"/>
                <w:szCs w:val="21"/>
              </w:rPr>
            </w:pPr>
            <w:r w:rsidRPr="00706CC2">
              <w:rPr>
                <w:rFonts w:eastAsia="Times New Roman"/>
                <w:b/>
                <w:bCs/>
                <w:color w:val="000000"/>
                <w:sz w:val="21"/>
                <w:szCs w:val="21"/>
              </w:rPr>
              <w:t>Mgr. $</w:t>
            </w:r>
            <w:r w:rsidR="00556985">
              <w:rPr>
                <w:rFonts w:eastAsia="Times New Roman"/>
                <w:b/>
                <w:bCs/>
                <w:color w:val="000000"/>
                <w:sz w:val="21"/>
                <w:szCs w:val="21"/>
              </w:rPr>
              <w:t>52.01</w:t>
            </w:r>
            <w:r w:rsidRPr="00706CC2">
              <w:rPr>
                <w:rFonts w:eastAsia="Times New Roman"/>
                <w:b/>
                <w:bCs/>
                <w:color w:val="000000"/>
                <w:sz w:val="21"/>
                <w:szCs w:val="21"/>
              </w:rPr>
              <w:t>/Hr</w:t>
            </w:r>
            <w:r w:rsidRPr="00706CC2">
              <w:rPr>
                <w:rFonts w:eastAsia="Times New Roman"/>
                <w:b/>
                <w:bCs/>
                <w:color w:val="000000"/>
                <w:sz w:val="21"/>
                <w:szCs w:val="21"/>
                <w:vertAlign w:val="superscript"/>
              </w:rPr>
              <w:t>1</w:t>
            </w:r>
          </w:p>
        </w:tc>
        <w:tc>
          <w:tcPr>
            <w:tcW w:w="1170" w:type="dxa"/>
            <w:tcBorders>
              <w:top w:val="nil"/>
              <w:left w:val="nil"/>
              <w:bottom w:val="single" w:sz="4" w:space="0" w:color="auto"/>
              <w:right w:val="single" w:sz="4" w:space="0" w:color="auto"/>
            </w:tcBorders>
            <w:shd w:val="pct10" w:color="auto" w:fill="auto"/>
            <w:vAlign w:val="bottom"/>
          </w:tcPr>
          <w:p w:rsidR="00674609" w:rsidRPr="00706CC2" w:rsidRDefault="00674609" w:rsidP="00556985">
            <w:pPr>
              <w:keepNext/>
              <w:jc w:val="center"/>
              <w:rPr>
                <w:rFonts w:eastAsia="Times New Roman"/>
                <w:b/>
                <w:bCs/>
                <w:color w:val="000000"/>
                <w:sz w:val="21"/>
                <w:szCs w:val="21"/>
              </w:rPr>
            </w:pPr>
            <w:r w:rsidRPr="00706CC2">
              <w:rPr>
                <w:rFonts w:eastAsia="Times New Roman"/>
                <w:b/>
                <w:bCs/>
                <w:color w:val="000000"/>
                <w:sz w:val="21"/>
                <w:szCs w:val="21"/>
              </w:rPr>
              <w:t>Tech. $</w:t>
            </w:r>
            <w:r w:rsidR="00556985">
              <w:rPr>
                <w:rFonts w:eastAsia="Times New Roman"/>
                <w:b/>
                <w:bCs/>
                <w:color w:val="000000"/>
                <w:sz w:val="21"/>
                <w:szCs w:val="21"/>
              </w:rPr>
              <w:t>42.95</w:t>
            </w:r>
            <w:r w:rsidRPr="00706CC2">
              <w:rPr>
                <w:rFonts w:eastAsia="Times New Roman"/>
                <w:b/>
                <w:bCs/>
                <w:color w:val="000000"/>
                <w:sz w:val="21"/>
                <w:szCs w:val="21"/>
              </w:rPr>
              <w:t>/Hr</w:t>
            </w:r>
            <w:r w:rsidRPr="00706CC2">
              <w:rPr>
                <w:rFonts w:eastAsia="Times New Roman"/>
                <w:b/>
                <w:bCs/>
                <w:color w:val="000000"/>
                <w:sz w:val="21"/>
                <w:szCs w:val="21"/>
                <w:vertAlign w:val="superscript"/>
              </w:rPr>
              <w:t>1</w:t>
            </w:r>
          </w:p>
        </w:tc>
        <w:tc>
          <w:tcPr>
            <w:tcW w:w="1260" w:type="dxa"/>
            <w:tcBorders>
              <w:top w:val="nil"/>
              <w:left w:val="nil"/>
              <w:bottom w:val="single" w:sz="4" w:space="0" w:color="auto"/>
              <w:right w:val="single" w:sz="4" w:space="0" w:color="auto"/>
            </w:tcBorders>
            <w:shd w:val="pct10" w:color="auto" w:fill="auto"/>
            <w:vAlign w:val="bottom"/>
          </w:tcPr>
          <w:p w:rsidR="00674609" w:rsidRPr="00706CC2" w:rsidRDefault="00674609" w:rsidP="00674609">
            <w:pPr>
              <w:keepNext/>
              <w:jc w:val="center"/>
              <w:rPr>
                <w:rFonts w:eastAsia="Times New Roman"/>
                <w:b/>
                <w:bCs/>
                <w:color w:val="000000"/>
                <w:sz w:val="21"/>
                <w:szCs w:val="21"/>
              </w:rPr>
            </w:pPr>
            <w:r w:rsidRPr="00706CC2">
              <w:rPr>
                <w:rFonts w:eastAsia="Times New Roman"/>
                <w:b/>
                <w:bCs/>
                <w:color w:val="000000"/>
                <w:sz w:val="21"/>
                <w:szCs w:val="21"/>
              </w:rPr>
              <w:t>Respondent Hours/Yr</w:t>
            </w:r>
          </w:p>
        </w:tc>
        <w:tc>
          <w:tcPr>
            <w:tcW w:w="990" w:type="dxa"/>
            <w:tcBorders>
              <w:top w:val="nil"/>
              <w:left w:val="nil"/>
              <w:bottom w:val="single" w:sz="4" w:space="0" w:color="auto"/>
              <w:right w:val="single" w:sz="4" w:space="0" w:color="auto"/>
            </w:tcBorders>
            <w:shd w:val="pct10" w:color="auto" w:fill="auto"/>
            <w:vAlign w:val="bottom"/>
          </w:tcPr>
          <w:p w:rsidR="00674609" w:rsidRPr="00706CC2" w:rsidRDefault="00674609" w:rsidP="00674609">
            <w:pPr>
              <w:keepNext/>
              <w:jc w:val="center"/>
              <w:rPr>
                <w:rFonts w:eastAsia="Times New Roman"/>
                <w:b/>
                <w:bCs/>
                <w:color w:val="000000"/>
                <w:sz w:val="21"/>
                <w:szCs w:val="21"/>
              </w:rPr>
            </w:pPr>
            <w:r w:rsidRPr="00706CC2">
              <w:rPr>
                <w:rFonts w:eastAsia="Times New Roman"/>
                <w:b/>
                <w:bCs/>
                <w:color w:val="000000"/>
                <w:sz w:val="21"/>
                <w:szCs w:val="21"/>
              </w:rPr>
              <w:t>Labor Cost/Yr</w:t>
            </w:r>
          </w:p>
        </w:tc>
        <w:tc>
          <w:tcPr>
            <w:tcW w:w="1350" w:type="dxa"/>
            <w:tcBorders>
              <w:top w:val="nil"/>
              <w:left w:val="nil"/>
              <w:bottom w:val="single" w:sz="4" w:space="0" w:color="auto"/>
              <w:right w:val="single" w:sz="4" w:space="0" w:color="auto"/>
            </w:tcBorders>
            <w:shd w:val="pct10" w:color="auto" w:fill="auto"/>
            <w:vAlign w:val="bottom"/>
          </w:tcPr>
          <w:p w:rsidR="00674609" w:rsidRPr="00706CC2" w:rsidRDefault="00674609" w:rsidP="00674609">
            <w:pPr>
              <w:keepNext/>
              <w:jc w:val="center"/>
              <w:rPr>
                <w:rFonts w:eastAsia="Times New Roman"/>
                <w:b/>
                <w:bCs/>
                <w:color w:val="000000"/>
                <w:sz w:val="21"/>
                <w:szCs w:val="21"/>
              </w:rPr>
            </w:pPr>
            <w:r w:rsidRPr="00706CC2">
              <w:rPr>
                <w:rFonts w:eastAsia="Times New Roman"/>
                <w:b/>
                <w:bCs/>
                <w:color w:val="000000"/>
                <w:sz w:val="21"/>
                <w:szCs w:val="21"/>
              </w:rPr>
              <w:t>Number of Respondents</w:t>
            </w:r>
          </w:p>
        </w:tc>
        <w:tc>
          <w:tcPr>
            <w:tcW w:w="1080" w:type="dxa"/>
            <w:tcBorders>
              <w:top w:val="nil"/>
              <w:left w:val="nil"/>
              <w:bottom w:val="single" w:sz="4" w:space="0" w:color="auto"/>
              <w:right w:val="single" w:sz="4" w:space="0" w:color="auto"/>
            </w:tcBorders>
            <w:shd w:val="pct10" w:color="auto" w:fill="auto"/>
            <w:vAlign w:val="bottom"/>
          </w:tcPr>
          <w:p w:rsidR="00674609" w:rsidRPr="00706CC2" w:rsidRDefault="00674609" w:rsidP="00674609">
            <w:pPr>
              <w:keepNext/>
              <w:jc w:val="center"/>
              <w:rPr>
                <w:rFonts w:eastAsia="Times New Roman"/>
                <w:b/>
                <w:bCs/>
                <w:color w:val="000000"/>
                <w:sz w:val="21"/>
                <w:szCs w:val="21"/>
              </w:rPr>
            </w:pPr>
            <w:r w:rsidRPr="00706CC2">
              <w:rPr>
                <w:rFonts w:eastAsia="Times New Roman"/>
                <w:b/>
                <w:bCs/>
                <w:color w:val="000000"/>
                <w:sz w:val="21"/>
                <w:szCs w:val="21"/>
              </w:rPr>
              <w:t>Total Hours/Yr</w:t>
            </w:r>
            <w:r w:rsidRPr="00706CC2">
              <w:rPr>
                <w:rFonts w:eastAsia="Times New Roman"/>
                <w:b/>
                <w:bCs/>
                <w:color w:val="000000"/>
                <w:sz w:val="21"/>
                <w:szCs w:val="21"/>
                <w:vertAlign w:val="superscript"/>
              </w:rPr>
              <w:t>2</w:t>
            </w:r>
          </w:p>
        </w:tc>
        <w:tc>
          <w:tcPr>
            <w:tcW w:w="1008" w:type="dxa"/>
            <w:tcBorders>
              <w:top w:val="nil"/>
              <w:left w:val="nil"/>
              <w:bottom w:val="single" w:sz="4" w:space="0" w:color="auto"/>
              <w:right w:val="single" w:sz="4" w:space="0" w:color="auto"/>
            </w:tcBorders>
            <w:shd w:val="pct10" w:color="auto" w:fill="auto"/>
            <w:vAlign w:val="bottom"/>
          </w:tcPr>
          <w:p w:rsidR="00674609" w:rsidRPr="00706CC2" w:rsidRDefault="00674609" w:rsidP="00674609">
            <w:pPr>
              <w:keepNext/>
              <w:jc w:val="center"/>
              <w:rPr>
                <w:rFonts w:eastAsia="Times New Roman"/>
                <w:b/>
                <w:bCs/>
                <w:color w:val="000000"/>
                <w:sz w:val="21"/>
                <w:szCs w:val="21"/>
              </w:rPr>
            </w:pPr>
            <w:r w:rsidRPr="00706CC2">
              <w:rPr>
                <w:rFonts w:eastAsia="Times New Roman"/>
                <w:b/>
                <w:bCs/>
                <w:color w:val="000000"/>
                <w:sz w:val="21"/>
                <w:szCs w:val="21"/>
              </w:rPr>
              <w:t>Total Cost/Yr</w:t>
            </w:r>
            <w:r w:rsidRPr="00706CC2">
              <w:rPr>
                <w:rFonts w:eastAsia="Times New Roman"/>
                <w:b/>
                <w:bCs/>
                <w:color w:val="000000"/>
                <w:sz w:val="21"/>
                <w:szCs w:val="21"/>
                <w:vertAlign w:val="superscript"/>
              </w:rPr>
              <w:t>3</w:t>
            </w:r>
          </w:p>
        </w:tc>
      </w:tr>
      <w:tr w:rsidR="00674609" w:rsidRPr="00E936E3" w:rsidTr="00674609">
        <w:trPr>
          <w:trHeight w:val="28"/>
          <w:jc w:val="center"/>
        </w:trPr>
        <w:tc>
          <w:tcPr>
            <w:tcW w:w="9936" w:type="dxa"/>
            <w:gridSpan w:val="8"/>
            <w:tcBorders>
              <w:top w:val="single" w:sz="4" w:space="0" w:color="auto"/>
              <w:left w:val="single" w:sz="4" w:space="0" w:color="auto"/>
              <w:bottom w:val="single" w:sz="4" w:space="0" w:color="auto"/>
              <w:right w:val="single" w:sz="4" w:space="0" w:color="auto"/>
            </w:tcBorders>
            <w:shd w:val="pct10" w:color="auto" w:fill="auto"/>
            <w:noWrap/>
            <w:vAlign w:val="bottom"/>
          </w:tcPr>
          <w:p w:rsidR="00674609" w:rsidRPr="00E936E3" w:rsidRDefault="00674609" w:rsidP="00674609">
            <w:pPr>
              <w:keepNext/>
              <w:jc w:val="center"/>
              <w:rPr>
                <w:rFonts w:eastAsia="Times New Roman"/>
                <w:b/>
                <w:bCs/>
                <w:iCs/>
                <w:color w:val="000000"/>
                <w:sz w:val="20"/>
                <w:szCs w:val="20"/>
              </w:rPr>
            </w:pPr>
            <w:r w:rsidRPr="00E936E3">
              <w:rPr>
                <w:rFonts w:eastAsia="Times New Roman"/>
                <w:b/>
                <w:bCs/>
                <w:iCs/>
                <w:color w:val="000000"/>
                <w:sz w:val="20"/>
                <w:szCs w:val="20"/>
              </w:rPr>
              <w:t>One-time (Annualized)</w:t>
            </w:r>
          </w:p>
        </w:tc>
      </w:tr>
      <w:tr w:rsidR="00674609" w:rsidRPr="00E936E3" w:rsidTr="002313F1">
        <w:trPr>
          <w:trHeight w:val="23"/>
          <w:jc w:val="center"/>
        </w:trPr>
        <w:tc>
          <w:tcPr>
            <w:tcW w:w="1908" w:type="dxa"/>
            <w:tcBorders>
              <w:top w:val="nil"/>
              <w:left w:val="single" w:sz="4" w:space="0" w:color="auto"/>
              <w:bottom w:val="single" w:sz="4" w:space="0" w:color="auto"/>
              <w:right w:val="single" w:sz="4" w:space="0" w:color="auto"/>
            </w:tcBorders>
            <w:shd w:val="clear" w:color="auto" w:fill="auto"/>
          </w:tcPr>
          <w:p w:rsidR="00674609" w:rsidRPr="00E936E3" w:rsidRDefault="00674609" w:rsidP="00674609">
            <w:pPr>
              <w:keepNext/>
              <w:rPr>
                <w:rFonts w:eastAsia="Times New Roman"/>
                <w:color w:val="000000"/>
                <w:sz w:val="20"/>
                <w:szCs w:val="20"/>
              </w:rPr>
            </w:pPr>
            <w:r w:rsidRPr="00E936E3">
              <w:rPr>
                <w:rFonts w:eastAsia="Times New Roman"/>
                <w:color w:val="000000"/>
                <w:sz w:val="20"/>
                <w:szCs w:val="20"/>
              </w:rPr>
              <w:t xml:space="preserve">Read the reporting requirements of the rule </w:t>
            </w:r>
          </w:p>
        </w:tc>
        <w:tc>
          <w:tcPr>
            <w:tcW w:w="1170" w:type="dxa"/>
            <w:tcBorders>
              <w:top w:val="nil"/>
              <w:left w:val="nil"/>
              <w:bottom w:val="single" w:sz="4" w:space="0" w:color="auto"/>
              <w:right w:val="single" w:sz="4" w:space="0" w:color="auto"/>
            </w:tcBorders>
            <w:shd w:val="clear" w:color="auto" w:fill="auto"/>
            <w:noWrap/>
            <w:vAlign w:val="bottom"/>
          </w:tcPr>
          <w:p w:rsidR="00674609" w:rsidRPr="00E936E3" w:rsidRDefault="00674609" w:rsidP="00674609">
            <w:pPr>
              <w:keepNext/>
              <w:jc w:val="right"/>
              <w:rPr>
                <w:rFonts w:eastAsia="Times New Roman"/>
                <w:color w:val="000000"/>
                <w:sz w:val="20"/>
                <w:szCs w:val="20"/>
              </w:rPr>
            </w:pPr>
            <w:r>
              <w:rPr>
                <w:rFonts w:eastAsia="Times New Roman"/>
                <w:color w:val="000000"/>
                <w:sz w:val="20"/>
                <w:szCs w:val="20"/>
              </w:rPr>
              <w:t>0.33</w:t>
            </w:r>
          </w:p>
        </w:tc>
        <w:tc>
          <w:tcPr>
            <w:tcW w:w="1170" w:type="dxa"/>
            <w:tcBorders>
              <w:top w:val="nil"/>
              <w:left w:val="nil"/>
              <w:bottom w:val="single" w:sz="4" w:space="0" w:color="auto"/>
              <w:right w:val="single" w:sz="4" w:space="0" w:color="auto"/>
            </w:tcBorders>
            <w:shd w:val="clear" w:color="auto" w:fill="auto"/>
            <w:noWrap/>
            <w:vAlign w:val="bottom"/>
          </w:tcPr>
          <w:p w:rsidR="00674609" w:rsidRPr="00E936E3" w:rsidRDefault="00674609" w:rsidP="00674609">
            <w:pPr>
              <w:keepNext/>
              <w:jc w:val="right"/>
              <w:rPr>
                <w:rFonts w:eastAsia="Times New Roman"/>
                <w:color w:val="000000"/>
                <w:sz w:val="20"/>
                <w:szCs w:val="20"/>
              </w:rPr>
            </w:pPr>
            <w:r>
              <w:rPr>
                <w:rFonts w:eastAsia="Times New Roman"/>
                <w:color w:val="000000"/>
                <w:sz w:val="20"/>
                <w:szCs w:val="20"/>
              </w:rPr>
              <w:t>0.33</w:t>
            </w:r>
          </w:p>
        </w:tc>
        <w:tc>
          <w:tcPr>
            <w:tcW w:w="1260" w:type="dxa"/>
            <w:tcBorders>
              <w:top w:val="nil"/>
              <w:left w:val="nil"/>
              <w:bottom w:val="single" w:sz="4" w:space="0" w:color="auto"/>
              <w:right w:val="single" w:sz="4" w:space="0" w:color="auto"/>
            </w:tcBorders>
            <w:shd w:val="clear" w:color="auto" w:fill="auto"/>
            <w:noWrap/>
            <w:vAlign w:val="bottom"/>
          </w:tcPr>
          <w:p w:rsidR="00674609" w:rsidRPr="00E936E3" w:rsidRDefault="00674609" w:rsidP="00674609">
            <w:pPr>
              <w:keepNext/>
              <w:jc w:val="right"/>
              <w:rPr>
                <w:rFonts w:eastAsia="Times New Roman"/>
                <w:color w:val="000000"/>
                <w:sz w:val="20"/>
                <w:szCs w:val="20"/>
              </w:rPr>
            </w:pPr>
            <w:r>
              <w:rPr>
                <w:rFonts w:eastAsia="Times New Roman"/>
                <w:color w:val="000000"/>
                <w:sz w:val="20"/>
                <w:szCs w:val="20"/>
              </w:rPr>
              <w:t>0.66</w:t>
            </w:r>
          </w:p>
        </w:tc>
        <w:tc>
          <w:tcPr>
            <w:tcW w:w="990" w:type="dxa"/>
            <w:tcBorders>
              <w:top w:val="nil"/>
              <w:left w:val="nil"/>
              <w:bottom w:val="single" w:sz="4" w:space="0" w:color="auto"/>
              <w:right w:val="single" w:sz="4" w:space="0" w:color="auto"/>
            </w:tcBorders>
            <w:shd w:val="clear" w:color="auto" w:fill="auto"/>
            <w:noWrap/>
            <w:vAlign w:val="bottom"/>
          </w:tcPr>
          <w:p w:rsidR="00674609" w:rsidRPr="00E936E3" w:rsidRDefault="00674609" w:rsidP="00556985">
            <w:pPr>
              <w:jc w:val="right"/>
              <w:rPr>
                <w:rFonts w:eastAsia="Times New Roman"/>
                <w:color w:val="000000"/>
                <w:sz w:val="20"/>
                <w:szCs w:val="20"/>
              </w:rPr>
            </w:pPr>
            <w:r w:rsidRPr="000714D7">
              <w:rPr>
                <w:rFonts w:eastAsia="Times New Roman"/>
                <w:color w:val="000000"/>
                <w:sz w:val="20"/>
                <w:szCs w:val="20"/>
              </w:rPr>
              <w:t>$</w:t>
            </w:r>
            <w:r w:rsidR="00556985">
              <w:rPr>
                <w:rFonts w:eastAsia="Times New Roman"/>
                <w:color w:val="000000"/>
                <w:sz w:val="20"/>
                <w:szCs w:val="20"/>
              </w:rPr>
              <w:t>31</w:t>
            </w:r>
          </w:p>
        </w:tc>
        <w:tc>
          <w:tcPr>
            <w:tcW w:w="1350" w:type="dxa"/>
            <w:tcBorders>
              <w:top w:val="nil"/>
              <w:left w:val="nil"/>
              <w:bottom w:val="single" w:sz="4" w:space="0" w:color="auto"/>
              <w:right w:val="single" w:sz="4" w:space="0" w:color="auto"/>
            </w:tcBorders>
            <w:shd w:val="clear" w:color="auto" w:fill="auto"/>
            <w:noWrap/>
            <w:vAlign w:val="bottom"/>
          </w:tcPr>
          <w:p w:rsidR="00674609" w:rsidRPr="00E936E3" w:rsidRDefault="00674609" w:rsidP="00674609">
            <w:pPr>
              <w:jc w:val="right"/>
              <w:rPr>
                <w:rFonts w:eastAsia="Times New Roman"/>
                <w:color w:val="000000"/>
                <w:sz w:val="20"/>
                <w:szCs w:val="20"/>
              </w:rPr>
            </w:pPr>
            <w:r w:rsidRPr="000714D7">
              <w:rPr>
                <w:rFonts w:eastAsia="Times New Roman"/>
                <w:color w:val="000000"/>
                <w:sz w:val="20"/>
                <w:szCs w:val="20"/>
              </w:rPr>
              <w:t>10</w:t>
            </w:r>
            <w:r>
              <w:rPr>
                <w:rFonts w:eastAsia="Times New Roman"/>
                <w:color w:val="000000"/>
                <w:sz w:val="20"/>
                <w:szCs w:val="20"/>
              </w:rPr>
              <w:t>4</w:t>
            </w:r>
          </w:p>
        </w:tc>
        <w:tc>
          <w:tcPr>
            <w:tcW w:w="1080" w:type="dxa"/>
            <w:tcBorders>
              <w:top w:val="nil"/>
              <w:left w:val="nil"/>
              <w:bottom w:val="single" w:sz="4" w:space="0" w:color="auto"/>
              <w:right w:val="single" w:sz="4" w:space="0" w:color="auto"/>
            </w:tcBorders>
            <w:shd w:val="clear" w:color="auto" w:fill="auto"/>
            <w:noWrap/>
            <w:vAlign w:val="bottom"/>
          </w:tcPr>
          <w:p w:rsidR="00674609" w:rsidRPr="00E936E3" w:rsidRDefault="00674609" w:rsidP="00674609">
            <w:pPr>
              <w:jc w:val="right"/>
              <w:rPr>
                <w:rFonts w:eastAsia="Times New Roman"/>
                <w:color w:val="000000"/>
                <w:sz w:val="20"/>
                <w:szCs w:val="20"/>
              </w:rPr>
            </w:pPr>
            <w:r w:rsidRPr="000714D7">
              <w:rPr>
                <w:rFonts w:eastAsia="Times New Roman"/>
                <w:color w:val="000000"/>
                <w:sz w:val="20"/>
                <w:szCs w:val="20"/>
              </w:rPr>
              <w:t>69</w:t>
            </w:r>
          </w:p>
        </w:tc>
        <w:tc>
          <w:tcPr>
            <w:tcW w:w="1008" w:type="dxa"/>
            <w:tcBorders>
              <w:top w:val="nil"/>
              <w:left w:val="nil"/>
              <w:bottom w:val="single" w:sz="4" w:space="0" w:color="auto"/>
              <w:right w:val="single" w:sz="4" w:space="0" w:color="auto"/>
            </w:tcBorders>
            <w:shd w:val="clear" w:color="auto" w:fill="auto"/>
            <w:noWrap/>
            <w:vAlign w:val="bottom"/>
          </w:tcPr>
          <w:p w:rsidR="00674609" w:rsidRPr="00E936E3" w:rsidRDefault="00674609" w:rsidP="00556985">
            <w:pPr>
              <w:jc w:val="right"/>
              <w:rPr>
                <w:rFonts w:eastAsia="Times New Roman"/>
                <w:color w:val="000000"/>
                <w:sz w:val="20"/>
                <w:szCs w:val="20"/>
              </w:rPr>
            </w:pPr>
            <w:r w:rsidRPr="000714D7">
              <w:rPr>
                <w:rFonts w:eastAsia="Times New Roman"/>
                <w:color w:val="000000"/>
                <w:sz w:val="20"/>
                <w:szCs w:val="20"/>
              </w:rPr>
              <w:t>$3,</w:t>
            </w:r>
            <w:r w:rsidR="00556985">
              <w:rPr>
                <w:rFonts w:eastAsia="Times New Roman"/>
                <w:color w:val="000000"/>
                <w:sz w:val="20"/>
                <w:szCs w:val="20"/>
              </w:rPr>
              <w:t>224</w:t>
            </w:r>
          </w:p>
        </w:tc>
      </w:tr>
      <w:tr w:rsidR="002313F1" w:rsidRPr="00E936E3" w:rsidTr="002313F1">
        <w:trPr>
          <w:trHeight w:val="23"/>
          <w:jc w:val="center"/>
        </w:trPr>
        <w:tc>
          <w:tcPr>
            <w:tcW w:w="9936" w:type="dxa"/>
            <w:gridSpan w:val="8"/>
            <w:tcBorders>
              <w:top w:val="single" w:sz="4" w:space="0" w:color="auto"/>
              <w:left w:val="single" w:sz="4" w:space="0" w:color="auto"/>
              <w:bottom w:val="single" w:sz="4" w:space="0" w:color="auto"/>
              <w:right w:val="single" w:sz="4" w:space="0" w:color="auto"/>
            </w:tcBorders>
            <w:shd w:val="pct10" w:color="auto" w:fill="auto"/>
          </w:tcPr>
          <w:p w:rsidR="002313F1" w:rsidRPr="002313F1" w:rsidRDefault="002313F1" w:rsidP="002313F1">
            <w:pPr>
              <w:jc w:val="center"/>
              <w:rPr>
                <w:rFonts w:eastAsia="Times New Roman"/>
                <w:b/>
                <w:color w:val="000000"/>
                <w:sz w:val="20"/>
                <w:szCs w:val="20"/>
              </w:rPr>
            </w:pPr>
            <w:r w:rsidRPr="002313F1">
              <w:rPr>
                <w:rFonts w:eastAsia="Times New Roman"/>
                <w:b/>
                <w:color w:val="000000"/>
                <w:sz w:val="20"/>
                <w:szCs w:val="20"/>
              </w:rPr>
              <w:t>Annual</w:t>
            </w:r>
          </w:p>
        </w:tc>
      </w:tr>
      <w:tr w:rsidR="002313F1" w:rsidRPr="00E936E3" w:rsidTr="00674609">
        <w:trPr>
          <w:trHeight w:val="23"/>
          <w:jc w:val="center"/>
        </w:trPr>
        <w:tc>
          <w:tcPr>
            <w:tcW w:w="1908" w:type="dxa"/>
            <w:tcBorders>
              <w:top w:val="nil"/>
              <w:left w:val="single" w:sz="4" w:space="0" w:color="auto"/>
              <w:bottom w:val="single" w:sz="4" w:space="0" w:color="auto"/>
              <w:right w:val="single" w:sz="4" w:space="0" w:color="auto"/>
            </w:tcBorders>
            <w:shd w:val="clear" w:color="auto" w:fill="auto"/>
          </w:tcPr>
          <w:p w:rsidR="002313F1" w:rsidRPr="00E936E3" w:rsidRDefault="002313F1" w:rsidP="00674609">
            <w:pPr>
              <w:keepNext/>
              <w:rPr>
                <w:rFonts w:eastAsia="Times New Roman"/>
                <w:color w:val="000000"/>
                <w:sz w:val="20"/>
                <w:szCs w:val="20"/>
              </w:rPr>
            </w:pPr>
            <w:r>
              <w:rPr>
                <w:rFonts w:eastAsia="Times New Roman"/>
                <w:color w:val="000000"/>
                <w:sz w:val="20"/>
                <w:szCs w:val="20"/>
              </w:rPr>
              <w:t>State SIP allowance allocation</w:t>
            </w:r>
          </w:p>
        </w:tc>
        <w:tc>
          <w:tcPr>
            <w:tcW w:w="1170" w:type="dxa"/>
            <w:tcBorders>
              <w:top w:val="nil"/>
              <w:left w:val="nil"/>
              <w:bottom w:val="single" w:sz="4" w:space="0" w:color="auto"/>
              <w:right w:val="single" w:sz="4" w:space="0" w:color="auto"/>
            </w:tcBorders>
            <w:shd w:val="clear" w:color="auto" w:fill="auto"/>
            <w:noWrap/>
            <w:vAlign w:val="bottom"/>
          </w:tcPr>
          <w:p w:rsidR="002313F1" w:rsidRDefault="002313F1" w:rsidP="00674609">
            <w:pPr>
              <w:keepNext/>
              <w:jc w:val="right"/>
              <w:rPr>
                <w:rFonts w:eastAsia="Times New Roman"/>
                <w:color w:val="000000"/>
                <w:sz w:val="20"/>
                <w:szCs w:val="20"/>
              </w:rPr>
            </w:pPr>
            <w:r>
              <w:rPr>
                <w:rFonts w:eastAsia="Times New Roman"/>
                <w:color w:val="000000"/>
                <w:sz w:val="20"/>
                <w:szCs w:val="20"/>
              </w:rPr>
              <w:t>25</w:t>
            </w:r>
          </w:p>
        </w:tc>
        <w:tc>
          <w:tcPr>
            <w:tcW w:w="1170" w:type="dxa"/>
            <w:tcBorders>
              <w:top w:val="nil"/>
              <w:left w:val="nil"/>
              <w:bottom w:val="single" w:sz="4" w:space="0" w:color="auto"/>
              <w:right w:val="single" w:sz="4" w:space="0" w:color="auto"/>
            </w:tcBorders>
            <w:shd w:val="clear" w:color="auto" w:fill="auto"/>
            <w:noWrap/>
            <w:vAlign w:val="bottom"/>
          </w:tcPr>
          <w:p w:rsidR="002313F1" w:rsidRDefault="002313F1" w:rsidP="00674609">
            <w:pPr>
              <w:keepNext/>
              <w:jc w:val="right"/>
              <w:rPr>
                <w:rFonts w:eastAsia="Times New Roman"/>
                <w:color w:val="000000"/>
                <w:sz w:val="20"/>
                <w:szCs w:val="20"/>
              </w:rPr>
            </w:pPr>
            <w:r>
              <w:rPr>
                <w:rFonts w:eastAsia="Times New Roman"/>
                <w:color w:val="000000"/>
                <w:sz w:val="20"/>
                <w:szCs w:val="20"/>
              </w:rPr>
              <w:t>75</w:t>
            </w:r>
          </w:p>
        </w:tc>
        <w:tc>
          <w:tcPr>
            <w:tcW w:w="1260" w:type="dxa"/>
            <w:tcBorders>
              <w:top w:val="nil"/>
              <w:left w:val="nil"/>
              <w:bottom w:val="single" w:sz="4" w:space="0" w:color="auto"/>
              <w:right w:val="single" w:sz="4" w:space="0" w:color="auto"/>
            </w:tcBorders>
            <w:shd w:val="clear" w:color="auto" w:fill="auto"/>
            <w:noWrap/>
            <w:vAlign w:val="bottom"/>
          </w:tcPr>
          <w:p w:rsidR="002313F1" w:rsidRDefault="002313F1" w:rsidP="00674609">
            <w:pPr>
              <w:keepNext/>
              <w:jc w:val="right"/>
              <w:rPr>
                <w:rFonts w:eastAsia="Times New Roman"/>
                <w:color w:val="000000"/>
                <w:sz w:val="20"/>
                <w:szCs w:val="20"/>
              </w:rPr>
            </w:pPr>
            <w:r>
              <w:rPr>
                <w:rFonts w:eastAsia="Times New Roman"/>
                <w:color w:val="000000"/>
                <w:sz w:val="20"/>
                <w:szCs w:val="20"/>
              </w:rPr>
              <w:t>100</w:t>
            </w:r>
          </w:p>
        </w:tc>
        <w:tc>
          <w:tcPr>
            <w:tcW w:w="990" w:type="dxa"/>
            <w:tcBorders>
              <w:top w:val="nil"/>
              <w:left w:val="nil"/>
              <w:bottom w:val="single" w:sz="4" w:space="0" w:color="auto"/>
              <w:right w:val="single" w:sz="4" w:space="0" w:color="auto"/>
            </w:tcBorders>
            <w:shd w:val="clear" w:color="auto" w:fill="auto"/>
            <w:noWrap/>
            <w:vAlign w:val="bottom"/>
          </w:tcPr>
          <w:p w:rsidR="002313F1" w:rsidRPr="000714D7" w:rsidRDefault="00EC41B5" w:rsidP="00556985">
            <w:pPr>
              <w:jc w:val="right"/>
              <w:rPr>
                <w:rFonts w:eastAsia="Times New Roman"/>
                <w:color w:val="000000"/>
                <w:sz w:val="20"/>
                <w:szCs w:val="20"/>
              </w:rPr>
            </w:pPr>
            <w:r>
              <w:rPr>
                <w:rFonts w:eastAsia="Times New Roman"/>
                <w:color w:val="000000"/>
                <w:sz w:val="20"/>
                <w:szCs w:val="20"/>
              </w:rPr>
              <w:t>$4,522</w:t>
            </w:r>
          </w:p>
        </w:tc>
        <w:tc>
          <w:tcPr>
            <w:tcW w:w="1350" w:type="dxa"/>
            <w:tcBorders>
              <w:top w:val="nil"/>
              <w:left w:val="nil"/>
              <w:bottom w:val="single" w:sz="4" w:space="0" w:color="auto"/>
              <w:right w:val="single" w:sz="4" w:space="0" w:color="auto"/>
            </w:tcBorders>
            <w:shd w:val="clear" w:color="auto" w:fill="auto"/>
            <w:noWrap/>
            <w:vAlign w:val="bottom"/>
          </w:tcPr>
          <w:p w:rsidR="002313F1" w:rsidRPr="000714D7" w:rsidRDefault="00EC41B5" w:rsidP="00674609">
            <w:pPr>
              <w:jc w:val="right"/>
              <w:rPr>
                <w:rFonts w:eastAsia="Times New Roman"/>
                <w:color w:val="000000"/>
                <w:sz w:val="20"/>
                <w:szCs w:val="20"/>
              </w:rPr>
            </w:pPr>
            <w:r>
              <w:rPr>
                <w:rFonts w:eastAsia="Times New Roman"/>
                <w:color w:val="000000"/>
                <w:sz w:val="20"/>
                <w:szCs w:val="20"/>
              </w:rPr>
              <w:t>28</w:t>
            </w:r>
          </w:p>
        </w:tc>
        <w:tc>
          <w:tcPr>
            <w:tcW w:w="1080" w:type="dxa"/>
            <w:tcBorders>
              <w:top w:val="nil"/>
              <w:left w:val="nil"/>
              <w:bottom w:val="single" w:sz="4" w:space="0" w:color="auto"/>
              <w:right w:val="single" w:sz="4" w:space="0" w:color="auto"/>
            </w:tcBorders>
            <w:shd w:val="clear" w:color="auto" w:fill="auto"/>
            <w:noWrap/>
            <w:vAlign w:val="bottom"/>
          </w:tcPr>
          <w:p w:rsidR="002313F1" w:rsidRPr="000714D7" w:rsidRDefault="00EC41B5" w:rsidP="00674609">
            <w:pPr>
              <w:jc w:val="right"/>
              <w:rPr>
                <w:rFonts w:eastAsia="Times New Roman"/>
                <w:color w:val="000000"/>
                <w:sz w:val="20"/>
                <w:szCs w:val="20"/>
              </w:rPr>
            </w:pPr>
            <w:r>
              <w:rPr>
                <w:rFonts w:eastAsia="Times New Roman"/>
                <w:color w:val="000000"/>
                <w:sz w:val="20"/>
                <w:szCs w:val="20"/>
              </w:rPr>
              <w:t>2,800</w:t>
            </w:r>
          </w:p>
        </w:tc>
        <w:tc>
          <w:tcPr>
            <w:tcW w:w="1008" w:type="dxa"/>
            <w:tcBorders>
              <w:top w:val="nil"/>
              <w:left w:val="nil"/>
              <w:bottom w:val="single" w:sz="4" w:space="0" w:color="auto"/>
              <w:right w:val="single" w:sz="4" w:space="0" w:color="auto"/>
            </w:tcBorders>
            <w:shd w:val="clear" w:color="auto" w:fill="auto"/>
            <w:noWrap/>
            <w:vAlign w:val="bottom"/>
          </w:tcPr>
          <w:p w:rsidR="002313F1" w:rsidRPr="000714D7" w:rsidRDefault="00EC41B5" w:rsidP="00556985">
            <w:pPr>
              <w:jc w:val="right"/>
              <w:rPr>
                <w:rFonts w:eastAsia="Times New Roman"/>
                <w:color w:val="000000"/>
                <w:sz w:val="20"/>
                <w:szCs w:val="20"/>
              </w:rPr>
            </w:pPr>
            <w:r>
              <w:rPr>
                <w:rFonts w:eastAsia="Times New Roman"/>
                <w:color w:val="000000"/>
                <w:sz w:val="20"/>
                <w:szCs w:val="20"/>
              </w:rPr>
              <w:t>$126,602</w:t>
            </w:r>
          </w:p>
        </w:tc>
      </w:tr>
      <w:tr w:rsidR="00674609" w:rsidRPr="00E936E3" w:rsidTr="00674609">
        <w:trPr>
          <w:trHeight w:val="23"/>
          <w:jc w:val="center"/>
        </w:trPr>
        <w:tc>
          <w:tcPr>
            <w:tcW w:w="1908" w:type="dxa"/>
            <w:tcBorders>
              <w:top w:val="single" w:sz="4" w:space="0" w:color="auto"/>
              <w:left w:val="single" w:sz="4" w:space="0" w:color="auto"/>
              <w:bottom w:val="single" w:sz="4" w:space="0" w:color="auto"/>
              <w:right w:val="single" w:sz="4" w:space="0" w:color="auto"/>
            </w:tcBorders>
            <w:shd w:val="pct10" w:color="auto" w:fill="auto"/>
            <w:noWrap/>
          </w:tcPr>
          <w:p w:rsidR="00674609" w:rsidRPr="00E936E3" w:rsidRDefault="00674609" w:rsidP="00674609">
            <w:pPr>
              <w:rPr>
                <w:rFonts w:eastAsia="Times New Roman"/>
                <w:b/>
                <w:bCs/>
                <w:color w:val="000000"/>
                <w:sz w:val="20"/>
                <w:szCs w:val="20"/>
              </w:rPr>
            </w:pPr>
            <w:r w:rsidRPr="00E936E3">
              <w:rPr>
                <w:rFonts w:eastAsia="Times New Roman"/>
                <w:b/>
                <w:bCs/>
                <w:color w:val="000000"/>
                <w:sz w:val="20"/>
                <w:szCs w:val="20"/>
              </w:rPr>
              <w:t>Total</w:t>
            </w:r>
          </w:p>
        </w:tc>
        <w:tc>
          <w:tcPr>
            <w:tcW w:w="1170" w:type="dxa"/>
            <w:tcBorders>
              <w:top w:val="single" w:sz="4" w:space="0" w:color="auto"/>
              <w:left w:val="nil"/>
              <w:bottom w:val="single" w:sz="4" w:space="0" w:color="auto"/>
              <w:right w:val="single" w:sz="4" w:space="0" w:color="auto"/>
            </w:tcBorders>
            <w:shd w:val="pct10" w:color="auto" w:fill="auto"/>
            <w:noWrap/>
          </w:tcPr>
          <w:p w:rsidR="00674609" w:rsidRPr="00E936E3" w:rsidRDefault="00674609" w:rsidP="00674609">
            <w:pPr>
              <w:jc w:val="right"/>
              <w:rPr>
                <w:rFonts w:eastAsia="Times New Roman"/>
                <w:color w:val="000000"/>
                <w:sz w:val="20"/>
                <w:szCs w:val="20"/>
              </w:rPr>
            </w:pPr>
          </w:p>
        </w:tc>
        <w:tc>
          <w:tcPr>
            <w:tcW w:w="1170" w:type="dxa"/>
            <w:tcBorders>
              <w:top w:val="single" w:sz="4" w:space="0" w:color="auto"/>
              <w:left w:val="nil"/>
              <w:bottom w:val="single" w:sz="4" w:space="0" w:color="auto"/>
              <w:right w:val="single" w:sz="4" w:space="0" w:color="auto"/>
            </w:tcBorders>
            <w:shd w:val="pct10" w:color="auto" w:fill="auto"/>
            <w:noWrap/>
          </w:tcPr>
          <w:p w:rsidR="00674609" w:rsidRPr="00E936E3" w:rsidRDefault="00674609" w:rsidP="00674609">
            <w:pPr>
              <w:jc w:val="right"/>
              <w:rPr>
                <w:rFonts w:eastAsia="Times New Roman"/>
                <w:color w:val="000000"/>
                <w:sz w:val="20"/>
                <w:szCs w:val="20"/>
              </w:rPr>
            </w:pPr>
          </w:p>
        </w:tc>
        <w:tc>
          <w:tcPr>
            <w:tcW w:w="1260" w:type="dxa"/>
            <w:tcBorders>
              <w:top w:val="single" w:sz="4" w:space="0" w:color="auto"/>
              <w:left w:val="nil"/>
              <w:bottom w:val="single" w:sz="4" w:space="0" w:color="auto"/>
              <w:right w:val="single" w:sz="4" w:space="0" w:color="auto"/>
            </w:tcBorders>
            <w:shd w:val="pct10" w:color="auto" w:fill="auto"/>
            <w:noWrap/>
          </w:tcPr>
          <w:p w:rsidR="00674609" w:rsidRPr="00E936E3" w:rsidRDefault="00674609" w:rsidP="00674609">
            <w:pPr>
              <w:jc w:val="right"/>
              <w:rPr>
                <w:rFonts w:eastAsia="Times New Roman"/>
                <w:color w:val="000000"/>
                <w:sz w:val="20"/>
                <w:szCs w:val="20"/>
              </w:rPr>
            </w:pPr>
          </w:p>
        </w:tc>
        <w:tc>
          <w:tcPr>
            <w:tcW w:w="990" w:type="dxa"/>
            <w:tcBorders>
              <w:top w:val="single" w:sz="4" w:space="0" w:color="auto"/>
              <w:left w:val="nil"/>
              <w:bottom w:val="single" w:sz="4" w:space="0" w:color="auto"/>
              <w:right w:val="single" w:sz="4" w:space="0" w:color="auto"/>
            </w:tcBorders>
            <w:shd w:val="pct10" w:color="auto" w:fill="auto"/>
            <w:noWrap/>
            <w:vAlign w:val="bottom"/>
          </w:tcPr>
          <w:p w:rsidR="00674609" w:rsidRPr="00E936E3" w:rsidRDefault="00674609" w:rsidP="00674609">
            <w:pPr>
              <w:jc w:val="right"/>
              <w:rPr>
                <w:rFonts w:eastAsia="Times New Roman"/>
                <w:color w:val="000000"/>
                <w:sz w:val="20"/>
                <w:szCs w:val="20"/>
              </w:rPr>
            </w:pPr>
          </w:p>
        </w:tc>
        <w:tc>
          <w:tcPr>
            <w:tcW w:w="1350" w:type="dxa"/>
            <w:tcBorders>
              <w:top w:val="single" w:sz="4" w:space="0" w:color="auto"/>
              <w:left w:val="nil"/>
              <w:bottom w:val="single" w:sz="4" w:space="0" w:color="auto"/>
              <w:right w:val="single" w:sz="4" w:space="0" w:color="auto"/>
            </w:tcBorders>
            <w:shd w:val="pct10" w:color="auto" w:fill="auto"/>
            <w:noWrap/>
            <w:vAlign w:val="bottom"/>
          </w:tcPr>
          <w:p w:rsidR="00674609" w:rsidRPr="00E936E3" w:rsidRDefault="00674609" w:rsidP="00674609">
            <w:pPr>
              <w:jc w:val="right"/>
              <w:rPr>
                <w:rFonts w:eastAsia="Times New Roman"/>
                <w:color w:val="000000"/>
                <w:sz w:val="20"/>
                <w:szCs w:val="20"/>
              </w:rPr>
            </w:pPr>
            <w:r w:rsidRPr="000714D7">
              <w:rPr>
                <w:rFonts w:eastAsia="Times New Roman"/>
                <w:color w:val="000000"/>
                <w:sz w:val="20"/>
                <w:szCs w:val="20"/>
              </w:rPr>
              <w:t>10</w:t>
            </w:r>
            <w:r>
              <w:rPr>
                <w:rFonts w:eastAsia="Times New Roman"/>
                <w:color w:val="000000"/>
                <w:sz w:val="20"/>
                <w:szCs w:val="20"/>
              </w:rPr>
              <w:t>4</w:t>
            </w:r>
          </w:p>
        </w:tc>
        <w:tc>
          <w:tcPr>
            <w:tcW w:w="1080" w:type="dxa"/>
            <w:tcBorders>
              <w:top w:val="single" w:sz="4" w:space="0" w:color="auto"/>
              <w:left w:val="nil"/>
              <w:bottom w:val="single" w:sz="4" w:space="0" w:color="auto"/>
              <w:right w:val="single" w:sz="4" w:space="0" w:color="auto"/>
            </w:tcBorders>
            <w:shd w:val="pct10" w:color="auto" w:fill="auto"/>
            <w:noWrap/>
            <w:vAlign w:val="bottom"/>
          </w:tcPr>
          <w:p w:rsidR="00674609" w:rsidRPr="00E936E3" w:rsidRDefault="00EC41B5" w:rsidP="00674609">
            <w:pPr>
              <w:jc w:val="right"/>
              <w:rPr>
                <w:rFonts w:eastAsia="Times New Roman"/>
                <w:color w:val="000000"/>
                <w:sz w:val="20"/>
                <w:szCs w:val="20"/>
              </w:rPr>
            </w:pPr>
            <w:r>
              <w:rPr>
                <w:rFonts w:eastAsia="Times New Roman"/>
                <w:color w:val="000000"/>
                <w:sz w:val="20"/>
                <w:szCs w:val="20"/>
              </w:rPr>
              <w:t>2,869</w:t>
            </w:r>
          </w:p>
        </w:tc>
        <w:tc>
          <w:tcPr>
            <w:tcW w:w="1008" w:type="dxa"/>
            <w:tcBorders>
              <w:top w:val="single" w:sz="4" w:space="0" w:color="auto"/>
              <w:left w:val="nil"/>
              <w:bottom w:val="single" w:sz="4" w:space="0" w:color="auto"/>
              <w:right w:val="single" w:sz="4" w:space="0" w:color="auto"/>
            </w:tcBorders>
            <w:shd w:val="pct10" w:color="auto" w:fill="auto"/>
            <w:noWrap/>
            <w:vAlign w:val="bottom"/>
          </w:tcPr>
          <w:p w:rsidR="00674609" w:rsidRPr="00E936E3" w:rsidRDefault="00674609" w:rsidP="00EC41B5">
            <w:pPr>
              <w:jc w:val="right"/>
              <w:rPr>
                <w:rFonts w:eastAsia="Times New Roman"/>
                <w:color w:val="000000"/>
                <w:sz w:val="20"/>
                <w:szCs w:val="20"/>
              </w:rPr>
            </w:pPr>
            <w:r w:rsidRPr="000714D7">
              <w:rPr>
                <w:rFonts w:eastAsia="Times New Roman"/>
                <w:color w:val="000000"/>
                <w:sz w:val="20"/>
                <w:szCs w:val="20"/>
              </w:rPr>
              <w:t>$</w:t>
            </w:r>
            <w:r w:rsidR="00EC41B5">
              <w:rPr>
                <w:rFonts w:eastAsia="Times New Roman"/>
                <w:color w:val="000000"/>
                <w:sz w:val="20"/>
                <w:szCs w:val="20"/>
              </w:rPr>
              <w:t>129,826</w:t>
            </w:r>
          </w:p>
        </w:tc>
      </w:tr>
    </w:tbl>
    <w:p w:rsidR="00453489" w:rsidRDefault="00453489" w:rsidP="00C10C31">
      <w:pPr>
        <w:keepNext/>
        <w:autoSpaceDE w:val="0"/>
        <w:autoSpaceDN w:val="0"/>
        <w:adjustRightInd w:val="0"/>
        <w:rPr>
          <w:b/>
          <w:bCs/>
          <w:szCs w:val="24"/>
        </w:rPr>
      </w:pPr>
    </w:p>
    <w:p w:rsidR="00A16787" w:rsidRPr="00E936E3" w:rsidRDefault="00A16787" w:rsidP="000C02E9">
      <w:pPr>
        <w:autoSpaceDE w:val="0"/>
        <w:autoSpaceDN w:val="0"/>
        <w:adjustRightInd w:val="0"/>
        <w:rPr>
          <w:b/>
          <w:bCs/>
          <w:sz w:val="20"/>
          <w:szCs w:val="20"/>
        </w:rPr>
      </w:pPr>
    </w:p>
    <w:p w:rsidR="000C02E9" w:rsidRPr="00E936E3" w:rsidRDefault="000C02E9" w:rsidP="00E936E3">
      <w:pPr>
        <w:autoSpaceDE w:val="0"/>
        <w:autoSpaceDN w:val="0"/>
        <w:adjustRightInd w:val="0"/>
        <w:ind w:left="360" w:hanging="180"/>
        <w:rPr>
          <w:sz w:val="20"/>
          <w:szCs w:val="20"/>
        </w:rPr>
      </w:pPr>
      <w:r w:rsidRPr="00E936E3">
        <w:rPr>
          <w:sz w:val="20"/>
          <w:szCs w:val="20"/>
          <w:vertAlign w:val="superscript"/>
        </w:rPr>
        <w:lastRenderedPageBreak/>
        <w:t>1</w:t>
      </w:r>
      <w:r w:rsidR="00E936E3">
        <w:rPr>
          <w:sz w:val="20"/>
          <w:szCs w:val="20"/>
        </w:rPr>
        <w:tab/>
      </w:r>
      <w:r w:rsidRPr="00E936E3">
        <w:rPr>
          <w:sz w:val="20"/>
          <w:szCs w:val="20"/>
        </w:rPr>
        <w:t xml:space="preserve">See </w:t>
      </w:r>
      <w:r w:rsidRPr="00D8541A">
        <w:rPr>
          <w:sz w:val="20"/>
          <w:szCs w:val="20"/>
        </w:rPr>
        <w:t>Section 6</w:t>
      </w:r>
      <w:r w:rsidR="00E936E3" w:rsidRPr="00D8541A">
        <w:rPr>
          <w:sz w:val="20"/>
          <w:szCs w:val="20"/>
        </w:rPr>
        <w:t>.2</w:t>
      </w:r>
      <w:r w:rsidRPr="00D8541A">
        <w:rPr>
          <w:sz w:val="20"/>
          <w:szCs w:val="20"/>
        </w:rPr>
        <w:t xml:space="preserve"> (i) for labor and overhead rates.</w:t>
      </w:r>
    </w:p>
    <w:p w:rsidR="000C02E9" w:rsidRPr="00E936E3" w:rsidRDefault="000C02E9" w:rsidP="00E936E3">
      <w:pPr>
        <w:autoSpaceDE w:val="0"/>
        <w:autoSpaceDN w:val="0"/>
        <w:adjustRightInd w:val="0"/>
        <w:ind w:left="360" w:hanging="180"/>
        <w:rPr>
          <w:sz w:val="20"/>
          <w:szCs w:val="20"/>
        </w:rPr>
      </w:pPr>
      <w:r w:rsidRPr="003D599E">
        <w:rPr>
          <w:sz w:val="20"/>
          <w:szCs w:val="20"/>
          <w:vertAlign w:val="superscript"/>
        </w:rPr>
        <w:t>2</w:t>
      </w:r>
      <w:r w:rsidR="00E936E3" w:rsidRPr="003D599E">
        <w:rPr>
          <w:sz w:val="20"/>
          <w:szCs w:val="20"/>
        </w:rPr>
        <w:tab/>
      </w:r>
      <w:r w:rsidRPr="003D599E">
        <w:rPr>
          <w:sz w:val="20"/>
          <w:szCs w:val="20"/>
        </w:rPr>
        <w:t>Hours per year are rounded to the nearest hour.</w:t>
      </w:r>
    </w:p>
    <w:p w:rsidR="00360CF0" w:rsidRPr="008574F9" w:rsidRDefault="000C02E9" w:rsidP="00EC41B5">
      <w:pPr>
        <w:autoSpaceDE w:val="0"/>
        <w:autoSpaceDN w:val="0"/>
        <w:adjustRightInd w:val="0"/>
        <w:ind w:left="360" w:hanging="180"/>
        <w:rPr>
          <w:b/>
          <w:bCs/>
          <w:szCs w:val="24"/>
        </w:rPr>
      </w:pPr>
      <w:r w:rsidRPr="00E936E3">
        <w:rPr>
          <w:sz w:val="20"/>
          <w:szCs w:val="20"/>
          <w:vertAlign w:val="superscript"/>
        </w:rPr>
        <w:t>3</w:t>
      </w:r>
      <w:r w:rsidR="00E936E3">
        <w:rPr>
          <w:sz w:val="20"/>
          <w:szCs w:val="20"/>
        </w:rPr>
        <w:tab/>
      </w:r>
      <w:r w:rsidRPr="00E936E3">
        <w:rPr>
          <w:sz w:val="20"/>
          <w:szCs w:val="20"/>
        </w:rPr>
        <w:t>Costs per year are rounded to the nearest dollar.</w:t>
      </w:r>
    </w:p>
    <w:p w:rsidR="00764293" w:rsidRDefault="00764293" w:rsidP="003972B1">
      <w:pPr>
        <w:autoSpaceDE w:val="0"/>
        <w:autoSpaceDN w:val="0"/>
        <w:adjustRightInd w:val="0"/>
        <w:jc w:val="center"/>
        <w:rPr>
          <w:b/>
          <w:bCs/>
          <w:szCs w:val="24"/>
        </w:rPr>
        <w:sectPr w:rsidR="00764293" w:rsidSect="000714D7">
          <w:headerReference w:type="default" r:id="rId10"/>
          <w:footerReference w:type="even" r:id="rId11"/>
          <w:footerReference w:type="default" r:id="rId12"/>
          <w:headerReference w:type="first" r:id="rId13"/>
          <w:pgSz w:w="12240" w:h="15840" w:code="1"/>
          <w:pgMar w:top="720" w:right="1440" w:bottom="1440" w:left="1440" w:header="720" w:footer="720" w:gutter="0"/>
          <w:cols w:space="720"/>
          <w:titlePg/>
          <w:docGrid w:linePitch="360"/>
        </w:sectPr>
      </w:pPr>
    </w:p>
    <w:p w:rsidR="00595D03" w:rsidRDefault="00595D03" w:rsidP="003972B1">
      <w:pPr>
        <w:autoSpaceDE w:val="0"/>
        <w:autoSpaceDN w:val="0"/>
        <w:adjustRightInd w:val="0"/>
        <w:jc w:val="center"/>
        <w:rPr>
          <w:b/>
          <w:color w:val="0F0F0F"/>
        </w:rPr>
      </w:pPr>
    </w:p>
    <w:p w:rsidR="009269F3" w:rsidRDefault="00764293" w:rsidP="003972B1">
      <w:pPr>
        <w:autoSpaceDE w:val="0"/>
        <w:autoSpaceDN w:val="0"/>
        <w:adjustRightInd w:val="0"/>
        <w:jc w:val="center"/>
        <w:rPr>
          <w:b/>
          <w:color w:val="0F0F0F"/>
        </w:rPr>
      </w:pPr>
      <w:r w:rsidRPr="001774B5">
        <w:rPr>
          <w:b/>
          <w:color w:val="0F0F0F"/>
        </w:rPr>
        <w:t>Table 6-</w:t>
      </w:r>
      <w:r w:rsidR="009269F3">
        <w:rPr>
          <w:b/>
          <w:color w:val="0F0F0F"/>
        </w:rPr>
        <w:t>5</w:t>
      </w:r>
      <w:r w:rsidR="00F56B02">
        <w:rPr>
          <w:b/>
          <w:color w:val="0F0F0F"/>
        </w:rPr>
        <w:t>:</w:t>
      </w:r>
    </w:p>
    <w:p w:rsidR="000C02E9" w:rsidRDefault="00764293" w:rsidP="003972B1">
      <w:pPr>
        <w:autoSpaceDE w:val="0"/>
        <w:autoSpaceDN w:val="0"/>
        <w:adjustRightInd w:val="0"/>
        <w:jc w:val="center"/>
        <w:rPr>
          <w:b/>
          <w:color w:val="0F0F0F"/>
        </w:rPr>
      </w:pPr>
      <w:r w:rsidRPr="001774B5">
        <w:rPr>
          <w:b/>
          <w:color w:val="0F0F0F"/>
        </w:rPr>
        <w:t>Annual Industry Respondent Burden and Cost by Activity</w:t>
      </w:r>
    </w:p>
    <w:p w:rsidR="00764293" w:rsidRDefault="00764293" w:rsidP="003972B1">
      <w:pPr>
        <w:autoSpaceDE w:val="0"/>
        <w:autoSpaceDN w:val="0"/>
        <w:adjustRightInd w:val="0"/>
        <w:jc w:val="center"/>
        <w:rPr>
          <w:b/>
          <w:bCs/>
          <w:szCs w:val="24"/>
        </w:rPr>
      </w:pPr>
    </w:p>
    <w:tbl>
      <w:tblPr>
        <w:tblW w:w="12960" w:type="dxa"/>
        <w:jc w:val="center"/>
        <w:tblLayout w:type="fixed"/>
        <w:tblCellMar>
          <w:top w:w="72" w:type="dxa"/>
          <w:left w:w="72" w:type="dxa"/>
          <w:bottom w:w="72" w:type="dxa"/>
          <w:right w:w="72" w:type="dxa"/>
        </w:tblCellMar>
        <w:tblLook w:val="04A0"/>
      </w:tblPr>
      <w:tblGrid>
        <w:gridCol w:w="2335"/>
        <w:gridCol w:w="1259"/>
        <w:gridCol w:w="1139"/>
        <w:gridCol w:w="1302"/>
        <w:gridCol w:w="1311"/>
        <w:gridCol w:w="990"/>
        <w:gridCol w:w="811"/>
        <w:gridCol w:w="1380"/>
        <w:gridCol w:w="1288"/>
        <w:gridCol w:w="1145"/>
      </w:tblGrid>
      <w:tr w:rsidR="00764293" w:rsidRPr="00764293" w:rsidTr="002050C7">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p>
          <w:p w:rsidR="00764293" w:rsidRPr="00764293" w:rsidRDefault="00764293" w:rsidP="00764293">
            <w:pPr>
              <w:jc w:val="center"/>
              <w:rPr>
                <w:b/>
                <w:bCs/>
                <w:sz w:val="22"/>
              </w:rPr>
            </w:pPr>
          </w:p>
          <w:p w:rsidR="00764293" w:rsidRPr="00764293" w:rsidRDefault="00764293" w:rsidP="00764293">
            <w:pPr>
              <w:jc w:val="center"/>
              <w:rPr>
                <w:b/>
                <w:bCs/>
                <w:sz w:val="22"/>
              </w:rPr>
            </w:pPr>
          </w:p>
          <w:p w:rsidR="00764293" w:rsidRPr="00764293" w:rsidRDefault="00764293" w:rsidP="00764293">
            <w:pPr>
              <w:jc w:val="center"/>
              <w:rPr>
                <w:b/>
                <w:bCs/>
                <w:sz w:val="22"/>
              </w:rPr>
            </w:pPr>
          </w:p>
        </w:tc>
        <w:tc>
          <w:tcPr>
            <w:tcW w:w="1259" w:type="dxa"/>
            <w:tcBorders>
              <w:top w:val="single" w:sz="4" w:space="0" w:color="auto"/>
              <w:left w:val="nil"/>
              <w:bottom w:val="single" w:sz="4" w:space="0" w:color="auto"/>
            </w:tcBorders>
            <w:shd w:val="pct10" w:color="auto" w:fill="auto"/>
            <w:vAlign w:val="bottom"/>
          </w:tcPr>
          <w:p w:rsidR="00764293" w:rsidRPr="00764293" w:rsidRDefault="00764293" w:rsidP="00764293">
            <w:pPr>
              <w:jc w:val="center"/>
              <w:rPr>
                <w:b/>
                <w:bCs/>
                <w:sz w:val="22"/>
              </w:rPr>
            </w:pPr>
          </w:p>
        </w:tc>
        <w:tc>
          <w:tcPr>
            <w:tcW w:w="1139" w:type="dxa"/>
            <w:tcBorders>
              <w:top w:val="single" w:sz="4" w:space="0" w:color="auto"/>
              <w:bottom w:val="single" w:sz="4" w:space="0" w:color="auto"/>
            </w:tcBorders>
            <w:shd w:val="pct10" w:color="auto" w:fill="auto"/>
            <w:vAlign w:val="bottom"/>
          </w:tcPr>
          <w:p w:rsidR="00764293" w:rsidRPr="00764293" w:rsidRDefault="00764293" w:rsidP="00764293">
            <w:pPr>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p>
        </w:tc>
        <w:tc>
          <w:tcPr>
            <w:tcW w:w="1311" w:type="dxa"/>
            <w:vMerge w:val="restart"/>
            <w:tcBorders>
              <w:top w:val="single" w:sz="4" w:space="0" w:color="auto"/>
              <w:left w:val="nil"/>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r w:rsidRPr="00764293">
              <w:rPr>
                <w:b/>
                <w:bCs/>
                <w:sz w:val="22"/>
              </w:rPr>
              <w:t>Respondent</w:t>
            </w:r>
          </w:p>
          <w:p w:rsidR="00764293" w:rsidRPr="00764293" w:rsidRDefault="00764293" w:rsidP="00764293">
            <w:pPr>
              <w:jc w:val="center"/>
              <w:rPr>
                <w:b/>
                <w:bCs/>
                <w:sz w:val="22"/>
              </w:rPr>
            </w:pPr>
            <w:r w:rsidRPr="00764293">
              <w:rPr>
                <w:b/>
                <w:bCs/>
                <w:sz w:val="22"/>
              </w:rPr>
              <w:t>Labor Cost/Year</w:t>
            </w:r>
          </w:p>
          <w:p w:rsidR="00764293" w:rsidRPr="00764293" w:rsidRDefault="00764293" w:rsidP="00764293">
            <w:pPr>
              <w:jc w:val="center"/>
              <w:rPr>
                <w:b/>
                <w:bCs/>
                <w:sz w:val="22"/>
              </w:rPr>
            </w:pPr>
          </w:p>
        </w:tc>
        <w:tc>
          <w:tcPr>
            <w:tcW w:w="1801" w:type="dxa"/>
            <w:gridSpan w:val="2"/>
            <w:tcBorders>
              <w:top w:val="single" w:sz="4" w:space="0" w:color="auto"/>
              <w:left w:val="nil"/>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764293" w:rsidRPr="00764293" w:rsidRDefault="00764293" w:rsidP="00764293">
            <w:pPr>
              <w:jc w:val="center"/>
              <w:rPr>
                <w:b/>
                <w:bCs/>
                <w:sz w:val="22"/>
              </w:rPr>
            </w:pPr>
          </w:p>
        </w:tc>
        <w:tc>
          <w:tcPr>
            <w:tcW w:w="1288" w:type="dxa"/>
            <w:tcBorders>
              <w:top w:val="single" w:sz="4" w:space="0" w:color="auto"/>
              <w:bottom w:val="single" w:sz="4" w:space="0" w:color="auto"/>
            </w:tcBorders>
            <w:shd w:val="pct10" w:color="auto" w:fill="auto"/>
            <w:vAlign w:val="bottom"/>
          </w:tcPr>
          <w:p w:rsidR="00764293" w:rsidRPr="00764293" w:rsidRDefault="00764293" w:rsidP="00764293">
            <w:pPr>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p>
        </w:tc>
      </w:tr>
      <w:tr w:rsidR="00764293" w:rsidRPr="00764293" w:rsidTr="002050C7">
        <w:trPr>
          <w:trHeight w:val="575"/>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r w:rsidRPr="00764293">
              <w:rPr>
                <w:b/>
                <w:bCs/>
                <w:sz w:val="22"/>
              </w:rPr>
              <w:t>Manager $</w:t>
            </w:r>
            <w:r w:rsidR="00EF67E6">
              <w:rPr>
                <w:b/>
                <w:bCs/>
                <w:sz w:val="22"/>
              </w:rPr>
              <w:t>95.10</w:t>
            </w:r>
          </w:p>
          <w:p w:rsidR="00764293" w:rsidRPr="00764293" w:rsidRDefault="00764293" w:rsidP="00076623">
            <w:pPr>
              <w:jc w:val="center"/>
              <w:rPr>
                <w:b/>
                <w:bCs/>
                <w:sz w:val="22"/>
              </w:rPr>
            </w:pPr>
            <w:r w:rsidRPr="00764293">
              <w:rPr>
                <w:b/>
                <w:bCs/>
                <w:sz w:val="22"/>
              </w:rPr>
              <w:t>Per Hour (</w:t>
            </w:r>
            <w:r w:rsidR="00076623" w:rsidRPr="00764293">
              <w:rPr>
                <w:b/>
                <w:bCs/>
                <w:sz w:val="22"/>
              </w:rPr>
              <w:t>20</w:t>
            </w:r>
            <w:r w:rsidR="00076623">
              <w:rPr>
                <w:b/>
                <w:bCs/>
                <w:sz w:val="22"/>
              </w:rPr>
              <w:t>1</w:t>
            </w:r>
            <w:r w:rsidR="00EF67E6">
              <w:rPr>
                <w:b/>
                <w:bCs/>
                <w:sz w:val="22"/>
              </w:rPr>
              <w:t>3</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r w:rsidRPr="00764293">
              <w:rPr>
                <w:b/>
                <w:bCs/>
                <w:sz w:val="22"/>
              </w:rPr>
              <w:t>Technical $</w:t>
            </w:r>
            <w:r w:rsidR="00EF67E6">
              <w:rPr>
                <w:b/>
                <w:bCs/>
                <w:sz w:val="22"/>
              </w:rPr>
              <w:t>67.38</w:t>
            </w:r>
          </w:p>
          <w:p w:rsidR="00764293" w:rsidRPr="00764293" w:rsidRDefault="00764293" w:rsidP="00076623">
            <w:pPr>
              <w:jc w:val="center"/>
              <w:rPr>
                <w:b/>
                <w:bCs/>
                <w:sz w:val="22"/>
              </w:rPr>
            </w:pPr>
            <w:r w:rsidRPr="00764293">
              <w:rPr>
                <w:b/>
                <w:bCs/>
                <w:sz w:val="22"/>
              </w:rPr>
              <w:t>Per Hour (</w:t>
            </w:r>
            <w:r w:rsidR="00076623" w:rsidRPr="00764293">
              <w:rPr>
                <w:b/>
                <w:bCs/>
                <w:sz w:val="22"/>
              </w:rPr>
              <w:t>20</w:t>
            </w:r>
            <w:r w:rsidR="00076623">
              <w:rPr>
                <w:b/>
                <w:bCs/>
                <w:sz w:val="22"/>
              </w:rPr>
              <w:t>1</w:t>
            </w:r>
            <w:r w:rsidR="00EF67E6">
              <w:rPr>
                <w:b/>
                <w:bCs/>
                <w:sz w:val="22"/>
              </w:rPr>
              <w:t>3</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r w:rsidRPr="00764293">
              <w:rPr>
                <w:b/>
                <w:bCs/>
                <w:sz w:val="22"/>
              </w:rPr>
              <w:t>Respondent Hours/Year</w:t>
            </w:r>
          </w:p>
          <w:p w:rsidR="00764293" w:rsidRPr="00764293" w:rsidRDefault="00764293" w:rsidP="002B3E5C">
            <w:pPr>
              <w:rPr>
                <w:b/>
                <w:bCs/>
                <w:sz w:val="22"/>
              </w:rPr>
            </w:pPr>
          </w:p>
        </w:tc>
        <w:tc>
          <w:tcPr>
            <w:tcW w:w="1311" w:type="dxa"/>
            <w:vMerge/>
            <w:tcBorders>
              <w:top w:val="single" w:sz="4" w:space="0" w:color="auto"/>
              <w:left w:val="nil"/>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p>
        </w:tc>
        <w:tc>
          <w:tcPr>
            <w:tcW w:w="990" w:type="dxa"/>
            <w:tcBorders>
              <w:top w:val="single" w:sz="4" w:space="0" w:color="auto"/>
              <w:left w:val="nil"/>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r w:rsidRPr="00764293">
              <w:rPr>
                <w:b/>
                <w:bCs/>
                <w:sz w:val="22"/>
              </w:rPr>
              <w:t>Startup Costs</w:t>
            </w:r>
          </w:p>
          <w:p w:rsidR="00764293" w:rsidRPr="00764293" w:rsidRDefault="00764293" w:rsidP="00764293">
            <w:pPr>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r w:rsidRPr="00764293">
              <w:rPr>
                <w:b/>
                <w:bCs/>
                <w:sz w:val="22"/>
              </w:rPr>
              <w:t>O&amp;M Cost</w:t>
            </w:r>
          </w:p>
          <w:p w:rsidR="00764293" w:rsidRPr="00764293" w:rsidRDefault="00764293" w:rsidP="00764293">
            <w:pPr>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r w:rsidRPr="00764293">
              <w:rPr>
                <w:b/>
                <w:bCs/>
                <w:sz w:val="22"/>
              </w:rPr>
              <w:t>Number of Respondents</w:t>
            </w:r>
          </w:p>
          <w:p w:rsidR="00764293" w:rsidRPr="00764293" w:rsidRDefault="00764293" w:rsidP="00764293">
            <w:pPr>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r w:rsidRPr="00764293">
              <w:rPr>
                <w:b/>
                <w:bCs/>
                <w:sz w:val="22"/>
              </w:rPr>
              <w:t>Total Hours/Year</w:t>
            </w:r>
          </w:p>
          <w:p w:rsidR="00764293" w:rsidRPr="00764293" w:rsidRDefault="00764293" w:rsidP="00764293">
            <w:pPr>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764293" w:rsidRPr="00764293" w:rsidRDefault="00764293" w:rsidP="00764293">
            <w:pPr>
              <w:jc w:val="center"/>
              <w:rPr>
                <w:b/>
                <w:bCs/>
                <w:sz w:val="22"/>
              </w:rPr>
            </w:pPr>
            <w:r w:rsidRPr="00764293">
              <w:rPr>
                <w:b/>
                <w:bCs/>
                <w:sz w:val="22"/>
              </w:rPr>
              <w:t>Total Cost/Year</w:t>
            </w:r>
          </w:p>
          <w:p w:rsidR="00764293" w:rsidRPr="00764293" w:rsidRDefault="00764293" w:rsidP="00764293">
            <w:pPr>
              <w:jc w:val="center"/>
              <w:rPr>
                <w:b/>
                <w:bCs/>
                <w:sz w:val="22"/>
              </w:rPr>
            </w:pPr>
          </w:p>
        </w:tc>
      </w:tr>
      <w:tr w:rsidR="00695518" w:rsidRPr="000714D7" w:rsidTr="00695518">
        <w:trPr>
          <w:trHeight w:val="255"/>
          <w:jc w:val="center"/>
        </w:trPr>
        <w:tc>
          <w:tcPr>
            <w:tcW w:w="2335" w:type="dxa"/>
            <w:tcBorders>
              <w:top w:val="nil"/>
              <w:left w:val="single" w:sz="4" w:space="0" w:color="auto"/>
              <w:bottom w:val="single" w:sz="4" w:space="0" w:color="auto"/>
              <w:right w:val="single" w:sz="4" w:space="0" w:color="auto"/>
            </w:tcBorders>
            <w:shd w:val="clear" w:color="auto" w:fill="auto"/>
          </w:tcPr>
          <w:p w:rsidR="00695518" w:rsidRPr="001774B5" w:rsidRDefault="00695518" w:rsidP="00764293">
            <w:pPr>
              <w:rPr>
                <w:sz w:val="20"/>
                <w:szCs w:val="20"/>
              </w:rPr>
            </w:pPr>
            <w:r w:rsidRPr="001774B5">
              <w:rPr>
                <w:sz w:val="20"/>
                <w:szCs w:val="20"/>
              </w:rPr>
              <w:t>Permit to Construct (units)</w:t>
            </w:r>
          </w:p>
        </w:tc>
        <w:tc>
          <w:tcPr>
            <w:tcW w:w="1259"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20</w:t>
            </w:r>
          </w:p>
        </w:tc>
        <w:tc>
          <w:tcPr>
            <w:tcW w:w="1139" w:type="dxa"/>
            <w:tcBorders>
              <w:top w:val="nil"/>
              <w:left w:val="nil"/>
              <w:bottom w:val="single" w:sz="4" w:space="0" w:color="auto"/>
              <w:right w:val="single" w:sz="4" w:space="0" w:color="auto"/>
            </w:tcBorders>
            <w:shd w:val="clear" w:color="auto" w:fill="auto"/>
            <w:vAlign w:val="bottom"/>
          </w:tcPr>
          <w:p w:rsidR="00695518" w:rsidRPr="00695518" w:rsidRDefault="00612D98" w:rsidP="00764293">
            <w:pPr>
              <w:jc w:val="right"/>
              <w:rPr>
                <w:rFonts w:eastAsia="Times New Roman"/>
                <w:color w:val="000000"/>
                <w:sz w:val="20"/>
                <w:szCs w:val="20"/>
              </w:rPr>
            </w:pPr>
            <w:r>
              <w:rPr>
                <w:rFonts w:eastAsia="Times New Roman"/>
                <w:color w:val="000000"/>
                <w:sz w:val="20"/>
                <w:szCs w:val="20"/>
              </w:rPr>
              <w:t>20</w:t>
            </w:r>
          </w:p>
        </w:tc>
        <w:tc>
          <w:tcPr>
            <w:tcW w:w="1302" w:type="dxa"/>
            <w:tcBorders>
              <w:top w:val="nil"/>
              <w:left w:val="nil"/>
              <w:bottom w:val="single" w:sz="4" w:space="0" w:color="auto"/>
              <w:right w:val="single" w:sz="4" w:space="0" w:color="auto"/>
            </w:tcBorders>
            <w:shd w:val="clear" w:color="auto" w:fill="auto"/>
            <w:vAlign w:val="bottom"/>
          </w:tcPr>
          <w:p w:rsidR="00695518" w:rsidRPr="00695518" w:rsidRDefault="00612D98" w:rsidP="00764293">
            <w:pPr>
              <w:jc w:val="right"/>
              <w:rPr>
                <w:rFonts w:eastAsia="Times New Roman"/>
                <w:color w:val="000000"/>
                <w:sz w:val="20"/>
                <w:szCs w:val="20"/>
              </w:rPr>
            </w:pPr>
            <w:r>
              <w:rPr>
                <w:rFonts w:eastAsia="Times New Roman"/>
                <w:color w:val="000000"/>
                <w:sz w:val="20"/>
                <w:szCs w:val="20"/>
              </w:rPr>
              <w:t>40</w:t>
            </w:r>
          </w:p>
        </w:tc>
        <w:tc>
          <w:tcPr>
            <w:tcW w:w="1311" w:type="dxa"/>
            <w:tcBorders>
              <w:top w:val="nil"/>
              <w:left w:val="nil"/>
              <w:bottom w:val="single" w:sz="4" w:space="0" w:color="auto"/>
              <w:right w:val="single" w:sz="4" w:space="0" w:color="auto"/>
            </w:tcBorders>
            <w:shd w:val="clear" w:color="auto" w:fill="auto"/>
            <w:vAlign w:val="bottom"/>
          </w:tcPr>
          <w:p w:rsidR="00695518" w:rsidRPr="00695518" w:rsidRDefault="00695518" w:rsidP="00DE4BB0">
            <w:pPr>
              <w:jc w:val="right"/>
              <w:rPr>
                <w:rFonts w:eastAsia="Times New Roman"/>
                <w:color w:val="000000"/>
                <w:sz w:val="20"/>
                <w:szCs w:val="20"/>
              </w:rPr>
            </w:pPr>
            <w:r w:rsidRPr="00695518">
              <w:rPr>
                <w:rFonts w:eastAsia="Times New Roman"/>
                <w:color w:val="000000"/>
                <w:sz w:val="20"/>
                <w:szCs w:val="20"/>
              </w:rPr>
              <w:t>$3,</w:t>
            </w:r>
            <w:r w:rsidR="00DE4BB0">
              <w:rPr>
                <w:rFonts w:eastAsia="Times New Roman"/>
                <w:color w:val="000000"/>
                <w:sz w:val="20"/>
                <w:szCs w:val="20"/>
              </w:rPr>
              <w:t>250</w:t>
            </w:r>
          </w:p>
        </w:tc>
        <w:tc>
          <w:tcPr>
            <w:tcW w:w="990"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95518" w:rsidRPr="00695518" w:rsidRDefault="00633E36" w:rsidP="00764293">
            <w:pPr>
              <w:jc w:val="right"/>
              <w:rPr>
                <w:rFonts w:eastAsia="Times New Roman"/>
                <w:color w:val="000000"/>
                <w:sz w:val="20"/>
                <w:szCs w:val="20"/>
              </w:rPr>
            </w:pPr>
            <w:r>
              <w:rPr>
                <w:rFonts w:eastAsia="Times New Roman"/>
                <w:color w:val="000000"/>
                <w:sz w:val="20"/>
                <w:szCs w:val="20"/>
              </w:rPr>
              <w:t>8</w:t>
            </w:r>
          </w:p>
        </w:tc>
        <w:tc>
          <w:tcPr>
            <w:tcW w:w="1288" w:type="dxa"/>
            <w:tcBorders>
              <w:top w:val="nil"/>
              <w:left w:val="nil"/>
              <w:bottom w:val="single" w:sz="4" w:space="0" w:color="auto"/>
              <w:right w:val="single" w:sz="4" w:space="0" w:color="auto"/>
            </w:tcBorders>
            <w:shd w:val="clear" w:color="auto" w:fill="auto"/>
            <w:vAlign w:val="bottom"/>
          </w:tcPr>
          <w:p w:rsidR="00695518" w:rsidRPr="00695518" w:rsidRDefault="00DE4BB0" w:rsidP="00DE4BB0">
            <w:pPr>
              <w:jc w:val="right"/>
              <w:rPr>
                <w:rFonts w:eastAsia="Times New Roman"/>
                <w:color w:val="000000"/>
                <w:sz w:val="20"/>
                <w:szCs w:val="20"/>
              </w:rPr>
            </w:pPr>
            <w:r>
              <w:rPr>
                <w:rFonts w:eastAsia="Times New Roman"/>
                <w:color w:val="000000"/>
                <w:sz w:val="20"/>
                <w:szCs w:val="20"/>
              </w:rPr>
              <w:t>320</w:t>
            </w:r>
          </w:p>
        </w:tc>
        <w:tc>
          <w:tcPr>
            <w:tcW w:w="1145" w:type="dxa"/>
            <w:tcBorders>
              <w:top w:val="nil"/>
              <w:left w:val="nil"/>
              <w:bottom w:val="single" w:sz="4" w:space="0" w:color="auto"/>
              <w:right w:val="single" w:sz="4" w:space="0" w:color="auto"/>
            </w:tcBorders>
            <w:shd w:val="clear" w:color="auto" w:fill="auto"/>
            <w:vAlign w:val="bottom"/>
          </w:tcPr>
          <w:p w:rsidR="00695518" w:rsidRPr="00695518" w:rsidRDefault="00633E36" w:rsidP="00DE4BB0">
            <w:pPr>
              <w:jc w:val="right"/>
              <w:rPr>
                <w:rFonts w:eastAsia="Times New Roman"/>
                <w:color w:val="000000"/>
                <w:sz w:val="20"/>
                <w:szCs w:val="20"/>
              </w:rPr>
            </w:pPr>
            <w:r>
              <w:rPr>
                <w:rFonts w:eastAsia="Times New Roman"/>
                <w:color w:val="000000"/>
                <w:sz w:val="20"/>
                <w:szCs w:val="20"/>
              </w:rPr>
              <w:t>$2</w:t>
            </w:r>
            <w:r w:rsidR="00DE4BB0">
              <w:rPr>
                <w:rFonts w:eastAsia="Times New Roman"/>
                <w:color w:val="000000"/>
                <w:sz w:val="20"/>
                <w:szCs w:val="20"/>
              </w:rPr>
              <w:t>6</w:t>
            </w:r>
            <w:r>
              <w:rPr>
                <w:rFonts w:eastAsia="Times New Roman"/>
                <w:color w:val="000000"/>
                <w:sz w:val="20"/>
                <w:szCs w:val="20"/>
              </w:rPr>
              <w:t>,</w:t>
            </w:r>
            <w:r w:rsidR="00DE4BB0">
              <w:rPr>
                <w:rFonts w:eastAsia="Times New Roman"/>
                <w:color w:val="000000"/>
                <w:sz w:val="20"/>
                <w:szCs w:val="20"/>
              </w:rPr>
              <w:t>000</w:t>
            </w:r>
          </w:p>
        </w:tc>
      </w:tr>
      <w:tr w:rsidR="003A6DAA" w:rsidRPr="000714D7" w:rsidTr="00695518">
        <w:trPr>
          <w:trHeight w:val="255"/>
          <w:jc w:val="center"/>
        </w:trPr>
        <w:tc>
          <w:tcPr>
            <w:tcW w:w="2335" w:type="dxa"/>
            <w:tcBorders>
              <w:top w:val="nil"/>
              <w:left w:val="single" w:sz="4" w:space="0" w:color="auto"/>
              <w:bottom w:val="single" w:sz="4" w:space="0" w:color="auto"/>
              <w:right w:val="single" w:sz="4" w:space="0" w:color="auto"/>
            </w:tcBorders>
            <w:shd w:val="clear" w:color="auto" w:fill="auto"/>
          </w:tcPr>
          <w:p w:rsidR="003A6DAA" w:rsidRPr="001774B5" w:rsidRDefault="003A6DAA" w:rsidP="00764293">
            <w:pPr>
              <w:rPr>
                <w:sz w:val="20"/>
                <w:szCs w:val="20"/>
              </w:rPr>
            </w:pPr>
            <w:r>
              <w:rPr>
                <w:sz w:val="20"/>
                <w:szCs w:val="20"/>
              </w:rPr>
              <w:t>Certificate of Representation</w:t>
            </w:r>
          </w:p>
        </w:tc>
        <w:tc>
          <w:tcPr>
            <w:tcW w:w="1259" w:type="dxa"/>
            <w:tcBorders>
              <w:top w:val="nil"/>
              <w:left w:val="nil"/>
              <w:bottom w:val="single" w:sz="4" w:space="0" w:color="auto"/>
              <w:right w:val="single" w:sz="4" w:space="0" w:color="auto"/>
            </w:tcBorders>
            <w:shd w:val="clear" w:color="auto" w:fill="auto"/>
            <w:vAlign w:val="bottom"/>
          </w:tcPr>
          <w:p w:rsidR="003A6DAA" w:rsidRPr="00695518" w:rsidRDefault="003A6DAA" w:rsidP="00764293">
            <w:pPr>
              <w:jc w:val="right"/>
              <w:rPr>
                <w:rFonts w:eastAsia="Times New Roman"/>
                <w:color w:val="000000"/>
                <w:sz w:val="20"/>
                <w:szCs w:val="20"/>
              </w:rPr>
            </w:pPr>
            <w:r w:rsidRPr="00695518">
              <w:rPr>
                <w:rFonts w:eastAsia="Times New Roman"/>
                <w:color w:val="000000"/>
                <w:sz w:val="20"/>
                <w:szCs w:val="20"/>
              </w:rPr>
              <w:t>0.50</w:t>
            </w:r>
          </w:p>
        </w:tc>
        <w:tc>
          <w:tcPr>
            <w:tcW w:w="1139" w:type="dxa"/>
            <w:tcBorders>
              <w:top w:val="nil"/>
              <w:left w:val="nil"/>
              <w:bottom w:val="single" w:sz="4" w:space="0" w:color="auto"/>
              <w:right w:val="single" w:sz="4" w:space="0" w:color="auto"/>
            </w:tcBorders>
            <w:shd w:val="clear" w:color="auto" w:fill="auto"/>
            <w:vAlign w:val="bottom"/>
          </w:tcPr>
          <w:p w:rsidR="003A6DAA" w:rsidRPr="00695518" w:rsidRDefault="003A6DAA" w:rsidP="00764293">
            <w:pPr>
              <w:jc w:val="right"/>
              <w:rPr>
                <w:rFonts w:eastAsia="Times New Roman"/>
                <w:color w:val="000000"/>
                <w:sz w:val="20"/>
                <w:szCs w:val="20"/>
              </w:rPr>
            </w:pPr>
            <w:r w:rsidRPr="00695518">
              <w:rPr>
                <w:rFonts w:eastAsia="Times New Roman"/>
                <w:color w:val="000000"/>
                <w:sz w:val="20"/>
                <w:szCs w:val="20"/>
              </w:rPr>
              <w:t>0.50</w:t>
            </w:r>
          </w:p>
        </w:tc>
        <w:tc>
          <w:tcPr>
            <w:tcW w:w="1302" w:type="dxa"/>
            <w:tcBorders>
              <w:top w:val="nil"/>
              <w:left w:val="nil"/>
              <w:bottom w:val="single" w:sz="4" w:space="0" w:color="auto"/>
              <w:right w:val="single" w:sz="4" w:space="0" w:color="auto"/>
            </w:tcBorders>
            <w:shd w:val="clear" w:color="auto" w:fill="auto"/>
            <w:vAlign w:val="bottom"/>
          </w:tcPr>
          <w:p w:rsidR="003A6DAA" w:rsidRPr="00695518" w:rsidRDefault="003A6DAA" w:rsidP="00612D98">
            <w:pPr>
              <w:jc w:val="right"/>
              <w:rPr>
                <w:rFonts w:eastAsia="Times New Roman"/>
                <w:color w:val="000000"/>
                <w:sz w:val="20"/>
                <w:szCs w:val="20"/>
              </w:rPr>
            </w:pPr>
            <w:r w:rsidRPr="00695518">
              <w:rPr>
                <w:rFonts w:eastAsia="Times New Roman"/>
                <w:color w:val="000000"/>
                <w:sz w:val="20"/>
                <w:szCs w:val="20"/>
              </w:rPr>
              <w:t>1</w:t>
            </w:r>
          </w:p>
        </w:tc>
        <w:tc>
          <w:tcPr>
            <w:tcW w:w="1311" w:type="dxa"/>
            <w:tcBorders>
              <w:top w:val="nil"/>
              <w:left w:val="nil"/>
              <w:bottom w:val="single" w:sz="4" w:space="0" w:color="auto"/>
              <w:right w:val="single" w:sz="4" w:space="0" w:color="auto"/>
            </w:tcBorders>
            <w:shd w:val="clear" w:color="auto" w:fill="auto"/>
            <w:vAlign w:val="bottom"/>
          </w:tcPr>
          <w:p w:rsidR="003A6DAA" w:rsidRPr="00695518" w:rsidRDefault="003A6DAA" w:rsidP="00DE4BB0">
            <w:pPr>
              <w:jc w:val="right"/>
              <w:rPr>
                <w:rFonts w:eastAsia="Times New Roman"/>
                <w:color w:val="000000"/>
                <w:sz w:val="20"/>
                <w:szCs w:val="20"/>
              </w:rPr>
            </w:pPr>
            <w:r w:rsidRPr="00695518">
              <w:rPr>
                <w:rFonts w:eastAsia="Times New Roman"/>
                <w:color w:val="000000"/>
                <w:sz w:val="20"/>
                <w:szCs w:val="20"/>
              </w:rPr>
              <w:t>$</w:t>
            </w:r>
            <w:r w:rsidR="00DE4BB0" w:rsidRPr="00695518">
              <w:rPr>
                <w:rFonts w:eastAsia="Times New Roman"/>
                <w:color w:val="000000"/>
                <w:sz w:val="20"/>
                <w:szCs w:val="20"/>
              </w:rPr>
              <w:t>8</w:t>
            </w:r>
            <w:r w:rsidR="00DE4BB0">
              <w:rPr>
                <w:rFonts w:eastAsia="Times New Roman"/>
                <w:color w:val="000000"/>
                <w:sz w:val="20"/>
                <w:szCs w:val="20"/>
              </w:rPr>
              <w:t>1</w:t>
            </w:r>
          </w:p>
        </w:tc>
        <w:tc>
          <w:tcPr>
            <w:tcW w:w="990" w:type="dxa"/>
            <w:tcBorders>
              <w:top w:val="nil"/>
              <w:left w:val="nil"/>
              <w:bottom w:val="single" w:sz="4" w:space="0" w:color="auto"/>
              <w:right w:val="single" w:sz="4" w:space="0" w:color="auto"/>
            </w:tcBorders>
            <w:shd w:val="clear" w:color="auto" w:fill="auto"/>
            <w:vAlign w:val="bottom"/>
          </w:tcPr>
          <w:p w:rsidR="003A6DAA" w:rsidRPr="00695518" w:rsidRDefault="003A6DAA" w:rsidP="00764293">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3A6DAA" w:rsidRPr="00695518" w:rsidRDefault="003A6DAA" w:rsidP="00764293">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3A6DAA" w:rsidRPr="00695518" w:rsidRDefault="003A6DAA" w:rsidP="00764293">
            <w:pPr>
              <w:jc w:val="right"/>
              <w:rPr>
                <w:rFonts w:eastAsia="Times New Roman"/>
                <w:color w:val="000000"/>
                <w:sz w:val="20"/>
                <w:szCs w:val="20"/>
              </w:rPr>
            </w:pPr>
            <w:r w:rsidRPr="000714D7">
              <w:rPr>
                <w:rFonts w:eastAsia="Times New Roman"/>
                <w:color w:val="000000"/>
                <w:sz w:val="20"/>
                <w:szCs w:val="20"/>
              </w:rPr>
              <w:t>1201</w:t>
            </w:r>
          </w:p>
        </w:tc>
        <w:tc>
          <w:tcPr>
            <w:tcW w:w="1288" w:type="dxa"/>
            <w:tcBorders>
              <w:top w:val="nil"/>
              <w:left w:val="nil"/>
              <w:bottom w:val="single" w:sz="4" w:space="0" w:color="auto"/>
              <w:right w:val="single" w:sz="4" w:space="0" w:color="auto"/>
            </w:tcBorders>
            <w:shd w:val="clear" w:color="auto" w:fill="auto"/>
            <w:vAlign w:val="bottom"/>
          </w:tcPr>
          <w:p w:rsidR="003A6DAA" w:rsidRPr="00695518" w:rsidRDefault="003A6DAA" w:rsidP="00764293">
            <w:pPr>
              <w:jc w:val="right"/>
              <w:rPr>
                <w:rFonts w:eastAsia="Times New Roman"/>
                <w:color w:val="000000"/>
                <w:sz w:val="20"/>
                <w:szCs w:val="20"/>
              </w:rPr>
            </w:pPr>
            <w:r w:rsidRPr="000714D7">
              <w:rPr>
                <w:rFonts w:eastAsia="Times New Roman"/>
                <w:color w:val="000000"/>
                <w:sz w:val="20"/>
                <w:szCs w:val="20"/>
              </w:rPr>
              <w:t>1,201</w:t>
            </w:r>
          </w:p>
        </w:tc>
        <w:tc>
          <w:tcPr>
            <w:tcW w:w="1145" w:type="dxa"/>
            <w:tcBorders>
              <w:top w:val="nil"/>
              <w:left w:val="nil"/>
              <w:bottom w:val="single" w:sz="4" w:space="0" w:color="auto"/>
              <w:right w:val="single" w:sz="4" w:space="0" w:color="auto"/>
            </w:tcBorders>
            <w:shd w:val="clear" w:color="auto" w:fill="auto"/>
            <w:vAlign w:val="bottom"/>
          </w:tcPr>
          <w:p w:rsidR="003A6DAA" w:rsidRPr="00695518" w:rsidRDefault="003A6DAA" w:rsidP="00DE4BB0">
            <w:pPr>
              <w:jc w:val="right"/>
              <w:rPr>
                <w:rFonts w:eastAsia="Times New Roman"/>
                <w:color w:val="000000"/>
                <w:sz w:val="20"/>
                <w:szCs w:val="20"/>
              </w:rPr>
            </w:pPr>
            <w:r w:rsidRPr="000714D7">
              <w:rPr>
                <w:rFonts w:eastAsia="Times New Roman"/>
                <w:color w:val="000000"/>
                <w:sz w:val="20"/>
                <w:szCs w:val="20"/>
              </w:rPr>
              <w:t>$9</w:t>
            </w:r>
            <w:r w:rsidR="00DE4BB0">
              <w:rPr>
                <w:rFonts w:eastAsia="Times New Roman"/>
                <w:color w:val="000000"/>
                <w:sz w:val="20"/>
                <w:szCs w:val="20"/>
              </w:rPr>
              <w:t>7</w:t>
            </w:r>
            <w:r w:rsidR="004D3D3E">
              <w:rPr>
                <w:rFonts w:eastAsia="Times New Roman"/>
                <w:color w:val="000000"/>
                <w:sz w:val="20"/>
                <w:szCs w:val="20"/>
              </w:rPr>
              <w:t>,</w:t>
            </w:r>
            <w:r w:rsidR="00DE4BB0">
              <w:rPr>
                <w:rFonts w:eastAsia="Times New Roman"/>
                <w:color w:val="000000"/>
                <w:sz w:val="20"/>
                <w:szCs w:val="20"/>
              </w:rPr>
              <w:t>281</w:t>
            </w:r>
          </w:p>
        </w:tc>
      </w:tr>
      <w:tr w:rsidR="00764293"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764293" w:rsidRPr="001774B5" w:rsidRDefault="00F56B02" w:rsidP="00D12499">
            <w:pPr>
              <w:jc w:val="center"/>
              <w:rPr>
                <w:b/>
                <w:bCs/>
                <w:sz w:val="20"/>
                <w:szCs w:val="20"/>
              </w:rPr>
            </w:pPr>
            <w:r>
              <w:rPr>
                <w:b/>
                <w:bCs/>
                <w:sz w:val="20"/>
                <w:szCs w:val="20"/>
              </w:rPr>
              <w:t>Startup/</w:t>
            </w:r>
            <w:r w:rsidR="00764293" w:rsidRPr="001774B5">
              <w:rPr>
                <w:b/>
                <w:bCs/>
                <w:sz w:val="20"/>
                <w:szCs w:val="20"/>
              </w:rPr>
              <w:t>Capital Items</w:t>
            </w:r>
          </w:p>
        </w:tc>
      </w:tr>
      <w:tr w:rsidR="00764293" w:rsidRPr="001774B5" w:rsidTr="002050C7">
        <w:trPr>
          <w:trHeight w:val="255"/>
          <w:jc w:val="center"/>
        </w:trPr>
        <w:tc>
          <w:tcPr>
            <w:tcW w:w="12960" w:type="dxa"/>
            <w:gridSpan w:val="10"/>
            <w:tcBorders>
              <w:top w:val="single" w:sz="4" w:space="0" w:color="auto"/>
              <w:left w:val="single" w:sz="4" w:space="0" w:color="auto"/>
              <w:bottom w:val="single" w:sz="4" w:space="0" w:color="auto"/>
              <w:right w:val="single" w:sz="4" w:space="0" w:color="000000"/>
            </w:tcBorders>
            <w:shd w:val="clear" w:color="auto" w:fill="auto"/>
          </w:tcPr>
          <w:p w:rsidR="00764293" w:rsidRPr="001774B5" w:rsidRDefault="00764293" w:rsidP="00D12499">
            <w:pPr>
              <w:rPr>
                <w:b/>
                <w:bCs/>
                <w:sz w:val="20"/>
                <w:szCs w:val="20"/>
              </w:rPr>
            </w:pPr>
            <w:smartTag w:uri="urn:schemas-microsoft-com:office:smarttags" w:element="State">
              <w:r>
                <w:rPr>
                  <w:b/>
                  <w:bCs/>
                  <w:sz w:val="20"/>
                  <w:szCs w:val="20"/>
                </w:rPr>
                <w:t>Kansas</w:t>
              </w:r>
            </w:smartTag>
            <w:r>
              <w:rPr>
                <w:b/>
                <w:bCs/>
                <w:sz w:val="20"/>
                <w:szCs w:val="20"/>
              </w:rPr>
              <w:t xml:space="preserve">, </w:t>
            </w:r>
            <w:smartTag w:uri="urn:schemas-microsoft-com:office:smarttags" w:element="State">
              <w:r>
                <w:rPr>
                  <w:b/>
                  <w:bCs/>
                  <w:sz w:val="20"/>
                  <w:szCs w:val="20"/>
                </w:rPr>
                <w:t>Minnesota</w:t>
              </w:r>
            </w:smartTag>
            <w:r>
              <w:rPr>
                <w:b/>
                <w:bCs/>
                <w:sz w:val="20"/>
                <w:szCs w:val="20"/>
              </w:rPr>
              <w:t xml:space="preserve">, </w:t>
            </w:r>
            <w:smartTag w:uri="urn:schemas-microsoft-com:office:smarttags" w:element="State">
              <w:r>
                <w:rPr>
                  <w:b/>
                  <w:bCs/>
                  <w:sz w:val="20"/>
                  <w:szCs w:val="20"/>
                </w:rPr>
                <w:t>Nebraska</w:t>
              </w:r>
            </w:smartTag>
            <w:r>
              <w:rPr>
                <w:b/>
                <w:bCs/>
                <w:sz w:val="20"/>
                <w:szCs w:val="20"/>
              </w:rPr>
              <w:t xml:space="preserve">, </w:t>
            </w:r>
            <w:smartTag w:uri="urn:schemas-microsoft-com:office:smarttags" w:element="place">
              <w:smartTag w:uri="urn:schemas-microsoft-com:office:smarttags" w:element="State">
                <w:r>
                  <w:rPr>
                    <w:b/>
                    <w:bCs/>
                    <w:sz w:val="20"/>
                    <w:szCs w:val="20"/>
                  </w:rPr>
                  <w:t>Oklahoma</w:t>
                </w:r>
              </w:smartTag>
            </w:smartTag>
            <w:r w:rsidRPr="001774B5">
              <w:rPr>
                <w:b/>
                <w:bCs/>
                <w:sz w:val="20"/>
                <w:szCs w:val="20"/>
              </w:rPr>
              <w:t xml:space="preserve"> </w:t>
            </w:r>
            <w:r>
              <w:rPr>
                <w:b/>
                <w:bCs/>
                <w:sz w:val="20"/>
                <w:szCs w:val="20"/>
              </w:rPr>
              <w:t>(Previously Not Affected)</w:t>
            </w:r>
          </w:p>
        </w:tc>
      </w:tr>
      <w:tr w:rsidR="00695518" w:rsidRPr="001774B5" w:rsidTr="00695518">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95518" w:rsidRPr="001774B5" w:rsidRDefault="00695518" w:rsidP="00764293">
            <w:pPr>
              <w:ind w:left="245" w:hanging="245"/>
              <w:rPr>
                <w:sz w:val="20"/>
                <w:szCs w:val="20"/>
              </w:rPr>
            </w:pPr>
            <w:r>
              <w:rPr>
                <w:sz w:val="20"/>
                <w:szCs w:val="20"/>
              </w:rPr>
              <w:t>a.</w:t>
            </w:r>
            <w:r w:rsidRPr="001774B5">
              <w:rPr>
                <w:sz w:val="20"/>
                <w:szCs w:val="20"/>
              </w:rPr>
              <w:t xml:space="preserve">  DAHS modification (facilities)</w:t>
            </w:r>
          </w:p>
        </w:tc>
        <w:tc>
          <w:tcPr>
            <w:tcW w:w="1259" w:type="dxa"/>
            <w:tcBorders>
              <w:top w:val="nil"/>
              <w:left w:val="nil"/>
              <w:bottom w:val="single" w:sz="4" w:space="0" w:color="auto"/>
              <w:right w:val="single" w:sz="4" w:space="0" w:color="auto"/>
            </w:tcBorders>
            <w:shd w:val="clear" w:color="auto" w:fill="auto"/>
            <w:vAlign w:val="bottom"/>
          </w:tcPr>
          <w:p w:rsidR="00695518" w:rsidRPr="00695518" w:rsidRDefault="00695518" w:rsidP="00612D98">
            <w:pPr>
              <w:jc w:val="right"/>
              <w:rPr>
                <w:rFonts w:eastAsia="Times New Roman"/>
                <w:color w:val="000000"/>
                <w:sz w:val="20"/>
                <w:szCs w:val="20"/>
              </w:rPr>
            </w:pPr>
            <w:r w:rsidRPr="00695518">
              <w:rPr>
                <w:rFonts w:eastAsia="Times New Roman"/>
                <w:color w:val="000000"/>
                <w:sz w:val="20"/>
                <w:szCs w:val="20"/>
              </w:rPr>
              <w:t>2</w:t>
            </w:r>
          </w:p>
        </w:tc>
        <w:tc>
          <w:tcPr>
            <w:tcW w:w="1139"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4</w:t>
            </w:r>
          </w:p>
        </w:tc>
        <w:tc>
          <w:tcPr>
            <w:tcW w:w="1302"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6</w:t>
            </w:r>
          </w:p>
        </w:tc>
        <w:tc>
          <w:tcPr>
            <w:tcW w:w="1311" w:type="dxa"/>
            <w:tcBorders>
              <w:top w:val="nil"/>
              <w:left w:val="nil"/>
              <w:bottom w:val="single" w:sz="4" w:space="0" w:color="auto"/>
              <w:right w:val="single" w:sz="4" w:space="0" w:color="auto"/>
            </w:tcBorders>
            <w:shd w:val="clear" w:color="auto" w:fill="auto"/>
            <w:vAlign w:val="bottom"/>
          </w:tcPr>
          <w:p w:rsidR="00695518" w:rsidRPr="00695518" w:rsidRDefault="00695518" w:rsidP="00A1302D">
            <w:pPr>
              <w:jc w:val="right"/>
              <w:rPr>
                <w:rFonts w:eastAsia="Times New Roman"/>
                <w:color w:val="000000"/>
                <w:sz w:val="20"/>
                <w:szCs w:val="20"/>
              </w:rPr>
            </w:pPr>
            <w:r w:rsidRPr="00695518">
              <w:rPr>
                <w:rFonts w:eastAsia="Times New Roman"/>
                <w:color w:val="000000"/>
                <w:sz w:val="20"/>
                <w:szCs w:val="20"/>
              </w:rPr>
              <w:t>$</w:t>
            </w:r>
            <w:r w:rsidR="00A1302D">
              <w:rPr>
                <w:rFonts w:eastAsia="Times New Roman"/>
                <w:color w:val="000000"/>
                <w:sz w:val="20"/>
                <w:szCs w:val="20"/>
              </w:rPr>
              <w:t>460</w:t>
            </w:r>
          </w:p>
        </w:tc>
        <w:tc>
          <w:tcPr>
            <w:tcW w:w="990"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$1,333</w:t>
            </w:r>
          </w:p>
        </w:tc>
        <w:tc>
          <w:tcPr>
            <w:tcW w:w="811"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35</w:t>
            </w:r>
          </w:p>
        </w:tc>
        <w:tc>
          <w:tcPr>
            <w:tcW w:w="1288"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210</w:t>
            </w:r>
          </w:p>
        </w:tc>
        <w:tc>
          <w:tcPr>
            <w:tcW w:w="1145" w:type="dxa"/>
            <w:tcBorders>
              <w:top w:val="nil"/>
              <w:left w:val="nil"/>
              <w:bottom w:val="single" w:sz="4" w:space="0" w:color="auto"/>
              <w:right w:val="single" w:sz="4" w:space="0" w:color="auto"/>
            </w:tcBorders>
            <w:shd w:val="clear" w:color="auto" w:fill="auto"/>
            <w:vAlign w:val="bottom"/>
          </w:tcPr>
          <w:p w:rsidR="00695518" w:rsidRPr="00695518" w:rsidRDefault="00695518" w:rsidP="00A1302D">
            <w:pPr>
              <w:jc w:val="right"/>
              <w:rPr>
                <w:rFonts w:eastAsia="Times New Roman"/>
                <w:color w:val="000000"/>
                <w:sz w:val="20"/>
                <w:szCs w:val="20"/>
              </w:rPr>
            </w:pPr>
            <w:r w:rsidRPr="00695518">
              <w:rPr>
                <w:rFonts w:eastAsia="Times New Roman"/>
                <w:color w:val="000000"/>
                <w:sz w:val="20"/>
                <w:szCs w:val="20"/>
              </w:rPr>
              <w:t>$62,</w:t>
            </w:r>
            <w:r w:rsidR="00A1302D">
              <w:rPr>
                <w:rFonts w:eastAsia="Times New Roman"/>
                <w:color w:val="000000"/>
                <w:sz w:val="20"/>
                <w:szCs w:val="20"/>
              </w:rPr>
              <w:t>745</w:t>
            </w:r>
          </w:p>
        </w:tc>
      </w:tr>
      <w:tr w:rsidR="00695518" w:rsidRPr="001774B5" w:rsidTr="00695518">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95518" w:rsidRPr="001774B5" w:rsidRDefault="00695518" w:rsidP="00764293">
            <w:pPr>
              <w:ind w:left="245" w:hanging="245"/>
              <w:rPr>
                <w:sz w:val="20"/>
                <w:szCs w:val="20"/>
              </w:rPr>
            </w:pPr>
            <w:r>
              <w:rPr>
                <w:sz w:val="20"/>
                <w:szCs w:val="20"/>
              </w:rPr>
              <w:t>b.</w:t>
            </w:r>
            <w:r w:rsidRPr="001774B5">
              <w:rPr>
                <w:sz w:val="20"/>
                <w:szCs w:val="20"/>
              </w:rPr>
              <w:t xml:space="preserve">  Solid Fuel:  SO</w:t>
            </w:r>
            <w:r w:rsidRPr="001774B5">
              <w:rPr>
                <w:sz w:val="20"/>
                <w:szCs w:val="20"/>
                <w:vertAlign w:val="subscript"/>
              </w:rPr>
              <w:t>2</w:t>
            </w:r>
            <w:r w:rsidRPr="001774B5">
              <w:rPr>
                <w:sz w:val="20"/>
                <w:szCs w:val="20"/>
              </w:rPr>
              <w:t>, NO</w:t>
            </w:r>
            <w:r w:rsidR="0046535C">
              <w:rPr>
                <w:sz w:val="20"/>
                <w:szCs w:val="20"/>
                <w:vertAlign w:val="subscript"/>
              </w:rPr>
              <w:t>X</w:t>
            </w:r>
            <w:r w:rsidRPr="001774B5">
              <w:rPr>
                <w:sz w:val="20"/>
                <w:szCs w:val="20"/>
              </w:rPr>
              <w:t>, and Flow CEMS (units)</w:t>
            </w:r>
          </w:p>
        </w:tc>
        <w:tc>
          <w:tcPr>
            <w:tcW w:w="1259"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34</w:t>
            </w:r>
          </w:p>
        </w:tc>
        <w:tc>
          <w:tcPr>
            <w:tcW w:w="1139"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2</w:t>
            </w:r>
            <w:r w:rsidR="00612D98">
              <w:rPr>
                <w:rFonts w:eastAsia="Times New Roman"/>
                <w:color w:val="000000"/>
                <w:sz w:val="20"/>
                <w:szCs w:val="20"/>
              </w:rPr>
              <w:t>3</w:t>
            </w:r>
          </w:p>
        </w:tc>
        <w:tc>
          <w:tcPr>
            <w:tcW w:w="1302"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57</w:t>
            </w:r>
          </w:p>
        </w:tc>
        <w:tc>
          <w:tcPr>
            <w:tcW w:w="1311" w:type="dxa"/>
            <w:tcBorders>
              <w:top w:val="nil"/>
              <w:left w:val="nil"/>
              <w:bottom w:val="single" w:sz="4" w:space="0" w:color="auto"/>
              <w:right w:val="single" w:sz="4" w:space="0" w:color="auto"/>
            </w:tcBorders>
            <w:shd w:val="clear" w:color="auto" w:fill="auto"/>
            <w:vAlign w:val="bottom"/>
          </w:tcPr>
          <w:p w:rsidR="00695518" w:rsidRPr="00695518" w:rsidRDefault="00695518" w:rsidP="00A1302D">
            <w:pPr>
              <w:jc w:val="right"/>
              <w:rPr>
                <w:rFonts w:eastAsia="Times New Roman"/>
                <w:color w:val="000000"/>
                <w:sz w:val="20"/>
                <w:szCs w:val="20"/>
              </w:rPr>
            </w:pPr>
            <w:r w:rsidRPr="00695518">
              <w:rPr>
                <w:rFonts w:eastAsia="Times New Roman"/>
                <w:color w:val="000000"/>
                <w:sz w:val="20"/>
                <w:szCs w:val="20"/>
              </w:rPr>
              <w:t>$4,</w:t>
            </w:r>
            <w:r w:rsidR="00A1302D">
              <w:rPr>
                <w:rFonts w:eastAsia="Times New Roman"/>
                <w:color w:val="000000"/>
                <w:sz w:val="20"/>
                <w:szCs w:val="20"/>
              </w:rPr>
              <w:t>783</w:t>
            </w:r>
          </w:p>
        </w:tc>
        <w:tc>
          <w:tcPr>
            <w:tcW w:w="990"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$29,752</w:t>
            </w:r>
          </w:p>
        </w:tc>
        <w:tc>
          <w:tcPr>
            <w:tcW w:w="811"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7</w:t>
            </w:r>
          </w:p>
        </w:tc>
        <w:tc>
          <w:tcPr>
            <w:tcW w:w="1288"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399</w:t>
            </w:r>
          </w:p>
        </w:tc>
        <w:tc>
          <w:tcPr>
            <w:tcW w:w="1145" w:type="dxa"/>
            <w:tcBorders>
              <w:top w:val="nil"/>
              <w:left w:val="nil"/>
              <w:bottom w:val="single" w:sz="4" w:space="0" w:color="auto"/>
              <w:right w:val="single" w:sz="4" w:space="0" w:color="auto"/>
            </w:tcBorders>
            <w:shd w:val="clear" w:color="auto" w:fill="auto"/>
            <w:vAlign w:val="bottom"/>
          </w:tcPr>
          <w:p w:rsidR="00695518" w:rsidRPr="00695518" w:rsidRDefault="00695518" w:rsidP="00A1302D">
            <w:pPr>
              <w:jc w:val="right"/>
              <w:rPr>
                <w:rFonts w:eastAsia="Times New Roman"/>
                <w:color w:val="000000"/>
                <w:sz w:val="20"/>
                <w:szCs w:val="20"/>
              </w:rPr>
            </w:pPr>
            <w:r w:rsidRPr="00695518">
              <w:rPr>
                <w:rFonts w:eastAsia="Times New Roman"/>
                <w:color w:val="000000"/>
                <w:sz w:val="20"/>
                <w:szCs w:val="20"/>
              </w:rPr>
              <w:t>$241,</w:t>
            </w:r>
            <w:r w:rsidR="00A1302D">
              <w:rPr>
                <w:rFonts w:eastAsia="Times New Roman"/>
                <w:color w:val="000000"/>
                <w:sz w:val="20"/>
                <w:szCs w:val="20"/>
              </w:rPr>
              <w:t>746</w:t>
            </w:r>
          </w:p>
        </w:tc>
      </w:tr>
      <w:tr w:rsidR="00695518" w:rsidRPr="001774B5" w:rsidTr="00695518">
        <w:trPr>
          <w:trHeight w:val="126"/>
          <w:jc w:val="center"/>
        </w:trPr>
        <w:tc>
          <w:tcPr>
            <w:tcW w:w="2335" w:type="dxa"/>
            <w:tcBorders>
              <w:top w:val="nil"/>
              <w:left w:val="single" w:sz="4" w:space="0" w:color="auto"/>
              <w:bottom w:val="single" w:sz="4" w:space="0" w:color="auto"/>
              <w:right w:val="single" w:sz="4" w:space="0" w:color="auto"/>
            </w:tcBorders>
            <w:shd w:val="clear" w:color="auto" w:fill="auto"/>
          </w:tcPr>
          <w:p w:rsidR="00695518" w:rsidRPr="001774B5" w:rsidRDefault="00695518" w:rsidP="00764293">
            <w:pPr>
              <w:ind w:left="245" w:hanging="245"/>
              <w:rPr>
                <w:sz w:val="20"/>
                <w:szCs w:val="20"/>
              </w:rPr>
            </w:pPr>
            <w:r>
              <w:rPr>
                <w:sz w:val="20"/>
                <w:szCs w:val="20"/>
              </w:rPr>
              <w:t>c</w:t>
            </w:r>
            <w:r w:rsidRPr="001774B5">
              <w:rPr>
                <w:sz w:val="20"/>
                <w:szCs w:val="20"/>
              </w:rPr>
              <w:t>.  Gas-Oil:  NO</w:t>
            </w:r>
            <w:r w:rsidR="0046535C">
              <w:rPr>
                <w:sz w:val="20"/>
                <w:szCs w:val="20"/>
                <w:vertAlign w:val="subscript"/>
              </w:rPr>
              <w:t>X</w:t>
            </w:r>
            <w:r w:rsidRPr="001774B5">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64</w:t>
            </w:r>
          </w:p>
        </w:tc>
        <w:tc>
          <w:tcPr>
            <w:tcW w:w="1139"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10</w:t>
            </w:r>
          </w:p>
        </w:tc>
        <w:tc>
          <w:tcPr>
            <w:tcW w:w="1302"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74</w:t>
            </w:r>
          </w:p>
        </w:tc>
        <w:tc>
          <w:tcPr>
            <w:tcW w:w="1311" w:type="dxa"/>
            <w:tcBorders>
              <w:top w:val="nil"/>
              <w:left w:val="nil"/>
              <w:bottom w:val="single" w:sz="4" w:space="0" w:color="auto"/>
              <w:right w:val="single" w:sz="4" w:space="0" w:color="auto"/>
            </w:tcBorders>
            <w:shd w:val="clear" w:color="auto" w:fill="auto"/>
            <w:vAlign w:val="bottom"/>
          </w:tcPr>
          <w:p w:rsidR="00695518" w:rsidRPr="00695518" w:rsidRDefault="00695518" w:rsidP="00A1302D">
            <w:pPr>
              <w:jc w:val="right"/>
              <w:rPr>
                <w:rFonts w:eastAsia="Times New Roman"/>
                <w:color w:val="000000"/>
                <w:sz w:val="20"/>
                <w:szCs w:val="20"/>
              </w:rPr>
            </w:pPr>
            <w:r w:rsidRPr="00695518">
              <w:rPr>
                <w:rFonts w:eastAsia="Times New Roman"/>
                <w:color w:val="000000"/>
                <w:sz w:val="20"/>
                <w:szCs w:val="20"/>
              </w:rPr>
              <w:t>$6,</w:t>
            </w:r>
            <w:r w:rsidR="00A1302D">
              <w:rPr>
                <w:rFonts w:eastAsia="Times New Roman"/>
                <w:color w:val="000000"/>
                <w:sz w:val="20"/>
                <w:szCs w:val="20"/>
              </w:rPr>
              <w:t>760</w:t>
            </w:r>
          </w:p>
        </w:tc>
        <w:tc>
          <w:tcPr>
            <w:tcW w:w="990"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$19,200</w:t>
            </w:r>
          </w:p>
        </w:tc>
        <w:tc>
          <w:tcPr>
            <w:tcW w:w="811"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17</w:t>
            </w:r>
          </w:p>
        </w:tc>
        <w:tc>
          <w:tcPr>
            <w:tcW w:w="1288" w:type="dxa"/>
            <w:tcBorders>
              <w:top w:val="nil"/>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1,258</w:t>
            </w:r>
          </w:p>
        </w:tc>
        <w:tc>
          <w:tcPr>
            <w:tcW w:w="1145" w:type="dxa"/>
            <w:tcBorders>
              <w:top w:val="nil"/>
              <w:left w:val="nil"/>
              <w:bottom w:val="single" w:sz="4" w:space="0" w:color="auto"/>
              <w:right w:val="single" w:sz="4" w:space="0" w:color="auto"/>
            </w:tcBorders>
            <w:shd w:val="clear" w:color="auto" w:fill="auto"/>
            <w:vAlign w:val="bottom"/>
          </w:tcPr>
          <w:p w:rsidR="00695518" w:rsidRPr="00695518" w:rsidRDefault="00695518" w:rsidP="00A1302D">
            <w:pPr>
              <w:jc w:val="right"/>
              <w:rPr>
                <w:rFonts w:eastAsia="Times New Roman"/>
                <w:color w:val="000000"/>
                <w:sz w:val="20"/>
                <w:szCs w:val="20"/>
              </w:rPr>
            </w:pPr>
            <w:r w:rsidRPr="00695518">
              <w:rPr>
                <w:rFonts w:eastAsia="Times New Roman"/>
                <w:color w:val="000000"/>
                <w:sz w:val="20"/>
                <w:szCs w:val="20"/>
              </w:rPr>
              <w:t>$4</w:t>
            </w:r>
            <w:r w:rsidR="00A1302D">
              <w:rPr>
                <w:rFonts w:eastAsia="Times New Roman"/>
                <w:color w:val="000000"/>
                <w:sz w:val="20"/>
                <w:szCs w:val="20"/>
              </w:rPr>
              <w:t>41,323</w:t>
            </w:r>
          </w:p>
        </w:tc>
      </w:tr>
      <w:tr w:rsidR="00695518" w:rsidRPr="001774B5" w:rsidTr="00695518">
        <w:trPr>
          <w:trHeight w:val="260"/>
          <w:jc w:val="center"/>
        </w:trPr>
        <w:tc>
          <w:tcPr>
            <w:tcW w:w="2335" w:type="dxa"/>
            <w:tcBorders>
              <w:top w:val="single" w:sz="4" w:space="0" w:color="auto"/>
              <w:left w:val="single" w:sz="4" w:space="0" w:color="auto"/>
              <w:bottom w:val="single" w:sz="4" w:space="0" w:color="auto"/>
              <w:right w:val="single" w:sz="4" w:space="0" w:color="auto"/>
            </w:tcBorders>
            <w:shd w:val="clear" w:color="auto" w:fill="auto"/>
          </w:tcPr>
          <w:p w:rsidR="00695518" w:rsidRPr="001774B5" w:rsidRDefault="00695518" w:rsidP="00764293">
            <w:pPr>
              <w:ind w:left="245" w:hanging="245"/>
              <w:rPr>
                <w:sz w:val="20"/>
                <w:szCs w:val="20"/>
              </w:rPr>
            </w:pPr>
            <w:r>
              <w:rPr>
                <w:sz w:val="20"/>
                <w:szCs w:val="20"/>
              </w:rPr>
              <w:t>d</w:t>
            </w:r>
            <w:r w:rsidRPr="001774B5">
              <w:rPr>
                <w:sz w:val="20"/>
                <w:szCs w:val="20"/>
              </w:rPr>
              <w:t>.  Gas-Oil Peaking Units:  Appendix D fuel sampling, Appendix E, or LME methods (units)</w:t>
            </w:r>
          </w:p>
        </w:tc>
        <w:tc>
          <w:tcPr>
            <w:tcW w:w="1259" w:type="dxa"/>
            <w:tcBorders>
              <w:top w:val="single" w:sz="4" w:space="0" w:color="auto"/>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20</w:t>
            </w:r>
          </w:p>
        </w:tc>
        <w:tc>
          <w:tcPr>
            <w:tcW w:w="1139" w:type="dxa"/>
            <w:tcBorders>
              <w:top w:val="single" w:sz="4" w:space="0" w:color="auto"/>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10</w:t>
            </w:r>
          </w:p>
        </w:tc>
        <w:tc>
          <w:tcPr>
            <w:tcW w:w="1302" w:type="dxa"/>
            <w:tcBorders>
              <w:top w:val="single" w:sz="4" w:space="0" w:color="auto"/>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3</w:t>
            </w:r>
            <w:r w:rsidR="00612D98">
              <w:rPr>
                <w:rFonts w:eastAsia="Times New Roman"/>
                <w:color w:val="000000"/>
                <w:sz w:val="20"/>
                <w:szCs w:val="20"/>
              </w:rPr>
              <w:t>0</w:t>
            </w:r>
          </w:p>
        </w:tc>
        <w:tc>
          <w:tcPr>
            <w:tcW w:w="1311" w:type="dxa"/>
            <w:tcBorders>
              <w:top w:val="single" w:sz="4" w:space="0" w:color="auto"/>
              <w:left w:val="nil"/>
              <w:bottom w:val="single" w:sz="4" w:space="0" w:color="auto"/>
              <w:right w:val="single" w:sz="4" w:space="0" w:color="auto"/>
            </w:tcBorders>
            <w:shd w:val="clear" w:color="auto" w:fill="auto"/>
            <w:vAlign w:val="bottom"/>
          </w:tcPr>
          <w:p w:rsidR="00695518" w:rsidRPr="00695518" w:rsidRDefault="00695518" w:rsidP="00A1302D">
            <w:pPr>
              <w:jc w:val="right"/>
              <w:rPr>
                <w:rFonts w:eastAsia="Times New Roman"/>
                <w:color w:val="000000"/>
                <w:sz w:val="20"/>
                <w:szCs w:val="20"/>
              </w:rPr>
            </w:pPr>
            <w:r w:rsidRPr="00695518">
              <w:rPr>
                <w:rFonts w:eastAsia="Times New Roman"/>
                <w:color w:val="000000"/>
                <w:sz w:val="20"/>
                <w:szCs w:val="20"/>
              </w:rPr>
              <w:t>$2,</w:t>
            </w:r>
            <w:r w:rsidR="00A1302D" w:rsidRPr="00695518">
              <w:rPr>
                <w:rFonts w:eastAsia="Times New Roman"/>
                <w:color w:val="000000"/>
                <w:sz w:val="20"/>
                <w:szCs w:val="20"/>
              </w:rPr>
              <w:t>5</w:t>
            </w:r>
            <w:r w:rsidR="00A1302D">
              <w:rPr>
                <w:rFonts w:eastAsia="Times New Roman"/>
                <w:color w:val="000000"/>
                <w:sz w:val="20"/>
                <w:szCs w:val="20"/>
              </w:rPr>
              <w:t>76</w:t>
            </w:r>
          </w:p>
        </w:tc>
        <w:tc>
          <w:tcPr>
            <w:tcW w:w="990" w:type="dxa"/>
            <w:tcBorders>
              <w:top w:val="single" w:sz="4" w:space="0" w:color="auto"/>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$2,304</w:t>
            </w:r>
          </w:p>
        </w:tc>
        <w:tc>
          <w:tcPr>
            <w:tcW w:w="811" w:type="dxa"/>
            <w:tcBorders>
              <w:top w:val="single" w:sz="4" w:space="0" w:color="auto"/>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p>
        </w:tc>
        <w:tc>
          <w:tcPr>
            <w:tcW w:w="1380" w:type="dxa"/>
            <w:tcBorders>
              <w:top w:val="single" w:sz="4" w:space="0" w:color="auto"/>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29</w:t>
            </w:r>
          </w:p>
        </w:tc>
        <w:tc>
          <w:tcPr>
            <w:tcW w:w="1288" w:type="dxa"/>
            <w:tcBorders>
              <w:top w:val="single" w:sz="4" w:space="0" w:color="auto"/>
              <w:left w:val="nil"/>
              <w:bottom w:val="single" w:sz="4" w:space="0" w:color="auto"/>
              <w:right w:val="single" w:sz="4" w:space="0" w:color="auto"/>
            </w:tcBorders>
            <w:shd w:val="clear" w:color="auto" w:fill="auto"/>
            <w:vAlign w:val="bottom"/>
          </w:tcPr>
          <w:p w:rsidR="00695518" w:rsidRPr="00695518" w:rsidRDefault="00695518" w:rsidP="00764293">
            <w:pPr>
              <w:jc w:val="right"/>
              <w:rPr>
                <w:rFonts w:eastAsia="Times New Roman"/>
                <w:color w:val="000000"/>
                <w:sz w:val="20"/>
                <w:szCs w:val="20"/>
              </w:rPr>
            </w:pPr>
            <w:r w:rsidRPr="00695518">
              <w:rPr>
                <w:rFonts w:eastAsia="Times New Roman"/>
                <w:color w:val="000000"/>
                <w:sz w:val="20"/>
                <w:szCs w:val="20"/>
              </w:rPr>
              <w:t>870</w:t>
            </w:r>
          </w:p>
        </w:tc>
        <w:tc>
          <w:tcPr>
            <w:tcW w:w="1145" w:type="dxa"/>
            <w:tcBorders>
              <w:top w:val="single" w:sz="4" w:space="0" w:color="auto"/>
              <w:left w:val="nil"/>
              <w:bottom w:val="single" w:sz="4" w:space="0" w:color="auto"/>
              <w:right w:val="single" w:sz="4" w:space="0" w:color="auto"/>
            </w:tcBorders>
            <w:shd w:val="clear" w:color="auto" w:fill="auto"/>
            <w:vAlign w:val="bottom"/>
          </w:tcPr>
          <w:p w:rsidR="00695518" w:rsidRPr="00695518" w:rsidRDefault="00695518" w:rsidP="001458B1">
            <w:pPr>
              <w:jc w:val="right"/>
              <w:rPr>
                <w:rFonts w:eastAsia="Times New Roman"/>
                <w:color w:val="000000"/>
                <w:sz w:val="20"/>
                <w:szCs w:val="20"/>
              </w:rPr>
            </w:pPr>
            <w:r w:rsidRPr="00695518">
              <w:rPr>
                <w:rFonts w:eastAsia="Times New Roman"/>
                <w:color w:val="000000"/>
                <w:sz w:val="20"/>
                <w:szCs w:val="20"/>
              </w:rPr>
              <w:t>$14</w:t>
            </w:r>
            <w:r w:rsidR="001458B1">
              <w:rPr>
                <w:rFonts w:eastAsia="Times New Roman"/>
                <w:color w:val="000000"/>
                <w:sz w:val="20"/>
                <w:szCs w:val="20"/>
              </w:rPr>
              <w:t>1</w:t>
            </w:r>
            <w:r w:rsidR="004D3D3E">
              <w:rPr>
                <w:rFonts w:eastAsia="Times New Roman"/>
                <w:color w:val="000000"/>
                <w:sz w:val="20"/>
                <w:szCs w:val="20"/>
              </w:rPr>
              <w:t>,</w:t>
            </w:r>
            <w:r w:rsidR="001458B1">
              <w:rPr>
                <w:rFonts w:eastAsia="Times New Roman"/>
                <w:color w:val="000000"/>
                <w:sz w:val="20"/>
                <w:szCs w:val="20"/>
              </w:rPr>
              <w:t>514</w:t>
            </w:r>
          </w:p>
        </w:tc>
      </w:tr>
      <w:tr w:rsidR="00F56B02" w:rsidRPr="001774B5" w:rsidTr="002050C7">
        <w:trPr>
          <w:trHeight w:val="255"/>
          <w:jc w:val="center"/>
        </w:trPr>
        <w:tc>
          <w:tcPr>
            <w:tcW w:w="12960" w:type="dxa"/>
            <w:gridSpan w:val="10"/>
            <w:tcBorders>
              <w:top w:val="single" w:sz="4" w:space="0" w:color="auto"/>
            </w:tcBorders>
            <w:shd w:val="clear" w:color="auto" w:fill="auto"/>
          </w:tcPr>
          <w:p w:rsidR="00F56B02" w:rsidRPr="001774B5" w:rsidRDefault="00F56B02" w:rsidP="00F56B02">
            <w:pPr>
              <w:jc w:val="right"/>
              <w:rPr>
                <w:sz w:val="20"/>
                <w:szCs w:val="20"/>
              </w:rPr>
            </w:pPr>
            <w:r>
              <w:rPr>
                <w:sz w:val="20"/>
                <w:szCs w:val="20"/>
              </w:rPr>
              <w:t>(cont.)</w:t>
            </w:r>
          </w:p>
        </w:tc>
      </w:tr>
      <w:tr w:rsidR="00F56B02" w:rsidTr="002050C7">
        <w:trPr>
          <w:trHeight w:val="255"/>
          <w:jc w:val="center"/>
        </w:trPr>
        <w:tc>
          <w:tcPr>
            <w:tcW w:w="12960" w:type="dxa"/>
            <w:gridSpan w:val="10"/>
            <w:tcBorders>
              <w:bottom w:val="single" w:sz="4" w:space="0" w:color="auto"/>
            </w:tcBorders>
            <w:shd w:val="clear" w:color="auto" w:fill="auto"/>
          </w:tcPr>
          <w:p w:rsidR="00F56B02" w:rsidRDefault="00F56B02" w:rsidP="0006245A">
            <w:pPr>
              <w:keepNext/>
              <w:keepLines/>
              <w:jc w:val="center"/>
              <w:rPr>
                <w:b/>
                <w:color w:val="0F0F0F"/>
              </w:rPr>
            </w:pPr>
            <w:r w:rsidRPr="001774B5">
              <w:rPr>
                <w:b/>
                <w:color w:val="0F0F0F"/>
              </w:rPr>
              <w:lastRenderedPageBreak/>
              <w:t xml:space="preserve">Table </w:t>
            </w:r>
            <w:r w:rsidR="009269F3">
              <w:rPr>
                <w:b/>
                <w:color w:val="0F0F0F"/>
              </w:rPr>
              <w:t>6-5</w:t>
            </w:r>
            <w:r>
              <w:rPr>
                <w:b/>
                <w:color w:val="0F0F0F"/>
              </w:rPr>
              <w:t>:</w:t>
            </w:r>
            <w:r w:rsidRPr="001774B5">
              <w:rPr>
                <w:b/>
                <w:color w:val="0F0F0F"/>
              </w:rPr>
              <w:t xml:space="preserve"> </w:t>
            </w:r>
            <w:r w:rsidRPr="001774B5">
              <w:rPr>
                <w:b/>
                <w:color w:val="0F0F0F"/>
              </w:rPr>
              <w:br/>
              <w:t>Annual Industry Respondent Burden and Cost by Activity</w:t>
            </w:r>
            <w:r w:rsidR="00DD6EB0">
              <w:rPr>
                <w:b/>
                <w:color w:val="0F0F0F"/>
              </w:rPr>
              <w:t xml:space="preserve"> </w:t>
            </w:r>
            <w:r>
              <w:rPr>
                <w:b/>
                <w:color w:val="0F0F0F"/>
              </w:rPr>
              <w:t>(cont.)</w:t>
            </w:r>
          </w:p>
          <w:p w:rsidR="00F56B02" w:rsidRDefault="00F56B02" w:rsidP="0006245A">
            <w:pPr>
              <w:keepNext/>
              <w:keepLines/>
              <w:jc w:val="center"/>
              <w:rPr>
                <w:sz w:val="20"/>
                <w:szCs w:val="20"/>
              </w:rPr>
            </w:pPr>
          </w:p>
        </w:tc>
      </w:tr>
      <w:tr w:rsidR="00F56B02" w:rsidRPr="00764293" w:rsidTr="002050C7">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F56B02" w:rsidRPr="00764293" w:rsidRDefault="00F56B02" w:rsidP="0006245A">
            <w:pPr>
              <w:keepNext/>
              <w:keepLines/>
              <w:jc w:val="center"/>
              <w:rPr>
                <w:b/>
                <w:bCs/>
                <w:sz w:val="22"/>
              </w:rPr>
            </w:pPr>
          </w:p>
          <w:p w:rsidR="00F56B02" w:rsidRPr="00764293" w:rsidRDefault="00F56B02" w:rsidP="0006245A">
            <w:pPr>
              <w:keepNext/>
              <w:keepLines/>
              <w:jc w:val="center"/>
              <w:rPr>
                <w:b/>
                <w:bCs/>
                <w:sz w:val="22"/>
              </w:rPr>
            </w:pPr>
          </w:p>
          <w:p w:rsidR="00F56B02" w:rsidRPr="00764293" w:rsidRDefault="00F56B02" w:rsidP="0006245A">
            <w:pPr>
              <w:keepNext/>
              <w:keepLines/>
              <w:jc w:val="center"/>
              <w:rPr>
                <w:b/>
                <w:bCs/>
                <w:sz w:val="22"/>
              </w:rPr>
            </w:pPr>
          </w:p>
          <w:p w:rsidR="00F56B02" w:rsidRPr="00764293" w:rsidRDefault="00F56B02" w:rsidP="0006245A">
            <w:pPr>
              <w:keepNext/>
              <w:keepLines/>
              <w:jc w:val="center"/>
              <w:rPr>
                <w:b/>
                <w:bCs/>
                <w:sz w:val="22"/>
              </w:rPr>
            </w:pPr>
          </w:p>
        </w:tc>
        <w:tc>
          <w:tcPr>
            <w:tcW w:w="1259" w:type="dxa"/>
            <w:tcBorders>
              <w:top w:val="single" w:sz="4" w:space="0" w:color="auto"/>
              <w:left w:val="nil"/>
              <w:bottom w:val="single" w:sz="4" w:space="0" w:color="auto"/>
            </w:tcBorders>
            <w:shd w:val="pct10" w:color="auto" w:fill="auto"/>
            <w:vAlign w:val="bottom"/>
          </w:tcPr>
          <w:p w:rsidR="00F56B02" w:rsidRPr="00764293" w:rsidRDefault="00F56B02" w:rsidP="00CC4439">
            <w:pPr>
              <w:keepNext/>
              <w:keepLines/>
              <w:jc w:val="center"/>
              <w:rPr>
                <w:b/>
                <w:bCs/>
                <w:sz w:val="22"/>
              </w:rPr>
            </w:pPr>
          </w:p>
        </w:tc>
        <w:tc>
          <w:tcPr>
            <w:tcW w:w="1139" w:type="dxa"/>
            <w:tcBorders>
              <w:top w:val="single" w:sz="4" w:space="0" w:color="auto"/>
              <w:bottom w:val="single" w:sz="4" w:space="0" w:color="auto"/>
            </w:tcBorders>
            <w:shd w:val="pct10" w:color="auto" w:fill="auto"/>
            <w:vAlign w:val="bottom"/>
          </w:tcPr>
          <w:p w:rsidR="00F56B02" w:rsidRPr="00764293" w:rsidRDefault="00F56B02" w:rsidP="00CC4439">
            <w:pPr>
              <w:keepNext/>
              <w:keepLines/>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F56B02" w:rsidRPr="00764293" w:rsidRDefault="00F56B02" w:rsidP="00CC4439">
            <w:pPr>
              <w:keepNext/>
              <w:keepLines/>
              <w:jc w:val="center"/>
              <w:rPr>
                <w:b/>
                <w:bCs/>
                <w:sz w:val="22"/>
              </w:rPr>
            </w:pPr>
          </w:p>
        </w:tc>
        <w:tc>
          <w:tcPr>
            <w:tcW w:w="1311" w:type="dxa"/>
            <w:vMerge w:val="restart"/>
            <w:tcBorders>
              <w:top w:val="single" w:sz="4" w:space="0" w:color="auto"/>
              <w:left w:val="nil"/>
              <w:bottom w:val="single" w:sz="4" w:space="0" w:color="auto"/>
              <w:right w:val="single" w:sz="4" w:space="0" w:color="auto"/>
            </w:tcBorders>
            <w:shd w:val="pct10" w:color="auto" w:fill="auto"/>
            <w:vAlign w:val="bottom"/>
          </w:tcPr>
          <w:p w:rsidR="00F56B02" w:rsidRPr="00764293" w:rsidRDefault="00F56B02" w:rsidP="00CC4439">
            <w:pPr>
              <w:keepNext/>
              <w:keepLines/>
              <w:jc w:val="center"/>
              <w:rPr>
                <w:b/>
                <w:bCs/>
                <w:sz w:val="22"/>
              </w:rPr>
            </w:pPr>
            <w:r w:rsidRPr="00764293">
              <w:rPr>
                <w:b/>
                <w:bCs/>
                <w:sz w:val="22"/>
              </w:rPr>
              <w:t>Respondent</w:t>
            </w:r>
          </w:p>
          <w:p w:rsidR="00F56B02" w:rsidRPr="00764293" w:rsidRDefault="00F56B02" w:rsidP="00CC4439">
            <w:pPr>
              <w:keepNext/>
              <w:keepLines/>
              <w:jc w:val="center"/>
              <w:rPr>
                <w:b/>
                <w:bCs/>
                <w:sz w:val="22"/>
              </w:rPr>
            </w:pPr>
            <w:r w:rsidRPr="00764293">
              <w:rPr>
                <w:b/>
                <w:bCs/>
                <w:sz w:val="22"/>
              </w:rPr>
              <w:t>Labor Cost/Year</w:t>
            </w:r>
          </w:p>
          <w:p w:rsidR="00F56B02" w:rsidRPr="00764293" w:rsidRDefault="00F56B02" w:rsidP="00CC4439">
            <w:pPr>
              <w:keepNext/>
              <w:keepLines/>
              <w:jc w:val="center"/>
              <w:rPr>
                <w:b/>
                <w:bCs/>
                <w:sz w:val="22"/>
              </w:rPr>
            </w:pPr>
          </w:p>
        </w:tc>
        <w:tc>
          <w:tcPr>
            <w:tcW w:w="1801" w:type="dxa"/>
            <w:gridSpan w:val="2"/>
            <w:tcBorders>
              <w:top w:val="single" w:sz="4" w:space="0" w:color="auto"/>
              <w:left w:val="nil"/>
              <w:bottom w:val="single" w:sz="4" w:space="0" w:color="auto"/>
              <w:right w:val="single" w:sz="4" w:space="0" w:color="auto"/>
            </w:tcBorders>
            <w:shd w:val="pct10" w:color="auto" w:fill="auto"/>
            <w:vAlign w:val="bottom"/>
          </w:tcPr>
          <w:p w:rsidR="00F56B02" w:rsidRPr="00764293" w:rsidRDefault="00F56B02" w:rsidP="00CC4439">
            <w:pPr>
              <w:keepNext/>
              <w:keepLines/>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F56B02" w:rsidRPr="00764293" w:rsidRDefault="00F56B02" w:rsidP="00CC4439">
            <w:pPr>
              <w:keepNext/>
              <w:keepLines/>
              <w:jc w:val="center"/>
              <w:rPr>
                <w:b/>
                <w:bCs/>
                <w:sz w:val="22"/>
              </w:rPr>
            </w:pPr>
          </w:p>
        </w:tc>
        <w:tc>
          <w:tcPr>
            <w:tcW w:w="1288" w:type="dxa"/>
            <w:tcBorders>
              <w:top w:val="single" w:sz="4" w:space="0" w:color="auto"/>
              <w:bottom w:val="single" w:sz="4" w:space="0" w:color="auto"/>
            </w:tcBorders>
            <w:shd w:val="pct10" w:color="auto" w:fill="auto"/>
            <w:vAlign w:val="bottom"/>
          </w:tcPr>
          <w:p w:rsidR="00F56B02" w:rsidRPr="00764293" w:rsidRDefault="00F56B02" w:rsidP="00CC4439">
            <w:pPr>
              <w:keepNext/>
              <w:keepLines/>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F56B02" w:rsidRPr="00764293" w:rsidRDefault="00F56B02" w:rsidP="00CC4439">
            <w:pPr>
              <w:keepNext/>
              <w:keepLines/>
              <w:jc w:val="center"/>
              <w:rPr>
                <w:b/>
                <w:bCs/>
                <w:sz w:val="22"/>
              </w:rPr>
            </w:pPr>
          </w:p>
        </w:tc>
      </w:tr>
      <w:tr w:rsidR="00076623" w:rsidRPr="00764293" w:rsidTr="002050C7">
        <w:trPr>
          <w:trHeight w:val="188"/>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076623" w:rsidRPr="00764293" w:rsidRDefault="00076623" w:rsidP="0006245A">
            <w:pPr>
              <w:keepNext/>
              <w:keepLines/>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Manager $</w:t>
            </w:r>
            <w:r w:rsidR="00374FE9">
              <w:rPr>
                <w:b/>
                <w:bCs/>
                <w:sz w:val="22"/>
              </w:rPr>
              <w:t>95.10</w:t>
            </w:r>
          </w:p>
          <w:p w:rsidR="00076623" w:rsidRPr="00764293" w:rsidRDefault="00076623" w:rsidP="00A947BD">
            <w:pPr>
              <w:keepNext/>
              <w:keepLines/>
              <w:jc w:val="center"/>
              <w:rPr>
                <w:b/>
                <w:bCs/>
                <w:sz w:val="22"/>
              </w:rPr>
            </w:pPr>
            <w:r w:rsidRPr="00764293">
              <w:rPr>
                <w:b/>
                <w:bCs/>
                <w:sz w:val="22"/>
              </w:rPr>
              <w:t>Per Hour (20</w:t>
            </w:r>
            <w:r>
              <w:rPr>
                <w:b/>
                <w:bCs/>
                <w:sz w:val="22"/>
              </w:rPr>
              <w:t>1</w:t>
            </w:r>
            <w:r w:rsidR="00A947BD">
              <w:rPr>
                <w:b/>
                <w:bCs/>
                <w:sz w:val="22"/>
              </w:rPr>
              <w:t>3</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Technical $</w:t>
            </w:r>
            <w:r w:rsidR="00374FE9">
              <w:rPr>
                <w:b/>
                <w:bCs/>
                <w:sz w:val="22"/>
              </w:rPr>
              <w:t>67.38</w:t>
            </w:r>
          </w:p>
          <w:p w:rsidR="00076623" w:rsidRPr="00764293" w:rsidRDefault="00076623" w:rsidP="00A947BD">
            <w:pPr>
              <w:keepNext/>
              <w:keepLines/>
              <w:jc w:val="center"/>
              <w:rPr>
                <w:b/>
                <w:bCs/>
                <w:sz w:val="22"/>
              </w:rPr>
            </w:pPr>
            <w:r w:rsidRPr="00764293">
              <w:rPr>
                <w:b/>
                <w:bCs/>
                <w:sz w:val="22"/>
              </w:rPr>
              <w:t>Per Hour (20</w:t>
            </w:r>
            <w:r>
              <w:rPr>
                <w:b/>
                <w:bCs/>
                <w:sz w:val="22"/>
              </w:rPr>
              <w:t>1</w:t>
            </w:r>
            <w:r w:rsidR="00A947BD">
              <w:rPr>
                <w:b/>
                <w:bCs/>
                <w:sz w:val="22"/>
              </w:rPr>
              <w:t>3</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r w:rsidRPr="00764293">
              <w:rPr>
                <w:b/>
                <w:bCs/>
                <w:sz w:val="22"/>
              </w:rPr>
              <w:t>Respondent Hours/Year</w:t>
            </w:r>
          </w:p>
          <w:p w:rsidR="00076623" w:rsidRPr="00764293" w:rsidRDefault="00076623" w:rsidP="00CC4439">
            <w:pPr>
              <w:keepNext/>
              <w:keepLines/>
              <w:jc w:val="center"/>
              <w:rPr>
                <w:b/>
                <w:bCs/>
                <w:sz w:val="22"/>
              </w:rPr>
            </w:pPr>
          </w:p>
        </w:tc>
        <w:tc>
          <w:tcPr>
            <w:tcW w:w="1311" w:type="dxa"/>
            <w:vMerge/>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p>
        </w:tc>
        <w:tc>
          <w:tcPr>
            <w:tcW w:w="99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r w:rsidRPr="00764293">
              <w:rPr>
                <w:b/>
                <w:bCs/>
                <w:sz w:val="22"/>
              </w:rPr>
              <w:t>Startup Costs</w:t>
            </w:r>
          </w:p>
          <w:p w:rsidR="00076623" w:rsidRPr="00764293" w:rsidRDefault="00076623" w:rsidP="00CC4439">
            <w:pPr>
              <w:keepNext/>
              <w:keepLines/>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r w:rsidRPr="00764293">
              <w:rPr>
                <w:b/>
                <w:bCs/>
                <w:sz w:val="22"/>
              </w:rPr>
              <w:t>O&amp;M Cost</w:t>
            </w:r>
          </w:p>
          <w:p w:rsidR="00076623" w:rsidRPr="00764293" w:rsidRDefault="00076623" w:rsidP="00CC4439">
            <w:pPr>
              <w:keepNext/>
              <w:keepLines/>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r w:rsidRPr="00764293">
              <w:rPr>
                <w:b/>
                <w:bCs/>
                <w:sz w:val="22"/>
              </w:rPr>
              <w:t>Number of Respondents</w:t>
            </w:r>
          </w:p>
          <w:p w:rsidR="00076623" w:rsidRPr="00764293" w:rsidRDefault="00076623" w:rsidP="00CC4439">
            <w:pPr>
              <w:keepNext/>
              <w:keepLines/>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r w:rsidRPr="00764293">
              <w:rPr>
                <w:b/>
                <w:bCs/>
                <w:sz w:val="22"/>
              </w:rPr>
              <w:t>Total Hours/Year</w:t>
            </w:r>
          </w:p>
          <w:p w:rsidR="00076623" w:rsidRPr="00764293" w:rsidRDefault="00076623" w:rsidP="00CC4439">
            <w:pPr>
              <w:keepNext/>
              <w:keepLines/>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r w:rsidRPr="00764293">
              <w:rPr>
                <w:b/>
                <w:bCs/>
                <w:sz w:val="22"/>
              </w:rPr>
              <w:t>Total Cost/Year</w:t>
            </w:r>
          </w:p>
          <w:p w:rsidR="00076623" w:rsidRPr="00764293" w:rsidRDefault="00076623" w:rsidP="00CC4439">
            <w:pPr>
              <w:keepNext/>
              <w:keepLines/>
              <w:jc w:val="center"/>
              <w:rPr>
                <w:b/>
                <w:bCs/>
                <w:sz w:val="22"/>
              </w:rPr>
            </w:pPr>
          </w:p>
        </w:tc>
      </w:tr>
      <w:tr w:rsidR="00F56B02" w:rsidRPr="001774B5" w:rsidTr="002050C7">
        <w:trPr>
          <w:trHeight w:val="255"/>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000000" w:fill="auto"/>
          </w:tcPr>
          <w:p w:rsidR="00F56B02" w:rsidRPr="001774B5" w:rsidRDefault="00F56B02" w:rsidP="0006245A">
            <w:pPr>
              <w:keepNext/>
              <w:jc w:val="center"/>
              <w:rPr>
                <w:b/>
                <w:bCs/>
                <w:sz w:val="20"/>
                <w:szCs w:val="20"/>
              </w:rPr>
            </w:pPr>
            <w:r>
              <w:rPr>
                <w:b/>
                <w:bCs/>
                <w:sz w:val="20"/>
                <w:szCs w:val="20"/>
              </w:rPr>
              <w:t>Startup/</w:t>
            </w:r>
            <w:r w:rsidRPr="001774B5">
              <w:rPr>
                <w:b/>
                <w:bCs/>
                <w:sz w:val="20"/>
                <w:szCs w:val="20"/>
              </w:rPr>
              <w:t>Capital Items</w:t>
            </w:r>
            <w:r>
              <w:rPr>
                <w:b/>
                <w:bCs/>
                <w:sz w:val="20"/>
                <w:szCs w:val="20"/>
              </w:rPr>
              <w:t xml:space="preserve"> (cont.)</w:t>
            </w:r>
          </w:p>
        </w:tc>
      </w:tr>
      <w:tr w:rsidR="00072574" w:rsidRPr="001774B5" w:rsidTr="002050C7">
        <w:trPr>
          <w:trHeight w:val="171"/>
          <w:jc w:val="center"/>
        </w:trPr>
        <w:tc>
          <w:tcPr>
            <w:tcW w:w="12960" w:type="dxa"/>
            <w:gridSpan w:val="10"/>
            <w:tcBorders>
              <w:top w:val="nil"/>
              <w:left w:val="single" w:sz="4" w:space="0" w:color="auto"/>
              <w:bottom w:val="single" w:sz="4" w:space="0" w:color="auto"/>
              <w:right w:val="single" w:sz="4" w:space="0" w:color="auto"/>
            </w:tcBorders>
            <w:shd w:val="clear" w:color="auto" w:fill="auto"/>
            <w:vAlign w:val="center"/>
          </w:tcPr>
          <w:p w:rsidR="00072574" w:rsidRPr="001774B5" w:rsidRDefault="00072574" w:rsidP="0063768C">
            <w:pPr>
              <w:keepNext/>
              <w:rPr>
                <w:sz w:val="20"/>
                <w:szCs w:val="20"/>
              </w:rPr>
            </w:pPr>
            <w:r>
              <w:rPr>
                <w:b/>
                <w:bCs/>
                <w:sz w:val="20"/>
                <w:szCs w:val="20"/>
              </w:rPr>
              <w:t>Georgia</w:t>
            </w:r>
            <w:r w:rsidR="0063768C">
              <w:rPr>
                <w:b/>
                <w:bCs/>
                <w:sz w:val="20"/>
                <w:szCs w:val="20"/>
              </w:rPr>
              <w:t xml:space="preserve"> and Texas</w:t>
            </w:r>
            <w:r w:rsidR="00DD6EB0">
              <w:rPr>
                <w:b/>
                <w:bCs/>
                <w:sz w:val="20"/>
                <w:szCs w:val="20"/>
              </w:rPr>
              <w:t xml:space="preserve"> </w:t>
            </w:r>
            <w:r w:rsidR="00A31FAD">
              <w:rPr>
                <w:b/>
                <w:bCs/>
                <w:sz w:val="20"/>
                <w:szCs w:val="20"/>
              </w:rPr>
              <w:t>(Ozone Status Changes, Annual Status R</w:t>
            </w:r>
            <w:r>
              <w:rPr>
                <w:b/>
                <w:bCs/>
                <w:sz w:val="20"/>
                <w:szCs w:val="20"/>
              </w:rPr>
              <w:t>emains)</w:t>
            </w:r>
          </w:p>
        </w:tc>
      </w:tr>
      <w:tr w:rsidR="00612D98" w:rsidRPr="001774B5" w:rsidTr="006B6347">
        <w:trPr>
          <w:trHeight w:val="255"/>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06245A">
            <w:pPr>
              <w:keepNext/>
              <w:ind w:left="245" w:hanging="245"/>
              <w:rPr>
                <w:sz w:val="20"/>
                <w:szCs w:val="20"/>
              </w:rPr>
            </w:pPr>
            <w:r>
              <w:rPr>
                <w:sz w:val="20"/>
                <w:szCs w:val="20"/>
              </w:rPr>
              <w:t>a.</w:t>
            </w:r>
            <w:r w:rsidRPr="001774B5">
              <w:rPr>
                <w:sz w:val="20"/>
                <w:szCs w:val="20"/>
              </w:rPr>
              <w:t xml:space="preserve">  DAHS modification (facilities)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6</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1458B1">
            <w:pPr>
              <w:jc w:val="right"/>
              <w:rPr>
                <w:rFonts w:eastAsia="Times New Roman"/>
                <w:color w:val="000000"/>
                <w:sz w:val="20"/>
                <w:szCs w:val="20"/>
              </w:rPr>
            </w:pPr>
            <w:r w:rsidRPr="006B6347">
              <w:rPr>
                <w:rFonts w:eastAsia="Times New Roman"/>
                <w:color w:val="000000"/>
                <w:sz w:val="20"/>
                <w:szCs w:val="20"/>
              </w:rPr>
              <w:t>$</w:t>
            </w:r>
            <w:r w:rsidR="001458B1">
              <w:rPr>
                <w:rFonts w:eastAsia="Times New Roman"/>
                <w:color w:val="000000"/>
                <w:sz w:val="20"/>
                <w:szCs w:val="20"/>
              </w:rPr>
              <w:t>460</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$600</w:t>
            </w: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161</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966</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1458B1">
            <w:pPr>
              <w:jc w:val="right"/>
              <w:rPr>
                <w:rFonts w:eastAsia="Times New Roman"/>
                <w:color w:val="000000"/>
                <w:sz w:val="20"/>
                <w:szCs w:val="20"/>
              </w:rPr>
            </w:pPr>
            <w:r w:rsidRPr="006B6347">
              <w:rPr>
                <w:rFonts w:eastAsia="Times New Roman"/>
                <w:color w:val="000000"/>
                <w:sz w:val="20"/>
                <w:szCs w:val="20"/>
              </w:rPr>
              <w:t>$</w:t>
            </w:r>
            <w:r w:rsidR="001458B1">
              <w:rPr>
                <w:rFonts w:eastAsia="Times New Roman"/>
                <w:color w:val="000000"/>
                <w:sz w:val="20"/>
                <w:szCs w:val="20"/>
              </w:rPr>
              <w:t>170</w:t>
            </w:r>
            <w:r w:rsidR="004D3D3E">
              <w:rPr>
                <w:rFonts w:eastAsia="Times New Roman"/>
                <w:color w:val="000000"/>
                <w:sz w:val="20"/>
                <w:szCs w:val="20"/>
              </w:rPr>
              <w:t>,</w:t>
            </w:r>
            <w:r w:rsidR="001458B1">
              <w:rPr>
                <w:rFonts w:eastAsia="Times New Roman"/>
                <w:color w:val="000000"/>
                <w:sz w:val="20"/>
                <w:szCs w:val="20"/>
              </w:rPr>
              <w:t>615</w:t>
            </w:r>
          </w:p>
        </w:tc>
      </w:tr>
      <w:tr w:rsidR="00612D98" w:rsidRPr="001774B5" w:rsidTr="006B6347">
        <w:trPr>
          <w:trHeight w:val="255"/>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072574">
            <w:pPr>
              <w:ind w:left="245" w:hanging="245"/>
              <w:rPr>
                <w:sz w:val="20"/>
                <w:szCs w:val="20"/>
              </w:rPr>
            </w:pPr>
            <w:r>
              <w:rPr>
                <w:sz w:val="20"/>
                <w:szCs w:val="20"/>
              </w:rPr>
              <w:t>b</w:t>
            </w:r>
            <w:r w:rsidRPr="001774B5">
              <w:rPr>
                <w:sz w:val="20"/>
                <w:szCs w:val="20"/>
              </w:rPr>
              <w:t xml:space="preserve">.  Solid Fuel:  </w:t>
            </w:r>
            <w:r w:rsidR="00B12340">
              <w:rPr>
                <w:sz w:val="20"/>
                <w:szCs w:val="20"/>
              </w:rPr>
              <w:t>SO</w:t>
            </w:r>
            <w:r w:rsidR="00B12340" w:rsidRPr="00A011C4">
              <w:rPr>
                <w:sz w:val="20"/>
                <w:szCs w:val="20"/>
                <w:vertAlign w:val="subscript"/>
              </w:rPr>
              <w:t>2</w:t>
            </w:r>
            <w:r w:rsidR="00B12340">
              <w:rPr>
                <w:sz w:val="20"/>
                <w:szCs w:val="20"/>
              </w:rPr>
              <w:t xml:space="preserve">, </w:t>
            </w:r>
            <w:r w:rsidRPr="001774B5">
              <w:rPr>
                <w:sz w:val="20"/>
                <w:szCs w:val="20"/>
              </w:rPr>
              <w:t>NO</w:t>
            </w:r>
            <w:r w:rsidR="0046535C">
              <w:rPr>
                <w:sz w:val="20"/>
                <w:szCs w:val="20"/>
                <w:vertAlign w:val="subscript"/>
              </w:rPr>
              <w:t>X</w:t>
            </w:r>
            <w:r w:rsidRPr="001774B5">
              <w:rPr>
                <w:sz w:val="20"/>
                <w:szCs w:val="20"/>
              </w:rPr>
              <w:t>, and Flow CEMS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$29,752</w:t>
            </w: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$29,752</w:t>
            </w:r>
          </w:p>
        </w:tc>
      </w:tr>
      <w:tr w:rsidR="00612D98"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072574">
            <w:pPr>
              <w:ind w:left="245" w:hanging="245"/>
              <w:rPr>
                <w:sz w:val="20"/>
                <w:szCs w:val="20"/>
              </w:rPr>
            </w:pPr>
            <w:r>
              <w:rPr>
                <w:sz w:val="20"/>
                <w:szCs w:val="20"/>
              </w:rPr>
              <w:t>c</w:t>
            </w:r>
            <w:r w:rsidRPr="001774B5">
              <w:rPr>
                <w:sz w:val="20"/>
                <w:szCs w:val="20"/>
              </w:rPr>
              <w:t>.  Gas-Oil:  NO</w:t>
            </w:r>
            <w:r w:rsidR="0046535C">
              <w:rPr>
                <w:sz w:val="20"/>
                <w:szCs w:val="20"/>
                <w:vertAlign w:val="subscript"/>
              </w:rPr>
              <w:t>X</w:t>
            </w:r>
            <w:r w:rsidRPr="001774B5">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$19,200</w:t>
            </w: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38</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$729,600</w:t>
            </w:r>
          </w:p>
        </w:tc>
      </w:tr>
      <w:tr w:rsidR="00612D98" w:rsidRPr="001774B5" w:rsidTr="006B6347">
        <w:trPr>
          <w:trHeight w:val="783"/>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072574">
            <w:pPr>
              <w:ind w:left="245" w:hanging="245"/>
              <w:rPr>
                <w:sz w:val="20"/>
                <w:szCs w:val="20"/>
              </w:rPr>
            </w:pPr>
            <w:r>
              <w:rPr>
                <w:sz w:val="20"/>
                <w:szCs w:val="20"/>
              </w:rPr>
              <w:t>d</w:t>
            </w:r>
            <w:r w:rsidRPr="001774B5">
              <w:rPr>
                <w:sz w:val="20"/>
                <w:szCs w:val="20"/>
              </w:rPr>
              <w:t>.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$2,304</w:t>
            </w: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39</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$89,856</w:t>
            </w:r>
          </w:p>
        </w:tc>
      </w:tr>
      <w:tr w:rsidR="00F56B02" w:rsidRPr="001774B5" w:rsidTr="002050C7">
        <w:trPr>
          <w:trHeight w:val="255"/>
          <w:jc w:val="center"/>
        </w:trPr>
        <w:tc>
          <w:tcPr>
            <w:tcW w:w="12960" w:type="dxa"/>
            <w:gridSpan w:val="10"/>
            <w:tcBorders>
              <w:top w:val="single" w:sz="4" w:space="0" w:color="auto"/>
            </w:tcBorders>
            <w:shd w:val="clear" w:color="auto" w:fill="auto"/>
          </w:tcPr>
          <w:p w:rsidR="00F56B02" w:rsidRPr="001774B5" w:rsidRDefault="00F56B02" w:rsidP="00F56B02">
            <w:pPr>
              <w:jc w:val="right"/>
              <w:rPr>
                <w:sz w:val="20"/>
                <w:szCs w:val="20"/>
              </w:rPr>
            </w:pPr>
            <w:r>
              <w:rPr>
                <w:sz w:val="20"/>
                <w:szCs w:val="20"/>
              </w:rPr>
              <w:t>(cont.)</w:t>
            </w:r>
          </w:p>
        </w:tc>
      </w:tr>
      <w:tr w:rsidR="00F56B02" w:rsidTr="002050C7">
        <w:trPr>
          <w:trHeight w:val="255"/>
          <w:jc w:val="center"/>
        </w:trPr>
        <w:tc>
          <w:tcPr>
            <w:tcW w:w="12960" w:type="dxa"/>
            <w:gridSpan w:val="10"/>
            <w:tcBorders>
              <w:bottom w:val="single" w:sz="4" w:space="0" w:color="auto"/>
            </w:tcBorders>
            <w:shd w:val="clear" w:color="auto" w:fill="auto"/>
          </w:tcPr>
          <w:p w:rsidR="00F56B02" w:rsidRDefault="00F56B02" w:rsidP="00595D03">
            <w:pPr>
              <w:keepNext/>
              <w:keepLines/>
              <w:jc w:val="center"/>
              <w:rPr>
                <w:sz w:val="20"/>
                <w:szCs w:val="20"/>
              </w:rPr>
            </w:pPr>
            <w:r w:rsidRPr="001774B5">
              <w:rPr>
                <w:b/>
                <w:color w:val="0F0F0F"/>
              </w:rPr>
              <w:lastRenderedPageBreak/>
              <w:t xml:space="preserve">Table </w:t>
            </w:r>
            <w:r w:rsidR="009269F3">
              <w:rPr>
                <w:b/>
                <w:color w:val="0F0F0F"/>
              </w:rPr>
              <w:t>6-5</w:t>
            </w:r>
            <w:r>
              <w:rPr>
                <w:b/>
                <w:color w:val="0F0F0F"/>
              </w:rPr>
              <w:t>:</w:t>
            </w:r>
            <w:r w:rsidRPr="001774B5">
              <w:rPr>
                <w:b/>
                <w:color w:val="0F0F0F"/>
              </w:rPr>
              <w:t xml:space="preserve"> </w:t>
            </w:r>
            <w:r w:rsidRPr="001774B5">
              <w:rPr>
                <w:b/>
                <w:color w:val="0F0F0F"/>
              </w:rPr>
              <w:br/>
              <w:t>Annual Industry Respondent Burden and Cost by Activity</w:t>
            </w:r>
            <w:r>
              <w:rPr>
                <w:b/>
                <w:color w:val="0F0F0F"/>
              </w:rPr>
              <w:t xml:space="preserve"> (cont.)</w:t>
            </w:r>
          </w:p>
          <w:p w:rsidR="00595D03" w:rsidRDefault="00595D03" w:rsidP="00595D03">
            <w:pPr>
              <w:keepNext/>
              <w:keepLines/>
              <w:jc w:val="center"/>
              <w:rPr>
                <w:sz w:val="20"/>
                <w:szCs w:val="20"/>
              </w:rPr>
            </w:pPr>
          </w:p>
        </w:tc>
      </w:tr>
      <w:tr w:rsidR="00F56B02" w:rsidRPr="00764293" w:rsidTr="002050C7">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F56B02" w:rsidRPr="00764293" w:rsidRDefault="00F56B02" w:rsidP="00A31FAD">
            <w:pPr>
              <w:keepNext/>
              <w:keepLines/>
              <w:jc w:val="center"/>
              <w:rPr>
                <w:b/>
                <w:bCs/>
                <w:sz w:val="22"/>
              </w:rPr>
            </w:pPr>
          </w:p>
          <w:p w:rsidR="00F56B02" w:rsidRPr="00764293" w:rsidRDefault="00F56B02" w:rsidP="00A31FAD">
            <w:pPr>
              <w:keepNext/>
              <w:keepLines/>
              <w:jc w:val="center"/>
              <w:rPr>
                <w:b/>
                <w:bCs/>
                <w:sz w:val="22"/>
              </w:rPr>
            </w:pPr>
          </w:p>
          <w:p w:rsidR="00F56B02" w:rsidRPr="00764293" w:rsidRDefault="00F56B02" w:rsidP="00A31FAD">
            <w:pPr>
              <w:keepNext/>
              <w:keepLines/>
              <w:jc w:val="center"/>
              <w:rPr>
                <w:b/>
                <w:bCs/>
                <w:sz w:val="22"/>
              </w:rPr>
            </w:pPr>
          </w:p>
          <w:p w:rsidR="00F56B02" w:rsidRPr="00764293" w:rsidRDefault="00F56B02" w:rsidP="00A31FAD">
            <w:pPr>
              <w:keepNext/>
              <w:keepLines/>
              <w:jc w:val="center"/>
              <w:rPr>
                <w:b/>
                <w:bCs/>
                <w:sz w:val="22"/>
              </w:rPr>
            </w:pPr>
          </w:p>
        </w:tc>
        <w:tc>
          <w:tcPr>
            <w:tcW w:w="1259" w:type="dxa"/>
            <w:tcBorders>
              <w:top w:val="single" w:sz="4" w:space="0" w:color="auto"/>
              <w:left w:val="nil"/>
              <w:bottom w:val="single" w:sz="4" w:space="0" w:color="auto"/>
            </w:tcBorders>
            <w:shd w:val="pct10" w:color="auto" w:fill="auto"/>
            <w:vAlign w:val="bottom"/>
          </w:tcPr>
          <w:p w:rsidR="00F56B02" w:rsidRPr="00764293" w:rsidRDefault="00F56B02" w:rsidP="00A31FAD">
            <w:pPr>
              <w:keepNext/>
              <w:keepLines/>
              <w:jc w:val="center"/>
              <w:rPr>
                <w:b/>
                <w:bCs/>
                <w:sz w:val="22"/>
              </w:rPr>
            </w:pPr>
          </w:p>
        </w:tc>
        <w:tc>
          <w:tcPr>
            <w:tcW w:w="1139" w:type="dxa"/>
            <w:tcBorders>
              <w:top w:val="single" w:sz="4" w:space="0" w:color="auto"/>
              <w:bottom w:val="single" w:sz="4" w:space="0" w:color="auto"/>
            </w:tcBorders>
            <w:shd w:val="pct10" w:color="auto" w:fill="auto"/>
            <w:vAlign w:val="bottom"/>
          </w:tcPr>
          <w:p w:rsidR="00F56B02" w:rsidRPr="00764293" w:rsidRDefault="00F56B02" w:rsidP="00A31FAD">
            <w:pPr>
              <w:keepNext/>
              <w:keepLines/>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F56B02" w:rsidRPr="00764293" w:rsidRDefault="00F56B02" w:rsidP="00A31FAD">
            <w:pPr>
              <w:keepNext/>
              <w:keepLines/>
              <w:jc w:val="center"/>
              <w:rPr>
                <w:b/>
                <w:bCs/>
                <w:sz w:val="22"/>
              </w:rPr>
            </w:pPr>
          </w:p>
        </w:tc>
        <w:tc>
          <w:tcPr>
            <w:tcW w:w="1311" w:type="dxa"/>
            <w:vMerge w:val="restart"/>
            <w:tcBorders>
              <w:top w:val="single" w:sz="4" w:space="0" w:color="auto"/>
              <w:left w:val="nil"/>
              <w:bottom w:val="single" w:sz="4" w:space="0" w:color="auto"/>
              <w:right w:val="single" w:sz="4" w:space="0" w:color="auto"/>
            </w:tcBorders>
            <w:shd w:val="pct10" w:color="auto" w:fill="auto"/>
            <w:vAlign w:val="bottom"/>
          </w:tcPr>
          <w:p w:rsidR="00F56B02" w:rsidRPr="00764293" w:rsidRDefault="00F56B02" w:rsidP="00A31FAD">
            <w:pPr>
              <w:keepNext/>
              <w:keepLines/>
              <w:jc w:val="center"/>
              <w:rPr>
                <w:b/>
                <w:bCs/>
                <w:sz w:val="22"/>
              </w:rPr>
            </w:pPr>
            <w:r w:rsidRPr="00764293">
              <w:rPr>
                <w:b/>
                <w:bCs/>
                <w:sz w:val="22"/>
              </w:rPr>
              <w:t>Respondent</w:t>
            </w:r>
          </w:p>
          <w:p w:rsidR="00F56B02" w:rsidRPr="00764293" w:rsidRDefault="00F56B02" w:rsidP="00A31FAD">
            <w:pPr>
              <w:keepNext/>
              <w:keepLines/>
              <w:jc w:val="center"/>
              <w:rPr>
                <w:b/>
                <w:bCs/>
                <w:sz w:val="22"/>
              </w:rPr>
            </w:pPr>
            <w:r w:rsidRPr="00764293">
              <w:rPr>
                <w:b/>
                <w:bCs/>
                <w:sz w:val="22"/>
              </w:rPr>
              <w:t>Labor Cost/Year</w:t>
            </w:r>
          </w:p>
          <w:p w:rsidR="00F56B02" w:rsidRPr="00764293" w:rsidRDefault="00F56B02" w:rsidP="00A31FAD">
            <w:pPr>
              <w:keepNext/>
              <w:keepLines/>
              <w:jc w:val="center"/>
              <w:rPr>
                <w:b/>
                <w:bCs/>
                <w:sz w:val="22"/>
              </w:rPr>
            </w:pPr>
          </w:p>
        </w:tc>
        <w:tc>
          <w:tcPr>
            <w:tcW w:w="1801" w:type="dxa"/>
            <w:gridSpan w:val="2"/>
            <w:tcBorders>
              <w:top w:val="single" w:sz="4" w:space="0" w:color="auto"/>
              <w:left w:val="nil"/>
              <w:bottom w:val="single" w:sz="4" w:space="0" w:color="auto"/>
              <w:right w:val="single" w:sz="4" w:space="0" w:color="auto"/>
            </w:tcBorders>
            <w:shd w:val="pct10" w:color="auto" w:fill="auto"/>
            <w:vAlign w:val="bottom"/>
          </w:tcPr>
          <w:p w:rsidR="00F56B02" w:rsidRPr="00764293" w:rsidRDefault="00F56B02" w:rsidP="00A31FAD">
            <w:pPr>
              <w:keepNext/>
              <w:keepLines/>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F56B02" w:rsidRPr="00764293" w:rsidRDefault="00F56B02" w:rsidP="00A31FAD">
            <w:pPr>
              <w:keepNext/>
              <w:keepLines/>
              <w:jc w:val="center"/>
              <w:rPr>
                <w:b/>
                <w:bCs/>
                <w:sz w:val="22"/>
              </w:rPr>
            </w:pPr>
          </w:p>
        </w:tc>
        <w:tc>
          <w:tcPr>
            <w:tcW w:w="1288" w:type="dxa"/>
            <w:tcBorders>
              <w:top w:val="single" w:sz="4" w:space="0" w:color="auto"/>
              <w:bottom w:val="single" w:sz="4" w:space="0" w:color="auto"/>
            </w:tcBorders>
            <w:shd w:val="pct10" w:color="auto" w:fill="auto"/>
            <w:vAlign w:val="bottom"/>
          </w:tcPr>
          <w:p w:rsidR="00F56B02" w:rsidRPr="00764293" w:rsidRDefault="00F56B02" w:rsidP="00A31FAD">
            <w:pPr>
              <w:keepNext/>
              <w:keepLines/>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F56B02" w:rsidRPr="00764293" w:rsidRDefault="00F56B02" w:rsidP="00F56B02">
            <w:pPr>
              <w:keepNext/>
              <w:keepLines/>
              <w:jc w:val="center"/>
              <w:rPr>
                <w:b/>
                <w:bCs/>
                <w:sz w:val="22"/>
              </w:rPr>
            </w:pPr>
          </w:p>
        </w:tc>
      </w:tr>
      <w:tr w:rsidR="00076623" w:rsidRPr="00764293" w:rsidTr="002050C7">
        <w:trPr>
          <w:trHeight w:val="548"/>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076623" w:rsidRPr="00764293" w:rsidRDefault="00076623" w:rsidP="00A31FAD">
            <w:pPr>
              <w:keepNext/>
              <w:keepLines/>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Manager $</w:t>
            </w:r>
            <w:r w:rsidR="00374FE9">
              <w:rPr>
                <w:b/>
                <w:bCs/>
                <w:sz w:val="22"/>
              </w:rPr>
              <w:t>95.10</w:t>
            </w:r>
          </w:p>
          <w:p w:rsidR="00076623" w:rsidRPr="00764293" w:rsidRDefault="00076623" w:rsidP="00A947BD">
            <w:pPr>
              <w:keepNext/>
              <w:keepLines/>
              <w:jc w:val="center"/>
              <w:rPr>
                <w:b/>
                <w:bCs/>
                <w:sz w:val="22"/>
              </w:rPr>
            </w:pPr>
            <w:r w:rsidRPr="00764293">
              <w:rPr>
                <w:b/>
                <w:bCs/>
                <w:sz w:val="22"/>
              </w:rPr>
              <w:t>Per Hour (20</w:t>
            </w:r>
            <w:r>
              <w:rPr>
                <w:b/>
                <w:bCs/>
                <w:sz w:val="22"/>
              </w:rPr>
              <w:t>1</w:t>
            </w:r>
            <w:r w:rsidR="00A947BD">
              <w:rPr>
                <w:b/>
                <w:bCs/>
                <w:sz w:val="22"/>
              </w:rPr>
              <w:t>3</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Technical $</w:t>
            </w:r>
            <w:r w:rsidR="00374FE9">
              <w:rPr>
                <w:b/>
                <w:bCs/>
                <w:sz w:val="22"/>
              </w:rPr>
              <w:t>67.38</w:t>
            </w:r>
          </w:p>
          <w:p w:rsidR="00076623" w:rsidRPr="00764293" w:rsidRDefault="00076623" w:rsidP="00A947BD">
            <w:pPr>
              <w:keepNext/>
              <w:keepLines/>
              <w:jc w:val="center"/>
              <w:rPr>
                <w:b/>
                <w:bCs/>
                <w:sz w:val="22"/>
              </w:rPr>
            </w:pPr>
            <w:r w:rsidRPr="00764293">
              <w:rPr>
                <w:b/>
                <w:bCs/>
                <w:sz w:val="22"/>
              </w:rPr>
              <w:t>Per Hour (20</w:t>
            </w:r>
            <w:r>
              <w:rPr>
                <w:b/>
                <w:bCs/>
                <w:sz w:val="22"/>
              </w:rPr>
              <w:t>1</w:t>
            </w:r>
            <w:r w:rsidR="00A947BD">
              <w:rPr>
                <w:b/>
                <w:bCs/>
                <w:sz w:val="22"/>
              </w:rPr>
              <w:t>3</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A31FAD">
            <w:pPr>
              <w:keepNext/>
              <w:keepLines/>
              <w:jc w:val="center"/>
              <w:rPr>
                <w:b/>
                <w:bCs/>
                <w:sz w:val="22"/>
              </w:rPr>
            </w:pPr>
            <w:r w:rsidRPr="00764293">
              <w:rPr>
                <w:b/>
                <w:bCs/>
                <w:sz w:val="22"/>
              </w:rPr>
              <w:t>Respondent Hours/Year</w:t>
            </w:r>
          </w:p>
          <w:p w:rsidR="00076623" w:rsidRPr="00764293" w:rsidRDefault="00076623" w:rsidP="00A31FAD">
            <w:pPr>
              <w:keepNext/>
              <w:keepLines/>
              <w:jc w:val="center"/>
              <w:rPr>
                <w:b/>
                <w:bCs/>
                <w:sz w:val="22"/>
              </w:rPr>
            </w:pPr>
          </w:p>
        </w:tc>
        <w:tc>
          <w:tcPr>
            <w:tcW w:w="1311" w:type="dxa"/>
            <w:vMerge/>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A31FAD">
            <w:pPr>
              <w:keepNext/>
              <w:keepLines/>
              <w:jc w:val="center"/>
              <w:rPr>
                <w:b/>
                <w:bCs/>
                <w:sz w:val="22"/>
              </w:rPr>
            </w:pPr>
          </w:p>
        </w:tc>
        <w:tc>
          <w:tcPr>
            <w:tcW w:w="99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A31FAD">
            <w:pPr>
              <w:keepNext/>
              <w:keepLines/>
              <w:jc w:val="center"/>
              <w:rPr>
                <w:b/>
                <w:bCs/>
                <w:sz w:val="22"/>
              </w:rPr>
            </w:pPr>
            <w:r w:rsidRPr="00764293">
              <w:rPr>
                <w:b/>
                <w:bCs/>
                <w:sz w:val="22"/>
              </w:rPr>
              <w:t>Startup Costs</w:t>
            </w:r>
          </w:p>
          <w:p w:rsidR="00076623" w:rsidRPr="00764293" w:rsidRDefault="00076623" w:rsidP="00A31FAD">
            <w:pPr>
              <w:keepNext/>
              <w:keepLines/>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A31FAD">
            <w:pPr>
              <w:keepNext/>
              <w:keepLines/>
              <w:jc w:val="center"/>
              <w:rPr>
                <w:b/>
                <w:bCs/>
                <w:sz w:val="22"/>
              </w:rPr>
            </w:pPr>
            <w:r w:rsidRPr="00764293">
              <w:rPr>
                <w:b/>
                <w:bCs/>
                <w:sz w:val="22"/>
              </w:rPr>
              <w:t>O&amp;M Cost</w:t>
            </w:r>
          </w:p>
          <w:p w:rsidR="00076623" w:rsidRPr="00764293" w:rsidRDefault="00076623" w:rsidP="00A31FAD">
            <w:pPr>
              <w:keepNext/>
              <w:keepLines/>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A31FAD">
            <w:pPr>
              <w:keepNext/>
              <w:keepLines/>
              <w:jc w:val="center"/>
              <w:rPr>
                <w:b/>
                <w:bCs/>
                <w:sz w:val="22"/>
              </w:rPr>
            </w:pPr>
            <w:r w:rsidRPr="00764293">
              <w:rPr>
                <w:b/>
                <w:bCs/>
                <w:sz w:val="22"/>
              </w:rPr>
              <w:t>Number of Respondents</w:t>
            </w:r>
          </w:p>
          <w:p w:rsidR="00076623" w:rsidRPr="00764293" w:rsidRDefault="00076623" w:rsidP="00A31FAD">
            <w:pPr>
              <w:keepNext/>
              <w:keepLines/>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A31FAD">
            <w:pPr>
              <w:keepNext/>
              <w:keepLines/>
              <w:jc w:val="center"/>
              <w:rPr>
                <w:b/>
                <w:bCs/>
                <w:sz w:val="22"/>
              </w:rPr>
            </w:pPr>
            <w:r w:rsidRPr="00764293">
              <w:rPr>
                <w:b/>
                <w:bCs/>
                <w:sz w:val="22"/>
              </w:rPr>
              <w:t>Total Hours/Year</w:t>
            </w:r>
          </w:p>
          <w:p w:rsidR="00076623" w:rsidRPr="00764293" w:rsidRDefault="00076623" w:rsidP="00A31FAD">
            <w:pPr>
              <w:keepNext/>
              <w:keepLines/>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F56B02">
            <w:pPr>
              <w:keepNext/>
              <w:keepLines/>
              <w:jc w:val="center"/>
              <w:rPr>
                <w:b/>
                <w:bCs/>
                <w:sz w:val="22"/>
              </w:rPr>
            </w:pPr>
            <w:r w:rsidRPr="00764293">
              <w:rPr>
                <w:b/>
                <w:bCs/>
                <w:sz w:val="22"/>
              </w:rPr>
              <w:t>Total Cost/Year</w:t>
            </w:r>
          </w:p>
          <w:p w:rsidR="00076623" w:rsidRPr="00764293" w:rsidRDefault="00076623" w:rsidP="00F56B02">
            <w:pPr>
              <w:keepNext/>
              <w:keepLines/>
              <w:jc w:val="center"/>
              <w:rPr>
                <w:b/>
                <w:bCs/>
                <w:sz w:val="22"/>
              </w:rPr>
            </w:pPr>
          </w:p>
        </w:tc>
      </w:tr>
      <w:tr w:rsidR="00F56B02"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F56B02" w:rsidRPr="001774B5" w:rsidRDefault="00F56B02" w:rsidP="00A31FAD">
            <w:pPr>
              <w:keepNext/>
              <w:jc w:val="center"/>
              <w:rPr>
                <w:b/>
                <w:bCs/>
                <w:sz w:val="20"/>
                <w:szCs w:val="20"/>
              </w:rPr>
            </w:pPr>
            <w:r>
              <w:rPr>
                <w:b/>
                <w:bCs/>
                <w:sz w:val="20"/>
                <w:szCs w:val="20"/>
              </w:rPr>
              <w:t>Startup/</w:t>
            </w:r>
            <w:r w:rsidRPr="001774B5">
              <w:rPr>
                <w:b/>
                <w:bCs/>
                <w:sz w:val="20"/>
                <w:szCs w:val="20"/>
              </w:rPr>
              <w:t>Capital Items</w:t>
            </w:r>
            <w:r>
              <w:rPr>
                <w:b/>
                <w:bCs/>
                <w:sz w:val="20"/>
                <w:szCs w:val="20"/>
              </w:rPr>
              <w:t xml:space="preserve"> (cont.)</w:t>
            </w:r>
          </w:p>
        </w:tc>
      </w:tr>
      <w:tr w:rsidR="00072574"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72574" w:rsidRPr="001774B5" w:rsidRDefault="00072574" w:rsidP="0063768C">
            <w:pPr>
              <w:keepNext/>
              <w:rPr>
                <w:sz w:val="20"/>
                <w:szCs w:val="20"/>
              </w:rPr>
            </w:pPr>
            <w:r>
              <w:rPr>
                <w:b/>
                <w:bCs/>
                <w:sz w:val="20"/>
                <w:szCs w:val="20"/>
              </w:rPr>
              <w:t>Mississippi</w:t>
            </w:r>
            <w:r w:rsidR="00DD6EB0">
              <w:rPr>
                <w:b/>
                <w:bCs/>
                <w:sz w:val="20"/>
                <w:szCs w:val="20"/>
              </w:rPr>
              <w:t>,</w:t>
            </w:r>
            <w:r w:rsidR="0063768C">
              <w:rPr>
                <w:b/>
                <w:bCs/>
                <w:sz w:val="20"/>
                <w:szCs w:val="20"/>
              </w:rPr>
              <w:t xml:space="preserve"> Florida</w:t>
            </w:r>
            <w:r w:rsidR="00DD6EB0">
              <w:rPr>
                <w:b/>
                <w:bCs/>
                <w:sz w:val="20"/>
                <w:szCs w:val="20"/>
              </w:rPr>
              <w:t>,</w:t>
            </w:r>
            <w:r>
              <w:rPr>
                <w:b/>
                <w:bCs/>
                <w:sz w:val="20"/>
                <w:szCs w:val="20"/>
              </w:rPr>
              <w:t xml:space="preserve"> and </w:t>
            </w:r>
            <w:r w:rsidR="0063768C">
              <w:rPr>
                <w:b/>
                <w:bCs/>
                <w:sz w:val="20"/>
                <w:szCs w:val="20"/>
              </w:rPr>
              <w:t xml:space="preserve"> Louisiana </w:t>
            </w:r>
            <w:r>
              <w:rPr>
                <w:b/>
                <w:bCs/>
                <w:sz w:val="20"/>
                <w:szCs w:val="20"/>
              </w:rPr>
              <w:t xml:space="preserve"> (Now Ozone Season Only)</w:t>
            </w:r>
          </w:p>
        </w:tc>
      </w:tr>
      <w:tr w:rsidR="00612D98" w:rsidRPr="001774B5" w:rsidTr="006B6347">
        <w:trPr>
          <w:trHeight w:val="36"/>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A31FAD">
            <w:pPr>
              <w:keepNext/>
              <w:ind w:left="245" w:hanging="245"/>
              <w:rPr>
                <w:sz w:val="20"/>
                <w:szCs w:val="20"/>
              </w:rPr>
            </w:pPr>
            <w:r>
              <w:rPr>
                <w:sz w:val="20"/>
                <w:szCs w:val="20"/>
              </w:rPr>
              <w:t>a.</w:t>
            </w:r>
            <w:r w:rsidRPr="001774B5">
              <w:rPr>
                <w:sz w:val="20"/>
                <w:szCs w:val="20"/>
              </w:rPr>
              <w:t xml:space="preserve">  DAHS modification (facilities)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2</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4</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6</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1458B1">
            <w:pPr>
              <w:jc w:val="right"/>
              <w:rPr>
                <w:rFonts w:eastAsia="Times New Roman"/>
                <w:color w:val="000000"/>
                <w:sz w:val="20"/>
                <w:szCs w:val="20"/>
              </w:rPr>
            </w:pPr>
            <w:r w:rsidRPr="006B6347">
              <w:rPr>
                <w:rFonts w:eastAsia="Times New Roman"/>
                <w:color w:val="000000"/>
                <w:sz w:val="20"/>
                <w:szCs w:val="20"/>
              </w:rPr>
              <w:t>$</w:t>
            </w:r>
            <w:r w:rsidR="001458B1" w:rsidRPr="006B6347">
              <w:rPr>
                <w:rFonts w:eastAsia="Times New Roman"/>
                <w:color w:val="000000"/>
                <w:sz w:val="20"/>
                <w:szCs w:val="20"/>
              </w:rPr>
              <w:t>4</w:t>
            </w:r>
            <w:r w:rsidR="001458B1">
              <w:rPr>
                <w:rFonts w:eastAsia="Times New Roman"/>
                <w:color w:val="000000"/>
                <w:sz w:val="20"/>
                <w:szCs w:val="20"/>
              </w:rPr>
              <w:t>60</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$600</w:t>
            </w: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27</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162</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1458B1">
            <w:pPr>
              <w:jc w:val="right"/>
              <w:rPr>
                <w:rFonts w:eastAsia="Times New Roman"/>
                <w:color w:val="000000"/>
                <w:sz w:val="20"/>
                <w:szCs w:val="20"/>
              </w:rPr>
            </w:pPr>
            <w:r w:rsidRPr="006B6347">
              <w:rPr>
                <w:rFonts w:eastAsia="Times New Roman"/>
                <w:color w:val="000000"/>
                <w:sz w:val="20"/>
                <w:szCs w:val="20"/>
              </w:rPr>
              <w:t>$28,</w:t>
            </w:r>
            <w:r w:rsidR="001458B1">
              <w:rPr>
                <w:rFonts w:eastAsia="Times New Roman"/>
                <w:color w:val="000000"/>
                <w:sz w:val="20"/>
                <w:szCs w:val="20"/>
              </w:rPr>
              <w:t>612</w:t>
            </w:r>
          </w:p>
        </w:tc>
      </w:tr>
      <w:tr w:rsidR="00612D98"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C531BF">
            <w:pPr>
              <w:ind w:left="245" w:hanging="245"/>
              <w:rPr>
                <w:sz w:val="20"/>
                <w:szCs w:val="20"/>
              </w:rPr>
            </w:pPr>
            <w:r>
              <w:rPr>
                <w:sz w:val="20"/>
                <w:szCs w:val="20"/>
              </w:rPr>
              <w:t>b</w:t>
            </w:r>
            <w:r w:rsidRPr="001774B5">
              <w:rPr>
                <w:sz w:val="20"/>
                <w:szCs w:val="20"/>
              </w:rPr>
              <w:t>.  Solid Fuel:  NO</w:t>
            </w:r>
            <w:r w:rsidR="0046535C">
              <w:rPr>
                <w:sz w:val="20"/>
                <w:szCs w:val="20"/>
                <w:vertAlign w:val="subscript"/>
              </w:rPr>
              <w:t>X</w:t>
            </w:r>
            <w:r w:rsidRPr="001774B5">
              <w:rPr>
                <w:sz w:val="20"/>
                <w:szCs w:val="20"/>
              </w:rPr>
              <w:t xml:space="preserve"> and Flow CEMS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r w:rsidRPr="006B6347">
              <w:rPr>
                <w:rFonts w:eastAsia="Times New Roman"/>
                <w:color w:val="000000"/>
                <w:sz w:val="20"/>
                <w:szCs w:val="20"/>
              </w:rPr>
              <w:t>$22,500</w:t>
            </w: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6</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$135,000</w:t>
            </w:r>
          </w:p>
        </w:tc>
      </w:tr>
      <w:tr w:rsidR="00612D98"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8D03FF">
            <w:pPr>
              <w:ind w:left="245" w:hanging="245"/>
              <w:rPr>
                <w:sz w:val="20"/>
                <w:szCs w:val="20"/>
              </w:rPr>
            </w:pPr>
            <w:r>
              <w:rPr>
                <w:sz w:val="20"/>
                <w:szCs w:val="20"/>
              </w:rPr>
              <w:t>c</w:t>
            </w:r>
            <w:r w:rsidRPr="001774B5">
              <w:rPr>
                <w:sz w:val="20"/>
                <w:szCs w:val="20"/>
              </w:rPr>
              <w:t>.  Gas-Oil:  NO</w:t>
            </w:r>
            <w:r w:rsidR="0046535C">
              <w:rPr>
                <w:sz w:val="20"/>
                <w:szCs w:val="20"/>
                <w:vertAlign w:val="subscript"/>
              </w:rPr>
              <w:t>X</w:t>
            </w:r>
            <w:r w:rsidRPr="001774B5">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r w:rsidRPr="006B6347">
              <w:rPr>
                <w:rFonts w:eastAsia="Times New Roman"/>
                <w:color w:val="000000"/>
                <w:sz w:val="20"/>
                <w:szCs w:val="20"/>
              </w:rPr>
              <w:t>$19,200</w:t>
            </w: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6</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$115,200</w:t>
            </w:r>
          </w:p>
        </w:tc>
      </w:tr>
      <w:tr w:rsidR="00612D98"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8D03FF">
            <w:pPr>
              <w:ind w:left="245" w:hanging="245"/>
              <w:rPr>
                <w:sz w:val="20"/>
                <w:szCs w:val="20"/>
              </w:rPr>
            </w:pPr>
            <w:r>
              <w:rPr>
                <w:sz w:val="20"/>
                <w:szCs w:val="20"/>
              </w:rPr>
              <w:t>d</w:t>
            </w:r>
            <w:r w:rsidRPr="001774B5">
              <w:rPr>
                <w:sz w:val="20"/>
                <w:szCs w:val="20"/>
              </w:rPr>
              <w:t>.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r w:rsidRPr="006B6347">
              <w:rPr>
                <w:rFonts w:eastAsia="Times New Roman"/>
                <w:color w:val="000000"/>
                <w:sz w:val="20"/>
                <w:szCs w:val="20"/>
              </w:rPr>
              <w:t>$2,304</w:t>
            </w: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62</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$142,848</w:t>
            </w:r>
          </w:p>
        </w:tc>
      </w:tr>
      <w:tr w:rsidR="00072574"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072574" w:rsidRPr="006B6347" w:rsidRDefault="00072574" w:rsidP="007506A5">
            <w:pPr>
              <w:keepNext/>
              <w:rPr>
                <w:b/>
                <w:bCs/>
                <w:sz w:val="20"/>
                <w:szCs w:val="20"/>
              </w:rPr>
            </w:pPr>
            <w:r w:rsidRPr="007506A5">
              <w:rPr>
                <w:b/>
                <w:bCs/>
                <w:sz w:val="20"/>
                <w:szCs w:val="20"/>
              </w:rPr>
              <w:t>States with No Change in Classification</w:t>
            </w:r>
          </w:p>
        </w:tc>
      </w:tr>
      <w:tr w:rsidR="00612D98"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8D03FF">
            <w:pPr>
              <w:ind w:left="245" w:hanging="245"/>
              <w:rPr>
                <w:sz w:val="20"/>
                <w:szCs w:val="20"/>
              </w:rPr>
            </w:pPr>
            <w:r>
              <w:rPr>
                <w:sz w:val="20"/>
                <w:szCs w:val="20"/>
              </w:rPr>
              <w:t>a</w:t>
            </w:r>
            <w:r w:rsidRPr="001774B5">
              <w:rPr>
                <w:sz w:val="20"/>
                <w:szCs w:val="20"/>
              </w:rPr>
              <w:t xml:space="preserve">.  Solid Fuel:  </w:t>
            </w:r>
            <w:r w:rsidR="00B12340">
              <w:rPr>
                <w:sz w:val="20"/>
                <w:szCs w:val="20"/>
              </w:rPr>
              <w:t>SO</w:t>
            </w:r>
            <w:r w:rsidR="00B12340" w:rsidRPr="00A011C4">
              <w:rPr>
                <w:sz w:val="20"/>
                <w:szCs w:val="20"/>
                <w:vertAlign w:val="subscript"/>
              </w:rPr>
              <w:t>2</w:t>
            </w:r>
            <w:r w:rsidR="00B12340">
              <w:rPr>
                <w:sz w:val="20"/>
                <w:szCs w:val="20"/>
              </w:rPr>
              <w:t xml:space="preserve">, </w:t>
            </w:r>
            <w:r w:rsidRPr="001774B5">
              <w:rPr>
                <w:sz w:val="20"/>
                <w:szCs w:val="20"/>
              </w:rPr>
              <w:t>NO</w:t>
            </w:r>
            <w:r w:rsidR="0046535C">
              <w:rPr>
                <w:sz w:val="20"/>
                <w:szCs w:val="20"/>
                <w:vertAlign w:val="subscript"/>
              </w:rPr>
              <w:t>X</w:t>
            </w:r>
            <w:r w:rsidRPr="001774B5">
              <w:rPr>
                <w:sz w:val="20"/>
                <w:szCs w:val="20"/>
              </w:rPr>
              <w:t>, and Flow CEMS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0</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B3790D">
            <w:pPr>
              <w:jc w:val="right"/>
              <w:rPr>
                <w:rFonts w:eastAsia="Times New Roman"/>
                <w:color w:val="000000"/>
                <w:sz w:val="20"/>
                <w:szCs w:val="20"/>
              </w:rPr>
            </w:pPr>
            <w:r w:rsidRPr="006B6347">
              <w:rPr>
                <w:rFonts w:eastAsia="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$29,752</w:t>
            </w: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64</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B3790D">
            <w:pPr>
              <w:jc w:val="right"/>
              <w:rPr>
                <w:rFonts w:eastAsia="Times New Roman"/>
                <w:color w:val="000000"/>
                <w:sz w:val="20"/>
                <w:szCs w:val="20"/>
              </w:rPr>
            </w:pPr>
            <w:r w:rsidRPr="006B6347">
              <w:rPr>
                <w:rFonts w:eastAsia="Times New Roman"/>
                <w:color w:val="000000"/>
                <w:sz w:val="20"/>
                <w:szCs w:val="20"/>
              </w:rPr>
              <w:t>$1,904,128</w:t>
            </w:r>
          </w:p>
        </w:tc>
      </w:tr>
      <w:tr w:rsidR="00612D98"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8D03FF">
            <w:pPr>
              <w:ind w:left="245" w:hanging="245"/>
              <w:rPr>
                <w:sz w:val="20"/>
                <w:szCs w:val="20"/>
              </w:rPr>
            </w:pPr>
            <w:r>
              <w:rPr>
                <w:sz w:val="20"/>
                <w:szCs w:val="20"/>
              </w:rPr>
              <w:t>b</w:t>
            </w:r>
            <w:r w:rsidRPr="001774B5">
              <w:rPr>
                <w:sz w:val="20"/>
                <w:szCs w:val="20"/>
              </w:rPr>
              <w:t>.  Gas-Oil:  NO</w:t>
            </w:r>
            <w:r w:rsidR="0046535C">
              <w:rPr>
                <w:sz w:val="20"/>
                <w:szCs w:val="20"/>
                <w:vertAlign w:val="subscript"/>
              </w:rPr>
              <w:t>X</w:t>
            </w:r>
            <w:r w:rsidRPr="001774B5">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0</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B3790D">
            <w:pPr>
              <w:jc w:val="right"/>
              <w:rPr>
                <w:rFonts w:eastAsia="Times New Roman"/>
                <w:color w:val="000000"/>
                <w:sz w:val="20"/>
                <w:szCs w:val="20"/>
              </w:rPr>
            </w:pPr>
            <w:r w:rsidRPr="006B6347">
              <w:rPr>
                <w:rFonts w:eastAsia="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$19,200</w:t>
            </w: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67</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B3790D">
            <w:pPr>
              <w:jc w:val="right"/>
              <w:rPr>
                <w:rFonts w:eastAsia="Times New Roman"/>
                <w:color w:val="000000"/>
                <w:sz w:val="20"/>
                <w:szCs w:val="20"/>
              </w:rPr>
            </w:pPr>
            <w:r w:rsidRPr="006B6347">
              <w:rPr>
                <w:rFonts w:eastAsia="Times New Roman"/>
                <w:color w:val="000000"/>
                <w:sz w:val="20"/>
                <w:szCs w:val="20"/>
              </w:rPr>
              <w:t>$1,286,400</w:t>
            </w:r>
          </w:p>
        </w:tc>
      </w:tr>
      <w:tr w:rsidR="00612D98"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8D03FF">
            <w:pPr>
              <w:ind w:left="245" w:hanging="245"/>
              <w:rPr>
                <w:sz w:val="20"/>
                <w:szCs w:val="20"/>
              </w:rPr>
            </w:pPr>
            <w:r>
              <w:rPr>
                <w:sz w:val="20"/>
                <w:szCs w:val="20"/>
              </w:rPr>
              <w:t>c</w:t>
            </w:r>
            <w:r w:rsidRPr="001774B5">
              <w:rPr>
                <w:sz w:val="20"/>
                <w:szCs w:val="20"/>
              </w:rPr>
              <w:t>.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0</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B3790D">
            <w:pPr>
              <w:jc w:val="right"/>
              <w:rPr>
                <w:rFonts w:eastAsia="Times New Roman"/>
                <w:color w:val="000000"/>
                <w:sz w:val="20"/>
                <w:szCs w:val="20"/>
              </w:rPr>
            </w:pPr>
            <w:r w:rsidRPr="006B6347">
              <w:rPr>
                <w:rFonts w:eastAsia="Times New Roman"/>
                <w:color w:val="000000"/>
                <w:sz w:val="20"/>
                <w:szCs w:val="20"/>
              </w:rPr>
              <w:t>$0</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$2,304</w:t>
            </w: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533</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B3790D">
            <w:pPr>
              <w:jc w:val="right"/>
              <w:rPr>
                <w:rFonts w:eastAsia="Times New Roman"/>
                <w:color w:val="000000"/>
                <w:sz w:val="20"/>
                <w:szCs w:val="20"/>
              </w:rPr>
            </w:pPr>
            <w:r w:rsidRPr="006B6347">
              <w:rPr>
                <w:rFonts w:eastAsia="Times New Roman"/>
                <w:color w:val="000000"/>
                <w:sz w:val="20"/>
                <w:szCs w:val="20"/>
              </w:rPr>
              <w:t>$1,228,032</w:t>
            </w:r>
          </w:p>
        </w:tc>
      </w:tr>
      <w:tr w:rsidR="00CC4439" w:rsidRPr="001774B5" w:rsidTr="002050C7">
        <w:trPr>
          <w:trHeight w:val="255"/>
          <w:jc w:val="center"/>
        </w:trPr>
        <w:tc>
          <w:tcPr>
            <w:tcW w:w="12960" w:type="dxa"/>
            <w:gridSpan w:val="10"/>
            <w:tcBorders>
              <w:top w:val="single" w:sz="4" w:space="0" w:color="auto"/>
            </w:tcBorders>
            <w:shd w:val="clear" w:color="auto" w:fill="auto"/>
          </w:tcPr>
          <w:p w:rsidR="00CC4439" w:rsidRPr="001774B5" w:rsidRDefault="00CC4439" w:rsidP="00391881">
            <w:pPr>
              <w:jc w:val="right"/>
              <w:rPr>
                <w:sz w:val="20"/>
                <w:szCs w:val="20"/>
              </w:rPr>
            </w:pPr>
            <w:r>
              <w:rPr>
                <w:sz w:val="20"/>
                <w:szCs w:val="20"/>
              </w:rPr>
              <w:t>(cont.)</w:t>
            </w:r>
          </w:p>
        </w:tc>
      </w:tr>
      <w:tr w:rsidR="00CC4439" w:rsidTr="002050C7">
        <w:trPr>
          <w:trHeight w:val="255"/>
          <w:jc w:val="center"/>
        </w:trPr>
        <w:tc>
          <w:tcPr>
            <w:tcW w:w="12960" w:type="dxa"/>
            <w:gridSpan w:val="10"/>
            <w:tcBorders>
              <w:bottom w:val="single" w:sz="4" w:space="0" w:color="auto"/>
            </w:tcBorders>
            <w:shd w:val="clear" w:color="auto" w:fill="auto"/>
          </w:tcPr>
          <w:p w:rsidR="00CC4439" w:rsidRDefault="00CC4439" w:rsidP="00391881">
            <w:pPr>
              <w:keepNext/>
              <w:keepLines/>
              <w:jc w:val="center"/>
              <w:rPr>
                <w:b/>
                <w:color w:val="0F0F0F"/>
              </w:rPr>
            </w:pPr>
            <w:r w:rsidRPr="001774B5">
              <w:rPr>
                <w:b/>
                <w:color w:val="0F0F0F"/>
              </w:rPr>
              <w:lastRenderedPageBreak/>
              <w:t xml:space="preserve">Table </w:t>
            </w:r>
            <w:r w:rsidR="009269F3">
              <w:rPr>
                <w:b/>
                <w:color w:val="0F0F0F"/>
              </w:rPr>
              <w:t>6-5</w:t>
            </w:r>
            <w:r>
              <w:rPr>
                <w:b/>
                <w:color w:val="0F0F0F"/>
              </w:rPr>
              <w:t>:</w:t>
            </w:r>
            <w:r w:rsidRPr="001774B5">
              <w:rPr>
                <w:b/>
                <w:color w:val="0F0F0F"/>
              </w:rPr>
              <w:t xml:space="preserve"> </w:t>
            </w:r>
            <w:r w:rsidRPr="001774B5">
              <w:rPr>
                <w:b/>
                <w:color w:val="0F0F0F"/>
              </w:rPr>
              <w:br/>
              <w:t>Annual Industry Respondent Burden and Cost by Activity</w:t>
            </w:r>
            <w:r>
              <w:rPr>
                <w:b/>
                <w:color w:val="0F0F0F"/>
              </w:rPr>
              <w:t xml:space="preserve"> (cont.)</w:t>
            </w:r>
          </w:p>
          <w:p w:rsidR="00CC4439" w:rsidRDefault="00CC4439" w:rsidP="00391881">
            <w:pPr>
              <w:keepNext/>
              <w:keepLines/>
              <w:jc w:val="center"/>
              <w:rPr>
                <w:sz w:val="20"/>
                <w:szCs w:val="20"/>
              </w:rPr>
            </w:pPr>
          </w:p>
        </w:tc>
      </w:tr>
      <w:tr w:rsidR="00CC4439" w:rsidRPr="00764293" w:rsidTr="002050C7">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tc>
        <w:tc>
          <w:tcPr>
            <w:tcW w:w="1259" w:type="dxa"/>
            <w:tcBorders>
              <w:top w:val="single" w:sz="4" w:space="0" w:color="auto"/>
              <w:left w:val="nil"/>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139" w:type="dxa"/>
            <w:tcBorders>
              <w:top w:val="single" w:sz="4" w:space="0" w:color="auto"/>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311" w:type="dxa"/>
            <w:vMerge w:val="restart"/>
            <w:tcBorders>
              <w:top w:val="single" w:sz="4" w:space="0" w:color="auto"/>
              <w:left w:val="nil"/>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r w:rsidRPr="00764293">
              <w:rPr>
                <w:b/>
                <w:bCs/>
                <w:sz w:val="22"/>
              </w:rPr>
              <w:t>Respondent</w:t>
            </w:r>
          </w:p>
          <w:p w:rsidR="00CC4439" w:rsidRPr="00764293" w:rsidRDefault="00CC4439" w:rsidP="00391881">
            <w:pPr>
              <w:keepNext/>
              <w:keepLines/>
              <w:jc w:val="center"/>
              <w:rPr>
                <w:b/>
                <w:bCs/>
                <w:sz w:val="22"/>
              </w:rPr>
            </w:pPr>
            <w:r w:rsidRPr="00764293">
              <w:rPr>
                <w:b/>
                <w:bCs/>
                <w:sz w:val="22"/>
              </w:rPr>
              <w:t>Labor Cost/Year</w:t>
            </w:r>
          </w:p>
          <w:p w:rsidR="00CC4439" w:rsidRPr="00764293" w:rsidRDefault="00CC4439" w:rsidP="00391881">
            <w:pPr>
              <w:keepNext/>
              <w:keepLines/>
              <w:jc w:val="center"/>
              <w:rPr>
                <w:b/>
                <w:bCs/>
                <w:sz w:val="22"/>
              </w:rPr>
            </w:pPr>
          </w:p>
        </w:tc>
        <w:tc>
          <w:tcPr>
            <w:tcW w:w="1801" w:type="dxa"/>
            <w:gridSpan w:val="2"/>
            <w:tcBorders>
              <w:top w:val="single" w:sz="4" w:space="0" w:color="auto"/>
              <w:left w:val="nil"/>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288" w:type="dxa"/>
            <w:tcBorders>
              <w:top w:val="single" w:sz="4" w:space="0" w:color="auto"/>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tc>
      </w:tr>
      <w:tr w:rsidR="00076623" w:rsidRPr="00764293" w:rsidTr="002050C7">
        <w:trPr>
          <w:trHeight w:val="548"/>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Manager $</w:t>
            </w:r>
            <w:r w:rsidR="00374FE9">
              <w:rPr>
                <w:b/>
                <w:bCs/>
                <w:sz w:val="22"/>
              </w:rPr>
              <w:t>95.10</w:t>
            </w:r>
          </w:p>
          <w:p w:rsidR="00076623" w:rsidRPr="00764293" w:rsidRDefault="00076623" w:rsidP="00A947BD">
            <w:pPr>
              <w:keepNext/>
              <w:keepLines/>
              <w:jc w:val="center"/>
              <w:rPr>
                <w:b/>
                <w:bCs/>
                <w:sz w:val="22"/>
              </w:rPr>
            </w:pPr>
            <w:r w:rsidRPr="00764293">
              <w:rPr>
                <w:b/>
                <w:bCs/>
                <w:sz w:val="22"/>
              </w:rPr>
              <w:t>Per Hour (20</w:t>
            </w:r>
            <w:r>
              <w:rPr>
                <w:b/>
                <w:bCs/>
                <w:sz w:val="22"/>
              </w:rPr>
              <w:t>1</w:t>
            </w:r>
            <w:r w:rsidR="00A947BD">
              <w:rPr>
                <w:b/>
                <w:bCs/>
                <w:sz w:val="22"/>
              </w:rPr>
              <w:t>3</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Technical $</w:t>
            </w:r>
            <w:r w:rsidR="00374FE9">
              <w:rPr>
                <w:b/>
                <w:bCs/>
                <w:sz w:val="22"/>
              </w:rPr>
              <w:t>67.38</w:t>
            </w:r>
          </w:p>
          <w:p w:rsidR="00076623" w:rsidRPr="00764293" w:rsidRDefault="00076623" w:rsidP="00A947BD">
            <w:pPr>
              <w:keepNext/>
              <w:keepLines/>
              <w:jc w:val="center"/>
              <w:rPr>
                <w:b/>
                <w:bCs/>
                <w:sz w:val="22"/>
              </w:rPr>
            </w:pPr>
            <w:r w:rsidRPr="00764293">
              <w:rPr>
                <w:b/>
                <w:bCs/>
                <w:sz w:val="22"/>
              </w:rPr>
              <w:t>Per Hour (20</w:t>
            </w:r>
            <w:r>
              <w:rPr>
                <w:b/>
                <w:bCs/>
                <w:sz w:val="22"/>
              </w:rPr>
              <w:t>1</w:t>
            </w:r>
            <w:r w:rsidR="00A947BD">
              <w:rPr>
                <w:b/>
                <w:bCs/>
                <w:sz w:val="22"/>
              </w:rPr>
              <w:t>3</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Respondent Hours/Year</w:t>
            </w:r>
          </w:p>
          <w:p w:rsidR="00076623" w:rsidRPr="00764293" w:rsidRDefault="00076623" w:rsidP="00391881">
            <w:pPr>
              <w:keepNext/>
              <w:keepLines/>
              <w:jc w:val="center"/>
              <w:rPr>
                <w:b/>
                <w:bCs/>
                <w:sz w:val="22"/>
              </w:rPr>
            </w:pPr>
          </w:p>
        </w:tc>
        <w:tc>
          <w:tcPr>
            <w:tcW w:w="1311" w:type="dxa"/>
            <w:vMerge/>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p>
        </w:tc>
        <w:tc>
          <w:tcPr>
            <w:tcW w:w="99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Startup Costs</w:t>
            </w:r>
          </w:p>
          <w:p w:rsidR="00076623" w:rsidRPr="00764293" w:rsidRDefault="00076623" w:rsidP="00391881">
            <w:pPr>
              <w:keepNext/>
              <w:keepLines/>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O&amp;M Cost</w:t>
            </w:r>
          </w:p>
          <w:p w:rsidR="00076623" w:rsidRPr="00764293" w:rsidRDefault="00076623" w:rsidP="00391881">
            <w:pPr>
              <w:keepNext/>
              <w:keepLines/>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Number of Respondents</w:t>
            </w:r>
          </w:p>
          <w:p w:rsidR="00076623" w:rsidRPr="00764293" w:rsidRDefault="00076623" w:rsidP="00391881">
            <w:pPr>
              <w:keepNext/>
              <w:keepLines/>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Total Hours/Year</w:t>
            </w:r>
          </w:p>
          <w:p w:rsidR="00076623" w:rsidRPr="00764293" w:rsidRDefault="00076623" w:rsidP="00391881">
            <w:pPr>
              <w:keepNext/>
              <w:keepLines/>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Total Cost/Year</w:t>
            </w:r>
          </w:p>
          <w:p w:rsidR="00076623" w:rsidRPr="00764293" w:rsidRDefault="00076623" w:rsidP="00391881">
            <w:pPr>
              <w:keepNext/>
              <w:keepLines/>
              <w:jc w:val="center"/>
              <w:rPr>
                <w:b/>
                <w:bCs/>
                <w:sz w:val="22"/>
              </w:rPr>
            </w:pPr>
          </w:p>
        </w:tc>
      </w:tr>
      <w:tr w:rsidR="00072574"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000000" w:fill="auto"/>
          </w:tcPr>
          <w:p w:rsidR="00072574" w:rsidRPr="001774B5" w:rsidRDefault="00072574" w:rsidP="00D12499">
            <w:pPr>
              <w:jc w:val="center"/>
              <w:rPr>
                <w:b/>
                <w:bCs/>
                <w:sz w:val="20"/>
                <w:szCs w:val="20"/>
              </w:rPr>
            </w:pPr>
            <w:r w:rsidRPr="001774B5">
              <w:rPr>
                <w:b/>
                <w:bCs/>
                <w:sz w:val="20"/>
                <w:szCs w:val="20"/>
              </w:rPr>
              <w:t>Review Instructions and Requirements</w:t>
            </w:r>
          </w:p>
        </w:tc>
      </w:tr>
      <w:tr w:rsidR="003A6DAA" w:rsidRPr="006B6347" w:rsidTr="006B6347">
        <w:trPr>
          <w:trHeight w:val="261"/>
          <w:jc w:val="center"/>
        </w:trPr>
        <w:tc>
          <w:tcPr>
            <w:tcW w:w="2335" w:type="dxa"/>
            <w:tcBorders>
              <w:top w:val="nil"/>
              <w:left w:val="single" w:sz="4" w:space="0" w:color="auto"/>
              <w:bottom w:val="single" w:sz="4" w:space="0" w:color="auto"/>
              <w:right w:val="single" w:sz="4" w:space="0" w:color="auto"/>
            </w:tcBorders>
            <w:shd w:val="clear" w:color="auto" w:fill="auto"/>
          </w:tcPr>
          <w:p w:rsidR="003A6DAA" w:rsidRPr="001774B5" w:rsidRDefault="003A6DAA" w:rsidP="000714D7">
            <w:pPr>
              <w:ind w:left="245" w:hanging="245"/>
              <w:rPr>
                <w:sz w:val="20"/>
                <w:szCs w:val="20"/>
              </w:rPr>
            </w:pPr>
            <w:r w:rsidRPr="00A34AD8">
              <w:rPr>
                <w:sz w:val="20"/>
                <w:szCs w:val="20"/>
              </w:rPr>
              <w:t>States with No Change in</w:t>
            </w:r>
            <w:r>
              <w:rPr>
                <w:sz w:val="20"/>
                <w:szCs w:val="20"/>
              </w:rPr>
              <w:t xml:space="preserve"> </w:t>
            </w:r>
            <w:r w:rsidRPr="00B520AC">
              <w:rPr>
                <w:sz w:val="20"/>
                <w:szCs w:val="20"/>
              </w:rPr>
              <w:t xml:space="preserve">Classification </w:t>
            </w:r>
          </w:p>
        </w:tc>
        <w:tc>
          <w:tcPr>
            <w:tcW w:w="1259" w:type="dxa"/>
            <w:tcBorders>
              <w:top w:val="nil"/>
              <w:left w:val="nil"/>
              <w:bottom w:val="single" w:sz="4" w:space="0" w:color="auto"/>
              <w:right w:val="single" w:sz="4" w:space="0" w:color="auto"/>
            </w:tcBorders>
            <w:shd w:val="clear" w:color="auto" w:fill="auto"/>
            <w:vAlign w:val="bottom"/>
          </w:tcPr>
          <w:p w:rsidR="003A6DAA" w:rsidRPr="006B6347" w:rsidRDefault="003A6DAA" w:rsidP="007506A5">
            <w:pPr>
              <w:jc w:val="right"/>
              <w:rPr>
                <w:rFonts w:eastAsia="Times New Roman"/>
                <w:color w:val="000000"/>
                <w:sz w:val="20"/>
                <w:szCs w:val="20"/>
              </w:rPr>
            </w:pPr>
            <w:r w:rsidRPr="006B6347">
              <w:rPr>
                <w:rFonts w:eastAsia="Times New Roman"/>
                <w:color w:val="000000"/>
                <w:sz w:val="20"/>
                <w:szCs w:val="20"/>
              </w:rPr>
              <w:t>4</w:t>
            </w:r>
          </w:p>
        </w:tc>
        <w:tc>
          <w:tcPr>
            <w:tcW w:w="1139" w:type="dxa"/>
            <w:tcBorders>
              <w:top w:val="nil"/>
              <w:left w:val="nil"/>
              <w:bottom w:val="single" w:sz="4" w:space="0" w:color="auto"/>
              <w:right w:val="single" w:sz="4" w:space="0" w:color="auto"/>
            </w:tcBorders>
            <w:shd w:val="clear" w:color="auto" w:fill="auto"/>
            <w:vAlign w:val="bottom"/>
          </w:tcPr>
          <w:p w:rsidR="003A6DAA" w:rsidRPr="006B6347" w:rsidRDefault="003A6DAA" w:rsidP="007506A5">
            <w:pPr>
              <w:jc w:val="right"/>
              <w:rPr>
                <w:rFonts w:eastAsia="Times New Roman"/>
                <w:color w:val="000000"/>
                <w:sz w:val="20"/>
                <w:szCs w:val="20"/>
              </w:rPr>
            </w:pPr>
            <w:r w:rsidRPr="006B6347">
              <w:rPr>
                <w:rFonts w:eastAsia="Times New Roman"/>
                <w:color w:val="000000"/>
                <w:sz w:val="20"/>
                <w:szCs w:val="20"/>
              </w:rPr>
              <w:t>4</w:t>
            </w:r>
          </w:p>
        </w:tc>
        <w:tc>
          <w:tcPr>
            <w:tcW w:w="1302" w:type="dxa"/>
            <w:tcBorders>
              <w:top w:val="nil"/>
              <w:left w:val="nil"/>
              <w:bottom w:val="single" w:sz="4" w:space="0" w:color="auto"/>
              <w:right w:val="single" w:sz="4" w:space="0" w:color="auto"/>
            </w:tcBorders>
            <w:shd w:val="clear" w:color="auto" w:fill="auto"/>
            <w:vAlign w:val="bottom"/>
          </w:tcPr>
          <w:p w:rsidR="003A6DAA" w:rsidRPr="006B6347" w:rsidRDefault="003A6DAA" w:rsidP="007506A5">
            <w:pPr>
              <w:jc w:val="right"/>
              <w:rPr>
                <w:rFonts w:eastAsia="Times New Roman"/>
                <w:color w:val="000000"/>
                <w:sz w:val="20"/>
                <w:szCs w:val="20"/>
              </w:rPr>
            </w:pPr>
            <w:r w:rsidRPr="006B6347">
              <w:rPr>
                <w:rFonts w:eastAsia="Times New Roman"/>
                <w:color w:val="000000"/>
                <w:sz w:val="20"/>
                <w:szCs w:val="20"/>
              </w:rPr>
              <w:t>8</w:t>
            </w:r>
          </w:p>
        </w:tc>
        <w:tc>
          <w:tcPr>
            <w:tcW w:w="1311" w:type="dxa"/>
            <w:tcBorders>
              <w:top w:val="nil"/>
              <w:left w:val="nil"/>
              <w:bottom w:val="single" w:sz="4" w:space="0" w:color="auto"/>
              <w:right w:val="single" w:sz="4" w:space="0" w:color="auto"/>
            </w:tcBorders>
            <w:shd w:val="clear" w:color="auto" w:fill="auto"/>
            <w:vAlign w:val="bottom"/>
          </w:tcPr>
          <w:p w:rsidR="003A6DAA" w:rsidRPr="006B6347" w:rsidRDefault="003A6DAA" w:rsidP="002C2AE3">
            <w:pPr>
              <w:jc w:val="right"/>
              <w:rPr>
                <w:rFonts w:eastAsia="Times New Roman"/>
                <w:color w:val="000000"/>
                <w:sz w:val="20"/>
                <w:szCs w:val="20"/>
              </w:rPr>
            </w:pPr>
            <w:r w:rsidRPr="006B6347">
              <w:rPr>
                <w:rFonts w:eastAsia="Times New Roman"/>
                <w:color w:val="000000"/>
                <w:sz w:val="20"/>
                <w:szCs w:val="20"/>
              </w:rPr>
              <w:t>$</w:t>
            </w:r>
            <w:r w:rsidR="002C2AE3" w:rsidRPr="006B6347">
              <w:rPr>
                <w:rFonts w:eastAsia="Times New Roman"/>
                <w:color w:val="000000"/>
                <w:sz w:val="20"/>
                <w:szCs w:val="20"/>
              </w:rPr>
              <w:t>6</w:t>
            </w:r>
            <w:r w:rsidR="002C2AE3">
              <w:rPr>
                <w:rFonts w:eastAsia="Times New Roman"/>
                <w:color w:val="000000"/>
                <w:sz w:val="20"/>
                <w:szCs w:val="20"/>
              </w:rPr>
              <w:t>50</w:t>
            </w:r>
          </w:p>
        </w:tc>
        <w:tc>
          <w:tcPr>
            <w:tcW w:w="990" w:type="dxa"/>
            <w:tcBorders>
              <w:top w:val="nil"/>
              <w:left w:val="nil"/>
              <w:bottom w:val="single" w:sz="4" w:space="0" w:color="auto"/>
              <w:right w:val="single" w:sz="4" w:space="0" w:color="auto"/>
            </w:tcBorders>
            <w:shd w:val="clear" w:color="auto" w:fill="auto"/>
            <w:vAlign w:val="bottom"/>
          </w:tcPr>
          <w:p w:rsidR="003A6DAA" w:rsidRPr="006B6347" w:rsidRDefault="003A6DAA"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3A6DAA" w:rsidRPr="006B6347" w:rsidRDefault="003A6DAA" w:rsidP="006B6347">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3A6DAA" w:rsidRPr="006B6347" w:rsidRDefault="003A6DAA" w:rsidP="003A6DAA">
            <w:pPr>
              <w:jc w:val="right"/>
              <w:rPr>
                <w:rFonts w:eastAsia="Times New Roman"/>
                <w:color w:val="000000"/>
                <w:sz w:val="20"/>
                <w:szCs w:val="20"/>
              </w:rPr>
            </w:pPr>
            <w:r w:rsidRPr="006B6347">
              <w:rPr>
                <w:rFonts w:eastAsia="Times New Roman"/>
                <w:color w:val="000000"/>
                <w:sz w:val="20"/>
                <w:szCs w:val="20"/>
              </w:rPr>
              <w:t>26</w:t>
            </w:r>
            <w:r>
              <w:rPr>
                <w:rFonts w:eastAsia="Times New Roman"/>
                <w:color w:val="000000"/>
                <w:sz w:val="20"/>
                <w:szCs w:val="20"/>
              </w:rPr>
              <w:t>1</w:t>
            </w:r>
          </w:p>
        </w:tc>
        <w:tc>
          <w:tcPr>
            <w:tcW w:w="1288" w:type="dxa"/>
            <w:tcBorders>
              <w:top w:val="nil"/>
              <w:left w:val="nil"/>
              <w:bottom w:val="single" w:sz="4" w:space="0" w:color="auto"/>
              <w:right w:val="single" w:sz="4" w:space="0" w:color="auto"/>
            </w:tcBorders>
            <w:shd w:val="clear" w:color="auto" w:fill="auto"/>
            <w:vAlign w:val="bottom"/>
          </w:tcPr>
          <w:p w:rsidR="003A6DAA" w:rsidRPr="006B6347" w:rsidRDefault="003A6DAA" w:rsidP="006B6347">
            <w:pPr>
              <w:jc w:val="right"/>
              <w:rPr>
                <w:rFonts w:eastAsia="Times New Roman"/>
                <w:color w:val="000000"/>
                <w:sz w:val="20"/>
                <w:szCs w:val="20"/>
              </w:rPr>
            </w:pPr>
            <w:r w:rsidRPr="000714D7">
              <w:rPr>
                <w:rFonts w:eastAsia="Times New Roman"/>
                <w:color w:val="000000"/>
                <w:sz w:val="20"/>
                <w:szCs w:val="20"/>
              </w:rPr>
              <w:t>2,088</w:t>
            </w:r>
          </w:p>
        </w:tc>
        <w:tc>
          <w:tcPr>
            <w:tcW w:w="1145" w:type="dxa"/>
            <w:tcBorders>
              <w:top w:val="nil"/>
              <w:left w:val="nil"/>
              <w:bottom w:val="single" w:sz="4" w:space="0" w:color="auto"/>
              <w:right w:val="single" w:sz="4" w:space="0" w:color="auto"/>
            </w:tcBorders>
            <w:shd w:val="clear" w:color="auto" w:fill="auto"/>
            <w:vAlign w:val="bottom"/>
          </w:tcPr>
          <w:p w:rsidR="003A6DAA" w:rsidRPr="006B6347" w:rsidRDefault="003A6DAA" w:rsidP="002C2AE3">
            <w:pPr>
              <w:jc w:val="right"/>
              <w:rPr>
                <w:rFonts w:eastAsia="Times New Roman"/>
                <w:color w:val="000000"/>
                <w:sz w:val="20"/>
                <w:szCs w:val="20"/>
              </w:rPr>
            </w:pPr>
            <w:r w:rsidRPr="000714D7">
              <w:rPr>
                <w:rFonts w:eastAsia="Times New Roman"/>
                <w:color w:val="000000"/>
                <w:sz w:val="20"/>
                <w:szCs w:val="20"/>
              </w:rPr>
              <w:t>$</w:t>
            </w:r>
            <w:r w:rsidR="002C2AE3">
              <w:rPr>
                <w:rFonts w:eastAsia="Times New Roman"/>
                <w:color w:val="000000"/>
                <w:sz w:val="20"/>
                <w:szCs w:val="20"/>
              </w:rPr>
              <w:t>169,629</w:t>
            </w:r>
          </w:p>
        </w:tc>
      </w:tr>
      <w:tr w:rsidR="00612D98" w:rsidRPr="006B6347" w:rsidTr="006B6347">
        <w:trPr>
          <w:trHeight w:val="225"/>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0714D7">
            <w:pPr>
              <w:ind w:left="245" w:hanging="245"/>
              <w:rPr>
                <w:sz w:val="20"/>
                <w:szCs w:val="20"/>
              </w:rPr>
            </w:pPr>
            <w:r w:rsidRPr="00ED7FD5">
              <w:rPr>
                <w:sz w:val="20"/>
                <w:szCs w:val="20"/>
              </w:rPr>
              <w:t xml:space="preserve">States in which Ozone </w:t>
            </w:r>
            <w:r w:rsidR="00DD6EB0">
              <w:rPr>
                <w:sz w:val="20"/>
                <w:szCs w:val="20"/>
              </w:rPr>
              <w:t xml:space="preserve">Season </w:t>
            </w:r>
            <w:r w:rsidRPr="00ED7FD5">
              <w:rPr>
                <w:sz w:val="20"/>
                <w:szCs w:val="20"/>
              </w:rPr>
              <w:t>Status Changes, Annual Status Remains</w:t>
            </w:r>
            <w:r w:rsidR="00B12340">
              <w:rPr>
                <w:sz w:val="20"/>
                <w:szCs w:val="20"/>
              </w:rPr>
              <w:t xml:space="preserve"> – Georgia, Texas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8</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2C2AE3">
            <w:pPr>
              <w:jc w:val="right"/>
              <w:rPr>
                <w:rFonts w:eastAsia="Times New Roman"/>
                <w:color w:val="000000"/>
                <w:sz w:val="20"/>
                <w:szCs w:val="20"/>
              </w:rPr>
            </w:pPr>
            <w:r w:rsidRPr="006B6347">
              <w:rPr>
                <w:rFonts w:eastAsia="Times New Roman"/>
                <w:color w:val="000000"/>
                <w:sz w:val="20"/>
                <w:szCs w:val="20"/>
              </w:rPr>
              <w:t>$</w:t>
            </w:r>
            <w:r w:rsidR="002C2AE3" w:rsidRPr="006B6347">
              <w:rPr>
                <w:rFonts w:eastAsia="Times New Roman"/>
                <w:color w:val="000000"/>
                <w:sz w:val="20"/>
                <w:szCs w:val="20"/>
              </w:rPr>
              <w:t>6</w:t>
            </w:r>
            <w:r w:rsidR="002C2AE3">
              <w:rPr>
                <w:rFonts w:eastAsia="Times New Roman"/>
                <w:color w:val="000000"/>
                <w:sz w:val="20"/>
                <w:szCs w:val="20"/>
              </w:rPr>
              <w:t>50</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161</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1,288</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$10</w:t>
            </w:r>
            <w:r w:rsidR="002C2AE3">
              <w:rPr>
                <w:rFonts w:eastAsia="Times New Roman"/>
                <w:color w:val="000000"/>
                <w:sz w:val="20"/>
                <w:szCs w:val="20"/>
              </w:rPr>
              <w:t>4,637</w:t>
            </w:r>
          </w:p>
        </w:tc>
      </w:tr>
      <w:tr w:rsidR="00612D98" w:rsidRPr="006B6347" w:rsidTr="006B6347">
        <w:trPr>
          <w:trHeight w:val="306"/>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0714D7">
            <w:pPr>
              <w:ind w:left="245" w:hanging="245"/>
              <w:rPr>
                <w:sz w:val="20"/>
                <w:szCs w:val="20"/>
              </w:rPr>
            </w:pPr>
            <w:r w:rsidRPr="00ED7FD5">
              <w:rPr>
                <w:sz w:val="20"/>
                <w:szCs w:val="20"/>
              </w:rPr>
              <w:t xml:space="preserve">States now Ozone </w:t>
            </w:r>
            <w:r w:rsidR="00DD6EB0">
              <w:rPr>
                <w:sz w:val="20"/>
                <w:szCs w:val="20"/>
              </w:rPr>
              <w:t xml:space="preserve">Season </w:t>
            </w:r>
            <w:r w:rsidRPr="00ED7FD5">
              <w:rPr>
                <w:sz w:val="20"/>
                <w:szCs w:val="20"/>
              </w:rPr>
              <w:t>Only - Mississippi, Florida, Louisiana</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8</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2C2AE3">
            <w:pPr>
              <w:jc w:val="right"/>
              <w:rPr>
                <w:rFonts w:eastAsia="Times New Roman"/>
                <w:color w:val="000000"/>
                <w:sz w:val="20"/>
                <w:szCs w:val="20"/>
              </w:rPr>
            </w:pPr>
            <w:r w:rsidRPr="006B6347">
              <w:rPr>
                <w:rFonts w:eastAsia="Times New Roman"/>
                <w:color w:val="000000"/>
                <w:sz w:val="20"/>
                <w:szCs w:val="20"/>
              </w:rPr>
              <w:t>$</w:t>
            </w:r>
            <w:r w:rsidR="002C2AE3" w:rsidRPr="006B6347">
              <w:rPr>
                <w:rFonts w:eastAsia="Times New Roman"/>
                <w:color w:val="000000"/>
                <w:sz w:val="20"/>
                <w:szCs w:val="20"/>
              </w:rPr>
              <w:t>6</w:t>
            </w:r>
            <w:r w:rsidR="002C2AE3">
              <w:rPr>
                <w:rFonts w:eastAsia="Times New Roman"/>
                <w:color w:val="000000"/>
                <w:sz w:val="20"/>
                <w:szCs w:val="20"/>
              </w:rPr>
              <w:t>50</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27</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216</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2C2AE3">
            <w:pPr>
              <w:jc w:val="right"/>
              <w:rPr>
                <w:rFonts w:eastAsia="Times New Roman"/>
                <w:color w:val="000000"/>
                <w:sz w:val="20"/>
                <w:szCs w:val="20"/>
              </w:rPr>
            </w:pPr>
            <w:r w:rsidRPr="006B6347">
              <w:rPr>
                <w:rFonts w:eastAsia="Times New Roman"/>
                <w:color w:val="000000"/>
                <w:sz w:val="20"/>
                <w:szCs w:val="20"/>
              </w:rPr>
              <w:t>$17,</w:t>
            </w:r>
            <w:r w:rsidR="002C2AE3">
              <w:rPr>
                <w:rFonts w:eastAsia="Times New Roman"/>
                <w:color w:val="000000"/>
                <w:sz w:val="20"/>
                <w:szCs w:val="20"/>
              </w:rPr>
              <w:t>548</w:t>
            </w:r>
          </w:p>
        </w:tc>
      </w:tr>
      <w:tr w:rsidR="00612D98" w:rsidRPr="006B6347" w:rsidTr="006B6347">
        <w:trPr>
          <w:trHeight w:val="9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Default="00DD6EB0" w:rsidP="000714D7">
            <w:pPr>
              <w:ind w:left="245" w:hanging="245"/>
              <w:rPr>
                <w:sz w:val="20"/>
                <w:szCs w:val="20"/>
              </w:rPr>
            </w:pPr>
            <w:r>
              <w:rPr>
                <w:sz w:val="20"/>
                <w:szCs w:val="20"/>
              </w:rPr>
              <w:t xml:space="preserve">States </w:t>
            </w:r>
            <w:r w:rsidR="00612D98" w:rsidRPr="00B520AC">
              <w:rPr>
                <w:sz w:val="20"/>
                <w:szCs w:val="20"/>
              </w:rPr>
              <w:t xml:space="preserve"> Not </w:t>
            </w:r>
            <w:r>
              <w:rPr>
                <w:sz w:val="20"/>
                <w:szCs w:val="20"/>
              </w:rPr>
              <w:t xml:space="preserve">Previously Covered </w:t>
            </w:r>
            <w:r w:rsidR="00612D98" w:rsidRPr="00B520AC">
              <w:rPr>
                <w:sz w:val="20"/>
                <w:szCs w:val="20"/>
              </w:rPr>
              <w:t xml:space="preserve"> - Kansas, Minnesota, Nebraska, Oklahoma</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8</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8</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ind w:left="245" w:hanging="245"/>
              <w:jc w:val="right"/>
              <w:rPr>
                <w:rFonts w:eastAsia="Times New Roman"/>
                <w:color w:val="000000"/>
                <w:sz w:val="20"/>
                <w:szCs w:val="20"/>
              </w:rPr>
            </w:pPr>
            <w:r w:rsidRPr="006B6347">
              <w:rPr>
                <w:rFonts w:eastAsia="Times New Roman"/>
                <w:color w:val="000000"/>
                <w:sz w:val="20"/>
                <w:szCs w:val="20"/>
              </w:rPr>
              <w:t>16</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2C2AE3">
            <w:pPr>
              <w:jc w:val="right"/>
              <w:rPr>
                <w:rFonts w:eastAsia="Times New Roman"/>
                <w:color w:val="000000"/>
                <w:sz w:val="20"/>
                <w:szCs w:val="20"/>
              </w:rPr>
            </w:pPr>
            <w:r w:rsidRPr="006B6347">
              <w:rPr>
                <w:rFonts w:eastAsia="Times New Roman"/>
                <w:color w:val="000000"/>
                <w:sz w:val="20"/>
                <w:szCs w:val="20"/>
              </w:rPr>
              <w:t>$1,</w:t>
            </w:r>
            <w:r w:rsidR="002C2AE3">
              <w:rPr>
                <w:rFonts w:eastAsia="Times New Roman"/>
                <w:color w:val="000000"/>
                <w:sz w:val="20"/>
                <w:szCs w:val="20"/>
              </w:rPr>
              <w:t>300</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35</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560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2C2AE3">
            <w:pPr>
              <w:jc w:val="right"/>
              <w:rPr>
                <w:rFonts w:eastAsia="Times New Roman"/>
                <w:color w:val="000000"/>
                <w:sz w:val="20"/>
                <w:szCs w:val="20"/>
              </w:rPr>
            </w:pPr>
            <w:r w:rsidRPr="006B6347">
              <w:rPr>
                <w:rFonts w:eastAsia="Times New Roman"/>
                <w:color w:val="000000"/>
                <w:sz w:val="20"/>
                <w:szCs w:val="20"/>
              </w:rPr>
              <w:t>$</w:t>
            </w:r>
            <w:r w:rsidR="002C2AE3">
              <w:rPr>
                <w:rFonts w:eastAsia="Times New Roman"/>
                <w:color w:val="000000"/>
                <w:sz w:val="20"/>
                <w:szCs w:val="20"/>
              </w:rPr>
              <w:t>45,494</w:t>
            </w:r>
          </w:p>
        </w:tc>
      </w:tr>
      <w:tr w:rsidR="00CC4439" w:rsidRPr="001774B5" w:rsidTr="002050C7">
        <w:trPr>
          <w:trHeight w:val="255"/>
          <w:jc w:val="center"/>
        </w:trPr>
        <w:tc>
          <w:tcPr>
            <w:tcW w:w="12960" w:type="dxa"/>
            <w:gridSpan w:val="10"/>
            <w:tcBorders>
              <w:top w:val="single" w:sz="4" w:space="0" w:color="auto"/>
            </w:tcBorders>
            <w:shd w:val="clear" w:color="auto" w:fill="auto"/>
          </w:tcPr>
          <w:p w:rsidR="00CC4439" w:rsidRPr="001774B5" w:rsidRDefault="00CC4439" w:rsidP="00391881">
            <w:pPr>
              <w:jc w:val="right"/>
              <w:rPr>
                <w:sz w:val="20"/>
                <w:szCs w:val="20"/>
              </w:rPr>
            </w:pPr>
            <w:r>
              <w:rPr>
                <w:sz w:val="20"/>
                <w:szCs w:val="20"/>
              </w:rPr>
              <w:t>(cont.)</w:t>
            </w:r>
          </w:p>
        </w:tc>
      </w:tr>
      <w:tr w:rsidR="00CC4439" w:rsidTr="002050C7">
        <w:trPr>
          <w:trHeight w:val="255"/>
          <w:jc w:val="center"/>
        </w:trPr>
        <w:tc>
          <w:tcPr>
            <w:tcW w:w="12960" w:type="dxa"/>
            <w:gridSpan w:val="10"/>
            <w:tcBorders>
              <w:bottom w:val="single" w:sz="4" w:space="0" w:color="auto"/>
            </w:tcBorders>
            <w:shd w:val="clear" w:color="auto" w:fill="auto"/>
          </w:tcPr>
          <w:p w:rsidR="00A55C35" w:rsidRDefault="00A55C35" w:rsidP="00CC4439">
            <w:pPr>
              <w:keepNext/>
              <w:keepLines/>
              <w:jc w:val="center"/>
              <w:rPr>
                <w:b/>
                <w:color w:val="0F0F0F"/>
              </w:rPr>
            </w:pPr>
          </w:p>
          <w:p w:rsidR="00CC4439" w:rsidRDefault="00CC4439" w:rsidP="00CC4439">
            <w:pPr>
              <w:keepNext/>
              <w:keepLines/>
              <w:jc w:val="center"/>
              <w:rPr>
                <w:b/>
                <w:color w:val="0F0F0F"/>
              </w:rPr>
            </w:pPr>
            <w:r w:rsidRPr="001774B5">
              <w:rPr>
                <w:b/>
                <w:color w:val="0F0F0F"/>
              </w:rPr>
              <w:t xml:space="preserve">Table </w:t>
            </w:r>
            <w:r w:rsidR="009269F3">
              <w:rPr>
                <w:b/>
                <w:color w:val="0F0F0F"/>
              </w:rPr>
              <w:t>6-5</w:t>
            </w:r>
            <w:r>
              <w:rPr>
                <w:b/>
                <w:color w:val="0F0F0F"/>
              </w:rPr>
              <w:t>:</w:t>
            </w:r>
            <w:r w:rsidRPr="001774B5">
              <w:rPr>
                <w:b/>
                <w:color w:val="0F0F0F"/>
              </w:rPr>
              <w:t xml:space="preserve"> </w:t>
            </w:r>
            <w:r w:rsidRPr="001774B5">
              <w:rPr>
                <w:b/>
                <w:color w:val="0F0F0F"/>
              </w:rPr>
              <w:br/>
              <w:t>Annual Industry Respondent Burden and Cost by Activity</w:t>
            </w:r>
            <w:r>
              <w:rPr>
                <w:b/>
                <w:color w:val="0F0F0F"/>
              </w:rPr>
              <w:t xml:space="preserve"> (cont.)</w:t>
            </w:r>
          </w:p>
          <w:p w:rsidR="00CC4439" w:rsidRDefault="00CC4439" w:rsidP="00CC4439">
            <w:pPr>
              <w:keepNext/>
              <w:keepLines/>
              <w:jc w:val="center"/>
              <w:rPr>
                <w:sz w:val="20"/>
                <w:szCs w:val="20"/>
              </w:rPr>
            </w:pPr>
          </w:p>
        </w:tc>
      </w:tr>
      <w:tr w:rsidR="00CC4439" w:rsidRPr="00764293" w:rsidTr="002050C7">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CC4439" w:rsidRPr="00764293" w:rsidRDefault="00CC4439" w:rsidP="00CC4439">
            <w:pPr>
              <w:keepNext/>
              <w:keepLines/>
              <w:jc w:val="center"/>
              <w:rPr>
                <w:b/>
                <w:bCs/>
                <w:sz w:val="22"/>
              </w:rPr>
            </w:pPr>
          </w:p>
          <w:p w:rsidR="00CC4439" w:rsidRPr="00764293" w:rsidRDefault="00CC4439" w:rsidP="00CC4439">
            <w:pPr>
              <w:keepNext/>
              <w:keepLines/>
              <w:jc w:val="center"/>
              <w:rPr>
                <w:b/>
                <w:bCs/>
                <w:sz w:val="22"/>
              </w:rPr>
            </w:pPr>
          </w:p>
          <w:p w:rsidR="00CC4439" w:rsidRPr="00764293" w:rsidRDefault="00CC4439" w:rsidP="00CC4439">
            <w:pPr>
              <w:keepNext/>
              <w:keepLines/>
              <w:jc w:val="center"/>
              <w:rPr>
                <w:b/>
                <w:bCs/>
                <w:sz w:val="22"/>
              </w:rPr>
            </w:pPr>
          </w:p>
          <w:p w:rsidR="00CC4439" w:rsidRPr="00764293" w:rsidRDefault="00CC4439" w:rsidP="00CC4439">
            <w:pPr>
              <w:keepNext/>
              <w:keepLines/>
              <w:jc w:val="center"/>
              <w:rPr>
                <w:b/>
                <w:bCs/>
                <w:sz w:val="22"/>
              </w:rPr>
            </w:pPr>
          </w:p>
        </w:tc>
        <w:tc>
          <w:tcPr>
            <w:tcW w:w="1259" w:type="dxa"/>
            <w:tcBorders>
              <w:top w:val="single" w:sz="4" w:space="0" w:color="auto"/>
              <w:left w:val="nil"/>
              <w:bottom w:val="single" w:sz="4" w:space="0" w:color="auto"/>
            </w:tcBorders>
            <w:shd w:val="pct10" w:color="auto" w:fill="auto"/>
            <w:vAlign w:val="bottom"/>
          </w:tcPr>
          <w:p w:rsidR="00CC4439" w:rsidRPr="00764293" w:rsidRDefault="00CC4439" w:rsidP="00CC4439">
            <w:pPr>
              <w:keepNext/>
              <w:keepLines/>
              <w:jc w:val="center"/>
              <w:rPr>
                <w:b/>
                <w:bCs/>
                <w:sz w:val="22"/>
              </w:rPr>
            </w:pPr>
          </w:p>
        </w:tc>
        <w:tc>
          <w:tcPr>
            <w:tcW w:w="1139" w:type="dxa"/>
            <w:tcBorders>
              <w:top w:val="single" w:sz="4" w:space="0" w:color="auto"/>
              <w:bottom w:val="single" w:sz="4" w:space="0" w:color="auto"/>
            </w:tcBorders>
            <w:shd w:val="pct10" w:color="auto" w:fill="auto"/>
            <w:vAlign w:val="bottom"/>
          </w:tcPr>
          <w:p w:rsidR="00CC4439" w:rsidRPr="00764293" w:rsidRDefault="00CC4439" w:rsidP="00CC4439">
            <w:pPr>
              <w:keepNext/>
              <w:keepLines/>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CC4439" w:rsidRPr="00764293" w:rsidRDefault="00CC4439" w:rsidP="00CC4439">
            <w:pPr>
              <w:keepNext/>
              <w:keepLines/>
              <w:jc w:val="center"/>
              <w:rPr>
                <w:b/>
                <w:bCs/>
                <w:sz w:val="22"/>
              </w:rPr>
            </w:pPr>
          </w:p>
        </w:tc>
        <w:tc>
          <w:tcPr>
            <w:tcW w:w="1311" w:type="dxa"/>
            <w:vMerge w:val="restart"/>
            <w:tcBorders>
              <w:top w:val="single" w:sz="4" w:space="0" w:color="auto"/>
              <w:left w:val="nil"/>
              <w:bottom w:val="single" w:sz="4" w:space="0" w:color="auto"/>
              <w:right w:val="single" w:sz="4" w:space="0" w:color="auto"/>
            </w:tcBorders>
            <w:shd w:val="pct10" w:color="auto" w:fill="auto"/>
            <w:vAlign w:val="bottom"/>
          </w:tcPr>
          <w:p w:rsidR="00CC4439" w:rsidRPr="00764293" w:rsidRDefault="00CC4439" w:rsidP="00CC4439">
            <w:pPr>
              <w:keepNext/>
              <w:keepLines/>
              <w:jc w:val="center"/>
              <w:rPr>
                <w:b/>
                <w:bCs/>
                <w:sz w:val="22"/>
              </w:rPr>
            </w:pPr>
            <w:r w:rsidRPr="00764293">
              <w:rPr>
                <w:b/>
                <w:bCs/>
                <w:sz w:val="22"/>
              </w:rPr>
              <w:t>Respondent</w:t>
            </w:r>
          </w:p>
          <w:p w:rsidR="00CC4439" w:rsidRPr="00764293" w:rsidRDefault="00CC4439" w:rsidP="00CC4439">
            <w:pPr>
              <w:keepNext/>
              <w:keepLines/>
              <w:jc w:val="center"/>
              <w:rPr>
                <w:b/>
                <w:bCs/>
                <w:sz w:val="22"/>
              </w:rPr>
            </w:pPr>
            <w:r w:rsidRPr="00764293">
              <w:rPr>
                <w:b/>
                <w:bCs/>
                <w:sz w:val="22"/>
              </w:rPr>
              <w:t>Labor Cost/Year</w:t>
            </w:r>
          </w:p>
          <w:p w:rsidR="00CC4439" w:rsidRPr="00764293" w:rsidRDefault="00CC4439" w:rsidP="00CC4439">
            <w:pPr>
              <w:keepNext/>
              <w:keepLines/>
              <w:jc w:val="center"/>
              <w:rPr>
                <w:b/>
                <w:bCs/>
                <w:sz w:val="22"/>
              </w:rPr>
            </w:pPr>
          </w:p>
        </w:tc>
        <w:tc>
          <w:tcPr>
            <w:tcW w:w="1801" w:type="dxa"/>
            <w:gridSpan w:val="2"/>
            <w:tcBorders>
              <w:top w:val="single" w:sz="4" w:space="0" w:color="auto"/>
              <w:left w:val="nil"/>
              <w:bottom w:val="single" w:sz="4" w:space="0" w:color="auto"/>
              <w:right w:val="single" w:sz="4" w:space="0" w:color="auto"/>
            </w:tcBorders>
            <w:shd w:val="pct10" w:color="auto" w:fill="auto"/>
            <w:vAlign w:val="bottom"/>
          </w:tcPr>
          <w:p w:rsidR="00CC4439" w:rsidRPr="00764293" w:rsidRDefault="00CC4439" w:rsidP="00CC4439">
            <w:pPr>
              <w:keepNext/>
              <w:keepLines/>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CC4439" w:rsidRPr="00764293" w:rsidRDefault="00CC4439" w:rsidP="00CC4439">
            <w:pPr>
              <w:keepNext/>
              <w:keepLines/>
              <w:jc w:val="center"/>
              <w:rPr>
                <w:b/>
                <w:bCs/>
                <w:sz w:val="22"/>
              </w:rPr>
            </w:pPr>
          </w:p>
        </w:tc>
        <w:tc>
          <w:tcPr>
            <w:tcW w:w="1288" w:type="dxa"/>
            <w:tcBorders>
              <w:top w:val="single" w:sz="4" w:space="0" w:color="auto"/>
              <w:bottom w:val="single" w:sz="4" w:space="0" w:color="auto"/>
            </w:tcBorders>
            <w:shd w:val="pct10" w:color="auto" w:fill="auto"/>
            <w:vAlign w:val="bottom"/>
          </w:tcPr>
          <w:p w:rsidR="00CC4439" w:rsidRPr="00764293" w:rsidRDefault="00CC4439" w:rsidP="00CC4439">
            <w:pPr>
              <w:keepNext/>
              <w:keepLines/>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CC4439" w:rsidRPr="00764293" w:rsidRDefault="00CC4439" w:rsidP="00CC4439">
            <w:pPr>
              <w:keepNext/>
              <w:keepLines/>
              <w:jc w:val="center"/>
              <w:rPr>
                <w:b/>
                <w:bCs/>
                <w:sz w:val="22"/>
              </w:rPr>
            </w:pPr>
          </w:p>
        </w:tc>
      </w:tr>
      <w:tr w:rsidR="00076623" w:rsidRPr="00764293" w:rsidTr="002050C7">
        <w:trPr>
          <w:trHeight w:val="548"/>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Manager $</w:t>
            </w:r>
            <w:r w:rsidR="00374FE9">
              <w:rPr>
                <w:b/>
                <w:bCs/>
                <w:sz w:val="22"/>
              </w:rPr>
              <w:t>95.10</w:t>
            </w:r>
          </w:p>
          <w:p w:rsidR="00076623" w:rsidRPr="00764293" w:rsidRDefault="00076623" w:rsidP="00A947BD">
            <w:pPr>
              <w:keepNext/>
              <w:keepLines/>
              <w:jc w:val="center"/>
              <w:rPr>
                <w:b/>
                <w:bCs/>
                <w:sz w:val="22"/>
              </w:rPr>
            </w:pPr>
            <w:r w:rsidRPr="00764293">
              <w:rPr>
                <w:b/>
                <w:bCs/>
                <w:sz w:val="22"/>
              </w:rPr>
              <w:t>Per Hour (20</w:t>
            </w:r>
            <w:r>
              <w:rPr>
                <w:b/>
                <w:bCs/>
                <w:sz w:val="22"/>
              </w:rPr>
              <w:t>1</w:t>
            </w:r>
            <w:r w:rsidR="00A947BD">
              <w:rPr>
                <w:b/>
                <w:bCs/>
                <w:sz w:val="22"/>
              </w:rPr>
              <w:t>3</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Technical $</w:t>
            </w:r>
            <w:r w:rsidR="00374FE9">
              <w:rPr>
                <w:b/>
                <w:bCs/>
                <w:sz w:val="22"/>
              </w:rPr>
              <w:t>67.38</w:t>
            </w:r>
          </w:p>
          <w:p w:rsidR="00076623" w:rsidRPr="00764293" w:rsidRDefault="00076623" w:rsidP="00A947BD">
            <w:pPr>
              <w:keepNext/>
              <w:keepLines/>
              <w:jc w:val="center"/>
              <w:rPr>
                <w:b/>
                <w:bCs/>
                <w:sz w:val="22"/>
              </w:rPr>
            </w:pPr>
            <w:r w:rsidRPr="00764293">
              <w:rPr>
                <w:b/>
                <w:bCs/>
                <w:sz w:val="22"/>
              </w:rPr>
              <w:t>Per Hour (20</w:t>
            </w:r>
            <w:r>
              <w:rPr>
                <w:b/>
                <w:bCs/>
                <w:sz w:val="22"/>
              </w:rPr>
              <w:t>1</w:t>
            </w:r>
            <w:r w:rsidR="00A947BD">
              <w:rPr>
                <w:b/>
                <w:bCs/>
                <w:sz w:val="22"/>
              </w:rPr>
              <w:t>3</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r w:rsidRPr="00764293">
              <w:rPr>
                <w:b/>
                <w:bCs/>
                <w:sz w:val="22"/>
              </w:rPr>
              <w:t>Respondent Hours/Year</w:t>
            </w:r>
          </w:p>
          <w:p w:rsidR="00076623" w:rsidRPr="00764293" w:rsidRDefault="00076623" w:rsidP="00CC4439">
            <w:pPr>
              <w:keepNext/>
              <w:keepLines/>
              <w:jc w:val="center"/>
              <w:rPr>
                <w:b/>
                <w:bCs/>
                <w:sz w:val="22"/>
              </w:rPr>
            </w:pPr>
          </w:p>
        </w:tc>
        <w:tc>
          <w:tcPr>
            <w:tcW w:w="1311" w:type="dxa"/>
            <w:vMerge/>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p>
        </w:tc>
        <w:tc>
          <w:tcPr>
            <w:tcW w:w="99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r w:rsidRPr="00764293">
              <w:rPr>
                <w:b/>
                <w:bCs/>
                <w:sz w:val="22"/>
              </w:rPr>
              <w:t>Startup Costs</w:t>
            </w:r>
          </w:p>
          <w:p w:rsidR="00076623" w:rsidRPr="00764293" w:rsidRDefault="00076623" w:rsidP="00CC4439">
            <w:pPr>
              <w:keepNext/>
              <w:keepLines/>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r w:rsidRPr="00764293">
              <w:rPr>
                <w:b/>
                <w:bCs/>
                <w:sz w:val="22"/>
              </w:rPr>
              <w:t>O&amp;M Cost</w:t>
            </w:r>
          </w:p>
          <w:p w:rsidR="00076623" w:rsidRPr="00764293" w:rsidRDefault="00076623" w:rsidP="00CC4439">
            <w:pPr>
              <w:keepNext/>
              <w:keepLines/>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r w:rsidRPr="00764293">
              <w:rPr>
                <w:b/>
                <w:bCs/>
                <w:sz w:val="22"/>
              </w:rPr>
              <w:t>Number of Respondents</w:t>
            </w:r>
          </w:p>
          <w:p w:rsidR="00076623" w:rsidRPr="00764293" w:rsidRDefault="00076623" w:rsidP="00CC4439">
            <w:pPr>
              <w:keepNext/>
              <w:keepLines/>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r w:rsidRPr="00764293">
              <w:rPr>
                <w:b/>
                <w:bCs/>
                <w:sz w:val="22"/>
              </w:rPr>
              <w:t>Total Hours/Year</w:t>
            </w:r>
          </w:p>
          <w:p w:rsidR="00076623" w:rsidRPr="00764293" w:rsidRDefault="00076623" w:rsidP="00CC4439">
            <w:pPr>
              <w:keepNext/>
              <w:keepLines/>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CC4439">
            <w:pPr>
              <w:keepNext/>
              <w:keepLines/>
              <w:jc w:val="center"/>
              <w:rPr>
                <w:b/>
                <w:bCs/>
                <w:sz w:val="22"/>
              </w:rPr>
            </w:pPr>
            <w:r w:rsidRPr="00764293">
              <w:rPr>
                <w:b/>
                <w:bCs/>
                <w:sz w:val="22"/>
              </w:rPr>
              <w:t>Total Cost/Year</w:t>
            </w:r>
          </w:p>
          <w:p w:rsidR="00076623" w:rsidRPr="00764293" w:rsidRDefault="00076623" w:rsidP="00CC4439">
            <w:pPr>
              <w:keepNext/>
              <w:keepLines/>
              <w:jc w:val="center"/>
              <w:rPr>
                <w:b/>
                <w:bCs/>
                <w:sz w:val="22"/>
              </w:rPr>
            </w:pPr>
          </w:p>
        </w:tc>
      </w:tr>
      <w:tr w:rsidR="00072574"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000000"/>
            </w:tcBorders>
            <w:shd w:val="pct10" w:color="auto" w:fill="auto"/>
          </w:tcPr>
          <w:p w:rsidR="00072574" w:rsidRPr="001774B5" w:rsidRDefault="00072574" w:rsidP="00D12499">
            <w:pPr>
              <w:keepNext/>
              <w:jc w:val="center"/>
              <w:rPr>
                <w:b/>
                <w:bCs/>
                <w:sz w:val="20"/>
                <w:szCs w:val="20"/>
              </w:rPr>
            </w:pPr>
            <w:r w:rsidRPr="001774B5">
              <w:rPr>
                <w:b/>
                <w:bCs/>
                <w:sz w:val="20"/>
                <w:szCs w:val="20"/>
              </w:rPr>
              <w:t>Respond to EPA Generated Error Messages</w:t>
            </w:r>
          </w:p>
        </w:tc>
      </w:tr>
      <w:tr w:rsidR="003A6DAA" w:rsidRPr="001774B5" w:rsidTr="006B6347">
        <w:trPr>
          <w:trHeight w:val="171"/>
          <w:jc w:val="center"/>
        </w:trPr>
        <w:tc>
          <w:tcPr>
            <w:tcW w:w="2335" w:type="dxa"/>
            <w:tcBorders>
              <w:top w:val="nil"/>
              <w:left w:val="single" w:sz="4" w:space="0" w:color="auto"/>
              <w:bottom w:val="single" w:sz="4" w:space="0" w:color="auto"/>
              <w:right w:val="single" w:sz="4" w:space="0" w:color="auto"/>
            </w:tcBorders>
            <w:shd w:val="clear" w:color="auto" w:fill="auto"/>
          </w:tcPr>
          <w:p w:rsidR="003A6DAA" w:rsidRDefault="003A6DAA" w:rsidP="000714D7">
            <w:pPr>
              <w:ind w:left="245" w:hanging="245"/>
              <w:rPr>
                <w:sz w:val="20"/>
                <w:szCs w:val="20"/>
              </w:rPr>
            </w:pPr>
            <w:r w:rsidRPr="00B520AC">
              <w:rPr>
                <w:sz w:val="20"/>
                <w:szCs w:val="20"/>
              </w:rPr>
              <w:t>States with No Change in</w:t>
            </w:r>
          </w:p>
          <w:p w:rsidR="003A6DAA" w:rsidRPr="001774B5" w:rsidRDefault="002B7D3B" w:rsidP="000714D7">
            <w:pPr>
              <w:ind w:left="245" w:hanging="245"/>
              <w:rPr>
                <w:sz w:val="20"/>
                <w:szCs w:val="20"/>
              </w:rPr>
            </w:pPr>
            <w:r>
              <w:rPr>
                <w:sz w:val="20"/>
                <w:szCs w:val="20"/>
              </w:rPr>
              <w:t xml:space="preserve">   </w:t>
            </w:r>
            <w:r w:rsidR="003A6DAA" w:rsidRPr="00B520AC">
              <w:rPr>
                <w:sz w:val="20"/>
                <w:szCs w:val="20"/>
              </w:rPr>
              <w:t xml:space="preserve">Classification </w:t>
            </w:r>
          </w:p>
        </w:tc>
        <w:tc>
          <w:tcPr>
            <w:tcW w:w="1259" w:type="dxa"/>
            <w:tcBorders>
              <w:top w:val="nil"/>
              <w:left w:val="nil"/>
              <w:bottom w:val="single" w:sz="4" w:space="0" w:color="auto"/>
              <w:right w:val="single" w:sz="4" w:space="0" w:color="auto"/>
            </w:tcBorders>
            <w:shd w:val="clear" w:color="auto" w:fill="auto"/>
            <w:vAlign w:val="bottom"/>
          </w:tcPr>
          <w:p w:rsidR="003A6DAA" w:rsidRPr="006B6347" w:rsidRDefault="003A6DAA" w:rsidP="00B520AC">
            <w:pPr>
              <w:jc w:val="right"/>
              <w:rPr>
                <w:rFonts w:eastAsia="Times New Roman"/>
                <w:color w:val="000000"/>
                <w:sz w:val="20"/>
                <w:szCs w:val="20"/>
              </w:rPr>
            </w:pPr>
            <w:r w:rsidRPr="006B6347">
              <w:rPr>
                <w:rFonts w:eastAsia="Times New Roman"/>
                <w:color w:val="000000"/>
                <w:sz w:val="20"/>
                <w:szCs w:val="20"/>
              </w:rPr>
              <w:t>6</w:t>
            </w:r>
          </w:p>
        </w:tc>
        <w:tc>
          <w:tcPr>
            <w:tcW w:w="1139" w:type="dxa"/>
            <w:tcBorders>
              <w:top w:val="nil"/>
              <w:left w:val="nil"/>
              <w:bottom w:val="single" w:sz="4" w:space="0" w:color="auto"/>
              <w:right w:val="single" w:sz="4" w:space="0" w:color="auto"/>
            </w:tcBorders>
            <w:shd w:val="clear" w:color="auto" w:fill="auto"/>
            <w:vAlign w:val="bottom"/>
          </w:tcPr>
          <w:p w:rsidR="003A6DAA" w:rsidRPr="006B6347" w:rsidRDefault="003A6DAA" w:rsidP="00B520AC">
            <w:pPr>
              <w:jc w:val="right"/>
              <w:rPr>
                <w:rFonts w:eastAsia="Times New Roman"/>
                <w:color w:val="000000"/>
                <w:sz w:val="20"/>
                <w:szCs w:val="20"/>
              </w:rPr>
            </w:pPr>
            <w:r w:rsidRPr="006B6347">
              <w:rPr>
                <w:rFonts w:eastAsia="Times New Roman"/>
                <w:color w:val="000000"/>
                <w:sz w:val="20"/>
                <w:szCs w:val="20"/>
              </w:rPr>
              <w:t>18</w:t>
            </w:r>
          </w:p>
        </w:tc>
        <w:tc>
          <w:tcPr>
            <w:tcW w:w="1302" w:type="dxa"/>
            <w:tcBorders>
              <w:top w:val="nil"/>
              <w:left w:val="nil"/>
              <w:bottom w:val="single" w:sz="4" w:space="0" w:color="auto"/>
              <w:right w:val="single" w:sz="4" w:space="0" w:color="auto"/>
            </w:tcBorders>
            <w:shd w:val="clear" w:color="auto" w:fill="auto"/>
            <w:vAlign w:val="bottom"/>
          </w:tcPr>
          <w:p w:rsidR="003A6DAA" w:rsidRPr="006B6347" w:rsidRDefault="003A6DAA" w:rsidP="00B520AC">
            <w:pPr>
              <w:jc w:val="right"/>
              <w:rPr>
                <w:rFonts w:eastAsia="Times New Roman"/>
                <w:color w:val="000000"/>
                <w:sz w:val="20"/>
                <w:szCs w:val="20"/>
              </w:rPr>
            </w:pPr>
            <w:r w:rsidRPr="006B6347">
              <w:rPr>
                <w:rFonts w:eastAsia="Times New Roman"/>
                <w:color w:val="000000"/>
                <w:sz w:val="20"/>
                <w:szCs w:val="20"/>
              </w:rPr>
              <w:t>24</w:t>
            </w:r>
          </w:p>
        </w:tc>
        <w:tc>
          <w:tcPr>
            <w:tcW w:w="1311" w:type="dxa"/>
            <w:tcBorders>
              <w:top w:val="nil"/>
              <w:left w:val="nil"/>
              <w:bottom w:val="single" w:sz="4" w:space="0" w:color="auto"/>
              <w:right w:val="single" w:sz="4" w:space="0" w:color="auto"/>
            </w:tcBorders>
            <w:shd w:val="clear" w:color="auto" w:fill="auto"/>
            <w:vAlign w:val="bottom"/>
          </w:tcPr>
          <w:p w:rsidR="003A6DAA" w:rsidRPr="006B6347" w:rsidRDefault="003A6DAA" w:rsidP="002C2AE3">
            <w:pPr>
              <w:jc w:val="right"/>
              <w:rPr>
                <w:rFonts w:eastAsia="Times New Roman"/>
                <w:color w:val="000000"/>
                <w:sz w:val="20"/>
                <w:szCs w:val="20"/>
              </w:rPr>
            </w:pPr>
            <w:r w:rsidRPr="006B6347">
              <w:rPr>
                <w:rFonts w:eastAsia="Times New Roman"/>
                <w:color w:val="000000"/>
                <w:sz w:val="20"/>
                <w:szCs w:val="20"/>
              </w:rPr>
              <w:t>$1,</w:t>
            </w:r>
            <w:r w:rsidR="002C2AE3" w:rsidRPr="006B6347">
              <w:rPr>
                <w:rFonts w:eastAsia="Times New Roman"/>
                <w:color w:val="000000"/>
                <w:sz w:val="20"/>
                <w:szCs w:val="20"/>
              </w:rPr>
              <w:t>7</w:t>
            </w:r>
            <w:r w:rsidR="002C2AE3">
              <w:rPr>
                <w:rFonts w:eastAsia="Times New Roman"/>
                <w:color w:val="000000"/>
                <w:sz w:val="20"/>
                <w:szCs w:val="20"/>
              </w:rPr>
              <w:t>83</w:t>
            </w:r>
          </w:p>
        </w:tc>
        <w:tc>
          <w:tcPr>
            <w:tcW w:w="990" w:type="dxa"/>
            <w:tcBorders>
              <w:top w:val="nil"/>
              <w:left w:val="nil"/>
              <w:bottom w:val="single" w:sz="4" w:space="0" w:color="auto"/>
              <w:right w:val="single" w:sz="4" w:space="0" w:color="auto"/>
            </w:tcBorders>
            <w:shd w:val="clear" w:color="auto" w:fill="auto"/>
            <w:vAlign w:val="bottom"/>
          </w:tcPr>
          <w:p w:rsidR="003A6DAA" w:rsidRPr="006B6347" w:rsidRDefault="003A6DAA" w:rsidP="00B520AC">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3A6DAA" w:rsidRPr="006B6347" w:rsidRDefault="003A6DAA" w:rsidP="00B520AC">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3A6DAA" w:rsidRPr="006B6347" w:rsidRDefault="003A6DAA" w:rsidP="00B520AC">
            <w:pPr>
              <w:jc w:val="right"/>
              <w:rPr>
                <w:rFonts w:eastAsia="Times New Roman"/>
                <w:color w:val="000000"/>
                <w:sz w:val="20"/>
                <w:szCs w:val="20"/>
              </w:rPr>
            </w:pPr>
            <w:r w:rsidRPr="000714D7">
              <w:rPr>
                <w:rFonts w:eastAsia="Times New Roman"/>
                <w:color w:val="000000"/>
                <w:sz w:val="20"/>
                <w:szCs w:val="20"/>
              </w:rPr>
              <w:t>261</w:t>
            </w:r>
          </w:p>
        </w:tc>
        <w:tc>
          <w:tcPr>
            <w:tcW w:w="1288" w:type="dxa"/>
            <w:tcBorders>
              <w:top w:val="nil"/>
              <w:left w:val="nil"/>
              <w:bottom w:val="single" w:sz="4" w:space="0" w:color="auto"/>
              <w:right w:val="single" w:sz="4" w:space="0" w:color="auto"/>
            </w:tcBorders>
            <w:shd w:val="clear" w:color="auto" w:fill="auto"/>
            <w:vAlign w:val="bottom"/>
          </w:tcPr>
          <w:p w:rsidR="003A6DAA" w:rsidRPr="006B6347" w:rsidRDefault="003A6DAA" w:rsidP="00B520AC">
            <w:pPr>
              <w:jc w:val="right"/>
              <w:rPr>
                <w:rFonts w:eastAsia="Times New Roman"/>
                <w:color w:val="000000"/>
                <w:sz w:val="20"/>
                <w:szCs w:val="20"/>
              </w:rPr>
            </w:pPr>
            <w:r w:rsidRPr="000714D7">
              <w:rPr>
                <w:rFonts w:eastAsia="Times New Roman"/>
                <w:color w:val="000000"/>
                <w:sz w:val="20"/>
                <w:szCs w:val="20"/>
              </w:rPr>
              <w:t>6,264</w:t>
            </w:r>
          </w:p>
        </w:tc>
        <w:tc>
          <w:tcPr>
            <w:tcW w:w="1145" w:type="dxa"/>
            <w:tcBorders>
              <w:top w:val="nil"/>
              <w:left w:val="nil"/>
              <w:bottom w:val="single" w:sz="4" w:space="0" w:color="auto"/>
              <w:right w:val="single" w:sz="4" w:space="0" w:color="auto"/>
            </w:tcBorders>
            <w:shd w:val="clear" w:color="auto" w:fill="auto"/>
            <w:vAlign w:val="bottom"/>
          </w:tcPr>
          <w:p w:rsidR="003A6DAA" w:rsidRPr="006B6347" w:rsidRDefault="003A6DAA" w:rsidP="002C2AE3">
            <w:pPr>
              <w:jc w:val="right"/>
              <w:rPr>
                <w:rFonts w:eastAsia="Times New Roman"/>
                <w:color w:val="000000"/>
                <w:sz w:val="20"/>
                <w:szCs w:val="20"/>
              </w:rPr>
            </w:pPr>
            <w:r w:rsidRPr="000714D7">
              <w:rPr>
                <w:rFonts w:eastAsia="Times New Roman"/>
                <w:color w:val="000000"/>
                <w:sz w:val="20"/>
                <w:szCs w:val="20"/>
              </w:rPr>
              <w:t>$4</w:t>
            </w:r>
            <w:r w:rsidR="002C2AE3">
              <w:rPr>
                <w:rFonts w:eastAsia="Times New Roman"/>
                <w:color w:val="000000"/>
                <w:sz w:val="20"/>
                <w:szCs w:val="20"/>
              </w:rPr>
              <w:t>65,478</w:t>
            </w:r>
          </w:p>
        </w:tc>
      </w:tr>
      <w:tr w:rsidR="00612D98" w:rsidRPr="001774B5" w:rsidTr="006B6347">
        <w:trPr>
          <w:trHeight w:val="315"/>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0714D7">
            <w:pPr>
              <w:ind w:left="245" w:hanging="245"/>
              <w:rPr>
                <w:sz w:val="20"/>
                <w:szCs w:val="20"/>
              </w:rPr>
            </w:pPr>
            <w:r w:rsidRPr="00B520AC">
              <w:rPr>
                <w:sz w:val="20"/>
                <w:szCs w:val="20"/>
              </w:rPr>
              <w:t>States in which Ozon</w:t>
            </w:r>
            <w:r w:rsidR="00DD6EB0">
              <w:rPr>
                <w:sz w:val="20"/>
                <w:szCs w:val="20"/>
              </w:rPr>
              <w:t xml:space="preserve">e Season </w:t>
            </w:r>
            <w:r w:rsidRPr="00B520AC">
              <w:rPr>
                <w:sz w:val="20"/>
                <w:szCs w:val="20"/>
              </w:rPr>
              <w:t>Status Changes, Annua</w:t>
            </w:r>
            <w:r w:rsidR="00DD6EB0">
              <w:rPr>
                <w:sz w:val="20"/>
                <w:szCs w:val="20"/>
              </w:rPr>
              <w:t xml:space="preserve">l </w:t>
            </w:r>
            <w:r w:rsidRPr="00B520AC">
              <w:rPr>
                <w:sz w:val="20"/>
                <w:szCs w:val="20"/>
              </w:rPr>
              <w:t>Status Remains</w:t>
            </w:r>
            <w:r w:rsidR="00E3790C">
              <w:rPr>
                <w:sz w:val="20"/>
                <w:szCs w:val="20"/>
              </w:rPr>
              <w:t xml:space="preserve"> – Georgia, Texas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6</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18</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24</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2C2AE3">
            <w:pPr>
              <w:jc w:val="right"/>
              <w:rPr>
                <w:rFonts w:eastAsia="Times New Roman"/>
                <w:color w:val="000000"/>
                <w:sz w:val="20"/>
                <w:szCs w:val="20"/>
              </w:rPr>
            </w:pPr>
            <w:r w:rsidRPr="006B6347">
              <w:rPr>
                <w:rFonts w:eastAsia="Times New Roman"/>
                <w:color w:val="000000"/>
                <w:sz w:val="20"/>
                <w:szCs w:val="20"/>
              </w:rPr>
              <w:t>$1,</w:t>
            </w:r>
            <w:r w:rsidR="002C2AE3" w:rsidRPr="006B6347">
              <w:rPr>
                <w:rFonts w:eastAsia="Times New Roman"/>
                <w:color w:val="000000"/>
                <w:sz w:val="20"/>
                <w:szCs w:val="20"/>
              </w:rPr>
              <w:t>7</w:t>
            </w:r>
            <w:r w:rsidR="002C2AE3">
              <w:rPr>
                <w:rFonts w:eastAsia="Times New Roman"/>
                <w:color w:val="000000"/>
                <w:sz w:val="20"/>
                <w:szCs w:val="20"/>
              </w:rPr>
              <w:t>83</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161</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3,864</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2C2AE3">
            <w:pPr>
              <w:jc w:val="right"/>
              <w:rPr>
                <w:rFonts w:eastAsia="Times New Roman"/>
                <w:color w:val="000000"/>
                <w:sz w:val="20"/>
                <w:szCs w:val="20"/>
              </w:rPr>
            </w:pPr>
            <w:r w:rsidRPr="006B6347">
              <w:rPr>
                <w:rFonts w:eastAsia="Times New Roman"/>
                <w:color w:val="000000"/>
                <w:sz w:val="20"/>
                <w:szCs w:val="20"/>
              </w:rPr>
              <w:t>$2</w:t>
            </w:r>
            <w:r w:rsidR="002C2AE3">
              <w:rPr>
                <w:rFonts w:eastAsia="Times New Roman"/>
                <w:color w:val="000000"/>
                <w:sz w:val="20"/>
                <w:szCs w:val="20"/>
              </w:rPr>
              <w:t>87,134</w:t>
            </w:r>
          </w:p>
        </w:tc>
      </w:tr>
      <w:tr w:rsidR="00612D98" w:rsidRPr="001774B5" w:rsidTr="006B6347">
        <w:trPr>
          <w:trHeight w:val="306"/>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0714D7">
            <w:pPr>
              <w:ind w:left="245" w:hanging="245"/>
              <w:rPr>
                <w:sz w:val="20"/>
                <w:szCs w:val="20"/>
              </w:rPr>
            </w:pPr>
            <w:r w:rsidRPr="00B520AC">
              <w:rPr>
                <w:sz w:val="20"/>
                <w:szCs w:val="20"/>
              </w:rPr>
              <w:t xml:space="preserve">States now Ozone </w:t>
            </w:r>
            <w:r w:rsidR="00DD6EB0">
              <w:rPr>
                <w:sz w:val="20"/>
                <w:szCs w:val="20"/>
              </w:rPr>
              <w:t xml:space="preserve">Season </w:t>
            </w:r>
            <w:r w:rsidRPr="00B520AC">
              <w:rPr>
                <w:sz w:val="20"/>
                <w:szCs w:val="20"/>
              </w:rPr>
              <w:t xml:space="preserve">Only </w:t>
            </w:r>
            <w:r>
              <w:rPr>
                <w:sz w:val="20"/>
                <w:szCs w:val="20"/>
              </w:rPr>
              <w:t>–</w:t>
            </w:r>
            <w:r w:rsidRPr="00B520AC">
              <w:rPr>
                <w:sz w:val="20"/>
                <w:szCs w:val="20"/>
              </w:rPr>
              <w:t xml:space="preserve"> Mississippi, Florida, Louisiana</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6</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18</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24</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2C2AE3">
            <w:pPr>
              <w:jc w:val="right"/>
              <w:rPr>
                <w:rFonts w:eastAsia="Times New Roman"/>
                <w:color w:val="000000"/>
                <w:sz w:val="20"/>
                <w:szCs w:val="20"/>
              </w:rPr>
            </w:pPr>
            <w:r w:rsidRPr="006B6347">
              <w:rPr>
                <w:rFonts w:eastAsia="Times New Roman"/>
                <w:color w:val="000000"/>
                <w:sz w:val="20"/>
                <w:szCs w:val="20"/>
              </w:rPr>
              <w:t>$1,</w:t>
            </w:r>
            <w:r w:rsidR="002C2AE3" w:rsidRPr="006B6347">
              <w:rPr>
                <w:rFonts w:eastAsia="Times New Roman"/>
                <w:color w:val="000000"/>
                <w:sz w:val="20"/>
                <w:szCs w:val="20"/>
              </w:rPr>
              <w:t>7</w:t>
            </w:r>
            <w:r w:rsidR="002C2AE3">
              <w:rPr>
                <w:rFonts w:eastAsia="Times New Roman"/>
                <w:color w:val="000000"/>
                <w:sz w:val="20"/>
                <w:szCs w:val="20"/>
              </w:rPr>
              <w:t>83</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27</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648</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2C2AE3">
            <w:pPr>
              <w:jc w:val="right"/>
              <w:rPr>
                <w:rFonts w:eastAsia="Times New Roman"/>
                <w:color w:val="000000"/>
                <w:sz w:val="20"/>
                <w:szCs w:val="20"/>
              </w:rPr>
            </w:pPr>
            <w:r w:rsidRPr="006B6347">
              <w:rPr>
                <w:rFonts w:eastAsia="Times New Roman"/>
                <w:color w:val="000000"/>
                <w:sz w:val="20"/>
                <w:szCs w:val="20"/>
              </w:rPr>
              <w:t>$4</w:t>
            </w:r>
            <w:r w:rsidR="002C2AE3">
              <w:rPr>
                <w:rFonts w:eastAsia="Times New Roman"/>
                <w:color w:val="000000"/>
                <w:sz w:val="20"/>
                <w:szCs w:val="20"/>
              </w:rPr>
              <w:t>8,153</w:t>
            </w:r>
          </w:p>
        </w:tc>
      </w:tr>
      <w:tr w:rsidR="00612D98"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Default="00DD6EB0" w:rsidP="000714D7">
            <w:pPr>
              <w:ind w:left="245" w:hanging="245"/>
              <w:rPr>
                <w:sz w:val="20"/>
                <w:szCs w:val="20"/>
              </w:rPr>
            </w:pPr>
            <w:r>
              <w:rPr>
                <w:sz w:val="20"/>
                <w:szCs w:val="20"/>
              </w:rPr>
              <w:t xml:space="preserve">States Not </w:t>
            </w:r>
            <w:r w:rsidR="00612D98" w:rsidRPr="00B520AC">
              <w:rPr>
                <w:sz w:val="20"/>
                <w:szCs w:val="20"/>
              </w:rPr>
              <w:t>Previously</w:t>
            </w:r>
            <w:r>
              <w:rPr>
                <w:sz w:val="20"/>
                <w:szCs w:val="20"/>
              </w:rPr>
              <w:t xml:space="preserve"> Covered</w:t>
            </w:r>
            <w:r w:rsidR="00612D98" w:rsidRPr="00B520AC">
              <w:rPr>
                <w:sz w:val="20"/>
                <w:szCs w:val="20"/>
              </w:rPr>
              <w:t xml:space="preserve"> - Kansas, </w:t>
            </w:r>
          </w:p>
          <w:p w:rsidR="00612D98" w:rsidRDefault="002B7D3B" w:rsidP="000714D7">
            <w:pPr>
              <w:ind w:left="245" w:hanging="245"/>
              <w:rPr>
                <w:sz w:val="20"/>
                <w:szCs w:val="20"/>
              </w:rPr>
            </w:pPr>
            <w:r>
              <w:rPr>
                <w:sz w:val="20"/>
                <w:szCs w:val="20"/>
              </w:rPr>
              <w:t xml:space="preserve">    </w:t>
            </w:r>
            <w:r w:rsidR="00612D98" w:rsidRPr="00B520AC">
              <w:rPr>
                <w:sz w:val="20"/>
                <w:szCs w:val="20"/>
              </w:rPr>
              <w:t xml:space="preserve">Minnesota, Nebraska, </w:t>
            </w:r>
          </w:p>
          <w:p w:rsidR="00612D98" w:rsidRDefault="002B7D3B" w:rsidP="000714D7">
            <w:pPr>
              <w:ind w:left="245" w:hanging="245"/>
              <w:rPr>
                <w:sz w:val="20"/>
                <w:szCs w:val="20"/>
              </w:rPr>
            </w:pPr>
            <w:r>
              <w:rPr>
                <w:sz w:val="20"/>
                <w:szCs w:val="20"/>
              </w:rPr>
              <w:t xml:space="preserve">   </w:t>
            </w:r>
            <w:r w:rsidR="00612D98" w:rsidRPr="00B520AC">
              <w:rPr>
                <w:sz w:val="20"/>
                <w:szCs w:val="20"/>
              </w:rPr>
              <w:t>Oklahoma</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6</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18</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24</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2C2AE3">
            <w:pPr>
              <w:jc w:val="right"/>
              <w:rPr>
                <w:rFonts w:eastAsia="Times New Roman"/>
                <w:color w:val="000000"/>
                <w:sz w:val="20"/>
                <w:szCs w:val="20"/>
              </w:rPr>
            </w:pPr>
            <w:r w:rsidRPr="006B6347">
              <w:rPr>
                <w:rFonts w:eastAsia="Times New Roman"/>
                <w:color w:val="000000"/>
                <w:sz w:val="20"/>
                <w:szCs w:val="20"/>
              </w:rPr>
              <w:t>$1,</w:t>
            </w:r>
            <w:r w:rsidR="002C2AE3" w:rsidRPr="006B6347">
              <w:rPr>
                <w:rFonts w:eastAsia="Times New Roman"/>
                <w:color w:val="000000"/>
                <w:sz w:val="20"/>
                <w:szCs w:val="20"/>
              </w:rPr>
              <w:t>7</w:t>
            </w:r>
            <w:r w:rsidR="002C2AE3">
              <w:rPr>
                <w:rFonts w:eastAsia="Times New Roman"/>
                <w:color w:val="000000"/>
                <w:sz w:val="20"/>
                <w:szCs w:val="20"/>
              </w:rPr>
              <w:t>83</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35</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B520AC">
            <w:pPr>
              <w:jc w:val="right"/>
              <w:rPr>
                <w:rFonts w:eastAsia="Times New Roman"/>
                <w:color w:val="000000"/>
                <w:sz w:val="20"/>
                <w:szCs w:val="20"/>
              </w:rPr>
            </w:pPr>
            <w:r w:rsidRPr="006B6347">
              <w:rPr>
                <w:rFonts w:eastAsia="Times New Roman"/>
                <w:color w:val="000000"/>
                <w:sz w:val="20"/>
                <w:szCs w:val="20"/>
              </w:rPr>
              <w:t>840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2C2AE3">
            <w:pPr>
              <w:jc w:val="right"/>
              <w:rPr>
                <w:rFonts w:eastAsia="Times New Roman"/>
                <w:color w:val="000000"/>
                <w:sz w:val="20"/>
                <w:szCs w:val="20"/>
              </w:rPr>
            </w:pPr>
            <w:r w:rsidRPr="006B6347">
              <w:rPr>
                <w:rFonts w:eastAsia="Times New Roman"/>
                <w:color w:val="000000"/>
                <w:sz w:val="20"/>
                <w:szCs w:val="20"/>
              </w:rPr>
              <w:t>$6</w:t>
            </w:r>
            <w:r w:rsidR="002C2AE3">
              <w:rPr>
                <w:rFonts w:eastAsia="Times New Roman"/>
                <w:color w:val="000000"/>
                <w:sz w:val="20"/>
                <w:szCs w:val="20"/>
              </w:rPr>
              <w:t>2,420</w:t>
            </w:r>
          </w:p>
        </w:tc>
      </w:tr>
      <w:tr w:rsidR="00072574"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072574" w:rsidRPr="001774B5" w:rsidRDefault="00072574" w:rsidP="00D12499">
            <w:pPr>
              <w:jc w:val="center"/>
              <w:rPr>
                <w:b/>
                <w:bCs/>
                <w:sz w:val="20"/>
                <w:szCs w:val="20"/>
              </w:rPr>
            </w:pPr>
            <w:r w:rsidRPr="001774B5">
              <w:rPr>
                <w:b/>
                <w:bCs/>
                <w:sz w:val="20"/>
                <w:szCs w:val="20"/>
              </w:rPr>
              <w:t>Debug Computer Software</w:t>
            </w:r>
          </w:p>
        </w:tc>
      </w:tr>
      <w:tr w:rsidR="003A6DAA"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vAlign w:val="center"/>
          </w:tcPr>
          <w:p w:rsidR="003A6DAA" w:rsidRDefault="003A6DAA" w:rsidP="000714D7">
            <w:pPr>
              <w:ind w:left="245" w:hanging="245"/>
              <w:rPr>
                <w:sz w:val="20"/>
                <w:szCs w:val="20"/>
              </w:rPr>
            </w:pPr>
            <w:r>
              <w:rPr>
                <w:sz w:val="20"/>
                <w:szCs w:val="20"/>
              </w:rPr>
              <w:t>States with No Change</w:t>
            </w:r>
          </w:p>
          <w:p w:rsidR="003A6DAA" w:rsidRDefault="002B7D3B" w:rsidP="000714D7">
            <w:pPr>
              <w:ind w:left="245" w:hanging="245"/>
              <w:rPr>
                <w:sz w:val="20"/>
                <w:szCs w:val="20"/>
              </w:rPr>
            </w:pPr>
            <w:r>
              <w:rPr>
                <w:sz w:val="20"/>
                <w:szCs w:val="20"/>
              </w:rPr>
              <w:t xml:space="preserve">    </w:t>
            </w:r>
            <w:r w:rsidR="003A6DAA">
              <w:rPr>
                <w:sz w:val="20"/>
                <w:szCs w:val="20"/>
              </w:rPr>
              <w:t>in Classification</w:t>
            </w:r>
          </w:p>
        </w:tc>
        <w:tc>
          <w:tcPr>
            <w:tcW w:w="1259" w:type="dxa"/>
            <w:tcBorders>
              <w:top w:val="nil"/>
              <w:left w:val="nil"/>
              <w:bottom w:val="single" w:sz="4" w:space="0" w:color="auto"/>
              <w:right w:val="single" w:sz="4" w:space="0" w:color="auto"/>
            </w:tcBorders>
            <w:shd w:val="clear" w:color="auto" w:fill="auto"/>
            <w:vAlign w:val="bottom"/>
          </w:tcPr>
          <w:p w:rsidR="003A6DAA" w:rsidRPr="006B6347" w:rsidRDefault="003A6DAA" w:rsidP="008D03FF">
            <w:pPr>
              <w:jc w:val="right"/>
              <w:rPr>
                <w:rFonts w:eastAsia="Times New Roman"/>
                <w:color w:val="000000"/>
                <w:sz w:val="20"/>
                <w:szCs w:val="20"/>
              </w:rPr>
            </w:pPr>
            <w:r w:rsidRPr="006B6347">
              <w:rPr>
                <w:rFonts w:eastAsia="Times New Roman"/>
                <w:color w:val="000000"/>
                <w:sz w:val="20"/>
                <w:szCs w:val="20"/>
              </w:rPr>
              <w:t>1</w:t>
            </w:r>
          </w:p>
        </w:tc>
        <w:tc>
          <w:tcPr>
            <w:tcW w:w="1139" w:type="dxa"/>
            <w:tcBorders>
              <w:top w:val="nil"/>
              <w:left w:val="nil"/>
              <w:bottom w:val="single" w:sz="4" w:space="0" w:color="auto"/>
              <w:right w:val="single" w:sz="4" w:space="0" w:color="auto"/>
            </w:tcBorders>
            <w:shd w:val="clear" w:color="auto" w:fill="auto"/>
            <w:vAlign w:val="bottom"/>
          </w:tcPr>
          <w:p w:rsidR="003A6DAA" w:rsidRPr="006B6347" w:rsidRDefault="003A6DAA" w:rsidP="008D03FF">
            <w:pPr>
              <w:jc w:val="right"/>
              <w:rPr>
                <w:rFonts w:eastAsia="Times New Roman"/>
                <w:color w:val="000000"/>
                <w:sz w:val="20"/>
                <w:szCs w:val="20"/>
              </w:rPr>
            </w:pPr>
            <w:r w:rsidRPr="006B6347">
              <w:rPr>
                <w:rFonts w:eastAsia="Times New Roman"/>
                <w:color w:val="000000"/>
                <w:sz w:val="20"/>
                <w:szCs w:val="20"/>
              </w:rPr>
              <w:t>4</w:t>
            </w:r>
          </w:p>
        </w:tc>
        <w:tc>
          <w:tcPr>
            <w:tcW w:w="1302" w:type="dxa"/>
            <w:tcBorders>
              <w:top w:val="nil"/>
              <w:left w:val="nil"/>
              <w:bottom w:val="single" w:sz="4" w:space="0" w:color="auto"/>
              <w:right w:val="single" w:sz="4" w:space="0" w:color="auto"/>
            </w:tcBorders>
            <w:shd w:val="clear" w:color="auto" w:fill="auto"/>
            <w:vAlign w:val="bottom"/>
          </w:tcPr>
          <w:p w:rsidR="003A6DAA" w:rsidRPr="006B6347" w:rsidRDefault="003A6DAA" w:rsidP="008D03FF">
            <w:pPr>
              <w:jc w:val="right"/>
              <w:rPr>
                <w:rFonts w:eastAsia="Times New Roman"/>
                <w:color w:val="000000"/>
                <w:sz w:val="20"/>
                <w:szCs w:val="20"/>
              </w:rPr>
            </w:pPr>
            <w:r w:rsidRPr="006B6347">
              <w:rPr>
                <w:rFonts w:eastAsia="Times New Roman"/>
                <w:color w:val="000000"/>
                <w:sz w:val="20"/>
                <w:szCs w:val="20"/>
              </w:rPr>
              <w:t>5</w:t>
            </w:r>
          </w:p>
        </w:tc>
        <w:tc>
          <w:tcPr>
            <w:tcW w:w="1311" w:type="dxa"/>
            <w:tcBorders>
              <w:top w:val="nil"/>
              <w:left w:val="nil"/>
              <w:bottom w:val="single" w:sz="4" w:space="0" w:color="auto"/>
              <w:right w:val="single" w:sz="4" w:space="0" w:color="auto"/>
            </w:tcBorders>
            <w:shd w:val="clear" w:color="auto" w:fill="auto"/>
            <w:vAlign w:val="bottom"/>
          </w:tcPr>
          <w:p w:rsidR="003A6DAA" w:rsidRPr="006B6347" w:rsidRDefault="003A6DAA" w:rsidP="002C2AE3">
            <w:pPr>
              <w:jc w:val="right"/>
              <w:rPr>
                <w:rFonts w:eastAsia="Times New Roman"/>
                <w:color w:val="000000"/>
                <w:sz w:val="20"/>
                <w:szCs w:val="20"/>
              </w:rPr>
            </w:pPr>
            <w:r w:rsidRPr="006B6347">
              <w:rPr>
                <w:rFonts w:eastAsia="Times New Roman"/>
                <w:color w:val="000000"/>
                <w:sz w:val="20"/>
                <w:szCs w:val="20"/>
              </w:rPr>
              <w:t>$</w:t>
            </w:r>
            <w:r w:rsidR="002C2AE3" w:rsidRPr="006B6347">
              <w:rPr>
                <w:rFonts w:eastAsia="Times New Roman"/>
                <w:color w:val="000000"/>
                <w:sz w:val="20"/>
                <w:szCs w:val="20"/>
              </w:rPr>
              <w:t>3</w:t>
            </w:r>
            <w:r w:rsidR="002C2AE3">
              <w:rPr>
                <w:rFonts w:eastAsia="Times New Roman"/>
                <w:color w:val="000000"/>
                <w:sz w:val="20"/>
                <w:szCs w:val="20"/>
              </w:rPr>
              <w:t>65</w:t>
            </w:r>
          </w:p>
        </w:tc>
        <w:tc>
          <w:tcPr>
            <w:tcW w:w="990" w:type="dxa"/>
            <w:tcBorders>
              <w:top w:val="nil"/>
              <w:left w:val="nil"/>
              <w:bottom w:val="single" w:sz="4" w:space="0" w:color="auto"/>
              <w:right w:val="single" w:sz="4" w:space="0" w:color="auto"/>
            </w:tcBorders>
            <w:shd w:val="clear" w:color="auto" w:fill="auto"/>
            <w:vAlign w:val="bottom"/>
          </w:tcPr>
          <w:p w:rsidR="003A6DAA" w:rsidRPr="006B6347" w:rsidRDefault="003A6DAA" w:rsidP="008D03FF">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3A6DAA" w:rsidRPr="006B6347" w:rsidRDefault="003A6DAA" w:rsidP="008D03FF">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3A6DAA" w:rsidRPr="006B6347" w:rsidRDefault="003A6DAA" w:rsidP="008D03FF">
            <w:pPr>
              <w:jc w:val="right"/>
              <w:rPr>
                <w:rFonts w:eastAsia="Times New Roman"/>
                <w:color w:val="000000"/>
                <w:sz w:val="20"/>
                <w:szCs w:val="20"/>
              </w:rPr>
            </w:pPr>
            <w:r w:rsidRPr="000714D7">
              <w:rPr>
                <w:rFonts w:eastAsia="Times New Roman"/>
                <w:color w:val="000000"/>
                <w:sz w:val="20"/>
                <w:szCs w:val="20"/>
              </w:rPr>
              <w:t>261</w:t>
            </w:r>
          </w:p>
        </w:tc>
        <w:tc>
          <w:tcPr>
            <w:tcW w:w="1288" w:type="dxa"/>
            <w:tcBorders>
              <w:top w:val="nil"/>
              <w:left w:val="nil"/>
              <w:bottom w:val="single" w:sz="4" w:space="0" w:color="auto"/>
              <w:right w:val="single" w:sz="4" w:space="0" w:color="auto"/>
            </w:tcBorders>
            <w:shd w:val="clear" w:color="auto" w:fill="auto"/>
            <w:vAlign w:val="bottom"/>
          </w:tcPr>
          <w:p w:rsidR="003A6DAA" w:rsidRPr="006B6347" w:rsidRDefault="003A6DAA" w:rsidP="008D03FF">
            <w:pPr>
              <w:jc w:val="right"/>
              <w:rPr>
                <w:rFonts w:eastAsia="Times New Roman"/>
                <w:color w:val="000000"/>
                <w:sz w:val="20"/>
                <w:szCs w:val="20"/>
              </w:rPr>
            </w:pPr>
            <w:r w:rsidRPr="000714D7">
              <w:rPr>
                <w:rFonts w:eastAsia="Times New Roman"/>
                <w:color w:val="000000"/>
                <w:sz w:val="20"/>
                <w:szCs w:val="20"/>
              </w:rPr>
              <w:t>1,305</w:t>
            </w:r>
          </w:p>
        </w:tc>
        <w:tc>
          <w:tcPr>
            <w:tcW w:w="1145" w:type="dxa"/>
            <w:tcBorders>
              <w:top w:val="nil"/>
              <w:left w:val="nil"/>
              <w:bottom w:val="single" w:sz="4" w:space="0" w:color="auto"/>
              <w:right w:val="single" w:sz="4" w:space="0" w:color="auto"/>
            </w:tcBorders>
            <w:shd w:val="clear" w:color="auto" w:fill="auto"/>
            <w:vAlign w:val="bottom"/>
          </w:tcPr>
          <w:p w:rsidR="003A6DAA" w:rsidRPr="006B6347" w:rsidRDefault="003A6DAA" w:rsidP="002C2AE3">
            <w:pPr>
              <w:jc w:val="right"/>
              <w:rPr>
                <w:rFonts w:eastAsia="Times New Roman"/>
                <w:color w:val="000000"/>
                <w:sz w:val="20"/>
                <w:szCs w:val="20"/>
              </w:rPr>
            </w:pPr>
            <w:r w:rsidRPr="000714D7">
              <w:rPr>
                <w:rFonts w:eastAsia="Times New Roman"/>
                <w:color w:val="000000"/>
                <w:sz w:val="20"/>
                <w:szCs w:val="20"/>
              </w:rPr>
              <w:t>$9</w:t>
            </w:r>
            <w:r w:rsidR="002C2AE3">
              <w:rPr>
                <w:rFonts w:eastAsia="Times New Roman"/>
                <w:color w:val="000000"/>
                <w:sz w:val="20"/>
                <w:szCs w:val="20"/>
              </w:rPr>
              <w:t>5,166</w:t>
            </w:r>
          </w:p>
        </w:tc>
      </w:tr>
      <w:tr w:rsidR="00612D98"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vAlign w:val="center"/>
          </w:tcPr>
          <w:p w:rsidR="00612D98" w:rsidRPr="001774B5" w:rsidRDefault="00612D98" w:rsidP="000714D7">
            <w:pPr>
              <w:ind w:left="245" w:hanging="245"/>
              <w:rPr>
                <w:sz w:val="20"/>
                <w:szCs w:val="20"/>
              </w:rPr>
            </w:pPr>
            <w:r>
              <w:rPr>
                <w:sz w:val="20"/>
                <w:szCs w:val="20"/>
              </w:rPr>
              <w:t>States in which Ozone</w:t>
            </w:r>
            <w:r w:rsidR="00DD35D1">
              <w:rPr>
                <w:sz w:val="20"/>
                <w:szCs w:val="20"/>
              </w:rPr>
              <w:t xml:space="preserve"> Season </w:t>
            </w:r>
            <w:r>
              <w:rPr>
                <w:sz w:val="20"/>
                <w:szCs w:val="20"/>
              </w:rPr>
              <w:t>Status Changes, Annual</w:t>
            </w:r>
            <w:r w:rsidR="00DD35D1">
              <w:rPr>
                <w:sz w:val="20"/>
                <w:szCs w:val="20"/>
              </w:rPr>
              <w:t xml:space="preserve"> </w:t>
            </w:r>
            <w:r>
              <w:rPr>
                <w:sz w:val="20"/>
                <w:szCs w:val="20"/>
              </w:rPr>
              <w:t xml:space="preserve">Status Remains </w:t>
            </w:r>
            <w:r w:rsidR="00E3790C">
              <w:rPr>
                <w:sz w:val="20"/>
                <w:szCs w:val="20"/>
              </w:rPr>
              <w:t>– Georgia, Texas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6</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18</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24</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2C2AE3">
            <w:pPr>
              <w:jc w:val="right"/>
              <w:rPr>
                <w:rFonts w:eastAsia="Times New Roman"/>
                <w:color w:val="000000"/>
                <w:sz w:val="20"/>
                <w:szCs w:val="20"/>
              </w:rPr>
            </w:pPr>
            <w:r w:rsidRPr="006B6347">
              <w:rPr>
                <w:rFonts w:eastAsia="Times New Roman"/>
                <w:color w:val="000000"/>
                <w:sz w:val="20"/>
                <w:szCs w:val="20"/>
              </w:rPr>
              <w:t>$1,</w:t>
            </w:r>
            <w:r w:rsidR="002C2AE3" w:rsidRPr="006B6347">
              <w:rPr>
                <w:rFonts w:eastAsia="Times New Roman"/>
                <w:color w:val="000000"/>
                <w:sz w:val="20"/>
                <w:szCs w:val="20"/>
              </w:rPr>
              <w:t>7</w:t>
            </w:r>
            <w:r w:rsidR="002C2AE3">
              <w:rPr>
                <w:rFonts w:eastAsia="Times New Roman"/>
                <w:color w:val="000000"/>
                <w:sz w:val="20"/>
                <w:szCs w:val="20"/>
              </w:rPr>
              <w:t>83</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161</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3,864</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2C2AE3">
            <w:pPr>
              <w:jc w:val="right"/>
              <w:rPr>
                <w:rFonts w:eastAsia="Times New Roman"/>
                <w:color w:val="000000"/>
                <w:sz w:val="20"/>
                <w:szCs w:val="20"/>
              </w:rPr>
            </w:pPr>
            <w:r w:rsidRPr="006B6347">
              <w:rPr>
                <w:rFonts w:eastAsia="Times New Roman"/>
                <w:color w:val="000000"/>
                <w:sz w:val="20"/>
                <w:szCs w:val="20"/>
              </w:rPr>
              <w:t>$2</w:t>
            </w:r>
            <w:r w:rsidR="002C2AE3">
              <w:rPr>
                <w:rFonts w:eastAsia="Times New Roman"/>
                <w:color w:val="000000"/>
                <w:sz w:val="20"/>
                <w:szCs w:val="20"/>
              </w:rPr>
              <w:t>87,134</w:t>
            </w:r>
          </w:p>
        </w:tc>
      </w:tr>
      <w:tr w:rsidR="00CC4439" w:rsidRPr="001774B5" w:rsidTr="002050C7">
        <w:trPr>
          <w:trHeight w:val="255"/>
          <w:jc w:val="center"/>
        </w:trPr>
        <w:tc>
          <w:tcPr>
            <w:tcW w:w="12960" w:type="dxa"/>
            <w:gridSpan w:val="10"/>
            <w:tcBorders>
              <w:top w:val="single" w:sz="4" w:space="0" w:color="auto"/>
            </w:tcBorders>
            <w:shd w:val="clear" w:color="auto" w:fill="auto"/>
          </w:tcPr>
          <w:p w:rsidR="00CC4439" w:rsidRPr="001774B5" w:rsidRDefault="00CC4439" w:rsidP="00391881">
            <w:pPr>
              <w:jc w:val="right"/>
              <w:rPr>
                <w:sz w:val="20"/>
                <w:szCs w:val="20"/>
              </w:rPr>
            </w:pPr>
            <w:r>
              <w:rPr>
                <w:sz w:val="20"/>
                <w:szCs w:val="20"/>
              </w:rPr>
              <w:t>(cont.)</w:t>
            </w:r>
          </w:p>
        </w:tc>
      </w:tr>
      <w:tr w:rsidR="00CC4439" w:rsidTr="002050C7">
        <w:trPr>
          <w:trHeight w:val="255"/>
          <w:jc w:val="center"/>
        </w:trPr>
        <w:tc>
          <w:tcPr>
            <w:tcW w:w="12960" w:type="dxa"/>
            <w:gridSpan w:val="10"/>
            <w:tcBorders>
              <w:bottom w:val="single" w:sz="4" w:space="0" w:color="auto"/>
            </w:tcBorders>
            <w:shd w:val="clear" w:color="auto" w:fill="auto"/>
          </w:tcPr>
          <w:p w:rsidR="00CC4439" w:rsidRDefault="00CC4439" w:rsidP="00391881">
            <w:pPr>
              <w:keepNext/>
              <w:keepLines/>
              <w:jc w:val="center"/>
              <w:rPr>
                <w:b/>
                <w:color w:val="0F0F0F"/>
              </w:rPr>
            </w:pPr>
            <w:r w:rsidRPr="001774B5">
              <w:rPr>
                <w:b/>
                <w:color w:val="0F0F0F"/>
              </w:rPr>
              <w:lastRenderedPageBreak/>
              <w:t xml:space="preserve">Table </w:t>
            </w:r>
            <w:r w:rsidR="009269F3">
              <w:rPr>
                <w:b/>
                <w:color w:val="0F0F0F"/>
              </w:rPr>
              <w:t>6-5</w:t>
            </w:r>
            <w:r>
              <w:rPr>
                <w:b/>
                <w:color w:val="0F0F0F"/>
              </w:rPr>
              <w:t>:</w:t>
            </w:r>
            <w:r w:rsidRPr="001774B5">
              <w:rPr>
                <w:b/>
                <w:color w:val="0F0F0F"/>
              </w:rPr>
              <w:t xml:space="preserve"> </w:t>
            </w:r>
            <w:r w:rsidRPr="001774B5">
              <w:rPr>
                <w:b/>
                <w:color w:val="0F0F0F"/>
              </w:rPr>
              <w:br/>
              <w:t>Annual Industry Respondent Burden and Cost by Activity</w:t>
            </w:r>
            <w:r>
              <w:rPr>
                <w:b/>
                <w:color w:val="0F0F0F"/>
              </w:rPr>
              <w:t xml:space="preserve"> (cont.)</w:t>
            </w:r>
          </w:p>
          <w:p w:rsidR="00CC4439" w:rsidRDefault="00CC4439" w:rsidP="00391881">
            <w:pPr>
              <w:keepNext/>
              <w:keepLines/>
              <w:jc w:val="center"/>
              <w:rPr>
                <w:sz w:val="20"/>
                <w:szCs w:val="20"/>
              </w:rPr>
            </w:pPr>
          </w:p>
        </w:tc>
      </w:tr>
      <w:tr w:rsidR="00CC4439" w:rsidRPr="00764293" w:rsidTr="002050C7">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tc>
        <w:tc>
          <w:tcPr>
            <w:tcW w:w="1259" w:type="dxa"/>
            <w:tcBorders>
              <w:top w:val="single" w:sz="4" w:space="0" w:color="auto"/>
              <w:left w:val="nil"/>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139" w:type="dxa"/>
            <w:tcBorders>
              <w:top w:val="single" w:sz="4" w:space="0" w:color="auto"/>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311" w:type="dxa"/>
            <w:vMerge w:val="restart"/>
            <w:tcBorders>
              <w:top w:val="single" w:sz="4" w:space="0" w:color="auto"/>
              <w:left w:val="nil"/>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r w:rsidRPr="00764293">
              <w:rPr>
                <w:b/>
                <w:bCs/>
                <w:sz w:val="22"/>
              </w:rPr>
              <w:t>Respondent</w:t>
            </w:r>
          </w:p>
          <w:p w:rsidR="00CC4439" w:rsidRPr="00764293" w:rsidRDefault="00CC4439" w:rsidP="00391881">
            <w:pPr>
              <w:keepNext/>
              <w:keepLines/>
              <w:jc w:val="center"/>
              <w:rPr>
                <w:b/>
                <w:bCs/>
                <w:sz w:val="22"/>
              </w:rPr>
            </w:pPr>
            <w:r w:rsidRPr="00764293">
              <w:rPr>
                <w:b/>
                <w:bCs/>
                <w:sz w:val="22"/>
              </w:rPr>
              <w:t>Labor Cost/Year</w:t>
            </w:r>
          </w:p>
          <w:p w:rsidR="00CC4439" w:rsidRPr="00764293" w:rsidRDefault="00CC4439" w:rsidP="00391881">
            <w:pPr>
              <w:keepNext/>
              <w:keepLines/>
              <w:jc w:val="center"/>
              <w:rPr>
                <w:b/>
                <w:bCs/>
                <w:sz w:val="22"/>
              </w:rPr>
            </w:pPr>
          </w:p>
        </w:tc>
        <w:tc>
          <w:tcPr>
            <w:tcW w:w="1801" w:type="dxa"/>
            <w:gridSpan w:val="2"/>
            <w:tcBorders>
              <w:top w:val="single" w:sz="4" w:space="0" w:color="auto"/>
              <w:left w:val="nil"/>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288" w:type="dxa"/>
            <w:tcBorders>
              <w:top w:val="single" w:sz="4" w:space="0" w:color="auto"/>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tc>
      </w:tr>
      <w:tr w:rsidR="00076623" w:rsidRPr="00764293" w:rsidTr="002050C7">
        <w:trPr>
          <w:trHeight w:val="548"/>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Manager $</w:t>
            </w:r>
            <w:r w:rsidR="00374FE9">
              <w:rPr>
                <w:b/>
                <w:bCs/>
                <w:sz w:val="22"/>
              </w:rPr>
              <w:t>95.10</w:t>
            </w:r>
          </w:p>
          <w:p w:rsidR="00076623" w:rsidRPr="00764293" w:rsidRDefault="00076623" w:rsidP="00A947BD">
            <w:pPr>
              <w:keepNext/>
              <w:keepLines/>
              <w:jc w:val="center"/>
              <w:rPr>
                <w:b/>
                <w:bCs/>
                <w:sz w:val="22"/>
              </w:rPr>
            </w:pPr>
            <w:r w:rsidRPr="00764293">
              <w:rPr>
                <w:b/>
                <w:bCs/>
                <w:sz w:val="22"/>
              </w:rPr>
              <w:t>Per Hour (20</w:t>
            </w:r>
            <w:r>
              <w:rPr>
                <w:b/>
                <w:bCs/>
                <w:sz w:val="22"/>
              </w:rPr>
              <w:t>1</w:t>
            </w:r>
            <w:r w:rsidR="00A947BD">
              <w:rPr>
                <w:b/>
                <w:bCs/>
                <w:sz w:val="22"/>
              </w:rPr>
              <w:t>3</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Technical $</w:t>
            </w:r>
            <w:r w:rsidR="00374FE9">
              <w:rPr>
                <w:b/>
                <w:bCs/>
                <w:sz w:val="22"/>
              </w:rPr>
              <w:t>67.38</w:t>
            </w:r>
          </w:p>
          <w:p w:rsidR="00076623" w:rsidRPr="00764293" w:rsidRDefault="00076623" w:rsidP="00A947BD">
            <w:pPr>
              <w:keepNext/>
              <w:keepLines/>
              <w:jc w:val="center"/>
              <w:rPr>
                <w:b/>
                <w:bCs/>
                <w:sz w:val="22"/>
              </w:rPr>
            </w:pPr>
            <w:r w:rsidRPr="00764293">
              <w:rPr>
                <w:b/>
                <w:bCs/>
                <w:sz w:val="22"/>
              </w:rPr>
              <w:t>Per Hour (20</w:t>
            </w:r>
            <w:r>
              <w:rPr>
                <w:b/>
                <w:bCs/>
                <w:sz w:val="22"/>
              </w:rPr>
              <w:t>1</w:t>
            </w:r>
            <w:r w:rsidR="00A947BD">
              <w:rPr>
                <w:b/>
                <w:bCs/>
                <w:sz w:val="22"/>
              </w:rPr>
              <w:t>3</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Respondent Hours/Year</w:t>
            </w:r>
          </w:p>
          <w:p w:rsidR="00076623" w:rsidRPr="00764293" w:rsidRDefault="00076623" w:rsidP="00391881">
            <w:pPr>
              <w:keepNext/>
              <w:keepLines/>
              <w:jc w:val="center"/>
              <w:rPr>
                <w:b/>
                <w:bCs/>
                <w:sz w:val="22"/>
              </w:rPr>
            </w:pPr>
          </w:p>
        </w:tc>
        <w:tc>
          <w:tcPr>
            <w:tcW w:w="1311" w:type="dxa"/>
            <w:vMerge/>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p>
        </w:tc>
        <w:tc>
          <w:tcPr>
            <w:tcW w:w="99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Startup Costs</w:t>
            </w:r>
          </w:p>
          <w:p w:rsidR="00076623" w:rsidRPr="00764293" w:rsidRDefault="00076623" w:rsidP="00391881">
            <w:pPr>
              <w:keepNext/>
              <w:keepLines/>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O&amp;M Cost</w:t>
            </w:r>
          </w:p>
          <w:p w:rsidR="00076623" w:rsidRPr="00764293" w:rsidRDefault="00076623" w:rsidP="00391881">
            <w:pPr>
              <w:keepNext/>
              <w:keepLines/>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Number of Respondents</w:t>
            </w:r>
          </w:p>
          <w:p w:rsidR="00076623" w:rsidRPr="00764293" w:rsidRDefault="00076623" w:rsidP="00391881">
            <w:pPr>
              <w:keepNext/>
              <w:keepLines/>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Total Hours/Year</w:t>
            </w:r>
          </w:p>
          <w:p w:rsidR="00076623" w:rsidRPr="00764293" w:rsidRDefault="00076623" w:rsidP="00391881">
            <w:pPr>
              <w:keepNext/>
              <w:keepLines/>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Total Cost/Year</w:t>
            </w:r>
          </w:p>
          <w:p w:rsidR="00076623" w:rsidRPr="00764293" w:rsidRDefault="00076623" w:rsidP="00391881">
            <w:pPr>
              <w:keepNext/>
              <w:keepLines/>
              <w:jc w:val="center"/>
              <w:rPr>
                <w:b/>
                <w:bCs/>
                <w:sz w:val="22"/>
              </w:rPr>
            </w:pPr>
          </w:p>
        </w:tc>
      </w:tr>
      <w:tr w:rsidR="00072574"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072574" w:rsidRPr="001774B5" w:rsidRDefault="00072574" w:rsidP="00D12499">
            <w:pPr>
              <w:jc w:val="center"/>
              <w:rPr>
                <w:b/>
                <w:bCs/>
                <w:sz w:val="20"/>
                <w:szCs w:val="20"/>
              </w:rPr>
            </w:pPr>
            <w:r w:rsidRPr="001774B5">
              <w:rPr>
                <w:b/>
                <w:bCs/>
                <w:sz w:val="20"/>
                <w:szCs w:val="20"/>
              </w:rPr>
              <w:t>Debug Computer Software (cont.)</w:t>
            </w:r>
          </w:p>
        </w:tc>
      </w:tr>
      <w:tr w:rsidR="00612D98"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Default="00612D98" w:rsidP="008D03FF">
            <w:pPr>
              <w:ind w:left="155" w:hanging="155"/>
              <w:rPr>
                <w:sz w:val="20"/>
                <w:szCs w:val="20"/>
              </w:rPr>
            </w:pPr>
            <w:r w:rsidRPr="00ED7FD5">
              <w:rPr>
                <w:sz w:val="20"/>
                <w:szCs w:val="20"/>
              </w:rPr>
              <w:t xml:space="preserve">States now Ozone </w:t>
            </w:r>
            <w:r w:rsidR="00DD35D1">
              <w:rPr>
                <w:sz w:val="20"/>
                <w:szCs w:val="20"/>
              </w:rPr>
              <w:t xml:space="preserve">Season </w:t>
            </w:r>
            <w:r w:rsidRPr="00ED7FD5">
              <w:rPr>
                <w:sz w:val="20"/>
                <w:szCs w:val="20"/>
              </w:rPr>
              <w:t>Only - Mississippi, Florida, Louisiana</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1</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4</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5</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2C2AE3">
            <w:pPr>
              <w:jc w:val="right"/>
              <w:rPr>
                <w:rFonts w:eastAsia="Times New Roman"/>
                <w:color w:val="000000"/>
                <w:sz w:val="20"/>
                <w:szCs w:val="20"/>
              </w:rPr>
            </w:pPr>
            <w:r w:rsidRPr="006B6347">
              <w:rPr>
                <w:rFonts w:eastAsia="Times New Roman"/>
                <w:color w:val="000000"/>
                <w:sz w:val="20"/>
                <w:szCs w:val="20"/>
              </w:rPr>
              <w:t>$</w:t>
            </w:r>
            <w:r w:rsidR="002C2AE3" w:rsidRPr="006B6347">
              <w:rPr>
                <w:rFonts w:eastAsia="Times New Roman"/>
                <w:color w:val="000000"/>
                <w:sz w:val="20"/>
                <w:szCs w:val="20"/>
              </w:rPr>
              <w:t>3</w:t>
            </w:r>
            <w:r w:rsidR="002C2AE3">
              <w:rPr>
                <w:rFonts w:eastAsia="Times New Roman"/>
                <w:color w:val="000000"/>
                <w:sz w:val="20"/>
                <w:szCs w:val="20"/>
              </w:rPr>
              <w:t>65</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27</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135</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16F82">
            <w:pPr>
              <w:jc w:val="right"/>
              <w:rPr>
                <w:rFonts w:eastAsia="Times New Roman"/>
                <w:color w:val="000000"/>
                <w:sz w:val="20"/>
                <w:szCs w:val="20"/>
              </w:rPr>
            </w:pPr>
            <w:r w:rsidRPr="006B6347">
              <w:rPr>
                <w:rFonts w:eastAsia="Times New Roman"/>
                <w:color w:val="000000"/>
                <w:sz w:val="20"/>
                <w:szCs w:val="20"/>
              </w:rPr>
              <w:t>$9,</w:t>
            </w:r>
            <w:r w:rsidR="00616F82">
              <w:rPr>
                <w:rFonts w:eastAsia="Times New Roman"/>
                <w:color w:val="000000"/>
                <w:sz w:val="20"/>
                <w:szCs w:val="20"/>
              </w:rPr>
              <w:t>845</w:t>
            </w:r>
          </w:p>
        </w:tc>
      </w:tr>
      <w:tr w:rsidR="00612D98"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Default="00612D98" w:rsidP="008D03FF">
            <w:pPr>
              <w:ind w:left="155" w:hanging="155"/>
              <w:rPr>
                <w:sz w:val="20"/>
                <w:szCs w:val="20"/>
              </w:rPr>
            </w:pPr>
            <w:r w:rsidRPr="00ED7FD5">
              <w:rPr>
                <w:sz w:val="20"/>
                <w:szCs w:val="20"/>
              </w:rPr>
              <w:t>States</w:t>
            </w:r>
            <w:r w:rsidR="00DD35D1">
              <w:rPr>
                <w:sz w:val="20"/>
                <w:szCs w:val="20"/>
              </w:rPr>
              <w:t xml:space="preserve"> Not Previously Covered</w:t>
            </w:r>
            <w:r w:rsidRPr="00ED7FD5">
              <w:rPr>
                <w:sz w:val="20"/>
                <w:szCs w:val="20"/>
              </w:rPr>
              <w:t xml:space="preserve"> - Kansas, Minnesota, Nebraska, Oklahoma</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16</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88</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104</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2C2AE3">
            <w:pPr>
              <w:jc w:val="right"/>
              <w:rPr>
                <w:rFonts w:eastAsia="Times New Roman"/>
                <w:color w:val="000000"/>
                <w:sz w:val="20"/>
                <w:szCs w:val="20"/>
              </w:rPr>
            </w:pPr>
            <w:r w:rsidRPr="006B6347">
              <w:rPr>
                <w:rFonts w:eastAsia="Times New Roman"/>
                <w:color w:val="000000"/>
                <w:sz w:val="20"/>
                <w:szCs w:val="20"/>
              </w:rPr>
              <w:t>$7,</w:t>
            </w:r>
            <w:r w:rsidR="002C2AE3">
              <w:rPr>
                <w:rFonts w:eastAsia="Times New Roman"/>
                <w:color w:val="000000"/>
                <w:sz w:val="20"/>
                <w:szCs w:val="20"/>
              </w:rPr>
              <w:t>451</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35</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8D03FF">
            <w:pPr>
              <w:jc w:val="right"/>
              <w:rPr>
                <w:rFonts w:eastAsia="Times New Roman"/>
                <w:color w:val="000000"/>
                <w:sz w:val="20"/>
                <w:szCs w:val="20"/>
              </w:rPr>
            </w:pPr>
            <w:r w:rsidRPr="006B6347">
              <w:rPr>
                <w:rFonts w:eastAsia="Times New Roman"/>
                <w:color w:val="000000"/>
                <w:sz w:val="20"/>
                <w:szCs w:val="20"/>
              </w:rPr>
              <w:t>3,640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16F82">
            <w:pPr>
              <w:jc w:val="right"/>
              <w:rPr>
                <w:rFonts w:eastAsia="Times New Roman"/>
                <w:color w:val="000000"/>
                <w:sz w:val="20"/>
                <w:szCs w:val="20"/>
              </w:rPr>
            </w:pPr>
            <w:r w:rsidRPr="006B6347">
              <w:rPr>
                <w:rFonts w:eastAsia="Times New Roman"/>
                <w:color w:val="000000"/>
                <w:sz w:val="20"/>
                <w:szCs w:val="20"/>
              </w:rPr>
              <w:t>$2</w:t>
            </w:r>
            <w:r w:rsidR="00616F82">
              <w:rPr>
                <w:rFonts w:eastAsia="Times New Roman"/>
                <w:color w:val="000000"/>
                <w:sz w:val="20"/>
                <w:szCs w:val="20"/>
              </w:rPr>
              <w:t>60,786</w:t>
            </w:r>
          </w:p>
        </w:tc>
      </w:tr>
      <w:tr w:rsidR="00072574"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072574" w:rsidRPr="001774B5" w:rsidRDefault="00072574" w:rsidP="00D12499">
            <w:pPr>
              <w:jc w:val="center"/>
              <w:rPr>
                <w:b/>
                <w:bCs/>
                <w:sz w:val="20"/>
                <w:szCs w:val="20"/>
              </w:rPr>
            </w:pPr>
            <w:r w:rsidRPr="001774B5">
              <w:rPr>
                <w:b/>
                <w:bCs/>
                <w:sz w:val="20"/>
                <w:szCs w:val="20"/>
              </w:rPr>
              <w:t>Certify Monitors</w:t>
            </w:r>
          </w:p>
        </w:tc>
      </w:tr>
      <w:tr w:rsidR="00072574"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000000"/>
            </w:tcBorders>
            <w:shd w:val="clear" w:color="auto" w:fill="auto"/>
          </w:tcPr>
          <w:p w:rsidR="00072574" w:rsidRPr="001774B5" w:rsidRDefault="00072574" w:rsidP="00764293">
            <w:pPr>
              <w:rPr>
                <w:b/>
                <w:bCs/>
                <w:sz w:val="20"/>
                <w:szCs w:val="20"/>
              </w:rPr>
            </w:pPr>
            <w:smartTag w:uri="urn:schemas-microsoft-com:office:smarttags" w:element="State">
              <w:r>
                <w:rPr>
                  <w:b/>
                  <w:bCs/>
                  <w:sz w:val="20"/>
                  <w:szCs w:val="20"/>
                </w:rPr>
                <w:t>Kansas</w:t>
              </w:r>
            </w:smartTag>
            <w:r>
              <w:rPr>
                <w:b/>
                <w:bCs/>
                <w:sz w:val="20"/>
                <w:szCs w:val="20"/>
              </w:rPr>
              <w:t xml:space="preserve">, </w:t>
            </w:r>
            <w:smartTag w:uri="urn:schemas-microsoft-com:office:smarttags" w:element="State">
              <w:r>
                <w:rPr>
                  <w:b/>
                  <w:bCs/>
                  <w:sz w:val="20"/>
                  <w:szCs w:val="20"/>
                </w:rPr>
                <w:t>Minnesota</w:t>
              </w:r>
            </w:smartTag>
            <w:r>
              <w:rPr>
                <w:b/>
                <w:bCs/>
                <w:sz w:val="20"/>
                <w:szCs w:val="20"/>
              </w:rPr>
              <w:t xml:space="preserve">, </w:t>
            </w:r>
            <w:smartTag w:uri="urn:schemas-microsoft-com:office:smarttags" w:element="State">
              <w:r>
                <w:rPr>
                  <w:b/>
                  <w:bCs/>
                  <w:sz w:val="20"/>
                  <w:szCs w:val="20"/>
                </w:rPr>
                <w:t>Nebraska</w:t>
              </w:r>
            </w:smartTag>
            <w:r>
              <w:rPr>
                <w:b/>
                <w:bCs/>
                <w:sz w:val="20"/>
                <w:szCs w:val="20"/>
              </w:rPr>
              <w:t xml:space="preserve">, </w:t>
            </w:r>
            <w:smartTag w:uri="urn:schemas-microsoft-com:office:smarttags" w:element="place">
              <w:smartTag w:uri="urn:schemas-microsoft-com:office:smarttags" w:element="State">
                <w:r>
                  <w:rPr>
                    <w:b/>
                    <w:bCs/>
                    <w:sz w:val="20"/>
                    <w:szCs w:val="20"/>
                  </w:rPr>
                  <w:t>Oklahoma</w:t>
                </w:r>
              </w:smartTag>
            </w:smartTag>
            <w:r w:rsidRPr="001774B5">
              <w:rPr>
                <w:b/>
                <w:bCs/>
                <w:sz w:val="20"/>
                <w:szCs w:val="20"/>
              </w:rPr>
              <w:t xml:space="preserve"> </w:t>
            </w:r>
            <w:r>
              <w:rPr>
                <w:b/>
                <w:bCs/>
                <w:sz w:val="20"/>
                <w:szCs w:val="20"/>
              </w:rPr>
              <w:t>(Previously Not Affected)</w:t>
            </w:r>
          </w:p>
        </w:tc>
      </w:tr>
      <w:tr w:rsidR="00612D98"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46535C">
            <w:pPr>
              <w:ind w:left="155" w:hanging="155"/>
              <w:rPr>
                <w:sz w:val="20"/>
                <w:szCs w:val="20"/>
              </w:rPr>
            </w:pPr>
            <w:r w:rsidRPr="001774B5">
              <w:rPr>
                <w:sz w:val="20"/>
                <w:szCs w:val="20"/>
              </w:rPr>
              <w:t>a.  Solid Fuel:  SO</w:t>
            </w:r>
            <w:r w:rsidRPr="00B520AC">
              <w:rPr>
                <w:sz w:val="20"/>
                <w:szCs w:val="20"/>
              </w:rPr>
              <w:t>2</w:t>
            </w:r>
            <w:r w:rsidRPr="001774B5">
              <w:rPr>
                <w:sz w:val="20"/>
                <w:szCs w:val="20"/>
              </w:rPr>
              <w:t>, NO</w:t>
            </w:r>
            <w:r w:rsidR="0046535C" w:rsidRPr="000714D7">
              <w:rPr>
                <w:sz w:val="20"/>
                <w:szCs w:val="20"/>
                <w:vertAlign w:val="subscript"/>
              </w:rPr>
              <w:t>X</w:t>
            </w:r>
            <w:r w:rsidRPr="001774B5">
              <w:rPr>
                <w:sz w:val="20"/>
                <w:szCs w:val="20"/>
              </w:rPr>
              <w:t>, and Flow CEMS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15</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48</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r w:rsidRPr="006B6347">
              <w:rPr>
                <w:rFonts w:eastAsia="Times New Roman"/>
                <w:color w:val="000000"/>
                <w:sz w:val="20"/>
                <w:szCs w:val="20"/>
              </w:rPr>
              <w:t>63</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2C2AE3">
            <w:pPr>
              <w:jc w:val="right"/>
              <w:rPr>
                <w:rFonts w:eastAsia="Times New Roman"/>
                <w:color w:val="000000"/>
                <w:sz w:val="20"/>
                <w:szCs w:val="20"/>
              </w:rPr>
            </w:pPr>
            <w:r w:rsidRPr="006B6347">
              <w:rPr>
                <w:rFonts w:eastAsia="Times New Roman"/>
                <w:color w:val="000000"/>
                <w:sz w:val="20"/>
                <w:szCs w:val="20"/>
              </w:rPr>
              <w:t>$4,</w:t>
            </w:r>
            <w:r w:rsidR="002C2AE3">
              <w:rPr>
                <w:rFonts w:eastAsia="Times New Roman"/>
                <w:color w:val="000000"/>
                <w:sz w:val="20"/>
                <w:szCs w:val="20"/>
              </w:rPr>
              <w:t>661</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 xml:space="preserve">$2,800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1</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r w:rsidRPr="006B6347">
              <w:rPr>
                <w:rFonts w:eastAsia="Times New Roman"/>
                <w:color w:val="000000"/>
                <w:sz w:val="20"/>
                <w:szCs w:val="20"/>
              </w:rPr>
              <w:t>63</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16F82">
            <w:pPr>
              <w:jc w:val="right"/>
              <w:rPr>
                <w:rFonts w:eastAsia="Times New Roman"/>
                <w:color w:val="000000"/>
                <w:sz w:val="20"/>
                <w:szCs w:val="20"/>
              </w:rPr>
            </w:pPr>
            <w:r w:rsidRPr="006B6347">
              <w:rPr>
                <w:rFonts w:eastAsia="Times New Roman"/>
                <w:color w:val="000000"/>
                <w:sz w:val="20"/>
                <w:szCs w:val="20"/>
              </w:rPr>
              <w:t>$7,</w:t>
            </w:r>
            <w:r w:rsidR="00616F82">
              <w:rPr>
                <w:rFonts w:eastAsia="Times New Roman"/>
                <w:color w:val="000000"/>
                <w:sz w:val="20"/>
                <w:szCs w:val="20"/>
              </w:rPr>
              <w:t>461</w:t>
            </w:r>
          </w:p>
        </w:tc>
      </w:tr>
      <w:tr w:rsidR="00612D98"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B520AC">
            <w:pPr>
              <w:ind w:left="155" w:hanging="155"/>
              <w:rPr>
                <w:sz w:val="20"/>
                <w:szCs w:val="20"/>
              </w:rPr>
            </w:pPr>
            <w:r w:rsidRPr="001774B5">
              <w:rPr>
                <w:sz w:val="20"/>
                <w:szCs w:val="20"/>
              </w:rPr>
              <w:t>b.  Gas-Oil:  NO</w:t>
            </w:r>
            <w:r w:rsidR="0046535C" w:rsidRPr="000714D7">
              <w:rPr>
                <w:sz w:val="20"/>
                <w:szCs w:val="20"/>
                <w:vertAlign w:val="subscript"/>
              </w:rPr>
              <w:t>X</w:t>
            </w:r>
            <w:r w:rsidRPr="001774B5">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10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32</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r w:rsidRPr="006B6347">
              <w:rPr>
                <w:rFonts w:eastAsia="Times New Roman"/>
                <w:color w:val="000000"/>
                <w:sz w:val="20"/>
                <w:szCs w:val="20"/>
              </w:rPr>
              <w:t>42</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2C2AE3">
            <w:pPr>
              <w:jc w:val="right"/>
              <w:rPr>
                <w:rFonts w:eastAsia="Times New Roman"/>
                <w:color w:val="000000"/>
                <w:sz w:val="20"/>
                <w:szCs w:val="20"/>
              </w:rPr>
            </w:pPr>
            <w:r w:rsidRPr="006B6347">
              <w:rPr>
                <w:rFonts w:eastAsia="Times New Roman"/>
                <w:color w:val="000000"/>
                <w:sz w:val="20"/>
                <w:szCs w:val="20"/>
              </w:rPr>
              <w:t>$3,</w:t>
            </w:r>
            <w:r w:rsidR="002C2AE3">
              <w:rPr>
                <w:rFonts w:eastAsia="Times New Roman"/>
                <w:color w:val="000000"/>
                <w:sz w:val="20"/>
                <w:szCs w:val="20"/>
              </w:rPr>
              <w:t>107</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$2,800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42</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16F82">
            <w:pPr>
              <w:jc w:val="right"/>
              <w:rPr>
                <w:rFonts w:eastAsia="Times New Roman"/>
                <w:color w:val="000000"/>
                <w:sz w:val="20"/>
                <w:szCs w:val="20"/>
              </w:rPr>
            </w:pPr>
            <w:r w:rsidRPr="006B6347">
              <w:rPr>
                <w:rFonts w:eastAsia="Times New Roman"/>
                <w:color w:val="000000"/>
                <w:sz w:val="20"/>
                <w:szCs w:val="20"/>
              </w:rPr>
              <w:t>$5,</w:t>
            </w:r>
            <w:r w:rsidR="00616F82">
              <w:rPr>
                <w:rFonts w:eastAsia="Times New Roman"/>
                <w:color w:val="000000"/>
                <w:sz w:val="20"/>
                <w:szCs w:val="20"/>
              </w:rPr>
              <w:t>907</w:t>
            </w:r>
          </w:p>
        </w:tc>
      </w:tr>
      <w:tr w:rsidR="00612D98" w:rsidRPr="001774B5" w:rsidTr="006B6347">
        <w:trPr>
          <w:trHeight w:val="396"/>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B520AC">
            <w:pPr>
              <w:ind w:left="155" w:hanging="155"/>
              <w:rPr>
                <w:sz w:val="20"/>
                <w:szCs w:val="20"/>
              </w:rPr>
            </w:pPr>
            <w:r w:rsidRPr="001774B5">
              <w:rPr>
                <w:sz w:val="20"/>
                <w:szCs w:val="20"/>
              </w:rPr>
              <w:t>c.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8</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24</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r w:rsidRPr="006B6347">
              <w:rPr>
                <w:rFonts w:eastAsia="Times New Roman"/>
                <w:color w:val="000000"/>
                <w:sz w:val="20"/>
                <w:szCs w:val="20"/>
              </w:rPr>
              <w:t>32</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2C2AE3">
            <w:pPr>
              <w:jc w:val="right"/>
              <w:rPr>
                <w:rFonts w:eastAsia="Times New Roman"/>
                <w:color w:val="000000"/>
                <w:sz w:val="20"/>
                <w:szCs w:val="20"/>
              </w:rPr>
            </w:pPr>
            <w:r w:rsidRPr="006B6347">
              <w:rPr>
                <w:rFonts w:eastAsia="Times New Roman"/>
                <w:color w:val="000000"/>
                <w:sz w:val="20"/>
                <w:szCs w:val="20"/>
              </w:rPr>
              <w:t>$2,</w:t>
            </w:r>
            <w:r w:rsidR="002C2AE3" w:rsidRPr="006B6347">
              <w:rPr>
                <w:rFonts w:eastAsia="Times New Roman"/>
                <w:color w:val="000000"/>
                <w:sz w:val="20"/>
                <w:szCs w:val="20"/>
              </w:rPr>
              <w:t>3</w:t>
            </w:r>
            <w:r w:rsidR="002C2AE3">
              <w:rPr>
                <w:rFonts w:eastAsia="Times New Roman"/>
                <w:color w:val="000000"/>
                <w:sz w:val="20"/>
                <w:szCs w:val="20"/>
              </w:rPr>
              <w:t>78</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$10,000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5</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160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16F82">
            <w:pPr>
              <w:jc w:val="right"/>
              <w:rPr>
                <w:rFonts w:eastAsia="Times New Roman"/>
                <w:color w:val="000000"/>
                <w:sz w:val="20"/>
                <w:szCs w:val="20"/>
              </w:rPr>
            </w:pPr>
            <w:r w:rsidRPr="006B6347">
              <w:rPr>
                <w:rFonts w:eastAsia="Times New Roman"/>
                <w:color w:val="000000"/>
                <w:sz w:val="20"/>
                <w:szCs w:val="20"/>
              </w:rPr>
              <w:t>$61,</w:t>
            </w:r>
            <w:r w:rsidR="00616F82">
              <w:rPr>
                <w:rFonts w:eastAsia="Times New Roman"/>
                <w:color w:val="000000"/>
                <w:sz w:val="20"/>
                <w:szCs w:val="20"/>
              </w:rPr>
              <w:t>890</w:t>
            </w:r>
          </w:p>
        </w:tc>
      </w:tr>
      <w:tr w:rsidR="00CC4439" w:rsidRPr="001774B5" w:rsidTr="002050C7">
        <w:trPr>
          <w:trHeight w:val="255"/>
          <w:jc w:val="center"/>
        </w:trPr>
        <w:tc>
          <w:tcPr>
            <w:tcW w:w="12960" w:type="dxa"/>
            <w:gridSpan w:val="10"/>
            <w:tcBorders>
              <w:top w:val="single" w:sz="4" w:space="0" w:color="auto"/>
            </w:tcBorders>
            <w:shd w:val="clear" w:color="auto" w:fill="auto"/>
          </w:tcPr>
          <w:p w:rsidR="00CC4439" w:rsidRPr="001774B5" w:rsidRDefault="00CC4439" w:rsidP="00391881">
            <w:pPr>
              <w:jc w:val="right"/>
              <w:rPr>
                <w:sz w:val="20"/>
                <w:szCs w:val="20"/>
              </w:rPr>
            </w:pPr>
            <w:r>
              <w:rPr>
                <w:sz w:val="20"/>
                <w:szCs w:val="20"/>
              </w:rPr>
              <w:t>(cont.)</w:t>
            </w:r>
          </w:p>
        </w:tc>
      </w:tr>
      <w:tr w:rsidR="00CC4439" w:rsidTr="002050C7">
        <w:trPr>
          <w:trHeight w:val="255"/>
          <w:jc w:val="center"/>
        </w:trPr>
        <w:tc>
          <w:tcPr>
            <w:tcW w:w="12960" w:type="dxa"/>
            <w:gridSpan w:val="10"/>
            <w:tcBorders>
              <w:bottom w:val="single" w:sz="4" w:space="0" w:color="auto"/>
            </w:tcBorders>
            <w:shd w:val="clear" w:color="auto" w:fill="auto"/>
          </w:tcPr>
          <w:p w:rsidR="00CC4439" w:rsidRDefault="00CC4439" w:rsidP="00391881">
            <w:pPr>
              <w:keepNext/>
              <w:keepLines/>
              <w:jc w:val="center"/>
              <w:rPr>
                <w:b/>
                <w:color w:val="0F0F0F"/>
              </w:rPr>
            </w:pPr>
            <w:r w:rsidRPr="001774B5">
              <w:rPr>
                <w:b/>
                <w:color w:val="0F0F0F"/>
              </w:rPr>
              <w:lastRenderedPageBreak/>
              <w:t xml:space="preserve">Table </w:t>
            </w:r>
            <w:r w:rsidR="009269F3">
              <w:rPr>
                <w:b/>
                <w:color w:val="0F0F0F"/>
              </w:rPr>
              <w:t>6-5</w:t>
            </w:r>
            <w:r>
              <w:rPr>
                <w:b/>
                <w:color w:val="0F0F0F"/>
              </w:rPr>
              <w:t>:</w:t>
            </w:r>
            <w:r w:rsidRPr="001774B5">
              <w:rPr>
                <w:b/>
                <w:color w:val="0F0F0F"/>
              </w:rPr>
              <w:t xml:space="preserve"> </w:t>
            </w:r>
            <w:r w:rsidRPr="001774B5">
              <w:rPr>
                <w:b/>
                <w:color w:val="0F0F0F"/>
              </w:rPr>
              <w:br/>
              <w:t>Annual Industry Respondent Burden and Cost by Activity</w:t>
            </w:r>
            <w:r>
              <w:rPr>
                <w:b/>
                <w:color w:val="0F0F0F"/>
              </w:rPr>
              <w:t xml:space="preserve"> (cont.)</w:t>
            </w:r>
          </w:p>
          <w:p w:rsidR="00CC4439" w:rsidRDefault="00CC4439" w:rsidP="00391881">
            <w:pPr>
              <w:keepNext/>
              <w:keepLines/>
              <w:jc w:val="center"/>
              <w:rPr>
                <w:sz w:val="20"/>
                <w:szCs w:val="20"/>
              </w:rPr>
            </w:pPr>
          </w:p>
        </w:tc>
      </w:tr>
      <w:tr w:rsidR="00CC4439" w:rsidRPr="00764293" w:rsidTr="002050C7">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tc>
        <w:tc>
          <w:tcPr>
            <w:tcW w:w="1259" w:type="dxa"/>
            <w:tcBorders>
              <w:top w:val="single" w:sz="4" w:space="0" w:color="auto"/>
              <w:left w:val="nil"/>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139" w:type="dxa"/>
            <w:tcBorders>
              <w:top w:val="single" w:sz="4" w:space="0" w:color="auto"/>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311" w:type="dxa"/>
            <w:vMerge w:val="restart"/>
            <w:tcBorders>
              <w:top w:val="single" w:sz="4" w:space="0" w:color="auto"/>
              <w:left w:val="nil"/>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r w:rsidRPr="00764293">
              <w:rPr>
                <w:b/>
                <w:bCs/>
                <w:sz w:val="22"/>
              </w:rPr>
              <w:t>Respondent</w:t>
            </w:r>
          </w:p>
          <w:p w:rsidR="00CC4439" w:rsidRPr="00764293" w:rsidRDefault="00CC4439" w:rsidP="00391881">
            <w:pPr>
              <w:keepNext/>
              <w:keepLines/>
              <w:jc w:val="center"/>
              <w:rPr>
                <w:b/>
                <w:bCs/>
                <w:sz w:val="22"/>
              </w:rPr>
            </w:pPr>
            <w:r w:rsidRPr="00764293">
              <w:rPr>
                <w:b/>
                <w:bCs/>
                <w:sz w:val="22"/>
              </w:rPr>
              <w:t>Labor Cost/Year</w:t>
            </w:r>
          </w:p>
          <w:p w:rsidR="00CC4439" w:rsidRPr="00764293" w:rsidRDefault="00CC4439" w:rsidP="00391881">
            <w:pPr>
              <w:keepNext/>
              <w:keepLines/>
              <w:jc w:val="center"/>
              <w:rPr>
                <w:b/>
                <w:bCs/>
                <w:sz w:val="22"/>
              </w:rPr>
            </w:pPr>
          </w:p>
        </w:tc>
        <w:tc>
          <w:tcPr>
            <w:tcW w:w="1801" w:type="dxa"/>
            <w:gridSpan w:val="2"/>
            <w:tcBorders>
              <w:top w:val="single" w:sz="4" w:space="0" w:color="auto"/>
              <w:left w:val="nil"/>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288" w:type="dxa"/>
            <w:tcBorders>
              <w:top w:val="single" w:sz="4" w:space="0" w:color="auto"/>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tc>
      </w:tr>
      <w:tr w:rsidR="00076623" w:rsidRPr="00764293" w:rsidTr="002050C7">
        <w:trPr>
          <w:trHeight w:val="548"/>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Manager $</w:t>
            </w:r>
            <w:r w:rsidR="003C0FF8">
              <w:rPr>
                <w:b/>
                <w:bCs/>
                <w:sz w:val="22"/>
              </w:rPr>
              <w:t>95.10</w:t>
            </w:r>
          </w:p>
          <w:p w:rsidR="00076623" w:rsidRPr="00764293" w:rsidRDefault="00076623" w:rsidP="00A947BD">
            <w:pPr>
              <w:keepNext/>
              <w:keepLines/>
              <w:jc w:val="center"/>
              <w:rPr>
                <w:b/>
                <w:bCs/>
                <w:sz w:val="22"/>
              </w:rPr>
            </w:pPr>
            <w:r w:rsidRPr="00764293">
              <w:rPr>
                <w:b/>
                <w:bCs/>
                <w:sz w:val="22"/>
              </w:rPr>
              <w:t>Per Hour (20</w:t>
            </w:r>
            <w:r>
              <w:rPr>
                <w:b/>
                <w:bCs/>
                <w:sz w:val="22"/>
              </w:rPr>
              <w:t>1</w:t>
            </w:r>
            <w:r w:rsidR="00A947BD">
              <w:rPr>
                <w:b/>
                <w:bCs/>
                <w:sz w:val="22"/>
              </w:rPr>
              <w:t>3</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Technical $</w:t>
            </w:r>
            <w:r w:rsidR="003C0FF8">
              <w:rPr>
                <w:b/>
                <w:bCs/>
                <w:sz w:val="22"/>
              </w:rPr>
              <w:t>67.38</w:t>
            </w:r>
          </w:p>
          <w:p w:rsidR="00076623" w:rsidRPr="00764293" w:rsidRDefault="00076623" w:rsidP="00A947BD">
            <w:pPr>
              <w:keepNext/>
              <w:keepLines/>
              <w:jc w:val="center"/>
              <w:rPr>
                <w:b/>
                <w:bCs/>
                <w:sz w:val="22"/>
              </w:rPr>
            </w:pPr>
            <w:r w:rsidRPr="00764293">
              <w:rPr>
                <w:b/>
                <w:bCs/>
                <w:sz w:val="22"/>
              </w:rPr>
              <w:t>Per Hour (20</w:t>
            </w:r>
            <w:r>
              <w:rPr>
                <w:b/>
                <w:bCs/>
                <w:sz w:val="22"/>
              </w:rPr>
              <w:t>1</w:t>
            </w:r>
            <w:r w:rsidR="00A947BD">
              <w:rPr>
                <w:b/>
                <w:bCs/>
                <w:sz w:val="22"/>
              </w:rPr>
              <w:t>3</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Respondent Hours/Year</w:t>
            </w:r>
          </w:p>
          <w:p w:rsidR="00076623" w:rsidRPr="00764293" w:rsidRDefault="00076623" w:rsidP="00391881">
            <w:pPr>
              <w:keepNext/>
              <w:keepLines/>
              <w:jc w:val="center"/>
              <w:rPr>
                <w:b/>
                <w:bCs/>
                <w:sz w:val="22"/>
              </w:rPr>
            </w:pPr>
          </w:p>
        </w:tc>
        <w:tc>
          <w:tcPr>
            <w:tcW w:w="1311" w:type="dxa"/>
            <w:vMerge/>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p>
        </w:tc>
        <w:tc>
          <w:tcPr>
            <w:tcW w:w="99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Startup Costs</w:t>
            </w:r>
          </w:p>
          <w:p w:rsidR="00076623" w:rsidRPr="00764293" w:rsidRDefault="00076623" w:rsidP="00391881">
            <w:pPr>
              <w:keepNext/>
              <w:keepLines/>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O&amp;M Cost</w:t>
            </w:r>
          </w:p>
          <w:p w:rsidR="00076623" w:rsidRPr="00764293" w:rsidRDefault="00076623" w:rsidP="00391881">
            <w:pPr>
              <w:keepNext/>
              <w:keepLines/>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Number of Respondents</w:t>
            </w:r>
          </w:p>
          <w:p w:rsidR="00076623" w:rsidRPr="00764293" w:rsidRDefault="00076623" w:rsidP="00391881">
            <w:pPr>
              <w:keepNext/>
              <w:keepLines/>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Total Hours/Year</w:t>
            </w:r>
          </w:p>
          <w:p w:rsidR="00076623" w:rsidRPr="00764293" w:rsidRDefault="00076623" w:rsidP="00391881">
            <w:pPr>
              <w:keepNext/>
              <w:keepLines/>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Total Cost/Year</w:t>
            </w:r>
          </w:p>
          <w:p w:rsidR="00076623" w:rsidRPr="00764293" w:rsidRDefault="00076623" w:rsidP="00391881">
            <w:pPr>
              <w:keepNext/>
              <w:keepLines/>
              <w:jc w:val="center"/>
              <w:rPr>
                <w:b/>
                <w:bCs/>
                <w:sz w:val="22"/>
              </w:rPr>
            </w:pPr>
          </w:p>
        </w:tc>
      </w:tr>
      <w:tr w:rsidR="00CC4439"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CC4439" w:rsidRPr="001774B5" w:rsidRDefault="00CC4439" w:rsidP="00D12499">
            <w:pPr>
              <w:jc w:val="center"/>
              <w:rPr>
                <w:b/>
                <w:bCs/>
                <w:sz w:val="20"/>
                <w:szCs w:val="20"/>
              </w:rPr>
            </w:pPr>
            <w:r w:rsidRPr="001774B5">
              <w:rPr>
                <w:b/>
                <w:bCs/>
                <w:sz w:val="20"/>
                <w:szCs w:val="20"/>
              </w:rPr>
              <w:t>Certify Monitors</w:t>
            </w:r>
            <w:r>
              <w:rPr>
                <w:b/>
                <w:bCs/>
                <w:sz w:val="20"/>
                <w:szCs w:val="20"/>
              </w:rPr>
              <w:t xml:space="preserve"> (cont.)</w:t>
            </w:r>
          </w:p>
        </w:tc>
      </w:tr>
      <w:tr w:rsidR="00072574" w:rsidRPr="001774B5" w:rsidTr="002050C7">
        <w:trPr>
          <w:trHeight w:val="45"/>
          <w:jc w:val="center"/>
        </w:trPr>
        <w:tc>
          <w:tcPr>
            <w:tcW w:w="12960" w:type="dxa"/>
            <w:gridSpan w:val="10"/>
            <w:tcBorders>
              <w:top w:val="nil"/>
              <w:left w:val="single" w:sz="4" w:space="0" w:color="auto"/>
              <w:bottom w:val="single" w:sz="4" w:space="0" w:color="auto"/>
              <w:right w:val="single" w:sz="4" w:space="0" w:color="auto"/>
            </w:tcBorders>
            <w:shd w:val="clear" w:color="auto" w:fill="auto"/>
            <w:vAlign w:val="center"/>
          </w:tcPr>
          <w:p w:rsidR="00072574" w:rsidRPr="001774B5" w:rsidRDefault="00072574" w:rsidP="000D4CB1">
            <w:pPr>
              <w:rPr>
                <w:sz w:val="20"/>
                <w:szCs w:val="20"/>
              </w:rPr>
            </w:pPr>
            <w:r>
              <w:rPr>
                <w:b/>
                <w:bCs/>
                <w:sz w:val="20"/>
                <w:szCs w:val="20"/>
              </w:rPr>
              <w:t>Georgia</w:t>
            </w:r>
            <w:r w:rsidR="000D4CB1">
              <w:rPr>
                <w:b/>
                <w:bCs/>
                <w:sz w:val="20"/>
                <w:szCs w:val="20"/>
              </w:rPr>
              <w:t xml:space="preserve"> and Texas</w:t>
            </w:r>
            <w:r w:rsidR="008956C2">
              <w:rPr>
                <w:b/>
                <w:bCs/>
                <w:sz w:val="20"/>
                <w:szCs w:val="20"/>
              </w:rPr>
              <w:t xml:space="preserve"> </w:t>
            </w:r>
            <w:r w:rsidR="00A31FAD">
              <w:rPr>
                <w:b/>
                <w:bCs/>
                <w:sz w:val="20"/>
                <w:szCs w:val="20"/>
              </w:rPr>
              <w:t>(Ozone Status Changes, Annual Status R</w:t>
            </w:r>
            <w:r>
              <w:rPr>
                <w:b/>
                <w:bCs/>
                <w:sz w:val="20"/>
                <w:szCs w:val="20"/>
              </w:rPr>
              <w:t>emains)</w:t>
            </w:r>
          </w:p>
        </w:tc>
      </w:tr>
      <w:tr w:rsidR="00612D98"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a.  Solid Fuel:  SO</w:t>
            </w:r>
            <w:r w:rsidRPr="001774B5">
              <w:rPr>
                <w:sz w:val="20"/>
                <w:szCs w:val="20"/>
                <w:vertAlign w:val="subscript"/>
              </w:rPr>
              <w:t>2</w:t>
            </w:r>
            <w:r w:rsidRPr="001774B5">
              <w:rPr>
                <w:sz w:val="20"/>
                <w:szCs w:val="20"/>
              </w:rPr>
              <w:t>, NO</w:t>
            </w:r>
            <w:r w:rsidR="0046535C">
              <w:rPr>
                <w:sz w:val="20"/>
                <w:szCs w:val="20"/>
                <w:vertAlign w:val="subscript"/>
              </w:rPr>
              <w:t>X</w:t>
            </w:r>
            <w:r w:rsidRPr="001774B5">
              <w:rPr>
                <w:sz w:val="20"/>
                <w:szCs w:val="20"/>
              </w:rPr>
              <w:t>, and Flow CEMS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15</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48</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63</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616F82">
            <w:pPr>
              <w:jc w:val="right"/>
              <w:rPr>
                <w:rFonts w:eastAsia="Times New Roman"/>
                <w:color w:val="000000"/>
                <w:sz w:val="20"/>
                <w:szCs w:val="20"/>
              </w:rPr>
            </w:pPr>
            <w:r w:rsidRPr="006B6347">
              <w:rPr>
                <w:rFonts w:eastAsia="Times New Roman"/>
                <w:color w:val="000000"/>
                <w:sz w:val="20"/>
                <w:szCs w:val="20"/>
              </w:rPr>
              <w:t>$4,</w:t>
            </w:r>
            <w:r w:rsidR="00616F82">
              <w:rPr>
                <w:rFonts w:eastAsia="Times New Roman"/>
                <w:color w:val="000000"/>
                <w:sz w:val="20"/>
                <w:szCs w:val="20"/>
              </w:rPr>
              <w:t>661</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 xml:space="preserve">$2,800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1</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63</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16F82">
            <w:pPr>
              <w:jc w:val="right"/>
              <w:rPr>
                <w:rFonts w:eastAsia="Times New Roman"/>
                <w:color w:val="000000"/>
                <w:sz w:val="20"/>
                <w:szCs w:val="20"/>
              </w:rPr>
            </w:pPr>
            <w:r w:rsidRPr="006B6347">
              <w:rPr>
                <w:rFonts w:eastAsia="Times New Roman"/>
                <w:color w:val="000000"/>
                <w:sz w:val="20"/>
                <w:szCs w:val="20"/>
              </w:rPr>
              <w:t>$7,</w:t>
            </w:r>
            <w:r w:rsidR="00616F82">
              <w:rPr>
                <w:rFonts w:eastAsia="Times New Roman"/>
                <w:color w:val="000000"/>
                <w:sz w:val="20"/>
                <w:szCs w:val="20"/>
              </w:rPr>
              <w:t>461</w:t>
            </w:r>
          </w:p>
        </w:tc>
      </w:tr>
      <w:tr w:rsidR="00612D98"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b.  Gas-Oil:  NO</w:t>
            </w:r>
            <w:r w:rsidR="0046535C">
              <w:rPr>
                <w:sz w:val="20"/>
                <w:szCs w:val="20"/>
                <w:vertAlign w:val="subscript"/>
              </w:rPr>
              <w:t>X</w:t>
            </w:r>
            <w:r w:rsidRPr="001774B5">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10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32</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42</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616F82">
            <w:pPr>
              <w:jc w:val="right"/>
              <w:rPr>
                <w:rFonts w:eastAsia="Times New Roman"/>
                <w:color w:val="000000"/>
                <w:sz w:val="20"/>
                <w:szCs w:val="20"/>
              </w:rPr>
            </w:pPr>
            <w:r w:rsidRPr="006B6347">
              <w:rPr>
                <w:rFonts w:eastAsia="Times New Roman"/>
                <w:color w:val="000000"/>
                <w:sz w:val="20"/>
                <w:szCs w:val="20"/>
              </w:rPr>
              <w:t>$3,</w:t>
            </w:r>
            <w:r w:rsidR="00616F82">
              <w:rPr>
                <w:rFonts w:eastAsia="Times New Roman"/>
                <w:color w:val="000000"/>
                <w:sz w:val="20"/>
                <w:szCs w:val="20"/>
              </w:rPr>
              <w:t>107</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$2,800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4</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168</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16F82">
            <w:pPr>
              <w:jc w:val="right"/>
              <w:rPr>
                <w:rFonts w:eastAsia="Times New Roman"/>
                <w:color w:val="000000"/>
                <w:sz w:val="20"/>
                <w:szCs w:val="20"/>
              </w:rPr>
            </w:pPr>
            <w:r w:rsidRPr="006B6347">
              <w:rPr>
                <w:rFonts w:eastAsia="Times New Roman"/>
                <w:color w:val="000000"/>
                <w:sz w:val="20"/>
                <w:szCs w:val="20"/>
              </w:rPr>
              <w:t>$23,</w:t>
            </w:r>
            <w:r w:rsidR="00616F82">
              <w:rPr>
                <w:rFonts w:eastAsia="Times New Roman"/>
                <w:color w:val="000000"/>
                <w:sz w:val="20"/>
                <w:szCs w:val="20"/>
              </w:rPr>
              <w:t>629</w:t>
            </w:r>
          </w:p>
        </w:tc>
      </w:tr>
      <w:tr w:rsidR="00612D98"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c.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8</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24</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32</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616F82">
            <w:pPr>
              <w:jc w:val="right"/>
              <w:rPr>
                <w:rFonts w:eastAsia="Times New Roman"/>
                <w:color w:val="000000"/>
                <w:sz w:val="20"/>
                <w:szCs w:val="20"/>
              </w:rPr>
            </w:pPr>
            <w:r w:rsidRPr="006B6347">
              <w:rPr>
                <w:rFonts w:eastAsia="Times New Roman"/>
                <w:color w:val="000000"/>
                <w:sz w:val="20"/>
                <w:szCs w:val="20"/>
              </w:rPr>
              <w:t>$2,</w:t>
            </w:r>
            <w:r w:rsidR="00616F82" w:rsidRPr="006B6347">
              <w:rPr>
                <w:rFonts w:eastAsia="Times New Roman"/>
                <w:color w:val="000000"/>
                <w:sz w:val="20"/>
                <w:szCs w:val="20"/>
              </w:rPr>
              <w:t>3</w:t>
            </w:r>
            <w:r w:rsidR="00616F82">
              <w:rPr>
                <w:rFonts w:eastAsia="Times New Roman"/>
                <w:color w:val="000000"/>
                <w:sz w:val="20"/>
                <w:szCs w:val="20"/>
              </w:rPr>
              <w:t>78</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$10,000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4</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128</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16F82">
            <w:pPr>
              <w:jc w:val="right"/>
              <w:rPr>
                <w:rFonts w:eastAsia="Times New Roman"/>
                <w:color w:val="000000"/>
                <w:sz w:val="20"/>
                <w:szCs w:val="20"/>
              </w:rPr>
            </w:pPr>
            <w:r w:rsidRPr="006B6347">
              <w:rPr>
                <w:rFonts w:eastAsia="Times New Roman"/>
                <w:color w:val="000000"/>
                <w:sz w:val="20"/>
                <w:szCs w:val="20"/>
              </w:rPr>
              <w:t>$49,</w:t>
            </w:r>
            <w:r w:rsidR="00616F82">
              <w:rPr>
                <w:rFonts w:eastAsia="Times New Roman"/>
                <w:color w:val="000000"/>
                <w:sz w:val="20"/>
                <w:szCs w:val="20"/>
              </w:rPr>
              <w:t>512</w:t>
            </w:r>
          </w:p>
        </w:tc>
      </w:tr>
      <w:tr w:rsidR="00072574" w:rsidRPr="001774B5" w:rsidTr="002050C7">
        <w:trPr>
          <w:trHeight w:val="23"/>
          <w:jc w:val="center"/>
        </w:trPr>
        <w:tc>
          <w:tcPr>
            <w:tcW w:w="12960" w:type="dxa"/>
            <w:gridSpan w:val="10"/>
            <w:tcBorders>
              <w:top w:val="nil"/>
              <w:left w:val="single" w:sz="4" w:space="0" w:color="auto"/>
              <w:bottom w:val="single" w:sz="4" w:space="0" w:color="auto"/>
              <w:right w:val="single" w:sz="4" w:space="0" w:color="auto"/>
            </w:tcBorders>
            <w:shd w:val="clear" w:color="auto" w:fill="auto"/>
            <w:vAlign w:val="center"/>
          </w:tcPr>
          <w:p w:rsidR="00072574" w:rsidRPr="001774B5" w:rsidRDefault="00072574" w:rsidP="000D4CB1">
            <w:pPr>
              <w:rPr>
                <w:sz w:val="20"/>
                <w:szCs w:val="20"/>
              </w:rPr>
            </w:pPr>
            <w:r>
              <w:rPr>
                <w:b/>
                <w:bCs/>
                <w:sz w:val="20"/>
                <w:szCs w:val="20"/>
              </w:rPr>
              <w:t>Mi</w:t>
            </w:r>
            <w:r w:rsidR="00A31FAD">
              <w:rPr>
                <w:b/>
                <w:bCs/>
                <w:sz w:val="20"/>
                <w:szCs w:val="20"/>
              </w:rPr>
              <w:t>ssissippi</w:t>
            </w:r>
            <w:r w:rsidR="000D4CB1">
              <w:rPr>
                <w:b/>
                <w:bCs/>
                <w:sz w:val="20"/>
                <w:szCs w:val="20"/>
              </w:rPr>
              <w:t>, Florida</w:t>
            </w:r>
            <w:r w:rsidR="008956C2">
              <w:rPr>
                <w:b/>
                <w:bCs/>
                <w:sz w:val="20"/>
                <w:szCs w:val="20"/>
              </w:rPr>
              <w:t>,</w:t>
            </w:r>
            <w:r w:rsidR="000D4CB1">
              <w:rPr>
                <w:b/>
                <w:bCs/>
                <w:sz w:val="20"/>
                <w:szCs w:val="20"/>
              </w:rPr>
              <w:t xml:space="preserve"> and Louisiana </w:t>
            </w:r>
            <w:r w:rsidR="00A31FAD">
              <w:rPr>
                <w:b/>
                <w:bCs/>
                <w:sz w:val="20"/>
                <w:szCs w:val="20"/>
              </w:rPr>
              <w:t xml:space="preserve"> (Now Ozone Season O</w:t>
            </w:r>
            <w:r>
              <w:rPr>
                <w:b/>
                <w:bCs/>
                <w:sz w:val="20"/>
                <w:szCs w:val="20"/>
              </w:rPr>
              <w:t>nly)</w:t>
            </w:r>
          </w:p>
        </w:tc>
      </w:tr>
      <w:tr w:rsidR="00612D98"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C531BF">
            <w:pPr>
              <w:ind w:left="245" w:hanging="245"/>
              <w:rPr>
                <w:sz w:val="20"/>
                <w:szCs w:val="20"/>
              </w:rPr>
            </w:pPr>
            <w:r w:rsidRPr="00ED7FD5">
              <w:rPr>
                <w:sz w:val="20"/>
                <w:szCs w:val="20"/>
              </w:rPr>
              <w:t>a.  Solid Fuel:  NO</w:t>
            </w:r>
            <w:r w:rsidR="0046535C" w:rsidRPr="000714D7">
              <w:rPr>
                <w:sz w:val="20"/>
                <w:szCs w:val="20"/>
                <w:vertAlign w:val="subscript"/>
              </w:rPr>
              <w:t>X</w:t>
            </w:r>
            <w:r w:rsidRPr="00ED7FD5">
              <w:rPr>
                <w:sz w:val="20"/>
                <w:szCs w:val="20"/>
              </w:rPr>
              <w:t xml:space="preserve"> and Flow CEMS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15</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48</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63</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616F82">
            <w:pPr>
              <w:jc w:val="right"/>
              <w:rPr>
                <w:rFonts w:eastAsia="Times New Roman"/>
                <w:color w:val="000000"/>
                <w:sz w:val="20"/>
                <w:szCs w:val="20"/>
              </w:rPr>
            </w:pPr>
            <w:r w:rsidRPr="006B6347">
              <w:rPr>
                <w:rFonts w:eastAsia="Times New Roman"/>
                <w:color w:val="000000"/>
                <w:sz w:val="20"/>
                <w:szCs w:val="20"/>
              </w:rPr>
              <w:t>$4,</w:t>
            </w:r>
            <w:r w:rsidR="00616F82">
              <w:rPr>
                <w:rFonts w:eastAsia="Times New Roman"/>
                <w:color w:val="000000"/>
                <w:sz w:val="20"/>
                <w:szCs w:val="20"/>
              </w:rPr>
              <w:t>661</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 xml:space="preserve">$2,800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1</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63</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16F82">
            <w:pPr>
              <w:jc w:val="right"/>
              <w:rPr>
                <w:rFonts w:eastAsia="Times New Roman"/>
                <w:color w:val="000000"/>
                <w:sz w:val="20"/>
                <w:szCs w:val="20"/>
              </w:rPr>
            </w:pPr>
            <w:r w:rsidRPr="006B6347">
              <w:rPr>
                <w:rFonts w:eastAsia="Times New Roman"/>
                <w:color w:val="000000"/>
                <w:sz w:val="20"/>
                <w:szCs w:val="20"/>
              </w:rPr>
              <w:t>$7,</w:t>
            </w:r>
            <w:r w:rsidR="00616F82">
              <w:rPr>
                <w:rFonts w:eastAsia="Times New Roman"/>
                <w:color w:val="000000"/>
                <w:sz w:val="20"/>
                <w:szCs w:val="20"/>
              </w:rPr>
              <w:t>461</w:t>
            </w:r>
          </w:p>
        </w:tc>
      </w:tr>
      <w:tr w:rsidR="00612D98"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ED7FD5">
              <w:rPr>
                <w:sz w:val="20"/>
                <w:szCs w:val="20"/>
              </w:rPr>
              <w:t>a.  Gas-Oil:  NO</w:t>
            </w:r>
            <w:r w:rsidR="0046535C" w:rsidRPr="000714D7">
              <w:rPr>
                <w:sz w:val="20"/>
                <w:szCs w:val="20"/>
                <w:vertAlign w:val="subscript"/>
              </w:rPr>
              <w:t>X</w:t>
            </w:r>
            <w:r w:rsidRPr="00ED7FD5">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10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32</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42</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616F82">
            <w:pPr>
              <w:jc w:val="right"/>
              <w:rPr>
                <w:rFonts w:eastAsia="Times New Roman"/>
                <w:color w:val="000000"/>
                <w:sz w:val="20"/>
                <w:szCs w:val="20"/>
              </w:rPr>
            </w:pPr>
            <w:r w:rsidRPr="006B6347">
              <w:rPr>
                <w:rFonts w:eastAsia="Times New Roman"/>
                <w:color w:val="000000"/>
                <w:sz w:val="20"/>
                <w:szCs w:val="20"/>
              </w:rPr>
              <w:t>$3,</w:t>
            </w:r>
            <w:r w:rsidR="00616F82">
              <w:rPr>
                <w:rFonts w:eastAsia="Times New Roman"/>
                <w:color w:val="000000"/>
                <w:sz w:val="20"/>
                <w:szCs w:val="20"/>
              </w:rPr>
              <w:t>107</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 xml:space="preserve">$2,800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1</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42</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16F82">
            <w:pPr>
              <w:jc w:val="right"/>
              <w:rPr>
                <w:rFonts w:eastAsia="Times New Roman"/>
                <w:color w:val="000000"/>
                <w:sz w:val="20"/>
                <w:szCs w:val="20"/>
              </w:rPr>
            </w:pPr>
            <w:r w:rsidRPr="006B6347">
              <w:rPr>
                <w:rFonts w:eastAsia="Times New Roman"/>
                <w:color w:val="000000"/>
                <w:sz w:val="20"/>
                <w:szCs w:val="20"/>
              </w:rPr>
              <w:t>$5,</w:t>
            </w:r>
            <w:r w:rsidR="00616F82">
              <w:rPr>
                <w:rFonts w:eastAsia="Times New Roman"/>
                <w:color w:val="000000"/>
                <w:sz w:val="20"/>
                <w:szCs w:val="20"/>
              </w:rPr>
              <w:t>907</w:t>
            </w:r>
          </w:p>
        </w:tc>
      </w:tr>
      <w:tr w:rsidR="00612D98"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Default="00612D98" w:rsidP="001B3566">
            <w:pPr>
              <w:ind w:left="245" w:hanging="245"/>
              <w:rPr>
                <w:sz w:val="20"/>
                <w:szCs w:val="20"/>
              </w:rPr>
            </w:pPr>
            <w:r w:rsidRPr="00B520AC">
              <w:rPr>
                <w:sz w:val="20"/>
                <w:szCs w:val="20"/>
              </w:rPr>
              <w:t>b.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8</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24</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32</w:t>
            </w:r>
          </w:p>
        </w:tc>
        <w:tc>
          <w:tcPr>
            <w:tcW w:w="1311" w:type="dxa"/>
            <w:tcBorders>
              <w:top w:val="nil"/>
              <w:left w:val="nil"/>
              <w:bottom w:val="single" w:sz="4" w:space="0" w:color="auto"/>
              <w:right w:val="single" w:sz="4" w:space="0" w:color="auto"/>
            </w:tcBorders>
            <w:shd w:val="clear" w:color="auto" w:fill="auto"/>
            <w:vAlign w:val="bottom"/>
          </w:tcPr>
          <w:p w:rsidR="00612D98" w:rsidRPr="006B6347" w:rsidRDefault="00612D98" w:rsidP="00616F82">
            <w:pPr>
              <w:jc w:val="right"/>
              <w:rPr>
                <w:rFonts w:eastAsia="Times New Roman"/>
                <w:color w:val="000000"/>
                <w:sz w:val="20"/>
                <w:szCs w:val="20"/>
              </w:rPr>
            </w:pPr>
            <w:r w:rsidRPr="006B6347">
              <w:rPr>
                <w:rFonts w:eastAsia="Times New Roman"/>
                <w:color w:val="000000"/>
                <w:sz w:val="20"/>
                <w:szCs w:val="20"/>
              </w:rPr>
              <w:t>$2,</w:t>
            </w:r>
            <w:r w:rsidR="00616F82" w:rsidRPr="006B6347">
              <w:rPr>
                <w:rFonts w:eastAsia="Times New Roman"/>
                <w:color w:val="000000"/>
                <w:sz w:val="20"/>
                <w:szCs w:val="20"/>
              </w:rPr>
              <w:t>3</w:t>
            </w:r>
            <w:r w:rsidR="00616F82">
              <w:rPr>
                <w:rFonts w:eastAsia="Times New Roman"/>
                <w:color w:val="000000"/>
                <w:sz w:val="20"/>
                <w:szCs w:val="20"/>
              </w:rPr>
              <w:t>78</w:t>
            </w:r>
          </w:p>
        </w:tc>
        <w:tc>
          <w:tcPr>
            <w:tcW w:w="990"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 xml:space="preserve">$10,000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6</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192</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616F82">
            <w:pPr>
              <w:jc w:val="right"/>
              <w:rPr>
                <w:rFonts w:eastAsia="Times New Roman"/>
                <w:color w:val="000000"/>
                <w:sz w:val="20"/>
                <w:szCs w:val="20"/>
              </w:rPr>
            </w:pPr>
            <w:r w:rsidRPr="006B6347">
              <w:rPr>
                <w:rFonts w:eastAsia="Times New Roman"/>
                <w:color w:val="000000"/>
                <w:sz w:val="20"/>
                <w:szCs w:val="20"/>
              </w:rPr>
              <w:t>$7</w:t>
            </w:r>
            <w:r w:rsidR="00616F82">
              <w:rPr>
                <w:rFonts w:eastAsia="Times New Roman"/>
                <w:color w:val="000000"/>
                <w:sz w:val="20"/>
                <w:szCs w:val="20"/>
              </w:rPr>
              <w:t>4,268</w:t>
            </w:r>
          </w:p>
        </w:tc>
      </w:tr>
      <w:tr w:rsidR="00725A3C" w:rsidRPr="001774B5" w:rsidTr="00725A3C">
        <w:trPr>
          <w:trHeight w:val="255"/>
          <w:jc w:val="center"/>
        </w:trPr>
        <w:tc>
          <w:tcPr>
            <w:tcW w:w="12960" w:type="dxa"/>
            <w:gridSpan w:val="10"/>
            <w:tcBorders>
              <w:top w:val="single" w:sz="4" w:space="0" w:color="auto"/>
            </w:tcBorders>
            <w:shd w:val="clear" w:color="auto" w:fill="auto"/>
          </w:tcPr>
          <w:p w:rsidR="00725A3C" w:rsidRPr="001774B5" w:rsidRDefault="00725A3C" w:rsidP="00725A3C">
            <w:pPr>
              <w:jc w:val="right"/>
              <w:rPr>
                <w:sz w:val="20"/>
                <w:szCs w:val="20"/>
              </w:rPr>
            </w:pPr>
            <w:r>
              <w:rPr>
                <w:sz w:val="20"/>
                <w:szCs w:val="20"/>
              </w:rPr>
              <w:t>(cont.)</w:t>
            </w:r>
          </w:p>
        </w:tc>
      </w:tr>
    </w:tbl>
    <w:p w:rsidR="001066D5" w:rsidRDefault="001066D5">
      <w:r>
        <w:br w:type="page"/>
      </w:r>
    </w:p>
    <w:tbl>
      <w:tblPr>
        <w:tblW w:w="12960" w:type="dxa"/>
        <w:jc w:val="center"/>
        <w:tblLayout w:type="fixed"/>
        <w:tblCellMar>
          <w:top w:w="72" w:type="dxa"/>
          <w:left w:w="72" w:type="dxa"/>
          <w:bottom w:w="72" w:type="dxa"/>
          <w:right w:w="72" w:type="dxa"/>
        </w:tblCellMar>
        <w:tblLook w:val="04A0"/>
      </w:tblPr>
      <w:tblGrid>
        <w:gridCol w:w="2335"/>
        <w:gridCol w:w="1259"/>
        <w:gridCol w:w="1139"/>
        <w:gridCol w:w="1302"/>
        <w:gridCol w:w="1345"/>
        <w:gridCol w:w="956"/>
        <w:gridCol w:w="811"/>
        <w:gridCol w:w="1380"/>
        <w:gridCol w:w="1288"/>
        <w:gridCol w:w="1145"/>
      </w:tblGrid>
      <w:tr w:rsidR="00725A3C" w:rsidTr="00725A3C">
        <w:trPr>
          <w:trHeight w:val="255"/>
          <w:jc w:val="center"/>
        </w:trPr>
        <w:tc>
          <w:tcPr>
            <w:tcW w:w="12960" w:type="dxa"/>
            <w:gridSpan w:val="10"/>
            <w:tcBorders>
              <w:bottom w:val="single" w:sz="4" w:space="0" w:color="auto"/>
            </w:tcBorders>
            <w:shd w:val="clear" w:color="auto" w:fill="auto"/>
          </w:tcPr>
          <w:p w:rsidR="00725A3C" w:rsidRDefault="00725A3C" w:rsidP="00595D03">
            <w:pPr>
              <w:keepNext/>
              <w:keepLines/>
              <w:jc w:val="center"/>
              <w:rPr>
                <w:b/>
                <w:color w:val="0F0F0F"/>
              </w:rPr>
            </w:pPr>
            <w:r w:rsidRPr="001774B5">
              <w:rPr>
                <w:b/>
                <w:color w:val="0F0F0F"/>
              </w:rPr>
              <w:lastRenderedPageBreak/>
              <w:t xml:space="preserve">Table </w:t>
            </w:r>
            <w:r w:rsidR="009269F3">
              <w:rPr>
                <w:b/>
                <w:color w:val="0F0F0F"/>
              </w:rPr>
              <w:t>6-5</w:t>
            </w:r>
            <w:r>
              <w:rPr>
                <w:b/>
                <w:color w:val="0F0F0F"/>
              </w:rPr>
              <w:t>:</w:t>
            </w:r>
            <w:r w:rsidRPr="001774B5">
              <w:rPr>
                <w:b/>
                <w:color w:val="0F0F0F"/>
              </w:rPr>
              <w:t xml:space="preserve"> </w:t>
            </w:r>
            <w:r w:rsidRPr="001774B5">
              <w:rPr>
                <w:b/>
                <w:color w:val="0F0F0F"/>
              </w:rPr>
              <w:br/>
              <w:t>Annual Industry Respondent Burden and Cost by Activity</w:t>
            </w:r>
            <w:r>
              <w:rPr>
                <w:b/>
                <w:color w:val="0F0F0F"/>
              </w:rPr>
              <w:t xml:space="preserve"> (cont.)</w:t>
            </w:r>
          </w:p>
          <w:p w:rsidR="00725A3C" w:rsidRDefault="00725A3C" w:rsidP="00725A3C">
            <w:pPr>
              <w:keepNext/>
              <w:keepLines/>
              <w:jc w:val="center"/>
              <w:rPr>
                <w:sz w:val="20"/>
                <w:szCs w:val="20"/>
              </w:rPr>
            </w:pPr>
          </w:p>
        </w:tc>
      </w:tr>
      <w:tr w:rsidR="00725A3C" w:rsidRPr="00764293" w:rsidTr="00C6552A">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725A3C" w:rsidRPr="00764293" w:rsidRDefault="00725A3C" w:rsidP="00725A3C">
            <w:pPr>
              <w:keepNext/>
              <w:keepLines/>
              <w:jc w:val="center"/>
              <w:rPr>
                <w:b/>
                <w:bCs/>
                <w:sz w:val="22"/>
              </w:rPr>
            </w:pPr>
          </w:p>
          <w:p w:rsidR="00725A3C" w:rsidRPr="00764293" w:rsidRDefault="00725A3C" w:rsidP="00725A3C">
            <w:pPr>
              <w:keepNext/>
              <w:keepLines/>
              <w:jc w:val="center"/>
              <w:rPr>
                <w:b/>
                <w:bCs/>
                <w:sz w:val="22"/>
              </w:rPr>
            </w:pPr>
          </w:p>
          <w:p w:rsidR="00725A3C" w:rsidRPr="00764293" w:rsidRDefault="00725A3C" w:rsidP="00725A3C">
            <w:pPr>
              <w:keepNext/>
              <w:keepLines/>
              <w:jc w:val="center"/>
              <w:rPr>
                <w:b/>
                <w:bCs/>
                <w:sz w:val="22"/>
              </w:rPr>
            </w:pPr>
          </w:p>
          <w:p w:rsidR="00725A3C" w:rsidRPr="00764293" w:rsidRDefault="00725A3C" w:rsidP="00725A3C">
            <w:pPr>
              <w:keepNext/>
              <w:keepLines/>
              <w:jc w:val="center"/>
              <w:rPr>
                <w:b/>
                <w:bCs/>
                <w:sz w:val="22"/>
              </w:rPr>
            </w:pPr>
          </w:p>
        </w:tc>
        <w:tc>
          <w:tcPr>
            <w:tcW w:w="1259" w:type="dxa"/>
            <w:tcBorders>
              <w:top w:val="single" w:sz="4" w:space="0" w:color="auto"/>
              <w:left w:val="nil"/>
              <w:bottom w:val="single" w:sz="4" w:space="0" w:color="auto"/>
            </w:tcBorders>
            <w:shd w:val="pct10" w:color="auto" w:fill="auto"/>
            <w:vAlign w:val="bottom"/>
          </w:tcPr>
          <w:p w:rsidR="00725A3C" w:rsidRPr="00764293" w:rsidRDefault="00725A3C" w:rsidP="00725A3C">
            <w:pPr>
              <w:keepNext/>
              <w:keepLines/>
              <w:jc w:val="center"/>
              <w:rPr>
                <w:b/>
                <w:bCs/>
                <w:sz w:val="22"/>
              </w:rPr>
            </w:pPr>
          </w:p>
        </w:tc>
        <w:tc>
          <w:tcPr>
            <w:tcW w:w="1139" w:type="dxa"/>
            <w:tcBorders>
              <w:top w:val="single" w:sz="4" w:space="0" w:color="auto"/>
              <w:bottom w:val="single" w:sz="4" w:space="0" w:color="auto"/>
            </w:tcBorders>
            <w:shd w:val="pct10" w:color="auto" w:fill="auto"/>
            <w:vAlign w:val="bottom"/>
          </w:tcPr>
          <w:p w:rsidR="00725A3C" w:rsidRPr="00764293" w:rsidRDefault="00725A3C" w:rsidP="00725A3C">
            <w:pPr>
              <w:keepNext/>
              <w:keepLines/>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725A3C" w:rsidRPr="00764293" w:rsidRDefault="00725A3C" w:rsidP="00725A3C">
            <w:pPr>
              <w:keepNext/>
              <w:keepLines/>
              <w:jc w:val="center"/>
              <w:rPr>
                <w:b/>
                <w:bCs/>
                <w:sz w:val="22"/>
              </w:rPr>
            </w:pPr>
          </w:p>
        </w:tc>
        <w:tc>
          <w:tcPr>
            <w:tcW w:w="1345" w:type="dxa"/>
            <w:vMerge w:val="restart"/>
            <w:tcBorders>
              <w:top w:val="single" w:sz="4" w:space="0" w:color="auto"/>
              <w:left w:val="nil"/>
              <w:bottom w:val="single" w:sz="4" w:space="0" w:color="auto"/>
              <w:right w:val="single" w:sz="4" w:space="0" w:color="auto"/>
            </w:tcBorders>
            <w:shd w:val="pct10" w:color="auto" w:fill="auto"/>
            <w:vAlign w:val="bottom"/>
          </w:tcPr>
          <w:p w:rsidR="00725A3C" w:rsidRPr="00764293" w:rsidRDefault="00725A3C" w:rsidP="00725A3C">
            <w:pPr>
              <w:keepNext/>
              <w:keepLines/>
              <w:jc w:val="center"/>
              <w:rPr>
                <w:b/>
                <w:bCs/>
                <w:sz w:val="22"/>
              </w:rPr>
            </w:pPr>
            <w:r w:rsidRPr="00764293">
              <w:rPr>
                <w:b/>
                <w:bCs/>
                <w:sz w:val="22"/>
              </w:rPr>
              <w:t>Respondent</w:t>
            </w:r>
          </w:p>
          <w:p w:rsidR="00725A3C" w:rsidRPr="00764293" w:rsidRDefault="00725A3C" w:rsidP="00725A3C">
            <w:pPr>
              <w:keepNext/>
              <w:keepLines/>
              <w:jc w:val="center"/>
              <w:rPr>
                <w:b/>
                <w:bCs/>
                <w:sz w:val="22"/>
              </w:rPr>
            </w:pPr>
            <w:r w:rsidRPr="00764293">
              <w:rPr>
                <w:b/>
                <w:bCs/>
                <w:sz w:val="22"/>
              </w:rPr>
              <w:t>Labor Cost/Year</w:t>
            </w:r>
          </w:p>
          <w:p w:rsidR="00725A3C" w:rsidRPr="00764293" w:rsidRDefault="00725A3C" w:rsidP="00725A3C">
            <w:pPr>
              <w:keepNext/>
              <w:keepLines/>
              <w:jc w:val="center"/>
              <w:rPr>
                <w:b/>
                <w:bCs/>
                <w:sz w:val="22"/>
              </w:rPr>
            </w:pPr>
          </w:p>
        </w:tc>
        <w:tc>
          <w:tcPr>
            <w:tcW w:w="1767" w:type="dxa"/>
            <w:gridSpan w:val="2"/>
            <w:tcBorders>
              <w:top w:val="single" w:sz="4" w:space="0" w:color="auto"/>
              <w:left w:val="nil"/>
              <w:bottom w:val="single" w:sz="4" w:space="0" w:color="auto"/>
              <w:right w:val="single" w:sz="4" w:space="0" w:color="auto"/>
            </w:tcBorders>
            <w:shd w:val="pct10" w:color="auto" w:fill="auto"/>
            <w:vAlign w:val="bottom"/>
          </w:tcPr>
          <w:p w:rsidR="00725A3C" w:rsidRPr="00764293" w:rsidRDefault="00725A3C" w:rsidP="00725A3C">
            <w:pPr>
              <w:keepNext/>
              <w:keepLines/>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725A3C" w:rsidRPr="00764293" w:rsidRDefault="00725A3C" w:rsidP="00725A3C">
            <w:pPr>
              <w:keepNext/>
              <w:keepLines/>
              <w:jc w:val="center"/>
              <w:rPr>
                <w:b/>
                <w:bCs/>
                <w:sz w:val="22"/>
              </w:rPr>
            </w:pPr>
          </w:p>
        </w:tc>
        <w:tc>
          <w:tcPr>
            <w:tcW w:w="1288" w:type="dxa"/>
            <w:tcBorders>
              <w:top w:val="single" w:sz="4" w:space="0" w:color="auto"/>
              <w:bottom w:val="single" w:sz="4" w:space="0" w:color="auto"/>
            </w:tcBorders>
            <w:shd w:val="pct10" w:color="auto" w:fill="auto"/>
            <w:vAlign w:val="bottom"/>
          </w:tcPr>
          <w:p w:rsidR="00725A3C" w:rsidRPr="00764293" w:rsidRDefault="00725A3C" w:rsidP="00725A3C">
            <w:pPr>
              <w:keepNext/>
              <w:keepLines/>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725A3C" w:rsidRPr="00764293" w:rsidRDefault="00725A3C" w:rsidP="00725A3C">
            <w:pPr>
              <w:keepNext/>
              <w:keepLines/>
              <w:jc w:val="center"/>
              <w:rPr>
                <w:b/>
                <w:bCs/>
                <w:sz w:val="22"/>
              </w:rPr>
            </w:pPr>
          </w:p>
        </w:tc>
      </w:tr>
      <w:tr w:rsidR="00076623" w:rsidRPr="00764293" w:rsidTr="00C6552A">
        <w:trPr>
          <w:trHeight w:val="548"/>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076623" w:rsidRPr="00764293" w:rsidRDefault="00076623" w:rsidP="00725A3C">
            <w:pPr>
              <w:keepNext/>
              <w:keepLines/>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Manager $</w:t>
            </w:r>
            <w:r w:rsidR="003C0FF8">
              <w:rPr>
                <w:b/>
                <w:bCs/>
                <w:sz w:val="22"/>
              </w:rPr>
              <w:t>95.10</w:t>
            </w:r>
          </w:p>
          <w:p w:rsidR="00076623" w:rsidRPr="00764293" w:rsidRDefault="00076623" w:rsidP="00A947BD">
            <w:pPr>
              <w:keepNext/>
              <w:keepLines/>
              <w:jc w:val="center"/>
              <w:rPr>
                <w:b/>
                <w:bCs/>
                <w:sz w:val="22"/>
              </w:rPr>
            </w:pPr>
            <w:r w:rsidRPr="00764293">
              <w:rPr>
                <w:b/>
                <w:bCs/>
                <w:sz w:val="22"/>
              </w:rPr>
              <w:t>Per Hour (20</w:t>
            </w:r>
            <w:r>
              <w:rPr>
                <w:b/>
                <w:bCs/>
                <w:sz w:val="22"/>
              </w:rPr>
              <w:t>1</w:t>
            </w:r>
            <w:r w:rsidR="00A947BD">
              <w:rPr>
                <w:b/>
                <w:bCs/>
                <w:sz w:val="22"/>
              </w:rPr>
              <w:t>3</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Technical $</w:t>
            </w:r>
            <w:r w:rsidR="003C0FF8">
              <w:rPr>
                <w:b/>
                <w:bCs/>
                <w:sz w:val="22"/>
              </w:rPr>
              <w:t>67.38</w:t>
            </w:r>
          </w:p>
          <w:p w:rsidR="00076623" w:rsidRPr="00764293" w:rsidRDefault="00076623" w:rsidP="00A947BD">
            <w:pPr>
              <w:keepNext/>
              <w:keepLines/>
              <w:jc w:val="center"/>
              <w:rPr>
                <w:b/>
                <w:bCs/>
                <w:sz w:val="22"/>
              </w:rPr>
            </w:pPr>
            <w:r w:rsidRPr="00764293">
              <w:rPr>
                <w:b/>
                <w:bCs/>
                <w:sz w:val="22"/>
              </w:rPr>
              <w:t>Per Hour (20</w:t>
            </w:r>
            <w:r>
              <w:rPr>
                <w:b/>
                <w:bCs/>
                <w:sz w:val="22"/>
              </w:rPr>
              <w:t>1</w:t>
            </w:r>
            <w:r w:rsidR="00A947BD">
              <w:rPr>
                <w:b/>
                <w:bCs/>
                <w:sz w:val="22"/>
              </w:rPr>
              <w:t>3</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725A3C">
            <w:pPr>
              <w:keepNext/>
              <w:keepLines/>
              <w:jc w:val="center"/>
              <w:rPr>
                <w:b/>
                <w:bCs/>
                <w:sz w:val="22"/>
              </w:rPr>
            </w:pPr>
            <w:r w:rsidRPr="00764293">
              <w:rPr>
                <w:b/>
                <w:bCs/>
                <w:sz w:val="22"/>
              </w:rPr>
              <w:t>Respondent Hours/Year</w:t>
            </w:r>
          </w:p>
          <w:p w:rsidR="00076623" w:rsidRPr="00764293" w:rsidRDefault="00076623" w:rsidP="00725A3C">
            <w:pPr>
              <w:keepNext/>
              <w:keepLines/>
              <w:jc w:val="center"/>
              <w:rPr>
                <w:b/>
                <w:bCs/>
                <w:sz w:val="22"/>
              </w:rPr>
            </w:pPr>
          </w:p>
        </w:tc>
        <w:tc>
          <w:tcPr>
            <w:tcW w:w="1345" w:type="dxa"/>
            <w:vMerge/>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725A3C">
            <w:pPr>
              <w:keepNext/>
              <w:keepLines/>
              <w:jc w:val="center"/>
              <w:rPr>
                <w:b/>
                <w:bCs/>
                <w:sz w:val="22"/>
              </w:rPr>
            </w:pPr>
          </w:p>
        </w:tc>
        <w:tc>
          <w:tcPr>
            <w:tcW w:w="956"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725A3C">
            <w:pPr>
              <w:keepNext/>
              <w:keepLines/>
              <w:jc w:val="center"/>
              <w:rPr>
                <w:b/>
                <w:bCs/>
                <w:sz w:val="22"/>
              </w:rPr>
            </w:pPr>
            <w:r w:rsidRPr="00764293">
              <w:rPr>
                <w:b/>
                <w:bCs/>
                <w:sz w:val="22"/>
              </w:rPr>
              <w:t>Startup Costs</w:t>
            </w:r>
          </w:p>
          <w:p w:rsidR="00076623" w:rsidRPr="00764293" w:rsidRDefault="00076623" w:rsidP="00725A3C">
            <w:pPr>
              <w:keepNext/>
              <w:keepLines/>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725A3C">
            <w:pPr>
              <w:keepNext/>
              <w:keepLines/>
              <w:jc w:val="center"/>
              <w:rPr>
                <w:b/>
                <w:bCs/>
                <w:sz w:val="22"/>
              </w:rPr>
            </w:pPr>
            <w:r w:rsidRPr="00764293">
              <w:rPr>
                <w:b/>
                <w:bCs/>
                <w:sz w:val="22"/>
              </w:rPr>
              <w:t>O&amp;M Cost</w:t>
            </w:r>
          </w:p>
          <w:p w:rsidR="00076623" w:rsidRPr="00764293" w:rsidRDefault="00076623" w:rsidP="00725A3C">
            <w:pPr>
              <w:keepNext/>
              <w:keepLines/>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725A3C">
            <w:pPr>
              <w:keepNext/>
              <w:keepLines/>
              <w:jc w:val="center"/>
              <w:rPr>
                <w:b/>
                <w:bCs/>
                <w:sz w:val="22"/>
              </w:rPr>
            </w:pPr>
            <w:r w:rsidRPr="00764293">
              <w:rPr>
                <w:b/>
                <w:bCs/>
                <w:sz w:val="22"/>
              </w:rPr>
              <w:t>Number of Respondents</w:t>
            </w:r>
          </w:p>
          <w:p w:rsidR="00076623" w:rsidRPr="00764293" w:rsidRDefault="00076623" w:rsidP="00725A3C">
            <w:pPr>
              <w:keepNext/>
              <w:keepLines/>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725A3C">
            <w:pPr>
              <w:keepNext/>
              <w:keepLines/>
              <w:jc w:val="center"/>
              <w:rPr>
                <w:b/>
                <w:bCs/>
                <w:sz w:val="22"/>
              </w:rPr>
            </w:pPr>
            <w:r w:rsidRPr="00764293">
              <w:rPr>
                <w:b/>
                <w:bCs/>
                <w:sz w:val="22"/>
              </w:rPr>
              <w:t>Total Hours/Year</w:t>
            </w:r>
          </w:p>
          <w:p w:rsidR="00076623" w:rsidRPr="00764293" w:rsidRDefault="00076623" w:rsidP="00725A3C">
            <w:pPr>
              <w:keepNext/>
              <w:keepLines/>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725A3C">
            <w:pPr>
              <w:keepNext/>
              <w:keepLines/>
              <w:jc w:val="center"/>
              <w:rPr>
                <w:b/>
                <w:bCs/>
                <w:sz w:val="22"/>
              </w:rPr>
            </w:pPr>
            <w:r w:rsidRPr="00764293">
              <w:rPr>
                <w:b/>
                <w:bCs/>
                <w:sz w:val="22"/>
              </w:rPr>
              <w:t>Total Cost/Year</w:t>
            </w:r>
          </w:p>
          <w:p w:rsidR="00076623" w:rsidRPr="00764293" w:rsidRDefault="00076623" w:rsidP="00725A3C">
            <w:pPr>
              <w:keepNext/>
              <w:keepLines/>
              <w:jc w:val="center"/>
              <w:rPr>
                <w:b/>
                <w:bCs/>
                <w:sz w:val="22"/>
              </w:rPr>
            </w:pPr>
          </w:p>
        </w:tc>
      </w:tr>
      <w:tr w:rsidR="00725A3C" w:rsidRPr="001774B5" w:rsidTr="00725A3C">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725A3C" w:rsidRPr="001774B5" w:rsidRDefault="00725A3C" w:rsidP="00725A3C">
            <w:pPr>
              <w:jc w:val="center"/>
              <w:rPr>
                <w:b/>
                <w:bCs/>
                <w:sz w:val="20"/>
                <w:szCs w:val="20"/>
              </w:rPr>
            </w:pPr>
            <w:r w:rsidRPr="001774B5">
              <w:rPr>
                <w:b/>
                <w:bCs/>
                <w:sz w:val="20"/>
                <w:szCs w:val="20"/>
              </w:rPr>
              <w:t>Certify Monitors</w:t>
            </w:r>
            <w:r>
              <w:rPr>
                <w:b/>
                <w:bCs/>
                <w:sz w:val="20"/>
                <w:szCs w:val="20"/>
              </w:rPr>
              <w:t xml:space="preserve"> (cont.)</w:t>
            </w:r>
          </w:p>
        </w:tc>
      </w:tr>
      <w:tr w:rsidR="00072574" w:rsidRPr="001774B5" w:rsidTr="002050C7">
        <w:trPr>
          <w:trHeight w:val="23"/>
          <w:jc w:val="center"/>
        </w:trPr>
        <w:tc>
          <w:tcPr>
            <w:tcW w:w="12960" w:type="dxa"/>
            <w:gridSpan w:val="10"/>
            <w:tcBorders>
              <w:top w:val="nil"/>
              <w:left w:val="single" w:sz="4" w:space="0" w:color="auto"/>
              <w:bottom w:val="single" w:sz="4" w:space="0" w:color="auto"/>
              <w:right w:val="single" w:sz="4" w:space="0" w:color="auto"/>
            </w:tcBorders>
            <w:shd w:val="clear" w:color="auto" w:fill="auto"/>
            <w:vAlign w:val="center"/>
          </w:tcPr>
          <w:p w:rsidR="00072574" w:rsidRPr="001774B5" w:rsidRDefault="00072574" w:rsidP="00764293">
            <w:pPr>
              <w:rPr>
                <w:sz w:val="20"/>
                <w:szCs w:val="20"/>
              </w:rPr>
            </w:pPr>
            <w:r>
              <w:rPr>
                <w:b/>
                <w:bCs/>
                <w:sz w:val="20"/>
                <w:szCs w:val="20"/>
              </w:rPr>
              <w:t xml:space="preserve">States With No Change in Classification </w:t>
            </w:r>
          </w:p>
        </w:tc>
      </w:tr>
      <w:tr w:rsidR="00612D98" w:rsidRPr="001774B5" w:rsidTr="00C6552A">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 xml:space="preserve">a.  Solid Fuel:  </w:t>
            </w:r>
            <w:r w:rsidR="00FA5FFE">
              <w:rPr>
                <w:sz w:val="20"/>
                <w:szCs w:val="20"/>
              </w:rPr>
              <w:t>SO</w:t>
            </w:r>
            <w:r w:rsidR="00FA5FFE" w:rsidRPr="00A011C4">
              <w:rPr>
                <w:sz w:val="20"/>
                <w:szCs w:val="20"/>
                <w:vertAlign w:val="subscript"/>
              </w:rPr>
              <w:t>2</w:t>
            </w:r>
            <w:r w:rsidR="00FA5FFE">
              <w:rPr>
                <w:sz w:val="20"/>
                <w:szCs w:val="20"/>
              </w:rPr>
              <w:t xml:space="preserve">, </w:t>
            </w:r>
            <w:r w:rsidRPr="001774B5">
              <w:rPr>
                <w:sz w:val="20"/>
                <w:szCs w:val="20"/>
              </w:rPr>
              <w:t>NO</w:t>
            </w:r>
            <w:r w:rsidR="0046535C">
              <w:rPr>
                <w:sz w:val="20"/>
                <w:szCs w:val="20"/>
                <w:vertAlign w:val="subscript"/>
              </w:rPr>
              <w:t>X</w:t>
            </w:r>
            <w:r w:rsidRPr="001774B5">
              <w:rPr>
                <w:sz w:val="20"/>
                <w:szCs w:val="20"/>
              </w:rPr>
              <w:t>, and Flow CEMS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15</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48</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63</w:t>
            </w:r>
          </w:p>
        </w:tc>
        <w:tc>
          <w:tcPr>
            <w:tcW w:w="1345" w:type="dxa"/>
            <w:tcBorders>
              <w:top w:val="nil"/>
              <w:left w:val="nil"/>
              <w:bottom w:val="single" w:sz="4" w:space="0" w:color="auto"/>
              <w:right w:val="single" w:sz="4" w:space="0" w:color="auto"/>
            </w:tcBorders>
            <w:shd w:val="clear" w:color="auto" w:fill="auto"/>
            <w:vAlign w:val="bottom"/>
          </w:tcPr>
          <w:p w:rsidR="00612D98" w:rsidRPr="006B6347" w:rsidRDefault="00612D98" w:rsidP="00616F82">
            <w:pPr>
              <w:jc w:val="right"/>
              <w:rPr>
                <w:rFonts w:eastAsia="Times New Roman"/>
                <w:color w:val="000000"/>
                <w:sz w:val="20"/>
                <w:szCs w:val="20"/>
              </w:rPr>
            </w:pPr>
            <w:r w:rsidRPr="006B6347">
              <w:rPr>
                <w:rFonts w:eastAsia="Times New Roman"/>
                <w:color w:val="000000"/>
                <w:sz w:val="20"/>
                <w:szCs w:val="20"/>
              </w:rPr>
              <w:t>$4,</w:t>
            </w:r>
            <w:r w:rsidR="00616F82">
              <w:rPr>
                <w:rFonts w:eastAsia="Times New Roman"/>
                <w:color w:val="000000"/>
                <w:sz w:val="20"/>
                <w:szCs w:val="20"/>
              </w:rPr>
              <w:t>661</w:t>
            </w:r>
          </w:p>
        </w:tc>
        <w:tc>
          <w:tcPr>
            <w:tcW w:w="956"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 xml:space="preserve">$2,800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6</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378</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$44,</w:t>
            </w:r>
            <w:r w:rsidR="00B94168">
              <w:rPr>
                <w:rFonts w:eastAsia="Times New Roman"/>
                <w:color w:val="000000"/>
                <w:sz w:val="20"/>
                <w:szCs w:val="20"/>
              </w:rPr>
              <w:t>764</w:t>
            </w:r>
          </w:p>
        </w:tc>
      </w:tr>
      <w:tr w:rsidR="00612D98" w:rsidRPr="001774B5" w:rsidTr="00C6552A">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b.  Gas-Oil:  NO</w:t>
            </w:r>
            <w:r w:rsidR="0046535C">
              <w:rPr>
                <w:sz w:val="20"/>
                <w:szCs w:val="20"/>
                <w:vertAlign w:val="subscript"/>
              </w:rPr>
              <w:t>X</w:t>
            </w:r>
            <w:r w:rsidRPr="001774B5">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10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32</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42</w:t>
            </w:r>
          </w:p>
        </w:tc>
        <w:tc>
          <w:tcPr>
            <w:tcW w:w="1345" w:type="dxa"/>
            <w:tcBorders>
              <w:top w:val="nil"/>
              <w:left w:val="nil"/>
              <w:bottom w:val="single" w:sz="4" w:space="0" w:color="auto"/>
              <w:right w:val="single" w:sz="4" w:space="0" w:color="auto"/>
            </w:tcBorders>
            <w:shd w:val="clear" w:color="auto" w:fill="auto"/>
            <w:vAlign w:val="bottom"/>
          </w:tcPr>
          <w:p w:rsidR="00612D98" w:rsidRPr="006B6347" w:rsidRDefault="00612D98" w:rsidP="00616F82">
            <w:pPr>
              <w:jc w:val="right"/>
              <w:rPr>
                <w:rFonts w:eastAsia="Times New Roman"/>
                <w:color w:val="000000"/>
                <w:sz w:val="20"/>
                <w:szCs w:val="20"/>
              </w:rPr>
            </w:pPr>
            <w:r w:rsidRPr="006B6347">
              <w:rPr>
                <w:rFonts w:eastAsia="Times New Roman"/>
                <w:color w:val="000000"/>
                <w:sz w:val="20"/>
                <w:szCs w:val="20"/>
              </w:rPr>
              <w:t>$3,</w:t>
            </w:r>
            <w:r w:rsidR="00616F82">
              <w:rPr>
                <w:rFonts w:eastAsia="Times New Roman"/>
                <w:color w:val="000000"/>
                <w:sz w:val="20"/>
                <w:szCs w:val="20"/>
              </w:rPr>
              <w:t>107</w:t>
            </w:r>
          </w:p>
        </w:tc>
        <w:tc>
          <w:tcPr>
            <w:tcW w:w="956"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$2,800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7</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294</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$4</w:t>
            </w:r>
            <w:r w:rsidR="00B94168">
              <w:rPr>
                <w:rFonts w:eastAsia="Times New Roman"/>
                <w:color w:val="000000"/>
                <w:sz w:val="20"/>
                <w:szCs w:val="20"/>
              </w:rPr>
              <w:t>1,350</w:t>
            </w:r>
          </w:p>
        </w:tc>
      </w:tr>
      <w:tr w:rsidR="00612D98" w:rsidRPr="001774B5" w:rsidTr="00C6552A">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c.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8</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24</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32</w:t>
            </w:r>
          </w:p>
        </w:tc>
        <w:tc>
          <w:tcPr>
            <w:tcW w:w="1345" w:type="dxa"/>
            <w:tcBorders>
              <w:top w:val="nil"/>
              <w:left w:val="nil"/>
              <w:bottom w:val="single" w:sz="4" w:space="0" w:color="auto"/>
              <w:right w:val="single" w:sz="4" w:space="0" w:color="auto"/>
            </w:tcBorders>
            <w:shd w:val="clear" w:color="auto" w:fill="auto"/>
            <w:vAlign w:val="bottom"/>
          </w:tcPr>
          <w:p w:rsidR="00612D98" w:rsidRPr="006B6347" w:rsidRDefault="00612D98" w:rsidP="00616F82">
            <w:pPr>
              <w:jc w:val="right"/>
              <w:rPr>
                <w:rFonts w:eastAsia="Times New Roman"/>
                <w:color w:val="000000"/>
                <w:sz w:val="20"/>
                <w:szCs w:val="20"/>
              </w:rPr>
            </w:pPr>
            <w:r w:rsidRPr="006B6347">
              <w:rPr>
                <w:rFonts w:eastAsia="Times New Roman"/>
                <w:color w:val="000000"/>
                <w:sz w:val="20"/>
                <w:szCs w:val="20"/>
              </w:rPr>
              <w:t>$2,</w:t>
            </w:r>
            <w:r w:rsidR="00616F82" w:rsidRPr="006B6347">
              <w:rPr>
                <w:rFonts w:eastAsia="Times New Roman"/>
                <w:color w:val="000000"/>
                <w:sz w:val="20"/>
                <w:szCs w:val="20"/>
              </w:rPr>
              <w:t>3</w:t>
            </w:r>
            <w:r w:rsidR="00616F82">
              <w:rPr>
                <w:rFonts w:eastAsia="Times New Roman"/>
                <w:color w:val="000000"/>
                <w:sz w:val="20"/>
                <w:szCs w:val="20"/>
              </w:rPr>
              <w:t>78</w:t>
            </w:r>
          </w:p>
        </w:tc>
        <w:tc>
          <w:tcPr>
            <w:tcW w:w="956"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$10,000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50</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1,600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$61</w:t>
            </w:r>
            <w:r w:rsidR="00B94168">
              <w:rPr>
                <w:rFonts w:eastAsia="Times New Roman"/>
                <w:color w:val="000000"/>
                <w:sz w:val="20"/>
                <w:szCs w:val="20"/>
              </w:rPr>
              <w:t>8,896</w:t>
            </w:r>
          </w:p>
        </w:tc>
      </w:tr>
      <w:tr w:rsidR="00072574"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072574" w:rsidRPr="001774B5" w:rsidRDefault="00072574" w:rsidP="00D12499">
            <w:pPr>
              <w:jc w:val="center"/>
              <w:rPr>
                <w:b/>
                <w:bCs/>
                <w:sz w:val="20"/>
                <w:szCs w:val="20"/>
              </w:rPr>
            </w:pPr>
            <w:r w:rsidRPr="001774B5">
              <w:rPr>
                <w:b/>
                <w:bCs/>
                <w:sz w:val="20"/>
                <w:szCs w:val="20"/>
              </w:rPr>
              <w:t>Perform QA Testing and Maintenance</w:t>
            </w:r>
          </w:p>
        </w:tc>
      </w:tr>
      <w:tr w:rsidR="00072574" w:rsidRPr="001774B5" w:rsidTr="002050C7">
        <w:trPr>
          <w:trHeight w:val="80"/>
          <w:jc w:val="center"/>
        </w:trPr>
        <w:tc>
          <w:tcPr>
            <w:tcW w:w="12960" w:type="dxa"/>
            <w:gridSpan w:val="10"/>
            <w:tcBorders>
              <w:top w:val="single" w:sz="4" w:space="0" w:color="auto"/>
              <w:left w:val="single" w:sz="4" w:space="0" w:color="auto"/>
              <w:bottom w:val="single" w:sz="4" w:space="0" w:color="auto"/>
              <w:right w:val="single" w:sz="4" w:space="0" w:color="000000"/>
            </w:tcBorders>
            <w:shd w:val="clear" w:color="auto" w:fill="auto"/>
          </w:tcPr>
          <w:p w:rsidR="00072574" w:rsidRPr="001774B5" w:rsidRDefault="00072574" w:rsidP="00764293">
            <w:pPr>
              <w:rPr>
                <w:b/>
                <w:bCs/>
                <w:sz w:val="20"/>
                <w:szCs w:val="20"/>
              </w:rPr>
            </w:pPr>
            <w:smartTag w:uri="urn:schemas-microsoft-com:office:smarttags" w:element="State">
              <w:r>
                <w:rPr>
                  <w:b/>
                  <w:bCs/>
                  <w:sz w:val="20"/>
                  <w:szCs w:val="20"/>
                </w:rPr>
                <w:t>Kansas</w:t>
              </w:r>
            </w:smartTag>
            <w:r>
              <w:rPr>
                <w:b/>
                <w:bCs/>
                <w:sz w:val="20"/>
                <w:szCs w:val="20"/>
              </w:rPr>
              <w:t xml:space="preserve">, </w:t>
            </w:r>
            <w:smartTag w:uri="urn:schemas-microsoft-com:office:smarttags" w:element="State">
              <w:r>
                <w:rPr>
                  <w:b/>
                  <w:bCs/>
                  <w:sz w:val="20"/>
                  <w:szCs w:val="20"/>
                </w:rPr>
                <w:t>Minnesota</w:t>
              </w:r>
            </w:smartTag>
            <w:r>
              <w:rPr>
                <w:b/>
                <w:bCs/>
                <w:sz w:val="20"/>
                <w:szCs w:val="20"/>
              </w:rPr>
              <w:t xml:space="preserve">, </w:t>
            </w:r>
            <w:smartTag w:uri="urn:schemas-microsoft-com:office:smarttags" w:element="State">
              <w:r>
                <w:rPr>
                  <w:b/>
                  <w:bCs/>
                  <w:sz w:val="20"/>
                  <w:szCs w:val="20"/>
                </w:rPr>
                <w:t>Nebraska</w:t>
              </w:r>
            </w:smartTag>
            <w:r>
              <w:rPr>
                <w:b/>
                <w:bCs/>
                <w:sz w:val="20"/>
                <w:szCs w:val="20"/>
              </w:rPr>
              <w:t xml:space="preserve">, </w:t>
            </w:r>
            <w:smartTag w:uri="urn:schemas-microsoft-com:office:smarttags" w:element="place">
              <w:smartTag w:uri="urn:schemas-microsoft-com:office:smarttags" w:element="State">
                <w:r>
                  <w:rPr>
                    <w:b/>
                    <w:bCs/>
                    <w:sz w:val="20"/>
                    <w:szCs w:val="20"/>
                  </w:rPr>
                  <w:t>Oklahoma</w:t>
                </w:r>
              </w:smartTag>
            </w:smartTag>
            <w:r w:rsidRPr="001774B5">
              <w:rPr>
                <w:b/>
                <w:bCs/>
                <w:sz w:val="20"/>
                <w:szCs w:val="20"/>
              </w:rPr>
              <w:t xml:space="preserve"> </w:t>
            </w:r>
            <w:r>
              <w:rPr>
                <w:b/>
                <w:bCs/>
                <w:sz w:val="20"/>
                <w:szCs w:val="20"/>
              </w:rPr>
              <w:t>(Previously Not Affected)</w:t>
            </w:r>
          </w:p>
        </w:tc>
      </w:tr>
      <w:tr w:rsidR="00612D98" w:rsidRPr="001774B5" w:rsidTr="00C6552A">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a.  Solid Fuel:  SO</w:t>
            </w:r>
            <w:r w:rsidRPr="001774B5">
              <w:rPr>
                <w:sz w:val="20"/>
                <w:szCs w:val="20"/>
                <w:vertAlign w:val="subscript"/>
              </w:rPr>
              <w:t>2</w:t>
            </w:r>
            <w:r w:rsidRPr="001774B5">
              <w:rPr>
                <w:sz w:val="20"/>
                <w:szCs w:val="20"/>
              </w:rPr>
              <w:t>, NO</w:t>
            </w:r>
            <w:r w:rsidR="0046535C">
              <w:rPr>
                <w:sz w:val="20"/>
                <w:szCs w:val="20"/>
                <w:vertAlign w:val="subscript"/>
              </w:rPr>
              <w:t>X</w:t>
            </w:r>
            <w:r w:rsidRPr="001774B5">
              <w:rPr>
                <w:sz w:val="20"/>
                <w:szCs w:val="20"/>
              </w:rPr>
              <w:t>, and Flow CEMS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50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600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650</w:t>
            </w:r>
          </w:p>
        </w:tc>
        <w:tc>
          <w:tcPr>
            <w:tcW w:w="1345" w:type="dxa"/>
            <w:tcBorders>
              <w:top w:val="nil"/>
              <w:left w:val="nil"/>
              <w:bottom w:val="single" w:sz="4" w:space="0" w:color="auto"/>
              <w:right w:val="single" w:sz="4" w:space="0" w:color="auto"/>
            </w:tcBorders>
            <w:shd w:val="clear" w:color="auto" w:fill="auto"/>
            <w:vAlign w:val="bottom"/>
          </w:tcPr>
          <w:p w:rsidR="00612D98" w:rsidRPr="006B6347" w:rsidRDefault="00612D98" w:rsidP="00616F82">
            <w:pPr>
              <w:jc w:val="right"/>
              <w:rPr>
                <w:rFonts w:eastAsia="Times New Roman"/>
                <w:color w:val="000000"/>
                <w:sz w:val="20"/>
                <w:szCs w:val="20"/>
              </w:rPr>
            </w:pPr>
            <w:r w:rsidRPr="006B6347">
              <w:rPr>
                <w:rFonts w:eastAsia="Times New Roman"/>
                <w:color w:val="000000"/>
                <w:sz w:val="20"/>
                <w:szCs w:val="20"/>
              </w:rPr>
              <w:t>$4</w:t>
            </w:r>
            <w:r w:rsidR="00616F82">
              <w:rPr>
                <w:rFonts w:eastAsia="Times New Roman"/>
                <w:color w:val="000000"/>
                <w:sz w:val="20"/>
                <w:szCs w:val="20"/>
              </w:rPr>
              <w:t>5,183</w:t>
            </w:r>
          </w:p>
        </w:tc>
        <w:tc>
          <w:tcPr>
            <w:tcW w:w="956"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 xml:space="preserve">$31,949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7</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4,550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$53</w:t>
            </w:r>
            <w:r w:rsidR="00B94168">
              <w:rPr>
                <w:rFonts w:eastAsia="Times New Roman"/>
                <w:color w:val="000000"/>
                <w:sz w:val="20"/>
                <w:szCs w:val="20"/>
              </w:rPr>
              <w:t>9,924</w:t>
            </w:r>
          </w:p>
        </w:tc>
      </w:tr>
      <w:tr w:rsidR="00612D98" w:rsidRPr="001774B5" w:rsidTr="00C6552A">
        <w:trPr>
          <w:trHeight w:val="225"/>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b.  Gas-Oil:  NO</w:t>
            </w:r>
            <w:r w:rsidR="005130E6">
              <w:rPr>
                <w:sz w:val="20"/>
                <w:szCs w:val="20"/>
                <w:vertAlign w:val="subscript"/>
              </w:rPr>
              <w:t>X</w:t>
            </w:r>
            <w:r w:rsidRPr="001774B5">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375</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395</w:t>
            </w:r>
          </w:p>
        </w:tc>
        <w:tc>
          <w:tcPr>
            <w:tcW w:w="13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$2</w:t>
            </w:r>
            <w:r w:rsidR="00B94168">
              <w:rPr>
                <w:rFonts w:eastAsia="Times New Roman"/>
                <w:color w:val="000000"/>
                <w:sz w:val="20"/>
                <w:szCs w:val="20"/>
              </w:rPr>
              <w:t>7,170</w:t>
            </w:r>
          </w:p>
        </w:tc>
        <w:tc>
          <w:tcPr>
            <w:tcW w:w="956"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$17,818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17</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6,715</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$7</w:t>
            </w:r>
            <w:r w:rsidR="00B94168">
              <w:rPr>
                <w:rFonts w:eastAsia="Times New Roman"/>
                <w:color w:val="000000"/>
                <w:sz w:val="20"/>
                <w:szCs w:val="20"/>
              </w:rPr>
              <w:t>64,788</w:t>
            </w:r>
          </w:p>
        </w:tc>
      </w:tr>
      <w:tr w:rsidR="00612D98" w:rsidRPr="001774B5" w:rsidTr="00C6552A">
        <w:trPr>
          <w:trHeight w:val="486"/>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c.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5</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35</w:t>
            </w:r>
          </w:p>
        </w:tc>
        <w:tc>
          <w:tcPr>
            <w:tcW w:w="13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$2,</w:t>
            </w:r>
            <w:r w:rsidR="00B94168" w:rsidRPr="006B6347">
              <w:rPr>
                <w:rFonts w:eastAsia="Times New Roman"/>
                <w:color w:val="000000"/>
                <w:sz w:val="20"/>
                <w:szCs w:val="20"/>
              </w:rPr>
              <w:t>4</w:t>
            </w:r>
            <w:r w:rsidR="00B94168">
              <w:rPr>
                <w:rFonts w:eastAsia="Times New Roman"/>
                <w:color w:val="000000"/>
                <w:sz w:val="20"/>
                <w:szCs w:val="20"/>
              </w:rPr>
              <w:t>97</w:t>
            </w:r>
          </w:p>
        </w:tc>
        <w:tc>
          <w:tcPr>
            <w:tcW w:w="956"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$1,843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29</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1,015</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$12</w:t>
            </w:r>
            <w:r w:rsidR="00B94168">
              <w:rPr>
                <w:rFonts w:eastAsia="Times New Roman"/>
                <w:color w:val="000000"/>
                <w:sz w:val="20"/>
                <w:szCs w:val="20"/>
              </w:rPr>
              <w:t>5,857</w:t>
            </w:r>
          </w:p>
        </w:tc>
      </w:tr>
      <w:tr w:rsidR="00CC4439" w:rsidRPr="001774B5" w:rsidTr="002050C7">
        <w:trPr>
          <w:trHeight w:val="255"/>
          <w:jc w:val="center"/>
        </w:trPr>
        <w:tc>
          <w:tcPr>
            <w:tcW w:w="12960" w:type="dxa"/>
            <w:gridSpan w:val="10"/>
            <w:tcBorders>
              <w:top w:val="single" w:sz="4" w:space="0" w:color="auto"/>
            </w:tcBorders>
            <w:shd w:val="clear" w:color="auto" w:fill="auto"/>
          </w:tcPr>
          <w:p w:rsidR="00CC4439" w:rsidRPr="001774B5" w:rsidRDefault="00CC4439" w:rsidP="00391881">
            <w:pPr>
              <w:jc w:val="right"/>
              <w:rPr>
                <w:sz w:val="20"/>
                <w:szCs w:val="20"/>
              </w:rPr>
            </w:pPr>
            <w:r>
              <w:rPr>
                <w:sz w:val="20"/>
                <w:szCs w:val="20"/>
              </w:rPr>
              <w:t>(cont.)</w:t>
            </w:r>
          </w:p>
        </w:tc>
      </w:tr>
      <w:tr w:rsidR="00CC4439" w:rsidTr="002050C7">
        <w:trPr>
          <w:trHeight w:val="255"/>
          <w:jc w:val="center"/>
        </w:trPr>
        <w:tc>
          <w:tcPr>
            <w:tcW w:w="12960" w:type="dxa"/>
            <w:gridSpan w:val="10"/>
            <w:tcBorders>
              <w:bottom w:val="single" w:sz="4" w:space="0" w:color="auto"/>
            </w:tcBorders>
            <w:shd w:val="clear" w:color="auto" w:fill="auto"/>
          </w:tcPr>
          <w:p w:rsidR="00CC4439" w:rsidRDefault="00CC4439" w:rsidP="00391881">
            <w:pPr>
              <w:keepNext/>
              <w:keepLines/>
              <w:jc w:val="center"/>
              <w:rPr>
                <w:b/>
                <w:color w:val="0F0F0F"/>
              </w:rPr>
            </w:pPr>
            <w:r w:rsidRPr="001774B5">
              <w:rPr>
                <w:b/>
                <w:color w:val="0F0F0F"/>
              </w:rPr>
              <w:lastRenderedPageBreak/>
              <w:t xml:space="preserve">Table </w:t>
            </w:r>
            <w:r w:rsidR="009269F3">
              <w:rPr>
                <w:b/>
                <w:color w:val="0F0F0F"/>
              </w:rPr>
              <w:t>6-5</w:t>
            </w:r>
            <w:r>
              <w:rPr>
                <w:b/>
                <w:color w:val="0F0F0F"/>
              </w:rPr>
              <w:t>:</w:t>
            </w:r>
            <w:r w:rsidRPr="001774B5">
              <w:rPr>
                <w:b/>
                <w:color w:val="0F0F0F"/>
              </w:rPr>
              <w:t xml:space="preserve"> </w:t>
            </w:r>
            <w:r w:rsidRPr="001774B5">
              <w:rPr>
                <w:b/>
                <w:color w:val="0F0F0F"/>
              </w:rPr>
              <w:br/>
              <w:t>Annual Industry Respondent Burden and Cost by Activity</w:t>
            </w:r>
            <w:r>
              <w:rPr>
                <w:b/>
                <w:color w:val="0F0F0F"/>
              </w:rPr>
              <w:t xml:space="preserve"> (cont.)</w:t>
            </w:r>
          </w:p>
          <w:p w:rsidR="00CC4439" w:rsidRDefault="00CC4439" w:rsidP="00391881">
            <w:pPr>
              <w:keepNext/>
              <w:keepLines/>
              <w:jc w:val="center"/>
              <w:rPr>
                <w:sz w:val="20"/>
                <w:szCs w:val="20"/>
              </w:rPr>
            </w:pPr>
          </w:p>
        </w:tc>
      </w:tr>
      <w:tr w:rsidR="00CC4439" w:rsidRPr="00764293" w:rsidTr="004D01ED">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tc>
        <w:tc>
          <w:tcPr>
            <w:tcW w:w="1259" w:type="dxa"/>
            <w:tcBorders>
              <w:top w:val="single" w:sz="4" w:space="0" w:color="auto"/>
              <w:left w:val="nil"/>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139" w:type="dxa"/>
            <w:tcBorders>
              <w:top w:val="single" w:sz="4" w:space="0" w:color="auto"/>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345" w:type="dxa"/>
            <w:vMerge w:val="restart"/>
            <w:tcBorders>
              <w:top w:val="single" w:sz="4" w:space="0" w:color="auto"/>
              <w:left w:val="nil"/>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r w:rsidRPr="00764293">
              <w:rPr>
                <w:b/>
                <w:bCs/>
                <w:sz w:val="22"/>
              </w:rPr>
              <w:t>Respondent</w:t>
            </w:r>
          </w:p>
          <w:p w:rsidR="00CC4439" w:rsidRPr="00764293" w:rsidRDefault="00CC4439" w:rsidP="00391881">
            <w:pPr>
              <w:keepNext/>
              <w:keepLines/>
              <w:jc w:val="center"/>
              <w:rPr>
                <w:b/>
                <w:bCs/>
                <w:sz w:val="22"/>
              </w:rPr>
            </w:pPr>
            <w:r w:rsidRPr="00764293">
              <w:rPr>
                <w:b/>
                <w:bCs/>
                <w:sz w:val="22"/>
              </w:rPr>
              <w:t>Labor Cost/Year</w:t>
            </w:r>
          </w:p>
          <w:p w:rsidR="00CC4439" w:rsidRPr="00764293" w:rsidRDefault="00CC4439" w:rsidP="00391881">
            <w:pPr>
              <w:keepNext/>
              <w:keepLines/>
              <w:jc w:val="center"/>
              <w:rPr>
                <w:b/>
                <w:bCs/>
                <w:sz w:val="22"/>
              </w:rPr>
            </w:pPr>
          </w:p>
        </w:tc>
        <w:tc>
          <w:tcPr>
            <w:tcW w:w="1767" w:type="dxa"/>
            <w:gridSpan w:val="2"/>
            <w:tcBorders>
              <w:top w:val="single" w:sz="4" w:space="0" w:color="auto"/>
              <w:left w:val="nil"/>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288" w:type="dxa"/>
            <w:tcBorders>
              <w:top w:val="single" w:sz="4" w:space="0" w:color="auto"/>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tc>
      </w:tr>
      <w:tr w:rsidR="00076623" w:rsidRPr="00764293" w:rsidTr="004D01ED">
        <w:trPr>
          <w:trHeight w:val="548"/>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Manager $</w:t>
            </w:r>
            <w:r w:rsidR="003C0FF8">
              <w:rPr>
                <w:b/>
                <w:bCs/>
                <w:sz w:val="22"/>
              </w:rPr>
              <w:t>95.10</w:t>
            </w:r>
          </w:p>
          <w:p w:rsidR="00076623" w:rsidRPr="00764293" w:rsidRDefault="00076623" w:rsidP="00A947BD">
            <w:pPr>
              <w:keepNext/>
              <w:keepLines/>
              <w:jc w:val="center"/>
              <w:rPr>
                <w:b/>
                <w:bCs/>
                <w:sz w:val="22"/>
              </w:rPr>
            </w:pPr>
            <w:r w:rsidRPr="00764293">
              <w:rPr>
                <w:b/>
                <w:bCs/>
                <w:sz w:val="22"/>
              </w:rPr>
              <w:t>Per Hour (20</w:t>
            </w:r>
            <w:r>
              <w:rPr>
                <w:b/>
                <w:bCs/>
                <w:sz w:val="22"/>
              </w:rPr>
              <w:t>1</w:t>
            </w:r>
            <w:r w:rsidR="00A947BD">
              <w:rPr>
                <w:b/>
                <w:bCs/>
                <w:sz w:val="22"/>
              </w:rPr>
              <w:t>3</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Technical $</w:t>
            </w:r>
            <w:r w:rsidR="003C0FF8">
              <w:rPr>
                <w:b/>
                <w:bCs/>
                <w:sz w:val="22"/>
              </w:rPr>
              <w:t>67.38</w:t>
            </w:r>
          </w:p>
          <w:p w:rsidR="00076623" w:rsidRPr="00764293" w:rsidRDefault="00076623" w:rsidP="00A947BD">
            <w:pPr>
              <w:keepNext/>
              <w:keepLines/>
              <w:jc w:val="center"/>
              <w:rPr>
                <w:b/>
                <w:bCs/>
                <w:sz w:val="22"/>
              </w:rPr>
            </w:pPr>
            <w:r w:rsidRPr="00764293">
              <w:rPr>
                <w:b/>
                <w:bCs/>
                <w:sz w:val="22"/>
              </w:rPr>
              <w:t>Per Hour (20</w:t>
            </w:r>
            <w:r>
              <w:rPr>
                <w:b/>
                <w:bCs/>
                <w:sz w:val="22"/>
              </w:rPr>
              <w:t>1</w:t>
            </w:r>
            <w:r w:rsidR="00A947BD">
              <w:rPr>
                <w:b/>
                <w:bCs/>
                <w:sz w:val="22"/>
              </w:rPr>
              <w:t>3</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Respondent Hours/Year</w:t>
            </w:r>
          </w:p>
          <w:p w:rsidR="00076623" w:rsidRPr="00764293" w:rsidRDefault="00076623" w:rsidP="00391881">
            <w:pPr>
              <w:keepNext/>
              <w:keepLines/>
              <w:jc w:val="center"/>
              <w:rPr>
                <w:b/>
                <w:bCs/>
                <w:sz w:val="22"/>
              </w:rPr>
            </w:pPr>
          </w:p>
        </w:tc>
        <w:tc>
          <w:tcPr>
            <w:tcW w:w="1345" w:type="dxa"/>
            <w:vMerge/>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p>
        </w:tc>
        <w:tc>
          <w:tcPr>
            <w:tcW w:w="956"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Startup Costs</w:t>
            </w:r>
          </w:p>
          <w:p w:rsidR="00076623" w:rsidRPr="00764293" w:rsidRDefault="00076623" w:rsidP="00391881">
            <w:pPr>
              <w:keepNext/>
              <w:keepLines/>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O&amp;M Cost</w:t>
            </w:r>
          </w:p>
          <w:p w:rsidR="00076623" w:rsidRPr="00764293" w:rsidRDefault="00076623" w:rsidP="00391881">
            <w:pPr>
              <w:keepNext/>
              <w:keepLines/>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Number of Respondents</w:t>
            </w:r>
          </w:p>
          <w:p w:rsidR="00076623" w:rsidRPr="00764293" w:rsidRDefault="00076623" w:rsidP="00391881">
            <w:pPr>
              <w:keepNext/>
              <w:keepLines/>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Total Hours/Year</w:t>
            </w:r>
          </w:p>
          <w:p w:rsidR="00076623" w:rsidRPr="00764293" w:rsidRDefault="00076623" w:rsidP="00391881">
            <w:pPr>
              <w:keepNext/>
              <w:keepLines/>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Total Cost/Year</w:t>
            </w:r>
          </w:p>
          <w:p w:rsidR="00076623" w:rsidRPr="00764293" w:rsidRDefault="00076623" w:rsidP="00391881">
            <w:pPr>
              <w:keepNext/>
              <w:keepLines/>
              <w:jc w:val="center"/>
              <w:rPr>
                <w:b/>
                <w:bCs/>
                <w:sz w:val="22"/>
              </w:rPr>
            </w:pPr>
          </w:p>
        </w:tc>
      </w:tr>
      <w:tr w:rsidR="00072574"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072574" w:rsidRPr="001774B5" w:rsidRDefault="00072574" w:rsidP="00D12499">
            <w:pPr>
              <w:jc w:val="center"/>
              <w:rPr>
                <w:b/>
                <w:bCs/>
                <w:sz w:val="20"/>
                <w:szCs w:val="20"/>
              </w:rPr>
            </w:pPr>
            <w:r w:rsidRPr="001774B5">
              <w:rPr>
                <w:b/>
                <w:bCs/>
                <w:sz w:val="20"/>
                <w:szCs w:val="20"/>
              </w:rPr>
              <w:t>Perform QA Testing and Maintenance</w:t>
            </w:r>
            <w:r w:rsidR="00CC4439">
              <w:rPr>
                <w:b/>
                <w:bCs/>
                <w:sz w:val="20"/>
                <w:szCs w:val="20"/>
              </w:rPr>
              <w:t xml:space="preserve"> (cont.)</w:t>
            </w:r>
          </w:p>
        </w:tc>
      </w:tr>
      <w:tr w:rsidR="00072574" w:rsidRPr="001774B5" w:rsidTr="002050C7">
        <w:trPr>
          <w:trHeight w:val="90"/>
          <w:jc w:val="center"/>
        </w:trPr>
        <w:tc>
          <w:tcPr>
            <w:tcW w:w="12960" w:type="dxa"/>
            <w:gridSpan w:val="10"/>
            <w:tcBorders>
              <w:top w:val="nil"/>
              <w:left w:val="single" w:sz="4" w:space="0" w:color="auto"/>
              <w:bottom w:val="single" w:sz="4" w:space="0" w:color="auto"/>
              <w:right w:val="single" w:sz="4" w:space="0" w:color="auto"/>
            </w:tcBorders>
            <w:shd w:val="clear" w:color="auto" w:fill="auto"/>
            <w:vAlign w:val="center"/>
          </w:tcPr>
          <w:p w:rsidR="00072574" w:rsidRPr="001774B5" w:rsidRDefault="00072574" w:rsidP="000D4CB1">
            <w:pPr>
              <w:rPr>
                <w:sz w:val="20"/>
                <w:szCs w:val="20"/>
              </w:rPr>
            </w:pPr>
            <w:r>
              <w:rPr>
                <w:b/>
                <w:bCs/>
                <w:sz w:val="20"/>
                <w:szCs w:val="20"/>
              </w:rPr>
              <w:t>Georgia</w:t>
            </w:r>
            <w:r w:rsidR="000D4CB1">
              <w:rPr>
                <w:b/>
                <w:bCs/>
                <w:sz w:val="20"/>
                <w:szCs w:val="20"/>
              </w:rPr>
              <w:t xml:space="preserve"> and Texas</w:t>
            </w:r>
            <w:r w:rsidR="00A31FAD">
              <w:rPr>
                <w:b/>
                <w:bCs/>
                <w:sz w:val="20"/>
                <w:szCs w:val="20"/>
              </w:rPr>
              <w:t xml:space="preserve"> (Ozone </w:t>
            </w:r>
            <w:r w:rsidR="008956C2">
              <w:rPr>
                <w:b/>
                <w:bCs/>
                <w:sz w:val="20"/>
                <w:szCs w:val="20"/>
              </w:rPr>
              <w:t xml:space="preserve">Season </w:t>
            </w:r>
            <w:r w:rsidR="00A31FAD">
              <w:rPr>
                <w:b/>
                <w:bCs/>
                <w:sz w:val="20"/>
                <w:szCs w:val="20"/>
              </w:rPr>
              <w:t>Status Changes, Annual Status R</w:t>
            </w:r>
            <w:r>
              <w:rPr>
                <w:b/>
                <w:bCs/>
                <w:sz w:val="20"/>
                <w:szCs w:val="20"/>
              </w:rPr>
              <w:t>emains)</w:t>
            </w:r>
          </w:p>
        </w:tc>
      </w:tr>
      <w:tr w:rsidR="00612D98" w:rsidRPr="001774B5" w:rsidTr="004D01ED">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 xml:space="preserve">a.  Solid Fuel:  </w:t>
            </w:r>
            <w:r w:rsidR="00FA5FFE">
              <w:rPr>
                <w:sz w:val="20"/>
                <w:szCs w:val="20"/>
              </w:rPr>
              <w:t>SO</w:t>
            </w:r>
            <w:r w:rsidR="00FA5FFE" w:rsidRPr="00A011C4">
              <w:rPr>
                <w:sz w:val="20"/>
                <w:szCs w:val="20"/>
                <w:vertAlign w:val="subscript"/>
              </w:rPr>
              <w:t>2</w:t>
            </w:r>
            <w:r w:rsidR="00FA5FFE">
              <w:rPr>
                <w:sz w:val="20"/>
                <w:szCs w:val="20"/>
              </w:rPr>
              <w:t xml:space="preserve">, </w:t>
            </w:r>
            <w:r w:rsidRPr="001774B5">
              <w:rPr>
                <w:sz w:val="20"/>
                <w:szCs w:val="20"/>
              </w:rPr>
              <w:t>NO</w:t>
            </w:r>
            <w:r w:rsidR="005130E6">
              <w:rPr>
                <w:sz w:val="20"/>
                <w:szCs w:val="20"/>
                <w:vertAlign w:val="subscript"/>
              </w:rPr>
              <w:t>X</w:t>
            </w:r>
            <w:r w:rsidRPr="001774B5">
              <w:rPr>
                <w:sz w:val="20"/>
                <w:szCs w:val="20"/>
              </w:rPr>
              <w:t>, and Flow CEMS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400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440</w:t>
            </w:r>
          </w:p>
        </w:tc>
        <w:tc>
          <w:tcPr>
            <w:tcW w:w="13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w:t>
            </w:r>
            <w:r w:rsidR="00B94168">
              <w:rPr>
                <w:rFonts w:eastAsia="Times New Roman"/>
                <w:color w:val="000000"/>
                <w:sz w:val="20"/>
                <w:szCs w:val="20"/>
              </w:rPr>
              <w:t>30,756</w:t>
            </w:r>
          </w:p>
        </w:tc>
        <w:tc>
          <w:tcPr>
            <w:tcW w:w="956"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$31,949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keepNext/>
              <w:keepLines/>
              <w:jc w:val="right"/>
              <w:rPr>
                <w:rFonts w:eastAsia="Times New Roman"/>
                <w:color w:val="000000"/>
                <w:sz w:val="20"/>
                <w:szCs w:val="20"/>
              </w:rPr>
            </w:pPr>
            <w:r w:rsidRPr="006B6347">
              <w:rPr>
                <w:rFonts w:eastAsia="Times New Roman"/>
                <w:color w:val="000000"/>
                <w:sz w:val="20"/>
                <w:szCs w:val="20"/>
              </w:rPr>
              <w:t>1</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440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$6</w:t>
            </w:r>
            <w:r w:rsidR="00B94168">
              <w:rPr>
                <w:rFonts w:eastAsia="Times New Roman"/>
                <w:color w:val="000000"/>
                <w:sz w:val="20"/>
                <w:szCs w:val="20"/>
              </w:rPr>
              <w:t>2,705</w:t>
            </w:r>
          </w:p>
        </w:tc>
      </w:tr>
      <w:tr w:rsidR="00612D98" w:rsidRPr="001774B5" w:rsidTr="004D01ED">
        <w:trPr>
          <w:trHeight w:val="198"/>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b.  Gas-Oil:  NO</w:t>
            </w:r>
            <w:r w:rsidR="005130E6">
              <w:rPr>
                <w:sz w:val="20"/>
                <w:szCs w:val="20"/>
                <w:vertAlign w:val="subscript"/>
              </w:rPr>
              <w:t>X</w:t>
            </w:r>
            <w:r w:rsidRPr="001774B5">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375</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395</w:t>
            </w:r>
          </w:p>
        </w:tc>
        <w:tc>
          <w:tcPr>
            <w:tcW w:w="13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w:t>
            </w:r>
            <w:r w:rsidR="00B94168">
              <w:rPr>
                <w:rFonts w:eastAsia="Times New Roman"/>
                <w:color w:val="000000"/>
                <w:sz w:val="20"/>
                <w:szCs w:val="20"/>
              </w:rPr>
              <w:t>27,170</w:t>
            </w:r>
          </w:p>
        </w:tc>
        <w:tc>
          <w:tcPr>
            <w:tcW w:w="956"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$17,818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38</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15,010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$1,</w:t>
            </w:r>
            <w:r w:rsidR="00B94168">
              <w:rPr>
                <w:rFonts w:eastAsia="Times New Roman"/>
                <w:color w:val="000000"/>
                <w:sz w:val="20"/>
                <w:szCs w:val="20"/>
              </w:rPr>
              <w:t>709,525</w:t>
            </w:r>
          </w:p>
        </w:tc>
      </w:tr>
      <w:tr w:rsidR="00612D98" w:rsidRPr="001774B5" w:rsidTr="004D01ED">
        <w:trPr>
          <w:trHeight w:val="63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c.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5</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35</w:t>
            </w:r>
          </w:p>
        </w:tc>
        <w:tc>
          <w:tcPr>
            <w:tcW w:w="13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$2,</w:t>
            </w:r>
            <w:r w:rsidR="00B94168" w:rsidRPr="006B6347">
              <w:rPr>
                <w:rFonts w:eastAsia="Times New Roman"/>
                <w:color w:val="000000"/>
                <w:sz w:val="20"/>
                <w:szCs w:val="20"/>
              </w:rPr>
              <w:t>4</w:t>
            </w:r>
            <w:r w:rsidR="00B94168">
              <w:rPr>
                <w:rFonts w:eastAsia="Times New Roman"/>
                <w:color w:val="000000"/>
                <w:sz w:val="20"/>
                <w:szCs w:val="20"/>
              </w:rPr>
              <w:t>97</w:t>
            </w:r>
          </w:p>
        </w:tc>
        <w:tc>
          <w:tcPr>
            <w:tcW w:w="956"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$1,843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39</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1,365</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$16</w:t>
            </w:r>
            <w:r w:rsidR="00B94168">
              <w:rPr>
                <w:rFonts w:eastAsia="Times New Roman"/>
                <w:color w:val="000000"/>
                <w:sz w:val="20"/>
                <w:szCs w:val="20"/>
              </w:rPr>
              <w:t>9,256</w:t>
            </w:r>
          </w:p>
        </w:tc>
      </w:tr>
      <w:tr w:rsidR="00072574" w:rsidRPr="001774B5" w:rsidTr="002050C7">
        <w:trPr>
          <w:trHeight w:val="23"/>
          <w:jc w:val="center"/>
        </w:trPr>
        <w:tc>
          <w:tcPr>
            <w:tcW w:w="12960" w:type="dxa"/>
            <w:gridSpan w:val="10"/>
            <w:tcBorders>
              <w:top w:val="nil"/>
              <w:left w:val="single" w:sz="4" w:space="0" w:color="auto"/>
              <w:bottom w:val="single" w:sz="4" w:space="0" w:color="auto"/>
              <w:right w:val="single" w:sz="4" w:space="0" w:color="auto"/>
            </w:tcBorders>
            <w:shd w:val="clear" w:color="auto" w:fill="auto"/>
            <w:vAlign w:val="center"/>
          </w:tcPr>
          <w:p w:rsidR="00072574" w:rsidRPr="001774B5" w:rsidRDefault="00072574" w:rsidP="000D4CB1">
            <w:pPr>
              <w:rPr>
                <w:sz w:val="20"/>
                <w:szCs w:val="20"/>
              </w:rPr>
            </w:pPr>
            <w:r>
              <w:rPr>
                <w:b/>
                <w:bCs/>
                <w:sz w:val="20"/>
                <w:szCs w:val="20"/>
              </w:rPr>
              <w:t>Mi</w:t>
            </w:r>
            <w:r w:rsidR="00A31FAD">
              <w:rPr>
                <w:b/>
                <w:bCs/>
                <w:sz w:val="20"/>
                <w:szCs w:val="20"/>
              </w:rPr>
              <w:t>ssissippi</w:t>
            </w:r>
            <w:r w:rsidR="008956C2">
              <w:rPr>
                <w:b/>
                <w:bCs/>
                <w:sz w:val="20"/>
                <w:szCs w:val="20"/>
              </w:rPr>
              <w:t>,</w:t>
            </w:r>
            <w:r w:rsidR="00A31FAD">
              <w:rPr>
                <w:b/>
                <w:bCs/>
                <w:sz w:val="20"/>
                <w:szCs w:val="20"/>
              </w:rPr>
              <w:t xml:space="preserve"> </w:t>
            </w:r>
            <w:r w:rsidR="000D4CB1">
              <w:rPr>
                <w:b/>
                <w:bCs/>
                <w:sz w:val="20"/>
                <w:szCs w:val="20"/>
              </w:rPr>
              <w:t xml:space="preserve">Florida  and Louisiana </w:t>
            </w:r>
            <w:r w:rsidR="00A31FAD">
              <w:rPr>
                <w:b/>
                <w:bCs/>
                <w:sz w:val="20"/>
                <w:szCs w:val="20"/>
              </w:rPr>
              <w:t>(Now Ozone Season O</w:t>
            </w:r>
            <w:r>
              <w:rPr>
                <w:b/>
                <w:bCs/>
                <w:sz w:val="20"/>
                <w:szCs w:val="20"/>
              </w:rPr>
              <w:t>nly)</w:t>
            </w:r>
          </w:p>
        </w:tc>
      </w:tr>
      <w:tr w:rsidR="00612D98" w:rsidRPr="001774B5" w:rsidTr="004D01ED">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C531BF">
            <w:pPr>
              <w:ind w:left="245" w:hanging="245"/>
              <w:rPr>
                <w:sz w:val="20"/>
                <w:szCs w:val="20"/>
              </w:rPr>
            </w:pPr>
            <w:r w:rsidRPr="00ED7FD5">
              <w:rPr>
                <w:sz w:val="20"/>
                <w:szCs w:val="20"/>
              </w:rPr>
              <w:t>a.  Solid Fuel:  NO</w:t>
            </w:r>
            <w:r w:rsidR="005130E6" w:rsidRPr="000714D7">
              <w:rPr>
                <w:sz w:val="20"/>
                <w:szCs w:val="20"/>
                <w:vertAlign w:val="subscript"/>
              </w:rPr>
              <w:t>X</w:t>
            </w:r>
            <w:r w:rsidRPr="00ED7FD5">
              <w:rPr>
                <w:sz w:val="20"/>
                <w:szCs w:val="20"/>
              </w:rPr>
              <w:t xml:space="preserve"> and Flow CEMS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400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440</w:t>
            </w:r>
          </w:p>
        </w:tc>
        <w:tc>
          <w:tcPr>
            <w:tcW w:w="13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w:t>
            </w:r>
            <w:r w:rsidR="00B94168">
              <w:rPr>
                <w:rFonts w:eastAsia="Times New Roman"/>
                <w:color w:val="000000"/>
                <w:sz w:val="20"/>
                <w:szCs w:val="20"/>
              </w:rPr>
              <w:t>30,756</w:t>
            </w:r>
          </w:p>
        </w:tc>
        <w:tc>
          <w:tcPr>
            <w:tcW w:w="956"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$31,949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6</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2,640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$37</w:t>
            </w:r>
            <w:r w:rsidR="00B94168">
              <w:rPr>
                <w:rFonts w:eastAsia="Times New Roman"/>
                <w:color w:val="000000"/>
                <w:sz w:val="20"/>
                <w:szCs w:val="20"/>
              </w:rPr>
              <w:t>6,230</w:t>
            </w:r>
          </w:p>
        </w:tc>
      </w:tr>
      <w:tr w:rsidR="00612D98" w:rsidRPr="001774B5" w:rsidTr="004D01ED">
        <w:trPr>
          <w:trHeight w:val="198"/>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ED7FD5">
              <w:rPr>
                <w:sz w:val="20"/>
                <w:szCs w:val="20"/>
              </w:rPr>
              <w:t>b.  Gas-Oil:  NO</w:t>
            </w:r>
            <w:r w:rsidR="005130E6" w:rsidRPr="000714D7">
              <w:rPr>
                <w:sz w:val="20"/>
                <w:szCs w:val="20"/>
                <w:vertAlign w:val="subscript"/>
              </w:rPr>
              <w:t>X</w:t>
            </w:r>
            <w:r w:rsidRPr="00ED7FD5">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20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375</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395</w:t>
            </w:r>
          </w:p>
        </w:tc>
        <w:tc>
          <w:tcPr>
            <w:tcW w:w="13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w:t>
            </w:r>
            <w:r w:rsidR="00B94168">
              <w:rPr>
                <w:rFonts w:eastAsia="Times New Roman"/>
                <w:color w:val="000000"/>
                <w:sz w:val="20"/>
                <w:szCs w:val="20"/>
              </w:rPr>
              <w:t>27,170</w:t>
            </w:r>
          </w:p>
        </w:tc>
        <w:tc>
          <w:tcPr>
            <w:tcW w:w="956"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$17,818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6</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2,370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$26</w:t>
            </w:r>
            <w:r w:rsidR="00B94168">
              <w:rPr>
                <w:rFonts w:eastAsia="Times New Roman"/>
                <w:color w:val="000000"/>
                <w:sz w:val="20"/>
                <w:szCs w:val="20"/>
              </w:rPr>
              <w:t>9,925</w:t>
            </w:r>
          </w:p>
        </w:tc>
      </w:tr>
      <w:tr w:rsidR="00612D98" w:rsidRPr="001774B5" w:rsidTr="004D01ED">
        <w:trPr>
          <w:trHeight w:val="198"/>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Default="00612D98" w:rsidP="001B3566">
            <w:pPr>
              <w:ind w:left="245" w:hanging="245"/>
              <w:rPr>
                <w:sz w:val="20"/>
                <w:szCs w:val="20"/>
              </w:rPr>
            </w:pPr>
            <w:r w:rsidRPr="00B520AC">
              <w:rPr>
                <w:sz w:val="20"/>
                <w:szCs w:val="20"/>
              </w:rPr>
              <w:t>c.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5</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35</w:t>
            </w:r>
          </w:p>
        </w:tc>
        <w:tc>
          <w:tcPr>
            <w:tcW w:w="13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$2,</w:t>
            </w:r>
            <w:r w:rsidR="00B94168" w:rsidRPr="006B6347">
              <w:rPr>
                <w:rFonts w:eastAsia="Times New Roman"/>
                <w:color w:val="000000"/>
                <w:sz w:val="20"/>
                <w:szCs w:val="20"/>
              </w:rPr>
              <w:t>4</w:t>
            </w:r>
            <w:r w:rsidR="00B94168">
              <w:rPr>
                <w:rFonts w:eastAsia="Times New Roman"/>
                <w:color w:val="000000"/>
                <w:sz w:val="20"/>
                <w:szCs w:val="20"/>
              </w:rPr>
              <w:t>97</w:t>
            </w:r>
          </w:p>
        </w:tc>
        <w:tc>
          <w:tcPr>
            <w:tcW w:w="956"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 xml:space="preserve">$2,209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62</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2,170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$2</w:t>
            </w:r>
            <w:r w:rsidR="00B94168">
              <w:rPr>
                <w:rFonts w:eastAsia="Times New Roman"/>
                <w:color w:val="000000"/>
                <w:sz w:val="20"/>
                <w:szCs w:val="20"/>
              </w:rPr>
              <w:t>91,766</w:t>
            </w:r>
          </w:p>
        </w:tc>
      </w:tr>
      <w:tr w:rsidR="00CC4439" w:rsidRPr="001774B5" w:rsidTr="002050C7">
        <w:trPr>
          <w:trHeight w:val="255"/>
          <w:jc w:val="center"/>
        </w:trPr>
        <w:tc>
          <w:tcPr>
            <w:tcW w:w="12960" w:type="dxa"/>
            <w:gridSpan w:val="10"/>
            <w:tcBorders>
              <w:top w:val="single" w:sz="4" w:space="0" w:color="auto"/>
            </w:tcBorders>
            <w:shd w:val="clear" w:color="auto" w:fill="auto"/>
          </w:tcPr>
          <w:p w:rsidR="00CC4439" w:rsidRPr="001774B5" w:rsidRDefault="00CC4439" w:rsidP="00391881">
            <w:pPr>
              <w:jc w:val="right"/>
              <w:rPr>
                <w:sz w:val="20"/>
                <w:szCs w:val="20"/>
              </w:rPr>
            </w:pPr>
            <w:r>
              <w:rPr>
                <w:sz w:val="20"/>
                <w:szCs w:val="20"/>
              </w:rPr>
              <w:t>(cont.)</w:t>
            </w:r>
          </w:p>
        </w:tc>
      </w:tr>
      <w:tr w:rsidR="00CC4439" w:rsidTr="002050C7">
        <w:trPr>
          <w:trHeight w:val="255"/>
          <w:jc w:val="center"/>
        </w:trPr>
        <w:tc>
          <w:tcPr>
            <w:tcW w:w="12960" w:type="dxa"/>
            <w:gridSpan w:val="10"/>
            <w:tcBorders>
              <w:bottom w:val="single" w:sz="4" w:space="0" w:color="auto"/>
            </w:tcBorders>
            <w:shd w:val="clear" w:color="auto" w:fill="auto"/>
          </w:tcPr>
          <w:p w:rsidR="00CC4439" w:rsidRDefault="00CC4439" w:rsidP="00391881">
            <w:pPr>
              <w:keepNext/>
              <w:keepLines/>
              <w:jc w:val="center"/>
              <w:rPr>
                <w:b/>
                <w:color w:val="0F0F0F"/>
              </w:rPr>
            </w:pPr>
            <w:r w:rsidRPr="001774B5">
              <w:rPr>
                <w:b/>
                <w:color w:val="0F0F0F"/>
              </w:rPr>
              <w:lastRenderedPageBreak/>
              <w:t xml:space="preserve">Table </w:t>
            </w:r>
            <w:r w:rsidR="009269F3">
              <w:rPr>
                <w:b/>
                <w:color w:val="0F0F0F"/>
              </w:rPr>
              <w:t>6-5</w:t>
            </w:r>
            <w:r>
              <w:rPr>
                <w:b/>
                <w:color w:val="0F0F0F"/>
              </w:rPr>
              <w:t>:</w:t>
            </w:r>
            <w:r w:rsidRPr="001774B5">
              <w:rPr>
                <w:b/>
                <w:color w:val="0F0F0F"/>
              </w:rPr>
              <w:t xml:space="preserve"> </w:t>
            </w:r>
            <w:r w:rsidRPr="001774B5">
              <w:rPr>
                <w:b/>
                <w:color w:val="0F0F0F"/>
              </w:rPr>
              <w:br/>
              <w:t>Annual Industry Respondent Burden and Cost by Activity</w:t>
            </w:r>
            <w:r>
              <w:rPr>
                <w:b/>
                <w:color w:val="0F0F0F"/>
              </w:rPr>
              <w:t xml:space="preserve"> (cont.)</w:t>
            </w:r>
          </w:p>
          <w:p w:rsidR="00CC4439" w:rsidRDefault="00CC4439" w:rsidP="00391881">
            <w:pPr>
              <w:keepNext/>
              <w:keepLines/>
              <w:jc w:val="center"/>
              <w:rPr>
                <w:sz w:val="20"/>
                <w:szCs w:val="20"/>
              </w:rPr>
            </w:pPr>
          </w:p>
        </w:tc>
      </w:tr>
      <w:tr w:rsidR="00CC4439" w:rsidRPr="00764293" w:rsidTr="004D01ED">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p w:rsidR="00CC4439" w:rsidRPr="00764293" w:rsidRDefault="00CC4439" w:rsidP="00391881">
            <w:pPr>
              <w:keepNext/>
              <w:keepLines/>
              <w:jc w:val="center"/>
              <w:rPr>
                <w:b/>
                <w:bCs/>
                <w:sz w:val="22"/>
              </w:rPr>
            </w:pPr>
          </w:p>
        </w:tc>
        <w:tc>
          <w:tcPr>
            <w:tcW w:w="1259" w:type="dxa"/>
            <w:tcBorders>
              <w:top w:val="single" w:sz="4" w:space="0" w:color="auto"/>
              <w:left w:val="nil"/>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139" w:type="dxa"/>
            <w:tcBorders>
              <w:top w:val="single" w:sz="4" w:space="0" w:color="auto"/>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345" w:type="dxa"/>
            <w:vMerge w:val="restart"/>
            <w:tcBorders>
              <w:top w:val="single" w:sz="4" w:space="0" w:color="auto"/>
              <w:left w:val="nil"/>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r w:rsidRPr="00764293">
              <w:rPr>
                <w:b/>
                <w:bCs/>
                <w:sz w:val="22"/>
              </w:rPr>
              <w:t>Respondent</w:t>
            </w:r>
          </w:p>
          <w:p w:rsidR="00CC4439" w:rsidRPr="00764293" w:rsidRDefault="00CC4439" w:rsidP="00391881">
            <w:pPr>
              <w:keepNext/>
              <w:keepLines/>
              <w:jc w:val="center"/>
              <w:rPr>
                <w:b/>
                <w:bCs/>
                <w:sz w:val="22"/>
              </w:rPr>
            </w:pPr>
            <w:r w:rsidRPr="00764293">
              <w:rPr>
                <w:b/>
                <w:bCs/>
                <w:sz w:val="22"/>
              </w:rPr>
              <w:t>Labor Cost/Year</w:t>
            </w:r>
          </w:p>
          <w:p w:rsidR="00CC4439" w:rsidRPr="00764293" w:rsidRDefault="00CC4439" w:rsidP="00391881">
            <w:pPr>
              <w:keepNext/>
              <w:keepLines/>
              <w:jc w:val="center"/>
              <w:rPr>
                <w:b/>
                <w:bCs/>
                <w:sz w:val="22"/>
              </w:rPr>
            </w:pPr>
          </w:p>
        </w:tc>
        <w:tc>
          <w:tcPr>
            <w:tcW w:w="1767" w:type="dxa"/>
            <w:gridSpan w:val="2"/>
            <w:tcBorders>
              <w:top w:val="single" w:sz="4" w:space="0" w:color="auto"/>
              <w:left w:val="nil"/>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288" w:type="dxa"/>
            <w:tcBorders>
              <w:top w:val="single" w:sz="4" w:space="0" w:color="auto"/>
              <w:bottom w:val="single" w:sz="4" w:space="0" w:color="auto"/>
            </w:tcBorders>
            <w:shd w:val="pct10" w:color="auto" w:fill="auto"/>
            <w:vAlign w:val="bottom"/>
          </w:tcPr>
          <w:p w:rsidR="00CC4439" w:rsidRPr="00764293" w:rsidRDefault="00CC4439" w:rsidP="00391881">
            <w:pPr>
              <w:keepNext/>
              <w:keepLines/>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CC4439" w:rsidRPr="00764293" w:rsidRDefault="00CC4439" w:rsidP="00391881">
            <w:pPr>
              <w:keepNext/>
              <w:keepLines/>
              <w:jc w:val="center"/>
              <w:rPr>
                <w:b/>
                <w:bCs/>
                <w:sz w:val="22"/>
              </w:rPr>
            </w:pPr>
          </w:p>
        </w:tc>
      </w:tr>
      <w:tr w:rsidR="00076623" w:rsidRPr="00764293" w:rsidTr="004D01ED">
        <w:trPr>
          <w:trHeight w:val="548"/>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Manager $</w:t>
            </w:r>
            <w:r w:rsidR="003C0FF8">
              <w:rPr>
                <w:b/>
                <w:bCs/>
                <w:sz w:val="22"/>
              </w:rPr>
              <w:t>95.10</w:t>
            </w:r>
          </w:p>
          <w:p w:rsidR="00076623" w:rsidRPr="00764293" w:rsidRDefault="00076623" w:rsidP="00A947BD">
            <w:pPr>
              <w:keepNext/>
              <w:keepLines/>
              <w:jc w:val="center"/>
              <w:rPr>
                <w:b/>
                <w:bCs/>
                <w:sz w:val="22"/>
              </w:rPr>
            </w:pPr>
            <w:r w:rsidRPr="00764293">
              <w:rPr>
                <w:b/>
                <w:bCs/>
                <w:sz w:val="22"/>
              </w:rPr>
              <w:t>Per Hour (20</w:t>
            </w:r>
            <w:r>
              <w:rPr>
                <w:b/>
                <w:bCs/>
                <w:sz w:val="22"/>
              </w:rPr>
              <w:t>1</w:t>
            </w:r>
            <w:r w:rsidR="00A947BD">
              <w:rPr>
                <w:b/>
                <w:bCs/>
                <w:sz w:val="22"/>
              </w:rPr>
              <w:t>3</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Technical $</w:t>
            </w:r>
            <w:r w:rsidR="003C0FF8">
              <w:rPr>
                <w:b/>
                <w:bCs/>
                <w:sz w:val="22"/>
              </w:rPr>
              <w:t>67.38</w:t>
            </w:r>
          </w:p>
          <w:p w:rsidR="00076623" w:rsidRPr="00764293" w:rsidRDefault="00076623" w:rsidP="00A947BD">
            <w:pPr>
              <w:keepNext/>
              <w:keepLines/>
              <w:jc w:val="center"/>
              <w:rPr>
                <w:b/>
                <w:bCs/>
                <w:sz w:val="22"/>
              </w:rPr>
            </w:pPr>
            <w:r w:rsidRPr="00764293">
              <w:rPr>
                <w:b/>
                <w:bCs/>
                <w:sz w:val="22"/>
              </w:rPr>
              <w:t>Per Hour (20</w:t>
            </w:r>
            <w:r>
              <w:rPr>
                <w:b/>
                <w:bCs/>
                <w:sz w:val="22"/>
              </w:rPr>
              <w:t>1</w:t>
            </w:r>
            <w:r w:rsidR="00A947BD">
              <w:rPr>
                <w:b/>
                <w:bCs/>
                <w:sz w:val="22"/>
              </w:rPr>
              <w:t>3</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Respondent Hours/Year</w:t>
            </w:r>
          </w:p>
          <w:p w:rsidR="00076623" w:rsidRPr="00764293" w:rsidRDefault="00076623" w:rsidP="00391881">
            <w:pPr>
              <w:keepNext/>
              <w:keepLines/>
              <w:jc w:val="center"/>
              <w:rPr>
                <w:b/>
                <w:bCs/>
                <w:sz w:val="22"/>
              </w:rPr>
            </w:pPr>
          </w:p>
        </w:tc>
        <w:tc>
          <w:tcPr>
            <w:tcW w:w="1345" w:type="dxa"/>
            <w:vMerge/>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p>
        </w:tc>
        <w:tc>
          <w:tcPr>
            <w:tcW w:w="956"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Startup Costs</w:t>
            </w:r>
          </w:p>
          <w:p w:rsidR="00076623" w:rsidRPr="00764293" w:rsidRDefault="00076623" w:rsidP="00391881">
            <w:pPr>
              <w:keepNext/>
              <w:keepLines/>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O&amp;M Cost</w:t>
            </w:r>
          </w:p>
          <w:p w:rsidR="00076623" w:rsidRPr="00764293" w:rsidRDefault="00076623" w:rsidP="00391881">
            <w:pPr>
              <w:keepNext/>
              <w:keepLines/>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Number of Respondents</w:t>
            </w:r>
          </w:p>
          <w:p w:rsidR="00076623" w:rsidRPr="00764293" w:rsidRDefault="00076623" w:rsidP="00391881">
            <w:pPr>
              <w:keepNext/>
              <w:keepLines/>
              <w:jc w:val="center"/>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Total Hours/Year</w:t>
            </w:r>
          </w:p>
          <w:p w:rsidR="00076623" w:rsidRPr="00764293" w:rsidRDefault="00076623" w:rsidP="00391881">
            <w:pPr>
              <w:keepNext/>
              <w:keepLines/>
              <w:jc w:val="center"/>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391881">
            <w:pPr>
              <w:keepNext/>
              <w:keepLines/>
              <w:jc w:val="center"/>
              <w:rPr>
                <w:b/>
                <w:bCs/>
                <w:sz w:val="22"/>
              </w:rPr>
            </w:pPr>
            <w:r w:rsidRPr="00764293">
              <w:rPr>
                <w:b/>
                <w:bCs/>
                <w:sz w:val="22"/>
              </w:rPr>
              <w:t>Total Cost/Year</w:t>
            </w:r>
          </w:p>
          <w:p w:rsidR="00076623" w:rsidRPr="00764293" w:rsidRDefault="00076623" w:rsidP="00391881">
            <w:pPr>
              <w:keepNext/>
              <w:keepLines/>
              <w:jc w:val="center"/>
              <w:rPr>
                <w:b/>
                <w:bCs/>
                <w:sz w:val="22"/>
              </w:rPr>
            </w:pPr>
          </w:p>
        </w:tc>
      </w:tr>
      <w:tr w:rsidR="00CC4439"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CC4439" w:rsidRPr="001774B5" w:rsidRDefault="00CC4439" w:rsidP="00D12499">
            <w:pPr>
              <w:jc w:val="center"/>
              <w:rPr>
                <w:b/>
                <w:bCs/>
                <w:sz w:val="20"/>
                <w:szCs w:val="20"/>
              </w:rPr>
            </w:pPr>
            <w:r w:rsidRPr="001774B5">
              <w:rPr>
                <w:b/>
                <w:bCs/>
                <w:sz w:val="20"/>
                <w:szCs w:val="20"/>
              </w:rPr>
              <w:t>Perform QA Testing and Maintenance</w:t>
            </w:r>
            <w:r>
              <w:rPr>
                <w:b/>
                <w:bCs/>
                <w:sz w:val="20"/>
                <w:szCs w:val="20"/>
              </w:rPr>
              <w:t xml:space="preserve"> (cont.)</w:t>
            </w:r>
          </w:p>
        </w:tc>
      </w:tr>
      <w:tr w:rsidR="00072574" w:rsidRPr="001774B5" w:rsidTr="002050C7">
        <w:trPr>
          <w:trHeight w:val="90"/>
          <w:jc w:val="center"/>
        </w:trPr>
        <w:tc>
          <w:tcPr>
            <w:tcW w:w="12960" w:type="dxa"/>
            <w:gridSpan w:val="10"/>
            <w:tcBorders>
              <w:top w:val="nil"/>
              <w:left w:val="single" w:sz="4" w:space="0" w:color="auto"/>
              <w:bottom w:val="single" w:sz="4" w:space="0" w:color="auto"/>
              <w:right w:val="single" w:sz="4" w:space="0" w:color="auto"/>
            </w:tcBorders>
            <w:shd w:val="clear" w:color="auto" w:fill="auto"/>
            <w:vAlign w:val="center"/>
          </w:tcPr>
          <w:p w:rsidR="00072574" w:rsidRPr="001774B5" w:rsidRDefault="00072574" w:rsidP="00764293">
            <w:pPr>
              <w:rPr>
                <w:sz w:val="20"/>
                <w:szCs w:val="20"/>
              </w:rPr>
            </w:pPr>
            <w:r>
              <w:rPr>
                <w:b/>
                <w:bCs/>
                <w:sz w:val="20"/>
                <w:szCs w:val="20"/>
              </w:rPr>
              <w:t xml:space="preserve">States With No Change in Classification </w:t>
            </w:r>
          </w:p>
        </w:tc>
      </w:tr>
      <w:tr w:rsidR="00612D98" w:rsidRPr="001774B5" w:rsidTr="004D01ED">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 xml:space="preserve">a.  Solid Fuel:  </w:t>
            </w:r>
            <w:r w:rsidR="00FA5FFE">
              <w:rPr>
                <w:sz w:val="20"/>
                <w:szCs w:val="20"/>
              </w:rPr>
              <w:t>SO</w:t>
            </w:r>
            <w:r w:rsidR="00FA5FFE" w:rsidRPr="00A011C4">
              <w:rPr>
                <w:sz w:val="20"/>
                <w:szCs w:val="20"/>
                <w:vertAlign w:val="subscript"/>
              </w:rPr>
              <w:t>2</w:t>
            </w:r>
            <w:r w:rsidR="00FA5FFE">
              <w:rPr>
                <w:sz w:val="20"/>
                <w:szCs w:val="20"/>
              </w:rPr>
              <w:t xml:space="preserve">, </w:t>
            </w:r>
            <w:r w:rsidRPr="001774B5">
              <w:rPr>
                <w:sz w:val="20"/>
                <w:szCs w:val="20"/>
              </w:rPr>
              <w:t>NO</w:t>
            </w:r>
            <w:r w:rsidR="005130E6">
              <w:rPr>
                <w:sz w:val="20"/>
                <w:szCs w:val="20"/>
                <w:vertAlign w:val="subscript"/>
              </w:rPr>
              <w:t>X</w:t>
            </w:r>
            <w:r w:rsidRPr="001774B5">
              <w:rPr>
                <w:sz w:val="20"/>
                <w:szCs w:val="20"/>
              </w:rPr>
              <w:t>, and Flow CEMS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40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400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440</w:t>
            </w:r>
          </w:p>
        </w:tc>
        <w:tc>
          <w:tcPr>
            <w:tcW w:w="13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w:t>
            </w:r>
            <w:r w:rsidR="00B94168">
              <w:rPr>
                <w:rFonts w:eastAsia="Times New Roman"/>
                <w:color w:val="000000"/>
                <w:sz w:val="20"/>
                <w:szCs w:val="20"/>
              </w:rPr>
              <w:t>30,756</w:t>
            </w:r>
          </w:p>
        </w:tc>
        <w:tc>
          <w:tcPr>
            <w:tcW w:w="956"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 xml:space="preserve">$31,949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64</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28,160</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w:t>
            </w:r>
            <w:r w:rsidR="00B94168">
              <w:rPr>
                <w:rFonts w:eastAsia="Times New Roman"/>
                <w:color w:val="000000"/>
                <w:sz w:val="20"/>
                <w:szCs w:val="20"/>
              </w:rPr>
              <w:t>4,013,120</w:t>
            </w:r>
          </w:p>
        </w:tc>
      </w:tr>
      <w:tr w:rsidR="00612D98" w:rsidRPr="001774B5" w:rsidTr="004D01ED">
        <w:trPr>
          <w:trHeight w:val="81"/>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b.  Gas-Oil:  NO</w:t>
            </w:r>
            <w:r w:rsidR="005130E6">
              <w:rPr>
                <w:sz w:val="20"/>
                <w:szCs w:val="20"/>
                <w:vertAlign w:val="subscript"/>
              </w:rPr>
              <w:t>X</w:t>
            </w:r>
            <w:r w:rsidRPr="001774B5">
              <w:rPr>
                <w:sz w:val="20"/>
                <w:szCs w:val="20"/>
              </w:rPr>
              <w:t xml:space="preserve"> CEMS and Appendix D fuel monitoring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20</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375</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395</w:t>
            </w:r>
          </w:p>
        </w:tc>
        <w:tc>
          <w:tcPr>
            <w:tcW w:w="13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w:t>
            </w:r>
            <w:r w:rsidR="00B94168">
              <w:rPr>
                <w:rFonts w:eastAsia="Times New Roman"/>
                <w:color w:val="000000"/>
                <w:sz w:val="20"/>
                <w:szCs w:val="20"/>
              </w:rPr>
              <w:t>27,170</w:t>
            </w:r>
          </w:p>
        </w:tc>
        <w:tc>
          <w:tcPr>
            <w:tcW w:w="956"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 xml:space="preserve">$17,818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67</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26,465</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w:t>
            </w:r>
            <w:r w:rsidR="00B94168">
              <w:rPr>
                <w:rFonts w:eastAsia="Times New Roman"/>
                <w:color w:val="000000"/>
                <w:sz w:val="20"/>
                <w:szCs w:val="20"/>
              </w:rPr>
              <w:t>3,014,463</w:t>
            </w:r>
          </w:p>
        </w:tc>
      </w:tr>
      <w:tr w:rsidR="00612D98" w:rsidRPr="001774B5" w:rsidTr="004D01ED">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1B3566">
            <w:pPr>
              <w:ind w:left="245" w:hanging="245"/>
              <w:rPr>
                <w:sz w:val="20"/>
                <w:szCs w:val="20"/>
              </w:rPr>
            </w:pPr>
            <w:r w:rsidRPr="001774B5">
              <w:rPr>
                <w:sz w:val="20"/>
                <w:szCs w:val="20"/>
              </w:rPr>
              <w:t>c.  Gas-Oil Peaking Units:  Appendix D fuel sampling, Appendix E, or LME methods (units)</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5</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30</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35</w:t>
            </w:r>
          </w:p>
        </w:tc>
        <w:tc>
          <w:tcPr>
            <w:tcW w:w="13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$2,</w:t>
            </w:r>
            <w:r w:rsidR="00B94168" w:rsidRPr="006B6347">
              <w:rPr>
                <w:rFonts w:eastAsia="Times New Roman"/>
                <w:color w:val="000000"/>
                <w:sz w:val="20"/>
                <w:szCs w:val="20"/>
              </w:rPr>
              <w:t>4</w:t>
            </w:r>
            <w:r w:rsidR="00B94168">
              <w:rPr>
                <w:rFonts w:eastAsia="Times New Roman"/>
                <w:color w:val="000000"/>
                <w:sz w:val="20"/>
                <w:szCs w:val="20"/>
              </w:rPr>
              <w:t>97</w:t>
            </w:r>
          </w:p>
        </w:tc>
        <w:tc>
          <w:tcPr>
            <w:tcW w:w="956"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 xml:space="preserve">$1,843 </w:t>
            </w: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533</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1B3566">
            <w:pPr>
              <w:jc w:val="right"/>
              <w:rPr>
                <w:rFonts w:eastAsia="Times New Roman"/>
                <w:color w:val="000000"/>
                <w:sz w:val="20"/>
                <w:szCs w:val="20"/>
              </w:rPr>
            </w:pPr>
            <w:r w:rsidRPr="006B6347">
              <w:rPr>
                <w:rFonts w:eastAsia="Times New Roman"/>
                <w:color w:val="000000"/>
                <w:sz w:val="20"/>
                <w:szCs w:val="20"/>
              </w:rPr>
              <w:t>18,655</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$2,</w:t>
            </w:r>
            <w:r w:rsidR="00B94168">
              <w:rPr>
                <w:rFonts w:eastAsia="Times New Roman"/>
                <w:color w:val="000000"/>
                <w:sz w:val="20"/>
                <w:szCs w:val="20"/>
              </w:rPr>
              <w:t>313,167</w:t>
            </w:r>
          </w:p>
        </w:tc>
      </w:tr>
      <w:tr w:rsidR="00072574" w:rsidRPr="001774B5" w:rsidTr="002050C7">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072574" w:rsidRPr="001774B5" w:rsidRDefault="00072574" w:rsidP="001F2462">
            <w:pPr>
              <w:keepNext/>
              <w:jc w:val="center"/>
              <w:rPr>
                <w:b/>
                <w:bCs/>
                <w:sz w:val="20"/>
                <w:szCs w:val="20"/>
              </w:rPr>
            </w:pPr>
            <w:r w:rsidRPr="001774B5">
              <w:rPr>
                <w:b/>
                <w:bCs/>
                <w:sz w:val="20"/>
                <w:szCs w:val="20"/>
              </w:rPr>
              <w:t>Assure Data Quality, Prepare Reports, Submit Reports</w:t>
            </w:r>
          </w:p>
        </w:tc>
      </w:tr>
      <w:tr w:rsidR="003A6DAA" w:rsidRPr="001774B5" w:rsidTr="004D01ED">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3A6DAA" w:rsidRDefault="003A6DAA" w:rsidP="000714D7">
            <w:pPr>
              <w:ind w:left="245" w:hanging="245"/>
              <w:rPr>
                <w:sz w:val="20"/>
                <w:szCs w:val="20"/>
              </w:rPr>
            </w:pPr>
            <w:r>
              <w:rPr>
                <w:sz w:val="20"/>
                <w:szCs w:val="20"/>
              </w:rPr>
              <w:t>States with No Change</w:t>
            </w:r>
          </w:p>
          <w:p w:rsidR="003A6DAA" w:rsidRPr="001774B5" w:rsidRDefault="002B7D3B" w:rsidP="000714D7">
            <w:pPr>
              <w:ind w:left="245" w:hanging="245"/>
              <w:rPr>
                <w:sz w:val="20"/>
                <w:szCs w:val="20"/>
              </w:rPr>
            </w:pPr>
            <w:r>
              <w:rPr>
                <w:sz w:val="20"/>
                <w:szCs w:val="20"/>
              </w:rPr>
              <w:t xml:space="preserve">    </w:t>
            </w:r>
            <w:r w:rsidR="003A6DAA">
              <w:rPr>
                <w:sz w:val="20"/>
                <w:szCs w:val="20"/>
              </w:rPr>
              <w:t xml:space="preserve">in Classification </w:t>
            </w:r>
          </w:p>
        </w:tc>
        <w:tc>
          <w:tcPr>
            <w:tcW w:w="1259" w:type="dxa"/>
            <w:tcBorders>
              <w:top w:val="nil"/>
              <w:left w:val="nil"/>
              <w:bottom w:val="single" w:sz="4" w:space="0" w:color="auto"/>
              <w:right w:val="single" w:sz="4" w:space="0" w:color="auto"/>
            </w:tcBorders>
            <w:shd w:val="clear" w:color="auto" w:fill="auto"/>
            <w:vAlign w:val="bottom"/>
          </w:tcPr>
          <w:p w:rsidR="003A6DAA" w:rsidRPr="006B6347" w:rsidRDefault="003A6DAA" w:rsidP="007506A5">
            <w:pPr>
              <w:jc w:val="right"/>
              <w:rPr>
                <w:rFonts w:eastAsia="Times New Roman"/>
                <w:color w:val="000000"/>
                <w:sz w:val="20"/>
                <w:szCs w:val="20"/>
              </w:rPr>
            </w:pPr>
            <w:r w:rsidRPr="006B6347">
              <w:rPr>
                <w:rFonts w:eastAsia="Times New Roman"/>
                <w:color w:val="000000"/>
                <w:sz w:val="20"/>
                <w:szCs w:val="20"/>
              </w:rPr>
              <w:t>16</w:t>
            </w:r>
          </w:p>
        </w:tc>
        <w:tc>
          <w:tcPr>
            <w:tcW w:w="1139" w:type="dxa"/>
            <w:tcBorders>
              <w:top w:val="nil"/>
              <w:left w:val="nil"/>
              <w:bottom w:val="single" w:sz="4" w:space="0" w:color="auto"/>
              <w:right w:val="single" w:sz="4" w:space="0" w:color="auto"/>
            </w:tcBorders>
            <w:shd w:val="clear" w:color="auto" w:fill="auto"/>
            <w:vAlign w:val="bottom"/>
          </w:tcPr>
          <w:p w:rsidR="003A6DAA" w:rsidRPr="006B6347" w:rsidRDefault="003A6DAA" w:rsidP="007506A5">
            <w:pPr>
              <w:jc w:val="right"/>
              <w:rPr>
                <w:rFonts w:eastAsia="Times New Roman"/>
                <w:color w:val="000000"/>
                <w:sz w:val="20"/>
                <w:szCs w:val="20"/>
              </w:rPr>
            </w:pPr>
            <w:r w:rsidRPr="006B6347">
              <w:rPr>
                <w:rFonts w:eastAsia="Times New Roman"/>
                <w:color w:val="000000"/>
                <w:sz w:val="20"/>
                <w:szCs w:val="20"/>
              </w:rPr>
              <w:t>42</w:t>
            </w:r>
          </w:p>
        </w:tc>
        <w:tc>
          <w:tcPr>
            <w:tcW w:w="1302" w:type="dxa"/>
            <w:tcBorders>
              <w:top w:val="nil"/>
              <w:left w:val="nil"/>
              <w:bottom w:val="single" w:sz="4" w:space="0" w:color="auto"/>
              <w:right w:val="single" w:sz="4" w:space="0" w:color="auto"/>
            </w:tcBorders>
            <w:shd w:val="clear" w:color="auto" w:fill="auto"/>
            <w:vAlign w:val="bottom"/>
          </w:tcPr>
          <w:p w:rsidR="003A6DAA" w:rsidRPr="006B6347" w:rsidRDefault="003A6DAA" w:rsidP="003F7265">
            <w:pPr>
              <w:jc w:val="right"/>
              <w:rPr>
                <w:rFonts w:eastAsia="Times New Roman"/>
                <w:color w:val="000000"/>
                <w:sz w:val="20"/>
                <w:szCs w:val="20"/>
              </w:rPr>
            </w:pPr>
            <w:r w:rsidRPr="006B6347">
              <w:rPr>
                <w:rFonts w:eastAsia="Times New Roman"/>
                <w:color w:val="000000"/>
                <w:sz w:val="20"/>
                <w:szCs w:val="20"/>
              </w:rPr>
              <w:t>58</w:t>
            </w:r>
          </w:p>
        </w:tc>
        <w:tc>
          <w:tcPr>
            <w:tcW w:w="1345" w:type="dxa"/>
            <w:tcBorders>
              <w:top w:val="nil"/>
              <w:left w:val="nil"/>
              <w:bottom w:val="single" w:sz="4" w:space="0" w:color="auto"/>
              <w:right w:val="single" w:sz="4" w:space="0" w:color="auto"/>
            </w:tcBorders>
            <w:shd w:val="clear" w:color="auto" w:fill="auto"/>
            <w:vAlign w:val="bottom"/>
          </w:tcPr>
          <w:p w:rsidR="003A6DAA" w:rsidRPr="006B6347" w:rsidRDefault="003A6DAA" w:rsidP="00B94168">
            <w:pPr>
              <w:jc w:val="right"/>
              <w:rPr>
                <w:rFonts w:eastAsia="Times New Roman"/>
                <w:color w:val="000000"/>
                <w:sz w:val="20"/>
                <w:szCs w:val="20"/>
              </w:rPr>
            </w:pPr>
            <w:r w:rsidRPr="006B6347">
              <w:rPr>
                <w:rFonts w:eastAsia="Times New Roman"/>
                <w:color w:val="000000"/>
                <w:sz w:val="20"/>
                <w:szCs w:val="20"/>
              </w:rPr>
              <w:t>$4,</w:t>
            </w:r>
            <w:r w:rsidR="00B94168">
              <w:rPr>
                <w:rFonts w:eastAsia="Times New Roman"/>
                <w:color w:val="000000"/>
                <w:sz w:val="20"/>
                <w:szCs w:val="20"/>
              </w:rPr>
              <w:t>352</w:t>
            </w:r>
          </w:p>
        </w:tc>
        <w:tc>
          <w:tcPr>
            <w:tcW w:w="956" w:type="dxa"/>
            <w:tcBorders>
              <w:top w:val="nil"/>
              <w:left w:val="nil"/>
              <w:bottom w:val="single" w:sz="4" w:space="0" w:color="auto"/>
              <w:right w:val="single" w:sz="4" w:space="0" w:color="auto"/>
            </w:tcBorders>
            <w:shd w:val="clear" w:color="auto" w:fill="auto"/>
            <w:vAlign w:val="bottom"/>
          </w:tcPr>
          <w:p w:rsidR="003A6DAA" w:rsidRPr="006B6347" w:rsidRDefault="003A6DAA"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3A6DAA" w:rsidRPr="006B6347" w:rsidRDefault="003A6DAA" w:rsidP="006B6347">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3A6DAA" w:rsidRPr="006B6347" w:rsidRDefault="003A6DAA" w:rsidP="006B6347">
            <w:pPr>
              <w:jc w:val="right"/>
              <w:rPr>
                <w:rFonts w:eastAsia="Times New Roman"/>
                <w:color w:val="000000"/>
                <w:sz w:val="20"/>
                <w:szCs w:val="20"/>
              </w:rPr>
            </w:pPr>
            <w:r w:rsidRPr="000714D7">
              <w:rPr>
                <w:rFonts w:eastAsia="Times New Roman"/>
                <w:color w:val="000000"/>
                <w:sz w:val="20"/>
                <w:szCs w:val="20"/>
              </w:rPr>
              <w:t>261</w:t>
            </w:r>
          </w:p>
        </w:tc>
        <w:tc>
          <w:tcPr>
            <w:tcW w:w="1288" w:type="dxa"/>
            <w:tcBorders>
              <w:top w:val="nil"/>
              <w:left w:val="nil"/>
              <w:bottom w:val="single" w:sz="4" w:space="0" w:color="auto"/>
              <w:right w:val="single" w:sz="4" w:space="0" w:color="auto"/>
            </w:tcBorders>
            <w:shd w:val="clear" w:color="auto" w:fill="auto"/>
            <w:vAlign w:val="bottom"/>
          </w:tcPr>
          <w:p w:rsidR="003A6DAA" w:rsidRPr="006B6347" w:rsidRDefault="003A6DAA" w:rsidP="006B6347">
            <w:pPr>
              <w:jc w:val="right"/>
              <w:rPr>
                <w:rFonts w:eastAsia="Times New Roman"/>
                <w:color w:val="000000"/>
                <w:sz w:val="20"/>
                <w:szCs w:val="20"/>
              </w:rPr>
            </w:pPr>
            <w:r w:rsidRPr="000714D7">
              <w:rPr>
                <w:rFonts w:eastAsia="Times New Roman"/>
                <w:color w:val="000000"/>
                <w:sz w:val="20"/>
                <w:szCs w:val="20"/>
              </w:rPr>
              <w:t>15,138</w:t>
            </w:r>
          </w:p>
        </w:tc>
        <w:tc>
          <w:tcPr>
            <w:tcW w:w="1145" w:type="dxa"/>
            <w:tcBorders>
              <w:top w:val="nil"/>
              <w:left w:val="nil"/>
              <w:bottom w:val="single" w:sz="4" w:space="0" w:color="auto"/>
              <w:right w:val="single" w:sz="4" w:space="0" w:color="auto"/>
            </w:tcBorders>
            <w:shd w:val="clear" w:color="auto" w:fill="auto"/>
            <w:vAlign w:val="bottom"/>
          </w:tcPr>
          <w:p w:rsidR="003A6DAA" w:rsidRPr="006B6347" w:rsidRDefault="003A6DAA" w:rsidP="00B94168">
            <w:pPr>
              <w:jc w:val="right"/>
              <w:rPr>
                <w:rFonts w:eastAsia="Times New Roman"/>
                <w:color w:val="000000"/>
                <w:sz w:val="20"/>
                <w:szCs w:val="20"/>
              </w:rPr>
            </w:pPr>
            <w:r w:rsidRPr="000714D7">
              <w:rPr>
                <w:rFonts w:eastAsia="Times New Roman"/>
                <w:color w:val="000000"/>
                <w:sz w:val="20"/>
                <w:szCs w:val="20"/>
              </w:rPr>
              <w:t>$1,</w:t>
            </w:r>
            <w:r w:rsidR="00B94168">
              <w:rPr>
                <w:rFonts w:eastAsia="Times New Roman"/>
                <w:color w:val="000000"/>
                <w:sz w:val="20"/>
                <w:szCs w:val="20"/>
              </w:rPr>
              <w:t>135,757</w:t>
            </w:r>
          </w:p>
        </w:tc>
      </w:tr>
      <w:tr w:rsidR="00612D98" w:rsidRPr="001774B5" w:rsidTr="004D01ED">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612D98" w:rsidRPr="001774B5" w:rsidRDefault="00612D98" w:rsidP="000714D7">
            <w:pPr>
              <w:ind w:left="245" w:hanging="245"/>
              <w:rPr>
                <w:sz w:val="20"/>
                <w:szCs w:val="20"/>
              </w:rPr>
            </w:pPr>
            <w:r>
              <w:rPr>
                <w:sz w:val="20"/>
                <w:szCs w:val="20"/>
              </w:rPr>
              <w:t>States in which Ozone</w:t>
            </w:r>
            <w:r w:rsidR="008956C2">
              <w:rPr>
                <w:sz w:val="20"/>
                <w:szCs w:val="20"/>
              </w:rPr>
              <w:t xml:space="preserve"> Season  </w:t>
            </w:r>
            <w:r>
              <w:rPr>
                <w:sz w:val="20"/>
                <w:szCs w:val="20"/>
              </w:rPr>
              <w:t>Status Changes, Annual</w:t>
            </w:r>
            <w:r w:rsidR="008956C2">
              <w:rPr>
                <w:sz w:val="20"/>
                <w:szCs w:val="20"/>
              </w:rPr>
              <w:t xml:space="preserve"> </w:t>
            </w:r>
            <w:r>
              <w:rPr>
                <w:sz w:val="20"/>
                <w:szCs w:val="20"/>
              </w:rPr>
              <w:t>Status Remains</w:t>
            </w:r>
            <w:r w:rsidR="00E3790C">
              <w:rPr>
                <w:sz w:val="20"/>
                <w:szCs w:val="20"/>
              </w:rPr>
              <w:t xml:space="preserve"> – Georgia, Texas</w:t>
            </w:r>
            <w:r>
              <w:rPr>
                <w:sz w:val="20"/>
                <w:szCs w:val="20"/>
              </w:rPr>
              <w:t xml:space="preserve"> </w:t>
            </w:r>
          </w:p>
        </w:tc>
        <w:tc>
          <w:tcPr>
            <w:tcW w:w="125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16</w:t>
            </w:r>
          </w:p>
        </w:tc>
        <w:tc>
          <w:tcPr>
            <w:tcW w:w="1139" w:type="dxa"/>
            <w:tcBorders>
              <w:top w:val="nil"/>
              <w:left w:val="nil"/>
              <w:bottom w:val="single" w:sz="4" w:space="0" w:color="auto"/>
              <w:right w:val="single" w:sz="4" w:space="0" w:color="auto"/>
            </w:tcBorders>
            <w:shd w:val="clear" w:color="auto" w:fill="auto"/>
            <w:vAlign w:val="bottom"/>
          </w:tcPr>
          <w:p w:rsidR="00612D98" w:rsidRPr="006B6347" w:rsidRDefault="00612D98" w:rsidP="007506A5">
            <w:pPr>
              <w:jc w:val="right"/>
              <w:rPr>
                <w:rFonts w:eastAsia="Times New Roman"/>
                <w:color w:val="000000"/>
                <w:sz w:val="20"/>
                <w:szCs w:val="20"/>
              </w:rPr>
            </w:pPr>
            <w:r w:rsidRPr="006B6347">
              <w:rPr>
                <w:rFonts w:eastAsia="Times New Roman"/>
                <w:color w:val="000000"/>
                <w:sz w:val="20"/>
                <w:szCs w:val="20"/>
              </w:rPr>
              <w:t>42</w:t>
            </w:r>
          </w:p>
        </w:tc>
        <w:tc>
          <w:tcPr>
            <w:tcW w:w="1302" w:type="dxa"/>
            <w:tcBorders>
              <w:top w:val="nil"/>
              <w:left w:val="nil"/>
              <w:bottom w:val="single" w:sz="4" w:space="0" w:color="auto"/>
              <w:right w:val="single" w:sz="4" w:space="0" w:color="auto"/>
            </w:tcBorders>
            <w:shd w:val="clear" w:color="auto" w:fill="auto"/>
            <w:vAlign w:val="bottom"/>
          </w:tcPr>
          <w:p w:rsidR="00612D98" w:rsidRPr="006B6347" w:rsidRDefault="00612D98" w:rsidP="003F7265">
            <w:pPr>
              <w:jc w:val="right"/>
              <w:rPr>
                <w:rFonts w:eastAsia="Times New Roman"/>
                <w:color w:val="000000"/>
                <w:sz w:val="20"/>
                <w:szCs w:val="20"/>
              </w:rPr>
            </w:pPr>
            <w:r w:rsidRPr="006B6347">
              <w:rPr>
                <w:rFonts w:eastAsia="Times New Roman"/>
                <w:color w:val="000000"/>
                <w:sz w:val="20"/>
                <w:szCs w:val="20"/>
              </w:rPr>
              <w:t>58</w:t>
            </w:r>
          </w:p>
        </w:tc>
        <w:tc>
          <w:tcPr>
            <w:tcW w:w="13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$4,</w:t>
            </w:r>
            <w:r w:rsidR="00B94168">
              <w:rPr>
                <w:rFonts w:eastAsia="Times New Roman"/>
                <w:color w:val="000000"/>
                <w:sz w:val="20"/>
                <w:szCs w:val="20"/>
              </w:rPr>
              <w:t>352</w:t>
            </w:r>
          </w:p>
        </w:tc>
        <w:tc>
          <w:tcPr>
            <w:tcW w:w="956"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161</w:t>
            </w:r>
          </w:p>
        </w:tc>
        <w:tc>
          <w:tcPr>
            <w:tcW w:w="1288" w:type="dxa"/>
            <w:tcBorders>
              <w:top w:val="nil"/>
              <w:left w:val="nil"/>
              <w:bottom w:val="single" w:sz="4" w:space="0" w:color="auto"/>
              <w:right w:val="single" w:sz="4" w:space="0" w:color="auto"/>
            </w:tcBorders>
            <w:shd w:val="clear" w:color="auto" w:fill="auto"/>
            <w:vAlign w:val="bottom"/>
          </w:tcPr>
          <w:p w:rsidR="00612D98" w:rsidRPr="006B6347" w:rsidRDefault="00612D98" w:rsidP="006B6347">
            <w:pPr>
              <w:jc w:val="right"/>
              <w:rPr>
                <w:rFonts w:eastAsia="Times New Roman"/>
                <w:color w:val="000000"/>
                <w:sz w:val="20"/>
                <w:szCs w:val="20"/>
              </w:rPr>
            </w:pPr>
            <w:r w:rsidRPr="006B6347">
              <w:rPr>
                <w:rFonts w:eastAsia="Times New Roman"/>
                <w:color w:val="000000"/>
                <w:sz w:val="20"/>
                <w:szCs w:val="20"/>
              </w:rPr>
              <w:t>9,338</w:t>
            </w:r>
          </w:p>
        </w:tc>
        <w:tc>
          <w:tcPr>
            <w:tcW w:w="1145" w:type="dxa"/>
            <w:tcBorders>
              <w:top w:val="nil"/>
              <w:left w:val="nil"/>
              <w:bottom w:val="single" w:sz="4" w:space="0" w:color="auto"/>
              <w:right w:val="single" w:sz="4" w:space="0" w:color="auto"/>
            </w:tcBorders>
            <w:shd w:val="clear" w:color="auto" w:fill="auto"/>
            <w:vAlign w:val="bottom"/>
          </w:tcPr>
          <w:p w:rsidR="00612D98" w:rsidRPr="006B6347" w:rsidRDefault="00612D98" w:rsidP="00B94168">
            <w:pPr>
              <w:jc w:val="right"/>
              <w:rPr>
                <w:rFonts w:eastAsia="Times New Roman"/>
                <w:color w:val="000000"/>
                <w:sz w:val="20"/>
                <w:szCs w:val="20"/>
              </w:rPr>
            </w:pPr>
            <w:r w:rsidRPr="006B6347">
              <w:rPr>
                <w:rFonts w:eastAsia="Times New Roman"/>
                <w:color w:val="000000"/>
                <w:sz w:val="20"/>
                <w:szCs w:val="20"/>
              </w:rPr>
              <w:t>$</w:t>
            </w:r>
            <w:r w:rsidR="00B94168">
              <w:rPr>
                <w:rFonts w:eastAsia="Times New Roman"/>
                <w:color w:val="000000"/>
                <w:sz w:val="20"/>
                <w:szCs w:val="20"/>
              </w:rPr>
              <w:t>700,601</w:t>
            </w:r>
          </w:p>
        </w:tc>
      </w:tr>
      <w:tr w:rsidR="00A34AD8" w:rsidRPr="001774B5" w:rsidTr="00A34AD8">
        <w:trPr>
          <w:trHeight w:val="255"/>
          <w:jc w:val="center"/>
        </w:trPr>
        <w:tc>
          <w:tcPr>
            <w:tcW w:w="12960" w:type="dxa"/>
            <w:gridSpan w:val="10"/>
            <w:tcBorders>
              <w:top w:val="single" w:sz="4" w:space="0" w:color="auto"/>
            </w:tcBorders>
            <w:shd w:val="clear" w:color="auto" w:fill="auto"/>
          </w:tcPr>
          <w:p w:rsidR="00A34AD8" w:rsidRPr="001774B5" w:rsidRDefault="00A34AD8" w:rsidP="00A34AD8">
            <w:pPr>
              <w:jc w:val="right"/>
              <w:rPr>
                <w:sz w:val="20"/>
                <w:szCs w:val="20"/>
              </w:rPr>
            </w:pPr>
            <w:r>
              <w:rPr>
                <w:sz w:val="20"/>
                <w:szCs w:val="20"/>
              </w:rPr>
              <w:t>(cont.)</w:t>
            </w:r>
          </w:p>
        </w:tc>
      </w:tr>
    </w:tbl>
    <w:p w:rsidR="00A34AD8" w:rsidRDefault="00A34AD8">
      <w:r>
        <w:br w:type="page"/>
      </w:r>
    </w:p>
    <w:p w:rsidR="00A34AD8" w:rsidRDefault="00A34AD8"/>
    <w:tbl>
      <w:tblPr>
        <w:tblW w:w="12960" w:type="dxa"/>
        <w:jc w:val="center"/>
        <w:tblLayout w:type="fixed"/>
        <w:tblCellMar>
          <w:top w:w="72" w:type="dxa"/>
          <w:left w:w="72" w:type="dxa"/>
          <w:bottom w:w="72" w:type="dxa"/>
          <w:right w:w="72" w:type="dxa"/>
        </w:tblCellMar>
        <w:tblLook w:val="04A0"/>
      </w:tblPr>
      <w:tblGrid>
        <w:gridCol w:w="2335"/>
        <w:gridCol w:w="1259"/>
        <w:gridCol w:w="1139"/>
        <w:gridCol w:w="1302"/>
        <w:gridCol w:w="1311"/>
        <w:gridCol w:w="990"/>
        <w:gridCol w:w="811"/>
        <w:gridCol w:w="1380"/>
        <w:gridCol w:w="1288"/>
        <w:gridCol w:w="1145"/>
      </w:tblGrid>
      <w:tr w:rsidR="00A34AD8" w:rsidTr="00A34AD8">
        <w:trPr>
          <w:trHeight w:val="255"/>
          <w:jc w:val="center"/>
        </w:trPr>
        <w:tc>
          <w:tcPr>
            <w:tcW w:w="12960" w:type="dxa"/>
            <w:gridSpan w:val="10"/>
            <w:tcBorders>
              <w:bottom w:val="single" w:sz="4" w:space="0" w:color="auto"/>
            </w:tcBorders>
            <w:shd w:val="clear" w:color="auto" w:fill="auto"/>
          </w:tcPr>
          <w:p w:rsidR="00A34AD8" w:rsidRDefault="00A34AD8" w:rsidP="00A34AD8">
            <w:pPr>
              <w:keepNext/>
              <w:keepLines/>
              <w:jc w:val="center"/>
              <w:rPr>
                <w:b/>
                <w:color w:val="0F0F0F"/>
              </w:rPr>
            </w:pPr>
            <w:r w:rsidRPr="001774B5">
              <w:rPr>
                <w:b/>
                <w:color w:val="0F0F0F"/>
              </w:rPr>
              <w:t xml:space="preserve">Table </w:t>
            </w:r>
            <w:r w:rsidR="009269F3">
              <w:rPr>
                <w:b/>
                <w:color w:val="0F0F0F"/>
              </w:rPr>
              <w:t>6-5</w:t>
            </w:r>
            <w:r>
              <w:rPr>
                <w:b/>
                <w:color w:val="0F0F0F"/>
              </w:rPr>
              <w:t>:</w:t>
            </w:r>
            <w:r w:rsidRPr="001774B5">
              <w:rPr>
                <w:b/>
                <w:color w:val="0F0F0F"/>
              </w:rPr>
              <w:t xml:space="preserve"> </w:t>
            </w:r>
            <w:r w:rsidRPr="001774B5">
              <w:rPr>
                <w:b/>
                <w:color w:val="0F0F0F"/>
              </w:rPr>
              <w:br/>
              <w:t>Annual Industry Respondent Burden and Cost by Activity</w:t>
            </w:r>
            <w:r>
              <w:rPr>
                <w:b/>
                <w:color w:val="0F0F0F"/>
              </w:rPr>
              <w:t xml:space="preserve"> (cont.)</w:t>
            </w:r>
          </w:p>
          <w:p w:rsidR="00A34AD8" w:rsidRDefault="00A34AD8" w:rsidP="00A34AD8">
            <w:pPr>
              <w:keepNext/>
              <w:keepLines/>
              <w:jc w:val="center"/>
              <w:rPr>
                <w:sz w:val="20"/>
                <w:szCs w:val="20"/>
              </w:rPr>
            </w:pPr>
          </w:p>
        </w:tc>
      </w:tr>
      <w:tr w:rsidR="00A34AD8" w:rsidRPr="00764293" w:rsidTr="00A34AD8">
        <w:trPr>
          <w:trHeight w:val="80"/>
          <w:jc w:val="center"/>
        </w:trPr>
        <w:tc>
          <w:tcPr>
            <w:tcW w:w="2335" w:type="dxa"/>
            <w:vMerge w:val="restart"/>
            <w:tcBorders>
              <w:top w:val="single" w:sz="4" w:space="0" w:color="auto"/>
              <w:left w:val="single" w:sz="4" w:space="0" w:color="auto"/>
              <w:bottom w:val="single" w:sz="4" w:space="0" w:color="auto"/>
              <w:right w:val="single" w:sz="4" w:space="0" w:color="auto"/>
            </w:tcBorders>
            <w:shd w:val="pct10" w:color="auto" w:fill="auto"/>
            <w:vAlign w:val="bottom"/>
          </w:tcPr>
          <w:p w:rsidR="00A34AD8" w:rsidRPr="00764293" w:rsidRDefault="00A34AD8" w:rsidP="00A34AD8">
            <w:pPr>
              <w:keepNext/>
              <w:keepLines/>
              <w:jc w:val="center"/>
              <w:rPr>
                <w:b/>
                <w:bCs/>
                <w:sz w:val="22"/>
              </w:rPr>
            </w:pPr>
          </w:p>
          <w:p w:rsidR="00A34AD8" w:rsidRPr="00764293" w:rsidRDefault="00A34AD8" w:rsidP="00A34AD8">
            <w:pPr>
              <w:keepNext/>
              <w:keepLines/>
              <w:jc w:val="center"/>
              <w:rPr>
                <w:b/>
                <w:bCs/>
                <w:sz w:val="22"/>
              </w:rPr>
            </w:pPr>
          </w:p>
          <w:p w:rsidR="00A34AD8" w:rsidRPr="00764293" w:rsidRDefault="00A34AD8" w:rsidP="00A34AD8">
            <w:pPr>
              <w:keepNext/>
              <w:keepLines/>
              <w:jc w:val="center"/>
              <w:rPr>
                <w:b/>
                <w:bCs/>
                <w:sz w:val="22"/>
              </w:rPr>
            </w:pPr>
          </w:p>
          <w:p w:rsidR="00A34AD8" w:rsidRPr="00764293" w:rsidRDefault="00A34AD8" w:rsidP="00A34AD8">
            <w:pPr>
              <w:keepNext/>
              <w:keepLines/>
              <w:jc w:val="center"/>
              <w:rPr>
                <w:b/>
                <w:bCs/>
                <w:sz w:val="22"/>
              </w:rPr>
            </w:pPr>
          </w:p>
        </w:tc>
        <w:tc>
          <w:tcPr>
            <w:tcW w:w="1259" w:type="dxa"/>
            <w:tcBorders>
              <w:top w:val="single" w:sz="4" w:space="0" w:color="auto"/>
              <w:left w:val="nil"/>
              <w:bottom w:val="single" w:sz="4" w:space="0" w:color="auto"/>
            </w:tcBorders>
            <w:shd w:val="pct10" w:color="auto" w:fill="auto"/>
            <w:vAlign w:val="bottom"/>
          </w:tcPr>
          <w:p w:rsidR="00A34AD8" w:rsidRPr="00764293" w:rsidRDefault="00A34AD8" w:rsidP="00A34AD8">
            <w:pPr>
              <w:keepNext/>
              <w:keepLines/>
              <w:jc w:val="center"/>
              <w:rPr>
                <w:b/>
                <w:bCs/>
                <w:sz w:val="22"/>
              </w:rPr>
            </w:pPr>
          </w:p>
        </w:tc>
        <w:tc>
          <w:tcPr>
            <w:tcW w:w="1139" w:type="dxa"/>
            <w:tcBorders>
              <w:top w:val="single" w:sz="4" w:space="0" w:color="auto"/>
              <w:bottom w:val="single" w:sz="4" w:space="0" w:color="auto"/>
            </w:tcBorders>
            <w:shd w:val="pct10" w:color="auto" w:fill="auto"/>
            <w:vAlign w:val="bottom"/>
          </w:tcPr>
          <w:p w:rsidR="00A34AD8" w:rsidRPr="00764293" w:rsidRDefault="00A34AD8" w:rsidP="00A34AD8">
            <w:pPr>
              <w:keepNext/>
              <w:keepLines/>
              <w:jc w:val="center"/>
              <w:rPr>
                <w:b/>
                <w:bCs/>
                <w:sz w:val="22"/>
              </w:rPr>
            </w:pPr>
          </w:p>
        </w:tc>
        <w:tc>
          <w:tcPr>
            <w:tcW w:w="1302" w:type="dxa"/>
            <w:tcBorders>
              <w:top w:val="single" w:sz="4" w:space="0" w:color="auto"/>
              <w:bottom w:val="single" w:sz="4" w:space="0" w:color="auto"/>
              <w:right w:val="single" w:sz="4" w:space="0" w:color="auto"/>
            </w:tcBorders>
            <w:shd w:val="pct10" w:color="auto" w:fill="auto"/>
            <w:vAlign w:val="bottom"/>
          </w:tcPr>
          <w:p w:rsidR="00A34AD8" w:rsidRPr="00764293" w:rsidRDefault="00A34AD8" w:rsidP="00A34AD8">
            <w:pPr>
              <w:keepNext/>
              <w:keepLines/>
              <w:jc w:val="center"/>
              <w:rPr>
                <w:b/>
                <w:bCs/>
                <w:sz w:val="22"/>
              </w:rPr>
            </w:pPr>
          </w:p>
        </w:tc>
        <w:tc>
          <w:tcPr>
            <w:tcW w:w="1311" w:type="dxa"/>
            <w:vMerge w:val="restart"/>
            <w:tcBorders>
              <w:top w:val="single" w:sz="4" w:space="0" w:color="auto"/>
              <w:left w:val="nil"/>
              <w:bottom w:val="single" w:sz="4" w:space="0" w:color="auto"/>
              <w:right w:val="single" w:sz="4" w:space="0" w:color="auto"/>
            </w:tcBorders>
            <w:shd w:val="pct10" w:color="auto" w:fill="auto"/>
            <w:vAlign w:val="bottom"/>
          </w:tcPr>
          <w:p w:rsidR="00A34AD8" w:rsidRPr="00764293" w:rsidRDefault="00A34AD8" w:rsidP="00A34AD8">
            <w:pPr>
              <w:keepNext/>
              <w:keepLines/>
              <w:jc w:val="center"/>
              <w:rPr>
                <w:b/>
                <w:bCs/>
                <w:sz w:val="22"/>
              </w:rPr>
            </w:pPr>
            <w:r w:rsidRPr="00764293">
              <w:rPr>
                <w:b/>
                <w:bCs/>
                <w:sz w:val="22"/>
              </w:rPr>
              <w:t>Respondent</w:t>
            </w:r>
          </w:p>
          <w:p w:rsidR="00A34AD8" w:rsidRPr="00764293" w:rsidRDefault="00A34AD8" w:rsidP="00A34AD8">
            <w:pPr>
              <w:keepNext/>
              <w:keepLines/>
              <w:jc w:val="center"/>
              <w:rPr>
                <w:b/>
                <w:bCs/>
                <w:sz w:val="22"/>
              </w:rPr>
            </w:pPr>
            <w:r w:rsidRPr="00764293">
              <w:rPr>
                <w:b/>
                <w:bCs/>
                <w:sz w:val="22"/>
              </w:rPr>
              <w:t>Labor Cost/Year</w:t>
            </w:r>
          </w:p>
          <w:p w:rsidR="00A34AD8" w:rsidRPr="00764293" w:rsidRDefault="00A34AD8" w:rsidP="00A34AD8">
            <w:pPr>
              <w:keepNext/>
              <w:keepLines/>
              <w:jc w:val="center"/>
              <w:rPr>
                <w:b/>
                <w:bCs/>
                <w:sz w:val="22"/>
              </w:rPr>
            </w:pPr>
          </w:p>
        </w:tc>
        <w:tc>
          <w:tcPr>
            <w:tcW w:w="1801" w:type="dxa"/>
            <w:gridSpan w:val="2"/>
            <w:tcBorders>
              <w:top w:val="single" w:sz="4" w:space="0" w:color="auto"/>
              <w:left w:val="nil"/>
              <w:bottom w:val="single" w:sz="4" w:space="0" w:color="auto"/>
              <w:right w:val="single" w:sz="4" w:space="0" w:color="auto"/>
            </w:tcBorders>
            <w:shd w:val="pct10" w:color="auto" w:fill="auto"/>
            <w:vAlign w:val="bottom"/>
          </w:tcPr>
          <w:p w:rsidR="00A34AD8" w:rsidRPr="00764293" w:rsidRDefault="00A34AD8" w:rsidP="00A34AD8">
            <w:pPr>
              <w:keepNext/>
              <w:keepLines/>
              <w:jc w:val="center"/>
              <w:rPr>
                <w:b/>
                <w:bCs/>
                <w:sz w:val="22"/>
              </w:rPr>
            </w:pPr>
            <w:r w:rsidRPr="00764293">
              <w:rPr>
                <w:b/>
                <w:bCs/>
                <w:sz w:val="22"/>
              </w:rPr>
              <w:t>Annual Capital</w:t>
            </w:r>
          </w:p>
        </w:tc>
        <w:tc>
          <w:tcPr>
            <w:tcW w:w="1380" w:type="dxa"/>
            <w:tcBorders>
              <w:top w:val="single" w:sz="4" w:space="0" w:color="auto"/>
              <w:left w:val="nil"/>
              <w:bottom w:val="single" w:sz="4" w:space="0" w:color="auto"/>
            </w:tcBorders>
            <w:shd w:val="pct10" w:color="auto" w:fill="auto"/>
            <w:vAlign w:val="bottom"/>
          </w:tcPr>
          <w:p w:rsidR="00A34AD8" w:rsidRPr="00764293" w:rsidRDefault="00A34AD8" w:rsidP="00A34AD8">
            <w:pPr>
              <w:keepNext/>
              <w:keepLines/>
              <w:jc w:val="center"/>
              <w:rPr>
                <w:b/>
                <w:bCs/>
                <w:sz w:val="22"/>
              </w:rPr>
            </w:pPr>
          </w:p>
        </w:tc>
        <w:tc>
          <w:tcPr>
            <w:tcW w:w="1288" w:type="dxa"/>
            <w:tcBorders>
              <w:top w:val="single" w:sz="4" w:space="0" w:color="auto"/>
              <w:bottom w:val="single" w:sz="4" w:space="0" w:color="auto"/>
            </w:tcBorders>
            <w:shd w:val="pct10" w:color="auto" w:fill="auto"/>
            <w:vAlign w:val="bottom"/>
          </w:tcPr>
          <w:p w:rsidR="00A34AD8" w:rsidRPr="00764293" w:rsidRDefault="00A34AD8" w:rsidP="00A34AD8">
            <w:pPr>
              <w:keepNext/>
              <w:keepLines/>
              <w:jc w:val="center"/>
              <w:rPr>
                <w:b/>
                <w:bCs/>
                <w:sz w:val="22"/>
              </w:rPr>
            </w:pPr>
          </w:p>
        </w:tc>
        <w:tc>
          <w:tcPr>
            <w:tcW w:w="1145" w:type="dxa"/>
            <w:tcBorders>
              <w:top w:val="single" w:sz="4" w:space="0" w:color="auto"/>
              <w:bottom w:val="single" w:sz="4" w:space="0" w:color="auto"/>
              <w:right w:val="single" w:sz="4" w:space="0" w:color="auto"/>
            </w:tcBorders>
            <w:shd w:val="pct10" w:color="auto" w:fill="auto"/>
            <w:vAlign w:val="bottom"/>
          </w:tcPr>
          <w:p w:rsidR="00A34AD8" w:rsidRPr="00764293" w:rsidRDefault="00A34AD8" w:rsidP="00A34AD8">
            <w:pPr>
              <w:keepNext/>
              <w:keepLines/>
              <w:jc w:val="center"/>
              <w:rPr>
                <w:b/>
                <w:bCs/>
                <w:sz w:val="22"/>
              </w:rPr>
            </w:pPr>
          </w:p>
        </w:tc>
      </w:tr>
      <w:tr w:rsidR="00076623" w:rsidRPr="00764293" w:rsidTr="00A34AD8">
        <w:trPr>
          <w:trHeight w:val="548"/>
          <w:jc w:val="center"/>
        </w:trPr>
        <w:tc>
          <w:tcPr>
            <w:tcW w:w="2335" w:type="dxa"/>
            <w:vMerge/>
            <w:tcBorders>
              <w:top w:val="single" w:sz="4" w:space="0" w:color="auto"/>
              <w:left w:val="single" w:sz="4" w:space="0" w:color="auto"/>
              <w:bottom w:val="single" w:sz="4" w:space="0" w:color="auto"/>
              <w:right w:val="single" w:sz="4" w:space="0" w:color="auto"/>
            </w:tcBorders>
            <w:shd w:val="pct10" w:color="auto" w:fill="auto"/>
            <w:vAlign w:val="bottom"/>
          </w:tcPr>
          <w:p w:rsidR="00076623" w:rsidRPr="00764293" w:rsidRDefault="00076623" w:rsidP="00A34AD8">
            <w:pPr>
              <w:keepNext/>
              <w:keepLines/>
              <w:jc w:val="center"/>
              <w:rPr>
                <w:b/>
                <w:bCs/>
                <w:sz w:val="22"/>
              </w:rPr>
            </w:pPr>
          </w:p>
        </w:tc>
        <w:tc>
          <w:tcPr>
            <w:tcW w:w="125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Manager $</w:t>
            </w:r>
            <w:r w:rsidR="003C0FF8">
              <w:rPr>
                <w:b/>
                <w:bCs/>
                <w:sz w:val="22"/>
              </w:rPr>
              <w:t>95.10</w:t>
            </w:r>
          </w:p>
          <w:p w:rsidR="00076623" w:rsidRPr="00764293" w:rsidRDefault="00076623" w:rsidP="00A947BD">
            <w:pPr>
              <w:keepNext/>
              <w:keepLines/>
              <w:jc w:val="center"/>
              <w:rPr>
                <w:b/>
                <w:bCs/>
                <w:sz w:val="22"/>
              </w:rPr>
            </w:pPr>
            <w:r w:rsidRPr="00764293">
              <w:rPr>
                <w:b/>
                <w:bCs/>
                <w:sz w:val="22"/>
              </w:rPr>
              <w:t>Per Hour (20</w:t>
            </w:r>
            <w:r>
              <w:rPr>
                <w:b/>
                <w:bCs/>
                <w:sz w:val="22"/>
              </w:rPr>
              <w:t>1</w:t>
            </w:r>
            <w:r w:rsidR="00A947BD">
              <w:rPr>
                <w:b/>
                <w:bCs/>
                <w:sz w:val="22"/>
              </w:rPr>
              <w:t>3</w:t>
            </w:r>
            <w:r w:rsidRPr="00764293">
              <w:rPr>
                <w:b/>
                <w:bCs/>
                <w:sz w:val="22"/>
              </w:rPr>
              <w:t>)</w:t>
            </w:r>
          </w:p>
        </w:tc>
        <w:tc>
          <w:tcPr>
            <w:tcW w:w="1139"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076623">
            <w:pPr>
              <w:jc w:val="center"/>
              <w:rPr>
                <w:b/>
                <w:bCs/>
                <w:sz w:val="22"/>
              </w:rPr>
            </w:pPr>
            <w:r w:rsidRPr="00764293">
              <w:rPr>
                <w:b/>
                <w:bCs/>
                <w:sz w:val="22"/>
              </w:rPr>
              <w:t>Technical $</w:t>
            </w:r>
            <w:r>
              <w:rPr>
                <w:b/>
                <w:bCs/>
                <w:sz w:val="22"/>
              </w:rPr>
              <w:t>6</w:t>
            </w:r>
            <w:r w:rsidR="003C0FF8">
              <w:rPr>
                <w:b/>
                <w:bCs/>
                <w:sz w:val="22"/>
              </w:rPr>
              <w:t>7.38</w:t>
            </w:r>
          </w:p>
          <w:p w:rsidR="00076623" w:rsidRPr="00764293" w:rsidRDefault="00076623" w:rsidP="00A947BD">
            <w:pPr>
              <w:keepNext/>
              <w:keepLines/>
              <w:jc w:val="center"/>
              <w:rPr>
                <w:b/>
                <w:bCs/>
                <w:sz w:val="22"/>
              </w:rPr>
            </w:pPr>
            <w:r w:rsidRPr="00764293">
              <w:rPr>
                <w:b/>
                <w:bCs/>
                <w:sz w:val="22"/>
              </w:rPr>
              <w:t>Per Hour (20</w:t>
            </w:r>
            <w:r>
              <w:rPr>
                <w:b/>
                <w:bCs/>
                <w:sz w:val="22"/>
              </w:rPr>
              <w:t>1</w:t>
            </w:r>
            <w:r w:rsidR="00A947BD">
              <w:rPr>
                <w:b/>
                <w:bCs/>
                <w:sz w:val="22"/>
              </w:rPr>
              <w:t>3</w:t>
            </w:r>
            <w:r w:rsidRPr="00764293">
              <w:rPr>
                <w:b/>
                <w:bCs/>
                <w:sz w:val="22"/>
              </w:rPr>
              <w:t>)</w:t>
            </w:r>
          </w:p>
        </w:tc>
        <w:tc>
          <w:tcPr>
            <w:tcW w:w="1302"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A34AD8">
            <w:pPr>
              <w:keepNext/>
              <w:keepLines/>
              <w:jc w:val="center"/>
              <w:rPr>
                <w:b/>
                <w:bCs/>
                <w:sz w:val="22"/>
              </w:rPr>
            </w:pPr>
            <w:r w:rsidRPr="00764293">
              <w:rPr>
                <w:b/>
                <w:bCs/>
                <w:sz w:val="22"/>
              </w:rPr>
              <w:t>Respondent Hours/Year</w:t>
            </w:r>
          </w:p>
          <w:p w:rsidR="00076623" w:rsidRPr="00764293" w:rsidRDefault="00076623" w:rsidP="00A34AD8">
            <w:pPr>
              <w:keepNext/>
              <w:keepLines/>
              <w:jc w:val="center"/>
              <w:rPr>
                <w:b/>
                <w:bCs/>
                <w:sz w:val="22"/>
              </w:rPr>
            </w:pPr>
          </w:p>
        </w:tc>
        <w:tc>
          <w:tcPr>
            <w:tcW w:w="1311" w:type="dxa"/>
            <w:vMerge/>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A34AD8">
            <w:pPr>
              <w:keepNext/>
              <w:keepLines/>
              <w:jc w:val="center"/>
              <w:rPr>
                <w:b/>
                <w:bCs/>
                <w:sz w:val="22"/>
              </w:rPr>
            </w:pPr>
          </w:p>
        </w:tc>
        <w:tc>
          <w:tcPr>
            <w:tcW w:w="99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A34AD8">
            <w:pPr>
              <w:keepNext/>
              <w:keepLines/>
              <w:jc w:val="center"/>
              <w:rPr>
                <w:b/>
                <w:bCs/>
                <w:sz w:val="22"/>
              </w:rPr>
            </w:pPr>
            <w:r w:rsidRPr="00764293">
              <w:rPr>
                <w:b/>
                <w:bCs/>
                <w:sz w:val="22"/>
              </w:rPr>
              <w:t>Startup Costs</w:t>
            </w:r>
          </w:p>
          <w:p w:rsidR="00076623" w:rsidRPr="00764293" w:rsidRDefault="00076623" w:rsidP="00A34AD8">
            <w:pPr>
              <w:keepNext/>
              <w:keepLines/>
              <w:jc w:val="center"/>
              <w:rPr>
                <w:b/>
                <w:bCs/>
                <w:sz w:val="22"/>
              </w:rPr>
            </w:pPr>
          </w:p>
        </w:tc>
        <w:tc>
          <w:tcPr>
            <w:tcW w:w="811"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A34AD8">
            <w:pPr>
              <w:keepNext/>
              <w:keepLines/>
              <w:jc w:val="center"/>
              <w:rPr>
                <w:b/>
                <w:bCs/>
                <w:sz w:val="22"/>
              </w:rPr>
            </w:pPr>
            <w:r w:rsidRPr="00764293">
              <w:rPr>
                <w:b/>
                <w:bCs/>
                <w:sz w:val="22"/>
              </w:rPr>
              <w:t>O&amp;M Cost</w:t>
            </w:r>
          </w:p>
          <w:p w:rsidR="00076623" w:rsidRPr="00764293" w:rsidRDefault="00076623" w:rsidP="00A34AD8">
            <w:pPr>
              <w:keepNext/>
              <w:keepLines/>
              <w:jc w:val="center"/>
              <w:rPr>
                <w:b/>
                <w:bCs/>
                <w:sz w:val="22"/>
              </w:rPr>
            </w:pPr>
          </w:p>
        </w:tc>
        <w:tc>
          <w:tcPr>
            <w:tcW w:w="1380"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A34AD8">
            <w:pPr>
              <w:keepNext/>
              <w:keepLines/>
              <w:jc w:val="center"/>
              <w:rPr>
                <w:b/>
                <w:bCs/>
                <w:sz w:val="22"/>
              </w:rPr>
            </w:pPr>
            <w:r w:rsidRPr="00764293">
              <w:rPr>
                <w:b/>
                <w:bCs/>
                <w:sz w:val="22"/>
              </w:rPr>
              <w:t>Number of Respondents</w:t>
            </w:r>
          </w:p>
          <w:p w:rsidR="00076623" w:rsidRPr="00764293" w:rsidRDefault="00076623" w:rsidP="00652F6F">
            <w:pPr>
              <w:keepNext/>
              <w:keepLines/>
              <w:rPr>
                <w:b/>
                <w:bCs/>
                <w:sz w:val="22"/>
              </w:rPr>
            </w:pPr>
          </w:p>
        </w:tc>
        <w:tc>
          <w:tcPr>
            <w:tcW w:w="1288"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A34AD8">
            <w:pPr>
              <w:keepNext/>
              <w:keepLines/>
              <w:jc w:val="center"/>
              <w:rPr>
                <w:b/>
                <w:bCs/>
                <w:sz w:val="22"/>
              </w:rPr>
            </w:pPr>
            <w:r w:rsidRPr="00764293">
              <w:rPr>
                <w:b/>
                <w:bCs/>
                <w:sz w:val="22"/>
              </w:rPr>
              <w:t>Total Hours/Year</w:t>
            </w:r>
          </w:p>
          <w:p w:rsidR="00076623" w:rsidRPr="00764293" w:rsidRDefault="00076623" w:rsidP="00652F6F">
            <w:pPr>
              <w:keepNext/>
              <w:keepLines/>
              <w:rPr>
                <w:b/>
                <w:bCs/>
                <w:sz w:val="22"/>
              </w:rPr>
            </w:pPr>
          </w:p>
        </w:tc>
        <w:tc>
          <w:tcPr>
            <w:tcW w:w="1145" w:type="dxa"/>
            <w:tcBorders>
              <w:top w:val="single" w:sz="4" w:space="0" w:color="auto"/>
              <w:left w:val="nil"/>
              <w:bottom w:val="single" w:sz="4" w:space="0" w:color="auto"/>
              <w:right w:val="single" w:sz="4" w:space="0" w:color="auto"/>
            </w:tcBorders>
            <w:shd w:val="pct10" w:color="auto" w:fill="auto"/>
            <w:vAlign w:val="bottom"/>
          </w:tcPr>
          <w:p w:rsidR="00076623" w:rsidRPr="00764293" w:rsidRDefault="00076623" w:rsidP="00A34AD8">
            <w:pPr>
              <w:keepNext/>
              <w:keepLines/>
              <w:jc w:val="center"/>
              <w:rPr>
                <w:b/>
                <w:bCs/>
                <w:sz w:val="22"/>
              </w:rPr>
            </w:pPr>
            <w:r w:rsidRPr="00764293">
              <w:rPr>
                <w:b/>
                <w:bCs/>
                <w:sz w:val="22"/>
              </w:rPr>
              <w:t>Total Cost/Year</w:t>
            </w:r>
          </w:p>
          <w:p w:rsidR="00076623" w:rsidRPr="00764293" w:rsidRDefault="00076623" w:rsidP="00A34AD8">
            <w:pPr>
              <w:keepNext/>
              <w:keepLines/>
              <w:jc w:val="center"/>
              <w:rPr>
                <w:b/>
                <w:bCs/>
                <w:sz w:val="22"/>
              </w:rPr>
            </w:pPr>
          </w:p>
        </w:tc>
      </w:tr>
      <w:tr w:rsidR="00A34AD8" w:rsidRPr="001774B5" w:rsidTr="00A34AD8">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A34AD8" w:rsidRPr="001774B5" w:rsidRDefault="00A34AD8" w:rsidP="00A34AD8">
            <w:pPr>
              <w:jc w:val="center"/>
              <w:rPr>
                <w:b/>
                <w:bCs/>
                <w:sz w:val="20"/>
                <w:szCs w:val="20"/>
              </w:rPr>
            </w:pPr>
            <w:r w:rsidRPr="001774B5">
              <w:rPr>
                <w:b/>
                <w:bCs/>
                <w:sz w:val="20"/>
                <w:szCs w:val="20"/>
              </w:rPr>
              <w:t>Perform QA Testing and Maintenance</w:t>
            </w:r>
            <w:r>
              <w:rPr>
                <w:b/>
                <w:bCs/>
                <w:sz w:val="20"/>
                <w:szCs w:val="20"/>
              </w:rPr>
              <w:t xml:space="preserve"> (cont.)</w:t>
            </w:r>
          </w:p>
        </w:tc>
      </w:tr>
      <w:tr w:rsidR="00717EF6"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717EF6" w:rsidRDefault="00717EF6" w:rsidP="00E3790C">
            <w:pPr>
              <w:ind w:left="245" w:hanging="245"/>
              <w:rPr>
                <w:sz w:val="20"/>
                <w:szCs w:val="20"/>
              </w:rPr>
            </w:pPr>
            <w:r>
              <w:rPr>
                <w:sz w:val="20"/>
                <w:szCs w:val="20"/>
              </w:rPr>
              <w:t xml:space="preserve">States now Ozone </w:t>
            </w:r>
            <w:r w:rsidR="008956C2">
              <w:rPr>
                <w:sz w:val="20"/>
                <w:szCs w:val="20"/>
              </w:rPr>
              <w:t xml:space="preserve">Season </w:t>
            </w:r>
            <w:r>
              <w:rPr>
                <w:sz w:val="20"/>
                <w:szCs w:val="20"/>
              </w:rPr>
              <w:t>Only</w:t>
            </w:r>
            <w:r w:rsidR="008956C2">
              <w:rPr>
                <w:sz w:val="20"/>
                <w:szCs w:val="20"/>
              </w:rPr>
              <w:t xml:space="preserve"> - </w:t>
            </w:r>
            <w:r>
              <w:rPr>
                <w:sz w:val="20"/>
                <w:szCs w:val="20"/>
              </w:rPr>
              <w:t>Mississippi</w:t>
            </w:r>
            <w:r w:rsidR="00E3790C">
              <w:rPr>
                <w:sz w:val="20"/>
                <w:szCs w:val="20"/>
              </w:rPr>
              <w:t>, Florida, Louisiana</w:t>
            </w:r>
          </w:p>
        </w:tc>
        <w:tc>
          <w:tcPr>
            <w:tcW w:w="1259" w:type="dxa"/>
            <w:tcBorders>
              <w:top w:val="nil"/>
              <w:left w:val="nil"/>
              <w:bottom w:val="single" w:sz="4" w:space="0" w:color="auto"/>
              <w:right w:val="single" w:sz="4" w:space="0" w:color="auto"/>
            </w:tcBorders>
            <w:shd w:val="clear" w:color="auto" w:fill="auto"/>
            <w:vAlign w:val="bottom"/>
          </w:tcPr>
          <w:p w:rsidR="00717EF6" w:rsidRPr="006B6347" w:rsidRDefault="00717EF6" w:rsidP="007506A5">
            <w:pPr>
              <w:jc w:val="right"/>
              <w:rPr>
                <w:rFonts w:eastAsia="Times New Roman"/>
                <w:color w:val="000000"/>
                <w:sz w:val="20"/>
                <w:szCs w:val="20"/>
              </w:rPr>
            </w:pPr>
            <w:r w:rsidRPr="006B6347">
              <w:rPr>
                <w:rFonts w:eastAsia="Times New Roman"/>
                <w:color w:val="000000"/>
                <w:sz w:val="20"/>
                <w:szCs w:val="20"/>
              </w:rPr>
              <w:t>8</w:t>
            </w:r>
          </w:p>
        </w:tc>
        <w:tc>
          <w:tcPr>
            <w:tcW w:w="1139" w:type="dxa"/>
            <w:tcBorders>
              <w:top w:val="nil"/>
              <w:left w:val="nil"/>
              <w:bottom w:val="single" w:sz="4" w:space="0" w:color="auto"/>
              <w:right w:val="single" w:sz="4" w:space="0" w:color="auto"/>
            </w:tcBorders>
            <w:shd w:val="clear" w:color="auto" w:fill="auto"/>
            <w:vAlign w:val="bottom"/>
          </w:tcPr>
          <w:p w:rsidR="00717EF6" w:rsidRPr="006B6347" w:rsidRDefault="00717EF6" w:rsidP="007506A5">
            <w:pPr>
              <w:jc w:val="right"/>
              <w:rPr>
                <w:rFonts w:eastAsia="Times New Roman"/>
                <w:color w:val="000000"/>
                <w:sz w:val="20"/>
                <w:szCs w:val="20"/>
              </w:rPr>
            </w:pPr>
            <w:r w:rsidRPr="006B6347">
              <w:rPr>
                <w:rFonts w:eastAsia="Times New Roman"/>
                <w:color w:val="000000"/>
                <w:sz w:val="20"/>
                <w:szCs w:val="20"/>
              </w:rPr>
              <w:t>21</w:t>
            </w:r>
          </w:p>
        </w:tc>
        <w:tc>
          <w:tcPr>
            <w:tcW w:w="1302" w:type="dxa"/>
            <w:tcBorders>
              <w:top w:val="nil"/>
              <w:left w:val="nil"/>
              <w:bottom w:val="single" w:sz="4" w:space="0" w:color="auto"/>
              <w:right w:val="single" w:sz="4" w:space="0" w:color="auto"/>
            </w:tcBorders>
            <w:shd w:val="clear" w:color="auto" w:fill="auto"/>
            <w:vAlign w:val="bottom"/>
          </w:tcPr>
          <w:p w:rsidR="00717EF6" w:rsidRPr="006B6347" w:rsidRDefault="00717EF6" w:rsidP="007506A5">
            <w:pPr>
              <w:jc w:val="right"/>
              <w:rPr>
                <w:rFonts w:eastAsia="Times New Roman"/>
                <w:color w:val="000000"/>
                <w:sz w:val="20"/>
                <w:szCs w:val="20"/>
              </w:rPr>
            </w:pPr>
            <w:r w:rsidRPr="006B6347">
              <w:rPr>
                <w:rFonts w:eastAsia="Times New Roman"/>
                <w:color w:val="000000"/>
                <w:sz w:val="20"/>
                <w:szCs w:val="20"/>
              </w:rPr>
              <w:t>29</w:t>
            </w:r>
          </w:p>
        </w:tc>
        <w:tc>
          <w:tcPr>
            <w:tcW w:w="1311" w:type="dxa"/>
            <w:tcBorders>
              <w:top w:val="nil"/>
              <w:left w:val="nil"/>
              <w:bottom w:val="single" w:sz="4" w:space="0" w:color="auto"/>
              <w:right w:val="single" w:sz="4" w:space="0" w:color="auto"/>
            </w:tcBorders>
            <w:shd w:val="clear" w:color="auto" w:fill="auto"/>
            <w:vAlign w:val="bottom"/>
          </w:tcPr>
          <w:p w:rsidR="00717EF6" w:rsidRPr="006B6347" w:rsidRDefault="00717EF6" w:rsidP="00B94168">
            <w:pPr>
              <w:jc w:val="right"/>
              <w:rPr>
                <w:rFonts w:eastAsia="Times New Roman"/>
                <w:color w:val="000000"/>
                <w:sz w:val="20"/>
                <w:szCs w:val="20"/>
              </w:rPr>
            </w:pPr>
            <w:r w:rsidRPr="006B6347">
              <w:rPr>
                <w:rFonts w:eastAsia="Times New Roman"/>
                <w:color w:val="000000"/>
                <w:sz w:val="20"/>
                <w:szCs w:val="20"/>
              </w:rPr>
              <w:t>$2,</w:t>
            </w:r>
            <w:r w:rsidR="00B94168" w:rsidRPr="006B6347">
              <w:rPr>
                <w:rFonts w:eastAsia="Times New Roman"/>
                <w:color w:val="000000"/>
                <w:sz w:val="20"/>
                <w:szCs w:val="20"/>
              </w:rPr>
              <w:t>1</w:t>
            </w:r>
            <w:r w:rsidR="00B94168">
              <w:rPr>
                <w:rFonts w:eastAsia="Times New Roman"/>
                <w:color w:val="000000"/>
                <w:sz w:val="20"/>
                <w:szCs w:val="20"/>
              </w:rPr>
              <w:t>76</w:t>
            </w:r>
          </w:p>
        </w:tc>
        <w:tc>
          <w:tcPr>
            <w:tcW w:w="990"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r w:rsidRPr="006B6347">
              <w:rPr>
                <w:rFonts w:eastAsia="Times New Roman"/>
                <w:color w:val="000000"/>
                <w:sz w:val="20"/>
                <w:szCs w:val="20"/>
              </w:rPr>
              <w:t>27</w:t>
            </w:r>
          </w:p>
        </w:tc>
        <w:tc>
          <w:tcPr>
            <w:tcW w:w="1288"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r w:rsidRPr="006B6347">
              <w:rPr>
                <w:rFonts w:eastAsia="Times New Roman"/>
                <w:color w:val="000000"/>
                <w:sz w:val="20"/>
                <w:szCs w:val="20"/>
              </w:rPr>
              <w:t>783</w:t>
            </w:r>
          </w:p>
        </w:tc>
        <w:tc>
          <w:tcPr>
            <w:tcW w:w="1145" w:type="dxa"/>
            <w:tcBorders>
              <w:top w:val="nil"/>
              <w:left w:val="nil"/>
              <w:bottom w:val="single" w:sz="4" w:space="0" w:color="auto"/>
              <w:right w:val="single" w:sz="4" w:space="0" w:color="auto"/>
            </w:tcBorders>
            <w:shd w:val="clear" w:color="auto" w:fill="auto"/>
            <w:vAlign w:val="bottom"/>
          </w:tcPr>
          <w:p w:rsidR="00717EF6" w:rsidRPr="006B6347" w:rsidRDefault="00717EF6" w:rsidP="00C87F5A">
            <w:pPr>
              <w:jc w:val="right"/>
              <w:rPr>
                <w:rFonts w:eastAsia="Times New Roman"/>
                <w:color w:val="000000"/>
                <w:sz w:val="20"/>
                <w:szCs w:val="20"/>
              </w:rPr>
            </w:pPr>
            <w:r w:rsidRPr="006B6347">
              <w:rPr>
                <w:rFonts w:eastAsia="Times New Roman"/>
                <w:color w:val="000000"/>
                <w:sz w:val="20"/>
                <w:szCs w:val="20"/>
              </w:rPr>
              <w:t>$5</w:t>
            </w:r>
            <w:r w:rsidR="00C87F5A">
              <w:rPr>
                <w:rFonts w:eastAsia="Times New Roman"/>
                <w:color w:val="000000"/>
                <w:sz w:val="20"/>
                <w:szCs w:val="20"/>
              </w:rPr>
              <w:t>8,746</w:t>
            </w:r>
          </w:p>
        </w:tc>
      </w:tr>
      <w:tr w:rsidR="00717EF6" w:rsidRPr="001774B5" w:rsidTr="006B6347">
        <w:trPr>
          <w:trHeight w:val="510"/>
          <w:jc w:val="center"/>
        </w:trPr>
        <w:tc>
          <w:tcPr>
            <w:tcW w:w="2335" w:type="dxa"/>
            <w:tcBorders>
              <w:top w:val="nil"/>
              <w:left w:val="single" w:sz="4" w:space="0" w:color="auto"/>
              <w:bottom w:val="single" w:sz="4" w:space="0" w:color="auto"/>
              <w:right w:val="single" w:sz="4" w:space="0" w:color="auto"/>
            </w:tcBorders>
            <w:shd w:val="clear" w:color="auto" w:fill="auto"/>
          </w:tcPr>
          <w:p w:rsidR="00717EF6" w:rsidRDefault="008956C2" w:rsidP="000714D7">
            <w:pPr>
              <w:ind w:left="245" w:hanging="245"/>
              <w:rPr>
                <w:sz w:val="20"/>
                <w:szCs w:val="20"/>
              </w:rPr>
            </w:pPr>
            <w:r>
              <w:rPr>
                <w:sz w:val="20"/>
                <w:szCs w:val="20"/>
              </w:rPr>
              <w:t xml:space="preserve">States Not </w:t>
            </w:r>
            <w:r w:rsidR="00717EF6">
              <w:rPr>
                <w:sz w:val="20"/>
                <w:szCs w:val="20"/>
              </w:rPr>
              <w:t>Previously</w:t>
            </w:r>
            <w:r>
              <w:rPr>
                <w:sz w:val="20"/>
                <w:szCs w:val="20"/>
              </w:rPr>
              <w:t xml:space="preserve"> Covered</w:t>
            </w:r>
            <w:r w:rsidR="00717EF6">
              <w:rPr>
                <w:sz w:val="20"/>
                <w:szCs w:val="20"/>
              </w:rPr>
              <w:t xml:space="preserve"> - Kansas,</w:t>
            </w:r>
          </w:p>
          <w:p w:rsidR="00717EF6" w:rsidRDefault="002B7D3B" w:rsidP="000714D7">
            <w:pPr>
              <w:ind w:left="245" w:hanging="245"/>
              <w:rPr>
                <w:sz w:val="20"/>
                <w:szCs w:val="20"/>
              </w:rPr>
            </w:pPr>
            <w:r>
              <w:rPr>
                <w:sz w:val="20"/>
                <w:szCs w:val="20"/>
              </w:rPr>
              <w:t xml:space="preserve">   </w:t>
            </w:r>
            <w:r w:rsidR="00717EF6">
              <w:rPr>
                <w:sz w:val="20"/>
                <w:szCs w:val="20"/>
              </w:rPr>
              <w:t>Minnesota, Nebraska,</w:t>
            </w:r>
          </w:p>
          <w:p w:rsidR="00717EF6" w:rsidRDefault="002B7D3B" w:rsidP="000714D7">
            <w:pPr>
              <w:ind w:left="245" w:hanging="245"/>
              <w:rPr>
                <w:sz w:val="20"/>
                <w:szCs w:val="20"/>
              </w:rPr>
            </w:pPr>
            <w:r>
              <w:rPr>
                <w:sz w:val="20"/>
                <w:szCs w:val="20"/>
              </w:rPr>
              <w:t xml:space="preserve">   </w:t>
            </w:r>
            <w:r w:rsidR="00717EF6">
              <w:rPr>
                <w:sz w:val="20"/>
                <w:szCs w:val="20"/>
              </w:rPr>
              <w:t>Oklahoma</w:t>
            </w:r>
          </w:p>
        </w:tc>
        <w:tc>
          <w:tcPr>
            <w:tcW w:w="1259" w:type="dxa"/>
            <w:tcBorders>
              <w:top w:val="nil"/>
              <w:left w:val="nil"/>
              <w:bottom w:val="single" w:sz="4" w:space="0" w:color="auto"/>
              <w:right w:val="single" w:sz="4" w:space="0" w:color="auto"/>
            </w:tcBorders>
            <w:shd w:val="clear" w:color="auto" w:fill="auto"/>
            <w:vAlign w:val="bottom"/>
          </w:tcPr>
          <w:p w:rsidR="00717EF6" w:rsidRPr="006B6347" w:rsidRDefault="00717EF6" w:rsidP="007506A5">
            <w:pPr>
              <w:jc w:val="right"/>
              <w:rPr>
                <w:rFonts w:eastAsia="Times New Roman"/>
                <w:color w:val="000000"/>
                <w:sz w:val="20"/>
                <w:szCs w:val="20"/>
              </w:rPr>
            </w:pPr>
            <w:r w:rsidRPr="006B6347">
              <w:rPr>
                <w:rFonts w:eastAsia="Times New Roman"/>
                <w:color w:val="000000"/>
                <w:sz w:val="20"/>
                <w:szCs w:val="20"/>
              </w:rPr>
              <w:t>16</w:t>
            </w:r>
          </w:p>
        </w:tc>
        <w:tc>
          <w:tcPr>
            <w:tcW w:w="1139" w:type="dxa"/>
            <w:tcBorders>
              <w:top w:val="nil"/>
              <w:left w:val="nil"/>
              <w:bottom w:val="single" w:sz="4" w:space="0" w:color="auto"/>
              <w:right w:val="single" w:sz="4" w:space="0" w:color="auto"/>
            </w:tcBorders>
            <w:shd w:val="clear" w:color="auto" w:fill="auto"/>
            <w:vAlign w:val="bottom"/>
          </w:tcPr>
          <w:p w:rsidR="00717EF6" w:rsidRPr="006B6347" w:rsidRDefault="00717EF6" w:rsidP="007506A5">
            <w:pPr>
              <w:jc w:val="right"/>
              <w:rPr>
                <w:rFonts w:eastAsia="Times New Roman"/>
                <w:color w:val="000000"/>
                <w:sz w:val="20"/>
                <w:szCs w:val="20"/>
              </w:rPr>
            </w:pPr>
            <w:r w:rsidRPr="006B6347">
              <w:rPr>
                <w:rFonts w:eastAsia="Times New Roman"/>
                <w:color w:val="000000"/>
                <w:sz w:val="20"/>
                <w:szCs w:val="20"/>
              </w:rPr>
              <w:t>42</w:t>
            </w:r>
          </w:p>
        </w:tc>
        <w:tc>
          <w:tcPr>
            <w:tcW w:w="1302" w:type="dxa"/>
            <w:tcBorders>
              <w:top w:val="nil"/>
              <w:left w:val="nil"/>
              <w:bottom w:val="single" w:sz="4" w:space="0" w:color="auto"/>
              <w:right w:val="single" w:sz="4" w:space="0" w:color="auto"/>
            </w:tcBorders>
            <w:shd w:val="clear" w:color="auto" w:fill="auto"/>
            <w:vAlign w:val="bottom"/>
          </w:tcPr>
          <w:p w:rsidR="00717EF6" w:rsidRPr="006B6347" w:rsidRDefault="00717EF6" w:rsidP="007506A5">
            <w:pPr>
              <w:jc w:val="right"/>
              <w:rPr>
                <w:rFonts w:eastAsia="Times New Roman"/>
                <w:color w:val="000000"/>
                <w:sz w:val="20"/>
                <w:szCs w:val="20"/>
              </w:rPr>
            </w:pPr>
            <w:r w:rsidRPr="006B6347">
              <w:rPr>
                <w:rFonts w:eastAsia="Times New Roman"/>
                <w:color w:val="000000"/>
                <w:sz w:val="20"/>
                <w:szCs w:val="20"/>
              </w:rPr>
              <w:t>58</w:t>
            </w:r>
          </w:p>
        </w:tc>
        <w:tc>
          <w:tcPr>
            <w:tcW w:w="1311" w:type="dxa"/>
            <w:tcBorders>
              <w:top w:val="nil"/>
              <w:left w:val="nil"/>
              <w:bottom w:val="single" w:sz="4" w:space="0" w:color="auto"/>
              <w:right w:val="single" w:sz="4" w:space="0" w:color="auto"/>
            </w:tcBorders>
            <w:shd w:val="clear" w:color="auto" w:fill="auto"/>
            <w:vAlign w:val="bottom"/>
          </w:tcPr>
          <w:p w:rsidR="00717EF6" w:rsidRPr="006B6347" w:rsidRDefault="00717EF6" w:rsidP="00B94168">
            <w:pPr>
              <w:jc w:val="right"/>
              <w:rPr>
                <w:rFonts w:eastAsia="Times New Roman"/>
                <w:color w:val="000000"/>
                <w:sz w:val="20"/>
                <w:szCs w:val="20"/>
              </w:rPr>
            </w:pPr>
            <w:r w:rsidRPr="006B6347">
              <w:rPr>
                <w:rFonts w:eastAsia="Times New Roman"/>
                <w:color w:val="000000"/>
                <w:sz w:val="20"/>
                <w:szCs w:val="20"/>
              </w:rPr>
              <w:t>$4,</w:t>
            </w:r>
            <w:r w:rsidR="00B94168">
              <w:rPr>
                <w:rFonts w:eastAsia="Times New Roman"/>
                <w:color w:val="000000"/>
                <w:sz w:val="20"/>
                <w:szCs w:val="20"/>
              </w:rPr>
              <w:t>352</w:t>
            </w:r>
          </w:p>
        </w:tc>
        <w:tc>
          <w:tcPr>
            <w:tcW w:w="990"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r w:rsidRPr="006B6347">
              <w:rPr>
                <w:rFonts w:eastAsia="Times New Roman"/>
                <w:color w:val="000000"/>
                <w:sz w:val="20"/>
                <w:szCs w:val="20"/>
              </w:rPr>
              <w:t>35</w:t>
            </w:r>
          </w:p>
        </w:tc>
        <w:tc>
          <w:tcPr>
            <w:tcW w:w="1288"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r w:rsidRPr="006B6347">
              <w:rPr>
                <w:rFonts w:eastAsia="Times New Roman"/>
                <w:color w:val="000000"/>
                <w:sz w:val="20"/>
                <w:szCs w:val="20"/>
              </w:rPr>
              <w:t>2,030</w:t>
            </w:r>
          </w:p>
        </w:tc>
        <w:tc>
          <w:tcPr>
            <w:tcW w:w="1145" w:type="dxa"/>
            <w:tcBorders>
              <w:top w:val="nil"/>
              <w:left w:val="nil"/>
              <w:bottom w:val="single" w:sz="4" w:space="0" w:color="auto"/>
              <w:right w:val="single" w:sz="4" w:space="0" w:color="auto"/>
            </w:tcBorders>
            <w:shd w:val="clear" w:color="auto" w:fill="auto"/>
            <w:vAlign w:val="bottom"/>
          </w:tcPr>
          <w:p w:rsidR="00717EF6" w:rsidRPr="006B6347" w:rsidRDefault="00717EF6" w:rsidP="00C87F5A">
            <w:pPr>
              <w:jc w:val="right"/>
              <w:rPr>
                <w:rFonts w:eastAsia="Times New Roman"/>
                <w:color w:val="000000"/>
                <w:sz w:val="20"/>
                <w:szCs w:val="20"/>
              </w:rPr>
            </w:pPr>
            <w:r w:rsidRPr="006B6347">
              <w:rPr>
                <w:rFonts w:eastAsia="Times New Roman"/>
                <w:color w:val="000000"/>
                <w:sz w:val="20"/>
                <w:szCs w:val="20"/>
              </w:rPr>
              <w:t>$</w:t>
            </w:r>
            <w:r w:rsidR="00C87F5A">
              <w:rPr>
                <w:rFonts w:eastAsia="Times New Roman"/>
                <w:color w:val="000000"/>
                <w:sz w:val="20"/>
                <w:szCs w:val="20"/>
              </w:rPr>
              <w:t>152,305</w:t>
            </w:r>
          </w:p>
        </w:tc>
      </w:tr>
      <w:tr w:rsidR="00E60980" w:rsidRPr="001774B5" w:rsidTr="00E60980">
        <w:trPr>
          <w:trHeight w:val="28"/>
          <w:jc w:val="center"/>
        </w:trPr>
        <w:tc>
          <w:tcPr>
            <w:tcW w:w="12960" w:type="dxa"/>
            <w:gridSpan w:val="10"/>
            <w:tcBorders>
              <w:top w:val="single" w:sz="4" w:space="0" w:color="auto"/>
              <w:left w:val="single" w:sz="4" w:space="0" w:color="auto"/>
              <w:bottom w:val="single" w:sz="4" w:space="0" w:color="auto"/>
              <w:right w:val="single" w:sz="4" w:space="0" w:color="auto"/>
            </w:tcBorders>
            <w:shd w:val="pct10" w:color="auto" w:fill="auto"/>
          </w:tcPr>
          <w:p w:rsidR="00E60980" w:rsidRPr="001774B5" w:rsidRDefault="00076623" w:rsidP="00E60980">
            <w:pPr>
              <w:jc w:val="center"/>
              <w:rPr>
                <w:b/>
                <w:bCs/>
                <w:sz w:val="20"/>
                <w:szCs w:val="20"/>
              </w:rPr>
            </w:pPr>
            <w:r>
              <w:rPr>
                <w:b/>
                <w:bCs/>
                <w:sz w:val="20"/>
                <w:szCs w:val="20"/>
              </w:rPr>
              <w:t>Other Trading Program Activities</w:t>
            </w:r>
          </w:p>
        </w:tc>
      </w:tr>
      <w:tr w:rsidR="00717EF6"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717EF6" w:rsidRPr="001774B5" w:rsidRDefault="00717EF6" w:rsidP="00FC1D29">
            <w:pPr>
              <w:rPr>
                <w:sz w:val="20"/>
                <w:szCs w:val="20"/>
              </w:rPr>
            </w:pPr>
            <w:r w:rsidRPr="001774B5">
              <w:rPr>
                <w:sz w:val="20"/>
                <w:szCs w:val="20"/>
              </w:rPr>
              <w:t>Allowance Transfers</w:t>
            </w:r>
          </w:p>
        </w:tc>
        <w:tc>
          <w:tcPr>
            <w:tcW w:w="1259" w:type="dxa"/>
            <w:tcBorders>
              <w:top w:val="nil"/>
              <w:left w:val="nil"/>
              <w:bottom w:val="single" w:sz="4" w:space="0" w:color="auto"/>
              <w:right w:val="single" w:sz="4" w:space="0" w:color="auto"/>
            </w:tcBorders>
            <w:shd w:val="clear" w:color="auto" w:fill="auto"/>
            <w:vAlign w:val="bottom"/>
          </w:tcPr>
          <w:p w:rsidR="00717EF6" w:rsidRPr="006B6347" w:rsidRDefault="00717EF6" w:rsidP="007506A5">
            <w:pPr>
              <w:jc w:val="right"/>
              <w:rPr>
                <w:rFonts w:eastAsia="Times New Roman"/>
                <w:color w:val="000000"/>
                <w:sz w:val="20"/>
                <w:szCs w:val="20"/>
              </w:rPr>
            </w:pPr>
            <w:r w:rsidRPr="006B6347">
              <w:rPr>
                <w:rFonts w:eastAsia="Times New Roman"/>
                <w:color w:val="000000"/>
                <w:sz w:val="20"/>
                <w:szCs w:val="20"/>
              </w:rPr>
              <w:t>1</w:t>
            </w:r>
          </w:p>
        </w:tc>
        <w:tc>
          <w:tcPr>
            <w:tcW w:w="1139" w:type="dxa"/>
            <w:tcBorders>
              <w:top w:val="nil"/>
              <w:left w:val="nil"/>
              <w:bottom w:val="single" w:sz="4" w:space="0" w:color="auto"/>
              <w:right w:val="single" w:sz="4" w:space="0" w:color="auto"/>
            </w:tcBorders>
            <w:shd w:val="clear" w:color="auto" w:fill="auto"/>
            <w:vAlign w:val="bottom"/>
          </w:tcPr>
          <w:p w:rsidR="00717EF6" w:rsidRPr="006B6347" w:rsidRDefault="00717EF6" w:rsidP="007506A5">
            <w:pPr>
              <w:jc w:val="right"/>
              <w:rPr>
                <w:rFonts w:eastAsia="Times New Roman"/>
                <w:color w:val="000000"/>
                <w:sz w:val="20"/>
                <w:szCs w:val="20"/>
              </w:rPr>
            </w:pPr>
            <w:r w:rsidRPr="006B6347">
              <w:rPr>
                <w:rFonts w:eastAsia="Times New Roman"/>
                <w:color w:val="000000"/>
                <w:sz w:val="20"/>
                <w:szCs w:val="20"/>
              </w:rPr>
              <w:t>1</w:t>
            </w:r>
          </w:p>
        </w:tc>
        <w:tc>
          <w:tcPr>
            <w:tcW w:w="1302" w:type="dxa"/>
            <w:tcBorders>
              <w:top w:val="nil"/>
              <w:left w:val="nil"/>
              <w:bottom w:val="single" w:sz="4" w:space="0" w:color="auto"/>
              <w:right w:val="single" w:sz="4" w:space="0" w:color="auto"/>
            </w:tcBorders>
            <w:shd w:val="clear" w:color="auto" w:fill="auto"/>
            <w:vAlign w:val="bottom"/>
          </w:tcPr>
          <w:p w:rsidR="00717EF6" w:rsidRPr="006B6347" w:rsidRDefault="00717EF6" w:rsidP="003F7265">
            <w:pPr>
              <w:jc w:val="right"/>
              <w:rPr>
                <w:rFonts w:eastAsia="Times New Roman"/>
                <w:color w:val="000000"/>
                <w:sz w:val="20"/>
                <w:szCs w:val="20"/>
              </w:rPr>
            </w:pPr>
            <w:r w:rsidRPr="006B6347">
              <w:rPr>
                <w:rFonts w:eastAsia="Times New Roman"/>
                <w:color w:val="000000"/>
                <w:sz w:val="20"/>
                <w:szCs w:val="20"/>
              </w:rPr>
              <w:t>2</w:t>
            </w:r>
          </w:p>
        </w:tc>
        <w:tc>
          <w:tcPr>
            <w:tcW w:w="1311" w:type="dxa"/>
            <w:tcBorders>
              <w:top w:val="nil"/>
              <w:left w:val="nil"/>
              <w:bottom w:val="single" w:sz="4" w:space="0" w:color="auto"/>
              <w:right w:val="single" w:sz="4" w:space="0" w:color="auto"/>
            </w:tcBorders>
            <w:shd w:val="clear" w:color="auto" w:fill="auto"/>
            <w:vAlign w:val="bottom"/>
          </w:tcPr>
          <w:p w:rsidR="00717EF6" w:rsidRPr="006B6347" w:rsidRDefault="00717EF6" w:rsidP="00B94168">
            <w:pPr>
              <w:jc w:val="right"/>
              <w:rPr>
                <w:rFonts w:eastAsia="Times New Roman"/>
                <w:color w:val="000000"/>
                <w:sz w:val="20"/>
                <w:szCs w:val="20"/>
              </w:rPr>
            </w:pPr>
            <w:r w:rsidRPr="006B6347">
              <w:rPr>
                <w:rFonts w:eastAsia="Times New Roman"/>
                <w:color w:val="000000"/>
                <w:sz w:val="20"/>
                <w:szCs w:val="20"/>
              </w:rPr>
              <w:t>$</w:t>
            </w:r>
            <w:r w:rsidR="00B94168" w:rsidRPr="006B6347">
              <w:rPr>
                <w:rFonts w:eastAsia="Times New Roman"/>
                <w:color w:val="000000"/>
                <w:sz w:val="20"/>
                <w:szCs w:val="20"/>
              </w:rPr>
              <w:t>1</w:t>
            </w:r>
            <w:r w:rsidR="00B94168">
              <w:rPr>
                <w:rFonts w:eastAsia="Times New Roman"/>
                <w:color w:val="000000"/>
                <w:sz w:val="20"/>
                <w:szCs w:val="20"/>
              </w:rPr>
              <w:t>62</w:t>
            </w:r>
          </w:p>
        </w:tc>
        <w:tc>
          <w:tcPr>
            <w:tcW w:w="990"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r w:rsidRPr="006B6347">
              <w:rPr>
                <w:rFonts w:eastAsia="Times New Roman"/>
                <w:color w:val="000000"/>
                <w:sz w:val="20"/>
                <w:szCs w:val="20"/>
              </w:rPr>
              <w:t>7500</w:t>
            </w:r>
          </w:p>
        </w:tc>
        <w:tc>
          <w:tcPr>
            <w:tcW w:w="1288" w:type="dxa"/>
            <w:tcBorders>
              <w:top w:val="nil"/>
              <w:left w:val="nil"/>
              <w:bottom w:val="single" w:sz="4" w:space="0" w:color="auto"/>
              <w:right w:val="single" w:sz="4" w:space="0" w:color="auto"/>
            </w:tcBorders>
            <w:shd w:val="clear" w:color="auto" w:fill="auto"/>
            <w:vAlign w:val="bottom"/>
          </w:tcPr>
          <w:p w:rsidR="00717EF6" w:rsidRPr="006B6347" w:rsidRDefault="00717EF6" w:rsidP="006B6347">
            <w:pPr>
              <w:jc w:val="right"/>
              <w:rPr>
                <w:rFonts w:eastAsia="Times New Roman"/>
                <w:color w:val="000000"/>
                <w:sz w:val="20"/>
                <w:szCs w:val="20"/>
              </w:rPr>
            </w:pPr>
            <w:r w:rsidRPr="006B6347">
              <w:rPr>
                <w:rFonts w:eastAsia="Times New Roman"/>
                <w:color w:val="000000"/>
                <w:sz w:val="20"/>
                <w:szCs w:val="20"/>
              </w:rPr>
              <w:t>15,000</w:t>
            </w:r>
          </w:p>
        </w:tc>
        <w:tc>
          <w:tcPr>
            <w:tcW w:w="1145" w:type="dxa"/>
            <w:tcBorders>
              <w:top w:val="nil"/>
              <w:left w:val="nil"/>
              <w:bottom w:val="single" w:sz="4" w:space="0" w:color="auto"/>
              <w:right w:val="single" w:sz="4" w:space="0" w:color="auto"/>
            </w:tcBorders>
            <w:shd w:val="clear" w:color="auto" w:fill="auto"/>
            <w:vAlign w:val="bottom"/>
          </w:tcPr>
          <w:p w:rsidR="00717EF6" w:rsidRPr="006B6347" w:rsidRDefault="00717EF6" w:rsidP="00C87F5A">
            <w:pPr>
              <w:jc w:val="right"/>
              <w:rPr>
                <w:rFonts w:eastAsia="Times New Roman"/>
                <w:color w:val="000000"/>
                <w:sz w:val="20"/>
                <w:szCs w:val="20"/>
              </w:rPr>
            </w:pPr>
            <w:r w:rsidRPr="006B6347">
              <w:rPr>
                <w:rFonts w:eastAsia="Times New Roman"/>
                <w:color w:val="000000"/>
                <w:sz w:val="20"/>
                <w:szCs w:val="20"/>
              </w:rPr>
              <w:t>$1,</w:t>
            </w:r>
            <w:r w:rsidR="00C87F5A">
              <w:rPr>
                <w:rFonts w:eastAsia="Times New Roman"/>
                <w:color w:val="000000"/>
                <w:sz w:val="20"/>
                <w:szCs w:val="20"/>
              </w:rPr>
              <w:t>218,600</w:t>
            </w:r>
          </w:p>
        </w:tc>
      </w:tr>
      <w:tr w:rsidR="00076623" w:rsidRPr="001774B5" w:rsidTr="006B6347">
        <w:trPr>
          <w:trHeight w:val="23"/>
          <w:jc w:val="center"/>
        </w:trPr>
        <w:tc>
          <w:tcPr>
            <w:tcW w:w="2335" w:type="dxa"/>
            <w:tcBorders>
              <w:top w:val="nil"/>
              <w:left w:val="single" w:sz="4" w:space="0" w:color="auto"/>
              <w:bottom w:val="single" w:sz="4" w:space="0" w:color="auto"/>
              <w:right w:val="single" w:sz="4" w:space="0" w:color="auto"/>
            </w:tcBorders>
            <w:shd w:val="clear" w:color="auto" w:fill="auto"/>
          </w:tcPr>
          <w:p w:rsidR="00076623" w:rsidRPr="006B6347" w:rsidRDefault="00076623" w:rsidP="00FC1D29">
            <w:pPr>
              <w:rPr>
                <w:sz w:val="20"/>
                <w:szCs w:val="20"/>
                <w:vertAlign w:val="superscript"/>
              </w:rPr>
            </w:pPr>
            <w:r>
              <w:rPr>
                <w:sz w:val="20"/>
                <w:szCs w:val="20"/>
              </w:rPr>
              <w:t>Compl</w:t>
            </w:r>
            <w:r w:rsidR="008956C2">
              <w:rPr>
                <w:sz w:val="20"/>
                <w:szCs w:val="20"/>
              </w:rPr>
              <w:t>ia</w:t>
            </w:r>
            <w:r>
              <w:rPr>
                <w:sz w:val="20"/>
                <w:szCs w:val="20"/>
              </w:rPr>
              <w:t>nce Assurance Activites</w:t>
            </w:r>
            <w:r>
              <w:rPr>
                <w:sz w:val="20"/>
                <w:szCs w:val="20"/>
                <w:vertAlign w:val="superscript"/>
              </w:rPr>
              <w:t>1.</w:t>
            </w:r>
          </w:p>
        </w:tc>
        <w:tc>
          <w:tcPr>
            <w:tcW w:w="1259" w:type="dxa"/>
            <w:tcBorders>
              <w:top w:val="nil"/>
              <w:left w:val="nil"/>
              <w:bottom w:val="single" w:sz="4" w:space="0" w:color="auto"/>
              <w:right w:val="single" w:sz="4" w:space="0" w:color="auto"/>
            </w:tcBorders>
            <w:shd w:val="clear" w:color="auto" w:fill="auto"/>
            <w:vAlign w:val="bottom"/>
          </w:tcPr>
          <w:p w:rsidR="00076623" w:rsidRPr="006B6347" w:rsidRDefault="00076623" w:rsidP="007506A5">
            <w:pPr>
              <w:jc w:val="right"/>
              <w:rPr>
                <w:rFonts w:eastAsia="Times New Roman"/>
                <w:color w:val="000000"/>
                <w:sz w:val="20"/>
                <w:szCs w:val="20"/>
              </w:rPr>
            </w:pPr>
            <w:r w:rsidRPr="006B6347">
              <w:rPr>
                <w:rFonts w:eastAsia="Times New Roman"/>
                <w:color w:val="000000"/>
                <w:sz w:val="20"/>
                <w:szCs w:val="20"/>
              </w:rPr>
              <w:t>.5</w:t>
            </w:r>
          </w:p>
        </w:tc>
        <w:tc>
          <w:tcPr>
            <w:tcW w:w="1139" w:type="dxa"/>
            <w:tcBorders>
              <w:top w:val="nil"/>
              <w:left w:val="nil"/>
              <w:bottom w:val="single" w:sz="4" w:space="0" w:color="auto"/>
              <w:right w:val="single" w:sz="4" w:space="0" w:color="auto"/>
            </w:tcBorders>
            <w:shd w:val="clear" w:color="auto" w:fill="auto"/>
            <w:vAlign w:val="bottom"/>
          </w:tcPr>
          <w:p w:rsidR="00076623" w:rsidRPr="006B6347" w:rsidRDefault="00076623" w:rsidP="003F7265">
            <w:pPr>
              <w:jc w:val="right"/>
              <w:rPr>
                <w:rFonts w:eastAsia="Times New Roman"/>
                <w:color w:val="000000"/>
                <w:sz w:val="20"/>
                <w:szCs w:val="20"/>
              </w:rPr>
            </w:pPr>
            <w:r w:rsidRPr="006B6347">
              <w:rPr>
                <w:rFonts w:eastAsia="Times New Roman"/>
                <w:color w:val="000000"/>
                <w:sz w:val="20"/>
                <w:szCs w:val="20"/>
              </w:rPr>
              <w:t>1</w:t>
            </w:r>
          </w:p>
        </w:tc>
        <w:tc>
          <w:tcPr>
            <w:tcW w:w="1302" w:type="dxa"/>
            <w:tcBorders>
              <w:top w:val="nil"/>
              <w:left w:val="nil"/>
              <w:bottom w:val="single" w:sz="4" w:space="0" w:color="auto"/>
              <w:right w:val="single" w:sz="4" w:space="0" w:color="auto"/>
            </w:tcBorders>
            <w:shd w:val="clear" w:color="auto" w:fill="auto"/>
            <w:vAlign w:val="bottom"/>
          </w:tcPr>
          <w:p w:rsidR="00076623" w:rsidRPr="006B6347" w:rsidRDefault="00076623" w:rsidP="006B6347">
            <w:pPr>
              <w:jc w:val="right"/>
              <w:rPr>
                <w:rFonts w:eastAsia="Times New Roman"/>
                <w:color w:val="000000"/>
                <w:sz w:val="20"/>
                <w:szCs w:val="20"/>
              </w:rPr>
            </w:pPr>
            <w:r w:rsidRPr="006B6347">
              <w:rPr>
                <w:rFonts w:eastAsia="Times New Roman"/>
                <w:color w:val="000000"/>
                <w:sz w:val="20"/>
                <w:szCs w:val="20"/>
              </w:rPr>
              <w:t>1.5</w:t>
            </w:r>
          </w:p>
        </w:tc>
        <w:tc>
          <w:tcPr>
            <w:tcW w:w="1311" w:type="dxa"/>
            <w:tcBorders>
              <w:top w:val="nil"/>
              <w:left w:val="nil"/>
              <w:bottom w:val="single" w:sz="4" w:space="0" w:color="auto"/>
              <w:right w:val="single" w:sz="4" w:space="0" w:color="auto"/>
            </w:tcBorders>
            <w:shd w:val="clear" w:color="auto" w:fill="auto"/>
            <w:vAlign w:val="bottom"/>
          </w:tcPr>
          <w:p w:rsidR="00076623" w:rsidRPr="006B6347" w:rsidRDefault="00717EF6" w:rsidP="006B6347">
            <w:pPr>
              <w:jc w:val="right"/>
              <w:rPr>
                <w:rFonts w:eastAsia="Times New Roman"/>
                <w:color w:val="000000"/>
                <w:sz w:val="20"/>
                <w:szCs w:val="20"/>
              </w:rPr>
            </w:pPr>
            <w:r w:rsidRPr="006B6347">
              <w:rPr>
                <w:rFonts w:eastAsia="Times New Roman"/>
                <w:color w:val="000000"/>
                <w:sz w:val="20"/>
                <w:szCs w:val="20"/>
              </w:rPr>
              <w:t>$112</w:t>
            </w:r>
          </w:p>
        </w:tc>
        <w:tc>
          <w:tcPr>
            <w:tcW w:w="990" w:type="dxa"/>
            <w:tcBorders>
              <w:top w:val="nil"/>
              <w:left w:val="nil"/>
              <w:bottom w:val="single" w:sz="4" w:space="0" w:color="auto"/>
              <w:right w:val="single" w:sz="4" w:space="0" w:color="auto"/>
            </w:tcBorders>
            <w:shd w:val="clear" w:color="auto" w:fill="auto"/>
            <w:vAlign w:val="bottom"/>
          </w:tcPr>
          <w:p w:rsidR="00076623" w:rsidRPr="006B6347" w:rsidRDefault="00076623" w:rsidP="006B6347">
            <w:pPr>
              <w:jc w:val="right"/>
              <w:rPr>
                <w:rFonts w:eastAsia="Times New Roman"/>
                <w:color w:val="000000"/>
                <w:sz w:val="20"/>
                <w:szCs w:val="20"/>
              </w:rPr>
            </w:pPr>
          </w:p>
        </w:tc>
        <w:tc>
          <w:tcPr>
            <w:tcW w:w="811" w:type="dxa"/>
            <w:tcBorders>
              <w:top w:val="nil"/>
              <w:left w:val="nil"/>
              <w:bottom w:val="single" w:sz="4" w:space="0" w:color="auto"/>
              <w:right w:val="single" w:sz="4" w:space="0" w:color="auto"/>
            </w:tcBorders>
            <w:shd w:val="clear" w:color="auto" w:fill="auto"/>
            <w:vAlign w:val="bottom"/>
          </w:tcPr>
          <w:p w:rsidR="00076623" w:rsidRPr="006B6347" w:rsidRDefault="00076623" w:rsidP="006B6347">
            <w:pPr>
              <w:jc w:val="right"/>
              <w:rPr>
                <w:rFonts w:eastAsia="Times New Roman"/>
                <w:color w:val="000000"/>
                <w:sz w:val="20"/>
                <w:szCs w:val="20"/>
              </w:rPr>
            </w:pPr>
          </w:p>
        </w:tc>
        <w:tc>
          <w:tcPr>
            <w:tcW w:w="1380" w:type="dxa"/>
            <w:tcBorders>
              <w:top w:val="nil"/>
              <w:left w:val="nil"/>
              <w:bottom w:val="single" w:sz="4" w:space="0" w:color="auto"/>
              <w:right w:val="single" w:sz="4" w:space="0" w:color="auto"/>
            </w:tcBorders>
            <w:shd w:val="clear" w:color="auto" w:fill="auto"/>
            <w:vAlign w:val="bottom"/>
          </w:tcPr>
          <w:p w:rsidR="00076623" w:rsidRPr="006B6347" w:rsidRDefault="00076623" w:rsidP="006B6347">
            <w:pPr>
              <w:jc w:val="right"/>
              <w:rPr>
                <w:rFonts w:eastAsia="Times New Roman"/>
                <w:color w:val="000000"/>
                <w:sz w:val="20"/>
                <w:szCs w:val="20"/>
              </w:rPr>
            </w:pPr>
            <w:r w:rsidRPr="006B6347">
              <w:rPr>
                <w:rFonts w:eastAsia="Times New Roman"/>
                <w:color w:val="000000"/>
                <w:sz w:val="20"/>
                <w:szCs w:val="20"/>
              </w:rPr>
              <w:t>0</w:t>
            </w:r>
          </w:p>
        </w:tc>
        <w:tc>
          <w:tcPr>
            <w:tcW w:w="1288" w:type="dxa"/>
            <w:tcBorders>
              <w:top w:val="nil"/>
              <w:left w:val="nil"/>
              <w:bottom w:val="single" w:sz="4" w:space="0" w:color="auto"/>
              <w:right w:val="single" w:sz="4" w:space="0" w:color="auto"/>
            </w:tcBorders>
            <w:shd w:val="clear" w:color="auto" w:fill="auto"/>
            <w:vAlign w:val="bottom"/>
          </w:tcPr>
          <w:p w:rsidR="00076623" w:rsidRPr="006B6347" w:rsidRDefault="00076623" w:rsidP="006B6347">
            <w:pPr>
              <w:jc w:val="right"/>
              <w:rPr>
                <w:rFonts w:eastAsia="Times New Roman"/>
                <w:color w:val="000000"/>
                <w:sz w:val="20"/>
                <w:szCs w:val="20"/>
              </w:rPr>
            </w:pPr>
            <w:r w:rsidRPr="006B6347">
              <w:rPr>
                <w:rFonts w:eastAsia="Times New Roman"/>
                <w:color w:val="000000"/>
                <w:sz w:val="20"/>
                <w:szCs w:val="20"/>
              </w:rPr>
              <w:t>0</w:t>
            </w:r>
          </w:p>
        </w:tc>
        <w:tc>
          <w:tcPr>
            <w:tcW w:w="1145" w:type="dxa"/>
            <w:tcBorders>
              <w:top w:val="nil"/>
              <w:left w:val="nil"/>
              <w:bottom w:val="single" w:sz="4" w:space="0" w:color="auto"/>
              <w:right w:val="single" w:sz="4" w:space="0" w:color="auto"/>
            </w:tcBorders>
            <w:shd w:val="clear" w:color="auto" w:fill="auto"/>
            <w:vAlign w:val="bottom"/>
          </w:tcPr>
          <w:p w:rsidR="00076623" w:rsidRPr="006B6347" w:rsidRDefault="00076623" w:rsidP="006B6347">
            <w:pPr>
              <w:jc w:val="right"/>
              <w:rPr>
                <w:rFonts w:eastAsia="Times New Roman"/>
                <w:color w:val="000000"/>
                <w:sz w:val="20"/>
                <w:szCs w:val="20"/>
              </w:rPr>
            </w:pPr>
            <w:r w:rsidRPr="006B6347">
              <w:rPr>
                <w:rFonts w:eastAsia="Times New Roman"/>
                <w:color w:val="000000"/>
                <w:sz w:val="20"/>
                <w:szCs w:val="20"/>
              </w:rPr>
              <w:t>0</w:t>
            </w:r>
          </w:p>
        </w:tc>
      </w:tr>
      <w:tr w:rsidR="00717EF6" w:rsidRPr="001774B5" w:rsidTr="006B6347">
        <w:trPr>
          <w:trHeight w:val="28"/>
          <w:jc w:val="center"/>
        </w:trPr>
        <w:tc>
          <w:tcPr>
            <w:tcW w:w="2335" w:type="dxa"/>
            <w:tcBorders>
              <w:top w:val="single" w:sz="4" w:space="0" w:color="auto"/>
              <w:left w:val="single" w:sz="4" w:space="0" w:color="auto"/>
              <w:bottom w:val="single" w:sz="4" w:space="0" w:color="auto"/>
              <w:right w:val="single" w:sz="4" w:space="0" w:color="auto"/>
            </w:tcBorders>
            <w:shd w:val="pct10" w:color="auto" w:fill="auto"/>
          </w:tcPr>
          <w:p w:rsidR="00717EF6" w:rsidRPr="001774B5" w:rsidRDefault="00717EF6" w:rsidP="001B3566">
            <w:pPr>
              <w:rPr>
                <w:b/>
                <w:bCs/>
                <w:sz w:val="20"/>
                <w:szCs w:val="20"/>
              </w:rPr>
            </w:pPr>
            <w:r w:rsidRPr="001774B5">
              <w:rPr>
                <w:b/>
                <w:bCs/>
                <w:sz w:val="20"/>
                <w:szCs w:val="20"/>
              </w:rPr>
              <w:t>TOTAL</w:t>
            </w:r>
          </w:p>
        </w:tc>
        <w:tc>
          <w:tcPr>
            <w:tcW w:w="1259" w:type="dxa"/>
            <w:tcBorders>
              <w:top w:val="single" w:sz="4" w:space="0" w:color="auto"/>
              <w:left w:val="nil"/>
              <w:bottom w:val="single" w:sz="4" w:space="0" w:color="auto"/>
              <w:right w:val="single" w:sz="4" w:space="0" w:color="auto"/>
            </w:tcBorders>
            <w:shd w:val="pct10" w:color="auto" w:fill="auto"/>
            <w:vAlign w:val="bottom"/>
          </w:tcPr>
          <w:p w:rsidR="00717EF6" w:rsidRPr="001774B5" w:rsidRDefault="00717EF6" w:rsidP="006B6347">
            <w:pPr>
              <w:jc w:val="right"/>
              <w:rPr>
                <w:b/>
                <w:bCs/>
                <w:sz w:val="20"/>
                <w:szCs w:val="20"/>
              </w:rPr>
            </w:pPr>
            <w:r w:rsidRPr="001774B5">
              <w:rPr>
                <w:b/>
                <w:bCs/>
                <w:sz w:val="20"/>
                <w:szCs w:val="20"/>
              </w:rPr>
              <w:t> </w:t>
            </w:r>
          </w:p>
        </w:tc>
        <w:tc>
          <w:tcPr>
            <w:tcW w:w="1139" w:type="dxa"/>
            <w:tcBorders>
              <w:top w:val="single" w:sz="4" w:space="0" w:color="auto"/>
              <w:left w:val="nil"/>
              <w:bottom w:val="single" w:sz="4" w:space="0" w:color="auto"/>
              <w:right w:val="single" w:sz="4" w:space="0" w:color="auto"/>
            </w:tcBorders>
            <w:shd w:val="pct10" w:color="auto" w:fill="auto"/>
            <w:vAlign w:val="bottom"/>
          </w:tcPr>
          <w:p w:rsidR="00717EF6" w:rsidRPr="001774B5" w:rsidRDefault="00717EF6" w:rsidP="007506A5">
            <w:pPr>
              <w:jc w:val="right"/>
              <w:rPr>
                <w:b/>
                <w:bCs/>
                <w:sz w:val="20"/>
                <w:szCs w:val="20"/>
              </w:rPr>
            </w:pPr>
            <w:r w:rsidRPr="001774B5">
              <w:rPr>
                <w:b/>
                <w:bCs/>
                <w:sz w:val="20"/>
                <w:szCs w:val="20"/>
              </w:rPr>
              <w:t> </w:t>
            </w:r>
          </w:p>
        </w:tc>
        <w:tc>
          <w:tcPr>
            <w:tcW w:w="1302" w:type="dxa"/>
            <w:tcBorders>
              <w:top w:val="single" w:sz="4" w:space="0" w:color="auto"/>
              <w:left w:val="nil"/>
              <w:bottom w:val="single" w:sz="4" w:space="0" w:color="auto"/>
              <w:right w:val="single" w:sz="4" w:space="0" w:color="auto"/>
            </w:tcBorders>
            <w:shd w:val="pct10" w:color="auto" w:fill="auto"/>
            <w:vAlign w:val="bottom"/>
          </w:tcPr>
          <w:p w:rsidR="00717EF6" w:rsidRPr="001774B5" w:rsidRDefault="00717EF6" w:rsidP="003F7265">
            <w:pPr>
              <w:jc w:val="right"/>
              <w:rPr>
                <w:b/>
                <w:bCs/>
                <w:sz w:val="20"/>
                <w:szCs w:val="20"/>
              </w:rPr>
            </w:pPr>
            <w:r w:rsidRPr="001774B5">
              <w:rPr>
                <w:b/>
                <w:bCs/>
                <w:sz w:val="20"/>
                <w:szCs w:val="20"/>
              </w:rPr>
              <w:t> </w:t>
            </w:r>
          </w:p>
        </w:tc>
        <w:tc>
          <w:tcPr>
            <w:tcW w:w="1311" w:type="dxa"/>
            <w:tcBorders>
              <w:top w:val="single" w:sz="4" w:space="0" w:color="auto"/>
              <w:left w:val="nil"/>
              <w:bottom w:val="single" w:sz="4" w:space="0" w:color="auto"/>
              <w:right w:val="single" w:sz="4" w:space="0" w:color="auto"/>
            </w:tcBorders>
            <w:shd w:val="pct10" w:color="auto" w:fill="auto"/>
            <w:vAlign w:val="bottom"/>
          </w:tcPr>
          <w:p w:rsidR="00717EF6" w:rsidRPr="001774B5" w:rsidRDefault="00717EF6" w:rsidP="006B6347">
            <w:pPr>
              <w:jc w:val="right"/>
              <w:rPr>
                <w:b/>
                <w:bCs/>
                <w:sz w:val="20"/>
                <w:szCs w:val="20"/>
              </w:rPr>
            </w:pPr>
            <w:r w:rsidRPr="001774B5">
              <w:rPr>
                <w:b/>
                <w:bCs/>
                <w:sz w:val="20"/>
                <w:szCs w:val="20"/>
              </w:rPr>
              <w:t> </w:t>
            </w:r>
          </w:p>
        </w:tc>
        <w:tc>
          <w:tcPr>
            <w:tcW w:w="990" w:type="dxa"/>
            <w:tcBorders>
              <w:top w:val="single" w:sz="4" w:space="0" w:color="auto"/>
              <w:left w:val="nil"/>
              <w:bottom w:val="single" w:sz="4" w:space="0" w:color="auto"/>
              <w:right w:val="single" w:sz="4" w:space="0" w:color="auto"/>
            </w:tcBorders>
            <w:shd w:val="pct10" w:color="auto" w:fill="auto"/>
            <w:vAlign w:val="bottom"/>
          </w:tcPr>
          <w:p w:rsidR="00717EF6" w:rsidRPr="001774B5" w:rsidRDefault="00717EF6" w:rsidP="006B6347">
            <w:pPr>
              <w:jc w:val="right"/>
              <w:rPr>
                <w:b/>
                <w:bCs/>
                <w:sz w:val="20"/>
                <w:szCs w:val="20"/>
              </w:rPr>
            </w:pPr>
            <w:r w:rsidRPr="001774B5">
              <w:rPr>
                <w:b/>
                <w:bCs/>
                <w:sz w:val="20"/>
                <w:szCs w:val="20"/>
              </w:rPr>
              <w:t> </w:t>
            </w:r>
          </w:p>
        </w:tc>
        <w:tc>
          <w:tcPr>
            <w:tcW w:w="811" w:type="dxa"/>
            <w:tcBorders>
              <w:top w:val="single" w:sz="4" w:space="0" w:color="auto"/>
              <w:left w:val="nil"/>
              <w:bottom w:val="single" w:sz="4" w:space="0" w:color="auto"/>
              <w:right w:val="single" w:sz="4" w:space="0" w:color="auto"/>
            </w:tcBorders>
            <w:shd w:val="pct10" w:color="auto" w:fill="auto"/>
            <w:vAlign w:val="bottom"/>
          </w:tcPr>
          <w:p w:rsidR="00717EF6" w:rsidRPr="001774B5" w:rsidRDefault="00717EF6" w:rsidP="006B6347">
            <w:pPr>
              <w:jc w:val="right"/>
              <w:rPr>
                <w:b/>
                <w:bCs/>
                <w:sz w:val="20"/>
                <w:szCs w:val="20"/>
              </w:rPr>
            </w:pPr>
            <w:r w:rsidRPr="001774B5">
              <w:rPr>
                <w:b/>
                <w:bCs/>
                <w:sz w:val="20"/>
                <w:szCs w:val="20"/>
              </w:rPr>
              <w:t> </w:t>
            </w:r>
          </w:p>
        </w:tc>
        <w:tc>
          <w:tcPr>
            <w:tcW w:w="1380" w:type="dxa"/>
            <w:tcBorders>
              <w:top w:val="single" w:sz="4" w:space="0" w:color="auto"/>
              <w:left w:val="nil"/>
              <w:bottom w:val="single" w:sz="4" w:space="0" w:color="auto"/>
              <w:right w:val="single" w:sz="4" w:space="0" w:color="auto"/>
            </w:tcBorders>
            <w:shd w:val="pct10" w:color="auto" w:fill="auto"/>
            <w:vAlign w:val="bottom"/>
          </w:tcPr>
          <w:p w:rsidR="00717EF6" w:rsidRPr="001774B5" w:rsidRDefault="00717EF6" w:rsidP="006B6347">
            <w:pPr>
              <w:jc w:val="right"/>
              <w:rPr>
                <w:b/>
                <w:bCs/>
                <w:sz w:val="20"/>
                <w:szCs w:val="20"/>
              </w:rPr>
            </w:pPr>
            <w:r w:rsidRPr="001774B5">
              <w:rPr>
                <w:b/>
                <w:bCs/>
                <w:sz w:val="20"/>
                <w:szCs w:val="20"/>
              </w:rPr>
              <w:t> </w:t>
            </w:r>
          </w:p>
        </w:tc>
        <w:tc>
          <w:tcPr>
            <w:tcW w:w="1288" w:type="dxa"/>
            <w:tcBorders>
              <w:top w:val="single" w:sz="4" w:space="0" w:color="auto"/>
              <w:left w:val="nil"/>
              <w:bottom w:val="single" w:sz="4" w:space="0" w:color="auto"/>
              <w:right w:val="single" w:sz="4" w:space="0" w:color="auto"/>
            </w:tcBorders>
            <w:shd w:val="pct10" w:color="auto" w:fill="auto"/>
            <w:vAlign w:val="bottom"/>
          </w:tcPr>
          <w:p w:rsidR="00717EF6" w:rsidRPr="006B6347" w:rsidRDefault="00717EF6" w:rsidP="00BD1696">
            <w:pPr>
              <w:jc w:val="right"/>
              <w:rPr>
                <w:rFonts w:eastAsia="Times New Roman"/>
                <w:color w:val="000000"/>
                <w:sz w:val="20"/>
                <w:szCs w:val="20"/>
              </w:rPr>
            </w:pPr>
            <w:r w:rsidRPr="006B6347">
              <w:rPr>
                <w:rFonts w:eastAsia="Times New Roman"/>
                <w:color w:val="000000"/>
                <w:sz w:val="20"/>
                <w:szCs w:val="20"/>
              </w:rPr>
              <w:t>185,1</w:t>
            </w:r>
            <w:r w:rsidR="00BD1696">
              <w:rPr>
                <w:rFonts w:eastAsia="Times New Roman"/>
                <w:color w:val="000000"/>
                <w:sz w:val="20"/>
                <w:szCs w:val="20"/>
              </w:rPr>
              <w:t>32</w:t>
            </w:r>
          </w:p>
        </w:tc>
        <w:tc>
          <w:tcPr>
            <w:tcW w:w="1145" w:type="dxa"/>
            <w:tcBorders>
              <w:top w:val="single" w:sz="4" w:space="0" w:color="auto"/>
              <w:left w:val="nil"/>
              <w:bottom w:val="single" w:sz="4" w:space="0" w:color="auto"/>
              <w:right w:val="single" w:sz="4" w:space="0" w:color="auto"/>
            </w:tcBorders>
            <w:shd w:val="pct10" w:color="auto" w:fill="auto"/>
            <w:vAlign w:val="bottom"/>
          </w:tcPr>
          <w:p w:rsidR="00717EF6" w:rsidRPr="006B6347" w:rsidRDefault="00717EF6" w:rsidP="003C0FF8">
            <w:pPr>
              <w:jc w:val="right"/>
              <w:rPr>
                <w:rFonts w:eastAsia="Times New Roman"/>
                <w:color w:val="000000"/>
                <w:sz w:val="20"/>
                <w:szCs w:val="20"/>
              </w:rPr>
            </w:pPr>
            <w:r w:rsidRPr="006B6347">
              <w:rPr>
                <w:rFonts w:eastAsia="Times New Roman"/>
                <w:color w:val="000000"/>
                <w:sz w:val="20"/>
                <w:szCs w:val="20"/>
              </w:rPr>
              <w:t>$26,</w:t>
            </w:r>
            <w:r w:rsidR="003C0FF8">
              <w:rPr>
                <w:rFonts w:eastAsia="Times New Roman"/>
                <w:color w:val="000000"/>
                <w:sz w:val="20"/>
                <w:szCs w:val="20"/>
              </w:rPr>
              <w:t>589,016</w:t>
            </w:r>
          </w:p>
        </w:tc>
      </w:tr>
    </w:tbl>
    <w:p w:rsidR="00764293" w:rsidRDefault="00764293" w:rsidP="00CD2CF0">
      <w:pPr>
        <w:jc w:val="right"/>
      </w:pPr>
    </w:p>
    <w:p w:rsidR="00076623" w:rsidRPr="00D8541A" w:rsidRDefault="00171B44" w:rsidP="00171B44">
      <w:pPr>
        <w:pStyle w:val="ListParagraph"/>
        <w:numPr>
          <w:ilvl w:val="0"/>
          <w:numId w:val="7"/>
        </w:numPr>
        <w:autoSpaceDE w:val="0"/>
        <w:autoSpaceDN w:val="0"/>
        <w:adjustRightInd w:val="0"/>
        <w:rPr>
          <w:sz w:val="20"/>
          <w:szCs w:val="20"/>
        </w:rPr>
      </w:pPr>
      <w:r>
        <w:rPr>
          <w:sz w:val="20"/>
          <w:szCs w:val="20"/>
        </w:rPr>
        <w:t xml:space="preserve"> </w:t>
      </w:r>
      <w:r w:rsidR="00076623" w:rsidRPr="00D8541A">
        <w:rPr>
          <w:sz w:val="20"/>
          <w:szCs w:val="20"/>
        </w:rPr>
        <w:t xml:space="preserve">Assumes that no </w:t>
      </w:r>
      <w:r w:rsidR="009D2B68" w:rsidRPr="00D8541A">
        <w:rPr>
          <w:sz w:val="20"/>
          <w:szCs w:val="20"/>
        </w:rPr>
        <w:t>State</w:t>
      </w:r>
      <w:r w:rsidR="00076623" w:rsidRPr="00D8541A">
        <w:rPr>
          <w:sz w:val="20"/>
          <w:szCs w:val="20"/>
        </w:rPr>
        <w:t xml:space="preserve">s will exceed their limits for the years covered by this ICR so, overall there would be zero </w:t>
      </w:r>
    </w:p>
    <w:p w:rsidR="00764293" w:rsidRDefault="00076623" w:rsidP="004D01ED">
      <w:pPr>
        <w:autoSpaceDE w:val="0"/>
        <w:autoSpaceDN w:val="0"/>
        <w:adjustRightInd w:val="0"/>
        <w:ind w:left="1260" w:hanging="360"/>
        <w:rPr>
          <w:b/>
          <w:bCs/>
          <w:szCs w:val="24"/>
        </w:rPr>
      </w:pPr>
      <w:r w:rsidRPr="00D8541A">
        <w:rPr>
          <w:sz w:val="20"/>
          <w:szCs w:val="20"/>
        </w:rPr>
        <w:t>burden for these provisions to industry.</w:t>
      </w:r>
    </w:p>
    <w:p w:rsidR="00354567" w:rsidRDefault="00354567" w:rsidP="003972B1">
      <w:pPr>
        <w:autoSpaceDE w:val="0"/>
        <w:autoSpaceDN w:val="0"/>
        <w:adjustRightInd w:val="0"/>
        <w:jc w:val="center"/>
        <w:rPr>
          <w:b/>
          <w:bCs/>
          <w:szCs w:val="24"/>
        </w:rPr>
        <w:sectPr w:rsidR="00354567" w:rsidSect="000714D7">
          <w:headerReference w:type="default" r:id="rId14"/>
          <w:headerReference w:type="first" r:id="rId15"/>
          <w:pgSz w:w="15840" w:h="12240" w:orient="landscape"/>
          <w:pgMar w:top="720" w:right="720" w:bottom="720" w:left="720" w:header="576" w:footer="720" w:gutter="0"/>
          <w:cols w:space="720"/>
          <w:docGrid w:linePitch="360"/>
        </w:sectPr>
      </w:pPr>
    </w:p>
    <w:p w:rsidR="00C97885" w:rsidRDefault="00841520" w:rsidP="003972B1">
      <w:pPr>
        <w:autoSpaceDE w:val="0"/>
        <w:autoSpaceDN w:val="0"/>
        <w:adjustRightInd w:val="0"/>
        <w:jc w:val="center"/>
        <w:rPr>
          <w:b/>
          <w:bCs/>
          <w:szCs w:val="24"/>
        </w:rPr>
      </w:pPr>
      <w:r>
        <w:rPr>
          <w:b/>
          <w:bCs/>
          <w:szCs w:val="24"/>
        </w:rPr>
        <w:lastRenderedPageBreak/>
        <w:t xml:space="preserve">Table </w:t>
      </w:r>
      <w:r w:rsidR="00C97885">
        <w:rPr>
          <w:b/>
          <w:bCs/>
          <w:szCs w:val="24"/>
        </w:rPr>
        <w:t>6-</w:t>
      </w:r>
      <w:r w:rsidR="009269F3">
        <w:rPr>
          <w:b/>
          <w:bCs/>
          <w:szCs w:val="24"/>
        </w:rPr>
        <w:t>6</w:t>
      </w:r>
      <w:r w:rsidR="00CB69B5">
        <w:rPr>
          <w:b/>
          <w:bCs/>
          <w:szCs w:val="24"/>
        </w:rPr>
        <w:t>:</w:t>
      </w:r>
    </w:p>
    <w:p w:rsidR="00C97885" w:rsidRDefault="00C10C31" w:rsidP="00C97885">
      <w:pPr>
        <w:autoSpaceDE w:val="0"/>
        <w:autoSpaceDN w:val="0"/>
        <w:adjustRightInd w:val="0"/>
        <w:jc w:val="center"/>
        <w:rPr>
          <w:b/>
          <w:szCs w:val="24"/>
        </w:rPr>
      </w:pPr>
      <w:r>
        <w:rPr>
          <w:b/>
          <w:szCs w:val="24"/>
        </w:rPr>
        <w:t>Agency Burden –</w:t>
      </w:r>
      <w:r w:rsidR="00C97885">
        <w:rPr>
          <w:b/>
          <w:szCs w:val="24"/>
        </w:rPr>
        <w:t xml:space="preserve"> </w:t>
      </w:r>
      <w:r w:rsidR="00C97885" w:rsidRPr="00B61BD9">
        <w:rPr>
          <w:b/>
          <w:szCs w:val="24"/>
        </w:rPr>
        <w:t xml:space="preserve">Permitting </w:t>
      </w:r>
    </w:p>
    <w:p w:rsidR="00C97885" w:rsidRDefault="00C97885" w:rsidP="00C97885">
      <w:pPr>
        <w:autoSpaceDE w:val="0"/>
        <w:autoSpaceDN w:val="0"/>
        <w:adjustRightInd w:val="0"/>
        <w:jc w:val="center"/>
        <w:rPr>
          <w:b/>
          <w:szCs w:val="24"/>
        </w:rPr>
      </w:pPr>
    </w:p>
    <w:tbl>
      <w:tblPr>
        <w:tblW w:w="9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3095"/>
        <w:gridCol w:w="1912"/>
        <w:gridCol w:w="1275"/>
        <w:gridCol w:w="1548"/>
        <w:gridCol w:w="1530"/>
      </w:tblGrid>
      <w:tr w:rsidR="00C97885" w:rsidRPr="00B61BD9" w:rsidTr="000D4CB1">
        <w:trPr>
          <w:trHeight w:val="565"/>
          <w:jc w:val="center"/>
        </w:trPr>
        <w:tc>
          <w:tcPr>
            <w:tcW w:w="3095" w:type="dxa"/>
            <w:shd w:val="clear" w:color="auto" w:fill="D9D9D9"/>
            <w:noWrap/>
            <w:vAlign w:val="bottom"/>
          </w:tcPr>
          <w:p w:rsidR="00C97885" w:rsidRPr="00B61BD9" w:rsidRDefault="00C97885" w:rsidP="00C97885">
            <w:pPr>
              <w:jc w:val="center"/>
              <w:rPr>
                <w:rFonts w:eastAsia="Times New Roman"/>
                <w:b/>
                <w:bCs/>
                <w:color w:val="000000"/>
                <w:sz w:val="22"/>
              </w:rPr>
            </w:pPr>
            <w:r w:rsidRPr="00B61BD9">
              <w:rPr>
                <w:rFonts w:eastAsia="Times New Roman"/>
                <w:b/>
                <w:bCs/>
                <w:color w:val="000000"/>
                <w:sz w:val="22"/>
              </w:rPr>
              <w:t>Information Collection Activity</w:t>
            </w:r>
          </w:p>
        </w:tc>
        <w:tc>
          <w:tcPr>
            <w:tcW w:w="1912" w:type="dxa"/>
            <w:shd w:val="clear" w:color="auto" w:fill="D9D9D9"/>
            <w:vAlign w:val="bottom"/>
          </w:tcPr>
          <w:p w:rsidR="00C97885" w:rsidRPr="00B61BD9" w:rsidRDefault="00C97885" w:rsidP="00C97885">
            <w:pPr>
              <w:jc w:val="center"/>
              <w:rPr>
                <w:rFonts w:eastAsia="Times New Roman"/>
                <w:b/>
                <w:bCs/>
                <w:color w:val="000000"/>
                <w:sz w:val="22"/>
              </w:rPr>
            </w:pPr>
            <w:r w:rsidRPr="00B61BD9">
              <w:rPr>
                <w:rFonts w:eastAsia="Times New Roman"/>
                <w:b/>
                <w:bCs/>
                <w:color w:val="000000"/>
                <w:sz w:val="22"/>
              </w:rPr>
              <w:t>Burden Hours per Occurrence</w:t>
            </w:r>
          </w:p>
        </w:tc>
        <w:tc>
          <w:tcPr>
            <w:tcW w:w="1275" w:type="dxa"/>
            <w:shd w:val="clear" w:color="auto" w:fill="D9D9D9"/>
            <w:vAlign w:val="bottom"/>
          </w:tcPr>
          <w:p w:rsidR="00C97885" w:rsidRPr="00B61BD9" w:rsidRDefault="00C97885" w:rsidP="00A56746">
            <w:pPr>
              <w:jc w:val="center"/>
              <w:rPr>
                <w:rFonts w:eastAsia="Times New Roman"/>
                <w:b/>
                <w:bCs/>
                <w:color w:val="000000"/>
                <w:sz w:val="22"/>
              </w:rPr>
            </w:pPr>
            <w:r w:rsidRPr="00B61BD9">
              <w:rPr>
                <w:rFonts w:eastAsia="Times New Roman"/>
                <w:b/>
                <w:bCs/>
                <w:color w:val="000000"/>
                <w:sz w:val="22"/>
              </w:rPr>
              <w:t>Cost per Source</w:t>
            </w:r>
            <w:r w:rsidR="00A56746">
              <w:rPr>
                <w:rFonts w:eastAsia="Times New Roman"/>
                <w:b/>
                <w:bCs/>
                <w:color w:val="000000"/>
                <w:sz w:val="22"/>
                <w:vertAlign w:val="superscript"/>
              </w:rPr>
              <w:t>1</w:t>
            </w:r>
          </w:p>
        </w:tc>
        <w:tc>
          <w:tcPr>
            <w:tcW w:w="1548" w:type="dxa"/>
            <w:shd w:val="clear" w:color="auto" w:fill="D9D9D9"/>
            <w:vAlign w:val="bottom"/>
          </w:tcPr>
          <w:p w:rsidR="00C97885" w:rsidRPr="00B61BD9" w:rsidRDefault="00CC1D0A" w:rsidP="00C97885">
            <w:pPr>
              <w:jc w:val="center"/>
              <w:rPr>
                <w:rFonts w:eastAsia="Times New Roman"/>
                <w:b/>
                <w:bCs/>
                <w:color w:val="000000"/>
                <w:sz w:val="22"/>
              </w:rPr>
            </w:pPr>
            <w:r>
              <w:rPr>
                <w:rFonts w:eastAsia="Times New Roman"/>
                <w:b/>
                <w:bCs/>
                <w:color w:val="000000"/>
                <w:sz w:val="22"/>
              </w:rPr>
              <w:t>Total Burden (H</w:t>
            </w:r>
            <w:r w:rsidR="00C97885" w:rsidRPr="00B61BD9">
              <w:rPr>
                <w:rFonts w:eastAsia="Times New Roman"/>
                <w:b/>
                <w:bCs/>
                <w:color w:val="000000"/>
                <w:sz w:val="22"/>
              </w:rPr>
              <w:t>ours)</w:t>
            </w:r>
          </w:p>
        </w:tc>
        <w:tc>
          <w:tcPr>
            <w:tcW w:w="1530" w:type="dxa"/>
            <w:shd w:val="clear" w:color="auto" w:fill="D9D9D9"/>
            <w:vAlign w:val="bottom"/>
          </w:tcPr>
          <w:p w:rsidR="00C97885" w:rsidRPr="00B61BD9" w:rsidRDefault="00C97885" w:rsidP="00C97885">
            <w:pPr>
              <w:jc w:val="center"/>
              <w:rPr>
                <w:rFonts w:eastAsia="Times New Roman"/>
                <w:b/>
                <w:bCs/>
                <w:color w:val="000000"/>
                <w:sz w:val="22"/>
              </w:rPr>
            </w:pPr>
            <w:r w:rsidRPr="00B61BD9">
              <w:rPr>
                <w:rFonts w:eastAsia="Times New Roman"/>
                <w:b/>
                <w:bCs/>
                <w:color w:val="000000"/>
                <w:sz w:val="22"/>
              </w:rPr>
              <w:t>Total Cost</w:t>
            </w:r>
          </w:p>
        </w:tc>
      </w:tr>
      <w:tr w:rsidR="00717EF6" w:rsidRPr="00B61BD9" w:rsidTr="006B6347">
        <w:trPr>
          <w:trHeight w:val="313"/>
          <w:jc w:val="center"/>
        </w:trPr>
        <w:tc>
          <w:tcPr>
            <w:tcW w:w="3095" w:type="dxa"/>
            <w:shd w:val="clear" w:color="auto" w:fill="auto"/>
          </w:tcPr>
          <w:p w:rsidR="00717EF6" w:rsidRPr="00B61BD9" w:rsidRDefault="00717EF6" w:rsidP="00A56746">
            <w:pPr>
              <w:rPr>
                <w:rFonts w:eastAsia="Times New Roman"/>
                <w:color w:val="000000"/>
                <w:sz w:val="20"/>
                <w:szCs w:val="20"/>
              </w:rPr>
            </w:pPr>
            <w:r w:rsidRPr="00B61BD9">
              <w:rPr>
                <w:rFonts w:eastAsia="Times New Roman"/>
                <w:color w:val="000000"/>
                <w:sz w:val="20"/>
              </w:rPr>
              <w:t>EPA reviews certificates of representation and records information.</w:t>
            </w:r>
            <w:r>
              <w:rPr>
                <w:rFonts w:eastAsia="Times New Roman"/>
                <w:color w:val="000000"/>
                <w:sz w:val="20"/>
                <w:szCs w:val="20"/>
                <w:vertAlign w:val="superscript"/>
              </w:rPr>
              <w:t>2</w:t>
            </w:r>
          </w:p>
        </w:tc>
        <w:tc>
          <w:tcPr>
            <w:tcW w:w="1912"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0.5</w:t>
            </w:r>
          </w:p>
        </w:tc>
        <w:tc>
          <w:tcPr>
            <w:tcW w:w="1275" w:type="dxa"/>
            <w:shd w:val="clear" w:color="auto" w:fill="auto"/>
            <w:vAlign w:val="bottom"/>
          </w:tcPr>
          <w:p w:rsidR="00717EF6" w:rsidRPr="00B520AC" w:rsidRDefault="00717EF6" w:rsidP="00066761">
            <w:pPr>
              <w:jc w:val="right"/>
              <w:rPr>
                <w:rFonts w:eastAsia="Times New Roman"/>
                <w:color w:val="000000"/>
                <w:sz w:val="20"/>
              </w:rPr>
            </w:pPr>
            <w:r>
              <w:rPr>
                <w:color w:val="000000"/>
                <w:sz w:val="20"/>
                <w:szCs w:val="20"/>
              </w:rPr>
              <w:t>$</w:t>
            </w:r>
            <w:r w:rsidR="00066761">
              <w:rPr>
                <w:color w:val="000000"/>
                <w:sz w:val="20"/>
                <w:szCs w:val="20"/>
              </w:rPr>
              <w:t>38.64</w:t>
            </w:r>
            <w:r w:rsidR="00BD0E02">
              <w:rPr>
                <w:color w:val="000000"/>
                <w:sz w:val="20"/>
                <w:szCs w:val="20"/>
              </w:rPr>
              <w:t xml:space="preserve"> </w:t>
            </w:r>
          </w:p>
        </w:tc>
        <w:tc>
          <w:tcPr>
            <w:tcW w:w="1548"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600</w:t>
            </w:r>
          </w:p>
        </w:tc>
        <w:tc>
          <w:tcPr>
            <w:tcW w:w="1530" w:type="dxa"/>
            <w:shd w:val="clear" w:color="auto" w:fill="auto"/>
            <w:vAlign w:val="bottom"/>
          </w:tcPr>
          <w:p w:rsidR="00717EF6" w:rsidRPr="00B520AC" w:rsidRDefault="00717EF6" w:rsidP="00066761">
            <w:pPr>
              <w:jc w:val="right"/>
              <w:rPr>
                <w:rFonts w:eastAsia="Times New Roman"/>
                <w:color w:val="000000"/>
                <w:sz w:val="20"/>
              </w:rPr>
            </w:pPr>
            <w:r w:rsidRPr="00BD0E02">
              <w:rPr>
                <w:color w:val="000000"/>
                <w:sz w:val="20"/>
                <w:szCs w:val="20"/>
              </w:rPr>
              <w:t>$</w:t>
            </w:r>
            <w:r w:rsidR="00066761">
              <w:rPr>
                <w:color w:val="000000"/>
                <w:sz w:val="20"/>
                <w:szCs w:val="20"/>
              </w:rPr>
              <w:t>46,632</w:t>
            </w:r>
          </w:p>
        </w:tc>
      </w:tr>
      <w:tr w:rsidR="00717EF6" w:rsidRPr="00B61BD9" w:rsidTr="006B6347">
        <w:trPr>
          <w:trHeight w:val="376"/>
          <w:jc w:val="center"/>
        </w:trPr>
        <w:tc>
          <w:tcPr>
            <w:tcW w:w="3095" w:type="dxa"/>
            <w:shd w:val="clear" w:color="auto" w:fill="auto"/>
          </w:tcPr>
          <w:p w:rsidR="00717EF6" w:rsidRPr="00B61BD9" w:rsidRDefault="00717EF6" w:rsidP="00A56746">
            <w:pPr>
              <w:rPr>
                <w:rFonts w:eastAsia="Times New Roman"/>
                <w:color w:val="000000"/>
                <w:sz w:val="20"/>
                <w:szCs w:val="20"/>
              </w:rPr>
            </w:pPr>
            <w:r w:rsidRPr="00B61BD9">
              <w:rPr>
                <w:rFonts w:eastAsia="Times New Roman"/>
                <w:color w:val="000000"/>
                <w:sz w:val="20"/>
              </w:rPr>
              <w:t>Review permit application, and issue draft, proposed, and final permit.</w:t>
            </w:r>
            <w:r>
              <w:rPr>
                <w:rFonts w:eastAsia="Times New Roman"/>
                <w:color w:val="000000"/>
                <w:sz w:val="20"/>
                <w:szCs w:val="20"/>
                <w:vertAlign w:val="superscript"/>
              </w:rPr>
              <w:t>3</w:t>
            </w:r>
          </w:p>
        </w:tc>
        <w:tc>
          <w:tcPr>
            <w:tcW w:w="1912"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 </w:t>
            </w:r>
          </w:p>
        </w:tc>
        <w:tc>
          <w:tcPr>
            <w:tcW w:w="1275"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 </w:t>
            </w:r>
          </w:p>
        </w:tc>
        <w:tc>
          <w:tcPr>
            <w:tcW w:w="1548"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 </w:t>
            </w:r>
          </w:p>
        </w:tc>
        <w:tc>
          <w:tcPr>
            <w:tcW w:w="1530"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 </w:t>
            </w:r>
          </w:p>
        </w:tc>
      </w:tr>
      <w:tr w:rsidR="00717EF6" w:rsidRPr="00B61BD9" w:rsidTr="006B6347">
        <w:trPr>
          <w:trHeight w:val="18"/>
          <w:jc w:val="center"/>
        </w:trPr>
        <w:tc>
          <w:tcPr>
            <w:tcW w:w="3095" w:type="dxa"/>
            <w:shd w:val="clear" w:color="auto" w:fill="auto"/>
          </w:tcPr>
          <w:p w:rsidR="00717EF6" w:rsidRPr="00B61BD9" w:rsidRDefault="00717EF6" w:rsidP="00A56746">
            <w:pPr>
              <w:ind w:firstLineChars="189" w:firstLine="378"/>
              <w:rPr>
                <w:rFonts w:eastAsia="Times New Roman"/>
                <w:color w:val="000000"/>
                <w:sz w:val="20"/>
                <w:szCs w:val="20"/>
              </w:rPr>
            </w:pPr>
            <w:r w:rsidRPr="00B61BD9">
              <w:rPr>
                <w:rFonts w:eastAsia="Times New Roman"/>
                <w:color w:val="000000"/>
                <w:sz w:val="20"/>
              </w:rPr>
              <w:t>Permitting Authority action</w:t>
            </w:r>
            <w:r>
              <w:rPr>
                <w:rFonts w:eastAsia="Times New Roman"/>
                <w:color w:val="000000"/>
                <w:sz w:val="20"/>
              </w:rPr>
              <w:t>.</w:t>
            </w:r>
          </w:p>
        </w:tc>
        <w:tc>
          <w:tcPr>
            <w:tcW w:w="1912"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8</w:t>
            </w:r>
          </w:p>
        </w:tc>
        <w:tc>
          <w:tcPr>
            <w:tcW w:w="1275" w:type="dxa"/>
            <w:shd w:val="clear" w:color="auto" w:fill="auto"/>
            <w:vAlign w:val="bottom"/>
          </w:tcPr>
          <w:p w:rsidR="00717EF6" w:rsidRPr="00B520AC" w:rsidRDefault="00717EF6" w:rsidP="00066761">
            <w:pPr>
              <w:jc w:val="right"/>
              <w:rPr>
                <w:rFonts w:eastAsia="Times New Roman"/>
                <w:color w:val="000000"/>
                <w:sz w:val="20"/>
              </w:rPr>
            </w:pPr>
            <w:r>
              <w:rPr>
                <w:color w:val="000000"/>
                <w:sz w:val="20"/>
                <w:szCs w:val="20"/>
              </w:rPr>
              <w:t>$</w:t>
            </w:r>
            <w:r w:rsidR="00066761">
              <w:rPr>
                <w:color w:val="000000"/>
                <w:sz w:val="20"/>
                <w:szCs w:val="20"/>
              </w:rPr>
              <w:t>618.16</w:t>
            </w:r>
            <w:r w:rsidR="00BD0E02">
              <w:rPr>
                <w:color w:val="000000"/>
                <w:sz w:val="20"/>
                <w:szCs w:val="20"/>
              </w:rPr>
              <w:t xml:space="preserve"> </w:t>
            </w:r>
          </w:p>
        </w:tc>
        <w:tc>
          <w:tcPr>
            <w:tcW w:w="1548"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2,000</w:t>
            </w:r>
          </w:p>
        </w:tc>
        <w:tc>
          <w:tcPr>
            <w:tcW w:w="1530" w:type="dxa"/>
            <w:shd w:val="clear" w:color="auto" w:fill="auto"/>
            <w:vAlign w:val="bottom"/>
          </w:tcPr>
          <w:p w:rsidR="00717EF6" w:rsidRPr="00B520AC" w:rsidRDefault="00717EF6" w:rsidP="00066761">
            <w:pPr>
              <w:jc w:val="right"/>
              <w:rPr>
                <w:rFonts w:eastAsia="Times New Roman"/>
                <w:color w:val="000000"/>
                <w:sz w:val="20"/>
              </w:rPr>
            </w:pPr>
            <w:r>
              <w:rPr>
                <w:color w:val="000000"/>
                <w:sz w:val="20"/>
                <w:szCs w:val="20"/>
              </w:rPr>
              <w:t>$</w:t>
            </w:r>
            <w:r w:rsidR="00066761">
              <w:rPr>
                <w:color w:val="000000"/>
                <w:sz w:val="20"/>
                <w:szCs w:val="20"/>
              </w:rPr>
              <w:t>154,540</w:t>
            </w:r>
          </w:p>
        </w:tc>
      </w:tr>
      <w:tr w:rsidR="00717EF6" w:rsidRPr="00B61BD9" w:rsidTr="006B6347">
        <w:trPr>
          <w:trHeight w:val="18"/>
          <w:jc w:val="center"/>
        </w:trPr>
        <w:tc>
          <w:tcPr>
            <w:tcW w:w="3095" w:type="dxa"/>
            <w:shd w:val="clear" w:color="auto" w:fill="auto"/>
          </w:tcPr>
          <w:p w:rsidR="00717EF6" w:rsidRPr="00B61BD9" w:rsidRDefault="00717EF6" w:rsidP="00A56746">
            <w:pPr>
              <w:ind w:firstLineChars="189" w:firstLine="378"/>
              <w:rPr>
                <w:rFonts w:eastAsia="Times New Roman"/>
                <w:color w:val="000000"/>
                <w:sz w:val="20"/>
                <w:szCs w:val="20"/>
              </w:rPr>
            </w:pPr>
            <w:r w:rsidRPr="00B61BD9">
              <w:rPr>
                <w:rFonts w:eastAsia="Times New Roman"/>
                <w:color w:val="000000"/>
                <w:sz w:val="20"/>
              </w:rPr>
              <w:t>EPA review</w:t>
            </w:r>
            <w:r>
              <w:rPr>
                <w:rFonts w:eastAsia="Times New Roman"/>
                <w:color w:val="000000"/>
                <w:sz w:val="20"/>
              </w:rPr>
              <w:t>.</w:t>
            </w:r>
          </w:p>
        </w:tc>
        <w:tc>
          <w:tcPr>
            <w:tcW w:w="1912"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1</w:t>
            </w:r>
          </w:p>
        </w:tc>
        <w:tc>
          <w:tcPr>
            <w:tcW w:w="1275" w:type="dxa"/>
            <w:shd w:val="clear" w:color="auto" w:fill="auto"/>
            <w:vAlign w:val="bottom"/>
          </w:tcPr>
          <w:p w:rsidR="00717EF6" w:rsidRPr="00B520AC" w:rsidRDefault="00717EF6" w:rsidP="00066761">
            <w:pPr>
              <w:jc w:val="right"/>
              <w:rPr>
                <w:rFonts w:eastAsia="Times New Roman"/>
                <w:color w:val="000000"/>
                <w:sz w:val="20"/>
              </w:rPr>
            </w:pPr>
            <w:r>
              <w:rPr>
                <w:color w:val="000000"/>
                <w:sz w:val="20"/>
                <w:szCs w:val="20"/>
              </w:rPr>
              <w:t>$</w:t>
            </w:r>
            <w:r w:rsidR="00066761">
              <w:rPr>
                <w:color w:val="000000"/>
                <w:sz w:val="20"/>
                <w:szCs w:val="20"/>
              </w:rPr>
              <w:t>77.27</w:t>
            </w:r>
            <w:r>
              <w:rPr>
                <w:color w:val="000000"/>
                <w:sz w:val="20"/>
                <w:szCs w:val="20"/>
              </w:rPr>
              <w:t xml:space="preserve"> </w:t>
            </w:r>
          </w:p>
        </w:tc>
        <w:tc>
          <w:tcPr>
            <w:tcW w:w="1548"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240</w:t>
            </w:r>
          </w:p>
        </w:tc>
        <w:tc>
          <w:tcPr>
            <w:tcW w:w="1530" w:type="dxa"/>
            <w:shd w:val="clear" w:color="auto" w:fill="auto"/>
            <w:vAlign w:val="bottom"/>
          </w:tcPr>
          <w:p w:rsidR="00717EF6" w:rsidRPr="00B520AC" w:rsidRDefault="00717EF6" w:rsidP="00066761">
            <w:pPr>
              <w:jc w:val="right"/>
              <w:rPr>
                <w:rFonts w:eastAsia="Times New Roman"/>
                <w:color w:val="000000"/>
                <w:sz w:val="20"/>
              </w:rPr>
            </w:pPr>
            <w:r>
              <w:rPr>
                <w:color w:val="000000"/>
                <w:sz w:val="20"/>
                <w:szCs w:val="20"/>
              </w:rPr>
              <w:t>$</w:t>
            </w:r>
            <w:r w:rsidR="00066761">
              <w:rPr>
                <w:color w:val="000000"/>
                <w:sz w:val="20"/>
                <w:szCs w:val="20"/>
              </w:rPr>
              <w:t>18,545</w:t>
            </w:r>
          </w:p>
        </w:tc>
      </w:tr>
      <w:tr w:rsidR="00717EF6" w:rsidRPr="00B61BD9" w:rsidTr="006B6347">
        <w:trPr>
          <w:trHeight w:val="18"/>
          <w:jc w:val="center"/>
        </w:trPr>
        <w:tc>
          <w:tcPr>
            <w:tcW w:w="3095" w:type="dxa"/>
            <w:shd w:val="clear" w:color="auto" w:fill="auto"/>
          </w:tcPr>
          <w:p w:rsidR="00717EF6" w:rsidRPr="00B61BD9" w:rsidRDefault="00717EF6" w:rsidP="00A56746">
            <w:pPr>
              <w:rPr>
                <w:rFonts w:eastAsia="Times New Roman"/>
                <w:color w:val="000000"/>
                <w:sz w:val="20"/>
                <w:szCs w:val="20"/>
              </w:rPr>
            </w:pPr>
            <w:r w:rsidRPr="00B61BD9">
              <w:rPr>
                <w:rFonts w:eastAsia="Times New Roman"/>
                <w:color w:val="000000"/>
                <w:sz w:val="20"/>
              </w:rPr>
              <w:t>Receive and process retired unit exemptions</w:t>
            </w:r>
            <w:r>
              <w:rPr>
                <w:rFonts w:eastAsia="Times New Roman"/>
                <w:color w:val="000000"/>
                <w:sz w:val="20"/>
              </w:rPr>
              <w:t>.</w:t>
            </w:r>
            <w:r>
              <w:rPr>
                <w:rFonts w:eastAsia="Times New Roman"/>
                <w:color w:val="000000"/>
                <w:sz w:val="20"/>
                <w:szCs w:val="20"/>
                <w:vertAlign w:val="superscript"/>
              </w:rPr>
              <w:t>4</w:t>
            </w:r>
          </w:p>
        </w:tc>
        <w:tc>
          <w:tcPr>
            <w:tcW w:w="1912"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 </w:t>
            </w:r>
          </w:p>
        </w:tc>
        <w:tc>
          <w:tcPr>
            <w:tcW w:w="1275"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 </w:t>
            </w:r>
          </w:p>
        </w:tc>
        <w:tc>
          <w:tcPr>
            <w:tcW w:w="1548"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 </w:t>
            </w:r>
          </w:p>
        </w:tc>
        <w:tc>
          <w:tcPr>
            <w:tcW w:w="1530"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 </w:t>
            </w:r>
          </w:p>
        </w:tc>
      </w:tr>
      <w:tr w:rsidR="00717EF6" w:rsidRPr="00BD0E02" w:rsidTr="006B6347">
        <w:trPr>
          <w:trHeight w:val="18"/>
          <w:jc w:val="center"/>
        </w:trPr>
        <w:tc>
          <w:tcPr>
            <w:tcW w:w="3095" w:type="dxa"/>
            <w:shd w:val="clear" w:color="auto" w:fill="auto"/>
          </w:tcPr>
          <w:p w:rsidR="00717EF6" w:rsidRPr="00B61BD9" w:rsidRDefault="00717EF6" w:rsidP="00A56746">
            <w:pPr>
              <w:ind w:firstLineChars="189" w:firstLine="378"/>
              <w:rPr>
                <w:rFonts w:eastAsia="Times New Roman"/>
                <w:color w:val="000000"/>
                <w:sz w:val="20"/>
                <w:szCs w:val="20"/>
              </w:rPr>
            </w:pPr>
            <w:r w:rsidRPr="00B61BD9">
              <w:rPr>
                <w:rFonts w:eastAsia="Times New Roman"/>
                <w:color w:val="000000"/>
                <w:sz w:val="20"/>
              </w:rPr>
              <w:t>Permitting Authority action</w:t>
            </w:r>
            <w:r>
              <w:rPr>
                <w:rFonts w:eastAsia="Times New Roman"/>
                <w:color w:val="000000"/>
                <w:sz w:val="20"/>
              </w:rPr>
              <w:t>.</w:t>
            </w:r>
          </w:p>
        </w:tc>
        <w:tc>
          <w:tcPr>
            <w:tcW w:w="1912"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2</w:t>
            </w:r>
          </w:p>
        </w:tc>
        <w:tc>
          <w:tcPr>
            <w:tcW w:w="1275" w:type="dxa"/>
            <w:shd w:val="clear" w:color="auto" w:fill="auto"/>
            <w:vAlign w:val="bottom"/>
          </w:tcPr>
          <w:p w:rsidR="00717EF6" w:rsidRPr="00B520AC" w:rsidRDefault="00717EF6" w:rsidP="00066761">
            <w:pPr>
              <w:jc w:val="right"/>
              <w:rPr>
                <w:rFonts w:eastAsia="Times New Roman"/>
                <w:color w:val="000000"/>
                <w:sz w:val="20"/>
              </w:rPr>
            </w:pPr>
            <w:r>
              <w:rPr>
                <w:color w:val="000000"/>
                <w:sz w:val="20"/>
                <w:szCs w:val="20"/>
              </w:rPr>
              <w:t>$</w:t>
            </w:r>
            <w:r w:rsidR="00066761">
              <w:rPr>
                <w:color w:val="000000"/>
                <w:sz w:val="20"/>
                <w:szCs w:val="20"/>
              </w:rPr>
              <w:t>154.54</w:t>
            </w:r>
            <w:r w:rsidR="00BD0E02">
              <w:rPr>
                <w:color w:val="000000"/>
                <w:sz w:val="20"/>
                <w:szCs w:val="20"/>
              </w:rPr>
              <w:t xml:space="preserve"> </w:t>
            </w:r>
          </w:p>
        </w:tc>
        <w:tc>
          <w:tcPr>
            <w:tcW w:w="1548"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66</w:t>
            </w:r>
          </w:p>
        </w:tc>
        <w:tc>
          <w:tcPr>
            <w:tcW w:w="1530" w:type="dxa"/>
            <w:shd w:val="clear" w:color="auto" w:fill="auto"/>
            <w:vAlign w:val="bottom"/>
          </w:tcPr>
          <w:p w:rsidR="00717EF6" w:rsidRPr="00B520AC" w:rsidRDefault="00717EF6" w:rsidP="00066761">
            <w:pPr>
              <w:jc w:val="right"/>
              <w:rPr>
                <w:rFonts w:eastAsia="Times New Roman"/>
                <w:color w:val="000000"/>
                <w:sz w:val="20"/>
              </w:rPr>
            </w:pPr>
            <w:r>
              <w:rPr>
                <w:color w:val="000000"/>
                <w:sz w:val="20"/>
                <w:szCs w:val="20"/>
              </w:rPr>
              <w:t>$</w:t>
            </w:r>
            <w:r w:rsidR="00066761">
              <w:rPr>
                <w:color w:val="000000"/>
                <w:sz w:val="20"/>
                <w:szCs w:val="20"/>
              </w:rPr>
              <w:t>5,100</w:t>
            </w:r>
          </w:p>
        </w:tc>
      </w:tr>
      <w:tr w:rsidR="00717EF6" w:rsidRPr="00B61BD9" w:rsidTr="006B6347">
        <w:trPr>
          <w:trHeight w:val="18"/>
          <w:jc w:val="center"/>
        </w:trPr>
        <w:tc>
          <w:tcPr>
            <w:tcW w:w="3095" w:type="dxa"/>
            <w:shd w:val="clear" w:color="auto" w:fill="auto"/>
          </w:tcPr>
          <w:p w:rsidR="00717EF6" w:rsidRPr="00B61BD9" w:rsidRDefault="00717EF6" w:rsidP="00A56746">
            <w:pPr>
              <w:ind w:firstLineChars="189" w:firstLine="378"/>
              <w:rPr>
                <w:rFonts w:eastAsia="Times New Roman"/>
                <w:color w:val="000000"/>
                <w:sz w:val="20"/>
                <w:szCs w:val="20"/>
              </w:rPr>
            </w:pPr>
            <w:r w:rsidRPr="00B61BD9">
              <w:rPr>
                <w:rFonts w:eastAsia="Times New Roman"/>
                <w:color w:val="000000"/>
                <w:sz w:val="20"/>
              </w:rPr>
              <w:t>EPA review</w:t>
            </w:r>
            <w:r>
              <w:rPr>
                <w:rFonts w:eastAsia="Times New Roman"/>
                <w:color w:val="000000"/>
                <w:sz w:val="20"/>
              </w:rPr>
              <w:t>.</w:t>
            </w:r>
          </w:p>
        </w:tc>
        <w:tc>
          <w:tcPr>
            <w:tcW w:w="1912"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0.3</w:t>
            </w:r>
          </w:p>
        </w:tc>
        <w:tc>
          <w:tcPr>
            <w:tcW w:w="1275" w:type="dxa"/>
            <w:shd w:val="clear" w:color="auto" w:fill="auto"/>
            <w:vAlign w:val="bottom"/>
          </w:tcPr>
          <w:p w:rsidR="00717EF6" w:rsidRPr="00B520AC" w:rsidRDefault="00717EF6" w:rsidP="00066761">
            <w:pPr>
              <w:jc w:val="right"/>
              <w:rPr>
                <w:rFonts w:eastAsia="Times New Roman"/>
                <w:color w:val="000000"/>
                <w:sz w:val="20"/>
              </w:rPr>
            </w:pPr>
            <w:r>
              <w:rPr>
                <w:color w:val="000000"/>
                <w:sz w:val="20"/>
                <w:szCs w:val="20"/>
              </w:rPr>
              <w:t>$</w:t>
            </w:r>
            <w:r w:rsidR="00066761">
              <w:rPr>
                <w:color w:val="000000"/>
                <w:sz w:val="20"/>
                <w:szCs w:val="20"/>
              </w:rPr>
              <w:t>23.18</w:t>
            </w:r>
            <w:r>
              <w:rPr>
                <w:color w:val="000000"/>
                <w:sz w:val="20"/>
                <w:szCs w:val="20"/>
              </w:rPr>
              <w:t xml:space="preserve"> </w:t>
            </w:r>
          </w:p>
        </w:tc>
        <w:tc>
          <w:tcPr>
            <w:tcW w:w="1548" w:type="dxa"/>
            <w:shd w:val="clear" w:color="auto" w:fill="auto"/>
            <w:vAlign w:val="bottom"/>
          </w:tcPr>
          <w:p w:rsidR="00717EF6" w:rsidRPr="00B520AC" w:rsidRDefault="00717EF6" w:rsidP="006B6347">
            <w:pPr>
              <w:jc w:val="right"/>
              <w:rPr>
                <w:rFonts w:eastAsia="Times New Roman"/>
                <w:color w:val="000000"/>
                <w:sz w:val="20"/>
              </w:rPr>
            </w:pPr>
            <w:r>
              <w:rPr>
                <w:color w:val="000000"/>
                <w:sz w:val="20"/>
                <w:szCs w:val="20"/>
              </w:rPr>
              <w:t>20</w:t>
            </w:r>
          </w:p>
        </w:tc>
        <w:tc>
          <w:tcPr>
            <w:tcW w:w="1530" w:type="dxa"/>
            <w:shd w:val="clear" w:color="auto" w:fill="auto"/>
            <w:vAlign w:val="bottom"/>
          </w:tcPr>
          <w:p w:rsidR="00717EF6" w:rsidRPr="00B520AC" w:rsidRDefault="00717EF6" w:rsidP="00066761">
            <w:pPr>
              <w:jc w:val="right"/>
              <w:rPr>
                <w:rFonts w:eastAsia="Times New Roman"/>
                <w:color w:val="000000"/>
                <w:sz w:val="20"/>
              </w:rPr>
            </w:pPr>
            <w:r>
              <w:rPr>
                <w:color w:val="000000"/>
                <w:sz w:val="20"/>
                <w:szCs w:val="20"/>
              </w:rPr>
              <w:t>$</w:t>
            </w:r>
            <w:r w:rsidR="00066761">
              <w:rPr>
                <w:color w:val="000000"/>
                <w:sz w:val="20"/>
                <w:szCs w:val="20"/>
              </w:rPr>
              <w:t>1,545</w:t>
            </w:r>
          </w:p>
        </w:tc>
      </w:tr>
      <w:tr w:rsidR="00717EF6" w:rsidRPr="00B61BD9" w:rsidTr="000D4CB1">
        <w:trPr>
          <w:trHeight w:val="18"/>
          <w:jc w:val="center"/>
        </w:trPr>
        <w:tc>
          <w:tcPr>
            <w:tcW w:w="6282" w:type="dxa"/>
            <w:gridSpan w:val="3"/>
            <w:shd w:val="pct10" w:color="auto" w:fill="auto"/>
          </w:tcPr>
          <w:p w:rsidR="00717EF6" w:rsidRPr="00B61BD9" w:rsidRDefault="00717EF6" w:rsidP="00C10C31">
            <w:pPr>
              <w:rPr>
                <w:rFonts w:eastAsia="Times New Roman"/>
                <w:b/>
                <w:bCs/>
                <w:color w:val="000000"/>
                <w:sz w:val="20"/>
                <w:szCs w:val="20"/>
              </w:rPr>
            </w:pPr>
            <w:r w:rsidRPr="00B61BD9">
              <w:rPr>
                <w:rFonts w:eastAsia="Times New Roman"/>
                <w:b/>
                <w:bCs/>
                <w:color w:val="000000"/>
                <w:sz w:val="20"/>
              </w:rPr>
              <w:t>TOTAL</w:t>
            </w:r>
          </w:p>
        </w:tc>
        <w:tc>
          <w:tcPr>
            <w:tcW w:w="1548" w:type="dxa"/>
            <w:shd w:val="pct10" w:color="auto" w:fill="auto"/>
          </w:tcPr>
          <w:p w:rsidR="00717EF6" w:rsidRPr="00B61BD9" w:rsidRDefault="00717EF6" w:rsidP="00717EF6">
            <w:pPr>
              <w:jc w:val="right"/>
              <w:rPr>
                <w:rFonts w:eastAsia="Times New Roman"/>
                <w:b/>
                <w:bCs/>
                <w:color w:val="000000"/>
                <w:sz w:val="20"/>
                <w:szCs w:val="20"/>
              </w:rPr>
            </w:pPr>
            <w:r>
              <w:rPr>
                <w:b/>
                <w:bCs/>
                <w:color w:val="000000"/>
                <w:sz w:val="20"/>
                <w:szCs w:val="20"/>
              </w:rPr>
              <w:t>2,926</w:t>
            </w:r>
          </w:p>
        </w:tc>
        <w:tc>
          <w:tcPr>
            <w:tcW w:w="1530" w:type="dxa"/>
            <w:shd w:val="pct10" w:color="auto" w:fill="auto"/>
          </w:tcPr>
          <w:p w:rsidR="00717EF6" w:rsidRPr="00B61BD9" w:rsidRDefault="00717EF6" w:rsidP="00066761">
            <w:pPr>
              <w:jc w:val="right"/>
              <w:rPr>
                <w:rFonts w:eastAsia="Times New Roman"/>
                <w:b/>
                <w:bCs/>
                <w:color w:val="000000"/>
                <w:sz w:val="20"/>
                <w:szCs w:val="20"/>
              </w:rPr>
            </w:pPr>
            <w:r>
              <w:rPr>
                <w:b/>
                <w:bCs/>
                <w:color w:val="000000"/>
                <w:sz w:val="20"/>
                <w:szCs w:val="20"/>
              </w:rPr>
              <w:t>$</w:t>
            </w:r>
            <w:r w:rsidR="00066761">
              <w:rPr>
                <w:b/>
                <w:bCs/>
                <w:color w:val="000000"/>
                <w:sz w:val="20"/>
                <w:szCs w:val="20"/>
              </w:rPr>
              <w:t>226,092</w:t>
            </w:r>
          </w:p>
        </w:tc>
      </w:tr>
    </w:tbl>
    <w:p w:rsidR="00A56746" w:rsidRDefault="00A56746" w:rsidP="00A56746">
      <w:pPr>
        <w:autoSpaceDE w:val="0"/>
        <w:autoSpaceDN w:val="0"/>
        <w:adjustRightInd w:val="0"/>
        <w:ind w:left="540" w:hanging="180"/>
        <w:rPr>
          <w:sz w:val="20"/>
          <w:szCs w:val="20"/>
        </w:rPr>
      </w:pPr>
    </w:p>
    <w:p w:rsidR="00C97885" w:rsidRPr="0023691F" w:rsidRDefault="00A56746" w:rsidP="00A56746">
      <w:pPr>
        <w:autoSpaceDE w:val="0"/>
        <w:autoSpaceDN w:val="0"/>
        <w:adjustRightInd w:val="0"/>
        <w:ind w:left="540" w:hanging="360"/>
        <w:rPr>
          <w:sz w:val="20"/>
          <w:szCs w:val="20"/>
        </w:rPr>
      </w:pPr>
      <w:r>
        <w:rPr>
          <w:sz w:val="20"/>
          <w:szCs w:val="20"/>
        </w:rPr>
        <w:t>1.</w:t>
      </w:r>
      <w:r>
        <w:rPr>
          <w:sz w:val="20"/>
          <w:szCs w:val="20"/>
        </w:rPr>
        <w:tab/>
      </w:r>
      <w:r w:rsidR="00B564AE" w:rsidRPr="0023691F">
        <w:rPr>
          <w:sz w:val="20"/>
          <w:szCs w:val="20"/>
        </w:rPr>
        <w:t>20</w:t>
      </w:r>
      <w:r w:rsidR="00B564AE">
        <w:rPr>
          <w:sz w:val="20"/>
          <w:szCs w:val="20"/>
        </w:rPr>
        <w:t>14</w:t>
      </w:r>
      <w:r w:rsidR="00B564AE" w:rsidRPr="0023691F">
        <w:rPr>
          <w:sz w:val="20"/>
          <w:szCs w:val="20"/>
        </w:rPr>
        <w:t xml:space="preserve"> </w:t>
      </w:r>
      <w:r w:rsidR="0023691F" w:rsidRPr="0023691F">
        <w:rPr>
          <w:sz w:val="20"/>
          <w:szCs w:val="20"/>
        </w:rPr>
        <w:t>dollars</w:t>
      </w:r>
      <w:r>
        <w:rPr>
          <w:sz w:val="20"/>
          <w:szCs w:val="20"/>
        </w:rPr>
        <w:t>.</w:t>
      </w:r>
    </w:p>
    <w:p w:rsidR="0023691F" w:rsidRPr="0023691F" w:rsidRDefault="00A56746" w:rsidP="00A56746">
      <w:pPr>
        <w:autoSpaceDE w:val="0"/>
        <w:autoSpaceDN w:val="0"/>
        <w:adjustRightInd w:val="0"/>
        <w:ind w:left="540" w:hanging="360"/>
        <w:rPr>
          <w:sz w:val="20"/>
          <w:szCs w:val="20"/>
        </w:rPr>
      </w:pPr>
      <w:r>
        <w:rPr>
          <w:sz w:val="20"/>
          <w:szCs w:val="20"/>
        </w:rPr>
        <w:t>2</w:t>
      </w:r>
      <w:r w:rsidR="0023691F" w:rsidRPr="0023691F">
        <w:rPr>
          <w:sz w:val="20"/>
          <w:szCs w:val="20"/>
        </w:rPr>
        <w:t>.</w:t>
      </w:r>
      <w:r>
        <w:rPr>
          <w:sz w:val="20"/>
          <w:szCs w:val="20"/>
        </w:rPr>
        <w:tab/>
      </w:r>
      <w:r w:rsidR="0023691F" w:rsidRPr="0023691F">
        <w:rPr>
          <w:sz w:val="20"/>
          <w:szCs w:val="20"/>
        </w:rPr>
        <w:t xml:space="preserve">Assumes </w:t>
      </w:r>
      <w:r w:rsidR="002050C7">
        <w:rPr>
          <w:sz w:val="20"/>
          <w:szCs w:val="20"/>
        </w:rPr>
        <w:t>12</w:t>
      </w:r>
      <w:r w:rsidR="000D4CB1">
        <w:rPr>
          <w:sz w:val="20"/>
          <w:szCs w:val="20"/>
        </w:rPr>
        <w:t>0</w:t>
      </w:r>
      <w:r w:rsidR="003A6DAA">
        <w:rPr>
          <w:sz w:val="20"/>
          <w:szCs w:val="20"/>
        </w:rPr>
        <w:t>1</w:t>
      </w:r>
      <w:r w:rsidR="0023691F" w:rsidRPr="0023691F">
        <w:rPr>
          <w:sz w:val="20"/>
          <w:szCs w:val="20"/>
        </w:rPr>
        <w:t xml:space="preserve"> sources submit a certificate of representation.</w:t>
      </w:r>
    </w:p>
    <w:p w:rsidR="0023691F" w:rsidRPr="0023691F" w:rsidRDefault="00A56746" w:rsidP="00A56746">
      <w:pPr>
        <w:autoSpaceDE w:val="0"/>
        <w:autoSpaceDN w:val="0"/>
        <w:adjustRightInd w:val="0"/>
        <w:ind w:left="540" w:hanging="360"/>
        <w:rPr>
          <w:sz w:val="20"/>
          <w:szCs w:val="20"/>
        </w:rPr>
      </w:pPr>
      <w:r>
        <w:rPr>
          <w:sz w:val="20"/>
          <w:szCs w:val="20"/>
        </w:rPr>
        <w:t>3.</w:t>
      </w:r>
      <w:r>
        <w:rPr>
          <w:sz w:val="20"/>
          <w:szCs w:val="20"/>
        </w:rPr>
        <w:tab/>
      </w:r>
      <w:r w:rsidR="0023691F" w:rsidRPr="0023691F">
        <w:rPr>
          <w:sz w:val="20"/>
          <w:szCs w:val="20"/>
        </w:rPr>
        <w:t>Assumes 2</w:t>
      </w:r>
      <w:r w:rsidR="000D4CB1">
        <w:rPr>
          <w:sz w:val="20"/>
          <w:szCs w:val="20"/>
        </w:rPr>
        <w:t>4</w:t>
      </w:r>
      <w:r w:rsidR="0023691F" w:rsidRPr="0023691F">
        <w:rPr>
          <w:sz w:val="20"/>
          <w:szCs w:val="20"/>
        </w:rPr>
        <w:t>0 sources (approximately 20% of all affected sources) will submit a permit application each year.</w:t>
      </w:r>
    </w:p>
    <w:p w:rsidR="0023691F" w:rsidRPr="0023691F" w:rsidRDefault="00A56746" w:rsidP="00A56746">
      <w:pPr>
        <w:autoSpaceDE w:val="0"/>
        <w:autoSpaceDN w:val="0"/>
        <w:adjustRightInd w:val="0"/>
        <w:ind w:left="540" w:hanging="360"/>
        <w:rPr>
          <w:sz w:val="20"/>
          <w:szCs w:val="20"/>
        </w:rPr>
      </w:pPr>
      <w:r>
        <w:rPr>
          <w:sz w:val="20"/>
          <w:szCs w:val="20"/>
        </w:rPr>
        <w:t>4.</w:t>
      </w:r>
      <w:r>
        <w:rPr>
          <w:sz w:val="20"/>
          <w:szCs w:val="20"/>
        </w:rPr>
        <w:tab/>
      </w:r>
      <w:r w:rsidR="0023691F" w:rsidRPr="0023691F">
        <w:rPr>
          <w:sz w:val="20"/>
          <w:szCs w:val="20"/>
        </w:rPr>
        <w:t>Assumes 33 retired unit exemptions are submitted each year.</w:t>
      </w:r>
    </w:p>
    <w:p w:rsidR="0023691F" w:rsidRDefault="0023691F" w:rsidP="00A56746">
      <w:pPr>
        <w:autoSpaceDE w:val="0"/>
        <w:autoSpaceDN w:val="0"/>
        <w:adjustRightInd w:val="0"/>
        <w:ind w:left="540" w:hanging="180"/>
        <w:jc w:val="center"/>
        <w:rPr>
          <w:b/>
          <w:szCs w:val="24"/>
        </w:rPr>
      </w:pPr>
    </w:p>
    <w:p w:rsidR="004368B9" w:rsidRDefault="004368B9" w:rsidP="00C97885">
      <w:pPr>
        <w:autoSpaceDE w:val="0"/>
        <w:autoSpaceDN w:val="0"/>
        <w:adjustRightInd w:val="0"/>
        <w:jc w:val="center"/>
        <w:rPr>
          <w:b/>
          <w:szCs w:val="24"/>
        </w:rPr>
      </w:pPr>
    </w:p>
    <w:p w:rsidR="004368B9" w:rsidRPr="00C97885" w:rsidRDefault="00841520" w:rsidP="004368B9">
      <w:pPr>
        <w:autoSpaceDE w:val="0"/>
        <w:autoSpaceDN w:val="0"/>
        <w:adjustRightInd w:val="0"/>
        <w:jc w:val="center"/>
        <w:rPr>
          <w:b/>
          <w:szCs w:val="24"/>
        </w:rPr>
      </w:pPr>
      <w:r>
        <w:rPr>
          <w:b/>
          <w:szCs w:val="24"/>
        </w:rPr>
        <w:t xml:space="preserve">Table </w:t>
      </w:r>
      <w:r w:rsidR="004368B9">
        <w:rPr>
          <w:b/>
          <w:szCs w:val="24"/>
        </w:rPr>
        <w:t>6-</w:t>
      </w:r>
      <w:r w:rsidR="009269F3">
        <w:rPr>
          <w:b/>
          <w:szCs w:val="24"/>
        </w:rPr>
        <w:t>7</w:t>
      </w:r>
      <w:r w:rsidR="00CB69B5">
        <w:rPr>
          <w:b/>
          <w:szCs w:val="24"/>
        </w:rPr>
        <w:t>:</w:t>
      </w:r>
    </w:p>
    <w:p w:rsidR="004368B9" w:rsidRPr="00B61BD9" w:rsidRDefault="00A56746" w:rsidP="004368B9">
      <w:pPr>
        <w:autoSpaceDE w:val="0"/>
        <w:autoSpaceDN w:val="0"/>
        <w:adjustRightInd w:val="0"/>
        <w:jc w:val="center"/>
        <w:rPr>
          <w:b/>
          <w:szCs w:val="24"/>
        </w:rPr>
      </w:pPr>
      <w:r>
        <w:rPr>
          <w:b/>
          <w:szCs w:val="24"/>
        </w:rPr>
        <w:t>Agency Burden –</w:t>
      </w:r>
      <w:r w:rsidR="004368B9" w:rsidRPr="00B61BD9">
        <w:rPr>
          <w:b/>
          <w:szCs w:val="24"/>
        </w:rPr>
        <w:t xml:space="preserve"> Emissions Reporting</w:t>
      </w:r>
    </w:p>
    <w:p w:rsidR="004368B9" w:rsidRDefault="004368B9" w:rsidP="004368B9">
      <w:pPr>
        <w:autoSpaceDE w:val="0"/>
        <w:autoSpaceDN w:val="0"/>
        <w:adjustRightInd w:val="0"/>
        <w:rPr>
          <w:szCs w:val="24"/>
        </w:rPr>
      </w:pPr>
    </w:p>
    <w:tbl>
      <w:tblPr>
        <w:tblW w:w="9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2258"/>
        <w:gridCol w:w="1708"/>
        <w:gridCol w:w="1610"/>
        <w:gridCol w:w="1134"/>
        <w:gridCol w:w="1689"/>
        <w:gridCol w:w="961"/>
      </w:tblGrid>
      <w:tr w:rsidR="004368B9" w:rsidRPr="00B61BD9" w:rsidTr="000D4CB1">
        <w:trPr>
          <w:trHeight w:val="115"/>
          <w:jc w:val="center"/>
        </w:trPr>
        <w:tc>
          <w:tcPr>
            <w:tcW w:w="2258" w:type="dxa"/>
            <w:shd w:val="pct10" w:color="auto" w:fill="auto"/>
            <w:noWrap/>
            <w:vAlign w:val="bottom"/>
          </w:tcPr>
          <w:p w:rsidR="004368B9" w:rsidRPr="00B61BD9" w:rsidRDefault="004368B9" w:rsidP="000E7455">
            <w:pPr>
              <w:jc w:val="center"/>
              <w:rPr>
                <w:rFonts w:eastAsia="Times New Roman"/>
                <w:b/>
                <w:bCs/>
                <w:color w:val="000000"/>
                <w:sz w:val="22"/>
              </w:rPr>
            </w:pPr>
            <w:r w:rsidRPr="00B61BD9">
              <w:rPr>
                <w:rFonts w:eastAsia="Times New Roman"/>
                <w:b/>
                <w:bCs/>
                <w:color w:val="000000"/>
                <w:sz w:val="22"/>
              </w:rPr>
              <w:t>Information Collection Activity</w:t>
            </w:r>
          </w:p>
        </w:tc>
        <w:tc>
          <w:tcPr>
            <w:tcW w:w="1708" w:type="dxa"/>
            <w:shd w:val="pct10" w:color="auto" w:fill="auto"/>
            <w:vAlign w:val="bottom"/>
          </w:tcPr>
          <w:p w:rsidR="004368B9" w:rsidRPr="00B61BD9" w:rsidRDefault="004368B9" w:rsidP="000E7455">
            <w:pPr>
              <w:jc w:val="center"/>
              <w:rPr>
                <w:rFonts w:eastAsia="Times New Roman"/>
                <w:b/>
                <w:bCs/>
                <w:color w:val="000000"/>
                <w:sz w:val="22"/>
              </w:rPr>
            </w:pPr>
            <w:r w:rsidRPr="00B61BD9">
              <w:rPr>
                <w:rFonts w:eastAsia="Times New Roman"/>
                <w:b/>
                <w:bCs/>
                <w:color w:val="000000"/>
                <w:sz w:val="22"/>
                <w:szCs w:val="20"/>
              </w:rPr>
              <w:t>Quarterly Burden Hours per Report</w:t>
            </w:r>
          </w:p>
        </w:tc>
        <w:tc>
          <w:tcPr>
            <w:tcW w:w="1610" w:type="dxa"/>
            <w:shd w:val="pct10" w:color="auto" w:fill="auto"/>
            <w:vAlign w:val="bottom"/>
          </w:tcPr>
          <w:p w:rsidR="004368B9" w:rsidRPr="00B61BD9" w:rsidRDefault="004368B9" w:rsidP="00A56746">
            <w:pPr>
              <w:jc w:val="center"/>
              <w:rPr>
                <w:rFonts w:eastAsia="Times New Roman"/>
                <w:b/>
                <w:bCs/>
                <w:color w:val="000000"/>
                <w:sz w:val="22"/>
              </w:rPr>
            </w:pPr>
            <w:r w:rsidRPr="00B61BD9">
              <w:rPr>
                <w:rFonts w:eastAsia="Times New Roman"/>
                <w:b/>
                <w:bCs/>
                <w:color w:val="000000"/>
                <w:sz w:val="22"/>
                <w:szCs w:val="20"/>
              </w:rPr>
              <w:t>Quarterly Cost per Report</w:t>
            </w:r>
            <w:r w:rsidR="00A56746">
              <w:rPr>
                <w:rFonts w:eastAsia="Times New Roman"/>
                <w:b/>
                <w:bCs/>
                <w:color w:val="000000"/>
                <w:sz w:val="22"/>
                <w:vertAlign w:val="superscript"/>
              </w:rPr>
              <w:t>1</w:t>
            </w:r>
          </w:p>
        </w:tc>
        <w:tc>
          <w:tcPr>
            <w:tcW w:w="1134" w:type="dxa"/>
            <w:shd w:val="pct10" w:color="auto" w:fill="auto"/>
            <w:vAlign w:val="bottom"/>
          </w:tcPr>
          <w:p w:rsidR="004368B9" w:rsidRPr="00B61BD9" w:rsidRDefault="004368B9" w:rsidP="00A56746">
            <w:pPr>
              <w:jc w:val="center"/>
              <w:rPr>
                <w:rFonts w:eastAsia="Times New Roman"/>
                <w:b/>
                <w:bCs/>
                <w:color w:val="000000"/>
                <w:sz w:val="22"/>
              </w:rPr>
            </w:pPr>
            <w:r w:rsidRPr="00B61BD9">
              <w:rPr>
                <w:rFonts w:eastAsia="Times New Roman"/>
                <w:b/>
                <w:bCs/>
                <w:color w:val="000000"/>
                <w:sz w:val="22"/>
                <w:szCs w:val="20"/>
              </w:rPr>
              <w:t>Number of Reports</w:t>
            </w:r>
            <w:r w:rsidR="00A56746">
              <w:rPr>
                <w:rFonts w:eastAsia="Times New Roman"/>
                <w:b/>
                <w:bCs/>
                <w:color w:val="000000"/>
                <w:sz w:val="22"/>
                <w:vertAlign w:val="superscript"/>
              </w:rPr>
              <w:t>2</w:t>
            </w:r>
          </w:p>
        </w:tc>
        <w:tc>
          <w:tcPr>
            <w:tcW w:w="1689" w:type="dxa"/>
            <w:shd w:val="pct10" w:color="auto" w:fill="auto"/>
            <w:vAlign w:val="bottom"/>
          </w:tcPr>
          <w:p w:rsidR="004368B9" w:rsidRPr="00B61BD9" w:rsidRDefault="00CC1D0A" w:rsidP="000E7455">
            <w:pPr>
              <w:jc w:val="center"/>
              <w:rPr>
                <w:rFonts w:eastAsia="Times New Roman"/>
                <w:b/>
                <w:bCs/>
                <w:color w:val="000000"/>
                <w:sz w:val="22"/>
              </w:rPr>
            </w:pPr>
            <w:r>
              <w:rPr>
                <w:rFonts w:eastAsia="Times New Roman"/>
                <w:b/>
                <w:bCs/>
                <w:color w:val="000000"/>
                <w:sz w:val="22"/>
                <w:szCs w:val="20"/>
              </w:rPr>
              <w:t>Total Burden per Year (H</w:t>
            </w:r>
            <w:r w:rsidR="004368B9" w:rsidRPr="00B61BD9">
              <w:rPr>
                <w:rFonts w:eastAsia="Times New Roman"/>
                <w:b/>
                <w:bCs/>
                <w:color w:val="000000"/>
                <w:sz w:val="22"/>
                <w:szCs w:val="20"/>
              </w:rPr>
              <w:t>ours)</w:t>
            </w:r>
          </w:p>
        </w:tc>
        <w:tc>
          <w:tcPr>
            <w:tcW w:w="961" w:type="dxa"/>
            <w:shd w:val="pct10" w:color="auto" w:fill="auto"/>
            <w:vAlign w:val="bottom"/>
          </w:tcPr>
          <w:p w:rsidR="004368B9" w:rsidRPr="00B61BD9" w:rsidRDefault="004368B9" w:rsidP="000E7455">
            <w:pPr>
              <w:jc w:val="center"/>
              <w:rPr>
                <w:rFonts w:eastAsia="Times New Roman"/>
                <w:b/>
                <w:bCs/>
                <w:color w:val="000000"/>
                <w:sz w:val="22"/>
              </w:rPr>
            </w:pPr>
            <w:r w:rsidRPr="00B61BD9">
              <w:rPr>
                <w:rFonts w:eastAsia="Times New Roman"/>
                <w:b/>
                <w:bCs/>
                <w:color w:val="000000"/>
                <w:sz w:val="22"/>
                <w:szCs w:val="20"/>
              </w:rPr>
              <w:t>Total Cost</w:t>
            </w:r>
          </w:p>
        </w:tc>
      </w:tr>
      <w:tr w:rsidR="00717EF6" w:rsidRPr="00B61BD9" w:rsidTr="006B6347">
        <w:trPr>
          <w:trHeight w:val="88"/>
          <w:jc w:val="center"/>
        </w:trPr>
        <w:tc>
          <w:tcPr>
            <w:tcW w:w="2258" w:type="dxa"/>
            <w:shd w:val="clear" w:color="auto" w:fill="auto"/>
          </w:tcPr>
          <w:p w:rsidR="00717EF6" w:rsidRPr="00B61BD9" w:rsidRDefault="00717EF6" w:rsidP="000E7455">
            <w:pPr>
              <w:rPr>
                <w:rFonts w:eastAsia="Times New Roman"/>
                <w:color w:val="000000"/>
                <w:sz w:val="20"/>
                <w:szCs w:val="20"/>
              </w:rPr>
            </w:pPr>
            <w:r w:rsidRPr="00B61BD9">
              <w:rPr>
                <w:rFonts w:eastAsia="Times New Roman"/>
                <w:color w:val="000000"/>
                <w:sz w:val="20"/>
                <w:szCs w:val="20"/>
              </w:rPr>
              <w:t>Process, review, and evaluate quarterly report and issue feedback letter.</w:t>
            </w:r>
          </w:p>
        </w:tc>
        <w:tc>
          <w:tcPr>
            <w:tcW w:w="1708" w:type="dxa"/>
            <w:shd w:val="clear" w:color="auto" w:fill="auto"/>
            <w:vAlign w:val="bottom"/>
          </w:tcPr>
          <w:p w:rsidR="00717EF6" w:rsidRPr="00B520AC" w:rsidRDefault="00717EF6" w:rsidP="006B6347">
            <w:pPr>
              <w:ind w:firstLineChars="189" w:firstLine="378"/>
              <w:jc w:val="right"/>
              <w:rPr>
                <w:rFonts w:eastAsia="Times New Roman"/>
                <w:color w:val="000000"/>
                <w:sz w:val="20"/>
              </w:rPr>
            </w:pPr>
            <w:r>
              <w:rPr>
                <w:color w:val="000000"/>
                <w:sz w:val="20"/>
                <w:szCs w:val="20"/>
              </w:rPr>
              <w:t>1</w:t>
            </w:r>
          </w:p>
        </w:tc>
        <w:tc>
          <w:tcPr>
            <w:tcW w:w="1610" w:type="dxa"/>
            <w:shd w:val="clear" w:color="auto" w:fill="auto"/>
            <w:vAlign w:val="bottom"/>
          </w:tcPr>
          <w:p w:rsidR="00717EF6" w:rsidRPr="00B520AC" w:rsidRDefault="00717EF6" w:rsidP="00066761">
            <w:pPr>
              <w:ind w:firstLineChars="189" w:firstLine="378"/>
              <w:jc w:val="right"/>
              <w:rPr>
                <w:rFonts w:eastAsia="Times New Roman"/>
                <w:color w:val="000000"/>
                <w:sz w:val="20"/>
              </w:rPr>
            </w:pPr>
            <w:r>
              <w:rPr>
                <w:color w:val="000000"/>
                <w:sz w:val="20"/>
                <w:szCs w:val="20"/>
              </w:rPr>
              <w:t>$</w:t>
            </w:r>
            <w:r w:rsidR="00066761">
              <w:rPr>
                <w:color w:val="000000"/>
                <w:sz w:val="20"/>
                <w:szCs w:val="20"/>
              </w:rPr>
              <w:t>77.27</w:t>
            </w:r>
          </w:p>
        </w:tc>
        <w:tc>
          <w:tcPr>
            <w:tcW w:w="1134" w:type="dxa"/>
            <w:shd w:val="clear" w:color="auto" w:fill="auto"/>
            <w:vAlign w:val="bottom"/>
          </w:tcPr>
          <w:p w:rsidR="00717EF6" w:rsidRPr="00B520AC" w:rsidRDefault="00717EF6" w:rsidP="006B6347">
            <w:pPr>
              <w:ind w:firstLineChars="189" w:firstLine="378"/>
              <w:jc w:val="right"/>
              <w:rPr>
                <w:rFonts w:eastAsia="Times New Roman"/>
                <w:color w:val="000000"/>
                <w:sz w:val="20"/>
              </w:rPr>
            </w:pPr>
            <w:r>
              <w:rPr>
                <w:color w:val="000000"/>
                <w:sz w:val="20"/>
                <w:szCs w:val="20"/>
              </w:rPr>
              <w:t>4,500</w:t>
            </w:r>
          </w:p>
        </w:tc>
        <w:tc>
          <w:tcPr>
            <w:tcW w:w="1689" w:type="dxa"/>
            <w:shd w:val="clear" w:color="auto" w:fill="auto"/>
            <w:vAlign w:val="bottom"/>
          </w:tcPr>
          <w:p w:rsidR="00717EF6" w:rsidRPr="00B520AC" w:rsidRDefault="00717EF6" w:rsidP="006B6347">
            <w:pPr>
              <w:ind w:firstLineChars="189" w:firstLine="378"/>
              <w:jc w:val="right"/>
              <w:rPr>
                <w:rFonts w:eastAsia="Times New Roman"/>
                <w:color w:val="000000"/>
                <w:sz w:val="20"/>
              </w:rPr>
            </w:pPr>
            <w:r>
              <w:rPr>
                <w:color w:val="000000"/>
                <w:sz w:val="20"/>
                <w:szCs w:val="20"/>
              </w:rPr>
              <w:t>4,500</w:t>
            </w:r>
          </w:p>
        </w:tc>
        <w:tc>
          <w:tcPr>
            <w:tcW w:w="961" w:type="dxa"/>
            <w:shd w:val="clear" w:color="auto" w:fill="auto"/>
            <w:vAlign w:val="bottom"/>
          </w:tcPr>
          <w:p w:rsidR="00717EF6" w:rsidRPr="00B520AC" w:rsidRDefault="00717EF6" w:rsidP="00066761">
            <w:pPr>
              <w:jc w:val="right"/>
              <w:rPr>
                <w:rFonts w:eastAsia="Times New Roman"/>
                <w:color w:val="000000"/>
                <w:sz w:val="20"/>
              </w:rPr>
            </w:pPr>
            <w:r>
              <w:rPr>
                <w:color w:val="000000"/>
                <w:sz w:val="20"/>
                <w:szCs w:val="20"/>
              </w:rPr>
              <w:t>$</w:t>
            </w:r>
            <w:r w:rsidR="00066761">
              <w:rPr>
                <w:color w:val="000000"/>
                <w:sz w:val="20"/>
                <w:szCs w:val="20"/>
              </w:rPr>
              <w:t>347,715</w:t>
            </w:r>
          </w:p>
        </w:tc>
      </w:tr>
    </w:tbl>
    <w:p w:rsidR="00A56746" w:rsidRDefault="00A56746" w:rsidP="0023691F">
      <w:pPr>
        <w:autoSpaceDE w:val="0"/>
        <w:autoSpaceDN w:val="0"/>
        <w:adjustRightInd w:val="0"/>
        <w:ind w:left="2880"/>
        <w:rPr>
          <w:sz w:val="20"/>
          <w:szCs w:val="20"/>
        </w:rPr>
      </w:pPr>
    </w:p>
    <w:p w:rsidR="004368B9" w:rsidRPr="0023691F" w:rsidRDefault="00A56746" w:rsidP="00A56746">
      <w:pPr>
        <w:tabs>
          <w:tab w:val="left" w:pos="540"/>
        </w:tabs>
        <w:autoSpaceDE w:val="0"/>
        <w:autoSpaceDN w:val="0"/>
        <w:adjustRightInd w:val="0"/>
        <w:ind w:left="180"/>
        <w:rPr>
          <w:sz w:val="20"/>
          <w:szCs w:val="20"/>
        </w:rPr>
      </w:pPr>
      <w:r>
        <w:rPr>
          <w:sz w:val="20"/>
          <w:szCs w:val="20"/>
        </w:rPr>
        <w:t>1</w:t>
      </w:r>
      <w:r w:rsidR="0023691F" w:rsidRPr="0023691F">
        <w:rPr>
          <w:sz w:val="20"/>
          <w:szCs w:val="20"/>
        </w:rPr>
        <w:t>.</w:t>
      </w:r>
      <w:r>
        <w:rPr>
          <w:sz w:val="20"/>
          <w:szCs w:val="20"/>
        </w:rPr>
        <w:tab/>
      </w:r>
      <w:r w:rsidR="0023691F">
        <w:rPr>
          <w:sz w:val="20"/>
          <w:szCs w:val="20"/>
        </w:rPr>
        <w:t xml:space="preserve">Based on an average total compensation rate of </w:t>
      </w:r>
      <w:r>
        <w:rPr>
          <w:sz w:val="20"/>
          <w:szCs w:val="20"/>
        </w:rPr>
        <w:t>$</w:t>
      </w:r>
      <w:r w:rsidR="00066761">
        <w:rPr>
          <w:sz w:val="20"/>
          <w:szCs w:val="20"/>
        </w:rPr>
        <w:t xml:space="preserve">77.27 </w:t>
      </w:r>
      <w:r w:rsidR="0023691F">
        <w:rPr>
          <w:sz w:val="20"/>
          <w:szCs w:val="20"/>
        </w:rPr>
        <w:t>per hour.</w:t>
      </w:r>
    </w:p>
    <w:p w:rsidR="0023691F" w:rsidRPr="0023691F" w:rsidRDefault="00A56746" w:rsidP="00A56746">
      <w:pPr>
        <w:tabs>
          <w:tab w:val="left" w:pos="540"/>
        </w:tabs>
        <w:autoSpaceDE w:val="0"/>
        <w:autoSpaceDN w:val="0"/>
        <w:adjustRightInd w:val="0"/>
        <w:ind w:left="180"/>
        <w:rPr>
          <w:sz w:val="20"/>
          <w:szCs w:val="20"/>
        </w:rPr>
      </w:pPr>
      <w:r>
        <w:rPr>
          <w:sz w:val="20"/>
          <w:szCs w:val="20"/>
        </w:rPr>
        <w:t>2</w:t>
      </w:r>
      <w:r w:rsidR="0023691F" w:rsidRPr="0023691F">
        <w:rPr>
          <w:sz w:val="20"/>
          <w:szCs w:val="20"/>
        </w:rPr>
        <w:t>.</w:t>
      </w:r>
      <w:r>
        <w:rPr>
          <w:sz w:val="20"/>
          <w:szCs w:val="20"/>
        </w:rPr>
        <w:tab/>
      </w:r>
      <w:r w:rsidR="00410114">
        <w:rPr>
          <w:sz w:val="20"/>
          <w:szCs w:val="20"/>
        </w:rPr>
        <w:t xml:space="preserve">Assumes </w:t>
      </w:r>
      <w:r w:rsidR="000D4CB1">
        <w:rPr>
          <w:sz w:val="20"/>
          <w:szCs w:val="20"/>
        </w:rPr>
        <w:t xml:space="preserve">1125 </w:t>
      </w:r>
      <w:r w:rsidR="00A16CC8">
        <w:rPr>
          <w:sz w:val="20"/>
          <w:szCs w:val="20"/>
        </w:rPr>
        <w:t>TR</w:t>
      </w:r>
      <w:r w:rsidR="00410114">
        <w:rPr>
          <w:sz w:val="20"/>
          <w:szCs w:val="20"/>
        </w:rPr>
        <w:t xml:space="preserve"> only emissions data reports are submitted each quarter.</w:t>
      </w:r>
    </w:p>
    <w:p w:rsidR="0023691F" w:rsidRDefault="0023691F" w:rsidP="0023691F">
      <w:pPr>
        <w:autoSpaceDE w:val="0"/>
        <w:autoSpaceDN w:val="0"/>
        <w:adjustRightInd w:val="0"/>
        <w:jc w:val="center"/>
        <w:rPr>
          <w:szCs w:val="24"/>
        </w:rPr>
      </w:pPr>
    </w:p>
    <w:p w:rsidR="004368B9" w:rsidRPr="00BE0BD1" w:rsidRDefault="004368B9" w:rsidP="00C97885">
      <w:pPr>
        <w:autoSpaceDE w:val="0"/>
        <w:autoSpaceDN w:val="0"/>
        <w:adjustRightInd w:val="0"/>
        <w:jc w:val="center"/>
        <w:rPr>
          <w:b/>
          <w:szCs w:val="24"/>
        </w:rPr>
      </w:pPr>
    </w:p>
    <w:p w:rsidR="00A55C35" w:rsidRDefault="00A55C35" w:rsidP="0066040C">
      <w:pPr>
        <w:keepNext/>
        <w:autoSpaceDE w:val="0"/>
        <w:autoSpaceDN w:val="0"/>
        <w:adjustRightInd w:val="0"/>
        <w:jc w:val="center"/>
        <w:rPr>
          <w:b/>
          <w:szCs w:val="24"/>
        </w:rPr>
      </w:pPr>
    </w:p>
    <w:p w:rsidR="00C97885" w:rsidRPr="00C97885" w:rsidRDefault="00841520" w:rsidP="0066040C">
      <w:pPr>
        <w:keepNext/>
        <w:autoSpaceDE w:val="0"/>
        <w:autoSpaceDN w:val="0"/>
        <w:adjustRightInd w:val="0"/>
        <w:jc w:val="center"/>
        <w:rPr>
          <w:b/>
          <w:szCs w:val="24"/>
        </w:rPr>
      </w:pPr>
      <w:r>
        <w:rPr>
          <w:b/>
          <w:szCs w:val="24"/>
        </w:rPr>
        <w:t xml:space="preserve">Table </w:t>
      </w:r>
      <w:r w:rsidR="00C97885" w:rsidRPr="00C97885">
        <w:rPr>
          <w:b/>
          <w:szCs w:val="24"/>
        </w:rPr>
        <w:t>6-</w:t>
      </w:r>
      <w:r w:rsidR="009269F3">
        <w:rPr>
          <w:b/>
          <w:szCs w:val="24"/>
        </w:rPr>
        <w:t>8</w:t>
      </w:r>
      <w:r w:rsidR="00CB69B5">
        <w:rPr>
          <w:b/>
          <w:szCs w:val="24"/>
        </w:rPr>
        <w:t>:</w:t>
      </w:r>
    </w:p>
    <w:p w:rsidR="00C97885" w:rsidRDefault="00C97885" w:rsidP="0066040C">
      <w:pPr>
        <w:keepNext/>
        <w:autoSpaceDE w:val="0"/>
        <w:autoSpaceDN w:val="0"/>
        <w:adjustRightInd w:val="0"/>
        <w:jc w:val="center"/>
        <w:rPr>
          <w:b/>
          <w:szCs w:val="24"/>
        </w:rPr>
      </w:pPr>
      <w:r w:rsidRPr="00BE0BD1">
        <w:rPr>
          <w:b/>
          <w:szCs w:val="24"/>
        </w:rPr>
        <w:t>Agency Burden - Allowance Allocations</w:t>
      </w:r>
    </w:p>
    <w:p w:rsidR="00C97885" w:rsidRDefault="00C97885" w:rsidP="0066040C">
      <w:pPr>
        <w:keepNext/>
        <w:autoSpaceDE w:val="0"/>
        <w:autoSpaceDN w:val="0"/>
        <w:adjustRightInd w:val="0"/>
        <w:rPr>
          <w:szCs w:val="24"/>
        </w:rPr>
      </w:pPr>
    </w:p>
    <w:tbl>
      <w:tblPr>
        <w:tblW w:w="9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4331"/>
        <w:gridCol w:w="2405"/>
        <w:gridCol w:w="2624"/>
      </w:tblGrid>
      <w:tr w:rsidR="00C97885" w:rsidRPr="00BE0BD1" w:rsidTr="0066040C">
        <w:trPr>
          <w:trHeight w:val="18"/>
          <w:jc w:val="center"/>
        </w:trPr>
        <w:tc>
          <w:tcPr>
            <w:tcW w:w="3566" w:type="dxa"/>
            <w:shd w:val="pct10" w:color="auto" w:fill="auto"/>
            <w:vAlign w:val="bottom"/>
          </w:tcPr>
          <w:p w:rsidR="00C97885" w:rsidRPr="00BE0BD1" w:rsidRDefault="00C97885" w:rsidP="0066040C">
            <w:pPr>
              <w:keepNext/>
              <w:jc w:val="center"/>
              <w:rPr>
                <w:rFonts w:eastAsia="Times New Roman"/>
                <w:b/>
                <w:bCs/>
                <w:color w:val="000000"/>
                <w:sz w:val="22"/>
              </w:rPr>
            </w:pPr>
            <w:r w:rsidRPr="00E936E3">
              <w:rPr>
                <w:rFonts w:eastAsia="Times New Roman"/>
                <w:b/>
                <w:bCs/>
                <w:color w:val="000000"/>
                <w:sz w:val="22"/>
              </w:rPr>
              <w:t>Information Collection Activity</w:t>
            </w:r>
          </w:p>
        </w:tc>
        <w:tc>
          <w:tcPr>
            <w:tcW w:w="1980" w:type="dxa"/>
            <w:shd w:val="pct10" w:color="auto" w:fill="auto"/>
            <w:vAlign w:val="bottom"/>
          </w:tcPr>
          <w:p w:rsidR="00C97885" w:rsidRPr="00BE0BD1" w:rsidRDefault="00C97885" w:rsidP="0066040C">
            <w:pPr>
              <w:keepNext/>
              <w:jc w:val="center"/>
              <w:rPr>
                <w:rFonts w:eastAsia="Times New Roman"/>
                <w:b/>
                <w:bCs/>
                <w:color w:val="000000"/>
                <w:sz w:val="22"/>
              </w:rPr>
            </w:pPr>
            <w:r w:rsidRPr="00BE0BD1">
              <w:rPr>
                <w:rFonts w:eastAsia="Times New Roman"/>
                <w:b/>
                <w:bCs/>
                <w:color w:val="000000"/>
                <w:sz w:val="22"/>
              </w:rPr>
              <w:t>Total Burden</w:t>
            </w:r>
            <w:r w:rsidR="00410114">
              <w:rPr>
                <w:rFonts w:eastAsia="Times New Roman"/>
                <w:b/>
                <w:bCs/>
                <w:color w:val="000000"/>
                <w:sz w:val="22"/>
              </w:rPr>
              <w:t xml:space="preserve"> </w:t>
            </w:r>
            <w:r w:rsidR="00CC1D0A">
              <w:rPr>
                <w:rFonts w:eastAsia="Times New Roman"/>
                <w:b/>
                <w:bCs/>
                <w:color w:val="000000"/>
                <w:sz w:val="22"/>
              </w:rPr>
              <w:t>(H</w:t>
            </w:r>
            <w:r w:rsidRPr="00BE0BD1">
              <w:rPr>
                <w:rFonts w:eastAsia="Times New Roman"/>
                <w:b/>
                <w:bCs/>
                <w:color w:val="000000"/>
                <w:sz w:val="22"/>
              </w:rPr>
              <w:t>ours)</w:t>
            </w:r>
          </w:p>
        </w:tc>
        <w:tc>
          <w:tcPr>
            <w:tcW w:w="2160" w:type="dxa"/>
            <w:shd w:val="pct10" w:color="auto" w:fill="auto"/>
            <w:vAlign w:val="bottom"/>
          </w:tcPr>
          <w:p w:rsidR="00C97885" w:rsidRPr="00BE0BD1" w:rsidRDefault="00C97885" w:rsidP="0066040C">
            <w:pPr>
              <w:keepNext/>
              <w:jc w:val="center"/>
              <w:rPr>
                <w:rFonts w:eastAsia="Times New Roman"/>
                <w:b/>
                <w:bCs/>
                <w:color w:val="000000"/>
                <w:sz w:val="22"/>
              </w:rPr>
            </w:pPr>
            <w:r w:rsidRPr="00BE0BD1">
              <w:rPr>
                <w:rFonts w:eastAsia="Times New Roman"/>
                <w:b/>
                <w:bCs/>
                <w:color w:val="000000"/>
                <w:sz w:val="22"/>
              </w:rPr>
              <w:t>Total Cost</w:t>
            </w:r>
          </w:p>
        </w:tc>
      </w:tr>
      <w:tr w:rsidR="00C97885" w:rsidRPr="00BE0BD1" w:rsidTr="00653EF0">
        <w:trPr>
          <w:trHeight w:val="151"/>
          <w:jc w:val="center"/>
        </w:trPr>
        <w:tc>
          <w:tcPr>
            <w:tcW w:w="3566" w:type="dxa"/>
            <w:shd w:val="clear" w:color="auto" w:fill="auto"/>
          </w:tcPr>
          <w:p w:rsidR="00C97885" w:rsidRPr="00BE0BD1" w:rsidRDefault="00C97885" w:rsidP="00C97885">
            <w:pPr>
              <w:rPr>
                <w:rFonts w:eastAsia="Times New Roman"/>
                <w:color w:val="000000"/>
                <w:sz w:val="20"/>
                <w:szCs w:val="20"/>
              </w:rPr>
            </w:pPr>
            <w:r w:rsidRPr="00BE0BD1">
              <w:rPr>
                <w:rFonts w:eastAsia="Times New Roman"/>
                <w:color w:val="000000"/>
                <w:sz w:val="20"/>
                <w:szCs w:val="20"/>
              </w:rPr>
              <w:t>Initial and annual allocation of allowances to existing and new units.</w:t>
            </w:r>
          </w:p>
        </w:tc>
        <w:tc>
          <w:tcPr>
            <w:tcW w:w="1980" w:type="dxa"/>
            <w:shd w:val="clear" w:color="auto" w:fill="auto"/>
            <w:vAlign w:val="bottom"/>
          </w:tcPr>
          <w:p w:rsidR="00B23B41" w:rsidRDefault="00C97885">
            <w:pPr>
              <w:jc w:val="right"/>
              <w:rPr>
                <w:rFonts w:eastAsia="Times New Roman"/>
                <w:color w:val="000000"/>
                <w:sz w:val="20"/>
                <w:szCs w:val="20"/>
              </w:rPr>
            </w:pPr>
            <w:r w:rsidRPr="00BE0BD1">
              <w:rPr>
                <w:rFonts w:eastAsia="Times New Roman"/>
                <w:color w:val="000000"/>
                <w:sz w:val="20"/>
                <w:szCs w:val="20"/>
              </w:rPr>
              <w:t>200</w:t>
            </w:r>
          </w:p>
        </w:tc>
        <w:tc>
          <w:tcPr>
            <w:tcW w:w="2160" w:type="dxa"/>
            <w:shd w:val="clear" w:color="auto" w:fill="auto"/>
            <w:vAlign w:val="bottom"/>
          </w:tcPr>
          <w:p w:rsidR="00B23B41" w:rsidRDefault="00717EF6" w:rsidP="00066761">
            <w:pPr>
              <w:jc w:val="right"/>
              <w:rPr>
                <w:rFonts w:eastAsia="Times New Roman"/>
                <w:color w:val="000000"/>
                <w:sz w:val="20"/>
                <w:szCs w:val="20"/>
              </w:rPr>
            </w:pPr>
            <w:r w:rsidRPr="00717EF6">
              <w:rPr>
                <w:rFonts w:eastAsia="Times New Roman"/>
                <w:color w:val="000000"/>
                <w:sz w:val="20"/>
                <w:szCs w:val="20"/>
              </w:rPr>
              <w:t>$</w:t>
            </w:r>
            <w:r w:rsidR="00066761">
              <w:rPr>
                <w:rFonts w:eastAsia="Times New Roman"/>
                <w:color w:val="000000"/>
                <w:sz w:val="20"/>
                <w:szCs w:val="20"/>
              </w:rPr>
              <w:t>15,454</w:t>
            </w:r>
          </w:p>
        </w:tc>
      </w:tr>
    </w:tbl>
    <w:p w:rsidR="0023691F" w:rsidRDefault="0023691F" w:rsidP="0023691F">
      <w:pPr>
        <w:autoSpaceDE w:val="0"/>
        <w:autoSpaceDN w:val="0"/>
        <w:adjustRightInd w:val="0"/>
        <w:jc w:val="center"/>
        <w:rPr>
          <w:szCs w:val="24"/>
        </w:rPr>
      </w:pPr>
    </w:p>
    <w:p w:rsidR="00C97885" w:rsidRDefault="00C97885" w:rsidP="00C97885">
      <w:pPr>
        <w:autoSpaceDE w:val="0"/>
        <w:autoSpaceDN w:val="0"/>
        <w:adjustRightInd w:val="0"/>
        <w:rPr>
          <w:szCs w:val="24"/>
        </w:rPr>
      </w:pPr>
    </w:p>
    <w:p w:rsidR="00C97885" w:rsidRPr="00C97885" w:rsidRDefault="00841520" w:rsidP="00C97885">
      <w:pPr>
        <w:autoSpaceDE w:val="0"/>
        <w:autoSpaceDN w:val="0"/>
        <w:adjustRightInd w:val="0"/>
        <w:jc w:val="center"/>
        <w:rPr>
          <w:b/>
          <w:szCs w:val="24"/>
        </w:rPr>
      </w:pPr>
      <w:r>
        <w:rPr>
          <w:b/>
          <w:szCs w:val="24"/>
        </w:rPr>
        <w:t xml:space="preserve">Table </w:t>
      </w:r>
      <w:r w:rsidR="00C97885" w:rsidRPr="00C97885">
        <w:rPr>
          <w:b/>
          <w:szCs w:val="24"/>
        </w:rPr>
        <w:t>6-</w:t>
      </w:r>
      <w:r w:rsidR="00D8541A">
        <w:rPr>
          <w:b/>
          <w:szCs w:val="24"/>
        </w:rPr>
        <w:t>9</w:t>
      </w:r>
      <w:r w:rsidR="00CB69B5">
        <w:rPr>
          <w:b/>
          <w:szCs w:val="24"/>
        </w:rPr>
        <w:t>:</w:t>
      </w:r>
    </w:p>
    <w:p w:rsidR="00C97885" w:rsidRPr="00BE0BD1" w:rsidRDefault="00A56746" w:rsidP="00C97885">
      <w:pPr>
        <w:autoSpaceDE w:val="0"/>
        <w:autoSpaceDN w:val="0"/>
        <w:adjustRightInd w:val="0"/>
        <w:jc w:val="center"/>
        <w:rPr>
          <w:b/>
          <w:szCs w:val="24"/>
        </w:rPr>
      </w:pPr>
      <w:r>
        <w:rPr>
          <w:b/>
          <w:szCs w:val="24"/>
        </w:rPr>
        <w:t>Agency Burden –</w:t>
      </w:r>
      <w:r w:rsidR="00C97885" w:rsidRPr="00BE0BD1">
        <w:rPr>
          <w:b/>
          <w:szCs w:val="24"/>
        </w:rPr>
        <w:t xml:space="preserve"> Allowance Transfer &amp; Deduction Burden</w:t>
      </w:r>
    </w:p>
    <w:p w:rsidR="00C97885" w:rsidRDefault="00C97885" w:rsidP="00C97885">
      <w:pPr>
        <w:autoSpaceDE w:val="0"/>
        <w:autoSpaceDN w:val="0"/>
        <w:adjustRightInd w:val="0"/>
        <w:rPr>
          <w:szCs w:val="24"/>
        </w:rPr>
      </w:pPr>
    </w:p>
    <w:tbl>
      <w:tblPr>
        <w:tblW w:w="9360" w:type="dxa"/>
        <w:jc w:val="center"/>
        <w:tblBorders>
          <w:top w:val="single" w:sz="2" w:space="0" w:color="auto"/>
          <w:left w:val="single" w:sz="2" w:space="0" w:color="auto"/>
          <w:bottom w:val="single" w:sz="2" w:space="0" w:color="auto"/>
          <w:right w:val="single" w:sz="8"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3052"/>
        <w:gridCol w:w="1703"/>
        <w:gridCol w:w="1393"/>
        <w:gridCol w:w="1699"/>
        <w:gridCol w:w="1513"/>
      </w:tblGrid>
      <w:tr w:rsidR="00C97885" w:rsidRPr="00BE0BD1" w:rsidTr="000B587A">
        <w:trPr>
          <w:trHeight w:val="18"/>
          <w:jc w:val="center"/>
        </w:trPr>
        <w:tc>
          <w:tcPr>
            <w:tcW w:w="3052" w:type="dxa"/>
            <w:shd w:val="pct10" w:color="auto" w:fill="auto"/>
            <w:noWrap/>
            <w:vAlign w:val="bottom"/>
          </w:tcPr>
          <w:p w:rsidR="00C97885" w:rsidRPr="00BE0BD1" w:rsidRDefault="00C97885" w:rsidP="00C97885">
            <w:pPr>
              <w:jc w:val="center"/>
              <w:rPr>
                <w:rFonts w:eastAsia="Times New Roman"/>
                <w:b/>
                <w:bCs/>
                <w:color w:val="000000"/>
                <w:sz w:val="22"/>
              </w:rPr>
            </w:pPr>
            <w:r w:rsidRPr="00BE0BD1">
              <w:rPr>
                <w:rFonts w:eastAsia="Times New Roman"/>
                <w:b/>
                <w:bCs/>
                <w:color w:val="000000"/>
                <w:sz w:val="22"/>
              </w:rPr>
              <w:t>Information Collection Activity</w:t>
            </w:r>
          </w:p>
        </w:tc>
        <w:tc>
          <w:tcPr>
            <w:tcW w:w="1703" w:type="dxa"/>
            <w:shd w:val="pct10" w:color="auto" w:fill="auto"/>
            <w:vAlign w:val="bottom"/>
          </w:tcPr>
          <w:p w:rsidR="00C97885" w:rsidRPr="00BE0BD1" w:rsidRDefault="00C97885" w:rsidP="00C97885">
            <w:pPr>
              <w:jc w:val="center"/>
              <w:rPr>
                <w:rFonts w:eastAsia="Times New Roman"/>
                <w:b/>
                <w:bCs/>
                <w:color w:val="000000"/>
                <w:sz w:val="22"/>
              </w:rPr>
            </w:pPr>
            <w:r w:rsidRPr="00BE0BD1">
              <w:rPr>
                <w:rFonts w:eastAsia="Times New Roman"/>
                <w:b/>
                <w:bCs/>
                <w:color w:val="000000"/>
                <w:sz w:val="22"/>
              </w:rPr>
              <w:t>Burden Hours per Occurrence</w:t>
            </w:r>
          </w:p>
        </w:tc>
        <w:tc>
          <w:tcPr>
            <w:tcW w:w="1393" w:type="dxa"/>
            <w:shd w:val="pct10" w:color="auto" w:fill="auto"/>
            <w:vAlign w:val="bottom"/>
          </w:tcPr>
          <w:p w:rsidR="00C97885" w:rsidRPr="00BE0BD1" w:rsidRDefault="00C97885" w:rsidP="00A56746">
            <w:pPr>
              <w:jc w:val="center"/>
              <w:rPr>
                <w:rFonts w:eastAsia="Times New Roman"/>
                <w:b/>
                <w:bCs/>
                <w:color w:val="000000"/>
                <w:sz w:val="22"/>
              </w:rPr>
            </w:pPr>
            <w:r w:rsidRPr="00BE0BD1">
              <w:rPr>
                <w:rFonts w:eastAsia="Times New Roman"/>
                <w:b/>
                <w:bCs/>
                <w:color w:val="000000"/>
                <w:sz w:val="22"/>
              </w:rPr>
              <w:t>Cost per Occurrence</w:t>
            </w:r>
            <w:r w:rsidR="00A56746">
              <w:rPr>
                <w:rFonts w:eastAsia="Times New Roman"/>
                <w:b/>
                <w:bCs/>
                <w:color w:val="000000"/>
                <w:sz w:val="22"/>
                <w:vertAlign w:val="superscript"/>
              </w:rPr>
              <w:t>1</w:t>
            </w:r>
          </w:p>
        </w:tc>
        <w:tc>
          <w:tcPr>
            <w:tcW w:w="1699" w:type="dxa"/>
            <w:shd w:val="pct10" w:color="auto" w:fill="auto"/>
            <w:vAlign w:val="bottom"/>
          </w:tcPr>
          <w:p w:rsidR="00C97885" w:rsidRPr="00BE0BD1" w:rsidRDefault="00C97885" w:rsidP="00A56746">
            <w:pPr>
              <w:jc w:val="center"/>
              <w:rPr>
                <w:rFonts w:eastAsia="Times New Roman"/>
                <w:b/>
                <w:bCs/>
                <w:color w:val="000000"/>
                <w:sz w:val="22"/>
              </w:rPr>
            </w:pPr>
            <w:r w:rsidRPr="00BE0BD1">
              <w:rPr>
                <w:rFonts w:eastAsia="Times New Roman"/>
                <w:b/>
                <w:bCs/>
                <w:color w:val="000000"/>
                <w:sz w:val="22"/>
              </w:rPr>
              <w:t>Total Burden</w:t>
            </w:r>
            <w:r w:rsidR="00A56746">
              <w:rPr>
                <w:rFonts w:eastAsia="Times New Roman"/>
                <w:b/>
                <w:bCs/>
                <w:color w:val="000000"/>
                <w:sz w:val="22"/>
                <w:vertAlign w:val="superscript"/>
              </w:rPr>
              <w:t>2</w:t>
            </w:r>
            <w:r w:rsidR="00CC1D0A">
              <w:rPr>
                <w:rFonts w:eastAsia="Times New Roman"/>
                <w:b/>
                <w:bCs/>
                <w:color w:val="000000"/>
                <w:sz w:val="22"/>
              </w:rPr>
              <w:t xml:space="preserve"> (H</w:t>
            </w:r>
            <w:r w:rsidRPr="00BE0BD1">
              <w:rPr>
                <w:rFonts w:eastAsia="Times New Roman"/>
                <w:b/>
                <w:bCs/>
                <w:color w:val="000000"/>
                <w:sz w:val="22"/>
              </w:rPr>
              <w:t>ours)</w:t>
            </w:r>
          </w:p>
        </w:tc>
        <w:tc>
          <w:tcPr>
            <w:tcW w:w="1513" w:type="dxa"/>
            <w:shd w:val="pct10" w:color="auto" w:fill="auto"/>
            <w:vAlign w:val="bottom"/>
          </w:tcPr>
          <w:p w:rsidR="00C97885" w:rsidRPr="00BE0BD1" w:rsidRDefault="00C97885" w:rsidP="00C97885">
            <w:pPr>
              <w:jc w:val="center"/>
              <w:rPr>
                <w:rFonts w:eastAsia="Times New Roman"/>
                <w:b/>
                <w:bCs/>
                <w:color w:val="000000"/>
                <w:sz w:val="22"/>
              </w:rPr>
            </w:pPr>
            <w:r w:rsidRPr="00BE0BD1">
              <w:rPr>
                <w:rFonts w:eastAsia="Times New Roman"/>
                <w:b/>
                <w:bCs/>
                <w:color w:val="000000"/>
                <w:sz w:val="22"/>
              </w:rPr>
              <w:t>Total Cost</w:t>
            </w:r>
          </w:p>
        </w:tc>
      </w:tr>
      <w:tr w:rsidR="000B587A" w:rsidRPr="00BE0BD1" w:rsidTr="006B6347">
        <w:trPr>
          <w:trHeight w:val="18"/>
          <w:jc w:val="center"/>
        </w:trPr>
        <w:tc>
          <w:tcPr>
            <w:tcW w:w="3052" w:type="dxa"/>
            <w:shd w:val="clear" w:color="auto" w:fill="auto"/>
          </w:tcPr>
          <w:p w:rsidR="000B587A" w:rsidRPr="00BE0BD1" w:rsidRDefault="000B587A" w:rsidP="00C97885">
            <w:pPr>
              <w:rPr>
                <w:rFonts w:eastAsia="Times New Roman"/>
                <w:color w:val="000000"/>
                <w:sz w:val="20"/>
                <w:szCs w:val="20"/>
              </w:rPr>
            </w:pPr>
            <w:r w:rsidRPr="00BE0BD1">
              <w:rPr>
                <w:rFonts w:eastAsia="Times New Roman"/>
                <w:color w:val="000000"/>
                <w:sz w:val="20"/>
              </w:rPr>
              <w:t>Review allowance transfer information, record transfer, and notify transfer participants.</w:t>
            </w:r>
          </w:p>
        </w:tc>
        <w:tc>
          <w:tcPr>
            <w:tcW w:w="1703" w:type="dxa"/>
            <w:shd w:val="clear" w:color="auto" w:fill="auto"/>
            <w:vAlign w:val="bottom"/>
          </w:tcPr>
          <w:p w:rsidR="000B587A" w:rsidRPr="00BE0BD1" w:rsidRDefault="000B587A" w:rsidP="007506A5">
            <w:pPr>
              <w:jc w:val="right"/>
              <w:rPr>
                <w:rFonts w:eastAsia="Times New Roman"/>
                <w:color w:val="000000"/>
                <w:sz w:val="20"/>
                <w:szCs w:val="20"/>
              </w:rPr>
            </w:pPr>
            <w:r>
              <w:rPr>
                <w:color w:val="000000"/>
                <w:sz w:val="20"/>
                <w:szCs w:val="20"/>
              </w:rPr>
              <w:t>1</w:t>
            </w:r>
          </w:p>
        </w:tc>
        <w:tc>
          <w:tcPr>
            <w:tcW w:w="1393" w:type="dxa"/>
            <w:shd w:val="clear" w:color="auto" w:fill="auto"/>
            <w:vAlign w:val="bottom"/>
          </w:tcPr>
          <w:p w:rsidR="000B587A" w:rsidRPr="00BE0BD1" w:rsidRDefault="000B587A" w:rsidP="00066761">
            <w:pPr>
              <w:jc w:val="right"/>
              <w:rPr>
                <w:rFonts w:eastAsia="Times New Roman"/>
                <w:color w:val="000000"/>
                <w:sz w:val="20"/>
                <w:szCs w:val="20"/>
              </w:rPr>
            </w:pPr>
            <w:r>
              <w:rPr>
                <w:color w:val="000000"/>
                <w:sz w:val="20"/>
                <w:szCs w:val="20"/>
              </w:rPr>
              <w:t>$</w:t>
            </w:r>
            <w:r w:rsidR="00066761">
              <w:rPr>
                <w:color w:val="000000"/>
                <w:sz w:val="20"/>
                <w:szCs w:val="20"/>
              </w:rPr>
              <w:t>77.27</w:t>
            </w:r>
          </w:p>
        </w:tc>
        <w:tc>
          <w:tcPr>
            <w:tcW w:w="1699" w:type="dxa"/>
            <w:shd w:val="clear" w:color="auto" w:fill="auto"/>
            <w:vAlign w:val="bottom"/>
          </w:tcPr>
          <w:p w:rsidR="000B587A" w:rsidRPr="00BE0BD1" w:rsidRDefault="000B587A" w:rsidP="006B6347">
            <w:pPr>
              <w:jc w:val="right"/>
              <w:rPr>
                <w:rFonts w:eastAsia="Times New Roman"/>
                <w:color w:val="000000"/>
                <w:sz w:val="20"/>
                <w:szCs w:val="20"/>
              </w:rPr>
            </w:pPr>
            <w:r>
              <w:rPr>
                <w:color w:val="000000"/>
                <w:sz w:val="20"/>
                <w:szCs w:val="20"/>
              </w:rPr>
              <w:t>40</w:t>
            </w:r>
          </w:p>
        </w:tc>
        <w:tc>
          <w:tcPr>
            <w:tcW w:w="1513" w:type="dxa"/>
            <w:shd w:val="clear" w:color="auto" w:fill="auto"/>
            <w:vAlign w:val="bottom"/>
          </w:tcPr>
          <w:p w:rsidR="000B587A" w:rsidRPr="00BE0BD1" w:rsidRDefault="000B587A" w:rsidP="00066761">
            <w:pPr>
              <w:jc w:val="right"/>
              <w:rPr>
                <w:rFonts w:eastAsia="Times New Roman"/>
                <w:color w:val="000000"/>
                <w:sz w:val="20"/>
                <w:szCs w:val="20"/>
              </w:rPr>
            </w:pPr>
            <w:r>
              <w:rPr>
                <w:color w:val="000000"/>
                <w:sz w:val="20"/>
                <w:szCs w:val="20"/>
              </w:rPr>
              <w:t>$</w:t>
            </w:r>
            <w:r w:rsidR="00066761">
              <w:rPr>
                <w:color w:val="000000"/>
                <w:sz w:val="20"/>
                <w:szCs w:val="20"/>
              </w:rPr>
              <w:t>3,091</w:t>
            </w:r>
          </w:p>
        </w:tc>
      </w:tr>
      <w:tr w:rsidR="000B587A" w:rsidRPr="00BE0BD1" w:rsidTr="006B6347">
        <w:trPr>
          <w:trHeight w:val="18"/>
          <w:jc w:val="center"/>
        </w:trPr>
        <w:tc>
          <w:tcPr>
            <w:tcW w:w="3052" w:type="dxa"/>
            <w:shd w:val="clear" w:color="auto" w:fill="auto"/>
          </w:tcPr>
          <w:p w:rsidR="000B587A" w:rsidRPr="00BE0BD1" w:rsidRDefault="000B587A" w:rsidP="00C97885">
            <w:pPr>
              <w:rPr>
                <w:rFonts w:eastAsia="Times New Roman"/>
                <w:color w:val="000000"/>
                <w:sz w:val="20"/>
                <w:szCs w:val="20"/>
              </w:rPr>
            </w:pPr>
            <w:r w:rsidRPr="00BE0BD1">
              <w:rPr>
                <w:rFonts w:eastAsia="Times New Roman"/>
                <w:color w:val="000000"/>
                <w:sz w:val="20"/>
              </w:rPr>
              <w:t>Enter deduction data and deduct allowances.</w:t>
            </w:r>
          </w:p>
        </w:tc>
        <w:tc>
          <w:tcPr>
            <w:tcW w:w="1703" w:type="dxa"/>
            <w:shd w:val="clear" w:color="auto" w:fill="auto"/>
            <w:vAlign w:val="bottom"/>
          </w:tcPr>
          <w:p w:rsidR="000B587A" w:rsidRPr="00BE0BD1" w:rsidRDefault="000B587A" w:rsidP="007506A5">
            <w:pPr>
              <w:jc w:val="right"/>
              <w:rPr>
                <w:rFonts w:eastAsia="Times New Roman"/>
                <w:color w:val="000000"/>
                <w:sz w:val="20"/>
                <w:szCs w:val="20"/>
              </w:rPr>
            </w:pPr>
            <w:r>
              <w:rPr>
                <w:color w:val="000000"/>
                <w:sz w:val="20"/>
                <w:szCs w:val="20"/>
              </w:rPr>
              <w:t>0.5</w:t>
            </w:r>
          </w:p>
        </w:tc>
        <w:tc>
          <w:tcPr>
            <w:tcW w:w="1393" w:type="dxa"/>
            <w:shd w:val="clear" w:color="auto" w:fill="auto"/>
            <w:vAlign w:val="bottom"/>
          </w:tcPr>
          <w:p w:rsidR="000B587A" w:rsidRPr="00BE0BD1" w:rsidRDefault="000B587A" w:rsidP="00066761">
            <w:pPr>
              <w:jc w:val="right"/>
              <w:rPr>
                <w:rFonts w:eastAsia="Times New Roman"/>
                <w:color w:val="000000"/>
                <w:sz w:val="20"/>
                <w:szCs w:val="20"/>
              </w:rPr>
            </w:pPr>
            <w:r>
              <w:rPr>
                <w:color w:val="000000"/>
                <w:sz w:val="20"/>
                <w:szCs w:val="20"/>
              </w:rPr>
              <w:t>$</w:t>
            </w:r>
            <w:r w:rsidR="00066761">
              <w:rPr>
                <w:color w:val="000000"/>
                <w:sz w:val="20"/>
                <w:szCs w:val="20"/>
              </w:rPr>
              <w:t>38.64</w:t>
            </w:r>
          </w:p>
        </w:tc>
        <w:tc>
          <w:tcPr>
            <w:tcW w:w="1699" w:type="dxa"/>
            <w:shd w:val="clear" w:color="auto" w:fill="auto"/>
            <w:vAlign w:val="bottom"/>
          </w:tcPr>
          <w:p w:rsidR="000B587A" w:rsidRPr="00BE0BD1" w:rsidRDefault="000B587A" w:rsidP="006B6347">
            <w:pPr>
              <w:jc w:val="right"/>
              <w:rPr>
                <w:rFonts w:eastAsia="Times New Roman"/>
                <w:color w:val="000000"/>
                <w:sz w:val="20"/>
                <w:szCs w:val="20"/>
              </w:rPr>
            </w:pPr>
            <w:r>
              <w:rPr>
                <w:color w:val="000000"/>
                <w:sz w:val="20"/>
                <w:szCs w:val="20"/>
              </w:rPr>
              <w:t>50</w:t>
            </w:r>
          </w:p>
        </w:tc>
        <w:tc>
          <w:tcPr>
            <w:tcW w:w="1513" w:type="dxa"/>
            <w:shd w:val="clear" w:color="auto" w:fill="auto"/>
            <w:vAlign w:val="bottom"/>
          </w:tcPr>
          <w:p w:rsidR="000B587A" w:rsidRPr="00BE0BD1" w:rsidRDefault="000B587A" w:rsidP="00066761">
            <w:pPr>
              <w:jc w:val="right"/>
              <w:rPr>
                <w:rFonts w:eastAsia="Times New Roman"/>
                <w:color w:val="000000"/>
                <w:sz w:val="20"/>
                <w:szCs w:val="20"/>
              </w:rPr>
            </w:pPr>
            <w:r>
              <w:rPr>
                <w:color w:val="000000"/>
                <w:sz w:val="20"/>
                <w:szCs w:val="20"/>
              </w:rPr>
              <w:t>$</w:t>
            </w:r>
            <w:r w:rsidR="00066761">
              <w:rPr>
                <w:color w:val="000000"/>
                <w:sz w:val="20"/>
                <w:szCs w:val="20"/>
              </w:rPr>
              <w:t>3,864</w:t>
            </w:r>
          </w:p>
        </w:tc>
      </w:tr>
      <w:tr w:rsidR="000B587A" w:rsidRPr="00BE0BD1" w:rsidTr="006B6347">
        <w:trPr>
          <w:trHeight w:val="18"/>
          <w:jc w:val="center"/>
        </w:trPr>
        <w:tc>
          <w:tcPr>
            <w:tcW w:w="3052" w:type="dxa"/>
            <w:shd w:val="clear" w:color="auto" w:fill="auto"/>
          </w:tcPr>
          <w:p w:rsidR="000B587A" w:rsidRPr="00ED7FD5" w:rsidRDefault="000B587A" w:rsidP="00C97885">
            <w:pPr>
              <w:rPr>
                <w:rFonts w:eastAsia="Times New Roman"/>
                <w:color w:val="000000"/>
                <w:sz w:val="20"/>
                <w:vertAlign w:val="superscript"/>
              </w:rPr>
            </w:pPr>
            <w:r>
              <w:rPr>
                <w:rFonts w:eastAsia="Times New Roman"/>
                <w:color w:val="000000"/>
                <w:sz w:val="20"/>
              </w:rPr>
              <w:t>Compliance Assurance Provisions</w:t>
            </w:r>
            <w:r>
              <w:rPr>
                <w:rFonts w:eastAsia="Times New Roman"/>
                <w:color w:val="000000"/>
                <w:sz w:val="20"/>
                <w:vertAlign w:val="superscript"/>
              </w:rPr>
              <w:t>3</w:t>
            </w:r>
          </w:p>
        </w:tc>
        <w:tc>
          <w:tcPr>
            <w:tcW w:w="1703" w:type="dxa"/>
            <w:shd w:val="clear" w:color="auto" w:fill="auto"/>
            <w:vAlign w:val="bottom"/>
          </w:tcPr>
          <w:p w:rsidR="000B587A" w:rsidRPr="00BE0BD1" w:rsidRDefault="000B587A" w:rsidP="007506A5">
            <w:pPr>
              <w:jc w:val="right"/>
              <w:rPr>
                <w:rFonts w:eastAsia="Times New Roman"/>
                <w:color w:val="000000"/>
                <w:sz w:val="20"/>
              </w:rPr>
            </w:pPr>
            <w:r>
              <w:rPr>
                <w:color w:val="000000"/>
                <w:sz w:val="20"/>
                <w:szCs w:val="20"/>
              </w:rPr>
              <w:t>1</w:t>
            </w:r>
          </w:p>
        </w:tc>
        <w:tc>
          <w:tcPr>
            <w:tcW w:w="1393" w:type="dxa"/>
            <w:shd w:val="clear" w:color="auto" w:fill="auto"/>
            <w:vAlign w:val="bottom"/>
          </w:tcPr>
          <w:p w:rsidR="000B587A" w:rsidRPr="00BE0BD1" w:rsidRDefault="000B587A" w:rsidP="00066761">
            <w:pPr>
              <w:jc w:val="right"/>
              <w:rPr>
                <w:rFonts w:eastAsia="Times New Roman"/>
                <w:color w:val="000000"/>
                <w:sz w:val="20"/>
              </w:rPr>
            </w:pPr>
            <w:r>
              <w:rPr>
                <w:color w:val="000000"/>
                <w:sz w:val="20"/>
                <w:szCs w:val="20"/>
              </w:rPr>
              <w:t>$</w:t>
            </w:r>
            <w:r w:rsidR="00066761">
              <w:rPr>
                <w:color w:val="000000"/>
                <w:sz w:val="20"/>
                <w:szCs w:val="20"/>
              </w:rPr>
              <w:t>77.27</w:t>
            </w:r>
            <w:r>
              <w:rPr>
                <w:color w:val="000000"/>
                <w:sz w:val="20"/>
                <w:szCs w:val="20"/>
              </w:rPr>
              <w:t xml:space="preserve"> </w:t>
            </w:r>
          </w:p>
        </w:tc>
        <w:tc>
          <w:tcPr>
            <w:tcW w:w="1699" w:type="dxa"/>
            <w:shd w:val="clear" w:color="auto" w:fill="auto"/>
            <w:vAlign w:val="bottom"/>
          </w:tcPr>
          <w:p w:rsidR="000B587A" w:rsidRPr="00BE0BD1" w:rsidRDefault="000B587A" w:rsidP="006B6347">
            <w:pPr>
              <w:jc w:val="right"/>
              <w:rPr>
                <w:rFonts w:eastAsia="Times New Roman"/>
                <w:color w:val="000000"/>
                <w:sz w:val="20"/>
              </w:rPr>
            </w:pPr>
            <w:r>
              <w:rPr>
                <w:color w:val="000000"/>
                <w:sz w:val="20"/>
                <w:szCs w:val="20"/>
              </w:rPr>
              <w:t>40</w:t>
            </w:r>
          </w:p>
        </w:tc>
        <w:tc>
          <w:tcPr>
            <w:tcW w:w="1513" w:type="dxa"/>
            <w:shd w:val="clear" w:color="auto" w:fill="auto"/>
            <w:vAlign w:val="bottom"/>
          </w:tcPr>
          <w:p w:rsidR="000B587A" w:rsidRPr="00BE0BD1" w:rsidRDefault="000B587A" w:rsidP="00066761">
            <w:pPr>
              <w:jc w:val="right"/>
              <w:rPr>
                <w:rFonts w:eastAsia="Times New Roman"/>
                <w:color w:val="000000"/>
                <w:sz w:val="20"/>
              </w:rPr>
            </w:pPr>
            <w:r>
              <w:rPr>
                <w:color w:val="000000"/>
                <w:sz w:val="20"/>
                <w:szCs w:val="20"/>
              </w:rPr>
              <w:t>$</w:t>
            </w:r>
            <w:r w:rsidR="00066761">
              <w:rPr>
                <w:color w:val="000000"/>
                <w:sz w:val="20"/>
                <w:szCs w:val="20"/>
              </w:rPr>
              <w:t>3,091</w:t>
            </w:r>
          </w:p>
        </w:tc>
      </w:tr>
      <w:tr w:rsidR="00C97885" w:rsidRPr="00BE0BD1" w:rsidTr="000B587A">
        <w:trPr>
          <w:trHeight w:val="18"/>
          <w:jc w:val="center"/>
        </w:trPr>
        <w:tc>
          <w:tcPr>
            <w:tcW w:w="6148" w:type="dxa"/>
            <w:gridSpan w:val="3"/>
            <w:shd w:val="pct10" w:color="auto" w:fill="auto"/>
          </w:tcPr>
          <w:p w:rsidR="00C97885" w:rsidRPr="00BE0BD1" w:rsidRDefault="00C97885" w:rsidP="00C97885">
            <w:pPr>
              <w:rPr>
                <w:rFonts w:eastAsia="Times New Roman"/>
                <w:b/>
                <w:bCs/>
                <w:color w:val="000000"/>
                <w:sz w:val="20"/>
                <w:szCs w:val="20"/>
              </w:rPr>
            </w:pPr>
            <w:r w:rsidRPr="00BE0BD1">
              <w:rPr>
                <w:rFonts w:eastAsia="Times New Roman"/>
                <w:b/>
                <w:bCs/>
                <w:color w:val="000000"/>
                <w:sz w:val="20"/>
              </w:rPr>
              <w:t>TOTAL</w:t>
            </w:r>
          </w:p>
        </w:tc>
        <w:tc>
          <w:tcPr>
            <w:tcW w:w="1699" w:type="dxa"/>
            <w:shd w:val="pct10" w:color="auto" w:fill="auto"/>
          </w:tcPr>
          <w:p w:rsidR="00C97885" w:rsidRPr="00BE0BD1" w:rsidRDefault="00C97885" w:rsidP="00C97885">
            <w:pPr>
              <w:jc w:val="right"/>
              <w:rPr>
                <w:rFonts w:eastAsia="Times New Roman"/>
                <w:b/>
                <w:bCs/>
                <w:color w:val="000000"/>
                <w:sz w:val="20"/>
                <w:szCs w:val="20"/>
              </w:rPr>
            </w:pPr>
            <w:r w:rsidRPr="00BE0BD1">
              <w:rPr>
                <w:rFonts w:eastAsia="Times New Roman"/>
                <w:b/>
                <w:bCs/>
                <w:color w:val="000000"/>
                <w:sz w:val="20"/>
              </w:rPr>
              <w:t>90</w:t>
            </w:r>
          </w:p>
        </w:tc>
        <w:tc>
          <w:tcPr>
            <w:tcW w:w="1513" w:type="dxa"/>
            <w:shd w:val="pct10" w:color="auto" w:fill="auto"/>
          </w:tcPr>
          <w:p w:rsidR="00C97885" w:rsidRPr="00BE0BD1" w:rsidRDefault="00C97885" w:rsidP="00066761">
            <w:pPr>
              <w:jc w:val="right"/>
              <w:rPr>
                <w:rFonts w:eastAsia="Times New Roman"/>
                <w:b/>
                <w:bCs/>
                <w:color w:val="000000"/>
                <w:sz w:val="20"/>
                <w:szCs w:val="20"/>
              </w:rPr>
            </w:pPr>
            <w:r w:rsidRPr="00BE0BD1">
              <w:rPr>
                <w:rFonts w:eastAsia="Times New Roman"/>
                <w:b/>
                <w:bCs/>
                <w:color w:val="000000"/>
                <w:sz w:val="20"/>
              </w:rPr>
              <w:t>$</w:t>
            </w:r>
            <w:r w:rsidR="00066761">
              <w:rPr>
                <w:rFonts w:eastAsia="Times New Roman"/>
                <w:b/>
                <w:bCs/>
                <w:color w:val="000000"/>
                <w:sz w:val="20"/>
              </w:rPr>
              <w:t>6,954</w:t>
            </w:r>
            <w:r w:rsidRPr="00BE0BD1">
              <w:rPr>
                <w:rFonts w:eastAsia="Times New Roman"/>
                <w:b/>
                <w:bCs/>
                <w:color w:val="000000"/>
                <w:sz w:val="20"/>
              </w:rPr>
              <w:t xml:space="preserve"> </w:t>
            </w:r>
          </w:p>
        </w:tc>
      </w:tr>
    </w:tbl>
    <w:p w:rsidR="00A56746" w:rsidRDefault="00A56746" w:rsidP="00410114">
      <w:pPr>
        <w:autoSpaceDE w:val="0"/>
        <w:autoSpaceDN w:val="0"/>
        <w:adjustRightInd w:val="0"/>
        <w:ind w:left="2880"/>
        <w:rPr>
          <w:sz w:val="20"/>
          <w:szCs w:val="20"/>
        </w:rPr>
      </w:pPr>
    </w:p>
    <w:p w:rsidR="00C97885" w:rsidRPr="00410114" w:rsidRDefault="00A56746" w:rsidP="00A56746">
      <w:pPr>
        <w:autoSpaceDE w:val="0"/>
        <w:autoSpaceDN w:val="0"/>
        <w:adjustRightInd w:val="0"/>
        <w:ind w:left="540" w:hanging="360"/>
        <w:rPr>
          <w:sz w:val="20"/>
          <w:szCs w:val="20"/>
        </w:rPr>
      </w:pPr>
      <w:r>
        <w:rPr>
          <w:sz w:val="20"/>
          <w:szCs w:val="20"/>
        </w:rPr>
        <w:t>1.</w:t>
      </w:r>
      <w:r>
        <w:rPr>
          <w:sz w:val="20"/>
          <w:szCs w:val="20"/>
        </w:rPr>
        <w:tab/>
      </w:r>
      <w:r w:rsidR="00695518">
        <w:rPr>
          <w:sz w:val="20"/>
          <w:szCs w:val="20"/>
        </w:rPr>
        <w:t>201</w:t>
      </w:r>
      <w:r w:rsidR="00705309">
        <w:rPr>
          <w:sz w:val="20"/>
          <w:szCs w:val="20"/>
        </w:rPr>
        <w:t>4</w:t>
      </w:r>
      <w:r w:rsidR="00695518">
        <w:rPr>
          <w:sz w:val="20"/>
          <w:szCs w:val="20"/>
        </w:rPr>
        <w:t xml:space="preserve"> </w:t>
      </w:r>
      <w:r w:rsidR="001915A3">
        <w:rPr>
          <w:sz w:val="20"/>
          <w:szCs w:val="20"/>
        </w:rPr>
        <w:t>dollars.</w:t>
      </w:r>
    </w:p>
    <w:p w:rsidR="0023691F" w:rsidRDefault="00A56746" w:rsidP="00A56746">
      <w:pPr>
        <w:autoSpaceDE w:val="0"/>
        <w:autoSpaceDN w:val="0"/>
        <w:adjustRightInd w:val="0"/>
        <w:ind w:left="540" w:hanging="360"/>
        <w:rPr>
          <w:sz w:val="20"/>
          <w:szCs w:val="20"/>
        </w:rPr>
      </w:pPr>
      <w:r>
        <w:rPr>
          <w:sz w:val="20"/>
          <w:szCs w:val="20"/>
        </w:rPr>
        <w:t>2.</w:t>
      </w:r>
      <w:r>
        <w:rPr>
          <w:sz w:val="20"/>
          <w:szCs w:val="20"/>
        </w:rPr>
        <w:tab/>
      </w:r>
      <w:r w:rsidR="0023691F" w:rsidRPr="00410114">
        <w:rPr>
          <w:sz w:val="20"/>
          <w:szCs w:val="20"/>
        </w:rPr>
        <w:t>Assumes 20 transfers and 100 optional deduction forms are submitted annually.</w:t>
      </w:r>
    </w:p>
    <w:p w:rsidR="00347C04" w:rsidRPr="00410114" w:rsidRDefault="00347C04" w:rsidP="00A56746">
      <w:pPr>
        <w:autoSpaceDE w:val="0"/>
        <w:autoSpaceDN w:val="0"/>
        <w:adjustRightInd w:val="0"/>
        <w:ind w:left="540" w:hanging="360"/>
        <w:rPr>
          <w:sz w:val="20"/>
          <w:szCs w:val="20"/>
        </w:rPr>
      </w:pPr>
      <w:r>
        <w:rPr>
          <w:sz w:val="20"/>
          <w:szCs w:val="20"/>
        </w:rPr>
        <w:t>3.</w:t>
      </w:r>
      <w:r w:rsidR="00594A03">
        <w:rPr>
          <w:sz w:val="20"/>
          <w:szCs w:val="20"/>
        </w:rPr>
        <w:tab/>
      </w:r>
      <w:r w:rsidRPr="007F1293">
        <w:rPr>
          <w:sz w:val="20"/>
          <w:szCs w:val="20"/>
        </w:rPr>
        <w:t xml:space="preserve">Assumes zero </w:t>
      </w:r>
      <w:r w:rsidR="00687275" w:rsidRPr="007F1293">
        <w:rPr>
          <w:sz w:val="20"/>
          <w:szCs w:val="20"/>
        </w:rPr>
        <w:t>s</w:t>
      </w:r>
      <w:r w:rsidR="009D2B68" w:rsidRPr="007F1293">
        <w:rPr>
          <w:sz w:val="20"/>
          <w:szCs w:val="20"/>
        </w:rPr>
        <w:t>tate</w:t>
      </w:r>
      <w:r w:rsidRPr="007F1293">
        <w:rPr>
          <w:sz w:val="20"/>
          <w:szCs w:val="20"/>
        </w:rPr>
        <w:t>s would exceed the limit during the</w:t>
      </w:r>
      <w:r w:rsidR="007F1293" w:rsidRPr="004D01ED">
        <w:rPr>
          <w:sz w:val="20"/>
          <w:szCs w:val="20"/>
        </w:rPr>
        <w:t xml:space="preserve"> ICR time frame.</w:t>
      </w:r>
    </w:p>
    <w:p w:rsidR="0023691F" w:rsidRDefault="0023691F" w:rsidP="0023691F">
      <w:pPr>
        <w:autoSpaceDE w:val="0"/>
        <w:autoSpaceDN w:val="0"/>
        <w:adjustRightInd w:val="0"/>
        <w:jc w:val="center"/>
        <w:rPr>
          <w:szCs w:val="24"/>
        </w:rPr>
      </w:pPr>
    </w:p>
    <w:p w:rsidR="00C97885" w:rsidRDefault="00C97885" w:rsidP="00C97885">
      <w:pPr>
        <w:autoSpaceDE w:val="0"/>
        <w:autoSpaceDN w:val="0"/>
        <w:adjustRightInd w:val="0"/>
        <w:rPr>
          <w:szCs w:val="24"/>
        </w:rPr>
      </w:pPr>
    </w:p>
    <w:p w:rsidR="00C97885" w:rsidRPr="00C97885" w:rsidRDefault="00841520" w:rsidP="001915A3">
      <w:pPr>
        <w:keepNext/>
        <w:autoSpaceDE w:val="0"/>
        <w:autoSpaceDN w:val="0"/>
        <w:adjustRightInd w:val="0"/>
        <w:jc w:val="center"/>
        <w:rPr>
          <w:b/>
          <w:szCs w:val="24"/>
        </w:rPr>
      </w:pPr>
      <w:r>
        <w:rPr>
          <w:b/>
          <w:szCs w:val="24"/>
        </w:rPr>
        <w:t xml:space="preserve">Table </w:t>
      </w:r>
      <w:r w:rsidR="00895C45">
        <w:rPr>
          <w:b/>
          <w:szCs w:val="24"/>
        </w:rPr>
        <w:t>6-</w:t>
      </w:r>
      <w:r w:rsidR="00644E41">
        <w:rPr>
          <w:b/>
          <w:szCs w:val="24"/>
        </w:rPr>
        <w:t>10</w:t>
      </w:r>
      <w:r w:rsidR="00CB69B5">
        <w:rPr>
          <w:b/>
          <w:szCs w:val="24"/>
        </w:rPr>
        <w:t>:</w:t>
      </w:r>
    </w:p>
    <w:p w:rsidR="00C97885" w:rsidRPr="0069369D" w:rsidRDefault="00C97885" w:rsidP="001915A3">
      <w:pPr>
        <w:keepNext/>
        <w:autoSpaceDE w:val="0"/>
        <w:autoSpaceDN w:val="0"/>
        <w:adjustRightInd w:val="0"/>
        <w:jc w:val="center"/>
        <w:rPr>
          <w:b/>
          <w:szCs w:val="24"/>
        </w:rPr>
      </w:pPr>
      <w:r w:rsidRPr="0069369D">
        <w:rPr>
          <w:b/>
          <w:szCs w:val="24"/>
        </w:rPr>
        <w:t>Agency Burden – Aggregate</w:t>
      </w:r>
    </w:p>
    <w:p w:rsidR="00C97885" w:rsidRDefault="00C97885" w:rsidP="001915A3">
      <w:pPr>
        <w:keepNext/>
        <w:autoSpaceDE w:val="0"/>
        <w:autoSpaceDN w:val="0"/>
        <w:adjustRightInd w:val="0"/>
        <w:rPr>
          <w:szCs w:val="24"/>
        </w:rPr>
      </w:pPr>
    </w:p>
    <w:tbl>
      <w:tblPr>
        <w:tblW w:w="93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72" w:type="dxa"/>
          <w:left w:w="72" w:type="dxa"/>
          <w:bottom w:w="72" w:type="dxa"/>
          <w:right w:w="72" w:type="dxa"/>
        </w:tblCellMar>
        <w:tblLook w:val="04A0"/>
      </w:tblPr>
      <w:tblGrid>
        <w:gridCol w:w="5124"/>
        <w:gridCol w:w="2335"/>
        <w:gridCol w:w="1901"/>
      </w:tblGrid>
      <w:tr w:rsidR="00C97885" w:rsidRPr="0069369D" w:rsidTr="00895C45">
        <w:trPr>
          <w:trHeight w:val="18"/>
          <w:jc w:val="center"/>
        </w:trPr>
        <w:tc>
          <w:tcPr>
            <w:tcW w:w="5124" w:type="dxa"/>
            <w:shd w:val="pct10" w:color="auto" w:fill="auto"/>
            <w:noWrap/>
            <w:vAlign w:val="bottom"/>
          </w:tcPr>
          <w:p w:rsidR="00C97885" w:rsidRPr="0069369D" w:rsidRDefault="00C97885" w:rsidP="00C97885">
            <w:pPr>
              <w:jc w:val="center"/>
              <w:rPr>
                <w:rFonts w:eastAsia="Times New Roman"/>
                <w:b/>
                <w:bCs/>
                <w:color w:val="000000"/>
                <w:sz w:val="22"/>
              </w:rPr>
            </w:pPr>
            <w:r w:rsidRPr="0069369D">
              <w:rPr>
                <w:rFonts w:eastAsia="Times New Roman"/>
                <w:b/>
                <w:bCs/>
                <w:color w:val="000000"/>
                <w:sz w:val="22"/>
              </w:rPr>
              <w:t>Information Collection Activity</w:t>
            </w:r>
          </w:p>
        </w:tc>
        <w:tc>
          <w:tcPr>
            <w:tcW w:w="2335" w:type="dxa"/>
            <w:shd w:val="pct10" w:color="auto" w:fill="auto"/>
            <w:vAlign w:val="bottom"/>
          </w:tcPr>
          <w:p w:rsidR="00C97885" w:rsidRPr="0069369D" w:rsidRDefault="00CC1D0A" w:rsidP="00C97885">
            <w:pPr>
              <w:jc w:val="center"/>
              <w:rPr>
                <w:rFonts w:eastAsia="Times New Roman"/>
                <w:b/>
                <w:bCs/>
                <w:color w:val="000000"/>
                <w:sz w:val="22"/>
              </w:rPr>
            </w:pPr>
            <w:r>
              <w:rPr>
                <w:rFonts w:eastAsia="Times New Roman"/>
                <w:b/>
                <w:bCs/>
                <w:color w:val="000000"/>
                <w:sz w:val="22"/>
                <w:szCs w:val="24"/>
              </w:rPr>
              <w:t>Total Burden (H</w:t>
            </w:r>
            <w:r w:rsidR="00C97885" w:rsidRPr="0069369D">
              <w:rPr>
                <w:rFonts w:eastAsia="Times New Roman"/>
                <w:b/>
                <w:bCs/>
                <w:color w:val="000000"/>
                <w:sz w:val="22"/>
                <w:szCs w:val="24"/>
              </w:rPr>
              <w:t>ours)</w:t>
            </w:r>
          </w:p>
        </w:tc>
        <w:tc>
          <w:tcPr>
            <w:tcW w:w="1901" w:type="dxa"/>
            <w:shd w:val="pct10" w:color="auto" w:fill="auto"/>
            <w:vAlign w:val="bottom"/>
          </w:tcPr>
          <w:p w:rsidR="00C97885" w:rsidRPr="0069369D" w:rsidRDefault="00C97885" w:rsidP="001915A3">
            <w:pPr>
              <w:jc w:val="center"/>
              <w:rPr>
                <w:rFonts w:eastAsia="Times New Roman"/>
                <w:b/>
                <w:bCs/>
                <w:color w:val="000000"/>
                <w:sz w:val="22"/>
              </w:rPr>
            </w:pPr>
            <w:r w:rsidRPr="0069369D">
              <w:rPr>
                <w:rFonts w:eastAsia="Times New Roman"/>
                <w:b/>
                <w:bCs/>
                <w:color w:val="000000"/>
                <w:sz w:val="22"/>
                <w:szCs w:val="24"/>
              </w:rPr>
              <w:t>Total Cost</w:t>
            </w:r>
            <w:r w:rsidR="001915A3">
              <w:rPr>
                <w:rFonts w:eastAsia="Times New Roman"/>
                <w:b/>
                <w:bCs/>
                <w:color w:val="000000"/>
                <w:sz w:val="22"/>
                <w:vertAlign w:val="superscript"/>
              </w:rPr>
              <w:t>1</w:t>
            </w:r>
          </w:p>
        </w:tc>
      </w:tr>
      <w:tr w:rsidR="000B587A" w:rsidRPr="0069369D" w:rsidTr="006B6347">
        <w:trPr>
          <w:trHeight w:val="18"/>
          <w:jc w:val="center"/>
        </w:trPr>
        <w:tc>
          <w:tcPr>
            <w:tcW w:w="5124" w:type="dxa"/>
            <w:shd w:val="clear" w:color="auto" w:fill="auto"/>
          </w:tcPr>
          <w:p w:rsidR="000B587A" w:rsidRPr="0069369D" w:rsidRDefault="000B587A" w:rsidP="00C97885">
            <w:pPr>
              <w:rPr>
                <w:rFonts w:eastAsia="Times New Roman"/>
                <w:color w:val="000000"/>
                <w:sz w:val="20"/>
                <w:szCs w:val="20"/>
              </w:rPr>
            </w:pPr>
            <w:r w:rsidRPr="0069369D">
              <w:rPr>
                <w:rFonts w:eastAsia="Times New Roman"/>
                <w:color w:val="000000"/>
                <w:sz w:val="20"/>
                <w:szCs w:val="20"/>
              </w:rPr>
              <w:t xml:space="preserve">Annual </w:t>
            </w:r>
            <w:r w:rsidR="00797445">
              <w:rPr>
                <w:rFonts w:eastAsia="Times New Roman"/>
                <w:color w:val="000000"/>
                <w:sz w:val="20"/>
                <w:szCs w:val="20"/>
              </w:rPr>
              <w:t>a</w:t>
            </w:r>
            <w:r w:rsidRPr="0069369D">
              <w:rPr>
                <w:rFonts w:eastAsia="Times New Roman"/>
                <w:color w:val="000000"/>
                <w:sz w:val="20"/>
                <w:szCs w:val="20"/>
              </w:rPr>
              <w:t xml:space="preserve">llocation of </w:t>
            </w:r>
            <w:r w:rsidR="00797445">
              <w:rPr>
                <w:rFonts w:eastAsia="Times New Roman"/>
                <w:color w:val="000000"/>
                <w:sz w:val="20"/>
                <w:szCs w:val="20"/>
              </w:rPr>
              <w:t>a</w:t>
            </w:r>
            <w:r w:rsidRPr="0069369D">
              <w:rPr>
                <w:rFonts w:eastAsia="Times New Roman"/>
                <w:color w:val="000000"/>
                <w:sz w:val="20"/>
                <w:szCs w:val="20"/>
              </w:rPr>
              <w:t>llowances to existing and new units.</w:t>
            </w:r>
          </w:p>
        </w:tc>
        <w:tc>
          <w:tcPr>
            <w:tcW w:w="2335" w:type="dxa"/>
            <w:shd w:val="clear" w:color="auto" w:fill="auto"/>
            <w:vAlign w:val="bottom"/>
          </w:tcPr>
          <w:p w:rsidR="000B587A" w:rsidRPr="0069369D" w:rsidRDefault="000B587A" w:rsidP="00C97885">
            <w:pPr>
              <w:jc w:val="right"/>
              <w:rPr>
                <w:rFonts w:eastAsia="Times New Roman"/>
                <w:color w:val="000000"/>
                <w:sz w:val="20"/>
                <w:szCs w:val="20"/>
              </w:rPr>
            </w:pPr>
            <w:r>
              <w:rPr>
                <w:color w:val="000000"/>
                <w:sz w:val="20"/>
                <w:szCs w:val="20"/>
              </w:rPr>
              <w:t>200</w:t>
            </w:r>
          </w:p>
        </w:tc>
        <w:tc>
          <w:tcPr>
            <w:tcW w:w="1901" w:type="dxa"/>
            <w:shd w:val="clear" w:color="auto" w:fill="auto"/>
            <w:vAlign w:val="bottom"/>
          </w:tcPr>
          <w:p w:rsidR="000B587A" w:rsidRPr="0069369D" w:rsidRDefault="000B587A" w:rsidP="00066761">
            <w:pPr>
              <w:jc w:val="right"/>
              <w:rPr>
                <w:rFonts w:eastAsia="Times New Roman"/>
                <w:color w:val="000000"/>
                <w:sz w:val="20"/>
                <w:szCs w:val="20"/>
              </w:rPr>
            </w:pPr>
            <w:r>
              <w:rPr>
                <w:color w:val="000000"/>
                <w:sz w:val="20"/>
                <w:szCs w:val="20"/>
              </w:rPr>
              <w:t>$</w:t>
            </w:r>
            <w:r w:rsidR="00066761">
              <w:rPr>
                <w:color w:val="000000"/>
                <w:sz w:val="20"/>
                <w:szCs w:val="20"/>
              </w:rPr>
              <w:t>15,454</w:t>
            </w:r>
          </w:p>
        </w:tc>
      </w:tr>
      <w:tr w:rsidR="000B587A" w:rsidRPr="0069369D" w:rsidTr="00895C45">
        <w:trPr>
          <w:trHeight w:val="18"/>
          <w:jc w:val="center"/>
        </w:trPr>
        <w:tc>
          <w:tcPr>
            <w:tcW w:w="5124" w:type="dxa"/>
            <w:shd w:val="clear" w:color="auto" w:fill="auto"/>
          </w:tcPr>
          <w:p w:rsidR="000B587A" w:rsidRPr="0069369D" w:rsidRDefault="000B587A" w:rsidP="00C97885">
            <w:pPr>
              <w:rPr>
                <w:rFonts w:eastAsia="Times New Roman"/>
                <w:color w:val="000000"/>
                <w:sz w:val="20"/>
                <w:szCs w:val="20"/>
              </w:rPr>
            </w:pPr>
            <w:r w:rsidRPr="0069369D">
              <w:rPr>
                <w:rFonts w:eastAsia="Times New Roman"/>
                <w:color w:val="000000"/>
                <w:sz w:val="20"/>
                <w:szCs w:val="20"/>
              </w:rPr>
              <w:t>Allowance transfers and deductions.</w:t>
            </w:r>
          </w:p>
        </w:tc>
        <w:tc>
          <w:tcPr>
            <w:tcW w:w="2335" w:type="dxa"/>
            <w:shd w:val="clear" w:color="auto" w:fill="auto"/>
          </w:tcPr>
          <w:p w:rsidR="000B587A" w:rsidRPr="0069369D" w:rsidRDefault="000B587A" w:rsidP="00C97885">
            <w:pPr>
              <w:jc w:val="right"/>
              <w:rPr>
                <w:rFonts w:eastAsia="Times New Roman"/>
                <w:color w:val="000000"/>
                <w:sz w:val="20"/>
                <w:szCs w:val="20"/>
              </w:rPr>
            </w:pPr>
            <w:r>
              <w:rPr>
                <w:color w:val="000000"/>
                <w:sz w:val="20"/>
                <w:szCs w:val="20"/>
              </w:rPr>
              <w:t>90</w:t>
            </w:r>
          </w:p>
        </w:tc>
        <w:tc>
          <w:tcPr>
            <w:tcW w:w="1901" w:type="dxa"/>
            <w:shd w:val="clear" w:color="auto" w:fill="auto"/>
          </w:tcPr>
          <w:p w:rsidR="000B587A" w:rsidRPr="0069369D" w:rsidRDefault="000B587A" w:rsidP="00C4686F">
            <w:pPr>
              <w:jc w:val="right"/>
              <w:rPr>
                <w:rFonts w:eastAsia="Times New Roman"/>
                <w:color w:val="000000"/>
                <w:sz w:val="20"/>
                <w:szCs w:val="20"/>
              </w:rPr>
            </w:pPr>
            <w:r>
              <w:rPr>
                <w:color w:val="000000"/>
                <w:sz w:val="20"/>
                <w:szCs w:val="20"/>
              </w:rPr>
              <w:t>$</w:t>
            </w:r>
            <w:r w:rsidR="00C4686F">
              <w:rPr>
                <w:color w:val="000000"/>
                <w:sz w:val="20"/>
                <w:szCs w:val="20"/>
              </w:rPr>
              <w:t>6,954</w:t>
            </w:r>
          </w:p>
        </w:tc>
      </w:tr>
      <w:tr w:rsidR="000B587A" w:rsidRPr="0069369D" w:rsidTr="00895C45">
        <w:trPr>
          <w:trHeight w:val="18"/>
          <w:jc w:val="center"/>
        </w:trPr>
        <w:tc>
          <w:tcPr>
            <w:tcW w:w="5124" w:type="dxa"/>
            <w:shd w:val="clear" w:color="auto" w:fill="auto"/>
          </w:tcPr>
          <w:p w:rsidR="000B587A" w:rsidRPr="0069369D" w:rsidRDefault="000B587A" w:rsidP="00C97885">
            <w:pPr>
              <w:rPr>
                <w:rFonts w:eastAsia="Times New Roman"/>
                <w:color w:val="000000"/>
                <w:sz w:val="20"/>
                <w:szCs w:val="20"/>
              </w:rPr>
            </w:pPr>
            <w:r w:rsidRPr="0069369D">
              <w:rPr>
                <w:rFonts w:eastAsia="Times New Roman"/>
                <w:color w:val="000000"/>
                <w:sz w:val="20"/>
                <w:szCs w:val="20"/>
              </w:rPr>
              <w:t>Permits.</w:t>
            </w:r>
          </w:p>
        </w:tc>
        <w:tc>
          <w:tcPr>
            <w:tcW w:w="2335" w:type="dxa"/>
            <w:shd w:val="clear" w:color="auto" w:fill="auto"/>
          </w:tcPr>
          <w:p w:rsidR="000B587A" w:rsidRPr="0069369D" w:rsidRDefault="000B587A" w:rsidP="00C97885">
            <w:pPr>
              <w:jc w:val="right"/>
              <w:rPr>
                <w:rFonts w:eastAsia="Times New Roman"/>
                <w:color w:val="000000"/>
                <w:sz w:val="20"/>
                <w:szCs w:val="20"/>
              </w:rPr>
            </w:pPr>
            <w:r>
              <w:rPr>
                <w:color w:val="000000"/>
                <w:sz w:val="20"/>
                <w:szCs w:val="20"/>
              </w:rPr>
              <w:t> </w:t>
            </w:r>
          </w:p>
        </w:tc>
        <w:tc>
          <w:tcPr>
            <w:tcW w:w="1901" w:type="dxa"/>
            <w:shd w:val="clear" w:color="auto" w:fill="auto"/>
          </w:tcPr>
          <w:p w:rsidR="000B587A" w:rsidRPr="0069369D" w:rsidRDefault="000B587A" w:rsidP="00C97885">
            <w:pPr>
              <w:jc w:val="right"/>
              <w:rPr>
                <w:rFonts w:eastAsia="Times New Roman"/>
                <w:color w:val="000000"/>
                <w:sz w:val="20"/>
                <w:szCs w:val="20"/>
              </w:rPr>
            </w:pPr>
            <w:r>
              <w:rPr>
                <w:color w:val="000000"/>
                <w:sz w:val="20"/>
                <w:szCs w:val="20"/>
              </w:rPr>
              <w:t> </w:t>
            </w:r>
          </w:p>
        </w:tc>
      </w:tr>
      <w:tr w:rsidR="000B587A" w:rsidRPr="0069369D" w:rsidTr="00895C45">
        <w:trPr>
          <w:trHeight w:val="18"/>
          <w:jc w:val="center"/>
        </w:trPr>
        <w:tc>
          <w:tcPr>
            <w:tcW w:w="5124" w:type="dxa"/>
            <w:shd w:val="clear" w:color="auto" w:fill="auto"/>
          </w:tcPr>
          <w:p w:rsidR="000B587A" w:rsidRPr="0069369D" w:rsidRDefault="000B587A" w:rsidP="001915A3">
            <w:pPr>
              <w:ind w:firstLineChars="189" w:firstLine="378"/>
              <w:rPr>
                <w:rFonts w:eastAsia="Times New Roman"/>
                <w:color w:val="000000"/>
                <w:sz w:val="20"/>
                <w:szCs w:val="20"/>
              </w:rPr>
            </w:pPr>
            <w:r w:rsidRPr="0069369D">
              <w:rPr>
                <w:rFonts w:eastAsia="Times New Roman"/>
                <w:color w:val="000000"/>
                <w:sz w:val="20"/>
                <w:szCs w:val="20"/>
              </w:rPr>
              <w:t>Permitting Authority</w:t>
            </w:r>
            <w:r>
              <w:rPr>
                <w:rFonts w:eastAsia="Times New Roman"/>
                <w:color w:val="000000"/>
                <w:sz w:val="20"/>
                <w:szCs w:val="20"/>
              </w:rPr>
              <w:t>.</w:t>
            </w:r>
          </w:p>
        </w:tc>
        <w:tc>
          <w:tcPr>
            <w:tcW w:w="2335" w:type="dxa"/>
            <w:shd w:val="clear" w:color="auto" w:fill="auto"/>
          </w:tcPr>
          <w:p w:rsidR="000B587A" w:rsidRPr="00B564AE" w:rsidRDefault="000B587A" w:rsidP="00C97885">
            <w:pPr>
              <w:jc w:val="right"/>
              <w:rPr>
                <w:rFonts w:eastAsia="Times New Roman"/>
                <w:color w:val="000000"/>
                <w:sz w:val="20"/>
                <w:szCs w:val="20"/>
              </w:rPr>
            </w:pPr>
            <w:r w:rsidRPr="00B564AE">
              <w:rPr>
                <w:color w:val="000000"/>
                <w:sz w:val="20"/>
                <w:szCs w:val="20"/>
              </w:rPr>
              <w:t>2,066</w:t>
            </w:r>
          </w:p>
        </w:tc>
        <w:tc>
          <w:tcPr>
            <w:tcW w:w="1901" w:type="dxa"/>
            <w:shd w:val="clear" w:color="auto" w:fill="auto"/>
          </w:tcPr>
          <w:p w:rsidR="000B587A" w:rsidRPr="00A37EB5" w:rsidRDefault="000B587A" w:rsidP="00C4686F">
            <w:pPr>
              <w:jc w:val="right"/>
              <w:rPr>
                <w:rFonts w:eastAsia="Times New Roman"/>
                <w:color w:val="000000"/>
                <w:sz w:val="20"/>
                <w:szCs w:val="20"/>
              </w:rPr>
            </w:pPr>
            <w:r w:rsidRPr="00D27A99">
              <w:rPr>
                <w:color w:val="000000"/>
                <w:sz w:val="20"/>
                <w:szCs w:val="20"/>
              </w:rPr>
              <w:t>$</w:t>
            </w:r>
            <w:r w:rsidR="00C4686F">
              <w:rPr>
                <w:color w:val="000000"/>
                <w:sz w:val="20"/>
                <w:szCs w:val="20"/>
              </w:rPr>
              <w:t>159,640</w:t>
            </w:r>
          </w:p>
        </w:tc>
      </w:tr>
      <w:tr w:rsidR="000B587A" w:rsidRPr="0069369D" w:rsidTr="00895C45">
        <w:trPr>
          <w:trHeight w:val="18"/>
          <w:jc w:val="center"/>
        </w:trPr>
        <w:tc>
          <w:tcPr>
            <w:tcW w:w="5124" w:type="dxa"/>
            <w:shd w:val="clear" w:color="auto" w:fill="auto"/>
          </w:tcPr>
          <w:p w:rsidR="000B587A" w:rsidRPr="0069369D" w:rsidRDefault="000B587A" w:rsidP="001915A3">
            <w:pPr>
              <w:ind w:firstLineChars="189" w:firstLine="378"/>
              <w:rPr>
                <w:rFonts w:eastAsia="Times New Roman"/>
                <w:color w:val="000000"/>
                <w:sz w:val="20"/>
                <w:szCs w:val="20"/>
              </w:rPr>
            </w:pPr>
            <w:r w:rsidRPr="0069369D">
              <w:rPr>
                <w:rFonts w:eastAsia="Times New Roman"/>
                <w:color w:val="000000"/>
                <w:sz w:val="20"/>
                <w:szCs w:val="20"/>
              </w:rPr>
              <w:t>EPA</w:t>
            </w:r>
            <w:r>
              <w:rPr>
                <w:rFonts w:eastAsia="Times New Roman"/>
                <w:color w:val="000000"/>
                <w:sz w:val="20"/>
                <w:szCs w:val="20"/>
              </w:rPr>
              <w:t>.</w:t>
            </w:r>
          </w:p>
        </w:tc>
        <w:tc>
          <w:tcPr>
            <w:tcW w:w="2335" w:type="dxa"/>
            <w:shd w:val="clear" w:color="auto" w:fill="auto"/>
          </w:tcPr>
          <w:p w:rsidR="000B587A" w:rsidRPr="0069369D" w:rsidRDefault="000B587A" w:rsidP="00C97885">
            <w:pPr>
              <w:jc w:val="right"/>
              <w:rPr>
                <w:rFonts w:eastAsia="Times New Roman"/>
                <w:color w:val="000000"/>
                <w:sz w:val="20"/>
                <w:szCs w:val="20"/>
              </w:rPr>
            </w:pPr>
            <w:r>
              <w:rPr>
                <w:color w:val="000000"/>
                <w:sz w:val="20"/>
                <w:szCs w:val="20"/>
              </w:rPr>
              <w:t>860</w:t>
            </w:r>
          </w:p>
        </w:tc>
        <w:tc>
          <w:tcPr>
            <w:tcW w:w="1901" w:type="dxa"/>
            <w:shd w:val="clear" w:color="auto" w:fill="auto"/>
          </w:tcPr>
          <w:p w:rsidR="000B587A" w:rsidRPr="0069369D" w:rsidRDefault="000B587A" w:rsidP="00C4686F">
            <w:pPr>
              <w:jc w:val="right"/>
              <w:rPr>
                <w:rFonts w:eastAsia="Times New Roman"/>
                <w:color w:val="000000"/>
                <w:sz w:val="20"/>
                <w:szCs w:val="20"/>
              </w:rPr>
            </w:pPr>
            <w:r>
              <w:rPr>
                <w:color w:val="000000"/>
                <w:sz w:val="20"/>
                <w:szCs w:val="20"/>
              </w:rPr>
              <w:t>$</w:t>
            </w:r>
            <w:r w:rsidR="00C4686F">
              <w:rPr>
                <w:color w:val="000000"/>
                <w:sz w:val="20"/>
                <w:szCs w:val="20"/>
              </w:rPr>
              <w:t>66,452</w:t>
            </w:r>
          </w:p>
        </w:tc>
      </w:tr>
      <w:tr w:rsidR="000B587A" w:rsidRPr="0069369D" w:rsidTr="00895C45">
        <w:trPr>
          <w:trHeight w:val="18"/>
          <w:jc w:val="center"/>
        </w:trPr>
        <w:tc>
          <w:tcPr>
            <w:tcW w:w="5124" w:type="dxa"/>
            <w:shd w:val="clear" w:color="auto" w:fill="auto"/>
          </w:tcPr>
          <w:p w:rsidR="000B587A" w:rsidRPr="0069369D" w:rsidRDefault="000B587A" w:rsidP="00C97885">
            <w:pPr>
              <w:rPr>
                <w:rFonts w:eastAsia="Times New Roman"/>
                <w:color w:val="000000"/>
                <w:sz w:val="20"/>
                <w:szCs w:val="20"/>
              </w:rPr>
            </w:pPr>
            <w:r w:rsidRPr="0069369D">
              <w:rPr>
                <w:rFonts w:eastAsia="Times New Roman"/>
                <w:color w:val="000000"/>
                <w:sz w:val="20"/>
                <w:szCs w:val="20"/>
              </w:rPr>
              <w:t>Emissions reporting.</w:t>
            </w:r>
          </w:p>
        </w:tc>
        <w:tc>
          <w:tcPr>
            <w:tcW w:w="2335" w:type="dxa"/>
            <w:shd w:val="clear" w:color="auto" w:fill="auto"/>
          </w:tcPr>
          <w:p w:rsidR="000B587A" w:rsidRPr="0069369D" w:rsidRDefault="000B587A" w:rsidP="00C97885">
            <w:pPr>
              <w:jc w:val="right"/>
              <w:rPr>
                <w:rFonts w:eastAsia="Times New Roman"/>
                <w:color w:val="000000"/>
                <w:sz w:val="20"/>
                <w:szCs w:val="20"/>
              </w:rPr>
            </w:pPr>
            <w:r>
              <w:rPr>
                <w:color w:val="000000"/>
                <w:sz w:val="20"/>
                <w:szCs w:val="20"/>
              </w:rPr>
              <w:t>4,500</w:t>
            </w:r>
          </w:p>
        </w:tc>
        <w:tc>
          <w:tcPr>
            <w:tcW w:w="1901" w:type="dxa"/>
            <w:shd w:val="clear" w:color="auto" w:fill="auto"/>
          </w:tcPr>
          <w:p w:rsidR="000B587A" w:rsidRPr="0069369D" w:rsidRDefault="000B587A" w:rsidP="00C4686F">
            <w:pPr>
              <w:jc w:val="right"/>
              <w:rPr>
                <w:rFonts w:eastAsia="Times New Roman"/>
                <w:color w:val="000000"/>
                <w:sz w:val="20"/>
                <w:szCs w:val="20"/>
              </w:rPr>
            </w:pPr>
            <w:r>
              <w:rPr>
                <w:color w:val="000000"/>
                <w:sz w:val="20"/>
                <w:szCs w:val="20"/>
              </w:rPr>
              <w:t>$</w:t>
            </w:r>
            <w:r w:rsidR="00C4686F">
              <w:rPr>
                <w:color w:val="000000"/>
                <w:sz w:val="20"/>
                <w:szCs w:val="20"/>
              </w:rPr>
              <w:t>347,715</w:t>
            </w:r>
          </w:p>
        </w:tc>
      </w:tr>
      <w:tr w:rsidR="000B587A" w:rsidRPr="0069369D" w:rsidTr="00895C45">
        <w:trPr>
          <w:trHeight w:val="18"/>
          <w:jc w:val="center"/>
        </w:trPr>
        <w:tc>
          <w:tcPr>
            <w:tcW w:w="5124" w:type="dxa"/>
            <w:shd w:val="pct10" w:color="auto" w:fill="auto"/>
          </w:tcPr>
          <w:p w:rsidR="000B587A" w:rsidRPr="0069369D" w:rsidRDefault="000B587A" w:rsidP="00C97885">
            <w:pPr>
              <w:rPr>
                <w:rFonts w:eastAsia="Times New Roman"/>
                <w:b/>
                <w:bCs/>
                <w:color w:val="000000"/>
                <w:sz w:val="20"/>
                <w:szCs w:val="20"/>
              </w:rPr>
            </w:pPr>
            <w:r w:rsidRPr="0069369D">
              <w:rPr>
                <w:rFonts w:eastAsia="Times New Roman"/>
                <w:b/>
                <w:bCs/>
                <w:color w:val="000000"/>
                <w:sz w:val="20"/>
                <w:szCs w:val="20"/>
              </w:rPr>
              <w:t>TOTAL</w:t>
            </w:r>
          </w:p>
        </w:tc>
        <w:tc>
          <w:tcPr>
            <w:tcW w:w="2335" w:type="dxa"/>
            <w:shd w:val="pct10" w:color="auto" w:fill="auto"/>
          </w:tcPr>
          <w:p w:rsidR="000B587A" w:rsidRPr="00B520AC" w:rsidRDefault="000B587A" w:rsidP="00C97885">
            <w:pPr>
              <w:jc w:val="right"/>
              <w:rPr>
                <w:rFonts w:eastAsia="Times New Roman"/>
                <w:b/>
                <w:color w:val="000000"/>
                <w:sz w:val="20"/>
                <w:szCs w:val="20"/>
              </w:rPr>
            </w:pPr>
            <w:r>
              <w:rPr>
                <w:b/>
                <w:bCs/>
                <w:color w:val="000000"/>
                <w:sz w:val="20"/>
                <w:szCs w:val="20"/>
              </w:rPr>
              <w:t>7,716</w:t>
            </w:r>
          </w:p>
        </w:tc>
        <w:tc>
          <w:tcPr>
            <w:tcW w:w="1901" w:type="dxa"/>
            <w:shd w:val="pct10" w:color="auto" w:fill="auto"/>
          </w:tcPr>
          <w:p w:rsidR="000B587A" w:rsidRPr="00B520AC" w:rsidRDefault="000B587A" w:rsidP="00C4686F">
            <w:pPr>
              <w:jc w:val="right"/>
              <w:rPr>
                <w:rFonts w:eastAsia="Times New Roman"/>
                <w:b/>
                <w:color w:val="000000"/>
                <w:sz w:val="20"/>
                <w:szCs w:val="20"/>
              </w:rPr>
            </w:pPr>
            <w:r>
              <w:rPr>
                <w:b/>
                <w:bCs/>
                <w:color w:val="000000"/>
                <w:sz w:val="20"/>
                <w:szCs w:val="20"/>
              </w:rPr>
              <w:t>$</w:t>
            </w:r>
            <w:r w:rsidR="00C4686F">
              <w:rPr>
                <w:b/>
                <w:bCs/>
                <w:color w:val="000000"/>
                <w:sz w:val="20"/>
                <w:szCs w:val="20"/>
              </w:rPr>
              <w:t>596,215</w:t>
            </w:r>
          </w:p>
        </w:tc>
      </w:tr>
    </w:tbl>
    <w:p w:rsidR="001915A3" w:rsidRDefault="001915A3" w:rsidP="00410114">
      <w:pPr>
        <w:autoSpaceDE w:val="0"/>
        <w:autoSpaceDN w:val="0"/>
        <w:adjustRightInd w:val="0"/>
        <w:ind w:left="2880"/>
        <w:rPr>
          <w:sz w:val="20"/>
          <w:szCs w:val="20"/>
        </w:rPr>
      </w:pPr>
    </w:p>
    <w:p w:rsidR="00CF754C" w:rsidRPr="008574F9" w:rsidRDefault="00594A03" w:rsidP="00DA451C">
      <w:pPr>
        <w:jc w:val="right"/>
        <w:rPr>
          <w:b/>
          <w:bCs/>
          <w:szCs w:val="24"/>
        </w:rPr>
      </w:pPr>
      <w:r w:rsidRPr="00594A03">
        <w:rPr>
          <w:sz w:val="20"/>
          <w:szCs w:val="20"/>
        </w:rPr>
        <w:t>1.</w:t>
      </w:r>
      <w:r>
        <w:rPr>
          <w:sz w:val="20"/>
          <w:szCs w:val="20"/>
        </w:rPr>
        <w:tab/>
      </w:r>
      <w:r w:rsidR="00695518">
        <w:rPr>
          <w:sz w:val="20"/>
          <w:szCs w:val="20"/>
        </w:rPr>
        <w:t>201</w:t>
      </w:r>
      <w:r w:rsidR="00705309">
        <w:rPr>
          <w:sz w:val="20"/>
          <w:szCs w:val="20"/>
        </w:rPr>
        <w:t>4</w:t>
      </w:r>
      <w:r w:rsidR="00695518">
        <w:rPr>
          <w:sz w:val="20"/>
          <w:szCs w:val="20"/>
        </w:rPr>
        <w:t xml:space="preserve"> </w:t>
      </w:r>
      <w:r w:rsidR="00410114">
        <w:rPr>
          <w:sz w:val="20"/>
          <w:szCs w:val="20"/>
        </w:rPr>
        <w:t>dollars.</w:t>
      </w:r>
    </w:p>
    <w:sectPr w:rsidR="00CF754C" w:rsidRPr="008574F9" w:rsidSect="00C6552A">
      <w:headerReference w:type="default" r:id="rId16"/>
      <w:headerReference w:type="first" r:id="rId17"/>
      <w:pgSz w:w="12240" w:h="15840"/>
      <w:pgMar w:top="72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768948E" w15:done="0"/>
  <w15:commentEx w15:paraId="2D5E448A" w15:done="0"/>
  <w15:commentEx w15:paraId="0C0E03DB" w15:done="0"/>
  <w15:commentEx w15:paraId="396AD434" w15:done="0"/>
  <w15:commentEx w15:paraId="244BDAB6" w15:done="0"/>
  <w15:commentEx w15:paraId="768F8350" w15:done="0"/>
  <w15:commentEx w15:paraId="0E242CBE" w15:done="0"/>
  <w15:commentEx w15:paraId="45BFEC21" w15:done="0"/>
  <w15:commentEx w15:paraId="7155E2D6" w15:done="0"/>
  <w15:commentEx w15:paraId="08448103" w15:done="0"/>
  <w15:commentEx w15:paraId="4530E1CE" w15:done="0"/>
  <w15:commentEx w15:paraId="19E7BD2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9BD" w:rsidRDefault="002A69BD" w:rsidP="00820788">
      <w:r>
        <w:separator/>
      </w:r>
    </w:p>
  </w:endnote>
  <w:endnote w:type="continuationSeparator" w:id="0">
    <w:p w:rsidR="002A69BD" w:rsidRDefault="002A69BD" w:rsidP="008207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37" w:rsidRDefault="00C00CBC" w:rsidP="000A515F">
    <w:pPr>
      <w:pStyle w:val="Footer"/>
      <w:framePr w:wrap="around" w:vAnchor="text" w:hAnchor="margin" w:xAlign="center" w:y="1"/>
      <w:rPr>
        <w:rStyle w:val="PageNumber"/>
      </w:rPr>
    </w:pPr>
    <w:r>
      <w:rPr>
        <w:rStyle w:val="PageNumber"/>
      </w:rPr>
      <w:fldChar w:fldCharType="begin"/>
    </w:r>
    <w:r w:rsidR="009C7937">
      <w:rPr>
        <w:rStyle w:val="PageNumber"/>
      </w:rPr>
      <w:instrText xml:space="preserve">PAGE  </w:instrText>
    </w:r>
    <w:r>
      <w:rPr>
        <w:rStyle w:val="PageNumber"/>
      </w:rPr>
      <w:fldChar w:fldCharType="end"/>
    </w:r>
  </w:p>
  <w:p w:rsidR="009C7937" w:rsidRDefault="009C79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37" w:rsidRPr="00144993" w:rsidRDefault="00C00CBC" w:rsidP="000A515F">
    <w:pPr>
      <w:pStyle w:val="Footer"/>
      <w:framePr w:wrap="around" w:vAnchor="text" w:hAnchor="margin" w:xAlign="center" w:y="1"/>
      <w:rPr>
        <w:rStyle w:val="PageNumber"/>
        <w:rFonts w:ascii="Times New Roman" w:hAnsi="Times New Roman"/>
      </w:rPr>
    </w:pPr>
    <w:r w:rsidRPr="00144993">
      <w:rPr>
        <w:rStyle w:val="PageNumber"/>
        <w:rFonts w:ascii="Times New Roman" w:hAnsi="Times New Roman"/>
      </w:rPr>
      <w:fldChar w:fldCharType="begin"/>
    </w:r>
    <w:r w:rsidR="009C7937" w:rsidRPr="00144993">
      <w:rPr>
        <w:rStyle w:val="PageNumber"/>
        <w:rFonts w:ascii="Times New Roman" w:hAnsi="Times New Roman"/>
      </w:rPr>
      <w:instrText xml:space="preserve">PAGE  </w:instrText>
    </w:r>
    <w:r w:rsidRPr="00144993">
      <w:rPr>
        <w:rStyle w:val="PageNumber"/>
        <w:rFonts w:ascii="Times New Roman" w:hAnsi="Times New Roman"/>
      </w:rPr>
      <w:fldChar w:fldCharType="separate"/>
    </w:r>
    <w:r w:rsidR="00B0154E">
      <w:rPr>
        <w:rStyle w:val="PageNumber"/>
        <w:rFonts w:ascii="Times New Roman" w:hAnsi="Times New Roman"/>
        <w:noProof/>
      </w:rPr>
      <w:t>38</w:t>
    </w:r>
    <w:r w:rsidRPr="00144993">
      <w:rPr>
        <w:rStyle w:val="PageNumber"/>
        <w:rFonts w:ascii="Times New Roman" w:hAnsi="Times New Roman"/>
      </w:rPr>
      <w:fldChar w:fldCharType="end"/>
    </w:r>
  </w:p>
  <w:p w:rsidR="009C7937" w:rsidRDefault="009C79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9BD" w:rsidRDefault="002A69BD" w:rsidP="00820788">
      <w:r>
        <w:separator/>
      </w:r>
    </w:p>
  </w:footnote>
  <w:footnote w:type="continuationSeparator" w:id="0">
    <w:p w:rsidR="002A69BD" w:rsidRDefault="002A69BD" w:rsidP="00820788">
      <w:r>
        <w:continuationSeparator/>
      </w:r>
    </w:p>
  </w:footnote>
  <w:footnote w:id="1">
    <w:p w:rsidR="009C7937" w:rsidRDefault="009C7937">
      <w:pPr>
        <w:pStyle w:val="FootnoteText"/>
      </w:pPr>
      <w:r>
        <w:rPr>
          <w:rStyle w:val="FootnoteReference"/>
        </w:rPr>
        <w:footnoteRef/>
      </w:r>
      <w:r>
        <w:t xml:space="preserve"> </w:t>
      </w:r>
      <w:r w:rsidRPr="0060542C">
        <w:t xml:space="preserve">A supplemental rule </w:t>
      </w:r>
      <w:r>
        <w:t>extending the Transport Rule’s ozone-season NO</w:t>
      </w:r>
      <w:r w:rsidRPr="00D85B6F">
        <w:rPr>
          <w:vertAlign w:val="subscript"/>
        </w:rPr>
        <w:t>X</w:t>
      </w:r>
      <w:r>
        <w:t xml:space="preserve"> requirements to sources in five additional states </w:t>
      </w:r>
      <w:r w:rsidRPr="0060542C">
        <w:t>was published in the Federal Register on December 27, 2011 (76 FR 80760).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37" w:rsidRPr="000714D7" w:rsidRDefault="009C7937" w:rsidP="00ED7FD5">
    <w:pPr>
      <w:pStyle w:val="Header"/>
      <w:ind w:left="7110"/>
      <w:rPr>
        <w:rFonts w:ascii="Times New Roman" w:hAnsi="Times New Roman"/>
        <w:lang w:val="en-AU"/>
      </w:rPr>
    </w:pPr>
    <w:r w:rsidRPr="000714D7">
      <w:rPr>
        <w:rFonts w:ascii="Times New Roman" w:hAnsi="Times New Roman"/>
        <w:lang w:val="en-AU"/>
      </w:rPr>
      <w:t>Transport Rule ICR</w:t>
    </w:r>
  </w:p>
  <w:p w:rsidR="009C7937" w:rsidRDefault="00EF4E68" w:rsidP="00ED7FD5">
    <w:pPr>
      <w:pStyle w:val="Header"/>
      <w:ind w:left="7110"/>
      <w:rPr>
        <w:lang w:val="en-AU"/>
      </w:rPr>
    </w:pPr>
    <w:r>
      <w:rPr>
        <w:rFonts w:ascii="Times New Roman" w:hAnsi="Times New Roman"/>
        <w:lang w:val="en-AU"/>
      </w:rPr>
      <w:t>July 2, 2014</w:t>
    </w:r>
  </w:p>
  <w:p w:rsidR="009C7937" w:rsidRPr="003740C6" w:rsidRDefault="009C7937" w:rsidP="003740C6">
    <w:pPr>
      <w:pStyle w:val="Header"/>
      <w:ind w:left="7110"/>
      <w:rPr>
        <w:lang w:val="en-A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37" w:rsidRPr="00CD5C3C" w:rsidRDefault="009C7937" w:rsidP="00CD5C3C">
    <w:pPr>
      <w:pStyle w:val="Header"/>
      <w:jc w:val="right"/>
      <w:rPr>
        <w:lang w:val="en-AU"/>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37" w:rsidRPr="00CE7F7F" w:rsidRDefault="009C7937" w:rsidP="00A55C35">
    <w:pPr>
      <w:pStyle w:val="Header"/>
      <w:ind w:left="7110"/>
      <w:rPr>
        <w:rFonts w:ascii="Times New Roman" w:hAnsi="Times New Roman"/>
        <w:lang w:val="en-AU"/>
      </w:rPr>
    </w:pPr>
    <w:r>
      <w:rPr>
        <w:rFonts w:ascii="Times New Roman" w:hAnsi="Times New Roman"/>
        <w:lang w:val="en-AU"/>
      </w:rPr>
      <w:tab/>
    </w:r>
    <w:r>
      <w:rPr>
        <w:rFonts w:ascii="Times New Roman" w:hAnsi="Times New Roman"/>
        <w:lang w:val="en-AU"/>
      </w:rPr>
      <w:tab/>
    </w:r>
    <w:r>
      <w:rPr>
        <w:rFonts w:ascii="Times New Roman" w:hAnsi="Times New Roman"/>
        <w:lang w:val="en-AU"/>
      </w:rPr>
      <w:tab/>
    </w:r>
    <w:r>
      <w:rPr>
        <w:rFonts w:ascii="Times New Roman" w:hAnsi="Times New Roman"/>
        <w:lang w:val="en-AU"/>
      </w:rPr>
      <w:tab/>
    </w:r>
    <w:r w:rsidRPr="00CE7F7F">
      <w:rPr>
        <w:rFonts w:ascii="Times New Roman" w:hAnsi="Times New Roman"/>
        <w:lang w:val="en-AU"/>
      </w:rPr>
      <w:t>Transport Rule ICR</w:t>
    </w:r>
  </w:p>
  <w:p w:rsidR="009C7937" w:rsidRDefault="009C7937" w:rsidP="00A55C35">
    <w:pPr>
      <w:pStyle w:val="Header"/>
      <w:ind w:left="7110"/>
      <w:rPr>
        <w:lang w:val="en-AU"/>
      </w:rPr>
    </w:pPr>
    <w:r>
      <w:rPr>
        <w:rFonts w:ascii="Times New Roman" w:hAnsi="Times New Roman"/>
        <w:lang w:val="en-AU"/>
      </w:rPr>
      <w:tab/>
    </w:r>
    <w:r>
      <w:rPr>
        <w:rFonts w:ascii="Times New Roman" w:hAnsi="Times New Roman"/>
        <w:lang w:val="en-AU"/>
      </w:rPr>
      <w:tab/>
    </w:r>
    <w:r>
      <w:rPr>
        <w:rFonts w:ascii="Times New Roman" w:hAnsi="Times New Roman"/>
        <w:lang w:val="en-AU"/>
      </w:rPr>
      <w:tab/>
    </w:r>
    <w:r>
      <w:rPr>
        <w:rFonts w:ascii="Times New Roman" w:hAnsi="Times New Roman"/>
        <w:lang w:val="en-AU"/>
      </w:rPr>
      <w:tab/>
    </w:r>
    <w:r w:rsidR="00EF4E68">
      <w:rPr>
        <w:rFonts w:ascii="Times New Roman" w:hAnsi="Times New Roman"/>
        <w:lang w:val="en-AU"/>
      </w:rPr>
      <w:t>July 2, 2014</w:t>
    </w:r>
  </w:p>
  <w:p w:rsidR="009C7937" w:rsidRDefault="009C7937" w:rsidP="00DA451C">
    <w:pPr>
      <w:pStyle w:val="Header"/>
      <w:tabs>
        <w:tab w:val="clear" w:pos="9360"/>
        <w:tab w:val="left" w:pos="12510"/>
      </w:tabs>
      <w:ind w:left="7110"/>
      <w:rPr>
        <w:lang w:val="en-AU"/>
      </w:rPr>
    </w:pPr>
    <w:r>
      <w:rPr>
        <w:lang w:val="en-AU"/>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37" w:rsidRPr="00A56746" w:rsidRDefault="009C7937" w:rsidP="00A56746">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37" w:rsidRPr="00CE7F7F" w:rsidRDefault="009C7937" w:rsidP="00A55C35">
    <w:pPr>
      <w:pStyle w:val="Header"/>
      <w:ind w:left="7110"/>
      <w:rPr>
        <w:rFonts w:ascii="Times New Roman" w:hAnsi="Times New Roman"/>
        <w:lang w:val="en-AU"/>
      </w:rPr>
    </w:pPr>
    <w:r>
      <w:rPr>
        <w:rFonts w:ascii="Times New Roman" w:hAnsi="Times New Roman"/>
        <w:lang w:val="en-AU"/>
      </w:rPr>
      <w:tab/>
    </w:r>
    <w:r w:rsidRPr="00CE7F7F">
      <w:rPr>
        <w:rFonts w:ascii="Times New Roman" w:hAnsi="Times New Roman"/>
        <w:lang w:val="en-AU"/>
      </w:rPr>
      <w:t>Transport Rule ICR</w:t>
    </w:r>
  </w:p>
  <w:p w:rsidR="009C7937" w:rsidRDefault="009C7937" w:rsidP="00A55C35">
    <w:pPr>
      <w:pStyle w:val="Header"/>
      <w:ind w:left="7110"/>
      <w:rPr>
        <w:lang w:val="en-AU"/>
      </w:rPr>
    </w:pPr>
    <w:r>
      <w:rPr>
        <w:rFonts w:ascii="Times New Roman" w:hAnsi="Times New Roman"/>
        <w:lang w:val="en-AU"/>
      </w:rPr>
      <w:tab/>
    </w:r>
    <w:r w:rsidR="00EF4E68">
      <w:rPr>
        <w:rFonts w:ascii="Times New Roman" w:hAnsi="Times New Roman"/>
        <w:lang w:val="en-AU"/>
      </w:rPr>
      <w:t>July 2, 2014</w:t>
    </w:r>
  </w:p>
  <w:p w:rsidR="009C7937" w:rsidRDefault="009C7937" w:rsidP="00A56746">
    <w:pPr>
      <w:pStyle w:val="Header"/>
      <w:ind w:left="7110"/>
      <w:rPr>
        <w:lang w:val="en-AU"/>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937" w:rsidRDefault="009C7937" w:rsidP="00C10C31">
    <w:pPr>
      <w:pStyle w:val="Header"/>
      <w:ind w:left="7110"/>
      <w:rPr>
        <w:lang w:val="en-AU"/>
      </w:rPr>
    </w:pPr>
    <w:r>
      <w:rPr>
        <w:lang w:val="en-AU"/>
      </w:rPr>
      <w:t>DRAFT Transport ICR</w:t>
    </w:r>
  </w:p>
  <w:p w:rsidR="009C7937" w:rsidRDefault="009C7937" w:rsidP="00C10C31">
    <w:pPr>
      <w:pStyle w:val="Header"/>
      <w:ind w:left="7110"/>
      <w:rPr>
        <w:lang w:val="en-AU"/>
      </w:rPr>
    </w:pPr>
    <w:r>
      <w:rPr>
        <w:lang w:val="en-AU"/>
      </w:rPr>
      <w:t>March 12, 2010</w:t>
    </w:r>
  </w:p>
  <w:p w:rsidR="009C7937" w:rsidRDefault="009C7937" w:rsidP="00C10C31">
    <w:pPr>
      <w:pStyle w:val="Header"/>
      <w:ind w:left="7110"/>
      <w:rPr>
        <w:lang w:val="en-AU"/>
      </w:rPr>
    </w:pPr>
    <w:r>
      <w:rPr>
        <w:lang w:val="en-AU"/>
      </w:rPr>
      <w:t xml:space="preserve">Page </w:t>
    </w:r>
    <w:r w:rsidR="00C00CBC" w:rsidRPr="003740C6">
      <w:rPr>
        <w:lang w:val="en-AU"/>
      </w:rPr>
      <w:fldChar w:fldCharType="begin"/>
    </w:r>
    <w:r w:rsidRPr="003740C6">
      <w:rPr>
        <w:lang w:val="en-AU"/>
      </w:rPr>
      <w:instrText xml:space="preserve"> PAGE   \* MERGEFORMAT </w:instrText>
    </w:r>
    <w:r w:rsidR="00C00CBC" w:rsidRPr="003740C6">
      <w:rPr>
        <w:lang w:val="en-AU"/>
      </w:rPr>
      <w:fldChar w:fldCharType="separate"/>
    </w:r>
    <w:r>
      <w:rPr>
        <w:noProof/>
        <w:lang w:val="en-AU"/>
      </w:rPr>
      <w:t>46</w:t>
    </w:r>
    <w:r w:rsidR="00C00CBC" w:rsidRPr="003740C6">
      <w:rPr>
        <w:lang w:val="en-AU"/>
      </w:rPr>
      <w:fldChar w:fldCharType="end"/>
    </w:r>
  </w:p>
  <w:p w:rsidR="009C7937" w:rsidRPr="00F56B02" w:rsidRDefault="00C00CBC" w:rsidP="00C10C31">
    <w:pPr>
      <w:pStyle w:val="Header"/>
      <w:ind w:left="7110"/>
    </w:pPr>
    <w:r>
      <w:rPr>
        <w:noProof/>
      </w:rPr>
      <w:pict>
        <v:shapetype id="_x0000_t202" coordsize="21600,21600" o:spt="202" path="m,l,21600r21600,l21600,xe">
          <v:stroke joinstyle="miter"/>
          <v:path gradientshapeok="t" o:connecttype="rect"/>
        </v:shapetype>
        <v:shape id="Text Box 9" o:spid="_x0000_s4097" type="#_x0000_t202" style="position:absolute;left:0;text-align:left;margin-left:719.15pt;margin-top:56pt;width:58.6pt;height:492.5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4zwgQIAAA8FAAAOAAAAZHJzL2Uyb0RvYy54bWysVNuO2yAQfa/Uf0C8Z30RudiKs9pLU1Xa&#10;XqTdfgAxOEbFQIHEXlX99w44ybqXh6qqHzAww+HMzBnW10Mn0ZFbJ7SqcHaVYsRVrZlQ+wp/ftrO&#10;Vhg5TxWjUite4Wfu8PXm9at1b0qe61ZLxi0CEOXK3lS49d6USeLqlnfUXWnDFRgbbTvqYWn3CbO0&#10;B/ROJnmaLpJeW2asrrlzsHs/GvEm4jcNr/3HpnHcI1lh4ObjaOO4C2OyWdNyb6lpRX2iQf+BRUeF&#10;gksvUPfUU3Sw4jeoTtRWO934q1p3iW4aUfMYA0STpb9E89hSw2MskBxnLmly/w+2/nD8ZJFgUDuM&#10;FO2gRE988OhWD6gI2emNK8Hp0YCbH2A7eIZInXnQ9ReHlL5rqdrzG2t133LKgF0WTiaToyOOCyC7&#10;/r1mcA09eB2BhsZ2ARCSgQAdqvR8qUygUsPmkpA8B0sNpkU+J8t5LF1Cy/NpY51/y3WHwqTCFiof&#10;0enxwfnAhpZnl8heS8G2Qsq4sPvdnbToSEEl2/jFACDIqZtUwVnpcGxEHHeAJNwRbIFurPq3IstJ&#10;epsXs+1itZyRLZnPimW6mqVZcVssUlKQ++33QDAjZSsY4+pBKH5WYEb+rsKnXhi1EzWI+goX83w+&#10;lmjK3k2DTOP3pyA74aEhpegqvLo40TIU9o1iEDYtPRVynCc/049Zhhyc/zErUQah8qMG/LAbACVo&#10;Y6fZMwjCaqgX1BZeEZiEEaMeOrLC7uuBWo6RfKdAVEVGSGjhuCDzZdCDnVp2UwtVdauh0QFsnN75&#10;se0Pxop9CzeNMlb6BoTYiKiRF1Yn+ULXxWBOL0Ro6+k6er28Y5sfAAAA//8DAFBLAwQUAAYACAAA&#10;ACEAJyWeg+AAAAAOAQAADwAAAGRycy9kb3ducmV2LnhtbExPQU7DMBC8I/EHa5G4IGonoVBCnKoC&#10;9UgFKYirG7tJhL2OYicNv2d7gj3NaEazM8V6dpZNZgidRwnJQgAzWHvdYSPhY7+9XQELUaFW1qOR&#10;8GMCrMvLi0Ll2p/w3UxVbBiFYMiVhDbGPuc81K1xKix8b5C0ox+cikSHhutBnSjcWZ4Kcc+d6pA+&#10;tKo3z62pv6vRSfj6HLc3afK2eZmypNot9/b1iFbK66t58wQsmjn+meFcn6pDSZ0OfkQdmCV+l60y&#10;8hJKUlp1tizpgB0IiccHAbws+P8Z5S8AAAD//wMAUEsBAi0AFAAGAAgAAAAhALaDOJL+AAAA4QEA&#10;ABMAAAAAAAAAAAAAAAAAAAAAAFtDb250ZW50X1R5cGVzXS54bWxQSwECLQAUAAYACAAAACEAOP0h&#10;/9YAAACUAQAACwAAAAAAAAAAAAAAAAAvAQAAX3JlbHMvLnJlbHNQSwECLQAUAAYACAAAACEAVPeM&#10;8IECAAAPBQAADgAAAAAAAAAAAAAAAAAuAgAAZHJzL2Uyb0RvYy54bWxQSwECLQAUAAYACAAAACEA&#10;JyWeg+AAAAAOAQAADwAAAAAAAAAAAAAAAADbBAAAZHJzL2Rvd25yZXYueG1sUEsFBgAAAAAEAAQA&#10;8wAAAOgFAAAAAA==&#10;" stroked="f">
          <v:textbox style="layout-flow:vertical">
            <w:txbxContent>
              <w:p w:rsidR="005E4CA3" w:rsidRDefault="005E4CA3" w:rsidP="00F56B02">
                <w:pPr>
                  <w:pStyle w:val="Header"/>
                  <w:ind w:left="7110"/>
                  <w:rPr>
                    <w:lang w:val="en-AU"/>
                  </w:rPr>
                </w:pPr>
                <w:r>
                  <w:rPr>
                    <w:lang w:val="en-AU"/>
                  </w:rPr>
                  <w:t>DRAFT Transport ICR</w:t>
                </w:r>
              </w:p>
              <w:p w:rsidR="005E4CA3" w:rsidRDefault="005E4CA3" w:rsidP="00F56B02">
                <w:pPr>
                  <w:pStyle w:val="Header"/>
                  <w:ind w:left="7110"/>
                  <w:rPr>
                    <w:lang w:val="en-AU"/>
                  </w:rPr>
                </w:pPr>
                <w:r>
                  <w:rPr>
                    <w:lang w:val="en-AU"/>
                  </w:rPr>
                  <w:t>March 12, 2010</w:t>
                </w:r>
              </w:p>
              <w:p w:rsidR="005E4CA3" w:rsidRDefault="005E4CA3" w:rsidP="00F56B02">
                <w:pPr>
                  <w:pStyle w:val="Header"/>
                  <w:ind w:left="7110"/>
                  <w:rPr>
                    <w:lang w:val="en-AU"/>
                  </w:rPr>
                </w:pPr>
                <w:r>
                  <w:rPr>
                    <w:lang w:val="en-AU"/>
                  </w:rPr>
                  <w:t xml:space="preserve">Page </w:t>
                </w:r>
                <w:r w:rsidR="00C00CBC" w:rsidRPr="003740C6">
                  <w:rPr>
                    <w:lang w:val="en-AU"/>
                  </w:rPr>
                  <w:fldChar w:fldCharType="begin"/>
                </w:r>
                <w:r w:rsidRPr="003740C6">
                  <w:rPr>
                    <w:lang w:val="en-AU"/>
                  </w:rPr>
                  <w:instrText xml:space="preserve"> PAGE   \* MERGEFORMAT </w:instrText>
                </w:r>
                <w:r w:rsidR="00C00CBC" w:rsidRPr="003740C6">
                  <w:rPr>
                    <w:lang w:val="en-AU"/>
                  </w:rPr>
                  <w:fldChar w:fldCharType="separate"/>
                </w:r>
                <w:r>
                  <w:rPr>
                    <w:noProof/>
                    <w:lang w:val="en-AU"/>
                  </w:rPr>
                  <w:t>46</w:t>
                </w:r>
                <w:r w:rsidR="00C00CBC" w:rsidRPr="003740C6">
                  <w:rPr>
                    <w:lang w:val="en-AU"/>
                  </w:rPr>
                  <w:fldChar w:fldCharType="end"/>
                </w:r>
              </w:p>
              <w:p w:rsidR="005E4CA3" w:rsidRPr="00F56B02" w:rsidRDefault="005E4CA3" w:rsidP="00F56B02"/>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3149B"/>
    <w:multiLevelType w:val="hybridMultilevel"/>
    <w:tmpl w:val="847AA218"/>
    <w:lvl w:ilvl="0" w:tplc="BCBAA3E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28BE29D5"/>
    <w:multiLevelType w:val="hybridMultilevel"/>
    <w:tmpl w:val="81E22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927020"/>
    <w:multiLevelType w:val="hybridMultilevel"/>
    <w:tmpl w:val="8C504DA0"/>
    <w:lvl w:ilvl="0" w:tplc="4C76DF4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5FE46A7F"/>
    <w:multiLevelType w:val="hybridMultilevel"/>
    <w:tmpl w:val="3496BC12"/>
    <w:lvl w:ilvl="0" w:tplc="D318D85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640E294A"/>
    <w:multiLevelType w:val="hybridMultilevel"/>
    <w:tmpl w:val="3496BC12"/>
    <w:lvl w:ilvl="0" w:tplc="D318D85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69022FD6"/>
    <w:multiLevelType w:val="hybridMultilevel"/>
    <w:tmpl w:val="AD0045E4"/>
    <w:lvl w:ilvl="0" w:tplc="47B08402">
      <w:start w:val="1"/>
      <w:numFmt w:val="decimal"/>
      <w:lvlText w:val="%1."/>
      <w:lvlJc w:val="left"/>
      <w:pPr>
        <w:ind w:left="540" w:hanging="360"/>
      </w:pPr>
      <w:rPr>
        <w:rFonts w:hint="default"/>
        <w:sz w:val="2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6A06298E"/>
    <w:multiLevelType w:val="hybridMultilevel"/>
    <w:tmpl w:val="B66CD9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6"/>
  </w:num>
  <w:num w:numId="3">
    <w:abstractNumId w:val="3"/>
  </w:num>
  <w:num w:numId="4">
    <w:abstractNumId w:val="4"/>
  </w:num>
  <w:num w:numId="5">
    <w:abstractNumId w:val="5"/>
  </w:num>
  <w:num w:numId="6">
    <w:abstractNumId w:val="0"/>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fland, David">
    <w15:presenceInfo w15:providerId="AD" w15:userId="S-1-5-21-1339303556-449845944-1601390327-288308"/>
  </w15:person>
  <w15:person w15:author="Lifland, David [2]">
    <w15:presenceInfo w15:providerId="AD" w15:userId="S-1-5-21-1339303556-449845944-1601390327-28830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0C02E9"/>
    <w:rsid w:val="000038AC"/>
    <w:rsid w:val="00005E04"/>
    <w:rsid w:val="0000737E"/>
    <w:rsid w:val="00007FDB"/>
    <w:rsid w:val="0001414A"/>
    <w:rsid w:val="00017B45"/>
    <w:rsid w:val="00020021"/>
    <w:rsid w:val="00020898"/>
    <w:rsid w:val="00022D38"/>
    <w:rsid w:val="00024A96"/>
    <w:rsid w:val="00024AB7"/>
    <w:rsid w:val="000269A2"/>
    <w:rsid w:val="000303E6"/>
    <w:rsid w:val="000312ED"/>
    <w:rsid w:val="00033581"/>
    <w:rsid w:val="00034090"/>
    <w:rsid w:val="000344B0"/>
    <w:rsid w:val="00035DDD"/>
    <w:rsid w:val="00037049"/>
    <w:rsid w:val="00037388"/>
    <w:rsid w:val="00037E5F"/>
    <w:rsid w:val="0004168E"/>
    <w:rsid w:val="000425D4"/>
    <w:rsid w:val="00045476"/>
    <w:rsid w:val="00046F7F"/>
    <w:rsid w:val="000518E6"/>
    <w:rsid w:val="00053A38"/>
    <w:rsid w:val="00054FF5"/>
    <w:rsid w:val="0005706D"/>
    <w:rsid w:val="00057BDD"/>
    <w:rsid w:val="0006245A"/>
    <w:rsid w:val="000653D9"/>
    <w:rsid w:val="00065A88"/>
    <w:rsid w:val="00066536"/>
    <w:rsid w:val="00066761"/>
    <w:rsid w:val="000707AE"/>
    <w:rsid w:val="000714D7"/>
    <w:rsid w:val="000717E9"/>
    <w:rsid w:val="000721DC"/>
    <w:rsid w:val="00072574"/>
    <w:rsid w:val="000728DC"/>
    <w:rsid w:val="00076623"/>
    <w:rsid w:val="00080328"/>
    <w:rsid w:val="00083A8F"/>
    <w:rsid w:val="00084891"/>
    <w:rsid w:val="00085120"/>
    <w:rsid w:val="00086820"/>
    <w:rsid w:val="00091D7F"/>
    <w:rsid w:val="000930AB"/>
    <w:rsid w:val="0009697D"/>
    <w:rsid w:val="00096F83"/>
    <w:rsid w:val="000A0014"/>
    <w:rsid w:val="000A2DFD"/>
    <w:rsid w:val="000A3D25"/>
    <w:rsid w:val="000A3F84"/>
    <w:rsid w:val="000A515F"/>
    <w:rsid w:val="000A7B81"/>
    <w:rsid w:val="000B587A"/>
    <w:rsid w:val="000B5E1F"/>
    <w:rsid w:val="000B7D3F"/>
    <w:rsid w:val="000C02E9"/>
    <w:rsid w:val="000C0B8F"/>
    <w:rsid w:val="000C110E"/>
    <w:rsid w:val="000C2CBF"/>
    <w:rsid w:val="000C5983"/>
    <w:rsid w:val="000C5DB5"/>
    <w:rsid w:val="000C6464"/>
    <w:rsid w:val="000C6795"/>
    <w:rsid w:val="000D218B"/>
    <w:rsid w:val="000D4CB1"/>
    <w:rsid w:val="000E1930"/>
    <w:rsid w:val="000E2FE7"/>
    <w:rsid w:val="000E4E9F"/>
    <w:rsid w:val="000E5660"/>
    <w:rsid w:val="000E7455"/>
    <w:rsid w:val="000F4973"/>
    <w:rsid w:val="000F6E93"/>
    <w:rsid w:val="00102063"/>
    <w:rsid w:val="00104765"/>
    <w:rsid w:val="00105DD9"/>
    <w:rsid w:val="001066D5"/>
    <w:rsid w:val="0010711C"/>
    <w:rsid w:val="00107C72"/>
    <w:rsid w:val="00107F0D"/>
    <w:rsid w:val="00107F15"/>
    <w:rsid w:val="00110A4F"/>
    <w:rsid w:val="00111CE9"/>
    <w:rsid w:val="00117909"/>
    <w:rsid w:val="00120D72"/>
    <w:rsid w:val="0012189C"/>
    <w:rsid w:val="00123759"/>
    <w:rsid w:val="00123EA5"/>
    <w:rsid w:val="00124859"/>
    <w:rsid w:val="00124E49"/>
    <w:rsid w:val="0012505C"/>
    <w:rsid w:val="00125A66"/>
    <w:rsid w:val="00126EAF"/>
    <w:rsid w:val="001327CE"/>
    <w:rsid w:val="00135367"/>
    <w:rsid w:val="001407FB"/>
    <w:rsid w:val="0014182B"/>
    <w:rsid w:val="00142505"/>
    <w:rsid w:val="00143464"/>
    <w:rsid w:val="0014452F"/>
    <w:rsid w:val="00144940"/>
    <w:rsid w:val="00144993"/>
    <w:rsid w:val="001458B1"/>
    <w:rsid w:val="00147A57"/>
    <w:rsid w:val="001508D1"/>
    <w:rsid w:val="0015473F"/>
    <w:rsid w:val="001574E9"/>
    <w:rsid w:val="00161BF9"/>
    <w:rsid w:val="00162E56"/>
    <w:rsid w:val="0016583D"/>
    <w:rsid w:val="00166166"/>
    <w:rsid w:val="001662A4"/>
    <w:rsid w:val="001673DA"/>
    <w:rsid w:val="00171B44"/>
    <w:rsid w:val="00173C1B"/>
    <w:rsid w:val="001743CB"/>
    <w:rsid w:val="001743E5"/>
    <w:rsid w:val="00175934"/>
    <w:rsid w:val="00175E92"/>
    <w:rsid w:val="001778E9"/>
    <w:rsid w:val="001809FF"/>
    <w:rsid w:val="00183C83"/>
    <w:rsid w:val="00184B42"/>
    <w:rsid w:val="00184ED8"/>
    <w:rsid w:val="001866D7"/>
    <w:rsid w:val="001915A3"/>
    <w:rsid w:val="00196CF5"/>
    <w:rsid w:val="0019721A"/>
    <w:rsid w:val="001A0A58"/>
    <w:rsid w:val="001A38CD"/>
    <w:rsid w:val="001A6513"/>
    <w:rsid w:val="001A75C5"/>
    <w:rsid w:val="001B0F74"/>
    <w:rsid w:val="001B1562"/>
    <w:rsid w:val="001B2B28"/>
    <w:rsid w:val="001B328D"/>
    <w:rsid w:val="001B32A6"/>
    <w:rsid w:val="001B3566"/>
    <w:rsid w:val="001B37C7"/>
    <w:rsid w:val="001B653D"/>
    <w:rsid w:val="001C04F5"/>
    <w:rsid w:val="001C1BE1"/>
    <w:rsid w:val="001C1EBE"/>
    <w:rsid w:val="001C2453"/>
    <w:rsid w:val="001C26BE"/>
    <w:rsid w:val="001C2A22"/>
    <w:rsid w:val="001C3415"/>
    <w:rsid w:val="001C6309"/>
    <w:rsid w:val="001D0BE7"/>
    <w:rsid w:val="001D2C9A"/>
    <w:rsid w:val="001E081C"/>
    <w:rsid w:val="001E5696"/>
    <w:rsid w:val="001E7698"/>
    <w:rsid w:val="001F1F47"/>
    <w:rsid w:val="001F2462"/>
    <w:rsid w:val="001F32EF"/>
    <w:rsid w:val="001F6E98"/>
    <w:rsid w:val="0020105B"/>
    <w:rsid w:val="002022B3"/>
    <w:rsid w:val="0020450C"/>
    <w:rsid w:val="002050C7"/>
    <w:rsid w:val="00207C28"/>
    <w:rsid w:val="00210F79"/>
    <w:rsid w:val="00213C4C"/>
    <w:rsid w:val="00217148"/>
    <w:rsid w:val="00217553"/>
    <w:rsid w:val="0022265A"/>
    <w:rsid w:val="002228A0"/>
    <w:rsid w:val="0022320D"/>
    <w:rsid w:val="002236F1"/>
    <w:rsid w:val="002248C4"/>
    <w:rsid w:val="00226216"/>
    <w:rsid w:val="00226E9D"/>
    <w:rsid w:val="00230007"/>
    <w:rsid w:val="002304C2"/>
    <w:rsid w:val="002313F1"/>
    <w:rsid w:val="0023264A"/>
    <w:rsid w:val="002332BA"/>
    <w:rsid w:val="00233689"/>
    <w:rsid w:val="002350EA"/>
    <w:rsid w:val="0023691F"/>
    <w:rsid w:val="00241B7C"/>
    <w:rsid w:val="00242166"/>
    <w:rsid w:val="00243491"/>
    <w:rsid w:val="002502BF"/>
    <w:rsid w:val="00250395"/>
    <w:rsid w:val="00251DE6"/>
    <w:rsid w:val="002552E4"/>
    <w:rsid w:val="00260C02"/>
    <w:rsid w:val="00264C2E"/>
    <w:rsid w:val="00265404"/>
    <w:rsid w:val="00267118"/>
    <w:rsid w:val="002676EE"/>
    <w:rsid w:val="00267A48"/>
    <w:rsid w:val="00273A97"/>
    <w:rsid w:val="00277EAB"/>
    <w:rsid w:val="00282A14"/>
    <w:rsid w:val="002834C2"/>
    <w:rsid w:val="00284877"/>
    <w:rsid w:val="002875B6"/>
    <w:rsid w:val="00290DF7"/>
    <w:rsid w:val="00290E46"/>
    <w:rsid w:val="00292ECD"/>
    <w:rsid w:val="00294203"/>
    <w:rsid w:val="00295B91"/>
    <w:rsid w:val="00295D1B"/>
    <w:rsid w:val="002A1BCA"/>
    <w:rsid w:val="002A217A"/>
    <w:rsid w:val="002A21D1"/>
    <w:rsid w:val="002A2546"/>
    <w:rsid w:val="002A4498"/>
    <w:rsid w:val="002A62FD"/>
    <w:rsid w:val="002A69BD"/>
    <w:rsid w:val="002B09EE"/>
    <w:rsid w:val="002B1238"/>
    <w:rsid w:val="002B37C4"/>
    <w:rsid w:val="002B3E5C"/>
    <w:rsid w:val="002B5376"/>
    <w:rsid w:val="002B599B"/>
    <w:rsid w:val="002B6FAE"/>
    <w:rsid w:val="002B7D3B"/>
    <w:rsid w:val="002C00B4"/>
    <w:rsid w:val="002C2AE3"/>
    <w:rsid w:val="002C36D7"/>
    <w:rsid w:val="002D0690"/>
    <w:rsid w:val="002D401C"/>
    <w:rsid w:val="002D46C4"/>
    <w:rsid w:val="002E090D"/>
    <w:rsid w:val="002E197F"/>
    <w:rsid w:val="002E6304"/>
    <w:rsid w:val="002F17DA"/>
    <w:rsid w:val="002F39F4"/>
    <w:rsid w:val="002F655E"/>
    <w:rsid w:val="002F6D7E"/>
    <w:rsid w:val="003017F3"/>
    <w:rsid w:val="0030577C"/>
    <w:rsid w:val="00305861"/>
    <w:rsid w:val="00305AB5"/>
    <w:rsid w:val="003069D9"/>
    <w:rsid w:val="00307157"/>
    <w:rsid w:val="00312097"/>
    <w:rsid w:val="0032095E"/>
    <w:rsid w:val="003236ED"/>
    <w:rsid w:val="00323D44"/>
    <w:rsid w:val="00325903"/>
    <w:rsid w:val="00330548"/>
    <w:rsid w:val="003335E6"/>
    <w:rsid w:val="003355F9"/>
    <w:rsid w:val="00336C3A"/>
    <w:rsid w:val="003371B3"/>
    <w:rsid w:val="00337AD9"/>
    <w:rsid w:val="00343730"/>
    <w:rsid w:val="003449B4"/>
    <w:rsid w:val="00344E64"/>
    <w:rsid w:val="00346E2F"/>
    <w:rsid w:val="003475D0"/>
    <w:rsid w:val="00347C04"/>
    <w:rsid w:val="00350262"/>
    <w:rsid w:val="00352B25"/>
    <w:rsid w:val="00354567"/>
    <w:rsid w:val="003559B3"/>
    <w:rsid w:val="00355C55"/>
    <w:rsid w:val="00360CF0"/>
    <w:rsid w:val="00364D1F"/>
    <w:rsid w:val="0036770A"/>
    <w:rsid w:val="00370979"/>
    <w:rsid w:val="00370F79"/>
    <w:rsid w:val="003740C6"/>
    <w:rsid w:val="00374FE9"/>
    <w:rsid w:val="00376014"/>
    <w:rsid w:val="00376477"/>
    <w:rsid w:val="00377D0D"/>
    <w:rsid w:val="00381926"/>
    <w:rsid w:val="003832AB"/>
    <w:rsid w:val="003833F4"/>
    <w:rsid w:val="00385539"/>
    <w:rsid w:val="00390759"/>
    <w:rsid w:val="00391881"/>
    <w:rsid w:val="0039259A"/>
    <w:rsid w:val="0039315C"/>
    <w:rsid w:val="0039391E"/>
    <w:rsid w:val="00393A76"/>
    <w:rsid w:val="003941FA"/>
    <w:rsid w:val="003942C6"/>
    <w:rsid w:val="003972B1"/>
    <w:rsid w:val="003A5440"/>
    <w:rsid w:val="003A6DAA"/>
    <w:rsid w:val="003B044E"/>
    <w:rsid w:val="003B7307"/>
    <w:rsid w:val="003B7CE5"/>
    <w:rsid w:val="003C0B02"/>
    <w:rsid w:val="003C0FF8"/>
    <w:rsid w:val="003C1A16"/>
    <w:rsid w:val="003C6682"/>
    <w:rsid w:val="003D3490"/>
    <w:rsid w:val="003D599E"/>
    <w:rsid w:val="003D6CC9"/>
    <w:rsid w:val="003D790F"/>
    <w:rsid w:val="003E26CD"/>
    <w:rsid w:val="003E2E1C"/>
    <w:rsid w:val="003E32A7"/>
    <w:rsid w:val="003E4ABE"/>
    <w:rsid w:val="003E7737"/>
    <w:rsid w:val="003F3C10"/>
    <w:rsid w:val="003F434D"/>
    <w:rsid w:val="003F635A"/>
    <w:rsid w:val="003F7265"/>
    <w:rsid w:val="00401022"/>
    <w:rsid w:val="0040499E"/>
    <w:rsid w:val="004073C9"/>
    <w:rsid w:val="00407B77"/>
    <w:rsid w:val="00410114"/>
    <w:rsid w:val="00413183"/>
    <w:rsid w:val="00413C7F"/>
    <w:rsid w:val="004147D8"/>
    <w:rsid w:val="00416637"/>
    <w:rsid w:val="00421995"/>
    <w:rsid w:val="004222E0"/>
    <w:rsid w:val="00423F30"/>
    <w:rsid w:val="0042483A"/>
    <w:rsid w:val="00425746"/>
    <w:rsid w:val="00427748"/>
    <w:rsid w:val="00432B16"/>
    <w:rsid w:val="00433749"/>
    <w:rsid w:val="00433F9F"/>
    <w:rsid w:val="004367CA"/>
    <w:rsid w:val="004368B9"/>
    <w:rsid w:val="00440E1E"/>
    <w:rsid w:val="0044182B"/>
    <w:rsid w:val="0044265C"/>
    <w:rsid w:val="004430CE"/>
    <w:rsid w:val="00443E1C"/>
    <w:rsid w:val="004448AA"/>
    <w:rsid w:val="004468C1"/>
    <w:rsid w:val="00447672"/>
    <w:rsid w:val="004501D1"/>
    <w:rsid w:val="00451D27"/>
    <w:rsid w:val="00452651"/>
    <w:rsid w:val="00453489"/>
    <w:rsid w:val="004541A5"/>
    <w:rsid w:val="00461119"/>
    <w:rsid w:val="00462F8D"/>
    <w:rsid w:val="00464D5B"/>
    <w:rsid w:val="0046535C"/>
    <w:rsid w:val="004747C3"/>
    <w:rsid w:val="004749A9"/>
    <w:rsid w:val="004761EA"/>
    <w:rsid w:val="004804E2"/>
    <w:rsid w:val="00484080"/>
    <w:rsid w:val="00486A9B"/>
    <w:rsid w:val="00486B51"/>
    <w:rsid w:val="00492DCB"/>
    <w:rsid w:val="00493AF1"/>
    <w:rsid w:val="0049737F"/>
    <w:rsid w:val="0049778C"/>
    <w:rsid w:val="004A0CB6"/>
    <w:rsid w:val="004A116C"/>
    <w:rsid w:val="004A338F"/>
    <w:rsid w:val="004A4BBB"/>
    <w:rsid w:val="004A5ED1"/>
    <w:rsid w:val="004A76E0"/>
    <w:rsid w:val="004B2EF1"/>
    <w:rsid w:val="004B3E61"/>
    <w:rsid w:val="004B42D5"/>
    <w:rsid w:val="004B6AD2"/>
    <w:rsid w:val="004B7C4E"/>
    <w:rsid w:val="004C0C87"/>
    <w:rsid w:val="004C3721"/>
    <w:rsid w:val="004C38AD"/>
    <w:rsid w:val="004C4007"/>
    <w:rsid w:val="004C4654"/>
    <w:rsid w:val="004D01ED"/>
    <w:rsid w:val="004D05B0"/>
    <w:rsid w:val="004D19E3"/>
    <w:rsid w:val="004D3D3E"/>
    <w:rsid w:val="004D4BE7"/>
    <w:rsid w:val="004E05B9"/>
    <w:rsid w:val="004E1ACD"/>
    <w:rsid w:val="004E20B7"/>
    <w:rsid w:val="004E33D2"/>
    <w:rsid w:val="004E5375"/>
    <w:rsid w:val="004E69B2"/>
    <w:rsid w:val="004E7FDE"/>
    <w:rsid w:val="004F1795"/>
    <w:rsid w:val="004F323B"/>
    <w:rsid w:val="004F6B8D"/>
    <w:rsid w:val="004F728B"/>
    <w:rsid w:val="004F729B"/>
    <w:rsid w:val="004F7AF1"/>
    <w:rsid w:val="005002DC"/>
    <w:rsid w:val="00500E67"/>
    <w:rsid w:val="00503C39"/>
    <w:rsid w:val="0050715C"/>
    <w:rsid w:val="00507F24"/>
    <w:rsid w:val="005130E6"/>
    <w:rsid w:val="005136BA"/>
    <w:rsid w:val="00514944"/>
    <w:rsid w:val="005153D7"/>
    <w:rsid w:val="00522797"/>
    <w:rsid w:val="00523BB7"/>
    <w:rsid w:val="00526A58"/>
    <w:rsid w:val="00530200"/>
    <w:rsid w:val="00531869"/>
    <w:rsid w:val="00534FFE"/>
    <w:rsid w:val="005356F4"/>
    <w:rsid w:val="00536BEE"/>
    <w:rsid w:val="00540EF1"/>
    <w:rsid w:val="005438C0"/>
    <w:rsid w:val="00543DB6"/>
    <w:rsid w:val="005451A5"/>
    <w:rsid w:val="005475C0"/>
    <w:rsid w:val="005502CE"/>
    <w:rsid w:val="00550408"/>
    <w:rsid w:val="00555386"/>
    <w:rsid w:val="00556985"/>
    <w:rsid w:val="00562BB4"/>
    <w:rsid w:val="00564C6D"/>
    <w:rsid w:val="005668C6"/>
    <w:rsid w:val="00574CCD"/>
    <w:rsid w:val="005772E7"/>
    <w:rsid w:val="00577EF5"/>
    <w:rsid w:val="00580872"/>
    <w:rsid w:val="00584DCA"/>
    <w:rsid w:val="00585F29"/>
    <w:rsid w:val="005908AF"/>
    <w:rsid w:val="0059178C"/>
    <w:rsid w:val="00592E0E"/>
    <w:rsid w:val="00592F41"/>
    <w:rsid w:val="00593D60"/>
    <w:rsid w:val="00594A03"/>
    <w:rsid w:val="00595D03"/>
    <w:rsid w:val="00595FED"/>
    <w:rsid w:val="00597C92"/>
    <w:rsid w:val="00597D84"/>
    <w:rsid w:val="005A0D77"/>
    <w:rsid w:val="005A3001"/>
    <w:rsid w:val="005A4047"/>
    <w:rsid w:val="005A454D"/>
    <w:rsid w:val="005A60F4"/>
    <w:rsid w:val="005A7B5B"/>
    <w:rsid w:val="005B39F5"/>
    <w:rsid w:val="005B4F4A"/>
    <w:rsid w:val="005B6B72"/>
    <w:rsid w:val="005C13DF"/>
    <w:rsid w:val="005C20C7"/>
    <w:rsid w:val="005C2965"/>
    <w:rsid w:val="005C4409"/>
    <w:rsid w:val="005C4547"/>
    <w:rsid w:val="005C592E"/>
    <w:rsid w:val="005D5242"/>
    <w:rsid w:val="005D5C58"/>
    <w:rsid w:val="005E4CA3"/>
    <w:rsid w:val="005E644B"/>
    <w:rsid w:val="005E7328"/>
    <w:rsid w:val="005E773F"/>
    <w:rsid w:val="005E7ED4"/>
    <w:rsid w:val="005F44B8"/>
    <w:rsid w:val="005F4B7B"/>
    <w:rsid w:val="00600C5E"/>
    <w:rsid w:val="0060344C"/>
    <w:rsid w:val="00605276"/>
    <w:rsid w:val="0060542C"/>
    <w:rsid w:val="006056F7"/>
    <w:rsid w:val="00606C25"/>
    <w:rsid w:val="006119BC"/>
    <w:rsid w:val="00612114"/>
    <w:rsid w:val="00612D98"/>
    <w:rsid w:val="00615F6A"/>
    <w:rsid w:val="00616AD6"/>
    <w:rsid w:val="00616F82"/>
    <w:rsid w:val="006172AA"/>
    <w:rsid w:val="00620803"/>
    <w:rsid w:val="00621B20"/>
    <w:rsid w:val="00623D26"/>
    <w:rsid w:val="00626174"/>
    <w:rsid w:val="00626811"/>
    <w:rsid w:val="00630445"/>
    <w:rsid w:val="0063062A"/>
    <w:rsid w:val="00631442"/>
    <w:rsid w:val="00631BF1"/>
    <w:rsid w:val="00633543"/>
    <w:rsid w:val="00633E36"/>
    <w:rsid w:val="00634498"/>
    <w:rsid w:val="0063625A"/>
    <w:rsid w:val="0063768C"/>
    <w:rsid w:val="00640B2A"/>
    <w:rsid w:val="00640C1D"/>
    <w:rsid w:val="00640D1F"/>
    <w:rsid w:val="00641F60"/>
    <w:rsid w:val="00643482"/>
    <w:rsid w:val="006446CC"/>
    <w:rsid w:val="00644E41"/>
    <w:rsid w:val="0064514F"/>
    <w:rsid w:val="006455AC"/>
    <w:rsid w:val="00646EA5"/>
    <w:rsid w:val="00647459"/>
    <w:rsid w:val="006522FF"/>
    <w:rsid w:val="00652F6F"/>
    <w:rsid w:val="00653861"/>
    <w:rsid w:val="00653EF0"/>
    <w:rsid w:val="006545A7"/>
    <w:rsid w:val="00656747"/>
    <w:rsid w:val="0066040C"/>
    <w:rsid w:val="00660EA2"/>
    <w:rsid w:val="00661865"/>
    <w:rsid w:val="00663179"/>
    <w:rsid w:val="00664412"/>
    <w:rsid w:val="00665B76"/>
    <w:rsid w:val="0067114B"/>
    <w:rsid w:val="00674609"/>
    <w:rsid w:val="00675F88"/>
    <w:rsid w:val="006764B6"/>
    <w:rsid w:val="00676AFC"/>
    <w:rsid w:val="0068196D"/>
    <w:rsid w:val="00681D11"/>
    <w:rsid w:val="0068364C"/>
    <w:rsid w:val="00686A3D"/>
    <w:rsid w:val="00687275"/>
    <w:rsid w:val="006926DA"/>
    <w:rsid w:val="0069369D"/>
    <w:rsid w:val="00693A73"/>
    <w:rsid w:val="00693B54"/>
    <w:rsid w:val="00695518"/>
    <w:rsid w:val="006A03B7"/>
    <w:rsid w:val="006A15F8"/>
    <w:rsid w:val="006A2F38"/>
    <w:rsid w:val="006A3B05"/>
    <w:rsid w:val="006A3CFA"/>
    <w:rsid w:val="006A5023"/>
    <w:rsid w:val="006A6CC2"/>
    <w:rsid w:val="006B6347"/>
    <w:rsid w:val="006B6CC0"/>
    <w:rsid w:val="006B7F3A"/>
    <w:rsid w:val="006C0A9D"/>
    <w:rsid w:val="006C3CD5"/>
    <w:rsid w:val="006C4143"/>
    <w:rsid w:val="006C53E6"/>
    <w:rsid w:val="006C6732"/>
    <w:rsid w:val="006C7561"/>
    <w:rsid w:val="006C7870"/>
    <w:rsid w:val="006D0A19"/>
    <w:rsid w:val="006D1731"/>
    <w:rsid w:val="006D2B9E"/>
    <w:rsid w:val="006D2FF3"/>
    <w:rsid w:val="006D39B7"/>
    <w:rsid w:val="006D4C26"/>
    <w:rsid w:val="006E571A"/>
    <w:rsid w:val="006E5C3A"/>
    <w:rsid w:val="006E7ED9"/>
    <w:rsid w:val="006F03E8"/>
    <w:rsid w:val="006F0E99"/>
    <w:rsid w:val="006F3338"/>
    <w:rsid w:val="006F3BE9"/>
    <w:rsid w:val="006F5982"/>
    <w:rsid w:val="006F73B2"/>
    <w:rsid w:val="00701545"/>
    <w:rsid w:val="007017AD"/>
    <w:rsid w:val="0070503D"/>
    <w:rsid w:val="00705309"/>
    <w:rsid w:val="00706CC2"/>
    <w:rsid w:val="00714ABD"/>
    <w:rsid w:val="00717AE0"/>
    <w:rsid w:val="00717EF6"/>
    <w:rsid w:val="00720CC5"/>
    <w:rsid w:val="00725A3C"/>
    <w:rsid w:val="00732422"/>
    <w:rsid w:val="007338D6"/>
    <w:rsid w:val="00733A8E"/>
    <w:rsid w:val="00735CAD"/>
    <w:rsid w:val="00736058"/>
    <w:rsid w:val="0074075C"/>
    <w:rsid w:val="00741707"/>
    <w:rsid w:val="007424B4"/>
    <w:rsid w:val="007435C0"/>
    <w:rsid w:val="00743777"/>
    <w:rsid w:val="007454C2"/>
    <w:rsid w:val="007506A5"/>
    <w:rsid w:val="00754597"/>
    <w:rsid w:val="0075787D"/>
    <w:rsid w:val="00762C9C"/>
    <w:rsid w:val="00764293"/>
    <w:rsid w:val="00771A31"/>
    <w:rsid w:val="007732C0"/>
    <w:rsid w:val="0077337D"/>
    <w:rsid w:val="007734FA"/>
    <w:rsid w:val="00774DC3"/>
    <w:rsid w:val="00776B41"/>
    <w:rsid w:val="00777330"/>
    <w:rsid w:val="007817C8"/>
    <w:rsid w:val="00781BA9"/>
    <w:rsid w:val="00781E96"/>
    <w:rsid w:val="00782B00"/>
    <w:rsid w:val="00783064"/>
    <w:rsid w:val="00790057"/>
    <w:rsid w:val="00791386"/>
    <w:rsid w:val="00792133"/>
    <w:rsid w:val="0079298E"/>
    <w:rsid w:val="00794945"/>
    <w:rsid w:val="00795062"/>
    <w:rsid w:val="00797445"/>
    <w:rsid w:val="007A4ABD"/>
    <w:rsid w:val="007A7202"/>
    <w:rsid w:val="007A7B16"/>
    <w:rsid w:val="007B0E23"/>
    <w:rsid w:val="007B2B69"/>
    <w:rsid w:val="007B40DE"/>
    <w:rsid w:val="007C2070"/>
    <w:rsid w:val="007C27DC"/>
    <w:rsid w:val="007C454E"/>
    <w:rsid w:val="007C52F6"/>
    <w:rsid w:val="007C6D85"/>
    <w:rsid w:val="007C738D"/>
    <w:rsid w:val="007C7DB5"/>
    <w:rsid w:val="007D00E1"/>
    <w:rsid w:val="007D0F5C"/>
    <w:rsid w:val="007D2C57"/>
    <w:rsid w:val="007D45A3"/>
    <w:rsid w:val="007D7492"/>
    <w:rsid w:val="007E6AA9"/>
    <w:rsid w:val="007F0B7E"/>
    <w:rsid w:val="007F1293"/>
    <w:rsid w:val="007F1F6D"/>
    <w:rsid w:val="007F4B59"/>
    <w:rsid w:val="00800E01"/>
    <w:rsid w:val="00800F56"/>
    <w:rsid w:val="00801F98"/>
    <w:rsid w:val="00803A13"/>
    <w:rsid w:val="00804821"/>
    <w:rsid w:val="00807149"/>
    <w:rsid w:val="00807E40"/>
    <w:rsid w:val="00812041"/>
    <w:rsid w:val="00812D46"/>
    <w:rsid w:val="00814430"/>
    <w:rsid w:val="0081771A"/>
    <w:rsid w:val="00820788"/>
    <w:rsid w:val="008210D9"/>
    <w:rsid w:val="008214EC"/>
    <w:rsid w:val="00821F7C"/>
    <w:rsid w:val="00824569"/>
    <w:rsid w:val="008266BA"/>
    <w:rsid w:val="008312F0"/>
    <w:rsid w:val="00831443"/>
    <w:rsid w:val="008329D8"/>
    <w:rsid w:val="0083618E"/>
    <w:rsid w:val="0083628E"/>
    <w:rsid w:val="00836959"/>
    <w:rsid w:val="00840A56"/>
    <w:rsid w:val="00840A9A"/>
    <w:rsid w:val="00841520"/>
    <w:rsid w:val="008419DB"/>
    <w:rsid w:val="00841C6C"/>
    <w:rsid w:val="00846BF4"/>
    <w:rsid w:val="00850067"/>
    <w:rsid w:val="008521EC"/>
    <w:rsid w:val="00852DBE"/>
    <w:rsid w:val="00853C82"/>
    <w:rsid w:val="00854D22"/>
    <w:rsid w:val="008574F9"/>
    <w:rsid w:val="00860FB4"/>
    <w:rsid w:val="00864996"/>
    <w:rsid w:val="00870452"/>
    <w:rsid w:val="00871C94"/>
    <w:rsid w:val="00872036"/>
    <w:rsid w:val="00875D31"/>
    <w:rsid w:val="0087649C"/>
    <w:rsid w:val="00876923"/>
    <w:rsid w:val="00877CF9"/>
    <w:rsid w:val="008803CE"/>
    <w:rsid w:val="00880F58"/>
    <w:rsid w:val="00882FE0"/>
    <w:rsid w:val="0088586D"/>
    <w:rsid w:val="008906DA"/>
    <w:rsid w:val="00891D4D"/>
    <w:rsid w:val="008956C2"/>
    <w:rsid w:val="00895C45"/>
    <w:rsid w:val="00897F13"/>
    <w:rsid w:val="00897F31"/>
    <w:rsid w:val="008A4407"/>
    <w:rsid w:val="008A5428"/>
    <w:rsid w:val="008A6559"/>
    <w:rsid w:val="008A7BD0"/>
    <w:rsid w:val="008B4AC6"/>
    <w:rsid w:val="008B4E9A"/>
    <w:rsid w:val="008B7294"/>
    <w:rsid w:val="008B73DB"/>
    <w:rsid w:val="008C1964"/>
    <w:rsid w:val="008C2858"/>
    <w:rsid w:val="008D03FF"/>
    <w:rsid w:val="008D2B8B"/>
    <w:rsid w:val="008D2BA4"/>
    <w:rsid w:val="008D43CF"/>
    <w:rsid w:val="008D4FAD"/>
    <w:rsid w:val="008E0551"/>
    <w:rsid w:val="008E1470"/>
    <w:rsid w:val="008E57A5"/>
    <w:rsid w:val="008E67F6"/>
    <w:rsid w:val="008F086F"/>
    <w:rsid w:val="008F0C28"/>
    <w:rsid w:val="008F1BFE"/>
    <w:rsid w:val="008F1DBC"/>
    <w:rsid w:val="008F4030"/>
    <w:rsid w:val="008F49BA"/>
    <w:rsid w:val="008F5058"/>
    <w:rsid w:val="008F5AB6"/>
    <w:rsid w:val="008F5FE5"/>
    <w:rsid w:val="00903A6A"/>
    <w:rsid w:val="00907184"/>
    <w:rsid w:val="0090729E"/>
    <w:rsid w:val="00910248"/>
    <w:rsid w:val="00911803"/>
    <w:rsid w:val="00913B86"/>
    <w:rsid w:val="00916062"/>
    <w:rsid w:val="00924599"/>
    <w:rsid w:val="00924E7C"/>
    <w:rsid w:val="009269F3"/>
    <w:rsid w:val="0093000E"/>
    <w:rsid w:val="00931A4F"/>
    <w:rsid w:val="00932204"/>
    <w:rsid w:val="00932FBD"/>
    <w:rsid w:val="00935777"/>
    <w:rsid w:val="00937AA7"/>
    <w:rsid w:val="00941414"/>
    <w:rsid w:val="0094311C"/>
    <w:rsid w:val="009432CA"/>
    <w:rsid w:val="00943333"/>
    <w:rsid w:val="00947979"/>
    <w:rsid w:val="00950854"/>
    <w:rsid w:val="00957585"/>
    <w:rsid w:val="009577BB"/>
    <w:rsid w:val="009626F2"/>
    <w:rsid w:val="00962BDF"/>
    <w:rsid w:val="00963B00"/>
    <w:rsid w:val="009645B9"/>
    <w:rsid w:val="009704F3"/>
    <w:rsid w:val="00976A12"/>
    <w:rsid w:val="00977756"/>
    <w:rsid w:val="00982716"/>
    <w:rsid w:val="00987803"/>
    <w:rsid w:val="0099042A"/>
    <w:rsid w:val="00990AB6"/>
    <w:rsid w:val="00992CE0"/>
    <w:rsid w:val="00997F9C"/>
    <w:rsid w:val="009A16FF"/>
    <w:rsid w:val="009A3E56"/>
    <w:rsid w:val="009B0117"/>
    <w:rsid w:val="009B049F"/>
    <w:rsid w:val="009B0ED8"/>
    <w:rsid w:val="009B170E"/>
    <w:rsid w:val="009B47EA"/>
    <w:rsid w:val="009B4B4C"/>
    <w:rsid w:val="009B6E56"/>
    <w:rsid w:val="009C0229"/>
    <w:rsid w:val="009C3082"/>
    <w:rsid w:val="009C3864"/>
    <w:rsid w:val="009C758D"/>
    <w:rsid w:val="009C7937"/>
    <w:rsid w:val="009D2B68"/>
    <w:rsid w:val="009D439B"/>
    <w:rsid w:val="009D57E0"/>
    <w:rsid w:val="009D5CF3"/>
    <w:rsid w:val="009D6068"/>
    <w:rsid w:val="009D77E7"/>
    <w:rsid w:val="009D793E"/>
    <w:rsid w:val="009E21BF"/>
    <w:rsid w:val="009E5D82"/>
    <w:rsid w:val="009F19BA"/>
    <w:rsid w:val="009F3548"/>
    <w:rsid w:val="009F517C"/>
    <w:rsid w:val="009F64E8"/>
    <w:rsid w:val="00A011C4"/>
    <w:rsid w:val="00A02133"/>
    <w:rsid w:val="00A03C99"/>
    <w:rsid w:val="00A046CC"/>
    <w:rsid w:val="00A05103"/>
    <w:rsid w:val="00A054C8"/>
    <w:rsid w:val="00A07E81"/>
    <w:rsid w:val="00A12877"/>
    <w:rsid w:val="00A1302D"/>
    <w:rsid w:val="00A15716"/>
    <w:rsid w:val="00A16787"/>
    <w:rsid w:val="00A16CC8"/>
    <w:rsid w:val="00A17894"/>
    <w:rsid w:val="00A2058A"/>
    <w:rsid w:val="00A206D5"/>
    <w:rsid w:val="00A21891"/>
    <w:rsid w:val="00A227AE"/>
    <w:rsid w:val="00A25812"/>
    <w:rsid w:val="00A31FAD"/>
    <w:rsid w:val="00A32581"/>
    <w:rsid w:val="00A33DE6"/>
    <w:rsid w:val="00A33F1D"/>
    <w:rsid w:val="00A34AD8"/>
    <w:rsid w:val="00A35547"/>
    <w:rsid w:val="00A367DB"/>
    <w:rsid w:val="00A37EB5"/>
    <w:rsid w:val="00A422CD"/>
    <w:rsid w:val="00A4625E"/>
    <w:rsid w:val="00A47644"/>
    <w:rsid w:val="00A47AC9"/>
    <w:rsid w:val="00A543D4"/>
    <w:rsid w:val="00A54DBB"/>
    <w:rsid w:val="00A55C35"/>
    <w:rsid w:val="00A56746"/>
    <w:rsid w:val="00A610B6"/>
    <w:rsid w:val="00A62EA1"/>
    <w:rsid w:val="00A632B2"/>
    <w:rsid w:val="00A650CF"/>
    <w:rsid w:val="00A71F4F"/>
    <w:rsid w:val="00A74979"/>
    <w:rsid w:val="00A77BE6"/>
    <w:rsid w:val="00A80803"/>
    <w:rsid w:val="00A829B0"/>
    <w:rsid w:val="00A84388"/>
    <w:rsid w:val="00A85BBC"/>
    <w:rsid w:val="00A8757C"/>
    <w:rsid w:val="00A92527"/>
    <w:rsid w:val="00A947BD"/>
    <w:rsid w:val="00A95291"/>
    <w:rsid w:val="00A96F83"/>
    <w:rsid w:val="00AA049D"/>
    <w:rsid w:val="00AA0E61"/>
    <w:rsid w:val="00AA3020"/>
    <w:rsid w:val="00AA3192"/>
    <w:rsid w:val="00AA5FE7"/>
    <w:rsid w:val="00AA73C0"/>
    <w:rsid w:val="00AB0714"/>
    <w:rsid w:val="00AB0752"/>
    <w:rsid w:val="00AB082F"/>
    <w:rsid w:val="00AC0156"/>
    <w:rsid w:val="00AC767F"/>
    <w:rsid w:val="00AD04CF"/>
    <w:rsid w:val="00AD192C"/>
    <w:rsid w:val="00AD7024"/>
    <w:rsid w:val="00AD75BD"/>
    <w:rsid w:val="00AD7614"/>
    <w:rsid w:val="00AD7AF9"/>
    <w:rsid w:val="00AE1C1A"/>
    <w:rsid w:val="00AF2342"/>
    <w:rsid w:val="00AF42F5"/>
    <w:rsid w:val="00AF44D8"/>
    <w:rsid w:val="00B0154E"/>
    <w:rsid w:val="00B01EFD"/>
    <w:rsid w:val="00B024B4"/>
    <w:rsid w:val="00B02F83"/>
    <w:rsid w:val="00B04ACB"/>
    <w:rsid w:val="00B0748D"/>
    <w:rsid w:val="00B07C90"/>
    <w:rsid w:val="00B12340"/>
    <w:rsid w:val="00B12971"/>
    <w:rsid w:val="00B13576"/>
    <w:rsid w:val="00B14316"/>
    <w:rsid w:val="00B17F49"/>
    <w:rsid w:val="00B229F1"/>
    <w:rsid w:val="00B23B41"/>
    <w:rsid w:val="00B23FC6"/>
    <w:rsid w:val="00B24B9C"/>
    <w:rsid w:val="00B26494"/>
    <w:rsid w:val="00B312DD"/>
    <w:rsid w:val="00B31698"/>
    <w:rsid w:val="00B3743F"/>
    <w:rsid w:val="00B3790D"/>
    <w:rsid w:val="00B4258D"/>
    <w:rsid w:val="00B4371D"/>
    <w:rsid w:val="00B445B4"/>
    <w:rsid w:val="00B44964"/>
    <w:rsid w:val="00B44AC8"/>
    <w:rsid w:val="00B454B7"/>
    <w:rsid w:val="00B47820"/>
    <w:rsid w:val="00B520AC"/>
    <w:rsid w:val="00B52825"/>
    <w:rsid w:val="00B52BA9"/>
    <w:rsid w:val="00B52E19"/>
    <w:rsid w:val="00B53CC3"/>
    <w:rsid w:val="00B553BD"/>
    <w:rsid w:val="00B564AE"/>
    <w:rsid w:val="00B566BD"/>
    <w:rsid w:val="00B57D3A"/>
    <w:rsid w:val="00B603B8"/>
    <w:rsid w:val="00B61BD9"/>
    <w:rsid w:val="00B61CD7"/>
    <w:rsid w:val="00B63C34"/>
    <w:rsid w:val="00B63CE2"/>
    <w:rsid w:val="00B63D8F"/>
    <w:rsid w:val="00B70B84"/>
    <w:rsid w:val="00B7107F"/>
    <w:rsid w:val="00B720CE"/>
    <w:rsid w:val="00B72E28"/>
    <w:rsid w:val="00B75031"/>
    <w:rsid w:val="00B80B2A"/>
    <w:rsid w:val="00B824F9"/>
    <w:rsid w:val="00B85E42"/>
    <w:rsid w:val="00B90204"/>
    <w:rsid w:val="00B91B83"/>
    <w:rsid w:val="00B94168"/>
    <w:rsid w:val="00B948B7"/>
    <w:rsid w:val="00B97328"/>
    <w:rsid w:val="00BA1456"/>
    <w:rsid w:val="00BA1D40"/>
    <w:rsid w:val="00BA4B20"/>
    <w:rsid w:val="00BB1D60"/>
    <w:rsid w:val="00BB1E57"/>
    <w:rsid w:val="00BB2E6E"/>
    <w:rsid w:val="00BB469E"/>
    <w:rsid w:val="00BB5043"/>
    <w:rsid w:val="00BB6830"/>
    <w:rsid w:val="00BB7FF0"/>
    <w:rsid w:val="00BC332A"/>
    <w:rsid w:val="00BC41DF"/>
    <w:rsid w:val="00BC4476"/>
    <w:rsid w:val="00BD0E02"/>
    <w:rsid w:val="00BD1696"/>
    <w:rsid w:val="00BD3130"/>
    <w:rsid w:val="00BD363B"/>
    <w:rsid w:val="00BE07A9"/>
    <w:rsid w:val="00BE09A2"/>
    <w:rsid w:val="00BE0BD1"/>
    <w:rsid w:val="00BE3B8D"/>
    <w:rsid w:val="00BE4D14"/>
    <w:rsid w:val="00BE50F9"/>
    <w:rsid w:val="00BE7306"/>
    <w:rsid w:val="00BE76DD"/>
    <w:rsid w:val="00BF2170"/>
    <w:rsid w:val="00BF23F7"/>
    <w:rsid w:val="00BF2DFC"/>
    <w:rsid w:val="00BF518D"/>
    <w:rsid w:val="00BF6022"/>
    <w:rsid w:val="00BF6E58"/>
    <w:rsid w:val="00BF7782"/>
    <w:rsid w:val="00C00CBC"/>
    <w:rsid w:val="00C02DA2"/>
    <w:rsid w:val="00C04731"/>
    <w:rsid w:val="00C04A19"/>
    <w:rsid w:val="00C04AC0"/>
    <w:rsid w:val="00C04CFC"/>
    <w:rsid w:val="00C06DBF"/>
    <w:rsid w:val="00C105C0"/>
    <w:rsid w:val="00C10C31"/>
    <w:rsid w:val="00C10F29"/>
    <w:rsid w:val="00C14041"/>
    <w:rsid w:val="00C17557"/>
    <w:rsid w:val="00C20077"/>
    <w:rsid w:val="00C20424"/>
    <w:rsid w:val="00C21AC0"/>
    <w:rsid w:val="00C2223D"/>
    <w:rsid w:val="00C2506E"/>
    <w:rsid w:val="00C26852"/>
    <w:rsid w:val="00C27EA7"/>
    <w:rsid w:val="00C27EB0"/>
    <w:rsid w:val="00C30592"/>
    <w:rsid w:val="00C408AD"/>
    <w:rsid w:val="00C43230"/>
    <w:rsid w:val="00C4559A"/>
    <w:rsid w:val="00C4686F"/>
    <w:rsid w:val="00C46EFB"/>
    <w:rsid w:val="00C505A8"/>
    <w:rsid w:val="00C531BF"/>
    <w:rsid w:val="00C54911"/>
    <w:rsid w:val="00C5660E"/>
    <w:rsid w:val="00C60489"/>
    <w:rsid w:val="00C6552A"/>
    <w:rsid w:val="00C67239"/>
    <w:rsid w:val="00C70E4B"/>
    <w:rsid w:val="00C71698"/>
    <w:rsid w:val="00C738FC"/>
    <w:rsid w:val="00C743C3"/>
    <w:rsid w:val="00C74CE4"/>
    <w:rsid w:val="00C77017"/>
    <w:rsid w:val="00C80055"/>
    <w:rsid w:val="00C83164"/>
    <w:rsid w:val="00C83332"/>
    <w:rsid w:val="00C85439"/>
    <w:rsid w:val="00C8594F"/>
    <w:rsid w:val="00C87F5A"/>
    <w:rsid w:val="00C91B26"/>
    <w:rsid w:val="00C95AF9"/>
    <w:rsid w:val="00C97885"/>
    <w:rsid w:val="00CA0FF9"/>
    <w:rsid w:val="00CA13E2"/>
    <w:rsid w:val="00CA16F5"/>
    <w:rsid w:val="00CA44A5"/>
    <w:rsid w:val="00CA4F76"/>
    <w:rsid w:val="00CA5F4E"/>
    <w:rsid w:val="00CA71E1"/>
    <w:rsid w:val="00CB0AA9"/>
    <w:rsid w:val="00CB27A4"/>
    <w:rsid w:val="00CB2ED9"/>
    <w:rsid w:val="00CB65ED"/>
    <w:rsid w:val="00CB69B5"/>
    <w:rsid w:val="00CC0E23"/>
    <w:rsid w:val="00CC10C9"/>
    <w:rsid w:val="00CC1A84"/>
    <w:rsid w:val="00CC1D0A"/>
    <w:rsid w:val="00CC2485"/>
    <w:rsid w:val="00CC2F67"/>
    <w:rsid w:val="00CC39C2"/>
    <w:rsid w:val="00CC4439"/>
    <w:rsid w:val="00CC6DCA"/>
    <w:rsid w:val="00CC739A"/>
    <w:rsid w:val="00CC764C"/>
    <w:rsid w:val="00CD2CF0"/>
    <w:rsid w:val="00CD4DEE"/>
    <w:rsid w:val="00CD5C3C"/>
    <w:rsid w:val="00CE1AE9"/>
    <w:rsid w:val="00CE1B75"/>
    <w:rsid w:val="00CE2084"/>
    <w:rsid w:val="00CE2191"/>
    <w:rsid w:val="00CE5181"/>
    <w:rsid w:val="00CE67EF"/>
    <w:rsid w:val="00CF1B63"/>
    <w:rsid w:val="00CF5A10"/>
    <w:rsid w:val="00CF754C"/>
    <w:rsid w:val="00CF7D75"/>
    <w:rsid w:val="00D06700"/>
    <w:rsid w:val="00D12499"/>
    <w:rsid w:val="00D129CC"/>
    <w:rsid w:val="00D1678F"/>
    <w:rsid w:val="00D17CB9"/>
    <w:rsid w:val="00D2072B"/>
    <w:rsid w:val="00D27A99"/>
    <w:rsid w:val="00D314FB"/>
    <w:rsid w:val="00D32D5F"/>
    <w:rsid w:val="00D350DC"/>
    <w:rsid w:val="00D37205"/>
    <w:rsid w:val="00D37355"/>
    <w:rsid w:val="00D40E00"/>
    <w:rsid w:val="00D43A27"/>
    <w:rsid w:val="00D4655A"/>
    <w:rsid w:val="00D4703E"/>
    <w:rsid w:val="00D47B10"/>
    <w:rsid w:val="00D512D1"/>
    <w:rsid w:val="00D56573"/>
    <w:rsid w:val="00D56CFE"/>
    <w:rsid w:val="00D57D08"/>
    <w:rsid w:val="00D57F90"/>
    <w:rsid w:val="00D6009C"/>
    <w:rsid w:val="00D677B8"/>
    <w:rsid w:val="00D70ED5"/>
    <w:rsid w:val="00D76EA7"/>
    <w:rsid w:val="00D844D8"/>
    <w:rsid w:val="00D8541A"/>
    <w:rsid w:val="00D85945"/>
    <w:rsid w:val="00D85B6F"/>
    <w:rsid w:val="00D8762F"/>
    <w:rsid w:val="00D9104A"/>
    <w:rsid w:val="00D92E48"/>
    <w:rsid w:val="00D95984"/>
    <w:rsid w:val="00D961DE"/>
    <w:rsid w:val="00D96C6B"/>
    <w:rsid w:val="00DA41A0"/>
    <w:rsid w:val="00DA451C"/>
    <w:rsid w:val="00DA4D04"/>
    <w:rsid w:val="00DA522E"/>
    <w:rsid w:val="00DA785C"/>
    <w:rsid w:val="00DB0B5B"/>
    <w:rsid w:val="00DB1496"/>
    <w:rsid w:val="00DB3BFE"/>
    <w:rsid w:val="00DB5B2A"/>
    <w:rsid w:val="00DC20ED"/>
    <w:rsid w:val="00DC2D0B"/>
    <w:rsid w:val="00DC3328"/>
    <w:rsid w:val="00DC4FDD"/>
    <w:rsid w:val="00DC536A"/>
    <w:rsid w:val="00DC55BD"/>
    <w:rsid w:val="00DD35D1"/>
    <w:rsid w:val="00DD3696"/>
    <w:rsid w:val="00DD50EB"/>
    <w:rsid w:val="00DD542B"/>
    <w:rsid w:val="00DD5558"/>
    <w:rsid w:val="00DD63EC"/>
    <w:rsid w:val="00DD6EB0"/>
    <w:rsid w:val="00DE023F"/>
    <w:rsid w:val="00DE1A89"/>
    <w:rsid w:val="00DE2114"/>
    <w:rsid w:val="00DE2491"/>
    <w:rsid w:val="00DE44BC"/>
    <w:rsid w:val="00DE4B13"/>
    <w:rsid w:val="00DE4BB0"/>
    <w:rsid w:val="00DE4C2D"/>
    <w:rsid w:val="00DE6404"/>
    <w:rsid w:val="00DF15E1"/>
    <w:rsid w:val="00DF18AA"/>
    <w:rsid w:val="00DF54FD"/>
    <w:rsid w:val="00DF76C7"/>
    <w:rsid w:val="00E00467"/>
    <w:rsid w:val="00E011B0"/>
    <w:rsid w:val="00E02825"/>
    <w:rsid w:val="00E0350C"/>
    <w:rsid w:val="00E0396F"/>
    <w:rsid w:val="00E05148"/>
    <w:rsid w:val="00E076D5"/>
    <w:rsid w:val="00E076F3"/>
    <w:rsid w:val="00E1110C"/>
    <w:rsid w:val="00E12ADC"/>
    <w:rsid w:val="00E14433"/>
    <w:rsid w:val="00E21F46"/>
    <w:rsid w:val="00E2604E"/>
    <w:rsid w:val="00E31AA0"/>
    <w:rsid w:val="00E3518B"/>
    <w:rsid w:val="00E361A4"/>
    <w:rsid w:val="00E3790C"/>
    <w:rsid w:val="00E40DDD"/>
    <w:rsid w:val="00E41A55"/>
    <w:rsid w:val="00E428C7"/>
    <w:rsid w:val="00E44371"/>
    <w:rsid w:val="00E456C0"/>
    <w:rsid w:val="00E46D96"/>
    <w:rsid w:val="00E46FE3"/>
    <w:rsid w:val="00E472D6"/>
    <w:rsid w:val="00E53EE7"/>
    <w:rsid w:val="00E55058"/>
    <w:rsid w:val="00E5705E"/>
    <w:rsid w:val="00E57E6B"/>
    <w:rsid w:val="00E60980"/>
    <w:rsid w:val="00E61564"/>
    <w:rsid w:val="00E633EF"/>
    <w:rsid w:val="00E65236"/>
    <w:rsid w:val="00E653A6"/>
    <w:rsid w:val="00E67C01"/>
    <w:rsid w:val="00E83BA5"/>
    <w:rsid w:val="00E847B5"/>
    <w:rsid w:val="00E85F3F"/>
    <w:rsid w:val="00E86F33"/>
    <w:rsid w:val="00E936E3"/>
    <w:rsid w:val="00E93DCA"/>
    <w:rsid w:val="00E93E7F"/>
    <w:rsid w:val="00E93FEA"/>
    <w:rsid w:val="00E975AC"/>
    <w:rsid w:val="00EA0165"/>
    <w:rsid w:val="00EA28E0"/>
    <w:rsid w:val="00EB393E"/>
    <w:rsid w:val="00EB702E"/>
    <w:rsid w:val="00EC41B5"/>
    <w:rsid w:val="00EC52AF"/>
    <w:rsid w:val="00ED3EAD"/>
    <w:rsid w:val="00ED6ACF"/>
    <w:rsid w:val="00ED7FD5"/>
    <w:rsid w:val="00EE03D1"/>
    <w:rsid w:val="00EE282B"/>
    <w:rsid w:val="00EE2B29"/>
    <w:rsid w:val="00EE5A50"/>
    <w:rsid w:val="00EE6705"/>
    <w:rsid w:val="00EE7C6C"/>
    <w:rsid w:val="00EF2860"/>
    <w:rsid w:val="00EF4537"/>
    <w:rsid w:val="00EF4A9E"/>
    <w:rsid w:val="00EF4E68"/>
    <w:rsid w:val="00EF67E6"/>
    <w:rsid w:val="00F00371"/>
    <w:rsid w:val="00F010E3"/>
    <w:rsid w:val="00F01416"/>
    <w:rsid w:val="00F02F8C"/>
    <w:rsid w:val="00F040E0"/>
    <w:rsid w:val="00F060CB"/>
    <w:rsid w:val="00F06782"/>
    <w:rsid w:val="00F0767B"/>
    <w:rsid w:val="00F114CA"/>
    <w:rsid w:val="00F1283D"/>
    <w:rsid w:val="00F14BC8"/>
    <w:rsid w:val="00F15D53"/>
    <w:rsid w:val="00F21811"/>
    <w:rsid w:val="00F22C99"/>
    <w:rsid w:val="00F2367C"/>
    <w:rsid w:val="00F25606"/>
    <w:rsid w:val="00F25DAA"/>
    <w:rsid w:val="00F26379"/>
    <w:rsid w:val="00F26858"/>
    <w:rsid w:val="00F31673"/>
    <w:rsid w:val="00F31B35"/>
    <w:rsid w:val="00F36DE8"/>
    <w:rsid w:val="00F375D1"/>
    <w:rsid w:val="00F37C4C"/>
    <w:rsid w:val="00F42F6D"/>
    <w:rsid w:val="00F4496E"/>
    <w:rsid w:val="00F464BD"/>
    <w:rsid w:val="00F473AF"/>
    <w:rsid w:val="00F517C5"/>
    <w:rsid w:val="00F56B02"/>
    <w:rsid w:val="00F6033B"/>
    <w:rsid w:val="00F62BB1"/>
    <w:rsid w:val="00F632F5"/>
    <w:rsid w:val="00F70899"/>
    <w:rsid w:val="00F716C5"/>
    <w:rsid w:val="00F71A4D"/>
    <w:rsid w:val="00F73F45"/>
    <w:rsid w:val="00F74E7D"/>
    <w:rsid w:val="00F7684D"/>
    <w:rsid w:val="00F76CB4"/>
    <w:rsid w:val="00F76FEE"/>
    <w:rsid w:val="00F7720B"/>
    <w:rsid w:val="00F77289"/>
    <w:rsid w:val="00F80D99"/>
    <w:rsid w:val="00F8101D"/>
    <w:rsid w:val="00F827A3"/>
    <w:rsid w:val="00F82DFC"/>
    <w:rsid w:val="00F83760"/>
    <w:rsid w:val="00F84834"/>
    <w:rsid w:val="00F86164"/>
    <w:rsid w:val="00F863E2"/>
    <w:rsid w:val="00F86AB6"/>
    <w:rsid w:val="00F87444"/>
    <w:rsid w:val="00F87C60"/>
    <w:rsid w:val="00F94BBB"/>
    <w:rsid w:val="00F94D67"/>
    <w:rsid w:val="00F967D7"/>
    <w:rsid w:val="00FA11F7"/>
    <w:rsid w:val="00FA5FFE"/>
    <w:rsid w:val="00FA718E"/>
    <w:rsid w:val="00FB5E69"/>
    <w:rsid w:val="00FC1D29"/>
    <w:rsid w:val="00FC2D34"/>
    <w:rsid w:val="00FC393C"/>
    <w:rsid w:val="00FC49ED"/>
    <w:rsid w:val="00FC4C3A"/>
    <w:rsid w:val="00FC66A6"/>
    <w:rsid w:val="00FD0327"/>
    <w:rsid w:val="00FD31BD"/>
    <w:rsid w:val="00FE0F48"/>
    <w:rsid w:val="00FE2B57"/>
    <w:rsid w:val="00FE3148"/>
    <w:rsid w:val="00FE4A94"/>
    <w:rsid w:val="00FE6353"/>
    <w:rsid w:val="00FF3269"/>
    <w:rsid w:val="00FF6E16"/>
    <w:rsid w:val="00FF743A"/>
    <w:rsid w:val="00FF7B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A3C"/>
    <w:rPr>
      <w:rFonts w:ascii="Times New Roman" w:hAnsi="Times New Roman"/>
      <w:sz w:val="24"/>
      <w:szCs w:val="22"/>
    </w:rPr>
  </w:style>
  <w:style w:type="paragraph" w:styleId="Heading3">
    <w:name w:val="heading 3"/>
    <w:basedOn w:val="Normal"/>
    <w:link w:val="Heading3Char"/>
    <w:uiPriority w:val="9"/>
    <w:qFormat/>
    <w:rsid w:val="00990AB6"/>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7017"/>
    <w:rPr>
      <w:rFonts w:ascii="Tahoma" w:hAnsi="Tahoma"/>
      <w:sz w:val="16"/>
      <w:szCs w:val="16"/>
    </w:rPr>
  </w:style>
  <w:style w:type="character" w:customStyle="1" w:styleId="BalloonTextChar">
    <w:name w:val="Balloon Text Char"/>
    <w:link w:val="BalloonText"/>
    <w:uiPriority w:val="99"/>
    <w:semiHidden/>
    <w:rsid w:val="00C77017"/>
    <w:rPr>
      <w:rFonts w:ascii="Tahoma" w:hAnsi="Tahoma" w:cs="Tahoma"/>
      <w:sz w:val="16"/>
      <w:szCs w:val="16"/>
    </w:rPr>
  </w:style>
  <w:style w:type="paragraph" w:styleId="FootnoteText">
    <w:name w:val="footnote text"/>
    <w:basedOn w:val="Normal"/>
    <w:link w:val="FootnoteTextChar"/>
    <w:uiPriority w:val="99"/>
    <w:semiHidden/>
    <w:unhideWhenUsed/>
    <w:rsid w:val="00820788"/>
    <w:rPr>
      <w:sz w:val="20"/>
      <w:szCs w:val="20"/>
    </w:rPr>
  </w:style>
  <w:style w:type="character" w:customStyle="1" w:styleId="FootnoteTextChar">
    <w:name w:val="Footnote Text Char"/>
    <w:basedOn w:val="DefaultParagraphFont"/>
    <w:link w:val="FootnoteText"/>
    <w:uiPriority w:val="99"/>
    <w:semiHidden/>
    <w:rsid w:val="00820788"/>
  </w:style>
  <w:style w:type="character" w:styleId="FootnoteReference">
    <w:name w:val="footnote reference"/>
    <w:uiPriority w:val="99"/>
    <w:semiHidden/>
    <w:unhideWhenUsed/>
    <w:rsid w:val="00820788"/>
    <w:rPr>
      <w:vertAlign w:val="superscript"/>
    </w:rPr>
  </w:style>
  <w:style w:type="paragraph" w:styleId="Header">
    <w:name w:val="header"/>
    <w:basedOn w:val="Normal"/>
    <w:link w:val="HeaderChar"/>
    <w:uiPriority w:val="99"/>
    <w:unhideWhenUsed/>
    <w:rsid w:val="00CA5F4E"/>
    <w:pPr>
      <w:tabs>
        <w:tab w:val="center" w:pos="4680"/>
        <w:tab w:val="right" w:pos="9360"/>
      </w:tabs>
    </w:pPr>
    <w:rPr>
      <w:rFonts w:ascii="Calibri" w:hAnsi="Calibri"/>
      <w:sz w:val="22"/>
    </w:rPr>
  </w:style>
  <w:style w:type="character" w:customStyle="1" w:styleId="HeaderChar">
    <w:name w:val="Header Char"/>
    <w:link w:val="Header"/>
    <w:uiPriority w:val="99"/>
    <w:rsid w:val="00CA5F4E"/>
    <w:rPr>
      <w:sz w:val="22"/>
      <w:szCs w:val="22"/>
    </w:rPr>
  </w:style>
  <w:style w:type="paragraph" w:styleId="Footer">
    <w:name w:val="footer"/>
    <w:basedOn w:val="Normal"/>
    <w:link w:val="FooterChar"/>
    <w:uiPriority w:val="99"/>
    <w:unhideWhenUsed/>
    <w:rsid w:val="00CA5F4E"/>
    <w:pPr>
      <w:tabs>
        <w:tab w:val="center" w:pos="4680"/>
        <w:tab w:val="right" w:pos="9360"/>
      </w:tabs>
    </w:pPr>
    <w:rPr>
      <w:rFonts w:ascii="Calibri" w:hAnsi="Calibri"/>
      <w:sz w:val="22"/>
    </w:rPr>
  </w:style>
  <w:style w:type="character" w:customStyle="1" w:styleId="FooterChar">
    <w:name w:val="Footer Char"/>
    <w:link w:val="Footer"/>
    <w:uiPriority w:val="99"/>
    <w:rsid w:val="00CA5F4E"/>
    <w:rPr>
      <w:sz w:val="22"/>
      <w:szCs w:val="22"/>
    </w:rPr>
  </w:style>
  <w:style w:type="character" w:styleId="CommentReference">
    <w:name w:val="annotation reference"/>
    <w:uiPriority w:val="99"/>
    <w:semiHidden/>
    <w:unhideWhenUsed/>
    <w:rsid w:val="00037E5F"/>
    <w:rPr>
      <w:sz w:val="16"/>
      <w:szCs w:val="16"/>
    </w:rPr>
  </w:style>
  <w:style w:type="paragraph" w:styleId="CommentText">
    <w:name w:val="annotation text"/>
    <w:basedOn w:val="Normal"/>
    <w:link w:val="CommentTextChar"/>
    <w:uiPriority w:val="99"/>
    <w:unhideWhenUsed/>
    <w:rsid w:val="0063625A"/>
    <w:rPr>
      <w:sz w:val="20"/>
      <w:szCs w:val="20"/>
    </w:rPr>
  </w:style>
  <w:style w:type="character" w:customStyle="1" w:styleId="CommentTextChar">
    <w:name w:val="Comment Text Char"/>
    <w:link w:val="CommentText"/>
    <w:uiPriority w:val="99"/>
    <w:rsid w:val="0063625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37E5F"/>
    <w:rPr>
      <w:b/>
      <w:bCs/>
    </w:rPr>
  </w:style>
  <w:style w:type="character" w:customStyle="1" w:styleId="CommentSubjectChar">
    <w:name w:val="Comment Subject Char"/>
    <w:link w:val="CommentSubject"/>
    <w:uiPriority w:val="99"/>
    <w:semiHidden/>
    <w:rsid w:val="00037E5F"/>
    <w:rPr>
      <w:rFonts w:ascii="Times New Roman" w:hAnsi="Times New Roman"/>
      <w:b/>
      <w:bCs/>
    </w:rPr>
  </w:style>
  <w:style w:type="paragraph" w:styleId="Revision">
    <w:name w:val="Revision"/>
    <w:hidden/>
    <w:uiPriority w:val="99"/>
    <w:semiHidden/>
    <w:rsid w:val="00037E5F"/>
    <w:rPr>
      <w:sz w:val="22"/>
      <w:szCs w:val="22"/>
    </w:rPr>
  </w:style>
  <w:style w:type="character" w:styleId="Hyperlink">
    <w:name w:val="Hyperlink"/>
    <w:uiPriority w:val="99"/>
    <w:unhideWhenUsed/>
    <w:rsid w:val="00217148"/>
    <w:rPr>
      <w:color w:val="0000FF"/>
      <w:u w:val="single"/>
    </w:rPr>
  </w:style>
  <w:style w:type="table" w:styleId="TableGrid">
    <w:name w:val="Table Grid"/>
    <w:basedOn w:val="TableNormal"/>
    <w:rsid w:val="007C20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AD7024"/>
    <w:rPr>
      <w:color w:val="800080"/>
      <w:u w:val="single"/>
    </w:rPr>
  </w:style>
  <w:style w:type="character" w:customStyle="1" w:styleId="Heading3Char">
    <w:name w:val="Heading 3 Char"/>
    <w:link w:val="Heading3"/>
    <w:uiPriority w:val="9"/>
    <w:rsid w:val="00990AB6"/>
    <w:rPr>
      <w:rFonts w:ascii="Times New Roman" w:eastAsia="Times New Roman" w:hAnsi="Times New Roman"/>
      <w:b/>
      <w:bCs/>
      <w:sz w:val="27"/>
      <w:szCs w:val="27"/>
    </w:rPr>
  </w:style>
  <w:style w:type="character" w:styleId="PageNumber">
    <w:name w:val="page number"/>
    <w:basedOn w:val="DefaultParagraphFont"/>
    <w:rsid w:val="00686A3D"/>
  </w:style>
  <w:style w:type="paragraph" w:styleId="ListParagraph">
    <w:name w:val="List Paragraph"/>
    <w:basedOn w:val="Normal"/>
    <w:uiPriority w:val="34"/>
    <w:qFormat/>
    <w:rsid w:val="00171B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5A3C"/>
    <w:rPr>
      <w:rFonts w:ascii="Times New Roman" w:hAnsi="Times New Roman"/>
      <w:sz w:val="24"/>
      <w:szCs w:val="22"/>
    </w:rPr>
  </w:style>
  <w:style w:type="paragraph" w:styleId="Heading3">
    <w:name w:val="heading 3"/>
    <w:basedOn w:val="Normal"/>
    <w:link w:val="Heading3Char"/>
    <w:uiPriority w:val="9"/>
    <w:qFormat/>
    <w:rsid w:val="00990AB6"/>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77017"/>
    <w:rPr>
      <w:rFonts w:ascii="Tahoma" w:hAnsi="Tahoma"/>
      <w:sz w:val="16"/>
      <w:szCs w:val="16"/>
    </w:rPr>
  </w:style>
  <w:style w:type="character" w:customStyle="1" w:styleId="BalloonTextChar">
    <w:name w:val="Balloon Text Char"/>
    <w:link w:val="BalloonText"/>
    <w:uiPriority w:val="99"/>
    <w:semiHidden/>
    <w:rsid w:val="00C77017"/>
    <w:rPr>
      <w:rFonts w:ascii="Tahoma" w:hAnsi="Tahoma" w:cs="Tahoma"/>
      <w:sz w:val="16"/>
      <w:szCs w:val="16"/>
    </w:rPr>
  </w:style>
  <w:style w:type="paragraph" w:styleId="FootnoteText">
    <w:name w:val="footnote text"/>
    <w:basedOn w:val="Normal"/>
    <w:link w:val="FootnoteTextChar"/>
    <w:uiPriority w:val="99"/>
    <w:semiHidden/>
    <w:unhideWhenUsed/>
    <w:rsid w:val="00820788"/>
    <w:rPr>
      <w:sz w:val="20"/>
      <w:szCs w:val="20"/>
    </w:rPr>
  </w:style>
  <w:style w:type="character" w:customStyle="1" w:styleId="FootnoteTextChar">
    <w:name w:val="Footnote Text Char"/>
    <w:basedOn w:val="DefaultParagraphFont"/>
    <w:link w:val="FootnoteText"/>
    <w:uiPriority w:val="99"/>
    <w:semiHidden/>
    <w:rsid w:val="00820788"/>
  </w:style>
  <w:style w:type="character" w:styleId="FootnoteReference">
    <w:name w:val="footnote reference"/>
    <w:uiPriority w:val="99"/>
    <w:semiHidden/>
    <w:unhideWhenUsed/>
    <w:rsid w:val="00820788"/>
    <w:rPr>
      <w:vertAlign w:val="superscript"/>
    </w:rPr>
  </w:style>
  <w:style w:type="paragraph" w:styleId="Header">
    <w:name w:val="header"/>
    <w:basedOn w:val="Normal"/>
    <w:link w:val="HeaderChar"/>
    <w:uiPriority w:val="99"/>
    <w:unhideWhenUsed/>
    <w:rsid w:val="00CA5F4E"/>
    <w:pPr>
      <w:tabs>
        <w:tab w:val="center" w:pos="4680"/>
        <w:tab w:val="right" w:pos="9360"/>
      </w:tabs>
    </w:pPr>
    <w:rPr>
      <w:rFonts w:ascii="Calibri" w:hAnsi="Calibri"/>
      <w:sz w:val="22"/>
    </w:rPr>
  </w:style>
  <w:style w:type="character" w:customStyle="1" w:styleId="HeaderChar">
    <w:name w:val="Header Char"/>
    <w:link w:val="Header"/>
    <w:uiPriority w:val="99"/>
    <w:rsid w:val="00CA5F4E"/>
    <w:rPr>
      <w:sz w:val="22"/>
      <w:szCs w:val="22"/>
    </w:rPr>
  </w:style>
  <w:style w:type="paragraph" w:styleId="Footer">
    <w:name w:val="footer"/>
    <w:basedOn w:val="Normal"/>
    <w:link w:val="FooterChar"/>
    <w:uiPriority w:val="99"/>
    <w:unhideWhenUsed/>
    <w:rsid w:val="00CA5F4E"/>
    <w:pPr>
      <w:tabs>
        <w:tab w:val="center" w:pos="4680"/>
        <w:tab w:val="right" w:pos="9360"/>
      </w:tabs>
    </w:pPr>
    <w:rPr>
      <w:rFonts w:ascii="Calibri" w:hAnsi="Calibri"/>
      <w:sz w:val="22"/>
    </w:rPr>
  </w:style>
  <w:style w:type="character" w:customStyle="1" w:styleId="FooterChar">
    <w:name w:val="Footer Char"/>
    <w:link w:val="Footer"/>
    <w:uiPriority w:val="99"/>
    <w:rsid w:val="00CA5F4E"/>
    <w:rPr>
      <w:sz w:val="22"/>
      <w:szCs w:val="22"/>
    </w:rPr>
  </w:style>
  <w:style w:type="character" w:styleId="CommentReference">
    <w:name w:val="annotation reference"/>
    <w:uiPriority w:val="99"/>
    <w:semiHidden/>
    <w:unhideWhenUsed/>
    <w:rsid w:val="00037E5F"/>
    <w:rPr>
      <w:sz w:val="16"/>
      <w:szCs w:val="16"/>
    </w:rPr>
  </w:style>
  <w:style w:type="paragraph" w:styleId="CommentText">
    <w:name w:val="annotation text"/>
    <w:basedOn w:val="Normal"/>
    <w:link w:val="CommentTextChar"/>
    <w:uiPriority w:val="99"/>
    <w:unhideWhenUsed/>
    <w:rsid w:val="0063625A"/>
    <w:rPr>
      <w:sz w:val="20"/>
      <w:szCs w:val="20"/>
    </w:rPr>
  </w:style>
  <w:style w:type="character" w:customStyle="1" w:styleId="CommentTextChar">
    <w:name w:val="Comment Text Char"/>
    <w:link w:val="CommentText"/>
    <w:uiPriority w:val="99"/>
    <w:rsid w:val="0063625A"/>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37E5F"/>
    <w:rPr>
      <w:b/>
      <w:bCs/>
    </w:rPr>
  </w:style>
  <w:style w:type="character" w:customStyle="1" w:styleId="CommentSubjectChar">
    <w:name w:val="Comment Subject Char"/>
    <w:link w:val="CommentSubject"/>
    <w:uiPriority w:val="99"/>
    <w:semiHidden/>
    <w:rsid w:val="00037E5F"/>
    <w:rPr>
      <w:rFonts w:ascii="Times New Roman" w:hAnsi="Times New Roman"/>
      <w:b/>
      <w:bCs/>
    </w:rPr>
  </w:style>
  <w:style w:type="paragraph" w:styleId="Revision">
    <w:name w:val="Revision"/>
    <w:hidden/>
    <w:uiPriority w:val="99"/>
    <w:semiHidden/>
    <w:rsid w:val="00037E5F"/>
    <w:rPr>
      <w:sz w:val="22"/>
      <w:szCs w:val="22"/>
    </w:rPr>
  </w:style>
  <w:style w:type="character" w:styleId="Hyperlink">
    <w:name w:val="Hyperlink"/>
    <w:uiPriority w:val="99"/>
    <w:unhideWhenUsed/>
    <w:rsid w:val="00217148"/>
    <w:rPr>
      <w:color w:val="0000FF"/>
      <w:u w:val="single"/>
    </w:rPr>
  </w:style>
  <w:style w:type="table" w:styleId="TableGrid">
    <w:name w:val="Table Grid"/>
    <w:basedOn w:val="TableNormal"/>
    <w:rsid w:val="007C207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AD7024"/>
    <w:rPr>
      <w:color w:val="800080"/>
      <w:u w:val="single"/>
    </w:rPr>
  </w:style>
  <w:style w:type="character" w:customStyle="1" w:styleId="Heading3Char">
    <w:name w:val="Heading 3 Char"/>
    <w:link w:val="Heading3"/>
    <w:uiPriority w:val="9"/>
    <w:rsid w:val="00990AB6"/>
    <w:rPr>
      <w:rFonts w:ascii="Times New Roman" w:eastAsia="Times New Roman" w:hAnsi="Times New Roman"/>
      <w:b/>
      <w:bCs/>
      <w:sz w:val="27"/>
      <w:szCs w:val="27"/>
    </w:rPr>
  </w:style>
  <w:style w:type="character" w:styleId="PageNumber">
    <w:name w:val="page number"/>
    <w:basedOn w:val="DefaultParagraphFont"/>
    <w:rsid w:val="00686A3D"/>
  </w:style>
  <w:style w:type="paragraph" w:styleId="ListParagraph">
    <w:name w:val="List Paragraph"/>
    <w:basedOn w:val="Normal"/>
    <w:uiPriority w:val="34"/>
    <w:qFormat/>
    <w:rsid w:val="00171B44"/>
    <w:pPr>
      <w:ind w:left="720"/>
      <w:contextualSpacing/>
    </w:pPr>
  </w:style>
</w:styles>
</file>

<file path=word/webSettings.xml><?xml version="1.0" encoding="utf-8"?>
<w:webSettings xmlns:r="http://schemas.openxmlformats.org/officeDocument/2006/relationships" xmlns:w="http://schemas.openxmlformats.org/wordprocessingml/2006/main">
  <w:divs>
    <w:div w:id="53939600">
      <w:bodyDiv w:val="1"/>
      <w:marLeft w:val="0"/>
      <w:marRight w:val="0"/>
      <w:marTop w:val="0"/>
      <w:marBottom w:val="0"/>
      <w:divBdr>
        <w:top w:val="none" w:sz="0" w:space="0" w:color="auto"/>
        <w:left w:val="none" w:sz="0" w:space="0" w:color="auto"/>
        <w:bottom w:val="none" w:sz="0" w:space="0" w:color="auto"/>
        <w:right w:val="none" w:sz="0" w:space="0" w:color="auto"/>
      </w:divBdr>
    </w:div>
    <w:div w:id="63576545">
      <w:bodyDiv w:val="1"/>
      <w:marLeft w:val="0"/>
      <w:marRight w:val="0"/>
      <w:marTop w:val="0"/>
      <w:marBottom w:val="0"/>
      <w:divBdr>
        <w:top w:val="none" w:sz="0" w:space="0" w:color="auto"/>
        <w:left w:val="none" w:sz="0" w:space="0" w:color="auto"/>
        <w:bottom w:val="none" w:sz="0" w:space="0" w:color="auto"/>
        <w:right w:val="none" w:sz="0" w:space="0" w:color="auto"/>
      </w:divBdr>
    </w:div>
    <w:div w:id="121122926">
      <w:bodyDiv w:val="1"/>
      <w:marLeft w:val="0"/>
      <w:marRight w:val="0"/>
      <w:marTop w:val="0"/>
      <w:marBottom w:val="0"/>
      <w:divBdr>
        <w:top w:val="none" w:sz="0" w:space="0" w:color="auto"/>
        <w:left w:val="none" w:sz="0" w:space="0" w:color="auto"/>
        <w:bottom w:val="none" w:sz="0" w:space="0" w:color="auto"/>
        <w:right w:val="none" w:sz="0" w:space="0" w:color="auto"/>
      </w:divBdr>
    </w:div>
    <w:div w:id="164129255">
      <w:bodyDiv w:val="1"/>
      <w:marLeft w:val="0"/>
      <w:marRight w:val="0"/>
      <w:marTop w:val="0"/>
      <w:marBottom w:val="0"/>
      <w:divBdr>
        <w:top w:val="none" w:sz="0" w:space="0" w:color="auto"/>
        <w:left w:val="none" w:sz="0" w:space="0" w:color="auto"/>
        <w:bottom w:val="none" w:sz="0" w:space="0" w:color="auto"/>
        <w:right w:val="none" w:sz="0" w:space="0" w:color="auto"/>
      </w:divBdr>
    </w:div>
    <w:div w:id="207693926">
      <w:bodyDiv w:val="1"/>
      <w:marLeft w:val="0"/>
      <w:marRight w:val="0"/>
      <w:marTop w:val="0"/>
      <w:marBottom w:val="0"/>
      <w:divBdr>
        <w:top w:val="none" w:sz="0" w:space="0" w:color="auto"/>
        <w:left w:val="none" w:sz="0" w:space="0" w:color="auto"/>
        <w:bottom w:val="none" w:sz="0" w:space="0" w:color="auto"/>
        <w:right w:val="none" w:sz="0" w:space="0" w:color="auto"/>
      </w:divBdr>
    </w:div>
    <w:div w:id="243343911">
      <w:bodyDiv w:val="1"/>
      <w:marLeft w:val="0"/>
      <w:marRight w:val="0"/>
      <w:marTop w:val="0"/>
      <w:marBottom w:val="0"/>
      <w:divBdr>
        <w:top w:val="none" w:sz="0" w:space="0" w:color="auto"/>
        <w:left w:val="none" w:sz="0" w:space="0" w:color="auto"/>
        <w:bottom w:val="none" w:sz="0" w:space="0" w:color="auto"/>
        <w:right w:val="none" w:sz="0" w:space="0" w:color="auto"/>
      </w:divBdr>
    </w:div>
    <w:div w:id="334262718">
      <w:bodyDiv w:val="1"/>
      <w:marLeft w:val="0"/>
      <w:marRight w:val="0"/>
      <w:marTop w:val="0"/>
      <w:marBottom w:val="0"/>
      <w:divBdr>
        <w:top w:val="none" w:sz="0" w:space="0" w:color="auto"/>
        <w:left w:val="none" w:sz="0" w:space="0" w:color="auto"/>
        <w:bottom w:val="none" w:sz="0" w:space="0" w:color="auto"/>
        <w:right w:val="none" w:sz="0" w:space="0" w:color="auto"/>
      </w:divBdr>
    </w:div>
    <w:div w:id="362365781">
      <w:bodyDiv w:val="1"/>
      <w:marLeft w:val="0"/>
      <w:marRight w:val="0"/>
      <w:marTop w:val="0"/>
      <w:marBottom w:val="0"/>
      <w:divBdr>
        <w:top w:val="none" w:sz="0" w:space="0" w:color="auto"/>
        <w:left w:val="none" w:sz="0" w:space="0" w:color="auto"/>
        <w:bottom w:val="none" w:sz="0" w:space="0" w:color="auto"/>
        <w:right w:val="none" w:sz="0" w:space="0" w:color="auto"/>
      </w:divBdr>
    </w:div>
    <w:div w:id="367069773">
      <w:bodyDiv w:val="1"/>
      <w:marLeft w:val="0"/>
      <w:marRight w:val="0"/>
      <w:marTop w:val="0"/>
      <w:marBottom w:val="0"/>
      <w:divBdr>
        <w:top w:val="none" w:sz="0" w:space="0" w:color="auto"/>
        <w:left w:val="none" w:sz="0" w:space="0" w:color="auto"/>
        <w:bottom w:val="none" w:sz="0" w:space="0" w:color="auto"/>
        <w:right w:val="none" w:sz="0" w:space="0" w:color="auto"/>
      </w:divBdr>
    </w:div>
    <w:div w:id="370424321">
      <w:bodyDiv w:val="1"/>
      <w:marLeft w:val="0"/>
      <w:marRight w:val="0"/>
      <w:marTop w:val="0"/>
      <w:marBottom w:val="0"/>
      <w:divBdr>
        <w:top w:val="none" w:sz="0" w:space="0" w:color="auto"/>
        <w:left w:val="none" w:sz="0" w:space="0" w:color="auto"/>
        <w:bottom w:val="none" w:sz="0" w:space="0" w:color="auto"/>
        <w:right w:val="none" w:sz="0" w:space="0" w:color="auto"/>
      </w:divBdr>
    </w:div>
    <w:div w:id="396782943">
      <w:bodyDiv w:val="1"/>
      <w:marLeft w:val="0"/>
      <w:marRight w:val="0"/>
      <w:marTop w:val="0"/>
      <w:marBottom w:val="0"/>
      <w:divBdr>
        <w:top w:val="none" w:sz="0" w:space="0" w:color="auto"/>
        <w:left w:val="none" w:sz="0" w:space="0" w:color="auto"/>
        <w:bottom w:val="none" w:sz="0" w:space="0" w:color="auto"/>
        <w:right w:val="none" w:sz="0" w:space="0" w:color="auto"/>
      </w:divBdr>
    </w:div>
    <w:div w:id="405960872">
      <w:bodyDiv w:val="1"/>
      <w:marLeft w:val="0"/>
      <w:marRight w:val="0"/>
      <w:marTop w:val="0"/>
      <w:marBottom w:val="0"/>
      <w:divBdr>
        <w:top w:val="none" w:sz="0" w:space="0" w:color="auto"/>
        <w:left w:val="none" w:sz="0" w:space="0" w:color="auto"/>
        <w:bottom w:val="none" w:sz="0" w:space="0" w:color="auto"/>
        <w:right w:val="none" w:sz="0" w:space="0" w:color="auto"/>
      </w:divBdr>
    </w:div>
    <w:div w:id="423651419">
      <w:bodyDiv w:val="1"/>
      <w:marLeft w:val="0"/>
      <w:marRight w:val="0"/>
      <w:marTop w:val="0"/>
      <w:marBottom w:val="0"/>
      <w:divBdr>
        <w:top w:val="none" w:sz="0" w:space="0" w:color="auto"/>
        <w:left w:val="none" w:sz="0" w:space="0" w:color="auto"/>
        <w:bottom w:val="none" w:sz="0" w:space="0" w:color="auto"/>
        <w:right w:val="none" w:sz="0" w:space="0" w:color="auto"/>
      </w:divBdr>
    </w:div>
    <w:div w:id="530260957">
      <w:bodyDiv w:val="1"/>
      <w:marLeft w:val="0"/>
      <w:marRight w:val="0"/>
      <w:marTop w:val="0"/>
      <w:marBottom w:val="0"/>
      <w:divBdr>
        <w:top w:val="none" w:sz="0" w:space="0" w:color="auto"/>
        <w:left w:val="none" w:sz="0" w:space="0" w:color="auto"/>
        <w:bottom w:val="none" w:sz="0" w:space="0" w:color="auto"/>
        <w:right w:val="none" w:sz="0" w:space="0" w:color="auto"/>
      </w:divBdr>
    </w:div>
    <w:div w:id="533350158">
      <w:bodyDiv w:val="1"/>
      <w:marLeft w:val="0"/>
      <w:marRight w:val="0"/>
      <w:marTop w:val="0"/>
      <w:marBottom w:val="0"/>
      <w:divBdr>
        <w:top w:val="none" w:sz="0" w:space="0" w:color="auto"/>
        <w:left w:val="none" w:sz="0" w:space="0" w:color="auto"/>
        <w:bottom w:val="none" w:sz="0" w:space="0" w:color="auto"/>
        <w:right w:val="none" w:sz="0" w:space="0" w:color="auto"/>
      </w:divBdr>
    </w:div>
    <w:div w:id="551965180">
      <w:bodyDiv w:val="1"/>
      <w:marLeft w:val="0"/>
      <w:marRight w:val="0"/>
      <w:marTop w:val="0"/>
      <w:marBottom w:val="0"/>
      <w:divBdr>
        <w:top w:val="none" w:sz="0" w:space="0" w:color="auto"/>
        <w:left w:val="none" w:sz="0" w:space="0" w:color="auto"/>
        <w:bottom w:val="none" w:sz="0" w:space="0" w:color="auto"/>
        <w:right w:val="none" w:sz="0" w:space="0" w:color="auto"/>
      </w:divBdr>
    </w:div>
    <w:div w:id="623925226">
      <w:bodyDiv w:val="1"/>
      <w:marLeft w:val="0"/>
      <w:marRight w:val="0"/>
      <w:marTop w:val="0"/>
      <w:marBottom w:val="0"/>
      <w:divBdr>
        <w:top w:val="none" w:sz="0" w:space="0" w:color="auto"/>
        <w:left w:val="none" w:sz="0" w:space="0" w:color="auto"/>
        <w:bottom w:val="none" w:sz="0" w:space="0" w:color="auto"/>
        <w:right w:val="none" w:sz="0" w:space="0" w:color="auto"/>
      </w:divBdr>
    </w:div>
    <w:div w:id="682822662">
      <w:bodyDiv w:val="1"/>
      <w:marLeft w:val="0"/>
      <w:marRight w:val="0"/>
      <w:marTop w:val="0"/>
      <w:marBottom w:val="0"/>
      <w:divBdr>
        <w:top w:val="none" w:sz="0" w:space="0" w:color="auto"/>
        <w:left w:val="none" w:sz="0" w:space="0" w:color="auto"/>
        <w:bottom w:val="none" w:sz="0" w:space="0" w:color="auto"/>
        <w:right w:val="none" w:sz="0" w:space="0" w:color="auto"/>
      </w:divBdr>
    </w:div>
    <w:div w:id="719326962">
      <w:bodyDiv w:val="1"/>
      <w:marLeft w:val="0"/>
      <w:marRight w:val="0"/>
      <w:marTop w:val="0"/>
      <w:marBottom w:val="0"/>
      <w:divBdr>
        <w:top w:val="none" w:sz="0" w:space="0" w:color="auto"/>
        <w:left w:val="none" w:sz="0" w:space="0" w:color="auto"/>
        <w:bottom w:val="none" w:sz="0" w:space="0" w:color="auto"/>
        <w:right w:val="none" w:sz="0" w:space="0" w:color="auto"/>
      </w:divBdr>
    </w:div>
    <w:div w:id="758403782">
      <w:bodyDiv w:val="1"/>
      <w:marLeft w:val="0"/>
      <w:marRight w:val="0"/>
      <w:marTop w:val="0"/>
      <w:marBottom w:val="0"/>
      <w:divBdr>
        <w:top w:val="none" w:sz="0" w:space="0" w:color="auto"/>
        <w:left w:val="none" w:sz="0" w:space="0" w:color="auto"/>
        <w:bottom w:val="none" w:sz="0" w:space="0" w:color="auto"/>
        <w:right w:val="none" w:sz="0" w:space="0" w:color="auto"/>
      </w:divBdr>
    </w:div>
    <w:div w:id="763038841">
      <w:bodyDiv w:val="1"/>
      <w:marLeft w:val="0"/>
      <w:marRight w:val="0"/>
      <w:marTop w:val="0"/>
      <w:marBottom w:val="0"/>
      <w:divBdr>
        <w:top w:val="none" w:sz="0" w:space="0" w:color="auto"/>
        <w:left w:val="none" w:sz="0" w:space="0" w:color="auto"/>
        <w:bottom w:val="none" w:sz="0" w:space="0" w:color="auto"/>
        <w:right w:val="none" w:sz="0" w:space="0" w:color="auto"/>
      </w:divBdr>
    </w:div>
    <w:div w:id="776100317">
      <w:bodyDiv w:val="1"/>
      <w:marLeft w:val="0"/>
      <w:marRight w:val="0"/>
      <w:marTop w:val="0"/>
      <w:marBottom w:val="0"/>
      <w:divBdr>
        <w:top w:val="none" w:sz="0" w:space="0" w:color="auto"/>
        <w:left w:val="none" w:sz="0" w:space="0" w:color="auto"/>
        <w:bottom w:val="none" w:sz="0" w:space="0" w:color="auto"/>
        <w:right w:val="none" w:sz="0" w:space="0" w:color="auto"/>
      </w:divBdr>
    </w:div>
    <w:div w:id="843134347">
      <w:bodyDiv w:val="1"/>
      <w:marLeft w:val="0"/>
      <w:marRight w:val="0"/>
      <w:marTop w:val="0"/>
      <w:marBottom w:val="0"/>
      <w:divBdr>
        <w:top w:val="none" w:sz="0" w:space="0" w:color="auto"/>
        <w:left w:val="none" w:sz="0" w:space="0" w:color="auto"/>
        <w:bottom w:val="none" w:sz="0" w:space="0" w:color="auto"/>
        <w:right w:val="none" w:sz="0" w:space="0" w:color="auto"/>
      </w:divBdr>
    </w:div>
    <w:div w:id="853109204">
      <w:bodyDiv w:val="1"/>
      <w:marLeft w:val="0"/>
      <w:marRight w:val="0"/>
      <w:marTop w:val="0"/>
      <w:marBottom w:val="0"/>
      <w:divBdr>
        <w:top w:val="none" w:sz="0" w:space="0" w:color="auto"/>
        <w:left w:val="none" w:sz="0" w:space="0" w:color="auto"/>
        <w:bottom w:val="none" w:sz="0" w:space="0" w:color="auto"/>
        <w:right w:val="none" w:sz="0" w:space="0" w:color="auto"/>
      </w:divBdr>
    </w:div>
    <w:div w:id="864517638">
      <w:bodyDiv w:val="1"/>
      <w:marLeft w:val="0"/>
      <w:marRight w:val="0"/>
      <w:marTop w:val="0"/>
      <w:marBottom w:val="0"/>
      <w:divBdr>
        <w:top w:val="none" w:sz="0" w:space="0" w:color="auto"/>
        <w:left w:val="none" w:sz="0" w:space="0" w:color="auto"/>
        <w:bottom w:val="none" w:sz="0" w:space="0" w:color="auto"/>
        <w:right w:val="none" w:sz="0" w:space="0" w:color="auto"/>
      </w:divBdr>
    </w:div>
    <w:div w:id="989483813">
      <w:bodyDiv w:val="1"/>
      <w:marLeft w:val="0"/>
      <w:marRight w:val="0"/>
      <w:marTop w:val="0"/>
      <w:marBottom w:val="0"/>
      <w:divBdr>
        <w:top w:val="none" w:sz="0" w:space="0" w:color="auto"/>
        <w:left w:val="none" w:sz="0" w:space="0" w:color="auto"/>
        <w:bottom w:val="none" w:sz="0" w:space="0" w:color="auto"/>
        <w:right w:val="none" w:sz="0" w:space="0" w:color="auto"/>
      </w:divBdr>
    </w:div>
    <w:div w:id="1037654925">
      <w:bodyDiv w:val="1"/>
      <w:marLeft w:val="0"/>
      <w:marRight w:val="0"/>
      <w:marTop w:val="0"/>
      <w:marBottom w:val="0"/>
      <w:divBdr>
        <w:top w:val="none" w:sz="0" w:space="0" w:color="auto"/>
        <w:left w:val="none" w:sz="0" w:space="0" w:color="auto"/>
        <w:bottom w:val="none" w:sz="0" w:space="0" w:color="auto"/>
        <w:right w:val="none" w:sz="0" w:space="0" w:color="auto"/>
      </w:divBdr>
    </w:div>
    <w:div w:id="1063676519">
      <w:bodyDiv w:val="1"/>
      <w:marLeft w:val="0"/>
      <w:marRight w:val="0"/>
      <w:marTop w:val="0"/>
      <w:marBottom w:val="0"/>
      <w:divBdr>
        <w:top w:val="none" w:sz="0" w:space="0" w:color="auto"/>
        <w:left w:val="none" w:sz="0" w:space="0" w:color="auto"/>
        <w:bottom w:val="none" w:sz="0" w:space="0" w:color="auto"/>
        <w:right w:val="none" w:sz="0" w:space="0" w:color="auto"/>
      </w:divBdr>
    </w:div>
    <w:div w:id="1129131518">
      <w:bodyDiv w:val="1"/>
      <w:marLeft w:val="0"/>
      <w:marRight w:val="0"/>
      <w:marTop w:val="0"/>
      <w:marBottom w:val="0"/>
      <w:divBdr>
        <w:top w:val="none" w:sz="0" w:space="0" w:color="auto"/>
        <w:left w:val="none" w:sz="0" w:space="0" w:color="auto"/>
        <w:bottom w:val="none" w:sz="0" w:space="0" w:color="auto"/>
        <w:right w:val="none" w:sz="0" w:space="0" w:color="auto"/>
      </w:divBdr>
    </w:div>
    <w:div w:id="1133248965">
      <w:bodyDiv w:val="1"/>
      <w:marLeft w:val="0"/>
      <w:marRight w:val="0"/>
      <w:marTop w:val="0"/>
      <w:marBottom w:val="0"/>
      <w:divBdr>
        <w:top w:val="none" w:sz="0" w:space="0" w:color="auto"/>
        <w:left w:val="none" w:sz="0" w:space="0" w:color="auto"/>
        <w:bottom w:val="none" w:sz="0" w:space="0" w:color="auto"/>
        <w:right w:val="none" w:sz="0" w:space="0" w:color="auto"/>
      </w:divBdr>
    </w:div>
    <w:div w:id="1260945131">
      <w:bodyDiv w:val="1"/>
      <w:marLeft w:val="0"/>
      <w:marRight w:val="0"/>
      <w:marTop w:val="0"/>
      <w:marBottom w:val="0"/>
      <w:divBdr>
        <w:top w:val="none" w:sz="0" w:space="0" w:color="auto"/>
        <w:left w:val="none" w:sz="0" w:space="0" w:color="auto"/>
        <w:bottom w:val="none" w:sz="0" w:space="0" w:color="auto"/>
        <w:right w:val="none" w:sz="0" w:space="0" w:color="auto"/>
      </w:divBdr>
    </w:div>
    <w:div w:id="1460954604">
      <w:bodyDiv w:val="1"/>
      <w:marLeft w:val="0"/>
      <w:marRight w:val="0"/>
      <w:marTop w:val="0"/>
      <w:marBottom w:val="0"/>
      <w:divBdr>
        <w:top w:val="none" w:sz="0" w:space="0" w:color="auto"/>
        <w:left w:val="none" w:sz="0" w:space="0" w:color="auto"/>
        <w:bottom w:val="none" w:sz="0" w:space="0" w:color="auto"/>
        <w:right w:val="none" w:sz="0" w:space="0" w:color="auto"/>
      </w:divBdr>
    </w:div>
    <w:div w:id="1474324505">
      <w:bodyDiv w:val="1"/>
      <w:marLeft w:val="0"/>
      <w:marRight w:val="0"/>
      <w:marTop w:val="0"/>
      <w:marBottom w:val="0"/>
      <w:divBdr>
        <w:top w:val="none" w:sz="0" w:space="0" w:color="auto"/>
        <w:left w:val="none" w:sz="0" w:space="0" w:color="auto"/>
        <w:bottom w:val="none" w:sz="0" w:space="0" w:color="auto"/>
        <w:right w:val="none" w:sz="0" w:space="0" w:color="auto"/>
      </w:divBdr>
    </w:div>
    <w:div w:id="1482573772">
      <w:bodyDiv w:val="1"/>
      <w:marLeft w:val="0"/>
      <w:marRight w:val="0"/>
      <w:marTop w:val="0"/>
      <w:marBottom w:val="0"/>
      <w:divBdr>
        <w:top w:val="none" w:sz="0" w:space="0" w:color="auto"/>
        <w:left w:val="none" w:sz="0" w:space="0" w:color="auto"/>
        <w:bottom w:val="none" w:sz="0" w:space="0" w:color="auto"/>
        <w:right w:val="none" w:sz="0" w:space="0" w:color="auto"/>
      </w:divBdr>
    </w:div>
    <w:div w:id="1493058288">
      <w:bodyDiv w:val="1"/>
      <w:marLeft w:val="0"/>
      <w:marRight w:val="0"/>
      <w:marTop w:val="0"/>
      <w:marBottom w:val="0"/>
      <w:divBdr>
        <w:top w:val="none" w:sz="0" w:space="0" w:color="auto"/>
        <w:left w:val="none" w:sz="0" w:space="0" w:color="auto"/>
        <w:bottom w:val="none" w:sz="0" w:space="0" w:color="auto"/>
        <w:right w:val="none" w:sz="0" w:space="0" w:color="auto"/>
      </w:divBdr>
    </w:div>
    <w:div w:id="1506939183">
      <w:bodyDiv w:val="1"/>
      <w:marLeft w:val="0"/>
      <w:marRight w:val="0"/>
      <w:marTop w:val="0"/>
      <w:marBottom w:val="0"/>
      <w:divBdr>
        <w:top w:val="none" w:sz="0" w:space="0" w:color="auto"/>
        <w:left w:val="none" w:sz="0" w:space="0" w:color="auto"/>
        <w:bottom w:val="none" w:sz="0" w:space="0" w:color="auto"/>
        <w:right w:val="none" w:sz="0" w:space="0" w:color="auto"/>
      </w:divBdr>
    </w:div>
    <w:div w:id="1511021970">
      <w:bodyDiv w:val="1"/>
      <w:marLeft w:val="0"/>
      <w:marRight w:val="0"/>
      <w:marTop w:val="0"/>
      <w:marBottom w:val="0"/>
      <w:divBdr>
        <w:top w:val="none" w:sz="0" w:space="0" w:color="auto"/>
        <w:left w:val="none" w:sz="0" w:space="0" w:color="auto"/>
        <w:bottom w:val="none" w:sz="0" w:space="0" w:color="auto"/>
        <w:right w:val="none" w:sz="0" w:space="0" w:color="auto"/>
      </w:divBdr>
    </w:div>
    <w:div w:id="1755322551">
      <w:bodyDiv w:val="1"/>
      <w:marLeft w:val="0"/>
      <w:marRight w:val="0"/>
      <w:marTop w:val="0"/>
      <w:marBottom w:val="0"/>
      <w:divBdr>
        <w:top w:val="none" w:sz="0" w:space="0" w:color="auto"/>
        <w:left w:val="none" w:sz="0" w:space="0" w:color="auto"/>
        <w:bottom w:val="none" w:sz="0" w:space="0" w:color="auto"/>
        <w:right w:val="none" w:sz="0" w:space="0" w:color="auto"/>
      </w:divBdr>
    </w:div>
    <w:div w:id="1786459353">
      <w:bodyDiv w:val="1"/>
      <w:marLeft w:val="0"/>
      <w:marRight w:val="0"/>
      <w:marTop w:val="0"/>
      <w:marBottom w:val="0"/>
      <w:divBdr>
        <w:top w:val="none" w:sz="0" w:space="0" w:color="auto"/>
        <w:left w:val="none" w:sz="0" w:space="0" w:color="auto"/>
        <w:bottom w:val="none" w:sz="0" w:space="0" w:color="auto"/>
        <w:right w:val="none" w:sz="0" w:space="0" w:color="auto"/>
      </w:divBdr>
    </w:div>
    <w:div w:id="1798837568">
      <w:bodyDiv w:val="1"/>
      <w:marLeft w:val="0"/>
      <w:marRight w:val="0"/>
      <w:marTop w:val="0"/>
      <w:marBottom w:val="0"/>
      <w:divBdr>
        <w:top w:val="none" w:sz="0" w:space="0" w:color="auto"/>
        <w:left w:val="none" w:sz="0" w:space="0" w:color="auto"/>
        <w:bottom w:val="none" w:sz="0" w:space="0" w:color="auto"/>
        <w:right w:val="none" w:sz="0" w:space="0" w:color="auto"/>
      </w:divBdr>
    </w:div>
    <w:div w:id="1804346455">
      <w:bodyDiv w:val="1"/>
      <w:marLeft w:val="0"/>
      <w:marRight w:val="0"/>
      <w:marTop w:val="0"/>
      <w:marBottom w:val="0"/>
      <w:divBdr>
        <w:top w:val="none" w:sz="0" w:space="0" w:color="auto"/>
        <w:left w:val="none" w:sz="0" w:space="0" w:color="auto"/>
        <w:bottom w:val="none" w:sz="0" w:space="0" w:color="auto"/>
        <w:right w:val="none" w:sz="0" w:space="0" w:color="auto"/>
      </w:divBdr>
    </w:div>
    <w:div w:id="1857773012">
      <w:bodyDiv w:val="1"/>
      <w:marLeft w:val="0"/>
      <w:marRight w:val="0"/>
      <w:marTop w:val="0"/>
      <w:marBottom w:val="0"/>
      <w:divBdr>
        <w:top w:val="none" w:sz="0" w:space="0" w:color="auto"/>
        <w:left w:val="none" w:sz="0" w:space="0" w:color="auto"/>
        <w:bottom w:val="none" w:sz="0" w:space="0" w:color="auto"/>
        <w:right w:val="none" w:sz="0" w:space="0" w:color="auto"/>
      </w:divBdr>
    </w:div>
    <w:div w:id="1874924958">
      <w:bodyDiv w:val="1"/>
      <w:marLeft w:val="0"/>
      <w:marRight w:val="0"/>
      <w:marTop w:val="0"/>
      <w:marBottom w:val="0"/>
      <w:divBdr>
        <w:top w:val="none" w:sz="0" w:space="0" w:color="auto"/>
        <w:left w:val="none" w:sz="0" w:space="0" w:color="auto"/>
        <w:bottom w:val="none" w:sz="0" w:space="0" w:color="auto"/>
        <w:right w:val="none" w:sz="0" w:space="0" w:color="auto"/>
      </w:divBdr>
    </w:div>
    <w:div w:id="1953053530">
      <w:bodyDiv w:val="1"/>
      <w:marLeft w:val="0"/>
      <w:marRight w:val="0"/>
      <w:marTop w:val="0"/>
      <w:marBottom w:val="0"/>
      <w:divBdr>
        <w:top w:val="none" w:sz="0" w:space="0" w:color="auto"/>
        <w:left w:val="none" w:sz="0" w:space="0" w:color="auto"/>
        <w:bottom w:val="none" w:sz="0" w:space="0" w:color="auto"/>
        <w:right w:val="none" w:sz="0" w:space="0" w:color="auto"/>
      </w:divBdr>
    </w:div>
    <w:div w:id="2060203090">
      <w:bodyDiv w:val="1"/>
      <w:marLeft w:val="0"/>
      <w:marRight w:val="0"/>
      <w:marTop w:val="0"/>
      <w:marBottom w:val="0"/>
      <w:divBdr>
        <w:top w:val="none" w:sz="0" w:space="0" w:color="auto"/>
        <w:left w:val="none" w:sz="0" w:space="0" w:color="auto"/>
        <w:bottom w:val="none" w:sz="0" w:space="0" w:color="auto"/>
        <w:right w:val="none" w:sz="0" w:space="0" w:color="auto"/>
      </w:divBdr>
    </w:div>
    <w:div w:id="2070611705">
      <w:bodyDiv w:val="1"/>
      <w:marLeft w:val="0"/>
      <w:marRight w:val="0"/>
      <w:marTop w:val="0"/>
      <w:marBottom w:val="0"/>
      <w:divBdr>
        <w:top w:val="none" w:sz="0" w:space="0" w:color="auto"/>
        <w:left w:val="none" w:sz="0" w:space="0" w:color="auto"/>
        <w:bottom w:val="none" w:sz="0" w:space="0" w:color="auto"/>
        <w:right w:val="none" w:sz="0" w:space="0" w:color="auto"/>
      </w:divBdr>
    </w:div>
    <w:div w:id="2116712208">
      <w:bodyDiv w:val="1"/>
      <w:marLeft w:val="0"/>
      <w:marRight w:val="0"/>
      <w:marTop w:val="0"/>
      <w:marBottom w:val="0"/>
      <w:divBdr>
        <w:top w:val="none" w:sz="0" w:space="0" w:color="auto"/>
        <w:left w:val="none" w:sz="0" w:space="0" w:color="auto"/>
        <w:bottom w:val="none" w:sz="0" w:space="0" w:color="auto"/>
        <w:right w:val="none" w:sz="0" w:space="0" w:color="auto"/>
      </w:divBdr>
    </w:div>
    <w:div w:id="2117747086">
      <w:bodyDiv w:val="1"/>
      <w:marLeft w:val="0"/>
      <w:marRight w:val="0"/>
      <w:marTop w:val="0"/>
      <w:marBottom w:val="0"/>
      <w:divBdr>
        <w:top w:val="none" w:sz="0" w:space="0" w:color="auto"/>
        <w:left w:val="none" w:sz="0" w:space="0" w:color="auto"/>
        <w:bottom w:val="none" w:sz="0" w:space="0" w:color="auto"/>
        <w:right w:val="none" w:sz="0" w:space="0" w:color="auto"/>
      </w:divBdr>
    </w:div>
    <w:div w:id="214454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s.bls.gov/news.release/ecec.toc.ht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1/relationships/commentsExtended" Target="commentsExtended.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opm.gov/policy-data-oversight/pay-leave/salaries-wages/salary-tables/pdf/2014/GS.pdf" TargetMode="External"/><Relationship Id="rId14" Type="http://schemas.openxmlformats.org/officeDocument/2006/relationships/header" Target="header3.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81F54-D383-4E60-BE65-15B4368C4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11732</Words>
  <Characters>66876</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DRAFT SUPPORTING STATEMENT</vt:lpstr>
    </vt:vector>
  </TitlesOfParts>
  <Company>SRA International</Company>
  <LinksUpToDate>false</LinksUpToDate>
  <CharactersWithSpaces>78452</CharactersWithSpaces>
  <SharedDoc>false</SharedDoc>
  <HLinks>
    <vt:vector size="6" baseType="variant">
      <vt:variant>
        <vt:i4>3342386</vt:i4>
      </vt:variant>
      <vt:variant>
        <vt:i4>0</vt:i4>
      </vt:variant>
      <vt:variant>
        <vt:i4>0</vt:i4>
      </vt:variant>
      <vt:variant>
        <vt:i4>5</vt:i4>
      </vt:variant>
      <vt:variant>
        <vt:lpwstr>http://stats.bls.gov/news.release/ecec.toc.htm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dc:title>
  <dc:creator>annalbrecht</dc:creator>
  <cp:lastModifiedBy>Courtney Kerwin</cp:lastModifiedBy>
  <cp:revision>3</cp:revision>
  <cp:lastPrinted>2014-06-13T04:10:00Z</cp:lastPrinted>
  <dcterms:created xsi:type="dcterms:W3CDTF">2014-07-17T18:25:00Z</dcterms:created>
  <dcterms:modified xsi:type="dcterms:W3CDTF">2014-07-17T18:25:00Z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-1414652970</vt:i4>
  </property>
</Properties>
</file>