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54" w:rsidRDefault="00EE1E8D" w:rsidP="00343F54">
      <w:pPr>
        <w:pStyle w:val="Default"/>
        <w:rPr>
          <w:rFonts w:asciiTheme="majorHAnsi" w:hAnsiTheme="majorHAnsi"/>
          <w:b/>
          <w:color w:val="365F91" w:themeColor="accent1" w:themeShade="BF"/>
          <w:sz w:val="32"/>
          <w:szCs w:val="32"/>
        </w:rPr>
      </w:pPr>
      <w:r>
        <w:rPr>
          <w:rFonts w:asciiTheme="majorHAnsi" w:hAnsiTheme="majorHAnsi"/>
          <w:b/>
          <w:color w:val="365F91" w:themeColor="accent1" w:themeShade="BF"/>
          <w:sz w:val="32"/>
          <w:szCs w:val="32"/>
        </w:rPr>
        <w:t xml:space="preserve">Appendix </w:t>
      </w:r>
      <w:r w:rsidR="001B17B1">
        <w:rPr>
          <w:rFonts w:asciiTheme="majorHAnsi" w:hAnsiTheme="majorHAnsi"/>
          <w:b/>
          <w:color w:val="365F91" w:themeColor="accent1" w:themeShade="BF"/>
          <w:sz w:val="32"/>
          <w:szCs w:val="32"/>
        </w:rPr>
        <w:t>B</w:t>
      </w:r>
      <w:r w:rsidR="00343F54" w:rsidRPr="0006089F">
        <w:rPr>
          <w:rFonts w:asciiTheme="majorHAnsi" w:hAnsiTheme="majorHAnsi"/>
          <w:b/>
          <w:color w:val="365F91" w:themeColor="accent1" w:themeShade="BF"/>
          <w:sz w:val="32"/>
          <w:szCs w:val="32"/>
        </w:rPr>
        <w:t xml:space="preserve">: </w:t>
      </w:r>
      <w:r w:rsidR="005F210F">
        <w:rPr>
          <w:rFonts w:asciiTheme="majorHAnsi" w:hAnsiTheme="majorHAnsi"/>
          <w:b/>
          <w:color w:val="365F91" w:themeColor="accent1" w:themeShade="BF"/>
          <w:sz w:val="32"/>
          <w:szCs w:val="32"/>
        </w:rPr>
        <w:t>Consultation</w:t>
      </w:r>
      <w:r w:rsidR="00A861CF">
        <w:rPr>
          <w:rFonts w:asciiTheme="majorHAnsi" w:hAnsiTheme="majorHAnsi"/>
          <w:b/>
          <w:color w:val="365F91" w:themeColor="accent1" w:themeShade="BF"/>
          <w:sz w:val="32"/>
          <w:szCs w:val="32"/>
        </w:rPr>
        <w:t>s</w:t>
      </w:r>
      <w:r w:rsidR="005F210F">
        <w:rPr>
          <w:rFonts w:asciiTheme="majorHAnsi" w:hAnsiTheme="majorHAnsi"/>
          <w:b/>
          <w:color w:val="365F91" w:themeColor="accent1" w:themeShade="BF"/>
          <w:sz w:val="32"/>
          <w:szCs w:val="32"/>
        </w:rPr>
        <w:t xml:space="preserve"> with Stakeholders and Data Users</w:t>
      </w:r>
    </w:p>
    <w:p w:rsidR="00445DA4" w:rsidRDefault="005F210F" w:rsidP="005F210F">
      <w:pPr>
        <w:pStyle w:val="Default"/>
        <w:spacing w:before="100" w:beforeAutospacing="1" w:after="100" w:afterAutospacing="1" w:line="360" w:lineRule="auto"/>
        <w:rPr>
          <w:rFonts w:asciiTheme="minorHAnsi" w:hAnsiTheme="minorHAnsi"/>
          <w:sz w:val="22"/>
          <w:szCs w:val="22"/>
        </w:rPr>
      </w:pPr>
      <w:r>
        <w:rPr>
          <w:rFonts w:asciiTheme="minorHAnsi" w:hAnsiTheme="minorHAnsi"/>
          <w:sz w:val="22"/>
          <w:szCs w:val="22"/>
        </w:rPr>
        <w:t>The Office of Petroleum and Biofuels Statistics (PBS) has conducted meetings to obtain feedback from internal and external sta</w:t>
      </w:r>
      <w:r w:rsidR="007B5CDB">
        <w:rPr>
          <w:rFonts w:asciiTheme="minorHAnsi" w:hAnsiTheme="minorHAnsi"/>
          <w:sz w:val="22"/>
          <w:szCs w:val="22"/>
        </w:rPr>
        <w:t xml:space="preserve">keholders and data users. This has involved </w:t>
      </w:r>
      <w:r w:rsidR="00DD2EFC" w:rsidRPr="005F210F">
        <w:rPr>
          <w:rFonts w:asciiTheme="minorHAnsi" w:hAnsiTheme="minorHAnsi"/>
          <w:sz w:val="22"/>
          <w:szCs w:val="22"/>
        </w:rPr>
        <w:t xml:space="preserve">qualitative and quantitative techniques to evaluate energy programs and survey processes. These evaluations use several techniques, including interviews, customer surveys, focus groups, </w:t>
      </w:r>
      <w:r w:rsidR="00445DA4">
        <w:rPr>
          <w:rFonts w:asciiTheme="minorHAnsi" w:hAnsiTheme="minorHAnsi"/>
          <w:sz w:val="22"/>
          <w:szCs w:val="22"/>
        </w:rPr>
        <w:t xml:space="preserve">and </w:t>
      </w:r>
      <w:r w:rsidR="00DD2EFC" w:rsidRPr="005F210F">
        <w:rPr>
          <w:rFonts w:asciiTheme="minorHAnsi" w:hAnsiTheme="minorHAnsi"/>
          <w:sz w:val="22"/>
          <w:szCs w:val="22"/>
        </w:rPr>
        <w:t xml:space="preserve">facilitated group techniques </w:t>
      </w:r>
      <w:r w:rsidR="00445DA4">
        <w:rPr>
          <w:rFonts w:asciiTheme="minorHAnsi" w:hAnsiTheme="minorHAnsi"/>
          <w:sz w:val="22"/>
          <w:szCs w:val="22"/>
        </w:rPr>
        <w:t xml:space="preserve">to evaluated </w:t>
      </w:r>
      <w:r w:rsidR="00DD2EFC" w:rsidRPr="005F210F">
        <w:rPr>
          <w:rFonts w:asciiTheme="minorHAnsi" w:hAnsiTheme="minorHAnsi"/>
          <w:sz w:val="22"/>
          <w:szCs w:val="22"/>
        </w:rPr>
        <w:t>needs</w:t>
      </w:r>
      <w:r w:rsidR="00445DA4">
        <w:rPr>
          <w:rFonts w:asciiTheme="minorHAnsi" w:hAnsiTheme="minorHAnsi"/>
          <w:sz w:val="22"/>
          <w:szCs w:val="22"/>
        </w:rPr>
        <w:t xml:space="preserve"> of stakeholders and data users</w:t>
      </w:r>
      <w:r w:rsidR="00DD2EFC" w:rsidRPr="005F210F">
        <w:rPr>
          <w:rFonts w:asciiTheme="minorHAnsi" w:hAnsiTheme="minorHAnsi"/>
          <w:sz w:val="22"/>
          <w:szCs w:val="22"/>
        </w:rPr>
        <w:t xml:space="preserve">. </w:t>
      </w:r>
    </w:p>
    <w:p w:rsidR="005F210F" w:rsidRDefault="00DD2EFC" w:rsidP="00445DA4">
      <w:pPr>
        <w:spacing w:before="100" w:beforeAutospacing="1" w:after="100" w:afterAutospacing="1" w:line="360" w:lineRule="auto"/>
        <w:rPr>
          <w:sz w:val="22"/>
          <w:szCs w:val="22"/>
        </w:rPr>
      </w:pPr>
      <w:r w:rsidRPr="005F210F">
        <w:rPr>
          <w:sz w:val="22"/>
          <w:szCs w:val="22"/>
        </w:rPr>
        <w:t xml:space="preserve">These outreach activities involved internal and external customers and </w:t>
      </w:r>
      <w:r w:rsidR="00445DA4">
        <w:rPr>
          <w:sz w:val="22"/>
          <w:szCs w:val="22"/>
        </w:rPr>
        <w:t xml:space="preserve">involved </w:t>
      </w:r>
      <w:r w:rsidRPr="005F210F">
        <w:rPr>
          <w:sz w:val="22"/>
          <w:szCs w:val="22"/>
        </w:rPr>
        <w:t xml:space="preserve">both formally and informal processes. Each of these activities solicited feedback regarding the PMP and associated surveys. </w:t>
      </w:r>
      <w:r w:rsidR="00445DA4">
        <w:rPr>
          <w:sz w:val="22"/>
          <w:szCs w:val="22"/>
        </w:rPr>
        <w:t xml:space="preserve">Numerous </w:t>
      </w:r>
      <w:r w:rsidR="00445DA4" w:rsidRPr="005F210F">
        <w:rPr>
          <w:sz w:val="22"/>
          <w:szCs w:val="22"/>
        </w:rPr>
        <w:t xml:space="preserve">recommendations were compiled, reviewed and prioritized in advance of redesign the 2013 PMP. </w:t>
      </w:r>
      <w:r w:rsidR="00445DA4">
        <w:rPr>
          <w:sz w:val="22"/>
          <w:szCs w:val="22"/>
        </w:rPr>
        <w:t xml:space="preserve"> A </w:t>
      </w:r>
      <w:r w:rsidR="00445DA4" w:rsidRPr="005F210F">
        <w:rPr>
          <w:sz w:val="22"/>
          <w:szCs w:val="22"/>
        </w:rPr>
        <w:t xml:space="preserve">team of program and survey managers, methodologists, and subject matter experts </w:t>
      </w:r>
      <w:r w:rsidR="00445DA4">
        <w:rPr>
          <w:sz w:val="22"/>
          <w:szCs w:val="22"/>
        </w:rPr>
        <w:t>reviewed and prioritized these recommendations during the pre-clearance activities.</w:t>
      </w:r>
      <w:r w:rsidR="00676AA1">
        <w:rPr>
          <w:sz w:val="22"/>
          <w:szCs w:val="22"/>
        </w:rPr>
        <w:t xml:space="preserve"> </w:t>
      </w:r>
      <w:r w:rsidRPr="005F210F">
        <w:rPr>
          <w:sz w:val="22"/>
          <w:szCs w:val="22"/>
        </w:rPr>
        <w:t xml:space="preserve">As a result of these efforts, </w:t>
      </w:r>
      <w:r>
        <w:rPr>
          <w:sz w:val="22"/>
          <w:szCs w:val="22"/>
        </w:rPr>
        <w:t>over 40</w:t>
      </w:r>
      <w:r w:rsidRPr="005F210F">
        <w:rPr>
          <w:sz w:val="22"/>
          <w:szCs w:val="22"/>
        </w:rPr>
        <w:t xml:space="preserve"> recommendations were adopted for </w:t>
      </w:r>
      <w:r>
        <w:rPr>
          <w:sz w:val="22"/>
          <w:szCs w:val="22"/>
        </w:rPr>
        <w:t xml:space="preserve">surveys in </w:t>
      </w:r>
      <w:r w:rsidRPr="005F210F">
        <w:rPr>
          <w:sz w:val="22"/>
          <w:szCs w:val="22"/>
        </w:rPr>
        <w:t xml:space="preserve">the 2013 </w:t>
      </w:r>
      <w:r>
        <w:rPr>
          <w:sz w:val="22"/>
          <w:szCs w:val="22"/>
        </w:rPr>
        <w:t>Petroleum Marketing Program (</w:t>
      </w:r>
      <w:r w:rsidRPr="005F210F">
        <w:rPr>
          <w:sz w:val="22"/>
          <w:szCs w:val="22"/>
        </w:rPr>
        <w:t>PMP</w:t>
      </w:r>
      <w:r>
        <w:rPr>
          <w:sz w:val="22"/>
          <w:szCs w:val="22"/>
        </w:rPr>
        <w:t>)</w:t>
      </w:r>
      <w:r w:rsidRPr="005F210F">
        <w:rPr>
          <w:sz w:val="22"/>
          <w:szCs w:val="22"/>
        </w:rPr>
        <w:t xml:space="preserve">. </w:t>
      </w:r>
      <w:r>
        <w:rPr>
          <w:sz w:val="22"/>
          <w:szCs w:val="22"/>
        </w:rPr>
        <w:t xml:space="preserve"> Below is a list of</w:t>
      </w:r>
      <w:r w:rsidR="005F210F">
        <w:rPr>
          <w:sz w:val="22"/>
          <w:szCs w:val="22"/>
        </w:rPr>
        <w:t xml:space="preserve"> activities:</w:t>
      </w:r>
    </w:p>
    <w:tbl>
      <w:tblPr>
        <w:tblStyle w:val="TableGrid"/>
        <w:tblW w:w="9648" w:type="dxa"/>
        <w:tblLook w:val="04A0" w:firstRow="1" w:lastRow="0" w:firstColumn="1" w:lastColumn="0" w:noHBand="0" w:noVBand="1"/>
      </w:tblPr>
      <w:tblGrid>
        <w:gridCol w:w="1008"/>
        <w:gridCol w:w="8640"/>
      </w:tblGrid>
      <w:tr w:rsidR="00EE24EE" w:rsidRPr="00EE24EE" w:rsidTr="00445DA4">
        <w:tc>
          <w:tcPr>
            <w:tcW w:w="1008" w:type="dxa"/>
          </w:tcPr>
          <w:p w:rsidR="00EE24EE" w:rsidRPr="00EE24EE" w:rsidRDefault="00EE24EE" w:rsidP="00445DA4">
            <w:pPr>
              <w:pStyle w:val="Default"/>
              <w:spacing w:before="100" w:beforeAutospacing="1" w:after="100" w:afterAutospacing="1" w:line="360" w:lineRule="auto"/>
              <w:rPr>
                <w:rFonts w:asciiTheme="minorHAnsi" w:hAnsiTheme="minorHAnsi"/>
                <w:b/>
                <w:sz w:val="22"/>
                <w:szCs w:val="22"/>
              </w:rPr>
            </w:pPr>
            <w:r w:rsidRPr="00EE24EE">
              <w:rPr>
                <w:rFonts w:asciiTheme="minorHAnsi" w:hAnsiTheme="minorHAnsi"/>
                <w:b/>
                <w:sz w:val="22"/>
                <w:szCs w:val="22"/>
              </w:rPr>
              <w:t>Year</w:t>
            </w:r>
          </w:p>
        </w:tc>
        <w:tc>
          <w:tcPr>
            <w:tcW w:w="8640" w:type="dxa"/>
          </w:tcPr>
          <w:p w:rsidR="00EE24EE" w:rsidRPr="00EE24EE" w:rsidRDefault="00EE24EE" w:rsidP="005F210F">
            <w:pPr>
              <w:pStyle w:val="Default"/>
              <w:spacing w:before="100" w:beforeAutospacing="1" w:after="100" w:afterAutospacing="1" w:line="360" w:lineRule="auto"/>
              <w:rPr>
                <w:rFonts w:asciiTheme="minorHAnsi" w:hAnsiTheme="minorHAnsi"/>
                <w:b/>
                <w:sz w:val="22"/>
                <w:szCs w:val="22"/>
              </w:rPr>
            </w:pPr>
            <w:r w:rsidRPr="00EE24EE">
              <w:rPr>
                <w:rFonts w:asciiTheme="minorHAnsi" w:hAnsiTheme="minorHAnsi"/>
                <w:b/>
                <w:sz w:val="22"/>
                <w:szCs w:val="22"/>
              </w:rPr>
              <w:t>Consultations with Internal and External Stakeholders and Data Users</w:t>
            </w:r>
          </w:p>
        </w:tc>
      </w:tr>
      <w:tr w:rsidR="00445DA4" w:rsidTr="00445DA4">
        <w:tc>
          <w:tcPr>
            <w:tcW w:w="1008" w:type="dxa"/>
          </w:tcPr>
          <w:p w:rsidR="00445DA4" w:rsidRPr="007B5CDB" w:rsidRDefault="00445DA4" w:rsidP="00445DA4">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2012</w:t>
            </w:r>
          </w:p>
          <w:p w:rsidR="00445DA4" w:rsidRPr="007B5CDB" w:rsidRDefault="00445DA4" w:rsidP="005F210F">
            <w:pPr>
              <w:pStyle w:val="Default"/>
              <w:spacing w:before="100" w:beforeAutospacing="1" w:after="100" w:afterAutospacing="1" w:line="360" w:lineRule="auto"/>
              <w:rPr>
                <w:rFonts w:asciiTheme="minorHAnsi" w:hAnsiTheme="minorHAnsi"/>
                <w:sz w:val="22"/>
                <w:szCs w:val="22"/>
              </w:rPr>
            </w:pPr>
          </w:p>
        </w:tc>
        <w:tc>
          <w:tcPr>
            <w:tcW w:w="8640" w:type="dxa"/>
          </w:tcPr>
          <w:p w:rsidR="00445DA4" w:rsidRDefault="00445DA4" w:rsidP="005F210F">
            <w:pPr>
              <w:pStyle w:val="Default"/>
              <w:spacing w:before="100" w:beforeAutospacing="1" w:after="100" w:afterAutospacing="1" w:line="360" w:lineRule="auto"/>
              <w:rPr>
                <w:rFonts w:asciiTheme="minorHAnsi" w:hAnsiTheme="minorHAnsi"/>
                <w:sz w:val="22"/>
                <w:szCs w:val="22"/>
              </w:rPr>
            </w:pPr>
            <w:r>
              <w:rPr>
                <w:rFonts w:asciiTheme="minorHAnsi" w:hAnsiTheme="minorHAnsi"/>
                <w:sz w:val="22"/>
                <w:szCs w:val="22"/>
              </w:rPr>
              <w:t>EIA r</w:t>
            </w:r>
            <w:r w:rsidRPr="007B5CDB">
              <w:rPr>
                <w:rFonts w:asciiTheme="minorHAnsi" w:hAnsiTheme="minorHAnsi"/>
                <w:sz w:val="22"/>
                <w:szCs w:val="22"/>
              </w:rPr>
              <w:t xml:space="preserve">eleased </w:t>
            </w:r>
            <w:r>
              <w:rPr>
                <w:rFonts w:asciiTheme="minorHAnsi" w:hAnsiTheme="minorHAnsi"/>
                <w:sz w:val="22"/>
                <w:szCs w:val="22"/>
              </w:rPr>
              <w:t xml:space="preserve">two </w:t>
            </w:r>
            <w:r w:rsidRPr="007B5CDB">
              <w:rPr>
                <w:rFonts w:asciiTheme="minorHAnsi" w:hAnsiTheme="minorHAnsi"/>
                <w:sz w:val="22"/>
                <w:szCs w:val="22"/>
              </w:rPr>
              <w:t>Federal Register Notice</w:t>
            </w:r>
            <w:r>
              <w:rPr>
                <w:rFonts w:asciiTheme="minorHAnsi" w:hAnsiTheme="minorHAnsi"/>
                <w:sz w:val="22"/>
                <w:szCs w:val="22"/>
              </w:rPr>
              <w:t xml:space="preserve">s soliciting </w:t>
            </w:r>
            <w:r w:rsidRPr="007B5CDB">
              <w:rPr>
                <w:rFonts w:asciiTheme="minorHAnsi" w:hAnsiTheme="minorHAnsi"/>
                <w:sz w:val="22"/>
                <w:szCs w:val="22"/>
              </w:rPr>
              <w:t>public comments on</w:t>
            </w:r>
            <w:r>
              <w:rPr>
                <w:rFonts w:asciiTheme="minorHAnsi" w:hAnsiTheme="minorHAnsi"/>
                <w:sz w:val="22"/>
                <w:szCs w:val="22"/>
              </w:rPr>
              <w:t xml:space="preserve"> proposed changes to surveys in the PMP.</w:t>
            </w:r>
            <w:r w:rsidRPr="007B5CDB">
              <w:rPr>
                <w:rFonts w:asciiTheme="minorHAnsi" w:hAnsiTheme="minorHAnsi"/>
                <w:sz w:val="22"/>
                <w:szCs w:val="22"/>
              </w:rPr>
              <w:t xml:space="preserve"> </w:t>
            </w:r>
          </w:p>
        </w:tc>
      </w:tr>
      <w:tr w:rsidR="005F210F" w:rsidTr="00445DA4">
        <w:tc>
          <w:tcPr>
            <w:tcW w:w="1008" w:type="dxa"/>
          </w:tcPr>
          <w:p w:rsidR="005F210F" w:rsidRPr="007B5CDB" w:rsidRDefault="005F210F"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2012</w:t>
            </w:r>
          </w:p>
        </w:tc>
        <w:tc>
          <w:tcPr>
            <w:tcW w:w="8640" w:type="dxa"/>
          </w:tcPr>
          <w:p w:rsidR="005F210F" w:rsidRPr="007B5CDB" w:rsidRDefault="00445DA4" w:rsidP="00445DA4">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 xml:space="preserve">PBS Mathematical Statistician </w:t>
            </w:r>
            <w:r>
              <w:rPr>
                <w:rFonts w:asciiTheme="minorHAnsi" w:hAnsiTheme="minorHAnsi"/>
                <w:sz w:val="22"/>
                <w:szCs w:val="22"/>
              </w:rPr>
              <w:t>p</w:t>
            </w:r>
            <w:r w:rsidR="005F210F" w:rsidRPr="007B5CDB">
              <w:rPr>
                <w:rFonts w:asciiTheme="minorHAnsi" w:hAnsiTheme="minorHAnsi"/>
                <w:sz w:val="22"/>
                <w:szCs w:val="22"/>
              </w:rPr>
              <w:t>resent</w:t>
            </w:r>
            <w:r>
              <w:rPr>
                <w:rFonts w:asciiTheme="minorHAnsi" w:hAnsiTheme="minorHAnsi"/>
                <w:sz w:val="22"/>
                <w:szCs w:val="22"/>
              </w:rPr>
              <w:t>ed</w:t>
            </w:r>
            <w:r w:rsidR="00DD2EFC" w:rsidRPr="007B5CDB">
              <w:rPr>
                <w:rFonts w:asciiTheme="minorHAnsi" w:hAnsiTheme="minorHAnsi"/>
                <w:sz w:val="22"/>
                <w:szCs w:val="22"/>
              </w:rPr>
              <w:t xml:space="preserve"> paper,</w:t>
            </w:r>
            <w:r w:rsidR="005F210F" w:rsidRPr="007B5CDB">
              <w:rPr>
                <w:rFonts w:asciiTheme="minorHAnsi" w:hAnsiTheme="minorHAnsi"/>
                <w:sz w:val="22"/>
                <w:szCs w:val="22"/>
              </w:rPr>
              <w:t xml:space="preserve"> </w:t>
            </w:r>
            <w:hyperlink r:id="rId9" w:history="1">
              <w:r w:rsidR="00DD2EFC" w:rsidRPr="007B5CDB">
                <w:rPr>
                  <w:rStyle w:val="Hyperlink"/>
                  <w:rFonts w:asciiTheme="minorHAnsi" w:hAnsiTheme="minorHAnsi"/>
                  <w:color w:val="3333FF"/>
                  <w:sz w:val="22"/>
                  <w:szCs w:val="22"/>
                </w:rPr>
                <w:t>Achieving Information Quality via Continuous Quality Improvement</w:t>
              </w:r>
            </w:hyperlink>
            <w:r w:rsidR="00DD2EFC" w:rsidRPr="007B5CDB">
              <w:rPr>
                <w:rFonts w:asciiTheme="minorHAnsi" w:hAnsiTheme="minorHAnsi"/>
                <w:sz w:val="22"/>
                <w:szCs w:val="22"/>
              </w:rPr>
              <w:t xml:space="preserve"> </w:t>
            </w:r>
            <w:r w:rsidR="005F210F" w:rsidRPr="007B5CDB">
              <w:rPr>
                <w:rFonts w:asciiTheme="minorHAnsi" w:hAnsiTheme="minorHAnsi"/>
                <w:sz w:val="22"/>
                <w:szCs w:val="22"/>
              </w:rPr>
              <w:t xml:space="preserve">at </w:t>
            </w:r>
            <w:r>
              <w:rPr>
                <w:rFonts w:asciiTheme="minorHAnsi" w:hAnsiTheme="minorHAnsi"/>
                <w:sz w:val="22"/>
                <w:szCs w:val="22"/>
              </w:rPr>
              <w:t xml:space="preserve">the </w:t>
            </w:r>
            <w:r w:rsidR="005F210F" w:rsidRPr="007B5CDB">
              <w:rPr>
                <w:rFonts w:asciiTheme="minorHAnsi" w:hAnsiTheme="minorHAnsi"/>
                <w:sz w:val="22"/>
                <w:szCs w:val="22"/>
              </w:rPr>
              <w:t>2012 Federal Committee on Statistics and Methodology (FCSM) Conference</w:t>
            </w:r>
            <w:r w:rsidR="00DD2EFC" w:rsidRPr="007B5CDB">
              <w:rPr>
                <w:rFonts w:asciiTheme="minorHAnsi" w:hAnsiTheme="minorHAnsi"/>
                <w:sz w:val="22"/>
                <w:szCs w:val="22"/>
              </w:rPr>
              <w:t>.</w:t>
            </w:r>
          </w:p>
        </w:tc>
      </w:tr>
      <w:tr w:rsidR="005F210F" w:rsidTr="00445DA4">
        <w:tc>
          <w:tcPr>
            <w:tcW w:w="1008" w:type="dxa"/>
          </w:tcPr>
          <w:p w:rsidR="005F210F" w:rsidRPr="007B5CDB" w:rsidRDefault="005F210F"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2011</w:t>
            </w:r>
          </w:p>
        </w:tc>
        <w:tc>
          <w:tcPr>
            <w:tcW w:w="8640" w:type="dxa"/>
          </w:tcPr>
          <w:p w:rsidR="005F210F" w:rsidRPr="007B5CDB" w:rsidRDefault="005F210F" w:rsidP="00DD2EFC">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 xml:space="preserve">Preclearance meetings </w:t>
            </w:r>
            <w:r w:rsidR="00DD2EFC" w:rsidRPr="007B5CDB">
              <w:rPr>
                <w:rFonts w:asciiTheme="minorHAnsi" w:hAnsiTheme="minorHAnsi"/>
                <w:sz w:val="22"/>
                <w:szCs w:val="22"/>
              </w:rPr>
              <w:t xml:space="preserve">between PBS and </w:t>
            </w:r>
            <w:r w:rsidRPr="007B5CDB">
              <w:rPr>
                <w:rFonts w:asciiTheme="minorHAnsi" w:hAnsiTheme="minorHAnsi"/>
                <w:sz w:val="22"/>
                <w:szCs w:val="22"/>
              </w:rPr>
              <w:t xml:space="preserve">internal stakeholders and data users, including EIA representatives from the AEO, the AER, </w:t>
            </w:r>
            <w:r w:rsidR="00DD2EFC" w:rsidRPr="007B5CDB">
              <w:rPr>
                <w:rFonts w:asciiTheme="minorHAnsi" w:hAnsiTheme="minorHAnsi"/>
                <w:sz w:val="22"/>
                <w:szCs w:val="22"/>
              </w:rPr>
              <w:t xml:space="preserve">FOKS, GDFU, HOPU, </w:t>
            </w:r>
            <w:r w:rsidRPr="007B5CDB">
              <w:rPr>
                <w:rFonts w:asciiTheme="minorHAnsi" w:hAnsiTheme="minorHAnsi"/>
                <w:sz w:val="22"/>
                <w:szCs w:val="22"/>
              </w:rPr>
              <w:t xml:space="preserve">NEMS, </w:t>
            </w:r>
            <w:r w:rsidR="00DD2EFC" w:rsidRPr="007B5CDB">
              <w:rPr>
                <w:rFonts w:asciiTheme="minorHAnsi" w:hAnsiTheme="minorHAnsi"/>
                <w:sz w:val="22"/>
                <w:szCs w:val="22"/>
              </w:rPr>
              <w:t xml:space="preserve">PMM, </w:t>
            </w:r>
            <w:r w:rsidRPr="007B5CDB">
              <w:rPr>
                <w:rFonts w:asciiTheme="minorHAnsi" w:hAnsiTheme="minorHAnsi"/>
                <w:sz w:val="22"/>
                <w:szCs w:val="22"/>
              </w:rPr>
              <w:t>SEDS, STEO, TWIP, and WPSR</w:t>
            </w:r>
            <w:r w:rsidR="00DD2EFC" w:rsidRPr="007B5CDB">
              <w:rPr>
                <w:rFonts w:asciiTheme="minorHAnsi" w:hAnsiTheme="minorHAnsi"/>
                <w:sz w:val="22"/>
                <w:szCs w:val="22"/>
              </w:rPr>
              <w:t xml:space="preserve"> to discuss impact of changes i</w:t>
            </w:r>
            <w:r w:rsidRPr="007B5CDB">
              <w:rPr>
                <w:rFonts w:asciiTheme="minorHAnsi" w:hAnsiTheme="minorHAnsi"/>
                <w:sz w:val="22"/>
                <w:szCs w:val="22"/>
              </w:rPr>
              <w:t xml:space="preserve">n program to </w:t>
            </w:r>
            <w:r w:rsidR="00DD2EFC" w:rsidRPr="007B5CDB">
              <w:rPr>
                <w:rFonts w:asciiTheme="minorHAnsi" w:hAnsiTheme="minorHAnsi"/>
                <w:sz w:val="22"/>
                <w:szCs w:val="22"/>
              </w:rPr>
              <w:t xml:space="preserve">EIA </w:t>
            </w:r>
            <w:r w:rsidRPr="007B5CDB">
              <w:rPr>
                <w:rFonts w:asciiTheme="minorHAnsi" w:hAnsiTheme="minorHAnsi"/>
                <w:sz w:val="22"/>
                <w:szCs w:val="22"/>
              </w:rPr>
              <w:t>publications.</w:t>
            </w:r>
          </w:p>
        </w:tc>
      </w:tr>
      <w:tr w:rsidR="007B5CDB" w:rsidTr="00445DA4">
        <w:tc>
          <w:tcPr>
            <w:tcW w:w="1008" w:type="dxa"/>
          </w:tcPr>
          <w:p w:rsidR="007B5CDB" w:rsidRPr="007B5CDB" w:rsidRDefault="007B5CDB"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2011</w:t>
            </w:r>
          </w:p>
        </w:tc>
        <w:tc>
          <w:tcPr>
            <w:tcW w:w="8640" w:type="dxa"/>
          </w:tcPr>
          <w:p w:rsidR="007B5CDB" w:rsidRPr="00676AA1" w:rsidRDefault="00676AA1" w:rsidP="00676AA1">
            <w:pPr>
              <w:spacing w:line="360" w:lineRule="auto"/>
              <w:rPr>
                <w:rFonts w:asciiTheme="majorHAnsi" w:eastAsiaTheme="minorHAnsi" w:hAnsiTheme="majorHAnsi" w:cs="Times New Roman"/>
                <w:b/>
                <w:color w:val="365F91" w:themeColor="accent1" w:themeShade="BF"/>
                <w:sz w:val="32"/>
                <w:szCs w:val="32"/>
                <w:lang w:bidi="ar-SA"/>
              </w:rPr>
            </w:pPr>
            <w:r w:rsidRPr="007B5CDB">
              <w:rPr>
                <w:sz w:val="22"/>
                <w:szCs w:val="22"/>
              </w:rPr>
              <w:t>The Office of Survey Development and Statistical Integration conducted an early-scope assessment and provided over 100 recommendations.</w:t>
            </w:r>
            <w:r>
              <w:rPr>
                <w:sz w:val="22"/>
                <w:szCs w:val="22"/>
              </w:rPr>
              <w:t xml:space="preserve"> This assessment was </w:t>
            </w:r>
            <w:r w:rsidRPr="005F210F">
              <w:rPr>
                <w:sz w:val="22"/>
                <w:szCs w:val="22"/>
              </w:rPr>
              <w:t>conducted by survey methodologists in the Office of Survey Development and Statistical Integration, interviewed survey managers and data analysts. This evaluation involved early-stage scoping interviews that used semi-structure protocols to understand substantive issues from the subject matters’ point of view.</w:t>
            </w:r>
          </w:p>
        </w:tc>
      </w:tr>
    </w:tbl>
    <w:p w:rsidR="00EE24EE" w:rsidRDefault="00EE24EE"/>
    <w:tbl>
      <w:tblPr>
        <w:tblStyle w:val="TableGrid"/>
        <w:tblW w:w="9648" w:type="dxa"/>
        <w:tblLook w:val="04A0" w:firstRow="1" w:lastRow="0" w:firstColumn="1" w:lastColumn="0" w:noHBand="0" w:noVBand="1"/>
      </w:tblPr>
      <w:tblGrid>
        <w:gridCol w:w="1008"/>
        <w:gridCol w:w="8640"/>
      </w:tblGrid>
      <w:tr w:rsidR="00EE24EE" w:rsidTr="00B82B87">
        <w:tc>
          <w:tcPr>
            <w:tcW w:w="1008" w:type="dxa"/>
          </w:tcPr>
          <w:p w:rsidR="00EE24EE" w:rsidRPr="00EE24EE" w:rsidRDefault="00EE24EE" w:rsidP="00B82B87">
            <w:pPr>
              <w:pStyle w:val="Default"/>
              <w:spacing w:before="100" w:beforeAutospacing="1" w:after="100" w:afterAutospacing="1" w:line="360" w:lineRule="auto"/>
              <w:rPr>
                <w:rFonts w:asciiTheme="minorHAnsi" w:hAnsiTheme="minorHAnsi"/>
                <w:b/>
                <w:sz w:val="22"/>
                <w:szCs w:val="22"/>
              </w:rPr>
            </w:pPr>
            <w:r w:rsidRPr="00EE24EE">
              <w:rPr>
                <w:rFonts w:asciiTheme="minorHAnsi" w:hAnsiTheme="minorHAnsi"/>
                <w:b/>
                <w:sz w:val="22"/>
                <w:szCs w:val="22"/>
              </w:rPr>
              <w:lastRenderedPageBreak/>
              <w:t>Year</w:t>
            </w:r>
          </w:p>
        </w:tc>
        <w:tc>
          <w:tcPr>
            <w:tcW w:w="8640" w:type="dxa"/>
          </w:tcPr>
          <w:p w:rsidR="00EE24EE" w:rsidRPr="00EE24EE" w:rsidRDefault="00EE24EE" w:rsidP="00B82B87">
            <w:pPr>
              <w:pStyle w:val="Default"/>
              <w:spacing w:before="100" w:beforeAutospacing="1" w:after="100" w:afterAutospacing="1" w:line="360" w:lineRule="auto"/>
              <w:rPr>
                <w:rFonts w:asciiTheme="minorHAnsi" w:hAnsiTheme="minorHAnsi"/>
                <w:b/>
                <w:sz w:val="22"/>
                <w:szCs w:val="22"/>
              </w:rPr>
            </w:pPr>
            <w:r w:rsidRPr="00EE24EE">
              <w:rPr>
                <w:rFonts w:asciiTheme="minorHAnsi" w:hAnsiTheme="minorHAnsi"/>
                <w:b/>
                <w:sz w:val="22"/>
                <w:szCs w:val="22"/>
              </w:rPr>
              <w:t>Consultations with Internal and External Stakeholders and Data Users</w:t>
            </w:r>
          </w:p>
        </w:tc>
      </w:tr>
      <w:tr w:rsidR="005F210F" w:rsidTr="00445DA4">
        <w:tc>
          <w:tcPr>
            <w:tcW w:w="1008" w:type="dxa"/>
          </w:tcPr>
          <w:p w:rsidR="005F210F" w:rsidRPr="007B5CDB" w:rsidRDefault="005F210F"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2011</w:t>
            </w:r>
          </w:p>
        </w:tc>
        <w:tc>
          <w:tcPr>
            <w:tcW w:w="8640" w:type="dxa"/>
          </w:tcPr>
          <w:p w:rsidR="005F210F" w:rsidRPr="00676AA1" w:rsidRDefault="00676AA1" w:rsidP="00676AA1">
            <w:pPr>
              <w:spacing w:line="360" w:lineRule="auto"/>
              <w:rPr>
                <w:rFonts w:asciiTheme="majorHAnsi" w:eastAsiaTheme="minorHAnsi" w:hAnsiTheme="majorHAnsi" w:cs="Times New Roman"/>
                <w:b/>
                <w:color w:val="365F91" w:themeColor="accent1" w:themeShade="BF"/>
                <w:sz w:val="32"/>
                <w:szCs w:val="32"/>
                <w:lang w:bidi="ar-SA"/>
              </w:rPr>
            </w:pPr>
            <w:r>
              <w:rPr>
                <w:sz w:val="22"/>
                <w:szCs w:val="22"/>
              </w:rPr>
              <w:t>Director of PBS gave p</w:t>
            </w:r>
            <w:r w:rsidRPr="007B5CDB">
              <w:rPr>
                <w:sz w:val="22"/>
                <w:szCs w:val="22"/>
              </w:rPr>
              <w:t xml:space="preserve">resentation, </w:t>
            </w:r>
            <w:hyperlink r:id="rId10" w:history="1">
              <w:r w:rsidRPr="007B5CDB">
                <w:rPr>
                  <w:rStyle w:val="Hyperlink"/>
                  <w:sz w:val="22"/>
                  <w:szCs w:val="22"/>
                </w:rPr>
                <w:t>Tough Choices in U.S. EIA's Data Programs</w:t>
              </w:r>
            </w:hyperlink>
            <w:r w:rsidRPr="007B5CDB">
              <w:rPr>
                <w:sz w:val="22"/>
                <w:szCs w:val="22"/>
              </w:rPr>
              <w:t xml:space="preserve"> at </w:t>
            </w:r>
            <w:hyperlink r:id="rId11" w:history="1">
              <w:r w:rsidRPr="007B5CDB">
                <w:rPr>
                  <w:rStyle w:val="Hyperlink"/>
                  <w:sz w:val="22"/>
                  <w:szCs w:val="22"/>
                </w:rPr>
                <w:t>EIA’s Annual Energy Conference</w:t>
              </w:r>
            </w:hyperlink>
            <w:r w:rsidRPr="007B5CDB">
              <w:rPr>
                <w:sz w:val="22"/>
                <w:szCs w:val="22"/>
              </w:rPr>
              <w:t xml:space="preserve"> on proposed changes to the Petroleum Marketing Program and other programs</w:t>
            </w:r>
            <w:r>
              <w:rPr>
                <w:sz w:val="22"/>
                <w:szCs w:val="22"/>
              </w:rPr>
              <w:t>.</w:t>
            </w:r>
          </w:p>
        </w:tc>
      </w:tr>
      <w:tr w:rsidR="00676AA1" w:rsidTr="00445DA4">
        <w:tc>
          <w:tcPr>
            <w:tcW w:w="1008" w:type="dxa"/>
          </w:tcPr>
          <w:p w:rsidR="00676AA1" w:rsidRPr="007B5CDB" w:rsidRDefault="00676AA1" w:rsidP="005F210F">
            <w:pPr>
              <w:pStyle w:val="Default"/>
              <w:spacing w:before="100" w:beforeAutospacing="1" w:after="100" w:afterAutospacing="1" w:line="360" w:lineRule="auto"/>
              <w:rPr>
                <w:rFonts w:asciiTheme="minorHAnsi" w:hAnsiTheme="minorHAnsi"/>
                <w:sz w:val="22"/>
                <w:szCs w:val="22"/>
              </w:rPr>
            </w:pPr>
            <w:r>
              <w:rPr>
                <w:rFonts w:asciiTheme="minorHAnsi" w:hAnsiTheme="minorHAnsi"/>
                <w:sz w:val="22"/>
                <w:szCs w:val="22"/>
              </w:rPr>
              <w:t>2011</w:t>
            </w:r>
          </w:p>
        </w:tc>
        <w:tc>
          <w:tcPr>
            <w:tcW w:w="8640" w:type="dxa"/>
          </w:tcPr>
          <w:p w:rsidR="00676AA1" w:rsidRPr="007B5CDB" w:rsidRDefault="00676AA1" w:rsidP="005F210F">
            <w:pPr>
              <w:pStyle w:val="Default"/>
              <w:spacing w:before="100" w:beforeAutospacing="1" w:after="100" w:afterAutospacing="1" w:line="360" w:lineRule="auto"/>
              <w:rPr>
                <w:rFonts w:asciiTheme="minorHAnsi" w:hAnsiTheme="minorHAnsi"/>
                <w:sz w:val="22"/>
                <w:szCs w:val="22"/>
              </w:rPr>
            </w:pPr>
            <w:r>
              <w:rPr>
                <w:rFonts w:asciiTheme="minorHAnsi" w:hAnsiTheme="minorHAnsi"/>
                <w:sz w:val="22"/>
                <w:szCs w:val="22"/>
              </w:rPr>
              <w:t>Office of Communications issued Press Release indicating select EIA surveys (including EIA-782B, 821 and 863) suspended due to budget cuts.</w:t>
            </w:r>
          </w:p>
        </w:tc>
      </w:tr>
      <w:tr w:rsidR="005F210F" w:rsidTr="00445DA4">
        <w:tc>
          <w:tcPr>
            <w:tcW w:w="1008" w:type="dxa"/>
          </w:tcPr>
          <w:p w:rsidR="005F210F" w:rsidRPr="007B5CDB" w:rsidRDefault="005F210F"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2011</w:t>
            </w:r>
          </w:p>
        </w:tc>
        <w:tc>
          <w:tcPr>
            <w:tcW w:w="8640" w:type="dxa"/>
          </w:tcPr>
          <w:p w:rsidR="005F210F" w:rsidRPr="007B5CDB" w:rsidRDefault="005F210F"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 xml:space="preserve">Presentation at </w:t>
            </w:r>
            <w:r w:rsidR="00DD2EFC" w:rsidRPr="007B5CDB">
              <w:rPr>
                <w:rFonts w:asciiTheme="minorHAnsi" w:hAnsiTheme="minorHAnsi"/>
                <w:sz w:val="22"/>
                <w:szCs w:val="22"/>
              </w:rPr>
              <w:t>Kauffman Forum on Establishment Surveys by PBS Mathematical Statistician on internal and external evaluations of program</w:t>
            </w:r>
          </w:p>
        </w:tc>
      </w:tr>
      <w:tr w:rsidR="00B91AE7" w:rsidTr="00445DA4">
        <w:tc>
          <w:tcPr>
            <w:tcW w:w="1008" w:type="dxa"/>
          </w:tcPr>
          <w:p w:rsidR="00B91AE7" w:rsidRPr="007B5CDB" w:rsidRDefault="00B91AE7" w:rsidP="005F210F">
            <w:pPr>
              <w:pStyle w:val="Default"/>
              <w:spacing w:before="100" w:beforeAutospacing="1" w:after="100" w:afterAutospacing="1" w:line="360" w:lineRule="auto"/>
              <w:rPr>
                <w:rFonts w:asciiTheme="minorHAnsi" w:hAnsiTheme="minorHAnsi"/>
                <w:sz w:val="22"/>
                <w:szCs w:val="22"/>
              </w:rPr>
            </w:pPr>
            <w:r>
              <w:rPr>
                <w:rFonts w:asciiTheme="minorHAnsi" w:hAnsiTheme="minorHAnsi"/>
                <w:sz w:val="22"/>
                <w:szCs w:val="22"/>
              </w:rPr>
              <w:t>2010</w:t>
            </w:r>
          </w:p>
        </w:tc>
        <w:tc>
          <w:tcPr>
            <w:tcW w:w="8640" w:type="dxa"/>
          </w:tcPr>
          <w:p w:rsidR="00B91AE7" w:rsidRPr="007B5CDB" w:rsidRDefault="00B91AE7" w:rsidP="00B91AE7">
            <w:pPr>
              <w:pStyle w:val="Default"/>
              <w:spacing w:before="100" w:beforeAutospacing="1" w:after="100" w:afterAutospacing="1" w:line="360" w:lineRule="auto"/>
              <w:rPr>
                <w:rFonts w:asciiTheme="minorHAnsi" w:hAnsiTheme="minorHAnsi"/>
                <w:sz w:val="22"/>
                <w:szCs w:val="22"/>
              </w:rPr>
            </w:pPr>
            <w:r>
              <w:rPr>
                <w:rFonts w:asciiTheme="minorHAnsi" w:hAnsiTheme="minorHAnsi"/>
                <w:sz w:val="22"/>
                <w:szCs w:val="22"/>
              </w:rPr>
              <w:t xml:space="preserve">Director of PBS gave presentation to </w:t>
            </w:r>
            <w:hyperlink r:id="rId12" w:history="1">
              <w:r w:rsidRPr="00B91AE7">
                <w:rPr>
                  <w:rStyle w:val="Hyperlink"/>
                  <w:rFonts w:asciiTheme="minorHAnsi" w:hAnsiTheme="minorHAnsi"/>
                  <w:sz w:val="22"/>
                  <w:szCs w:val="22"/>
                </w:rPr>
                <w:t>National Association of State Energy Officials</w:t>
              </w:r>
            </w:hyperlink>
            <w:r>
              <w:rPr>
                <w:rFonts w:asciiTheme="minorHAnsi" w:hAnsiTheme="minorHAnsi"/>
                <w:sz w:val="22"/>
                <w:szCs w:val="22"/>
              </w:rPr>
              <w:t xml:space="preserve"> (NASEO)</w:t>
            </w:r>
            <w:r>
              <w:t xml:space="preserve"> </w:t>
            </w:r>
          </w:p>
        </w:tc>
      </w:tr>
      <w:tr w:rsidR="005F210F" w:rsidTr="00445DA4">
        <w:tc>
          <w:tcPr>
            <w:tcW w:w="1008" w:type="dxa"/>
          </w:tcPr>
          <w:p w:rsidR="005F210F" w:rsidRPr="007B5CDB" w:rsidRDefault="00DD2EFC"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2009</w:t>
            </w:r>
          </w:p>
        </w:tc>
        <w:tc>
          <w:tcPr>
            <w:tcW w:w="8640" w:type="dxa"/>
          </w:tcPr>
          <w:p w:rsidR="00DD2EFC" w:rsidRPr="007B5CDB" w:rsidRDefault="007B5CDB" w:rsidP="007B5CDB">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 xml:space="preserve">EIA produced a report, </w:t>
            </w:r>
            <w:hyperlink r:id="rId13" w:history="1">
              <w:r w:rsidRPr="007B5CDB">
                <w:rPr>
                  <w:rStyle w:val="Hyperlink"/>
                  <w:rFonts w:asciiTheme="minorHAnsi" w:hAnsiTheme="minorHAnsi"/>
                  <w:sz w:val="22"/>
                  <w:szCs w:val="22"/>
                </w:rPr>
                <w:t>State Energy Data Needs Assessment</w:t>
              </w:r>
            </w:hyperlink>
            <w:r w:rsidRPr="007B5CDB">
              <w:rPr>
                <w:rFonts w:asciiTheme="minorHAnsi" w:hAnsiTheme="minorHAnsi"/>
                <w:sz w:val="22"/>
                <w:szCs w:val="22"/>
              </w:rPr>
              <w:t xml:space="preserve">, as the result of the 2009 State Energy Data Workshops.  Numerous representatives from the State Energy Offices attended this event. </w:t>
            </w:r>
          </w:p>
        </w:tc>
      </w:tr>
      <w:tr w:rsidR="005F210F" w:rsidTr="00445DA4">
        <w:tc>
          <w:tcPr>
            <w:tcW w:w="1008" w:type="dxa"/>
          </w:tcPr>
          <w:p w:rsidR="005F210F" w:rsidRPr="007B5CDB" w:rsidRDefault="00DD2EFC" w:rsidP="005F210F">
            <w:pPr>
              <w:pStyle w:val="Default"/>
              <w:spacing w:before="100" w:beforeAutospacing="1" w:after="100" w:afterAutospacing="1" w:line="360" w:lineRule="auto"/>
              <w:rPr>
                <w:rFonts w:asciiTheme="minorHAnsi" w:hAnsiTheme="minorHAnsi"/>
                <w:sz w:val="22"/>
                <w:szCs w:val="22"/>
              </w:rPr>
            </w:pPr>
            <w:r w:rsidRPr="007B5CDB">
              <w:rPr>
                <w:rFonts w:asciiTheme="minorHAnsi" w:hAnsiTheme="minorHAnsi"/>
                <w:sz w:val="22"/>
                <w:szCs w:val="22"/>
              </w:rPr>
              <w:t>2007</w:t>
            </w:r>
          </w:p>
        </w:tc>
        <w:tc>
          <w:tcPr>
            <w:tcW w:w="8640" w:type="dxa"/>
          </w:tcPr>
          <w:p w:rsidR="005F210F" w:rsidRPr="007B5CDB" w:rsidRDefault="00445DA4" w:rsidP="005F210F">
            <w:pPr>
              <w:pStyle w:val="Default"/>
              <w:spacing w:before="100" w:beforeAutospacing="1" w:after="100" w:afterAutospacing="1" w:line="360" w:lineRule="auto"/>
              <w:rPr>
                <w:rFonts w:asciiTheme="minorHAnsi" w:hAnsiTheme="minorHAnsi"/>
                <w:sz w:val="22"/>
                <w:szCs w:val="22"/>
              </w:rPr>
            </w:pPr>
            <w:r w:rsidRPr="005F210F">
              <w:rPr>
                <w:rFonts w:asciiTheme="minorHAnsi" w:hAnsiTheme="minorHAnsi"/>
                <w:sz w:val="22"/>
                <w:szCs w:val="22"/>
              </w:rPr>
              <w:t xml:space="preserve">Another previous initiative was development of program and survey templates to document and evaluated the EIA programs and surveys. A survey template was developed and used by a contractor to document and evaluate the PMP and associated surveys. The survey template compiled information on survey objectives, survey preparations (including pretests), sample design, data collection, data processing, estimation, and errors, both sampling and nonsampling errors. A separate report was prepared for each of the surveys. Likewise a program template was developed and used to document the program, integration information from the survey methodology reports.6 </w:t>
            </w:r>
          </w:p>
        </w:tc>
      </w:tr>
      <w:tr w:rsidR="005F210F" w:rsidTr="00445DA4">
        <w:tc>
          <w:tcPr>
            <w:tcW w:w="1008" w:type="dxa"/>
          </w:tcPr>
          <w:p w:rsidR="005F210F" w:rsidRPr="007B5CDB" w:rsidRDefault="00445DA4" w:rsidP="005F210F">
            <w:pPr>
              <w:pStyle w:val="Default"/>
              <w:spacing w:before="100" w:beforeAutospacing="1" w:after="100" w:afterAutospacing="1" w:line="360" w:lineRule="auto"/>
              <w:rPr>
                <w:rFonts w:asciiTheme="minorHAnsi" w:hAnsiTheme="minorHAnsi"/>
                <w:sz w:val="22"/>
                <w:szCs w:val="22"/>
              </w:rPr>
            </w:pPr>
            <w:r>
              <w:rPr>
                <w:rFonts w:asciiTheme="minorHAnsi" w:hAnsiTheme="minorHAnsi"/>
                <w:sz w:val="22"/>
                <w:szCs w:val="22"/>
              </w:rPr>
              <w:t>2005</w:t>
            </w:r>
          </w:p>
        </w:tc>
        <w:tc>
          <w:tcPr>
            <w:tcW w:w="8640" w:type="dxa"/>
          </w:tcPr>
          <w:p w:rsidR="005F210F" w:rsidRPr="007B5CDB" w:rsidRDefault="00445DA4" w:rsidP="005F210F">
            <w:pPr>
              <w:pStyle w:val="Default"/>
              <w:spacing w:before="100" w:beforeAutospacing="1" w:after="100" w:afterAutospacing="1" w:line="360" w:lineRule="auto"/>
              <w:rPr>
                <w:rFonts w:asciiTheme="minorHAnsi" w:hAnsiTheme="minorHAnsi"/>
                <w:sz w:val="22"/>
                <w:szCs w:val="22"/>
              </w:rPr>
            </w:pPr>
            <w:r w:rsidRPr="005F210F">
              <w:rPr>
                <w:rFonts w:asciiTheme="minorHAnsi" w:hAnsiTheme="minorHAnsi"/>
                <w:sz w:val="22"/>
                <w:szCs w:val="22"/>
              </w:rPr>
              <w:t xml:space="preserve">A quality assessment was conducted of all of surveys, including surveys in both the PMP and PSP in 2006. Survey methodologists from the Statistics and Methods Group developed and conducted interviews with survey managers to prepare these quality self-assessments. Each of these reports contained summary information regarding survey methods, select measures regarding data quality, and identified what the survey manager determined was going well and potential improvements. The quality measures compiled included frame activity (e.g. number of births, deaths, and mergers), coverage rate, percent by mode of data collection, response rate by unit and volume, percent of forms failing one or more edits, relative standard error (if applicable) for key variables, difference between release date of publication and end of reference period, and revision of published key aggregate variable (percent change from first published to final release). </w:t>
            </w:r>
          </w:p>
        </w:tc>
      </w:tr>
    </w:tbl>
    <w:p w:rsidR="006A2830" w:rsidRPr="00EE24EE" w:rsidRDefault="006A2830" w:rsidP="00EE24EE">
      <w:pPr>
        <w:spacing w:line="360" w:lineRule="auto"/>
        <w:rPr>
          <w:rFonts w:asciiTheme="majorHAnsi" w:eastAsiaTheme="minorHAnsi" w:hAnsiTheme="majorHAnsi" w:cs="Times New Roman"/>
          <w:b/>
          <w:color w:val="365F91" w:themeColor="accent1" w:themeShade="BF"/>
          <w:sz w:val="4"/>
          <w:szCs w:val="4"/>
          <w:lang w:bidi="ar-SA"/>
        </w:rPr>
      </w:pPr>
    </w:p>
    <w:sectPr w:rsidR="006A2830" w:rsidRPr="00EE24EE" w:rsidSect="00B91AE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D4E" w:rsidRDefault="006E0D4E" w:rsidP="00343F54">
      <w:pPr>
        <w:spacing w:before="0" w:after="0" w:line="240" w:lineRule="auto"/>
      </w:pPr>
      <w:r>
        <w:separator/>
      </w:r>
    </w:p>
  </w:endnote>
  <w:endnote w:type="continuationSeparator" w:id="0">
    <w:p w:rsidR="006E0D4E" w:rsidRDefault="006E0D4E" w:rsidP="00343F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A4" w:rsidRDefault="004139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35"/>
      <w:gridCol w:w="8141"/>
    </w:tblGrid>
    <w:tr w:rsidR="00343F54" w:rsidTr="00A64237">
      <w:tc>
        <w:tcPr>
          <w:tcW w:w="1458" w:type="dxa"/>
        </w:tcPr>
        <w:p w:rsidR="00343F54" w:rsidRPr="00FD2111" w:rsidRDefault="00343F54" w:rsidP="00A64237">
          <w:pPr>
            <w:pStyle w:val="Footer"/>
            <w:rPr>
              <w:b/>
              <w:color w:val="4F81BD" w:themeColor="accent1"/>
            </w:rPr>
          </w:pPr>
          <w:r w:rsidRPr="00FD2111">
            <w:rPr>
              <w:b/>
              <w:color w:val="7F7F7F" w:themeColor="background1" w:themeShade="7F"/>
              <w:spacing w:val="60"/>
            </w:rPr>
            <w:t>Page</w:t>
          </w:r>
          <w:r w:rsidRPr="00FD2111">
            <w:rPr>
              <w:b/>
              <w:color w:val="4F81BD" w:themeColor="accent1"/>
            </w:rPr>
            <w:t xml:space="preserve"> | </w:t>
          </w:r>
          <w:r w:rsidR="00104A9A" w:rsidRPr="00FD2111">
            <w:rPr>
              <w:b/>
              <w:color w:val="4F81BD" w:themeColor="accent1"/>
            </w:rPr>
            <w:fldChar w:fldCharType="begin"/>
          </w:r>
          <w:r w:rsidRPr="00FD2111">
            <w:rPr>
              <w:b/>
              <w:color w:val="4F81BD" w:themeColor="accent1"/>
            </w:rPr>
            <w:instrText xml:space="preserve"> PAGE   \* MERGEFORMAT </w:instrText>
          </w:r>
          <w:r w:rsidR="00104A9A" w:rsidRPr="00FD2111">
            <w:rPr>
              <w:b/>
              <w:color w:val="4F81BD" w:themeColor="accent1"/>
            </w:rPr>
            <w:fldChar w:fldCharType="separate"/>
          </w:r>
          <w:r w:rsidR="00DC4E36">
            <w:rPr>
              <w:b/>
              <w:noProof/>
              <w:color w:val="4F81BD" w:themeColor="accent1"/>
            </w:rPr>
            <w:t>1</w:t>
          </w:r>
          <w:r w:rsidR="00104A9A" w:rsidRPr="00FD2111">
            <w:rPr>
              <w:b/>
              <w:color w:val="4F81BD" w:themeColor="accent1"/>
            </w:rPr>
            <w:fldChar w:fldCharType="end"/>
          </w:r>
        </w:p>
      </w:tc>
      <w:tc>
        <w:tcPr>
          <w:tcW w:w="8406" w:type="dxa"/>
        </w:tcPr>
        <w:p w:rsidR="00343F54" w:rsidRDefault="00DC4E36" w:rsidP="004139A4">
          <w:pPr>
            <w:pStyle w:val="Footer"/>
          </w:pPr>
          <w:sdt>
            <w:sdtPr>
              <w:rPr>
                <w:sz w:val="22"/>
                <w:szCs w:val="22"/>
              </w:rPr>
              <w:alias w:val="Subject"/>
              <w:id w:val="328092002"/>
              <w:dataBinding w:prefixMappings="xmlns:ns0='http://purl.org/dc/elements/1.1/' xmlns:ns1='http://schemas.openxmlformats.org/package/2006/metadata/core-properties' " w:xpath="/ns1:coreProperties[1]/ns0:subject[1]" w:storeItemID="{6C3C8BC8-F283-45AE-878A-BAB7291924A1}"/>
              <w:text/>
            </w:sdtPr>
            <w:sdtEndPr/>
            <w:sdtContent>
              <w:r w:rsidR="00724328">
                <w:rPr>
                  <w:sz w:val="22"/>
                  <w:szCs w:val="22"/>
                </w:rPr>
                <w:t>Appendix B</w:t>
              </w:r>
              <w:r w:rsidR="00343F54" w:rsidRPr="00343F54">
                <w:rPr>
                  <w:sz w:val="22"/>
                  <w:szCs w:val="22"/>
                </w:rPr>
                <w:t>: Consultation</w:t>
              </w:r>
              <w:r w:rsidR="004139A4">
                <w:rPr>
                  <w:sz w:val="22"/>
                  <w:szCs w:val="22"/>
                </w:rPr>
                <w:t>s</w:t>
              </w:r>
              <w:r w:rsidR="00343F54" w:rsidRPr="00343F54">
                <w:rPr>
                  <w:sz w:val="22"/>
                  <w:szCs w:val="22"/>
                </w:rPr>
                <w:t xml:space="preserve"> with </w:t>
              </w:r>
              <w:r w:rsidR="004139A4">
                <w:rPr>
                  <w:sz w:val="22"/>
                  <w:szCs w:val="22"/>
                </w:rPr>
                <w:t>Stakeholders and</w:t>
              </w:r>
              <w:r w:rsidR="00343F54" w:rsidRPr="00343F54">
                <w:rPr>
                  <w:sz w:val="22"/>
                  <w:szCs w:val="22"/>
                </w:rPr>
                <w:t xml:space="preserve"> Data Users</w:t>
              </w:r>
            </w:sdtContent>
          </w:sdt>
        </w:p>
      </w:tc>
    </w:tr>
  </w:tbl>
  <w:p w:rsidR="00343F54" w:rsidRDefault="00343F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A4" w:rsidRDefault="0041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D4E" w:rsidRDefault="006E0D4E" w:rsidP="00343F54">
      <w:pPr>
        <w:spacing w:before="0" w:after="0" w:line="240" w:lineRule="auto"/>
      </w:pPr>
      <w:r>
        <w:separator/>
      </w:r>
    </w:p>
  </w:footnote>
  <w:footnote w:type="continuationSeparator" w:id="0">
    <w:p w:rsidR="006E0D4E" w:rsidRDefault="006E0D4E" w:rsidP="00343F5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A4" w:rsidRDefault="004139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A4" w:rsidRDefault="004139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9A4" w:rsidRDefault="00413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C456E"/>
    <w:multiLevelType w:val="multilevel"/>
    <w:tmpl w:val="A616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F54"/>
    <w:rsid w:val="00076771"/>
    <w:rsid w:val="00104A9A"/>
    <w:rsid w:val="00121686"/>
    <w:rsid w:val="00147B6F"/>
    <w:rsid w:val="001B17B1"/>
    <w:rsid w:val="002E7368"/>
    <w:rsid w:val="00327783"/>
    <w:rsid w:val="00343F54"/>
    <w:rsid w:val="003B209C"/>
    <w:rsid w:val="003C4906"/>
    <w:rsid w:val="003F5944"/>
    <w:rsid w:val="004139A4"/>
    <w:rsid w:val="00445DA4"/>
    <w:rsid w:val="004E3F9D"/>
    <w:rsid w:val="00515388"/>
    <w:rsid w:val="00545DAB"/>
    <w:rsid w:val="005D1129"/>
    <w:rsid w:val="005F210F"/>
    <w:rsid w:val="00605D96"/>
    <w:rsid w:val="00676AA1"/>
    <w:rsid w:val="006A2830"/>
    <w:rsid w:val="006E0D4E"/>
    <w:rsid w:val="00724328"/>
    <w:rsid w:val="007B5CDB"/>
    <w:rsid w:val="00895513"/>
    <w:rsid w:val="009D2A2E"/>
    <w:rsid w:val="00A861CF"/>
    <w:rsid w:val="00B11DD1"/>
    <w:rsid w:val="00B91AE7"/>
    <w:rsid w:val="00C92D6E"/>
    <w:rsid w:val="00CA7318"/>
    <w:rsid w:val="00D4746B"/>
    <w:rsid w:val="00DC4E36"/>
    <w:rsid w:val="00DD2EFC"/>
    <w:rsid w:val="00EE1E8D"/>
    <w:rsid w:val="00EE24EE"/>
    <w:rsid w:val="00F308FE"/>
    <w:rsid w:val="00FB2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54"/>
    <w:pPr>
      <w:spacing w:before="200"/>
    </w:pPr>
    <w:rPr>
      <w:rFonts w:eastAsiaTheme="minorEastAsi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3F5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343F54"/>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343F54"/>
    <w:rPr>
      <w:rFonts w:eastAsiaTheme="minorEastAsia"/>
      <w:sz w:val="20"/>
      <w:szCs w:val="20"/>
      <w:lang w:bidi="en-US"/>
    </w:rPr>
  </w:style>
  <w:style w:type="paragraph" w:styleId="Footer">
    <w:name w:val="footer"/>
    <w:basedOn w:val="Normal"/>
    <w:link w:val="FooterChar"/>
    <w:uiPriority w:val="99"/>
    <w:unhideWhenUsed/>
    <w:rsid w:val="00343F5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43F54"/>
    <w:rPr>
      <w:rFonts w:eastAsiaTheme="minorEastAsia"/>
      <w:sz w:val="20"/>
      <w:szCs w:val="20"/>
      <w:lang w:bidi="en-US"/>
    </w:rPr>
  </w:style>
  <w:style w:type="paragraph" w:styleId="BalloonText">
    <w:name w:val="Balloon Text"/>
    <w:basedOn w:val="Normal"/>
    <w:link w:val="BalloonTextChar"/>
    <w:uiPriority w:val="99"/>
    <w:semiHidden/>
    <w:unhideWhenUsed/>
    <w:rsid w:val="00343F5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F54"/>
    <w:rPr>
      <w:rFonts w:ascii="Tahoma" w:eastAsiaTheme="minorEastAsia" w:hAnsi="Tahoma" w:cs="Tahoma"/>
      <w:sz w:val="16"/>
      <w:szCs w:val="16"/>
      <w:lang w:bidi="en-US"/>
    </w:rPr>
  </w:style>
  <w:style w:type="table" w:styleId="TableGrid">
    <w:name w:val="Table Grid"/>
    <w:basedOn w:val="TableNormal"/>
    <w:uiPriority w:val="59"/>
    <w:rsid w:val="005F2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2EFC"/>
    <w:rPr>
      <w:color w:val="0000FF" w:themeColor="hyperlink"/>
      <w:u w:val="single"/>
    </w:rPr>
  </w:style>
  <w:style w:type="character" w:styleId="FollowedHyperlink">
    <w:name w:val="FollowedHyperlink"/>
    <w:basedOn w:val="DefaultParagraphFont"/>
    <w:uiPriority w:val="99"/>
    <w:semiHidden/>
    <w:unhideWhenUsed/>
    <w:rsid w:val="00B91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F54"/>
    <w:pPr>
      <w:spacing w:before="200"/>
    </w:pPr>
    <w:rPr>
      <w:rFonts w:eastAsiaTheme="minorEastAsi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3F5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343F54"/>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343F54"/>
    <w:rPr>
      <w:rFonts w:eastAsiaTheme="minorEastAsia"/>
      <w:sz w:val="20"/>
      <w:szCs w:val="20"/>
      <w:lang w:bidi="en-US"/>
    </w:rPr>
  </w:style>
  <w:style w:type="paragraph" w:styleId="Footer">
    <w:name w:val="footer"/>
    <w:basedOn w:val="Normal"/>
    <w:link w:val="FooterChar"/>
    <w:uiPriority w:val="99"/>
    <w:unhideWhenUsed/>
    <w:rsid w:val="00343F5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43F54"/>
    <w:rPr>
      <w:rFonts w:eastAsiaTheme="minorEastAsia"/>
      <w:sz w:val="20"/>
      <w:szCs w:val="20"/>
      <w:lang w:bidi="en-US"/>
    </w:rPr>
  </w:style>
  <w:style w:type="paragraph" w:styleId="BalloonText">
    <w:name w:val="Balloon Text"/>
    <w:basedOn w:val="Normal"/>
    <w:link w:val="BalloonTextChar"/>
    <w:uiPriority w:val="99"/>
    <w:semiHidden/>
    <w:unhideWhenUsed/>
    <w:rsid w:val="00343F5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F54"/>
    <w:rPr>
      <w:rFonts w:ascii="Tahoma" w:eastAsiaTheme="minorEastAsia" w:hAnsi="Tahoma" w:cs="Tahoma"/>
      <w:sz w:val="16"/>
      <w:szCs w:val="16"/>
      <w:lang w:bidi="en-US"/>
    </w:rPr>
  </w:style>
  <w:style w:type="table" w:styleId="TableGrid">
    <w:name w:val="Table Grid"/>
    <w:basedOn w:val="TableNormal"/>
    <w:uiPriority w:val="59"/>
    <w:rsid w:val="005F2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2EFC"/>
    <w:rPr>
      <w:color w:val="0000FF" w:themeColor="hyperlink"/>
      <w:u w:val="single"/>
    </w:rPr>
  </w:style>
  <w:style w:type="character" w:styleId="FollowedHyperlink">
    <w:name w:val="FollowedHyperlink"/>
    <w:basedOn w:val="DefaultParagraphFont"/>
    <w:uiPriority w:val="99"/>
    <w:semiHidden/>
    <w:unhideWhenUsed/>
    <w:rsid w:val="00B91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490225">
      <w:bodyDiv w:val="1"/>
      <w:marLeft w:val="0"/>
      <w:marRight w:val="0"/>
      <w:marTop w:val="0"/>
      <w:marBottom w:val="0"/>
      <w:divBdr>
        <w:top w:val="none" w:sz="0" w:space="0" w:color="auto"/>
        <w:left w:val="none" w:sz="0" w:space="0" w:color="auto"/>
        <w:bottom w:val="none" w:sz="0" w:space="0" w:color="auto"/>
        <w:right w:val="none" w:sz="0" w:space="0" w:color="auto"/>
      </w:divBdr>
      <w:divsChild>
        <w:div w:id="36903269">
          <w:marLeft w:val="0"/>
          <w:marRight w:val="0"/>
          <w:marTop w:val="0"/>
          <w:marBottom w:val="0"/>
          <w:divBdr>
            <w:top w:val="none" w:sz="0" w:space="0" w:color="auto"/>
            <w:left w:val="none" w:sz="0" w:space="0" w:color="auto"/>
            <w:bottom w:val="none" w:sz="0" w:space="0" w:color="auto"/>
            <w:right w:val="none" w:sz="0" w:space="0" w:color="auto"/>
          </w:divBdr>
          <w:divsChild>
            <w:div w:id="1803381617">
              <w:marLeft w:val="0"/>
              <w:marRight w:val="0"/>
              <w:marTop w:val="0"/>
              <w:marBottom w:val="0"/>
              <w:divBdr>
                <w:top w:val="none" w:sz="0" w:space="0" w:color="auto"/>
                <w:left w:val="none" w:sz="0" w:space="0" w:color="auto"/>
                <w:bottom w:val="none" w:sz="0" w:space="0" w:color="auto"/>
                <w:right w:val="none" w:sz="0" w:space="0" w:color="auto"/>
              </w:divBdr>
              <w:divsChild>
                <w:div w:id="1676955503">
                  <w:marLeft w:val="0"/>
                  <w:marRight w:val="0"/>
                  <w:marTop w:val="0"/>
                  <w:marBottom w:val="0"/>
                  <w:divBdr>
                    <w:top w:val="none" w:sz="0" w:space="0" w:color="auto"/>
                    <w:left w:val="none" w:sz="0" w:space="0" w:color="auto"/>
                    <w:bottom w:val="none" w:sz="0" w:space="0" w:color="auto"/>
                    <w:right w:val="none" w:sz="0" w:space="0" w:color="auto"/>
                  </w:divBdr>
                  <w:divsChild>
                    <w:div w:id="1951426266">
                      <w:marLeft w:val="0"/>
                      <w:marRight w:val="0"/>
                      <w:marTop w:val="0"/>
                      <w:marBottom w:val="0"/>
                      <w:divBdr>
                        <w:top w:val="none" w:sz="0" w:space="0" w:color="auto"/>
                        <w:left w:val="none" w:sz="0" w:space="0" w:color="auto"/>
                        <w:bottom w:val="none" w:sz="0" w:space="0" w:color="auto"/>
                        <w:right w:val="none" w:sz="0" w:space="0" w:color="auto"/>
                      </w:divBdr>
                      <w:divsChild>
                        <w:div w:id="2120487256">
                          <w:marLeft w:val="0"/>
                          <w:marRight w:val="0"/>
                          <w:marTop w:val="0"/>
                          <w:marBottom w:val="0"/>
                          <w:divBdr>
                            <w:top w:val="none" w:sz="0" w:space="0" w:color="auto"/>
                            <w:left w:val="none" w:sz="0" w:space="0" w:color="auto"/>
                            <w:bottom w:val="none" w:sz="0" w:space="0" w:color="auto"/>
                            <w:right w:val="none" w:sz="0" w:space="0" w:color="auto"/>
                          </w:divBdr>
                          <w:divsChild>
                            <w:div w:id="134605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a.gov/oiaf/servicerpt/energydata/index.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seo.org/Data/Sites/1/documents/energyassurance/webinars/Webcast_Summary_Energy_Data_and_Assurance_Planning_Workshop_Denver.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ia.gov/conference/201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ia.gov/conference/2011/pdf/presentations/Harvey.pdf"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fcsm.gov/12papers/Waugh_2012FCSM_VI-C.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5136B-0541-421D-9E01-5CBCD36F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Appendix B: Consultations with Stakeholders and Data Users</dc:subject>
  <dc:creator>Shawna Waugh</dc:creator>
  <cp:lastModifiedBy>USC-Admin</cp:lastModifiedBy>
  <cp:revision>2</cp:revision>
  <dcterms:created xsi:type="dcterms:W3CDTF">2014-07-08T17:55:00Z</dcterms:created>
  <dcterms:modified xsi:type="dcterms:W3CDTF">2014-07-08T17:55:00Z</dcterms:modified>
</cp:coreProperties>
</file>