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578F4" w:rsidRDefault="00386054" w:rsidP="00B578F4">
      <w:pPr>
        <w:pStyle w:val="Title"/>
      </w:pPr>
      <w:r w:rsidRPr="00B578F4">
        <w:t>SUPPORTING STATEMENT</w:t>
      </w:r>
    </w:p>
    <w:p w:rsidR="00BA13A2" w:rsidRPr="00B578F4" w:rsidRDefault="00386054" w:rsidP="00B578F4">
      <w:pPr>
        <w:pStyle w:val="Title"/>
      </w:pPr>
      <w:r w:rsidRPr="00B578F4">
        <w:t>FOR PAPERWORK REDUCTION ACT SUBMISSION</w:t>
      </w:r>
    </w:p>
    <w:p w:rsidR="00251381" w:rsidRPr="00EF26F3" w:rsidRDefault="00567CC2">
      <w:pPr>
        <w:jc w:val="center"/>
        <w:rPr>
          <w:rFonts w:ascii="Courier" w:hAnsi="Courier"/>
          <w:b/>
        </w:rPr>
      </w:pPr>
      <w:r>
        <w:rPr>
          <w:b/>
          <w:bCs/>
        </w:rPr>
        <w:t>[ICR No. 1240.08] 1830-0569 - Consolidated Annual Report (CAR) for the Carl D. Perkins Career and Technical Education Act of 2006</w:t>
      </w:r>
    </w:p>
    <w:p w:rsidR="00386054" w:rsidRPr="00B578F4" w:rsidRDefault="00016E14" w:rsidP="00C9556E">
      <w:pPr>
        <w:pStyle w:val="Heading1"/>
        <w:rPr>
          <w:rFonts w:cs="Times New Roman"/>
          <w:szCs w:val="28"/>
        </w:rPr>
      </w:pPr>
      <w:r w:rsidRPr="00B578F4">
        <w:rPr>
          <w:rFonts w:cs="Times New Roman"/>
          <w:szCs w:val="28"/>
        </w:rPr>
        <w:t xml:space="preserve">A. Justification </w:t>
      </w:r>
    </w:p>
    <w:p w:rsidR="00B578F4" w:rsidRPr="00EF26F3" w:rsidRDefault="00386054" w:rsidP="00B578F4">
      <w:pPr>
        <w:pStyle w:val="ListParagraph"/>
        <w:numPr>
          <w:ilvl w:val="0"/>
          <w:numId w:val="20"/>
        </w:numPr>
        <w:rPr>
          <w:b/>
        </w:rPr>
      </w:pPr>
      <w:r w:rsidRPr="00EF26F3">
        <w:rPr>
          <w:b/>
        </w:rPr>
        <w:t xml:space="preserve">Explain the circumstances that make the collection of information necessary.  Identify any legal or administrative requirements that necessitate the collection.  Attach a </w:t>
      </w:r>
      <w:r w:rsidR="003C7F70" w:rsidRPr="00EF26F3">
        <w:rPr>
          <w:b/>
        </w:rPr>
        <w:t xml:space="preserve">hard </w:t>
      </w:r>
      <w:r w:rsidRPr="00EF26F3">
        <w:rPr>
          <w:b/>
        </w:rPr>
        <w:t>copy of the appropriate section of each statute and regulation mandating or authorizing the collection of information</w:t>
      </w:r>
      <w:r w:rsidR="003C7F70" w:rsidRPr="00EF26F3">
        <w:rPr>
          <w:b/>
        </w:rPr>
        <w:t>,</w:t>
      </w:r>
      <w:r w:rsidR="00050CBE" w:rsidRPr="00EF26F3">
        <w:rPr>
          <w:b/>
        </w:rPr>
        <w:t xml:space="preserve"> or </w:t>
      </w:r>
      <w:r w:rsidR="003C7F70" w:rsidRPr="00EF26F3">
        <w:rPr>
          <w:b/>
        </w:rPr>
        <w:t xml:space="preserve">you may </w:t>
      </w:r>
      <w:r w:rsidR="00050CBE" w:rsidRPr="00EF26F3">
        <w:rPr>
          <w:b/>
        </w:rPr>
        <w:t xml:space="preserve">provide a valid </w:t>
      </w:r>
      <w:r w:rsidR="003C7F70" w:rsidRPr="00EF26F3">
        <w:rPr>
          <w:b/>
        </w:rPr>
        <w:t>URL</w:t>
      </w:r>
      <w:r w:rsidR="00050CBE" w:rsidRPr="00EF26F3">
        <w:rPr>
          <w:b/>
        </w:rPr>
        <w:t xml:space="preserve"> link or paste the applicable section</w:t>
      </w:r>
      <w:r w:rsidRPr="00EF26F3">
        <w:rPr>
          <w:b/>
        </w:rPr>
        <w:t xml:space="preserve">. </w:t>
      </w:r>
      <w:r w:rsidR="00BA13A2" w:rsidRPr="00EF26F3">
        <w:rPr>
          <w:b/>
        </w:rPr>
        <w:t xml:space="preserve">Please limit pasted text to no longer than 3 pages. </w:t>
      </w:r>
      <w:r w:rsidRPr="00EF26F3">
        <w:rPr>
          <w:b/>
        </w:rPr>
        <w:t>Specify the review type of the collection (new, revision, extension, reinstatement with change, reinstatement without change)</w:t>
      </w:r>
      <w:r w:rsidR="00050CBE" w:rsidRPr="00EF26F3">
        <w:rPr>
          <w:b/>
        </w:rPr>
        <w:t>. If revised, briefly specify the changes.  If a rulemaking is involved, make note of the sections or changed sections, if applicable.</w:t>
      </w:r>
    </w:p>
    <w:p w:rsidR="00495F4B" w:rsidRDefault="00771302" w:rsidP="00495F4B">
      <w:pPr>
        <w:pStyle w:val="ListParagraph"/>
      </w:pPr>
      <w:r>
        <w:t>The</w:t>
      </w:r>
      <w:r w:rsidR="0063137A">
        <w:t xml:space="preserve"> </w:t>
      </w:r>
      <w:r w:rsidR="000C0CAC">
        <w:t>extension of the collection instrument is submitted</w:t>
      </w:r>
      <w:r w:rsidR="00EF26F3">
        <w:t xml:space="preserve"> due to the July 2014 expiration date.</w:t>
      </w:r>
      <w:r>
        <w:t xml:space="preserve"> </w:t>
      </w:r>
      <w:r w:rsidR="00495F4B">
        <w:t>The purpose of this information collection package, the Consolidated Annual Report (CAR),is to gather narrative, financial, and performance data as required by the Carl D. Perkins Career and Technical Education Act of 2006 (Perkins IV). Section 113(c) of Perkins IV requires each eligible agency that receives an allotment under section 111 of Title I of the Act (State basic grant) to annually prepare and submit, to the Secretary, a report regarding the progress of the State in achieving the State adjusted levels of performance on the core indicators of performance and additional indicators of performance. This includes the levels of performance for special population categories described in section 3(29) of Perkins IV and other student categories described in section 1111(h</w:t>
      </w:r>
      <w:proofErr w:type="gramStart"/>
      <w:r w:rsidR="00495F4B">
        <w:t>)(</w:t>
      </w:r>
      <w:proofErr w:type="gramEnd"/>
      <w:r w:rsidR="00495F4B">
        <w:t>1)C)(</w:t>
      </w:r>
      <w:proofErr w:type="spellStart"/>
      <w:r w:rsidR="00495F4B">
        <w:t>i</w:t>
      </w:r>
      <w:proofErr w:type="spellEnd"/>
      <w:r w:rsidR="00495F4B">
        <w:t>) of the Elementary and Secondary Education Act of 1965, as amended by the No Child Left Behind Act (NCLB) of 2001. Finally, section 205 of Perkins IV requires each eligible agency that receives a tech prep allotment under section 201 of Title II of the Act (tech prep grant) to annually prepare and submit, to the Secretary, a report on the effectiveness of these programs, including a description of how tech prep grants were awarded within the State.  The CAR is a single reporting instrument that combines the requirements referenced above with the required annual interim and final financial status reports pursuant to the Education Department General Education Regulations (EDGAR) in 34 CFR §80.41.</w:t>
      </w:r>
    </w:p>
    <w:p w:rsidR="00495F4B" w:rsidRDefault="00495F4B" w:rsidP="00495F4B">
      <w:pPr>
        <w:pStyle w:val="ListParagraph"/>
      </w:pPr>
    </w:p>
    <w:p w:rsidR="00050FAC" w:rsidRPr="00750301" w:rsidRDefault="00495F4B" w:rsidP="00495F4B">
      <w:pPr>
        <w:pStyle w:val="ListParagraph"/>
        <w:rPr>
          <w:highlight w:val="yellow"/>
        </w:rPr>
      </w:pPr>
      <w:r>
        <w:t xml:space="preserve">Perkins IV, signed into law on August 12, 2006, represents nearly three years of work on the part of Congress and the Department, in cooperation with other Federal agencies, the State, and local agencies affected by its policies.  It provides Federal support for rigorous career and technical education (CTE) programs that provide students with knowledge and skills to keep the United States competitive.  The Department distributes approximately one billion dollars annually in Perkins funding to the 50 States, the District of Columbia, Puerto Rico, and the outlying areas, such as Guam, Palau, and the Virgin Islands (collectively referred to as the “States”).  Each State distributes funds to eligible </w:t>
      </w:r>
      <w:r>
        <w:lastRenderedPageBreak/>
        <w:t>recipients, such as local educational agencies (LEAs) and postsecondary institutions, in order to develop the academic, career, and technical education knowledge and skills of secondary and postsecondary education students who elect to enroll in career and technical education programs.  Perkins IV indicates that one of its purposes is to build on the work of States’ efforts to assist CTE students in achieving challenging academic and technical standards, and preparing them for high skill, high wage, or high demand occupations in current or emerging professions.  Perkins IV provides increased focus on the academic achievement of CTE students, improvement in State and local accountability, and strengthened connections between secondary and postsecondary education delivery systems.  These themes serve as the general framework for the revised CAR instrument.</w:t>
      </w:r>
    </w:p>
    <w:p w:rsidR="00B83FB3" w:rsidRPr="00050FAC" w:rsidRDefault="00386054" w:rsidP="00B578F4">
      <w:pPr>
        <w:pStyle w:val="ListParagraph"/>
        <w:numPr>
          <w:ilvl w:val="0"/>
          <w:numId w:val="20"/>
        </w:numPr>
        <w:rPr>
          <w:b/>
        </w:rPr>
      </w:pPr>
      <w:r w:rsidRPr="00050FAC">
        <w:rPr>
          <w:b/>
        </w:rPr>
        <w:t>Indicate how, by whom, and for what purpose the information is to be used.  Except for a new collection, indicate the actual use the agency has made of the information received from the current collection.</w:t>
      </w:r>
    </w:p>
    <w:p w:rsidR="00050FAC" w:rsidRPr="00050FAC" w:rsidRDefault="00050FAC" w:rsidP="00050FAC">
      <w:pPr>
        <w:pStyle w:val="ListParagraph"/>
        <w:rPr>
          <w:snapToGrid w:val="0"/>
        </w:rPr>
      </w:pPr>
      <w:r w:rsidRPr="00050FAC">
        <w:rPr>
          <w:snapToGrid w:val="0"/>
        </w:rPr>
        <w:t xml:space="preserve">The information gathered through this package will be used in a variety of ways.  First, narrative and financial information will be reviewed by the Office of </w:t>
      </w:r>
      <w:r w:rsidR="00567CC2">
        <w:rPr>
          <w:snapToGrid w:val="0"/>
        </w:rPr>
        <w:t>Career</w:t>
      </w:r>
      <w:r w:rsidRPr="00050FAC">
        <w:rPr>
          <w:snapToGrid w:val="0"/>
        </w:rPr>
        <w:t xml:space="preserve"> and </w:t>
      </w:r>
      <w:r w:rsidR="00567CC2">
        <w:rPr>
          <w:snapToGrid w:val="0"/>
        </w:rPr>
        <w:t xml:space="preserve">Technical </w:t>
      </w:r>
      <w:r w:rsidRPr="00050FAC">
        <w:rPr>
          <w:snapToGrid w:val="0"/>
        </w:rPr>
        <w:t>Adult Education (O</w:t>
      </w:r>
      <w:r w:rsidR="00567CC2">
        <w:rPr>
          <w:snapToGrid w:val="0"/>
        </w:rPr>
        <w:t>CT</w:t>
      </w:r>
      <w:r w:rsidRPr="00050FAC">
        <w:rPr>
          <w:snapToGrid w:val="0"/>
        </w:rPr>
        <w:t xml:space="preserve">AE), Division of Academic and Technical Education (DATE), to determine each State’s compliance with basic provisions of Perkins IV and the </w:t>
      </w:r>
      <w:r w:rsidRPr="00F0325C">
        <w:t xml:space="preserve">Education Department General Administrative Regulations (34 CFR Part </w:t>
      </w:r>
      <w:r w:rsidRPr="00050FAC">
        <w:rPr>
          <w:snapToGrid w:val="0"/>
        </w:rPr>
        <w:t xml:space="preserve">80.40 [Annual Performance Report] and Part 80.41 [Financial Status Report]).  For example, States are required to implement specific leadership activities in their State as well as to spend certain percentages of their funding to meet the academic and technical skill needs of various student populations (i.e. individuals preparing for nontraditional careers and individuals in State institutions).    </w:t>
      </w:r>
    </w:p>
    <w:p w:rsidR="00050FAC" w:rsidRPr="00050FAC" w:rsidRDefault="00050FAC" w:rsidP="00050FAC">
      <w:pPr>
        <w:pStyle w:val="ListParagraph"/>
        <w:rPr>
          <w:snapToGrid w:val="0"/>
        </w:rPr>
      </w:pPr>
    </w:p>
    <w:p w:rsidR="00050FAC" w:rsidRPr="00050FAC" w:rsidRDefault="00050FAC" w:rsidP="00050FAC">
      <w:pPr>
        <w:pStyle w:val="ListParagraph"/>
        <w:rPr>
          <w:snapToGrid w:val="0"/>
        </w:rPr>
      </w:pPr>
      <w:r w:rsidRPr="00050FAC">
        <w:rPr>
          <w:snapToGrid w:val="0"/>
        </w:rPr>
        <w:t>Second, DATE staff will review performance data to determine whether, and to what extent, each State has met its State adjusted levels of performance for the core indicators described in section 113(b)(4) of Perkins IV.  A State that did not meet at least 90 percent of the adjusted levels of performance for any of the core indicators described in section 113(b</w:t>
      </w:r>
      <w:proofErr w:type="gramStart"/>
      <w:r w:rsidRPr="00050FAC">
        <w:rPr>
          <w:snapToGrid w:val="0"/>
        </w:rPr>
        <w:t>)(</w:t>
      </w:r>
      <w:proofErr w:type="gramEnd"/>
      <w:r w:rsidRPr="00050FAC">
        <w:rPr>
          <w:snapToGrid w:val="0"/>
        </w:rPr>
        <w:t>4) of Perkins IV is required to develop and submit, as part of its CAR report, a program improvement plan with special consideration to the performance gaps identified under section 113(c)(2) of Perkins IV.  The improvement plan must address each core indicator(s) that a State failed to meet; disaggregated categories of students for which there were quantifiable disparities or gaps in performance compared to all students or any other category of students; steps that will be implemented, beginning in the current program year; staff members in the State who are responsible for each action step; and the timeline for completing each action step.  DATE staff will review these plans in order to determine whether they are thorough and appropriate in addressing the indicator(s) that were not met at the 90 percent level.</w:t>
      </w:r>
    </w:p>
    <w:p w:rsidR="00050FAC" w:rsidRPr="00050FAC" w:rsidRDefault="00050FAC" w:rsidP="00050FAC">
      <w:pPr>
        <w:pStyle w:val="ListParagraph"/>
        <w:rPr>
          <w:snapToGrid w:val="0"/>
        </w:rPr>
      </w:pPr>
      <w:r w:rsidRPr="00050FAC">
        <w:rPr>
          <w:snapToGrid w:val="0"/>
        </w:rPr>
        <w:t xml:space="preserve"> </w:t>
      </w:r>
    </w:p>
    <w:p w:rsidR="00050FAC" w:rsidRPr="00F0325C" w:rsidRDefault="00050FAC" w:rsidP="00050FAC">
      <w:pPr>
        <w:pStyle w:val="ListParagraph"/>
      </w:pPr>
      <w:r w:rsidRPr="00050FAC">
        <w:rPr>
          <w:snapToGrid w:val="0"/>
        </w:rPr>
        <w:t xml:space="preserve">Third, section </w:t>
      </w:r>
      <w:r w:rsidRPr="00F0325C">
        <w:t>113(c</w:t>
      </w:r>
      <w:proofErr w:type="gramStart"/>
      <w:r w:rsidRPr="00F0325C">
        <w:t>)(</w:t>
      </w:r>
      <w:proofErr w:type="gramEnd"/>
      <w:r w:rsidRPr="00F0325C">
        <w:t>3)(C) of Perkins IV requires the Secretary to provide the appropriate committees of Congress copies of annual reports received by the department from each eligible agency that receives funds under the Act.  Section 113(c</w:t>
      </w:r>
      <w:proofErr w:type="gramStart"/>
      <w:r w:rsidRPr="00F0325C">
        <w:t>)(</w:t>
      </w:r>
      <w:proofErr w:type="gramEnd"/>
      <w:r w:rsidRPr="00F0325C">
        <w:t xml:space="preserve">3)(A) further requires the Secretary to make the information contained in such reports available to the </w:t>
      </w:r>
      <w:r w:rsidRPr="00F0325C">
        <w:lastRenderedPageBreak/>
        <w:t xml:space="preserve">general public. To meet this obligation, DATE compiles the CAR data into an annual report to Congress and makes the data available to the public online through the Peer Collaborative Resource Network at </w:t>
      </w:r>
      <w:hyperlink r:id="rId9" w:history="1">
        <w:r w:rsidRPr="00F0325C">
          <w:rPr>
            <w:rStyle w:val="Hyperlink"/>
          </w:rPr>
          <w:t>http://cte.ed.gov</w:t>
        </w:r>
      </w:hyperlink>
      <w:r w:rsidRPr="00F0325C">
        <w:t>.</w:t>
      </w:r>
    </w:p>
    <w:p w:rsidR="00050FAC" w:rsidRPr="00050FAC" w:rsidRDefault="00050FAC" w:rsidP="00050FAC">
      <w:pPr>
        <w:pStyle w:val="ListParagraph"/>
        <w:rPr>
          <w:snapToGrid w:val="0"/>
        </w:rPr>
      </w:pPr>
      <w:r w:rsidRPr="00050FAC">
        <w:rPr>
          <w:sz w:val="23"/>
          <w:szCs w:val="23"/>
        </w:rPr>
        <w:t xml:space="preserve">  </w:t>
      </w:r>
    </w:p>
    <w:p w:rsidR="00050FAC" w:rsidRPr="00050FAC" w:rsidRDefault="00050FAC" w:rsidP="00050FAC">
      <w:pPr>
        <w:pStyle w:val="ListParagraph"/>
        <w:rPr>
          <w:snapToGrid w:val="0"/>
        </w:rPr>
      </w:pPr>
      <w:r w:rsidRPr="00050FAC">
        <w:rPr>
          <w:snapToGrid w:val="0"/>
        </w:rPr>
        <w:t>Fourth, DATE charts its own progress in helping States to improve the educational and employment outcomes for students who pursue career and technical education by setting annual performance targets for each of the core indicators of performance in section 113(b).  Targets and performance data are entered annually into the Department’s Program and Performance Management Database (PPMD)</w:t>
      </w:r>
    </w:p>
    <w:p w:rsidR="00050FAC" w:rsidRPr="00050FAC" w:rsidRDefault="00050FAC" w:rsidP="00050FAC">
      <w:pPr>
        <w:pStyle w:val="ListParagraph"/>
        <w:rPr>
          <w:snapToGrid w:val="0"/>
        </w:rPr>
      </w:pPr>
    </w:p>
    <w:p w:rsidR="00050FAC" w:rsidRDefault="00050FAC" w:rsidP="00050FAC">
      <w:pPr>
        <w:pStyle w:val="ListParagraph"/>
      </w:pPr>
      <w:r>
        <w:rPr>
          <w:snapToGrid w:val="0"/>
        </w:rPr>
        <w:t>Finally, DATE staff uses annual CAR information to determine which States will be monitored for an upcoming year or which States could benefit from technical assistance in particular areas.  Annual CAR reviews have resulted in the identification of topics for annual Data Quality Institutes (DQIs), as well as the decision to offer customized technical assistance to States on accountability issues.  This strategy has been well-received by the States and is deemed by OCTAE, effective in improving the reliability and validity of the Perkins data.</w:t>
      </w:r>
    </w:p>
    <w:p w:rsidR="00B83FB3" w:rsidRPr="0069697E" w:rsidRDefault="00386054" w:rsidP="00B578F4">
      <w:pPr>
        <w:pStyle w:val="ListParagraph"/>
        <w:numPr>
          <w:ilvl w:val="0"/>
          <w:numId w:val="20"/>
        </w:numPr>
        <w:rPr>
          <w:b/>
        </w:rPr>
      </w:pPr>
      <w:r w:rsidRPr="0069697E">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69697E" w:rsidRDefault="0069697E" w:rsidP="0069697E">
      <w:pPr>
        <w:pStyle w:val="ListParagraph"/>
      </w:pPr>
      <w:r>
        <w:t xml:space="preserve">Each State has several options in submitting its CAR report.  A State submits its report electronically via the Department’s Program Information Management System Web site at </w:t>
      </w:r>
      <w:hyperlink r:id="rId10" w:history="1">
        <w:r w:rsidRPr="002D4533">
          <w:rPr>
            <w:rStyle w:val="Hyperlink"/>
          </w:rPr>
          <w:t>https://perkins.ed.gov/Account/LogOn?ReturnUrl=%2f</w:t>
        </w:r>
      </w:hyperlink>
      <w:r>
        <w:t xml:space="preserve"> .  This Web site allows a State to complete its CAR report using Web-based forms and to certify to the accuracy and completeness of its submission using electronic Personal Identification Numbers (PINs).  The State CTE director must then use one PIN to certify and sign the entire CAR submission.  The authorized State official responsible to certify and sign Financial Status Reports (FSR) must use another PIN.  It is important to note that the use of the PINs to certify and sign the CAR and FSRs is the same as certifying the documents with a hand-written signature by the State official. State officials are responsible for protecting the confidentiality of their PIN and for any use of their PIN by another individual.</w:t>
      </w:r>
    </w:p>
    <w:p w:rsidR="00B83FB3" w:rsidRPr="0069697E" w:rsidRDefault="00386054" w:rsidP="00B578F4">
      <w:pPr>
        <w:pStyle w:val="ListParagraph"/>
        <w:numPr>
          <w:ilvl w:val="0"/>
          <w:numId w:val="20"/>
        </w:numPr>
        <w:rPr>
          <w:b/>
        </w:rPr>
      </w:pPr>
      <w:r w:rsidRPr="0069697E">
        <w:rPr>
          <w:b/>
        </w:rPr>
        <w:t>Describe ef</w:t>
      </w:r>
      <w:r w:rsidR="00B578F4" w:rsidRPr="0069697E">
        <w:rPr>
          <w:b/>
        </w:rPr>
        <w:t xml:space="preserve">forts to identify duplication. </w:t>
      </w:r>
      <w:r w:rsidRPr="0069697E">
        <w:rPr>
          <w:b/>
        </w:rPr>
        <w:t xml:space="preserve">Show specifically why any similar information already available cannot be used or modified for use for the purposes described in </w:t>
      </w:r>
      <w:r w:rsidR="00103C7E" w:rsidRPr="0069697E">
        <w:rPr>
          <w:b/>
        </w:rPr>
        <w:t>Question</w:t>
      </w:r>
      <w:r w:rsidRPr="0069697E">
        <w:rPr>
          <w:b/>
        </w:rPr>
        <w:t xml:space="preserve"> 2</w:t>
      </w:r>
      <w:r w:rsidR="000A2965" w:rsidRPr="0069697E">
        <w:rPr>
          <w:b/>
        </w:rPr>
        <w:t xml:space="preserve"> </w:t>
      </w:r>
      <w:r w:rsidRPr="0069697E">
        <w:rPr>
          <w:b/>
        </w:rPr>
        <w:t>above.</w:t>
      </w:r>
    </w:p>
    <w:p w:rsidR="0069697E" w:rsidRDefault="0069697E" w:rsidP="0069697E">
      <w:pPr>
        <w:pStyle w:val="ListParagraph"/>
      </w:pPr>
      <w:r>
        <w:rPr>
          <w:snapToGrid w:val="0"/>
        </w:rPr>
        <w:t>This information gathered as part of this collection is not required to be submitted to any other office within the Department of Education.</w:t>
      </w:r>
    </w:p>
    <w:p w:rsidR="00B83FB3" w:rsidRPr="0069697E" w:rsidRDefault="00386054" w:rsidP="00B578F4">
      <w:pPr>
        <w:pStyle w:val="ListParagraph"/>
        <w:numPr>
          <w:ilvl w:val="0"/>
          <w:numId w:val="20"/>
        </w:numPr>
        <w:rPr>
          <w:b/>
        </w:rPr>
      </w:pPr>
      <w:r w:rsidRPr="0069697E">
        <w:rPr>
          <w:b/>
        </w:rPr>
        <w:t xml:space="preserve">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w:t>
      </w:r>
      <w:r w:rsidRPr="0069697E">
        <w:rPr>
          <w:b/>
        </w:rPr>
        <w:lastRenderedPageBreak/>
        <w:t>in its field; or (3) a small government jurisdiction, which is a government of a city, county, town, township, school district, or special district with a population of less than 50,000.</w:t>
      </w:r>
    </w:p>
    <w:p w:rsidR="0069697E" w:rsidRDefault="0069697E" w:rsidP="0069697E">
      <w:pPr>
        <w:pStyle w:val="ListParagraph"/>
      </w:pPr>
      <w:r>
        <w:rPr>
          <w:snapToGrid w:val="0"/>
        </w:rPr>
        <w:t>This collection does not impact small business.</w:t>
      </w:r>
    </w:p>
    <w:p w:rsidR="00B83FB3" w:rsidRPr="0069697E" w:rsidRDefault="00386054" w:rsidP="00B578F4">
      <w:pPr>
        <w:pStyle w:val="ListParagraph"/>
        <w:numPr>
          <w:ilvl w:val="0"/>
          <w:numId w:val="20"/>
        </w:numPr>
        <w:rPr>
          <w:b/>
        </w:rPr>
      </w:pPr>
      <w:r w:rsidRPr="0069697E">
        <w:rPr>
          <w:b/>
        </w:rPr>
        <w:t>Describe the consequences to Federal program or policy activities if the collection is not conducted or is conducted less frequently, as well as any technical or legal obstacles to reducing burden.</w:t>
      </w:r>
    </w:p>
    <w:p w:rsidR="0069697E" w:rsidRDefault="0069697E" w:rsidP="0069697E">
      <w:pPr>
        <w:pStyle w:val="ListParagraph"/>
      </w:pPr>
      <w:r>
        <w:rPr>
          <w:snapToGrid w:val="0"/>
        </w:rPr>
        <w:t>Without the information gathered through the CAR, the Department would be unable to determine whether, and to what extent, States were complying with the Perkins IV legislation or other applicable federal regulations.  The Department would be unable to sufficiently review each State’s progress in meeting its adjusted levels of performance, much less determine its own effectiveness in helping States to achieve the purposes of the Act.  The statute dictates the frequency of collection and the types of information that must be collected.</w:t>
      </w:r>
    </w:p>
    <w:p w:rsidR="00386054" w:rsidRPr="0069697E" w:rsidRDefault="00386054" w:rsidP="00B578F4">
      <w:pPr>
        <w:pStyle w:val="ListParagraph"/>
        <w:numPr>
          <w:ilvl w:val="0"/>
          <w:numId w:val="20"/>
        </w:numPr>
        <w:rPr>
          <w:b/>
        </w:rPr>
      </w:pPr>
      <w:r w:rsidRPr="0069697E">
        <w:rPr>
          <w:b/>
        </w:rPr>
        <w:t>Explain any special circumstances that would cause an information collection to be conducted in a manner:</w:t>
      </w:r>
    </w:p>
    <w:p w:rsidR="00386054" w:rsidRPr="0069697E" w:rsidRDefault="00386054" w:rsidP="00B83FB3">
      <w:pPr>
        <w:pStyle w:val="ListParagraph"/>
        <w:numPr>
          <w:ilvl w:val="0"/>
          <w:numId w:val="21"/>
        </w:numPr>
        <w:rPr>
          <w:b/>
        </w:rPr>
      </w:pPr>
      <w:r w:rsidRPr="0069697E">
        <w:rPr>
          <w:b/>
        </w:rPr>
        <w:t>requiring respondents to report information to the agency more often than quarterly;</w:t>
      </w:r>
    </w:p>
    <w:p w:rsidR="00386054" w:rsidRPr="0069697E" w:rsidRDefault="00386054" w:rsidP="00B83FB3">
      <w:pPr>
        <w:pStyle w:val="ListParagraph"/>
        <w:numPr>
          <w:ilvl w:val="0"/>
          <w:numId w:val="21"/>
        </w:numPr>
        <w:rPr>
          <w:b/>
        </w:rPr>
      </w:pPr>
      <w:r w:rsidRPr="0069697E">
        <w:rPr>
          <w:b/>
        </w:rPr>
        <w:t>requiring respondents to prepare a written response to a collection of information in fewer than 30 days after receipt of it;</w:t>
      </w:r>
    </w:p>
    <w:p w:rsidR="00386054" w:rsidRPr="0069697E" w:rsidRDefault="00386054" w:rsidP="00B83FB3">
      <w:pPr>
        <w:pStyle w:val="ListParagraph"/>
        <w:numPr>
          <w:ilvl w:val="0"/>
          <w:numId w:val="21"/>
        </w:numPr>
        <w:rPr>
          <w:b/>
        </w:rPr>
      </w:pPr>
      <w:r w:rsidRPr="0069697E">
        <w:rPr>
          <w:b/>
        </w:rPr>
        <w:t>requiring respondents to submit more than an original and two copies of any document;</w:t>
      </w:r>
    </w:p>
    <w:p w:rsidR="00386054" w:rsidRPr="0069697E" w:rsidRDefault="00386054" w:rsidP="00B83FB3">
      <w:pPr>
        <w:pStyle w:val="ListParagraph"/>
        <w:numPr>
          <w:ilvl w:val="0"/>
          <w:numId w:val="21"/>
        </w:numPr>
        <w:rPr>
          <w:b/>
        </w:rPr>
      </w:pPr>
      <w:r w:rsidRPr="0069697E">
        <w:rPr>
          <w:b/>
        </w:rPr>
        <w:t>requiring respondents to retain records, other than health, medical, government contract, grant-in-aid, or tax records for more than three years;</w:t>
      </w:r>
    </w:p>
    <w:p w:rsidR="00386054" w:rsidRPr="0069697E" w:rsidRDefault="00386054" w:rsidP="00B83FB3">
      <w:pPr>
        <w:pStyle w:val="ListParagraph"/>
        <w:numPr>
          <w:ilvl w:val="0"/>
          <w:numId w:val="21"/>
        </w:numPr>
        <w:rPr>
          <w:b/>
        </w:rPr>
      </w:pPr>
      <w:r w:rsidRPr="0069697E">
        <w:rPr>
          <w:b/>
        </w:rPr>
        <w:t>in connection with a statistical survey, that is not designed to produce valid and reliable results than can be generalized to the universe of study;</w:t>
      </w:r>
    </w:p>
    <w:p w:rsidR="00386054" w:rsidRPr="0069697E" w:rsidRDefault="00386054" w:rsidP="00B83FB3">
      <w:pPr>
        <w:pStyle w:val="ListParagraph"/>
        <w:numPr>
          <w:ilvl w:val="0"/>
          <w:numId w:val="21"/>
        </w:numPr>
        <w:rPr>
          <w:b/>
        </w:rPr>
      </w:pPr>
      <w:r w:rsidRPr="0069697E">
        <w:rPr>
          <w:b/>
        </w:rPr>
        <w:t>requiring the use of a statistical data classification that has not been reviewed and approved by OMB;</w:t>
      </w:r>
    </w:p>
    <w:p w:rsidR="00386054" w:rsidRPr="0069697E" w:rsidRDefault="00386054" w:rsidP="00B83FB3">
      <w:pPr>
        <w:pStyle w:val="ListParagraph"/>
        <w:numPr>
          <w:ilvl w:val="0"/>
          <w:numId w:val="21"/>
        </w:numPr>
        <w:rPr>
          <w:b/>
        </w:rPr>
      </w:pPr>
      <w:r w:rsidRPr="0069697E">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69697E" w:rsidRDefault="00386054" w:rsidP="00B83FB3">
      <w:pPr>
        <w:pStyle w:val="ListParagraph"/>
        <w:numPr>
          <w:ilvl w:val="0"/>
          <w:numId w:val="21"/>
        </w:numPr>
        <w:rPr>
          <w:b/>
        </w:rPr>
      </w:pPr>
      <w:proofErr w:type="gramStart"/>
      <w:r w:rsidRPr="0069697E">
        <w:rPr>
          <w:b/>
        </w:rPr>
        <w:t>requiring</w:t>
      </w:r>
      <w:proofErr w:type="gramEnd"/>
      <w:r w:rsidRPr="0069697E">
        <w:rPr>
          <w:b/>
        </w:rPr>
        <w:t xml:space="preserve"> respondents to submit proprietary trade secrets, or other confidential information unless the agency can demonstrate that it has instituted procedures to protect the information’s confidentiality to the extent permitted by law.</w:t>
      </w:r>
    </w:p>
    <w:p w:rsidR="0069697E" w:rsidRDefault="0069697E" w:rsidP="0069697E">
      <w:pPr>
        <w:tabs>
          <w:tab w:val="left" w:pos="720"/>
        </w:tabs>
        <w:ind w:left="720"/>
      </w:pPr>
      <w:r>
        <w:t>There are no special circumstances that require the collection to be conducted in a manner inconsistent with the guidelines in 5 CFR 1320.6.</w:t>
      </w:r>
    </w:p>
    <w:p w:rsidR="0069697E" w:rsidRPr="00EF7FF5" w:rsidRDefault="0069697E" w:rsidP="0069697E">
      <w:pPr>
        <w:ind w:left="720"/>
      </w:pPr>
    </w:p>
    <w:p w:rsidR="00386054" w:rsidRPr="0069697E" w:rsidRDefault="001743A5" w:rsidP="00B83FB3">
      <w:pPr>
        <w:pStyle w:val="ListParagraph"/>
        <w:numPr>
          <w:ilvl w:val="0"/>
          <w:numId w:val="20"/>
        </w:numPr>
        <w:rPr>
          <w:b/>
        </w:rPr>
      </w:pPr>
      <w:r w:rsidRPr="0069697E">
        <w:rPr>
          <w:b/>
        </w:rPr>
        <w:lastRenderedPageBreak/>
        <w:t xml:space="preserve">As </w:t>
      </w:r>
      <w:r w:rsidR="00386054" w:rsidRPr="0069697E">
        <w:rPr>
          <w:b/>
        </w:rPr>
        <w:t xml:space="preserve">applicable, </w:t>
      </w:r>
      <w:r w:rsidRPr="0069697E">
        <w:rPr>
          <w:b/>
        </w:rPr>
        <w:t xml:space="preserve">state that the Department has published the 60 and 30 Federal Register notices as </w:t>
      </w:r>
      <w:r w:rsidR="00386054" w:rsidRPr="0069697E">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69697E" w:rsidRDefault="00386054" w:rsidP="00B578F4">
      <w:pPr>
        <w:pStyle w:val="ListParagraph"/>
        <w:rPr>
          <w:rStyle w:val="a"/>
          <w:b/>
        </w:rPr>
      </w:pPr>
      <w:r w:rsidRPr="0069697E">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69697E" w:rsidRDefault="00386054" w:rsidP="00B578F4">
      <w:pPr>
        <w:pStyle w:val="ListParagraph"/>
        <w:rPr>
          <w:rStyle w:val="a"/>
          <w:b/>
        </w:rPr>
      </w:pPr>
      <w:r w:rsidRPr="0069697E">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9697E" w:rsidRPr="00EF7FF5" w:rsidRDefault="0069697E" w:rsidP="00B578F4">
      <w:pPr>
        <w:pStyle w:val="ListParagraph"/>
      </w:pPr>
      <w:r>
        <w:t>A 60-Day and 30-Day Federal Re</w:t>
      </w:r>
      <w:r w:rsidR="00567CC2">
        <w:t xml:space="preserve">gister Notice published for CAR. </w:t>
      </w:r>
      <w:bookmarkStart w:id="0" w:name="_GoBack"/>
      <w:bookmarkEnd w:id="0"/>
    </w:p>
    <w:p w:rsidR="00386054" w:rsidRPr="0069697E" w:rsidRDefault="00386054" w:rsidP="00B83FB3">
      <w:pPr>
        <w:pStyle w:val="ListParagraph"/>
        <w:numPr>
          <w:ilvl w:val="0"/>
          <w:numId w:val="20"/>
        </w:numPr>
        <w:rPr>
          <w:rStyle w:val="a"/>
          <w:b/>
        </w:rPr>
      </w:pPr>
      <w:r w:rsidRPr="0069697E">
        <w:rPr>
          <w:rStyle w:val="a"/>
          <w:b/>
        </w:rPr>
        <w:t>Explain any decision to provide any payment or gift to respondents, other than remuneration of contractors or grantees</w:t>
      </w:r>
      <w:r w:rsidR="003E285A" w:rsidRPr="0069697E">
        <w:rPr>
          <w:rStyle w:val="a"/>
          <w:b/>
        </w:rPr>
        <w:t xml:space="preserve"> with meaningful justification</w:t>
      </w:r>
      <w:r w:rsidRPr="0069697E">
        <w:rPr>
          <w:rStyle w:val="a"/>
          <w:b/>
        </w:rPr>
        <w:t>.</w:t>
      </w:r>
    </w:p>
    <w:p w:rsidR="0069697E" w:rsidRPr="00322E02" w:rsidRDefault="0069697E" w:rsidP="0069697E">
      <w:pPr>
        <w:pStyle w:val="ListParagraph"/>
      </w:pPr>
      <w:r w:rsidRPr="0069697E">
        <w:t>The respondents will not receive any payment or gift for completing the information collection.</w:t>
      </w:r>
    </w:p>
    <w:p w:rsidR="00B83FB3" w:rsidRPr="0069697E" w:rsidRDefault="00386054" w:rsidP="00B578F4">
      <w:pPr>
        <w:pStyle w:val="ListParagraph"/>
        <w:numPr>
          <w:ilvl w:val="0"/>
          <w:numId w:val="20"/>
        </w:numPr>
        <w:rPr>
          <w:b/>
        </w:rPr>
      </w:pPr>
      <w:r w:rsidRPr="0069697E">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103C7E" w:rsidRPr="0069697E">
        <w:rPr>
          <w:b/>
        </w:rPr>
        <w:t xml:space="preserve"> as indicated on the ICRAS’ Part 2 IC form</w:t>
      </w:r>
      <w:r w:rsidRPr="0069697E">
        <w:rPr>
          <w:b/>
        </w:rPr>
        <w:t xml:space="preserve">. A confidentiality statement with a legal citation that authorizes the </w:t>
      </w:r>
      <w:r w:rsidR="001743A5" w:rsidRPr="0069697E">
        <w:rPr>
          <w:b/>
        </w:rPr>
        <w:t xml:space="preserve">pledge </w:t>
      </w:r>
      <w:r w:rsidRPr="0069697E">
        <w:rPr>
          <w:b/>
        </w:rPr>
        <w:t xml:space="preserve">of </w:t>
      </w:r>
      <w:r w:rsidR="001743A5" w:rsidRPr="0069697E">
        <w:rPr>
          <w:b/>
        </w:rPr>
        <w:t xml:space="preserve">confidentiality </w:t>
      </w:r>
      <w:r w:rsidRPr="0069697E">
        <w:rPr>
          <w:b/>
        </w:rPr>
        <w:t>should be provided.</w:t>
      </w:r>
      <w:r w:rsidR="00CF7053" w:rsidRPr="0069697E">
        <w:rPr>
          <w:b/>
        </w:rPr>
        <w:t xml:space="preserve"> </w:t>
      </w:r>
      <w:r w:rsidR="00016E14" w:rsidRPr="0069697E">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69697E">
        <w:rPr>
          <w:b/>
        </w:rPr>
        <w:t xml:space="preserve">. </w:t>
      </w:r>
      <w:r w:rsidR="001743A5" w:rsidRPr="0069697E">
        <w:rPr>
          <w:b/>
        </w:rPr>
        <w:t>If the collection is subject to the Privacy Act, the Privacy Act statement is deemed sufficient with respect to confidentiality. If there is no expectation of confidentiality, simply state that the Department make</w:t>
      </w:r>
      <w:r w:rsidR="006A3B5C" w:rsidRPr="0069697E">
        <w:rPr>
          <w:b/>
        </w:rPr>
        <w:t>s</w:t>
      </w:r>
      <w:r w:rsidR="001743A5" w:rsidRPr="0069697E">
        <w:rPr>
          <w:b/>
        </w:rPr>
        <w:t xml:space="preserve"> no pledge about the confidentially of the data.</w:t>
      </w:r>
    </w:p>
    <w:p w:rsidR="0069697E" w:rsidRDefault="0069697E" w:rsidP="0069697E">
      <w:pPr>
        <w:pStyle w:val="ListParagraph"/>
      </w:pPr>
      <w:r w:rsidRPr="0069697E">
        <w:t>There are no assurances of confidentiality.</w:t>
      </w:r>
    </w:p>
    <w:p w:rsidR="00B83FB3" w:rsidRPr="006B368E" w:rsidRDefault="00386054" w:rsidP="00B578F4">
      <w:pPr>
        <w:pStyle w:val="ListParagraph"/>
        <w:numPr>
          <w:ilvl w:val="0"/>
          <w:numId w:val="20"/>
        </w:numPr>
        <w:rPr>
          <w:b/>
        </w:rPr>
      </w:pPr>
      <w:r w:rsidRPr="006B368E">
        <w:rPr>
          <w:b/>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w:t>
      </w:r>
      <w:r w:rsidRPr="006B368E">
        <w:rPr>
          <w:b/>
        </w:rPr>
        <w:lastRenderedPageBreak/>
        <w:t>information, the explanation to be given to persons from whom the information is requested, and any steps to be taken to obtain their consent.</w:t>
      </w:r>
    </w:p>
    <w:p w:rsidR="006B368E" w:rsidRDefault="006B368E" w:rsidP="006B368E">
      <w:pPr>
        <w:pStyle w:val="ListParagraph"/>
      </w:pPr>
      <w:r w:rsidRPr="006B368E">
        <w:t>There are no questions of a sensitive nature.</w:t>
      </w:r>
    </w:p>
    <w:p w:rsidR="00386054" w:rsidRPr="006B368E" w:rsidRDefault="00386054" w:rsidP="00B578F4">
      <w:pPr>
        <w:pStyle w:val="ListParagraph"/>
        <w:numPr>
          <w:ilvl w:val="0"/>
          <w:numId w:val="20"/>
        </w:numPr>
        <w:rPr>
          <w:rStyle w:val="a"/>
          <w:b/>
        </w:rPr>
      </w:pPr>
      <w:r w:rsidRPr="006B368E">
        <w:rPr>
          <w:rStyle w:val="a"/>
          <w:b/>
        </w:rPr>
        <w:t>Provide estimates of the hour burden of the collection of information.  The statement should:</w:t>
      </w:r>
    </w:p>
    <w:p w:rsidR="00386054" w:rsidRPr="006B368E" w:rsidRDefault="00386054" w:rsidP="00B83FB3">
      <w:pPr>
        <w:pStyle w:val="ListParagraph"/>
        <w:numPr>
          <w:ilvl w:val="0"/>
          <w:numId w:val="22"/>
        </w:numPr>
        <w:rPr>
          <w:rStyle w:val="a"/>
          <w:b/>
        </w:rPr>
      </w:pPr>
      <w:r w:rsidRPr="006B368E">
        <w:rPr>
          <w:rStyle w:val="a"/>
          <w:b/>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w:t>
      </w:r>
      <w:r w:rsidR="00103C7E" w:rsidRPr="006B368E">
        <w:rPr>
          <w:rStyle w:val="a"/>
          <w:b/>
        </w:rPr>
        <w:t>Question</w:t>
      </w:r>
      <w:r w:rsidRPr="006B368E">
        <w:rPr>
          <w:rStyle w:val="a"/>
          <w:b/>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6B368E" w:rsidRDefault="00386054" w:rsidP="00B83FB3">
      <w:pPr>
        <w:pStyle w:val="ListParagraph"/>
        <w:numPr>
          <w:ilvl w:val="0"/>
          <w:numId w:val="22"/>
        </w:numPr>
        <w:rPr>
          <w:rStyle w:val="a"/>
          <w:b/>
        </w:rPr>
      </w:pPr>
      <w:r w:rsidRPr="006B368E">
        <w:rPr>
          <w:rStyle w:val="a"/>
          <w:b/>
        </w:rPr>
        <w:t>If this request for approval covers more than one form, provide separate hour</w:t>
      </w:r>
      <w:r w:rsidR="00103C7E" w:rsidRPr="006B368E">
        <w:rPr>
          <w:rStyle w:val="a"/>
          <w:b/>
        </w:rPr>
        <w:t xml:space="preserve"> burden estimates for each form</w:t>
      </w:r>
      <w:r w:rsidRPr="006B368E">
        <w:rPr>
          <w:rStyle w:val="a"/>
          <w:b/>
        </w:rPr>
        <w:t>.</w:t>
      </w:r>
      <w:r w:rsidR="00CE72AF" w:rsidRPr="006B368E">
        <w:rPr>
          <w:rStyle w:val="a"/>
          <w:b/>
        </w:rPr>
        <w:t xml:space="preserve">  (The table should at </w:t>
      </w:r>
      <w:r w:rsidR="003C7F70" w:rsidRPr="006B368E">
        <w:rPr>
          <w:rStyle w:val="a"/>
          <w:b/>
        </w:rPr>
        <w:t>minimum</w:t>
      </w:r>
      <w:r w:rsidR="00CE72AF" w:rsidRPr="006B368E">
        <w:rPr>
          <w:rStyle w:val="a"/>
          <w:b/>
        </w:rPr>
        <w:t xml:space="preserve"> include Respondent types, </w:t>
      </w:r>
      <w:r w:rsidR="00103C7E" w:rsidRPr="006B368E">
        <w:rPr>
          <w:rStyle w:val="a"/>
          <w:b/>
        </w:rPr>
        <w:t>Number of</w:t>
      </w:r>
      <w:r w:rsidR="00CE72AF" w:rsidRPr="006B368E">
        <w:rPr>
          <w:rStyle w:val="a"/>
          <w:b/>
        </w:rPr>
        <w:t xml:space="preserve"> Respondent</w:t>
      </w:r>
      <w:r w:rsidR="00103C7E" w:rsidRPr="006B368E">
        <w:rPr>
          <w:rStyle w:val="a"/>
          <w:b/>
        </w:rPr>
        <w:t>s</w:t>
      </w:r>
      <w:r w:rsidR="00CE72AF" w:rsidRPr="006B368E">
        <w:rPr>
          <w:rStyle w:val="a"/>
          <w:b/>
        </w:rPr>
        <w:t xml:space="preserve"> and Responses, Hours/Response, and Total Hours)</w:t>
      </w:r>
    </w:p>
    <w:p w:rsidR="00386054" w:rsidRPr="006B368E" w:rsidRDefault="00386054" w:rsidP="00B83FB3">
      <w:pPr>
        <w:pStyle w:val="ListParagraph"/>
        <w:numPr>
          <w:ilvl w:val="0"/>
          <w:numId w:val="22"/>
        </w:numPr>
        <w:rPr>
          <w:rStyle w:val="a"/>
        </w:rPr>
      </w:pPr>
      <w:r w:rsidRPr="006B368E">
        <w:rPr>
          <w:rStyle w:val="a"/>
          <w:b/>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103C7E" w:rsidRPr="006B368E">
        <w:rPr>
          <w:rStyle w:val="a"/>
          <w:b/>
        </w:rPr>
        <w:t xml:space="preserve">Question </w:t>
      </w:r>
      <w:r w:rsidRPr="006B368E">
        <w:rPr>
          <w:rStyle w:val="a"/>
          <w:b/>
        </w:rPr>
        <w:t>14.</w:t>
      </w:r>
    </w:p>
    <w:p w:rsidR="006B368E" w:rsidRDefault="006B368E" w:rsidP="006B368E">
      <w:pPr>
        <w:rPr>
          <w:highlight w:val="yellow"/>
        </w:rPr>
      </w:pPr>
    </w:p>
    <w:p w:rsidR="006B368E" w:rsidRPr="006B368E" w:rsidRDefault="006B368E" w:rsidP="006B368E">
      <w:pPr>
        <w:spacing w:after="0"/>
        <w:rPr>
          <w:rFonts w:ascii="Courier" w:hAnsi="Courier"/>
          <w:szCs w:val="20"/>
        </w:rPr>
      </w:pPr>
      <w:r w:rsidRPr="006B368E">
        <w:rPr>
          <w:rFonts w:ascii="Courier" w:hAnsi="Courier"/>
          <w:szCs w:val="20"/>
        </w:rPr>
        <w:t xml:space="preserve">With both Professional and Clerical staff completing the CAR, total annual burden hours for this extension are 9,570 hours. </w:t>
      </w:r>
    </w:p>
    <w:p w:rsidR="006B368E" w:rsidRPr="006B368E" w:rsidRDefault="006B368E" w:rsidP="006B368E">
      <w:pPr>
        <w:tabs>
          <w:tab w:val="num" w:pos="851"/>
        </w:tabs>
        <w:spacing w:after="0"/>
        <w:ind w:left="993" w:hanging="142"/>
        <w:jc w:val="both"/>
        <w:rPr>
          <w:rFonts w:ascii="Courier" w:hAnsi="Courier"/>
          <w:szCs w:val="20"/>
        </w:rPr>
      </w:pPr>
    </w:p>
    <w:p w:rsidR="006B368E" w:rsidRPr="006B368E" w:rsidRDefault="006B368E" w:rsidP="006B368E">
      <w:pPr>
        <w:tabs>
          <w:tab w:val="num" w:pos="851"/>
        </w:tabs>
        <w:spacing w:after="0"/>
        <w:ind w:left="993" w:hanging="142"/>
        <w:jc w:val="both"/>
        <w:rPr>
          <w:rFonts w:ascii="Courier" w:hAnsi="Courier"/>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20"/>
        <w:gridCol w:w="2155"/>
        <w:gridCol w:w="2165"/>
        <w:gridCol w:w="1908"/>
      </w:tblGrid>
      <w:tr w:rsidR="006B368E" w:rsidRPr="006B368E" w:rsidTr="00FA0714">
        <w:trPr>
          <w:trHeight w:val="1070"/>
          <w:tblHeader/>
        </w:trPr>
        <w:tc>
          <w:tcPr>
            <w:tcW w:w="1260" w:type="dxa"/>
          </w:tcPr>
          <w:p w:rsidR="006B368E" w:rsidRPr="006B368E" w:rsidRDefault="006B368E" w:rsidP="006B368E">
            <w:pPr>
              <w:tabs>
                <w:tab w:val="num" w:pos="993"/>
              </w:tabs>
              <w:spacing w:after="0"/>
              <w:jc w:val="center"/>
              <w:rPr>
                <w:rFonts w:ascii="Courier" w:hAnsi="Courier"/>
                <w:b/>
                <w:szCs w:val="20"/>
              </w:rPr>
            </w:pPr>
            <w:r w:rsidRPr="006B368E">
              <w:rPr>
                <w:rFonts w:ascii="Courier" w:hAnsi="Courier"/>
                <w:b/>
                <w:szCs w:val="20"/>
              </w:rPr>
              <w:t>Program Year</w:t>
            </w:r>
          </w:p>
        </w:tc>
        <w:tc>
          <w:tcPr>
            <w:tcW w:w="1620" w:type="dxa"/>
          </w:tcPr>
          <w:p w:rsidR="006B368E" w:rsidRPr="006B368E" w:rsidRDefault="006B368E" w:rsidP="006B368E">
            <w:pPr>
              <w:tabs>
                <w:tab w:val="num" w:pos="993"/>
              </w:tabs>
              <w:spacing w:after="0"/>
              <w:jc w:val="center"/>
              <w:rPr>
                <w:rFonts w:ascii="Courier" w:hAnsi="Courier"/>
                <w:b/>
                <w:szCs w:val="20"/>
              </w:rPr>
            </w:pPr>
            <w:r w:rsidRPr="006B368E">
              <w:rPr>
                <w:rFonts w:ascii="Courier" w:hAnsi="Courier"/>
                <w:b/>
                <w:szCs w:val="20"/>
              </w:rPr>
              <w:t>Estimated Number of Responses</w:t>
            </w:r>
          </w:p>
        </w:tc>
        <w:tc>
          <w:tcPr>
            <w:tcW w:w="2155" w:type="dxa"/>
          </w:tcPr>
          <w:p w:rsidR="006B368E" w:rsidRPr="006B368E" w:rsidRDefault="006B368E" w:rsidP="006B368E">
            <w:pPr>
              <w:tabs>
                <w:tab w:val="num" w:pos="993"/>
              </w:tabs>
              <w:spacing w:after="0"/>
              <w:jc w:val="center"/>
              <w:rPr>
                <w:rFonts w:ascii="Courier" w:hAnsi="Courier"/>
                <w:b/>
                <w:szCs w:val="20"/>
              </w:rPr>
            </w:pPr>
            <w:r w:rsidRPr="006B368E">
              <w:rPr>
                <w:rFonts w:ascii="Courier" w:hAnsi="Courier"/>
                <w:b/>
                <w:szCs w:val="20"/>
              </w:rPr>
              <w:t>Type of Staff</w:t>
            </w:r>
          </w:p>
        </w:tc>
        <w:tc>
          <w:tcPr>
            <w:tcW w:w="2165" w:type="dxa"/>
          </w:tcPr>
          <w:p w:rsidR="006B368E" w:rsidRPr="006B368E" w:rsidRDefault="006B368E" w:rsidP="006B368E">
            <w:pPr>
              <w:tabs>
                <w:tab w:val="num" w:pos="993"/>
              </w:tabs>
              <w:spacing w:after="0"/>
              <w:jc w:val="center"/>
              <w:rPr>
                <w:rFonts w:ascii="Courier" w:hAnsi="Courier"/>
                <w:b/>
                <w:szCs w:val="20"/>
              </w:rPr>
            </w:pPr>
            <w:r w:rsidRPr="006B368E">
              <w:rPr>
                <w:rFonts w:ascii="Courier" w:hAnsi="Courier"/>
                <w:b/>
                <w:szCs w:val="20"/>
              </w:rPr>
              <w:t>Estimated Number of Burden Hours Per Response</w:t>
            </w:r>
          </w:p>
        </w:tc>
        <w:tc>
          <w:tcPr>
            <w:tcW w:w="1908" w:type="dxa"/>
          </w:tcPr>
          <w:p w:rsidR="006B368E" w:rsidRPr="006B368E" w:rsidRDefault="006B368E" w:rsidP="006B368E">
            <w:pPr>
              <w:tabs>
                <w:tab w:val="num" w:pos="993"/>
              </w:tabs>
              <w:spacing w:after="0"/>
              <w:jc w:val="center"/>
              <w:rPr>
                <w:rFonts w:ascii="Courier" w:hAnsi="Courier"/>
                <w:b/>
                <w:szCs w:val="20"/>
              </w:rPr>
            </w:pPr>
            <w:r w:rsidRPr="006B368E">
              <w:rPr>
                <w:rFonts w:ascii="Courier" w:hAnsi="Courier"/>
                <w:b/>
                <w:szCs w:val="20"/>
              </w:rPr>
              <w:t>Total Estimated Number of Burden Hours</w:t>
            </w:r>
          </w:p>
        </w:tc>
      </w:tr>
      <w:tr w:rsidR="006B368E" w:rsidRPr="006B368E" w:rsidTr="00FA0714">
        <w:tc>
          <w:tcPr>
            <w:tcW w:w="1260" w:type="dxa"/>
          </w:tcPr>
          <w:p w:rsidR="006B368E" w:rsidRPr="006B368E" w:rsidRDefault="006B368E" w:rsidP="006B368E">
            <w:pPr>
              <w:tabs>
                <w:tab w:val="num" w:pos="993"/>
              </w:tabs>
              <w:spacing w:after="0"/>
              <w:jc w:val="both"/>
              <w:rPr>
                <w:rFonts w:ascii="Courier" w:hAnsi="Courier"/>
                <w:szCs w:val="20"/>
              </w:rPr>
            </w:pPr>
            <w:r w:rsidRPr="006B368E">
              <w:rPr>
                <w:rFonts w:ascii="Courier" w:hAnsi="Courier"/>
                <w:szCs w:val="20"/>
              </w:rPr>
              <w:t>2013-2014</w:t>
            </w:r>
          </w:p>
        </w:tc>
        <w:tc>
          <w:tcPr>
            <w:tcW w:w="1620" w:type="dxa"/>
          </w:tcPr>
          <w:p w:rsidR="006B368E" w:rsidRPr="006B368E" w:rsidRDefault="006B368E" w:rsidP="006B368E">
            <w:pPr>
              <w:spacing w:after="0"/>
              <w:jc w:val="center"/>
              <w:rPr>
                <w:rFonts w:ascii="Courier" w:hAnsi="Courier"/>
                <w:szCs w:val="20"/>
              </w:rPr>
            </w:pPr>
            <w:r w:rsidRPr="006B368E">
              <w:rPr>
                <w:rFonts w:ascii="Courier" w:hAnsi="Courier"/>
                <w:szCs w:val="20"/>
              </w:rPr>
              <w:t>55</w:t>
            </w:r>
          </w:p>
        </w:tc>
        <w:tc>
          <w:tcPr>
            <w:tcW w:w="2155" w:type="dxa"/>
          </w:tcPr>
          <w:p w:rsidR="006B368E" w:rsidRPr="006B368E" w:rsidRDefault="006B368E" w:rsidP="006B368E">
            <w:pPr>
              <w:tabs>
                <w:tab w:val="num" w:pos="993"/>
              </w:tabs>
              <w:spacing w:after="0"/>
              <w:jc w:val="both"/>
              <w:rPr>
                <w:rFonts w:ascii="Courier" w:hAnsi="Courier"/>
                <w:szCs w:val="20"/>
              </w:rPr>
            </w:pPr>
            <w:r w:rsidRPr="006B368E">
              <w:rPr>
                <w:rFonts w:ascii="Courier" w:hAnsi="Courier"/>
                <w:szCs w:val="20"/>
              </w:rPr>
              <w:t>Professional</w:t>
            </w:r>
          </w:p>
          <w:p w:rsidR="006B368E" w:rsidRPr="006B368E" w:rsidRDefault="006B368E" w:rsidP="006B368E">
            <w:pPr>
              <w:tabs>
                <w:tab w:val="num" w:pos="993"/>
              </w:tabs>
              <w:spacing w:after="0"/>
              <w:jc w:val="both"/>
              <w:rPr>
                <w:rFonts w:ascii="Courier" w:hAnsi="Courier"/>
                <w:szCs w:val="20"/>
              </w:rPr>
            </w:pPr>
            <w:r w:rsidRPr="006B368E">
              <w:rPr>
                <w:rFonts w:ascii="Courier" w:hAnsi="Courier"/>
                <w:szCs w:val="20"/>
              </w:rPr>
              <w:t>Clerical</w:t>
            </w:r>
          </w:p>
          <w:p w:rsidR="006B368E" w:rsidRPr="006B368E" w:rsidRDefault="006B368E" w:rsidP="006B368E">
            <w:pPr>
              <w:tabs>
                <w:tab w:val="num" w:pos="993"/>
              </w:tabs>
              <w:spacing w:after="0"/>
              <w:jc w:val="both"/>
              <w:rPr>
                <w:rFonts w:ascii="Courier" w:hAnsi="Courier"/>
                <w:szCs w:val="20"/>
              </w:rPr>
            </w:pPr>
            <w:r w:rsidRPr="006B368E">
              <w:rPr>
                <w:rFonts w:ascii="Courier" w:hAnsi="Courier"/>
                <w:szCs w:val="20"/>
              </w:rPr>
              <w:t>TOTAL</w:t>
            </w:r>
          </w:p>
        </w:tc>
        <w:tc>
          <w:tcPr>
            <w:tcW w:w="2165" w:type="dxa"/>
          </w:tcPr>
          <w:p w:rsidR="006B368E" w:rsidRPr="006B368E" w:rsidRDefault="006B368E" w:rsidP="006B368E">
            <w:pPr>
              <w:tabs>
                <w:tab w:val="num" w:pos="993"/>
              </w:tabs>
              <w:spacing w:after="0"/>
              <w:jc w:val="center"/>
              <w:rPr>
                <w:rFonts w:ascii="Courier" w:hAnsi="Courier"/>
                <w:szCs w:val="20"/>
              </w:rPr>
            </w:pPr>
            <w:r w:rsidRPr="006B368E">
              <w:rPr>
                <w:rFonts w:ascii="Courier" w:hAnsi="Courier"/>
                <w:szCs w:val="20"/>
              </w:rPr>
              <w:t>102</w:t>
            </w:r>
          </w:p>
          <w:p w:rsidR="006B368E" w:rsidRPr="006B368E" w:rsidRDefault="006B368E" w:rsidP="006B368E">
            <w:pPr>
              <w:tabs>
                <w:tab w:val="num" w:pos="993"/>
              </w:tabs>
              <w:spacing w:after="0"/>
              <w:jc w:val="center"/>
              <w:rPr>
                <w:rFonts w:ascii="Courier" w:hAnsi="Courier"/>
                <w:szCs w:val="20"/>
              </w:rPr>
            </w:pPr>
            <w:r w:rsidRPr="006B368E">
              <w:rPr>
                <w:rFonts w:ascii="Courier" w:hAnsi="Courier"/>
                <w:szCs w:val="20"/>
              </w:rPr>
              <w:t>72</w:t>
            </w:r>
          </w:p>
          <w:p w:rsidR="006B368E" w:rsidRPr="006B368E" w:rsidRDefault="006B368E" w:rsidP="006B368E">
            <w:pPr>
              <w:tabs>
                <w:tab w:val="num" w:pos="993"/>
              </w:tabs>
              <w:spacing w:after="0"/>
              <w:jc w:val="center"/>
              <w:rPr>
                <w:rFonts w:ascii="Courier" w:hAnsi="Courier"/>
                <w:szCs w:val="20"/>
              </w:rPr>
            </w:pPr>
          </w:p>
        </w:tc>
        <w:tc>
          <w:tcPr>
            <w:tcW w:w="1908" w:type="dxa"/>
          </w:tcPr>
          <w:p w:rsidR="006B368E" w:rsidRPr="006B368E" w:rsidRDefault="006B368E" w:rsidP="006B368E">
            <w:pPr>
              <w:tabs>
                <w:tab w:val="num" w:pos="993"/>
              </w:tabs>
              <w:spacing w:after="0"/>
              <w:jc w:val="center"/>
              <w:rPr>
                <w:rFonts w:ascii="Courier" w:hAnsi="Courier"/>
                <w:szCs w:val="20"/>
              </w:rPr>
            </w:pPr>
            <w:r w:rsidRPr="006B368E">
              <w:rPr>
                <w:rFonts w:ascii="Courier" w:hAnsi="Courier"/>
                <w:szCs w:val="20"/>
              </w:rPr>
              <w:t>5,610</w:t>
            </w:r>
          </w:p>
          <w:p w:rsidR="006B368E" w:rsidRPr="006B368E" w:rsidRDefault="006B368E" w:rsidP="006B368E">
            <w:pPr>
              <w:tabs>
                <w:tab w:val="num" w:pos="993"/>
              </w:tabs>
              <w:spacing w:after="0"/>
              <w:jc w:val="center"/>
              <w:rPr>
                <w:rFonts w:ascii="Courier" w:hAnsi="Courier"/>
                <w:szCs w:val="20"/>
              </w:rPr>
            </w:pPr>
            <w:r w:rsidRPr="006B368E">
              <w:rPr>
                <w:rFonts w:ascii="Courier" w:hAnsi="Courier"/>
                <w:szCs w:val="20"/>
              </w:rPr>
              <w:t>3,960</w:t>
            </w:r>
          </w:p>
          <w:p w:rsidR="006B368E" w:rsidRPr="006B368E" w:rsidRDefault="006B368E" w:rsidP="006B368E">
            <w:pPr>
              <w:tabs>
                <w:tab w:val="num" w:pos="993"/>
              </w:tabs>
              <w:spacing w:after="0"/>
              <w:jc w:val="center"/>
              <w:rPr>
                <w:rFonts w:ascii="Courier" w:hAnsi="Courier"/>
                <w:szCs w:val="20"/>
              </w:rPr>
            </w:pPr>
          </w:p>
        </w:tc>
      </w:tr>
      <w:tr w:rsidR="006B368E" w:rsidRPr="006B368E" w:rsidTr="00FA0714">
        <w:tc>
          <w:tcPr>
            <w:tcW w:w="1260" w:type="dxa"/>
          </w:tcPr>
          <w:p w:rsidR="006B368E" w:rsidRPr="006B368E" w:rsidRDefault="006B368E" w:rsidP="006B368E">
            <w:pPr>
              <w:keepNext/>
              <w:tabs>
                <w:tab w:val="num" w:pos="993"/>
              </w:tabs>
              <w:spacing w:before="120" w:after="0"/>
              <w:jc w:val="both"/>
              <w:outlineLvl w:val="2"/>
              <w:rPr>
                <w:b/>
                <w:sz w:val="20"/>
              </w:rPr>
            </w:pPr>
            <w:r w:rsidRPr="006B368E">
              <w:rPr>
                <w:b/>
                <w:sz w:val="20"/>
              </w:rPr>
              <w:lastRenderedPageBreak/>
              <w:t>ANNUAL</w:t>
            </w:r>
          </w:p>
          <w:p w:rsidR="006B368E" w:rsidRPr="006B368E" w:rsidRDefault="006B368E" w:rsidP="006B368E">
            <w:pPr>
              <w:keepNext/>
              <w:tabs>
                <w:tab w:val="num" w:pos="993"/>
              </w:tabs>
              <w:jc w:val="both"/>
              <w:outlineLvl w:val="2"/>
              <w:rPr>
                <w:b/>
              </w:rPr>
            </w:pPr>
            <w:r w:rsidRPr="006B368E">
              <w:rPr>
                <w:b/>
                <w:sz w:val="20"/>
              </w:rPr>
              <w:t>AVERAGE</w:t>
            </w:r>
          </w:p>
        </w:tc>
        <w:tc>
          <w:tcPr>
            <w:tcW w:w="1620" w:type="dxa"/>
          </w:tcPr>
          <w:p w:rsidR="006B368E" w:rsidRPr="006B368E" w:rsidRDefault="006B368E" w:rsidP="006B368E">
            <w:pPr>
              <w:tabs>
                <w:tab w:val="num" w:pos="993"/>
              </w:tabs>
              <w:spacing w:before="120"/>
              <w:jc w:val="center"/>
              <w:rPr>
                <w:rFonts w:ascii="Courier" w:hAnsi="Courier"/>
                <w:b/>
                <w:szCs w:val="20"/>
              </w:rPr>
            </w:pPr>
            <w:r w:rsidRPr="006B368E">
              <w:rPr>
                <w:rFonts w:ascii="Courier" w:hAnsi="Courier"/>
                <w:b/>
                <w:szCs w:val="20"/>
              </w:rPr>
              <w:t>55</w:t>
            </w:r>
          </w:p>
        </w:tc>
        <w:tc>
          <w:tcPr>
            <w:tcW w:w="2155" w:type="dxa"/>
          </w:tcPr>
          <w:p w:rsidR="006B368E" w:rsidRPr="006B368E" w:rsidRDefault="006B368E" w:rsidP="006B368E">
            <w:pPr>
              <w:tabs>
                <w:tab w:val="num" w:pos="993"/>
              </w:tabs>
              <w:spacing w:before="120"/>
              <w:jc w:val="both"/>
              <w:rPr>
                <w:rFonts w:ascii="Courier" w:hAnsi="Courier"/>
                <w:szCs w:val="20"/>
              </w:rPr>
            </w:pPr>
          </w:p>
        </w:tc>
        <w:tc>
          <w:tcPr>
            <w:tcW w:w="2165" w:type="dxa"/>
          </w:tcPr>
          <w:p w:rsidR="006B368E" w:rsidRPr="006B368E" w:rsidRDefault="006B368E" w:rsidP="006B368E">
            <w:pPr>
              <w:tabs>
                <w:tab w:val="num" w:pos="993"/>
              </w:tabs>
              <w:spacing w:before="120"/>
              <w:jc w:val="center"/>
              <w:rPr>
                <w:rFonts w:ascii="Courier" w:hAnsi="Courier"/>
                <w:b/>
                <w:bCs/>
                <w:szCs w:val="20"/>
              </w:rPr>
            </w:pPr>
            <w:r w:rsidRPr="006B368E">
              <w:rPr>
                <w:rFonts w:ascii="Courier" w:hAnsi="Courier"/>
                <w:b/>
                <w:bCs/>
                <w:szCs w:val="20"/>
              </w:rPr>
              <w:t>174</w:t>
            </w:r>
          </w:p>
        </w:tc>
        <w:tc>
          <w:tcPr>
            <w:tcW w:w="1908" w:type="dxa"/>
          </w:tcPr>
          <w:p w:rsidR="006B368E" w:rsidRPr="006B368E" w:rsidRDefault="006B368E" w:rsidP="006B368E">
            <w:pPr>
              <w:tabs>
                <w:tab w:val="num" w:pos="993"/>
              </w:tabs>
              <w:spacing w:before="120"/>
              <w:jc w:val="center"/>
              <w:rPr>
                <w:rFonts w:ascii="Courier" w:hAnsi="Courier"/>
                <w:b/>
                <w:bCs/>
                <w:szCs w:val="20"/>
              </w:rPr>
            </w:pPr>
            <w:r w:rsidRPr="006B368E">
              <w:rPr>
                <w:rFonts w:ascii="Courier" w:hAnsi="Courier"/>
                <w:b/>
                <w:bCs/>
                <w:szCs w:val="20"/>
              </w:rPr>
              <w:t>9,570</w:t>
            </w:r>
          </w:p>
        </w:tc>
      </w:tr>
    </w:tbl>
    <w:p w:rsidR="006B368E" w:rsidRPr="006B368E" w:rsidRDefault="006B368E" w:rsidP="006B368E">
      <w:pPr>
        <w:suppressAutoHyphens/>
        <w:spacing w:after="0"/>
        <w:rPr>
          <w:rFonts w:ascii="Univers" w:hAnsi="Univers"/>
          <w:szCs w:val="20"/>
        </w:rPr>
      </w:pPr>
    </w:p>
    <w:p w:rsidR="006B368E" w:rsidRPr="006B368E" w:rsidRDefault="006B368E" w:rsidP="006B368E">
      <w:pPr>
        <w:rPr>
          <w:highlight w:val="yellow"/>
        </w:rPr>
      </w:pPr>
    </w:p>
    <w:p w:rsidR="00386054" w:rsidRPr="006B368E" w:rsidRDefault="00386054" w:rsidP="00B578F4">
      <w:pPr>
        <w:pStyle w:val="ListParagraph"/>
        <w:numPr>
          <w:ilvl w:val="0"/>
          <w:numId w:val="20"/>
        </w:numPr>
        <w:rPr>
          <w:b/>
        </w:rPr>
      </w:pPr>
      <w:r w:rsidRPr="006B368E">
        <w:rPr>
          <w:rStyle w:val="a"/>
          <w:b/>
        </w:rPr>
        <w:t xml:space="preserve">Provide an estimate of the total annual cost burden to respondents or record keepers resulting from the collection of information.  (Do not include the cost of any hour burden shown in </w:t>
      </w:r>
      <w:r w:rsidR="00103C7E" w:rsidRPr="006B368E">
        <w:rPr>
          <w:rStyle w:val="a"/>
          <w:b/>
        </w:rPr>
        <w:t>Question</w:t>
      </w:r>
      <w:r w:rsidRPr="006B368E">
        <w:rPr>
          <w:rStyle w:val="a"/>
          <w:b/>
        </w:rPr>
        <w:t>s 12 and 14.)</w:t>
      </w:r>
    </w:p>
    <w:p w:rsidR="00386054" w:rsidRPr="006B368E" w:rsidRDefault="00386054" w:rsidP="00B83FB3">
      <w:pPr>
        <w:pStyle w:val="ListParagraph"/>
        <w:numPr>
          <w:ilvl w:val="0"/>
          <w:numId w:val="23"/>
        </w:numPr>
        <w:ind w:left="1080"/>
        <w:rPr>
          <w:b/>
        </w:rPr>
      </w:pPr>
      <w:r w:rsidRPr="006B368E">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6B368E" w:rsidRDefault="00386054" w:rsidP="00B83FB3">
      <w:pPr>
        <w:pStyle w:val="ListParagraph"/>
        <w:numPr>
          <w:ilvl w:val="0"/>
          <w:numId w:val="23"/>
        </w:numPr>
        <w:ind w:left="1080"/>
        <w:rPr>
          <w:b/>
        </w:rPr>
      </w:pPr>
      <w:r w:rsidRPr="006B368E">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6B368E" w:rsidRDefault="00386054" w:rsidP="00B83FB3">
      <w:pPr>
        <w:pStyle w:val="ListParagraph"/>
        <w:numPr>
          <w:ilvl w:val="0"/>
          <w:numId w:val="23"/>
        </w:numPr>
        <w:ind w:left="1080"/>
        <w:rPr>
          <w:b/>
        </w:rPr>
      </w:pPr>
      <w:r w:rsidRPr="006B368E">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6B368E">
        <w:rPr>
          <w:b/>
        </w:rPr>
        <w:t>government</w:t>
      </w:r>
      <w:r w:rsidRPr="006B368E">
        <w:rPr>
          <w:b/>
        </w:rPr>
        <w:t xml:space="preserve"> or (4) as part of customary and usual business or private practices.</w:t>
      </w:r>
      <w:r w:rsidR="001743A5" w:rsidRPr="006B368E">
        <w:rPr>
          <w:b/>
        </w:rPr>
        <w:t xml:space="preserve"> Also, these estimates should not include the hourly costs (i.e., the monetization of the hours) captured above in </w:t>
      </w:r>
      <w:r w:rsidR="00103C7E" w:rsidRPr="006B368E">
        <w:rPr>
          <w:b/>
        </w:rPr>
        <w:t xml:space="preserve">Question </w:t>
      </w:r>
      <w:r w:rsidR="001743A5" w:rsidRPr="006B368E">
        <w:rPr>
          <w:b/>
        </w:rPr>
        <w:t>12</w:t>
      </w:r>
      <w:r w:rsidR="00103C7E" w:rsidRPr="006B368E">
        <w:rPr>
          <w:b/>
        </w:rPr>
        <w:t>.</w:t>
      </w:r>
    </w:p>
    <w:p w:rsidR="006B368E" w:rsidRDefault="006B368E" w:rsidP="006B368E">
      <w:pPr>
        <w:tabs>
          <w:tab w:val="left" w:pos="-720"/>
        </w:tabs>
        <w:suppressAutoHyphens/>
        <w:rPr>
          <w:rFonts w:ascii="Univers" w:hAnsi="Univers"/>
        </w:rPr>
      </w:pPr>
      <w:r>
        <w:rPr>
          <w:rFonts w:ascii="Univers" w:hAnsi="Univers"/>
        </w:rPr>
        <w:tab/>
        <w:t>Total Annualized Capital/Startup Cost</w:t>
      </w:r>
      <w:r>
        <w:rPr>
          <w:rFonts w:ascii="Univers" w:hAnsi="Univers"/>
        </w:rPr>
        <w:tab/>
        <w:t xml:space="preserve">: </w:t>
      </w:r>
      <w:r>
        <w:rPr>
          <w:rFonts w:ascii="Univers" w:hAnsi="Univers"/>
        </w:rPr>
        <w:fldChar w:fldCharType="begin">
          <w:ffData>
            <w:name w:val="Startup"/>
            <w:enabled/>
            <w:calcOnExit w:val="0"/>
            <w:helpText w:type="text" w:val="Enter total annualized capital/startup cost"/>
            <w:statusText w:type="text" w:val="Enter total annualized capital/startup cost"/>
            <w:textInput/>
          </w:ffData>
        </w:fldChar>
      </w:r>
      <w:bookmarkStart w:id="1" w:name="Startup"/>
      <w:r>
        <w:rPr>
          <w:rFonts w:ascii="Univers" w:hAnsi="Univers"/>
        </w:rPr>
        <w:instrText xml:space="preserve"> FORMTEXT </w:instrText>
      </w:r>
      <w:r>
        <w:rPr>
          <w:rFonts w:ascii="Univers" w:hAnsi="Univers"/>
        </w:rPr>
      </w:r>
      <w:r>
        <w:rPr>
          <w:rFonts w:ascii="Univers" w:hAnsi="Univers"/>
        </w:rPr>
        <w:fldChar w:fldCharType="separate"/>
      </w:r>
      <w:r>
        <w:rPr>
          <w:rFonts w:ascii="Univers" w:hAnsi="Univers"/>
        </w:rPr>
        <w:t>$ .00</w:t>
      </w:r>
      <w:r>
        <w:rPr>
          <w:rFonts w:ascii="Univers" w:hAnsi="Univers"/>
        </w:rPr>
        <w:fldChar w:fldCharType="end"/>
      </w:r>
      <w:bookmarkEnd w:id="1"/>
    </w:p>
    <w:p w:rsidR="006B368E" w:rsidRDefault="006B368E" w:rsidP="006B368E">
      <w:pPr>
        <w:tabs>
          <w:tab w:val="left" w:pos="-720"/>
        </w:tabs>
        <w:suppressAutoHyphens/>
        <w:rPr>
          <w:rFonts w:ascii="Univers" w:hAnsi="Univers"/>
        </w:rPr>
      </w:pPr>
      <w:r>
        <w:rPr>
          <w:rFonts w:ascii="Univers" w:hAnsi="Univers"/>
        </w:rPr>
        <w:tab/>
        <w:t>Total Annual Costs (O&amp;M)</w:t>
      </w:r>
      <w:r>
        <w:rPr>
          <w:rFonts w:ascii="Univers" w:hAnsi="Univers"/>
        </w:rPr>
        <w:tab/>
      </w:r>
      <w:r>
        <w:rPr>
          <w:rFonts w:ascii="Univers" w:hAnsi="Univers"/>
        </w:rPr>
        <w:tab/>
      </w:r>
      <w:r>
        <w:rPr>
          <w:rFonts w:ascii="Univers" w:hAnsi="Univers"/>
        </w:rPr>
        <w:tab/>
        <w:t>: $ .00</w:t>
      </w:r>
    </w:p>
    <w:p w:rsidR="006B368E" w:rsidRDefault="006B368E" w:rsidP="006B368E">
      <w:pPr>
        <w:tabs>
          <w:tab w:val="left" w:pos="-720"/>
        </w:tabs>
        <w:suppressAutoHyphens/>
        <w:rPr>
          <w:rFonts w:ascii="Univers" w:hAnsi="Univers"/>
        </w:rPr>
      </w:pPr>
      <w:r>
        <w:rPr>
          <w:rFonts w:ascii="Univers" w:hAnsi="Univers"/>
        </w:rPr>
        <w:tab/>
        <w:t>Total Annualized Costs Requested</w:t>
      </w:r>
      <w:r>
        <w:rPr>
          <w:rFonts w:ascii="Univers" w:hAnsi="Univers"/>
        </w:rPr>
        <w:tab/>
        <w:t xml:space="preserve">: </w:t>
      </w:r>
      <w:r>
        <w:rPr>
          <w:rFonts w:ascii="Univers" w:hAnsi="Univers"/>
        </w:rPr>
        <w:fldChar w:fldCharType="begin">
          <w:ffData>
            <w:name w:val="Total_Cost"/>
            <w:enabled/>
            <w:calcOnExit w:val="0"/>
            <w:helpText w:type="text" w:val="Enter total annualized costs requested"/>
            <w:statusText w:type="text" w:val="Enter total annualized costs requested"/>
            <w:textInput/>
          </w:ffData>
        </w:fldChar>
      </w:r>
      <w:bookmarkStart w:id="2" w:name="Total_Cost"/>
      <w:r>
        <w:rPr>
          <w:rFonts w:ascii="Univers" w:hAnsi="Univers"/>
        </w:rPr>
        <w:instrText xml:space="preserve"> FORMTEXT </w:instrText>
      </w:r>
      <w:r>
        <w:rPr>
          <w:rFonts w:ascii="Univers" w:hAnsi="Univers"/>
        </w:rPr>
      </w:r>
      <w:r>
        <w:rPr>
          <w:rFonts w:ascii="Univers" w:hAnsi="Univers"/>
        </w:rPr>
        <w:fldChar w:fldCharType="separate"/>
      </w:r>
      <w:r>
        <w:rPr>
          <w:rFonts w:ascii="Univers" w:hAnsi="Univers"/>
        </w:rPr>
        <w:t>$ .00</w:t>
      </w:r>
      <w:r>
        <w:rPr>
          <w:rFonts w:ascii="Univers" w:hAnsi="Univers"/>
        </w:rPr>
        <w:fldChar w:fldCharType="end"/>
      </w:r>
      <w:bookmarkEnd w:id="2"/>
    </w:p>
    <w:p w:rsidR="006B368E" w:rsidRDefault="006B368E" w:rsidP="006B368E">
      <w:pPr>
        <w:tabs>
          <w:tab w:val="left" w:pos="-720"/>
        </w:tabs>
        <w:suppressAutoHyphens/>
        <w:rPr>
          <w:rFonts w:ascii="Univers" w:hAnsi="Univers"/>
        </w:rPr>
      </w:pPr>
    </w:p>
    <w:p w:rsidR="00B83FB3" w:rsidRPr="00495F4B" w:rsidRDefault="00386054" w:rsidP="00B578F4">
      <w:pPr>
        <w:pStyle w:val="ListParagraph"/>
        <w:numPr>
          <w:ilvl w:val="0"/>
          <w:numId w:val="20"/>
        </w:numPr>
        <w:rPr>
          <w:rStyle w:val="a"/>
          <w:b/>
        </w:rPr>
      </w:pPr>
      <w:r w:rsidRPr="00495F4B">
        <w:rPr>
          <w:rStyle w:val="a"/>
          <w:b/>
        </w:rPr>
        <w:lastRenderedPageBreak/>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sidRPr="00495F4B">
        <w:rPr>
          <w:rStyle w:val="a"/>
          <w:b/>
        </w:rPr>
        <w:t>Questions</w:t>
      </w:r>
      <w:r w:rsidRPr="00495F4B">
        <w:rPr>
          <w:rStyle w:val="a"/>
          <w:b/>
        </w:rPr>
        <w:t xml:space="preserve"> 12, 13, and 14 in a single table.</w:t>
      </w:r>
    </w:p>
    <w:p w:rsidR="006B368E" w:rsidRPr="006B368E" w:rsidRDefault="006B368E" w:rsidP="006B368E">
      <w:pPr>
        <w:pStyle w:val="ListParagraph"/>
        <w:rPr>
          <w:rStyle w:val="a"/>
        </w:rPr>
      </w:pPr>
      <w:r w:rsidRPr="006B368E">
        <w:rPr>
          <w:rStyle w:val="a"/>
        </w:rPr>
        <w:t>The annual cost to the Federal government to implement this information co</w:t>
      </w:r>
      <w:r w:rsidR="00495F4B">
        <w:rPr>
          <w:rStyle w:val="a"/>
        </w:rPr>
        <w:t>llection is estimated at $44,521</w:t>
      </w:r>
      <w:r w:rsidRPr="006B368E">
        <w:rPr>
          <w:rStyle w:val="a"/>
        </w:rPr>
        <w:t>.  This includes contractor beta testing and web site maintenance, and the salaries and expenses of DATE program staff who manage the process and review the CAR data.  The method used to estimate the annual cost is as follows:</w:t>
      </w:r>
    </w:p>
    <w:p w:rsidR="006B368E" w:rsidRPr="006B368E" w:rsidRDefault="006B368E" w:rsidP="006B368E">
      <w:pPr>
        <w:pStyle w:val="ListParagraph"/>
        <w:rPr>
          <w:rStyle w:val="a"/>
        </w:rPr>
      </w:pPr>
    </w:p>
    <w:p w:rsidR="006B368E" w:rsidRPr="006B368E" w:rsidRDefault="006B368E" w:rsidP="006B368E">
      <w:pPr>
        <w:pStyle w:val="ListParagraph"/>
        <w:rPr>
          <w:rStyle w:val="a"/>
        </w:rPr>
      </w:pPr>
      <w:r w:rsidRPr="006B368E">
        <w:rPr>
          <w:rStyle w:val="a"/>
        </w:rPr>
        <w:t>Program Office Staff:</w:t>
      </w:r>
    </w:p>
    <w:p w:rsidR="006B368E" w:rsidRPr="006B368E" w:rsidRDefault="006B368E" w:rsidP="006B368E">
      <w:pPr>
        <w:pStyle w:val="ListParagraph"/>
        <w:rPr>
          <w:rStyle w:val="a"/>
        </w:rPr>
      </w:pPr>
      <w:r w:rsidRPr="006B368E">
        <w:rPr>
          <w:rStyle w:val="a"/>
        </w:rPr>
        <w:t xml:space="preserve">1 GS-12  </w:t>
      </w:r>
      <w:r w:rsidRPr="006B368E">
        <w:rPr>
          <w:rStyle w:val="a"/>
        </w:rPr>
        <w:tab/>
        <w:t xml:space="preserve">X  </w:t>
      </w:r>
      <w:r w:rsidRPr="006B368E">
        <w:rPr>
          <w:rStyle w:val="a"/>
        </w:rPr>
        <w:tab/>
        <w:t xml:space="preserve">220 hours     = </w:t>
      </w:r>
      <w:proofErr w:type="gramStart"/>
      <w:r w:rsidRPr="006B368E">
        <w:rPr>
          <w:rStyle w:val="a"/>
        </w:rPr>
        <w:t xml:space="preserve">$ </w:t>
      </w:r>
      <w:r>
        <w:rPr>
          <w:rStyle w:val="a"/>
        </w:rPr>
        <w:t xml:space="preserve"> </w:t>
      </w:r>
      <w:r w:rsidRPr="006B368E">
        <w:rPr>
          <w:rStyle w:val="a"/>
        </w:rPr>
        <w:t>7,700</w:t>
      </w:r>
      <w:proofErr w:type="gramEnd"/>
      <w:r w:rsidRPr="006B368E">
        <w:rPr>
          <w:rStyle w:val="a"/>
        </w:rPr>
        <w:tab/>
        <w:t xml:space="preserve">  </w:t>
      </w:r>
    </w:p>
    <w:p w:rsidR="006B368E" w:rsidRPr="006B368E" w:rsidRDefault="006B368E" w:rsidP="006B368E">
      <w:pPr>
        <w:pStyle w:val="ListParagraph"/>
        <w:rPr>
          <w:rStyle w:val="a"/>
        </w:rPr>
      </w:pPr>
      <w:r w:rsidRPr="006B368E">
        <w:rPr>
          <w:rStyle w:val="a"/>
        </w:rPr>
        <w:t xml:space="preserve">1 GS-15  </w:t>
      </w:r>
      <w:r w:rsidRPr="006B368E">
        <w:rPr>
          <w:rStyle w:val="a"/>
        </w:rPr>
        <w:tab/>
        <w:t>X</w:t>
      </w:r>
      <w:r w:rsidRPr="006B368E">
        <w:rPr>
          <w:rStyle w:val="a"/>
        </w:rPr>
        <w:tab/>
        <w:t xml:space="preserve">100 hours </w:t>
      </w:r>
      <w:r>
        <w:rPr>
          <w:rStyle w:val="a"/>
        </w:rPr>
        <w:t xml:space="preserve">    </w:t>
      </w:r>
      <w:r w:rsidRPr="006B368E">
        <w:rPr>
          <w:rStyle w:val="a"/>
        </w:rPr>
        <w:t xml:space="preserve">= </w:t>
      </w:r>
      <w:proofErr w:type="gramStart"/>
      <w:r w:rsidRPr="006B368E">
        <w:rPr>
          <w:rStyle w:val="a"/>
        </w:rPr>
        <w:t xml:space="preserve">$ </w:t>
      </w:r>
      <w:r>
        <w:rPr>
          <w:rStyle w:val="a"/>
        </w:rPr>
        <w:t xml:space="preserve"> </w:t>
      </w:r>
      <w:r w:rsidRPr="006B368E">
        <w:rPr>
          <w:rStyle w:val="a"/>
        </w:rPr>
        <w:t>4,821</w:t>
      </w:r>
      <w:proofErr w:type="gramEnd"/>
    </w:p>
    <w:p w:rsidR="006B368E" w:rsidRPr="006B368E" w:rsidRDefault="006B368E" w:rsidP="006B368E">
      <w:pPr>
        <w:pStyle w:val="ListParagraph"/>
        <w:rPr>
          <w:rStyle w:val="a"/>
        </w:rPr>
      </w:pPr>
      <w:r w:rsidRPr="006B368E">
        <w:rPr>
          <w:rStyle w:val="a"/>
        </w:rPr>
        <w:t xml:space="preserve">Total Program Office Staff:    </w:t>
      </w:r>
      <w:r>
        <w:rPr>
          <w:rStyle w:val="a"/>
        </w:rPr>
        <w:t xml:space="preserve">         </w:t>
      </w:r>
      <w:r w:rsidRPr="00495F4B">
        <w:rPr>
          <w:rStyle w:val="a"/>
          <w:u w:val="single"/>
        </w:rPr>
        <w:t>=</w:t>
      </w:r>
      <w:r w:rsidRPr="00495F4B">
        <w:rPr>
          <w:rStyle w:val="a"/>
          <w:u w:val="single"/>
        </w:rPr>
        <w:tab/>
        <w:t xml:space="preserve"> $12,521</w:t>
      </w:r>
    </w:p>
    <w:p w:rsidR="006B368E" w:rsidRPr="006B368E" w:rsidRDefault="006B368E" w:rsidP="006B368E">
      <w:pPr>
        <w:pStyle w:val="ListParagraph"/>
        <w:rPr>
          <w:rStyle w:val="a"/>
        </w:rPr>
      </w:pPr>
      <w:r w:rsidRPr="006B368E">
        <w:rPr>
          <w:rStyle w:val="a"/>
        </w:rPr>
        <w:t xml:space="preserve">Contractor Staff:  </w:t>
      </w:r>
      <w:r w:rsidRPr="006B368E">
        <w:rPr>
          <w:rStyle w:val="a"/>
        </w:rPr>
        <w:tab/>
      </w:r>
      <w:r>
        <w:rPr>
          <w:rStyle w:val="a"/>
        </w:rPr>
        <w:tab/>
        <w:t xml:space="preserve">         </w:t>
      </w:r>
      <w:r w:rsidRPr="006B368E">
        <w:rPr>
          <w:rStyle w:val="a"/>
        </w:rPr>
        <w:t xml:space="preserve">= </w:t>
      </w:r>
      <w:r w:rsidRPr="00495F4B">
        <w:rPr>
          <w:rStyle w:val="a"/>
          <w:u w:val="single"/>
        </w:rPr>
        <w:t>$32,000</w:t>
      </w:r>
    </w:p>
    <w:p w:rsidR="006B368E" w:rsidRDefault="006B368E" w:rsidP="006B368E">
      <w:pPr>
        <w:pStyle w:val="ListParagraph"/>
        <w:rPr>
          <w:rStyle w:val="a"/>
          <w:highlight w:val="yellow"/>
        </w:rPr>
      </w:pPr>
      <w:r w:rsidRPr="006B368E">
        <w:rPr>
          <w:rStyle w:val="a"/>
        </w:rPr>
        <w:t>ESTIMAT</w:t>
      </w:r>
      <w:r>
        <w:rPr>
          <w:rStyle w:val="a"/>
        </w:rPr>
        <w:t xml:space="preserve">ED FEDERAL COST    </w:t>
      </w:r>
      <w:r w:rsidR="00495F4B">
        <w:rPr>
          <w:rStyle w:val="a"/>
        </w:rPr>
        <w:t>= $44,521</w:t>
      </w:r>
      <w:r w:rsidR="00495F4B">
        <w:rPr>
          <w:rStyle w:val="a"/>
        </w:rPr>
        <w:tab/>
      </w:r>
    </w:p>
    <w:p w:rsidR="006B368E" w:rsidRPr="00750301" w:rsidRDefault="006B368E" w:rsidP="006B368E">
      <w:pPr>
        <w:pStyle w:val="ListParagraph"/>
        <w:rPr>
          <w:rStyle w:val="a"/>
          <w:highlight w:val="yellow"/>
        </w:rPr>
      </w:pPr>
    </w:p>
    <w:p w:rsidR="00B83FB3" w:rsidRPr="00495F4B" w:rsidRDefault="00386054" w:rsidP="00B578F4">
      <w:pPr>
        <w:pStyle w:val="ListParagraph"/>
        <w:numPr>
          <w:ilvl w:val="0"/>
          <w:numId w:val="20"/>
        </w:numPr>
        <w:rPr>
          <w:b/>
        </w:rPr>
      </w:pPr>
      <w:r w:rsidRPr="00495F4B">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495F4B">
        <w:rPr>
          <w:b/>
        </w:rPr>
        <w:t xml:space="preserve">totals for </w:t>
      </w:r>
      <w:r w:rsidRPr="00495F4B">
        <w:rPr>
          <w:b/>
        </w:rPr>
        <w:t>changes in burden hours</w:t>
      </w:r>
      <w:r w:rsidR="002473CE" w:rsidRPr="00495F4B">
        <w:rPr>
          <w:b/>
        </w:rPr>
        <w:t>, responses</w:t>
      </w:r>
      <w:r w:rsidRPr="00495F4B">
        <w:rPr>
          <w:b/>
        </w:rPr>
        <w:t xml:space="preserve"> and cost</w:t>
      </w:r>
      <w:r w:rsidR="002473CE" w:rsidRPr="00495F4B">
        <w:rPr>
          <w:b/>
        </w:rPr>
        <w:t>s</w:t>
      </w:r>
      <w:r w:rsidRPr="00495F4B">
        <w:rPr>
          <w:b/>
        </w:rPr>
        <w:t xml:space="preserve"> </w:t>
      </w:r>
      <w:r w:rsidR="002473CE" w:rsidRPr="00495F4B">
        <w:rPr>
          <w:b/>
        </w:rPr>
        <w:t>(if applicable)</w:t>
      </w:r>
      <w:r w:rsidRPr="00495F4B">
        <w:rPr>
          <w:b/>
        </w:rPr>
        <w:t>.</w:t>
      </w:r>
    </w:p>
    <w:p w:rsidR="006B368E" w:rsidRPr="00495F4B" w:rsidRDefault="00436A90" w:rsidP="006B368E">
      <w:pPr>
        <w:pStyle w:val="ListParagraph"/>
      </w:pPr>
      <w:r>
        <w:t>There is a program change reduction of -1130 burden hours, t</w:t>
      </w:r>
      <w:r w:rsidR="00165E0C" w:rsidRPr="00495F4B">
        <w:t xml:space="preserve">he burden hours decreased due to the elimination of the option to complete and submit Microsoft Excel reporting forms to the website and </w:t>
      </w:r>
      <w:r w:rsidR="00495F4B" w:rsidRPr="00495F4B">
        <w:t xml:space="preserve">mailing </w:t>
      </w:r>
      <w:r w:rsidR="00165E0C" w:rsidRPr="00495F4B">
        <w:t xml:space="preserve">a hard paper copy </w:t>
      </w:r>
      <w:r w:rsidR="00495F4B" w:rsidRPr="00495F4B">
        <w:t>of the entire package to the Department</w:t>
      </w:r>
      <w:r w:rsidR="00165E0C" w:rsidRPr="00495F4B">
        <w:t>.</w:t>
      </w:r>
    </w:p>
    <w:p w:rsidR="00495F4B" w:rsidRPr="00495F4B" w:rsidRDefault="00386054" w:rsidP="00B578F4">
      <w:pPr>
        <w:pStyle w:val="ListParagraph"/>
        <w:numPr>
          <w:ilvl w:val="0"/>
          <w:numId w:val="20"/>
        </w:numPr>
        <w:rPr>
          <w:rStyle w:val="a"/>
          <w:b/>
        </w:rPr>
      </w:pPr>
      <w:r w:rsidRPr="00495F4B">
        <w:rPr>
          <w:rStyle w:val="a"/>
          <w:b/>
        </w:rPr>
        <w:t>For collections of information whose results will be published, outline plans for tabulation and publication.  Address any complex analytical techniques that will be used.</w:t>
      </w:r>
    </w:p>
    <w:p w:rsidR="00495F4B" w:rsidRDefault="00495F4B" w:rsidP="00495F4B">
      <w:r>
        <w:t xml:space="preserve">An annual report to Congress is prepared and published using the information collected in the CAR instrument.  </w:t>
      </w:r>
    </w:p>
    <w:p w:rsidR="00103C7E" w:rsidRDefault="00386054" w:rsidP="00495F4B">
      <w:pPr>
        <w:pStyle w:val="ListParagraph"/>
        <w:rPr>
          <w:rStyle w:val="a"/>
        </w:rPr>
      </w:pPr>
      <w:r w:rsidRPr="00322E02">
        <w:rPr>
          <w:rStyle w:val="a"/>
        </w:rPr>
        <w:t xml:space="preserve">  </w:t>
      </w:r>
    </w:p>
    <w:p w:rsidR="00B83FB3" w:rsidRPr="00495F4B" w:rsidRDefault="00386054" w:rsidP="00B578F4">
      <w:pPr>
        <w:pStyle w:val="ListParagraph"/>
        <w:numPr>
          <w:ilvl w:val="0"/>
          <w:numId w:val="20"/>
        </w:numPr>
        <w:rPr>
          <w:rStyle w:val="a"/>
          <w:b/>
        </w:rPr>
      </w:pPr>
      <w:r w:rsidRPr="00495F4B">
        <w:rPr>
          <w:rStyle w:val="a"/>
          <w:b/>
        </w:rPr>
        <w:lastRenderedPageBreak/>
        <w:t>Provide the time schedule for the entire project, including beginning and ending dates of the collection of information, completion of report, publication dates, and other actions.</w:t>
      </w:r>
    </w:p>
    <w:p w:rsidR="00495F4B" w:rsidRDefault="00495F4B" w:rsidP="00495F4B">
      <w:r>
        <w:t>Below is the general schedule for production: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495F4B" w:rsidTr="00FA0714">
        <w:tc>
          <w:tcPr>
            <w:tcW w:w="4788" w:type="dxa"/>
          </w:tcPr>
          <w:p w:rsidR="00495F4B" w:rsidRDefault="00495F4B" w:rsidP="00FA0714">
            <w:pPr>
              <w:spacing w:before="120"/>
              <w:jc w:val="center"/>
              <w:rPr>
                <w:b/>
              </w:rPr>
            </w:pPr>
            <w:r>
              <w:rPr>
                <w:b/>
              </w:rPr>
              <w:t xml:space="preserve">Task </w:t>
            </w:r>
          </w:p>
        </w:tc>
        <w:tc>
          <w:tcPr>
            <w:tcW w:w="4788" w:type="dxa"/>
          </w:tcPr>
          <w:p w:rsidR="00495F4B" w:rsidRDefault="00495F4B" w:rsidP="00FA0714">
            <w:pPr>
              <w:spacing w:before="120"/>
              <w:jc w:val="center"/>
              <w:rPr>
                <w:b/>
              </w:rPr>
            </w:pPr>
            <w:r>
              <w:rPr>
                <w:b/>
              </w:rPr>
              <w:t>Timeline</w:t>
            </w:r>
          </w:p>
        </w:tc>
      </w:tr>
      <w:tr w:rsidR="00495F4B" w:rsidTr="00FA0714">
        <w:tc>
          <w:tcPr>
            <w:tcW w:w="4788" w:type="dxa"/>
          </w:tcPr>
          <w:p w:rsidR="00495F4B" w:rsidRDefault="00495F4B" w:rsidP="00FA0714">
            <w:pPr>
              <w:spacing w:before="120"/>
            </w:pPr>
            <w:r>
              <w:t>States submit CAR data</w:t>
            </w:r>
          </w:p>
        </w:tc>
        <w:tc>
          <w:tcPr>
            <w:tcW w:w="4788" w:type="dxa"/>
          </w:tcPr>
          <w:p w:rsidR="00495F4B" w:rsidRDefault="00495F4B" w:rsidP="00FA0714">
            <w:pPr>
              <w:spacing w:before="120"/>
            </w:pPr>
            <w:r>
              <w:t>December 31 (deadline for reporting each year)</w:t>
            </w:r>
          </w:p>
        </w:tc>
      </w:tr>
      <w:tr w:rsidR="00495F4B" w:rsidTr="00FA0714">
        <w:tc>
          <w:tcPr>
            <w:tcW w:w="4788" w:type="dxa"/>
          </w:tcPr>
          <w:p w:rsidR="00495F4B" w:rsidRDefault="00495F4B" w:rsidP="00FA0714">
            <w:pPr>
              <w:spacing w:before="120"/>
            </w:pPr>
            <w:r>
              <w:t>DATE staff review State’s CAR submissions</w:t>
            </w:r>
          </w:p>
        </w:tc>
        <w:tc>
          <w:tcPr>
            <w:tcW w:w="4788" w:type="dxa"/>
          </w:tcPr>
          <w:p w:rsidR="00495F4B" w:rsidRDefault="00495F4B" w:rsidP="00FA0714">
            <w:pPr>
              <w:spacing w:before="120"/>
            </w:pPr>
            <w:r>
              <w:t>January 1 – March 15</w:t>
            </w:r>
          </w:p>
        </w:tc>
      </w:tr>
      <w:tr w:rsidR="00495F4B" w:rsidTr="00FA0714">
        <w:tc>
          <w:tcPr>
            <w:tcW w:w="4788" w:type="dxa"/>
          </w:tcPr>
          <w:p w:rsidR="00495F4B" w:rsidRDefault="00495F4B" w:rsidP="00FA0714">
            <w:pPr>
              <w:spacing w:before="120"/>
            </w:pPr>
            <w:r>
              <w:t>States receive notification on the approval of their CAR submissions</w:t>
            </w:r>
          </w:p>
        </w:tc>
        <w:tc>
          <w:tcPr>
            <w:tcW w:w="4788" w:type="dxa"/>
          </w:tcPr>
          <w:p w:rsidR="00495F4B" w:rsidRDefault="00495F4B" w:rsidP="00FA0714">
            <w:pPr>
              <w:spacing w:before="120"/>
            </w:pPr>
            <w:r>
              <w:t>March 15</w:t>
            </w:r>
          </w:p>
        </w:tc>
      </w:tr>
      <w:tr w:rsidR="00495F4B" w:rsidTr="00FA0714">
        <w:tc>
          <w:tcPr>
            <w:tcW w:w="4788" w:type="dxa"/>
          </w:tcPr>
          <w:p w:rsidR="00495F4B" w:rsidRDefault="00495F4B" w:rsidP="00FA0714">
            <w:pPr>
              <w:spacing w:before="120"/>
            </w:pPr>
            <w:r>
              <w:t>DATE staff, in collaboration with contractors, tabulate data and prepare individual State profiles</w:t>
            </w:r>
          </w:p>
        </w:tc>
        <w:tc>
          <w:tcPr>
            <w:tcW w:w="4788" w:type="dxa"/>
          </w:tcPr>
          <w:p w:rsidR="00495F4B" w:rsidRDefault="00495F4B" w:rsidP="00FA0714">
            <w:pPr>
              <w:spacing w:before="120"/>
            </w:pPr>
            <w:r>
              <w:t>March 15 – April 15</w:t>
            </w:r>
          </w:p>
        </w:tc>
      </w:tr>
      <w:tr w:rsidR="00495F4B" w:rsidTr="00FA0714">
        <w:tc>
          <w:tcPr>
            <w:tcW w:w="4788" w:type="dxa"/>
          </w:tcPr>
          <w:p w:rsidR="00495F4B" w:rsidRDefault="00495F4B" w:rsidP="00FA0714">
            <w:pPr>
              <w:spacing w:before="120"/>
            </w:pPr>
            <w:r>
              <w:t>DATE staff develops draft report</w:t>
            </w:r>
          </w:p>
        </w:tc>
        <w:tc>
          <w:tcPr>
            <w:tcW w:w="4788" w:type="dxa"/>
          </w:tcPr>
          <w:p w:rsidR="00495F4B" w:rsidRDefault="00495F4B" w:rsidP="00FA0714">
            <w:pPr>
              <w:spacing w:before="120"/>
            </w:pPr>
            <w:r>
              <w:t>May 15</w:t>
            </w:r>
          </w:p>
        </w:tc>
      </w:tr>
      <w:tr w:rsidR="00495F4B" w:rsidTr="00FA0714">
        <w:tc>
          <w:tcPr>
            <w:tcW w:w="4788" w:type="dxa"/>
          </w:tcPr>
          <w:p w:rsidR="00495F4B" w:rsidRDefault="00495F4B" w:rsidP="00FA0714">
            <w:pPr>
              <w:spacing w:before="120"/>
            </w:pPr>
            <w:r>
              <w:t>DATE staff submits final draft report for Department clearance</w:t>
            </w:r>
          </w:p>
        </w:tc>
        <w:tc>
          <w:tcPr>
            <w:tcW w:w="4788" w:type="dxa"/>
          </w:tcPr>
          <w:p w:rsidR="00495F4B" w:rsidRDefault="00495F4B" w:rsidP="00FA0714">
            <w:pPr>
              <w:spacing w:before="120"/>
            </w:pPr>
            <w:r>
              <w:t>June 1</w:t>
            </w:r>
          </w:p>
        </w:tc>
      </w:tr>
      <w:tr w:rsidR="00495F4B" w:rsidTr="00FA0714">
        <w:tc>
          <w:tcPr>
            <w:tcW w:w="4788" w:type="dxa"/>
            <w:tcBorders>
              <w:top w:val="single" w:sz="4" w:space="0" w:color="auto"/>
              <w:left w:val="single" w:sz="4" w:space="0" w:color="auto"/>
              <w:bottom w:val="single" w:sz="4" w:space="0" w:color="auto"/>
              <w:right w:val="single" w:sz="4" w:space="0" w:color="auto"/>
            </w:tcBorders>
          </w:tcPr>
          <w:p w:rsidR="00495F4B" w:rsidRDefault="00495F4B" w:rsidP="00FA0714">
            <w:pPr>
              <w:spacing w:before="120"/>
            </w:pPr>
            <w:r>
              <w:t>DATE staff submits final report for Office of Communications and Outreach for final editing and printing</w:t>
            </w:r>
          </w:p>
        </w:tc>
        <w:tc>
          <w:tcPr>
            <w:tcW w:w="4788" w:type="dxa"/>
            <w:tcBorders>
              <w:top w:val="single" w:sz="4" w:space="0" w:color="auto"/>
              <w:left w:val="single" w:sz="4" w:space="0" w:color="auto"/>
              <w:bottom w:val="single" w:sz="4" w:space="0" w:color="auto"/>
              <w:right w:val="single" w:sz="4" w:space="0" w:color="auto"/>
            </w:tcBorders>
          </w:tcPr>
          <w:p w:rsidR="00495F4B" w:rsidRDefault="00495F4B" w:rsidP="00FA0714">
            <w:pPr>
              <w:spacing w:before="120"/>
            </w:pPr>
            <w:r>
              <w:t>June 30</w:t>
            </w:r>
          </w:p>
        </w:tc>
      </w:tr>
      <w:tr w:rsidR="00495F4B" w:rsidTr="00FA0714">
        <w:tc>
          <w:tcPr>
            <w:tcW w:w="4788" w:type="dxa"/>
            <w:tcBorders>
              <w:top w:val="single" w:sz="4" w:space="0" w:color="auto"/>
              <w:left w:val="single" w:sz="4" w:space="0" w:color="auto"/>
              <w:bottom w:val="single" w:sz="4" w:space="0" w:color="auto"/>
              <w:right w:val="single" w:sz="4" w:space="0" w:color="auto"/>
            </w:tcBorders>
          </w:tcPr>
          <w:p w:rsidR="00495F4B" w:rsidRDefault="00495F4B" w:rsidP="00FA0714">
            <w:pPr>
              <w:spacing w:before="120"/>
            </w:pPr>
            <w:r>
              <w:t>DATE staff submits final report to Congress</w:t>
            </w:r>
          </w:p>
        </w:tc>
        <w:tc>
          <w:tcPr>
            <w:tcW w:w="4788" w:type="dxa"/>
            <w:tcBorders>
              <w:top w:val="single" w:sz="4" w:space="0" w:color="auto"/>
              <w:left w:val="single" w:sz="4" w:space="0" w:color="auto"/>
              <w:bottom w:val="single" w:sz="4" w:space="0" w:color="auto"/>
              <w:right w:val="single" w:sz="4" w:space="0" w:color="auto"/>
            </w:tcBorders>
          </w:tcPr>
          <w:p w:rsidR="00495F4B" w:rsidRDefault="00495F4B" w:rsidP="00FA0714">
            <w:pPr>
              <w:spacing w:before="120"/>
            </w:pPr>
            <w:r>
              <w:t>July 15</w:t>
            </w:r>
          </w:p>
        </w:tc>
      </w:tr>
    </w:tbl>
    <w:p w:rsidR="00495F4B" w:rsidRDefault="00495F4B" w:rsidP="00495F4B">
      <w:pPr>
        <w:pStyle w:val="ListParagraph"/>
        <w:rPr>
          <w:rStyle w:val="a"/>
        </w:rPr>
      </w:pPr>
    </w:p>
    <w:p w:rsidR="00B83FB3" w:rsidRPr="00495F4B" w:rsidRDefault="00386054" w:rsidP="00B578F4">
      <w:pPr>
        <w:pStyle w:val="ListParagraph"/>
        <w:numPr>
          <w:ilvl w:val="0"/>
          <w:numId w:val="20"/>
        </w:numPr>
        <w:rPr>
          <w:rStyle w:val="a"/>
          <w:b/>
        </w:rPr>
      </w:pPr>
      <w:r w:rsidRPr="00495F4B">
        <w:rPr>
          <w:rStyle w:val="a"/>
          <w:b/>
        </w:rPr>
        <w:t>If seeking approval to not display the expiration date for OMB approval of the information collection, explain the reasons that display would be inappropriate.</w:t>
      </w:r>
    </w:p>
    <w:p w:rsidR="00495F4B" w:rsidRDefault="00495F4B" w:rsidP="00495F4B">
      <w:pPr>
        <w:pStyle w:val="ListParagraph"/>
        <w:rPr>
          <w:rStyle w:val="a"/>
        </w:rPr>
      </w:pPr>
      <w:r>
        <w:rPr>
          <w:rStyle w:val="a"/>
        </w:rPr>
        <w:t>We are not seeking approval.</w:t>
      </w:r>
    </w:p>
    <w:p w:rsidR="00386054" w:rsidRPr="00495F4B" w:rsidRDefault="00386054" w:rsidP="00B578F4">
      <w:pPr>
        <w:pStyle w:val="ListParagraph"/>
        <w:numPr>
          <w:ilvl w:val="0"/>
          <w:numId w:val="20"/>
        </w:numPr>
        <w:rPr>
          <w:rStyle w:val="a"/>
          <w:b/>
        </w:rPr>
      </w:pPr>
      <w:r w:rsidRPr="00495F4B">
        <w:rPr>
          <w:rStyle w:val="a"/>
          <w:b/>
        </w:rPr>
        <w:t>Explain each exception to the certification statement identified in the Certification of Paperwork Reduction Act.</w:t>
      </w:r>
    </w:p>
    <w:p w:rsidR="00495F4B" w:rsidRPr="00322E02" w:rsidRDefault="00495F4B" w:rsidP="00495F4B">
      <w:pPr>
        <w:pStyle w:val="ListParagraph"/>
      </w:pPr>
      <w:r w:rsidRPr="00495F4B">
        <w:t>This request is in compliance with 5 CFR 1320.9.</w:t>
      </w:r>
    </w:p>
    <w:sectPr w:rsidR="00495F4B" w:rsidRPr="00322E02"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461" w:rsidRDefault="005F1461">
      <w:pPr>
        <w:spacing w:line="20" w:lineRule="exact"/>
      </w:pPr>
    </w:p>
  </w:endnote>
  <w:endnote w:type="continuationSeparator" w:id="0">
    <w:p w:rsidR="005F1461" w:rsidRDefault="005F1461">
      <w:r>
        <w:t xml:space="preserve"> </w:t>
      </w:r>
    </w:p>
  </w:endnote>
  <w:endnote w:type="continuationNotice" w:id="1">
    <w:p w:rsidR="005F1461" w:rsidRDefault="005F146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BF2B99">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03C7E" w:rsidRDefault="00103C7E" w:rsidP="00431228">
                          <w:pPr>
                            <w:tabs>
                              <w:tab w:val="center" w:pos="4650"/>
                            </w:tabs>
                            <w:suppressAutoHyphens/>
                            <w:jc w:val="center"/>
                          </w:pPr>
                          <w:r>
                            <w:fldChar w:fldCharType="begin"/>
                          </w:r>
                          <w:r>
                            <w:instrText>page \* arabic</w:instrText>
                          </w:r>
                          <w:r>
                            <w:fldChar w:fldCharType="separate"/>
                          </w:r>
                          <w:r w:rsidR="00567CC2">
                            <w:rPr>
                              <w:noProof/>
                            </w:rPr>
                            <w:t>9</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03C7E" w:rsidRDefault="00103C7E" w:rsidP="00431228">
                    <w:pPr>
                      <w:tabs>
                        <w:tab w:val="center" w:pos="4650"/>
                      </w:tabs>
                      <w:suppressAutoHyphens/>
                      <w:jc w:val="center"/>
                    </w:pPr>
                    <w:r>
                      <w:fldChar w:fldCharType="begin"/>
                    </w:r>
                    <w:r>
                      <w:instrText>page \* arabic</w:instrText>
                    </w:r>
                    <w:r>
                      <w:fldChar w:fldCharType="separate"/>
                    </w:r>
                    <w:r w:rsidR="00567CC2">
                      <w:rPr>
                        <w:noProof/>
                      </w:rPr>
                      <w:t>9</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461" w:rsidRDefault="005F1461">
      <w:r>
        <w:separator/>
      </w:r>
    </w:p>
  </w:footnote>
  <w:footnote w:type="continuationSeparator" w:id="0">
    <w:p w:rsidR="005F1461" w:rsidRDefault="005F1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567CC2" w:rsidP="00567CC2">
    <w:pPr>
      <w:spacing w:after="0"/>
      <w:jc w:val="center"/>
    </w:pPr>
    <w:bookmarkStart w:id="3" w:name="skip_nav"/>
    <w:r>
      <w:rPr>
        <w:b/>
        <w:bCs/>
      </w:rPr>
      <w:t>[ICR No. 1240.08] 1830-0569 - Consolidated Annual Report (CAR) for the Carl D. Perkins Career and Technical Education Act of 2006</w:t>
    </w:r>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8"/>
  </w:num>
  <w:num w:numId="5">
    <w:abstractNumId w:val="1"/>
  </w:num>
  <w:num w:numId="6">
    <w:abstractNumId w:val="2"/>
  </w:num>
  <w:num w:numId="7">
    <w:abstractNumId w:val="15"/>
  </w:num>
  <w:num w:numId="8">
    <w:abstractNumId w:val="14"/>
  </w:num>
  <w:num w:numId="9">
    <w:abstractNumId w:val="16"/>
  </w:num>
  <w:num w:numId="10">
    <w:abstractNumId w:val="19"/>
  </w:num>
  <w:num w:numId="11">
    <w:abstractNumId w:val="9"/>
  </w:num>
  <w:num w:numId="12">
    <w:abstractNumId w:val="4"/>
  </w:num>
  <w:num w:numId="13">
    <w:abstractNumId w:val="12"/>
  </w:num>
  <w:num w:numId="14">
    <w:abstractNumId w:val="11"/>
  </w:num>
  <w:num w:numId="15">
    <w:abstractNumId w:val="3"/>
  </w:num>
  <w:num w:numId="16">
    <w:abstractNumId w:val="22"/>
  </w:num>
  <w:num w:numId="17">
    <w:abstractNumId w:val="13"/>
  </w:num>
  <w:num w:numId="18">
    <w:abstractNumId w:val="6"/>
  </w:num>
  <w:num w:numId="19">
    <w:abstractNumId w:val="17"/>
  </w:num>
  <w:num w:numId="20">
    <w:abstractNumId w:val="21"/>
  </w:num>
  <w:num w:numId="21">
    <w:abstractNumId w:val="5"/>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CBE"/>
    <w:rsid w:val="00050FAC"/>
    <w:rsid w:val="000909E0"/>
    <w:rsid w:val="000A2965"/>
    <w:rsid w:val="000B14D8"/>
    <w:rsid w:val="000C0CAC"/>
    <w:rsid w:val="000E592D"/>
    <w:rsid w:val="000F175B"/>
    <w:rsid w:val="00103C7E"/>
    <w:rsid w:val="0014500F"/>
    <w:rsid w:val="00153F20"/>
    <w:rsid w:val="00165E0C"/>
    <w:rsid w:val="001743A5"/>
    <w:rsid w:val="0018279C"/>
    <w:rsid w:val="002473CE"/>
    <w:rsid w:val="00251381"/>
    <w:rsid w:val="002B0412"/>
    <w:rsid w:val="002B0A95"/>
    <w:rsid w:val="002F5690"/>
    <w:rsid w:val="00322E02"/>
    <w:rsid w:val="00386054"/>
    <w:rsid w:val="003C29C2"/>
    <w:rsid w:val="003C7F70"/>
    <w:rsid w:val="003E285A"/>
    <w:rsid w:val="003E539A"/>
    <w:rsid w:val="00431228"/>
    <w:rsid w:val="00436A90"/>
    <w:rsid w:val="00495F4B"/>
    <w:rsid w:val="004A2DBB"/>
    <w:rsid w:val="004D6005"/>
    <w:rsid w:val="004E23D9"/>
    <w:rsid w:val="004F692A"/>
    <w:rsid w:val="00512598"/>
    <w:rsid w:val="0053551D"/>
    <w:rsid w:val="00563CCF"/>
    <w:rsid w:val="00567CC2"/>
    <w:rsid w:val="005A1566"/>
    <w:rsid w:val="005A1DFC"/>
    <w:rsid w:val="005A4185"/>
    <w:rsid w:val="005D2E7B"/>
    <w:rsid w:val="005F1461"/>
    <w:rsid w:val="00617A98"/>
    <w:rsid w:val="0063137A"/>
    <w:rsid w:val="0063484C"/>
    <w:rsid w:val="00654305"/>
    <w:rsid w:val="006737C0"/>
    <w:rsid w:val="00677BC2"/>
    <w:rsid w:val="0069697E"/>
    <w:rsid w:val="006A3B5C"/>
    <w:rsid w:val="006B1D3C"/>
    <w:rsid w:val="006B368E"/>
    <w:rsid w:val="006C01D0"/>
    <w:rsid w:val="00750301"/>
    <w:rsid w:val="007661D9"/>
    <w:rsid w:val="00771302"/>
    <w:rsid w:val="00787B58"/>
    <w:rsid w:val="007B14E8"/>
    <w:rsid w:val="007C12B5"/>
    <w:rsid w:val="007E77FA"/>
    <w:rsid w:val="008011B6"/>
    <w:rsid w:val="008F3062"/>
    <w:rsid w:val="00904D03"/>
    <w:rsid w:val="00921CB1"/>
    <w:rsid w:val="009544A3"/>
    <w:rsid w:val="009949A8"/>
    <w:rsid w:val="00A01331"/>
    <w:rsid w:val="00A41F2C"/>
    <w:rsid w:val="00A87940"/>
    <w:rsid w:val="00A94CCB"/>
    <w:rsid w:val="00AB0D7D"/>
    <w:rsid w:val="00B23EC0"/>
    <w:rsid w:val="00B578F4"/>
    <w:rsid w:val="00B83FB3"/>
    <w:rsid w:val="00BA13A2"/>
    <w:rsid w:val="00BC244F"/>
    <w:rsid w:val="00BD1325"/>
    <w:rsid w:val="00BF2B99"/>
    <w:rsid w:val="00C4132F"/>
    <w:rsid w:val="00C641E9"/>
    <w:rsid w:val="00C71525"/>
    <w:rsid w:val="00C723C2"/>
    <w:rsid w:val="00C9556E"/>
    <w:rsid w:val="00CE72AF"/>
    <w:rsid w:val="00CF7053"/>
    <w:rsid w:val="00D004BE"/>
    <w:rsid w:val="00D115BF"/>
    <w:rsid w:val="00D269C3"/>
    <w:rsid w:val="00DB784B"/>
    <w:rsid w:val="00E023B7"/>
    <w:rsid w:val="00E07290"/>
    <w:rsid w:val="00E52F91"/>
    <w:rsid w:val="00EA3C1F"/>
    <w:rsid w:val="00EC2CC4"/>
    <w:rsid w:val="00EF26F3"/>
    <w:rsid w:val="00EF7FF5"/>
    <w:rsid w:val="00F313DF"/>
    <w:rsid w:val="00F651D1"/>
    <w:rsid w:val="00F84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Hyperlink"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character" w:styleId="Hyperlink">
    <w:name w:val="Hyperlink"/>
    <w:rsid w:val="00050FA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Hyperlink"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character" w:styleId="Hyperlink">
    <w:name w:val="Hyperlink"/>
    <w:rsid w:val="00050F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perkins.ed.gov/Account/LogOn?ReturnUrl=%2f" TargetMode="External"/><Relationship Id="rId4" Type="http://schemas.microsoft.com/office/2007/relationships/stylesWithEffects" Target="stylesWithEffects.xml"/><Relationship Id="rId9" Type="http://schemas.openxmlformats.org/officeDocument/2006/relationships/hyperlink" Target="http://cte.ed.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FE39C-84C8-492A-9F7D-3AEDBADCB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3572</Words>
  <Characters>20120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Tomakie Washington</cp:lastModifiedBy>
  <cp:revision>4</cp:revision>
  <cp:lastPrinted>2013-04-30T17:49:00Z</cp:lastPrinted>
  <dcterms:created xsi:type="dcterms:W3CDTF">2014-04-17T18:08:00Z</dcterms:created>
  <dcterms:modified xsi:type="dcterms:W3CDTF">2014-07-10T18:51:00Z</dcterms:modified>
</cp:coreProperties>
</file>