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76AA9F" w14:textId="77777777" w:rsidR="006D5807" w:rsidRPr="00CC23B0" w:rsidRDefault="006D5807" w:rsidP="006D5807">
      <w:pPr>
        <w:jc w:val="center"/>
        <w:rPr>
          <w:rFonts w:ascii="Arial" w:hAnsi="Arial" w:cs="Arial"/>
          <w:b/>
          <w:szCs w:val="22"/>
        </w:rPr>
      </w:pPr>
      <w:bookmarkStart w:id="0" w:name="_GoBack"/>
      <w:bookmarkEnd w:id="0"/>
      <w:r w:rsidRPr="00CC23B0">
        <w:rPr>
          <w:rFonts w:ascii="Arial" w:hAnsi="Arial" w:cs="Arial"/>
          <w:b/>
          <w:szCs w:val="22"/>
        </w:rPr>
        <w:t>UNITED STATES MINT</w:t>
      </w:r>
    </w:p>
    <w:p w14:paraId="59AD147D" w14:textId="77777777" w:rsidR="00CC23B0" w:rsidRPr="00CC23B0" w:rsidRDefault="006D5807">
      <w:pPr>
        <w:jc w:val="center"/>
        <w:rPr>
          <w:rFonts w:ascii="Arial" w:hAnsi="Arial" w:cs="Arial"/>
          <w:b/>
          <w:szCs w:val="22"/>
        </w:rPr>
      </w:pPr>
      <w:r w:rsidRPr="00CC23B0">
        <w:rPr>
          <w:rFonts w:ascii="Arial" w:hAnsi="Arial" w:cs="Arial"/>
          <w:b/>
          <w:szCs w:val="22"/>
        </w:rPr>
        <w:t>QUA</w:t>
      </w:r>
      <w:r w:rsidR="00D62114" w:rsidRPr="00CC23B0">
        <w:rPr>
          <w:rFonts w:ascii="Arial" w:hAnsi="Arial" w:cs="Arial"/>
          <w:b/>
          <w:szCs w:val="22"/>
        </w:rPr>
        <w:t>LI</w:t>
      </w:r>
      <w:r w:rsidRPr="00CC23B0">
        <w:rPr>
          <w:rFonts w:ascii="Arial" w:hAnsi="Arial" w:cs="Arial"/>
          <w:b/>
          <w:szCs w:val="22"/>
        </w:rPr>
        <w:t>TITATIVE CONSUMER RESEARCH</w:t>
      </w:r>
    </w:p>
    <w:p w14:paraId="437C7179" w14:textId="1B612513" w:rsidR="00337509" w:rsidRPr="00CC23B0" w:rsidRDefault="00CC23B0">
      <w:pPr>
        <w:jc w:val="center"/>
        <w:rPr>
          <w:rFonts w:ascii="Arial" w:hAnsi="Arial" w:cs="Arial"/>
          <w:smallCaps/>
          <w:szCs w:val="22"/>
        </w:rPr>
      </w:pPr>
      <w:r>
        <w:rPr>
          <w:rFonts w:ascii="Arial" w:hAnsi="Arial" w:cs="Arial"/>
          <w:smallCaps/>
          <w:szCs w:val="22"/>
        </w:rPr>
        <w:t xml:space="preserve">UNITED STATES MINT </w:t>
      </w:r>
      <w:r w:rsidR="006D5807" w:rsidRPr="00CC23B0">
        <w:rPr>
          <w:rFonts w:ascii="Arial" w:hAnsi="Arial" w:cs="Arial"/>
          <w:smallCaps/>
          <w:szCs w:val="22"/>
        </w:rPr>
        <w:t>Focus Groups</w:t>
      </w:r>
      <w:r w:rsidRPr="00CC23B0">
        <w:rPr>
          <w:rFonts w:ascii="Arial" w:hAnsi="Arial" w:cs="Arial"/>
          <w:smallCaps/>
          <w:szCs w:val="22"/>
        </w:rPr>
        <w:t xml:space="preserve"> (Fiscal Year 2018)</w:t>
      </w:r>
    </w:p>
    <w:p w14:paraId="65998D03" w14:textId="77777777" w:rsidR="00CC23B0" w:rsidRPr="00CC23B0" w:rsidRDefault="00CC23B0" w:rsidP="00CC23B0">
      <w:pPr>
        <w:jc w:val="center"/>
        <w:rPr>
          <w:rFonts w:ascii="Arial" w:hAnsi="Arial" w:cs="Arial"/>
          <w:b/>
          <w:szCs w:val="24"/>
        </w:rPr>
      </w:pPr>
      <w:r w:rsidRPr="00CC23B0">
        <w:rPr>
          <w:rFonts w:ascii="Arial" w:hAnsi="Arial" w:cs="Arial"/>
          <w:b/>
          <w:szCs w:val="24"/>
        </w:rPr>
        <w:t>OMB Clearance Request</w:t>
      </w:r>
    </w:p>
    <w:p w14:paraId="181A1563" w14:textId="77777777" w:rsidR="004859E1" w:rsidRPr="00CC23B0" w:rsidRDefault="004859E1">
      <w:pPr>
        <w:jc w:val="center"/>
        <w:rPr>
          <w:rFonts w:ascii="Arial" w:hAnsi="Arial" w:cs="Arial"/>
          <w:smallCaps/>
          <w:szCs w:val="22"/>
        </w:rPr>
      </w:pPr>
      <w:r w:rsidRPr="00CC23B0">
        <w:rPr>
          <w:rFonts w:ascii="Arial" w:hAnsi="Arial" w:cs="Arial"/>
          <w:smallCaps/>
          <w:szCs w:val="22"/>
        </w:rPr>
        <w:t>OMB Control Number 1525-0012</w:t>
      </w:r>
    </w:p>
    <w:p w14:paraId="3BB3360E" w14:textId="7865926F" w:rsidR="00337509" w:rsidRPr="00CC23B0" w:rsidRDefault="00B36CCD">
      <w:pPr>
        <w:jc w:val="center"/>
        <w:rPr>
          <w:rFonts w:ascii="Arial" w:hAnsi="Arial" w:cs="Arial"/>
          <w:smallCaps/>
          <w:szCs w:val="22"/>
        </w:rPr>
      </w:pPr>
      <w:r w:rsidRPr="00CC23B0">
        <w:rPr>
          <w:rFonts w:ascii="Arial" w:hAnsi="Arial" w:cs="Arial"/>
          <w:smallCaps/>
          <w:szCs w:val="22"/>
        </w:rPr>
        <w:t>7</w:t>
      </w:r>
      <w:r w:rsidR="003D4CF0" w:rsidRPr="00CC23B0">
        <w:rPr>
          <w:rFonts w:ascii="Arial" w:hAnsi="Arial" w:cs="Arial"/>
          <w:smallCaps/>
          <w:szCs w:val="22"/>
        </w:rPr>
        <w:t>/</w:t>
      </w:r>
      <w:r w:rsidRPr="00CC23B0">
        <w:rPr>
          <w:rFonts w:ascii="Arial" w:hAnsi="Arial" w:cs="Arial"/>
          <w:smallCaps/>
          <w:szCs w:val="22"/>
        </w:rPr>
        <w:t>25</w:t>
      </w:r>
      <w:r w:rsidR="00FF7740" w:rsidRPr="00CC23B0">
        <w:rPr>
          <w:rFonts w:ascii="Arial" w:hAnsi="Arial" w:cs="Arial"/>
          <w:smallCaps/>
          <w:szCs w:val="22"/>
        </w:rPr>
        <w:t>/201</w:t>
      </w:r>
      <w:r w:rsidRPr="00CC23B0">
        <w:rPr>
          <w:rFonts w:ascii="Arial" w:hAnsi="Arial" w:cs="Arial"/>
          <w:smallCaps/>
          <w:szCs w:val="22"/>
        </w:rPr>
        <w:t>7</w:t>
      </w:r>
    </w:p>
    <w:p w14:paraId="652D8EAD" w14:textId="77777777" w:rsidR="00337509" w:rsidRPr="00FE5D63" w:rsidRDefault="00337509">
      <w:pPr>
        <w:jc w:val="center"/>
        <w:rPr>
          <w:rFonts w:ascii="Arial" w:hAnsi="Arial" w:cs="Arial"/>
          <w:smallCaps/>
        </w:rPr>
      </w:pPr>
    </w:p>
    <w:p w14:paraId="1FC769A7" w14:textId="77777777" w:rsidR="00337509" w:rsidRPr="00FE5D63" w:rsidRDefault="00337509">
      <w:pPr>
        <w:jc w:val="center"/>
        <w:rPr>
          <w:rFonts w:ascii="Arial" w:hAnsi="Arial" w:cs="Arial"/>
        </w:rPr>
      </w:pPr>
    </w:p>
    <w:p w14:paraId="402CE73C" w14:textId="77777777" w:rsidR="00337509" w:rsidRPr="00E37CD9" w:rsidRDefault="00BA43F3">
      <w:pPr>
        <w:pStyle w:val="Heading1"/>
        <w:rPr>
          <w:rFonts w:ascii="Arial" w:hAnsi="Arial" w:cs="Arial"/>
          <w:sz w:val="22"/>
          <w:szCs w:val="22"/>
        </w:rPr>
      </w:pPr>
      <w:r w:rsidRPr="00E37CD9">
        <w:rPr>
          <w:rFonts w:ascii="Arial" w:hAnsi="Arial" w:cs="Arial"/>
          <w:sz w:val="22"/>
          <w:szCs w:val="22"/>
        </w:rPr>
        <w:t>Introduction /</w:t>
      </w:r>
      <w:r w:rsidR="00337509" w:rsidRPr="00E37CD9">
        <w:rPr>
          <w:rFonts w:ascii="Arial" w:hAnsi="Arial" w:cs="Arial"/>
          <w:sz w:val="22"/>
          <w:szCs w:val="22"/>
        </w:rPr>
        <w:t>Purpose of the Research</w:t>
      </w:r>
    </w:p>
    <w:p w14:paraId="15AFD226" w14:textId="77777777" w:rsidR="00337509" w:rsidRPr="00E37CD9" w:rsidRDefault="00337509">
      <w:pPr>
        <w:rPr>
          <w:rFonts w:ascii="Arial" w:hAnsi="Arial" w:cs="Arial"/>
          <w:sz w:val="22"/>
          <w:szCs w:val="22"/>
        </w:rPr>
      </w:pPr>
    </w:p>
    <w:p w14:paraId="151DBE1F" w14:textId="47F6D8F2" w:rsidR="00BA43F3" w:rsidRPr="00E37CD9" w:rsidRDefault="00BA43F3" w:rsidP="00FE5D63">
      <w:pPr>
        <w:pStyle w:val="BodyTextIndent"/>
        <w:ind w:firstLine="0"/>
        <w:rPr>
          <w:rFonts w:ascii="Arial" w:hAnsi="Arial" w:cs="Arial"/>
          <w:sz w:val="22"/>
          <w:szCs w:val="22"/>
        </w:rPr>
      </w:pPr>
      <w:r w:rsidRPr="00E37CD9">
        <w:rPr>
          <w:rFonts w:ascii="Arial" w:hAnsi="Arial" w:cs="Arial"/>
          <w:sz w:val="22"/>
          <w:szCs w:val="22"/>
        </w:rPr>
        <w:t xml:space="preserve">This request is for OMB clearance for the United States Mint’s ongoing core focus groups, which are designed to develop an in-depth understanding of various topics </w:t>
      </w:r>
      <w:r w:rsidR="00155622">
        <w:rPr>
          <w:rFonts w:ascii="Arial" w:hAnsi="Arial" w:cs="Arial"/>
          <w:sz w:val="22"/>
          <w:szCs w:val="22"/>
        </w:rPr>
        <w:t xml:space="preserve">that </w:t>
      </w:r>
      <w:r w:rsidRPr="00E37CD9">
        <w:rPr>
          <w:rFonts w:ascii="Arial" w:hAnsi="Arial" w:cs="Arial"/>
          <w:sz w:val="22"/>
          <w:szCs w:val="22"/>
        </w:rPr>
        <w:t xml:space="preserve">will be </w:t>
      </w:r>
      <w:r w:rsidR="004859E1">
        <w:rPr>
          <w:rFonts w:ascii="Arial" w:hAnsi="Arial" w:cs="Arial"/>
          <w:sz w:val="22"/>
          <w:szCs w:val="22"/>
        </w:rPr>
        <w:t>used</w:t>
      </w:r>
      <w:r w:rsidR="004859E1" w:rsidRPr="00E37CD9">
        <w:rPr>
          <w:rFonts w:ascii="Arial" w:hAnsi="Arial" w:cs="Arial"/>
          <w:sz w:val="22"/>
          <w:szCs w:val="22"/>
        </w:rPr>
        <w:t xml:space="preserve"> </w:t>
      </w:r>
      <w:r w:rsidRPr="00E37CD9">
        <w:rPr>
          <w:rFonts w:ascii="Arial" w:hAnsi="Arial" w:cs="Arial"/>
          <w:sz w:val="22"/>
          <w:szCs w:val="22"/>
        </w:rPr>
        <w:t>to inform decisions on a range of product and service related issues</w:t>
      </w:r>
      <w:r w:rsidR="00E37CD9">
        <w:rPr>
          <w:rFonts w:ascii="Arial" w:hAnsi="Arial" w:cs="Arial"/>
          <w:sz w:val="22"/>
          <w:szCs w:val="22"/>
        </w:rPr>
        <w:t xml:space="preserve">.  </w:t>
      </w:r>
      <w:r w:rsidR="006E28D8" w:rsidRPr="00E37CD9">
        <w:rPr>
          <w:rFonts w:ascii="Arial" w:hAnsi="Arial" w:cs="Arial"/>
          <w:sz w:val="22"/>
          <w:szCs w:val="22"/>
        </w:rPr>
        <w:t xml:space="preserve">This research was conducted </w:t>
      </w:r>
      <w:r w:rsidR="00D62114">
        <w:rPr>
          <w:rFonts w:ascii="Arial" w:hAnsi="Arial" w:cs="Arial"/>
          <w:sz w:val="22"/>
          <w:szCs w:val="22"/>
        </w:rPr>
        <w:t xml:space="preserve">in </w:t>
      </w:r>
      <w:r w:rsidR="00155622">
        <w:rPr>
          <w:rFonts w:ascii="Arial" w:hAnsi="Arial" w:cs="Arial"/>
          <w:sz w:val="22"/>
          <w:szCs w:val="22"/>
        </w:rPr>
        <w:t>Fiscal Year</w:t>
      </w:r>
      <w:r w:rsidR="00805A52">
        <w:rPr>
          <w:rFonts w:ascii="Arial" w:hAnsi="Arial" w:cs="Arial"/>
          <w:sz w:val="22"/>
          <w:szCs w:val="22"/>
        </w:rPr>
        <w:t xml:space="preserve"> </w:t>
      </w:r>
      <w:r w:rsidR="00155622">
        <w:rPr>
          <w:rFonts w:ascii="Arial" w:hAnsi="Arial" w:cs="Arial"/>
          <w:sz w:val="22"/>
          <w:szCs w:val="22"/>
        </w:rPr>
        <w:t>20</w:t>
      </w:r>
      <w:r w:rsidR="00D62114">
        <w:rPr>
          <w:rFonts w:ascii="Arial" w:hAnsi="Arial" w:cs="Arial"/>
          <w:sz w:val="22"/>
          <w:szCs w:val="22"/>
        </w:rPr>
        <w:t>1</w:t>
      </w:r>
      <w:r w:rsidR="00B36CCD">
        <w:rPr>
          <w:rFonts w:ascii="Arial" w:hAnsi="Arial" w:cs="Arial"/>
          <w:sz w:val="22"/>
          <w:szCs w:val="22"/>
        </w:rPr>
        <w:t>7</w:t>
      </w:r>
      <w:r w:rsidR="00D62114">
        <w:rPr>
          <w:rFonts w:ascii="Arial" w:hAnsi="Arial" w:cs="Arial"/>
          <w:sz w:val="22"/>
          <w:szCs w:val="22"/>
        </w:rPr>
        <w:t xml:space="preserve"> </w:t>
      </w:r>
      <w:r w:rsidR="00887FA2">
        <w:rPr>
          <w:rFonts w:ascii="Arial" w:hAnsi="Arial" w:cs="Arial"/>
          <w:sz w:val="22"/>
          <w:szCs w:val="22"/>
        </w:rPr>
        <w:t>under this OMB control number</w:t>
      </w:r>
      <w:r w:rsidR="006E28D8" w:rsidRPr="00E37CD9">
        <w:rPr>
          <w:rFonts w:ascii="Arial" w:hAnsi="Arial" w:cs="Arial"/>
          <w:sz w:val="22"/>
          <w:szCs w:val="22"/>
        </w:rPr>
        <w:t>.</w:t>
      </w:r>
    </w:p>
    <w:p w14:paraId="31135539" w14:textId="77777777" w:rsidR="00FE5D63" w:rsidRPr="00E37CD9" w:rsidRDefault="00FE5D63" w:rsidP="00FE5D63">
      <w:pPr>
        <w:pStyle w:val="BodyTextIndent"/>
        <w:ind w:firstLine="0"/>
        <w:rPr>
          <w:rFonts w:ascii="Arial" w:hAnsi="Arial" w:cs="Arial"/>
          <w:sz w:val="22"/>
          <w:szCs w:val="22"/>
        </w:rPr>
      </w:pPr>
      <w:r w:rsidRPr="00E37CD9">
        <w:rPr>
          <w:rFonts w:ascii="Arial" w:hAnsi="Arial" w:cs="Arial"/>
          <w:sz w:val="22"/>
          <w:szCs w:val="22"/>
        </w:rPr>
        <w:t>The purpose of the research is to collect information from United States Mint customers and non-customers on a</w:t>
      </w:r>
      <w:r w:rsidR="002D77F4" w:rsidRPr="00E37CD9">
        <w:rPr>
          <w:rFonts w:ascii="Arial" w:hAnsi="Arial" w:cs="Arial"/>
          <w:sz w:val="22"/>
          <w:szCs w:val="22"/>
        </w:rPr>
        <w:t xml:space="preserve"> regular</w:t>
      </w:r>
      <w:r w:rsidRPr="00E37CD9">
        <w:rPr>
          <w:rFonts w:ascii="Arial" w:hAnsi="Arial" w:cs="Arial"/>
          <w:sz w:val="22"/>
          <w:szCs w:val="22"/>
        </w:rPr>
        <w:t xml:space="preserve"> basis, to evaluate current United States Mint products, services, and </w:t>
      </w:r>
      <w:r w:rsidR="002D77F4" w:rsidRPr="00E37CD9">
        <w:rPr>
          <w:rFonts w:ascii="Arial" w:hAnsi="Arial" w:cs="Arial"/>
          <w:sz w:val="22"/>
          <w:szCs w:val="22"/>
        </w:rPr>
        <w:t>marketing activities</w:t>
      </w:r>
      <w:r w:rsidRPr="00E37CD9">
        <w:rPr>
          <w:rFonts w:ascii="Arial" w:hAnsi="Arial" w:cs="Arial"/>
          <w:sz w:val="22"/>
          <w:szCs w:val="22"/>
        </w:rPr>
        <w:t xml:space="preserve">; as well as </w:t>
      </w:r>
      <w:r w:rsidR="002D77F4" w:rsidRPr="00E37CD9">
        <w:rPr>
          <w:rFonts w:ascii="Arial" w:hAnsi="Arial" w:cs="Arial"/>
          <w:sz w:val="22"/>
          <w:szCs w:val="22"/>
        </w:rPr>
        <w:t xml:space="preserve">to obtain </w:t>
      </w:r>
      <w:r w:rsidRPr="00E37CD9">
        <w:rPr>
          <w:rFonts w:ascii="Arial" w:hAnsi="Arial" w:cs="Arial"/>
          <w:sz w:val="22"/>
          <w:szCs w:val="22"/>
        </w:rPr>
        <w:t xml:space="preserve">feedback and reactions </w:t>
      </w:r>
      <w:r w:rsidR="002D77F4" w:rsidRPr="00E37CD9">
        <w:rPr>
          <w:rFonts w:ascii="Arial" w:hAnsi="Arial" w:cs="Arial"/>
          <w:sz w:val="22"/>
          <w:szCs w:val="22"/>
        </w:rPr>
        <w:t>before changing or introducing new products, services, or marketing activities</w:t>
      </w:r>
      <w:r w:rsidR="00E37CD9">
        <w:rPr>
          <w:rFonts w:ascii="Arial" w:hAnsi="Arial" w:cs="Arial"/>
          <w:sz w:val="22"/>
          <w:szCs w:val="22"/>
        </w:rPr>
        <w:t xml:space="preserve">.  </w:t>
      </w:r>
      <w:r w:rsidRPr="00E37CD9">
        <w:rPr>
          <w:rFonts w:ascii="Arial" w:hAnsi="Arial" w:cs="Arial"/>
          <w:sz w:val="22"/>
          <w:szCs w:val="22"/>
        </w:rPr>
        <w:t xml:space="preserve">The </w:t>
      </w:r>
      <w:r w:rsidR="002D77F4" w:rsidRPr="00E37CD9">
        <w:rPr>
          <w:rFonts w:ascii="Arial" w:hAnsi="Arial" w:cs="Arial"/>
          <w:sz w:val="22"/>
          <w:szCs w:val="22"/>
        </w:rPr>
        <w:t>information gathered</w:t>
      </w:r>
      <w:r w:rsidRPr="00E37CD9">
        <w:rPr>
          <w:rFonts w:ascii="Arial" w:hAnsi="Arial" w:cs="Arial"/>
          <w:sz w:val="22"/>
          <w:szCs w:val="22"/>
        </w:rPr>
        <w:t xml:space="preserve"> from these </w:t>
      </w:r>
      <w:r w:rsidR="0017499A" w:rsidRPr="00E37CD9">
        <w:rPr>
          <w:rFonts w:ascii="Arial" w:hAnsi="Arial" w:cs="Arial"/>
          <w:sz w:val="22"/>
          <w:szCs w:val="22"/>
        </w:rPr>
        <w:t>focus-</w:t>
      </w:r>
      <w:r w:rsidRPr="00E37CD9">
        <w:rPr>
          <w:rFonts w:ascii="Arial" w:hAnsi="Arial" w:cs="Arial"/>
          <w:sz w:val="22"/>
          <w:szCs w:val="22"/>
        </w:rPr>
        <w:t xml:space="preserve">group sessions will provide guidance and direction for improving customer satisfaction with products and services in </w:t>
      </w:r>
      <w:r w:rsidR="006E62C8" w:rsidRPr="00E37CD9">
        <w:rPr>
          <w:rFonts w:ascii="Arial" w:hAnsi="Arial" w:cs="Arial"/>
          <w:sz w:val="22"/>
          <w:szCs w:val="22"/>
        </w:rPr>
        <w:t>F</w:t>
      </w:r>
      <w:r w:rsidR="00155622">
        <w:rPr>
          <w:rFonts w:ascii="Arial" w:hAnsi="Arial" w:cs="Arial"/>
          <w:sz w:val="22"/>
          <w:szCs w:val="22"/>
        </w:rPr>
        <w:t xml:space="preserve">iscal </w:t>
      </w:r>
      <w:r w:rsidR="006E62C8" w:rsidRPr="00E37CD9">
        <w:rPr>
          <w:rFonts w:ascii="Arial" w:hAnsi="Arial" w:cs="Arial"/>
          <w:sz w:val="22"/>
          <w:szCs w:val="22"/>
        </w:rPr>
        <w:t>Y</w:t>
      </w:r>
      <w:r w:rsidR="00155622">
        <w:rPr>
          <w:rFonts w:ascii="Arial" w:hAnsi="Arial" w:cs="Arial"/>
          <w:sz w:val="22"/>
          <w:szCs w:val="22"/>
        </w:rPr>
        <w:t xml:space="preserve">ear </w:t>
      </w:r>
      <w:r w:rsidR="00B43598">
        <w:rPr>
          <w:rFonts w:ascii="Arial" w:hAnsi="Arial" w:cs="Arial"/>
          <w:sz w:val="22"/>
          <w:szCs w:val="22"/>
        </w:rPr>
        <w:t>2017</w:t>
      </w:r>
      <w:r w:rsidR="007D4F94">
        <w:rPr>
          <w:rFonts w:ascii="Arial" w:hAnsi="Arial" w:cs="Arial"/>
          <w:sz w:val="22"/>
          <w:szCs w:val="22"/>
        </w:rPr>
        <w:t xml:space="preserve"> </w:t>
      </w:r>
      <w:r w:rsidR="00B43598">
        <w:rPr>
          <w:rFonts w:ascii="Arial" w:hAnsi="Arial" w:cs="Arial"/>
          <w:sz w:val="22"/>
          <w:szCs w:val="22"/>
        </w:rPr>
        <w:t>to</w:t>
      </w:r>
      <w:r w:rsidR="001F35D0" w:rsidRPr="00E37CD9">
        <w:rPr>
          <w:rFonts w:ascii="Arial" w:hAnsi="Arial" w:cs="Arial"/>
          <w:sz w:val="22"/>
          <w:szCs w:val="22"/>
        </w:rPr>
        <w:t xml:space="preserve"> </w:t>
      </w:r>
      <w:r w:rsidR="002D77F4" w:rsidRPr="00E37CD9">
        <w:rPr>
          <w:rFonts w:ascii="Arial" w:hAnsi="Arial" w:cs="Arial"/>
          <w:sz w:val="22"/>
          <w:szCs w:val="22"/>
        </w:rPr>
        <w:t xml:space="preserve">help us better </w:t>
      </w:r>
      <w:r w:rsidR="001F35D0" w:rsidRPr="00E37CD9">
        <w:rPr>
          <w:rFonts w:ascii="Arial" w:hAnsi="Arial" w:cs="Arial"/>
          <w:sz w:val="22"/>
          <w:szCs w:val="22"/>
        </w:rPr>
        <w:t xml:space="preserve">understand and </w:t>
      </w:r>
      <w:r w:rsidR="002D77F4" w:rsidRPr="00E37CD9">
        <w:rPr>
          <w:rFonts w:ascii="Arial" w:hAnsi="Arial" w:cs="Arial"/>
          <w:sz w:val="22"/>
          <w:szCs w:val="22"/>
        </w:rPr>
        <w:t xml:space="preserve">serve </w:t>
      </w:r>
      <w:r w:rsidR="001F35D0" w:rsidRPr="00E37CD9">
        <w:rPr>
          <w:rFonts w:ascii="Arial" w:hAnsi="Arial" w:cs="Arial"/>
          <w:sz w:val="22"/>
          <w:szCs w:val="22"/>
        </w:rPr>
        <w:t xml:space="preserve">the needs of </w:t>
      </w:r>
      <w:r w:rsidR="002D77F4" w:rsidRPr="00E37CD9">
        <w:rPr>
          <w:rFonts w:ascii="Arial" w:hAnsi="Arial" w:cs="Arial"/>
          <w:sz w:val="22"/>
          <w:szCs w:val="22"/>
        </w:rPr>
        <w:t>non-customers expressing an interest in our products</w:t>
      </w:r>
      <w:r w:rsidR="001F35D0" w:rsidRPr="00E37CD9">
        <w:rPr>
          <w:rFonts w:ascii="Arial" w:hAnsi="Arial" w:cs="Arial"/>
          <w:sz w:val="22"/>
          <w:szCs w:val="22"/>
        </w:rPr>
        <w:t>, and help ensure we carry out our mandate effectively and efficiently</w:t>
      </w:r>
      <w:r w:rsidR="00E37CD9">
        <w:rPr>
          <w:rFonts w:ascii="Arial" w:hAnsi="Arial" w:cs="Arial"/>
          <w:sz w:val="22"/>
          <w:szCs w:val="22"/>
        </w:rPr>
        <w:t xml:space="preserve">.  </w:t>
      </w:r>
    </w:p>
    <w:p w14:paraId="4DB93AC2" w14:textId="77777777" w:rsidR="00FE5D63" w:rsidRPr="00E37CD9" w:rsidRDefault="00FE5D63" w:rsidP="00FE5D63">
      <w:pPr>
        <w:rPr>
          <w:rFonts w:ascii="Arial" w:hAnsi="Arial" w:cs="Arial"/>
          <w:sz w:val="22"/>
          <w:szCs w:val="22"/>
        </w:rPr>
      </w:pPr>
    </w:p>
    <w:p w14:paraId="560FF027" w14:textId="77777777" w:rsidR="00FE5D63" w:rsidRPr="00E37CD9" w:rsidRDefault="00543592" w:rsidP="00FE5D63">
      <w:pPr>
        <w:rPr>
          <w:rFonts w:ascii="Arial" w:hAnsi="Arial" w:cs="Arial"/>
          <w:sz w:val="22"/>
          <w:szCs w:val="22"/>
        </w:rPr>
      </w:pPr>
      <w:r w:rsidRPr="00E37CD9">
        <w:rPr>
          <w:rFonts w:ascii="Arial" w:hAnsi="Arial" w:cs="Arial"/>
          <w:sz w:val="22"/>
          <w:szCs w:val="22"/>
        </w:rPr>
        <w:t xml:space="preserve">Part of the United States Mint’s mission is to produce and </w:t>
      </w:r>
      <w:r w:rsidR="0017499A" w:rsidRPr="00E37CD9">
        <w:rPr>
          <w:rFonts w:ascii="Arial" w:hAnsi="Arial" w:cs="Arial"/>
          <w:sz w:val="22"/>
          <w:szCs w:val="22"/>
        </w:rPr>
        <w:t xml:space="preserve">sell </w:t>
      </w:r>
      <w:r w:rsidRPr="00E37CD9">
        <w:rPr>
          <w:rFonts w:ascii="Arial" w:hAnsi="Arial" w:cs="Arial"/>
          <w:sz w:val="22"/>
          <w:szCs w:val="22"/>
        </w:rPr>
        <w:t>collectible coin products to the American public</w:t>
      </w:r>
      <w:r w:rsidR="00E37CD9">
        <w:rPr>
          <w:rFonts w:ascii="Arial" w:hAnsi="Arial" w:cs="Arial"/>
          <w:sz w:val="22"/>
          <w:szCs w:val="22"/>
        </w:rPr>
        <w:t xml:space="preserve">.  </w:t>
      </w:r>
      <w:r w:rsidR="00FE5D63" w:rsidRPr="00E37CD9">
        <w:rPr>
          <w:rFonts w:ascii="Arial" w:hAnsi="Arial" w:cs="Arial"/>
          <w:sz w:val="22"/>
          <w:szCs w:val="22"/>
        </w:rPr>
        <w:t>Executive Order No</w:t>
      </w:r>
      <w:r w:rsidR="00E37CD9">
        <w:rPr>
          <w:rFonts w:ascii="Arial" w:hAnsi="Arial" w:cs="Arial"/>
          <w:sz w:val="22"/>
          <w:szCs w:val="22"/>
        </w:rPr>
        <w:t xml:space="preserve">. </w:t>
      </w:r>
      <w:r w:rsidR="00FE5D63" w:rsidRPr="00E37CD9">
        <w:rPr>
          <w:rFonts w:ascii="Arial" w:hAnsi="Arial" w:cs="Arial"/>
          <w:sz w:val="22"/>
          <w:szCs w:val="22"/>
        </w:rPr>
        <w:t>12862 (September 1993), titled “Setting Customer Service Standards,” establishe</w:t>
      </w:r>
      <w:r w:rsidRPr="00E37CD9">
        <w:rPr>
          <w:rFonts w:ascii="Arial" w:hAnsi="Arial" w:cs="Arial"/>
          <w:sz w:val="22"/>
          <w:szCs w:val="22"/>
        </w:rPr>
        <w:t>s</w:t>
      </w:r>
      <w:r w:rsidR="00FE5D63" w:rsidRPr="00E37CD9">
        <w:rPr>
          <w:rFonts w:ascii="Arial" w:hAnsi="Arial" w:cs="Arial"/>
          <w:sz w:val="22"/>
          <w:szCs w:val="22"/>
        </w:rPr>
        <w:t xml:space="preserve"> a mandate for the government to </w:t>
      </w:r>
      <w:r w:rsidRPr="00E37CD9">
        <w:rPr>
          <w:rFonts w:ascii="Arial" w:hAnsi="Arial" w:cs="Arial"/>
          <w:sz w:val="22"/>
          <w:szCs w:val="22"/>
        </w:rPr>
        <w:t xml:space="preserve">ensure </w:t>
      </w:r>
      <w:r w:rsidR="00FE5D63" w:rsidRPr="00E37CD9">
        <w:rPr>
          <w:rFonts w:ascii="Arial" w:hAnsi="Arial" w:cs="Arial"/>
          <w:sz w:val="22"/>
          <w:szCs w:val="22"/>
        </w:rPr>
        <w:t>the kind and quality of services</w:t>
      </w:r>
      <w:r w:rsidR="001F35D0" w:rsidRPr="00E37CD9">
        <w:rPr>
          <w:rFonts w:ascii="Arial" w:hAnsi="Arial" w:cs="Arial"/>
          <w:sz w:val="22"/>
          <w:szCs w:val="22"/>
        </w:rPr>
        <w:t xml:space="preserve"> offered </w:t>
      </w:r>
      <w:r w:rsidRPr="00E37CD9">
        <w:rPr>
          <w:rFonts w:ascii="Arial" w:hAnsi="Arial" w:cs="Arial"/>
          <w:sz w:val="22"/>
          <w:szCs w:val="22"/>
        </w:rPr>
        <w:t xml:space="preserve">are aligned </w:t>
      </w:r>
      <w:r w:rsidR="001F35D0" w:rsidRPr="00E37CD9">
        <w:rPr>
          <w:rFonts w:ascii="Arial" w:hAnsi="Arial" w:cs="Arial"/>
          <w:sz w:val="22"/>
          <w:szCs w:val="22"/>
        </w:rPr>
        <w:t>with those the public wants</w:t>
      </w:r>
      <w:r w:rsidR="00FE5D63" w:rsidRPr="00E37CD9">
        <w:rPr>
          <w:rFonts w:ascii="Arial" w:hAnsi="Arial" w:cs="Arial"/>
          <w:sz w:val="22"/>
          <w:szCs w:val="22"/>
        </w:rPr>
        <w:t xml:space="preserve"> (Section 1b)</w:t>
      </w:r>
      <w:r w:rsidR="00E37CD9">
        <w:rPr>
          <w:rFonts w:ascii="Arial" w:hAnsi="Arial" w:cs="Arial"/>
          <w:sz w:val="22"/>
          <w:szCs w:val="22"/>
        </w:rPr>
        <w:t xml:space="preserve">.  </w:t>
      </w:r>
      <w:r w:rsidR="00FE5D63" w:rsidRPr="00E37CD9">
        <w:rPr>
          <w:rFonts w:ascii="Arial" w:hAnsi="Arial" w:cs="Arial"/>
          <w:sz w:val="22"/>
          <w:szCs w:val="22"/>
        </w:rPr>
        <w:t>To effectively accomplish these goals, the United States Mint</w:t>
      </w:r>
      <w:r w:rsidRPr="00E37CD9">
        <w:rPr>
          <w:rFonts w:ascii="Arial" w:hAnsi="Arial" w:cs="Arial"/>
          <w:sz w:val="22"/>
          <w:szCs w:val="22"/>
        </w:rPr>
        <w:t xml:space="preserve"> u</w:t>
      </w:r>
      <w:r w:rsidR="002358F5" w:rsidRPr="00E37CD9">
        <w:rPr>
          <w:rFonts w:ascii="Arial" w:hAnsi="Arial" w:cs="Arial"/>
          <w:sz w:val="22"/>
          <w:szCs w:val="22"/>
        </w:rPr>
        <w:t>tilizes</w:t>
      </w:r>
      <w:r w:rsidRPr="00E37CD9">
        <w:rPr>
          <w:rFonts w:ascii="Arial" w:hAnsi="Arial" w:cs="Arial"/>
          <w:sz w:val="22"/>
          <w:szCs w:val="22"/>
        </w:rPr>
        <w:t xml:space="preserve"> a </w:t>
      </w:r>
      <w:r w:rsidR="002358F5" w:rsidRPr="00E37CD9">
        <w:rPr>
          <w:rFonts w:ascii="Arial" w:hAnsi="Arial" w:cs="Arial"/>
          <w:sz w:val="22"/>
          <w:szCs w:val="22"/>
        </w:rPr>
        <w:t>combination</w:t>
      </w:r>
      <w:r w:rsidRPr="00E37CD9">
        <w:rPr>
          <w:rFonts w:ascii="Arial" w:hAnsi="Arial" w:cs="Arial"/>
          <w:sz w:val="22"/>
          <w:szCs w:val="22"/>
        </w:rPr>
        <w:t xml:space="preserve"> of </w:t>
      </w:r>
      <w:r w:rsidR="002358F5" w:rsidRPr="00E37CD9">
        <w:rPr>
          <w:rFonts w:ascii="Arial" w:hAnsi="Arial" w:cs="Arial"/>
          <w:sz w:val="22"/>
          <w:szCs w:val="22"/>
        </w:rPr>
        <w:t xml:space="preserve">accepted research </w:t>
      </w:r>
      <w:r w:rsidRPr="00E37CD9">
        <w:rPr>
          <w:rFonts w:ascii="Arial" w:hAnsi="Arial" w:cs="Arial"/>
          <w:sz w:val="22"/>
          <w:szCs w:val="22"/>
        </w:rPr>
        <w:t>methods that shed light on the awareness, satisfaction and preferences among</w:t>
      </w:r>
      <w:r w:rsidR="002358F5" w:rsidRPr="00E37CD9">
        <w:rPr>
          <w:rFonts w:ascii="Arial" w:hAnsi="Arial" w:cs="Arial"/>
          <w:sz w:val="22"/>
          <w:szCs w:val="22"/>
        </w:rPr>
        <w:t xml:space="preserve"> the public as they relate to collectible coin products and services</w:t>
      </w:r>
      <w:r w:rsidR="00E37CD9">
        <w:rPr>
          <w:rFonts w:ascii="Arial" w:hAnsi="Arial" w:cs="Arial"/>
          <w:sz w:val="22"/>
          <w:szCs w:val="22"/>
        </w:rPr>
        <w:t xml:space="preserve">.  </w:t>
      </w:r>
      <w:r w:rsidR="00B93A38">
        <w:rPr>
          <w:rFonts w:ascii="Arial" w:hAnsi="Arial" w:cs="Arial"/>
          <w:sz w:val="22"/>
          <w:szCs w:val="22"/>
        </w:rPr>
        <w:t>Conducting f</w:t>
      </w:r>
      <w:r w:rsidR="0017499A" w:rsidRPr="00E37CD9">
        <w:rPr>
          <w:rFonts w:ascii="Arial" w:hAnsi="Arial" w:cs="Arial"/>
          <w:sz w:val="22"/>
          <w:szCs w:val="22"/>
        </w:rPr>
        <w:t xml:space="preserve">ocus groups </w:t>
      </w:r>
      <w:r w:rsidR="00B93A38">
        <w:rPr>
          <w:rFonts w:ascii="Arial" w:hAnsi="Arial" w:cs="Arial"/>
          <w:sz w:val="22"/>
          <w:szCs w:val="22"/>
        </w:rPr>
        <w:t xml:space="preserve">in order to </w:t>
      </w:r>
      <w:r w:rsidR="00155622">
        <w:rPr>
          <w:rFonts w:ascii="Arial" w:hAnsi="Arial" w:cs="Arial"/>
          <w:sz w:val="22"/>
          <w:szCs w:val="22"/>
        </w:rPr>
        <w:t xml:space="preserve">receive </w:t>
      </w:r>
      <w:r w:rsidR="00B93A38">
        <w:rPr>
          <w:rFonts w:ascii="Arial" w:hAnsi="Arial" w:cs="Arial"/>
          <w:sz w:val="22"/>
          <w:szCs w:val="22"/>
        </w:rPr>
        <w:t>customer feedback is</w:t>
      </w:r>
      <w:r w:rsidR="0017499A" w:rsidRPr="00E37CD9">
        <w:rPr>
          <w:rFonts w:ascii="Arial" w:hAnsi="Arial" w:cs="Arial"/>
          <w:sz w:val="22"/>
          <w:szCs w:val="22"/>
        </w:rPr>
        <w:t xml:space="preserve"> one element of this research p</w:t>
      </w:r>
      <w:r w:rsidR="00B378E8">
        <w:rPr>
          <w:rFonts w:ascii="Arial" w:hAnsi="Arial" w:cs="Arial"/>
          <w:sz w:val="22"/>
          <w:szCs w:val="22"/>
        </w:rPr>
        <w:t>roject</w:t>
      </w:r>
      <w:r w:rsidR="0017499A" w:rsidRPr="00E37CD9">
        <w:rPr>
          <w:rFonts w:ascii="Arial" w:hAnsi="Arial" w:cs="Arial"/>
          <w:sz w:val="22"/>
          <w:szCs w:val="22"/>
        </w:rPr>
        <w:t>.</w:t>
      </w:r>
    </w:p>
    <w:p w14:paraId="3C7CF38A" w14:textId="77777777" w:rsidR="00FE5D63" w:rsidRPr="00E37CD9" w:rsidRDefault="00FE5D63" w:rsidP="00FE5D63">
      <w:pPr>
        <w:rPr>
          <w:rFonts w:ascii="Arial" w:hAnsi="Arial" w:cs="Arial"/>
          <w:sz w:val="22"/>
          <w:szCs w:val="22"/>
        </w:rPr>
      </w:pPr>
    </w:p>
    <w:p w14:paraId="2097DA23" w14:textId="77777777" w:rsidR="00FE5D63" w:rsidRPr="00E37CD9" w:rsidRDefault="00B54DE0">
      <w:pPr>
        <w:rPr>
          <w:rFonts w:ascii="Arial" w:hAnsi="Arial" w:cs="Arial"/>
          <w:sz w:val="22"/>
          <w:szCs w:val="22"/>
        </w:rPr>
      </w:pPr>
      <w:r w:rsidRPr="00B54DE0">
        <w:rPr>
          <w:rFonts w:ascii="Arial" w:hAnsi="Arial" w:cs="Arial"/>
          <w:sz w:val="22"/>
          <w:szCs w:val="22"/>
        </w:rPr>
        <w:t>The consequence of not performing this collection is the United States Mint’s diminished ability to maintain service levels that satisfy customers</w:t>
      </w:r>
      <w:r w:rsidR="00E37CD9">
        <w:rPr>
          <w:rFonts w:ascii="Arial" w:hAnsi="Arial" w:cs="Arial"/>
          <w:sz w:val="22"/>
          <w:szCs w:val="22"/>
        </w:rPr>
        <w:t xml:space="preserve">.  </w:t>
      </w:r>
    </w:p>
    <w:p w14:paraId="7C9844DB" w14:textId="77777777" w:rsidR="00FE5D63" w:rsidRPr="00E37CD9" w:rsidRDefault="00FE5D63">
      <w:pPr>
        <w:pStyle w:val="Heading1"/>
        <w:spacing w:before="120"/>
        <w:rPr>
          <w:rFonts w:ascii="Arial" w:hAnsi="Arial" w:cs="Arial"/>
          <w:sz w:val="22"/>
          <w:szCs w:val="22"/>
        </w:rPr>
      </w:pPr>
    </w:p>
    <w:p w14:paraId="78968515" w14:textId="77777777" w:rsidR="00337509" w:rsidRPr="00E37CD9" w:rsidRDefault="00337509">
      <w:pPr>
        <w:pStyle w:val="Heading1"/>
        <w:spacing w:before="120"/>
        <w:rPr>
          <w:rFonts w:ascii="Arial" w:hAnsi="Arial" w:cs="Arial"/>
          <w:sz w:val="22"/>
          <w:szCs w:val="22"/>
        </w:rPr>
      </w:pPr>
      <w:r w:rsidRPr="00E37CD9">
        <w:rPr>
          <w:rFonts w:ascii="Arial" w:hAnsi="Arial" w:cs="Arial"/>
          <w:sz w:val="22"/>
          <w:szCs w:val="22"/>
        </w:rPr>
        <w:t>Qualitative Research Topic Outline</w:t>
      </w:r>
    </w:p>
    <w:p w14:paraId="417C7CD3" w14:textId="77777777" w:rsidR="00FE5D63" w:rsidRPr="00E37CD9" w:rsidRDefault="00FE5D63" w:rsidP="00FE5D63">
      <w:pPr>
        <w:pStyle w:val="BodyTextIndent"/>
        <w:ind w:firstLine="0"/>
        <w:rPr>
          <w:rFonts w:ascii="Arial" w:hAnsi="Arial" w:cs="Arial"/>
          <w:sz w:val="22"/>
          <w:szCs w:val="22"/>
        </w:rPr>
      </w:pPr>
    </w:p>
    <w:p w14:paraId="5FCD90C7" w14:textId="77777777" w:rsidR="00337509" w:rsidRPr="00E37CD9" w:rsidRDefault="00337509" w:rsidP="00FE5D63">
      <w:pPr>
        <w:pStyle w:val="BodyTextIndent"/>
        <w:ind w:firstLine="0"/>
        <w:rPr>
          <w:rFonts w:ascii="Arial" w:hAnsi="Arial" w:cs="Arial"/>
          <w:sz w:val="22"/>
          <w:szCs w:val="22"/>
        </w:rPr>
      </w:pPr>
      <w:r w:rsidRPr="00E37CD9">
        <w:rPr>
          <w:rFonts w:ascii="Arial" w:hAnsi="Arial" w:cs="Arial"/>
          <w:sz w:val="22"/>
          <w:szCs w:val="22"/>
        </w:rPr>
        <w:t>The topics planned for discussion are:</w:t>
      </w:r>
    </w:p>
    <w:p w14:paraId="6C38123C" w14:textId="77777777" w:rsidR="00337509" w:rsidRPr="00E37CD9" w:rsidRDefault="00154A27">
      <w:pPr>
        <w:pStyle w:val="BodyTextIndent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E37CD9">
        <w:rPr>
          <w:rFonts w:ascii="Arial" w:hAnsi="Arial" w:cs="Arial"/>
          <w:sz w:val="22"/>
          <w:szCs w:val="22"/>
        </w:rPr>
        <w:t>Consumer preferences for current United States Mint products, services, and channels (e.g., quality, value, order fulfillment, communications, etc.)</w:t>
      </w:r>
    </w:p>
    <w:p w14:paraId="3E206FDF" w14:textId="77777777" w:rsidR="00337509" w:rsidRPr="00E37CD9" w:rsidRDefault="00154A27">
      <w:pPr>
        <w:pStyle w:val="BodyTextIndent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E37CD9">
        <w:rPr>
          <w:rFonts w:ascii="Arial" w:hAnsi="Arial" w:cs="Arial"/>
          <w:sz w:val="22"/>
          <w:szCs w:val="22"/>
        </w:rPr>
        <w:t>Consumer preferences concerning new product development, product line extensions, proposed product/pricing changes, and</w:t>
      </w:r>
    </w:p>
    <w:p w14:paraId="7D70A363" w14:textId="77777777" w:rsidR="00337509" w:rsidRDefault="00154A27">
      <w:pPr>
        <w:pStyle w:val="BodyTextIndent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E37CD9">
        <w:rPr>
          <w:rFonts w:ascii="Arial" w:hAnsi="Arial" w:cs="Arial"/>
          <w:sz w:val="22"/>
          <w:szCs w:val="22"/>
        </w:rPr>
        <w:t>Assessment and evaluation of new product and packaging concepts (provided by United States Mint) as well as new product ideas</w:t>
      </w:r>
    </w:p>
    <w:p w14:paraId="653903F3" w14:textId="77777777" w:rsidR="00E37CD9" w:rsidRPr="00E37CD9" w:rsidRDefault="00E37CD9" w:rsidP="00E37CD9">
      <w:pPr>
        <w:pStyle w:val="BodyTextIndent"/>
        <w:ind w:left="1440" w:firstLine="0"/>
        <w:rPr>
          <w:rFonts w:ascii="Arial" w:hAnsi="Arial" w:cs="Arial"/>
          <w:sz w:val="22"/>
          <w:szCs w:val="22"/>
        </w:rPr>
      </w:pPr>
    </w:p>
    <w:p w14:paraId="57596C33" w14:textId="77777777" w:rsidR="00337509" w:rsidRPr="00E37CD9" w:rsidRDefault="00337509">
      <w:pPr>
        <w:pStyle w:val="Heading1"/>
        <w:spacing w:before="120"/>
        <w:rPr>
          <w:rFonts w:ascii="Arial" w:hAnsi="Arial" w:cs="Arial"/>
          <w:sz w:val="22"/>
          <w:szCs w:val="22"/>
        </w:rPr>
      </w:pPr>
      <w:r w:rsidRPr="00E37CD9">
        <w:rPr>
          <w:rFonts w:ascii="Arial" w:hAnsi="Arial" w:cs="Arial"/>
          <w:sz w:val="22"/>
          <w:szCs w:val="22"/>
        </w:rPr>
        <w:t>Sample Design and Methodology</w:t>
      </w:r>
      <w:r w:rsidR="00154A27" w:rsidRPr="00E37CD9">
        <w:rPr>
          <w:rFonts w:ascii="Arial" w:hAnsi="Arial" w:cs="Arial"/>
          <w:sz w:val="22"/>
          <w:szCs w:val="22"/>
        </w:rPr>
        <w:t xml:space="preserve"> </w:t>
      </w:r>
    </w:p>
    <w:p w14:paraId="1C98C216" w14:textId="77777777" w:rsidR="00FE5D63" w:rsidRPr="00E37CD9" w:rsidRDefault="00FE5D63" w:rsidP="00FE5D63">
      <w:pPr>
        <w:spacing w:before="120"/>
        <w:rPr>
          <w:rFonts w:ascii="Arial" w:hAnsi="Arial" w:cs="Arial"/>
          <w:sz w:val="22"/>
          <w:szCs w:val="22"/>
        </w:rPr>
      </w:pPr>
    </w:p>
    <w:p w14:paraId="2B5A8C80" w14:textId="77777777" w:rsidR="00522C12" w:rsidRDefault="00337509" w:rsidP="007F4401">
      <w:pPr>
        <w:rPr>
          <w:rFonts w:ascii="Arial" w:hAnsi="Arial" w:cs="Arial"/>
          <w:sz w:val="22"/>
          <w:szCs w:val="22"/>
        </w:rPr>
      </w:pPr>
      <w:r w:rsidRPr="00DD7552">
        <w:rPr>
          <w:rFonts w:ascii="Arial" w:hAnsi="Arial" w:cs="Arial"/>
          <w:sz w:val="22"/>
          <w:szCs w:val="22"/>
        </w:rPr>
        <w:t xml:space="preserve">A total of </w:t>
      </w:r>
      <w:r w:rsidR="00DD7552" w:rsidRPr="00DD7552">
        <w:rPr>
          <w:rFonts w:ascii="Arial" w:hAnsi="Arial" w:cs="Arial"/>
          <w:sz w:val="22"/>
          <w:szCs w:val="22"/>
        </w:rPr>
        <w:t>64</w:t>
      </w:r>
      <w:r w:rsidR="009B3ED6" w:rsidRPr="00DD7552">
        <w:rPr>
          <w:rFonts w:ascii="Arial" w:hAnsi="Arial" w:cs="Arial"/>
          <w:sz w:val="22"/>
          <w:szCs w:val="22"/>
        </w:rPr>
        <w:t xml:space="preserve"> </w:t>
      </w:r>
      <w:r w:rsidR="009374FD" w:rsidRPr="00DD7552">
        <w:rPr>
          <w:rFonts w:ascii="Arial" w:hAnsi="Arial" w:cs="Arial"/>
          <w:sz w:val="22"/>
          <w:szCs w:val="22"/>
        </w:rPr>
        <w:t xml:space="preserve">focus groups will be conducted </w:t>
      </w:r>
      <w:r w:rsidR="005167A8" w:rsidRPr="00DD7552">
        <w:rPr>
          <w:rFonts w:ascii="Arial" w:hAnsi="Arial" w:cs="Arial"/>
          <w:sz w:val="22"/>
          <w:szCs w:val="22"/>
        </w:rPr>
        <w:t xml:space="preserve">in </w:t>
      </w:r>
      <w:r w:rsidR="005F2B4C" w:rsidRPr="00DD7552">
        <w:rPr>
          <w:rFonts w:ascii="Arial" w:hAnsi="Arial" w:cs="Arial"/>
          <w:sz w:val="22"/>
          <w:szCs w:val="22"/>
        </w:rPr>
        <w:t>1</w:t>
      </w:r>
      <w:r w:rsidR="00DD7552" w:rsidRPr="00DD7552">
        <w:rPr>
          <w:rFonts w:ascii="Arial" w:hAnsi="Arial" w:cs="Arial"/>
          <w:sz w:val="22"/>
          <w:szCs w:val="22"/>
        </w:rPr>
        <w:t>6</w:t>
      </w:r>
      <w:r w:rsidR="005F2B4C" w:rsidRPr="00DD7552">
        <w:rPr>
          <w:rFonts w:ascii="Arial" w:hAnsi="Arial" w:cs="Arial"/>
          <w:sz w:val="22"/>
          <w:szCs w:val="22"/>
        </w:rPr>
        <w:t xml:space="preserve"> c</w:t>
      </w:r>
      <w:r w:rsidR="005167A8" w:rsidRPr="00DD7552">
        <w:rPr>
          <w:rFonts w:ascii="Arial" w:hAnsi="Arial" w:cs="Arial"/>
          <w:sz w:val="22"/>
          <w:szCs w:val="22"/>
        </w:rPr>
        <w:t>ities (</w:t>
      </w:r>
      <w:r w:rsidR="006E62C8" w:rsidRPr="00DD7552">
        <w:rPr>
          <w:rFonts w:ascii="Arial" w:hAnsi="Arial" w:cs="Arial"/>
          <w:sz w:val="22"/>
          <w:szCs w:val="22"/>
        </w:rPr>
        <w:t xml:space="preserve">4 </w:t>
      </w:r>
      <w:r w:rsidR="00022077" w:rsidRPr="00DD7552">
        <w:rPr>
          <w:rFonts w:ascii="Arial" w:hAnsi="Arial" w:cs="Arial"/>
          <w:sz w:val="22"/>
          <w:szCs w:val="22"/>
        </w:rPr>
        <w:t xml:space="preserve">focus groups </w:t>
      </w:r>
      <w:r w:rsidR="005F2B4C" w:rsidRPr="00DD7552">
        <w:rPr>
          <w:rFonts w:ascii="Arial" w:hAnsi="Arial" w:cs="Arial"/>
          <w:sz w:val="22"/>
          <w:szCs w:val="22"/>
        </w:rPr>
        <w:t>per location</w:t>
      </w:r>
      <w:r w:rsidR="005167A8" w:rsidRPr="00DD7552">
        <w:rPr>
          <w:rFonts w:ascii="Arial" w:hAnsi="Arial" w:cs="Arial"/>
          <w:sz w:val="22"/>
          <w:szCs w:val="22"/>
        </w:rPr>
        <w:t>), with approximately 10 participants per group</w:t>
      </w:r>
      <w:r w:rsidR="005167A8" w:rsidRPr="00E37CD9">
        <w:rPr>
          <w:rFonts w:ascii="Arial" w:hAnsi="Arial" w:cs="Arial"/>
          <w:sz w:val="22"/>
          <w:szCs w:val="22"/>
        </w:rPr>
        <w:t xml:space="preserve"> – which will include a combination of </w:t>
      </w:r>
      <w:r w:rsidR="00B72315" w:rsidRPr="00E37CD9">
        <w:rPr>
          <w:rFonts w:ascii="Arial" w:hAnsi="Arial" w:cs="Arial"/>
          <w:sz w:val="22"/>
          <w:szCs w:val="22"/>
        </w:rPr>
        <w:t>customers and non-customers</w:t>
      </w:r>
      <w:r w:rsidR="00E37CD9">
        <w:rPr>
          <w:rFonts w:ascii="Arial" w:hAnsi="Arial" w:cs="Arial"/>
          <w:sz w:val="22"/>
          <w:szCs w:val="22"/>
        </w:rPr>
        <w:t xml:space="preserve">.  </w:t>
      </w:r>
      <w:r w:rsidR="007F4401">
        <w:rPr>
          <w:rFonts w:ascii="Arial" w:hAnsi="Arial" w:cs="Arial"/>
          <w:sz w:val="22"/>
          <w:szCs w:val="22"/>
        </w:rPr>
        <w:t xml:space="preserve">Screeners will be utilized to help </w:t>
      </w:r>
      <w:r w:rsidR="007F4401" w:rsidRPr="007F4401">
        <w:rPr>
          <w:rFonts w:ascii="Arial" w:hAnsi="Arial" w:cs="Arial"/>
          <w:sz w:val="22"/>
          <w:szCs w:val="22"/>
        </w:rPr>
        <w:t>recruit and select respondents for focus groups or depth interviews.</w:t>
      </w:r>
      <w:r w:rsidR="007F4401">
        <w:rPr>
          <w:rFonts w:ascii="Arial" w:hAnsi="Arial" w:cs="Arial"/>
          <w:sz w:val="22"/>
          <w:szCs w:val="22"/>
        </w:rPr>
        <w:t xml:space="preserve">  </w:t>
      </w:r>
      <w:r w:rsidR="00E37CD9">
        <w:rPr>
          <w:rFonts w:ascii="Arial" w:hAnsi="Arial" w:cs="Arial"/>
          <w:sz w:val="22"/>
          <w:szCs w:val="22"/>
        </w:rPr>
        <w:t>Lists of p</w:t>
      </w:r>
      <w:r w:rsidR="003F6548" w:rsidRPr="00E37CD9">
        <w:rPr>
          <w:rFonts w:ascii="Arial" w:hAnsi="Arial" w:cs="Arial"/>
          <w:sz w:val="22"/>
          <w:szCs w:val="22"/>
        </w:rPr>
        <w:t>otential participants in customer groups are obtained from our customer database</w:t>
      </w:r>
      <w:r w:rsidR="00E37CD9">
        <w:rPr>
          <w:rFonts w:ascii="Arial" w:hAnsi="Arial" w:cs="Arial"/>
          <w:sz w:val="22"/>
          <w:szCs w:val="22"/>
        </w:rPr>
        <w:t xml:space="preserve">.  </w:t>
      </w:r>
      <w:r w:rsidR="003F6548" w:rsidRPr="00E37CD9">
        <w:rPr>
          <w:rFonts w:ascii="Arial" w:hAnsi="Arial" w:cs="Arial"/>
          <w:sz w:val="22"/>
          <w:szCs w:val="22"/>
        </w:rPr>
        <w:t xml:space="preserve">Customer groups are typically segmented based on </w:t>
      </w:r>
      <w:r w:rsidR="00522C12" w:rsidRPr="00E37CD9">
        <w:rPr>
          <w:rFonts w:ascii="Arial" w:hAnsi="Arial" w:cs="Arial"/>
          <w:sz w:val="22"/>
          <w:szCs w:val="22"/>
        </w:rPr>
        <w:t xml:space="preserve">annual </w:t>
      </w:r>
      <w:r w:rsidR="003F6548" w:rsidRPr="00E37CD9">
        <w:rPr>
          <w:rFonts w:ascii="Arial" w:hAnsi="Arial" w:cs="Arial"/>
          <w:sz w:val="22"/>
          <w:szCs w:val="22"/>
        </w:rPr>
        <w:t>spend</w:t>
      </w:r>
      <w:r w:rsidR="00522C12" w:rsidRPr="00E37CD9">
        <w:rPr>
          <w:rFonts w:ascii="Arial" w:hAnsi="Arial" w:cs="Arial"/>
          <w:sz w:val="22"/>
          <w:szCs w:val="22"/>
        </w:rPr>
        <w:t>ing on U</w:t>
      </w:r>
      <w:r w:rsidR="001B7D90">
        <w:rPr>
          <w:rFonts w:ascii="Arial" w:hAnsi="Arial" w:cs="Arial"/>
          <w:sz w:val="22"/>
          <w:szCs w:val="22"/>
        </w:rPr>
        <w:t>nited</w:t>
      </w:r>
      <w:r w:rsidR="002F321A">
        <w:rPr>
          <w:rFonts w:ascii="Arial" w:hAnsi="Arial" w:cs="Arial"/>
          <w:sz w:val="22"/>
          <w:szCs w:val="22"/>
        </w:rPr>
        <w:t xml:space="preserve"> </w:t>
      </w:r>
      <w:r w:rsidR="00522C12" w:rsidRPr="00E37CD9">
        <w:rPr>
          <w:rFonts w:ascii="Arial" w:hAnsi="Arial" w:cs="Arial"/>
          <w:sz w:val="22"/>
          <w:szCs w:val="22"/>
        </w:rPr>
        <w:t>S</w:t>
      </w:r>
      <w:r w:rsidR="001B7D90">
        <w:rPr>
          <w:rFonts w:ascii="Arial" w:hAnsi="Arial" w:cs="Arial"/>
          <w:sz w:val="22"/>
          <w:szCs w:val="22"/>
        </w:rPr>
        <w:t>tates</w:t>
      </w:r>
      <w:r w:rsidR="00E37CD9">
        <w:rPr>
          <w:rFonts w:ascii="Arial" w:hAnsi="Arial" w:cs="Arial"/>
          <w:sz w:val="22"/>
          <w:szCs w:val="22"/>
        </w:rPr>
        <w:t xml:space="preserve"> </w:t>
      </w:r>
      <w:r w:rsidR="00522C12" w:rsidRPr="00E37CD9">
        <w:rPr>
          <w:rFonts w:ascii="Arial" w:hAnsi="Arial" w:cs="Arial"/>
          <w:sz w:val="22"/>
          <w:szCs w:val="22"/>
        </w:rPr>
        <w:t>Mint products (e.g., high and low spend)</w:t>
      </w:r>
      <w:r w:rsidR="003F6548" w:rsidRPr="00E37CD9">
        <w:rPr>
          <w:rFonts w:ascii="Arial" w:hAnsi="Arial" w:cs="Arial"/>
          <w:sz w:val="22"/>
          <w:szCs w:val="22"/>
        </w:rPr>
        <w:t xml:space="preserve"> and/or tenure levels depending on the research objectives</w:t>
      </w:r>
      <w:r w:rsidR="007D4F94">
        <w:rPr>
          <w:rFonts w:ascii="Arial" w:hAnsi="Arial" w:cs="Arial"/>
          <w:sz w:val="22"/>
          <w:szCs w:val="22"/>
        </w:rPr>
        <w:t>. C</w:t>
      </w:r>
      <w:r w:rsidR="002B1FCE">
        <w:rPr>
          <w:rFonts w:ascii="Arial" w:hAnsi="Arial" w:cs="Arial"/>
          <w:sz w:val="22"/>
          <w:szCs w:val="22"/>
        </w:rPr>
        <w:t xml:space="preserve">ustomers fitting the segmentation criteria are selected for recruitment at random until a maximum number of participants </w:t>
      </w:r>
      <w:r w:rsidR="00336AB2">
        <w:rPr>
          <w:rFonts w:ascii="Arial" w:hAnsi="Arial" w:cs="Arial"/>
          <w:sz w:val="22"/>
          <w:szCs w:val="22"/>
        </w:rPr>
        <w:t>are</w:t>
      </w:r>
      <w:r w:rsidR="002B1FCE">
        <w:rPr>
          <w:rFonts w:ascii="Arial" w:hAnsi="Arial" w:cs="Arial"/>
          <w:sz w:val="22"/>
          <w:szCs w:val="22"/>
        </w:rPr>
        <w:t xml:space="preserve"> reached</w:t>
      </w:r>
      <w:r w:rsidR="00E37CD9">
        <w:rPr>
          <w:rFonts w:ascii="Arial" w:hAnsi="Arial" w:cs="Arial"/>
          <w:sz w:val="22"/>
          <w:szCs w:val="22"/>
        </w:rPr>
        <w:t xml:space="preserve">.  </w:t>
      </w:r>
      <w:r w:rsidR="007D4F94">
        <w:rPr>
          <w:rFonts w:ascii="Arial" w:hAnsi="Arial" w:cs="Arial"/>
          <w:sz w:val="22"/>
          <w:szCs w:val="22"/>
        </w:rPr>
        <w:t>Also, d</w:t>
      </w:r>
      <w:r w:rsidR="002912BF" w:rsidRPr="00E37CD9">
        <w:rPr>
          <w:rFonts w:ascii="Arial" w:hAnsi="Arial" w:cs="Arial"/>
          <w:sz w:val="22"/>
          <w:szCs w:val="22"/>
        </w:rPr>
        <w:t>epend</w:t>
      </w:r>
      <w:r w:rsidR="003F6548" w:rsidRPr="00E37CD9">
        <w:rPr>
          <w:rFonts w:ascii="Arial" w:hAnsi="Arial" w:cs="Arial"/>
          <w:sz w:val="22"/>
          <w:szCs w:val="22"/>
        </w:rPr>
        <w:t>ing</w:t>
      </w:r>
      <w:r w:rsidR="002912BF" w:rsidRPr="00E37CD9">
        <w:rPr>
          <w:rFonts w:ascii="Arial" w:hAnsi="Arial" w:cs="Arial"/>
          <w:sz w:val="22"/>
          <w:szCs w:val="22"/>
        </w:rPr>
        <w:t xml:space="preserve"> on </w:t>
      </w:r>
      <w:r w:rsidR="003F6548" w:rsidRPr="00E37CD9">
        <w:rPr>
          <w:rFonts w:ascii="Arial" w:hAnsi="Arial" w:cs="Arial"/>
          <w:sz w:val="22"/>
          <w:szCs w:val="22"/>
        </w:rPr>
        <w:t>research objectives</w:t>
      </w:r>
      <w:r w:rsidR="002912BF" w:rsidRPr="00E37CD9">
        <w:rPr>
          <w:rFonts w:ascii="Arial" w:hAnsi="Arial" w:cs="Arial"/>
          <w:sz w:val="22"/>
          <w:szCs w:val="22"/>
        </w:rPr>
        <w:t xml:space="preserve">, different </w:t>
      </w:r>
      <w:r w:rsidR="003F6548" w:rsidRPr="00E37CD9">
        <w:rPr>
          <w:rFonts w:ascii="Arial" w:hAnsi="Arial" w:cs="Arial"/>
          <w:sz w:val="22"/>
          <w:szCs w:val="22"/>
        </w:rPr>
        <w:t>segments</w:t>
      </w:r>
      <w:r w:rsidR="002912BF" w:rsidRPr="00E37CD9">
        <w:rPr>
          <w:rFonts w:ascii="Arial" w:hAnsi="Arial" w:cs="Arial"/>
          <w:sz w:val="22"/>
          <w:szCs w:val="22"/>
        </w:rPr>
        <w:t xml:space="preserve"> of non-customers </w:t>
      </w:r>
      <w:r w:rsidR="003F6548" w:rsidRPr="00E37CD9">
        <w:rPr>
          <w:rFonts w:ascii="Arial" w:hAnsi="Arial" w:cs="Arial"/>
          <w:sz w:val="22"/>
          <w:szCs w:val="22"/>
        </w:rPr>
        <w:t xml:space="preserve">interested in collecting or gifting coin products are recruited from </w:t>
      </w:r>
      <w:r w:rsidR="00522C12" w:rsidRPr="00E37CD9">
        <w:rPr>
          <w:rFonts w:ascii="Arial" w:hAnsi="Arial" w:cs="Arial"/>
          <w:sz w:val="22"/>
          <w:szCs w:val="22"/>
        </w:rPr>
        <w:t>local lists</w:t>
      </w:r>
      <w:r w:rsidR="002F321A">
        <w:rPr>
          <w:rFonts w:ascii="Arial" w:hAnsi="Arial" w:cs="Arial"/>
          <w:sz w:val="22"/>
          <w:szCs w:val="22"/>
        </w:rPr>
        <w:t xml:space="preserve"> and are selected for recruitment at random until a maximum number of participants are reached.  </w:t>
      </w:r>
      <w:r w:rsidR="002B1FCE">
        <w:rPr>
          <w:rFonts w:ascii="Arial" w:hAnsi="Arial" w:cs="Arial"/>
          <w:sz w:val="22"/>
          <w:szCs w:val="22"/>
        </w:rPr>
        <w:t xml:space="preserve"> </w:t>
      </w:r>
      <w:r w:rsidR="007E0CE2">
        <w:rPr>
          <w:rFonts w:ascii="Arial" w:hAnsi="Arial" w:cs="Arial"/>
          <w:sz w:val="22"/>
          <w:szCs w:val="22"/>
        </w:rPr>
        <w:t xml:space="preserve">  </w:t>
      </w:r>
    </w:p>
    <w:p w14:paraId="4BCCE16B" w14:textId="77777777" w:rsidR="007F4401" w:rsidRPr="00E37CD9" w:rsidRDefault="007F4401" w:rsidP="007F4401">
      <w:pPr>
        <w:rPr>
          <w:rFonts w:ascii="Arial" w:hAnsi="Arial" w:cs="Arial"/>
          <w:sz w:val="22"/>
          <w:szCs w:val="22"/>
        </w:rPr>
      </w:pPr>
    </w:p>
    <w:p w14:paraId="0DF09453" w14:textId="77777777" w:rsidR="006930E1" w:rsidRPr="00E37CD9" w:rsidRDefault="002912BF" w:rsidP="007F4401">
      <w:pPr>
        <w:rPr>
          <w:rFonts w:ascii="Arial" w:hAnsi="Arial" w:cs="Arial"/>
          <w:sz w:val="22"/>
          <w:szCs w:val="22"/>
        </w:rPr>
      </w:pPr>
      <w:r w:rsidRPr="00E37CD9">
        <w:rPr>
          <w:rFonts w:ascii="Arial" w:hAnsi="Arial" w:cs="Arial"/>
          <w:sz w:val="22"/>
          <w:szCs w:val="22"/>
        </w:rPr>
        <w:t>Focus group discussions are facilitated by a professional moderator and different techniques are used to elicit feedback</w:t>
      </w:r>
      <w:r w:rsidR="00E37CD9">
        <w:rPr>
          <w:rFonts w:ascii="Arial" w:hAnsi="Arial" w:cs="Arial"/>
          <w:sz w:val="22"/>
          <w:szCs w:val="22"/>
        </w:rPr>
        <w:t xml:space="preserve">.  </w:t>
      </w:r>
      <w:r w:rsidR="007F4401">
        <w:rPr>
          <w:rFonts w:ascii="Arial" w:hAnsi="Arial" w:cs="Arial"/>
          <w:sz w:val="22"/>
          <w:szCs w:val="22"/>
        </w:rPr>
        <w:t xml:space="preserve">A </w:t>
      </w:r>
      <w:r w:rsidR="007F4401" w:rsidRPr="007F4401">
        <w:rPr>
          <w:rFonts w:ascii="Arial" w:hAnsi="Arial" w:cs="Arial"/>
          <w:sz w:val="22"/>
          <w:szCs w:val="22"/>
        </w:rPr>
        <w:t xml:space="preserve">discussion guide </w:t>
      </w:r>
      <w:r w:rsidR="007F4401">
        <w:rPr>
          <w:rFonts w:ascii="Arial" w:hAnsi="Arial" w:cs="Arial"/>
          <w:sz w:val="22"/>
          <w:szCs w:val="22"/>
        </w:rPr>
        <w:t xml:space="preserve">will be utilized and serves as </w:t>
      </w:r>
      <w:r w:rsidR="007F4401" w:rsidRPr="007F4401">
        <w:rPr>
          <w:rFonts w:ascii="Arial" w:hAnsi="Arial" w:cs="Arial"/>
          <w:sz w:val="22"/>
          <w:szCs w:val="22"/>
        </w:rPr>
        <w:t xml:space="preserve">an outline, prepared in advance for </w:t>
      </w:r>
      <w:r w:rsidR="007F4401">
        <w:rPr>
          <w:rFonts w:ascii="Arial" w:hAnsi="Arial" w:cs="Arial"/>
          <w:sz w:val="22"/>
          <w:szCs w:val="22"/>
        </w:rPr>
        <w:t>the</w:t>
      </w:r>
      <w:r w:rsidR="007F4401" w:rsidRPr="007F4401">
        <w:rPr>
          <w:rFonts w:ascii="Arial" w:hAnsi="Arial" w:cs="Arial"/>
          <w:sz w:val="22"/>
          <w:szCs w:val="22"/>
        </w:rPr>
        <w:t xml:space="preserve"> respondents, that</w:t>
      </w:r>
      <w:r w:rsidR="007F4401">
        <w:rPr>
          <w:rFonts w:ascii="Arial" w:hAnsi="Arial" w:cs="Arial"/>
          <w:sz w:val="22"/>
          <w:szCs w:val="22"/>
        </w:rPr>
        <w:t xml:space="preserve"> </w:t>
      </w:r>
      <w:r w:rsidR="007F4401" w:rsidRPr="007F4401">
        <w:rPr>
          <w:rFonts w:ascii="Arial" w:hAnsi="Arial" w:cs="Arial"/>
          <w:sz w:val="22"/>
          <w:szCs w:val="22"/>
        </w:rPr>
        <w:t>covers the topics and issues to be</w:t>
      </w:r>
      <w:r w:rsidR="007F4401">
        <w:rPr>
          <w:rFonts w:ascii="Arial" w:hAnsi="Arial" w:cs="Arial"/>
          <w:sz w:val="22"/>
          <w:szCs w:val="22"/>
        </w:rPr>
        <w:t xml:space="preserve"> </w:t>
      </w:r>
      <w:r w:rsidR="007F4401" w:rsidRPr="007F4401">
        <w:rPr>
          <w:rFonts w:ascii="Arial" w:hAnsi="Arial" w:cs="Arial"/>
          <w:sz w:val="22"/>
          <w:szCs w:val="22"/>
        </w:rPr>
        <w:t>explored. The guide is designed with the overall research</w:t>
      </w:r>
      <w:r w:rsidR="007F4401">
        <w:rPr>
          <w:rFonts w:ascii="Arial" w:hAnsi="Arial" w:cs="Arial"/>
          <w:sz w:val="22"/>
          <w:szCs w:val="22"/>
        </w:rPr>
        <w:t xml:space="preserve"> </w:t>
      </w:r>
      <w:r w:rsidR="007F4401" w:rsidRPr="007F4401">
        <w:rPr>
          <w:rFonts w:ascii="Arial" w:hAnsi="Arial" w:cs="Arial"/>
          <w:sz w:val="22"/>
          <w:szCs w:val="22"/>
        </w:rPr>
        <w:t>questions in mind and is constructed to ensure</w:t>
      </w:r>
      <w:r w:rsidR="007F4401">
        <w:rPr>
          <w:rFonts w:ascii="Arial" w:hAnsi="Arial" w:cs="Arial"/>
          <w:sz w:val="22"/>
          <w:szCs w:val="22"/>
        </w:rPr>
        <w:t xml:space="preserve"> </w:t>
      </w:r>
      <w:r w:rsidR="007F4401" w:rsidRPr="007F4401">
        <w:rPr>
          <w:rFonts w:ascii="Arial" w:hAnsi="Arial" w:cs="Arial"/>
          <w:sz w:val="22"/>
          <w:szCs w:val="22"/>
        </w:rPr>
        <w:t>that topics covered in the focus groups relate</w:t>
      </w:r>
      <w:r w:rsidR="007F4401">
        <w:rPr>
          <w:rFonts w:ascii="Arial" w:hAnsi="Arial" w:cs="Arial"/>
          <w:sz w:val="22"/>
          <w:szCs w:val="22"/>
        </w:rPr>
        <w:t xml:space="preserve"> </w:t>
      </w:r>
      <w:r w:rsidR="007F4401" w:rsidRPr="007F4401">
        <w:rPr>
          <w:rFonts w:ascii="Arial" w:hAnsi="Arial" w:cs="Arial"/>
          <w:sz w:val="22"/>
          <w:szCs w:val="22"/>
        </w:rPr>
        <w:t>to these research objectives</w:t>
      </w:r>
      <w:r w:rsidR="00336AB2">
        <w:rPr>
          <w:rFonts w:ascii="Arial" w:hAnsi="Arial" w:cs="Arial"/>
          <w:sz w:val="22"/>
          <w:szCs w:val="22"/>
        </w:rPr>
        <w:t>.  T</w:t>
      </w:r>
      <w:r w:rsidRPr="00E37CD9">
        <w:rPr>
          <w:rFonts w:ascii="Arial" w:hAnsi="Arial" w:cs="Arial"/>
          <w:sz w:val="22"/>
          <w:szCs w:val="22"/>
        </w:rPr>
        <w:t>he</w:t>
      </w:r>
      <w:r w:rsidR="00522C12" w:rsidRPr="00E37CD9">
        <w:rPr>
          <w:rFonts w:ascii="Arial" w:hAnsi="Arial" w:cs="Arial"/>
          <w:sz w:val="22"/>
          <w:szCs w:val="22"/>
        </w:rPr>
        <w:t xml:space="preserve"> groups </w:t>
      </w:r>
      <w:r w:rsidRPr="00E37CD9">
        <w:rPr>
          <w:rFonts w:ascii="Arial" w:hAnsi="Arial" w:cs="Arial"/>
          <w:sz w:val="22"/>
          <w:szCs w:val="22"/>
        </w:rPr>
        <w:t>typically</w:t>
      </w:r>
      <w:r w:rsidR="00522C12" w:rsidRPr="00E37CD9">
        <w:rPr>
          <w:rFonts w:ascii="Arial" w:hAnsi="Arial" w:cs="Arial"/>
          <w:sz w:val="22"/>
          <w:szCs w:val="22"/>
        </w:rPr>
        <w:t xml:space="preserve"> involve both structured and </w:t>
      </w:r>
      <w:r w:rsidRPr="00E37CD9">
        <w:rPr>
          <w:rFonts w:ascii="Arial" w:hAnsi="Arial" w:cs="Arial"/>
          <w:sz w:val="22"/>
          <w:szCs w:val="22"/>
        </w:rPr>
        <w:t xml:space="preserve">free flowing discussion </w:t>
      </w:r>
      <w:r w:rsidR="00522C12" w:rsidRPr="00E37CD9">
        <w:rPr>
          <w:rFonts w:ascii="Arial" w:hAnsi="Arial" w:cs="Arial"/>
          <w:sz w:val="22"/>
          <w:szCs w:val="22"/>
        </w:rPr>
        <w:t>exploring</w:t>
      </w:r>
      <w:r w:rsidRPr="00E37CD9">
        <w:rPr>
          <w:rFonts w:ascii="Arial" w:hAnsi="Arial" w:cs="Arial"/>
          <w:sz w:val="22"/>
          <w:szCs w:val="22"/>
        </w:rPr>
        <w:t xml:space="preserve"> </w:t>
      </w:r>
      <w:r w:rsidR="00522C12" w:rsidRPr="00E37CD9">
        <w:rPr>
          <w:rFonts w:ascii="Arial" w:hAnsi="Arial" w:cs="Arial"/>
          <w:sz w:val="22"/>
          <w:szCs w:val="22"/>
        </w:rPr>
        <w:t xml:space="preserve">specific </w:t>
      </w:r>
      <w:r w:rsidRPr="00E37CD9">
        <w:rPr>
          <w:rFonts w:ascii="Arial" w:hAnsi="Arial" w:cs="Arial"/>
          <w:sz w:val="22"/>
          <w:szCs w:val="22"/>
        </w:rPr>
        <w:t>topics of interest</w:t>
      </w:r>
      <w:r w:rsidR="00522C12" w:rsidRPr="00E37CD9">
        <w:rPr>
          <w:rFonts w:ascii="Arial" w:hAnsi="Arial" w:cs="Arial"/>
          <w:sz w:val="22"/>
          <w:szCs w:val="22"/>
        </w:rPr>
        <w:t xml:space="preserve"> related to our products and marketing activities</w:t>
      </w:r>
      <w:r w:rsidR="00E37CD9">
        <w:rPr>
          <w:rFonts w:ascii="Arial" w:hAnsi="Arial" w:cs="Arial"/>
          <w:sz w:val="22"/>
          <w:szCs w:val="22"/>
        </w:rPr>
        <w:t xml:space="preserve">.  </w:t>
      </w:r>
      <w:r w:rsidRPr="00E37CD9">
        <w:rPr>
          <w:rFonts w:ascii="Arial" w:hAnsi="Arial" w:cs="Arial"/>
          <w:sz w:val="22"/>
          <w:szCs w:val="22"/>
        </w:rPr>
        <w:t xml:space="preserve">Materials are </w:t>
      </w:r>
      <w:r w:rsidR="00413AC4" w:rsidRPr="00E37CD9">
        <w:rPr>
          <w:rFonts w:ascii="Arial" w:hAnsi="Arial" w:cs="Arial"/>
          <w:sz w:val="22"/>
          <w:szCs w:val="22"/>
        </w:rPr>
        <w:t xml:space="preserve">frequently </w:t>
      </w:r>
      <w:r w:rsidRPr="00E37CD9">
        <w:rPr>
          <w:rFonts w:ascii="Arial" w:hAnsi="Arial" w:cs="Arial"/>
          <w:sz w:val="22"/>
          <w:szCs w:val="22"/>
        </w:rPr>
        <w:t xml:space="preserve">provided to participants to </w:t>
      </w:r>
      <w:r w:rsidR="00413AC4" w:rsidRPr="00E37CD9">
        <w:rPr>
          <w:rFonts w:ascii="Arial" w:hAnsi="Arial" w:cs="Arial"/>
          <w:sz w:val="22"/>
          <w:szCs w:val="22"/>
        </w:rPr>
        <w:t>facilitate feedback on the</w:t>
      </w:r>
      <w:r w:rsidRPr="00E37CD9">
        <w:rPr>
          <w:rFonts w:ascii="Arial" w:hAnsi="Arial" w:cs="Arial"/>
          <w:sz w:val="22"/>
          <w:szCs w:val="22"/>
        </w:rPr>
        <w:t xml:space="preserve"> topic at hand</w:t>
      </w:r>
      <w:r w:rsidR="00E37CD9">
        <w:rPr>
          <w:rFonts w:ascii="Arial" w:hAnsi="Arial" w:cs="Arial"/>
          <w:sz w:val="22"/>
          <w:szCs w:val="22"/>
        </w:rPr>
        <w:t xml:space="preserve">.  </w:t>
      </w:r>
    </w:p>
    <w:p w14:paraId="6176EE72" w14:textId="77777777" w:rsidR="006930E1" w:rsidRPr="00E37CD9" w:rsidRDefault="006930E1" w:rsidP="00522C12">
      <w:pPr>
        <w:rPr>
          <w:rFonts w:ascii="Arial" w:hAnsi="Arial" w:cs="Arial"/>
          <w:sz w:val="22"/>
          <w:szCs w:val="22"/>
        </w:rPr>
      </w:pPr>
    </w:p>
    <w:p w14:paraId="2AA67165" w14:textId="6493C843" w:rsidR="00337509" w:rsidRPr="00E37CD9" w:rsidRDefault="006930E1" w:rsidP="00522C12">
      <w:pPr>
        <w:rPr>
          <w:rFonts w:ascii="Arial" w:hAnsi="Arial" w:cs="Arial"/>
          <w:sz w:val="22"/>
          <w:szCs w:val="22"/>
        </w:rPr>
      </w:pPr>
      <w:r w:rsidRPr="00E37CD9">
        <w:rPr>
          <w:rFonts w:ascii="Arial" w:hAnsi="Arial" w:cs="Arial"/>
          <w:sz w:val="22"/>
          <w:szCs w:val="22"/>
        </w:rPr>
        <w:t>These qualitative insights are used to understand the range of opinions and concerns that exist</w:t>
      </w:r>
      <w:r w:rsidR="002B1FCE">
        <w:rPr>
          <w:rFonts w:ascii="Arial" w:hAnsi="Arial" w:cs="Arial"/>
          <w:sz w:val="22"/>
          <w:szCs w:val="22"/>
        </w:rPr>
        <w:t xml:space="preserve"> on a research topic</w:t>
      </w:r>
      <w:r w:rsidRPr="00E37CD9">
        <w:rPr>
          <w:rFonts w:ascii="Arial" w:hAnsi="Arial" w:cs="Arial"/>
          <w:sz w:val="22"/>
          <w:szCs w:val="22"/>
        </w:rPr>
        <w:t>, not to precisely quantify insights provided by respondents</w:t>
      </w:r>
      <w:r w:rsidR="00E37CD9">
        <w:rPr>
          <w:rFonts w:ascii="Arial" w:hAnsi="Arial" w:cs="Arial"/>
          <w:sz w:val="22"/>
          <w:szCs w:val="22"/>
        </w:rPr>
        <w:t xml:space="preserve">.  </w:t>
      </w:r>
      <w:r w:rsidR="00413AC4" w:rsidRPr="00E37CD9">
        <w:rPr>
          <w:rFonts w:ascii="Arial" w:hAnsi="Arial" w:cs="Arial"/>
          <w:sz w:val="22"/>
          <w:szCs w:val="22"/>
        </w:rPr>
        <w:t xml:space="preserve">Reports clearly indicate </w:t>
      </w:r>
      <w:r w:rsidRPr="00E37CD9">
        <w:rPr>
          <w:rFonts w:ascii="Arial" w:hAnsi="Arial" w:cs="Arial"/>
          <w:sz w:val="22"/>
          <w:szCs w:val="22"/>
        </w:rPr>
        <w:t xml:space="preserve">that the </w:t>
      </w:r>
      <w:r w:rsidR="00413AC4" w:rsidRPr="00E37CD9">
        <w:rPr>
          <w:rFonts w:ascii="Arial" w:hAnsi="Arial" w:cs="Arial"/>
          <w:sz w:val="22"/>
          <w:szCs w:val="22"/>
        </w:rPr>
        <w:t xml:space="preserve">collected information is not generalizable and that it </w:t>
      </w:r>
      <w:r w:rsidRPr="00E37CD9">
        <w:rPr>
          <w:rFonts w:ascii="Arial" w:hAnsi="Arial" w:cs="Arial"/>
          <w:sz w:val="22"/>
          <w:szCs w:val="22"/>
        </w:rPr>
        <w:t>s</w:t>
      </w:r>
      <w:r w:rsidR="00413AC4" w:rsidRPr="00E37CD9">
        <w:rPr>
          <w:rFonts w:ascii="Arial" w:hAnsi="Arial" w:cs="Arial"/>
          <w:sz w:val="22"/>
          <w:szCs w:val="22"/>
        </w:rPr>
        <w:t xml:space="preserve">hould be </w:t>
      </w:r>
      <w:r w:rsidR="002B1FCE">
        <w:rPr>
          <w:rFonts w:ascii="Arial" w:hAnsi="Arial" w:cs="Arial"/>
          <w:sz w:val="22"/>
          <w:szCs w:val="22"/>
        </w:rPr>
        <w:t>used</w:t>
      </w:r>
      <w:r w:rsidR="00413AC4" w:rsidRPr="00E37CD9">
        <w:rPr>
          <w:rFonts w:ascii="Arial" w:hAnsi="Arial" w:cs="Arial"/>
          <w:sz w:val="22"/>
          <w:szCs w:val="22"/>
        </w:rPr>
        <w:t xml:space="preserve"> solely </w:t>
      </w:r>
      <w:r w:rsidR="002B1FCE">
        <w:rPr>
          <w:rFonts w:ascii="Arial" w:hAnsi="Arial" w:cs="Arial"/>
          <w:sz w:val="22"/>
          <w:szCs w:val="22"/>
        </w:rPr>
        <w:t>to</w:t>
      </w:r>
      <w:r w:rsidR="002B1FCE" w:rsidRPr="00E37CD9">
        <w:rPr>
          <w:rFonts w:ascii="Arial" w:hAnsi="Arial" w:cs="Arial"/>
          <w:sz w:val="22"/>
          <w:szCs w:val="22"/>
        </w:rPr>
        <w:t xml:space="preserve"> provid</w:t>
      </w:r>
      <w:r w:rsidR="002B1FCE">
        <w:rPr>
          <w:rFonts w:ascii="Arial" w:hAnsi="Arial" w:cs="Arial"/>
          <w:sz w:val="22"/>
          <w:szCs w:val="22"/>
        </w:rPr>
        <w:t>e</w:t>
      </w:r>
      <w:r w:rsidR="002B1FCE" w:rsidRPr="00E37CD9">
        <w:rPr>
          <w:rFonts w:ascii="Arial" w:hAnsi="Arial" w:cs="Arial"/>
          <w:sz w:val="22"/>
          <w:szCs w:val="22"/>
        </w:rPr>
        <w:t xml:space="preserve"> </w:t>
      </w:r>
      <w:r w:rsidR="00413AC4" w:rsidRPr="00E37CD9">
        <w:rPr>
          <w:rFonts w:ascii="Arial" w:hAnsi="Arial" w:cs="Arial"/>
          <w:sz w:val="22"/>
          <w:szCs w:val="22"/>
        </w:rPr>
        <w:t>directional insights</w:t>
      </w:r>
      <w:r w:rsidR="00E37CD9">
        <w:rPr>
          <w:rFonts w:ascii="Arial" w:hAnsi="Arial" w:cs="Arial"/>
          <w:sz w:val="22"/>
          <w:szCs w:val="22"/>
        </w:rPr>
        <w:t xml:space="preserve">.  </w:t>
      </w:r>
      <w:r w:rsidR="00413AC4" w:rsidRPr="00E37CD9">
        <w:rPr>
          <w:rFonts w:ascii="Arial" w:hAnsi="Arial" w:cs="Arial"/>
          <w:sz w:val="22"/>
          <w:szCs w:val="22"/>
        </w:rPr>
        <w:t xml:space="preserve">Focus groups and other qualitative studies are an important complement to our quantitative research in that they </w:t>
      </w:r>
      <w:r w:rsidRPr="00E37CD9">
        <w:rPr>
          <w:rFonts w:ascii="Arial" w:hAnsi="Arial" w:cs="Arial"/>
          <w:sz w:val="22"/>
          <w:szCs w:val="22"/>
        </w:rPr>
        <w:t xml:space="preserve">provide </w:t>
      </w:r>
      <w:r w:rsidR="00413AC4" w:rsidRPr="00E37CD9">
        <w:rPr>
          <w:rFonts w:ascii="Arial" w:hAnsi="Arial" w:cs="Arial"/>
          <w:sz w:val="22"/>
          <w:szCs w:val="22"/>
        </w:rPr>
        <w:t xml:space="preserve">deep </w:t>
      </w:r>
      <w:r w:rsidRPr="00E37CD9">
        <w:rPr>
          <w:rFonts w:ascii="Arial" w:hAnsi="Arial" w:cs="Arial"/>
          <w:sz w:val="22"/>
          <w:szCs w:val="22"/>
        </w:rPr>
        <w:t xml:space="preserve">insights into </w:t>
      </w:r>
      <w:r w:rsidR="00413AC4" w:rsidRPr="00E37CD9">
        <w:rPr>
          <w:rFonts w:ascii="Arial" w:hAnsi="Arial" w:cs="Arial"/>
          <w:sz w:val="22"/>
          <w:szCs w:val="22"/>
        </w:rPr>
        <w:t xml:space="preserve">underlying </w:t>
      </w:r>
      <w:r w:rsidR="002B1FCE">
        <w:rPr>
          <w:rFonts w:ascii="Arial" w:hAnsi="Arial" w:cs="Arial"/>
          <w:sz w:val="22"/>
          <w:szCs w:val="22"/>
        </w:rPr>
        <w:t xml:space="preserve">consumer </w:t>
      </w:r>
      <w:r w:rsidRPr="00E37CD9">
        <w:rPr>
          <w:rFonts w:ascii="Arial" w:hAnsi="Arial" w:cs="Arial"/>
          <w:sz w:val="22"/>
          <w:szCs w:val="22"/>
        </w:rPr>
        <w:t>attitudes and preferences</w:t>
      </w:r>
      <w:r w:rsidR="00413AC4" w:rsidRPr="00E37CD9">
        <w:rPr>
          <w:rFonts w:ascii="Arial" w:hAnsi="Arial" w:cs="Arial"/>
          <w:sz w:val="22"/>
          <w:szCs w:val="22"/>
        </w:rPr>
        <w:t xml:space="preserve"> and are </w:t>
      </w:r>
      <w:r w:rsidR="003D4CF0" w:rsidRPr="00E37CD9">
        <w:rPr>
          <w:rFonts w:ascii="Arial" w:hAnsi="Arial" w:cs="Arial"/>
          <w:sz w:val="22"/>
          <w:szCs w:val="22"/>
        </w:rPr>
        <w:t>frequently used</w:t>
      </w:r>
      <w:r w:rsidR="00413AC4" w:rsidRPr="00E37CD9">
        <w:rPr>
          <w:rFonts w:ascii="Arial" w:hAnsi="Arial" w:cs="Arial"/>
          <w:sz w:val="22"/>
          <w:szCs w:val="22"/>
        </w:rPr>
        <w:t xml:space="preserve"> both to help explain observable trends and to provide direction for applied research topics</w:t>
      </w:r>
      <w:r w:rsidR="00E37CD9">
        <w:rPr>
          <w:rFonts w:ascii="Arial" w:hAnsi="Arial" w:cs="Arial"/>
          <w:sz w:val="22"/>
          <w:szCs w:val="22"/>
        </w:rPr>
        <w:t xml:space="preserve">.  </w:t>
      </w:r>
      <w:r w:rsidR="00413AC4" w:rsidRPr="00E37CD9">
        <w:rPr>
          <w:rFonts w:ascii="Arial" w:hAnsi="Arial" w:cs="Arial"/>
          <w:sz w:val="22"/>
          <w:szCs w:val="22"/>
        </w:rPr>
        <w:t>They are an important tool used by</w:t>
      </w:r>
      <w:r w:rsidRPr="00E37CD9">
        <w:rPr>
          <w:rFonts w:ascii="Arial" w:hAnsi="Arial" w:cs="Arial"/>
          <w:sz w:val="22"/>
          <w:szCs w:val="22"/>
        </w:rPr>
        <w:t xml:space="preserve"> the </w:t>
      </w:r>
      <w:r w:rsidR="002A3E9E" w:rsidRPr="002A3E9E">
        <w:rPr>
          <w:rFonts w:ascii="Arial" w:hAnsi="Arial" w:cs="Arial"/>
          <w:sz w:val="22"/>
          <w:szCs w:val="22"/>
        </w:rPr>
        <w:t xml:space="preserve">Numismatic and Bullion Directorate </w:t>
      </w:r>
      <w:r w:rsidR="00413AC4" w:rsidRPr="00E37CD9">
        <w:rPr>
          <w:rFonts w:ascii="Arial" w:hAnsi="Arial" w:cs="Arial"/>
          <w:sz w:val="22"/>
          <w:szCs w:val="22"/>
        </w:rPr>
        <w:t xml:space="preserve">to help </w:t>
      </w:r>
      <w:r w:rsidRPr="00E37CD9">
        <w:rPr>
          <w:rFonts w:ascii="Arial" w:hAnsi="Arial" w:cs="Arial"/>
          <w:sz w:val="22"/>
          <w:szCs w:val="22"/>
        </w:rPr>
        <w:t xml:space="preserve">develop and </w:t>
      </w:r>
      <w:r w:rsidR="001E6206" w:rsidRPr="00E37CD9">
        <w:rPr>
          <w:rFonts w:ascii="Arial" w:hAnsi="Arial" w:cs="Arial"/>
          <w:sz w:val="22"/>
          <w:szCs w:val="22"/>
        </w:rPr>
        <w:t xml:space="preserve">plan changes to </w:t>
      </w:r>
      <w:r w:rsidRPr="00E37CD9">
        <w:rPr>
          <w:rFonts w:ascii="Arial" w:hAnsi="Arial" w:cs="Arial"/>
          <w:sz w:val="22"/>
          <w:szCs w:val="22"/>
        </w:rPr>
        <w:t xml:space="preserve">products, policies and marketing </w:t>
      </w:r>
      <w:r w:rsidR="001E6206" w:rsidRPr="00E37CD9">
        <w:rPr>
          <w:rFonts w:ascii="Arial" w:hAnsi="Arial" w:cs="Arial"/>
          <w:sz w:val="22"/>
          <w:szCs w:val="22"/>
        </w:rPr>
        <w:t>activities</w:t>
      </w:r>
      <w:r w:rsidRPr="00E37CD9">
        <w:rPr>
          <w:rFonts w:ascii="Arial" w:hAnsi="Arial" w:cs="Arial"/>
          <w:sz w:val="22"/>
          <w:szCs w:val="22"/>
        </w:rPr>
        <w:t>.</w:t>
      </w:r>
    </w:p>
    <w:p w14:paraId="4E58EB55" w14:textId="77777777" w:rsidR="00FE5D63" w:rsidRPr="00E37CD9" w:rsidRDefault="00FE5D63">
      <w:pPr>
        <w:spacing w:before="120"/>
        <w:ind w:firstLine="720"/>
        <w:rPr>
          <w:rFonts w:ascii="Arial" w:hAnsi="Arial" w:cs="Arial"/>
          <w:sz w:val="22"/>
          <w:szCs w:val="22"/>
        </w:rPr>
      </w:pPr>
    </w:p>
    <w:p w14:paraId="44490C32" w14:textId="77777777" w:rsidR="00337509" w:rsidRPr="00E37CD9" w:rsidRDefault="00337509">
      <w:pPr>
        <w:pStyle w:val="Heading1"/>
        <w:spacing w:before="120"/>
        <w:rPr>
          <w:rFonts w:ascii="Arial" w:hAnsi="Arial" w:cs="Arial"/>
          <w:sz w:val="22"/>
          <w:szCs w:val="22"/>
        </w:rPr>
      </w:pPr>
      <w:r w:rsidRPr="00E37CD9">
        <w:rPr>
          <w:rFonts w:ascii="Arial" w:hAnsi="Arial" w:cs="Arial"/>
          <w:sz w:val="22"/>
          <w:szCs w:val="22"/>
        </w:rPr>
        <w:t>Methods to Maximize Response Rates</w:t>
      </w:r>
    </w:p>
    <w:p w14:paraId="4165BEB8" w14:textId="77777777" w:rsidR="00FE5D63" w:rsidRPr="00E37CD9" w:rsidRDefault="00FE5D63" w:rsidP="00FE5D63">
      <w:pPr>
        <w:spacing w:before="120"/>
        <w:rPr>
          <w:rFonts w:ascii="Arial" w:hAnsi="Arial" w:cs="Arial"/>
          <w:sz w:val="22"/>
          <w:szCs w:val="22"/>
        </w:rPr>
      </w:pPr>
    </w:p>
    <w:p w14:paraId="7752698A" w14:textId="37252EFB" w:rsidR="00337509" w:rsidRDefault="00337509" w:rsidP="00FE5D63">
      <w:pPr>
        <w:spacing w:before="120"/>
        <w:rPr>
          <w:rFonts w:ascii="Arial" w:hAnsi="Arial" w:cs="Arial"/>
          <w:sz w:val="22"/>
          <w:szCs w:val="22"/>
        </w:rPr>
      </w:pPr>
      <w:r w:rsidRPr="00E37CD9">
        <w:rPr>
          <w:rFonts w:ascii="Arial" w:hAnsi="Arial" w:cs="Arial"/>
          <w:sz w:val="22"/>
          <w:szCs w:val="22"/>
        </w:rPr>
        <w:t>We expect one out of every seven customers contacted will agree to participate in the study</w:t>
      </w:r>
      <w:r w:rsidR="00E37CD9">
        <w:rPr>
          <w:rFonts w:ascii="Arial" w:hAnsi="Arial" w:cs="Arial"/>
          <w:sz w:val="22"/>
          <w:szCs w:val="22"/>
        </w:rPr>
        <w:t xml:space="preserve">.  </w:t>
      </w:r>
      <w:r w:rsidRPr="00E37CD9">
        <w:rPr>
          <w:rFonts w:ascii="Arial" w:hAnsi="Arial" w:cs="Arial"/>
          <w:sz w:val="22"/>
          <w:szCs w:val="22"/>
        </w:rPr>
        <w:t>Cities will be selected based on concentration of customers</w:t>
      </w:r>
      <w:r w:rsidR="00E37CD9">
        <w:rPr>
          <w:rFonts w:ascii="Arial" w:hAnsi="Arial" w:cs="Arial"/>
          <w:sz w:val="22"/>
          <w:szCs w:val="22"/>
        </w:rPr>
        <w:t xml:space="preserve">.  </w:t>
      </w:r>
      <w:r w:rsidRPr="00E37CD9">
        <w:rPr>
          <w:rFonts w:ascii="Arial" w:hAnsi="Arial" w:cs="Arial"/>
          <w:sz w:val="22"/>
          <w:szCs w:val="22"/>
        </w:rPr>
        <w:t>By recruiting in cities with a higher number of United States Mint customers, the likelihood of participation increases</w:t>
      </w:r>
      <w:r w:rsidR="00E37CD9">
        <w:rPr>
          <w:rFonts w:ascii="Arial" w:hAnsi="Arial" w:cs="Arial"/>
          <w:sz w:val="22"/>
          <w:szCs w:val="22"/>
        </w:rPr>
        <w:t xml:space="preserve">.  </w:t>
      </w:r>
      <w:r w:rsidRPr="00E37CD9">
        <w:rPr>
          <w:rFonts w:ascii="Arial" w:hAnsi="Arial" w:cs="Arial"/>
          <w:sz w:val="22"/>
          <w:szCs w:val="22"/>
        </w:rPr>
        <w:t>Appropriate screeners will be set up to guarantee selection of the right customers for the study</w:t>
      </w:r>
      <w:r w:rsidR="00E37CD9">
        <w:rPr>
          <w:rFonts w:ascii="Arial" w:hAnsi="Arial" w:cs="Arial"/>
          <w:sz w:val="22"/>
          <w:szCs w:val="22"/>
        </w:rPr>
        <w:t xml:space="preserve">.  </w:t>
      </w:r>
      <w:r w:rsidRPr="00E37CD9">
        <w:rPr>
          <w:rFonts w:ascii="Arial" w:hAnsi="Arial" w:cs="Arial"/>
          <w:sz w:val="22"/>
          <w:szCs w:val="22"/>
        </w:rPr>
        <w:t xml:space="preserve">A monetary incentive </w:t>
      </w:r>
      <w:r w:rsidR="003577A9">
        <w:rPr>
          <w:rFonts w:ascii="Arial" w:hAnsi="Arial" w:cs="Arial"/>
          <w:sz w:val="22"/>
          <w:szCs w:val="22"/>
        </w:rPr>
        <w:t xml:space="preserve">of </w:t>
      </w:r>
      <w:r w:rsidR="003577A9" w:rsidRPr="002A2870">
        <w:rPr>
          <w:rFonts w:ascii="Arial" w:hAnsi="Arial" w:cs="Arial"/>
          <w:sz w:val="22"/>
          <w:szCs w:val="22"/>
        </w:rPr>
        <w:t>$</w:t>
      </w:r>
      <w:r w:rsidR="002A2870" w:rsidRPr="002A2870">
        <w:rPr>
          <w:rFonts w:ascii="Arial" w:hAnsi="Arial" w:cs="Arial"/>
          <w:sz w:val="22"/>
          <w:szCs w:val="22"/>
        </w:rPr>
        <w:t>100</w:t>
      </w:r>
      <w:r w:rsidR="003577A9">
        <w:rPr>
          <w:rFonts w:ascii="Arial" w:hAnsi="Arial" w:cs="Arial"/>
          <w:sz w:val="22"/>
          <w:szCs w:val="22"/>
        </w:rPr>
        <w:t xml:space="preserve"> </w:t>
      </w:r>
      <w:r w:rsidRPr="00E37CD9">
        <w:rPr>
          <w:rFonts w:ascii="Arial" w:hAnsi="Arial" w:cs="Arial"/>
          <w:sz w:val="22"/>
          <w:szCs w:val="22"/>
        </w:rPr>
        <w:t>will be offered</w:t>
      </w:r>
      <w:r w:rsidR="00E37CD9">
        <w:rPr>
          <w:rFonts w:ascii="Arial" w:hAnsi="Arial" w:cs="Arial"/>
          <w:sz w:val="22"/>
          <w:szCs w:val="22"/>
        </w:rPr>
        <w:t xml:space="preserve">.  </w:t>
      </w:r>
      <w:r w:rsidRPr="00E37CD9">
        <w:rPr>
          <w:rFonts w:ascii="Arial" w:hAnsi="Arial" w:cs="Arial"/>
          <w:sz w:val="22"/>
          <w:szCs w:val="22"/>
        </w:rPr>
        <w:t>This is a common industry practice</w:t>
      </w:r>
      <w:r w:rsidR="00E37CD9">
        <w:rPr>
          <w:rFonts w:ascii="Arial" w:hAnsi="Arial" w:cs="Arial"/>
          <w:sz w:val="22"/>
          <w:szCs w:val="22"/>
        </w:rPr>
        <w:t xml:space="preserve">.  </w:t>
      </w:r>
    </w:p>
    <w:p w14:paraId="2FA7C506" w14:textId="77777777" w:rsidR="00336AB2" w:rsidRPr="00E37CD9" w:rsidRDefault="00336AB2" w:rsidP="00FE5D63">
      <w:pPr>
        <w:spacing w:before="120"/>
        <w:rPr>
          <w:rFonts w:ascii="Arial" w:hAnsi="Arial" w:cs="Arial"/>
          <w:sz w:val="22"/>
          <w:szCs w:val="22"/>
        </w:rPr>
      </w:pPr>
    </w:p>
    <w:p w14:paraId="523E549D" w14:textId="77777777" w:rsidR="0036155A" w:rsidRPr="00E37CD9" w:rsidRDefault="0036155A">
      <w:pPr>
        <w:spacing w:before="120"/>
        <w:ind w:firstLine="720"/>
        <w:rPr>
          <w:rFonts w:ascii="Arial" w:hAnsi="Arial" w:cs="Arial"/>
          <w:sz w:val="22"/>
          <w:szCs w:val="22"/>
        </w:rPr>
      </w:pPr>
    </w:p>
    <w:p w14:paraId="3C40F848" w14:textId="77777777" w:rsidR="00337509" w:rsidRPr="00E37CD9" w:rsidRDefault="00337509">
      <w:pPr>
        <w:pStyle w:val="Heading1"/>
        <w:spacing w:before="120"/>
        <w:rPr>
          <w:rFonts w:ascii="Arial" w:hAnsi="Arial" w:cs="Arial"/>
          <w:sz w:val="22"/>
          <w:szCs w:val="22"/>
        </w:rPr>
      </w:pPr>
      <w:r w:rsidRPr="00E37CD9">
        <w:rPr>
          <w:rFonts w:ascii="Arial" w:hAnsi="Arial" w:cs="Arial"/>
          <w:sz w:val="22"/>
          <w:szCs w:val="22"/>
        </w:rPr>
        <w:lastRenderedPageBreak/>
        <w:t>Estimate of the Burden Hours</w:t>
      </w:r>
    </w:p>
    <w:p w14:paraId="2381B58E" w14:textId="77777777" w:rsidR="00FE5D63" w:rsidRPr="00E37CD9" w:rsidRDefault="00FE5D63" w:rsidP="00FE5D63">
      <w:pPr>
        <w:spacing w:before="120"/>
        <w:rPr>
          <w:rFonts w:ascii="Arial" w:hAnsi="Arial" w:cs="Arial"/>
          <w:sz w:val="22"/>
          <w:szCs w:val="22"/>
        </w:rPr>
      </w:pPr>
    </w:p>
    <w:p w14:paraId="421EC26E" w14:textId="77777777" w:rsidR="00337509" w:rsidRPr="00DD7552" w:rsidRDefault="00DA662E" w:rsidP="00FE5D63">
      <w:pPr>
        <w:spacing w:before="120"/>
        <w:rPr>
          <w:rFonts w:ascii="Arial" w:hAnsi="Arial" w:cs="Arial"/>
          <w:sz w:val="22"/>
          <w:szCs w:val="22"/>
        </w:rPr>
      </w:pPr>
      <w:r w:rsidRPr="00DD7552">
        <w:rPr>
          <w:rFonts w:ascii="Arial" w:hAnsi="Arial" w:cs="Arial"/>
          <w:sz w:val="22"/>
          <w:szCs w:val="22"/>
        </w:rPr>
        <w:t>T</w:t>
      </w:r>
      <w:r w:rsidR="00337509" w:rsidRPr="00DD7552">
        <w:rPr>
          <w:rFonts w:ascii="Arial" w:hAnsi="Arial" w:cs="Arial"/>
          <w:sz w:val="22"/>
          <w:szCs w:val="22"/>
        </w:rPr>
        <w:t xml:space="preserve">he collection of information will </w:t>
      </w:r>
      <w:r w:rsidR="000B65FB" w:rsidRPr="00DD7552">
        <w:rPr>
          <w:rFonts w:ascii="Arial" w:hAnsi="Arial" w:cs="Arial"/>
          <w:sz w:val="22"/>
          <w:szCs w:val="22"/>
        </w:rPr>
        <w:t>include</w:t>
      </w:r>
      <w:r w:rsidR="00022077" w:rsidRPr="00DD7552">
        <w:rPr>
          <w:rFonts w:ascii="Arial" w:hAnsi="Arial" w:cs="Arial"/>
          <w:sz w:val="22"/>
          <w:szCs w:val="22"/>
        </w:rPr>
        <w:t xml:space="preserve"> completion of </w:t>
      </w:r>
      <w:r w:rsidR="008D40B2" w:rsidRPr="00DD7552">
        <w:rPr>
          <w:rFonts w:ascii="Arial" w:hAnsi="Arial" w:cs="Arial"/>
          <w:sz w:val="22"/>
          <w:szCs w:val="22"/>
        </w:rPr>
        <w:t xml:space="preserve">64 </w:t>
      </w:r>
      <w:r w:rsidR="00022077" w:rsidRPr="00DD7552">
        <w:rPr>
          <w:rFonts w:ascii="Arial" w:hAnsi="Arial" w:cs="Arial"/>
          <w:sz w:val="22"/>
          <w:szCs w:val="22"/>
        </w:rPr>
        <w:t xml:space="preserve">in-person </w:t>
      </w:r>
      <w:r w:rsidR="000B65FB" w:rsidRPr="00DD7552">
        <w:rPr>
          <w:rFonts w:ascii="Arial" w:hAnsi="Arial" w:cs="Arial"/>
          <w:sz w:val="22"/>
          <w:szCs w:val="22"/>
        </w:rPr>
        <w:t>focus groups</w:t>
      </w:r>
      <w:r w:rsidR="00E37CD9" w:rsidRPr="00DD7552">
        <w:rPr>
          <w:rFonts w:ascii="Arial" w:hAnsi="Arial" w:cs="Arial"/>
          <w:sz w:val="22"/>
          <w:szCs w:val="22"/>
        </w:rPr>
        <w:t xml:space="preserve">.  </w:t>
      </w:r>
      <w:r w:rsidR="00C81016" w:rsidRPr="00DD7552">
        <w:rPr>
          <w:rFonts w:ascii="Arial" w:hAnsi="Arial" w:cs="Arial"/>
          <w:sz w:val="22"/>
          <w:szCs w:val="22"/>
        </w:rPr>
        <w:t xml:space="preserve">A total of </w:t>
      </w:r>
      <w:r w:rsidR="000B65FB" w:rsidRPr="00DD7552">
        <w:rPr>
          <w:rFonts w:ascii="Arial" w:hAnsi="Arial" w:cs="Arial"/>
          <w:sz w:val="22"/>
          <w:szCs w:val="22"/>
        </w:rPr>
        <w:t xml:space="preserve">up to </w:t>
      </w:r>
      <w:r w:rsidR="008D40B2" w:rsidRPr="00DD7552">
        <w:rPr>
          <w:rFonts w:ascii="Arial" w:hAnsi="Arial" w:cs="Arial"/>
          <w:sz w:val="22"/>
          <w:szCs w:val="22"/>
        </w:rPr>
        <w:t xml:space="preserve">640 </w:t>
      </w:r>
      <w:r w:rsidR="00C81016" w:rsidRPr="00DD7552">
        <w:rPr>
          <w:rFonts w:ascii="Arial" w:hAnsi="Arial" w:cs="Arial"/>
          <w:sz w:val="22"/>
          <w:szCs w:val="22"/>
        </w:rPr>
        <w:t xml:space="preserve">respondents will participate in the </w:t>
      </w:r>
      <w:r w:rsidR="00337509" w:rsidRPr="00DD7552">
        <w:rPr>
          <w:rFonts w:ascii="Arial" w:hAnsi="Arial" w:cs="Arial"/>
          <w:sz w:val="22"/>
          <w:szCs w:val="22"/>
        </w:rPr>
        <w:t>focus groups</w:t>
      </w:r>
      <w:r w:rsidR="00022077" w:rsidRPr="00DD7552">
        <w:rPr>
          <w:rFonts w:ascii="Arial" w:hAnsi="Arial" w:cs="Arial"/>
          <w:sz w:val="22"/>
          <w:szCs w:val="22"/>
        </w:rPr>
        <w:t xml:space="preserve"> on an annual basis</w:t>
      </w:r>
      <w:r w:rsidR="00E37CD9" w:rsidRPr="00DD7552">
        <w:rPr>
          <w:rFonts w:ascii="Arial" w:hAnsi="Arial" w:cs="Arial"/>
          <w:sz w:val="22"/>
          <w:szCs w:val="22"/>
        </w:rPr>
        <w:t xml:space="preserve">.  </w:t>
      </w:r>
      <w:r w:rsidR="00C81016" w:rsidRPr="00DD7552">
        <w:rPr>
          <w:rFonts w:ascii="Arial" w:hAnsi="Arial" w:cs="Arial"/>
          <w:sz w:val="22"/>
          <w:szCs w:val="22"/>
        </w:rPr>
        <w:t>These f</w:t>
      </w:r>
      <w:r w:rsidR="00337509" w:rsidRPr="00DD7552">
        <w:rPr>
          <w:rFonts w:ascii="Arial" w:hAnsi="Arial" w:cs="Arial"/>
          <w:sz w:val="22"/>
          <w:szCs w:val="22"/>
        </w:rPr>
        <w:t>ocus group</w:t>
      </w:r>
      <w:r w:rsidR="0080434E" w:rsidRPr="00DD7552">
        <w:rPr>
          <w:rFonts w:ascii="Arial" w:hAnsi="Arial" w:cs="Arial"/>
          <w:sz w:val="22"/>
          <w:szCs w:val="22"/>
        </w:rPr>
        <w:t>s</w:t>
      </w:r>
      <w:r w:rsidR="00D11A50" w:rsidRPr="00DD7552">
        <w:rPr>
          <w:rFonts w:ascii="Arial" w:hAnsi="Arial" w:cs="Arial"/>
          <w:sz w:val="22"/>
          <w:szCs w:val="22"/>
        </w:rPr>
        <w:t xml:space="preserve"> </w:t>
      </w:r>
      <w:r w:rsidR="000B40B0" w:rsidRPr="00DD7552">
        <w:rPr>
          <w:rFonts w:ascii="Arial" w:hAnsi="Arial" w:cs="Arial"/>
          <w:sz w:val="22"/>
          <w:szCs w:val="22"/>
        </w:rPr>
        <w:t xml:space="preserve">are expected to </w:t>
      </w:r>
      <w:r w:rsidR="00337509" w:rsidRPr="00DD7552">
        <w:rPr>
          <w:rFonts w:ascii="Arial" w:hAnsi="Arial" w:cs="Arial"/>
          <w:sz w:val="22"/>
          <w:szCs w:val="22"/>
        </w:rPr>
        <w:t xml:space="preserve">last </w:t>
      </w:r>
      <w:r w:rsidR="00D11A50" w:rsidRPr="00DD7552">
        <w:rPr>
          <w:rFonts w:ascii="Arial" w:hAnsi="Arial" w:cs="Arial"/>
          <w:sz w:val="22"/>
          <w:szCs w:val="22"/>
        </w:rPr>
        <w:t xml:space="preserve">120 </w:t>
      </w:r>
      <w:r w:rsidR="00337509" w:rsidRPr="00DD7552">
        <w:rPr>
          <w:rFonts w:ascii="Arial" w:hAnsi="Arial" w:cs="Arial"/>
          <w:sz w:val="22"/>
          <w:szCs w:val="22"/>
        </w:rPr>
        <w:t>minutes</w:t>
      </w:r>
      <w:r w:rsidR="00E37CD9" w:rsidRPr="00DD7552">
        <w:rPr>
          <w:rFonts w:ascii="Arial" w:hAnsi="Arial" w:cs="Arial"/>
          <w:sz w:val="22"/>
          <w:szCs w:val="22"/>
        </w:rPr>
        <w:t xml:space="preserve">.  </w:t>
      </w:r>
      <w:r w:rsidR="00D11A50" w:rsidRPr="00DD7552">
        <w:rPr>
          <w:rFonts w:ascii="Arial" w:hAnsi="Arial" w:cs="Arial"/>
          <w:sz w:val="22"/>
          <w:szCs w:val="22"/>
        </w:rPr>
        <w:t xml:space="preserve">Therefore, the total </w:t>
      </w:r>
      <w:r w:rsidR="00337509" w:rsidRPr="00DD7552">
        <w:rPr>
          <w:rFonts w:ascii="Arial" w:hAnsi="Arial" w:cs="Arial"/>
          <w:sz w:val="22"/>
          <w:szCs w:val="22"/>
        </w:rPr>
        <w:t>estimated burden hours</w:t>
      </w:r>
      <w:r w:rsidR="00D11A50" w:rsidRPr="00DD7552">
        <w:rPr>
          <w:rFonts w:ascii="Arial" w:hAnsi="Arial" w:cs="Arial"/>
          <w:sz w:val="22"/>
          <w:szCs w:val="22"/>
        </w:rPr>
        <w:t xml:space="preserve"> for this collection </w:t>
      </w:r>
      <w:r w:rsidR="00337509" w:rsidRPr="00DD7552">
        <w:rPr>
          <w:rFonts w:ascii="Arial" w:hAnsi="Arial" w:cs="Arial"/>
          <w:sz w:val="22"/>
          <w:szCs w:val="22"/>
        </w:rPr>
        <w:t>are:</w:t>
      </w:r>
    </w:p>
    <w:p w14:paraId="3115D87E" w14:textId="77777777" w:rsidR="00337509" w:rsidRPr="00DD7552" w:rsidRDefault="00D11A50">
      <w:pPr>
        <w:spacing w:before="120"/>
        <w:ind w:firstLine="720"/>
        <w:rPr>
          <w:rFonts w:ascii="Arial" w:hAnsi="Arial" w:cs="Arial"/>
          <w:sz w:val="22"/>
          <w:szCs w:val="22"/>
        </w:rPr>
      </w:pPr>
      <w:r w:rsidRPr="00DD7552">
        <w:rPr>
          <w:rFonts w:ascii="Arial" w:hAnsi="Arial" w:cs="Arial"/>
          <w:b/>
          <w:bCs/>
          <w:sz w:val="22"/>
          <w:szCs w:val="22"/>
        </w:rPr>
        <w:t xml:space="preserve"> </w:t>
      </w:r>
    </w:p>
    <w:tbl>
      <w:tblPr>
        <w:tblW w:w="0" w:type="auto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10"/>
        <w:gridCol w:w="3600"/>
      </w:tblGrid>
      <w:tr w:rsidR="00337509" w:rsidRPr="00DD7552" w14:paraId="367DCA20" w14:textId="77777777" w:rsidTr="0080434E">
        <w:tc>
          <w:tcPr>
            <w:tcW w:w="3510" w:type="dxa"/>
          </w:tcPr>
          <w:p w14:paraId="2E1F2E25" w14:textId="77777777" w:rsidR="00337509" w:rsidRPr="00DD7552" w:rsidRDefault="00337509">
            <w:pPr>
              <w:pStyle w:val="Heading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0" w:type="dxa"/>
          </w:tcPr>
          <w:p w14:paraId="7D3A0925" w14:textId="77777777" w:rsidR="00337509" w:rsidRPr="00DD7552" w:rsidRDefault="005D4AAE" w:rsidP="005D4AAE">
            <w:pPr>
              <w:pStyle w:val="Heading3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 w:rsidRPr="00DD7552">
              <w:rPr>
                <w:rFonts w:ascii="Arial" w:hAnsi="Arial" w:cs="Arial"/>
                <w:b w:val="0"/>
                <w:sz w:val="22"/>
                <w:szCs w:val="22"/>
              </w:rPr>
              <w:t xml:space="preserve">Focus Groups – Annual </w:t>
            </w:r>
          </w:p>
        </w:tc>
      </w:tr>
      <w:tr w:rsidR="00337509" w:rsidRPr="00DD7552" w14:paraId="46B2F52F" w14:textId="77777777" w:rsidTr="0080434E">
        <w:tc>
          <w:tcPr>
            <w:tcW w:w="3510" w:type="dxa"/>
          </w:tcPr>
          <w:p w14:paraId="12C006DE" w14:textId="77777777" w:rsidR="00337509" w:rsidRPr="00DD7552" w:rsidRDefault="005D4AAE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DD7552">
              <w:rPr>
                <w:rFonts w:ascii="Arial" w:hAnsi="Arial" w:cs="Arial"/>
                <w:sz w:val="22"/>
                <w:szCs w:val="22"/>
              </w:rPr>
              <w:t>All respondents</w:t>
            </w:r>
          </w:p>
        </w:tc>
        <w:tc>
          <w:tcPr>
            <w:tcW w:w="3600" w:type="dxa"/>
          </w:tcPr>
          <w:p w14:paraId="6BD432EF" w14:textId="77777777" w:rsidR="00337509" w:rsidRPr="00DD7552" w:rsidRDefault="00DD7552" w:rsidP="00A70656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7552">
              <w:rPr>
                <w:rFonts w:ascii="Arial" w:hAnsi="Arial" w:cs="Arial"/>
                <w:sz w:val="22"/>
                <w:szCs w:val="22"/>
              </w:rPr>
              <w:t>640</w:t>
            </w:r>
          </w:p>
        </w:tc>
      </w:tr>
      <w:tr w:rsidR="00337509" w:rsidRPr="00DD7552" w14:paraId="339494D0" w14:textId="77777777" w:rsidTr="0080434E">
        <w:tc>
          <w:tcPr>
            <w:tcW w:w="3510" w:type="dxa"/>
          </w:tcPr>
          <w:p w14:paraId="5A74D760" w14:textId="77777777" w:rsidR="00337509" w:rsidRPr="00DD7552" w:rsidRDefault="005D4AAE" w:rsidP="0080434E">
            <w:pPr>
              <w:pStyle w:val="Heading2"/>
              <w:rPr>
                <w:rFonts w:ascii="Arial" w:hAnsi="Arial" w:cs="Arial"/>
                <w:b w:val="0"/>
                <w:sz w:val="22"/>
                <w:szCs w:val="22"/>
              </w:rPr>
            </w:pPr>
            <w:r w:rsidRPr="00DD7552">
              <w:rPr>
                <w:rFonts w:ascii="Arial" w:hAnsi="Arial" w:cs="Arial"/>
                <w:b w:val="0"/>
                <w:sz w:val="22"/>
                <w:szCs w:val="22"/>
              </w:rPr>
              <w:t xml:space="preserve">Average </w:t>
            </w:r>
            <w:r w:rsidR="0080434E" w:rsidRPr="00DD7552">
              <w:rPr>
                <w:rFonts w:ascii="Arial" w:hAnsi="Arial" w:cs="Arial"/>
                <w:b w:val="0"/>
                <w:sz w:val="22"/>
                <w:szCs w:val="22"/>
              </w:rPr>
              <w:t>m</w:t>
            </w:r>
            <w:r w:rsidRPr="00DD7552">
              <w:rPr>
                <w:rFonts w:ascii="Arial" w:hAnsi="Arial" w:cs="Arial"/>
                <w:b w:val="0"/>
                <w:sz w:val="22"/>
                <w:szCs w:val="22"/>
              </w:rPr>
              <w:t>inutes</w:t>
            </w:r>
            <w:r w:rsidR="0080434E" w:rsidRPr="00DD7552">
              <w:rPr>
                <w:rFonts w:ascii="Arial" w:hAnsi="Arial" w:cs="Arial"/>
                <w:b w:val="0"/>
                <w:sz w:val="22"/>
                <w:szCs w:val="22"/>
              </w:rPr>
              <w:t xml:space="preserve"> per group</w:t>
            </w:r>
          </w:p>
        </w:tc>
        <w:tc>
          <w:tcPr>
            <w:tcW w:w="3600" w:type="dxa"/>
          </w:tcPr>
          <w:p w14:paraId="4F776CC5" w14:textId="77777777" w:rsidR="00337509" w:rsidRPr="00DD7552" w:rsidRDefault="005D4AAE" w:rsidP="001B3128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7552">
              <w:rPr>
                <w:rFonts w:ascii="Arial" w:hAnsi="Arial" w:cs="Arial"/>
                <w:sz w:val="22"/>
                <w:szCs w:val="22"/>
              </w:rPr>
              <w:t>120</w:t>
            </w:r>
            <w:r w:rsidR="0080434E" w:rsidRPr="00DD7552">
              <w:rPr>
                <w:rFonts w:ascii="Arial" w:hAnsi="Arial" w:cs="Arial"/>
                <w:sz w:val="22"/>
                <w:szCs w:val="22"/>
              </w:rPr>
              <w:t xml:space="preserve"> mins</w:t>
            </w:r>
          </w:p>
        </w:tc>
      </w:tr>
      <w:tr w:rsidR="005D4AAE" w:rsidRPr="00E37CD9" w14:paraId="45F9F2CA" w14:textId="77777777" w:rsidTr="00B43598">
        <w:trPr>
          <w:trHeight w:val="77"/>
        </w:trPr>
        <w:tc>
          <w:tcPr>
            <w:tcW w:w="3510" w:type="dxa"/>
          </w:tcPr>
          <w:p w14:paraId="661DC1D5" w14:textId="77777777" w:rsidR="005D4AAE" w:rsidRPr="00DD7552" w:rsidRDefault="005D4AAE">
            <w:pPr>
              <w:pStyle w:val="Heading2"/>
              <w:rPr>
                <w:rFonts w:ascii="Arial" w:hAnsi="Arial" w:cs="Arial"/>
                <w:b w:val="0"/>
                <w:sz w:val="22"/>
                <w:szCs w:val="22"/>
              </w:rPr>
            </w:pPr>
            <w:r w:rsidRPr="00DD7552">
              <w:rPr>
                <w:rFonts w:ascii="Arial" w:hAnsi="Arial" w:cs="Arial"/>
                <w:b w:val="0"/>
                <w:sz w:val="22"/>
                <w:szCs w:val="22"/>
              </w:rPr>
              <w:t>Total estimated burden</w:t>
            </w:r>
            <w:r w:rsidR="0080434E" w:rsidRPr="00DD7552">
              <w:rPr>
                <w:rFonts w:ascii="Arial" w:hAnsi="Arial" w:cs="Arial"/>
                <w:b w:val="0"/>
                <w:sz w:val="22"/>
                <w:szCs w:val="22"/>
              </w:rPr>
              <w:t xml:space="preserve"> hours</w:t>
            </w:r>
          </w:p>
        </w:tc>
        <w:tc>
          <w:tcPr>
            <w:tcW w:w="3600" w:type="dxa"/>
          </w:tcPr>
          <w:p w14:paraId="1EA1F327" w14:textId="77777777" w:rsidR="005D4AAE" w:rsidRPr="00DD7552" w:rsidRDefault="00DD7552" w:rsidP="00A70656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7552">
              <w:rPr>
                <w:rFonts w:ascii="Arial" w:hAnsi="Arial" w:cs="Arial"/>
                <w:sz w:val="22"/>
                <w:szCs w:val="22"/>
              </w:rPr>
              <w:t xml:space="preserve">1,280 </w:t>
            </w:r>
            <w:r w:rsidR="008D40B2" w:rsidRPr="00DD7552">
              <w:rPr>
                <w:rFonts w:ascii="Arial" w:hAnsi="Arial" w:cs="Arial"/>
                <w:sz w:val="22"/>
                <w:szCs w:val="22"/>
              </w:rPr>
              <w:t>hrs</w:t>
            </w:r>
          </w:p>
        </w:tc>
      </w:tr>
    </w:tbl>
    <w:p w14:paraId="20E3FE22" w14:textId="77777777" w:rsidR="00582440" w:rsidRPr="00E37CD9" w:rsidRDefault="00582440" w:rsidP="00582440">
      <w:pPr>
        <w:pStyle w:val="BodyTextIndent"/>
        <w:ind w:firstLine="0"/>
        <w:rPr>
          <w:rFonts w:ascii="Arial" w:hAnsi="Arial" w:cs="Arial"/>
          <w:sz w:val="22"/>
          <w:szCs w:val="22"/>
        </w:rPr>
      </w:pPr>
    </w:p>
    <w:p w14:paraId="65993484" w14:textId="77777777" w:rsidR="00582440" w:rsidRPr="00E37CD9" w:rsidRDefault="00582440" w:rsidP="00582440">
      <w:pPr>
        <w:pStyle w:val="BodyTextIndent"/>
        <w:ind w:firstLine="0"/>
        <w:rPr>
          <w:rFonts w:ascii="Arial" w:hAnsi="Arial" w:cs="Arial"/>
          <w:sz w:val="22"/>
          <w:szCs w:val="22"/>
        </w:rPr>
      </w:pPr>
    </w:p>
    <w:p w14:paraId="4180A7CF" w14:textId="77777777" w:rsidR="00582440" w:rsidRPr="00E37CD9" w:rsidRDefault="00582440" w:rsidP="00582440">
      <w:pPr>
        <w:rPr>
          <w:rFonts w:ascii="Arial" w:hAnsi="Arial" w:cs="Arial"/>
          <w:i/>
          <w:sz w:val="20"/>
        </w:rPr>
      </w:pPr>
      <w:r w:rsidRPr="00E37CD9">
        <w:rPr>
          <w:rFonts w:ascii="Arial" w:hAnsi="Arial" w:cs="Arial"/>
          <w:i/>
          <w:sz w:val="20"/>
        </w:rPr>
        <w:t xml:space="preserve">If you have questions related to the review of this collection request, you may contact any of the following individuals at the United States Mint’s </w:t>
      </w:r>
      <w:r w:rsidR="00A51174">
        <w:rPr>
          <w:rFonts w:ascii="Arial" w:hAnsi="Arial" w:cs="Arial"/>
          <w:i/>
          <w:sz w:val="20"/>
        </w:rPr>
        <w:t>Numismatic</w:t>
      </w:r>
      <w:r w:rsidR="00B43598">
        <w:rPr>
          <w:rFonts w:ascii="Arial" w:hAnsi="Arial" w:cs="Arial"/>
          <w:i/>
          <w:sz w:val="20"/>
        </w:rPr>
        <w:t xml:space="preserve"> and Bullion Directorate</w:t>
      </w:r>
      <w:r w:rsidRPr="00E37CD9">
        <w:rPr>
          <w:rFonts w:ascii="Arial" w:hAnsi="Arial" w:cs="Arial"/>
          <w:i/>
          <w:sz w:val="20"/>
        </w:rPr>
        <w:t>:</w:t>
      </w:r>
    </w:p>
    <w:p w14:paraId="7FB293B3" w14:textId="77777777" w:rsidR="00582440" w:rsidRPr="00A70656" w:rsidRDefault="005F1634" w:rsidP="00A70656">
      <w:pPr>
        <w:numPr>
          <w:ilvl w:val="0"/>
          <w:numId w:val="7"/>
        </w:numPr>
        <w:rPr>
          <w:rFonts w:ascii="Arial" w:hAnsi="Arial" w:cs="Arial"/>
          <w:sz w:val="20"/>
        </w:rPr>
      </w:pPr>
      <w:r>
        <w:rPr>
          <w:rFonts w:ascii="Arial" w:hAnsi="Arial" w:cs="Arial"/>
          <w:i/>
          <w:sz w:val="20"/>
        </w:rPr>
        <w:t xml:space="preserve">Manoj Pillai </w:t>
      </w:r>
      <w:r w:rsidR="00582440" w:rsidRPr="00E37CD9">
        <w:rPr>
          <w:rFonts w:ascii="Arial" w:hAnsi="Arial" w:cs="Arial"/>
          <w:i/>
          <w:sz w:val="20"/>
        </w:rPr>
        <w:t xml:space="preserve"> – </w:t>
      </w:r>
      <w:hyperlink r:id="rId8" w:history="1">
        <w:r w:rsidR="00A70656" w:rsidRPr="00D219FD">
          <w:rPr>
            <w:rStyle w:val="Hyperlink"/>
            <w:rFonts w:ascii="Arial" w:hAnsi="Arial" w:cs="Arial"/>
            <w:i/>
            <w:sz w:val="20"/>
          </w:rPr>
          <w:t>manoj.pillai@usmint.treas.gov</w:t>
        </w:r>
      </w:hyperlink>
      <w:r w:rsidR="00A70656">
        <w:rPr>
          <w:rFonts w:ascii="Arial" w:hAnsi="Arial" w:cs="Arial"/>
          <w:sz w:val="20"/>
        </w:rPr>
        <w:t xml:space="preserve">; </w:t>
      </w:r>
      <w:r w:rsidR="00582440" w:rsidRPr="00A70656">
        <w:rPr>
          <w:rFonts w:ascii="Arial" w:hAnsi="Arial" w:cs="Arial"/>
          <w:i/>
          <w:sz w:val="20"/>
        </w:rPr>
        <w:t xml:space="preserve"> 202-354-</w:t>
      </w:r>
      <w:r w:rsidR="00A70656" w:rsidRPr="00A70656">
        <w:rPr>
          <w:rFonts w:ascii="Arial" w:hAnsi="Arial" w:cs="Arial"/>
          <w:i/>
          <w:sz w:val="20"/>
        </w:rPr>
        <w:t>7255</w:t>
      </w:r>
    </w:p>
    <w:sectPr w:rsidR="00582440" w:rsidRPr="00A70656" w:rsidSect="00351B1B">
      <w:headerReference w:type="even" r:id="rId9"/>
      <w:pgSz w:w="12240" w:h="15840"/>
      <w:pgMar w:top="1440" w:right="1800" w:bottom="1440" w:left="180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2059F0" w14:textId="77777777" w:rsidR="00D64BC9" w:rsidRDefault="00D64BC9">
      <w:r>
        <w:separator/>
      </w:r>
    </w:p>
  </w:endnote>
  <w:endnote w:type="continuationSeparator" w:id="0">
    <w:p w14:paraId="004BB9C8" w14:textId="77777777" w:rsidR="00D64BC9" w:rsidRDefault="00D64B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F6AD5C" w14:textId="77777777" w:rsidR="00D64BC9" w:rsidRDefault="00D64BC9">
      <w:r>
        <w:separator/>
      </w:r>
    </w:p>
  </w:footnote>
  <w:footnote w:type="continuationSeparator" w:id="0">
    <w:p w14:paraId="3D6ED547" w14:textId="77777777" w:rsidR="00D64BC9" w:rsidRDefault="00D64B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6D21B5" w14:textId="77777777" w:rsidR="009374FD" w:rsidRDefault="005C1AA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374F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AB2C5AA" w14:textId="77777777" w:rsidR="009374FD" w:rsidRDefault="009374F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31F0E"/>
    <w:multiLevelType w:val="hybridMultilevel"/>
    <w:tmpl w:val="138E7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6F5B35"/>
    <w:multiLevelType w:val="hybridMultilevel"/>
    <w:tmpl w:val="817ACBDE"/>
    <w:lvl w:ilvl="0" w:tplc="6B26140C">
      <w:start w:val="1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060114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39860CD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57A813F3"/>
    <w:multiLevelType w:val="hybridMultilevel"/>
    <w:tmpl w:val="FD9E3286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>
    <w:nsid w:val="5816126E"/>
    <w:multiLevelType w:val="hybridMultilevel"/>
    <w:tmpl w:val="F8FEE500"/>
    <w:lvl w:ilvl="0" w:tplc="73DADD86">
      <w:start w:val="1"/>
      <w:numFmt w:val="decimal"/>
      <w:lvlText w:val="%1)"/>
      <w:lvlJc w:val="left"/>
      <w:pPr>
        <w:tabs>
          <w:tab w:val="num" w:pos="1755"/>
        </w:tabs>
        <w:ind w:left="1755" w:hanging="10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5C690363"/>
    <w:multiLevelType w:val="hybridMultilevel"/>
    <w:tmpl w:val="319A5036"/>
    <w:lvl w:ilvl="0" w:tplc="67C460D4">
      <w:start w:val="3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5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28B"/>
    <w:rsid w:val="000136B2"/>
    <w:rsid w:val="00017CEF"/>
    <w:rsid w:val="00022077"/>
    <w:rsid w:val="000A6B2E"/>
    <w:rsid w:val="000B39F5"/>
    <w:rsid w:val="000B40B0"/>
    <w:rsid w:val="000B65FB"/>
    <w:rsid w:val="000F2E12"/>
    <w:rsid w:val="00131453"/>
    <w:rsid w:val="001373E8"/>
    <w:rsid w:val="00154A27"/>
    <w:rsid w:val="00155622"/>
    <w:rsid w:val="0017499A"/>
    <w:rsid w:val="0019183A"/>
    <w:rsid w:val="00196EC3"/>
    <w:rsid w:val="001A414E"/>
    <w:rsid w:val="001B3128"/>
    <w:rsid w:val="001B7D90"/>
    <w:rsid w:val="001C01EC"/>
    <w:rsid w:val="001C65AD"/>
    <w:rsid w:val="001D00FE"/>
    <w:rsid w:val="001D22EF"/>
    <w:rsid w:val="001D7D51"/>
    <w:rsid w:val="001E6206"/>
    <w:rsid w:val="001F35D0"/>
    <w:rsid w:val="0023520B"/>
    <w:rsid w:val="002358F5"/>
    <w:rsid w:val="002912BF"/>
    <w:rsid w:val="002A2870"/>
    <w:rsid w:val="002A3E9E"/>
    <w:rsid w:val="002B1FCE"/>
    <w:rsid w:val="002D77F4"/>
    <w:rsid w:val="002F321A"/>
    <w:rsid w:val="00336AB2"/>
    <w:rsid w:val="00337509"/>
    <w:rsid w:val="00351B1B"/>
    <w:rsid w:val="00351C1B"/>
    <w:rsid w:val="00352E6D"/>
    <w:rsid w:val="003577A9"/>
    <w:rsid w:val="0036155A"/>
    <w:rsid w:val="003725D8"/>
    <w:rsid w:val="003B6680"/>
    <w:rsid w:val="003C0B7E"/>
    <w:rsid w:val="003D4CF0"/>
    <w:rsid w:val="003F2791"/>
    <w:rsid w:val="003F6548"/>
    <w:rsid w:val="00413AC4"/>
    <w:rsid w:val="00437D33"/>
    <w:rsid w:val="00470994"/>
    <w:rsid w:val="00484E92"/>
    <w:rsid w:val="004859E1"/>
    <w:rsid w:val="004C3BBF"/>
    <w:rsid w:val="004D29AD"/>
    <w:rsid w:val="004E6C22"/>
    <w:rsid w:val="005102BC"/>
    <w:rsid w:val="005167A8"/>
    <w:rsid w:val="00522C12"/>
    <w:rsid w:val="00543592"/>
    <w:rsid w:val="00582440"/>
    <w:rsid w:val="00591482"/>
    <w:rsid w:val="005A124B"/>
    <w:rsid w:val="005C1AA7"/>
    <w:rsid w:val="005D4AAE"/>
    <w:rsid w:val="005D6D85"/>
    <w:rsid w:val="005F14F2"/>
    <w:rsid w:val="005F1634"/>
    <w:rsid w:val="005F2B4C"/>
    <w:rsid w:val="00616B1B"/>
    <w:rsid w:val="00643C70"/>
    <w:rsid w:val="00673884"/>
    <w:rsid w:val="006920F8"/>
    <w:rsid w:val="006930E1"/>
    <w:rsid w:val="006D5807"/>
    <w:rsid w:val="006E0668"/>
    <w:rsid w:val="006E28D8"/>
    <w:rsid w:val="006E62C8"/>
    <w:rsid w:val="006E7BB7"/>
    <w:rsid w:val="00721DB4"/>
    <w:rsid w:val="00722604"/>
    <w:rsid w:val="007343E7"/>
    <w:rsid w:val="00782595"/>
    <w:rsid w:val="00791E7F"/>
    <w:rsid w:val="00793B6B"/>
    <w:rsid w:val="007B0165"/>
    <w:rsid w:val="007B5EF6"/>
    <w:rsid w:val="007D4F94"/>
    <w:rsid w:val="007E0CE2"/>
    <w:rsid w:val="007F4401"/>
    <w:rsid w:val="0080434E"/>
    <w:rsid w:val="00805A52"/>
    <w:rsid w:val="00811229"/>
    <w:rsid w:val="00857E67"/>
    <w:rsid w:val="00862393"/>
    <w:rsid w:val="00867CFE"/>
    <w:rsid w:val="00887173"/>
    <w:rsid w:val="00887FA2"/>
    <w:rsid w:val="008953E8"/>
    <w:rsid w:val="008A0F7F"/>
    <w:rsid w:val="008A6E32"/>
    <w:rsid w:val="008D40B2"/>
    <w:rsid w:val="0092062F"/>
    <w:rsid w:val="009219BD"/>
    <w:rsid w:val="00925512"/>
    <w:rsid w:val="009374FD"/>
    <w:rsid w:val="00946CAB"/>
    <w:rsid w:val="0095279E"/>
    <w:rsid w:val="00966D0A"/>
    <w:rsid w:val="0098353D"/>
    <w:rsid w:val="00992B4D"/>
    <w:rsid w:val="009B1DDE"/>
    <w:rsid w:val="009B3ED6"/>
    <w:rsid w:val="00A155E8"/>
    <w:rsid w:val="00A2047F"/>
    <w:rsid w:val="00A3459D"/>
    <w:rsid w:val="00A41EC0"/>
    <w:rsid w:val="00A51174"/>
    <w:rsid w:val="00A5138D"/>
    <w:rsid w:val="00A67081"/>
    <w:rsid w:val="00A70656"/>
    <w:rsid w:val="00AE043B"/>
    <w:rsid w:val="00B22FDF"/>
    <w:rsid w:val="00B36CCD"/>
    <w:rsid w:val="00B378E8"/>
    <w:rsid w:val="00B42E78"/>
    <w:rsid w:val="00B43598"/>
    <w:rsid w:val="00B54DE0"/>
    <w:rsid w:val="00B72315"/>
    <w:rsid w:val="00B85171"/>
    <w:rsid w:val="00B93A38"/>
    <w:rsid w:val="00BA43F3"/>
    <w:rsid w:val="00BA5C17"/>
    <w:rsid w:val="00BA64A3"/>
    <w:rsid w:val="00BB32F1"/>
    <w:rsid w:val="00BB5689"/>
    <w:rsid w:val="00BF4CED"/>
    <w:rsid w:val="00C04ED9"/>
    <w:rsid w:val="00C2157F"/>
    <w:rsid w:val="00C400B1"/>
    <w:rsid w:val="00C45972"/>
    <w:rsid w:val="00C73087"/>
    <w:rsid w:val="00C75ABF"/>
    <w:rsid w:val="00C81016"/>
    <w:rsid w:val="00C967CD"/>
    <w:rsid w:val="00CB6462"/>
    <w:rsid w:val="00CC23B0"/>
    <w:rsid w:val="00CD5590"/>
    <w:rsid w:val="00D11A50"/>
    <w:rsid w:val="00D22074"/>
    <w:rsid w:val="00D33855"/>
    <w:rsid w:val="00D52C66"/>
    <w:rsid w:val="00D62114"/>
    <w:rsid w:val="00D6428B"/>
    <w:rsid w:val="00D64BC9"/>
    <w:rsid w:val="00D74F37"/>
    <w:rsid w:val="00DA662E"/>
    <w:rsid w:val="00DB0024"/>
    <w:rsid w:val="00DD7552"/>
    <w:rsid w:val="00E37CD9"/>
    <w:rsid w:val="00E613A7"/>
    <w:rsid w:val="00EA5B37"/>
    <w:rsid w:val="00ED0DC6"/>
    <w:rsid w:val="00F251E5"/>
    <w:rsid w:val="00F54E7C"/>
    <w:rsid w:val="00F670D6"/>
    <w:rsid w:val="00FB7FC1"/>
    <w:rsid w:val="00FC1ACB"/>
    <w:rsid w:val="00FE5D63"/>
    <w:rsid w:val="00FE710D"/>
    <w:rsid w:val="00FF7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616C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1B1B"/>
    <w:rPr>
      <w:sz w:val="24"/>
    </w:rPr>
  </w:style>
  <w:style w:type="paragraph" w:styleId="Heading1">
    <w:name w:val="heading 1"/>
    <w:basedOn w:val="Normal"/>
    <w:next w:val="Normal"/>
    <w:qFormat/>
    <w:rsid w:val="00351B1B"/>
    <w:pPr>
      <w:keepNext/>
      <w:outlineLvl w:val="0"/>
    </w:pPr>
    <w:rPr>
      <w:b/>
      <w:u w:val="single"/>
    </w:rPr>
  </w:style>
  <w:style w:type="paragraph" w:styleId="Heading2">
    <w:name w:val="heading 2"/>
    <w:basedOn w:val="Normal"/>
    <w:next w:val="Normal"/>
    <w:qFormat/>
    <w:rsid w:val="00351B1B"/>
    <w:pPr>
      <w:keepNext/>
      <w:spacing w:before="120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351B1B"/>
    <w:pPr>
      <w:keepNext/>
      <w:spacing w:before="120"/>
      <w:jc w:val="right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351B1B"/>
    <w:pPr>
      <w:spacing w:before="120"/>
      <w:ind w:firstLine="720"/>
    </w:pPr>
  </w:style>
  <w:style w:type="paragraph" w:styleId="Header">
    <w:name w:val="header"/>
    <w:basedOn w:val="Normal"/>
    <w:rsid w:val="00351B1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51B1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51B1B"/>
  </w:style>
  <w:style w:type="paragraph" w:styleId="BalloonText">
    <w:name w:val="Balloon Text"/>
    <w:basedOn w:val="Normal"/>
    <w:link w:val="BalloonTextChar"/>
    <w:rsid w:val="002D77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D77F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582440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rsid w:val="0017499A"/>
    <w:rPr>
      <w:sz w:val="16"/>
      <w:szCs w:val="16"/>
    </w:rPr>
  </w:style>
  <w:style w:type="paragraph" w:styleId="CommentText">
    <w:name w:val="annotation text"/>
    <w:basedOn w:val="Normal"/>
    <w:link w:val="CommentTextChar"/>
    <w:rsid w:val="0017499A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17499A"/>
  </w:style>
  <w:style w:type="paragraph" w:styleId="CommentSubject">
    <w:name w:val="annotation subject"/>
    <w:basedOn w:val="CommentText"/>
    <w:next w:val="CommentText"/>
    <w:link w:val="CommentSubjectChar"/>
    <w:rsid w:val="001749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7499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1B1B"/>
    <w:rPr>
      <w:sz w:val="24"/>
    </w:rPr>
  </w:style>
  <w:style w:type="paragraph" w:styleId="Heading1">
    <w:name w:val="heading 1"/>
    <w:basedOn w:val="Normal"/>
    <w:next w:val="Normal"/>
    <w:qFormat/>
    <w:rsid w:val="00351B1B"/>
    <w:pPr>
      <w:keepNext/>
      <w:outlineLvl w:val="0"/>
    </w:pPr>
    <w:rPr>
      <w:b/>
      <w:u w:val="single"/>
    </w:rPr>
  </w:style>
  <w:style w:type="paragraph" w:styleId="Heading2">
    <w:name w:val="heading 2"/>
    <w:basedOn w:val="Normal"/>
    <w:next w:val="Normal"/>
    <w:qFormat/>
    <w:rsid w:val="00351B1B"/>
    <w:pPr>
      <w:keepNext/>
      <w:spacing w:before="120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351B1B"/>
    <w:pPr>
      <w:keepNext/>
      <w:spacing w:before="120"/>
      <w:jc w:val="right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351B1B"/>
    <w:pPr>
      <w:spacing w:before="120"/>
      <w:ind w:firstLine="720"/>
    </w:pPr>
  </w:style>
  <w:style w:type="paragraph" w:styleId="Header">
    <w:name w:val="header"/>
    <w:basedOn w:val="Normal"/>
    <w:rsid w:val="00351B1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51B1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51B1B"/>
  </w:style>
  <w:style w:type="paragraph" w:styleId="BalloonText">
    <w:name w:val="Balloon Text"/>
    <w:basedOn w:val="Normal"/>
    <w:link w:val="BalloonTextChar"/>
    <w:rsid w:val="002D77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D77F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582440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rsid w:val="0017499A"/>
    <w:rPr>
      <w:sz w:val="16"/>
      <w:szCs w:val="16"/>
    </w:rPr>
  </w:style>
  <w:style w:type="paragraph" w:styleId="CommentText">
    <w:name w:val="annotation text"/>
    <w:basedOn w:val="Normal"/>
    <w:link w:val="CommentTextChar"/>
    <w:rsid w:val="0017499A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17499A"/>
  </w:style>
  <w:style w:type="paragraph" w:styleId="CommentSubject">
    <w:name w:val="annotation subject"/>
    <w:basedOn w:val="CommentText"/>
    <w:next w:val="CommentText"/>
    <w:link w:val="CommentSubjectChar"/>
    <w:rsid w:val="001749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7499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65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21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8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0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66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8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8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56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5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noj.pillai@usmint.treas.gov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941</Words>
  <Characters>5370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#1545-0012 supporting statement: generic IC -0210</vt:lpstr>
    </vt:vector>
  </TitlesOfParts>
  <Company>Department of the Treasury</Company>
  <LinksUpToDate>false</LinksUpToDate>
  <CharactersWithSpaces>6299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#1545-0012 supporting statement: generic IC -0210</dc:title>
  <dc:creator>U.S. Mint</dc:creator>
  <cp:lastModifiedBy>SYSTEM</cp:lastModifiedBy>
  <cp:revision>2</cp:revision>
  <cp:lastPrinted>2006-12-13T18:25:00Z</cp:lastPrinted>
  <dcterms:created xsi:type="dcterms:W3CDTF">2018-02-06T21:29:00Z</dcterms:created>
  <dcterms:modified xsi:type="dcterms:W3CDTF">2018-02-06T21:29:00Z</dcterms:modified>
</cp:coreProperties>
</file>