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B2" w:rsidRPr="00A8157D" w:rsidRDefault="003D5FB2" w:rsidP="00330764">
      <w:pPr>
        <w:pStyle w:val="Heading1"/>
        <w:numPr>
          <w:ilvl w:val="0"/>
          <w:numId w:val="0"/>
        </w:numPr>
        <w:spacing w:before="0"/>
        <w:ind w:left="360" w:hanging="360"/>
        <w:jc w:val="center"/>
        <w:rPr>
          <w:rFonts w:eastAsia="ヒラギノ角ゴ Pro W3" w:cs="Times New Roman"/>
          <w:bCs w:val="0"/>
          <w:sz w:val="24"/>
          <w:szCs w:val="24"/>
        </w:rPr>
      </w:pPr>
    </w:p>
    <w:p w:rsidR="003D5FB2" w:rsidRPr="00E610D2" w:rsidRDefault="003D5FB2" w:rsidP="00330764">
      <w:pPr>
        <w:pStyle w:val="Heading1"/>
        <w:numPr>
          <w:ilvl w:val="0"/>
          <w:numId w:val="0"/>
        </w:numPr>
        <w:spacing w:before="0"/>
        <w:ind w:left="360" w:hanging="360"/>
        <w:jc w:val="center"/>
        <w:rPr>
          <w:rFonts w:eastAsia="ヒラギノ角ゴ Pro W3" w:cs="Times New Roman"/>
          <w:bCs w:val="0"/>
          <w:sz w:val="24"/>
          <w:szCs w:val="24"/>
        </w:rPr>
      </w:pPr>
      <w:r w:rsidRPr="00A8157D">
        <w:rPr>
          <w:rFonts w:eastAsia="ヒラギノ角ゴ Pro W3" w:cs="Times New Roman"/>
          <w:bCs w:val="0"/>
          <w:sz w:val="24"/>
          <w:szCs w:val="24"/>
        </w:rPr>
        <w:t>OFFICE OF FEDERAL CONTRACT COMPLIANCE PROGRAMS</w:t>
      </w:r>
    </w:p>
    <w:p w:rsidR="003D5FB2" w:rsidRPr="00A8157D" w:rsidRDefault="003D5FB2" w:rsidP="00330764">
      <w:pPr>
        <w:pStyle w:val="Heading1"/>
        <w:numPr>
          <w:ilvl w:val="0"/>
          <w:numId w:val="0"/>
        </w:numPr>
        <w:spacing w:before="0"/>
        <w:ind w:left="360" w:hanging="360"/>
        <w:jc w:val="center"/>
        <w:rPr>
          <w:rFonts w:eastAsia="ヒラギノ角ゴ Pro W3" w:cs="Times New Roman"/>
          <w:bCs w:val="0"/>
          <w:sz w:val="24"/>
          <w:szCs w:val="24"/>
        </w:rPr>
      </w:pPr>
    </w:p>
    <w:p w:rsidR="00857480" w:rsidRPr="00A8157D" w:rsidRDefault="00857480" w:rsidP="00330764">
      <w:pPr>
        <w:pStyle w:val="Heading1"/>
        <w:numPr>
          <w:ilvl w:val="0"/>
          <w:numId w:val="0"/>
        </w:numPr>
        <w:spacing w:before="0"/>
        <w:ind w:left="360" w:hanging="360"/>
        <w:jc w:val="center"/>
        <w:rPr>
          <w:rFonts w:eastAsia="ヒラギノ角ゴ Pro W3" w:cs="Times New Roman"/>
          <w:bCs w:val="0"/>
          <w:sz w:val="24"/>
          <w:szCs w:val="24"/>
        </w:rPr>
      </w:pPr>
      <w:r w:rsidRPr="00A8157D">
        <w:rPr>
          <w:rFonts w:eastAsia="ヒラギノ角ゴ Pro W3" w:cs="Times New Roman"/>
          <w:bCs w:val="0"/>
          <w:sz w:val="24"/>
          <w:szCs w:val="24"/>
        </w:rPr>
        <w:t xml:space="preserve">EQUAL PAY REPORT </w:t>
      </w:r>
    </w:p>
    <w:p w:rsidR="00B879A1" w:rsidRPr="00A8157D" w:rsidRDefault="00B879A1" w:rsidP="00330764">
      <w:pPr>
        <w:pStyle w:val="Heading1"/>
        <w:numPr>
          <w:ilvl w:val="0"/>
          <w:numId w:val="0"/>
        </w:numPr>
        <w:spacing w:before="0"/>
        <w:ind w:left="360" w:hanging="360"/>
        <w:jc w:val="center"/>
        <w:rPr>
          <w:rFonts w:cs="Times New Roman"/>
          <w:sz w:val="24"/>
          <w:szCs w:val="24"/>
        </w:rPr>
      </w:pPr>
      <w:r w:rsidRPr="00A8157D">
        <w:rPr>
          <w:rFonts w:eastAsia="ヒラギノ角ゴ Pro W3" w:cs="Times New Roman"/>
          <w:bCs w:val="0"/>
          <w:sz w:val="24"/>
          <w:szCs w:val="24"/>
        </w:rPr>
        <w:t>INSTRUCTION BOOKLET</w:t>
      </w:r>
    </w:p>
    <w:p w:rsidR="00B879A1" w:rsidRPr="00A8157D" w:rsidRDefault="00B879A1" w:rsidP="00F64BDA">
      <w:pPr>
        <w:pStyle w:val="ListParagraph"/>
        <w:ind w:left="360" w:hanging="360"/>
        <w:rPr>
          <w:color w:val="auto"/>
          <w:szCs w:val="24"/>
        </w:rPr>
      </w:pPr>
    </w:p>
    <w:p w:rsidR="003D5FB2" w:rsidRPr="00A8157D" w:rsidRDefault="003D5FB2" w:rsidP="003D5FB2">
      <w:pPr>
        <w:rPr>
          <w:color w:val="auto"/>
        </w:rPr>
      </w:pPr>
      <w:r w:rsidRPr="00A8157D">
        <w:rPr>
          <w:color w:val="auto"/>
        </w:rPr>
        <w:t xml:space="preserve">The Equal Pay Report requires covered contractors </w:t>
      </w:r>
      <w:r w:rsidR="005C745B" w:rsidRPr="00A8157D">
        <w:rPr>
          <w:color w:val="auto"/>
        </w:rPr>
        <w:t xml:space="preserve">and subcontractors </w:t>
      </w:r>
      <w:r w:rsidRPr="00A8157D">
        <w:rPr>
          <w:color w:val="auto"/>
        </w:rPr>
        <w:t>to provide summary data on the compensation</w:t>
      </w:r>
      <w:r w:rsidR="00075AA0" w:rsidRPr="00A8157D">
        <w:rPr>
          <w:color w:val="auto"/>
        </w:rPr>
        <w:t>, total</w:t>
      </w:r>
      <w:r w:rsidRPr="00A8157D">
        <w:rPr>
          <w:color w:val="auto"/>
        </w:rPr>
        <w:t xml:space="preserve"> work hours</w:t>
      </w:r>
      <w:r w:rsidR="00A8157D" w:rsidRPr="00A8157D">
        <w:rPr>
          <w:color w:val="auto"/>
        </w:rPr>
        <w:t>, and number</w:t>
      </w:r>
      <w:r w:rsidRPr="00A8157D">
        <w:rPr>
          <w:color w:val="auto"/>
        </w:rPr>
        <w:t xml:space="preserve"> of employees by sex, race, ethnicity, and specified job categories.  OFCCP is collecting this information pursuant to its authority under Executive Order (EO</w:t>
      </w:r>
      <w:r w:rsidR="00F07119" w:rsidRPr="00A8157D">
        <w:rPr>
          <w:color w:val="auto"/>
        </w:rPr>
        <w:t>) 11246</w:t>
      </w:r>
      <w:r w:rsidRPr="00A8157D">
        <w:rPr>
          <w:color w:val="auto"/>
        </w:rPr>
        <w:t xml:space="preserve"> and its implementing regulations at 41 CFR.  </w:t>
      </w:r>
      <w:r w:rsidRPr="00A8157D">
        <w:rPr>
          <w:bCs/>
          <w:color w:val="auto"/>
        </w:rPr>
        <w:t>60-1.1</w:t>
      </w:r>
      <w:r w:rsidRPr="00A8157D">
        <w:rPr>
          <w:color w:val="auto"/>
        </w:rPr>
        <w:t xml:space="preserve">, </w:t>
      </w:r>
      <w:r w:rsidRPr="00A8157D">
        <w:rPr>
          <w:color w:val="auto"/>
          <w:u w:val="single"/>
        </w:rPr>
        <w:t>et seq</w:t>
      </w:r>
      <w:r w:rsidRPr="00A8157D">
        <w:rPr>
          <w:color w:val="auto"/>
        </w:rPr>
        <w:t>.  The EO prohibits employment discrimination, by covered Federal contractors and subcontractors, against employees and job applicants on the basis of race, color, religion, sex, sexual orientation, and gender identity and national origin.</w:t>
      </w:r>
      <w:r w:rsidR="004136CC">
        <w:rPr>
          <w:rStyle w:val="FootnoteReference"/>
          <w:color w:val="auto"/>
        </w:rPr>
        <w:footnoteReference w:id="1"/>
      </w:r>
      <w:r w:rsidRPr="00A8157D">
        <w:rPr>
          <w:color w:val="auto"/>
        </w:rPr>
        <w:t xml:space="preserve">  These prohibitions also include compensation discrimination on the basis race, color, religion, sex, sexual orientation, gender identity or national origin.</w:t>
      </w:r>
      <w:r w:rsidR="004136CC">
        <w:rPr>
          <w:rStyle w:val="FootnoteReference"/>
          <w:color w:val="auto"/>
        </w:rPr>
        <w:footnoteReference w:id="2"/>
      </w:r>
      <w:r w:rsidRPr="00A8157D">
        <w:rPr>
          <w:color w:val="auto"/>
        </w:rPr>
        <w:t xml:space="preserve"> </w:t>
      </w:r>
    </w:p>
    <w:p w:rsidR="003D5FB2" w:rsidRPr="00E610D2" w:rsidRDefault="003D5FB2" w:rsidP="003D5FB2">
      <w:pPr>
        <w:rPr>
          <w:color w:val="auto"/>
        </w:rPr>
      </w:pPr>
    </w:p>
    <w:p w:rsidR="003D5FB2" w:rsidRPr="00A8157D" w:rsidRDefault="003D5FB2" w:rsidP="003D5FB2">
      <w:pPr>
        <w:rPr>
          <w:color w:val="auto"/>
        </w:rPr>
      </w:pPr>
      <w:r w:rsidRPr="00A8157D">
        <w:rPr>
          <w:color w:val="auto"/>
        </w:rPr>
        <w:t>The requirements in Executive Order 11246 generally apply to any business or organization that: (1) holds a single Federal contract, subcontract, or Federally assisted construction contract in excess of $10,000; (2) has Federal contracts or subcontracts with a combined total exceeding $10,000 in any 12-month period; or (3) holds Government bills of lading, serves as a depository of Federal funds, or is an issuing and paying agency for U.S. savings bonds and notes in any amount.</w:t>
      </w:r>
    </w:p>
    <w:p w:rsidR="003D5FB2" w:rsidRPr="00A8157D" w:rsidRDefault="003D5FB2" w:rsidP="00E65604">
      <w:pPr>
        <w:rPr>
          <w:color w:val="auto"/>
        </w:rPr>
      </w:pPr>
    </w:p>
    <w:p w:rsidR="005B60B9" w:rsidRPr="00C43386" w:rsidRDefault="003018A8" w:rsidP="005B60B9">
      <w:pPr>
        <w:contextualSpacing/>
        <w:rPr>
          <w:color w:val="auto"/>
        </w:rPr>
      </w:pPr>
      <w:r w:rsidRPr="00C43386">
        <w:rPr>
          <w:color w:val="auto"/>
        </w:rPr>
        <w:t xml:space="preserve">The Equal Pay Report is a critical tool for eradicating </w:t>
      </w:r>
      <w:r w:rsidR="002A172E">
        <w:rPr>
          <w:color w:val="auto"/>
        </w:rPr>
        <w:t xml:space="preserve">gender and race-based </w:t>
      </w:r>
      <w:r w:rsidRPr="00C43386">
        <w:rPr>
          <w:color w:val="auto"/>
        </w:rPr>
        <w:t>compensation discrimination</w:t>
      </w:r>
      <w:r w:rsidR="002A172E" w:rsidRPr="002A172E">
        <w:rPr>
          <w:color w:val="auto"/>
        </w:rPr>
        <w:t xml:space="preserve"> by enhancing two enforcement objectives: (1) greater voluntary compliance, and (2) greater deterrence of noncompliant behaviors by contractors</w:t>
      </w:r>
      <w:r w:rsidR="009B31C0">
        <w:rPr>
          <w:color w:val="auto"/>
        </w:rPr>
        <w:t>,</w:t>
      </w:r>
      <w:r w:rsidR="002A172E" w:rsidRPr="002A172E">
        <w:rPr>
          <w:color w:val="auto"/>
        </w:rPr>
        <w:t xml:space="preserve"> and</w:t>
      </w:r>
      <w:bookmarkStart w:id="0" w:name="_GoBack"/>
      <w:bookmarkEnd w:id="0"/>
      <w:r w:rsidRPr="00C43386">
        <w:rPr>
          <w:color w:val="auto"/>
        </w:rPr>
        <w:t xml:space="preserve"> </w:t>
      </w:r>
      <w:r w:rsidR="005B60B9" w:rsidRPr="00C43386">
        <w:rPr>
          <w:color w:val="auto"/>
        </w:rPr>
        <w:t xml:space="preserve">OFCCP uses the </w:t>
      </w:r>
      <w:r w:rsidR="00B41B7C" w:rsidRPr="00C43386">
        <w:rPr>
          <w:color w:val="auto"/>
        </w:rPr>
        <w:t xml:space="preserve">summary </w:t>
      </w:r>
      <w:r w:rsidR="005B60B9" w:rsidRPr="00C43386">
        <w:rPr>
          <w:color w:val="auto"/>
        </w:rPr>
        <w:t>data in the Equal Pay Report to establish objective</w:t>
      </w:r>
      <w:r w:rsidR="00B41B7C" w:rsidRPr="00C43386">
        <w:rPr>
          <w:color w:val="auto"/>
        </w:rPr>
        <w:t xml:space="preserve"> industry standards for </w:t>
      </w:r>
      <w:r w:rsidR="005B60B9" w:rsidRPr="00C43386">
        <w:rPr>
          <w:color w:val="auto"/>
        </w:rPr>
        <w:t>emp</w:t>
      </w:r>
      <w:r w:rsidR="00B41B7C" w:rsidRPr="00C43386">
        <w:rPr>
          <w:color w:val="auto"/>
        </w:rPr>
        <w:t>loyee compensation</w:t>
      </w:r>
      <w:r w:rsidRPr="00C43386">
        <w:rPr>
          <w:color w:val="auto"/>
        </w:rPr>
        <w:t>, and to prioritize</w:t>
      </w:r>
      <w:r w:rsidR="005B60B9" w:rsidRPr="00C43386">
        <w:rPr>
          <w:color w:val="auto"/>
        </w:rPr>
        <w:t xml:space="preserve"> contractors </w:t>
      </w:r>
      <w:r w:rsidR="005C745B" w:rsidRPr="00C43386">
        <w:rPr>
          <w:color w:val="auto"/>
        </w:rPr>
        <w:t xml:space="preserve">and subcontractors </w:t>
      </w:r>
      <w:r w:rsidR="005B60B9" w:rsidRPr="00C43386">
        <w:rPr>
          <w:color w:val="auto"/>
        </w:rPr>
        <w:t xml:space="preserve">for compliance evaluations.  This prioritization </w:t>
      </w:r>
      <w:r w:rsidR="00B41B7C" w:rsidRPr="00C43386">
        <w:rPr>
          <w:color w:val="auto"/>
        </w:rPr>
        <w:t>is</w:t>
      </w:r>
      <w:r w:rsidR="005B60B9" w:rsidRPr="00C43386">
        <w:rPr>
          <w:color w:val="auto"/>
        </w:rPr>
        <w:t xml:space="preserve"> based on the amount of difference between a contractor’s pay standards </w:t>
      </w:r>
      <w:r w:rsidR="001C1227" w:rsidRPr="00C43386">
        <w:rPr>
          <w:color w:val="auto"/>
        </w:rPr>
        <w:t xml:space="preserve">when compared to the established industry standards. </w:t>
      </w:r>
      <w:r w:rsidR="005B60B9" w:rsidRPr="00C43386">
        <w:rPr>
          <w:color w:val="auto"/>
        </w:rPr>
        <w:t xml:space="preserve">In this way, OFCCP is able to direct its </w:t>
      </w:r>
      <w:r w:rsidR="00B41B7C" w:rsidRPr="00C43386">
        <w:rPr>
          <w:color w:val="auto"/>
        </w:rPr>
        <w:t xml:space="preserve">limited </w:t>
      </w:r>
      <w:r w:rsidR="005B60B9" w:rsidRPr="00C43386">
        <w:rPr>
          <w:color w:val="auto"/>
        </w:rPr>
        <w:t>enfor</w:t>
      </w:r>
      <w:r w:rsidR="00B41B7C" w:rsidRPr="00C43386">
        <w:rPr>
          <w:color w:val="auto"/>
        </w:rPr>
        <w:t>cement resources toward contractors and subcontractors</w:t>
      </w:r>
      <w:r w:rsidR="005B60B9" w:rsidRPr="00C43386">
        <w:rPr>
          <w:color w:val="auto"/>
        </w:rPr>
        <w:t xml:space="preserve"> for which reported data suggest potential pay</w:t>
      </w:r>
      <w:r w:rsidR="00B41B7C" w:rsidRPr="00C43386">
        <w:rPr>
          <w:color w:val="auto"/>
        </w:rPr>
        <w:t xml:space="preserve"> violations. </w:t>
      </w:r>
      <w:r w:rsidR="005B60B9" w:rsidRPr="00C43386">
        <w:rPr>
          <w:color w:val="auto"/>
        </w:rPr>
        <w:t>OFCCP also share</w:t>
      </w:r>
      <w:r w:rsidR="00B41B7C" w:rsidRPr="00C43386">
        <w:rPr>
          <w:color w:val="auto"/>
        </w:rPr>
        <w:t>s</w:t>
      </w:r>
      <w:r w:rsidR="005B60B9" w:rsidRPr="00C43386">
        <w:rPr>
          <w:color w:val="auto"/>
        </w:rPr>
        <w:t xml:space="preserve"> summary information about the industry standards </w:t>
      </w:r>
      <w:r w:rsidR="009B31C0">
        <w:rPr>
          <w:color w:val="auto"/>
        </w:rPr>
        <w:t xml:space="preserve">for </w:t>
      </w:r>
      <w:r w:rsidR="009B31C0" w:rsidRPr="009B31C0">
        <w:rPr>
          <w:color w:val="auto"/>
        </w:rPr>
        <w:t>contractors</w:t>
      </w:r>
      <w:r w:rsidR="00186B5C">
        <w:rPr>
          <w:color w:val="auto"/>
        </w:rPr>
        <w:t xml:space="preserve"> to use as a tool when conducting self-analysis.</w:t>
      </w:r>
      <w:r w:rsidR="005B60B9" w:rsidRPr="00C43386">
        <w:rPr>
          <w:color w:val="auto"/>
        </w:rPr>
        <w:t xml:space="preserve"> </w:t>
      </w:r>
    </w:p>
    <w:p w:rsidR="006D1AD7" w:rsidRPr="00A8157D" w:rsidRDefault="006D1AD7" w:rsidP="008720AE">
      <w:pPr>
        <w:ind w:firstLine="720"/>
        <w:rPr>
          <w:color w:val="auto"/>
        </w:rPr>
      </w:pPr>
    </w:p>
    <w:p w:rsidR="001C1227" w:rsidRPr="00C43386" w:rsidRDefault="009C6111" w:rsidP="00C43386">
      <w:pPr>
        <w:rPr>
          <w:color w:val="auto"/>
        </w:rPr>
      </w:pPr>
      <w:r w:rsidRPr="00A8157D">
        <w:rPr>
          <w:color w:val="auto"/>
        </w:rPr>
        <w:t>The regulations at 41 CFR 60-1.7 state the Equal Pay Report</w:t>
      </w:r>
      <w:r w:rsidR="00D56131" w:rsidRPr="00A8157D">
        <w:rPr>
          <w:color w:val="auto"/>
        </w:rPr>
        <w:t xml:space="preserve"> report</w:t>
      </w:r>
      <w:r w:rsidRPr="00A8157D">
        <w:rPr>
          <w:color w:val="auto"/>
        </w:rPr>
        <w:t>ing obligations for covered contractors and subcontractors</w:t>
      </w:r>
      <w:r w:rsidR="003018A8" w:rsidRPr="00A8157D">
        <w:rPr>
          <w:color w:val="auto"/>
        </w:rPr>
        <w:t>. Pursuant to these provisions, a</w:t>
      </w:r>
      <w:r w:rsidR="001C1227" w:rsidRPr="00A8157D">
        <w:rPr>
          <w:color w:val="auto"/>
        </w:rPr>
        <w:t xml:space="preserve"> </w:t>
      </w:r>
      <w:r w:rsidR="003018A8" w:rsidRPr="00A8157D">
        <w:rPr>
          <w:color w:val="auto"/>
        </w:rPr>
        <w:t>f</w:t>
      </w:r>
      <w:r w:rsidR="003D5FB2" w:rsidRPr="00A8157D">
        <w:rPr>
          <w:color w:val="auto"/>
        </w:rPr>
        <w:t xml:space="preserve">ailure to file a timely, complete and accurate Equal Pay Report constitutes a violation of Executive Order 11246 and its implementing regulations that may subject the contractor to the sanctions </w:t>
      </w:r>
      <w:r w:rsidR="001C1227" w:rsidRPr="00C43386">
        <w:rPr>
          <w:color w:val="auto"/>
        </w:rPr>
        <w:t xml:space="preserve">identified in paragraph (6) of the Equal Opportunity clause </w:t>
      </w:r>
      <w:r w:rsidR="00A316DA">
        <w:rPr>
          <w:color w:val="auto"/>
        </w:rPr>
        <w:t xml:space="preserve">and </w:t>
      </w:r>
      <w:r w:rsidR="001C1227" w:rsidRPr="00C43386">
        <w:rPr>
          <w:color w:val="auto"/>
        </w:rPr>
        <w:t>in § 60-1.4(a) and (b) and §60-1.27.</w:t>
      </w:r>
      <w:r w:rsidR="001C1227" w:rsidRPr="00C43386" w:rsidDel="0047433F">
        <w:rPr>
          <w:color w:val="auto"/>
        </w:rPr>
        <w:t xml:space="preserve"> </w:t>
      </w:r>
      <w:r w:rsidR="001C1227" w:rsidRPr="00C43386">
        <w:rPr>
          <w:color w:val="auto"/>
        </w:rPr>
        <w:t xml:space="preserve"> </w:t>
      </w:r>
    </w:p>
    <w:p w:rsidR="001C1227" w:rsidRPr="00A8157D" w:rsidRDefault="001C1227" w:rsidP="003D5FB2">
      <w:pPr>
        <w:rPr>
          <w:color w:val="auto"/>
        </w:rPr>
      </w:pPr>
    </w:p>
    <w:p w:rsidR="00742ED2" w:rsidRPr="00A8157D" w:rsidRDefault="00742ED2" w:rsidP="00330764">
      <w:pPr>
        <w:rPr>
          <w:color w:val="auto"/>
        </w:rPr>
      </w:pPr>
    </w:p>
    <w:p w:rsidR="00B879A1" w:rsidRPr="00E610D2" w:rsidRDefault="009C7596" w:rsidP="00330764">
      <w:pPr>
        <w:pStyle w:val="Heading1"/>
        <w:spacing w:before="0"/>
        <w:rPr>
          <w:rFonts w:cs="Times New Roman"/>
          <w:sz w:val="24"/>
          <w:szCs w:val="24"/>
        </w:rPr>
      </w:pPr>
      <w:bookmarkStart w:id="1" w:name="_Toc366481870"/>
      <w:r w:rsidRPr="00E610D2">
        <w:rPr>
          <w:rFonts w:cs="Times New Roman"/>
          <w:sz w:val="24"/>
          <w:szCs w:val="24"/>
        </w:rPr>
        <w:lastRenderedPageBreak/>
        <w:t>W</w:t>
      </w:r>
      <w:r w:rsidR="00A83924" w:rsidRPr="00E610D2">
        <w:rPr>
          <w:rFonts w:cs="Times New Roman"/>
          <w:sz w:val="24"/>
          <w:szCs w:val="24"/>
        </w:rPr>
        <w:t>HO MUST FILE</w:t>
      </w:r>
      <w:bookmarkEnd w:id="1"/>
    </w:p>
    <w:p w:rsidR="00B879A1" w:rsidRPr="00A8157D" w:rsidRDefault="00B879A1" w:rsidP="00E65604">
      <w:pPr>
        <w:pStyle w:val="ListParagraph"/>
        <w:ind w:left="360" w:hanging="360"/>
        <w:rPr>
          <w:color w:val="auto"/>
          <w:szCs w:val="24"/>
        </w:rPr>
      </w:pPr>
    </w:p>
    <w:p w:rsidR="002213A9" w:rsidRPr="00C43386" w:rsidRDefault="00C32C25" w:rsidP="00E65604">
      <w:pPr>
        <w:rPr>
          <w:color w:val="auto"/>
        </w:rPr>
      </w:pPr>
      <w:r w:rsidRPr="00A8157D">
        <w:rPr>
          <w:color w:val="auto"/>
        </w:rPr>
        <w:t>The Equal Pay</w:t>
      </w:r>
      <w:r w:rsidR="003F4223" w:rsidRPr="00A8157D">
        <w:rPr>
          <w:color w:val="auto"/>
        </w:rPr>
        <w:t xml:space="preserve"> Report must be filed by </w:t>
      </w:r>
      <w:r w:rsidR="008C3339" w:rsidRPr="00A8157D">
        <w:rPr>
          <w:color w:val="auto"/>
        </w:rPr>
        <w:t>e</w:t>
      </w:r>
      <w:r w:rsidR="00742ED2" w:rsidRPr="00C43386">
        <w:rPr>
          <w:color w:val="auto"/>
        </w:rPr>
        <w:t>ach contractor</w:t>
      </w:r>
      <w:r w:rsidR="00170948" w:rsidRPr="00C43386">
        <w:rPr>
          <w:color w:val="auto"/>
        </w:rPr>
        <w:t xml:space="preserve"> or subcontractor</w:t>
      </w:r>
      <w:r w:rsidR="00742ED2" w:rsidRPr="00C43386">
        <w:rPr>
          <w:color w:val="auto"/>
        </w:rPr>
        <w:t xml:space="preserve"> that</w:t>
      </w:r>
      <w:r w:rsidR="002213A9" w:rsidRPr="00C43386">
        <w:rPr>
          <w:color w:val="auto"/>
        </w:rPr>
        <w:t>:</w:t>
      </w:r>
    </w:p>
    <w:p w:rsidR="00F5427B" w:rsidRPr="00C43386" w:rsidRDefault="00F5427B" w:rsidP="00E65604">
      <w:pPr>
        <w:rPr>
          <w:color w:val="auto"/>
        </w:rPr>
      </w:pPr>
    </w:p>
    <w:p w:rsidR="00170948" w:rsidRPr="00C43386" w:rsidRDefault="00170948" w:rsidP="00330764">
      <w:pPr>
        <w:pStyle w:val="Heading4"/>
        <w:numPr>
          <w:ilvl w:val="1"/>
          <w:numId w:val="6"/>
        </w:numPr>
        <w:spacing w:before="0"/>
        <w:ind w:left="720"/>
        <w:rPr>
          <w:rFonts w:ascii="Times New Roman" w:hAnsi="Times New Roman" w:cs="Times New Roman"/>
          <w:b w:val="0"/>
          <w:i w:val="0"/>
          <w:color w:val="auto"/>
        </w:rPr>
      </w:pPr>
      <w:r w:rsidRPr="00C43386">
        <w:rPr>
          <w:rFonts w:ascii="Times New Roman" w:hAnsi="Times New Roman" w:cs="Times New Roman"/>
          <w:b w:val="0"/>
          <w:i w:val="0"/>
          <w:color w:val="auto"/>
        </w:rPr>
        <w:t xml:space="preserve">is not exempt from reporting in accordance with </w:t>
      </w:r>
      <w:r w:rsidR="003F7F12" w:rsidRPr="00C43386">
        <w:rPr>
          <w:rFonts w:ascii="Times New Roman" w:hAnsi="Times New Roman" w:cs="Times New Roman"/>
          <w:b w:val="0"/>
          <w:i w:val="0"/>
          <w:color w:val="auto"/>
        </w:rPr>
        <w:t xml:space="preserve">41 CFR </w:t>
      </w:r>
      <w:r w:rsidRPr="00C43386">
        <w:rPr>
          <w:rFonts w:ascii="Times New Roman" w:hAnsi="Times New Roman" w:cs="Times New Roman"/>
          <w:b w:val="0"/>
          <w:i w:val="0"/>
          <w:color w:val="auto"/>
        </w:rPr>
        <w:t xml:space="preserve">60–1.5; </w:t>
      </w:r>
    </w:p>
    <w:p w:rsidR="00170948" w:rsidRPr="00A8157D" w:rsidRDefault="00207CDE" w:rsidP="00330764">
      <w:pPr>
        <w:pStyle w:val="Heading4"/>
        <w:numPr>
          <w:ilvl w:val="1"/>
          <w:numId w:val="6"/>
        </w:numPr>
        <w:spacing w:before="0"/>
        <w:ind w:left="720"/>
        <w:rPr>
          <w:rFonts w:ascii="Times New Roman" w:hAnsi="Times New Roman" w:cs="Times New Roman"/>
          <w:b w:val="0"/>
          <w:i w:val="0"/>
          <w:color w:val="auto"/>
        </w:rPr>
      </w:pPr>
      <w:r w:rsidRPr="00A8157D">
        <w:rPr>
          <w:rFonts w:ascii="Times New Roman" w:hAnsi="Times New Roman" w:cs="Times New Roman"/>
          <w:b w:val="0"/>
          <w:i w:val="0"/>
          <w:color w:val="auto"/>
        </w:rPr>
        <w:t>has more than 100 employees</w:t>
      </w:r>
      <w:r w:rsidR="00170948" w:rsidRPr="00A8157D">
        <w:rPr>
          <w:rFonts w:ascii="Times New Roman" w:hAnsi="Times New Roman" w:cs="Times New Roman"/>
          <w:b w:val="0"/>
          <w:i w:val="0"/>
          <w:color w:val="auto"/>
        </w:rPr>
        <w:t xml:space="preserve">; </w:t>
      </w:r>
    </w:p>
    <w:p w:rsidR="00F5427B" w:rsidRPr="00A8157D" w:rsidRDefault="00F5427B" w:rsidP="00F5427B">
      <w:pPr>
        <w:pStyle w:val="Heading4"/>
        <w:numPr>
          <w:ilvl w:val="1"/>
          <w:numId w:val="6"/>
        </w:numPr>
        <w:spacing w:before="0"/>
        <w:ind w:left="1440" w:hanging="720"/>
        <w:rPr>
          <w:rFonts w:ascii="Times New Roman" w:hAnsi="Times New Roman" w:cs="Times New Roman"/>
          <w:b w:val="0"/>
          <w:i w:val="0"/>
          <w:color w:val="auto"/>
        </w:rPr>
      </w:pPr>
      <w:r w:rsidRPr="00E610D2">
        <w:rPr>
          <w:rFonts w:ascii="Times New Roman" w:hAnsi="Times New Roman" w:cs="Times New Roman"/>
          <w:b w:val="0"/>
          <w:i w:val="0"/>
          <w:color w:val="auto"/>
        </w:rPr>
        <w:t xml:space="preserve">has a covered contract or subcontract with a duration of more than 30 </w:t>
      </w:r>
      <w:r w:rsidR="0008428A" w:rsidRPr="00E610D2">
        <w:rPr>
          <w:rFonts w:ascii="Times New Roman" w:hAnsi="Times New Roman" w:cs="Times New Roman"/>
          <w:b w:val="0"/>
          <w:i w:val="0"/>
          <w:color w:val="auto"/>
        </w:rPr>
        <w:t>days that</w:t>
      </w:r>
      <w:r w:rsidRPr="00E610D2">
        <w:rPr>
          <w:rFonts w:ascii="Times New Roman" w:hAnsi="Times New Roman" w:cs="Times New Roman"/>
          <w:b w:val="0"/>
          <w:i w:val="0"/>
          <w:color w:val="auto"/>
        </w:rPr>
        <w:t xml:space="preserve"> is </w:t>
      </w:r>
      <w:r w:rsidRPr="00A8157D">
        <w:rPr>
          <w:rFonts w:ascii="Times New Roman" w:hAnsi="Times New Roman" w:cs="Times New Roman"/>
          <w:b w:val="0"/>
          <w:i w:val="0"/>
          <w:color w:val="auto"/>
        </w:rPr>
        <w:t>in effect on December 31</w:t>
      </w:r>
      <w:r w:rsidRPr="00A8157D">
        <w:rPr>
          <w:rFonts w:ascii="Times New Roman" w:hAnsi="Times New Roman" w:cs="Times New Roman"/>
          <w:b w:val="0"/>
          <w:i w:val="0"/>
          <w:color w:val="auto"/>
          <w:vertAlign w:val="superscript"/>
        </w:rPr>
        <w:t>st</w:t>
      </w:r>
      <w:r w:rsidRPr="00A8157D">
        <w:rPr>
          <w:rFonts w:ascii="Times New Roman" w:hAnsi="Times New Roman" w:cs="Times New Roman"/>
          <w:b w:val="0"/>
          <w:i w:val="0"/>
          <w:color w:val="auto"/>
        </w:rPr>
        <w:t xml:space="preserve"> of the reporting year.  A covered contract or subcontract includes any of the following: (i) has a contract, subcontract or purchase order amounting to </w:t>
      </w:r>
      <w:r w:rsidRPr="00A8157D">
        <w:rPr>
          <w:rFonts w:ascii="Times New Roman" w:hAnsi="Times New Roman" w:cs="Times New Roman"/>
          <w:b w:val="0"/>
          <w:i w:val="0"/>
          <w:color w:val="auto"/>
        </w:rPr>
        <w:tab/>
        <w:t>$50,000 or more or</w:t>
      </w:r>
      <w:r w:rsidRPr="00A8157D">
        <w:rPr>
          <w:rFonts w:ascii="Times New Roman" w:hAnsi="Times New Roman" w:cs="Times New Roman"/>
          <w:i w:val="0"/>
          <w:color w:val="auto"/>
        </w:rPr>
        <w:t xml:space="preserve"> </w:t>
      </w:r>
      <w:r w:rsidRPr="00A8157D">
        <w:rPr>
          <w:rFonts w:ascii="Times New Roman" w:hAnsi="Times New Roman" w:cs="Times New Roman"/>
          <w:b w:val="0"/>
          <w:i w:val="0"/>
          <w:color w:val="auto"/>
        </w:rPr>
        <w:t>(ii) serves as a depository of Government funds in any amount, or</w:t>
      </w:r>
      <w:r w:rsidRPr="00A8157D">
        <w:rPr>
          <w:rFonts w:ascii="Times New Roman" w:hAnsi="Times New Roman" w:cs="Times New Roman"/>
          <w:i w:val="0"/>
          <w:color w:val="auto"/>
        </w:rPr>
        <w:t xml:space="preserve"> </w:t>
      </w:r>
      <w:r w:rsidRPr="00A8157D">
        <w:rPr>
          <w:rFonts w:ascii="Times New Roman" w:hAnsi="Times New Roman" w:cs="Times New Roman"/>
          <w:b w:val="0"/>
          <w:i w:val="0"/>
          <w:color w:val="auto"/>
        </w:rPr>
        <w:t>(iii)</w:t>
      </w:r>
      <w:r w:rsidRPr="00A8157D">
        <w:rPr>
          <w:rFonts w:ascii="Times New Roman" w:hAnsi="Times New Roman" w:cs="Times New Roman"/>
          <w:i w:val="0"/>
          <w:color w:val="auto"/>
        </w:rPr>
        <w:t xml:space="preserve"> </w:t>
      </w:r>
      <w:r w:rsidRPr="00A8157D">
        <w:rPr>
          <w:rFonts w:ascii="Times New Roman" w:hAnsi="Times New Roman" w:cs="Times New Roman"/>
          <w:b w:val="0"/>
          <w:i w:val="0"/>
          <w:color w:val="auto"/>
        </w:rPr>
        <w:t xml:space="preserve">is a financial institution which is an issuing and paying agent for </w:t>
      </w:r>
      <w:r w:rsidRPr="00A8157D">
        <w:rPr>
          <w:rFonts w:ascii="Times New Roman" w:hAnsi="Times New Roman" w:cs="Times New Roman"/>
          <w:b w:val="0"/>
          <w:i w:val="0"/>
          <w:color w:val="auto"/>
        </w:rPr>
        <w:tab/>
        <w:t>U.S. savings bonds and savings notes; and</w:t>
      </w:r>
    </w:p>
    <w:p w:rsidR="00170948" w:rsidRPr="00A8157D" w:rsidRDefault="001C1227" w:rsidP="00330764">
      <w:pPr>
        <w:pStyle w:val="Heading4"/>
        <w:numPr>
          <w:ilvl w:val="1"/>
          <w:numId w:val="6"/>
        </w:numPr>
        <w:spacing w:before="0"/>
        <w:ind w:left="1440" w:hanging="720"/>
        <w:rPr>
          <w:rFonts w:ascii="Times New Roman" w:hAnsi="Times New Roman" w:cs="Times New Roman"/>
          <w:b w:val="0"/>
          <w:i w:val="0"/>
          <w:color w:val="auto"/>
        </w:rPr>
      </w:pPr>
      <w:r w:rsidRPr="00A8157D">
        <w:rPr>
          <w:rFonts w:ascii="Times New Roman" w:hAnsi="Times New Roman" w:cs="Times New Roman"/>
          <w:b w:val="0"/>
          <w:i w:val="0"/>
          <w:color w:val="auto"/>
        </w:rPr>
        <w:t>i</w:t>
      </w:r>
      <w:r w:rsidR="0008428A" w:rsidRPr="00A8157D">
        <w:rPr>
          <w:rFonts w:ascii="Times New Roman" w:hAnsi="Times New Roman" w:cs="Times New Roman"/>
          <w:b w:val="0"/>
          <w:i w:val="0"/>
          <w:color w:val="auto"/>
        </w:rPr>
        <w:t>s</w:t>
      </w:r>
      <w:r w:rsidR="00170948" w:rsidRPr="00A8157D">
        <w:rPr>
          <w:rFonts w:ascii="Times New Roman" w:hAnsi="Times New Roman" w:cs="Times New Roman"/>
          <w:b w:val="0"/>
          <w:i w:val="0"/>
          <w:color w:val="auto"/>
        </w:rPr>
        <w:t xml:space="preserve"> a prime contractor</w:t>
      </w:r>
      <w:r w:rsidR="0008428A" w:rsidRPr="00A8157D">
        <w:rPr>
          <w:rFonts w:ascii="Times New Roman" w:hAnsi="Times New Roman" w:cs="Times New Roman"/>
          <w:b w:val="0"/>
          <w:i w:val="0"/>
          <w:color w:val="auto"/>
        </w:rPr>
        <w:t>, first</w:t>
      </w:r>
      <w:r w:rsidR="00E6037B" w:rsidRPr="00A8157D">
        <w:rPr>
          <w:rFonts w:ascii="Times New Roman" w:hAnsi="Times New Roman" w:cs="Times New Roman"/>
          <w:b w:val="0"/>
          <w:i w:val="0"/>
          <w:color w:val="auto"/>
        </w:rPr>
        <w:t xml:space="preserve"> tier subcontractor, or a subcontractor </w:t>
      </w:r>
      <w:r w:rsidR="00F5427B" w:rsidRPr="00F4678C">
        <w:rPr>
          <w:rFonts w:ascii="Times New Roman" w:hAnsi="Times New Roman" w:cs="Times New Roman"/>
          <w:b w:val="0"/>
          <w:i w:val="0"/>
          <w:color w:val="auto"/>
        </w:rPr>
        <w:t xml:space="preserve">on a federal or federally-assisted construction project </w:t>
      </w:r>
      <w:r w:rsidR="00E6037B" w:rsidRPr="004136CC">
        <w:rPr>
          <w:rFonts w:ascii="Times New Roman" w:hAnsi="Times New Roman" w:cs="Times New Roman"/>
          <w:b w:val="0"/>
          <w:i w:val="0"/>
          <w:color w:val="auto"/>
        </w:rPr>
        <w:t>below the first</w:t>
      </w:r>
      <w:r w:rsidR="00F5427B" w:rsidRPr="004136CC">
        <w:rPr>
          <w:rFonts w:ascii="Times New Roman" w:hAnsi="Times New Roman" w:cs="Times New Roman"/>
          <w:b w:val="0"/>
          <w:i w:val="0"/>
          <w:color w:val="auto"/>
        </w:rPr>
        <w:t xml:space="preserve"> </w:t>
      </w:r>
      <w:r w:rsidR="00E6037B" w:rsidRPr="004136CC">
        <w:rPr>
          <w:rFonts w:ascii="Times New Roman" w:hAnsi="Times New Roman" w:cs="Times New Roman"/>
          <w:b w:val="0"/>
          <w:i w:val="0"/>
          <w:color w:val="auto"/>
        </w:rPr>
        <w:t xml:space="preserve">tier </w:t>
      </w:r>
      <w:r w:rsidR="00F5427B" w:rsidRPr="004136CC">
        <w:rPr>
          <w:rFonts w:ascii="Times New Roman" w:hAnsi="Times New Roman" w:cs="Times New Roman"/>
          <w:b w:val="0"/>
          <w:i w:val="0"/>
          <w:color w:val="auto"/>
        </w:rPr>
        <w:t>if it meets the requirements of this section.</w:t>
      </w:r>
      <w:r w:rsidR="00170948" w:rsidRPr="00A8157D">
        <w:rPr>
          <w:rFonts w:ascii="Times New Roman" w:hAnsi="Times New Roman" w:cs="Times New Roman"/>
          <w:b w:val="0"/>
          <w:i w:val="0"/>
          <w:color w:val="auto"/>
        </w:rPr>
        <w:t xml:space="preserve"> </w:t>
      </w:r>
    </w:p>
    <w:p w:rsidR="00B879A1" w:rsidRPr="00C43386" w:rsidRDefault="00B879A1" w:rsidP="008720AE">
      <w:pPr>
        <w:ind w:left="720"/>
        <w:rPr>
          <w:rStyle w:val="FootnoteReference1"/>
          <w:color w:val="auto"/>
          <w:sz w:val="24"/>
        </w:rPr>
      </w:pPr>
    </w:p>
    <w:p w:rsidR="00A83924" w:rsidRPr="00A8157D" w:rsidRDefault="00A83924" w:rsidP="00330764">
      <w:pPr>
        <w:pStyle w:val="Heading1"/>
        <w:spacing w:before="0"/>
        <w:rPr>
          <w:rFonts w:cs="Times New Roman"/>
          <w:sz w:val="24"/>
          <w:szCs w:val="24"/>
        </w:rPr>
      </w:pPr>
      <w:bookmarkStart w:id="2" w:name="_Toc366481871"/>
      <w:r w:rsidRPr="00C43386">
        <w:rPr>
          <w:rFonts w:cs="Times New Roman"/>
          <w:sz w:val="24"/>
          <w:szCs w:val="24"/>
        </w:rPr>
        <w:t>HOW TO FILE</w:t>
      </w:r>
    </w:p>
    <w:p w:rsidR="00425217" w:rsidRPr="00E610D2" w:rsidRDefault="00425217" w:rsidP="00E65604">
      <w:pPr>
        <w:rPr>
          <w:color w:val="auto"/>
        </w:rPr>
      </w:pPr>
    </w:p>
    <w:p w:rsidR="005C745B" w:rsidRPr="00E610D2" w:rsidRDefault="005C745B" w:rsidP="005C745B">
      <w:pPr>
        <w:pStyle w:val="ListParagraph"/>
        <w:ind w:left="0"/>
        <w:rPr>
          <w:color w:val="auto"/>
          <w:szCs w:val="24"/>
        </w:rPr>
      </w:pPr>
      <w:r w:rsidRPr="00E610D2">
        <w:rPr>
          <w:color w:val="auto"/>
          <w:szCs w:val="24"/>
        </w:rPr>
        <w:t xml:space="preserve">The regulations at 41 </w:t>
      </w:r>
      <w:r w:rsidRPr="00F4678C">
        <w:rPr>
          <w:color w:val="auto"/>
          <w:szCs w:val="24"/>
        </w:rPr>
        <w:t>CFR</w:t>
      </w:r>
      <w:r w:rsidRPr="00C43386">
        <w:rPr>
          <w:color w:val="auto"/>
          <w:szCs w:val="24"/>
        </w:rPr>
        <w:t xml:space="preserve"> 60-1.7(b)(3) require</w:t>
      </w:r>
      <w:r w:rsidR="001C3376" w:rsidRPr="00C43386">
        <w:rPr>
          <w:color w:val="auto"/>
          <w:szCs w:val="24"/>
        </w:rPr>
        <w:t xml:space="preserve">s electronic </w:t>
      </w:r>
      <w:r w:rsidR="00473BA3" w:rsidRPr="00473BA3">
        <w:rPr>
          <w:color w:val="auto"/>
          <w:szCs w:val="24"/>
        </w:rPr>
        <w:t>filing of</w:t>
      </w:r>
      <w:r w:rsidR="001C3376" w:rsidRPr="00C43386">
        <w:rPr>
          <w:color w:val="auto"/>
          <w:szCs w:val="24"/>
        </w:rPr>
        <w:t xml:space="preserve"> </w:t>
      </w:r>
      <w:r w:rsidRPr="00C43386">
        <w:rPr>
          <w:color w:val="auto"/>
          <w:szCs w:val="24"/>
        </w:rPr>
        <w:t>the Equal Pay Report</w:t>
      </w:r>
      <w:r w:rsidR="001C3376" w:rsidRPr="00C43386">
        <w:rPr>
          <w:color w:val="auto"/>
          <w:szCs w:val="24"/>
        </w:rPr>
        <w:t>.</w:t>
      </w:r>
      <w:r w:rsidRPr="00C43386">
        <w:rPr>
          <w:color w:val="auto"/>
          <w:szCs w:val="24"/>
          <w:u w:val="single"/>
        </w:rPr>
        <w:t xml:space="preserve"> </w:t>
      </w:r>
      <w:r w:rsidR="001C3376" w:rsidRPr="00A8157D">
        <w:rPr>
          <w:color w:val="auto"/>
          <w:szCs w:val="24"/>
        </w:rPr>
        <w:t>C</w:t>
      </w:r>
      <w:r w:rsidRPr="00A8157D">
        <w:rPr>
          <w:color w:val="auto"/>
          <w:szCs w:val="24"/>
        </w:rPr>
        <w:t>ontractors</w:t>
      </w:r>
      <w:r w:rsidR="001C3376" w:rsidRPr="00A8157D">
        <w:rPr>
          <w:color w:val="auto"/>
          <w:szCs w:val="24"/>
        </w:rPr>
        <w:t xml:space="preserve"> and subcontractors</w:t>
      </w:r>
      <w:r w:rsidRPr="00A8157D">
        <w:rPr>
          <w:color w:val="auto"/>
          <w:szCs w:val="24"/>
        </w:rPr>
        <w:t xml:space="preserve"> should </w:t>
      </w:r>
      <w:r w:rsidRPr="00E610D2">
        <w:rPr>
          <w:color w:val="auto"/>
          <w:szCs w:val="24"/>
        </w:rPr>
        <w:t>submit the Equal Pay</w:t>
      </w:r>
      <w:r w:rsidR="001C3376" w:rsidRPr="00E610D2">
        <w:rPr>
          <w:color w:val="auto"/>
          <w:szCs w:val="24"/>
        </w:rPr>
        <w:t xml:space="preserve"> Report </w:t>
      </w:r>
      <w:r w:rsidRPr="00E610D2">
        <w:rPr>
          <w:color w:val="auto"/>
          <w:szCs w:val="24"/>
        </w:rPr>
        <w:t xml:space="preserve">using the online filing system available at </w:t>
      </w:r>
      <w:r w:rsidRPr="00A8157D">
        <w:rPr>
          <w:color w:val="auto"/>
          <w:szCs w:val="24"/>
        </w:rPr>
        <w:t xml:space="preserve">[Link TBD].  Contractors that are unable to use the online filing system may submit a hardship exemption request to OFCCP pursuant to § 60-1.7(b)(3)(iii). </w:t>
      </w:r>
      <w:r w:rsidRPr="00C43386">
        <w:rPr>
          <w:color w:val="auto"/>
          <w:szCs w:val="24"/>
          <w:u w:val="single"/>
        </w:rPr>
        <w:t>See</w:t>
      </w:r>
      <w:r w:rsidRPr="00A8157D">
        <w:rPr>
          <w:color w:val="auto"/>
          <w:szCs w:val="24"/>
        </w:rPr>
        <w:t xml:space="preserve"> “Alternate Reporting Formats” </w:t>
      </w:r>
      <w:r w:rsidR="00A316DA">
        <w:rPr>
          <w:color w:val="auto"/>
          <w:szCs w:val="24"/>
        </w:rPr>
        <w:t xml:space="preserve">below </w:t>
      </w:r>
      <w:r w:rsidRPr="00A8157D">
        <w:rPr>
          <w:color w:val="auto"/>
          <w:szCs w:val="24"/>
        </w:rPr>
        <w:t xml:space="preserve">for more information on how to </w:t>
      </w:r>
      <w:r w:rsidRPr="00E610D2">
        <w:rPr>
          <w:color w:val="auto"/>
          <w:szCs w:val="24"/>
        </w:rPr>
        <w:t>request a hardship exemption.</w:t>
      </w:r>
    </w:p>
    <w:p w:rsidR="005C745B" w:rsidRPr="00A8157D" w:rsidRDefault="005C745B" w:rsidP="005C745B">
      <w:pPr>
        <w:pStyle w:val="ListParagraph"/>
        <w:ind w:left="0"/>
        <w:rPr>
          <w:color w:val="auto"/>
          <w:szCs w:val="24"/>
        </w:rPr>
      </w:pPr>
      <w:r w:rsidRPr="00A8157D">
        <w:rPr>
          <w:color w:val="auto"/>
          <w:szCs w:val="24"/>
        </w:rPr>
        <w:t>Single establishment contractors must file a single Equal Pay Report.  Multiple establishment contractors must file an Equal Pay Report for each of its establishments (regardless of size) including a report for the headquarters location.  No consolidated reporting for the corporation is required.</w:t>
      </w:r>
    </w:p>
    <w:p w:rsidR="000707C1" w:rsidRPr="00A8157D" w:rsidRDefault="000707C1">
      <w:pPr>
        <w:rPr>
          <w:color w:val="auto"/>
        </w:rPr>
      </w:pPr>
    </w:p>
    <w:p w:rsidR="00462BFE" w:rsidRPr="00A8157D" w:rsidRDefault="00462BFE" w:rsidP="00330764">
      <w:pPr>
        <w:pStyle w:val="Heading1"/>
        <w:spacing w:before="0"/>
        <w:rPr>
          <w:rFonts w:cs="Times New Roman"/>
          <w:sz w:val="24"/>
          <w:szCs w:val="24"/>
        </w:rPr>
      </w:pPr>
      <w:r w:rsidRPr="00A8157D">
        <w:rPr>
          <w:rFonts w:cs="Times New Roman"/>
          <w:sz w:val="24"/>
          <w:szCs w:val="24"/>
        </w:rPr>
        <w:t>COVERED REPORTING PERIOD</w:t>
      </w:r>
    </w:p>
    <w:p w:rsidR="00462BFE" w:rsidRPr="00C43386" w:rsidRDefault="00462BFE" w:rsidP="00462BFE">
      <w:pPr>
        <w:rPr>
          <w:color w:val="auto"/>
        </w:rPr>
      </w:pPr>
    </w:p>
    <w:p w:rsidR="00462BFE" w:rsidRPr="00C43386" w:rsidRDefault="00462BFE" w:rsidP="00462BFE">
      <w:pPr>
        <w:rPr>
          <w:color w:val="auto"/>
        </w:rPr>
      </w:pPr>
      <w:r w:rsidRPr="00C43386">
        <w:rPr>
          <w:color w:val="auto"/>
        </w:rPr>
        <w:t>The filing period for this report is January 1 to March 31 of each year.  The report should cover total W-2 Wage and Tax Statement (W-2) earnings and total work hours for the calendar year, January 1 – December 31, for all employees included in your most recent EEO-1 Report.  This employee number should include all employees whether or not they are still employed by you on December 31st.</w:t>
      </w:r>
    </w:p>
    <w:p w:rsidR="00462BFE" w:rsidRPr="00C43386" w:rsidRDefault="00462BFE" w:rsidP="00462BFE">
      <w:pPr>
        <w:rPr>
          <w:color w:val="auto"/>
        </w:rPr>
      </w:pPr>
    </w:p>
    <w:p w:rsidR="00B879A1" w:rsidRPr="00A8157D" w:rsidRDefault="009C7596" w:rsidP="00330764">
      <w:pPr>
        <w:pStyle w:val="Heading1"/>
        <w:spacing w:before="0"/>
        <w:rPr>
          <w:rFonts w:cs="Times New Roman"/>
          <w:sz w:val="24"/>
          <w:szCs w:val="24"/>
        </w:rPr>
      </w:pPr>
      <w:r w:rsidRPr="00A8157D">
        <w:rPr>
          <w:rFonts w:cs="Times New Roman"/>
          <w:sz w:val="24"/>
          <w:szCs w:val="24"/>
        </w:rPr>
        <w:t>W</w:t>
      </w:r>
      <w:bookmarkEnd w:id="2"/>
      <w:r w:rsidR="00425217" w:rsidRPr="00A8157D">
        <w:rPr>
          <w:rFonts w:cs="Times New Roman"/>
          <w:sz w:val="24"/>
          <w:szCs w:val="24"/>
        </w:rPr>
        <w:t>HEN TO FILE</w:t>
      </w:r>
    </w:p>
    <w:p w:rsidR="00B879A1" w:rsidRPr="00E610D2" w:rsidRDefault="00B879A1" w:rsidP="00E65604">
      <w:pPr>
        <w:pStyle w:val="ListParagraph"/>
        <w:ind w:left="360" w:hanging="360"/>
        <w:rPr>
          <w:color w:val="auto"/>
          <w:szCs w:val="24"/>
        </w:rPr>
      </w:pPr>
    </w:p>
    <w:p w:rsidR="00B879A1" w:rsidRPr="00A8157D" w:rsidRDefault="00026A28" w:rsidP="00084E88">
      <w:pPr>
        <w:rPr>
          <w:color w:val="auto"/>
          <w:shd w:val="clear" w:color="auto" w:fill="FFFFFF"/>
        </w:rPr>
      </w:pPr>
      <w:r w:rsidRPr="00A8157D">
        <w:rPr>
          <w:color w:val="auto"/>
          <w:shd w:val="clear" w:color="auto" w:fill="FFFFFF"/>
        </w:rPr>
        <w:t xml:space="preserve">The annual report must be submitted to OFCCP no later than March 31 of each year.  </w:t>
      </w:r>
    </w:p>
    <w:p w:rsidR="000B68FA" w:rsidRPr="00A8157D" w:rsidRDefault="000B68FA" w:rsidP="008720AE">
      <w:pPr>
        <w:rPr>
          <w:color w:val="auto"/>
          <w:shd w:val="clear" w:color="auto" w:fill="FFFFFF"/>
        </w:rPr>
      </w:pPr>
    </w:p>
    <w:p w:rsidR="00F62DE6" w:rsidRPr="00A8157D" w:rsidRDefault="00026A28" w:rsidP="00330764">
      <w:pPr>
        <w:pStyle w:val="Heading1"/>
        <w:spacing w:before="0"/>
        <w:rPr>
          <w:rFonts w:cs="Times New Roman"/>
          <w:sz w:val="24"/>
          <w:szCs w:val="24"/>
        </w:rPr>
      </w:pPr>
      <w:bookmarkStart w:id="3" w:name="_Toc366481889"/>
      <w:r w:rsidRPr="00A8157D">
        <w:rPr>
          <w:rFonts w:cs="Times New Roman"/>
          <w:sz w:val="24"/>
          <w:szCs w:val="24"/>
        </w:rPr>
        <w:t>ADDITIONAL</w:t>
      </w:r>
      <w:r w:rsidR="00F62DE6" w:rsidRPr="00A8157D">
        <w:rPr>
          <w:rFonts w:cs="Times New Roman"/>
          <w:sz w:val="24"/>
          <w:szCs w:val="24"/>
        </w:rPr>
        <w:t xml:space="preserve"> INFORMATION </w:t>
      </w:r>
    </w:p>
    <w:p w:rsidR="00F62DE6" w:rsidRPr="00A8157D" w:rsidRDefault="00F62DE6" w:rsidP="00330764">
      <w:pPr>
        <w:rPr>
          <w:color w:val="auto"/>
        </w:rPr>
      </w:pPr>
    </w:p>
    <w:p w:rsidR="00CE2C7D" w:rsidRPr="00A8157D" w:rsidRDefault="00026A28" w:rsidP="008720AE">
      <w:pPr>
        <w:rPr>
          <w:color w:val="auto"/>
        </w:rPr>
      </w:pPr>
      <w:r w:rsidRPr="00A8157D">
        <w:rPr>
          <w:color w:val="auto"/>
        </w:rPr>
        <w:t>If you have additional questions related to completing the Equal Pay Report</w:t>
      </w:r>
      <w:r w:rsidR="00CE2C7D" w:rsidRPr="00A8157D">
        <w:rPr>
          <w:color w:val="auto"/>
        </w:rPr>
        <w:t xml:space="preserve">, you can either visit OFCCP’s Website at </w:t>
      </w:r>
      <w:hyperlink r:id="rId9" w:history="1">
        <w:r w:rsidR="00462BFE" w:rsidRPr="00C43386">
          <w:rPr>
            <w:rStyle w:val="Hyperlink"/>
            <w:color w:val="auto"/>
          </w:rPr>
          <w:t>http://www.dol.gov/ofccp</w:t>
        </w:r>
      </w:hyperlink>
      <w:r w:rsidR="00462BFE" w:rsidRPr="00A8157D">
        <w:rPr>
          <w:color w:val="auto"/>
        </w:rPr>
        <w:t xml:space="preserve">, </w:t>
      </w:r>
      <w:r w:rsidR="00CE2C7D" w:rsidRPr="00A8157D">
        <w:rPr>
          <w:color w:val="auto"/>
        </w:rPr>
        <w:t>call OFCCP's toll free Help Desk at 1-800-397-6251</w:t>
      </w:r>
      <w:r w:rsidR="00462BFE" w:rsidRPr="00A8157D">
        <w:rPr>
          <w:color w:val="auto"/>
        </w:rPr>
        <w:t xml:space="preserve">, or email OFCCP at </w:t>
      </w:r>
      <w:hyperlink r:id="rId10" w:history="1">
        <w:r w:rsidR="00A8157D" w:rsidRPr="00C43386">
          <w:rPr>
            <w:rStyle w:val="Hyperlink"/>
            <w:color w:val="auto"/>
            <w:shd w:val="clear" w:color="auto" w:fill="FFFFFF"/>
          </w:rPr>
          <w:t>OFCCP-Public@dol.gov</w:t>
        </w:r>
      </w:hyperlink>
      <w:r w:rsidR="00CE2C7D" w:rsidRPr="00A8157D">
        <w:rPr>
          <w:color w:val="auto"/>
        </w:rPr>
        <w:t>.</w:t>
      </w:r>
    </w:p>
    <w:p w:rsidR="00667E1F" w:rsidRPr="00E610D2" w:rsidRDefault="00667E1F">
      <w:pPr>
        <w:rPr>
          <w:color w:val="auto"/>
        </w:rPr>
      </w:pPr>
    </w:p>
    <w:p w:rsidR="002F26F3" w:rsidRPr="00A8157D" w:rsidRDefault="00667E1F" w:rsidP="00330764">
      <w:pPr>
        <w:pStyle w:val="Heading1"/>
        <w:spacing w:before="0"/>
        <w:rPr>
          <w:rFonts w:cs="Times New Roman"/>
          <w:sz w:val="24"/>
          <w:szCs w:val="24"/>
        </w:rPr>
      </w:pPr>
      <w:r w:rsidRPr="00A8157D">
        <w:rPr>
          <w:rFonts w:cs="Times New Roman"/>
          <w:sz w:val="24"/>
          <w:szCs w:val="24"/>
        </w:rPr>
        <w:lastRenderedPageBreak/>
        <w:t>ALTERNATE REPORTING FORMATS</w:t>
      </w:r>
    </w:p>
    <w:p w:rsidR="00CE2C7D" w:rsidRPr="00C43386" w:rsidRDefault="00CE2C7D" w:rsidP="00CE2C7D">
      <w:pPr>
        <w:rPr>
          <w:color w:val="auto"/>
        </w:rPr>
      </w:pPr>
    </w:p>
    <w:p w:rsidR="00CE2C7D" w:rsidRPr="00A8157D" w:rsidRDefault="00CE2C7D" w:rsidP="00CE2C7D">
      <w:pPr>
        <w:rPr>
          <w:color w:val="auto"/>
        </w:rPr>
      </w:pPr>
      <w:r w:rsidRPr="00A8157D">
        <w:rPr>
          <w:color w:val="auto"/>
        </w:rPr>
        <w:t xml:space="preserve">OFCCP’s </w:t>
      </w:r>
      <w:r w:rsidR="002F26F3" w:rsidRPr="00A8157D">
        <w:rPr>
          <w:color w:val="auto"/>
        </w:rPr>
        <w:t xml:space="preserve">Director may grant a hardship exemption from </w:t>
      </w:r>
      <w:r w:rsidR="0042124F" w:rsidRPr="00A8157D">
        <w:rPr>
          <w:color w:val="auto"/>
        </w:rPr>
        <w:t xml:space="preserve">the </w:t>
      </w:r>
      <w:r w:rsidR="002F26F3" w:rsidRPr="00A8157D">
        <w:rPr>
          <w:color w:val="auto"/>
        </w:rPr>
        <w:t>requirement to s</w:t>
      </w:r>
      <w:r w:rsidR="000707C1" w:rsidRPr="00A8157D">
        <w:rPr>
          <w:color w:val="auto"/>
        </w:rPr>
        <w:t xml:space="preserve">ubmit the Equal Pay </w:t>
      </w:r>
      <w:r w:rsidR="002F26F3" w:rsidRPr="00E610D2">
        <w:rPr>
          <w:color w:val="auto"/>
        </w:rPr>
        <w:t xml:space="preserve">Report electronically where he or she concludes that electronic filing would impose an undue hardship on the contractor.  </w:t>
      </w:r>
      <w:r w:rsidRPr="00A8157D">
        <w:rPr>
          <w:color w:val="auto"/>
        </w:rPr>
        <w:t xml:space="preserve">The eligibility criteria and application procedures for the hardship exemption are available on the OFCCP website at [Link TBD].  </w:t>
      </w:r>
    </w:p>
    <w:p w:rsidR="00CE2C7D" w:rsidRPr="00A8157D" w:rsidRDefault="00CE2C7D" w:rsidP="00E65604">
      <w:pPr>
        <w:rPr>
          <w:color w:val="auto"/>
        </w:rPr>
      </w:pPr>
    </w:p>
    <w:p w:rsidR="00CE2C7D" w:rsidRPr="00A8157D" w:rsidRDefault="00CE2C7D" w:rsidP="00E65604">
      <w:pPr>
        <w:rPr>
          <w:color w:val="auto"/>
        </w:rPr>
      </w:pPr>
      <w:r w:rsidRPr="00A8157D">
        <w:rPr>
          <w:color w:val="auto"/>
        </w:rPr>
        <w:t>Exemption requests should be sent to:</w:t>
      </w:r>
    </w:p>
    <w:p w:rsidR="00CE2C7D" w:rsidRPr="00C43386" w:rsidRDefault="00CE2C7D" w:rsidP="00CE2C7D">
      <w:pPr>
        <w:contextualSpacing/>
        <w:rPr>
          <w:color w:val="auto"/>
        </w:rPr>
      </w:pPr>
    </w:p>
    <w:p w:rsidR="00CE2C7D" w:rsidRPr="00A8157D" w:rsidRDefault="00CE2C7D" w:rsidP="00330764">
      <w:pPr>
        <w:ind w:left="720"/>
        <w:contextualSpacing/>
        <w:rPr>
          <w:color w:val="auto"/>
        </w:rPr>
      </w:pPr>
      <w:r w:rsidRPr="00C43386">
        <w:rPr>
          <w:color w:val="auto"/>
        </w:rPr>
        <w:t xml:space="preserve">Division of </w:t>
      </w:r>
      <w:r w:rsidR="00462BFE" w:rsidRPr="00C43386">
        <w:rPr>
          <w:color w:val="auto"/>
        </w:rPr>
        <w:t>Operations</w:t>
      </w:r>
      <w:r w:rsidR="00075AA0" w:rsidRPr="00C43386">
        <w:rPr>
          <w:color w:val="auto"/>
        </w:rPr>
        <w:t>, Office</w:t>
      </w:r>
      <w:r w:rsidRPr="00C43386">
        <w:rPr>
          <w:color w:val="auto"/>
        </w:rPr>
        <w:t xml:space="preserve"> of Federal Contract Compliance Programs, Room C-3325, 200 Constitution Avenue, N.W., Washington, D.C. 20210.</w:t>
      </w:r>
    </w:p>
    <w:p w:rsidR="00CE2C7D" w:rsidRPr="00E610D2" w:rsidRDefault="00CE2C7D" w:rsidP="00E65604">
      <w:pPr>
        <w:rPr>
          <w:color w:val="auto"/>
        </w:rPr>
      </w:pPr>
    </w:p>
    <w:p w:rsidR="00CE2C7D" w:rsidRPr="00C43386" w:rsidRDefault="00B50812" w:rsidP="00E65604">
      <w:pPr>
        <w:rPr>
          <w:color w:val="auto"/>
        </w:rPr>
      </w:pPr>
      <w:r w:rsidRPr="00C43386">
        <w:rPr>
          <w:color w:val="auto"/>
        </w:rPr>
        <w:t>OFCCP will grant hardship exemptions in exceptional circumstances such as unexpected technical difficulties</w:t>
      </w:r>
      <w:r w:rsidR="0010453C" w:rsidRPr="00C43386">
        <w:rPr>
          <w:color w:val="auto"/>
        </w:rPr>
        <w:t xml:space="preserve"> that prevent a contractor or subcontractor from electronically submitting the Equal Pay Report by the filing deadline and, in the very rare instances, when a contractor’s payroll and human resources systems or other necessary systems are not automated.</w:t>
      </w:r>
      <w:r w:rsidRPr="00C43386">
        <w:rPr>
          <w:color w:val="auto"/>
        </w:rPr>
        <w:t xml:space="preserve">  </w:t>
      </w:r>
    </w:p>
    <w:p w:rsidR="00CE2C7D" w:rsidRPr="00C43386" w:rsidRDefault="00CE2C7D" w:rsidP="00E65604">
      <w:pPr>
        <w:rPr>
          <w:color w:val="auto"/>
        </w:rPr>
      </w:pPr>
    </w:p>
    <w:p w:rsidR="002F26F3" w:rsidRPr="00E610D2" w:rsidRDefault="002F26F3" w:rsidP="00E65604">
      <w:pPr>
        <w:rPr>
          <w:color w:val="auto"/>
        </w:rPr>
      </w:pPr>
      <w:r w:rsidRPr="00A8157D">
        <w:rPr>
          <w:color w:val="auto"/>
        </w:rPr>
        <w:t xml:space="preserve">A contractor granted a hardship exemption must </w:t>
      </w:r>
      <w:r w:rsidR="002B1577" w:rsidRPr="00A8157D">
        <w:rPr>
          <w:color w:val="auto"/>
        </w:rPr>
        <w:t>submit the Equal Pay</w:t>
      </w:r>
      <w:r w:rsidRPr="00A8157D">
        <w:rPr>
          <w:color w:val="auto"/>
        </w:rPr>
        <w:t xml:space="preserve"> Report in the format specified in the notification granting the ex</w:t>
      </w:r>
      <w:r w:rsidRPr="00E610D2">
        <w:rPr>
          <w:color w:val="auto"/>
        </w:rPr>
        <w:t xml:space="preserve">emption.  </w:t>
      </w:r>
    </w:p>
    <w:p w:rsidR="00667E1F" w:rsidRPr="00A8157D" w:rsidRDefault="00667E1F" w:rsidP="00330764">
      <w:pPr>
        <w:rPr>
          <w:color w:val="auto"/>
        </w:rPr>
      </w:pPr>
    </w:p>
    <w:p w:rsidR="00667E1F" w:rsidRPr="00A8157D" w:rsidRDefault="002F26F3" w:rsidP="00330764">
      <w:pPr>
        <w:pStyle w:val="Heading1"/>
        <w:spacing w:before="0"/>
        <w:rPr>
          <w:rFonts w:cs="Times New Roman"/>
          <w:sz w:val="24"/>
          <w:szCs w:val="24"/>
        </w:rPr>
      </w:pPr>
      <w:r w:rsidRPr="00A8157D">
        <w:rPr>
          <w:rFonts w:cs="Times New Roman"/>
          <w:sz w:val="24"/>
          <w:szCs w:val="24"/>
        </w:rPr>
        <w:t>CONFIDENTIALITY</w:t>
      </w:r>
    </w:p>
    <w:p w:rsidR="002F26F3" w:rsidRPr="00A8157D" w:rsidRDefault="002F26F3" w:rsidP="00E65604">
      <w:pPr>
        <w:rPr>
          <w:color w:val="auto"/>
        </w:rPr>
      </w:pPr>
    </w:p>
    <w:p w:rsidR="00CE2C7D" w:rsidRPr="00A8157D" w:rsidRDefault="002F26F3" w:rsidP="008720AE">
      <w:pPr>
        <w:rPr>
          <w:color w:val="auto"/>
        </w:rPr>
      </w:pPr>
      <w:r w:rsidRPr="00A8157D">
        <w:rPr>
          <w:color w:val="auto"/>
        </w:rPr>
        <w:t>OFCCP will treat information contain</w:t>
      </w:r>
      <w:r w:rsidR="002B1577" w:rsidRPr="00A8157D">
        <w:rPr>
          <w:color w:val="auto"/>
        </w:rPr>
        <w:t xml:space="preserve">ed in the Equal Pay </w:t>
      </w:r>
      <w:r w:rsidRPr="00A8157D">
        <w:rPr>
          <w:color w:val="auto"/>
        </w:rPr>
        <w:t>Report as confidential to the maximum extent the information is exempt from public disclosure under the Freedom of Information Act, 5 U.S.C. 552.  It is the practice of OFCCP not to release contractor data where (1) the contractor is still in business, and (2) the contractor indicates, and through the Department of Labor review</w:t>
      </w:r>
      <w:r w:rsidR="009966B5" w:rsidRPr="00A8157D">
        <w:rPr>
          <w:color w:val="auto"/>
        </w:rPr>
        <w:t xml:space="preserve"> </w:t>
      </w:r>
      <w:r w:rsidRPr="00A8157D">
        <w:rPr>
          <w:color w:val="auto"/>
        </w:rPr>
        <w:t xml:space="preserve">process it is determined, that the data are confidential and sensitive and that the release of data would subject the contractor to commercial harm. </w:t>
      </w:r>
    </w:p>
    <w:p w:rsidR="0010453C" w:rsidRPr="00A8157D" w:rsidRDefault="0010453C" w:rsidP="008720AE">
      <w:pPr>
        <w:rPr>
          <w:color w:val="auto"/>
        </w:rPr>
      </w:pPr>
    </w:p>
    <w:p w:rsidR="002F26F3" w:rsidRPr="00A8157D" w:rsidRDefault="002F26F3" w:rsidP="008720AE">
      <w:pPr>
        <w:rPr>
          <w:color w:val="auto"/>
        </w:rPr>
      </w:pPr>
      <w:r w:rsidRPr="00A8157D">
        <w:rPr>
          <w:color w:val="auto"/>
        </w:rPr>
        <w:t>OFCCP may publish aggregate information based on pay data collected from the Equal Pay</w:t>
      </w:r>
      <w:r w:rsidR="002B1577" w:rsidRPr="00A8157D">
        <w:rPr>
          <w:color w:val="auto"/>
        </w:rPr>
        <w:t xml:space="preserve"> </w:t>
      </w:r>
      <w:r w:rsidRPr="00A8157D">
        <w:rPr>
          <w:color w:val="auto"/>
        </w:rPr>
        <w:t>Report, such as ranges or averages by industry, labor market, or other groupings, but only in such a way as not to reveal any particular establishment’s data.</w:t>
      </w:r>
    </w:p>
    <w:p w:rsidR="0010453C" w:rsidRPr="00A8157D" w:rsidRDefault="0010453C" w:rsidP="008720AE">
      <w:pPr>
        <w:rPr>
          <w:color w:val="auto"/>
        </w:rPr>
      </w:pPr>
    </w:p>
    <w:p w:rsidR="0010453C" w:rsidRPr="00C43386" w:rsidRDefault="0010453C" w:rsidP="0010453C">
      <w:pPr>
        <w:numPr>
          <w:ilvl w:val="0"/>
          <w:numId w:val="6"/>
        </w:numPr>
        <w:rPr>
          <w:b/>
          <w:bCs/>
          <w:color w:val="auto"/>
        </w:rPr>
      </w:pPr>
      <w:r w:rsidRPr="00C43386">
        <w:rPr>
          <w:b/>
          <w:bCs/>
          <w:color w:val="auto"/>
        </w:rPr>
        <w:t>RECORDKEEPING</w:t>
      </w:r>
    </w:p>
    <w:p w:rsidR="0010453C" w:rsidRPr="00A8157D" w:rsidRDefault="0010453C" w:rsidP="0010453C">
      <w:pPr>
        <w:rPr>
          <w:color w:val="auto"/>
        </w:rPr>
      </w:pPr>
    </w:p>
    <w:p w:rsidR="0010453C" w:rsidRPr="00A8157D" w:rsidRDefault="0010453C" w:rsidP="0010453C">
      <w:pPr>
        <w:rPr>
          <w:color w:val="auto"/>
        </w:rPr>
      </w:pPr>
      <w:r w:rsidRPr="00A8157D">
        <w:rPr>
          <w:color w:val="auto"/>
        </w:rPr>
        <w:t xml:space="preserve">In accordance </w:t>
      </w:r>
      <w:r w:rsidR="00A8157D">
        <w:rPr>
          <w:color w:val="auto"/>
        </w:rPr>
        <w:t xml:space="preserve">with </w:t>
      </w:r>
      <w:r w:rsidRPr="00A8157D">
        <w:rPr>
          <w:color w:val="auto"/>
        </w:rPr>
        <w:t>41 CFR 60-1.7(c) and obligations in 41 CFR 60-1.12(a), each contractor shall retain its Equal Pay Report for a period of not less than two years from the date of the making of the report.  However, if the contractor has fewer than 150 employees or does not have a contract of at least $150,000, this retention period is one year.</w:t>
      </w:r>
    </w:p>
    <w:p w:rsidR="00F83BA2" w:rsidRPr="00E610D2" w:rsidRDefault="00F83BA2">
      <w:pPr>
        <w:rPr>
          <w:color w:val="auto"/>
        </w:rPr>
      </w:pPr>
      <w:r w:rsidRPr="00E610D2">
        <w:rPr>
          <w:color w:val="auto"/>
        </w:rPr>
        <w:br w:type="page"/>
      </w:r>
    </w:p>
    <w:p w:rsidR="0010453C" w:rsidRPr="00A8157D" w:rsidRDefault="0010453C">
      <w:pPr>
        <w:rPr>
          <w:color w:val="auto"/>
        </w:rPr>
      </w:pPr>
    </w:p>
    <w:p w:rsidR="00B60F15" w:rsidRPr="00C43386" w:rsidRDefault="00C41CC7" w:rsidP="00330764">
      <w:pPr>
        <w:pStyle w:val="center"/>
        <w:shd w:val="clear" w:color="auto" w:fill="FFFFFF"/>
        <w:spacing w:before="0" w:beforeAutospacing="0" w:after="0" w:afterAutospacing="0"/>
        <w:ind w:left="289" w:right="289"/>
        <w:jc w:val="center"/>
        <w:rPr>
          <w:rStyle w:val="Strong"/>
          <w:rFonts w:eastAsiaTheme="majorEastAsia"/>
          <w:caps/>
        </w:rPr>
      </w:pPr>
      <w:r w:rsidRPr="00C43386">
        <w:rPr>
          <w:rStyle w:val="Strong"/>
          <w:rFonts w:eastAsiaTheme="majorEastAsia"/>
          <w:caps/>
        </w:rPr>
        <w:t>Completing the Equal Pay Report Form</w:t>
      </w:r>
    </w:p>
    <w:p w:rsidR="001B07CE" w:rsidRPr="00A8157D" w:rsidRDefault="001B07CE" w:rsidP="00330764">
      <w:pPr>
        <w:pStyle w:val="center"/>
        <w:shd w:val="clear" w:color="auto" w:fill="FFFFFF"/>
        <w:spacing w:before="0" w:beforeAutospacing="0" w:after="0" w:afterAutospacing="0"/>
        <w:ind w:right="289"/>
      </w:pPr>
    </w:p>
    <w:p w:rsidR="00C41CC7" w:rsidRPr="00E610D2" w:rsidRDefault="005F691F" w:rsidP="00330764">
      <w:pPr>
        <w:pStyle w:val="center"/>
        <w:shd w:val="clear" w:color="auto" w:fill="FFFFFF"/>
        <w:spacing w:before="0" w:beforeAutospacing="0" w:after="0" w:afterAutospacing="0"/>
        <w:ind w:right="289"/>
        <w:rPr>
          <w:b/>
          <w:u w:val="single"/>
        </w:rPr>
      </w:pPr>
      <w:r w:rsidRPr="00E610D2">
        <w:rPr>
          <w:b/>
          <w:u w:val="single"/>
        </w:rPr>
        <w:t>Section A</w:t>
      </w:r>
      <w:r w:rsidR="0011585B" w:rsidRPr="00E610D2">
        <w:rPr>
          <w:b/>
          <w:u w:val="single"/>
        </w:rPr>
        <w:t>: Type of Report</w:t>
      </w:r>
    </w:p>
    <w:p w:rsidR="001B07CE" w:rsidRPr="00A8157D" w:rsidRDefault="00451FDA" w:rsidP="00330764">
      <w:pPr>
        <w:pStyle w:val="center"/>
        <w:shd w:val="clear" w:color="auto" w:fill="FFFFFF"/>
        <w:spacing w:before="0" w:beforeAutospacing="0" w:after="0" w:afterAutospacing="0"/>
        <w:ind w:right="289"/>
      </w:pPr>
      <w:r w:rsidRPr="00A8157D">
        <w:t xml:space="preserve">In this section indicate, </w:t>
      </w:r>
      <w:r w:rsidR="00C41CC7" w:rsidRPr="00A8157D">
        <w:t>by marking in the appropriate box</w:t>
      </w:r>
      <w:r w:rsidRPr="00A8157D">
        <w:t>,</w:t>
      </w:r>
      <w:r w:rsidR="00C41CC7" w:rsidRPr="00A8157D">
        <w:t xml:space="preserve"> the type of reporting unit for which the copy of the form is submitted.  Mark only one box.</w:t>
      </w:r>
    </w:p>
    <w:p w:rsidR="00C41CC7" w:rsidRPr="00A8157D" w:rsidRDefault="00C41CC7" w:rsidP="00330764">
      <w:pPr>
        <w:pStyle w:val="center"/>
        <w:shd w:val="clear" w:color="auto" w:fill="FFFFFF"/>
        <w:spacing w:before="0" w:beforeAutospacing="0" w:after="0" w:afterAutospacing="0"/>
        <w:ind w:right="289"/>
      </w:pPr>
      <w:r w:rsidRPr="00A8157D">
        <w:t xml:space="preserve"> </w:t>
      </w:r>
    </w:p>
    <w:p w:rsidR="005F691F" w:rsidRPr="00A8157D" w:rsidRDefault="005F691F" w:rsidP="00330764">
      <w:pPr>
        <w:pStyle w:val="center"/>
        <w:numPr>
          <w:ilvl w:val="0"/>
          <w:numId w:val="27"/>
        </w:numPr>
        <w:shd w:val="clear" w:color="auto" w:fill="FFFFFF"/>
        <w:spacing w:before="0" w:beforeAutospacing="0" w:after="0" w:afterAutospacing="0"/>
        <w:ind w:right="289"/>
        <w:rPr>
          <w:b/>
        </w:rPr>
      </w:pPr>
      <w:r w:rsidRPr="00A8157D">
        <w:rPr>
          <w:rStyle w:val="Strong"/>
          <w:rFonts w:eastAsiaTheme="majorEastAsia"/>
          <w:b w:val="0"/>
          <w:u w:val="single"/>
        </w:rPr>
        <w:t>Single-establishment</w:t>
      </w:r>
      <w:r w:rsidRPr="00A8157D">
        <w:rPr>
          <w:rStyle w:val="Strong"/>
          <w:rFonts w:eastAsiaTheme="majorEastAsia"/>
          <w:b w:val="0"/>
        </w:rPr>
        <w:t xml:space="preserve"> </w:t>
      </w:r>
      <w:r w:rsidR="001C4B92" w:rsidRPr="00A8157D">
        <w:rPr>
          <w:rStyle w:val="Strong"/>
          <w:rFonts w:eastAsiaTheme="majorEastAsia"/>
          <w:b w:val="0"/>
        </w:rPr>
        <w:t xml:space="preserve">contractors </w:t>
      </w:r>
      <w:r w:rsidR="00451FDA" w:rsidRPr="00A8157D">
        <w:rPr>
          <w:rStyle w:val="Strong"/>
          <w:rFonts w:eastAsiaTheme="majorEastAsia"/>
          <w:b w:val="0"/>
        </w:rPr>
        <w:t xml:space="preserve">are </w:t>
      </w:r>
      <w:r w:rsidRPr="00A8157D">
        <w:t>employers doing business at only one establishment in one locat</w:t>
      </w:r>
      <w:r w:rsidR="001F4493" w:rsidRPr="00A8157D">
        <w:t>ion</w:t>
      </w:r>
      <w:r w:rsidR="00451FDA" w:rsidRPr="00A8157D">
        <w:t xml:space="preserve"> and should check the Single Establishment Equal Pay Report.</w:t>
      </w:r>
    </w:p>
    <w:p w:rsidR="001B07CE" w:rsidRPr="00A8157D" w:rsidRDefault="001B07CE" w:rsidP="00330764">
      <w:pPr>
        <w:pStyle w:val="center"/>
        <w:shd w:val="clear" w:color="auto" w:fill="FFFFFF"/>
        <w:spacing w:before="0" w:beforeAutospacing="0" w:after="0" w:afterAutospacing="0"/>
        <w:ind w:left="720" w:right="289"/>
        <w:rPr>
          <w:rStyle w:val="Strong"/>
          <w:b w:val="0"/>
          <w:bCs w:val="0"/>
        </w:rPr>
      </w:pPr>
    </w:p>
    <w:p w:rsidR="001C4B92" w:rsidRPr="00A8157D" w:rsidRDefault="005F691F" w:rsidP="00330764">
      <w:pPr>
        <w:pStyle w:val="center"/>
        <w:numPr>
          <w:ilvl w:val="0"/>
          <w:numId w:val="27"/>
        </w:numPr>
        <w:shd w:val="clear" w:color="auto" w:fill="FFFFFF"/>
        <w:spacing w:before="0" w:beforeAutospacing="0" w:after="0" w:afterAutospacing="0"/>
        <w:ind w:right="289"/>
      </w:pPr>
      <w:r w:rsidRPr="00A8157D">
        <w:rPr>
          <w:rStyle w:val="Strong"/>
          <w:rFonts w:eastAsiaTheme="majorEastAsia"/>
          <w:b w:val="0"/>
          <w:u w:val="single"/>
        </w:rPr>
        <w:t>Multi-establishment</w:t>
      </w:r>
      <w:r w:rsidRPr="00A8157D">
        <w:rPr>
          <w:rStyle w:val="Strong"/>
          <w:rFonts w:eastAsiaTheme="majorEastAsia"/>
          <w:b w:val="0"/>
        </w:rPr>
        <w:t xml:space="preserve"> </w:t>
      </w:r>
      <w:r w:rsidR="001C4B92" w:rsidRPr="00A8157D">
        <w:rPr>
          <w:rStyle w:val="Strong"/>
          <w:rFonts w:eastAsiaTheme="majorEastAsia"/>
          <w:b w:val="0"/>
        </w:rPr>
        <w:t>contractors</w:t>
      </w:r>
      <w:r w:rsidR="00451FDA" w:rsidRPr="00A8157D">
        <w:rPr>
          <w:rStyle w:val="Strong"/>
          <w:rFonts w:eastAsiaTheme="majorEastAsia"/>
          <w:b w:val="0"/>
        </w:rPr>
        <w:t xml:space="preserve"> are </w:t>
      </w:r>
      <w:r w:rsidR="0008428A" w:rsidRPr="00A8157D">
        <w:t>employers</w:t>
      </w:r>
      <w:r w:rsidR="001C4B92" w:rsidRPr="00A8157D">
        <w:t xml:space="preserve"> </w:t>
      </w:r>
      <w:r w:rsidRPr="00A8157D">
        <w:t>doing business at more than one est</w:t>
      </w:r>
      <w:r w:rsidR="001F4493" w:rsidRPr="00A8157D">
        <w:t>ablishment</w:t>
      </w:r>
      <w:r w:rsidR="00451FDA" w:rsidRPr="00A8157D">
        <w:t xml:space="preserve">.  Multi-establishment </w:t>
      </w:r>
      <w:r w:rsidR="001C4B92" w:rsidRPr="00A8157D">
        <w:t>contractors</w:t>
      </w:r>
      <w:r w:rsidR="001F4493" w:rsidRPr="00A8157D">
        <w:t xml:space="preserve"> must complete</w:t>
      </w:r>
      <w:r w:rsidRPr="00A8157D">
        <w:t xml:space="preserve"> </w:t>
      </w:r>
      <w:r w:rsidR="00542D66" w:rsidRPr="00A3424A">
        <w:t>a separate</w:t>
      </w:r>
      <w:r w:rsidR="00451FDA" w:rsidRPr="00A3424A">
        <w:t xml:space="preserve"> Establishment Equal Pay Report for </w:t>
      </w:r>
      <w:r w:rsidR="00A50E53" w:rsidRPr="00E610D2">
        <w:rPr>
          <w:rStyle w:val="apple-converted-space"/>
          <w:rFonts w:eastAsiaTheme="majorEastAsia"/>
          <w:u w:val="single"/>
        </w:rPr>
        <w:t>each</w:t>
      </w:r>
      <w:r w:rsidR="00A50E53" w:rsidRPr="00E610D2">
        <w:rPr>
          <w:rStyle w:val="apple-converted-space"/>
          <w:rFonts w:eastAsiaTheme="majorEastAsia"/>
        </w:rPr>
        <w:t xml:space="preserve"> of its</w:t>
      </w:r>
      <w:r w:rsidR="00542D66" w:rsidRPr="00E610D2">
        <w:rPr>
          <w:rStyle w:val="apple-converted-space"/>
          <w:rFonts w:eastAsiaTheme="majorEastAsia"/>
        </w:rPr>
        <w:t xml:space="preserve"> </w:t>
      </w:r>
      <w:r w:rsidR="00542D66" w:rsidRPr="00E610D2">
        <w:t>establishment</w:t>
      </w:r>
      <w:r w:rsidR="00542D66" w:rsidRPr="00EF7191">
        <w:t>s</w:t>
      </w:r>
      <w:r w:rsidR="00451FDA" w:rsidRPr="00EF7191">
        <w:t xml:space="preserve"> regardless of the establishment’s size</w:t>
      </w:r>
      <w:r w:rsidR="00497227" w:rsidRPr="00A8157D">
        <w:t xml:space="preserve"> and a headquarters report</w:t>
      </w:r>
      <w:r w:rsidR="00451FDA" w:rsidRPr="00A8157D">
        <w:t xml:space="preserve">.  Contractors should check the Establishment Equal Pay Report box for each of its establishments.  </w:t>
      </w:r>
    </w:p>
    <w:p w:rsidR="001C4B92" w:rsidRPr="00C43386" w:rsidRDefault="001C4B92" w:rsidP="00330764">
      <w:pPr>
        <w:pStyle w:val="ListParagraph"/>
        <w:rPr>
          <w:color w:val="auto"/>
          <w:szCs w:val="24"/>
        </w:rPr>
      </w:pPr>
    </w:p>
    <w:p w:rsidR="00542D66" w:rsidRPr="00A8157D" w:rsidRDefault="001C4B92" w:rsidP="00330764">
      <w:pPr>
        <w:pStyle w:val="center"/>
        <w:numPr>
          <w:ilvl w:val="1"/>
          <w:numId w:val="27"/>
        </w:numPr>
        <w:shd w:val="clear" w:color="auto" w:fill="FFFFFF"/>
        <w:spacing w:before="0" w:beforeAutospacing="0" w:after="0" w:afterAutospacing="0"/>
        <w:ind w:right="289"/>
      </w:pPr>
      <w:r w:rsidRPr="00A8157D">
        <w:rPr>
          <w:u w:val="single"/>
        </w:rPr>
        <w:t>Headquarters Report</w:t>
      </w:r>
      <w:r w:rsidR="007648E0" w:rsidRPr="00A8157D">
        <w:rPr>
          <w:u w:val="single"/>
        </w:rPr>
        <w:t>:</w:t>
      </w:r>
      <w:r w:rsidRPr="00A8157D">
        <w:t xml:space="preserve"> </w:t>
      </w:r>
      <w:r w:rsidR="007648E0" w:rsidRPr="00A8157D">
        <w:t>M</w:t>
      </w:r>
      <w:r w:rsidR="00451FDA" w:rsidRPr="00A8157D">
        <w:t xml:space="preserve">ulti-establishment </w:t>
      </w:r>
      <w:r w:rsidRPr="00A3424A">
        <w:t>contractors</w:t>
      </w:r>
      <w:r w:rsidR="00451FDA" w:rsidRPr="00A3424A">
        <w:t xml:space="preserve"> must complete an Equal Pay Report for </w:t>
      </w:r>
      <w:r w:rsidRPr="00E610D2">
        <w:t>their</w:t>
      </w:r>
      <w:r w:rsidR="00451FDA" w:rsidRPr="00E610D2">
        <w:t xml:space="preserve"> headquarters</w:t>
      </w:r>
      <w:r w:rsidRPr="00E610D2">
        <w:t xml:space="preserve"> location</w:t>
      </w:r>
      <w:r w:rsidR="00451FDA" w:rsidRPr="00E610D2">
        <w:t xml:space="preserve">.  The </w:t>
      </w:r>
      <w:r w:rsidR="00542D66" w:rsidRPr="00E610D2">
        <w:t xml:space="preserve">report covering </w:t>
      </w:r>
      <w:r w:rsidR="00A50E53" w:rsidRPr="00EF7191">
        <w:t xml:space="preserve">the </w:t>
      </w:r>
      <w:r w:rsidR="00542D66" w:rsidRPr="00A8157D">
        <w:t xml:space="preserve">headquarters office </w:t>
      </w:r>
      <w:r w:rsidR="007648E0" w:rsidRPr="00A8157D">
        <w:t xml:space="preserve">must be </w:t>
      </w:r>
      <w:r w:rsidR="00542D66" w:rsidRPr="00A8157D">
        <w:t>designated specifically as the Headquarters Equal Pay Report</w:t>
      </w:r>
      <w:r w:rsidR="00542D66" w:rsidRPr="00A8157D">
        <w:rPr>
          <w:b/>
        </w:rPr>
        <w:t xml:space="preserve"> </w:t>
      </w:r>
      <w:r w:rsidR="00542D66" w:rsidRPr="00A8157D">
        <w:t>by checking the</w:t>
      </w:r>
      <w:r w:rsidRPr="00A8157D">
        <w:t xml:space="preserve"> </w:t>
      </w:r>
      <w:r w:rsidR="00762EDB">
        <w:t>appropriate</w:t>
      </w:r>
      <w:r w:rsidR="00542D66" w:rsidRPr="00A8157D">
        <w:t xml:space="preserve"> box</w:t>
      </w:r>
      <w:r w:rsidR="00451FDA" w:rsidRPr="00A8157D">
        <w:t xml:space="preserve">.  </w:t>
      </w:r>
      <w:r w:rsidRPr="00A8157D">
        <w:t>In addition, m</w:t>
      </w:r>
      <w:r w:rsidR="00451FDA" w:rsidRPr="00A8157D">
        <w:t xml:space="preserve">ulti-establishment contractors </w:t>
      </w:r>
      <w:r w:rsidR="00542D66" w:rsidRPr="00A8157D">
        <w:t xml:space="preserve">must include the </w:t>
      </w:r>
      <w:r w:rsidR="00C16F7C" w:rsidRPr="00A8157D">
        <w:t xml:space="preserve">total </w:t>
      </w:r>
      <w:r w:rsidR="00542D66" w:rsidRPr="00A8157D">
        <w:t xml:space="preserve">number of </w:t>
      </w:r>
      <w:r w:rsidRPr="00A8157D">
        <w:t xml:space="preserve">Establishment Equal Pay Reports </w:t>
      </w:r>
      <w:r w:rsidR="00542D66" w:rsidRPr="00A8157D">
        <w:t xml:space="preserve">being filed by the </w:t>
      </w:r>
      <w:r w:rsidR="00451FDA" w:rsidRPr="00A8157D">
        <w:t xml:space="preserve">contractor in response to </w:t>
      </w:r>
      <w:r w:rsidR="007648E0" w:rsidRPr="00A8157D">
        <w:t>Q</w:t>
      </w:r>
      <w:r w:rsidR="00451FDA" w:rsidRPr="00A8157D">
        <w:t xml:space="preserve">uestion 2 </w:t>
      </w:r>
      <w:r w:rsidR="001B07CE" w:rsidRPr="00A8157D">
        <w:t>of this section</w:t>
      </w:r>
      <w:r w:rsidR="00542D66" w:rsidRPr="00A8157D">
        <w:t>.</w:t>
      </w:r>
      <w:r w:rsidRPr="00A8157D">
        <w:t xml:space="preserve">  Include the Headquarters Equal</w:t>
      </w:r>
      <w:r w:rsidR="00542D66" w:rsidRPr="00A8157D">
        <w:t xml:space="preserve"> </w:t>
      </w:r>
      <w:r w:rsidRPr="00A8157D">
        <w:t>Pay Report in the total number of reporting establishments.</w:t>
      </w:r>
    </w:p>
    <w:p w:rsidR="001C4B92" w:rsidRPr="00A8157D" w:rsidRDefault="001C4B92" w:rsidP="00330764">
      <w:pPr>
        <w:pStyle w:val="NormalWeb"/>
        <w:shd w:val="clear" w:color="auto" w:fill="FFFFFF"/>
        <w:spacing w:before="0" w:beforeAutospacing="0" w:after="0" w:afterAutospacing="0"/>
        <w:ind w:left="720" w:right="289"/>
      </w:pPr>
    </w:p>
    <w:p w:rsidR="005F691F" w:rsidRPr="00A8157D" w:rsidRDefault="001C4B92" w:rsidP="00330764">
      <w:pPr>
        <w:pStyle w:val="center"/>
        <w:numPr>
          <w:ilvl w:val="1"/>
          <w:numId w:val="27"/>
        </w:numPr>
        <w:shd w:val="clear" w:color="auto" w:fill="FFFFFF"/>
        <w:spacing w:before="0" w:beforeAutospacing="0" w:after="0" w:afterAutospacing="0"/>
        <w:ind w:right="289"/>
      </w:pPr>
      <w:r w:rsidRPr="00A8157D">
        <w:rPr>
          <w:u w:val="single"/>
        </w:rPr>
        <w:t>Establishment</w:t>
      </w:r>
      <w:r w:rsidR="00A3424A">
        <w:rPr>
          <w:u w:val="single"/>
        </w:rPr>
        <w:t xml:space="preserve"> Report</w:t>
      </w:r>
      <w:r w:rsidR="007648E0" w:rsidRPr="00A3424A">
        <w:rPr>
          <w:u w:val="single"/>
        </w:rPr>
        <w:t>:</w:t>
      </w:r>
      <w:r w:rsidRPr="00A3424A">
        <w:t xml:space="preserve"> </w:t>
      </w:r>
      <w:r w:rsidR="009F4BA0" w:rsidRPr="00A3424A">
        <w:t>M</w:t>
      </w:r>
      <w:r w:rsidR="005F691F" w:rsidRPr="00A3424A">
        <w:t xml:space="preserve">ulti-establishment </w:t>
      </w:r>
      <w:r w:rsidR="0008428A" w:rsidRPr="00A3424A">
        <w:t>contractors</w:t>
      </w:r>
      <w:r w:rsidR="00F07119">
        <w:t xml:space="preserve"> </w:t>
      </w:r>
      <w:r w:rsidR="005F691F" w:rsidRPr="00A8157D">
        <w:t>must report</w:t>
      </w:r>
      <w:r w:rsidR="009F4BA0" w:rsidRPr="00A8157D">
        <w:t xml:space="preserve"> compensation data for</w:t>
      </w:r>
      <w:r w:rsidR="005F691F" w:rsidRPr="00A8157D">
        <w:t xml:space="preserve"> all employees working at each company establishment or subsidiary establishment</w:t>
      </w:r>
      <w:r w:rsidR="00F07119">
        <w:t>.</w:t>
      </w:r>
    </w:p>
    <w:p w:rsidR="001B07CE" w:rsidRPr="00A8157D" w:rsidRDefault="001B07CE" w:rsidP="00330764">
      <w:pPr>
        <w:pStyle w:val="center"/>
        <w:shd w:val="clear" w:color="auto" w:fill="FFFFFF"/>
        <w:spacing w:before="0" w:beforeAutospacing="0" w:after="0" w:afterAutospacing="0"/>
        <w:ind w:right="289"/>
      </w:pPr>
    </w:p>
    <w:p w:rsidR="001F4493" w:rsidRPr="00A8157D" w:rsidRDefault="002675F7" w:rsidP="00330764">
      <w:pPr>
        <w:pStyle w:val="center"/>
        <w:shd w:val="clear" w:color="auto" w:fill="FFFFFF"/>
        <w:spacing w:before="0" w:beforeAutospacing="0" w:after="0" w:afterAutospacing="0"/>
        <w:ind w:right="289"/>
        <w:rPr>
          <w:rStyle w:val="Strong"/>
          <w:rFonts w:eastAsiaTheme="majorEastAsia"/>
          <w:b w:val="0"/>
        </w:rPr>
      </w:pPr>
      <w:r w:rsidRPr="00C43386">
        <w:t xml:space="preserve">Multi-establishment </w:t>
      </w:r>
      <w:r w:rsidR="00497227" w:rsidRPr="00A8157D">
        <w:t>c</w:t>
      </w:r>
      <w:r w:rsidR="000B68FA" w:rsidRPr="00A8157D">
        <w:rPr>
          <w:rStyle w:val="Strong"/>
          <w:rFonts w:eastAsiaTheme="majorEastAsia"/>
          <w:b w:val="0"/>
        </w:rPr>
        <w:t xml:space="preserve">ontractors </w:t>
      </w:r>
      <w:r w:rsidR="009F4BA0" w:rsidRPr="00A8157D">
        <w:rPr>
          <w:rStyle w:val="Strong"/>
          <w:rFonts w:eastAsiaTheme="majorEastAsia"/>
          <w:b w:val="0"/>
        </w:rPr>
        <w:t xml:space="preserve">are </w:t>
      </w:r>
      <w:r w:rsidR="009F4BA0" w:rsidRPr="00A8157D">
        <w:rPr>
          <w:rStyle w:val="Strong"/>
          <w:rFonts w:eastAsiaTheme="majorEastAsia"/>
          <w:b w:val="0"/>
          <w:u w:val="single"/>
        </w:rPr>
        <w:t>not</w:t>
      </w:r>
      <w:r w:rsidR="009F4BA0" w:rsidRPr="00A8157D">
        <w:rPr>
          <w:rStyle w:val="Strong"/>
          <w:rFonts w:eastAsiaTheme="majorEastAsia"/>
          <w:b w:val="0"/>
        </w:rPr>
        <w:t xml:space="preserve"> required </w:t>
      </w:r>
      <w:r w:rsidR="000B68FA" w:rsidRPr="00A8157D">
        <w:rPr>
          <w:rStyle w:val="Strong"/>
          <w:rFonts w:eastAsiaTheme="majorEastAsia"/>
          <w:b w:val="0"/>
        </w:rPr>
        <w:t>to provide a consolidated</w:t>
      </w:r>
      <w:r w:rsidRPr="00A8157D">
        <w:rPr>
          <w:rStyle w:val="Strong"/>
          <w:rFonts w:eastAsiaTheme="majorEastAsia"/>
          <w:b w:val="0"/>
        </w:rPr>
        <w:t xml:space="preserve"> or “rolled-up”</w:t>
      </w:r>
      <w:r w:rsidR="000B68FA" w:rsidRPr="00A8157D">
        <w:rPr>
          <w:rStyle w:val="Strong"/>
          <w:rFonts w:eastAsiaTheme="majorEastAsia"/>
          <w:b w:val="0"/>
        </w:rPr>
        <w:t xml:space="preserve"> </w:t>
      </w:r>
      <w:r w:rsidRPr="00A8157D">
        <w:rPr>
          <w:rStyle w:val="Strong"/>
          <w:rFonts w:eastAsiaTheme="majorEastAsia"/>
          <w:b w:val="0"/>
        </w:rPr>
        <w:t>Equal Pay R</w:t>
      </w:r>
      <w:r w:rsidR="000B68FA" w:rsidRPr="00A8157D">
        <w:rPr>
          <w:rStyle w:val="Strong"/>
          <w:rFonts w:eastAsiaTheme="majorEastAsia"/>
          <w:b w:val="0"/>
        </w:rPr>
        <w:t>eport</w:t>
      </w:r>
      <w:r w:rsidRPr="00A8157D">
        <w:rPr>
          <w:rStyle w:val="Strong"/>
          <w:rFonts w:eastAsiaTheme="majorEastAsia"/>
          <w:b w:val="0"/>
        </w:rPr>
        <w:t xml:space="preserve"> to OFCCP.  </w:t>
      </w:r>
    </w:p>
    <w:p w:rsidR="000B68FA" w:rsidRPr="00A8157D" w:rsidRDefault="000B68FA" w:rsidP="00330764">
      <w:pPr>
        <w:pStyle w:val="NormalWeb"/>
        <w:shd w:val="clear" w:color="auto" w:fill="FFFFFF"/>
        <w:spacing w:before="0" w:beforeAutospacing="0" w:after="0" w:afterAutospacing="0"/>
        <w:ind w:right="289"/>
        <w:rPr>
          <w:rStyle w:val="Strong"/>
          <w:rFonts w:eastAsiaTheme="majorEastAsia"/>
          <w:u w:val="single"/>
        </w:rPr>
      </w:pPr>
    </w:p>
    <w:p w:rsidR="00B60F15" w:rsidRPr="00A8157D" w:rsidRDefault="0011585B" w:rsidP="00330764">
      <w:pPr>
        <w:pStyle w:val="NormalWeb"/>
        <w:shd w:val="clear" w:color="auto" w:fill="FFFFFF"/>
        <w:spacing w:before="0" w:beforeAutospacing="0" w:after="0" w:afterAutospacing="0"/>
        <w:ind w:right="289"/>
        <w:rPr>
          <w:rStyle w:val="Strong"/>
          <w:rFonts w:eastAsiaTheme="majorEastAsia"/>
          <w:u w:val="single"/>
        </w:rPr>
      </w:pPr>
      <w:r w:rsidRPr="00A8157D">
        <w:rPr>
          <w:rStyle w:val="Strong"/>
          <w:rFonts w:eastAsiaTheme="majorEastAsia"/>
          <w:u w:val="single"/>
        </w:rPr>
        <w:t xml:space="preserve">Section B: </w:t>
      </w:r>
      <w:r w:rsidR="00B60F15" w:rsidRPr="00A8157D">
        <w:rPr>
          <w:rStyle w:val="Strong"/>
          <w:rFonts w:eastAsiaTheme="majorEastAsia"/>
          <w:u w:val="single"/>
        </w:rPr>
        <w:t>Company Identification</w:t>
      </w:r>
    </w:p>
    <w:p w:rsidR="00760F73" w:rsidRPr="00146FA8" w:rsidRDefault="00760F73" w:rsidP="00330764">
      <w:pPr>
        <w:pStyle w:val="NormalWeb"/>
        <w:shd w:val="clear" w:color="auto" w:fill="FFFFFF"/>
        <w:spacing w:before="0" w:beforeAutospacing="0" w:after="0" w:afterAutospacing="0"/>
        <w:ind w:right="289"/>
        <w:rPr>
          <w:rStyle w:val="Strong"/>
          <w:rFonts w:eastAsiaTheme="majorEastAsia"/>
          <w:b w:val="0"/>
        </w:rPr>
      </w:pPr>
      <w:r w:rsidRPr="00A8157D">
        <w:rPr>
          <w:rStyle w:val="Strong"/>
          <w:rFonts w:eastAsiaTheme="majorEastAsia"/>
          <w:b w:val="0"/>
        </w:rPr>
        <w:t xml:space="preserve">In this section indicate provide company identification information for the establishment completing the report and the </w:t>
      </w:r>
      <w:r w:rsidR="00A308FE">
        <w:rPr>
          <w:rStyle w:val="Strong"/>
          <w:rFonts w:eastAsiaTheme="majorEastAsia"/>
          <w:b w:val="0"/>
        </w:rPr>
        <w:t>Headquarters</w:t>
      </w:r>
      <w:r w:rsidRPr="00A8157D">
        <w:rPr>
          <w:rStyle w:val="Strong"/>
          <w:rFonts w:eastAsiaTheme="majorEastAsia"/>
          <w:b w:val="0"/>
        </w:rPr>
        <w:t xml:space="preserve">, if applicable.  For single establishment contractors, complete the </w:t>
      </w:r>
      <w:r w:rsidR="003D5FB2" w:rsidRPr="00A8157D">
        <w:rPr>
          <w:rStyle w:val="Strong"/>
          <w:rFonts w:eastAsiaTheme="majorEastAsia"/>
          <w:b w:val="0"/>
        </w:rPr>
        <w:t>e</w:t>
      </w:r>
      <w:r w:rsidRPr="00146FA8">
        <w:rPr>
          <w:rStyle w:val="Strong"/>
          <w:rFonts w:eastAsiaTheme="majorEastAsia"/>
          <w:b w:val="0"/>
        </w:rPr>
        <w:t>stablishment portion of this section.</w:t>
      </w:r>
    </w:p>
    <w:p w:rsidR="00760F73" w:rsidRPr="00E610D2" w:rsidRDefault="00760F73" w:rsidP="00330764">
      <w:pPr>
        <w:pStyle w:val="NormalWeb"/>
        <w:shd w:val="clear" w:color="auto" w:fill="FFFFFF"/>
        <w:spacing w:before="0" w:beforeAutospacing="0" w:after="0" w:afterAutospacing="0"/>
        <w:ind w:right="289"/>
        <w:rPr>
          <w:rStyle w:val="Strong"/>
          <w:rFonts w:eastAsiaTheme="majorEastAsia"/>
          <w:b w:val="0"/>
        </w:rPr>
      </w:pPr>
    </w:p>
    <w:p w:rsidR="0011585B" w:rsidRPr="00A8157D" w:rsidRDefault="00A308FE" w:rsidP="00330764">
      <w:pPr>
        <w:pStyle w:val="NormalWeb"/>
        <w:numPr>
          <w:ilvl w:val="0"/>
          <w:numId w:val="21"/>
        </w:numPr>
        <w:shd w:val="clear" w:color="auto" w:fill="FFFFFF"/>
        <w:spacing w:before="0" w:beforeAutospacing="0" w:after="0" w:afterAutospacing="0"/>
        <w:ind w:right="289"/>
      </w:pPr>
      <w:r>
        <w:rPr>
          <w:u w:val="single"/>
        </w:rPr>
        <w:t>Headquarters</w:t>
      </w:r>
      <w:r w:rsidR="00760F73" w:rsidRPr="00A8157D">
        <w:t xml:space="preserve">: </w:t>
      </w:r>
      <w:r w:rsidR="003D5FB2" w:rsidRPr="00A8157D">
        <w:t>P</w:t>
      </w:r>
      <w:r w:rsidR="00760F73" w:rsidRPr="00A8157D">
        <w:t xml:space="preserve">rovide the name and address of the headquarters office of multi-establishment </w:t>
      </w:r>
      <w:r w:rsidR="0008428A" w:rsidRPr="00A8157D">
        <w:t>contractor</w:t>
      </w:r>
      <w:r w:rsidR="00760F73" w:rsidRPr="00A8157D">
        <w:t xml:space="preserve">.  </w:t>
      </w:r>
    </w:p>
    <w:p w:rsidR="001B07CE" w:rsidRPr="00A8157D" w:rsidRDefault="001B07CE" w:rsidP="00330764">
      <w:pPr>
        <w:pStyle w:val="NormalWeb"/>
        <w:shd w:val="clear" w:color="auto" w:fill="FFFFFF"/>
        <w:spacing w:before="0" w:beforeAutospacing="0" w:after="0" w:afterAutospacing="0"/>
        <w:ind w:left="649" w:right="289"/>
      </w:pPr>
    </w:p>
    <w:p w:rsidR="0011585B" w:rsidRPr="00A8157D" w:rsidRDefault="00760F73" w:rsidP="00330764">
      <w:pPr>
        <w:pStyle w:val="NormalWeb"/>
        <w:numPr>
          <w:ilvl w:val="0"/>
          <w:numId w:val="21"/>
        </w:numPr>
        <w:shd w:val="clear" w:color="auto" w:fill="FFFFFF"/>
        <w:spacing w:before="0" w:beforeAutospacing="0" w:after="0" w:afterAutospacing="0"/>
        <w:ind w:right="289"/>
      </w:pPr>
      <w:r w:rsidRPr="00A8157D">
        <w:rPr>
          <w:u w:val="single"/>
        </w:rPr>
        <w:t>Establishment</w:t>
      </w:r>
      <w:r w:rsidRPr="00A8157D">
        <w:t xml:space="preserve">: </w:t>
      </w:r>
      <w:r w:rsidR="003D5FB2" w:rsidRPr="00A8157D">
        <w:t xml:space="preserve">Provide </w:t>
      </w:r>
      <w:r w:rsidR="0011585B" w:rsidRPr="00A3424A">
        <w:t>the name and address of the establishment</w:t>
      </w:r>
      <w:r w:rsidRPr="00A3424A">
        <w:t xml:space="preserve">.  Additionally, provide the </w:t>
      </w:r>
      <w:r w:rsidR="0011585B" w:rsidRPr="00E610D2">
        <w:t>Employer Identification Number</w:t>
      </w:r>
      <w:r w:rsidR="001A4B1A" w:rsidRPr="00E610D2">
        <w:t xml:space="preserve"> (</w:t>
      </w:r>
      <w:r w:rsidR="00FF64B4" w:rsidRPr="00E610D2">
        <w:t xml:space="preserve">Internal Revenue Service (IRS) </w:t>
      </w:r>
      <w:r w:rsidR="001A4B1A" w:rsidRPr="00E610D2">
        <w:t>9-DIGIT Tax Number)</w:t>
      </w:r>
      <w:r w:rsidR="0011585B" w:rsidRPr="00A8157D">
        <w:t>, and whether the Equal Pay Report was filed for the establishment last year</w:t>
      </w:r>
      <w:r w:rsidR="001A4B1A" w:rsidRPr="00A8157D">
        <w:t>.</w:t>
      </w:r>
    </w:p>
    <w:p w:rsidR="001A4B1A" w:rsidRPr="00A8157D" w:rsidRDefault="001A4B1A" w:rsidP="00330764">
      <w:pPr>
        <w:pStyle w:val="NormalWeb"/>
        <w:shd w:val="clear" w:color="auto" w:fill="FFFFFF"/>
        <w:spacing w:before="0" w:beforeAutospacing="0" w:after="0" w:afterAutospacing="0"/>
        <w:ind w:right="289"/>
        <w:rPr>
          <w:rStyle w:val="Strong"/>
          <w:rFonts w:eastAsiaTheme="majorEastAsia"/>
          <w:u w:val="single"/>
        </w:rPr>
      </w:pPr>
    </w:p>
    <w:p w:rsidR="00B60F15" w:rsidRPr="00A8157D" w:rsidRDefault="004B2F89" w:rsidP="00330764">
      <w:pPr>
        <w:pStyle w:val="NormalWeb"/>
        <w:shd w:val="clear" w:color="auto" w:fill="FFFFFF"/>
        <w:spacing w:before="0" w:beforeAutospacing="0" w:after="0" w:afterAutospacing="0"/>
        <w:ind w:right="289"/>
      </w:pPr>
      <w:r w:rsidRPr="00A8157D">
        <w:rPr>
          <w:rStyle w:val="Strong"/>
          <w:rFonts w:eastAsiaTheme="majorEastAsia"/>
          <w:u w:val="single"/>
        </w:rPr>
        <w:lastRenderedPageBreak/>
        <w:t xml:space="preserve">Section C: </w:t>
      </w:r>
      <w:r w:rsidR="00063C30" w:rsidRPr="00A8157D">
        <w:rPr>
          <w:rStyle w:val="Strong"/>
          <w:rFonts w:eastAsiaTheme="majorEastAsia"/>
          <w:u w:val="single"/>
        </w:rPr>
        <w:t>Contractor/Subcontractor</w:t>
      </w:r>
      <w:r w:rsidR="00483C05" w:rsidRPr="00A8157D">
        <w:rPr>
          <w:rStyle w:val="Strong"/>
          <w:rFonts w:eastAsiaTheme="majorEastAsia"/>
          <w:u w:val="single"/>
        </w:rPr>
        <w:t xml:space="preserve"> Information</w:t>
      </w:r>
    </w:p>
    <w:p w:rsidR="00985C6F" w:rsidRPr="00A8157D" w:rsidRDefault="00760F73" w:rsidP="00330764">
      <w:pPr>
        <w:pStyle w:val="NormalWeb"/>
        <w:shd w:val="clear" w:color="auto" w:fill="FFFFFF"/>
        <w:spacing w:before="0" w:beforeAutospacing="0" w:after="0" w:afterAutospacing="0"/>
        <w:ind w:right="289"/>
      </w:pPr>
      <w:r w:rsidRPr="00A8157D">
        <w:t>In this section, e</w:t>
      </w:r>
      <w:r w:rsidR="00B60F15" w:rsidRPr="00A8157D">
        <w:t>nter the company's Dun and Bradstreet identificatio</w:t>
      </w:r>
      <w:r w:rsidR="00483C05" w:rsidRPr="00A8157D">
        <w:t xml:space="preserve">n number if the company has one, the </w:t>
      </w:r>
      <w:r w:rsidR="00084E88" w:rsidRPr="00A8157D">
        <w:t xml:space="preserve">primary </w:t>
      </w:r>
      <w:r w:rsidR="00483C05" w:rsidRPr="00A8157D">
        <w:rPr>
          <w:rStyle w:val="Emphasis"/>
          <w:rFonts w:eastAsiaTheme="majorEastAsia"/>
          <w:bCs/>
          <w:i w:val="0"/>
          <w:iCs w:val="0"/>
          <w:shd w:val="clear" w:color="auto" w:fill="FFFFFF"/>
        </w:rPr>
        <w:t>North American Industry Classification System</w:t>
      </w:r>
      <w:r w:rsidR="00483C05" w:rsidRPr="00A8157D">
        <w:rPr>
          <w:rStyle w:val="apple-converted-space"/>
          <w:rFonts w:eastAsiaTheme="majorEastAsia"/>
          <w:shd w:val="clear" w:color="auto" w:fill="FFFFFF"/>
        </w:rPr>
        <w:t> </w:t>
      </w:r>
      <w:r w:rsidR="00483C05" w:rsidRPr="00A8157D">
        <w:rPr>
          <w:shd w:val="clear" w:color="auto" w:fill="FFFFFF"/>
        </w:rPr>
        <w:t>(</w:t>
      </w:r>
      <w:r w:rsidR="00483C05" w:rsidRPr="00A8157D">
        <w:rPr>
          <w:rStyle w:val="Emphasis"/>
          <w:rFonts w:eastAsiaTheme="majorEastAsia"/>
          <w:bCs/>
          <w:i w:val="0"/>
          <w:iCs w:val="0"/>
          <w:shd w:val="clear" w:color="auto" w:fill="FFFFFF"/>
        </w:rPr>
        <w:t>NAICS</w:t>
      </w:r>
      <w:r w:rsidR="00483C05" w:rsidRPr="00A8157D">
        <w:rPr>
          <w:shd w:val="clear" w:color="auto" w:fill="FFFFFF"/>
        </w:rPr>
        <w:t>) Code, and the EEO-1 Number</w:t>
      </w:r>
      <w:r w:rsidR="00084E88" w:rsidRPr="00A8157D">
        <w:rPr>
          <w:shd w:val="clear" w:color="auto" w:fill="FFFFFF"/>
        </w:rPr>
        <w:t xml:space="preserve"> for the establishment (EEO-1 Unit Number) and the company (EEO-1 Company Number)</w:t>
      </w:r>
      <w:r w:rsidR="00483C05" w:rsidRPr="00A8157D">
        <w:rPr>
          <w:shd w:val="clear" w:color="auto" w:fill="FFFFFF"/>
        </w:rPr>
        <w:t>.</w:t>
      </w:r>
      <w:r w:rsidR="00084E88" w:rsidRPr="00A8157D">
        <w:rPr>
          <w:shd w:val="clear" w:color="auto" w:fill="FFFFFF"/>
        </w:rPr>
        <w:t xml:space="preserve">  EEO-1 numbers are found on the most recent submission of the EEO-1 Report.</w:t>
      </w:r>
      <w:r w:rsidR="00E72619" w:rsidRPr="00A8157D">
        <w:rPr>
          <w:shd w:val="clear" w:color="auto" w:fill="FFFFFF"/>
        </w:rPr>
        <w:t xml:space="preserve"> </w:t>
      </w:r>
      <w:r w:rsidR="00985C6F" w:rsidRPr="00A8157D">
        <w:rPr>
          <w:shd w:val="clear" w:color="auto" w:fill="FFFFFF"/>
        </w:rPr>
        <w:t xml:space="preserve"> </w:t>
      </w:r>
    </w:p>
    <w:p w:rsidR="004C6F82" w:rsidRPr="00A8157D" w:rsidRDefault="004C6F82" w:rsidP="00330764">
      <w:pPr>
        <w:pStyle w:val="NormalWeb"/>
        <w:shd w:val="clear" w:color="auto" w:fill="FFFFFF"/>
        <w:spacing w:before="0" w:beforeAutospacing="0" w:after="0" w:afterAutospacing="0"/>
        <w:ind w:right="289"/>
        <w:rPr>
          <w:rStyle w:val="Strong"/>
          <w:rFonts w:eastAsiaTheme="majorEastAsia"/>
          <w:u w:val="single"/>
        </w:rPr>
      </w:pPr>
    </w:p>
    <w:p w:rsidR="00C62B94" w:rsidRPr="00A8157D" w:rsidRDefault="00ED23B3" w:rsidP="00330764">
      <w:pPr>
        <w:pStyle w:val="NormalWeb"/>
        <w:shd w:val="clear" w:color="auto" w:fill="FFFFFF"/>
        <w:spacing w:before="0" w:beforeAutospacing="0" w:after="0" w:afterAutospacing="0"/>
        <w:ind w:right="289"/>
        <w:rPr>
          <w:rStyle w:val="Strong"/>
          <w:rFonts w:eastAsiaTheme="majorEastAsia"/>
          <w:u w:val="single"/>
        </w:rPr>
      </w:pPr>
      <w:r w:rsidRPr="00A8157D">
        <w:rPr>
          <w:rStyle w:val="Strong"/>
          <w:rFonts w:eastAsiaTheme="majorEastAsia"/>
          <w:u w:val="single"/>
        </w:rPr>
        <w:t xml:space="preserve">Section D: </w:t>
      </w:r>
      <w:r w:rsidR="00C62B94" w:rsidRPr="00A8157D">
        <w:rPr>
          <w:rStyle w:val="Strong"/>
          <w:rFonts w:eastAsiaTheme="majorEastAsia"/>
          <w:u w:val="single"/>
        </w:rPr>
        <w:t>Male Employees and Female Employees</w:t>
      </w:r>
    </w:p>
    <w:p w:rsidR="00C62B94" w:rsidRPr="00A8157D" w:rsidRDefault="00084E88" w:rsidP="00330764">
      <w:pPr>
        <w:pStyle w:val="NormalWeb"/>
        <w:shd w:val="clear" w:color="auto" w:fill="FFFFFF"/>
        <w:spacing w:before="0" w:beforeAutospacing="0" w:after="0" w:afterAutospacing="0"/>
        <w:ind w:right="289"/>
        <w:rPr>
          <w:rStyle w:val="Strong"/>
          <w:rFonts w:eastAsiaTheme="majorEastAsia"/>
          <w:b w:val="0"/>
        </w:rPr>
      </w:pPr>
      <w:r w:rsidRPr="00A8157D">
        <w:rPr>
          <w:rStyle w:val="Strong"/>
          <w:rFonts w:eastAsiaTheme="majorEastAsia"/>
          <w:b w:val="0"/>
        </w:rPr>
        <w:t xml:space="preserve">This section includes two data tables.  The first data table is used to report male employees and the second female employees.  On each of these data tables, </w:t>
      </w:r>
      <w:r w:rsidR="00C62B94" w:rsidRPr="00A8157D">
        <w:rPr>
          <w:rStyle w:val="Strong"/>
          <w:rFonts w:eastAsiaTheme="majorEastAsia"/>
          <w:b w:val="0"/>
        </w:rPr>
        <w:t xml:space="preserve">report the total number of employees, total work hours and total W-2 pay by race, ethnicity, and job category.  </w:t>
      </w:r>
      <w:r w:rsidR="006D2FD7" w:rsidRPr="00A8157D">
        <w:rPr>
          <w:rStyle w:val="Strong"/>
          <w:rFonts w:eastAsiaTheme="majorEastAsia"/>
          <w:b w:val="0"/>
        </w:rPr>
        <w:t>The data to include in the tables is detailed below.</w:t>
      </w:r>
    </w:p>
    <w:p w:rsidR="00084E88" w:rsidRPr="00A8157D" w:rsidRDefault="00084E88" w:rsidP="00330764">
      <w:pPr>
        <w:pStyle w:val="NormalWeb"/>
        <w:shd w:val="clear" w:color="auto" w:fill="FFFFFF"/>
        <w:spacing w:before="0" w:beforeAutospacing="0" w:after="0" w:afterAutospacing="0"/>
        <w:ind w:right="289"/>
        <w:rPr>
          <w:rStyle w:val="Strong"/>
          <w:rFonts w:eastAsiaTheme="majorEastAsia"/>
          <w:b w:val="0"/>
        </w:rPr>
      </w:pPr>
    </w:p>
    <w:p w:rsidR="004C5D61" w:rsidRPr="00A3424A" w:rsidRDefault="00C62B94" w:rsidP="008720AE">
      <w:pPr>
        <w:pStyle w:val="ListParagraph"/>
        <w:numPr>
          <w:ilvl w:val="0"/>
          <w:numId w:val="28"/>
        </w:numPr>
        <w:rPr>
          <w:color w:val="auto"/>
          <w:szCs w:val="24"/>
        </w:rPr>
      </w:pPr>
      <w:r w:rsidRPr="00C43386">
        <w:rPr>
          <w:rFonts w:eastAsia="Times New Roman"/>
          <w:color w:val="auto"/>
          <w:szCs w:val="24"/>
        </w:rPr>
        <w:t>Total</w:t>
      </w:r>
      <w:r w:rsidR="004C5D61" w:rsidRPr="00A8157D">
        <w:rPr>
          <w:color w:val="auto"/>
          <w:szCs w:val="24"/>
        </w:rPr>
        <w:t xml:space="preserve"> Employees</w:t>
      </w:r>
      <w:r w:rsidR="00F83BA2" w:rsidRPr="00A3424A">
        <w:rPr>
          <w:color w:val="auto"/>
          <w:szCs w:val="24"/>
        </w:rPr>
        <w:t>:</w:t>
      </w:r>
    </w:p>
    <w:p w:rsidR="004D4E57" w:rsidRPr="00A8157D" w:rsidRDefault="00F63F5C" w:rsidP="00330764">
      <w:pPr>
        <w:pStyle w:val="NormalWeb"/>
        <w:numPr>
          <w:ilvl w:val="1"/>
          <w:numId w:val="28"/>
        </w:numPr>
        <w:shd w:val="clear" w:color="auto" w:fill="FFFFFF"/>
        <w:spacing w:before="0" w:beforeAutospacing="0" w:after="0" w:afterAutospacing="0"/>
        <w:ind w:right="289"/>
      </w:pPr>
      <w:r w:rsidRPr="00E610D2">
        <w:t>I</w:t>
      </w:r>
      <w:r w:rsidR="004C5D61" w:rsidRPr="00E610D2">
        <w:t>nclude</w:t>
      </w:r>
      <w:r w:rsidR="006D2FD7" w:rsidRPr="00E610D2">
        <w:rPr>
          <w:rStyle w:val="apple-converted-space"/>
          <w:rFonts w:eastAsiaTheme="majorEastAsia"/>
        </w:rPr>
        <w:t xml:space="preserve"> </w:t>
      </w:r>
      <w:r w:rsidR="006D2FD7" w:rsidRPr="00E610D2">
        <w:rPr>
          <w:rStyle w:val="Strong"/>
          <w:rFonts w:eastAsiaTheme="majorEastAsia"/>
          <w:b w:val="0"/>
        </w:rPr>
        <w:t>all</w:t>
      </w:r>
      <w:r w:rsidR="006D2FD7" w:rsidRPr="008A6DD6">
        <w:rPr>
          <w:rStyle w:val="apple-converted-space"/>
          <w:rFonts w:eastAsiaTheme="majorEastAsia"/>
        </w:rPr>
        <w:t xml:space="preserve"> </w:t>
      </w:r>
      <w:r w:rsidR="004C5D61" w:rsidRPr="00EF7191">
        <w:t xml:space="preserve">full-time and part-time employees who were </w:t>
      </w:r>
      <w:r w:rsidR="00FF64B4" w:rsidRPr="00EF7191">
        <w:t>included</w:t>
      </w:r>
      <w:r w:rsidR="004D4E57" w:rsidRPr="00EF7191">
        <w:t xml:space="preserve"> in your </w:t>
      </w:r>
      <w:r w:rsidR="00FF64B4" w:rsidRPr="00EF7191">
        <w:t xml:space="preserve">most recent </w:t>
      </w:r>
      <w:r w:rsidR="004D4E57" w:rsidRPr="00A8157D">
        <w:t xml:space="preserve">EEO-1 report for the reporting year. Do not include employees who were not covered in the EEO-1 </w:t>
      </w:r>
      <w:r w:rsidR="00F83BA2" w:rsidRPr="00A8157D">
        <w:t>R</w:t>
      </w:r>
      <w:r w:rsidR="004D4E57" w:rsidRPr="00A8157D">
        <w:t>eport.</w:t>
      </w:r>
    </w:p>
    <w:p w:rsidR="004C5D61" w:rsidRPr="00A8157D" w:rsidRDefault="004C5D61" w:rsidP="00330764">
      <w:pPr>
        <w:pStyle w:val="NormalWeb"/>
        <w:numPr>
          <w:ilvl w:val="1"/>
          <w:numId w:val="28"/>
        </w:numPr>
        <w:shd w:val="clear" w:color="auto" w:fill="FFFFFF"/>
        <w:spacing w:before="0" w:beforeAutospacing="0" w:after="0" w:afterAutospacing="0"/>
        <w:ind w:right="289"/>
      </w:pPr>
      <w:r w:rsidRPr="00A8157D">
        <w:t xml:space="preserve">Every employee must be accounted for in </w:t>
      </w:r>
      <w:r w:rsidR="006D2FD7" w:rsidRPr="00A8157D">
        <w:t xml:space="preserve">only </w:t>
      </w:r>
      <w:r w:rsidRPr="00A8157D">
        <w:t xml:space="preserve">one of the </w:t>
      </w:r>
      <w:r w:rsidR="00F63F5C" w:rsidRPr="00A8157D">
        <w:t xml:space="preserve">job and race/ethnicity </w:t>
      </w:r>
      <w:r w:rsidRPr="00A8157D">
        <w:t>categories.</w:t>
      </w:r>
    </w:p>
    <w:p w:rsidR="00C62B94" w:rsidRPr="00A8157D" w:rsidRDefault="00C62B94" w:rsidP="00330764">
      <w:pPr>
        <w:pStyle w:val="NormalWeb"/>
        <w:shd w:val="clear" w:color="auto" w:fill="FFFFFF"/>
        <w:spacing w:before="0" w:beforeAutospacing="0" w:after="0" w:afterAutospacing="0"/>
        <w:ind w:left="1440" w:right="289"/>
      </w:pPr>
    </w:p>
    <w:p w:rsidR="0060786E" w:rsidRPr="004136CC" w:rsidRDefault="0060786E" w:rsidP="00330764">
      <w:pPr>
        <w:pStyle w:val="ListParagraph"/>
        <w:numPr>
          <w:ilvl w:val="0"/>
          <w:numId w:val="28"/>
        </w:numPr>
        <w:rPr>
          <w:color w:val="auto"/>
          <w:szCs w:val="24"/>
        </w:rPr>
      </w:pPr>
      <w:r w:rsidRPr="00F4678C">
        <w:rPr>
          <w:color w:val="auto"/>
          <w:szCs w:val="24"/>
        </w:rPr>
        <w:t>Race and Ethnicity Categories</w:t>
      </w:r>
      <w:r w:rsidR="00F83BA2" w:rsidRPr="004136CC">
        <w:rPr>
          <w:color w:val="auto"/>
          <w:szCs w:val="24"/>
        </w:rPr>
        <w:t xml:space="preserve">: </w:t>
      </w:r>
    </w:p>
    <w:p w:rsidR="0060786E" w:rsidRPr="00A8157D" w:rsidRDefault="0060786E" w:rsidP="00330764">
      <w:pPr>
        <w:ind w:left="720"/>
        <w:rPr>
          <w:color w:val="auto"/>
        </w:rPr>
      </w:pPr>
      <w:r w:rsidRPr="00A8157D">
        <w:rPr>
          <w:color w:val="auto"/>
        </w:rPr>
        <w:t xml:space="preserve">The race/ethnicity categories are the same as those used to file EEO-1 reports. </w:t>
      </w:r>
      <w:r w:rsidR="00FF64B4" w:rsidRPr="00A8157D">
        <w:rPr>
          <w:color w:val="auto"/>
        </w:rPr>
        <w:t xml:space="preserve">Contractors should report employees on this report in the same </w:t>
      </w:r>
      <w:r w:rsidR="00F83BA2" w:rsidRPr="00A8157D">
        <w:rPr>
          <w:color w:val="auto"/>
        </w:rPr>
        <w:t>manner (</w:t>
      </w:r>
      <w:r w:rsidR="00FF64B4" w:rsidRPr="00A8157D">
        <w:rPr>
          <w:color w:val="auto"/>
        </w:rPr>
        <w:t>gender, race and ethnicity categories</w:t>
      </w:r>
      <w:r w:rsidR="00F83BA2" w:rsidRPr="00A8157D">
        <w:rPr>
          <w:color w:val="auto"/>
        </w:rPr>
        <w:t>)</w:t>
      </w:r>
      <w:r w:rsidR="00FF64B4" w:rsidRPr="00A8157D">
        <w:rPr>
          <w:color w:val="auto"/>
        </w:rPr>
        <w:t xml:space="preserve"> as they were reported on the most recent EEO-1 Report.</w:t>
      </w:r>
      <w:r w:rsidRPr="00A8157D">
        <w:rPr>
          <w:color w:val="auto"/>
        </w:rPr>
        <w:t xml:space="preserve"> Refer to the Appendix for </w:t>
      </w:r>
      <w:r w:rsidR="00FF64B4" w:rsidRPr="00A8157D">
        <w:rPr>
          <w:color w:val="auto"/>
        </w:rPr>
        <w:t xml:space="preserve">additional information on </w:t>
      </w:r>
      <w:r w:rsidR="006D2FD7" w:rsidRPr="00A8157D">
        <w:rPr>
          <w:color w:val="auto"/>
        </w:rPr>
        <w:t>r</w:t>
      </w:r>
      <w:r w:rsidR="00FF64B4" w:rsidRPr="00A8157D">
        <w:rPr>
          <w:color w:val="auto"/>
        </w:rPr>
        <w:t xml:space="preserve">ace and </w:t>
      </w:r>
      <w:r w:rsidR="006D2FD7" w:rsidRPr="00A8157D">
        <w:rPr>
          <w:color w:val="auto"/>
        </w:rPr>
        <w:t>e</w:t>
      </w:r>
      <w:r w:rsidR="00FF64B4" w:rsidRPr="00A8157D">
        <w:rPr>
          <w:color w:val="auto"/>
        </w:rPr>
        <w:t>thnicity categories.</w:t>
      </w:r>
    </w:p>
    <w:p w:rsidR="0060786E" w:rsidRPr="00F4678C" w:rsidRDefault="0060786E" w:rsidP="008720AE">
      <w:pPr>
        <w:pStyle w:val="ListParagraph"/>
        <w:rPr>
          <w:color w:val="auto"/>
          <w:szCs w:val="24"/>
        </w:rPr>
      </w:pPr>
    </w:p>
    <w:p w:rsidR="0060786E" w:rsidRPr="00A308FE" w:rsidRDefault="0060786E">
      <w:pPr>
        <w:pStyle w:val="ListParagraph"/>
        <w:numPr>
          <w:ilvl w:val="0"/>
          <w:numId w:val="28"/>
        </w:numPr>
        <w:rPr>
          <w:color w:val="auto"/>
          <w:szCs w:val="24"/>
        </w:rPr>
      </w:pPr>
      <w:r w:rsidRPr="004136CC">
        <w:rPr>
          <w:color w:val="auto"/>
          <w:szCs w:val="24"/>
        </w:rPr>
        <w:t>Job Categories</w:t>
      </w:r>
      <w:r w:rsidR="00F83BA2" w:rsidRPr="004136CC">
        <w:rPr>
          <w:color w:val="auto"/>
          <w:szCs w:val="24"/>
        </w:rPr>
        <w:t>:</w:t>
      </w:r>
    </w:p>
    <w:p w:rsidR="00F83BA2" w:rsidRPr="00C43386" w:rsidRDefault="0060786E">
      <w:pPr>
        <w:pStyle w:val="ListParagraph"/>
        <w:rPr>
          <w:color w:val="auto"/>
          <w:szCs w:val="24"/>
        </w:rPr>
      </w:pPr>
      <w:r w:rsidRPr="00C43386">
        <w:rPr>
          <w:color w:val="auto"/>
          <w:szCs w:val="24"/>
        </w:rPr>
        <w:t xml:space="preserve">In order to simplify and standardize the method of reporting, all jobs are considered as belonging in one of the broad job categories shown in the </w:t>
      </w:r>
      <w:r w:rsidR="00FF64B4" w:rsidRPr="00C43386">
        <w:rPr>
          <w:color w:val="auto"/>
          <w:szCs w:val="24"/>
        </w:rPr>
        <w:t>reporting form</w:t>
      </w:r>
      <w:r w:rsidRPr="00C43386">
        <w:rPr>
          <w:color w:val="auto"/>
          <w:szCs w:val="24"/>
        </w:rPr>
        <w:t>.  These job categories are the same as those used to file EEO-1 reports.</w:t>
      </w:r>
      <w:r w:rsidR="00FF64B4" w:rsidRPr="00C43386">
        <w:rPr>
          <w:color w:val="auto"/>
          <w:szCs w:val="24"/>
        </w:rPr>
        <w:t xml:space="preserve">  Contractors should report employees in the same job categories as they were reported on the most recent EEO-1 Report.  Refer to the Appendix for additional information on job categories.</w:t>
      </w:r>
      <w:r w:rsidR="00FF64B4" w:rsidRPr="00C43386" w:rsidDel="00FF64B4">
        <w:rPr>
          <w:color w:val="auto"/>
          <w:szCs w:val="24"/>
        </w:rPr>
        <w:t xml:space="preserve"> </w:t>
      </w:r>
    </w:p>
    <w:p w:rsidR="0060786E" w:rsidRPr="00A8157D" w:rsidRDefault="0060786E" w:rsidP="008720AE">
      <w:pPr>
        <w:pStyle w:val="ListParagraph"/>
        <w:rPr>
          <w:color w:val="auto"/>
          <w:szCs w:val="24"/>
        </w:rPr>
      </w:pPr>
    </w:p>
    <w:p w:rsidR="004C5D61" w:rsidRPr="00E610D2" w:rsidRDefault="004C5D61">
      <w:pPr>
        <w:pStyle w:val="ListParagraph"/>
        <w:numPr>
          <w:ilvl w:val="0"/>
          <w:numId w:val="28"/>
        </w:numPr>
        <w:rPr>
          <w:color w:val="auto"/>
          <w:szCs w:val="24"/>
        </w:rPr>
      </w:pPr>
      <w:r w:rsidRPr="00E610D2">
        <w:rPr>
          <w:color w:val="auto"/>
          <w:szCs w:val="24"/>
        </w:rPr>
        <w:t>W-2 Pay</w:t>
      </w:r>
      <w:r w:rsidR="00F83BA2" w:rsidRPr="00E610D2">
        <w:rPr>
          <w:color w:val="auto"/>
          <w:szCs w:val="24"/>
        </w:rPr>
        <w:t>:</w:t>
      </w:r>
    </w:p>
    <w:p w:rsidR="004C5D61" w:rsidRPr="00272349" w:rsidRDefault="0060786E">
      <w:pPr>
        <w:pStyle w:val="ListParagraph"/>
        <w:numPr>
          <w:ilvl w:val="1"/>
          <w:numId w:val="28"/>
        </w:numPr>
        <w:rPr>
          <w:color w:val="auto"/>
          <w:szCs w:val="24"/>
        </w:rPr>
      </w:pPr>
      <w:r w:rsidRPr="00F4678C">
        <w:rPr>
          <w:color w:val="auto"/>
          <w:szCs w:val="24"/>
        </w:rPr>
        <w:t>I</w:t>
      </w:r>
      <w:r w:rsidR="004C5D61" w:rsidRPr="004136CC">
        <w:rPr>
          <w:color w:val="auto"/>
          <w:szCs w:val="24"/>
        </w:rPr>
        <w:t xml:space="preserve">nclude the total </w:t>
      </w:r>
      <w:r w:rsidRPr="004136CC">
        <w:rPr>
          <w:color w:val="auto"/>
          <w:szCs w:val="24"/>
        </w:rPr>
        <w:t xml:space="preserve">W-2 </w:t>
      </w:r>
      <w:r w:rsidR="004C5D61" w:rsidRPr="004136CC">
        <w:rPr>
          <w:color w:val="auto"/>
          <w:szCs w:val="24"/>
        </w:rPr>
        <w:t xml:space="preserve">pay </w:t>
      </w:r>
      <w:r w:rsidR="002969F3" w:rsidRPr="00A308FE">
        <w:rPr>
          <w:color w:val="auto"/>
          <w:szCs w:val="24"/>
        </w:rPr>
        <w:t xml:space="preserve">reported for work </w:t>
      </w:r>
      <w:r w:rsidR="004C5D61" w:rsidRPr="00A308FE">
        <w:rPr>
          <w:color w:val="auto"/>
          <w:szCs w:val="24"/>
        </w:rPr>
        <w:t xml:space="preserve">from January 1 to December 31 </w:t>
      </w:r>
      <w:r w:rsidR="006D2FD7" w:rsidRPr="00A308FE">
        <w:rPr>
          <w:color w:val="auto"/>
          <w:szCs w:val="24"/>
        </w:rPr>
        <w:t>of the previous year for all e</w:t>
      </w:r>
      <w:r w:rsidR="004C5D61" w:rsidRPr="002A172E">
        <w:rPr>
          <w:color w:val="auto"/>
          <w:szCs w:val="24"/>
        </w:rPr>
        <w:t xml:space="preserve">mployees included in your </w:t>
      </w:r>
      <w:r w:rsidR="00272349">
        <w:rPr>
          <w:color w:val="auto"/>
          <w:szCs w:val="24"/>
        </w:rPr>
        <w:t xml:space="preserve">most recent </w:t>
      </w:r>
      <w:r w:rsidR="004C5D61" w:rsidRPr="002A172E">
        <w:rPr>
          <w:color w:val="auto"/>
          <w:szCs w:val="24"/>
        </w:rPr>
        <w:t xml:space="preserve">EEO-1 </w:t>
      </w:r>
      <w:r w:rsidR="002969F3" w:rsidRPr="00272349">
        <w:rPr>
          <w:color w:val="auto"/>
          <w:szCs w:val="24"/>
        </w:rPr>
        <w:t>R</w:t>
      </w:r>
      <w:r w:rsidR="004C5D61" w:rsidRPr="00272349">
        <w:rPr>
          <w:color w:val="auto"/>
          <w:szCs w:val="24"/>
        </w:rPr>
        <w:t xml:space="preserve">eport.   </w:t>
      </w:r>
    </w:p>
    <w:p w:rsidR="004D4E57" w:rsidRPr="00272349" w:rsidRDefault="004D4E57">
      <w:pPr>
        <w:pStyle w:val="ListParagraph"/>
        <w:ind w:left="1440"/>
        <w:rPr>
          <w:color w:val="auto"/>
          <w:szCs w:val="24"/>
        </w:rPr>
      </w:pPr>
    </w:p>
    <w:p w:rsidR="004C5D61" w:rsidRPr="00C43386" w:rsidRDefault="004C5D61">
      <w:pPr>
        <w:pStyle w:val="ListParagraph"/>
        <w:numPr>
          <w:ilvl w:val="1"/>
          <w:numId w:val="28"/>
        </w:numPr>
        <w:rPr>
          <w:color w:val="auto"/>
          <w:szCs w:val="24"/>
        </w:rPr>
      </w:pPr>
      <w:r w:rsidRPr="00816104">
        <w:rPr>
          <w:color w:val="auto"/>
          <w:szCs w:val="24"/>
        </w:rPr>
        <w:t xml:space="preserve">W-2 pay is based on the pay listed in Box 1 of the W-2 </w:t>
      </w:r>
      <w:r w:rsidR="002E1FEC" w:rsidRPr="001C689F">
        <w:rPr>
          <w:color w:val="auto"/>
          <w:szCs w:val="24"/>
        </w:rPr>
        <w:t>f</w:t>
      </w:r>
      <w:r w:rsidRPr="00C43386">
        <w:rPr>
          <w:color w:val="auto"/>
          <w:szCs w:val="24"/>
        </w:rPr>
        <w:t xml:space="preserve">orm submitted annually to the IRS.  Further information on what constitutes compensation data to be reported on the W-2 form (and therefore reported in the Equal Pay Report) can be found in the W-2 filing instructions and on the Employer Filing Instructions and Information website at </w:t>
      </w:r>
      <w:hyperlink r:id="rId11" w:history="1">
        <w:r w:rsidRPr="00C43386">
          <w:rPr>
            <w:rStyle w:val="Hyperlink"/>
            <w:color w:val="auto"/>
            <w:szCs w:val="24"/>
          </w:rPr>
          <w:t>http://www.ssa.gov/employer/index.htm</w:t>
        </w:r>
      </w:hyperlink>
      <w:r w:rsidRPr="00C43386">
        <w:rPr>
          <w:color w:val="auto"/>
          <w:szCs w:val="24"/>
        </w:rPr>
        <w:t>.</w:t>
      </w:r>
    </w:p>
    <w:p w:rsidR="004C5D61" w:rsidRPr="00A8157D" w:rsidRDefault="004C5D61">
      <w:pPr>
        <w:rPr>
          <w:color w:val="auto"/>
        </w:rPr>
      </w:pPr>
    </w:p>
    <w:p w:rsidR="004C5D61" w:rsidRPr="004136CC" w:rsidRDefault="0060786E">
      <w:pPr>
        <w:pStyle w:val="ListParagraph"/>
        <w:numPr>
          <w:ilvl w:val="0"/>
          <w:numId w:val="28"/>
        </w:numPr>
        <w:rPr>
          <w:color w:val="auto"/>
          <w:szCs w:val="24"/>
        </w:rPr>
      </w:pPr>
      <w:r w:rsidRPr="00F4678C">
        <w:rPr>
          <w:color w:val="auto"/>
          <w:szCs w:val="24"/>
        </w:rPr>
        <w:t>Work Hours</w:t>
      </w:r>
    </w:p>
    <w:p w:rsidR="00C16F7C" w:rsidRPr="00C43386" w:rsidRDefault="00C16F7C">
      <w:pPr>
        <w:pStyle w:val="ListParagraph"/>
        <w:numPr>
          <w:ilvl w:val="1"/>
          <w:numId w:val="28"/>
        </w:numPr>
        <w:rPr>
          <w:color w:val="auto"/>
          <w:szCs w:val="24"/>
        </w:rPr>
      </w:pPr>
      <w:r w:rsidRPr="004136CC">
        <w:rPr>
          <w:color w:val="auto"/>
          <w:szCs w:val="24"/>
        </w:rPr>
        <w:t xml:space="preserve">Include the total work hours from January 1 to December 31 for employees included in your </w:t>
      </w:r>
      <w:r w:rsidR="002969F3" w:rsidRPr="004136CC">
        <w:rPr>
          <w:color w:val="auto"/>
          <w:szCs w:val="24"/>
        </w:rPr>
        <w:t xml:space="preserve">most recent </w:t>
      </w:r>
      <w:r w:rsidRPr="00A308FE">
        <w:rPr>
          <w:color w:val="auto"/>
          <w:szCs w:val="24"/>
        </w:rPr>
        <w:t xml:space="preserve">EEO-1 report for the reporting year.   </w:t>
      </w:r>
    </w:p>
    <w:p w:rsidR="00C16F7C" w:rsidRPr="00C43386" w:rsidRDefault="00C16F7C">
      <w:pPr>
        <w:pStyle w:val="ListParagraph"/>
        <w:ind w:left="1440"/>
        <w:rPr>
          <w:color w:val="auto"/>
          <w:szCs w:val="24"/>
        </w:rPr>
      </w:pPr>
    </w:p>
    <w:p w:rsidR="009966B5" w:rsidRPr="00C43386" w:rsidRDefault="009966B5">
      <w:pPr>
        <w:pStyle w:val="ListParagraph"/>
        <w:numPr>
          <w:ilvl w:val="1"/>
          <w:numId w:val="28"/>
        </w:numPr>
        <w:rPr>
          <w:color w:val="auto"/>
          <w:szCs w:val="24"/>
        </w:rPr>
      </w:pPr>
      <w:r w:rsidRPr="00C43386">
        <w:rPr>
          <w:color w:val="auto"/>
          <w:szCs w:val="24"/>
        </w:rPr>
        <w:t>To calculate total work hours, add all the work hours for each employee within the race/ethnicity and job categories. In calculating work hours, you should use the following method:</w:t>
      </w:r>
    </w:p>
    <w:p w:rsidR="002E1FEC" w:rsidRPr="00C43386" w:rsidRDefault="002E1FEC" w:rsidP="002E1FEC">
      <w:pPr>
        <w:pStyle w:val="ListParagraph"/>
        <w:ind w:left="1440"/>
        <w:rPr>
          <w:color w:val="auto"/>
          <w:szCs w:val="24"/>
        </w:rPr>
      </w:pPr>
    </w:p>
    <w:p w:rsidR="009966B5" w:rsidRPr="00C43386" w:rsidRDefault="009966B5" w:rsidP="00330764">
      <w:pPr>
        <w:pStyle w:val="ListParagraph"/>
        <w:numPr>
          <w:ilvl w:val="0"/>
          <w:numId w:val="31"/>
        </w:numPr>
        <w:rPr>
          <w:color w:val="auto"/>
          <w:szCs w:val="24"/>
        </w:rPr>
      </w:pPr>
      <w:r w:rsidRPr="00C43386">
        <w:rPr>
          <w:color w:val="auto"/>
          <w:szCs w:val="24"/>
        </w:rPr>
        <w:t>For salaried workers, provide actual hours of work if available.  If the actual hours worked are not available, you may assume 2</w:t>
      </w:r>
      <w:r w:rsidR="002969F3" w:rsidRPr="00C43386">
        <w:rPr>
          <w:color w:val="auto"/>
          <w:szCs w:val="24"/>
        </w:rPr>
        <w:t>,</w:t>
      </w:r>
      <w:r w:rsidRPr="00C43386">
        <w:rPr>
          <w:color w:val="auto"/>
          <w:szCs w:val="24"/>
        </w:rPr>
        <w:t>080 hours for full-time employees and 1</w:t>
      </w:r>
      <w:r w:rsidR="002969F3" w:rsidRPr="00C43386">
        <w:rPr>
          <w:color w:val="auto"/>
          <w:szCs w:val="24"/>
        </w:rPr>
        <w:t>,</w:t>
      </w:r>
      <w:r w:rsidRPr="00C43386">
        <w:rPr>
          <w:color w:val="auto"/>
          <w:szCs w:val="24"/>
        </w:rPr>
        <w:t xml:space="preserve">040 for part-time employees.  </w:t>
      </w:r>
    </w:p>
    <w:p w:rsidR="009966B5" w:rsidRPr="00C43386" w:rsidRDefault="009966B5" w:rsidP="008720AE">
      <w:pPr>
        <w:ind w:left="1080"/>
        <w:rPr>
          <w:color w:val="auto"/>
        </w:rPr>
      </w:pPr>
    </w:p>
    <w:p w:rsidR="009966B5" w:rsidRPr="00C43386" w:rsidRDefault="009966B5" w:rsidP="00330764">
      <w:pPr>
        <w:pStyle w:val="ListParagraph"/>
        <w:numPr>
          <w:ilvl w:val="0"/>
          <w:numId w:val="31"/>
        </w:numPr>
        <w:rPr>
          <w:color w:val="auto"/>
          <w:szCs w:val="24"/>
        </w:rPr>
      </w:pPr>
      <w:r w:rsidRPr="00C43386">
        <w:rPr>
          <w:color w:val="auto"/>
          <w:szCs w:val="24"/>
        </w:rPr>
        <w:t>For hourly workers, provide actual hours of work.</w:t>
      </w:r>
    </w:p>
    <w:p w:rsidR="009966B5" w:rsidRPr="00C43386" w:rsidRDefault="009966B5" w:rsidP="008720AE">
      <w:pPr>
        <w:rPr>
          <w:color w:val="auto"/>
        </w:rPr>
      </w:pPr>
    </w:p>
    <w:p w:rsidR="009966B5" w:rsidRPr="00C43386" w:rsidRDefault="009966B5" w:rsidP="00330764">
      <w:pPr>
        <w:pStyle w:val="ListParagraph"/>
        <w:numPr>
          <w:ilvl w:val="0"/>
          <w:numId w:val="31"/>
        </w:numPr>
        <w:rPr>
          <w:color w:val="auto"/>
          <w:szCs w:val="24"/>
        </w:rPr>
      </w:pPr>
      <w:r w:rsidRPr="00C43386">
        <w:rPr>
          <w:color w:val="auto"/>
          <w:szCs w:val="24"/>
        </w:rPr>
        <w:t xml:space="preserve">Reported hours may also be adjusted for part year work using date of hire or dates of </w:t>
      </w:r>
      <w:r w:rsidR="002969F3" w:rsidRPr="00C43386">
        <w:rPr>
          <w:color w:val="auto"/>
          <w:szCs w:val="24"/>
        </w:rPr>
        <w:t>absence (e.g., vacation or leave)</w:t>
      </w:r>
      <w:r w:rsidRPr="00C43386">
        <w:rPr>
          <w:color w:val="auto"/>
          <w:szCs w:val="24"/>
        </w:rPr>
        <w:t>, but this is not required.</w:t>
      </w:r>
    </w:p>
    <w:p w:rsidR="00F83BA2" w:rsidRPr="00A8157D" w:rsidRDefault="00F83BA2" w:rsidP="008720AE">
      <w:pPr>
        <w:rPr>
          <w:color w:val="auto"/>
        </w:rPr>
      </w:pPr>
    </w:p>
    <w:p w:rsidR="00B60F15" w:rsidRPr="00E610D2" w:rsidRDefault="00483C05" w:rsidP="00330764">
      <w:pPr>
        <w:pStyle w:val="NormalWeb"/>
        <w:shd w:val="clear" w:color="auto" w:fill="FFFFFF"/>
        <w:spacing w:before="0" w:beforeAutospacing="0" w:after="0" w:afterAutospacing="0"/>
        <w:ind w:right="289"/>
      </w:pPr>
      <w:r w:rsidRPr="00E610D2">
        <w:rPr>
          <w:rStyle w:val="Strong"/>
          <w:rFonts w:eastAsiaTheme="majorEastAsia"/>
          <w:u w:val="single"/>
        </w:rPr>
        <w:t>Section E</w:t>
      </w:r>
      <w:r w:rsidR="007D1FDD" w:rsidRPr="00E610D2">
        <w:rPr>
          <w:rStyle w:val="Strong"/>
          <w:rFonts w:eastAsiaTheme="majorEastAsia"/>
          <w:u w:val="single"/>
        </w:rPr>
        <w:t xml:space="preserve">: </w:t>
      </w:r>
      <w:r w:rsidR="00B60F15" w:rsidRPr="00E610D2">
        <w:rPr>
          <w:rStyle w:val="Strong"/>
          <w:rFonts w:eastAsiaTheme="majorEastAsia"/>
          <w:u w:val="single"/>
        </w:rPr>
        <w:t>Remarks</w:t>
      </w:r>
    </w:p>
    <w:p w:rsidR="00B60F15" w:rsidRPr="00A8157D" w:rsidRDefault="006D2FD7" w:rsidP="00330764">
      <w:pPr>
        <w:pStyle w:val="NormalWeb"/>
        <w:shd w:val="clear" w:color="auto" w:fill="FFFFFF"/>
        <w:spacing w:before="0" w:beforeAutospacing="0" w:after="0" w:afterAutospacing="0"/>
        <w:ind w:right="289"/>
      </w:pPr>
      <w:r w:rsidRPr="00A8157D">
        <w:t>In this section, include any remarks</w:t>
      </w:r>
      <w:r w:rsidR="00B60F15" w:rsidRPr="00A8157D">
        <w:t>, explanations, or other pertinent information regarding this report.</w:t>
      </w:r>
    </w:p>
    <w:p w:rsidR="002F2AC3" w:rsidRPr="00C43386" w:rsidRDefault="002F2AC3" w:rsidP="00330764">
      <w:pPr>
        <w:pStyle w:val="NormalWeb"/>
        <w:shd w:val="clear" w:color="auto" w:fill="FFFFFF"/>
        <w:spacing w:before="0" w:beforeAutospacing="0" w:after="0" w:afterAutospacing="0"/>
        <w:ind w:right="289"/>
        <w:rPr>
          <w:rStyle w:val="Strong"/>
          <w:rFonts w:eastAsiaTheme="majorEastAsia"/>
          <w:u w:val="single"/>
        </w:rPr>
      </w:pPr>
    </w:p>
    <w:p w:rsidR="00B60F15" w:rsidRPr="00E610D2" w:rsidRDefault="00483C05" w:rsidP="00330764">
      <w:pPr>
        <w:pStyle w:val="NormalWeb"/>
        <w:shd w:val="clear" w:color="auto" w:fill="FFFFFF"/>
        <w:spacing w:before="0" w:beforeAutospacing="0" w:after="0" w:afterAutospacing="0"/>
        <w:ind w:right="289"/>
      </w:pPr>
      <w:r w:rsidRPr="00A8157D">
        <w:rPr>
          <w:rStyle w:val="Strong"/>
          <w:rFonts w:eastAsiaTheme="majorEastAsia"/>
          <w:u w:val="single"/>
        </w:rPr>
        <w:t>Section F</w:t>
      </w:r>
      <w:r w:rsidR="00541E25" w:rsidRPr="00A3424A">
        <w:rPr>
          <w:rStyle w:val="Strong"/>
          <w:rFonts w:eastAsiaTheme="majorEastAsia"/>
          <w:u w:val="single"/>
        </w:rPr>
        <w:t xml:space="preserve">: </w:t>
      </w:r>
      <w:r w:rsidR="007648E0" w:rsidRPr="00A3424A">
        <w:rPr>
          <w:rStyle w:val="Strong"/>
          <w:rFonts w:eastAsiaTheme="majorEastAsia"/>
          <w:u w:val="single"/>
        </w:rPr>
        <w:t>Represen</w:t>
      </w:r>
      <w:r w:rsidR="002E1FEC" w:rsidRPr="00146FA8">
        <w:rPr>
          <w:rStyle w:val="Strong"/>
          <w:rFonts w:eastAsiaTheme="majorEastAsia"/>
          <w:u w:val="single"/>
        </w:rPr>
        <w:t>t</w:t>
      </w:r>
      <w:r w:rsidR="007648E0" w:rsidRPr="00146FA8">
        <w:rPr>
          <w:rStyle w:val="Strong"/>
          <w:rFonts w:eastAsiaTheme="majorEastAsia"/>
          <w:u w:val="single"/>
        </w:rPr>
        <w:t xml:space="preserve">ation and </w:t>
      </w:r>
      <w:r w:rsidR="00B60F15" w:rsidRPr="00E610D2">
        <w:rPr>
          <w:rStyle w:val="Strong"/>
          <w:rFonts w:eastAsiaTheme="majorEastAsia"/>
          <w:u w:val="single"/>
        </w:rPr>
        <w:t>Certification</w:t>
      </w:r>
    </w:p>
    <w:p w:rsidR="002E1FEC" w:rsidRPr="00A8157D" w:rsidRDefault="006D2FD7" w:rsidP="00330764">
      <w:pPr>
        <w:pStyle w:val="NormalWeb"/>
        <w:shd w:val="clear" w:color="auto" w:fill="FFFFFF"/>
        <w:spacing w:before="0" w:beforeAutospacing="0" w:after="0" w:afterAutospacing="0"/>
        <w:ind w:right="289"/>
      </w:pPr>
      <w:r w:rsidRPr="00A8157D">
        <w:t>In this section, the contractor</w:t>
      </w:r>
      <w:r w:rsidR="002E1FEC" w:rsidRPr="00A8157D">
        <w:t xml:space="preserve">’s responsible official must </w:t>
      </w:r>
      <w:r w:rsidR="007648E0" w:rsidRPr="00A8157D">
        <w:t xml:space="preserve">make a </w:t>
      </w:r>
      <w:r w:rsidR="002E1FEC" w:rsidRPr="00A8157D">
        <w:t xml:space="preserve">representation about </w:t>
      </w:r>
      <w:r w:rsidRPr="00A8157D">
        <w:t>the accuracy of the report.  Th</w:t>
      </w:r>
      <w:r w:rsidR="002E1FEC" w:rsidRPr="00A8157D">
        <w:t xml:space="preserve">is representation </w:t>
      </w:r>
      <w:r w:rsidRPr="00A8157D">
        <w:t xml:space="preserve">includes </w:t>
      </w:r>
      <w:r w:rsidR="002E1FEC" w:rsidRPr="00A8157D">
        <w:t xml:space="preserve">selecting the appropriate </w:t>
      </w:r>
      <w:r w:rsidRPr="00A8157D">
        <w:t>check box</w:t>
      </w:r>
      <w:r w:rsidR="002E1FEC" w:rsidRPr="00A8157D">
        <w:t xml:space="preserve"> showing whether </w:t>
      </w:r>
      <w:r w:rsidRPr="00A8157D">
        <w:t xml:space="preserve">the report </w:t>
      </w:r>
      <w:r w:rsidR="002E1FEC" w:rsidRPr="00A8157D">
        <w:t xml:space="preserve">was </w:t>
      </w:r>
      <w:r w:rsidRPr="00A8157D">
        <w:t>completed at the headquarters or at the establishment.  If the report</w:t>
      </w:r>
      <w:r w:rsidR="002E1FEC" w:rsidRPr="00A8157D">
        <w:t xml:space="preserve"> </w:t>
      </w:r>
      <w:r w:rsidR="00473BA3" w:rsidRPr="00A8157D">
        <w:t>was completed</w:t>
      </w:r>
      <w:r w:rsidRPr="00A8157D">
        <w:t xml:space="preserve"> </w:t>
      </w:r>
      <w:r w:rsidR="002E1FEC" w:rsidRPr="00A8157D">
        <w:t xml:space="preserve">by </w:t>
      </w:r>
      <w:r w:rsidRPr="00A8157D">
        <w:t xml:space="preserve">the </w:t>
      </w:r>
      <w:r w:rsidR="002E1FEC" w:rsidRPr="00A8157D">
        <w:t xml:space="preserve">company </w:t>
      </w:r>
      <w:r w:rsidRPr="00A8157D">
        <w:t xml:space="preserve">headquarters, </w:t>
      </w:r>
      <w:r w:rsidR="002E1FEC" w:rsidRPr="00A8157D">
        <w:t xml:space="preserve">the contractor’s responsible official will </w:t>
      </w:r>
      <w:r w:rsidRPr="00A8157D">
        <w:t xml:space="preserve">check the first </w:t>
      </w:r>
      <w:r w:rsidR="002E1FEC" w:rsidRPr="00A8157D">
        <w:t>box. By c</w:t>
      </w:r>
      <w:r w:rsidR="009D2129" w:rsidRPr="00A8157D">
        <w:t>heck</w:t>
      </w:r>
      <w:r w:rsidR="002E1FEC" w:rsidRPr="00A8157D">
        <w:t xml:space="preserve">ing </w:t>
      </w:r>
      <w:r w:rsidR="009D2129" w:rsidRPr="00A8157D">
        <w:t>the second box</w:t>
      </w:r>
      <w:r w:rsidR="002E1FEC" w:rsidRPr="00A8157D">
        <w:t xml:space="preserve"> the responsible official is representing that </w:t>
      </w:r>
      <w:r w:rsidR="009D2129" w:rsidRPr="00A8157D">
        <w:t xml:space="preserve">the report was completed </w:t>
      </w:r>
      <w:r w:rsidR="002E1FEC" w:rsidRPr="00A8157D">
        <w:t xml:space="preserve">by the </w:t>
      </w:r>
      <w:r w:rsidR="009D2129" w:rsidRPr="00A8157D">
        <w:t>establishment</w:t>
      </w:r>
      <w:r w:rsidR="002E1FEC" w:rsidRPr="00A8157D">
        <w:t xml:space="preserve"> and not by company headquarters</w:t>
      </w:r>
      <w:r w:rsidR="009D2129" w:rsidRPr="00A8157D">
        <w:t xml:space="preserve">.  </w:t>
      </w:r>
    </w:p>
    <w:p w:rsidR="002E1FEC" w:rsidRPr="00A8157D" w:rsidRDefault="002E1FEC" w:rsidP="00330764">
      <w:pPr>
        <w:pStyle w:val="NormalWeb"/>
        <w:shd w:val="clear" w:color="auto" w:fill="FFFFFF"/>
        <w:spacing w:before="0" w:beforeAutospacing="0" w:after="0" w:afterAutospacing="0"/>
        <w:ind w:right="289"/>
      </w:pPr>
    </w:p>
    <w:p w:rsidR="00B60F15" w:rsidRPr="00A8157D" w:rsidRDefault="009D2129" w:rsidP="00330764">
      <w:pPr>
        <w:pStyle w:val="NormalWeb"/>
        <w:shd w:val="clear" w:color="auto" w:fill="FFFFFF"/>
        <w:spacing w:before="0" w:beforeAutospacing="0" w:after="0" w:afterAutospacing="0"/>
        <w:ind w:right="289"/>
      </w:pPr>
      <w:r w:rsidRPr="00A8157D">
        <w:t xml:space="preserve">The contractor then must provide the name, title, signature and date of the company official certifying the report.  </w:t>
      </w:r>
      <w:r w:rsidR="00DA48BC" w:rsidRPr="00A8157D">
        <w:t xml:space="preserve">In addition, </w:t>
      </w:r>
      <w:r w:rsidR="00F83BA2" w:rsidRPr="00A8157D">
        <w:t xml:space="preserve">provide the name, phone number and email address that OFCCP may contact if additional information is needed.  </w:t>
      </w:r>
    </w:p>
    <w:p w:rsidR="00F83BA2" w:rsidRPr="00A8157D" w:rsidRDefault="00F83BA2">
      <w:pPr>
        <w:rPr>
          <w:color w:val="auto"/>
        </w:rPr>
      </w:pPr>
      <w:r w:rsidRPr="00A8157D">
        <w:rPr>
          <w:color w:val="auto"/>
        </w:rPr>
        <w:br w:type="page"/>
      </w:r>
    </w:p>
    <w:p w:rsidR="0066090F" w:rsidRPr="00C43386" w:rsidRDefault="0066090F" w:rsidP="00330764">
      <w:pPr>
        <w:pStyle w:val="center"/>
        <w:shd w:val="clear" w:color="auto" w:fill="FFFFFF"/>
        <w:spacing w:before="0" w:beforeAutospacing="0" w:after="0" w:afterAutospacing="0"/>
        <w:ind w:left="262" w:right="262"/>
        <w:jc w:val="center"/>
        <w:rPr>
          <w:rStyle w:val="Strong"/>
          <w:rFonts w:eastAsiaTheme="majorEastAsia"/>
        </w:rPr>
      </w:pPr>
      <w:r w:rsidRPr="00A8157D">
        <w:rPr>
          <w:rStyle w:val="Strong"/>
          <w:rFonts w:eastAsiaTheme="majorEastAsia"/>
        </w:rPr>
        <w:lastRenderedPageBreak/>
        <w:t>APPENDIX</w:t>
      </w:r>
    </w:p>
    <w:p w:rsidR="008720AE" w:rsidRPr="00C43386" w:rsidRDefault="008720AE" w:rsidP="00330764">
      <w:pPr>
        <w:pStyle w:val="center"/>
        <w:shd w:val="clear" w:color="auto" w:fill="FFFFFF"/>
        <w:spacing w:before="0" w:beforeAutospacing="0" w:after="0" w:afterAutospacing="0"/>
        <w:ind w:left="262" w:right="262"/>
        <w:jc w:val="center"/>
        <w:rPr>
          <w:rStyle w:val="Strong"/>
          <w:rFonts w:eastAsiaTheme="majorEastAsia"/>
        </w:rPr>
      </w:pPr>
    </w:p>
    <w:p w:rsidR="0027086A" w:rsidRPr="00A3424A" w:rsidRDefault="0027086A" w:rsidP="00330764">
      <w:pPr>
        <w:pStyle w:val="center"/>
        <w:numPr>
          <w:ilvl w:val="0"/>
          <w:numId w:val="16"/>
        </w:numPr>
        <w:shd w:val="clear" w:color="auto" w:fill="FFFFFF"/>
        <w:spacing w:before="0" w:beforeAutospacing="0" w:after="0" w:afterAutospacing="0"/>
        <w:ind w:right="262"/>
      </w:pPr>
      <w:r w:rsidRPr="00A8157D">
        <w:rPr>
          <w:rStyle w:val="Strong"/>
          <w:rFonts w:eastAsiaTheme="majorEastAsia"/>
        </w:rPr>
        <w:t>DEFINITIONS</w:t>
      </w:r>
    </w:p>
    <w:p w:rsidR="008C05AE" w:rsidRPr="00E610D2" w:rsidRDefault="008C05AE" w:rsidP="00330764">
      <w:pPr>
        <w:pStyle w:val="NormalWeb"/>
        <w:shd w:val="clear" w:color="auto" w:fill="FFFFFF"/>
        <w:spacing w:before="0" w:beforeAutospacing="0" w:after="0" w:afterAutospacing="0"/>
        <w:ind w:left="262" w:right="262"/>
        <w:rPr>
          <w:b/>
        </w:rPr>
      </w:pPr>
    </w:p>
    <w:p w:rsidR="008C05AE" w:rsidRPr="00A8157D" w:rsidRDefault="008C05AE" w:rsidP="00330764">
      <w:pPr>
        <w:pStyle w:val="NormalWeb"/>
        <w:shd w:val="clear" w:color="auto" w:fill="FFFFFF"/>
        <w:spacing w:before="0" w:beforeAutospacing="0" w:after="0" w:afterAutospacing="0"/>
        <w:ind w:right="262"/>
      </w:pPr>
      <w:r w:rsidRPr="00A8157D">
        <w:rPr>
          <w:u w:val="single"/>
        </w:rPr>
        <w:t>Contract</w:t>
      </w:r>
      <w:r w:rsidR="009D2129" w:rsidRPr="00A8157D">
        <w:t>:  A</w:t>
      </w:r>
      <w:r w:rsidRPr="00A8157D">
        <w:t xml:space="preserve">ny government contract </w:t>
      </w:r>
      <w:r w:rsidR="00272349">
        <w:t xml:space="preserve">or subcontract </w:t>
      </w:r>
      <w:r w:rsidRPr="00A8157D">
        <w:t>or any federally-assisted construction contract</w:t>
      </w:r>
      <w:r w:rsidR="00272349">
        <w:t xml:space="preserve"> or subcontract</w:t>
      </w:r>
      <w:r w:rsidRPr="00A8157D">
        <w:t>.</w:t>
      </w:r>
      <w:r w:rsidR="00C615CA" w:rsidRPr="00C615CA">
        <w:rPr>
          <w:rFonts w:eastAsia="ヒラギノ角ゴ Pro W3"/>
        </w:rPr>
        <w:t xml:space="preserve"> </w:t>
      </w:r>
      <w:r w:rsidR="00C615CA" w:rsidRPr="00C615CA">
        <w:t>41 CFR 60-1.3</w:t>
      </w:r>
    </w:p>
    <w:p w:rsidR="008720AE" w:rsidRPr="00A8157D" w:rsidRDefault="008720AE" w:rsidP="00330764">
      <w:pPr>
        <w:pStyle w:val="NormalWeb"/>
        <w:shd w:val="clear" w:color="auto" w:fill="FFFFFF"/>
        <w:spacing w:before="0" w:beforeAutospacing="0" w:after="0" w:afterAutospacing="0"/>
        <w:ind w:right="262"/>
      </w:pPr>
    </w:p>
    <w:p w:rsidR="0066090F" w:rsidRPr="00A8157D" w:rsidRDefault="009D2129" w:rsidP="00330764">
      <w:pPr>
        <w:pStyle w:val="NormalWeb"/>
        <w:shd w:val="clear" w:color="auto" w:fill="FFFFFF"/>
        <w:spacing w:before="0" w:beforeAutospacing="0" w:after="0" w:afterAutospacing="0"/>
        <w:ind w:right="262"/>
      </w:pPr>
      <w:r w:rsidRPr="00A8157D">
        <w:rPr>
          <w:u w:val="single"/>
        </w:rPr>
        <w:t>Employee</w:t>
      </w:r>
      <w:r w:rsidRPr="00A8157D">
        <w:t xml:space="preserve">: </w:t>
      </w:r>
      <w:r w:rsidR="00187D4E" w:rsidRPr="00A8157D">
        <w:t xml:space="preserve">For the purposes of this report, </w:t>
      </w:r>
      <w:r w:rsidRPr="00A8157D">
        <w:t>employee</w:t>
      </w:r>
      <w:r w:rsidR="0066090F" w:rsidRPr="00A8157D">
        <w:t xml:space="preserve"> means any individual on the payroll of an employer who is an employee for purposes of the employers withholding of Social Security taxes except insurance sales agents who are considered to be employees for such purposes solely because of the provisions of 26 USC 3121 (d) (3) (B) (the Internal Revenue Code). Leased employees are included in this definition. Leased Employee means a permanent employee provided by an employment agency for a fee to an outside company for which the employment agency handles all personnel tasks including payroll, staffing, benefit payments and compliance reporting. The employment agency shall, therefore, inc</w:t>
      </w:r>
      <w:r w:rsidR="003B7685" w:rsidRPr="00A8157D">
        <w:t>lude leased employees in its Equal Pay R</w:t>
      </w:r>
      <w:r w:rsidR="0066090F" w:rsidRPr="00A8157D">
        <w:t xml:space="preserve">eport. The term employee </w:t>
      </w:r>
      <w:r w:rsidRPr="00A8157D">
        <w:t>shall not</w:t>
      </w:r>
      <w:r w:rsidR="0066090F" w:rsidRPr="00A8157D">
        <w:t xml:space="preserve"> include persons who are hired on a casual basis for a specified time, or for the duration of a specified job (for example, persons at a construction site whose employment relationship is expected to terminate with the end of the employees work at the site); persons temporarily employed in any industry other than construction, such as temporary office workers, mariners, stevedores, lumber yard workers, etc., who are hired through a hiring hall or other referral arrangement, through an employee contractor or agent, or by some individual hiring arrangement, or persons</w:t>
      </w:r>
      <w:r w:rsidRPr="00A8157D">
        <w:t xml:space="preserve"> </w:t>
      </w:r>
      <w:r w:rsidR="0066090F" w:rsidRPr="00A8157D">
        <w:rPr>
          <w:rStyle w:val="Strong"/>
          <w:rFonts w:eastAsiaTheme="majorEastAsia"/>
          <w:b w:val="0"/>
        </w:rPr>
        <w:t>(</w:t>
      </w:r>
      <w:r w:rsidRPr="00A8157D">
        <w:rPr>
          <w:rStyle w:val="Strong"/>
          <w:rFonts w:eastAsiaTheme="majorEastAsia"/>
          <w:b w:val="0"/>
        </w:rPr>
        <w:t xml:space="preserve">except </w:t>
      </w:r>
      <w:r w:rsidR="0066090F" w:rsidRPr="00A8157D">
        <w:t>leased employees) on the payroll of an employment agency who are referred by such agency for work to be performed on the premises of another employer under that employers direction and control.</w:t>
      </w:r>
    </w:p>
    <w:p w:rsidR="008720AE" w:rsidRPr="00A8157D" w:rsidRDefault="008720AE" w:rsidP="00330764">
      <w:pPr>
        <w:pStyle w:val="NormalWeb"/>
        <w:shd w:val="clear" w:color="auto" w:fill="FFFFFF"/>
        <w:spacing w:before="0" w:beforeAutospacing="0" w:after="0" w:afterAutospacing="0"/>
        <w:ind w:right="262"/>
      </w:pPr>
    </w:p>
    <w:p w:rsidR="00D363AA" w:rsidRPr="00A8157D" w:rsidRDefault="00D363AA" w:rsidP="00330764">
      <w:pPr>
        <w:pStyle w:val="NormalWeb"/>
        <w:shd w:val="clear" w:color="auto" w:fill="FFFFFF"/>
        <w:spacing w:before="0" w:beforeAutospacing="0" w:after="0" w:afterAutospacing="0"/>
        <w:ind w:right="262"/>
      </w:pPr>
      <w:r w:rsidRPr="00A8157D">
        <w:t>Executive Order 11246, as amende</w:t>
      </w:r>
      <w:r w:rsidR="003A2870" w:rsidRPr="00A8157D">
        <w:t>d, does not authorize an</w:t>
      </w:r>
      <w:r w:rsidRPr="00A8157D">
        <w:t xml:space="preserve"> exemption of religious organizations from this reporting requirement.  The exemption for religious organizations applies to discrimination on the basis of religion. Therefore, since the Equal Pay Report does not provide for information as to the religion of employees, religious organizations must report all information required by this form.</w:t>
      </w:r>
    </w:p>
    <w:p w:rsidR="008720AE" w:rsidRPr="00A8157D" w:rsidRDefault="008720AE" w:rsidP="00330764">
      <w:pPr>
        <w:pStyle w:val="NormalWeb"/>
        <w:shd w:val="clear" w:color="auto" w:fill="FFFFFF"/>
        <w:spacing w:before="0" w:beforeAutospacing="0" w:after="0" w:afterAutospacing="0"/>
        <w:ind w:right="262"/>
      </w:pPr>
    </w:p>
    <w:p w:rsidR="008C05AE" w:rsidRPr="00A8157D" w:rsidRDefault="009D2129" w:rsidP="00330764">
      <w:pPr>
        <w:pStyle w:val="NormalWeb"/>
        <w:shd w:val="clear" w:color="auto" w:fill="FFFFFF"/>
        <w:spacing w:before="0" w:beforeAutospacing="0" w:after="0" w:afterAutospacing="0"/>
        <w:ind w:right="262"/>
      </w:pPr>
      <w:r w:rsidRPr="00A8157D">
        <w:rPr>
          <w:u w:val="single"/>
        </w:rPr>
        <w:t>Employer</w:t>
      </w:r>
      <w:r w:rsidRPr="00A8157D">
        <w:t>: A</w:t>
      </w:r>
      <w:r w:rsidR="008C05AE" w:rsidRPr="00A8157D">
        <w:t>ny entity subject to Executive Order 11246 who is a federal government prime contractor or subcontractor at any tier (including a bank or other establishment serving as a depository of federal government funds, or an issuing and paying agent of U.S. Savings Bonds and Notes, or a holder of a federal government bill of lading) or a federally-assisted construction prime contractor or subcontractor at any tier.</w:t>
      </w:r>
    </w:p>
    <w:p w:rsidR="008720AE" w:rsidRPr="00A8157D" w:rsidRDefault="008720AE" w:rsidP="00330764">
      <w:pPr>
        <w:pStyle w:val="NormalWeb"/>
        <w:shd w:val="clear" w:color="auto" w:fill="FFFFFF"/>
        <w:spacing w:before="0" w:beforeAutospacing="0" w:after="0" w:afterAutospacing="0"/>
        <w:ind w:right="262"/>
      </w:pPr>
    </w:p>
    <w:p w:rsidR="009D2129" w:rsidRPr="00A8157D" w:rsidRDefault="009D2129" w:rsidP="00330764">
      <w:pPr>
        <w:pStyle w:val="NormalWeb"/>
        <w:shd w:val="clear" w:color="auto" w:fill="FFFFFF"/>
        <w:spacing w:before="0" w:beforeAutospacing="0" w:after="0" w:afterAutospacing="0"/>
        <w:ind w:right="262"/>
      </w:pPr>
      <w:r w:rsidRPr="00A8157D">
        <w:rPr>
          <w:u w:val="single"/>
        </w:rPr>
        <w:t>Establishment</w:t>
      </w:r>
      <w:r w:rsidRPr="00A8157D">
        <w:t xml:space="preserve">: </w:t>
      </w:r>
      <w:r w:rsidR="00187D4E" w:rsidRPr="00A8157D">
        <w:t>For the purposes of this report, an</w:t>
      </w:r>
      <w:r w:rsidR="0066090F" w:rsidRPr="00A8157D">
        <w:t xml:space="preserve"> </w:t>
      </w:r>
      <w:r w:rsidRPr="00A8157D">
        <w:t>establishment</w:t>
      </w:r>
      <w:r w:rsidR="0066090F" w:rsidRPr="00A8157D">
        <w:t xml:space="preserve"> is an economic unit which produces goods or services, such as a factory, office, store, or mine. In most instances, the establishment is at a single physical location and is engaged in one, or predominantly one, type of economic activity</w:t>
      </w:r>
      <w:r w:rsidR="00024DCE" w:rsidRPr="00A8157D">
        <w:t xml:space="preserve"> </w:t>
      </w:r>
      <w:r w:rsidR="0066090F" w:rsidRPr="00A8157D">
        <w:t xml:space="preserve">(definition adapted from </w:t>
      </w:r>
      <w:r w:rsidRPr="00A8157D">
        <w:t>the</w:t>
      </w:r>
      <w:r w:rsidRPr="00A8157D">
        <w:rPr>
          <w:rStyle w:val="apple-converted-space"/>
          <w:rFonts w:eastAsiaTheme="majorEastAsia"/>
        </w:rPr>
        <w:t xml:space="preserve"> </w:t>
      </w:r>
      <w:r w:rsidR="0066090F" w:rsidRPr="00A8157D">
        <w:rPr>
          <w:rStyle w:val="Emphasis"/>
          <w:rFonts w:eastAsiaTheme="majorEastAsia"/>
          <w:bCs/>
          <w:i w:val="0"/>
        </w:rPr>
        <w:t>North American Industry Classification System, 2002</w:t>
      </w:r>
      <w:r w:rsidR="0066090F" w:rsidRPr="00A8157D">
        <w:t>).</w:t>
      </w:r>
      <w:r w:rsidRPr="00A8157D">
        <w:t xml:space="preserve">  </w:t>
      </w:r>
    </w:p>
    <w:p w:rsidR="009D2129" w:rsidRPr="00A8157D" w:rsidRDefault="009D2129" w:rsidP="00330764">
      <w:pPr>
        <w:pStyle w:val="NormalWeb"/>
        <w:shd w:val="clear" w:color="auto" w:fill="FFFFFF"/>
        <w:spacing w:before="0" w:beforeAutospacing="0" w:after="0" w:afterAutospacing="0"/>
        <w:ind w:right="262"/>
      </w:pPr>
    </w:p>
    <w:p w:rsidR="0066090F" w:rsidRPr="00A8157D" w:rsidRDefault="0066090F" w:rsidP="00330764">
      <w:pPr>
        <w:pStyle w:val="NormalWeb"/>
        <w:shd w:val="clear" w:color="auto" w:fill="FFFFFF"/>
        <w:spacing w:before="0" w:beforeAutospacing="0" w:after="0" w:afterAutospacing="0"/>
        <w:ind w:right="262"/>
      </w:pPr>
      <w:r w:rsidRPr="00A8157D">
        <w:t xml:space="preserve">Units at different physical locations, even though engaged in the same kind of business operation, must be reported as separate establishments. For locations involving construction, </w:t>
      </w:r>
      <w:r w:rsidRPr="00A8157D">
        <w:lastRenderedPageBreak/>
        <w:t>transportation, communications, electric, gas, and sanitary services, oil and gas fields, and similar types of physically dispersed industrial activities, however, it is not necessary to list separately each individual site, project, field, line, etc., unless it is treated by you as a separate legal entity. For these types of activities, list as establishments only those relatively permanent main or branch offices, terminals, stations etc., which are either: (a) directly responsible for supervising such dispersed activities; or (b) the base from which personnel and equipment operate to carry out these activities. (Where these dispersed activities cross State lines, at least one such establishment should be listed for each State involved.)</w:t>
      </w:r>
    </w:p>
    <w:p w:rsidR="008720AE" w:rsidRPr="00A8157D" w:rsidRDefault="008720AE" w:rsidP="00330764">
      <w:pPr>
        <w:pStyle w:val="NormalWeb"/>
        <w:shd w:val="clear" w:color="auto" w:fill="FFFFFF"/>
        <w:spacing w:before="0" w:beforeAutospacing="0" w:after="0" w:afterAutospacing="0"/>
        <w:ind w:right="262"/>
        <w:rPr>
          <w:b/>
          <w:shd w:val="clear" w:color="auto" w:fill="FFFFFF"/>
        </w:rPr>
      </w:pPr>
    </w:p>
    <w:p w:rsidR="002E1FEC" w:rsidRPr="00A8157D" w:rsidRDefault="002E1FEC" w:rsidP="00330764">
      <w:pPr>
        <w:pStyle w:val="NormalWeb"/>
        <w:shd w:val="clear" w:color="auto" w:fill="FFFFFF"/>
        <w:spacing w:before="0" w:beforeAutospacing="0" w:after="0" w:afterAutospacing="0"/>
        <w:ind w:right="262"/>
        <w:rPr>
          <w:u w:val="single"/>
          <w:shd w:val="clear" w:color="auto" w:fill="FFFFFF"/>
        </w:rPr>
      </w:pPr>
      <w:r w:rsidRPr="00A8157D">
        <w:rPr>
          <w:u w:val="single"/>
          <w:shd w:val="clear" w:color="auto" w:fill="FFFFFF"/>
        </w:rPr>
        <w:t>Headquarters</w:t>
      </w:r>
      <w:r w:rsidRPr="00C43386">
        <w:rPr>
          <w:shd w:val="clear" w:color="auto" w:fill="FFFFFF"/>
        </w:rPr>
        <w:t>:</w:t>
      </w:r>
      <w:r w:rsidR="00146FA8" w:rsidRPr="00C43386">
        <w:rPr>
          <w:shd w:val="clear" w:color="auto" w:fill="FFFFFF"/>
        </w:rPr>
        <w:t xml:space="preserve"> </w:t>
      </w:r>
      <w:r w:rsidR="00F07119">
        <w:rPr>
          <w:shd w:val="clear" w:color="auto" w:fill="FFFFFF"/>
        </w:rPr>
        <w:t>For the purposes of this report</w:t>
      </w:r>
      <w:r w:rsidR="00272349">
        <w:rPr>
          <w:shd w:val="clear" w:color="auto" w:fill="FFFFFF"/>
        </w:rPr>
        <w:t>,</w:t>
      </w:r>
      <w:r w:rsidR="00F07119">
        <w:rPr>
          <w:shd w:val="clear" w:color="auto" w:fill="FFFFFF"/>
        </w:rPr>
        <w:t xml:space="preserve"> </w:t>
      </w:r>
      <w:r w:rsidR="00272349">
        <w:rPr>
          <w:shd w:val="clear" w:color="auto" w:fill="FFFFFF"/>
        </w:rPr>
        <w:t xml:space="preserve">a </w:t>
      </w:r>
      <w:r w:rsidR="00F07119">
        <w:rPr>
          <w:shd w:val="clear" w:color="auto" w:fill="FFFFFF"/>
        </w:rPr>
        <w:t>Headquarters r</w:t>
      </w:r>
      <w:r w:rsidR="00146FA8" w:rsidRPr="00C43386">
        <w:rPr>
          <w:shd w:val="clear" w:color="auto" w:fill="FFFFFF"/>
        </w:rPr>
        <w:t>efers to the location th</w:t>
      </w:r>
      <w:r w:rsidR="00E610D2" w:rsidRPr="00C43386">
        <w:rPr>
          <w:shd w:val="clear" w:color="auto" w:fill="FFFFFF"/>
        </w:rPr>
        <w:t>at th</w:t>
      </w:r>
      <w:r w:rsidR="00146FA8" w:rsidRPr="00C43386">
        <w:rPr>
          <w:shd w:val="clear" w:color="auto" w:fill="FFFFFF"/>
        </w:rPr>
        <w:t>e contractor or subcontractor listed on its most recent EEO-1 Headquarters Report</w:t>
      </w:r>
      <w:r w:rsidR="008A6DD6" w:rsidRPr="00C43386">
        <w:rPr>
          <w:shd w:val="clear" w:color="auto" w:fill="FFFFFF"/>
        </w:rPr>
        <w:t>.</w:t>
      </w:r>
    </w:p>
    <w:p w:rsidR="002E1FEC" w:rsidRPr="00A8157D" w:rsidRDefault="002E1FEC" w:rsidP="00330764">
      <w:pPr>
        <w:pStyle w:val="NormalWeb"/>
        <w:shd w:val="clear" w:color="auto" w:fill="FFFFFF"/>
        <w:spacing w:before="0" w:beforeAutospacing="0" w:after="0" w:afterAutospacing="0"/>
        <w:ind w:right="262"/>
        <w:rPr>
          <w:u w:val="single"/>
          <w:shd w:val="clear" w:color="auto" w:fill="FFFFFF"/>
        </w:rPr>
      </w:pPr>
    </w:p>
    <w:p w:rsidR="008C05AE" w:rsidRPr="00A8157D" w:rsidRDefault="009D2129" w:rsidP="00330764">
      <w:pPr>
        <w:pStyle w:val="NormalWeb"/>
        <w:shd w:val="clear" w:color="auto" w:fill="FFFFFF"/>
        <w:spacing w:before="0" w:beforeAutospacing="0" w:after="0" w:afterAutospacing="0"/>
        <w:ind w:right="262"/>
      </w:pPr>
      <w:r w:rsidRPr="00A8157D">
        <w:rPr>
          <w:u w:val="single"/>
          <w:shd w:val="clear" w:color="auto" w:fill="FFFFFF"/>
        </w:rPr>
        <w:t>OFCCP</w:t>
      </w:r>
      <w:r w:rsidRPr="00A8157D">
        <w:rPr>
          <w:shd w:val="clear" w:color="auto" w:fill="FFFFFF"/>
        </w:rPr>
        <w:t>: R</w:t>
      </w:r>
      <w:r w:rsidR="008C05AE" w:rsidRPr="00A8157D">
        <w:rPr>
          <w:shd w:val="clear" w:color="auto" w:fill="FFFFFF"/>
        </w:rPr>
        <w:t>efers to the Office of Federal Contract Compliance Programs, U.S. Department of Labor, established to implement Executive Order 11246, as amended.</w:t>
      </w:r>
    </w:p>
    <w:p w:rsidR="008720AE" w:rsidRPr="00A8157D" w:rsidRDefault="008720AE" w:rsidP="00330764">
      <w:pPr>
        <w:pStyle w:val="NormalWeb"/>
        <w:shd w:val="clear" w:color="auto" w:fill="FFFFFF"/>
        <w:spacing w:before="0" w:beforeAutospacing="0" w:after="0" w:afterAutospacing="0"/>
        <w:ind w:right="262"/>
      </w:pPr>
    </w:p>
    <w:p w:rsidR="008720AE" w:rsidRPr="00A8157D" w:rsidRDefault="008720AE" w:rsidP="00330764">
      <w:pPr>
        <w:pStyle w:val="NormalWeb"/>
        <w:shd w:val="clear" w:color="auto" w:fill="FFFFFF"/>
        <w:spacing w:before="0" w:beforeAutospacing="0" w:after="0" w:afterAutospacing="0"/>
        <w:ind w:right="262" w:firstLine="30"/>
        <w:rPr>
          <w:b/>
        </w:rPr>
      </w:pPr>
    </w:p>
    <w:p w:rsidR="003A2870" w:rsidRPr="00146FA8" w:rsidRDefault="009D2129" w:rsidP="00330764">
      <w:pPr>
        <w:pStyle w:val="NormalWeb"/>
        <w:shd w:val="clear" w:color="auto" w:fill="FFFFFF"/>
        <w:spacing w:before="0" w:beforeAutospacing="0" w:after="0" w:afterAutospacing="0"/>
        <w:ind w:right="262" w:firstLine="30"/>
      </w:pPr>
      <w:r w:rsidRPr="00A8157D">
        <w:rPr>
          <w:u w:val="single"/>
        </w:rPr>
        <w:t xml:space="preserve">Prime </w:t>
      </w:r>
      <w:r w:rsidR="0008428A" w:rsidRPr="00A8157D">
        <w:rPr>
          <w:u w:val="single"/>
        </w:rPr>
        <w:t>Contractor</w:t>
      </w:r>
      <w:r w:rsidR="0008428A" w:rsidRPr="00A8157D">
        <w:t>:</w:t>
      </w:r>
      <w:r w:rsidRPr="00A8157D">
        <w:t xml:space="preserve"> </w:t>
      </w:r>
      <w:r w:rsidR="003A2870" w:rsidRPr="00A8157D">
        <w:t xml:space="preserve">means </w:t>
      </w:r>
      <w:r w:rsidR="003A2870" w:rsidRPr="00C43386">
        <w:rPr>
          <w:shd w:val="clear" w:color="auto" w:fill="FFFFFF"/>
        </w:rPr>
        <w:t xml:space="preserve">any </w:t>
      </w:r>
      <w:r w:rsidR="00816104">
        <w:rPr>
          <w:shd w:val="clear" w:color="auto" w:fill="FFFFFF"/>
        </w:rPr>
        <w:t>entity</w:t>
      </w:r>
      <w:r w:rsidR="00816104" w:rsidRPr="00C43386">
        <w:rPr>
          <w:shd w:val="clear" w:color="auto" w:fill="FFFFFF"/>
        </w:rPr>
        <w:t xml:space="preserve"> </w:t>
      </w:r>
      <w:r w:rsidR="003A2870" w:rsidRPr="00C43386">
        <w:rPr>
          <w:shd w:val="clear" w:color="auto" w:fill="FFFFFF"/>
        </w:rPr>
        <w:t xml:space="preserve">holding a contract subject to </w:t>
      </w:r>
      <w:r w:rsidRPr="00C43386">
        <w:rPr>
          <w:shd w:val="clear" w:color="auto" w:fill="FFFFFF"/>
        </w:rPr>
        <w:t xml:space="preserve">Executive </w:t>
      </w:r>
      <w:r w:rsidR="003A2870" w:rsidRPr="00C43386">
        <w:rPr>
          <w:shd w:val="clear" w:color="auto" w:fill="FFFFFF"/>
        </w:rPr>
        <w:t>Order</w:t>
      </w:r>
      <w:r w:rsidRPr="00C43386">
        <w:rPr>
          <w:shd w:val="clear" w:color="auto" w:fill="FFFFFF"/>
        </w:rPr>
        <w:t xml:space="preserve"> 11246</w:t>
      </w:r>
      <w:r w:rsidR="003A2870" w:rsidRPr="00C43386">
        <w:rPr>
          <w:shd w:val="clear" w:color="auto" w:fill="FFFFFF"/>
        </w:rPr>
        <w:t>.</w:t>
      </w:r>
      <w:r w:rsidR="003A2870" w:rsidRPr="00A8157D">
        <w:t xml:space="preserve"> </w:t>
      </w:r>
      <w:r w:rsidR="00C615CA" w:rsidRPr="00C615CA">
        <w:t>41 CFR 60-1.3</w:t>
      </w:r>
    </w:p>
    <w:p w:rsidR="008720AE" w:rsidRPr="00C43386" w:rsidRDefault="008720AE" w:rsidP="00330764">
      <w:pPr>
        <w:pStyle w:val="NormalWeb"/>
        <w:shd w:val="clear" w:color="auto" w:fill="FFFFFF"/>
        <w:spacing w:before="0" w:beforeAutospacing="0" w:after="0" w:afterAutospacing="0"/>
        <w:rPr>
          <w:b/>
        </w:rPr>
      </w:pPr>
    </w:p>
    <w:p w:rsidR="002E1FEC" w:rsidRPr="00C43386" w:rsidRDefault="002E1FEC" w:rsidP="00330764">
      <w:pPr>
        <w:pStyle w:val="NormalWeb"/>
        <w:shd w:val="clear" w:color="auto" w:fill="FFFFFF"/>
        <w:spacing w:before="0" w:beforeAutospacing="0" w:after="0" w:afterAutospacing="0"/>
        <w:rPr>
          <w:u w:val="single"/>
        </w:rPr>
      </w:pPr>
      <w:r w:rsidRPr="00C43386">
        <w:rPr>
          <w:u w:val="single"/>
        </w:rPr>
        <w:t>Responsible Official</w:t>
      </w:r>
      <w:r w:rsidRPr="00C43386">
        <w:t>:</w:t>
      </w:r>
      <w:r w:rsidR="009A036C" w:rsidRPr="00C43386">
        <w:t xml:space="preserve"> An official with authority to sign on behalf of the contracting entity.</w:t>
      </w:r>
    </w:p>
    <w:p w:rsidR="002E1FEC" w:rsidRPr="00C43386" w:rsidRDefault="002E1FEC" w:rsidP="00330764">
      <w:pPr>
        <w:pStyle w:val="NormalWeb"/>
        <w:shd w:val="clear" w:color="auto" w:fill="FFFFFF"/>
        <w:spacing w:before="0" w:beforeAutospacing="0" w:after="0" w:afterAutospacing="0"/>
        <w:rPr>
          <w:u w:val="single"/>
        </w:rPr>
      </w:pPr>
    </w:p>
    <w:p w:rsidR="003A2870" w:rsidRPr="00C43386" w:rsidRDefault="009D2129" w:rsidP="00330764">
      <w:pPr>
        <w:pStyle w:val="NormalWeb"/>
        <w:shd w:val="clear" w:color="auto" w:fill="FFFFFF"/>
        <w:spacing w:before="0" w:beforeAutospacing="0" w:after="0" w:afterAutospacing="0"/>
      </w:pPr>
      <w:r w:rsidRPr="00C43386">
        <w:rPr>
          <w:u w:val="single"/>
        </w:rPr>
        <w:t>Subcontract</w:t>
      </w:r>
      <w:r w:rsidRPr="00C43386">
        <w:t xml:space="preserve">: </w:t>
      </w:r>
      <w:r w:rsidR="003A2870" w:rsidRPr="00C43386">
        <w:t xml:space="preserve">means any agreement or arrangement between a contractor and any </w:t>
      </w:r>
      <w:r w:rsidR="001C689F">
        <w:t>entity</w:t>
      </w:r>
      <w:r w:rsidR="001C689F" w:rsidRPr="00C43386">
        <w:t xml:space="preserve"> </w:t>
      </w:r>
      <w:r w:rsidR="003A2870" w:rsidRPr="00C43386">
        <w:t>(in which the parties do not stand in the relationship of an employer and an employee):</w:t>
      </w:r>
      <w:r w:rsidR="00473BA3">
        <w:t xml:space="preserve"> </w:t>
      </w:r>
      <w:r w:rsidR="003A2870" w:rsidRPr="00C43386">
        <w:t xml:space="preserve">(1) For the purchase, sale or use of personal property or nonpersonal services which, in whole or in part, is necessary to the performance of any one or more contracts; </w:t>
      </w:r>
      <w:r w:rsidR="00473BA3" w:rsidRPr="00473BA3">
        <w:t>or (</w:t>
      </w:r>
      <w:r w:rsidR="003A2870" w:rsidRPr="00C43386">
        <w:t>2) Under which any portion of the contractor's obligation under any one or more contracts is performed, undertaken or assumed.  41 CFR 60-1.3</w:t>
      </w:r>
    </w:p>
    <w:p w:rsidR="008720AE" w:rsidRPr="00A8157D" w:rsidRDefault="008720AE" w:rsidP="00330764">
      <w:pPr>
        <w:pStyle w:val="NormalWeb"/>
        <w:shd w:val="clear" w:color="auto" w:fill="FFFFFF"/>
        <w:spacing w:before="0" w:beforeAutospacing="0" w:after="0" w:afterAutospacing="0"/>
        <w:rPr>
          <w:b/>
        </w:rPr>
      </w:pPr>
    </w:p>
    <w:p w:rsidR="00C615CA" w:rsidRPr="00C615CA" w:rsidRDefault="003A290F" w:rsidP="00C615CA">
      <w:pPr>
        <w:pStyle w:val="NormalWeb"/>
        <w:shd w:val="clear" w:color="auto" w:fill="FFFFFF"/>
        <w:spacing w:before="0" w:beforeAutospacing="0" w:after="0" w:afterAutospacing="0"/>
      </w:pPr>
      <w:r w:rsidRPr="00146FA8">
        <w:rPr>
          <w:u w:val="single"/>
        </w:rPr>
        <w:t>Subcontractor</w:t>
      </w:r>
      <w:r w:rsidRPr="00146FA8">
        <w:t xml:space="preserve">: </w:t>
      </w:r>
      <w:r w:rsidR="00C615CA" w:rsidRPr="00C615CA">
        <w:t xml:space="preserve">means any </w:t>
      </w:r>
      <w:r w:rsidR="00816104">
        <w:t>entity</w:t>
      </w:r>
      <w:r w:rsidR="00C615CA" w:rsidRPr="00C615CA">
        <w:t xml:space="preserve"> holding a subcontract subject to Executive Order 11246. A “first-tier subcontractor” refers to a subcontractor holding a subcontract with a prime </w:t>
      </w:r>
      <w:r w:rsidR="009B31C0" w:rsidRPr="00C615CA">
        <w:t>contractor 41</w:t>
      </w:r>
      <w:r w:rsidR="00C615CA" w:rsidRPr="00C615CA">
        <w:t xml:space="preserve"> CFR 60-1.3</w:t>
      </w:r>
    </w:p>
    <w:p w:rsidR="003A2870" w:rsidRPr="00C43386" w:rsidRDefault="003A2870" w:rsidP="00330764">
      <w:pPr>
        <w:pStyle w:val="NormalWeb"/>
        <w:shd w:val="clear" w:color="auto" w:fill="FFFFFF"/>
        <w:spacing w:before="0" w:beforeAutospacing="0" w:after="0" w:afterAutospacing="0"/>
        <w:ind w:right="262"/>
        <w:rPr>
          <w:rStyle w:val="Strong"/>
          <w:rFonts w:eastAsiaTheme="majorEastAsia"/>
        </w:rPr>
      </w:pPr>
    </w:p>
    <w:p w:rsidR="0066090F" w:rsidRPr="00146FA8" w:rsidRDefault="0027086A" w:rsidP="00330764">
      <w:pPr>
        <w:pStyle w:val="NormalWeb"/>
        <w:shd w:val="clear" w:color="auto" w:fill="FFFFFF"/>
        <w:spacing w:before="0" w:beforeAutospacing="0" w:after="0" w:afterAutospacing="0"/>
        <w:ind w:right="262"/>
      </w:pPr>
      <w:r w:rsidRPr="00A8157D">
        <w:rPr>
          <w:rStyle w:val="Strong"/>
          <w:rFonts w:eastAsiaTheme="majorEastAsia"/>
        </w:rPr>
        <w:t xml:space="preserve">2. </w:t>
      </w:r>
      <w:r w:rsidR="0066090F" w:rsidRPr="00146FA8">
        <w:rPr>
          <w:rStyle w:val="Strong"/>
          <w:rFonts w:eastAsiaTheme="majorEastAsia"/>
        </w:rPr>
        <w:t xml:space="preserve"> RESPONSIBILITIES OF PRIME CONTRACTORS</w:t>
      </w:r>
    </w:p>
    <w:p w:rsidR="0066090F" w:rsidRPr="00A8157D" w:rsidRDefault="0066090F" w:rsidP="00330764">
      <w:pPr>
        <w:pStyle w:val="NormalWeb"/>
        <w:shd w:val="clear" w:color="auto" w:fill="FFFFFF"/>
        <w:spacing w:before="0" w:beforeAutospacing="0" w:after="0" w:afterAutospacing="0"/>
        <w:ind w:right="262"/>
      </w:pPr>
      <w:r w:rsidRPr="00E610D2">
        <w:t xml:space="preserve">At the time of an award of a subcontract subject to these reporting requirements, the prime contractor shall inform the subcontractor of its </w:t>
      </w:r>
      <w:r w:rsidRPr="00A8157D">
        <w:t>respo</w:t>
      </w:r>
      <w:r w:rsidR="0027086A" w:rsidRPr="00A8157D">
        <w:t>ns</w:t>
      </w:r>
      <w:r w:rsidR="008C05AE" w:rsidRPr="00A8157D">
        <w:t>ibility to submit the annual Equal Pay</w:t>
      </w:r>
      <w:r w:rsidR="0027086A" w:rsidRPr="00A8157D">
        <w:t xml:space="preserve"> Report </w:t>
      </w:r>
      <w:r w:rsidRPr="00A8157D">
        <w:t>in accordance with these instructions.</w:t>
      </w:r>
    </w:p>
    <w:p w:rsidR="008720AE" w:rsidRPr="00A8157D" w:rsidRDefault="008720AE" w:rsidP="00330764">
      <w:pPr>
        <w:pStyle w:val="NormalWeb"/>
        <w:shd w:val="clear" w:color="auto" w:fill="FFFFFF"/>
        <w:spacing w:before="0" w:beforeAutospacing="0" w:after="0" w:afterAutospacing="0"/>
        <w:ind w:right="262"/>
      </w:pPr>
    </w:p>
    <w:p w:rsidR="003B7685" w:rsidRPr="00A8157D" w:rsidRDefault="0066090F" w:rsidP="00330764">
      <w:pPr>
        <w:pStyle w:val="NormalWeb"/>
        <w:shd w:val="clear" w:color="auto" w:fill="FFFFFF"/>
        <w:spacing w:before="0" w:beforeAutospacing="0" w:after="0" w:afterAutospacing="0"/>
        <w:ind w:right="262"/>
      </w:pPr>
      <w:r w:rsidRPr="00A8157D">
        <w:t xml:space="preserve">If prime contractors are required by their Contracting Officer or subcontractors by their prime contractors, to submit notification of filing, they shall do so by ordinary correspondence. However, such notification is not required by and should not be sent to </w:t>
      </w:r>
      <w:r w:rsidR="003B7685" w:rsidRPr="00A8157D">
        <w:t>OFCCP.</w:t>
      </w:r>
    </w:p>
    <w:p w:rsidR="00857480" w:rsidRPr="00C43386" w:rsidRDefault="00857480" w:rsidP="00330764">
      <w:pPr>
        <w:pStyle w:val="NormalWeb"/>
        <w:shd w:val="clear" w:color="auto" w:fill="FFFFFF"/>
        <w:spacing w:before="0" w:beforeAutospacing="0" w:after="0" w:afterAutospacing="0"/>
        <w:ind w:left="262" w:right="262"/>
        <w:rPr>
          <w:rStyle w:val="Strong"/>
          <w:rFonts w:eastAsiaTheme="majorEastAsia"/>
        </w:rPr>
      </w:pPr>
    </w:p>
    <w:p w:rsidR="0066090F" w:rsidRPr="00A8157D" w:rsidRDefault="007D3E5E" w:rsidP="00330764">
      <w:pPr>
        <w:pStyle w:val="NormalWeb"/>
        <w:shd w:val="clear" w:color="auto" w:fill="FFFFFF"/>
        <w:spacing w:before="0" w:beforeAutospacing="0" w:after="0" w:afterAutospacing="0"/>
        <w:ind w:right="262"/>
      </w:pPr>
      <w:r w:rsidRPr="00A8157D">
        <w:rPr>
          <w:rStyle w:val="Strong"/>
          <w:rFonts w:eastAsiaTheme="majorEastAsia"/>
        </w:rPr>
        <w:t>3</w:t>
      </w:r>
      <w:r w:rsidR="0066090F" w:rsidRPr="00146FA8">
        <w:rPr>
          <w:rStyle w:val="Strong"/>
          <w:rFonts w:eastAsiaTheme="majorEastAsia"/>
        </w:rPr>
        <w:t>. RACE AND ETHNIC</w:t>
      </w:r>
      <w:r w:rsidR="000B68FA" w:rsidRPr="00146FA8">
        <w:rPr>
          <w:rStyle w:val="Strong"/>
          <w:rFonts w:eastAsiaTheme="majorEastAsia"/>
        </w:rPr>
        <w:t xml:space="preserve"> IDENTIFICATION</w:t>
      </w:r>
    </w:p>
    <w:p w:rsidR="005450C9" w:rsidRPr="00A8157D" w:rsidRDefault="005450C9" w:rsidP="00330764">
      <w:pPr>
        <w:pStyle w:val="NormalWeb"/>
        <w:shd w:val="clear" w:color="auto" w:fill="FFFFFF"/>
        <w:spacing w:before="0" w:beforeAutospacing="0" w:after="0" w:afterAutospacing="0"/>
        <w:ind w:right="262"/>
      </w:pPr>
      <w:r w:rsidRPr="00E610D2">
        <w:t xml:space="preserve">The Equal Pay Report uses the same race and </w:t>
      </w:r>
      <w:r w:rsidR="000B68FA" w:rsidRPr="00E610D2">
        <w:t xml:space="preserve">ethnicity designations </w:t>
      </w:r>
      <w:r w:rsidRPr="00E610D2">
        <w:t xml:space="preserve">as the EEO-1 Survey.  </w:t>
      </w:r>
      <w:r w:rsidR="000B68FA" w:rsidRPr="00A8157D">
        <w:t>Information about the race and ethnicity designations can be found in the</w:t>
      </w:r>
      <w:r w:rsidRPr="00A8157D">
        <w:t xml:space="preserve"> Appendix of the EEO-1 Instruction booklet: </w:t>
      </w:r>
      <w:hyperlink r:id="rId12" w:history="1">
        <w:r w:rsidRPr="00C43386">
          <w:rPr>
            <w:rStyle w:val="Hyperlink"/>
            <w:color w:val="auto"/>
          </w:rPr>
          <w:t>http://www.eeoc.gov/employers/eeo1survey/2007instructions.cfm</w:t>
        </w:r>
      </w:hyperlink>
      <w:r w:rsidRPr="00A8157D">
        <w:t>.</w:t>
      </w:r>
    </w:p>
    <w:p w:rsidR="00324A4C" w:rsidRPr="00A8157D" w:rsidRDefault="00324A4C" w:rsidP="00330764">
      <w:pPr>
        <w:pStyle w:val="NormalWeb"/>
        <w:shd w:val="clear" w:color="auto" w:fill="FFFFFF"/>
        <w:spacing w:before="0" w:beforeAutospacing="0" w:after="0" w:afterAutospacing="0"/>
        <w:ind w:right="262"/>
        <w:rPr>
          <w:rStyle w:val="Strong"/>
          <w:rFonts w:eastAsiaTheme="majorEastAsia"/>
        </w:rPr>
      </w:pPr>
    </w:p>
    <w:p w:rsidR="00F4678C" w:rsidRDefault="00F4678C" w:rsidP="00330764">
      <w:pPr>
        <w:pStyle w:val="NormalWeb"/>
        <w:shd w:val="clear" w:color="auto" w:fill="FFFFFF"/>
        <w:spacing w:before="0" w:beforeAutospacing="0" w:after="0" w:afterAutospacing="0"/>
        <w:ind w:right="262"/>
        <w:rPr>
          <w:rStyle w:val="Strong"/>
          <w:rFonts w:eastAsiaTheme="majorEastAsia"/>
        </w:rPr>
      </w:pPr>
    </w:p>
    <w:p w:rsidR="00F4678C" w:rsidRDefault="00F4678C" w:rsidP="00330764">
      <w:pPr>
        <w:pStyle w:val="NormalWeb"/>
        <w:shd w:val="clear" w:color="auto" w:fill="FFFFFF"/>
        <w:spacing w:before="0" w:beforeAutospacing="0" w:after="0" w:afterAutospacing="0"/>
        <w:ind w:right="262"/>
        <w:rPr>
          <w:rStyle w:val="Strong"/>
          <w:rFonts w:eastAsiaTheme="majorEastAsia"/>
        </w:rPr>
      </w:pPr>
    </w:p>
    <w:p w:rsidR="0066090F" w:rsidRPr="00A8157D" w:rsidRDefault="00324A4C" w:rsidP="00330764">
      <w:pPr>
        <w:pStyle w:val="NormalWeb"/>
        <w:shd w:val="clear" w:color="auto" w:fill="FFFFFF"/>
        <w:spacing w:before="0" w:beforeAutospacing="0" w:after="0" w:afterAutospacing="0"/>
        <w:ind w:right="262"/>
      </w:pPr>
      <w:r w:rsidRPr="00A8157D">
        <w:rPr>
          <w:rStyle w:val="Strong"/>
          <w:rFonts w:eastAsiaTheme="majorEastAsia"/>
        </w:rPr>
        <w:t>4</w:t>
      </w:r>
      <w:r w:rsidR="0066090F" w:rsidRPr="00A8157D">
        <w:rPr>
          <w:rStyle w:val="Strong"/>
          <w:rFonts w:eastAsiaTheme="majorEastAsia"/>
        </w:rPr>
        <w:t>. DESCRIPTION OF JOB CATEGORIES</w:t>
      </w:r>
    </w:p>
    <w:p w:rsidR="000B68FA" w:rsidRPr="00A8157D" w:rsidRDefault="000B68FA" w:rsidP="00330764">
      <w:pPr>
        <w:pStyle w:val="NormalWeb"/>
        <w:shd w:val="clear" w:color="auto" w:fill="FFFFFF"/>
        <w:spacing w:before="0" w:beforeAutospacing="0" w:after="0" w:afterAutospacing="0"/>
        <w:ind w:right="262"/>
      </w:pPr>
      <w:r w:rsidRPr="00A8157D">
        <w:t xml:space="preserve">The Equal Pay Report uses the same job categories as the EEO-1 Survey.  Information about the job categories can be found in the Appendix of the EEO-1 Instruction booklet: </w:t>
      </w:r>
      <w:hyperlink r:id="rId13" w:history="1">
        <w:r w:rsidRPr="00C43386">
          <w:rPr>
            <w:rStyle w:val="Hyperlink"/>
            <w:color w:val="auto"/>
          </w:rPr>
          <w:t>http://www.eeoc.gov/employers/eeo1survey/2007instructions.cfm</w:t>
        </w:r>
      </w:hyperlink>
      <w:r w:rsidRPr="00A8157D">
        <w:t>.</w:t>
      </w:r>
    </w:p>
    <w:p w:rsidR="0066090F" w:rsidRPr="00A8157D" w:rsidRDefault="0066090F" w:rsidP="008720AE">
      <w:pPr>
        <w:rPr>
          <w:b/>
          <w:color w:val="auto"/>
        </w:rPr>
      </w:pPr>
    </w:p>
    <w:p w:rsidR="00397122" w:rsidRPr="00A8157D" w:rsidRDefault="003B7685">
      <w:pPr>
        <w:rPr>
          <w:b/>
          <w:color w:val="auto"/>
        </w:rPr>
      </w:pPr>
      <w:r w:rsidRPr="00A8157D">
        <w:rPr>
          <w:b/>
          <w:color w:val="auto"/>
        </w:rPr>
        <w:t xml:space="preserve">5. </w:t>
      </w:r>
      <w:r w:rsidR="004309CB" w:rsidRPr="00A8157D">
        <w:rPr>
          <w:b/>
          <w:color w:val="auto"/>
        </w:rPr>
        <w:t>LEGAL BASIS FOR REQUIREMENTS</w:t>
      </w:r>
    </w:p>
    <w:p w:rsidR="004309CB" w:rsidRPr="00A8157D" w:rsidRDefault="004309CB">
      <w:pPr>
        <w:rPr>
          <w:color w:val="auto"/>
        </w:rPr>
      </w:pPr>
    </w:p>
    <w:p w:rsidR="00BC194D" w:rsidRPr="00A8157D" w:rsidRDefault="003B7685">
      <w:pPr>
        <w:autoSpaceDE w:val="0"/>
        <w:autoSpaceDN w:val="0"/>
        <w:adjustRightInd w:val="0"/>
        <w:rPr>
          <w:rFonts w:eastAsia="SimSun"/>
          <w:color w:val="auto"/>
        </w:rPr>
      </w:pPr>
      <w:r w:rsidRPr="00A8157D">
        <w:rPr>
          <w:rFonts w:eastAsia="SimSun"/>
          <w:color w:val="auto"/>
        </w:rPr>
        <w:t xml:space="preserve">The Equal Pay </w:t>
      </w:r>
      <w:r w:rsidR="00BC194D" w:rsidRPr="00A8157D">
        <w:rPr>
          <w:rFonts w:eastAsia="SimSun"/>
          <w:color w:val="auto"/>
        </w:rPr>
        <w:t>Report is authorized by Executive Order 11246 and the implementing regulations. Executive Order 11246 requires that specific terms be included in all covered contracts concerning the nondiscrimination and affirmative action obligations of Federal contractors and subcontractors.  Executive Order 11246, Sec. 202.   Each non-exempt Federal contractor and subcontractor agrees, as a condition of its Government contract, that it “will not discri</w:t>
      </w:r>
      <w:r w:rsidR="00BC194D" w:rsidRPr="00A8157D">
        <w:rPr>
          <w:rFonts w:eastAsia="SimSun"/>
          <w:color w:val="auto"/>
          <w:spacing w:val="-2"/>
        </w:rPr>
        <w:t>m</w:t>
      </w:r>
      <w:r w:rsidR="00BC194D" w:rsidRPr="00A8157D">
        <w:rPr>
          <w:rFonts w:eastAsia="SimSun"/>
          <w:color w:val="auto"/>
          <w:spacing w:val="1"/>
        </w:rPr>
        <w:t>i</w:t>
      </w:r>
      <w:r w:rsidR="00BC194D" w:rsidRPr="00A8157D">
        <w:rPr>
          <w:rFonts w:eastAsia="SimSun"/>
          <w:color w:val="auto"/>
        </w:rPr>
        <w:t>nate against any e</w:t>
      </w:r>
      <w:r w:rsidR="00BC194D" w:rsidRPr="00A8157D">
        <w:rPr>
          <w:rFonts w:eastAsia="SimSun"/>
          <w:color w:val="auto"/>
          <w:spacing w:val="-2"/>
        </w:rPr>
        <w:t>m</w:t>
      </w:r>
      <w:r w:rsidR="00BC194D" w:rsidRPr="00A8157D">
        <w:rPr>
          <w:rFonts w:eastAsia="SimSun"/>
          <w:color w:val="auto"/>
        </w:rPr>
        <w:t>ployee or applicant for e</w:t>
      </w:r>
      <w:r w:rsidR="00BC194D" w:rsidRPr="00A8157D">
        <w:rPr>
          <w:rFonts w:eastAsia="SimSun"/>
          <w:color w:val="auto"/>
          <w:spacing w:val="-2"/>
        </w:rPr>
        <w:t>m</w:t>
      </w:r>
      <w:r w:rsidR="00BC194D" w:rsidRPr="00A8157D">
        <w:rPr>
          <w:rFonts w:eastAsia="SimSun"/>
          <w:color w:val="auto"/>
        </w:rPr>
        <w:t>ploy</w:t>
      </w:r>
      <w:r w:rsidR="00BC194D" w:rsidRPr="00A8157D">
        <w:rPr>
          <w:rFonts w:eastAsia="SimSun"/>
          <w:color w:val="auto"/>
          <w:spacing w:val="-2"/>
        </w:rPr>
        <w:t>m</w:t>
      </w:r>
      <w:r w:rsidR="00BC194D" w:rsidRPr="00A8157D">
        <w:rPr>
          <w:rFonts w:eastAsia="SimSun"/>
          <w:color w:val="auto"/>
        </w:rPr>
        <w:t xml:space="preserve">ent because of race, color, religion, sex, </w:t>
      </w:r>
      <w:r w:rsidR="00C615CA" w:rsidRPr="00C615CA">
        <w:rPr>
          <w:rFonts w:eastAsia="SimSun"/>
          <w:color w:val="auto"/>
        </w:rPr>
        <w:t>sexual orientation, gender identity,</w:t>
      </w:r>
      <w:r w:rsidR="00C615CA">
        <w:rPr>
          <w:rFonts w:eastAsia="SimSun"/>
          <w:color w:val="auto"/>
        </w:rPr>
        <w:t xml:space="preserve"> </w:t>
      </w:r>
      <w:r w:rsidR="00BC194D" w:rsidRPr="00A8157D">
        <w:rPr>
          <w:rFonts w:eastAsia="SimSun"/>
          <w:color w:val="auto"/>
        </w:rPr>
        <w:t xml:space="preserve">or national origin,” and that it “will take affirmative action to ensure that applicants are employed and employees are treated during their employment without regard to their race, color, religion, sex, </w:t>
      </w:r>
      <w:r w:rsidR="00C615CA" w:rsidRPr="00C615CA">
        <w:rPr>
          <w:rFonts w:eastAsia="SimSun"/>
          <w:color w:val="auto"/>
        </w:rPr>
        <w:t>sexual orientation, gender identity,</w:t>
      </w:r>
      <w:r w:rsidR="00C615CA">
        <w:rPr>
          <w:rFonts w:eastAsia="SimSun"/>
          <w:color w:val="auto"/>
        </w:rPr>
        <w:t xml:space="preserve"> </w:t>
      </w:r>
      <w:r w:rsidR="00BC194D" w:rsidRPr="00A8157D">
        <w:rPr>
          <w:rFonts w:eastAsia="SimSun"/>
          <w:color w:val="auto"/>
        </w:rPr>
        <w:t xml:space="preserve">or national origin.”  </w:t>
      </w:r>
      <w:r w:rsidR="00BC194D" w:rsidRPr="00A8157D">
        <w:rPr>
          <w:rFonts w:eastAsia="SimSun"/>
          <w:color w:val="auto"/>
          <w:u w:val="single"/>
        </w:rPr>
        <w:t>Id.</w:t>
      </w:r>
      <w:r w:rsidR="00BC194D" w:rsidRPr="00A8157D">
        <w:rPr>
          <w:rFonts w:eastAsia="SimSun"/>
          <w:color w:val="auto"/>
        </w:rPr>
        <w:t xml:space="preserve">  The nondiscrimination and affirmative action obligations of Federal contractors and subcontractors cover all aspects of employment, including rates of pay and other compensation. </w:t>
      </w:r>
    </w:p>
    <w:p w:rsidR="00F64BDA" w:rsidRPr="00A8157D" w:rsidRDefault="00F64BDA">
      <w:pPr>
        <w:autoSpaceDE w:val="0"/>
        <w:autoSpaceDN w:val="0"/>
        <w:adjustRightInd w:val="0"/>
        <w:ind w:firstLine="720"/>
        <w:rPr>
          <w:rFonts w:eastAsia="SimSun"/>
          <w:color w:val="auto"/>
        </w:rPr>
      </w:pPr>
    </w:p>
    <w:bookmarkEnd w:id="3"/>
    <w:p w:rsidR="003B7685" w:rsidRPr="00A8157D" w:rsidRDefault="003B7685">
      <w:pPr>
        <w:rPr>
          <w:color w:val="auto"/>
        </w:rPr>
      </w:pPr>
      <w:r w:rsidRPr="00A8157D">
        <w:rPr>
          <w:color w:val="auto"/>
        </w:rPr>
        <w:t xml:space="preserve">Pursuant to the Executive Order, receiving a Federal contract comes with a number of responsibilities.  Section 202 of the Executive Order requires every contractor to agree to: (1) comply with all provisions of the Executive Order and the rules, regulations, and relevant orders of the Secretary of Labor; (2) provide all information and reports required by the Executive Order and implementing rules, regulations, and orders, and (3) provide access to its books, records, and accounts to the Secretary of Labor for purposes of investigation to ascertain compliance with such rules, regulations, and orders. </w:t>
      </w:r>
    </w:p>
    <w:p w:rsidR="003B7685" w:rsidRPr="00A8157D" w:rsidRDefault="003B7685">
      <w:pPr>
        <w:rPr>
          <w:color w:val="auto"/>
        </w:rPr>
      </w:pPr>
    </w:p>
    <w:p w:rsidR="003B7685" w:rsidRPr="00A8157D" w:rsidRDefault="003B7685">
      <w:pPr>
        <w:rPr>
          <w:color w:val="auto"/>
        </w:rPr>
      </w:pPr>
      <w:r w:rsidRPr="00A8157D">
        <w:rPr>
          <w:color w:val="auto"/>
        </w:rPr>
        <w:t>Under Section 203 of the Executive Order, the Secretary of Labor has also been granted broad authority to require compliance reports from contractors that contain such information regarding their practices, employment policies, programs, and employment statistics, in such form as the Secretary of Labor may prescribe.  Likewise, the implementing regulations at 41 CFR 60-1.12(a) provide that the Director may require a contractor to keep employment or other records, including records on compensation and other rates of pay by race and gender, and must supply this information to OFCCP upon request. A contractor in violation of the Executive Order may have its contracts canceled, terminated, or may be subject to debarment.</w:t>
      </w:r>
    </w:p>
    <w:sectPr w:rsidR="003B7685" w:rsidRPr="00A8157D" w:rsidSect="002B4E59">
      <w:headerReference w:type="even" r:id="rId14"/>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A3" w:rsidRDefault="003665A3" w:rsidP="00B879A1">
      <w:r>
        <w:separator/>
      </w:r>
    </w:p>
  </w:endnote>
  <w:endnote w:type="continuationSeparator" w:id="0">
    <w:p w:rsidR="003665A3" w:rsidRDefault="003665A3" w:rsidP="00B8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337318"/>
      <w:docPartObj>
        <w:docPartGallery w:val="Page Numbers (Bottom of Page)"/>
        <w:docPartUnique/>
      </w:docPartObj>
    </w:sdtPr>
    <w:sdtEndPr>
      <w:rPr>
        <w:noProof/>
      </w:rPr>
    </w:sdtEndPr>
    <w:sdtContent>
      <w:p w:rsidR="009D2129" w:rsidRDefault="009D2129">
        <w:pPr>
          <w:pStyle w:val="Footer"/>
          <w:jc w:val="center"/>
        </w:pPr>
        <w:r>
          <w:fldChar w:fldCharType="begin"/>
        </w:r>
        <w:r>
          <w:instrText xml:space="preserve"> PAGE   \* MERGEFORMAT </w:instrText>
        </w:r>
        <w:r>
          <w:fldChar w:fldCharType="separate"/>
        </w:r>
        <w:r w:rsidR="00057423">
          <w:rPr>
            <w:noProof/>
          </w:rPr>
          <w:t>1</w:t>
        </w:r>
        <w:r>
          <w:rPr>
            <w:noProof/>
          </w:rPr>
          <w:fldChar w:fldCharType="end"/>
        </w:r>
      </w:p>
    </w:sdtContent>
  </w:sdt>
  <w:p w:rsidR="009D2129" w:rsidRDefault="009D2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A3" w:rsidRDefault="003665A3" w:rsidP="00B879A1">
      <w:r>
        <w:separator/>
      </w:r>
    </w:p>
  </w:footnote>
  <w:footnote w:type="continuationSeparator" w:id="0">
    <w:p w:rsidR="003665A3" w:rsidRDefault="003665A3" w:rsidP="00B879A1">
      <w:r>
        <w:continuationSeparator/>
      </w:r>
    </w:p>
  </w:footnote>
  <w:footnote w:id="1">
    <w:p w:rsidR="004136CC" w:rsidRPr="00C43386" w:rsidRDefault="004136CC">
      <w:pPr>
        <w:pStyle w:val="FootnoteText"/>
        <w:rPr>
          <w:rFonts w:ascii="Times New Roman" w:hAnsi="Times New Roman"/>
          <w:sz w:val="20"/>
        </w:rPr>
      </w:pPr>
      <w:r w:rsidRPr="00C43386">
        <w:rPr>
          <w:rStyle w:val="FootnoteReference"/>
          <w:rFonts w:ascii="Times New Roman" w:hAnsi="Times New Roman"/>
          <w:sz w:val="20"/>
        </w:rPr>
        <w:footnoteRef/>
      </w:r>
      <w:r w:rsidRPr="00C43386">
        <w:rPr>
          <w:rFonts w:ascii="Times New Roman" w:hAnsi="Times New Roman"/>
          <w:sz w:val="20"/>
        </w:rPr>
        <w:t xml:space="preserve"> On July 21, 2014, the President signed Executive Order13672 amending Executive Order 11246 to include nondiscrimination based on sexual orientation and gender identity.  This Order requires that a regulation be prepared within 90 days of the date of the Order. Though the new Executive Order is effective immediately, the protections apply to contracts entered into on or after the effective date of the new DOL regulation.  </w:t>
      </w:r>
    </w:p>
  </w:footnote>
  <w:footnote w:id="2">
    <w:p w:rsidR="004136CC" w:rsidRPr="00C43386" w:rsidRDefault="004136CC">
      <w:pPr>
        <w:pStyle w:val="FootnoteText"/>
        <w:rPr>
          <w:rFonts w:ascii="Times New Roman" w:hAnsi="Times New Roman"/>
        </w:rPr>
      </w:pPr>
      <w:r w:rsidRPr="00C43386">
        <w:rPr>
          <w:rStyle w:val="FootnoteReference"/>
          <w:rFonts w:ascii="Times New Roman" w:hAnsi="Times New Roman"/>
          <w:sz w:val="20"/>
        </w:rPr>
        <w:footnoteRef/>
      </w:r>
      <w:r w:rsidRPr="00C43386">
        <w:rPr>
          <w:rFonts w:ascii="Times New Roman" w:hAnsi="Times New Roman"/>
          <w:sz w:val="20"/>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29" w:rsidRDefault="009D2129">
    <w:pPr>
      <w:rPr>
        <w:sz w:val="28"/>
      </w:rPr>
    </w:pPr>
    <w:r>
      <w:rPr>
        <w:rFonts w:ascii="Times New Roman Bold" w:hAnsi="Times New Roman Bold"/>
        <w:sz w:val="28"/>
      </w:rPr>
      <w:t>EPE FILING INSTRUCTIONS</w:t>
    </w:r>
    <w:r>
      <w:rPr>
        <w:rFonts w:ascii="Times New Roman Bold" w:hAnsi="Times New Roman Bold"/>
        <w:sz w:val="28"/>
      </w:rPr>
      <w:tab/>
    </w:r>
    <w:r>
      <w:rPr>
        <w:rFonts w:ascii="Times New Roman Bold" w:hAnsi="Times New Roman Bold"/>
        <w:sz w:val="28"/>
      </w:rPr>
      <w:tab/>
    </w:r>
    <w:r>
      <w:rPr>
        <w:rFonts w:ascii="Times New Roman Bold" w:hAnsi="Times New Roman Bold"/>
        <w:sz w:val="28"/>
      </w:rPr>
      <w:tab/>
    </w:r>
    <w:r>
      <w:rPr>
        <w:rFonts w:ascii="Times New Roman Bold" w:hAnsi="Times New Roman Bold"/>
        <w:sz w:val="28"/>
      </w:rPr>
      <w:tab/>
    </w:r>
    <w:r>
      <w:rPr>
        <w:rFonts w:ascii="Times New Roman Bold" w:hAnsi="Times New Roman Bold"/>
        <w:sz w:val="28"/>
      </w:rPr>
      <w:tab/>
    </w:r>
    <w:r>
      <w:rPr>
        <w:rFonts w:ascii="Times New Roman Bold" w:hAnsi="Times New Roman Bold"/>
        <w:sz w:val="28"/>
      </w:rPr>
      <w:tab/>
    </w:r>
    <w:r>
      <w:rPr>
        <w:rFonts w:ascii="Times New Roman Bold" w:hAnsi="Times New Roman Bold"/>
        <w:sz w:val="28"/>
      </w:rPr>
      <w:tab/>
    </w:r>
    <w:r>
      <w:rPr>
        <w:rFonts w:ascii="Times New Roman Bold" w:hAnsi="Times New Roman Bold"/>
        <w:sz w:val="28"/>
      </w:rPr>
      <w:fldChar w:fldCharType="begin"/>
    </w:r>
    <w:r>
      <w:rPr>
        <w:rFonts w:ascii="Times New Roman Bold" w:hAnsi="Times New Roman Bold"/>
        <w:sz w:val="28"/>
      </w:rPr>
      <w:instrText xml:space="preserve"> PAGE </w:instrText>
    </w:r>
    <w:r>
      <w:rPr>
        <w:rFonts w:ascii="Times New Roman Bold" w:hAnsi="Times New Roman Bold"/>
        <w:sz w:val="28"/>
      </w:rPr>
      <w:fldChar w:fldCharType="separate"/>
    </w:r>
    <w:r>
      <w:rPr>
        <w:rFonts w:ascii="Times New Roman Bold" w:hAnsi="Times New Roman Bold"/>
        <w:noProof/>
        <w:sz w:val="28"/>
      </w:rPr>
      <w:t>18</w:t>
    </w:r>
    <w:r>
      <w:rPr>
        <w:rFonts w:ascii="Times New Roman Bold" w:hAnsi="Times New Roman Bold"/>
        <w:sz w:val="28"/>
      </w:rPr>
      <w:fldChar w:fldCharType="end"/>
    </w:r>
  </w:p>
  <w:p w:rsidR="009D2129" w:rsidRDefault="009D2129">
    <w:pPr>
      <w:pStyle w:val="Header1"/>
      <w:tabs>
        <w:tab w:val="clear" w:pos="9360"/>
        <w:tab w:val="right" w:pos="93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29" w:rsidRPr="003D5FB2" w:rsidRDefault="003D5FB2" w:rsidP="003D5FB2">
    <w:pPr>
      <w:ind w:left="5040" w:firstLine="720"/>
    </w:pPr>
    <w:r w:rsidRPr="003D5FB2">
      <w:t>OMB No.</w:t>
    </w:r>
  </w:p>
  <w:p w:rsidR="003D5FB2" w:rsidRPr="003D5FB2" w:rsidRDefault="003D5FB2" w:rsidP="003D5FB2">
    <w:pPr>
      <w:ind w:left="5040" w:firstLine="720"/>
    </w:pPr>
    <w:r w:rsidRPr="003D5FB2">
      <w:t xml:space="preserve">Expiration Date: </w:t>
    </w:r>
  </w:p>
  <w:p w:rsidR="009D2129" w:rsidRDefault="009D2129">
    <w:pPr>
      <w:pStyle w:val="Header1"/>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4B9E5882"/>
    <w:lvl w:ilvl="0">
      <w:start w:val="1"/>
      <w:numFmt w:val="bullet"/>
      <w:lvlText w:val=""/>
      <w:lvlJc w:val="left"/>
      <w:pPr>
        <w:tabs>
          <w:tab w:val="num" w:pos="900"/>
        </w:tabs>
        <w:ind w:left="900" w:firstLine="540"/>
      </w:pPr>
      <w:rPr>
        <w:rFonts w:ascii="Symbol" w:hAnsi="Symbol" w:hint="default"/>
        <w:color w:val="000000"/>
        <w:position w:val="0"/>
        <w:sz w:val="24"/>
      </w:rPr>
    </w:lvl>
    <w:lvl w:ilvl="1">
      <w:start w:val="1"/>
      <w:numFmt w:val="bullet"/>
      <w:lvlText w:val="o"/>
      <w:lvlJc w:val="left"/>
      <w:pPr>
        <w:tabs>
          <w:tab w:val="num" w:pos="1080"/>
        </w:tabs>
        <w:ind w:left="1080" w:firstLine="1800"/>
      </w:pPr>
      <w:rPr>
        <w:rFonts w:hint="default"/>
        <w:color w:val="000000"/>
        <w:position w:val="0"/>
        <w:sz w:val="24"/>
      </w:rPr>
    </w:lvl>
    <w:lvl w:ilvl="2">
      <w:start w:val="1"/>
      <w:numFmt w:val="bullet"/>
      <w:lvlText w:val=""/>
      <w:lvlJc w:val="left"/>
      <w:pPr>
        <w:tabs>
          <w:tab w:val="num" w:pos="1080"/>
        </w:tabs>
        <w:ind w:left="1080" w:firstLine="2520"/>
      </w:pPr>
      <w:rPr>
        <w:rFonts w:hint="default"/>
        <w:color w:val="000000"/>
        <w:position w:val="0"/>
        <w:sz w:val="24"/>
      </w:rPr>
    </w:lvl>
    <w:lvl w:ilvl="3">
      <w:start w:val="1"/>
      <w:numFmt w:val="bullet"/>
      <w:lvlText w:val="·"/>
      <w:lvlJc w:val="left"/>
      <w:pPr>
        <w:tabs>
          <w:tab w:val="num" w:pos="1080"/>
        </w:tabs>
        <w:ind w:left="1080" w:firstLine="3240"/>
      </w:pPr>
      <w:rPr>
        <w:rFonts w:hint="default"/>
        <w:color w:val="000000"/>
        <w:position w:val="0"/>
        <w:sz w:val="24"/>
      </w:rPr>
    </w:lvl>
    <w:lvl w:ilvl="4">
      <w:start w:val="1"/>
      <w:numFmt w:val="bullet"/>
      <w:lvlText w:val="o"/>
      <w:lvlJc w:val="left"/>
      <w:pPr>
        <w:tabs>
          <w:tab w:val="num" w:pos="1080"/>
        </w:tabs>
        <w:ind w:left="1080" w:firstLine="3960"/>
      </w:pPr>
      <w:rPr>
        <w:rFonts w:hint="default"/>
        <w:color w:val="000000"/>
        <w:position w:val="0"/>
        <w:sz w:val="24"/>
      </w:rPr>
    </w:lvl>
    <w:lvl w:ilvl="5">
      <w:start w:val="1"/>
      <w:numFmt w:val="bullet"/>
      <w:lvlText w:val=""/>
      <w:lvlJc w:val="left"/>
      <w:pPr>
        <w:tabs>
          <w:tab w:val="num" w:pos="1080"/>
        </w:tabs>
        <w:ind w:left="1080" w:firstLine="4680"/>
      </w:pPr>
      <w:rPr>
        <w:rFonts w:hint="default"/>
        <w:color w:val="000000"/>
        <w:position w:val="0"/>
        <w:sz w:val="24"/>
      </w:rPr>
    </w:lvl>
    <w:lvl w:ilvl="6">
      <w:start w:val="1"/>
      <w:numFmt w:val="bullet"/>
      <w:lvlText w:val="·"/>
      <w:lvlJc w:val="left"/>
      <w:pPr>
        <w:tabs>
          <w:tab w:val="num" w:pos="1080"/>
        </w:tabs>
        <w:ind w:left="1080" w:firstLine="5400"/>
      </w:pPr>
      <w:rPr>
        <w:rFonts w:hint="default"/>
        <w:color w:val="000000"/>
        <w:position w:val="0"/>
        <w:sz w:val="24"/>
      </w:rPr>
    </w:lvl>
    <w:lvl w:ilvl="7">
      <w:start w:val="1"/>
      <w:numFmt w:val="bullet"/>
      <w:lvlText w:val="o"/>
      <w:lvlJc w:val="left"/>
      <w:pPr>
        <w:tabs>
          <w:tab w:val="num" w:pos="1080"/>
        </w:tabs>
        <w:ind w:left="1080" w:firstLine="6120"/>
      </w:pPr>
      <w:rPr>
        <w:rFonts w:hint="default"/>
        <w:color w:val="000000"/>
        <w:position w:val="0"/>
        <w:sz w:val="24"/>
      </w:rPr>
    </w:lvl>
    <w:lvl w:ilvl="8">
      <w:start w:val="1"/>
      <w:numFmt w:val="bullet"/>
      <w:lvlText w:val=""/>
      <w:lvlJc w:val="left"/>
      <w:pPr>
        <w:tabs>
          <w:tab w:val="num" w:pos="1080"/>
        </w:tabs>
        <w:ind w:left="1080" w:firstLine="6840"/>
      </w:pPr>
      <w:rPr>
        <w:rFonts w:hint="default"/>
        <w:color w:val="000000"/>
        <w:position w:val="0"/>
        <w:sz w:val="24"/>
      </w:rPr>
    </w:lvl>
  </w:abstractNum>
  <w:abstractNum w:abstractNumId="1">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417098"/>
    <w:multiLevelType w:val="hybridMultilevel"/>
    <w:tmpl w:val="9CF2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8171E4"/>
    <w:multiLevelType w:val="hybridMultilevel"/>
    <w:tmpl w:val="B1D84D98"/>
    <w:lvl w:ilvl="0" w:tplc="1CEA88C6">
      <w:start w:val="1"/>
      <w:numFmt w:val="decimal"/>
      <w:lvlText w:val="(%1)"/>
      <w:lvlJc w:val="left"/>
      <w:pPr>
        <w:ind w:left="1425" w:hanging="705"/>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393F1F"/>
    <w:multiLevelType w:val="multilevel"/>
    <w:tmpl w:val="92A8E55E"/>
    <w:lvl w:ilvl="0">
      <w:start w:val="1"/>
      <w:numFmt w:val="decimal"/>
      <w:pStyle w:val="Heading1"/>
      <w:lvlText w:val="%1."/>
      <w:lvlJc w:val="left"/>
      <w:pPr>
        <w:ind w:left="360" w:hanging="360"/>
      </w:pPr>
    </w:lvl>
    <w:lvl w:ilvl="1">
      <w:start w:val="1"/>
      <w:numFmt w:val="lowerLetter"/>
      <w:lvlText w:val="%2)"/>
      <w:lvlJc w:val="left"/>
      <w:pPr>
        <w:ind w:left="900" w:firstLine="0"/>
      </w:pPr>
      <w:rPr>
        <w:rFonts w:hint="default"/>
      </w:rPr>
    </w:lvl>
    <w:lvl w:ilvl="2">
      <w:start w:val="1"/>
      <w:numFmt w:val="lowerLetter"/>
      <w:lvlText w:val="(%3)"/>
      <w:lvlJc w:val="left"/>
      <w:pPr>
        <w:ind w:left="720" w:hanging="432"/>
      </w:pPr>
    </w:lvl>
    <w:lvl w:ilvl="3">
      <w:start w:val="1"/>
      <w:numFmt w:val="lowerRoman"/>
      <w:pStyle w:val="Heading4"/>
      <w:lvlText w:val="(%4)"/>
      <w:lvlJc w:val="right"/>
      <w:pPr>
        <w:ind w:left="864" w:hanging="144"/>
      </w:pPr>
      <w:rPr>
        <w:rFonts w:ascii="Times New Roman" w:hAnsi="Times New Roman" w:cs="Times New Roman" w:hint="default"/>
        <w:b w:val="0"/>
        <w:i w:val="0"/>
      </w:r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rPr>
        <w:sz w:val="24"/>
        <w:szCs w:val="24"/>
      </w:rPr>
    </w:lvl>
    <w:lvl w:ilvl="8">
      <w:start w:val="1"/>
      <w:numFmt w:val="lowerRoman"/>
      <w:pStyle w:val="Heading9"/>
      <w:lvlText w:val="%9."/>
      <w:lvlJc w:val="right"/>
      <w:pPr>
        <w:ind w:left="1584" w:hanging="144"/>
      </w:pPr>
    </w:lvl>
  </w:abstractNum>
  <w:abstractNum w:abstractNumId="5">
    <w:nsid w:val="036D0B78"/>
    <w:multiLevelType w:val="hybridMultilevel"/>
    <w:tmpl w:val="3C68D780"/>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6">
    <w:nsid w:val="04445574"/>
    <w:multiLevelType w:val="hybridMultilevel"/>
    <w:tmpl w:val="FCC849DA"/>
    <w:lvl w:ilvl="0" w:tplc="A11E985E">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C31FA"/>
    <w:multiLevelType w:val="hybridMultilevel"/>
    <w:tmpl w:val="C396D832"/>
    <w:lvl w:ilvl="0" w:tplc="9014C0BA">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5844FD"/>
    <w:multiLevelType w:val="hybridMultilevel"/>
    <w:tmpl w:val="392C9CF4"/>
    <w:lvl w:ilvl="0" w:tplc="3508C8C2">
      <w:start w:val="1"/>
      <w:numFmt w:val="decimal"/>
      <w:lvlText w:val="%1."/>
      <w:lvlJc w:val="left"/>
      <w:pPr>
        <w:ind w:left="1009" w:hanging="360"/>
      </w:pPr>
      <w:rPr>
        <w:rFonts w:eastAsiaTheme="majorEastAsia" w:hint="default"/>
        <w:b w:val="0"/>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9">
    <w:nsid w:val="3C746F19"/>
    <w:multiLevelType w:val="hybridMultilevel"/>
    <w:tmpl w:val="10943D60"/>
    <w:lvl w:ilvl="0" w:tplc="C99871D8">
      <w:start w:val="1"/>
      <w:numFmt w:val="decimal"/>
      <w:lvlText w:val="%1."/>
      <w:lvlJc w:val="left"/>
      <w:pPr>
        <w:ind w:left="720" w:hanging="360"/>
      </w:pPr>
      <w:rPr>
        <w:rFonts w:ascii="Times New Roman" w:hAnsi="Times New Roman" w:cs="Times New Roman" w:hint="default"/>
        <w:sz w:val="24"/>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F67AD"/>
    <w:multiLevelType w:val="multilevel"/>
    <w:tmpl w:val="531CC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1272AEC"/>
    <w:multiLevelType w:val="multilevel"/>
    <w:tmpl w:val="4B9E5882"/>
    <w:lvl w:ilvl="0">
      <w:start w:val="1"/>
      <w:numFmt w:val="bullet"/>
      <w:lvlText w:val=""/>
      <w:lvlJc w:val="left"/>
      <w:pPr>
        <w:tabs>
          <w:tab w:val="num" w:pos="0"/>
        </w:tabs>
        <w:ind w:left="0" w:firstLine="540"/>
      </w:pPr>
      <w:rPr>
        <w:rFonts w:ascii="Symbol" w:hAnsi="Symbol" w:hint="default"/>
        <w:color w:val="000000"/>
        <w:position w:val="0"/>
        <w:sz w:val="24"/>
      </w:rPr>
    </w:lvl>
    <w:lvl w:ilvl="1">
      <w:start w:val="1"/>
      <w:numFmt w:val="bullet"/>
      <w:lvlText w:val="o"/>
      <w:lvlJc w:val="left"/>
      <w:pPr>
        <w:tabs>
          <w:tab w:val="num" w:pos="180"/>
        </w:tabs>
        <w:ind w:left="180" w:firstLine="1800"/>
      </w:pPr>
      <w:rPr>
        <w:rFonts w:hint="default"/>
        <w:color w:val="000000"/>
        <w:position w:val="0"/>
        <w:sz w:val="24"/>
      </w:rPr>
    </w:lvl>
    <w:lvl w:ilvl="2">
      <w:start w:val="1"/>
      <w:numFmt w:val="bullet"/>
      <w:lvlText w:val=""/>
      <w:lvlJc w:val="left"/>
      <w:pPr>
        <w:tabs>
          <w:tab w:val="num" w:pos="180"/>
        </w:tabs>
        <w:ind w:left="180" w:firstLine="2520"/>
      </w:pPr>
      <w:rPr>
        <w:rFonts w:hint="default"/>
        <w:color w:val="000000"/>
        <w:position w:val="0"/>
        <w:sz w:val="24"/>
      </w:rPr>
    </w:lvl>
    <w:lvl w:ilvl="3">
      <w:start w:val="1"/>
      <w:numFmt w:val="bullet"/>
      <w:lvlText w:val="·"/>
      <w:lvlJc w:val="left"/>
      <w:pPr>
        <w:tabs>
          <w:tab w:val="num" w:pos="180"/>
        </w:tabs>
        <w:ind w:left="180" w:firstLine="3240"/>
      </w:pPr>
      <w:rPr>
        <w:rFonts w:hint="default"/>
        <w:color w:val="000000"/>
        <w:position w:val="0"/>
        <w:sz w:val="24"/>
      </w:rPr>
    </w:lvl>
    <w:lvl w:ilvl="4">
      <w:start w:val="1"/>
      <w:numFmt w:val="bullet"/>
      <w:lvlText w:val="o"/>
      <w:lvlJc w:val="left"/>
      <w:pPr>
        <w:tabs>
          <w:tab w:val="num" w:pos="180"/>
        </w:tabs>
        <w:ind w:left="180" w:firstLine="3960"/>
      </w:pPr>
      <w:rPr>
        <w:rFonts w:hint="default"/>
        <w:color w:val="000000"/>
        <w:position w:val="0"/>
        <w:sz w:val="24"/>
      </w:rPr>
    </w:lvl>
    <w:lvl w:ilvl="5">
      <w:start w:val="1"/>
      <w:numFmt w:val="bullet"/>
      <w:lvlText w:val=""/>
      <w:lvlJc w:val="left"/>
      <w:pPr>
        <w:tabs>
          <w:tab w:val="num" w:pos="180"/>
        </w:tabs>
        <w:ind w:left="180" w:firstLine="4680"/>
      </w:pPr>
      <w:rPr>
        <w:rFonts w:hint="default"/>
        <w:color w:val="000000"/>
        <w:position w:val="0"/>
        <w:sz w:val="24"/>
      </w:rPr>
    </w:lvl>
    <w:lvl w:ilvl="6">
      <w:start w:val="1"/>
      <w:numFmt w:val="bullet"/>
      <w:lvlText w:val="·"/>
      <w:lvlJc w:val="left"/>
      <w:pPr>
        <w:tabs>
          <w:tab w:val="num" w:pos="180"/>
        </w:tabs>
        <w:ind w:left="180" w:firstLine="5400"/>
      </w:pPr>
      <w:rPr>
        <w:rFonts w:hint="default"/>
        <w:color w:val="000000"/>
        <w:position w:val="0"/>
        <w:sz w:val="24"/>
      </w:rPr>
    </w:lvl>
    <w:lvl w:ilvl="7">
      <w:start w:val="1"/>
      <w:numFmt w:val="bullet"/>
      <w:lvlText w:val="o"/>
      <w:lvlJc w:val="left"/>
      <w:pPr>
        <w:tabs>
          <w:tab w:val="num" w:pos="180"/>
        </w:tabs>
        <w:ind w:left="180" w:firstLine="6120"/>
      </w:pPr>
      <w:rPr>
        <w:rFonts w:hint="default"/>
        <w:color w:val="000000"/>
        <w:position w:val="0"/>
        <w:sz w:val="24"/>
      </w:rPr>
    </w:lvl>
    <w:lvl w:ilvl="8">
      <w:start w:val="1"/>
      <w:numFmt w:val="bullet"/>
      <w:lvlText w:val=""/>
      <w:lvlJc w:val="left"/>
      <w:pPr>
        <w:tabs>
          <w:tab w:val="num" w:pos="180"/>
        </w:tabs>
        <w:ind w:left="180" w:firstLine="6840"/>
      </w:pPr>
      <w:rPr>
        <w:rFonts w:hint="default"/>
        <w:color w:val="000000"/>
        <w:position w:val="0"/>
        <w:sz w:val="24"/>
      </w:rPr>
    </w:lvl>
  </w:abstractNum>
  <w:abstractNum w:abstractNumId="12">
    <w:nsid w:val="41552DA8"/>
    <w:multiLevelType w:val="hybridMultilevel"/>
    <w:tmpl w:val="E7C897CE"/>
    <w:lvl w:ilvl="0" w:tplc="B74691D0">
      <w:start w:val="1"/>
      <w:numFmt w:val="decimal"/>
      <w:lvlText w:val="%1."/>
      <w:lvlJc w:val="left"/>
      <w:pPr>
        <w:ind w:left="720" w:hanging="360"/>
      </w:pPr>
      <w:rPr>
        <w:rFonts w:ascii="Times New Roman" w:hAnsi="Times New Roman" w:cs="Times New Roman" w:hint="default"/>
        <w:b w:val="0"/>
        <w:i w:val="0"/>
        <w:sz w:val="24"/>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543BF"/>
    <w:multiLevelType w:val="hybridMultilevel"/>
    <w:tmpl w:val="B350BBCC"/>
    <w:lvl w:ilvl="0" w:tplc="7DA490DA">
      <w:start w:val="1"/>
      <w:numFmt w:val="upperLetter"/>
      <w:pStyle w:val="Heading2"/>
      <w:lvlText w:val="%1."/>
      <w:lvlJc w:val="left"/>
      <w:pPr>
        <w:ind w:left="1440" w:hanging="360"/>
      </w:pPr>
    </w:lvl>
    <w:lvl w:ilvl="1" w:tplc="9E06F6D6">
      <w:start w:val="1"/>
      <w:numFmt w:val="decimal"/>
      <w:lvlText w:val="%2."/>
      <w:lvlJc w:val="left"/>
      <w:pPr>
        <w:ind w:left="1800" w:hanging="360"/>
      </w:pPr>
    </w:lvl>
    <w:lvl w:ilvl="2" w:tplc="143ED834" w:tentative="1">
      <w:start w:val="1"/>
      <w:numFmt w:val="lowerRoman"/>
      <w:lvlText w:val="%3."/>
      <w:lvlJc w:val="right"/>
      <w:pPr>
        <w:ind w:left="2520" w:hanging="180"/>
      </w:pPr>
    </w:lvl>
    <w:lvl w:ilvl="3" w:tplc="C648639E" w:tentative="1">
      <w:start w:val="1"/>
      <w:numFmt w:val="decimal"/>
      <w:lvlText w:val="%4."/>
      <w:lvlJc w:val="left"/>
      <w:pPr>
        <w:ind w:left="3240" w:hanging="360"/>
      </w:pPr>
    </w:lvl>
    <w:lvl w:ilvl="4" w:tplc="40463A3E" w:tentative="1">
      <w:start w:val="1"/>
      <w:numFmt w:val="lowerLetter"/>
      <w:lvlText w:val="%5."/>
      <w:lvlJc w:val="left"/>
      <w:pPr>
        <w:ind w:left="3960" w:hanging="360"/>
      </w:pPr>
    </w:lvl>
    <w:lvl w:ilvl="5" w:tplc="C1205EA4" w:tentative="1">
      <w:start w:val="1"/>
      <w:numFmt w:val="lowerRoman"/>
      <w:lvlText w:val="%6."/>
      <w:lvlJc w:val="right"/>
      <w:pPr>
        <w:ind w:left="4680" w:hanging="180"/>
      </w:pPr>
    </w:lvl>
    <w:lvl w:ilvl="6" w:tplc="36B64BE0" w:tentative="1">
      <w:start w:val="1"/>
      <w:numFmt w:val="decimal"/>
      <w:lvlText w:val="%7."/>
      <w:lvlJc w:val="left"/>
      <w:pPr>
        <w:ind w:left="5400" w:hanging="360"/>
      </w:pPr>
    </w:lvl>
    <w:lvl w:ilvl="7" w:tplc="22F8D0DE" w:tentative="1">
      <w:start w:val="1"/>
      <w:numFmt w:val="lowerLetter"/>
      <w:lvlText w:val="%8."/>
      <w:lvlJc w:val="left"/>
      <w:pPr>
        <w:ind w:left="6120" w:hanging="360"/>
      </w:pPr>
    </w:lvl>
    <w:lvl w:ilvl="8" w:tplc="92C06310" w:tentative="1">
      <w:start w:val="1"/>
      <w:numFmt w:val="lowerRoman"/>
      <w:lvlText w:val="%9."/>
      <w:lvlJc w:val="right"/>
      <w:pPr>
        <w:ind w:left="6840" w:hanging="180"/>
      </w:pPr>
    </w:lvl>
  </w:abstractNum>
  <w:abstractNum w:abstractNumId="14">
    <w:nsid w:val="48634AB6"/>
    <w:multiLevelType w:val="multilevel"/>
    <w:tmpl w:val="F710A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DAD2495"/>
    <w:multiLevelType w:val="hybridMultilevel"/>
    <w:tmpl w:val="56F69AEA"/>
    <w:lvl w:ilvl="0" w:tplc="8ECA82E6">
      <w:start w:val="1"/>
      <w:numFmt w:val="bullet"/>
      <w:lvlText w:val=""/>
      <w:lvlJc w:val="left"/>
      <w:pPr>
        <w:tabs>
          <w:tab w:val="num" w:pos="720"/>
        </w:tabs>
        <w:ind w:left="720" w:hanging="360"/>
      </w:pPr>
      <w:rPr>
        <w:rFonts w:ascii="Symbol" w:hAnsi="Symbol" w:hint="default"/>
        <w:sz w:val="20"/>
      </w:rPr>
    </w:lvl>
    <w:lvl w:ilvl="1" w:tplc="39CE1F8A" w:tentative="1">
      <w:start w:val="1"/>
      <w:numFmt w:val="bullet"/>
      <w:lvlText w:val="o"/>
      <w:lvlJc w:val="left"/>
      <w:pPr>
        <w:tabs>
          <w:tab w:val="num" w:pos="1440"/>
        </w:tabs>
        <w:ind w:left="1440" w:hanging="360"/>
      </w:pPr>
      <w:rPr>
        <w:rFonts w:ascii="Courier New" w:hAnsi="Courier New" w:hint="default"/>
        <w:sz w:val="20"/>
      </w:rPr>
    </w:lvl>
    <w:lvl w:ilvl="2" w:tplc="54FCDBD8" w:tentative="1">
      <w:start w:val="1"/>
      <w:numFmt w:val="bullet"/>
      <w:lvlText w:val=""/>
      <w:lvlJc w:val="left"/>
      <w:pPr>
        <w:tabs>
          <w:tab w:val="num" w:pos="2160"/>
        </w:tabs>
        <w:ind w:left="2160" w:hanging="360"/>
      </w:pPr>
      <w:rPr>
        <w:rFonts w:ascii="Wingdings" w:hAnsi="Wingdings" w:hint="default"/>
        <w:sz w:val="20"/>
      </w:rPr>
    </w:lvl>
    <w:lvl w:ilvl="3" w:tplc="9BA69BF4" w:tentative="1">
      <w:start w:val="1"/>
      <w:numFmt w:val="bullet"/>
      <w:lvlText w:val=""/>
      <w:lvlJc w:val="left"/>
      <w:pPr>
        <w:tabs>
          <w:tab w:val="num" w:pos="2880"/>
        </w:tabs>
        <w:ind w:left="2880" w:hanging="360"/>
      </w:pPr>
      <w:rPr>
        <w:rFonts w:ascii="Wingdings" w:hAnsi="Wingdings" w:hint="default"/>
        <w:sz w:val="20"/>
      </w:rPr>
    </w:lvl>
    <w:lvl w:ilvl="4" w:tplc="69369FA8" w:tentative="1">
      <w:start w:val="1"/>
      <w:numFmt w:val="bullet"/>
      <w:lvlText w:val=""/>
      <w:lvlJc w:val="left"/>
      <w:pPr>
        <w:tabs>
          <w:tab w:val="num" w:pos="3600"/>
        </w:tabs>
        <w:ind w:left="3600" w:hanging="360"/>
      </w:pPr>
      <w:rPr>
        <w:rFonts w:ascii="Wingdings" w:hAnsi="Wingdings" w:hint="default"/>
        <w:sz w:val="20"/>
      </w:rPr>
    </w:lvl>
    <w:lvl w:ilvl="5" w:tplc="94D4F4A0" w:tentative="1">
      <w:start w:val="1"/>
      <w:numFmt w:val="bullet"/>
      <w:lvlText w:val=""/>
      <w:lvlJc w:val="left"/>
      <w:pPr>
        <w:tabs>
          <w:tab w:val="num" w:pos="4320"/>
        </w:tabs>
        <w:ind w:left="4320" w:hanging="360"/>
      </w:pPr>
      <w:rPr>
        <w:rFonts w:ascii="Wingdings" w:hAnsi="Wingdings" w:hint="default"/>
        <w:sz w:val="20"/>
      </w:rPr>
    </w:lvl>
    <w:lvl w:ilvl="6" w:tplc="667AEAD8" w:tentative="1">
      <w:start w:val="1"/>
      <w:numFmt w:val="bullet"/>
      <w:lvlText w:val=""/>
      <w:lvlJc w:val="left"/>
      <w:pPr>
        <w:tabs>
          <w:tab w:val="num" w:pos="5040"/>
        </w:tabs>
        <w:ind w:left="5040" w:hanging="360"/>
      </w:pPr>
      <w:rPr>
        <w:rFonts w:ascii="Wingdings" w:hAnsi="Wingdings" w:hint="default"/>
        <w:sz w:val="20"/>
      </w:rPr>
    </w:lvl>
    <w:lvl w:ilvl="7" w:tplc="1B6660FC" w:tentative="1">
      <w:start w:val="1"/>
      <w:numFmt w:val="bullet"/>
      <w:lvlText w:val=""/>
      <w:lvlJc w:val="left"/>
      <w:pPr>
        <w:tabs>
          <w:tab w:val="num" w:pos="5760"/>
        </w:tabs>
        <w:ind w:left="5760" w:hanging="360"/>
      </w:pPr>
      <w:rPr>
        <w:rFonts w:ascii="Wingdings" w:hAnsi="Wingdings" w:hint="default"/>
        <w:sz w:val="20"/>
      </w:rPr>
    </w:lvl>
    <w:lvl w:ilvl="8" w:tplc="FB96620E"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F46795"/>
    <w:multiLevelType w:val="hybridMultilevel"/>
    <w:tmpl w:val="C242F85C"/>
    <w:lvl w:ilvl="0" w:tplc="0409001B">
      <w:start w:val="1"/>
      <w:numFmt w:val="lowerRoman"/>
      <w:lvlText w:val="%1."/>
      <w:lvlJc w:val="righ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nsid w:val="64305183"/>
    <w:multiLevelType w:val="hybridMultilevel"/>
    <w:tmpl w:val="CA14EE44"/>
    <w:lvl w:ilvl="0" w:tplc="7270D70E">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8">
    <w:nsid w:val="64961372"/>
    <w:multiLevelType w:val="hybridMultilevel"/>
    <w:tmpl w:val="B1D84D98"/>
    <w:lvl w:ilvl="0" w:tplc="1CEA88C6">
      <w:start w:val="1"/>
      <w:numFmt w:val="decimal"/>
      <w:lvlText w:val="(%1)"/>
      <w:lvlJc w:val="left"/>
      <w:pPr>
        <w:ind w:left="1425" w:hanging="705"/>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D1161D"/>
    <w:multiLevelType w:val="hybridMultilevel"/>
    <w:tmpl w:val="F40CF2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B6439F0"/>
    <w:multiLevelType w:val="hybridMultilevel"/>
    <w:tmpl w:val="D7F0B182"/>
    <w:lvl w:ilvl="0" w:tplc="43160482">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nsid w:val="746F26D9"/>
    <w:multiLevelType w:val="hybridMultilevel"/>
    <w:tmpl w:val="8878E6DC"/>
    <w:lvl w:ilvl="0" w:tplc="43160482">
      <w:start w:val="1"/>
      <w:numFmt w:val="upperLetter"/>
      <w:lvlText w:val="%1."/>
      <w:lvlJc w:val="left"/>
      <w:pPr>
        <w:ind w:left="1365" w:hanging="360"/>
      </w:pPr>
      <w:rPr>
        <w:rFonts w:hint="default"/>
        <w:b/>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2">
    <w:nsid w:val="7CB21AE5"/>
    <w:multiLevelType w:val="hybridMultilevel"/>
    <w:tmpl w:val="EDB4AB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nsid w:val="7D8B2043"/>
    <w:multiLevelType w:val="hybridMultilevel"/>
    <w:tmpl w:val="A66C140A"/>
    <w:lvl w:ilvl="0" w:tplc="0332071A">
      <w:start w:val="1"/>
      <w:numFmt w:val="upperLetter"/>
      <w:lvlText w:val="%1."/>
      <w:lvlJc w:val="left"/>
      <w:pPr>
        <w:ind w:left="720" w:hanging="36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C25C1A"/>
    <w:multiLevelType w:val="hybridMultilevel"/>
    <w:tmpl w:val="84065CCE"/>
    <w:lvl w:ilvl="0" w:tplc="B3241866">
      <w:start w:val="1"/>
      <w:numFmt w:val="decimal"/>
      <w:lvlText w:val="%1."/>
      <w:lvlJc w:val="left"/>
      <w:pPr>
        <w:ind w:left="360" w:hanging="360"/>
      </w:pPr>
      <w:rPr>
        <w:rFonts w:eastAsiaTheme="majorEastAsi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DA435F"/>
    <w:multiLevelType w:val="hybridMultilevel"/>
    <w:tmpl w:val="D68AF9D6"/>
    <w:lvl w:ilvl="0" w:tplc="938CCD84">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6">
    <w:nsid w:val="7FA35C6F"/>
    <w:multiLevelType w:val="hybridMultilevel"/>
    <w:tmpl w:val="AD6CAF20"/>
    <w:lvl w:ilvl="0" w:tplc="8CCE297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7"/>
  </w:num>
  <w:num w:numId="5">
    <w:abstractNumId w:val="20"/>
  </w:num>
  <w:num w:numId="6">
    <w:abstractNumId w:val="4"/>
  </w:num>
  <w:num w:numId="7">
    <w:abstractNumId w:val="6"/>
    <w:lvlOverride w:ilvl="0">
      <w:startOverride w:val="1"/>
    </w:lvlOverride>
  </w:num>
  <w:num w:numId="8">
    <w:abstractNumId w:val="13"/>
  </w:num>
  <w:num w:numId="9">
    <w:abstractNumId w:val="13"/>
    <w:lvlOverride w:ilvl="0">
      <w:startOverride w:val="1"/>
    </w:lvlOverride>
  </w:num>
  <w:num w:numId="10">
    <w:abstractNumId w:val="26"/>
  </w:num>
  <w:num w:numId="11">
    <w:abstractNumId w:val="21"/>
  </w:num>
  <w:num w:numId="12">
    <w:abstractNumId w:val="13"/>
    <w:lvlOverride w:ilvl="0">
      <w:startOverride w:val="1"/>
    </w:lvlOverride>
  </w:num>
  <w:num w:numId="13">
    <w:abstractNumId w:val="10"/>
  </w:num>
  <w:num w:numId="14">
    <w:abstractNumId w:val="6"/>
  </w:num>
  <w:num w:numId="15">
    <w:abstractNumId w:val="13"/>
  </w:num>
  <w:num w:numId="16">
    <w:abstractNumId w:val="24"/>
  </w:num>
  <w:num w:numId="17">
    <w:abstractNumId w:val="23"/>
  </w:num>
  <w:num w:numId="18">
    <w:abstractNumId w:val="5"/>
  </w:num>
  <w:num w:numId="19">
    <w:abstractNumId w:val="18"/>
  </w:num>
  <w:num w:numId="20">
    <w:abstractNumId w:val="25"/>
  </w:num>
  <w:num w:numId="21">
    <w:abstractNumId w:val="17"/>
  </w:num>
  <w:num w:numId="22">
    <w:abstractNumId w:val="3"/>
  </w:num>
  <w:num w:numId="23">
    <w:abstractNumId w:val="2"/>
  </w:num>
  <w:num w:numId="24">
    <w:abstractNumId w:val="19"/>
  </w:num>
  <w:num w:numId="25">
    <w:abstractNumId w:val="22"/>
  </w:num>
  <w:num w:numId="26">
    <w:abstractNumId w:val="8"/>
  </w:num>
  <w:num w:numId="27">
    <w:abstractNumId w:val="12"/>
  </w:num>
  <w:num w:numId="28">
    <w:abstractNumId w:val="9"/>
  </w:num>
  <w:num w:numId="29">
    <w:abstractNumId w:val="15"/>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A1"/>
    <w:rsid w:val="00001252"/>
    <w:rsid w:val="00012CE4"/>
    <w:rsid w:val="00024DCE"/>
    <w:rsid w:val="00026A28"/>
    <w:rsid w:val="00032FD6"/>
    <w:rsid w:val="0003701D"/>
    <w:rsid w:val="0005078A"/>
    <w:rsid w:val="000509B8"/>
    <w:rsid w:val="00057423"/>
    <w:rsid w:val="00063C30"/>
    <w:rsid w:val="0007053E"/>
    <w:rsid w:val="000707C1"/>
    <w:rsid w:val="00075AA0"/>
    <w:rsid w:val="0008313D"/>
    <w:rsid w:val="0008428A"/>
    <w:rsid w:val="00084E88"/>
    <w:rsid w:val="000A1BB7"/>
    <w:rsid w:val="000A2365"/>
    <w:rsid w:val="000B68FA"/>
    <w:rsid w:val="000B6C80"/>
    <w:rsid w:val="000D6AAD"/>
    <w:rsid w:val="000D6C60"/>
    <w:rsid w:val="000D7977"/>
    <w:rsid w:val="000F68BD"/>
    <w:rsid w:val="0010453C"/>
    <w:rsid w:val="0011585B"/>
    <w:rsid w:val="0013093B"/>
    <w:rsid w:val="0013291D"/>
    <w:rsid w:val="00145E3C"/>
    <w:rsid w:val="00146FA8"/>
    <w:rsid w:val="0016378A"/>
    <w:rsid w:val="00170948"/>
    <w:rsid w:val="001764A6"/>
    <w:rsid w:val="00186B5C"/>
    <w:rsid w:val="00187D4E"/>
    <w:rsid w:val="001A293D"/>
    <w:rsid w:val="001A4B1A"/>
    <w:rsid w:val="001B07CE"/>
    <w:rsid w:val="001B6778"/>
    <w:rsid w:val="001C1227"/>
    <w:rsid w:val="001C3376"/>
    <w:rsid w:val="001C4B92"/>
    <w:rsid w:val="001C689F"/>
    <w:rsid w:val="001F4493"/>
    <w:rsid w:val="00207CDE"/>
    <w:rsid w:val="002213A9"/>
    <w:rsid w:val="002262E2"/>
    <w:rsid w:val="00232931"/>
    <w:rsid w:val="00234509"/>
    <w:rsid w:val="00236CA3"/>
    <w:rsid w:val="00242800"/>
    <w:rsid w:val="002675F7"/>
    <w:rsid w:val="002678D0"/>
    <w:rsid w:val="0027086A"/>
    <w:rsid w:val="00272349"/>
    <w:rsid w:val="002779D7"/>
    <w:rsid w:val="00277BF2"/>
    <w:rsid w:val="002837E8"/>
    <w:rsid w:val="002969F3"/>
    <w:rsid w:val="002A172E"/>
    <w:rsid w:val="002B1577"/>
    <w:rsid w:val="002B2C5E"/>
    <w:rsid w:val="002B4E59"/>
    <w:rsid w:val="002C5C85"/>
    <w:rsid w:val="002E1FEC"/>
    <w:rsid w:val="002F02D3"/>
    <w:rsid w:val="002F26F3"/>
    <w:rsid w:val="002F2AC3"/>
    <w:rsid w:val="003018A8"/>
    <w:rsid w:val="00304A30"/>
    <w:rsid w:val="00310B5C"/>
    <w:rsid w:val="0031324F"/>
    <w:rsid w:val="00324A4C"/>
    <w:rsid w:val="00330764"/>
    <w:rsid w:val="0035589F"/>
    <w:rsid w:val="003565A5"/>
    <w:rsid w:val="003665A3"/>
    <w:rsid w:val="00382C83"/>
    <w:rsid w:val="00397122"/>
    <w:rsid w:val="003A2870"/>
    <w:rsid w:val="003A290F"/>
    <w:rsid w:val="003B7685"/>
    <w:rsid w:val="003C0867"/>
    <w:rsid w:val="003D5FB2"/>
    <w:rsid w:val="003F415C"/>
    <w:rsid w:val="003F4223"/>
    <w:rsid w:val="003F7F12"/>
    <w:rsid w:val="004136CC"/>
    <w:rsid w:val="00415084"/>
    <w:rsid w:val="0042124F"/>
    <w:rsid w:val="00422489"/>
    <w:rsid w:val="00425217"/>
    <w:rsid w:val="004309CB"/>
    <w:rsid w:val="00433E8B"/>
    <w:rsid w:val="004345C1"/>
    <w:rsid w:val="00451FDA"/>
    <w:rsid w:val="00462BFE"/>
    <w:rsid w:val="00473BA3"/>
    <w:rsid w:val="00483C05"/>
    <w:rsid w:val="00495DC7"/>
    <w:rsid w:val="00497227"/>
    <w:rsid w:val="004A4532"/>
    <w:rsid w:val="004B2F89"/>
    <w:rsid w:val="004C1598"/>
    <w:rsid w:val="004C5D61"/>
    <w:rsid w:val="004C6F82"/>
    <w:rsid w:val="004D4E57"/>
    <w:rsid w:val="004E6F27"/>
    <w:rsid w:val="005023A5"/>
    <w:rsid w:val="00511EA3"/>
    <w:rsid w:val="00541E25"/>
    <w:rsid w:val="00542D66"/>
    <w:rsid w:val="005450C9"/>
    <w:rsid w:val="005548D4"/>
    <w:rsid w:val="005677FC"/>
    <w:rsid w:val="0057624E"/>
    <w:rsid w:val="00586200"/>
    <w:rsid w:val="00590C06"/>
    <w:rsid w:val="00592500"/>
    <w:rsid w:val="00592F5B"/>
    <w:rsid w:val="005A15FB"/>
    <w:rsid w:val="005A29DF"/>
    <w:rsid w:val="005B60B9"/>
    <w:rsid w:val="005C1238"/>
    <w:rsid w:val="005C3893"/>
    <w:rsid w:val="005C745B"/>
    <w:rsid w:val="005C7E88"/>
    <w:rsid w:val="005D06A9"/>
    <w:rsid w:val="005D3C62"/>
    <w:rsid w:val="005D5486"/>
    <w:rsid w:val="005F691F"/>
    <w:rsid w:val="00600C2B"/>
    <w:rsid w:val="0060751A"/>
    <w:rsid w:val="0060786E"/>
    <w:rsid w:val="00622EBE"/>
    <w:rsid w:val="00626345"/>
    <w:rsid w:val="00640790"/>
    <w:rsid w:val="00645BEA"/>
    <w:rsid w:val="0066090F"/>
    <w:rsid w:val="00661888"/>
    <w:rsid w:val="00667E1F"/>
    <w:rsid w:val="006701CF"/>
    <w:rsid w:val="00697969"/>
    <w:rsid w:val="006A4CDF"/>
    <w:rsid w:val="006A697B"/>
    <w:rsid w:val="006D1AD7"/>
    <w:rsid w:val="006D2FD7"/>
    <w:rsid w:val="006E6D1E"/>
    <w:rsid w:val="006F0981"/>
    <w:rsid w:val="007014C2"/>
    <w:rsid w:val="0073328C"/>
    <w:rsid w:val="00733F1A"/>
    <w:rsid w:val="00742ED2"/>
    <w:rsid w:val="00744C75"/>
    <w:rsid w:val="00760F73"/>
    <w:rsid w:val="00762EDB"/>
    <w:rsid w:val="007648E0"/>
    <w:rsid w:val="00774883"/>
    <w:rsid w:val="007A2D0E"/>
    <w:rsid w:val="007B182E"/>
    <w:rsid w:val="007D1FDD"/>
    <w:rsid w:val="007D3E5E"/>
    <w:rsid w:val="007D4766"/>
    <w:rsid w:val="007D774D"/>
    <w:rsid w:val="007E4E95"/>
    <w:rsid w:val="00816104"/>
    <w:rsid w:val="00816229"/>
    <w:rsid w:val="008449AC"/>
    <w:rsid w:val="00857480"/>
    <w:rsid w:val="008720AE"/>
    <w:rsid w:val="00895C30"/>
    <w:rsid w:val="008A6DD6"/>
    <w:rsid w:val="008C05AE"/>
    <w:rsid w:val="008C3339"/>
    <w:rsid w:val="008D4727"/>
    <w:rsid w:val="008F0945"/>
    <w:rsid w:val="009024EA"/>
    <w:rsid w:val="00932098"/>
    <w:rsid w:val="00955F85"/>
    <w:rsid w:val="00965208"/>
    <w:rsid w:val="00985C6F"/>
    <w:rsid w:val="009914D4"/>
    <w:rsid w:val="009966B5"/>
    <w:rsid w:val="009A036C"/>
    <w:rsid w:val="009B2E0E"/>
    <w:rsid w:val="009B31C0"/>
    <w:rsid w:val="009C6111"/>
    <w:rsid w:val="009C7596"/>
    <w:rsid w:val="009D2129"/>
    <w:rsid w:val="009F4BA0"/>
    <w:rsid w:val="00A1115B"/>
    <w:rsid w:val="00A2547B"/>
    <w:rsid w:val="00A308FE"/>
    <w:rsid w:val="00A316DA"/>
    <w:rsid w:val="00A3424A"/>
    <w:rsid w:val="00A41AB9"/>
    <w:rsid w:val="00A50E53"/>
    <w:rsid w:val="00A5690C"/>
    <w:rsid w:val="00A67583"/>
    <w:rsid w:val="00A67CE1"/>
    <w:rsid w:val="00A74344"/>
    <w:rsid w:val="00A74F28"/>
    <w:rsid w:val="00A8157D"/>
    <w:rsid w:val="00A83924"/>
    <w:rsid w:val="00A954A3"/>
    <w:rsid w:val="00AA797D"/>
    <w:rsid w:val="00AB5285"/>
    <w:rsid w:val="00AE0180"/>
    <w:rsid w:val="00AE439F"/>
    <w:rsid w:val="00AF2F49"/>
    <w:rsid w:val="00B0434F"/>
    <w:rsid w:val="00B07DA5"/>
    <w:rsid w:val="00B234B4"/>
    <w:rsid w:val="00B241BE"/>
    <w:rsid w:val="00B24246"/>
    <w:rsid w:val="00B2529A"/>
    <w:rsid w:val="00B41B7C"/>
    <w:rsid w:val="00B50812"/>
    <w:rsid w:val="00B5556C"/>
    <w:rsid w:val="00B60F15"/>
    <w:rsid w:val="00B877CE"/>
    <w:rsid w:val="00B879A1"/>
    <w:rsid w:val="00BA1B20"/>
    <w:rsid w:val="00BA5F70"/>
    <w:rsid w:val="00BC194D"/>
    <w:rsid w:val="00C07199"/>
    <w:rsid w:val="00C079AE"/>
    <w:rsid w:val="00C16F7C"/>
    <w:rsid w:val="00C32C25"/>
    <w:rsid w:val="00C35D31"/>
    <w:rsid w:val="00C41CC7"/>
    <w:rsid w:val="00C43386"/>
    <w:rsid w:val="00C4343A"/>
    <w:rsid w:val="00C52DA9"/>
    <w:rsid w:val="00C54C98"/>
    <w:rsid w:val="00C615CA"/>
    <w:rsid w:val="00C625DD"/>
    <w:rsid w:val="00C62B94"/>
    <w:rsid w:val="00C82C89"/>
    <w:rsid w:val="00CA3FA4"/>
    <w:rsid w:val="00CA7BEB"/>
    <w:rsid w:val="00CE2C7D"/>
    <w:rsid w:val="00D004D7"/>
    <w:rsid w:val="00D02243"/>
    <w:rsid w:val="00D14457"/>
    <w:rsid w:val="00D2763B"/>
    <w:rsid w:val="00D363AA"/>
    <w:rsid w:val="00D56131"/>
    <w:rsid w:val="00D643C1"/>
    <w:rsid w:val="00D7753F"/>
    <w:rsid w:val="00D81F35"/>
    <w:rsid w:val="00DA48BC"/>
    <w:rsid w:val="00DD59A6"/>
    <w:rsid w:val="00DE222A"/>
    <w:rsid w:val="00DE4C1F"/>
    <w:rsid w:val="00E1164D"/>
    <w:rsid w:val="00E23D38"/>
    <w:rsid w:val="00E547FA"/>
    <w:rsid w:val="00E6037B"/>
    <w:rsid w:val="00E610D2"/>
    <w:rsid w:val="00E65604"/>
    <w:rsid w:val="00E67FB7"/>
    <w:rsid w:val="00E72619"/>
    <w:rsid w:val="00E7261A"/>
    <w:rsid w:val="00E81FA7"/>
    <w:rsid w:val="00E94594"/>
    <w:rsid w:val="00E94E68"/>
    <w:rsid w:val="00EA3F86"/>
    <w:rsid w:val="00ED05C0"/>
    <w:rsid w:val="00ED23B3"/>
    <w:rsid w:val="00EE5E5B"/>
    <w:rsid w:val="00EF18A4"/>
    <w:rsid w:val="00EF7191"/>
    <w:rsid w:val="00F07119"/>
    <w:rsid w:val="00F10ABE"/>
    <w:rsid w:val="00F33D1C"/>
    <w:rsid w:val="00F342D3"/>
    <w:rsid w:val="00F44369"/>
    <w:rsid w:val="00F4678C"/>
    <w:rsid w:val="00F5292C"/>
    <w:rsid w:val="00F5427B"/>
    <w:rsid w:val="00F60822"/>
    <w:rsid w:val="00F62DE6"/>
    <w:rsid w:val="00F63005"/>
    <w:rsid w:val="00F63F5C"/>
    <w:rsid w:val="00F64BDA"/>
    <w:rsid w:val="00F83BA2"/>
    <w:rsid w:val="00FB113D"/>
    <w:rsid w:val="00FB5CDF"/>
    <w:rsid w:val="00FD7597"/>
    <w:rsid w:val="00FE0858"/>
    <w:rsid w:val="00FF560B"/>
    <w:rsid w:val="00FF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9A1"/>
    <w:rPr>
      <w:rFonts w:eastAsia="ヒラギノ角ゴ Pro W3"/>
      <w:color w:val="000000"/>
      <w:sz w:val="24"/>
      <w:szCs w:val="24"/>
    </w:rPr>
  </w:style>
  <w:style w:type="paragraph" w:styleId="Heading1">
    <w:name w:val="heading 1"/>
    <w:basedOn w:val="Normal"/>
    <w:next w:val="Normal"/>
    <w:link w:val="Heading1Char"/>
    <w:qFormat/>
    <w:rsid w:val="00B879A1"/>
    <w:pPr>
      <w:keepNext/>
      <w:keepLines/>
      <w:numPr>
        <w:numId w:val="6"/>
      </w:numPr>
      <w:spacing w:before="120"/>
      <w:outlineLvl w:val="0"/>
    </w:pPr>
    <w:rPr>
      <w:rFonts w:eastAsiaTheme="majorEastAsia" w:cstheme="majorBidi"/>
      <w:b/>
      <w:bCs/>
      <w:color w:val="auto"/>
      <w:sz w:val="28"/>
      <w:szCs w:val="28"/>
    </w:rPr>
  </w:style>
  <w:style w:type="paragraph" w:styleId="Heading2">
    <w:name w:val="heading 2"/>
    <w:basedOn w:val="Normal"/>
    <w:next w:val="Normal"/>
    <w:link w:val="Heading2Char"/>
    <w:qFormat/>
    <w:rsid w:val="00B879A1"/>
    <w:pPr>
      <w:keepNext/>
      <w:keepLines/>
      <w:numPr>
        <w:numId w:val="8"/>
      </w:numPr>
      <w:outlineLvl w:val="1"/>
    </w:pPr>
    <w:rPr>
      <w:rFonts w:eastAsiaTheme="majorEastAsia" w:cstheme="majorBidi"/>
      <w:b/>
      <w:bCs/>
      <w:color w:val="000000" w:themeColor="text1"/>
      <w:szCs w:val="26"/>
    </w:rPr>
  </w:style>
  <w:style w:type="paragraph" w:styleId="Heading3">
    <w:name w:val="heading 3"/>
    <w:basedOn w:val="Normal"/>
    <w:next w:val="Normal"/>
    <w:link w:val="Heading3Char"/>
    <w:qFormat/>
    <w:rsid w:val="00B879A1"/>
    <w:pPr>
      <w:keepNext/>
      <w:keepLines/>
      <w:ind w:left="1440"/>
      <w:outlineLvl w:val="2"/>
    </w:pPr>
    <w:rPr>
      <w:rFonts w:eastAsiaTheme="majorEastAsia" w:cstheme="majorBidi"/>
      <w:b/>
      <w:bCs/>
      <w:color w:val="auto"/>
    </w:rPr>
  </w:style>
  <w:style w:type="paragraph" w:styleId="Heading4">
    <w:name w:val="heading 4"/>
    <w:basedOn w:val="Normal"/>
    <w:next w:val="Normal"/>
    <w:link w:val="Heading4Char"/>
    <w:qFormat/>
    <w:rsid w:val="00B879A1"/>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879A1"/>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879A1"/>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879A1"/>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879A1"/>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879A1"/>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9A1"/>
    <w:rPr>
      <w:rFonts w:eastAsiaTheme="majorEastAsia" w:cstheme="majorBidi"/>
      <w:b/>
      <w:bCs/>
      <w:sz w:val="28"/>
      <w:szCs w:val="28"/>
    </w:rPr>
  </w:style>
  <w:style w:type="character" w:customStyle="1" w:styleId="Heading2Char">
    <w:name w:val="Heading 2 Char"/>
    <w:basedOn w:val="DefaultParagraphFont"/>
    <w:link w:val="Heading2"/>
    <w:rsid w:val="00B879A1"/>
    <w:rPr>
      <w:rFonts w:eastAsiaTheme="majorEastAsia" w:cstheme="majorBidi"/>
      <w:b/>
      <w:bCs/>
      <w:color w:val="000000" w:themeColor="text1"/>
      <w:sz w:val="24"/>
      <w:szCs w:val="26"/>
    </w:rPr>
  </w:style>
  <w:style w:type="character" w:customStyle="1" w:styleId="Heading3Char">
    <w:name w:val="Heading 3 Char"/>
    <w:basedOn w:val="DefaultParagraphFont"/>
    <w:link w:val="Heading3"/>
    <w:rsid w:val="00B879A1"/>
    <w:rPr>
      <w:rFonts w:eastAsiaTheme="majorEastAsia" w:cstheme="majorBidi"/>
      <w:b/>
      <w:bCs/>
      <w:sz w:val="24"/>
      <w:szCs w:val="24"/>
    </w:rPr>
  </w:style>
  <w:style w:type="character" w:customStyle="1" w:styleId="Heading4Char">
    <w:name w:val="Heading 4 Char"/>
    <w:basedOn w:val="DefaultParagraphFont"/>
    <w:link w:val="Heading4"/>
    <w:rsid w:val="00B879A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B879A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B879A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B879A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B879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B879A1"/>
    <w:rPr>
      <w:rFonts w:asciiTheme="majorHAnsi" w:eastAsiaTheme="majorEastAsia" w:hAnsiTheme="majorHAnsi" w:cstheme="majorBidi"/>
      <w:i/>
      <w:iCs/>
      <w:color w:val="404040" w:themeColor="text1" w:themeTint="BF"/>
    </w:rPr>
  </w:style>
  <w:style w:type="paragraph" w:customStyle="1" w:styleId="Header1">
    <w:name w:val="Header1"/>
    <w:rsid w:val="00B879A1"/>
    <w:pPr>
      <w:tabs>
        <w:tab w:val="center" w:pos="4680"/>
        <w:tab w:val="right" w:pos="9360"/>
      </w:tabs>
    </w:pPr>
    <w:rPr>
      <w:rFonts w:eastAsia="ヒラギノ角ゴ Pro W3"/>
      <w:color w:val="000000"/>
      <w:sz w:val="24"/>
    </w:rPr>
  </w:style>
  <w:style w:type="paragraph" w:styleId="ListParagraph">
    <w:name w:val="List Paragraph"/>
    <w:uiPriority w:val="34"/>
    <w:qFormat/>
    <w:rsid w:val="00B879A1"/>
    <w:pPr>
      <w:ind w:left="720"/>
    </w:pPr>
    <w:rPr>
      <w:rFonts w:eastAsia="ヒラギノ角ゴ Pro W3"/>
      <w:color w:val="000000"/>
      <w:sz w:val="24"/>
    </w:rPr>
  </w:style>
  <w:style w:type="character" w:customStyle="1" w:styleId="FootnoteReference1">
    <w:name w:val="Footnote Reference1"/>
    <w:autoRedefine/>
    <w:rsid w:val="00B879A1"/>
    <w:rPr>
      <w:color w:val="000000"/>
      <w:sz w:val="20"/>
      <w:vertAlign w:val="superscript"/>
    </w:rPr>
  </w:style>
  <w:style w:type="paragraph" w:customStyle="1" w:styleId="FootnoteText1">
    <w:name w:val="Footnote Text1"/>
    <w:rsid w:val="00B879A1"/>
    <w:rPr>
      <w:rFonts w:eastAsia="ヒラギノ角ゴ Pro W3"/>
      <w:color w:val="000000"/>
    </w:rPr>
  </w:style>
  <w:style w:type="paragraph" w:customStyle="1" w:styleId="FootnoteText11">
    <w:name w:val="Footnote Text11"/>
    <w:rsid w:val="00B879A1"/>
    <w:rPr>
      <w:rFonts w:ascii="Helvetica" w:eastAsia="ヒラギノ角ゴ Pro W3" w:hAnsi="Helvetica"/>
      <w:color w:val="000000"/>
    </w:rPr>
  </w:style>
  <w:style w:type="paragraph" w:customStyle="1" w:styleId="LightGrid-Accent11">
    <w:name w:val="Light Grid - Accent 11"/>
    <w:rsid w:val="00B879A1"/>
    <w:rPr>
      <w:rFonts w:eastAsia="ヒラギノ角ゴ Pro W3"/>
      <w:color w:val="000000"/>
    </w:rPr>
  </w:style>
  <w:style w:type="character" w:customStyle="1" w:styleId="Hyperlink1">
    <w:name w:val="Hyperlink1"/>
    <w:rsid w:val="00B879A1"/>
    <w:rPr>
      <w:color w:val="0000FF"/>
      <w:sz w:val="20"/>
      <w:u w:val="single"/>
    </w:rPr>
  </w:style>
  <w:style w:type="paragraph" w:customStyle="1" w:styleId="TableGrid1">
    <w:name w:val="Table Grid1"/>
    <w:rsid w:val="00B879A1"/>
    <w:rPr>
      <w:rFonts w:eastAsia="ヒラギノ角ゴ Pro W3"/>
      <w:color w:val="000000"/>
    </w:rPr>
  </w:style>
  <w:style w:type="character" w:styleId="CommentReference">
    <w:name w:val="annotation reference"/>
    <w:basedOn w:val="DefaultParagraphFont"/>
    <w:uiPriority w:val="99"/>
    <w:rsid w:val="00B879A1"/>
    <w:rPr>
      <w:sz w:val="16"/>
      <w:szCs w:val="16"/>
    </w:rPr>
  </w:style>
  <w:style w:type="paragraph" w:styleId="CommentText">
    <w:name w:val="annotation text"/>
    <w:basedOn w:val="Normal"/>
    <w:link w:val="CommentTextChar"/>
    <w:uiPriority w:val="99"/>
    <w:rsid w:val="00B879A1"/>
    <w:rPr>
      <w:sz w:val="20"/>
      <w:szCs w:val="20"/>
    </w:rPr>
  </w:style>
  <w:style w:type="character" w:customStyle="1" w:styleId="CommentTextChar">
    <w:name w:val="Comment Text Char"/>
    <w:basedOn w:val="DefaultParagraphFont"/>
    <w:link w:val="CommentText"/>
    <w:uiPriority w:val="99"/>
    <w:rsid w:val="00B879A1"/>
    <w:rPr>
      <w:rFonts w:eastAsia="ヒラギノ角ゴ Pro W3"/>
      <w:color w:val="000000"/>
    </w:rPr>
  </w:style>
  <w:style w:type="character" w:styleId="Hyperlink">
    <w:name w:val="Hyperlink"/>
    <w:basedOn w:val="DefaultParagraphFont"/>
    <w:uiPriority w:val="99"/>
    <w:rsid w:val="00B879A1"/>
    <w:rPr>
      <w:color w:val="0000FF" w:themeColor="hyperlink"/>
      <w:u w:val="single"/>
    </w:rPr>
  </w:style>
  <w:style w:type="character" w:styleId="FootnoteReference">
    <w:name w:val="footnote reference"/>
    <w:uiPriority w:val="99"/>
    <w:rsid w:val="00B879A1"/>
    <w:rPr>
      <w:vertAlign w:val="superscript"/>
    </w:rPr>
  </w:style>
  <w:style w:type="paragraph" w:styleId="FootnoteText">
    <w:name w:val="footnote text"/>
    <w:basedOn w:val="Normal"/>
    <w:link w:val="FootnoteTextChar"/>
    <w:uiPriority w:val="99"/>
    <w:rsid w:val="00B879A1"/>
    <w:pPr>
      <w:widowControl w:val="0"/>
    </w:pPr>
    <w:rPr>
      <w:rFonts w:asciiTheme="minorHAnsi" w:eastAsia="Times New Roman" w:hAnsiTheme="minorHAnsi"/>
      <w:snapToGrid w:val="0"/>
      <w:color w:val="auto"/>
      <w:szCs w:val="20"/>
    </w:rPr>
  </w:style>
  <w:style w:type="character" w:customStyle="1" w:styleId="FootnoteTextChar">
    <w:name w:val="Footnote Text Char"/>
    <w:basedOn w:val="DefaultParagraphFont"/>
    <w:link w:val="FootnoteText"/>
    <w:uiPriority w:val="99"/>
    <w:rsid w:val="00B879A1"/>
    <w:rPr>
      <w:rFonts w:asciiTheme="minorHAnsi" w:hAnsiTheme="minorHAnsi"/>
      <w:snapToGrid w:val="0"/>
      <w:sz w:val="24"/>
    </w:rPr>
  </w:style>
  <w:style w:type="paragraph" w:styleId="BalloonText">
    <w:name w:val="Balloon Text"/>
    <w:basedOn w:val="Normal"/>
    <w:link w:val="BalloonTextChar"/>
    <w:rsid w:val="00B879A1"/>
    <w:rPr>
      <w:rFonts w:ascii="Tahoma" w:hAnsi="Tahoma" w:cs="Tahoma"/>
      <w:sz w:val="16"/>
      <w:szCs w:val="16"/>
    </w:rPr>
  </w:style>
  <w:style w:type="character" w:customStyle="1" w:styleId="BalloonTextChar">
    <w:name w:val="Balloon Text Char"/>
    <w:basedOn w:val="DefaultParagraphFont"/>
    <w:link w:val="BalloonText"/>
    <w:rsid w:val="00B879A1"/>
    <w:rPr>
      <w:rFonts w:ascii="Tahoma" w:eastAsia="ヒラギノ角ゴ Pro W3" w:hAnsi="Tahoma" w:cs="Tahoma"/>
      <w:color w:val="000000"/>
      <w:sz w:val="16"/>
      <w:szCs w:val="16"/>
    </w:rPr>
  </w:style>
  <w:style w:type="character" w:customStyle="1" w:styleId="apple-converted-space">
    <w:name w:val="apple-converted-space"/>
    <w:basedOn w:val="DefaultParagraphFont"/>
    <w:rsid w:val="00B5556C"/>
  </w:style>
  <w:style w:type="character" w:styleId="Strong">
    <w:name w:val="Strong"/>
    <w:basedOn w:val="DefaultParagraphFont"/>
    <w:uiPriority w:val="22"/>
    <w:qFormat/>
    <w:rsid w:val="00B5556C"/>
    <w:rPr>
      <w:b/>
      <w:bCs/>
    </w:rPr>
  </w:style>
  <w:style w:type="paragraph" w:styleId="NormalWeb">
    <w:name w:val="Normal (Web)"/>
    <w:basedOn w:val="Normal"/>
    <w:uiPriority w:val="99"/>
    <w:unhideWhenUsed/>
    <w:rsid w:val="00425217"/>
    <w:pPr>
      <w:spacing w:before="100" w:beforeAutospacing="1" w:after="100" w:afterAutospacing="1"/>
    </w:pPr>
    <w:rPr>
      <w:rFonts w:eastAsia="Times New Roman"/>
      <w:color w:val="auto"/>
    </w:rPr>
  </w:style>
  <w:style w:type="character" w:styleId="Emphasis">
    <w:name w:val="Emphasis"/>
    <w:basedOn w:val="DefaultParagraphFont"/>
    <w:uiPriority w:val="20"/>
    <w:qFormat/>
    <w:rsid w:val="00425217"/>
    <w:rPr>
      <w:i/>
      <w:iCs/>
    </w:rPr>
  </w:style>
  <w:style w:type="character" w:customStyle="1" w:styleId="smallcaps">
    <w:name w:val="smallcaps"/>
    <w:basedOn w:val="DefaultParagraphFont"/>
    <w:rsid w:val="00425217"/>
  </w:style>
  <w:style w:type="paragraph" w:customStyle="1" w:styleId="address">
    <w:name w:val="address"/>
    <w:basedOn w:val="Normal"/>
    <w:rsid w:val="00B60F15"/>
    <w:pPr>
      <w:spacing w:before="100" w:beforeAutospacing="1" w:after="100" w:afterAutospacing="1"/>
    </w:pPr>
    <w:rPr>
      <w:rFonts w:eastAsia="Times New Roman"/>
      <w:color w:val="auto"/>
    </w:rPr>
  </w:style>
  <w:style w:type="paragraph" w:customStyle="1" w:styleId="center">
    <w:name w:val="center"/>
    <w:basedOn w:val="Normal"/>
    <w:rsid w:val="00B60F15"/>
    <w:pPr>
      <w:spacing w:before="100" w:beforeAutospacing="1" w:after="100" w:afterAutospacing="1"/>
    </w:pPr>
    <w:rPr>
      <w:rFonts w:eastAsia="Times New Roman"/>
      <w:color w:val="auto"/>
    </w:rPr>
  </w:style>
  <w:style w:type="paragraph" w:styleId="CommentSubject">
    <w:name w:val="annotation subject"/>
    <w:basedOn w:val="CommentText"/>
    <w:next w:val="CommentText"/>
    <w:link w:val="CommentSubjectChar"/>
    <w:rsid w:val="00F64BDA"/>
    <w:rPr>
      <w:b/>
      <w:bCs/>
    </w:rPr>
  </w:style>
  <w:style w:type="character" w:customStyle="1" w:styleId="CommentSubjectChar">
    <w:name w:val="Comment Subject Char"/>
    <w:basedOn w:val="CommentTextChar"/>
    <w:link w:val="CommentSubject"/>
    <w:rsid w:val="00F64BDA"/>
    <w:rPr>
      <w:rFonts w:eastAsia="ヒラギノ角ゴ Pro W3"/>
      <w:b/>
      <w:bCs/>
      <w:color w:val="000000"/>
    </w:rPr>
  </w:style>
  <w:style w:type="paragraph" w:styleId="Footer">
    <w:name w:val="footer"/>
    <w:basedOn w:val="Normal"/>
    <w:link w:val="FooterChar"/>
    <w:uiPriority w:val="99"/>
    <w:rsid w:val="00C32C25"/>
    <w:pPr>
      <w:tabs>
        <w:tab w:val="center" w:pos="4680"/>
        <w:tab w:val="right" w:pos="9360"/>
      </w:tabs>
    </w:pPr>
  </w:style>
  <w:style w:type="character" w:customStyle="1" w:styleId="FooterChar">
    <w:name w:val="Footer Char"/>
    <w:basedOn w:val="DefaultParagraphFont"/>
    <w:link w:val="Footer"/>
    <w:uiPriority w:val="99"/>
    <w:rsid w:val="00C32C25"/>
    <w:rPr>
      <w:rFonts w:eastAsia="ヒラギノ角ゴ Pro W3"/>
      <w:color w:val="000000"/>
      <w:sz w:val="24"/>
      <w:szCs w:val="24"/>
    </w:rPr>
  </w:style>
  <w:style w:type="paragraph" w:styleId="Header">
    <w:name w:val="header"/>
    <w:basedOn w:val="Normal"/>
    <w:link w:val="HeaderChar"/>
    <w:rsid w:val="00C32C25"/>
    <w:pPr>
      <w:tabs>
        <w:tab w:val="center" w:pos="4680"/>
        <w:tab w:val="right" w:pos="9360"/>
      </w:tabs>
    </w:pPr>
  </w:style>
  <w:style w:type="character" w:customStyle="1" w:styleId="HeaderChar">
    <w:name w:val="Header Char"/>
    <w:basedOn w:val="DefaultParagraphFont"/>
    <w:link w:val="Header"/>
    <w:rsid w:val="00C32C25"/>
    <w:rPr>
      <w:rFonts w:eastAsia="ヒラギノ角ゴ Pro W3"/>
      <w:color w:val="000000"/>
      <w:sz w:val="24"/>
      <w:szCs w:val="24"/>
    </w:rPr>
  </w:style>
  <w:style w:type="paragraph" w:styleId="Revision">
    <w:name w:val="Revision"/>
    <w:hidden/>
    <w:uiPriority w:val="99"/>
    <w:semiHidden/>
    <w:rsid w:val="005450C9"/>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9A1"/>
    <w:rPr>
      <w:rFonts w:eastAsia="ヒラギノ角ゴ Pro W3"/>
      <w:color w:val="000000"/>
      <w:sz w:val="24"/>
      <w:szCs w:val="24"/>
    </w:rPr>
  </w:style>
  <w:style w:type="paragraph" w:styleId="Heading1">
    <w:name w:val="heading 1"/>
    <w:basedOn w:val="Normal"/>
    <w:next w:val="Normal"/>
    <w:link w:val="Heading1Char"/>
    <w:qFormat/>
    <w:rsid w:val="00B879A1"/>
    <w:pPr>
      <w:keepNext/>
      <w:keepLines/>
      <w:numPr>
        <w:numId w:val="6"/>
      </w:numPr>
      <w:spacing w:before="120"/>
      <w:outlineLvl w:val="0"/>
    </w:pPr>
    <w:rPr>
      <w:rFonts w:eastAsiaTheme="majorEastAsia" w:cstheme="majorBidi"/>
      <w:b/>
      <w:bCs/>
      <w:color w:val="auto"/>
      <w:sz w:val="28"/>
      <w:szCs w:val="28"/>
    </w:rPr>
  </w:style>
  <w:style w:type="paragraph" w:styleId="Heading2">
    <w:name w:val="heading 2"/>
    <w:basedOn w:val="Normal"/>
    <w:next w:val="Normal"/>
    <w:link w:val="Heading2Char"/>
    <w:qFormat/>
    <w:rsid w:val="00B879A1"/>
    <w:pPr>
      <w:keepNext/>
      <w:keepLines/>
      <w:numPr>
        <w:numId w:val="8"/>
      </w:numPr>
      <w:outlineLvl w:val="1"/>
    </w:pPr>
    <w:rPr>
      <w:rFonts w:eastAsiaTheme="majorEastAsia" w:cstheme="majorBidi"/>
      <w:b/>
      <w:bCs/>
      <w:color w:val="000000" w:themeColor="text1"/>
      <w:szCs w:val="26"/>
    </w:rPr>
  </w:style>
  <w:style w:type="paragraph" w:styleId="Heading3">
    <w:name w:val="heading 3"/>
    <w:basedOn w:val="Normal"/>
    <w:next w:val="Normal"/>
    <w:link w:val="Heading3Char"/>
    <w:qFormat/>
    <w:rsid w:val="00B879A1"/>
    <w:pPr>
      <w:keepNext/>
      <w:keepLines/>
      <w:ind w:left="1440"/>
      <w:outlineLvl w:val="2"/>
    </w:pPr>
    <w:rPr>
      <w:rFonts w:eastAsiaTheme="majorEastAsia" w:cstheme="majorBidi"/>
      <w:b/>
      <w:bCs/>
      <w:color w:val="auto"/>
    </w:rPr>
  </w:style>
  <w:style w:type="paragraph" w:styleId="Heading4">
    <w:name w:val="heading 4"/>
    <w:basedOn w:val="Normal"/>
    <w:next w:val="Normal"/>
    <w:link w:val="Heading4Char"/>
    <w:qFormat/>
    <w:rsid w:val="00B879A1"/>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879A1"/>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879A1"/>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879A1"/>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879A1"/>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879A1"/>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9A1"/>
    <w:rPr>
      <w:rFonts w:eastAsiaTheme="majorEastAsia" w:cstheme="majorBidi"/>
      <w:b/>
      <w:bCs/>
      <w:sz w:val="28"/>
      <w:szCs w:val="28"/>
    </w:rPr>
  </w:style>
  <w:style w:type="character" w:customStyle="1" w:styleId="Heading2Char">
    <w:name w:val="Heading 2 Char"/>
    <w:basedOn w:val="DefaultParagraphFont"/>
    <w:link w:val="Heading2"/>
    <w:rsid w:val="00B879A1"/>
    <w:rPr>
      <w:rFonts w:eastAsiaTheme="majorEastAsia" w:cstheme="majorBidi"/>
      <w:b/>
      <w:bCs/>
      <w:color w:val="000000" w:themeColor="text1"/>
      <w:sz w:val="24"/>
      <w:szCs w:val="26"/>
    </w:rPr>
  </w:style>
  <w:style w:type="character" w:customStyle="1" w:styleId="Heading3Char">
    <w:name w:val="Heading 3 Char"/>
    <w:basedOn w:val="DefaultParagraphFont"/>
    <w:link w:val="Heading3"/>
    <w:rsid w:val="00B879A1"/>
    <w:rPr>
      <w:rFonts w:eastAsiaTheme="majorEastAsia" w:cstheme="majorBidi"/>
      <w:b/>
      <w:bCs/>
      <w:sz w:val="24"/>
      <w:szCs w:val="24"/>
    </w:rPr>
  </w:style>
  <w:style w:type="character" w:customStyle="1" w:styleId="Heading4Char">
    <w:name w:val="Heading 4 Char"/>
    <w:basedOn w:val="DefaultParagraphFont"/>
    <w:link w:val="Heading4"/>
    <w:rsid w:val="00B879A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B879A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B879A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B879A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B879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B879A1"/>
    <w:rPr>
      <w:rFonts w:asciiTheme="majorHAnsi" w:eastAsiaTheme="majorEastAsia" w:hAnsiTheme="majorHAnsi" w:cstheme="majorBidi"/>
      <w:i/>
      <w:iCs/>
      <w:color w:val="404040" w:themeColor="text1" w:themeTint="BF"/>
    </w:rPr>
  </w:style>
  <w:style w:type="paragraph" w:customStyle="1" w:styleId="Header1">
    <w:name w:val="Header1"/>
    <w:rsid w:val="00B879A1"/>
    <w:pPr>
      <w:tabs>
        <w:tab w:val="center" w:pos="4680"/>
        <w:tab w:val="right" w:pos="9360"/>
      </w:tabs>
    </w:pPr>
    <w:rPr>
      <w:rFonts w:eastAsia="ヒラギノ角ゴ Pro W3"/>
      <w:color w:val="000000"/>
      <w:sz w:val="24"/>
    </w:rPr>
  </w:style>
  <w:style w:type="paragraph" w:styleId="ListParagraph">
    <w:name w:val="List Paragraph"/>
    <w:uiPriority w:val="34"/>
    <w:qFormat/>
    <w:rsid w:val="00B879A1"/>
    <w:pPr>
      <w:ind w:left="720"/>
    </w:pPr>
    <w:rPr>
      <w:rFonts w:eastAsia="ヒラギノ角ゴ Pro W3"/>
      <w:color w:val="000000"/>
      <w:sz w:val="24"/>
    </w:rPr>
  </w:style>
  <w:style w:type="character" w:customStyle="1" w:styleId="FootnoteReference1">
    <w:name w:val="Footnote Reference1"/>
    <w:autoRedefine/>
    <w:rsid w:val="00B879A1"/>
    <w:rPr>
      <w:color w:val="000000"/>
      <w:sz w:val="20"/>
      <w:vertAlign w:val="superscript"/>
    </w:rPr>
  </w:style>
  <w:style w:type="paragraph" w:customStyle="1" w:styleId="FootnoteText1">
    <w:name w:val="Footnote Text1"/>
    <w:rsid w:val="00B879A1"/>
    <w:rPr>
      <w:rFonts w:eastAsia="ヒラギノ角ゴ Pro W3"/>
      <w:color w:val="000000"/>
    </w:rPr>
  </w:style>
  <w:style w:type="paragraph" w:customStyle="1" w:styleId="FootnoteText11">
    <w:name w:val="Footnote Text11"/>
    <w:rsid w:val="00B879A1"/>
    <w:rPr>
      <w:rFonts w:ascii="Helvetica" w:eastAsia="ヒラギノ角ゴ Pro W3" w:hAnsi="Helvetica"/>
      <w:color w:val="000000"/>
    </w:rPr>
  </w:style>
  <w:style w:type="paragraph" w:customStyle="1" w:styleId="LightGrid-Accent11">
    <w:name w:val="Light Grid - Accent 11"/>
    <w:rsid w:val="00B879A1"/>
    <w:rPr>
      <w:rFonts w:eastAsia="ヒラギノ角ゴ Pro W3"/>
      <w:color w:val="000000"/>
    </w:rPr>
  </w:style>
  <w:style w:type="character" w:customStyle="1" w:styleId="Hyperlink1">
    <w:name w:val="Hyperlink1"/>
    <w:rsid w:val="00B879A1"/>
    <w:rPr>
      <w:color w:val="0000FF"/>
      <w:sz w:val="20"/>
      <w:u w:val="single"/>
    </w:rPr>
  </w:style>
  <w:style w:type="paragraph" w:customStyle="1" w:styleId="TableGrid1">
    <w:name w:val="Table Grid1"/>
    <w:rsid w:val="00B879A1"/>
    <w:rPr>
      <w:rFonts w:eastAsia="ヒラギノ角ゴ Pro W3"/>
      <w:color w:val="000000"/>
    </w:rPr>
  </w:style>
  <w:style w:type="character" w:styleId="CommentReference">
    <w:name w:val="annotation reference"/>
    <w:basedOn w:val="DefaultParagraphFont"/>
    <w:uiPriority w:val="99"/>
    <w:rsid w:val="00B879A1"/>
    <w:rPr>
      <w:sz w:val="16"/>
      <w:szCs w:val="16"/>
    </w:rPr>
  </w:style>
  <w:style w:type="paragraph" w:styleId="CommentText">
    <w:name w:val="annotation text"/>
    <w:basedOn w:val="Normal"/>
    <w:link w:val="CommentTextChar"/>
    <w:uiPriority w:val="99"/>
    <w:rsid w:val="00B879A1"/>
    <w:rPr>
      <w:sz w:val="20"/>
      <w:szCs w:val="20"/>
    </w:rPr>
  </w:style>
  <w:style w:type="character" w:customStyle="1" w:styleId="CommentTextChar">
    <w:name w:val="Comment Text Char"/>
    <w:basedOn w:val="DefaultParagraphFont"/>
    <w:link w:val="CommentText"/>
    <w:uiPriority w:val="99"/>
    <w:rsid w:val="00B879A1"/>
    <w:rPr>
      <w:rFonts w:eastAsia="ヒラギノ角ゴ Pro W3"/>
      <w:color w:val="000000"/>
    </w:rPr>
  </w:style>
  <w:style w:type="character" w:styleId="Hyperlink">
    <w:name w:val="Hyperlink"/>
    <w:basedOn w:val="DefaultParagraphFont"/>
    <w:uiPriority w:val="99"/>
    <w:rsid w:val="00B879A1"/>
    <w:rPr>
      <w:color w:val="0000FF" w:themeColor="hyperlink"/>
      <w:u w:val="single"/>
    </w:rPr>
  </w:style>
  <w:style w:type="character" w:styleId="FootnoteReference">
    <w:name w:val="footnote reference"/>
    <w:uiPriority w:val="99"/>
    <w:rsid w:val="00B879A1"/>
    <w:rPr>
      <w:vertAlign w:val="superscript"/>
    </w:rPr>
  </w:style>
  <w:style w:type="paragraph" w:styleId="FootnoteText">
    <w:name w:val="footnote text"/>
    <w:basedOn w:val="Normal"/>
    <w:link w:val="FootnoteTextChar"/>
    <w:uiPriority w:val="99"/>
    <w:rsid w:val="00B879A1"/>
    <w:pPr>
      <w:widowControl w:val="0"/>
    </w:pPr>
    <w:rPr>
      <w:rFonts w:asciiTheme="minorHAnsi" w:eastAsia="Times New Roman" w:hAnsiTheme="minorHAnsi"/>
      <w:snapToGrid w:val="0"/>
      <w:color w:val="auto"/>
      <w:szCs w:val="20"/>
    </w:rPr>
  </w:style>
  <w:style w:type="character" w:customStyle="1" w:styleId="FootnoteTextChar">
    <w:name w:val="Footnote Text Char"/>
    <w:basedOn w:val="DefaultParagraphFont"/>
    <w:link w:val="FootnoteText"/>
    <w:uiPriority w:val="99"/>
    <w:rsid w:val="00B879A1"/>
    <w:rPr>
      <w:rFonts w:asciiTheme="minorHAnsi" w:hAnsiTheme="minorHAnsi"/>
      <w:snapToGrid w:val="0"/>
      <w:sz w:val="24"/>
    </w:rPr>
  </w:style>
  <w:style w:type="paragraph" w:styleId="BalloonText">
    <w:name w:val="Balloon Text"/>
    <w:basedOn w:val="Normal"/>
    <w:link w:val="BalloonTextChar"/>
    <w:rsid w:val="00B879A1"/>
    <w:rPr>
      <w:rFonts w:ascii="Tahoma" w:hAnsi="Tahoma" w:cs="Tahoma"/>
      <w:sz w:val="16"/>
      <w:szCs w:val="16"/>
    </w:rPr>
  </w:style>
  <w:style w:type="character" w:customStyle="1" w:styleId="BalloonTextChar">
    <w:name w:val="Balloon Text Char"/>
    <w:basedOn w:val="DefaultParagraphFont"/>
    <w:link w:val="BalloonText"/>
    <w:rsid w:val="00B879A1"/>
    <w:rPr>
      <w:rFonts w:ascii="Tahoma" w:eastAsia="ヒラギノ角ゴ Pro W3" w:hAnsi="Tahoma" w:cs="Tahoma"/>
      <w:color w:val="000000"/>
      <w:sz w:val="16"/>
      <w:szCs w:val="16"/>
    </w:rPr>
  </w:style>
  <w:style w:type="character" w:customStyle="1" w:styleId="apple-converted-space">
    <w:name w:val="apple-converted-space"/>
    <w:basedOn w:val="DefaultParagraphFont"/>
    <w:rsid w:val="00B5556C"/>
  </w:style>
  <w:style w:type="character" w:styleId="Strong">
    <w:name w:val="Strong"/>
    <w:basedOn w:val="DefaultParagraphFont"/>
    <w:uiPriority w:val="22"/>
    <w:qFormat/>
    <w:rsid w:val="00B5556C"/>
    <w:rPr>
      <w:b/>
      <w:bCs/>
    </w:rPr>
  </w:style>
  <w:style w:type="paragraph" w:styleId="NormalWeb">
    <w:name w:val="Normal (Web)"/>
    <w:basedOn w:val="Normal"/>
    <w:uiPriority w:val="99"/>
    <w:unhideWhenUsed/>
    <w:rsid w:val="00425217"/>
    <w:pPr>
      <w:spacing w:before="100" w:beforeAutospacing="1" w:after="100" w:afterAutospacing="1"/>
    </w:pPr>
    <w:rPr>
      <w:rFonts w:eastAsia="Times New Roman"/>
      <w:color w:val="auto"/>
    </w:rPr>
  </w:style>
  <w:style w:type="character" w:styleId="Emphasis">
    <w:name w:val="Emphasis"/>
    <w:basedOn w:val="DefaultParagraphFont"/>
    <w:uiPriority w:val="20"/>
    <w:qFormat/>
    <w:rsid w:val="00425217"/>
    <w:rPr>
      <w:i/>
      <w:iCs/>
    </w:rPr>
  </w:style>
  <w:style w:type="character" w:customStyle="1" w:styleId="smallcaps">
    <w:name w:val="smallcaps"/>
    <w:basedOn w:val="DefaultParagraphFont"/>
    <w:rsid w:val="00425217"/>
  </w:style>
  <w:style w:type="paragraph" w:customStyle="1" w:styleId="address">
    <w:name w:val="address"/>
    <w:basedOn w:val="Normal"/>
    <w:rsid w:val="00B60F15"/>
    <w:pPr>
      <w:spacing w:before="100" w:beforeAutospacing="1" w:after="100" w:afterAutospacing="1"/>
    </w:pPr>
    <w:rPr>
      <w:rFonts w:eastAsia="Times New Roman"/>
      <w:color w:val="auto"/>
    </w:rPr>
  </w:style>
  <w:style w:type="paragraph" w:customStyle="1" w:styleId="center">
    <w:name w:val="center"/>
    <w:basedOn w:val="Normal"/>
    <w:rsid w:val="00B60F15"/>
    <w:pPr>
      <w:spacing w:before="100" w:beforeAutospacing="1" w:after="100" w:afterAutospacing="1"/>
    </w:pPr>
    <w:rPr>
      <w:rFonts w:eastAsia="Times New Roman"/>
      <w:color w:val="auto"/>
    </w:rPr>
  </w:style>
  <w:style w:type="paragraph" w:styleId="CommentSubject">
    <w:name w:val="annotation subject"/>
    <w:basedOn w:val="CommentText"/>
    <w:next w:val="CommentText"/>
    <w:link w:val="CommentSubjectChar"/>
    <w:rsid w:val="00F64BDA"/>
    <w:rPr>
      <w:b/>
      <w:bCs/>
    </w:rPr>
  </w:style>
  <w:style w:type="character" w:customStyle="1" w:styleId="CommentSubjectChar">
    <w:name w:val="Comment Subject Char"/>
    <w:basedOn w:val="CommentTextChar"/>
    <w:link w:val="CommentSubject"/>
    <w:rsid w:val="00F64BDA"/>
    <w:rPr>
      <w:rFonts w:eastAsia="ヒラギノ角ゴ Pro W3"/>
      <w:b/>
      <w:bCs/>
      <w:color w:val="000000"/>
    </w:rPr>
  </w:style>
  <w:style w:type="paragraph" w:styleId="Footer">
    <w:name w:val="footer"/>
    <w:basedOn w:val="Normal"/>
    <w:link w:val="FooterChar"/>
    <w:uiPriority w:val="99"/>
    <w:rsid w:val="00C32C25"/>
    <w:pPr>
      <w:tabs>
        <w:tab w:val="center" w:pos="4680"/>
        <w:tab w:val="right" w:pos="9360"/>
      </w:tabs>
    </w:pPr>
  </w:style>
  <w:style w:type="character" w:customStyle="1" w:styleId="FooterChar">
    <w:name w:val="Footer Char"/>
    <w:basedOn w:val="DefaultParagraphFont"/>
    <w:link w:val="Footer"/>
    <w:uiPriority w:val="99"/>
    <w:rsid w:val="00C32C25"/>
    <w:rPr>
      <w:rFonts w:eastAsia="ヒラギノ角ゴ Pro W3"/>
      <w:color w:val="000000"/>
      <w:sz w:val="24"/>
      <w:szCs w:val="24"/>
    </w:rPr>
  </w:style>
  <w:style w:type="paragraph" w:styleId="Header">
    <w:name w:val="header"/>
    <w:basedOn w:val="Normal"/>
    <w:link w:val="HeaderChar"/>
    <w:rsid w:val="00C32C25"/>
    <w:pPr>
      <w:tabs>
        <w:tab w:val="center" w:pos="4680"/>
        <w:tab w:val="right" w:pos="9360"/>
      </w:tabs>
    </w:pPr>
  </w:style>
  <w:style w:type="character" w:customStyle="1" w:styleId="HeaderChar">
    <w:name w:val="Header Char"/>
    <w:basedOn w:val="DefaultParagraphFont"/>
    <w:link w:val="Header"/>
    <w:rsid w:val="00C32C25"/>
    <w:rPr>
      <w:rFonts w:eastAsia="ヒラギノ角ゴ Pro W3"/>
      <w:color w:val="000000"/>
      <w:sz w:val="24"/>
      <w:szCs w:val="24"/>
    </w:rPr>
  </w:style>
  <w:style w:type="paragraph" w:styleId="Revision">
    <w:name w:val="Revision"/>
    <w:hidden/>
    <w:uiPriority w:val="99"/>
    <w:semiHidden/>
    <w:rsid w:val="005450C9"/>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6945">
      <w:bodyDiv w:val="1"/>
      <w:marLeft w:val="0"/>
      <w:marRight w:val="0"/>
      <w:marTop w:val="0"/>
      <w:marBottom w:val="0"/>
      <w:divBdr>
        <w:top w:val="none" w:sz="0" w:space="0" w:color="auto"/>
        <w:left w:val="none" w:sz="0" w:space="0" w:color="auto"/>
        <w:bottom w:val="none" w:sz="0" w:space="0" w:color="auto"/>
        <w:right w:val="none" w:sz="0" w:space="0" w:color="auto"/>
      </w:divBdr>
    </w:div>
    <w:div w:id="453864425">
      <w:bodyDiv w:val="1"/>
      <w:marLeft w:val="0"/>
      <w:marRight w:val="0"/>
      <w:marTop w:val="0"/>
      <w:marBottom w:val="0"/>
      <w:divBdr>
        <w:top w:val="none" w:sz="0" w:space="0" w:color="auto"/>
        <w:left w:val="none" w:sz="0" w:space="0" w:color="auto"/>
        <w:bottom w:val="none" w:sz="0" w:space="0" w:color="auto"/>
        <w:right w:val="none" w:sz="0" w:space="0" w:color="auto"/>
      </w:divBdr>
    </w:div>
    <w:div w:id="725646845">
      <w:bodyDiv w:val="1"/>
      <w:marLeft w:val="0"/>
      <w:marRight w:val="0"/>
      <w:marTop w:val="0"/>
      <w:marBottom w:val="0"/>
      <w:divBdr>
        <w:top w:val="none" w:sz="0" w:space="0" w:color="auto"/>
        <w:left w:val="none" w:sz="0" w:space="0" w:color="auto"/>
        <w:bottom w:val="none" w:sz="0" w:space="0" w:color="auto"/>
        <w:right w:val="none" w:sz="0" w:space="0" w:color="auto"/>
      </w:divBdr>
    </w:div>
    <w:div w:id="1148090786">
      <w:bodyDiv w:val="1"/>
      <w:marLeft w:val="0"/>
      <w:marRight w:val="0"/>
      <w:marTop w:val="0"/>
      <w:marBottom w:val="0"/>
      <w:divBdr>
        <w:top w:val="none" w:sz="0" w:space="0" w:color="auto"/>
        <w:left w:val="none" w:sz="0" w:space="0" w:color="auto"/>
        <w:bottom w:val="none" w:sz="0" w:space="0" w:color="auto"/>
        <w:right w:val="none" w:sz="0" w:space="0" w:color="auto"/>
      </w:divBdr>
    </w:div>
    <w:div w:id="1562517560">
      <w:bodyDiv w:val="1"/>
      <w:marLeft w:val="0"/>
      <w:marRight w:val="0"/>
      <w:marTop w:val="0"/>
      <w:marBottom w:val="0"/>
      <w:divBdr>
        <w:top w:val="none" w:sz="0" w:space="0" w:color="auto"/>
        <w:left w:val="none" w:sz="0" w:space="0" w:color="auto"/>
        <w:bottom w:val="none" w:sz="0" w:space="0" w:color="auto"/>
        <w:right w:val="none" w:sz="0" w:space="0" w:color="auto"/>
      </w:divBdr>
    </w:div>
    <w:div w:id="1672173851">
      <w:bodyDiv w:val="1"/>
      <w:marLeft w:val="0"/>
      <w:marRight w:val="0"/>
      <w:marTop w:val="0"/>
      <w:marBottom w:val="0"/>
      <w:divBdr>
        <w:top w:val="none" w:sz="0" w:space="0" w:color="auto"/>
        <w:left w:val="none" w:sz="0" w:space="0" w:color="auto"/>
        <w:bottom w:val="none" w:sz="0" w:space="0" w:color="auto"/>
        <w:right w:val="none" w:sz="0" w:space="0" w:color="auto"/>
      </w:divBdr>
    </w:div>
    <w:div w:id="1691222325">
      <w:bodyDiv w:val="1"/>
      <w:marLeft w:val="0"/>
      <w:marRight w:val="0"/>
      <w:marTop w:val="0"/>
      <w:marBottom w:val="0"/>
      <w:divBdr>
        <w:top w:val="none" w:sz="0" w:space="0" w:color="auto"/>
        <w:left w:val="none" w:sz="0" w:space="0" w:color="auto"/>
        <w:bottom w:val="none" w:sz="0" w:space="0" w:color="auto"/>
        <w:right w:val="none" w:sz="0" w:space="0" w:color="auto"/>
      </w:divBdr>
    </w:div>
    <w:div w:id="1707026575">
      <w:bodyDiv w:val="1"/>
      <w:marLeft w:val="0"/>
      <w:marRight w:val="0"/>
      <w:marTop w:val="0"/>
      <w:marBottom w:val="0"/>
      <w:divBdr>
        <w:top w:val="none" w:sz="0" w:space="0" w:color="auto"/>
        <w:left w:val="none" w:sz="0" w:space="0" w:color="auto"/>
        <w:bottom w:val="none" w:sz="0" w:space="0" w:color="auto"/>
        <w:right w:val="none" w:sz="0" w:space="0" w:color="auto"/>
      </w:divBdr>
    </w:div>
    <w:div w:id="1767726613">
      <w:bodyDiv w:val="1"/>
      <w:marLeft w:val="0"/>
      <w:marRight w:val="0"/>
      <w:marTop w:val="0"/>
      <w:marBottom w:val="0"/>
      <w:divBdr>
        <w:top w:val="none" w:sz="0" w:space="0" w:color="auto"/>
        <w:left w:val="none" w:sz="0" w:space="0" w:color="auto"/>
        <w:bottom w:val="none" w:sz="0" w:space="0" w:color="auto"/>
        <w:right w:val="none" w:sz="0" w:space="0" w:color="auto"/>
      </w:divBdr>
    </w:div>
    <w:div w:id="1789884838">
      <w:bodyDiv w:val="1"/>
      <w:marLeft w:val="0"/>
      <w:marRight w:val="0"/>
      <w:marTop w:val="0"/>
      <w:marBottom w:val="0"/>
      <w:divBdr>
        <w:top w:val="none" w:sz="0" w:space="0" w:color="auto"/>
        <w:left w:val="none" w:sz="0" w:space="0" w:color="auto"/>
        <w:bottom w:val="none" w:sz="0" w:space="0" w:color="auto"/>
        <w:right w:val="none" w:sz="0" w:space="0" w:color="auto"/>
      </w:divBdr>
    </w:div>
    <w:div w:id="2051295666">
      <w:bodyDiv w:val="1"/>
      <w:marLeft w:val="0"/>
      <w:marRight w:val="0"/>
      <w:marTop w:val="0"/>
      <w:marBottom w:val="0"/>
      <w:divBdr>
        <w:top w:val="none" w:sz="0" w:space="0" w:color="auto"/>
        <w:left w:val="none" w:sz="0" w:space="0" w:color="auto"/>
        <w:bottom w:val="none" w:sz="0" w:space="0" w:color="auto"/>
        <w:right w:val="none" w:sz="0" w:space="0" w:color="auto"/>
      </w:divBdr>
    </w:div>
    <w:div w:id="21374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oc.gov/employers/eeo1survey/2007instructions.c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eoc.gov/employers/eeo1survey/2007instructions.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employer/index.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20OFCCP-Public@dol.gov" TargetMode="External"/><Relationship Id="rId4" Type="http://schemas.microsoft.com/office/2007/relationships/stylesWithEffects" Target="stylesWithEffects.xml"/><Relationship Id="rId9" Type="http://schemas.openxmlformats.org/officeDocument/2006/relationships/hyperlink" Target="http://www.dol.gov/ofcc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A982-12E1-46AB-B09C-14B71E79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jskit04</dc:creator>
  <cp:lastModifiedBy>Kraak, Margaret - OFCCP</cp:lastModifiedBy>
  <cp:revision>3</cp:revision>
  <cp:lastPrinted>2014-07-28T18:46:00Z</cp:lastPrinted>
  <dcterms:created xsi:type="dcterms:W3CDTF">2014-07-31T19:44:00Z</dcterms:created>
  <dcterms:modified xsi:type="dcterms:W3CDTF">2014-07-31T20:02:00Z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