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3C71C7" w:rsidRDefault="00762D0D" w:rsidP="003C71C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310EF6">
        <w:t>t</w:t>
      </w:r>
      <w:r w:rsidR="003C71C7">
        <w:t>he Centers for Disease Control and</w:t>
      </w:r>
    </w:p>
    <w:p w:rsidR="00762D0D" w:rsidRDefault="003C71C7" w:rsidP="003C71C7">
      <w:pPr>
        <w:spacing w:after="0" w:line="240" w:lineRule="auto"/>
      </w:pPr>
      <w:r>
        <w:t xml:space="preserve">Prevention (CDC), </w:t>
      </w:r>
      <w:r w:rsidR="00310EF6" w:rsidRPr="00310EF6">
        <w:t>National Center for HIV/AIDS, Viral Hepatitis, STD, and TB Prevention (NCHHSTP</w:t>
      </w:r>
      <w:r w:rsidR="00310EF6">
        <w:t>)</w:t>
      </w:r>
      <w:r>
        <w:t>,</w:t>
      </w:r>
      <w:r w:rsidR="00762D0D">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w:t>
      </w:r>
      <w:proofErr w:type="gramStart"/>
      <w:r>
        <w:t>training</w:t>
      </w:r>
      <w:proofErr w:type="gramEnd"/>
      <w:r>
        <w:t xml:space="preserve"> or changes in operations might improve delivery of products or services.  These collections will allow for ongoing, </w:t>
      </w:r>
      <w:proofErr w:type="gramStart"/>
      <w:r>
        <w:t>collaborative</w:t>
      </w:r>
      <w:proofErr w:type="gramEnd"/>
      <w:r>
        <w:t xml:space="preser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Pr="00FD7312" w:rsidRDefault="00762D0D" w:rsidP="00FD7312">
      <w:pPr>
        <w:pStyle w:val="ListParagraph"/>
        <w:numPr>
          <w:ilvl w:val="0"/>
          <w:numId w:val="16"/>
        </w:numPr>
        <w:spacing w:after="0" w:line="240" w:lineRule="auto"/>
      </w:pPr>
      <w:r w:rsidRPr="00FD7312">
        <w:lastRenderedPageBreak/>
        <w:t xml:space="preserve">Information gathered will be used only internally  for general service improvement and program management purposes and is not intended for release outside of the agency (if released, procedures outlined in Question 16 </w:t>
      </w:r>
      <w:r w:rsidR="00F242F7" w:rsidRPr="00FD7312">
        <w:t>will</w:t>
      </w:r>
      <w:r w:rsidRPr="00FD7312">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pStyle w:val="ListParagraph"/>
        <w:numPr>
          <w:ilvl w:val="0"/>
          <w:numId w:val="2"/>
        </w:numPr>
        <w:spacing w:after="0" w:line="240" w:lineRule="auto"/>
        <w:ind w:left="0"/>
        <w:rPr>
          <w:b/>
        </w:rPr>
      </w:pPr>
      <w:r>
        <w:rPr>
          <w:b/>
        </w:rPr>
        <w:t>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a 60-day notice for public comment was published in the</w:t>
      </w:r>
      <w:r w:rsidRPr="00FD7312">
        <w:t xml:space="preserve"> Federal </w:t>
      </w:r>
      <w:r w:rsidR="00833C88" w:rsidRPr="00FD7312">
        <w:t>Register Vol. 79, No. 83, Wednesday, April 30, 2014</w:t>
      </w:r>
      <w:r w:rsidR="00FD7312">
        <w:t xml:space="preserve"> pages 24432-24434. No public comments were received.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w:t>
      </w:r>
      <w:r w:rsidR="00833C88">
        <w:t xml:space="preserve">provide stipends of up to $40. </w:t>
      </w:r>
      <w:r>
        <w:t xml:space="preserve">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w:t>
      </w:r>
      <w:r>
        <w:lastRenderedPageBreak/>
        <w:t>impede sharing of data with other agencies for compatible confidential use.  If the agency includes a pledge of confidentiality, it will include a citation for the statute or regulation supporting the pledge.</w:t>
      </w:r>
    </w:p>
    <w:p w:rsidR="00FD7312" w:rsidRDefault="00FD7312">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FA7688">
        <w:t>12,</w:t>
      </w:r>
      <w:r w:rsidR="00997A29">
        <w:t>4</w:t>
      </w:r>
      <w:r w:rsidR="00FA7688">
        <w:t>00</w:t>
      </w:r>
      <w:r>
        <w:t xml:space="preserve"> are based on the number of collections we expect to conduct over the requested period for this </w:t>
      </w:r>
      <w:r w:rsidR="00FD7312">
        <w:t>clearance.</w:t>
      </w:r>
    </w:p>
    <w:p w:rsidR="00DB5174" w:rsidRDefault="00DB5174">
      <w:pPr>
        <w:spacing w:after="0" w:line="240" w:lineRule="auto"/>
        <w:rPr>
          <w:sz w:val="20"/>
        </w:rPr>
      </w:pPr>
    </w:p>
    <w:p w:rsidR="00DB5174" w:rsidRDefault="00DB5174">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442"/>
        <w:gridCol w:w="1800"/>
        <w:gridCol w:w="1890"/>
        <w:gridCol w:w="1530"/>
        <w:gridCol w:w="1350"/>
      </w:tblGrid>
      <w:tr w:rsidR="00562355" w:rsidRPr="0070317F" w:rsidTr="00997A29">
        <w:trPr>
          <w:trHeight w:val="777"/>
        </w:trPr>
        <w:tc>
          <w:tcPr>
            <w:tcW w:w="9012" w:type="dxa"/>
            <w:gridSpan w:val="5"/>
            <w:tcBorders>
              <w:top w:val="single" w:sz="6" w:space="0" w:color="000000"/>
              <w:left w:val="single" w:sz="6" w:space="0" w:color="000000"/>
              <w:bottom w:val="single" w:sz="6" w:space="0" w:color="FFFFFF"/>
              <w:right w:val="single" w:sz="6" w:space="0" w:color="000000"/>
            </w:tcBorders>
            <w:vAlign w:val="center"/>
          </w:tcPr>
          <w:p w:rsidR="00562355" w:rsidRPr="00562355" w:rsidRDefault="00562355" w:rsidP="00144692">
            <w:pPr>
              <w:spacing w:after="0" w:line="240" w:lineRule="auto"/>
              <w:jc w:val="center"/>
              <w:rPr>
                <w:rFonts w:asciiTheme="minorHAnsi" w:hAnsiTheme="minorHAnsi"/>
              </w:rPr>
            </w:pPr>
            <w:r w:rsidRPr="00562355">
              <w:t>Estimated Annual Reporting Burden</w:t>
            </w:r>
          </w:p>
        </w:tc>
      </w:tr>
      <w:tr w:rsidR="00144692" w:rsidRPr="0070317F" w:rsidTr="003D60DD">
        <w:trPr>
          <w:trHeight w:val="777"/>
        </w:trPr>
        <w:tc>
          <w:tcPr>
            <w:tcW w:w="2442"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Type of Collection</w:t>
            </w:r>
          </w:p>
        </w:tc>
        <w:tc>
          <w:tcPr>
            <w:tcW w:w="1800"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No. of Respondents</w:t>
            </w:r>
          </w:p>
        </w:tc>
        <w:tc>
          <w:tcPr>
            <w:tcW w:w="1890"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Annual Frequency per Response</w:t>
            </w:r>
          </w:p>
        </w:tc>
        <w:tc>
          <w:tcPr>
            <w:tcW w:w="1530" w:type="dxa"/>
            <w:tcBorders>
              <w:top w:val="single" w:sz="6" w:space="0" w:color="000000"/>
              <w:left w:val="single" w:sz="6" w:space="0" w:color="000000"/>
              <w:bottom w:val="single" w:sz="6" w:space="0" w:color="FFFFFF"/>
              <w:right w:val="single" w:sz="6" w:space="0" w:color="FFFFFF"/>
            </w:tcBorders>
            <w:vAlign w:val="center"/>
          </w:tcPr>
          <w:p w:rsidR="00144692" w:rsidRPr="0070317F" w:rsidRDefault="00144692" w:rsidP="00144692">
            <w:pPr>
              <w:spacing w:after="0" w:line="240" w:lineRule="auto"/>
              <w:jc w:val="center"/>
              <w:rPr>
                <w:rFonts w:asciiTheme="minorHAnsi" w:hAnsiTheme="minorHAnsi"/>
              </w:rPr>
            </w:pPr>
          </w:p>
          <w:p w:rsidR="00144692" w:rsidRPr="0070317F" w:rsidRDefault="00144692" w:rsidP="00144692">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70317F">
              <w:rPr>
                <w:rFonts w:asciiTheme="minorHAnsi" w:hAnsiTheme="minorHAnsi"/>
              </w:rPr>
              <w:t>Hours per Response</w:t>
            </w:r>
          </w:p>
        </w:tc>
        <w:tc>
          <w:tcPr>
            <w:tcW w:w="1350" w:type="dxa"/>
            <w:tcBorders>
              <w:top w:val="single" w:sz="6" w:space="0" w:color="000000"/>
              <w:left w:val="single" w:sz="6" w:space="0" w:color="000000"/>
              <w:bottom w:val="single" w:sz="6" w:space="0" w:color="FFFFFF"/>
              <w:right w:val="single" w:sz="6" w:space="0" w:color="000000"/>
            </w:tcBorders>
            <w:vAlign w:val="center"/>
          </w:tcPr>
          <w:p w:rsidR="00144692" w:rsidRPr="0070317F" w:rsidRDefault="00144692" w:rsidP="00144692">
            <w:pPr>
              <w:spacing w:after="0" w:line="240" w:lineRule="auto"/>
              <w:jc w:val="center"/>
              <w:rPr>
                <w:rFonts w:asciiTheme="minorHAnsi" w:hAnsiTheme="minorHAnsi"/>
              </w:rPr>
            </w:pPr>
            <w:r w:rsidRPr="0070317F">
              <w:rPr>
                <w:rFonts w:asciiTheme="minorHAnsi" w:hAnsiTheme="minorHAnsi"/>
              </w:rPr>
              <w:t>Total Hours</w:t>
            </w:r>
          </w:p>
        </w:tc>
      </w:tr>
      <w:tr w:rsidR="00FA7688" w:rsidRPr="0070317F" w:rsidTr="003D60DD">
        <w:trPr>
          <w:trHeight w:val="759"/>
        </w:trPr>
        <w:tc>
          <w:tcPr>
            <w:tcW w:w="2442" w:type="dxa"/>
            <w:tcBorders>
              <w:top w:val="single" w:sz="6" w:space="0" w:color="000000"/>
              <w:left w:val="single" w:sz="6" w:space="0" w:color="000000"/>
              <w:bottom w:val="single" w:sz="6" w:space="0" w:color="000000"/>
              <w:right w:val="single" w:sz="6" w:space="0" w:color="FFFFFF"/>
            </w:tcBorders>
            <w:vAlign w:val="bottom"/>
          </w:tcPr>
          <w:p w:rsidR="00FA7688" w:rsidRPr="0070317F" w:rsidRDefault="00FA7688" w:rsidP="00144692">
            <w:pPr>
              <w:tabs>
                <w:tab w:val="left" w:pos="-1080"/>
                <w:tab w:val="left" w:pos="-720"/>
                <w:tab w:val="left" w:pos="0"/>
                <w:tab w:val="left" w:pos="450"/>
                <w:tab w:val="left" w:pos="720"/>
                <w:tab w:val="left" w:pos="2160"/>
              </w:tabs>
              <w:rPr>
                <w:rFonts w:asciiTheme="minorHAnsi" w:hAnsiTheme="minorHAnsi"/>
              </w:rPr>
            </w:pPr>
            <w:r w:rsidRPr="0070317F">
              <w:rPr>
                <w:rFonts w:asciiTheme="minorHAnsi" w:hAnsiTheme="minorHAnsi"/>
              </w:rPr>
              <w:t>Online surveys</w:t>
            </w:r>
          </w:p>
        </w:tc>
        <w:tc>
          <w:tcPr>
            <w:tcW w:w="1800" w:type="dxa"/>
            <w:tcBorders>
              <w:top w:val="single" w:sz="6" w:space="0" w:color="000000"/>
              <w:left w:val="single" w:sz="6" w:space="0" w:color="000000"/>
              <w:bottom w:val="single" w:sz="6" w:space="0" w:color="000000"/>
              <w:right w:val="single" w:sz="6" w:space="0" w:color="FFFFFF"/>
            </w:tcBorders>
            <w:vAlign w:val="center"/>
          </w:tcPr>
          <w:p w:rsidR="00FA7688" w:rsidRPr="004861E8" w:rsidRDefault="00FA7688" w:rsidP="00FA7688">
            <w:pPr>
              <w:tabs>
                <w:tab w:val="left" w:pos="-1080"/>
                <w:tab w:val="left" w:pos="-720"/>
                <w:tab w:val="left" w:pos="0"/>
                <w:tab w:val="left" w:pos="450"/>
                <w:tab w:val="left" w:pos="720"/>
                <w:tab w:val="left" w:pos="2160"/>
              </w:tabs>
              <w:spacing w:after="0" w:line="240" w:lineRule="auto"/>
              <w:jc w:val="center"/>
              <w:rPr>
                <w:sz w:val="20"/>
              </w:rPr>
            </w:pPr>
            <w:r>
              <w:rPr>
                <w:sz w:val="20"/>
              </w:rPr>
              <w:t>15,000</w:t>
            </w:r>
          </w:p>
        </w:tc>
        <w:tc>
          <w:tcPr>
            <w:tcW w:w="1890" w:type="dxa"/>
            <w:tcBorders>
              <w:top w:val="single" w:sz="6" w:space="0" w:color="000000"/>
              <w:left w:val="single" w:sz="6" w:space="0" w:color="000000"/>
              <w:bottom w:val="single" w:sz="6" w:space="0" w:color="000000"/>
              <w:right w:val="single" w:sz="6" w:space="0" w:color="FFFFFF"/>
            </w:tcBorders>
            <w:vAlign w:val="center"/>
          </w:tcPr>
          <w:p w:rsidR="00FA7688" w:rsidRPr="004861E8" w:rsidRDefault="00FA7688" w:rsidP="00FA768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530" w:type="dxa"/>
            <w:tcBorders>
              <w:top w:val="single" w:sz="6" w:space="0" w:color="000000"/>
              <w:left w:val="single" w:sz="6" w:space="0" w:color="000000"/>
              <w:bottom w:val="single" w:sz="6" w:space="0" w:color="000000"/>
              <w:right w:val="single" w:sz="6" w:space="0" w:color="FFFFFF"/>
            </w:tcBorders>
            <w:vAlign w:val="center"/>
          </w:tcPr>
          <w:p w:rsidR="00FA7688" w:rsidRPr="004861E8" w:rsidRDefault="00FA7688" w:rsidP="00FA768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350" w:type="dxa"/>
            <w:tcBorders>
              <w:top w:val="single" w:sz="6" w:space="0" w:color="000000"/>
              <w:left w:val="single" w:sz="6" w:space="0" w:color="000000"/>
              <w:bottom w:val="single" w:sz="6" w:space="0" w:color="000000"/>
              <w:right w:val="single" w:sz="6" w:space="0" w:color="000000"/>
            </w:tcBorders>
            <w:vAlign w:val="center"/>
          </w:tcPr>
          <w:p w:rsidR="00FA7688" w:rsidRPr="004861E8" w:rsidRDefault="00FA7688" w:rsidP="00FA7688">
            <w:pPr>
              <w:tabs>
                <w:tab w:val="left" w:pos="-1080"/>
                <w:tab w:val="left" w:pos="-720"/>
                <w:tab w:val="left" w:pos="0"/>
                <w:tab w:val="left" w:pos="450"/>
                <w:tab w:val="left" w:pos="720"/>
                <w:tab w:val="left" w:pos="2160"/>
              </w:tabs>
              <w:spacing w:after="0" w:line="240" w:lineRule="auto"/>
              <w:jc w:val="center"/>
              <w:rPr>
                <w:sz w:val="20"/>
              </w:rPr>
            </w:pPr>
            <w:r>
              <w:rPr>
                <w:sz w:val="20"/>
              </w:rPr>
              <w:t>7,500</w:t>
            </w:r>
          </w:p>
        </w:tc>
      </w:tr>
      <w:tr w:rsidR="00144692" w:rsidRPr="0070317F" w:rsidTr="003D60DD">
        <w:tc>
          <w:tcPr>
            <w:tcW w:w="244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Discussion Groups</w:t>
            </w:r>
          </w:p>
        </w:tc>
        <w:tc>
          <w:tcPr>
            <w:tcW w:w="180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350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700</w:t>
            </w:r>
          </w:p>
        </w:tc>
      </w:tr>
      <w:tr w:rsidR="00144692" w:rsidRPr="0070317F" w:rsidTr="003D60DD">
        <w:tc>
          <w:tcPr>
            <w:tcW w:w="244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Focus groups</w:t>
            </w:r>
          </w:p>
        </w:tc>
        <w:tc>
          <w:tcPr>
            <w:tcW w:w="180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800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1600</w:t>
            </w:r>
          </w:p>
        </w:tc>
      </w:tr>
      <w:tr w:rsidR="00144692" w:rsidRPr="0070317F" w:rsidTr="003D60DD">
        <w:tc>
          <w:tcPr>
            <w:tcW w:w="244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Website/app usability testing</w:t>
            </w:r>
          </w:p>
        </w:tc>
        <w:tc>
          <w:tcPr>
            <w:tcW w:w="180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997A29"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2</w:t>
            </w:r>
            <w:r w:rsidR="00144692" w:rsidRPr="0070317F">
              <w:rPr>
                <w:rFonts w:asciiTheme="minorHAnsi" w:hAnsiTheme="minorHAnsi"/>
              </w:rPr>
              <w:t>000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30/60</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997A29" w:rsidP="00144692">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10</w:t>
            </w:r>
            <w:r w:rsidR="00144692" w:rsidRPr="0070317F">
              <w:rPr>
                <w:rFonts w:asciiTheme="minorHAnsi" w:hAnsiTheme="minorHAnsi"/>
              </w:rPr>
              <w:t>00</w:t>
            </w:r>
          </w:p>
        </w:tc>
      </w:tr>
      <w:tr w:rsidR="00144692" w:rsidRPr="0070317F" w:rsidTr="003D60DD">
        <w:tc>
          <w:tcPr>
            <w:tcW w:w="2442"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rPr>
                <w:rFonts w:asciiTheme="minorHAnsi" w:hAnsiTheme="minorHAnsi"/>
              </w:rPr>
            </w:pPr>
            <w:r w:rsidRPr="0070317F">
              <w:rPr>
                <w:rFonts w:asciiTheme="minorHAnsi" w:hAnsiTheme="minorHAnsi"/>
              </w:rPr>
              <w:t>Interviews</w:t>
            </w:r>
          </w:p>
        </w:tc>
        <w:tc>
          <w:tcPr>
            <w:tcW w:w="180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800</w:t>
            </w:r>
          </w:p>
        </w:tc>
        <w:tc>
          <w:tcPr>
            <w:tcW w:w="189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w:t>
            </w:r>
          </w:p>
        </w:tc>
        <w:tc>
          <w:tcPr>
            <w:tcW w:w="1530" w:type="dxa"/>
            <w:tcBorders>
              <w:top w:val="single" w:sz="6" w:space="0" w:color="000000"/>
              <w:left w:val="single" w:sz="6" w:space="0" w:color="000000"/>
              <w:bottom w:val="single" w:sz="6" w:space="0" w:color="000000"/>
              <w:right w:val="single" w:sz="6" w:space="0" w:color="FFFFFF"/>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2</w:t>
            </w:r>
          </w:p>
        </w:tc>
        <w:tc>
          <w:tcPr>
            <w:tcW w:w="1350" w:type="dxa"/>
            <w:tcBorders>
              <w:top w:val="single" w:sz="6" w:space="0" w:color="000000"/>
              <w:left w:val="single" w:sz="6" w:space="0" w:color="000000"/>
              <w:bottom w:val="single" w:sz="6" w:space="0" w:color="000000"/>
              <w:right w:val="single" w:sz="6" w:space="0" w:color="000000"/>
            </w:tcBorders>
            <w:vAlign w:val="bottom"/>
          </w:tcPr>
          <w:p w:rsidR="00144692" w:rsidRPr="0070317F" w:rsidRDefault="00144692" w:rsidP="00144692">
            <w:pPr>
              <w:tabs>
                <w:tab w:val="left" w:pos="-1080"/>
                <w:tab w:val="left" w:pos="-720"/>
                <w:tab w:val="left" w:pos="0"/>
                <w:tab w:val="left" w:pos="450"/>
                <w:tab w:val="left" w:pos="720"/>
                <w:tab w:val="left" w:pos="2160"/>
              </w:tabs>
              <w:jc w:val="center"/>
              <w:rPr>
                <w:rFonts w:asciiTheme="minorHAnsi" w:hAnsiTheme="minorHAnsi"/>
              </w:rPr>
            </w:pPr>
            <w:r w:rsidRPr="0070317F">
              <w:rPr>
                <w:rFonts w:asciiTheme="minorHAnsi" w:hAnsiTheme="minorHAnsi"/>
              </w:rPr>
              <w:t>1600</w:t>
            </w:r>
          </w:p>
        </w:tc>
      </w:tr>
      <w:tr w:rsidR="00FD7312" w:rsidRPr="0070317F" w:rsidTr="003D60DD">
        <w:tc>
          <w:tcPr>
            <w:tcW w:w="2442"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FD7312" w:rsidP="00144692">
            <w:pPr>
              <w:rPr>
                <w:rFonts w:asciiTheme="minorHAnsi" w:hAnsiTheme="minorHAnsi"/>
              </w:rPr>
            </w:pPr>
            <w:r w:rsidRPr="0070317F">
              <w:rPr>
                <w:rFonts w:asciiTheme="minorHAnsi" w:hAnsiTheme="minorHAnsi"/>
              </w:rPr>
              <w:t>Totals</w:t>
            </w:r>
          </w:p>
        </w:tc>
        <w:tc>
          <w:tcPr>
            <w:tcW w:w="1800"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784435" w:rsidP="00997A29">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1</w:t>
            </w:r>
            <w:r w:rsidR="00997A29">
              <w:rPr>
                <w:rFonts w:asciiTheme="minorHAnsi" w:hAnsiTheme="minorHAnsi"/>
              </w:rPr>
              <w:t>8</w:t>
            </w:r>
            <w:r>
              <w:rPr>
                <w:rFonts w:asciiTheme="minorHAnsi" w:hAnsiTheme="minorHAnsi"/>
              </w:rPr>
              <w:t>,950</w:t>
            </w:r>
          </w:p>
        </w:tc>
        <w:tc>
          <w:tcPr>
            <w:tcW w:w="1890"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FD7312" w:rsidP="00144692">
            <w:pPr>
              <w:tabs>
                <w:tab w:val="left" w:pos="-1080"/>
                <w:tab w:val="left" w:pos="-720"/>
                <w:tab w:val="left" w:pos="0"/>
                <w:tab w:val="left" w:pos="450"/>
                <w:tab w:val="left" w:pos="720"/>
                <w:tab w:val="left" w:pos="2160"/>
              </w:tabs>
              <w:jc w:val="center"/>
              <w:rPr>
                <w:rFonts w:asciiTheme="minorHAnsi" w:hAnsiTheme="minorHAnsi"/>
              </w:rPr>
            </w:pPr>
          </w:p>
        </w:tc>
        <w:tc>
          <w:tcPr>
            <w:tcW w:w="1530" w:type="dxa"/>
            <w:tcBorders>
              <w:top w:val="single" w:sz="6" w:space="0" w:color="000000"/>
              <w:left w:val="single" w:sz="6" w:space="0" w:color="000000"/>
              <w:bottom w:val="single" w:sz="6" w:space="0" w:color="000000"/>
              <w:right w:val="single" w:sz="6" w:space="0" w:color="FFFFFF"/>
            </w:tcBorders>
            <w:vAlign w:val="bottom"/>
          </w:tcPr>
          <w:p w:rsidR="00FD7312" w:rsidRPr="0070317F" w:rsidRDefault="00FD7312" w:rsidP="00144692">
            <w:pPr>
              <w:tabs>
                <w:tab w:val="left" w:pos="-1080"/>
                <w:tab w:val="left" w:pos="-720"/>
                <w:tab w:val="left" w:pos="0"/>
                <w:tab w:val="left" w:pos="450"/>
                <w:tab w:val="left" w:pos="720"/>
                <w:tab w:val="left" w:pos="2160"/>
              </w:tabs>
              <w:jc w:val="center"/>
              <w:rPr>
                <w:rFonts w:asciiTheme="minorHAnsi" w:hAnsiTheme="minorHAnsi"/>
              </w:rPr>
            </w:pPr>
          </w:p>
        </w:tc>
        <w:tc>
          <w:tcPr>
            <w:tcW w:w="1350" w:type="dxa"/>
            <w:tcBorders>
              <w:top w:val="single" w:sz="6" w:space="0" w:color="000000"/>
              <w:left w:val="single" w:sz="6" w:space="0" w:color="000000"/>
              <w:bottom w:val="single" w:sz="6" w:space="0" w:color="000000"/>
              <w:right w:val="single" w:sz="6" w:space="0" w:color="000000"/>
            </w:tcBorders>
            <w:vAlign w:val="bottom"/>
          </w:tcPr>
          <w:p w:rsidR="00FD7312" w:rsidRPr="0070317F" w:rsidRDefault="00FA7688" w:rsidP="00997A29">
            <w:pPr>
              <w:tabs>
                <w:tab w:val="left" w:pos="-1080"/>
                <w:tab w:val="left" w:pos="-720"/>
                <w:tab w:val="left" w:pos="0"/>
                <w:tab w:val="left" w:pos="450"/>
                <w:tab w:val="left" w:pos="720"/>
                <w:tab w:val="left" w:pos="2160"/>
              </w:tabs>
              <w:jc w:val="center"/>
              <w:rPr>
                <w:rFonts w:asciiTheme="minorHAnsi" w:hAnsiTheme="minorHAnsi"/>
              </w:rPr>
            </w:pPr>
            <w:r>
              <w:rPr>
                <w:rFonts w:asciiTheme="minorHAnsi" w:hAnsiTheme="minorHAnsi"/>
              </w:rPr>
              <w:t>1</w:t>
            </w:r>
            <w:r w:rsidR="00997A29">
              <w:rPr>
                <w:rFonts w:asciiTheme="minorHAnsi" w:hAnsiTheme="minorHAnsi"/>
              </w:rPr>
              <w:t>2</w:t>
            </w:r>
            <w:r>
              <w:rPr>
                <w:rFonts w:asciiTheme="minorHAnsi" w:hAnsiTheme="minorHAnsi"/>
              </w:rPr>
              <w:t>,</w:t>
            </w:r>
            <w:r w:rsidR="00997A29">
              <w:rPr>
                <w:rFonts w:asciiTheme="minorHAnsi" w:hAnsiTheme="minorHAnsi"/>
              </w:rPr>
              <w:t>4</w:t>
            </w:r>
            <w:r>
              <w:rPr>
                <w:rFonts w:asciiTheme="minorHAnsi" w:hAnsiTheme="minorHAnsi"/>
              </w:rPr>
              <w:t>00</w:t>
            </w:r>
          </w:p>
        </w:tc>
      </w:tr>
    </w:tbl>
    <w:p w:rsidR="00365D82" w:rsidRDefault="00365D82">
      <w:pPr>
        <w:spacing w:after="0" w:line="240" w:lineRule="auto"/>
      </w:pPr>
    </w:p>
    <w:p w:rsidR="00FD7312" w:rsidRDefault="00FD7312">
      <w:pPr>
        <w:spacing w:after="0" w:line="240" w:lineRule="auto"/>
      </w:pPr>
    </w:p>
    <w:p w:rsidR="00762D0D" w:rsidRDefault="00762D0D">
      <w:pPr>
        <w:pStyle w:val="ListParagraph"/>
        <w:numPr>
          <w:ilvl w:val="0"/>
          <w:numId w:val="2"/>
        </w:numPr>
        <w:spacing w:after="0" w:line="240" w:lineRule="auto"/>
        <w:ind w:left="0"/>
        <w:rPr>
          <w:b/>
        </w:rPr>
      </w:pPr>
      <w:r>
        <w:rPr>
          <w:b/>
        </w:rPr>
        <w:t>Costs to Respondents</w:t>
      </w:r>
      <w:bookmarkStart w:id="0" w:name="_GoBack"/>
      <w:bookmarkEnd w:id="0"/>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FD7312" w:rsidRDefault="00FD7312">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A67FE9" w:rsidRPr="00A67FE9" w:rsidRDefault="00A67FE9" w:rsidP="00A67FE9">
      <w:pPr>
        <w:spacing w:after="0" w:line="240" w:lineRule="auto"/>
        <w:contextualSpacing/>
      </w:pPr>
      <w:r w:rsidRPr="00A67FE9">
        <w:t>The anticipated cost to the Federal Government is approximately $3</w:t>
      </w:r>
      <w:r w:rsidR="00DB13A1">
        <w:t>70</w:t>
      </w:r>
      <w:r w:rsidRPr="00A67FE9">
        <w:t>,500 annually.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An estimated average annual cost, based on four individual projects per year, is listed below.</w:t>
      </w:r>
    </w:p>
    <w:p w:rsidR="00A67FE9" w:rsidRPr="00A67FE9" w:rsidRDefault="00A67FE9" w:rsidP="00A67FE9">
      <w:pPr>
        <w:spacing w:after="0" w:line="240" w:lineRule="auto"/>
        <w:contextualSpacing/>
      </w:pPr>
    </w:p>
    <w:tbl>
      <w:tblPr>
        <w:tblStyle w:val="TableGrid1"/>
        <w:tblW w:w="9018" w:type="dxa"/>
        <w:tblLook w:val="04A0" w:firstRow="1" w:lastRow="0" w:firstColumn="1" w:lastColumn="0" w:noHBand="0" w:noVBand="1"/>
      </w:tblPr>
      <w:tblGrid>
        <w:gridCol w:w="2668"/>
        <w:gridCol w:w="4460"/>
        <w:gridCol w:w="1890"/>
      </w:tblGrid>
      <w:tr w:rsidR="00A67FE9" w:rsidRPr="00A67FE9" w:rsidTr="00E57E58">
        <w:tc>
          <w:tcPr>
            <w:tcW w:w="2668" w:type="dxa"/>
          </w:tcPr>
          <w:p w:rsidR="00A67FE9" w:rsidRPr="00A67FE9" w:rsidRDefault="00A67FE9" w:rsidP="00A67FE9">
            <w:pPr>
              <w:spacing w:after="100" w:afterAutospacing="1" w:line="240" w:lineRule="auto"/>
              <w:rPr>
                <w:rFonts w:asciiTheme="minorHAnsi" w:hAnsiTheme="minorHAnsi"/>
                <w:b/>
                <w:bCs/>
                <w:sz w:val="24"/>
                <w:szCs w:val="24"/>
              </w:rPr>
            </w:pPr>
            <w:r w:rsidRPr="00A67FE9">
              <w:rPr>
                <w:rFonts w:asciiTheme="minorHAnsi" w:hAnsiTheme="minorHAnsi"/>
                <w:b/>
                <w:bCs/>
                <w:sz w:val="24"/>
                <w:szCs w:val="24"/>
              </w:rPr>
              <w:t>Expense Type</w:t>
            </w:r>
          </w:p>
        </w:tc>
        <w:tc>
          <w:tcPr>
            <w:tcW w:w="4460" w:type="dxa"/>
          </w:tcPr>
          <w:p w:rsidR="00A67FE9" w:rsidRPr="00A67FE9" w:rsidRDefault="00A67FE9" w:rsidP="00A67FE9">
            <w:pPr>
              <w:spacing w:after="100" w:afterAutospacing="1" w:line="240" w:lineRule="auto"/>
              <w:rPr>
                <w:rFonts w:asciiTheme="minorHAnsi" w:hAnsiTheme="minorHAnsi"/>
                <w:b/>
                <w:bCs/>
                <w:sz w:val="24"/>
                <w:szCs w:val="24"/>
              </w:rPr>
            </w:pPr>
            <w:r w:rsidRPr="00A67FE9">
              <w:rPr>
                <w:rFonts w:asciiTheme="minorHAnsi" w:hAnsiTheme="minorHAnsi"/>
                <w:b/>
                <w:bCs/>
                <w:sz w:val="24"/>
                <w:szCs w:val="24"/>
              </w:rPr>
              <w:t>Expense Explanation</w:t>
            </w:r>
          </w:p>
        </w:tc>
        <w:tc>
          <w:tcPr>
            <w:tcW w:w="1890" w:type="dxa"/>
          </w:tcPr>
          <w:p w:rsidR="00A67FE9" w:rsidRPr="00A67FE9" w:rsidRDefault="00A67FE9" w:rsidP="00A67FE9">
            <w:pPr>
              <w:spacing w:after="100" w:afterAutospacing="1" w:line="240" w:lineRule="auto"/>
              <w:rPr>
                <w:rFonts w:asciiTheme="minorHAnsi" w:hAnsiTheme="minorHAnsi"/>
                <w:b/>
                <w:bCs/>
                <w:sz w:val="24"/>
                <w:szCs w:val="24"/>
              </w:rPr>
            </w:pPr>
            <w:r w:rsidRPr="00A67FE9">
              <w:rPr>
                <w:rFonts w:asciiTheme="minorHAnsi" w:hAnsiTheme="minorHAnsi"/>
                <w:b/>
                <w:bCs/>
                <w:sz w:val="24"/>
                <w:szCs w:val="24"/>
              </w:rPr>
              <w:t>Annual Costs (dollars)</w:t>
            </w:r>
          </w:p>
        </w:tc>
      </w:tr>
      <w:tr w:rsidR="00A67FE9" w:rsidRPr="00A67FE9" w:rsidTr="00E57E58">
        <w:tc>
          <w:tcPr>
            <w:tcW w:w="2668" w:type="dxa"/>
            <w:vMerge w:val="restart"/>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Federal Government Personnel Costs</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CDC Project Officer (GS-12/13, .05 FTE)</w:t>
            </w:r>
          </w:p>
        </w:tc>
        <w:tc>
          <w:tcPr>
            <w:tcW w:w="1890" w:type="dxa"/>
          </w:tcPr>
          <w:p w:rsidR="00A67FE9" w:rsidRPr="00A67FE9" w:rsidRDefault="00A67FE9" w:rsidP="00DB13A1">
            <w:pPr>
              <w:spacing w:after="100" w:afterAutospacing="1" w:line="240" w:lineRule="auto"/>
              <w:jc w:val="right"/>
              <w:rPr>
                <w:rFonts w:asciiTheme="minorHAnsi" w:hAnsiTheme="minorHAnsi"/>
                <w:bCs/>
                <w:sz w:val="24"/>
                <w:szCs w:val="24"/>
              </w:rPr>
            </w:pPr>
            <w:r w:rsidRPr="00A67FE9">
              <w:rPr>
                <w:rFonts w:asciiTheme="minorHAnsi" w:hAnsiTheme="minorHAnsi"/>
                <w:bCs/>
                <w:sz w:val="24"/>
                <w:szCs w:val="24"/>
              </w:rPr>
              <w:t>$2</w:t>
            </w:r>
            <w:r w:rsidR="00DB13A1">
              <w:rPr>
                <w:rFonts w:asciiTheme="minorHAnsi" w:hAnsiTheme="minorHAnsi"/>
                <w:bCs/>
                <w:sz w:val="24"/>
                <w:szCs w:val="24"/>
              </w:rPr>
              <w:t>5</w:t>
            </w:r>
            <w:r w:rsidRPr="00A67FE9">
              <w:rPr>
                <w:rFonts w:asciiTheme="minorHAnsi" w:hAnsiTheme="minorHAnsi"/>
                <w:bCs/>
                <w:sz w:val="24"/>
                <w:szCs w:val="24"/>
              </w:rPr>
              <w:t>,000</w:t>
            </w:r>
          </w:p>
        </w:tc>
      </w:tr>
      <w:tr w:rsidR="00A67FE9" w:rsidRPr="00A67FE9" w:rsidTr="00E57E58">
        <w:tc>
          <w:tcPr>
            <w:tcW w:w="2668" w:type="dxa"/>
            <w:vMerge/>
          </w:tcPr>
          <w:p w:rsidR="00A67FE9" w:rsidRPr="00DB13A1" w:rsidRDefault="00A67FE9" w:rsidP="00A67FE9">
            <w:pPr>
              <w:spacing w:after="100" w:afterAutospacing="1" w:line="240" w:lineRule="auto"/>
              <w:rPr>
                <w:rFonts w:asciiTheme="minorHAnsi" w:hAnsiTheme="minorHAnsi"/>
                <w:bCs/>
                <w:sz w:val="24"/>
                <w:szCs w:val="24"/>
              </w:rPr>
            </w:pP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CDC Administrative Staff (GS-7/9, .025 FTE)</w:t>
            </w:r>
          </w:p>
        </w:tc>
        <w:tc>
          <w:tcPr>
            <w:tcW w:w="1890" w:type="dxa"/>
          </w:tcPr>
          <w:p w:rsidR="00A67FE9" w:rsidRPr="00A67FE9" w:rsidRDefault="00A67FE9" w:rsidP="00DB13A1">
            <w:pPr>
              <w:spacing w:after="100" w:afterAutospacing="1" w:line="240" w:lineRule="auto"/>
              <w:jc w:val="right"/>
              <w:rPr>
                <w:rFonts w:asciiTheme="minorHAnsi" w:hAnsiTheme="minorHAnsi"/>
                <w:bCs/>
                <w:sz w:val="24"/>
                <w:szCs w:val="24"/>
              </w:rPr>
            </w:pPr>
            <w:r w:rsidRPr="00A67FE9">
              <w:rPr>
                <w:rFonts w:asciiTheme="minorHAnsi" w:hAnsiTheme="minorHAnsi"/>
                <w:bCs/>
                <w:sz w:val="24"/>
                <w:szCs w:val="24"/>
              </w:rPr>
              <w:t>$8,000</w:t>
            </w:r>
          </w:p>
        </w:tc>
      </w:tr>
      <w:tr w:rsidR="00A67FE9" w:rsidRPr="00A67FE9" w:rsidTr="00E57E58">
        <w:tc>
          <w:tcPr>
            <w:tcW w:w="2668" w:type="dxa"/>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Cooperative Agreement or Contract</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 xml:space="preserve">Cooperative </w:t>
            </w:r>
            <w:r w:rsidRPr="00734E14">
              <w:rPr>
                <w:rFonts w:asciiTheme="minorHAnsi" w:hAnsiTheme="minorHAnsi"/>
                <w:bCs/>
                <w:sz w:val="24"/>
                <w:szCs w:val="24"/>
              </w:rPr>
              <w:t>Agreements</w:t>
            </w:r>
            <w:r w:rsidRPr="00A67FE9">
              <w:rPr>
                <w:rFonts w:asciiTheme="minorHAnsi" w:hAnsiTheme="minorHAnsi"/>
                <w:bCs/>
                <w:sz w:val="24"/>
                <w:szCs w:val="24"/>
              </w:rPr>
              <w:t>, Task Orders, or Contracts for implementation</w:t>
            </w:r>
          </w:p>
        </w:tc>
        <w:tc>
          <w:tcPr>
            <w:tcW w:w="1890" w:type="dxa"/>
            <w:vAlign w:val="bottom"/>
          </w:tcPr>
          <w:p w:rsidR="00A67FE9" w:rsidRPr="00A67FE9" w:rsidRDefault="00A67FE9" w:rsidP="00DB13A1">
            <w:pPr>
              <w:spacing w:after="100" w:afterAutospacing="1" w:line="240" w:lineRule="auto"/>
              <w:jc w:val="right"/>
              <w:rPr>
                <w:rFonts w:asciiTheme="minorHAnsi" w:hAnsiTheme="minorHAnsi"/>
                <w:bCs/>
                <w:sz w:val="24"/>
                <w:szCs w:val="24"/>
              </w:rPr>
            </w:pPr>
            <w:r w:rsidRPr="00A67FE9">
              <w:rPr>
                <w:rFonts w:asciiTheme="minorHAnsi" w:hAnsiTheme="minorHAnsi"/>
                <w:bCs/>
                <w:sz w:val="24"/>
                <w:szCs w:val="24"/>
              </w:rPr>
              <w:t>$325,000</w:t>
            </w:r>
          </w:p>
        </w:tc>
      </w:tr>
      <w:tr w:rsidR="00A67FE9" w:rsidRPr="00A67FE9" w:rsidTr="00E57E58">
        <w:trPr>
          <w:trHeight w:val="332"/>
        </w:trPr>
        <w:tc>
          <w:tcPr>
            <w:tcW w:w="2668" w:type="dxa"/>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CDC Travel</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r w:rsidRPr="00A67FE9">
              <w:rPr>
                <w:rFonts w:asciiTheme="minorHAnsi" w:hAnsiTheme="minorHAnsi"/>
                <w:bCs/>
                <w:sz w:val="24"/>
                <w:szCs w:val="24"/>
              </w:rPr>
              <w:t>(4 trips)</w:t>
            </w:r>
          </w:p>
        </w:tc>
        <w:tc>
          <w:tcPr>
            <w:tcW w:w="1890" w:type="dxa"/>
            <w:vAlign w:val="bottom"/>
          </w:tcPr>
          <w:p w:rsidR="00A67FE9" w:rsidRPr="00A67FE9" w:rsidRDefault="00A67FE9" w:rsidP="00DB13A1">
            <w:pPr>
              <w:spacing w:after="0" w:line="240" w:lineRule="auto"/>
              <w:jc w:val="right"/>
              <w:rPr>
                <w:rFonts w:asciiTheme="minorHAnsi" w:hAnsiTheme="minorHAnsi"/>
                <w:bCs/>
                <w:sz w:val="24"/>
                <w:szCs w:val="24"/>
              </w:rPr>
            </w:pPr>
            <w:r w:rsidRPr="00A67FE9">
              <w:rPr>
                <w:rFonts w:asciiTheme="minorHAnsi" w:hAnsiTheme="minorHAnsi"/>
                <w:bCs/>
                <w:sz w:val="24"/>
                <w:szCs w:val="24"/>
              </w:rPr>
              <w:t>$12,500</w:t>
            </w:r>
          </w:p>
        </w:tc>
      </w:tr>
      <w:tr w:rsidR="00A67FE9" w:rsidRPr="00A67FE9" w:rsidTr="00E57E58">
        <w:tc>
          <w:tcPr>
            <w:tcW w:w="2668" w:type="dxa"/>
          </w:tcPr>
          <w:p w:rsidR="00A67FE9" w:rsidRPr="00DB13A1" w:rsidRDefault="00A67FE9" w:rsidP="00A67FE9">
            <w:pPr>
              <w:spacing w:after="100" w:afterAutospacing="1" w:line="240" w:lineRule="auto"/>
              <w:rPr>
                <w:rFonts w:asciiTheme="minorHAnsi" w:hAnsiTheme="minorHAnsi"/>
                <w:bCs/>
                <w:sz w:val="24"/>
                <w:szCs w:val="24"/>
              </w:rPr>
            </w:pPr>
            <w:r w:rsidRPr="00DB13A1">
              <w:rPr>
                <w:rFonts w:asciiTheme="minorHAnsi" w:hAnsiTheme="minorHAnsi"/>
                <w:bCs/>
                <w:sz w:val="24"/>
                <w:szCs w:val="24"/>
              </w:rPr>
              <w:t>Total Cost</w:t>
            </w:r>
          </w:p>
        </w:tc>
        <w:tc>
          <w:tcPr>
            <w:tcW w:w="4460" w:type="dxa"/>
          </w:tcPr>
          <w:p w:rsidR="00A67FE9" w:rsidRPr="00A67FE9" w:rsidRDefault="00A67FE9" w:rsidP="00A67FE9">
            <w:pPr>
              <w:spacing w:after="100" w:afterAutospacing="1" w:line="240" w:lineRule="auto"/>
              <w:rPr>
                <w:rFonts w:asciiTheme="minorHAnsi" w:hAnsiTheme="minorHAnsi"/>
                <w:bCs/>
                <w:sz w:val="24"/>
                <w:szCs w:val="24"/>
              </w:rPr>
            </w:pPr>
          </w:p>
        </w:tc>
        <w:tc>
          <w:tcPr>
            <w:tcW w:w="1890" w:type="dxa"/>
          </w:tcPr>
          <w:p w:rsidR="00A67FE9" w:rsidRPr="00A67FE9" w:rsidRDefault="00A67FE9" w:rsidP="00DB13A1">
            <w:pPr>
              <w:spacing w:after="0" w:line="240" w:lineRule="auto"/>
              <w:jc w:val="right"/>
              <w:rPr>
                <w:rFonts w:asciiTheme="minorHAnsi" w:hAnsiTheme="minorHAnsi"/>
                <w:bCs/>
                <w:sz w:val="24"/>
                <w:szCs w:val="24"/>
              </w:rPr>
            </w:pPr>
            <w:r w:rsidRPr="00A67FE9">
              <w:rPr>
                <w:rFonts w:asciiTheme="minorHAnsi" w:hAnsiTheme="minorHAnsi"/>
                <w:bCs/>
                <w:sz w:val="24"/>
                <w:szCs w:val="24"/>
              </w:rPr>
              <w:t>$3</w:t>
            </w:r>
            <w:r w:rsidR="00DB13A1">
              <w:rPr>
                <w:rFonts w:asciiTheme="minorHAnsi" w:hAnsiTheme="minorHAnsi"/>
                <w:bCs/>
                <w:sz w:val="24"/>
                <w:szCs w:val="24"/>
              </w:rPr>
              <w:t>70</w:t>
            </w:r>
            <w:r w:rsidRPr="00A67FE9">
              <w:rPr>
                <w:rFonts w:asciiTheme="minorHAnsi" w:hAnsiTheme="minorHAnsi"/>
                <w:bCs/>
                <w:sz w:val="24"/>
                <w:szCs w:val="24"/>
              </w:rPr>
              <w:t>,500</w:t>
            </w:r>
          </w:p>
        </w:tc>
      </w:tr>
    </w:tbl>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29" w:rsidRDefault="00997A29">
      <w:pPr>
        <w:spacing w:after="0" w:line="240" w:lineRule="auto"/>
      </w:pPr>
      <w:r>
        <w:separator/>
      </w:r>
    </w:p>
  </w:endnote>
  <w:endnote w:type="continuationSeparator" w:id="0">
    <w:p w:rsidR="00997A29" w:rsidRDefault="0099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58517"/>
      <w:docPartObj>
        <w:docPartGallery w:val="Page Numbers (Bottom of Page)"/>
        <w:docPartUnique/>
      </w:docPartObj>
    </w:sdtPr>
    <w:sdtEndPr>
      <w:rPr>
        <w:noProof/>
      </w:rPr>
    </w:sdtEndPr>
    <w:sdtContent>
      <w:p w:rsidR="00997A29" w:rsidRDefault="00997A29">
        <w:pPr>
          <w:pStyle w:val="Footer"/>
          <w:jc w:val="center"/>
        </w:pPr>
        <w:r>
          <w:fldChar w:fldCharType="begin"/>
        </w:r>
        <w:r>
          <w:instrText xml:space="preserve"> PAGE   \* MERGEFORMAT </w:instrText>
        </w:r>
        <w:r>
          <w:fldChar w:fldCharType="separate"/>
        </w:r>
        <w:r w:rsidR="00A5082E">
          <w:rPr>
            <w:noProof/>
          </w:rPr>
          <w:t>4</w:t>
        </w:r>
        <w:r>
          <w:rPr>
            <w:noProof/>
          </w:rPr>
          <w:fldChar w:fldCharType="end"/>
        </w:r>
      </w:p>
    </w:sdtContent>
  </w:sdt>
  <w:p w:rsidR="00997A29" w:rsidRDefault="00997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29" w:rsidRDefault="00997A29">
      <w:pPr>
        <w:spacing w:after="0" w:line="240" w:lineRule="auto"/>
      </w:pPr>
      <w:r>
        <w:separator/>
      </w:r>
    </w:p>
  </w:footnote>
  <w:footnote w:type="continuationSeparator" w:id="0">
    <w:p w:rsidR="00997A29" w:rsidRDefault="00997A29">
      <w:pPr>
        <w:spacing w:after="0" w:line="240" w:lineRule="auto"/>
      </w:pPr>
      <w:r>
        <w:continuationSeparator/>
      </w:r>
    </w:p>
  </w:footnote>
  <w:footnote w:id="1">
    <w:p w:rsidR="00997A29" w:rsidRDefault="00997A2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D014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3723"/>
    <w:rsid w:val="00043B2E"/>
    <w:rsid w:val="0006059B"/>
    <w:rsid w:val="00066515"/>
    <w:rsid w:val="000A410F"/>
    <w:rsid w:val="000B4026"/>
    <w:rsid w:val="000C0A7E"/>
    <w:rsid w:val="000F4184"/>
    <w:rsid w:val="00120A60"/>
    <w:rsid w:val="0013425B"/>
    <w:rsid w:val="00144692"/>
    <w:rsid w:val="00153E20"/>
    <w:rsid w:val="001628A1"/>
    <w:rsid w:val="00172EEC"/>
    <w:rsid w:val="001A1E1C"/>
    <w:rsid w:val="001B43EE"/>
    <w:rsid w:val="001B5644"/>
    <w:rsid w:val="001E44AB"/>
    <w:rsid w:val="001E7A97"/>
    <w:rsid w:val="001F7BC9"/>
    <w:rsid w:val="00256D0E"/>
    <w:rsid w:val="0029408A"/>
    <w:rsid w:val="002A35E6"/>
    <w:rsid w:val="002B0B32"/>
    <w:rsid w:val="002E1A9E"/>
    <w:rsid w:val="00310EF6"/>
    <w:rsid w:val="00324AF8"/>
    <w:rsid w:val="00336169"/>
    <w:rsid w:val="00365D82"/>
    <w:rsid w:val="003726B8"/>
    <w:rsid w:val="00377B51"/>
    <w:rsid w:val="003A2F20"/>
    <w:rsid w:val="003A7A16"/>
    <w:rsid w:val="003C71C7"/>
    <w:rsid w:val="003D60DD"/>
    <w:rsid w:val="003E339C"/>
    <w:rsid w:val="003F5F2D"/>
    <w:rsid w:val="00404071"/>
    <w:rsid w:val="0041084D"/>
    <w:rsid w:val="0044553C"/>
    <w:rsid w:val="00460EB1"/>
    <w:rsid w:val="00474C83"/>
    <w:rsid w:val="004970C8"/>
    <w:rsid w:val="004A1CF9"/>
    <w:rsid w:val="004C392D"/>
    <w:rsid w:val="00513A34"/>
    <w:rsid w:val="005362FC"/>
    <w:rsid w:val="005479AE"/>
    <w:rsid w:val="00562355"/>
    <w:rsid w:val="00562B18"/>
    <w:rsid w:val="00571BDB"/>
    <w:rsid w:val="00572831"/>
    <w:rsid w:val="005A10E3"/>
    <w:rsid w:val="005E5A3B"/>
    <w:rsid w:val="00607287"/>
    <w:rsid w:val="006656C5"/>
    <w:rsid w:val="0067270D"/>
    <w:rsid w:val="006B2FF7"/>
    <w:rsid w:val="006C068A"/>
    <w:rsid w:val="00701CF7"/>
    <w:rsid w:val="0070317F"/>
    <w:rsid w:val="0071748D"/>
    <w:rsid w:val="00731D48"/>
    <w:rsid w:val="00734E14"/>
    <w:rsid w:val="0074733F"/>
    <w:rsid w:val="00762D0D"/>
    <w:rsid w:val="00783842"/>
    <w:rsid w:val="00784435"/>
    <w:rsid w:val="007903D0"/>
    <w:rsid w:val="007A268D"/>
    <w:rsid w:val="007B75EE"/>
    <w:rsid w:val="007C5774"/>
    <w:rsid w:val="007E102D"/>
    <w:rsid w:val="00833C88"/>
    <w:rsid w:val="00894356"/>
    <w:rsid w:val="008A6FC5"/>
    <w:rsid w:val="008D173C"/>
    <w:rsid w:val="008E42F3"/>
    <w:rsid w:val="008F21DF"/>
    <w:rsid w:val="00914716"/>
    <w:rsid w:val="00915BDA"/>
    <w:rsid w:val="00982095"/>
    <w:rsid w:val="00997A29"/>
    <w:rsid w:val="009E720B"/>
    <w:rsid w:val="009E75C8"/>
    <w:rsid w:val="00A12AC9"/>
    <w:rsid w:val="00A5082E"/>
    <w:rsid w:val="00A52F7E"/>
    <w:rsid w:val="00A666FD"/>
    <w:rsid w:val="00A67FE9"/>
    <w:rsid w:val="00A816AB"/>
    <w:rsid w:val="00A96367"/>
    <w:rsid w:val="00AA3F96"/>
    <w:rsid w:val="00AB61BB"/>
    <w:rsid w:val="00AC207F"/>
    <w:rsid w:val="00AC2497"/>
    <w:rsid w:val="00AF55E9"/>
    <w:rsid w:val="00B62D4D"/>
    <w:rsid w:val="00BA1806"/>
    <w:rsid w:val="00BC63CD"/>
    <w:rsid w:val="00BD13BB"/>
    <w:rsid w:val="00BD5913"/>
    <w:rsid w:val="00BE0599"/>
    <w:rsid w:val="00BF2E89"/>
    <w:rsid w:val="00BF7558"/>
    <w:rsid w:val="00C200D1"/>
    <w:rsid w:val="00C61970"/>
    <w:rsid w:val="00C62FA2"/>
    <w:rsid w:val="00CC2FDD"/>
    <w:rsid w:val="00D30F06"/>
    <w:rsid w:val="00D64405"/>
    <w:rsid w:val="00D64AAF"/>
    <w:rsid w:val="00D93FE0"/>
    <w:rsid w:val="00DA3AFF"/>
    <w:rsid w:val="00DB13A1"/>
    <w:rsid w:val="00DB5174"/>
    <w:rsid w:val="00DE07E7"/>
    <w:rsid w:val="00E57E58"/>
    <w:rsid w:val="00EB2D61"/>
    <w:rsid w:val="00ED6445"/>
    <w:rsid w:val="00F15BAA"/>
    <w:rsid w:val="00F242F7"/>
    <w:rsid w:val="00F31E34"/>
    <w:rsid w:val="00FA1D10"/>
    <w:rsid w:val="00FA7688"/>
    <w:rsid w:val="00FB1178"/>
    <w:rsid w:val="00FB2343"/>
    <w:rsid w:val="00FD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table" w:customStyle="1" w:styleId="TableGrid1">
    <w:name w:val="Table Grid1"/>
    <w:basedOn w:val="TableNormal"/>
    <w:next w:val="TableGrid"/>
    <w:uiPriority w:val="59"/>
    <w:rsid w:val="00A67FE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locked/>
    <w:rsid w:val="00A6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table" w:customStyle="1" w:styleId="TableGrid1">
    <w:name w:val="Table Grid1"/>
    <w:basedOn w:val="TableNormal"/>
    <w:next w:val="TableGrid"/>
    <w:uiPriority w:val="59"/>
    <w:rsid w:val="00A67FE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locked/>
    <w:rsid w:val="00A6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1627</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Bonds, Constance (CDC/OID/NCHHSTP)</cp:lastModifiedBy>
  <cp:revision>16</cp:revision>
  <cp:lastPrinted>2014-06-25T16:54:00Z</cp:lastPrinted>
  <dcterms:created xsi:type="dcterms:W3CDTF">2014-06-24T16:45:00Z</dcterms:created>
  <dcterms:modified xsi:type="dcterms:W3CDTF">2014-06-30T12:55:00Z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