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proofErr w:type="gramStart"/>
      <w:r>
        <w:t xml:space="preserve">, </w:t>
      </w:r>
      <w:r w:rsidR="003C2C0B">
        <w:t xml:space="preserve"> National</w:t>
      </w:r>
      <w:proofErr w:type="gramEnd"/>
      <w:r w:rsidR="003C2C0B">
        <w:t xml:space="preserve"> Center for Immunization and Respiratory Diseases</w:t>
      </w:r>
      <w:r w:rsidR="0026487B">
        <w:t xml:space="preserve">, </w:t>
      </w:r>
      <w:r w:rsidR="0026487B">
        <w:rPr>
          <w:rFonts w:asciiTheme="minorHAnsi" w:hAnsiTheme="minorHAnsi" w:cs="Courier New"/>
          <w:bCs/>
        </w:rPr>
        <w:t>Centers for Disease Control and Prevention (CDC)</w:t>
      </w:r>
      <w:r w:rsidR="0026487B">
        <w:t xml:space="preserve"> </w:t>
      </w:r>
      <w:r>
        <w:t>(hereafter “</w:t>
      </w:r>
      <w:r w:rsidR="003C2C0B">
        <w:t>Agency</w:t>
      </w:r>
      <w:r>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r w:rsidR="00F242F7">
        <w:t>will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Pr="00873289" w:rsidRDefault="00762D0D">
      <w:pPr>
        <w:pStyle w:val="ListParagraph"/>
        <w:spacing w:after="0" w:line="240" w:lineRule="auto"/>
        <w:ind w:left="0"/>
        <w:rPr>
          <w:rFonts w:asciiTheme="minorHAnsi" w:hAnsiTheme="minorHAnsi"/>
          <w:b/>
        </w:rPr>
      </w:pPr>
    </w:p>
    <w:p w:rsidR="00762D0D" w:rsidRPr="00873289" w:rsidRDefault="00312608">
      <w:pPr>
        <w:spacing w:after="0" w:line="240" w:lineRule="auto"/>
        <w:rPr>
          <w:rFonts w:asciiTheme="minorHAnsi" w:hAnsiTheme="minorHAnsi"/>
        </w:rPr>
      </w:pPr>
      <w:r w:rsidRPr="00873289">
        <w:rPr>
          <w:rFonts w:asciiTheme="minorHAnsi" w:hAnsiTheme="minorHAnsi"/>
        </w:rPr>
        <w:t>In accordance with 5 CFR 1320.8(d)</w:t>
      </w:r>
      <w:proofErr w:type="gramStart"/>
      <w:r w:rsidRPr="00873289">
        <w:rPr>
          <w:rFonts w:asciiTheme="minorHAnsi" w:hAnsiTheme="minorHAnsi"/>
        </w:rPr>
        <w:t>,</w:t>
      </w:r>
      <w:r w:rsidR="00873289" w:rsidRPr="00873289">
        <w:rPr>
          <w:rFonts w:asciiTheme="minorHAnsi" w:hAnsiTheme="minorHAnsi" w:cs="Courier New"/>
        </w:rPr>
        <w:t>Vol</w:t>
      </w:r>
      <w:proofErr w:type="gramEnd"/>
      <w:r w:rsidR="00873289" w:rsidRPr="00873289">
        <w:rPr>
          <w:rFonts w:asciiTheme="minorHAnsi" w:hAnsiTheme="minorHAnsi" w:cs="Courier New"/>
        </w:rPr>
        <w:t xml:space="preserve">. 79, No. 83 </w:t>
      </w:r>
      <w:r w:rsidR="00E5649A">
        <w:rPr>
          <w:rFonts w:asciiTheme="minorHAnsi" w:hAnsiTheme="minorHAnsi" w:cs="Courier New"/>
        </w:rPr>
        <w:t>pages 24432 -24434,</w:t>
      </w:r>
      <w:bookmarkStart w:id="0" w:name="_GoBack"/>
      <w:bookmarkEnd w:id="0"/>
      <w:r w:rsidR="00873289" w:rsidRPr="00873289">
        <w:rPr>
          <w:rFonts w:asciiTheme="minorHAnsi" w:hAnsiTheme="minorHAnsi" w:cs="Courier New"/>
        </w:rPr>
        <w:t xml:space="preserve"> Wednesday, April 30, 2014</w:t>
      </w:r>
      <w:r w:rsidRPr="00873289">
        <w:rPr>
          <w:rFonts w:asciiTheme="minorHAnsi" w:hAnsiTheme="minorHAnsi"/>
        </w:rPr>
        <w:t xml:space="preserve">, a 60-day notice for public comment was published in the </w:t>
      </w:r>
      <w:r w:rsidRPr="00873289">
        <w:rPr>
          <w:rFonts w:asciiTheme="minorHAnsi" w:hAnsiTheme="minorHAnsi"/>
          <w:i/>
        </w:rPr>
        <w:t>Federal Register</w:t>
      </w:r>
      <w:r w:rsidRPr="00873289">
        <w:rPr>
          <w:rFonts w:asciiTheme="minorHAnsi" w:hAnsiTheme="minorHAnsi"/>
        </w:rPr>
        <w:t>.  No substantive public comments were received in response to this notice.</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rsidP="0041084D">
      <w:pPr>
        <w:pStyle w:val="ListParagraph"/>
        <w:numPr>
          <w:ilvl w:val="0"/>
          <w:numId w:val="2"/>
        </w:numPr>
        <w:spacing w:after="0" w:line="240" w:lineRule="auto"/>
        <w:ind w:left="0"/>
      </w:pPr>
      <w:r w:rsidRPr="0041084D">
        <w:rPr>
          <w:b/>
        </w:rPr>
        <w:lastRenderedPageBreak/>
        <w:t xml:space="preserve"> Confidentiality </w:t>
      </w: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3C2C0B">
        <w:t>6,588</w:t>
      </w:r>
      <w:r>
        <w:t>) are based on the number of collections we expect to conduct over the requ</w:t>
      </w:r>
      <w:r w:rsidR="003C2C0B">
        <w:t>ested period for this clearance</w:t>
      </w:r>
      <w:r>
        <w:t>.</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084D" w:rsidRDefault="0041084D">
            <w:pPr>
              <w:tabs>
                <w:tab w:val="left" w:pos="-1080"/>
                <w:tab w:val="left" w:pos="-720"/>
                <w:tab w:val="left" w:pos="0"/>
                <w:tab w:val="left" w:pos="450"/>
                <w:tab w:val="left" w:pos="720"/>
                <w:tab w:val="left" w:pos="2160"/>
              </w:tabs>
              <w:spacing w:after="0" w:line="240" w:lineRule="auto"/>
              <w:jc w:val="center"/>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3C2C0B" w:rsidRPr="007B75EE">
        <w:tc>
          <w:tcPr>
            <w:tcW w:w="2880" w:type="dxa"/>
            <w:tcBorders>
              <w:top w:val="single" w:sz="6" w:space="0" w:color="000000"/>
              <w:left w:val="single" w:sz="6" w:space="0" w:color="000000"/>
              <w:bottom w:val="single" w:sz="6" w:space="0" w:color="000000"/>
              <w:right w:val="single" w:sz="6" w:space="0" w:color="FFFFFF"/>
            </w:tcBorders>
          </w:tcPr>
          <w:p w:rsidR="003C2C0B" w:rsidRDefault="003C2C0B" w:rsidP="003C2C0B">
            <w:pPr>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Online surveys</w:t>
            </w:r>
          </w:p>
        </w:tc>
        <w:tc>
          <w:tcPr>
            <w:tcW w:w="171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8500</w:t>
            </w:r>
          </w:p>
        </w:tc>
        <w:tc>
          <w:tcPr>
            <w:tcW w:w="171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3C2C0B" w:rsidRDefault="003C2C0B" w:rsidP="003C2C0B">
            <w:pPr>
              <w:tabs>
                <w:tab w:val="left" w:pos="-1080"/>
                <w:tab w:val="left" w:pos="-720"/>
                <w:tab w:val="left" w:pos="0"/>
                <w:tab w:val="left" w:pos="450"/>
                <w:tab w:val="left" w:pos="720"/>
                <w:tab w:val="left" w:pos="2160"/>
              </w:tabs>
              <w:jc w:val="center"/>
              <w:rPr>
                <w:sz w:val="20"/>
              </w:rPr>
            </w:pPr>
            <w:r>
              <w:rPr>
                <w:sz w:val="20"/>
              </w:rPr>
              <w:t>4250</w:t>
            </w:r>
          </w:p>
        </w:tc>
      </w:tr>
      <w:tr w:rsidR="003C2C0B" w:rsidRPr="007B75EE">
        <w:tc>
          <w:tcPr>
            <w:tcW w:w="2880" w:type="dxa"/>
            <w:tcBorders>
              <w:top w:val="single" w:sz="6" w:space="0" w:color="000000"/>
              <w:left w:val="single" w:sz="6" w:space="0" w:color="000000"/>
              <w:bottom w:val="single" w:sz="6" w:space="0" w:color="000000"/>
              <w:right w:val="single" w:sz="6" w:space="0" w:color="FFFFFF"/>
            </w:tcBorders>
          </w:tcPr>
          <w:p w:rsidR="003C2C0B" w:rsidRDefault="003C2C0B" w:rsidP="003C2C0B">
            <w:pPr>
              <w:rPr>
                <w:sz w:val="20"/>
              </w:rPr>
            </w:pPr>
          </w:p>
          <w:p w:rsidR="003C2C0B" w:rsidRDefault="003C2C0B" w:rsidP="003C2C0B">
            <w:pPr>
              <w:rPr>
                <w:sz w:val="20"/>
              </w:rPr>
            </w:pPr>
            <w:r>
              <w:rPr>
                <w:sz w:val="20"/>
              </w:rPr>
              <w:t>Discussion Groups</w:t>
            </w:r>
          </w:p>
        </w:tc>
        <w:tc>
          <w:tcPr>
            <w:tcW w:w="171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150</w:t>
            </w:r>
          </w:p>
        </w:tc>
        <w:tc>
          <w:tcPr>
            <w:tcW w:w="171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3C2C0B" w:rsidRDefault="003C2C0B" w:rsidP="003C2C0B">
            <w:pPr>
              <w:tabs>
                <w:tab w:val="left" w:pos="-1080"/>
                <w:tab w:val="left" w:pos="-720"/>
                <w:tab w:val="left" w:pos="0"/>
                <w:tab w:val="left" w:pos="450"/>
                <w:tab w:val="left" w:pos="720"/>
                <w:tab w:val="left" w:pos="2160"/>
              </w:tabs>
              <w:jc w:val="center"/>
              <w:rPr>
                <w:sz w:val="20"/>
              </w:rPr>
            </w:pPr>
            <w:r>
              <w:rPr>
                <w:sz w:val="20"/>
              </w:rPr>
              <w:t>300</w:t>
            </w:r>
          </w:p>
        </w:tc>
      </w:tr>
      <w:tr w:rsidR="003C2C0B" w:rsidRPr="007B75EE">
        <w:tc>
          <w:tcPr>
            <w:tcW w:w="2880" w:type="dxa"/>
            <w:tcBorders>
              <w:top w:val="single" w:sz="6" w:space="0" w:color="000000"/>
              <w:left w:val="single" w:sz="6" w:space="0" w:color="000000"/>
              <w:bottom w:val="single" w:sz="6" w:space="0" w:color="000000"/>
              <w:right w:val="single" w:sz="6" w:space="0" w:color="FFFFFF"/>
            </w:tcBorders>
          </w:tcPr>
          <w:p w:rsidR="003C2C0B" w:rsidRPr="002A5B3B" w:rsidRDefault="003C2C0B" w:rsidP="003C2C0B">
            <w:pPr>
              <w:rPr>
                <w:sz w:val="20"/>
              </w:rPr>
            </w:pPr>
          </w:p>
          <w:p w:rsidR="003C2C0B" w:rsidRPr="002A5B3B" w:rsidRDefault="003C2C0B" w:rsidP="003C2C0B">
            <w:pPr>
              <w:rPr>
                <w:sz w:val="20"/>
              </w:rPr>
            </w:pPr>
            <w:r w:rsidRPr="002A5B3B">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700</w:t>
            </w:r>
          </w:p>
        </w:tc>
        <w:tc>
          <w:tcPr>
            <w:tcW w:w="171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3C2C0B" w:rsidRDefault="003C2C0B" w:rsidP="003C2C0B">
            <w:pPr>
              <w:tabs>
                <w:tab w:val="left" w:pos="-1080"/>
                <w:tab w:val="left" w:pos="-720"/>
                <w:tab w:val="left" w:pos="0"/>
                <w:tab w:val="left" w:pos="450"/>
                <w:tab w:val="left" w:pos="720"/>
                <w:tab w:val="left" w:pos="2160"/>
              </w:tabs>
              <w:jc w:val="center"/>
              <w:rPr>
                <w:sz w:val="20"/>
                <w:highlight w:val="yellow"/>
              </w:rPr>
            </w:pPr>
            <w:r w:rsidRPr="000A3CE0">
              <w:rPr>
                <w:sz w:val="20"/>
              </w:rPr>
              <w:t>1400</w:t>
            </w:r>
          </w:p>
        </w:tc>
      </w:tr>
      <w:tr w:rsidR="003C2C0B" w:rsidRPr="007B75EE">
        <w:tc>
          <w:tcPr>
            <w:tcW w:w="2880" w:type="dxa"/>
            <w:tcBorders>
              <w:top w:val="single" w:sz="6" w:space="0" w:color="000000"/>
              <w:left w:val="single" w:sz="6" w:space="0" w:color="000000"/>
              <w:bottom w:val="single" w:sz="6" w:space="0" w:color="000000"/>
              <w:right w:val="single" w:sz="6" w:space="0" w:color="FFFFFF"/>
            </w:tcBorders>
          </w:tcPr>
          <w:p w:rsidR="003C2C0B" w:rsidRDefault="003C2C0B" w:rsidP="003C2C0B">
            <w:pPr>
              <w:rPr>
                <w:sz w:val="20"/>
              </w:rPr>
            </w:pPr>
          </w:p>
          <w:p w:rsidR="003C2C0B" w:rsidRPr="006349DD" w:rsidRDefault="003C2C0B" w:rsidP="003C2C0B">
            <w:pPr>
              <w:rPr>
                <w:sz w:val="20"/>
              </w:rPr>
            </w:pPr>
            <w:r w:rsidRPr="006349DD">
              <w:rPr>
                <w:sz w:val="20"/>
              </w:rPr>
              <w:t>Website/app usability</w:t>
            </w:r>
            <w:r>
              <w:rPr>
                <w:sz w:val="20"/>
              </w:rPr>
              <w:t xml:space="preserve"> testing</w:t>
            </w:r>
          </w:p>
        </w:tc>
        <w:tc>
          <w:tcPr>
            <w:tcW w:w="171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Pr="006349DD" w:rsidRDefault="003C2C0B" w:rsidP="003C2C0B">
            <w:pPr>
              <w:tabs>
                <w:tab w:val="left" w:pos="-1080"/>
                <w:tab w:val="left" w:pos="-720"/>
                <w:tab w:val="left" w:pos="0"/>
                <w:tab w:val="left" w:pos="450"/>
                <w:tab w:val="left" w:pos="720"/>
                <w:tab w:val="left" w:pos="2160"/>
              </w:tabs>
              <w:rPr>
                <w:sz w:val="20"/>
              </w:rPr>
            </w:pPr>
            <w:r>
              <w:rPr>
                <w:sz w:val="20"/>
              </w:rPr>
              <w:t>250</w:t>
            </w:r>
          </w:p>
        </w:tc>
        <w:tc>
          <w:tcPr>
            <w:tcW w:w="171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Pr="006349DD" w:rsidRDefault="003C2C0B" w:rsidP="003C2C0B">
            <w:pPr>
              <w:tabs>
                <w:tab w:val="left" w:pos="-1080"/>
                <w:tab w:val="left" w:pos="-720"/>
                <w:tab w:val="left" w:pos="0"/>
                <w:tab w:val="left" w:pos="450"/>
                <w:tab w:val="left" w:pos="720"/>
                <w:tab w:val="left" w:pos="2160"/>
              </w:tabs>
              <w:rPr>
                <w:sz w:val="20"/>
              </w:rPr>
            </w:pPr>
            <w:r>
              <w:rPr>
                <w:sz w:val="20"/>
              </w:rPr>
              <w:t>45/60</w:t>
            </w:r>
          </w:p>
        </w:tc>
        <w:tc>
          <w:tcPr>
            <w:tcW w:w="1260" w:type="dxa"/>
            <w:tcBorders>
              <w:top w:val="single" w:sz="6" w:space="0" w:color="000000"/>
              <w:left w:val="single" w:sz="6" w:space="0" w:color="000000"/>
              <w:bottom w:val="single" w:sz="6" w:space="0" w:color="000000"/>
              <w:right w:val="single" w:sz="6" w:space="0" w:color="000000"/>
            </w:tcBorders>
            <w:vAlign w:val="bottom"/>
          </w:tcPr>
          <w:p w:rsidR="003C2C0B" w:rsidRPr="00C346EC" w:rsidRDefault="003C2C0B" w:rsidP="003C2C0B">
            <w:pPr>
              <w:tabs>
                <w:tab w:val="left" w:pos="-1080"/>
                <w:tab w:val="left" w:pos="-720"/>
                <w:tab w:val="left" w:pos="0"/>
                <w:tab w:val="left" w:pos="450"/>
                <w:tab w:val="left" w:pos="720"/>
                <w:tab w:val="left" w:pos="2160"/>
              </w:tabs>
              <w:jc w:val="center"/>
              <w:rPr>
                <w:sz w:val="20"/>
              </w:rPr>
            </w:pPr>
            <w:r w:rsidRPr="000A3CE0">
              <w:rPr>
                <w:sz w:val="20"/>
              </w:rPr>
              <w:t>188</w:t>
            </w:r>
          </w:p>
        </w:tc>
      </w:tr>
      <w:tr w:rsidR="003C2C0B" w:rsidRPr="007B75EE">
        <w:tc>
          <w:tcPr>
            <w:tcW w:w="2880" w:type="dxa"/>
            <w:tcBorders>
              <w:top w:val="single" w:sz="6" w:space="0" w:color="000000"/>
              <w:left w:val="single" w:sz="6" w:space="0" w:color="000000"/>
              <w:bottom w:val="single" w:sz="6" w:space="0" w:color="000000"/>
              <w:right w:val="single" w:sz="6" w:space="0" w:color="FFFFFF"/>
            </w:tcBorders>
          </w:tcPr>
          <w:p w:rsidR="003C2C0B" w:rsidRDefault="003C2C0B" w:rsidP="003C2C0B">
            <w:pPr>
              <w:rPr>
                <w:sz w:val="20"/>
              </w:rPr>
            </w:pPr>
          </w:p>
          <w:p w:rsidR="003C2C0B" w:rsidRPr="006349DD" w:rsidRDefault="003C2C0B" w:rsidP="003C2C0B">
            <w:pPr>
              <w:rPr>
                <w:sz w:val="20"/>
              </w:rPr>
            </w:pPr>
            <w:r>
              <w:rPr>
                <w:sz w:val="20"/>
              </w:rPr>
              <w:t>Interviews</w:t>
            </w:r>
          </w:p>
        </w:tc>
        <w:tc>
          <w:tcPr>
            <w:tcW w:w="171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Pr="006349DD" w:rsidRDefault="003C2C0B" w:rsidP="003C2C0B">
            <w:pPr>
              <w:tabs>
                <w:tab w:val="left" w:pos="-1080"/>
                <w:tab w:val="left" w:pos="-720"/>
                <w:tab w:val="left" w:pos="0"/>
                <w:tab w:val="left" w:pos="450"/>
                <w:tab w:val="left" w:pos="720"/>
                <w:tab w:val="left" w:pos="2160"/>
              </w:tabs>
              <w:rPr>
                <w:sz w:val="20"/>
              </w:rPr>
            </w:pPr>
            <w:r>
              <w:rPr>
                <w:sz w:val="20"/>
              </w:rPr>
              <w:t>300</w:t>
            </w:r>
          </w:p>
        </w:tc>
        <w:tc>
          <w:tcPr>
            <w:tcW w:w="171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Default="003C2C0B" w:rsidP="003C2C0B">
            <w:pPr>
              <w:tabs>
                <w:tab w:val="left" w:pos="-1080"/>
                <w:tab w:val="left" w:pos="-720"/>
                <w:tab w:val="left" w:pos="0"/>
                <w:tab w:val="left" w:pos="450"/>
                <w:tab w:val="left" w:pos="720"/>
                <w:tab w:val="left" w:pos="2160"/>
              </w:tabs>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3C2C0B" w:rsidRDefault="003C2C0B" w:rsidP="003C2C0B">
            <w:pPr>
              <w:tabs>
                <w:tab w:val="left" w:pos="-1080"/>
                <w:tab w:val="left" w:pos="-720"/>
                <w:tab w:val="left" w:pos="0"/>
                <w:tab w:val="left" w:pos="450"/>
                <w:tab w:val="left" w:pos="720"/>
                <w:tab w:val="left" w:pos="2160"/>
              </w:tabs>
              <w:rPr>
                <w:sz w:val="20"/>
              </w:rPr>
            </w:pPr>
          </w:p>
          <w:p w:rsidR="003C2C0B" w:rsidRPr="006349DD" w:rsidRDefault="003C2C0B" w:rsidP="003C2C0B">
            <w:pPr>
              <w:tabs>
                <w:tab w:val="left" w:pos="-1080"/>
                <w:tab w:val="left" w:pos="-720"/>
                <w:tab w:val="left" w:pos="0"/>
                <w:tab w:val="left" w:pos="450"/>
                <w:tab w:val="left" w:pos="720"/>
                <w:tab w:val="left" w:pos="2160"/>
              </w:tabs>
              <w:rPr>
                <w:sz w:val="20"/>
              </w:rPr>
            </w:pPr>
            <w:r>
              <w:rPr>
                <w:sz w:val="20"/>
              </w:rPr>
              <w:t>1.5</w:t>
            </w:r>
          </w:p>
        </w:tc>
        <w:tc>
          <w:tcPr>
            <w:tcW w:w="1260" w:type="dxa"/>
            <w:tcBorders>
              <w:top w:val="single" w:sz="6" w:space="0" w:color="000000"/>
              <w:left w:val="single" w:sz="6" w:space="0" w:color="000000"/>
              <w:bottom w:val="single" w:sz="6" w:space="0" w:color="000000"/>
              <w:right w:val="single" w:sz="6" w:space="0" w:color="000000"/>
            </w:tcBorders>
            <w:vAlign w:val="bottom"/>
          </w:tcPr>
          <w:p w:rsidR="003C2C0B" w:rsidRDefault="003C2C0B" w:rsidP="003C2C0B">
            <w:pPr>
              <w:tabs>
                <w:tab w:val="left" w:pos="-1080"/>
                <w:tab w:val="left" w:pos="-720"/>
                <w:tab w:val="left" w:pos="0"/>
                <w:tab w:val="left" w:pos="450"/>
                <w:tab w:val="left" w:pos="720"/>
                <w:tab w:val="left" w:pos="2160"/>
              </w:tabs>
              <w:jc w:val="center"/>
              <w:rPr>
                <w:sz w:val="20"/>
                <w:highlight w:val="yellow"/>
              </w:rPr>
            </w:pPr>
            <w:r w:rsidRPr="000A3CE0">
              <w:rPr>
                <w:sz w:val="20"/>
              </w:rPr>
              <w:t>450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lastRenderedPageBreak/>
        <w:t>No costs are anticipated.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B66F6A">
        <w:t xml:space="preserve">60,000.00 </w:t>
      </w:r>
      <w:r>
        <w:t xml:space="preserve">annually.  These costs are </w:t>
      </w:r>
      <w:r w:rsidR="00B66F6A">
        <w:t>comprised of CDC staff and contractor salaries</w:t>
      </w:r>
      <w:r w:rsidR="003C2C0B">
        <w:t xml:space="preserve"> supporting the data collection activities and associated tasks</w:t>
      </w:r>
      <w:r w:rsidR="00B66F6A">
        <w:t xml:space="preserve"> </w:t>
      </w:r>
      <w:r w:rsidRPr="00B66F6A">
        <w:t>necessary to collect the information approved under this generic cle</w:t>
      </w:r>
      <w:r w:rsidR="003C2C0B" w:rsidRPr="00B66F6A">
        <w:t>arance.</w:t>
      </w:r>
      <w:r w:rsidR="00B66F6A">
        <w:t xml:space="preser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41084D">
      <w:pPr>
        <w:spacing w:after="0" w:line="240" w:lineRule="auto"/>
        <w:rPr>
          <w:b/>
        </w:rPr>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p>
    <w:p w:rsidR="00762D0D" w:rsidRDefault="00762D0D">
      <w:pPr>
        <w:spacing w:after="0" w:line="240" w:lineRule="auto"/>
        <w:ind w:left="360"/>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C0B" w:rsidRDefault="003C2C0B">
      <w:pPr>
        <w:spacing w:after="0" w:line="240" w:lineRule="auto"/>
      </w:pPr>
      <w:r>
        <w:separator/>
      </w:r>
    </w:p>
  </w:endnote>
  <w:endnote w:type="continuationSeparator" w:id="0">
    <w:p w:rsidR="003C2C0B" w:rsidRDefault="003C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C0B" w:rsidRDefault="003C2C0B">
      <w:pPr>
        <w:spacing w:after="0" w:line="240" w:lineRule="auto"/>
      </w:pPr>
      <w:r>
        <w:separator/>
      </w:r>
    </w:p>
  </w:footnote>
  <w:footnote w:type="continuationSeparator" w:id="0">
    <w:p w:rsidR="003C2C0B" w:rsidRDefault="003C2C0B">
      <w:pPr>
        <w:spacing w:after="0" w:line="240" w:lineRule="auto"/>
      </w:pPr>
      <w:r>
        <w:continuationSeparator/>
      </w:r>
    </w:p>
  </w:footnote>
  <w:footnote w:id="1">
    <w:p w:rsidR="003C2C0B" w:rsidRDefault="003C2C0B"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0B" w:rsidRDefault="003C2C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0B" w:rsidRDefault="003C2C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0B" w:rsidRDefault="003C2C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059B"/>
    <w:rsid w:val="00066515"/>
    <w:rsid w:val="000A410F"/>
    <w:rsid w:val="000B4026"/>
    <w:rsid w:val="000C0A7E"/>
    <w:rsid w:val="00120A60"/>
    <w:rsid w:val="0013425B"/>
    <w:rsid w:val="00153E20"/>
    <w:rsid w:val="001628A1"/>
    <w:rsid w:val="00172EEC"/>
    <w:rsid w:val="001A1E1C"/>
    <w:rsid w:val="001B43EE"/>
    <w:rsid w:val="001B5644"/>
    <w:rsid w:val="001E44AB"/>
    <w:rsid w:val="001E7A97"/>
    <w:rsid w:val="001F7BC9"/>
    <w:rsid w:val="00256D0E"/>
    <w:rsid w:val="0026487B"/>
    <w:rsid w:val="0029408A"/>
    <w:rsid w:val="002A35E6"/>
    <w:rsid w:val="002B0B32"/>
    <w:rsid w:val="00312608"/>
    <w:rsid w:val="00324AF8"/>
    <w:rsid w:val="00336169"/>
    <w:rsid w:val="003726B8"/>
    <w:rsid w:val="00377B51"/>
    <w:rsid w:val="003A2F20"/>
    <w:rsid w:val="003A7A16"/>
    <w:rsid w:val="003C2C0B"/>
    <w:rsid w:val="003E339C"/>
    <w:rsid w:val="003F5F2D"/>
    <w:rsid w:val="00404071"/>
    <w:rsid w:val="0041084D"/>
    <w:rsid w:val="0044553C"/>
    <w:rsid w:val="00460EB1"/>
    <w:rsid w:val="00474C83"/>
    <w:rsid w:val="004970C8"/>
    <w:rsid w:val="004A1CF9"/>
    <w:rsid w:val="004C392D"/>
    <w:rsid w:val="00513A34"/>
    <w:rsid w:val="005362FC"/>
    <w:rsid w:val="00562B18"/>
    <w:rsid w:val="00571BDB"/>
    <w:rsid w:val="00572831"/>
    <w:rsid w:val="005A10E3"/>
    <w:rsid w:val="005E5A3B"/>
    <w:rsid w:val="00607287"/>
    <w:rsid w:val="006656C5"/>
    <w:rsid w:val="0067270D"/>
    <w:rsid w:val="006B2FF7"/>
    <w:rsid w:val="006C068A"/>
    <w:rsid w:val="00701CF7"/>
    <w:rsid w:val="0071748D"/>
    <w:rsid w:val="00731D48"/>
    <w:rsid w:val="0074733F"/>
    <w:rsid w:val="00762D0D"/>
    <w:rsid w:val="00783842"/>
    <w:rsid w:val="007903D0"/>
    <w:rsid w:val="007A268D"/>
    <w:rsid w:val="007B75EE"/>
    <w:rsid w:val="007E102D"/>
    <w:rsid w:val="00873289"/>
    <w:rsid w:val="00894356"/>
    <w:rsid w:val="008A6FC5"/>
    <w:rsid w:val="008D173C"/>
    <w:rsid w:val="008E42F3"/>
    <w:rsid w:val="008F21DF"/>
    <w:rsid w:val="00914716"/>
    <w:rsid w:val="00915BDA"/>
    <w:rsid w:val="00982095"/>
    <w:rsid w:val="009E720B"/>
    <w:rsid w:val="009E75C8"/>
    <w:rsid w:val="00A12AC9"/>
    <w:rsid w:val="00A52F7E"/>
    <w:rsid w:val="00A666FD"/>
    <w:rsid w:val="00A816AB"/>
    <w:rsid w:val="00A96367"/>
    <w:rsid w:val="00AA3F96"/>
    <w:rsid w:val="00AC207F"/>
    <w:rsid w:val="00AC2497"/>
    <w:rsid w:val="00AF55E9"/>
    <w:rsid w:val="00B66F6A"/>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5649A"/>
    <w:rsid w:val="00EB2D61"/>
    <w:rsid w:val="00ED6445"/>
    <w:rsid w:val="00F15BAA"/>
    <w:rsid w:val="00F242F7"/>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CDC User</cp:lastModifiedBy>
  <cp:revision>2</cp:revision>
  <cp:lastPrinted>2012-08-06T16:24:00Z</cp:lastPrinted>
  <dcterms:created xsi:type="dcterms:W3CDTF">2014-06-27T17:02:00Z</dcterms:created>
  <dcterms:modified xsi:type="dcterms:W3CDTF">2014-06-27T17:02:00Z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