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E3F0D" w14:textId="77777777" w:rsidR="00705E23" w:rsidRDefault="00705E23" w:rsidP="00705E23">
      <w:pPr>
        <w:jc w:val="center"/>
        <w:rPr>
          <w:b/>
          <w:bCs/>
          <w:sz w:val="24"/>
          <w:szCs w:val="24"/>
        </w:rPr>
      </w:pPr>
      <w:r>
        <w:rPr>
          <w:b/>
          <w:bCs/>
          <w:sz w:val="24"/>
          <w:szCs w:val="24"/>
        </w:rPr>
        <w:t>SUPPORTING STATEMENT</w:t>
      </w:r>
    </w:p>
    <w:p w14:paraId="50658F6B" w14:textId="77777777" w:rsidR="00705E23" w:rsidRDefault="00705E23" w:rsidP="00705E23">
      <w:pPr>
        <w:jc w:val="center"/>
        <w:rPr>
          <w:b/>
          <w:bCs/>
          <w:sz w:val="24"/>
          <w:szCs w:val="24"/>
        </w:rPr>
      </w:pPr>
      <w:r w:rsidRPr="00AF3080">
        <w:rPr>
          <w:b/>
          <w:bCs/>
          <w:sz w:val="24"/>
          <w:szCs w:val="24"/>
        </w:rPr>
        <w:t xml:space="preserve">U.S. WEST COAST COMMERCIAL ALBACORE </w:t>
      </w:r>
    </w:p>
    <w:p w14:paraId="633BD077" w14:textId="77777777" w:rsidR="00705E23" w:rsidRDefault="00705E23" w:rsidP="00705E23">
      <w:pPr>
        <w:jc w:val="center"/>
        <w:rPr>
          <w:b/>
          <w:bCs/>
          <w:sz w:val="24"/>
          <w:szCs w:val="24"/>
        </w:rPr>
      </w:pPr>
      <w:r w:rsidRPr="00AF3080">
        <w:rPr>
          <w:b/>
          <w:bCs/>
          <w:sz w:val="24"/>
          <w:szCs w:val="24"/>
        </w:rPr>
        <w:t>FISHERY COST-EARNINGS SURVEY</w:t>
      </w:r>
    </w:p>
    <w:p w14:paraId="08B941D8" w14:textId="77777777" w:rsidR="00705E23" w:rsidRDefault="00705E23" w:rsidP="00705E23">
      <w:pPr>
        <w:jc w:val="center"/>
        <w:rPr>
          <w:sz w:val="24"/>
          <w:szCs w:val="24"/>
        </w:rPr>
      </w:pPr>
      <w:proofErr w:type="gramStart"/>
      <w:r>
        <w:rPr>
          <w:b/>
          <w:bCs/>
          <w:sz w:val="24"/>
          <w:szCs w:val="24"/>
        </w:rPr>
        <w:t>OMB CONTROL NO.</w:t>
      </w:r>
      <w:proofErr w:type="gramEnd"/>
      <w:r>
        <w:rPr>
          <w:b/>
          <w:bCs/>
          <w:sz w:val="24"/>
          <w:szCs w:val="24"/>
        </w:rPr>
        <w:t xml:space="preserve"> 0648-XXXX</w:t>
      </w:r>
    </w:p>
    <w:p w14:paraId="461FC26D" w14:textId="77777777" w:rsidR="00705E23" w:rsidRDefault="00705E23" w:rsidP="00705E23">
      <w:pPr>
        <w:rPr>
          <w:b/>
          <w:bCs/>
          <w:sz w:val="24"/>
          <w:szCs w:val="24"/>
        </w:rPr>
      </w:pPr>
    </w:p>
    <w:p w14:paraId="4B72A9F6" w14:textId="77777777" w:rsidR="00705E23" w:rsidRDefault="00705E23" w:rsidP="00705E23">
      <w:pPr>
        <w:rPr>
          <w:b/>
          <w:bCs/>
          <w:sz w:val="24"/>
          <w:szCs w:val="24"/>
        </w:rPr>
      </w:pPr>
    </w:p>
    <w:p w14:paraId="08EF1E75" w14:textId="77777777" w:rsidR="00705E23" w:rsidRDefault="00705E23" w:rsidP="00705E23">
      <w:pPr>
        <w:rPr>
          <w:sz w:val="24"/>
          <w:szCs w:val="24"/>
        </w:rPr>
      </w:pPr>
      <w:r>
        <w:rPr>
          <w:b/>
          <w:bCs/>
          <w:sz w:val="24"/>
          <w:szCs w:val="24"/>
        </w:rPr>
        <w:t>B.  COLLECTIONS OF INFORMATION EMPLOYING STATISTICAL METHODS</w:t>
      </w:r>
    </w:p>
    <w:p w14:paraId="58702B0B" w14:textId="77777777" w:rsidR="00705E23" w:rsidRDefault="00705E23" w:rsidP="00705E23">
      <w:pPr>
        <w:rPr>
          <w:sz w:val="24"/>
          <w:szCs w:val="24"/>
        </w:rPr>
      </w:pPr>
    </w:p>
    <w:p w14:paraId="62303C35"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6F8296B7" w14:textId="77777777" w:rsidR="00705E23" w:rsidRDefault="00705E23" w:rsidP="00705E23">
      <w:pPr>
        <w:rPr>
          <w:sz w:val="22"/>
          <w:szCs w:val="22"/>
        </w:rPr>
      </w:pPr>
    </w:p>
    <w:p w14:paraId="7FDCE609" w14:textId="77777777" w:rsidR="00705E23" w:rsidRPr="005079A8" w:rsidRDefault="00705E23" w:rsidP="00705E23">
      <w:pPr>
        <w:rPr>
          <w:sz w:val="22"/>
          <w:szCs w:val="22"/>
        </w:rPr>
      </w:pPr>
      <w:r w:rsidRPr="005079A8">
        <w:rPr>
          <w:sz w:val="22"/>
          <w:szCs w:val="22"/>
        </w:rPr>
        <w:t xml:space="preserve">According to the mandatory federal logbooks submitted to National Marine Fisheries Service by captains after each fishing trip, approximately 450 vessels are active in West Coast albacore fishery. This survey will </w:t>
      </w:r>
      <w:r>
        <w:rPr>
          <w:sz w:val="22"/>
          <w:szCs w:val="22"/>
        </w:rPr>
        <w:t>target the approximately 450 active vessels in the fishery by providing surveys via U.S. Postal Service and by email where possible</w:t>
      </w:r>
      <w:r w:rsidRPr="005079A8">
        <w:rPr>
          <w:sz w:val="22"/>
          <w:szCs w:val="22"/>
        </w:rPr>
        <w:t>.</w:t>
      </w:r>
      <w:r>
        <w:rPr>
          <w:sz w:val="22"/>
          <w:szCs w:val="22"/>
        </w:rPr>
        <w:t xml:space="preserve">  Based on past such survey response results, an approximate 60% response rate is expected, which would yield approximately 270 completed surveys.  The 270 completed responses will be stratified by vessel size, landings by weight, fishing method and port of registration.</w:t>
      </w:r>
    </w:p>
    <w:p w14:paraId="5871D557" w14:textId="77777777" w:rsidR="00705E23" w:rsidRPr="005079A8" w:rsidRDefault="00705E23" w:rsidP="00705E23">
      <w:pPr>
        <w:rPr>
          <w:sz w:val="22"/>
          <w:szCs w:val="22"/>
        </w:rPr>
      </w:pPr>
    </w:p>
    <w:p w14:paraId="22123E01" w14:textId="77777777" w:rsidR="00705E23" w:rsidRPr="005079A8" w:rsidRDefault="00705E23" w:rsidP="00705E23">
      <w:pPr>
        <w:rPr>
          <w:color w:val="000000"/>
          <w:sz w:val="22"/>
          <w:szCs w:val="22"/>
        </w:rPr>
      </w:pPr>
      <w:r w:rsidRPr="005079A8">
        <w:rPr>
          <w:color w:val="000000"/>
          <w:sz w:val="22"/>
          <w:szCs w:val="22"/>
        </w:rPr>
        <w:t>The N</w:t>
      </w:r>
      <w:r>
        <w:rPr>
          <w:color w:val="000000"/>
          <w:sz w:val="22"/>
          <w:szCs w:val="22"/>
        </w:rPr>
        <w:t>orthwest Fisheries Science Center (NWFSC) h</w:t>
      </w:r>
      <w:r w:rsidRPr="005079A8">
        <w:rPr>
          <w:color w:val="000000"/>
          <w:sz w:val="22"/>
          <w:szCs w:val="22"/>
        </w:rPr>
        <w:t>as conducted three previous economic cost earnings surveys of the limited entry fixed gear fleet</w:t>
      </w:r>
      <w:r>
        <w:rPr>
          <w:color w:val="000000"/>
          <w:sz w:val="22"/>
          <w:szCs w:val="22"/>
        </w:rPr>
        <w:t xml:space="preserve">, under </w:t>
      </w:r>
      <w:r w:rsidR="00F16C31">
        <w:rPr>
          <w:sz w:val="22"/>
          <w:szCs w:val="22"/>
        </w:rPr>
        <w:t>OMB Control No. 0648-0369</w:t>
      </w:r>
      <w:r w:rsidRPr="005079A8">
        <w:rPr>
          <w:color w:val="000000"/>
          <w:sz w:val="22"/>
          <w:szCs w:val="22"/>
        </w:rPr>
        <w:t xml:space="preserve">.  A survey fielded during 2006 obtained a 58% response rate.  A second survey fielded during 2009 obtained responses from 50% of vessel owners. The third survey conducted in 2011 obtained responses from </w:t>
      </w:r>
      <w:r>
        <w:rPr>
          <w:color w:val="000000"/>
          <w:sz w:val="22"/>
          <w:szCs w:val="22"/>
        </w:rPr>
        <w:t>60</w:t>
      </w:r>
      <w:r w:rsidRPr="005079A8">
        <w:rPr>
          <w:color w:val="000000"/>
          <w:sz w:val="22"/>
          <w:szCs w:val="22"/>
        </w:rPr>
        <w:t xml:space="preserve">% of vessel owners.  </w:t>
      </w:r>
    </w:p>
    <w:p w14:paraId="30E16636" w14:textId="77777777" w:rsidR="00705E23" w:rsidRPr="005079A8" w:rsidRDefault="00705E23" w:rsidP="00705E23">
      <w:pPr>
        <w:rPr>
          <w:color w:val="000000"/>
          <w:sz w:val="22"/>
          <w:szCs w:val="22"/>
        </w:rPr>
      </w:pPr>
    </w:p>
    <w:p w14:paraId="521AE1C9" w14:textId="77777777" w:rsidR="00705E23" w:rsidRPr="005079A8" w:rsidRDefault="00705E23" w:rsidP="00705E23">
      <w:pPr>
        <w:rPr>
          <w:sz w:val="22"/>
          <w:szCs w:val="22"/>
          <w:u w:val="single"/>
        </w:rPr>
      </w:pPr>
      <w:r w:rsidRPr="005079A8">
        <w:rPr>
          <w:color w:val="000000"/>
          <w:sz w:val="22"/>
          <w:szCs w:val="22"/>
        </w:rPr>
        <w:t xml:space="preserve">The targeted survey fielding protocol for this survey would suggest a slightly higher response rate than previous surveys.  </w:t>
      </w:r>
      <w:r>
        <w:rPr>
          <w:color w:val="000000"/>
          <w:sz w:val="22"/>
          <w:szCs w:val="22"/>
        </w:rPr>
        <w:t xml:space="preserve">Factors that will generate a higher response rate include very close collaboration with industry leaders to ensure their on-going support, attendance at industry events where surveys can be administered in person (annual member meetings of the AAFA and WFOA) and a survey method that includes phone and email follow-up to </w:t>
      </w:r>
      <w:proofErr w:type="spellStart"/>
      <w:r>
        <w:rPr>
          <w:color w:val="000000"/>
          <w:sz w:val="22"/>
          <w:szCs w:val="22"/>
        </w:rPr>
        <w:t>non respondents</w:t>
      </w:r>
      <w:proofErr w:type="spellEnd"/>
      <w:r>
        <w:rPr>
          <w:color w:val="000000"/>
          <w:sz w:val="22"/>
          <w:szCs w:val="22"/>
        </w:rPr>
        <w:t xml:space="preserve">. </w:t>
      </w:r>
    </w:p>
    <w:p w14:paraId="6C54B063"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420" w:type="dxa"/>
        <w:jc w:val="center"/>
        <w:tblLook w:val="04A0" w:firstRow="1" w:lastRow="0" w:firstColumn="1" w:lastColumn="0" w:noHBand="0" w:noVBand="1"/>
      </w:tblPr>
      <w:tblGrid>
        <w:gridCol w:w="4560"/>
        <w:gridCol w:w="1860"/>
      </w:tblGrid>
      <w:tr w:rsidR="00705E23" w:rsidRPr="00AF258C" w14:paraId="657CA9F7" w14:textId="77777777" w:rsidTr="00EE4DE5">
        <w:trPr>
          <w:trHeight w:val="315"/>
          <w:jc w:val="center"/>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B40A" w14:textId="77777777" w:rsidR="00705E23" w:rsidRPr="005079A8" w:rsidRDefault="00705E23" w:rsidP="00EE4DE5">
            <w:pPr>
              <w:rPr>
                <w:rFonts w:ascii="Times" w:hAnsi="Times"/>
                <w:sz w:val="22"/>
                <w:szCs w:val="22"/>
                <w:lang w:eastAsia="zh-TW"/>
              </w:rPr>
            </w:pPr>
            <w:r w:rsidRPr="005079A8">
              <w:rPr>
                <w:rFonts w:ascii="Times" w:hAnsi="Times"/>
                <w:sz w:val="22"/>
                <w:szCs w:val="22"/>
                <w:lang w:eastAsia="zh-TW"/>
              </w:rPr>
              <w:t>Total Target Population</w:t>
            </w:r>
          </w:p>
        </w:tc>
        <w:tc>
          <w:tcPr>
            <w:tcW w:w="1860" w:type="dxa"/>
            <w:tcBorders>
              <w:top w:val="single" w:sz="4" w:space="0" w:color="auto"/>
              <w:left w:val="nil"/>
              <w:bottom w:val="single" w:sz="4" w:space="0" w:color="auto"/>
              <w:right w:val="single" w:sz="4" w:space="0" w:color="auto"/>
            </w:tcBorders>
            <w:shd w:val="clear" w:color="auto" w:fill="auto"/>
            <w:noWrap/>
            <w:vAlign w:val="bottom"/>
          </w:tcPr>
          <w:p w14:paraId="77AA90A9" w14:textId="77777777" w:rsidR="00705E23" w:rsidRPr="005079A8" w:rsidRDefault="00705E23" w:rsidP="00EE4DE5">
            <w:pPr>
              <w:jc w:val="center"/>
              <w:rPr>
                <w:rFonts w:ascii="Times" w:hAnsi="Times"/>
                <w:sz w:val="22"/>
                <w:szCs w:val="22"/>
                <w:lang w:eastAsia="zh-TW"/>
              </w:rPr>
            </w:pPr>
            <w:r>
              <w:rPr>
                <w:rFonts w:ascii="Times" w:hAnsi="Times"/>
                <w:sz w:val="22"/>
                <w:szCs w:val="22"/>
                <w:lang w:eastAsia="zh-TW"/>
              </w:rPr>
              <w:t>450</w:t>
            </w:r>
          </w:p>
        </w:tc>
      </w:tr>
      <w:tr w:rsidR="00705E23" w:rsidRPr="00AF258C" w14:paraId="4CDD96F9"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7A914B42" w14:textId="77777777" w:rsidR="00705E23" w:rsidRPr="005079A8" w:rsidRDefault="00705E23" w:rsidP="00EE4DE5">
            <w:pPr>
              <w:rPr>
                <w:rFonts w:ascii="Times" w:hAnsi="Times"/>
                <w:sz w:val="22"/>
                <w:szCs w:val="22"/>
                <w:lang w:eastAsia="zh-TW"/>
              </w:rPr>
            </w:pPr>
            <w:r>
              <w:rPr>
                <w:rFonts w:ascii="Times" w:hAnsi="Times"/>
                <w:sz w:val="22"/>
                <w:szCs w:val="22"/>
                <w:lang w:eastAsia="zh-TW"/>
              </w:rPr>
              <w:t>Approximate e</w:t>
            </w:r>
            <w:r w:rsidRPr="005079A8">
              <w:rPr>
                <w:rFonts w:ascii="Times" w:hAnsi="Times"/>
                <w:sz w:val="22"/>
                <w:szCs w:val="22"/>
                <w:lang w:eastAsia="zh-TW"/>
              </w:rPr>
              <w:t>xpected survey response rate</w:t>
            </w:r>
          </w:p>
        </w:tc>
        <w:tc>
          <w:tcPr>
            <w:tcW w:w="1860" w:type="dxa"/>
            <w:tcBorders>
              <w:top w:val="nil"/>
              <w:left w:val="nil"/>
              <w:bottom w:val="single" w:sz="4" w:space="0" w:color="auto"/>
              <w:right w:val="single" w:sz="4" w:space="0" w:color="auto"/>
            </w:tcBorders>
            <w:shd w:val="clear" w:color="auto" w:fill="auto"/>
            <w:noWrap/>
            <w:vAlign w:val="bottom"/>
          </w:tcPr>
          <w:p w14:paraId="33011DB6" w14:textId="77777777" w:rsidR="00705E23" w:rsidRPr="005079A8" w:rsidRDefault="00705E23" w:rsidP="00EE4DE5">
            <w:pPr>
              <w:jc w:val="center"/>
              <w:rPr>
                <w:rFonts w:ascii="Times" w:hAnsi="Times"/>
                <w:sz w:val="22"/>
                <w:szCs w:val="22"/>
                <w:lang w:eastAsia="zh-TW"/>
              </w:rPr>
            </w:pPr>
            <w:r>
              <w:rPr>
                <w:rFonts w:ascii="Times" w:hAnsi="Times"/>
                <w:sz w:val="22"/>
                <w:szCs w:val="22"/>
                <w:lang w:eastAsia="zh-TW"/>
              </w:rPr>
              <w:t>60</w:t>
            </w:r>
            <w:r w:rsidRPr="005079A8">
              <w:rPr>
                <w:rFonts w:ascii="Times" w:hAnsi="Times"/>
                <w:sz w:val="22"/>
                <w:szCs w:val="22"/>
                <w:lang w:eastAsia="zh-TW"/>
              </w:rPr>
              <w:t>%</w:t>
            </w:r>
          </w:p>
        </w:tc>
      </w:tr>
      <w:tr w:rsidR="00705E23" w:rsidRPr="00AF258C" w14:paraId="28E4BFCC"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BF5AFB6" w14:textId="77777777" w:rsidR="00705E23" w:rsidRPr="005079A8" w:rsidRDefault="00705E23" w:rsidP="00EE4DE5">
            <w:pPr>
              <w:rPr>
                <w:rFonts w:ascii="Times" w:hAnsi="Times"/>
                <w:sz w:val="22"/>
                <w:szCs w:val="22"/>
                <w:lang w:eastAsia="zh-TW"/>
              </w:rPr>
            </w:pPr>
            <w:r>
              <w:rPr>
                <w:rFonts w:ascii="Times" w:hAnsi="Times"/>
                <w:sz w:val="22"/>
                <w:szCs w:val="22"/>
                <w:lang w:eastAsia="zh-TW"/>
              </w:rPr>
              <w:t>Approximate</w:t>
            </w:r>
            <w:r w:rsidRPr="005079A8" w:rsidDel="005C2E45">
              <w:rPr>
                <w:rFonts w:ascii="Times" w:hAnsi="Times"/>
                <w:sz w:val="22"/>
                <w:szCs w:val="22"/>
                <w:lang w:eastAsia="zh-TW"/>
              </w:rPr>
              <w:t xml:space="preserve"> </w:t>
            </w:r>
            <w:r>
              <w:rPr>
                <w:rFonts w:ascii="Times" w:hAnsi="Times"/>
                <w:sz w:val="22"/>
                <w:szCs w:val="22"/>
                <w:lang w:eastAsia="zh-TW"/>
              </w:rPr>
              <w:t>e</w:t>
            </w:r>
            <w:r w:rsidRPr="005079A8">
              <w:rPr>
                <w:rFonts w:ascii="Times" w:hAnsi="Times"/>
                <w:sz w:val="22"/>
                <w:szCs w:val="22"/>
                <w:lang w:eastAsia="zh-TW"/>
              </w:rPr>
              <w:t>xpected # of survey respondents</w:t>
            </w:r>
          </w:p>
        </w:tc>
        <w:tc>
          <w:tcPr>
            <w:tcW w:w="1860" w:type="dxa"/>
            <w:tcBorders>
              <w:top w:val="nil"/>
              <w:left w:val="nil"/>
              <w:bottom w:val="single" w:sz="4" w:space="0" w:color="auto"/>
              <w:right w:val="single" w:sz="4" w:space="0" w:color="auto"/>
            </w:tcBorders>
            <w:shd w:val="clear" w:color="auto" w:fill="auto"/>
            <w:noWrap/>
            <w:vAlign w:val="bottom"/>
          </w:tcPr>
          <w:p w14:paraId="4B62D07A" w14:textId="77777777" w:rsidR="00705E23" w:rsidRPr="005079A8" w:rsidRDefault="00705E23" w:rsidP="00EE4DE5">
            <w:pPr>
              <w:jc w:val="center"/>
              <w:rPr>
                <w:rFonts w:ascii="Times" w:hAnsi="Times"/>
                <w:sz w:val="22"/>
                <w:szCs w:val="22"/>
                <w:lang w:eastAsia="zh-TW"/>
              </w:rPr>
            </w:pPr>
            <w:r>
              <w:rPr>
                <w:rFonts w:ascii="Times" w:hAnsi="Times"/>
                <w:sz w:val="22"/>
                <w:szCs w:val="22"/>
                <w:lang w:eastAsia="zh-TW"/>
              </w:rPr>
              <w:t>270</w:t>
            </w:r>
          </w:p>
        </w:tc>
      </w:tr>
      <w:tr w:rsidR="00705E23" w:rsidRPr="00AF258C" w14:paraId="69E0C34D"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A9EC907" w14:textId="77777777" w:rsidR="00705E23" w:rsidRPr="005079A8" w:rsidRDefault="00705E23" w:rsidP="00EE4DE5">
            <w:pPr>
              <w:rPr>
                <w:rFonts w:ascii="Times" w:hAnsi="Times"/>
                <w:sz w:val="22"/>
                <w:szCs w:val="22"/>
                <w:lang w:eastAsia="zh-TW"/>
              </w:rPr>
            </w:pPr>
            <w:r w:rsidRPr="005079A8">
              <w:rPr>
                <w:rFonts w:ascii="Times" w:hAnsi="Times"/>
                <w:sz w:val="22"/>
                <w:szCs w:val="22"/>
                <w:lang w:eastAsia="zh-TW"/>
              </w:rPr>
              <w:t>Average burden hours per survey</w:t>
            </w:r>
          </w:p>
        </w:tc>
        <w:tc>
          <w:tcPr>
            <w:tcW w:w="1860" w:type="dxa"/>
            <w:tcBorders>
              <w:top w:val="nil"/>
              <w:left w:val="nil"/>
              <w:bottom w:val="single" w:sz="4" w:space="0" w:color="auto"/>
              <w:right w:val="single" w:sz="4" w:space="0" w:color="auto"/>
            </w:tcBorders>
            <w:shd w:val="clear" w:color="auto" w:fill="auto"/>
            <w:noWrap/>
            <w:vAlign w:val="bottom"/>
          </w:tcPr>
          <w:p w14:paraId="6892FC2A" w14:textId="422B73BC" w:rsidR="00705E23" w:rsidRPr="005079A8" w:rsidRDefault="00744D61" w:rsidP="00EE4DE5">
            <w:pPr>
              <w:jc w:val="center"/>
              <w:rPr>
                <w:rFonts w:ascii="Times" w:hAnsi="Times"/>
                <w:sz w:val="22"/>
                <w:szCs w:val="22"/>
                <w:lang w:eastAsia="zh-TW"/>
              </w:rPr>
            </w:pPr>
            <w:r>
              <w:rPr>
                <w:rFonts w:ascii="Times" w:hAnsi="Times"/>
                <w:sz w:val="22"/>
                <w:szCs w:val="22"/>
                <w:lang w:eastAsia="zh-TW"/>
              </w:rPr>
              <w:t xml:space="preserve">90 </w:t>
            </w:r>
            <w:r w:rsidR="00705E23" w:rsidRPr="005079A8">
              <w:rPr>
                <w:rFonts w:ascii="Times" w:hAnsi="Times"/>
                <w:sz w:val="22"/>
                <w:szCs w:val="22"/>
                <w:lang w:eastAsia="zh-TW"/>
              </w:rPr>
              <w:t>minutes</w:t>
            </w:r>
          </w:p>
        </w:tc>
      </w:tr>
      <w:tr w:rsidR="00705E23" w:rsidRPr="00AF258C" w14:paraId="36F75A5D" w14:textId="77777777" w:rsidTr="00EE4DE5">
        <w:trPr>
          <w:trHeight w:val="315"/>
          <w:jc w:val="center"/>
        </w:trPr>
        <w:tc>
          <w:tcPr>
            <w:tcW w:w="4560" w:type="dxa"/>
            <w:tcBorders>
              <w:top w:val="nil"/>
              <w:left w:val="single" w:sz="4" w:space="0" w:color="auto"/>
              <w:bottom w:val="single" w:sz="4" w:space="0" w:color="auto"/>
              <w:right w:val="single" w:sz="4" w:space="0" w:color="auto"/>
            </w:tcBorders>
            <w:shd w:val="clear" w:color="auto" w:fill="auto"/>
            <w:noWrap/>
            <w:vAlign w:val="bottom"/>
          </w:tcPr>
          <w:p w14:paraId="6EB15E53" w14:textId="77777777" w:rsidR="00705E23" w:rsidRPr="005079A8" w:rsidRDefault="00705E23" w:rsidP="00EE4DE5">
            <w:pPr>
              <w:rPr>
                <w:rFonts w:ascii="Times" w:hAnsi="Times"/>
                <w:sz w:val="22"/>
                <w:szCs w:val="22"/>
                <w:lang w:eastAsia="zh-TW"/>
              </w:rPr>
            </w:pPr>
            <w:r w:rsidRPr="005079A8">
              <w:rPr>
                <w:rFonts w:ascii="Times" w:hAnsi="Times"/>
                <w:sz w:val="22"/>
                <w:szCs w:val="22"/>
                <w:lang w:eastAsia="zh-TW"/>
              </w:rPr>
              <w:t>Total annual burden hours</w:t>
            </w:r>
          </w:p>
        </w:tc>
        <w:tc>
          <w:tcPr>
            <w:tcW w:w="1860" w:type="dxa"/>
            <w:tcBorders>
              <w:top w:val="nil"/>
              <w:left w:val="nil"/>
              <w:bottom w:val="single" w:sz="4" w:space="0" w:color="auto"/>
              <w:right w:val="single" w:sz="4" w:space="0" w:color="auto"/>
            </w:tcBorders>
            <w:shd w:val="clear" w:color="auto" w:fill="auto"/>
            <w:noWrap/>
            <w:vAlign w:val="bottom"/>
          </w:tcPr>
          <w:p w14:paraId="257C91F0" w14:textId="77777777" w:rsidR="00705E23" w:rsidRPr="005079A8" w:rsidRDefault="00705E23" w:rsidP="00EE4DE5">
            <w:pPr>
              <w:jc w:val="center"/>
              <w:rPr>
                <w:rFonts w:ascii="Times" w:hAnsi="Times"/>
                <w:sz w:val="22"/>
                <w:szCs w:val="22"/>
                <w:lang w:eastAsia="zh-TW"/>
              </w:rPr>
            </w:pPr>
            <w:r>
              <w:rPr>
                <w:rFonts w:ascii="Times" w:hAnsi="Times"/>
                <w:sz w:val="22"/>
                <w:szCs w:val="22"/>
                <w:lang w:eastAsia="zh-TW"/>
              </w:rPr>
              <w:t>675</w:t>
            </w:r>
          </w:p>
        </w:tc>
      </w:tr>
    </w:tbl>
    <w:p w14:paraId="4A5261C6"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57DC76A"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5580938" w14:textId="77777777" w:rsidR="00705E23" w:rsidRDefault="00705E23" w:rsidP="00705E23">
      <w:pPr>
        <w:pStyle w:val="NormalWeb"/>
        <w:spacing w:before="0" w:beforeAutospacing="0" w:after="0" w:afterAutospacing="0"/>
        <w:rPr>
          <w:sz w:val="22"/>
          <w:szCs w:val="22"/>
        </w:rPr>
      </w:pPr>
    </w:p>
    <w:p w14:paraId="2D668FC6" w14:textId="77777777" w:rsidR="00705E23" w:rsidRDefault="00705E23" w:rsidP="00705E23">
      <w:pPr>
        <w:pStyle w:val="NormalWeb"/>
        <w:spacing w:before="0" w:beforeAutospacing="0" w:after="0" w:afterAutospacing="0"/>
        <w:rPr>
          <w:sz w:val="22"/>
          <w:szCs w:val="22"/>
        </w:rPr>
      </w:pPr>
      <w:r w:rsidRPr="005079A8">
        <w:rPr>
          <w:sz w:val="22"/>
          <w:szCs w:val="22"/>
        </w:rPr>
        <w:t xml:space="preserve">The desired degree of precision, and corresponding desired response rate, depends upon the application for which the data is being used.  Some applications may use data from all </w:t>
      </w:r>
      <w:r>
        <w:rPr>
          <w:sz w:val="22"/>
          <w:szCs w:val="22"/>
        </w:rPr>
        <w:t xml:space="preserve">survey respondents, while other applications will </w:t>
      </w:r>
      <w:r w:rsidRPr="005079A8">
        <w:rPr>
          <w:sz w:val="22"/>
          <w:szCs w:val="22"/>
        </w:rPr>
        <w:t>use data</w:t>
      </w:r>
      <w:r>
        <w:rPr>
          <w:sz w:val="22"/>
          <w:szCs w:val="22"/>
        </w:rPr>
        <w:t xml:space="preserve"> only </w:t>
      </w:r>
      <w:r w:rsidRPr="005079A8">
        <w:rPr>
          <w:sz w:val="22"/>
          <w:szCs w:val="22"/>
        </w:rPr>
        <w:t xml:space="preserve">from vessels that hold a specific gear type or operate in a certain geographic location.  A basic application of the survey data could be the inference of unobserved </w:t>
      </w:r>
      <w:r w:rsidRPr="005079A8">
        <w:rPr>
          <w:sz w:val="22"/>
          <w:szCs w:val="22"/>
        </w:rPr>
        <w:lastRenderedPageBreak/>
        <w:t>population mean values from the observed sample mean values. Given a population of approximately 450 vessels and an expected response rate of</w:t>
      </w:r>
      <w:r>
        <w:rPr>
          <w:sz w:val="22"/>
          <w:szCs w:val="22"/>
        </w:rPr>
        <w:t xml:space="preserve"> approximately</w:t>
      </w:r>
      <w:r w:rsidRPr="005079A8">
        <w:rPr>
          <w:sz w:val="22"/>
          <w:szCs w:val="22"/>
        </w:rPr>
        <w:t xml:space="preserve"> </w:t>
      </w:r>
      <w:r>
        <w:rPr>
          <w:sz w:val="22"/>
          <w:szCs w:val="22"/>
        </w:rPr>
        <w:t>60</w:t>
      </w:r>
      <w:r w:rsidRPr="005079A8">
        <w:rPr>
          <w:sz w:val="22"/>
          <w:szCs w:val="22"/>
        </w:rPr>
        <w:t>%, a sample of 2</w:t>
      </w:r>
      <w:r>
        <w:rPr>
          <w:sz w:val="22"/>
          <w:szCs w:val="22"/>
        </w:rPr>
        <w:t>7</w:t>
      </w:r>
      <w:r w:rsidRPr="005079A8">
        <w:rPr>
          <w:sz w:val="22"/>
          <w:szCs w:val="22"/>
        </w:rPr>
        <w:t>0 completed surveys would be required.</w:t>
      </w:r>
      <w:r>
        <w:rPr>
          <w:sz w:val="22"/>
          <w:szCs w:val="22"/>
        </w:rPr>
        <w:t xml:space="preserve">  </w:t>
      </w:r>
      <w:r w:rsidRPr="005079A8">
        <w:rPr>
          <w:sz w:val="22"/>
          <w:szCs w:val="22"/>
        </w:rPr>
        <w:t xml:space="preserve">This would yield approximately </w:t>
      </w:r>
      <w:r>
        <w:rPr>
          <w:sz w:val="22"/>
          <w:szCs w:val="22"/>
        </w:rPr>
        <w:t>270</w:t>
      </w:r>
      <w:r w:rsidRPr="005079A8">
        <w:rPr>
          <w:sz w:val="22"/>
          <w:szCs w:val="22"/>
        </w:rPr>
        <w:t xml:space="preserve"> respondents, and would achieve an appropriate margin of error (+/- </w:t>
      </w:r>
      <w:r>
        <w:rPr>
          <w:sz w:val="22"/>
          <w:szCs w:val="22"/>
        </w:rPr>
        <w:t>8</w:t>
      </w:r>
      <w:r w:rsidRPr="005079A8">
        <w:rPr>
          <w:sz w:val="22"/>
          <w:szCs w:val="22"/>
        </w:rPr>
        <w:t>%) at the 95% confidence interval.</w:t>
      </w:r>
      <w:r>
        <w:rPr>
          <w:sz w:val="22"/>
          <w:szCs w:val="22"/>
        </w:rPr>
        <w:t xml:space="preserve"> </w:t>
      </w:r>
    </w:p>
    <w:p w14:paraId="52A65E05" w14:textId="77777777" w:rsidR="00705E23" w:rsidRDefault="00705E23" w:rsidP="00705E23">
      <w:pPr>
        <w:pStyle w:val="NormalWeb"/>
        <w:spacing w:before="0" w:beforeAutospacing="0" w:after="0" w:afterAutospacing="0"/>
        <w:rPr>
          <w:sz w:val="22"/>
          <w:szCs w:val="22"/>
        </w:rPr>
      </w:pPr>
    </w:p>
    <w:p w14:paraId="5371BD68" w14:textId="77777777" w:rsidR="00705E23" w:rsidRPr="00896557" w:rsidRDefault="00705E23" w:rsidP="00705E23">
      <w:pPr>
        <w:spacing w:line="276" w:lineRule="auto"/>
        <w:rPr>
          <w:sz w:val="22"/>
          <w:szCs w:val="22"/>
        </w:rPr>
      </w:pPr>
      <w:r w:rsidRPr="00896557">
        <w:rPr>
          <w:sz w:val="22"/>
          <w:szCs w:val="22"/>
        </w:rPr>
        <w:t xml:space="preserve">For an example of anticipated precision of estimates, we consider the case of average variable costs. Results from the previous albacore fishery survey showed a coefficient of variation for reported variable costs of </w:t>
      </w:r>
      <m:oMath>
        <m:sSub>
          <m:sSubPr>
            <m:ctrlPr>
              <w:rPr>
                <w:rFonts w:ascii="Cambria Math" w:hAnsi="Cambria Math"/>
                <w:i/>
              </w:rPr>
            </m:ctrlPr>
          </m:sSubPr>
          <m:e>
            <m:r>
              <w:rPr>
                <w:rFonts w:ascii="Cambria Math" w:hAnsi="Cambria Math"/>
              </w:rPr>
              <m:t>CV</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s</m:t>
            </m:r>
          </m:num>
          <m:den>
            <m:acc>
              <m:accPr>
                <m:chr m:val="̅"/>
                <m:ctrlPr>
                  <w:rPr>
                    <w:rFonts w:ascii="Cambria Math" w:hAnsi="Cambria Math"/>
                    <w:i/>
                  </w:rPr>
                </m:ctrlPr>
              </m:accPr>
              <m:e>
                <m:r>
                  <w:rPr>
                    <w:rFonts w:ascii="Cambria Math" w:hAnsi="Cambria Math"/>
                  </w:rPr>
                  <m:t>X</m:t>
                </m:r>
              </m:e>
            </m:acc>
          </m:den>
        </m:f>
        <m:r>
          <w:rPr>
            <w:rFonts w:ascii="Cambria Math" w:hAnsi="Cambria Math"/>
          </w:rPr>
          <m:t>=0.97,</m:t>
        </m:r>
      </m:oMath>
      <w:r w:rsidRPr="00896557">
        <w:rPr>
          <w:sz w:val="22"/>
          <w:szCs w:val="22"/>
        </w:rPr>
        <w:t xml:space="preserve"> where </w:t>
      </w:r>
      <w:r w:rsidRPr="00896557">
        <w:rPr>
          <w:i/>
          <w:sz w:val="22"/>
          <w:szCs w:val="22"/>
        </w:rPr>
        <w:t>X</w:t>
      </w:r>
      <w:r w:rsidRPr="00896557">
        <w:rPr>
          <w:sz w:val="22"/>
          <w:szCs w:val="22"/>
        </w:rPr>
        <w:t xml:space="preserve"> denotes respondent-level variable costs, </w:t>
      </w:r>
      <w:r w:rsidRPr="00896557">
        <w:rPr>
          <w:i/>
          <w:sz w:val="22"/>
          <w:szCs w:val="22"/>
        </w:rPr>
        <w:t>s</w:t>
      </w:r>
      <w:r w:rsidRPr="00896557">
        <w:rPr>
          <w:sz w:val="22"/>
          <w:szCs w:val="22"/>
        </w:rPr>
        <w:t xml:space="preserve"> is the sample standard deviation and </w:t>
      </w:r>
      <m:oMath>
        <m:bar>
          <m:barPr>
            <m:pos m:val="top"/>
            <m:ctrlPr>
              <w:rPr>
                <w:rFonts w:ascii="Cambria Math" w:hAnsi="Cambria Math"/>
                <w:i/>
              </w:rPr>
            </m:ctrlPr>
          </m:barPr>
          <m:e>
            <m:r>
              <w:rPr>
                <w:rFonts w:ascii="Cambria Math" w:hAnsi="Cambria Math"/>
              </w:rPr>
              <m:t>X</m:t>
            </m:r>
          </m:e>
        </m:bar>
      </m:oMath>
      <w:r w:rsidRPr="00896557">
        <w:rPr>
          <w:sz w:val="22"/>
          <w:szCs w:val="22"/>
        </w:rPr>
        <w:t xml:space="preserve"> is the sample mean. The formula for the coefficient of variation of mean variable costs estimated from survey results </w:t>
      </w:r>
      <w:proofErr w:type="gramStart"/>
      <w:r w:rsidRPr="00896557">
        <w:rPr>
          <w:sz w:val="22"/>
          <w:szCs w:val="22"/>
        </w:rPr>
        <w:t xml:space="preserve">is </w:t>
      </w:r>
      <m:oMath>
        <m:sSub>
          <m:sSubPr>
            <m:ctrlPr>
              <w:rPr>
                <w:rFonts w:ascii="Cambria Math" w:hAnsi="Cambria Math"/>
                <w:i/>
              </w:rPr>
            </m:ctrlPr>
          </m:sSubPr>
          <m:e>
            <w:proofErr w:type="gramEnd"/>
            <m:r>
              <w:rPr>
                <w:rFonts w:ascii="Cambria Math" w:hAnsi="Cambria Math"/>
              </w:rPr>
              <m:t>CV</m:t>
            </m:r>
          </m:e>
          <m:sub>
            <m:bar>
              <m:barPr>
                <m:pos m:val="top"/>
                <m:ctrlPr>
                  <w:rPr>
                    <w:rFonts w:ascii="Cambria Math" w:hAnsi="Cambria Math"/>
                    <w:i/>
                  </w:rPr>
                </m:ctrlPr>
              </m:barPr>
              <m:e>
                <m:r>
                  <w:rPr>
                    <w:rFonts w:ascii="Cambria Math" w:hAnsi="Cambria Math"/>
                  </w:rPr>
                  <m:t>X</m:t>
                </m:r>
              </m:e>
            </m:ba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bar>
                  <m:barPr>
                    <m:pos m:val="top"/>
                    <m:ctrlPr>
                      <w:rPr>
                        <w:rFonts w:ascii="Cambria Math" w:hAnsi="Cambria Math"/>
                        <w:i/>
                      </w:rPr>
                    </m:ctrlPr>
                  </m:barPr>
                  <m:e>
                    <m:r>
                      <w:rPr>
                        <w:rFonts w:ascii="Cambria Math" w:hAnsi="Cambria Math"/>
                      </w:rPr>
                      <m:t>X</m:t>
                    </m:r>
                  </m:e>
                </m:bar>
              </m:sub>
            </m:sSub>
          </m:num>
          <m:den>
            <m:bar>
              <m:barPr>
                <m:pos m:val="top"/>
                <m:ctrlPr>
                  <w:rPr>
                    <w:rFonts w:ascii="Cambria Math" w:hAnsi="Cambria Math"/>
                    <w:i/>
                  </w:rPr>
                </m:ctrlPr>
              </m:barPr>
              <m:e>
                <m:r>
                  <w:rPr>
                    <w:rFonts w:ascii="Cambria Math" w:hAnsi="Cambria Math"/>
                  </w:rPr>
                  <m:t>X</m:t>
                </m:r>
              </m:e>
            </m:bar>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
          <w:rPr>
            <w:rFonts w:ascii="Cambria Math" w:hAnsi="Cambria Math"/>
          </w:rPr>
          <m:t>=</m:t>
        </m:r>
        <m:sSub>
          <m:sSubPr>
            <m:ctrlPr>
              <w:rPr>
                <w:rFonts w:ascii="Cambria Math" w:hAnsi="Cambria Math"/>
                <w:i/>
              </w:rPr>
            </m:ctrlPr>
          </m:sSubPr>
          <m:e>
            <m:r>
              <w:rPr>
                <w:rFonts w:ascii="Cambria Math" w:hAnsi="Cambria Math"/>
              </w:rPr>
              <m:t>CV</m:t>
            </m:r>
          </m:e>
          <m:sub>
            <m:r>
              <w:rPr>
                <w:rFonts w:ascii="Cambria Math" w:hAnsi="Cambria Math"/>
              </w:rPr>
              <m:t>X</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n(N-1)</m:t>
                </m:r>
              </m:den>
            </m:f>
          </m:e>
        </m:rad>
      </m:oMath>
      <w:r w:rsidRPr="00896557">
        <w:rPr>
          <w:sz w:val="22"/>
          <w:szCs w:val="22"/>
        </w:rPr>
        <w:t xml:space="preserve"> , where </w:t>
      </w:r>
      <m:oMath>
        <m:sSub>
          <m:sSubPr>
            <m:ctrlPr>
              <w:rPr>
                <w:rFonts w:ascii="Cambria Math" w:hAnsi="Cambria Math"/>
                <w:i/>
              </w:rPr>
            </m:ctrlPr>
          </m:sSubPr>
          <m:e>
            <m:r>
              <w:rPr>
                <w:rFonts w:ascii="Cambria Math" w:hAnsi="Cambria Math"/>
              </w:rPr>
              <m:t>s</m:t>
            </m:r>
          </m:e>
          <m:sub>
            <m:bar>
              <m:barPr>
                <m:pos m:val="top"/>
                <m:ctrlPr>
                  <w:rPr>
                    <w:rFonts w:ascii="Cambria Math" w:hAnsi="Cambria Math"/>
                    <w:i/>
                  </w:rPr>
                </m:ctrlPr>
              </m:barPr>
              <m:e>
                <m:r>
                  <w:rPr>
                    <w:rFonts w:ascii="Cambria Math" w:hAnsi="Cambria Math"/>
                  </w:rPr>
                  <m:t>X</m:t>
                </m:r>
              </m:e>
            </m:bar>
          </m:sub>
        </m:sSub>
        <m:r>
          <w:rPr>
            <w:rFonts w:ascii="Cambria Math" w:hAnsi="Cambria Math"/>
          </w:rPr>
          <m:t>=</m:t>
        </m:r>
        <m:f>
          <m:fPr>
            <m:ctrlPr>
              <w:rPr>
                <w:rFonts w:ascii="Cambria Math" w:hAnsi="Cambria Math"/>
                <w:i/>
              </w:rPr>
            </m:ctrlPr>
          </m:fPr>
          <m:num>
            <m:r>
              <w:rPr>
                <w:rFonts w:ascii="Cambria Math" w:hAnsi="Cambria Math"/>
              </w:rPr>
              <m:t>s</m:t>
            </m:r>
          </m:num>
          <m:den>
            <m:bar>
              <m:barPr>
                <m:pos m:val="top"/>
                <m:ctrlPr>
                  <w:rPr>
                    <w:rFonts w:ascii="Cambria Math" w:hAnsi="Cambria Math"/>
                    <w:i/>
                  </w:rPr>
                </m:ctrlPr>
              </m:barPr>
              <m:e>
                <m:r>
                  <w:rPr>
                    <w:rFonts w:ascii="Cambria Math" w:hAnsi="Cambria Math"/>
                  </w:rPr>
                  <m:t>X</m:t>
                </m:r>
              </m:e>
            </m:bar>
          </m:den>
        </m:f>
      </m:oMath>
      <w:r w:rsidRPr="00896557">
        <w:rPr>
          <w:sz w:val="22"/>
          <w:szCs w:val="22"/>
        </w:rPr>
        <w:t xml:space="preserve"> is the standard error for the sample mean, </w:t>
      </w:r>
      <w:r w:rsidRPr="00896557">
        <w:rPr>
          <w:i/>
          <w:sz w:val="22"/>
          <w:szCs w:val="22"/>
        </w:rPr>
        <w:t>N</w:t>
      </w:r>
      <w:r w:rsidRPr="00896557">
        <w:rPr>
          <w:sz w:val="22"/>
          <w:szCs w:val="22"/>
        </w:rPr>
        <w:t xml:space="preserve"> is the survey target population size and </w:t>
      </w:r>
      <w:r w:rsidRPr="00896557">
        <w:rPr>
          <w:i/>
          <w:sz w:val="22"/>
          <w:szCs w:val="22"/>
        </w:rPr>
        <w:t>n</w:t>
      </w:r>
      <w:r w:rsidRPr="00896557">
        <w:rPr>
          <w:sz w:val="22"/>
          <w:szCs w:val="22"/>
        </w:rPr>
        <w:t xml:space="preserve"> is the survey sample size.  The associated margin of error for a 95% confidence interval for the mean variable cost is +/-</w:t>
      </w:r>
      <m:oMath>
        <m:r>
          <w:rPr>
            <w:rFonts w:ascii="Cambria Math" w:hAnsi="Cambria Math"/>
          </w:rPr>
          <m:t xml:space="preserve"> 1.96 </m:t>
        </m:r>
        <m:sSub>
          <m:sSubPr>
            <m:ctrlPr>
              <w:rPr>
                <w:rFonts w:ascii="Cambria Math" w:hAnsi="Cambria Math"/>
                <w:i/>
              </w:rPr>
            </m:ctrlPr>
          </m:sSubPr>
          <m:e>
            <m:r>
              <w:rPr>
                <w:rFonts w:ascii="Cambria Math" w:hAnsi="Cambria Math"/>
              </w:rPr>
              <m:t>CV</m:t>
            </m:r>
          </m:e>
          <m:sub>
            <m:r>
              <w:rPr>
                <w:rFonts w:ascii="Cambria Math" w:hAnsi="Cambria Math"/>
              </w:rPr>
              <m:t>X</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n(N-1)</m:t>
                </m:r>
              </m:den>
            </m:f>
          </m:e>
        </m:rad>
      </m:oMath>
      <w:r w:rsidRPr="00896557">
        <w:rPr>
          <w:sz w:val="22"/>
          <w:szCs w:val="22"/>
        </w:rPr>
        <w:t xml:space="preserve"> , where 1.96 is the 97.5</w:t>
      </w:r>
      <w:r w:rsidRPr="00896557">
        <w:rPr>
          <w:sz w:val="22"/>
          <w:szCs w:val="22"/>
          <w:vertAlign w:val="superscript"/>
        </w:rPr>
        <w:t>th</w:t>
      </w:r>
      <w:r w:rsidRPr="00896557">
        <w:rPr>
          <w:sz w:val="22"/>
          <w:szCs w:val="22"/>
        </w:rPr>
        <w:t xml:space="preserve"> percentile of a standard normal random variable.  With a target population size of 450 and 2</w:t>
      </w:r>
      <w:r>
        <w:rPr>
          <w:sz w:val="22"/>
          <w:szCs w:val="22"/>
        </w:rPr>
        <w:t>7</w:t>
      </w:r>
      <w:r w:rsidRPr="00896557">
        <w:rPr>
          <w:sz w:val="22"/>
          <w:szCs w:val="22"/>
        </w:rPr>
        <w:t>0 survey respondents, estimated mean variable costs would thus achieve an approximate margin of error of +/- 8.0% with 95% confidence.</w:t>
      </w:r>
    </w:p>
    <w:p w14:paraId="4D7C2595" w14:textId="77777777" w:rsidR="00705E23" w:rsidRPr="005079A8" w:rsidRDefault="00705E23" w:rsidP="00705E23">
      <w:pPr>
        <w:pStyle w:val="NormalWeb"/>
        <w:spacing w:before="0" w:beforeAutospacing="0" w:after="0" w:afterAutospacing="0"/>
        <w:rPr>
          <w:b/>
          <w:bCs/>
          <w:sz w:val="22"/>
          <w:szCs w:val="22"/>
          <w:lang w:eastAsia="zh-TW"/>
        </w:rPr>
      </w:pPr>
    </w:p>
    <w:p w14:paraId="2EBAA710"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The example above is</w:t>
      </w:r>
      <w:r w:rsidRPr="00C73FA5">
        <w:rPr>
          <w:sz w:val="22"/>
          <w:szCs w:val="22"/>
        </w:rPr>
        <w:t xml:space="preserve"> one </w:t>
      </w:r>
      <w:r>
        <w:rPr>
          <w:sz w:val="22"/>
          <w:szCs w:val="22"/>
        </w:rPr>
        <w:t>of many potential examples</w:t>
      </w:r>
      <w:r w:rsidRPr="00C73FA5">
        <w:rPr>
          <w:sz w:val="22"/>
          <w:szCs w:val="22"/>
        </w:rPr>
        <w:t>, and</w:t>
      </w:r>
      <w:r>
        <w:rPr>
          <w:sz w:val="22"/>
          <w:szCs w:val="22"/>
        </w:rPr>
        <w:t xml:space="preserve"> the CVs will vary for different sample statistics and may not</w:t>
      </w:r>
      <w:r w:rsidRPr="00C73FA5">
        <w:rPr>
          <w:sz w:val="22"/>
          <w:szCs w:val="22"/>
        </w:rPr>
        <w:t xml:space="preserve"> be the same for this new survey as </w:t>
      </w:r>
      <w:r>
        <w:rPr>
          <w:sz w:val="22"/>
          <w:szCs w:val="22"/>
        </w:rPr>
        <w:t>for the previous one.  It is likely that d</w:t>
      </w:r>
      <w:r w:rsidRPr="00C73FA5">
        <w:rPr>
          <w:sz w:val="22"/>
          <w:szCs w:val="22"/>
        </w:rPr>
        <w:t xml:space="preserve">ifferent levels of precision will </w:t>
      </w:r>
      <w:r>
        <w:rPr>
          <w:sz w:val="22"/>
          <w:szCs w:val="22"/>
        </w:rPr>
        <w:t xml:space="preserve">be </w:t>
      </w:r>
      <w:r w:rsidRPr="00C73FA5">
        <w:rPr>
          <w:sz w:val="22"/>
          <w:szCs w:val="22"/>
        </w:rPr>
        <w:t>obtain</w:t>
      </w:r>
      <w:r>
        <w:rPr>
          <w:sz w:val="22"/>
          <w:szCs w:val="22"/>
        </w:rPr>
        <w:t>ed</w:t>
      </w:r>
      <w:r w:rsidRPr="00C73FA5">
        <w:rPr>
          <w:sz w:val="22"/>
          <w:szCs w:val="22"/>
        </w:rPr>
        <w:t xml:space="preserve"> for other statistics calculated from survey </w:t>
      </w:r>
      <w:r>
        <w:rPr>
          <w:sz w:val="22"/>
          <w:szCs w:val="22"/>
        </w:rPr>
        <w:t>results</w:t>
      </w:r>
      <w:r w:rsidRPr="00C73FA5">
        <w:rPr>
          <w:sz w:val="22"/>
          <w:szCs w:val="22"/>
        </w:rPr>
        <w:t>.</w:t>
      </w:r>
      <w:r>
        <w:rPr>
          <w:sz w:val="22"/>
          <w:szCs w:val="22"/>
        </w:rPr>
        <w:t xml:space="preserve">  </w:t>
      </w:r>
    </w:p>
    <w:p w14:paraId="49A7D3CC"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67521C9" w14:textId="77777777" w:rsidR="00705E23" w:rsidRPr="005079A8"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079A8">
        <w:rPr>
          <w:sz w:val="22"/>
          <w:szCs w:val="22"/>
        </w:rPr>
        <w:t>This is a one-time survey which aims to collect two years of data, an approach specifically designed to reduce the burden to the respondents</w:t>
      </w:r>
      <w:r>
        <w:rPr>
          <w:sz w:val="22"/>
          <w:szCs w:val="22"/>
        </w:rPr>
        <w:t>.</w:t>
      </w:r>
    </w:p>
    <w:p w14:paraId="169DEC58"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380BB05"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C937A7F" w14:textId="77777777" w:rsidR="00705E23" w:rsidRDefault="00705E23" w:rsidP="00705E23">
      <w:pPr>
        <w:pStyle w:val="Heading1"/>
        <w:rPr>
          <w:sz w:val="22"/>
          <w:szCs w:val="22"/>
          <w:u w:val="none"/>
        </w:rPr>
      </w:pPr>
    </w:p>
    <w:p w14:paraId="00CF1F26" w14:textId="77777777" w:rsidR="00705E23" w:rsidRPr="001E20DF" w:rsidRDefault="00705E23" w:rsidP="00705E23">
      <w:pPr>
        <w:pStyle w:val="Heading1"/>
        <w:rPr>
          <w:sz w:val="22"/>
          <w:szCs w:val="22"/>
        </w:rPr>
      </w:pPr>
      <w:r w:rsidRPr="005079A8">
        <w:rPr>
          <w:sz w:val="22"/>
          <w:szCs w:val="22"/>
          <w:u w:val="none"/>
        </w:rPr>
        <w:t xml:space="preserve">A number of methods will be used to maximize survey response rates.  First, the survey team will work with industry group representatives to encourage survey participation.  Second, respondents are asked only to provide information necessary to perform intended analysis, and questions are structured in the most logical fashion to prevent repetition or unnecessary detail.  Third, the interview form </w:t>
      </w:r>
      <w:r>
        <w:rPr>
          <w:sz w:val="22"/>
          <w:szCs w:val="22"/>
          <w:u w:val="none"/>
        </w:rPr>
        <w:t>has been</w:t>
      </w:r>
      <w:r w:rsidRPr="005079A8">
        <w:rPr>
          <w:sz w:val="22"/>
          <w:szCs w:val="22"/>
          <w:u w:val="none"/>
        </w:rPr>
        <w:t xml:space="preserve"> tested and implemented based on methods found most effective in those tests. </w:t>
      </w:r>
      <w:r>
        <w:rPr>
          <w:sz w:val="22"/>
          <w:szCs w:val="22"/>
          <w:u w:val="none"/>
        </w:rPr>
        <w:t xml:space="preserve"> Those methods include: taking advantage of opportunities to conduct interviews in person at industry events (such as membership meetings of the WFOA, AAFA and AFRF, the latter of which the team has been formally invited), following up with non-respondents to conduct surveys by phone or email and Lisa Wise Consulting leveraging close relationships, personal and professional, with industry leaders and individual fishermen forged over ten years.</w:t>
      </w:r>
    </w:p>
    <w:p w14:paraId="24EAB372" w14:textId="77777777" w:rsidR="00705E23" w:rsidRPr="005079A8" w:rsidRDefault="00705E23" w:rsidP="00705E23">
      <w:pPr>
        <w:rPr>
          <w:rFonts w:ascii="TimesNewRoman" w:hAnsi="TimesNewRoman" w:cs="TimesNewRoman"/>
          <w:sz w:val="22"/>
          <w:szCs w:val="22"/>
          <w:u w:val="single"/>
        </w:rPr>
      </w:pPr>
    </w:p>
    <w:p w14:paraId="5AF2F08F" w14:textId="456BC9E7" w:rsidR="00705E23" w:rsidRPr="005079A8" w:rsidRDefault="00705E23" w:rsidP="00705E23">
      <w:pPr>
        <w:rPr>
          <w:sz w:val="22"/>
          <w:szCs w:val="22"/>
        </w:rPr>
      </w:pPr>
      <w:r w:rsidRPr="005079A8">
        <w:rPr>
          <w:sz w:val="22"/>
          <w:szCs w:val="22"/>
        </w:rPr>
        <w:t>Testing for non-response bias will be based on considerable data available for all members of the survey population. Data on vessel physical characteristics and landings are available for both survey respondents and non-respondents from the federal logbook</w:t>
      </w:r>
      <w:r>
        <w:rPr>
          <w:sz w:val="22"/>
          <w:szCs w:val="22"/>
        </w:rPr>
        <w:t>s</w:t>
      </w:r>
      <w:r w:rsidRPr="005079A8">
        <w:rPr>
          <w:sz w:val="22"/>
          <w:szCs w:val="22"/>
        </w:rPr>
        <w:t xml:space="preserve">, and will be used to test the representativeness of survey respondents.  </w:t>
      </w:r>
      <w:r w:rsidR="00744D61">
        <w:rPr>
          <w:sz w:val="22"/>
          <w:szCs w:val="22"/>
        </w:rPr>
        <w:t>No personally identifiable information will be provided to NMFS.</w:t>
      </w:r>
    </w:p>
    <w:p w14:paraId="3503829E" w14:textId="77777777" w:rsidR="00705E23" w:rsidRPr="005079A8" w:rsidRDefault="00705E23" w:rsidP="00705E23">
      <w:pPr>
        <w:rPr>
          <w:sz w:val="22"/>
          <w:szCs w:val="22"/>
        </w:rPr>
      </w:pPr>
    </w:p>
    <w:p w14:paraId="62B6AF54" w14:textId="77777777" w:rsidR="00705E23" w:rsidRPr="005079A8" w:rsidRDefault="00705E23" w:rsidP="00705E23">
      <w:pPr>
        <w:rPr>
          <w:sz w:val="22"/>
          <w:szCs w:val="22"/>
        </w:rPr>
      </w:pPr>
      <w:r w:rsidRPr="005079A8">
        <w:rPr>
          <w:sz w:val="22"/>
          <w:szCs w:val="22"/>
        </w:rPr>
        <w:t xml:space="preserve">If non-response bias appears evident in our survey results, efforts will be made to contact groups that are under-represented to </w:t>
      </w:r>
      <w:r>
        <w:rPr>
          <w:sz w:val="22"/>
          <w:szCs w:val="22"/>
        </w:rPr>
        <w:t>achieve</w:t>
      </w:r>
      <w:r w:rsidRPr="005079A8">
        <w:rPr>
          <w:sz w:val="22"/>
          <w:szCs w:val="22"/>
        </w:rPr>
        <w:t xml:space="preserve"> a balance among different groups (different vessel sizes, fishing methods and levels of participation).  If non-response bias still appears evident in our survey responses after such </w:t>
      </w:r>
      <w:r w:rsidRPr="005079A8">
        <w:rPr>
          <w:sz w:val="22"/>
          <w:szCs w:val="22"/>
        </w:rPr>
        <w:lastRenderedPageBreak/>
        <w:t>an effort, weighted averages and weighted sums based on the distribution of groups will be used to adjust</w:t>
      </w:r>
      <w:bookmarkStart w:id="0" w:name="_GoBack"/>
      <w:bookmarkEnd w:id="0"/>
      <w:r w:rsidRPr="005079A8">
        <w:rPr>
          <w:sz w:val="22"/>
          <w:szCs w:val="22"/>
        </w:rPr>
        <w:t xml:space="preserve"> the bias.  </w:t>
      </w:r>
    </w:p>
    <w:p w14:paraId="157111BE" w14:textId="77777777" w:rsidR="00705E23" w:rsidRPr="005079A8"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DC272E7"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14:paraId="17BEC955" w14:textId="77777777" w:rsidR="00705E23" w:rsidRDefault="00705E23" w:rsidP="00705E23">
      <w:pPr>
        <w:rPr>
          <w:sz w:val="22"/>
          <w:szCs w:val="22"/>
        </w:rPr>
      </w:pPr>
    </w:p>
    <w:p w14:paraId="0D3E8B50" w14:textId="77777777" w:rsidR="00705E23" w:rsidRPr="005079A8" w:rsidRDefault="00705E23" w:rsidP="00705E23">
      <w:pPr>
        <w:rPr>
          <w:sz w:val="22"/>
          <w:szCs w:val="22"/>
        </w:rPr>
      </w:pPr>
      <w:r w:rsidRPr="005079A8">
        <w:rPr>
          <w:sz w:val="22"/>
          <w:szCs w:val="22"/>
        </w:rPr>
        <w:t xml:space="preserve">The survey was reviewed and edited extensively by representatives of NMFS/SWFSC and NWFSC with extensive experience in administering surveys in the West Coast commercial fishing industry. The survey has been reviewed and pre-tested by Dr. Pam </w:t>
      </w:r>
      <w:proofErr w:type="spellStart"/>
      <w:r w:rsidRPr="005079A8">
        <w:rPr>
          <w:sz w:val="22"/>
          <w:szCs w:val="22"/>
        </w:rPr>
        <w:t>Godde</w:t>
      </w:r>
      <w:proofErr w:type="spellEnd"/>
      <w:r w:rsidRPr="005079A8">
        <w:rPr>
          <w:sz w:val="22"/>
          <w:szCs w:val="22"/>
        </w:rPr>
        <w:t xml:space="preserve">, California State University San Marcos, a member of the Lisa Wise Consulting, Inc. team, who has worked closely with albacore fishermen in our target population and is aware of concerns they may have.  </w:t>
      </w:r>
    </w:p>
    <w:p w14:paraId="33732FD7" w14:textId="77777777" w:rsidR="00705E23" w:rsidRPr="005079A8" w:rsidRDefault="00705E23" w:rsidP="00705E23">
      <w:pPr>
        <w:rPr>
          <w:sz w:val="22"/>
          <w:szCs w:val="22"/>
        </w:rPr>
      </w:pPr>
    </w:p>
    <w:p w14:paraId="64FF1249" w14:textId="77777777" w:rsidR="00705E23" w:rsidRPr="005079A8" w:rsidRDefault="00705E23" w:rsidP="00705E23">
      <w:pPr>
        <w:rPr>
          <w:sz w:val="22"/>
          <w:szCs w:val="22"/>
        </w:rPr>
      </w:pPr>
      <w:r>
        <w:rPr>
          <w:sz w:val="22"/>
          <w:szCs w:val="22"/>
        </w:rPr>
        <w:t>The survey was also pre</w:t>
      </w:r>
      <w:r w:rsidRPr="005079A8">
        <w:rPr>
          <w:sz w:val="22"/>
          <w:szCs w:val="22"/>
        </w:rPr>
        <w:t xml:space="preserve">tested by commercial albacore fishermen from the roll or pole-and-line (bait boat) fisheries, the major methods deployed in this fishery.  Representatives from the major associations in the West Coast commercial albacore industry also had the opportunity to review and comment on the survey.  Testing included </w:t>
      </w:r>
      <w:r>
        <w:rPr>
          <w:sz w:val="22"/>
          <w:szCs w:val="22"/>
        </w:rPr>
        <w:t xml:space="preserve">fewer </w:t>
      </w:r>
      <w:r w:rsidRPr="005079A8">
        <w:rPr>
          <w:sz w:val="22"/>
          <w:szCs w:val="22"/>
        </w:rPr>
        <w:t xml:space="preserve">than nine (9) </w:t>
      </w:r>
      <w:proofErr w:type="gramStart"/>
      <w:r w:rsidRPr="005079A8">
        <w:rPr>
          <w:sz w:val="22"/>
          <w:szCs w:val="22"/>
        </w:rPr>
        <w:t>individuals,</w:t>
      </w:r>
      <w:proofErr w:type="gramEnd"/>
      <w:r w:rsidRPr="005079A8">
        <w:rPr>
          <w:sz w:val="22"/>
          <w:szCs w:val="22"/>
        </w:rPr>
        <w:t xml:space="preserve"> therefore did not require prior approval from OMB.</w:t>
      </w:r>
    </w:p>
    <w:p w14:paraId="286D69CA" w14:textId="77777777" w:rsidR="00705E23" w:rsidRPr="005079A8"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8803A1C" w14:textId="77777777" w:rsidR="00705E23" w:rsidRDefault="00705E23" w:rsidP="0070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3A4201D7" w14:textId="77777777" w:rsidR="00705E23" w:rsidRDefault="00705E23" w:rsidP="00705E23">
      <w:pPr>
        <w:rPr>
          <w:rFonts w:ascii="TimesNewRoman" w:hAnsi="TimesNewRoman" w:cs="TimesNewRoman"/>
          <w:sz w:val="22"/>
          <w:szCs w:val="22"/>
          <w:u w:val="single"/>
        </w:rPr>
      </w:pPr>
    </w:p>
    <w:p w14:paraId="114D5B64" w14:textId="77777777" w:rsidR="00705E23" w:rsidRPr="00A4375C" w:rsidRDefault="00705E23" w:rsidP="00705E23">
      <w:pPr>
        <w:rPr>
          <w:sz w:val="24"/>
          <w:szCs w:val="24"/>
          <w:u w:val="single"/>
        </w:rPr>
      </w:pPr>
      <w:r w:rsidRPr="00A4375C">
        <w:rPr>
          <w:sz w:val="24"/>
          <w:szCs w:val="24"/>
          <w:u w:val="single"/>
        </w:rPr>
        <w:t>Agency Coordinator:</w:t>
      </w:r>
    </w:p>
    <w:p w14:paraId="5FB7CD57" w14:textId="77777777" w:rsidR="00705E23" w:rsidRPr="00A4375C" w:rsidRDefault="00705E23" w:rsidP="00705E23">
      <w:pPr>
        <w:rPr>
          <w:sz w:val="24"/>
          <w:szCs w:val="24"/>
        </w:rPr>
      </w:pPr>
      <w:r w:rsidRPr="00A4375C">
        <w:rPr>
          <w:sz w:val="24"/>
          <w:szCs w:val="24"/>
        </w:rPr>
        <w:t>Dale Squires</w:t>
      </w:r>
    </w:p>
    <w:p w14:paraId="294D5D6C" w14:textId="77777777" w:rsidR="00705E23" w:rsidRPr="00A4375C" w:rsidRDefault="00705E23" w:rsidP="00705E23">
      <w:pPr>
        <w:rPr>
          <w:sz w:val="24"/>
          <w:szCs w:val="24"/>
        </w:rPr>
      </w:pPr>
      <w:r w:rsidRPr="00A4375C">
        <w:rPr>
          <w:bCs/>
          <w:sz w:val="24"/>
          <w:szCs w:val="24"/>
        </w:rPr>
        <w:t>Southwest Fisheries Science Center</w:t>
      </w:r>
      <w:r w:rsidRPr="00A4375C">
        <w:rPr>
          <w:sz w:val="24"/>
          <w:szCs w:val="24"/>
        </w:rPr>
        <w:br/>
        <w:t>8901 La Jolla Shores Drive</w:t>
      </w:r>
      <w:r w:rsidRPr="00A4375C">
        <w:rPr>
          <w:sz w:val="24"/>
          <w:szCs w:val="24"/>
        </w:rPr>
        <w:br/>
        <w:t>La Jolla, CA 92037</w:t>
      </w:r>
    </w:p>
    <w:p w14:paraId="1805B168" w14:textId="77777777" w:rsidR="00705E23" w:rsidRPr="00A4375C" w:rsidRDefault="00705E23" w:rsidP="00705E23">
      <w:pPr>
        <w:rPr>
          <w:sz w:val="24"/>
          <w:szCs w:val="24"/>
        </w:rPr>
      </w:pPr>
      <w:r w:rsidRPr="00A4375C">
        <w:rPr>
          <w:sz w:val="24"/>
          <w:szCs w:val="24"/>
        </w:rPr>
        <w:t>(858) 546-7113</w:t>
      </w:r>
      <w:r w:rsidRPr="00A4375C">
        <w:rPr>
          <w:sz w:val="24"/>
          <w:szCs w:val="24"/>
        </w:rPr>
        <w:br/>
      </w:r>
      <w:hyperlink r:id="rId8" w:history="1">
        <w:r w:rsidRPr="00A4375C">
          <w:rPr>
            <w:rStyle w:val="Hyperlink"/>
            <w:sz w:val="24"/>
            <w:szCs w:val="24"/>
          </w:rPr>
          <w:t>Dale.Squires@noaa.go</w:t>
        </w:r>
      </w:hyperlink>
      <w:r w:rsidRPr="00A4375C">
        <w:rPr>
          <w:sz w:val="24"/>
          <w:szCs w:val="24"/>
        </w:rPr>
        <w:t>v</w:t>
      </w:r>
    </w:p>
    <w:p w14:paraId="2D73ACF6" w14:textId="77777777" w:rsidR="00705E23" w:rsidRPr="00A4375C" w:rsidRDefault="00705E23" w:rsidP="00705E23">
      <w:pPr>
        <w:rPr>
          <w:sz w:val="24"/>
          <w:szCs w:val="24"/>
        </w:rPr>
      </w:pPr>
    </w:p>
    <w:p w14:paraId="49BF2C76" w14:textId="77777777" w:rsidR="00705E23" w:rsidRPr="00A4375C" w:rsidRDefault="00705E23" w:rsidP="00705E23">
      <w:pPr>
        <w:rPr>
          <w:sz w:val="24"/>
          <w:szCs w:val="24"/>
          <w:u w:val="single"/>
        </w:rPr>
      </w:pPr>
      <w:r w:rsidRPr="00A4375C">
        <w:rPr>
          <w:sz w:val="24"/>
          <w:szCs w:val="24"/>
          <w:u w:val="single"/>
        </w:rPr>
        <w:t>Principal Investigator:</w:t>
      </w:r>
    </w:p>
    <w:p w14:paraId="46199591" w14:textId="77777777" w:rsidR="00705E23" w:rsidRPr="00A4375C" w:rsidRDefault="00705E23" w:rsidP="00705E23">
      <w:pPr>
        <w:rPr>
          <w:sz w:val="24"/>
          <w:szCs w:val="24"/>
        </w:rPr>
      </w:pPr>
      <w:r w:rsidRPr="00A4375C">
        <w:rPr>
          <w:sz w:val="24"/>
          <w:szCs w:val="24"/>
        </w:rPr>
        <w:t xml:space="preserve">Henry </w:t>
      </w:r>
      <w:proofErr w:type="spellStart"/>
      <w:r w:rsidRPr="00A4375C">
        <w:rPr>
          <w:sz w:val="24"/>
          <w:szCs w:val="24"/>
        </w:rPr>
        <w:t>Pontarelli</w:t>
      </w:r>
      <w:proofErr w:type="spellEnd"/>
    </w:p>
    <w:p w14:paraId="5E8BA853" w14:textId="77777777" w:rsidR="00705E23" w:rsidRPr="00A4375C" w:rsidRDefault="00705E23" w:rsidP="00705E23">
      <w:pPr>
        <w:rPr>
          <w:sz w:val="24"/>
          <w:szCs w:val="24"/>
        </w:rPr>
      </w:pPr>
      <w:r w:rsidRPr="00A4375C">
        <w:rPr>
          <w:sz w:val="24"/>
          <w:szCs w:val="24"/>
        </w:rPr>
        <w:t>Vice President, Lisa Wise Consulting</w:t>
      </w:r>
    </w:p>
    <w:p w14:paraId="2EC57163" w14:textId="77777777" w:rsidR="00705E23" w:rsidRPr="00A4375C" w:rsidRDefault="00705E23" w:rsidP="00705E23">
      <w:pPr>
        <w:rPr>
          <w:sz w:val="24"/>
          <w:szCs w:val="24"/>
        </w:rPr>
      </w:pPr>
      <w:r w:rsidRPr="00A4375C">
        <w:rPr>
          <w:sz w:val="24"/>
          <w:szCs w:val="24"/>
        </w:rPr>
        <w:t>58 Maiden Lane, 3</w:t>
      </w:r>
      <w:r w:rsidRPr="00A4375C">
        <w:rPr>
          <w:sz w:val="24"/>
          <w:szCs w:val="24"/>
          <w:vertAlign w:val="superscript"/>
        </w:rPr>
        <w:t>RD</w:t>
      </w:r>
      <w:r w:rsidRPr="00A4375C">
        <w:rPr>
          <w:sz w:val="24"/>
          <w:szCs w:val="24"/>
        </w:rPr>
        <w:t xml:space="preserve"> Floor</w:t>
      </w:r>
    </w:p>
    <w:p w14:paraId="679BB8C1" w14:textId="77777777" w:rsidR="00705E23" w:rsidRPr="00A4375C" w:rsidRDefault="00705E23" w:rsidP="00705E23">
      <w:pPr>
        <w:rPr>
          <w:sz w:val="24"/>
          <w:szCs w:val="24"/>
        </w:rPr>
      </w:pPr>
      <w:r w:rsidRPr="00A4375C">
        <w:rPr>
          <w:sz w:val="24"/>
          <w:szCs w:val="24"/>
        </w:rPr>
        <w:t>San Francisco, CA 94108</w:t>
      </w:r>
    </w:p>
    <w:p w14:paraId="5C0BC37D" w14:textId="77777777" w:rsidR="00705E23" w:rsidRPr="00A4375C" w:rsidRDefault="00705E23" w:rsidP="00705E23">
      <w:pPr>
        <w:rPr>
          <w:sz w:val="24"/>
          <w:szCs w:val="24"/>
        </w:rPr>
      </w:pPr>
      <w:r w:rsidRPr="00A4375C">
        <w:rPr>
          <w:sz w:val="24"/>
          <w:szCs w:val="24"/>
        </w:rPr>
        <w:t>(805) 595-1345</w:t>
      </w:r>
    </w:p>
    <w:p w14:paraId="4A578A85" w14:textId="77777777" w:rsidR="00705E23" w:rsidRPr="00A4375C" w:rsidRDefault="003B1FF3" w:rsidP="00705E23">
      <w:pPr>
        <w:rPr>
          <w:sz w:val="24"/>
          <w:szCs w:val="24"/>
        </w:rPr>
      </w:pPr>
      <w:hyperlink r:id="rId9" w:history="1">
        <w:r w:rsidR="00705E23" w:rsidRPr="00A4375C">
          <w:rPr>
            <w:rStyle w:val="Hyperlink"/>
            <w:sz w:val="24"/>
            <w:szCs w:val="24"/>
          </w:rPr>
          <w:t>henry</w:t>
        </w:r>
      </w:hyperlink>
      <w:r w:rsidR="00705E23" w:rsidRPr="00A4375C">
        <w:rPr>
          <w:sz w:val="24"/>
          <w:szCs w:val="24"/>
        </w:rPr>
        <w:t>@lisawiseconsulting.com</w:t>
      </w:r>
    </w:p>
    <w:p w14:paraId="1B69F0AD" w14:textId="77777777" w:rsidR="00705E23" w:rsidRPr="005079A8" w:rsidRDefault="00705E23" w:rsidP="00705E23">
      <w:pPr>
        <w:rPr>
          <w:sz w:val="22"/>
          <w:szCs w:val="22"/>
        </w:rPr>
      </w:pPr>
    </w:p>
    <w:p w14:paraId="4A42E6F4" w14:textId="77777777" w:rsidR="005725F8" w:rsidRDefault="003B1FF3"/>
    <w:sectPr w:rsidR="005725F8" w:rsidSect="00705E23">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FC29C0" w15:done="0"/>
  <w15:commentEx w15:paraId="74EB97FD" w15:done="0"/>
  <w15:commentEx w15:paraId="2ADAA1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B61A6" w14:textId="77777777" w:rsidR="003B1FF3" w:rsidRDefault="003B1FF3">
      <w:r>
        <w:separator/>
      </w:r>
    </w:p>
  </w:endnote>
  <w:endnote w:type="continuationSeparator" w:id="0">
    <w:p w14:paraId="196A5749" w14:textId="77777777" w:rsidR="003B1FF3" w:rsidRDefault="003B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C1E86" w14:textId="77777777" w:rsidR="004F26E9" w:rsidRDefault="00D31CAD">
    <w:pPr>
      <w:pStyle w:val="Footer"/>
      <w:framePr w:w="576" w:wrap="auto" w:vAnchor="page" w:hAnchor="page" w:x="5545" w:y="15121"/>
      <w:jc w:val="right"/>
      <w:rPr>
        <w:rStyle w:val="PageNumber"/>
        <w:sz w:val="24"/>
        <w:szCs w:val="24"/>
      </w:rPr>
    </w:pPr>
    <w:r>
      <w:rPr>
        <w:rStyle w:val="PageNumber"/>
        <w:sz w:val="24"/>
        <w:szCs w:val="24"/>
      </w:rPr>
      <w:fldChar w:fldCharType="begin"/>
    </w:r>
    <w:r w:rsidR="00705E23">
      <w:rPr>
        <w:rStyle w:val="PageNumber"/>
        <w:sz w:val="24"/>
        <w:szCs w:val="24"/>
      </w:rPr>
      <w:instrText xml:space="preserve">PAGE  </w:instrText>
    </w:r>
    <w:r>
      <w:rPr>
        <w:rStyle w:val="PageNumber"/>
        <w:sz w:val="24"/>
        <w:szCs w:val="24"/>
      </w:rPr>
      <w:fldChar w:fldCharType="separate"/>
    </w:r>
    <w:r w:rsidR="00A5563A">
      <w:rPr>
        <w:rStyle w:val="PageNumber"/>
        <w:noProof/>
        <w:sz w:val="24"/>
        <w:szCs w:val="24"/>
      </w:rPr>
      <w:t>3</w:t>
    </w:r>
    <w:r>
      <w:rPr>
        <w:rStyle w:val="PageNumber"/>
        <w:sz w:val="24"/>
        <w:szCs w:val="24"/>
      </w:rPr>
      <w:fldChar w:fldCharType="end"/>
    </w:r>
  </w:p>
  <w:p w14:paraId="05EBAA7D" w14:textId="77777777" w:rsidR="004F26E9" w:rsidRDefault="003B1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C35B2" w14:textId="77777777" w:rsidR="003B1FF3" w:rsidRDefault="003B1FF3">
      <w:r>
        <w:separator/>
      </w:r>
    </w:p>
  </w:footnote>
  <w:footnote w:type="continuationSeparator" w:id="0">
    <w:p w14:paraId="09EB93DE" w14:textId="77777777" w:rsidR="003B1FF3" w:rsidRDefault="003B1FF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Harrington">
    <w15:presenceInfo w15:providerId="Windows Live" w15:userId="69ff38fcda8091cb"/>
  </w15:person>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23"/>
    <w:rsid w:val="00111074"/>
    <w:rsid w:val="001334DA"/>
    <w:rsid w:val="001817AE"/>
    <w:rsid w:val="00186396"/>
    <w:rsid w:val="001A050E"/>
    <w:rsid w:val="002666F4"/>
    <w:rsid w:val="0029273C"/>
    <w:rsid w:val="002950F0"/>
    <w:rsid w:val="003B1FF3"/>
    <w:rsid w:val="00455E71"/>
    <w:rsid w:val="00491269"/>
    <w:rsid w:val="0058752A"/>
    <w:rsid w:val="006536A5"/>
    <w:rsid w:val="006A32C0"/>
    <w:rsid w:val="00705E23"/>
    <w:rsid w:val="00744D61"/>
    <w:rsid w:val="007C6674"/>
    <w:rsid w:val="00A5563A"/>
    <w:rsid w:val="00D31CAD"/>
    <w:rsid w:val="00E73AB4"/>
    <w:rsid w:val="00F16C31"/>
    <w:rsid w:val="00FE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E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5E23"/>
    <w:pPr>
      <w:keepNext/>
      <w:autoSpaceDE/>
      <w:autoSpaceDN/>
      <w:adjustRightInd/>
      <w:outlineLvl w:val="0"/>
    </w:pPr>
    <w:rPr>
      <w:rFonts w:eastAsia="SimSun"/>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E23"/>
    <w:rPr>
      <w:rFonts w:ascii="Times New Roman" w:eastAsia="SimSun" w:hAnsi="Times New Roman" w:cs="Times New Roman"/>
      <w:snapToGrid w:val="0"/>
      <w:sz w:val="24"/>
      <w:szCs w:val="20"/>
      <w:u w:val="single"/>
    </w:rPr>
  </w:style>
  <w:style w:type="paragraph" w:styleId="Footer">
    <w:name w:val="footer"/>
    <w:basedOn w:val="Normal"/>
    <w:link w:val="FooterChar"/>
    <w:rsid w:val="00705E23"/>
    <w:pPr>
      <w:tabs>
        <w:tab w:val="center" w:pos="4320"/>
        <w:tab w:val="right" w:pos="8640"/>
      </w:tabs>
    </w:pPr>
  </w:style>
  <w:style w:type="character" w:customStyle="1" w:styleId="FooterChar">
    <w:name w:val="Footer Char"/>
    <w:basedOn w:val="DefaultParagraphFont"/>
    <w:link w:val="Footer"/>
    <w:rsid w:val="00705E23"/>
    <w:rPr>
      <w:rFonts w:ascii="Times New Roman" w:eastAsia="Times New Roman" w:hAnsi="Times New Roman" w:cs="Times New Roman"/>
      <w:sz w:val="20"/>
      <w:szCs w:val="20"/>
    </w:rPr>
  </w:style>
  <w:style w:type="character" w:styleId="PageNumber">
    <w:name w:val="page number"/>
    <w:basedOn w:val="DefaultParagraphFont"/>
    <w:rsid w:val="00705E23"/>
  </w:style>
  <w:style w:type="paragraph" w:styleId="NormalWeb">
    <w:name w:val="Normal (Web)"/>
    <w:basedOn w:val="Normal"/>
    <w:rsid w:val="00705E23"/>
    <w:pPr>
      <w:widowControl/>
      <w:autoSpaceDE/>
      <w:autoSpaceDN/>
      <w:adjustRightInd/>
      <w:spacing w:before="100" w:beforeAutospacing="1" w:after="100" w:afterAutospacing="1"/>
    </w:pPr>
    <w:rPr>
      <w:rFonts w:eastAsia="SimSun"/>
      <w:sz w:val="24"/>
      <w:szCs w:val="24"/>
    </w:rPr>
  </w:style>
  <w:style w:type="character" w:styleId="Hyperlink">
    <w:name w:val="Hyperlink"/>
    <w:rsid w:val="00705E23"/>
    <w:rPr>
      <w:color w:val="0000FF"/>
      <w:u w:val="single"/>
    </w:rPr>
  </w:style>
  <w:style w:type="paragraph" w:styleId="BalloonText">
    <w:name w:val="Balloon Text"/>
    <w:basedOn w:val="Normal"/>
    <w:link w:val="BalloonTextChar"/>
    <w:uiPriority w:val="99"/>
    <w:semiHidden/>
    <w:unhideWhenUsed/>
    <w:rsid w:val="00705E23"/>
    <w:rPr>
      <w:rFonts w:ascii="Tahoma" w:hAnsi="Tahoma" w:cs="Tahoma"/>
      <w:sz w:val="16"/>
      <w:szCs w:val="16"/>
    </w:rPr>
  </w:style>
  <w:style w:type="character" w:customStyle="1" w:styleId="BalloonTextChar">
    <w:name w:val="Balloon Text Char"/>
    <w:basedOn w:val="DefaultParagraphFont"/>
    <w:link w:val="BalloonText"/>
    <w:uiPriority w:val="99"/>
    <w:semiHidden/>
    <w:rsid w:val="00705E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91269"/>
    <w:rPr>
      <w:sz w:val="16"/>
      <w:szCs w:val="16"/>
    </w:rPr>
  </w:style>
  <w:style w:type="paragraph" w:styleId="CommentText">
    <w:name w:val="annotation text"/>
    <w:basedOn w:val="Normal"/>
    <w:link w:val="CommentTextChar"/>
    <w:uiPriority w:val="99"/>
    <w:semiHidden/>
    <w:unhideWhenUsed/>
    <w:rsid w:val="00491269"/>
  </w:style>
  <w:style w:type="character" w:customStyle="1" w:styleId="CommentTextChar">
    <w:name w:val="Comment Text Char"/>
    <w:basedOn w:val="DefaultParagraphFont"/>
    <w:link w:val="CommentText"/>
    <w:uiPriority w:val="99"/>
    <w:semiHidden/>
    <w:rsid w:val="004912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269"/>
    <w:rPr>
      <w:b/>
      <w:bCs/>
    </w:rPr>
  </w:style>
  <w:style w:type="character" w:customStyle="1" w:styleId="CommentSubjectChar">
    <w:name w:val="Comment Subject Char"/>
    <w:basedOn w:val="CommentTextChar"/>
    <w:link w:val="CommentSubject"/>
    <w:uiPriority w:val="99"/>
    <w:semiHidden/>
    <w:rsid w:val="0049126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E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5E23"/>
    <w:pPr>
      <w:keepNext/>
      <w:autoSpaceDE/>
      <w:autoSpaceDN/>
      <w:adjustRightInd/>
      <w:outlineLvl w:val="0"/>
    </w:pPr>
    <w:rPr>
      <w:rFonts w:eastAsia="SimSun"/>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E23"/>
    <w:rPr>
      <w:rFonts w:ascii="Times New Roman" w:eastAsia="SimSun" w:hAnsi="Times New Roman" w:cs="Times New Roman"/>
      <w:snapToGrid w:val="0"/>
      <w:sz w:val="24"/>
      <w:szCs w:val="20"/>
      <w:u w:val="single"/>
    </w:rPr>
  </w:style>
  <w:style w:type="paragraph" w:styleId="Footer">
    <w:name w:val="footer"/>
    <w:basedOn w:val="Normal"/>
    <w:link w:val="FooterChar"/>
    <w:rsid w:val="00705E23"/>
    <w:pPr>
      <w:tabs>
        <w:tab w:val="center" w:pos="4320"/>
        <w:tab w:val="right" w:pos="8640"/>
      </w:tabs>
    </w:pPr>
  </w:style>
  <w:style w:type="character" w:customStyle="1" w:styleId="FooterChar">
    <w:name w:val="Footer Char"/>
    <w:basedOn w:val="DefaultParagraphFont"/>
    <w:link w:val="Footer"/>
    <w:rsid w:val="00705E23"/>
    <w:rPr>
      <w:rFonts w:ascii="Times New Roman" w:eastAsia="Times New Roman" w:hAnsi="Times New Roman" w:cs="Times New Roman"/>
      <w:sz w:val="20"/>
      <w:szCs w:val="20"/>
    </w:rPr>
  </w:style>
  <w:style w:type="character" w:styleId="PageNumber">
    <w:name w:val="page number"/>
    <w:basedOn w:val="DefaultParagraphFont"/>
    <w:rsid w:val="00705E23"/>
  </w:style>
  <w:style w:type="paragraph" w:styleId="NormalWeb">
    <w:name w:val="Normal (Web)"/>
    <w:basedOn w:val="Normal"/>
    <w:rsid w:val="00705E23"/>
    <w:pPr>
      <w:widowControl/>
      <w:autoSpaceDE/>
      <w:autoSpaceDN/>
      <w:adjustRightInd/>
      <w:spacing w:before="100" w:beforeAutospacing="1" w:after="100" w:afterAutospacing="1"/>
    </w:pPr>
    <w:rPr>
      <w:rFonts w:eastAsia="SimSun"/>
      <w:sz w:val="24"/>
      <w:szCs w:val="24"/>
    </w:rPr>
  </w:style>
  <w:style w:type="character" w:styleId="Hyperlink">
    <w:name w:val="Hyperlink"/>
    <w:rsid w:val="00705E23"/>
    <w:rPr>
      <w:color w:val="0000FF"/>
      <w:u w:val="single"/>
    </w:rPr>
  </w:style>
  <w:style w:type="paragraph" w:styleId="BalloonText">
    <w:name w:val="Balloon Text"/>
    <w:basedOn w:val="Normal"/>
    <w:link w:val="BalloonTextChar"/>
    <w:uiPriority w:val="99"/>
    <w:semiHidden/>
    <w:unhideWhenUsed/>
    <w:rsid w:val="00705E23"/>
    <w:rPr>
      <w:rFonts w:ascii="Tahoma" w:hAnsi="Tahoma" w:cs="Tahoma"/>
      <w:sz w:val="16"/>
      <w:szCs w:val="16"/>
    </w:rPr>
  </w:style>
  <w:style w:type="character" w:customStyle="1" w:styleId="BalloonTextChar">
    <w:name w:val="Balloon Text Char"/>
    <w:basedOn w:val="DefaultParagraphFont"/>
    <w:link w:val="BalloonText"/>
    <w:uiPriority w:val="99"/>
    <w:semiHidden/>
    <w:rsid w:val="00705E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91269"/>
    <w:rPr>
      <w:sz w:val="16"/>
      <w:szCs w:val="16"/>
    </w:rPr>
  </w:style>
  <w:style w:type="paragraph" w:styleId="CommentText">
    <w:name w:val="annotation text"/>
    <w:basedOn w:val="Normal"/>
    <w:link w:val="CommentTextChar"/>
    <w:uiPriority w:val="99"/>
    <w:semiHidden/>
    <w:unhideWhenUsed/>
    <w:rsid w:val="00491269"/>
  </w:style>
  <w:style w:type="character" w:customStyle="1" w:styleId="CommentTextChar">
    <w:name w:val="Comment Text Char"/>
    <w:basedOn w:val="DefaultParagraphFont"/>
    <w:link w:val="CommentText"/>
    <w:uiPriority w:val="99"/>
    <w:semiHidden/>
    <w:rsid w:val="004912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269"/>
    <w:rPr>
      <w:b/>
      <w:bCs/>
    </w:rPr>
  </w:style>
  <w:style w:type="character" w:customStyle="1" w:styleId="CommentSubjectChar">
    <w:name w:val="Comment Subject Char"/>
    <w:basedOn w:val="CommentTextChar"/>
    <w:link w:val="CommentSubject"/>
    <w:uiPriority w:val="99"/>
    <w:semiHidden/>
    <w:rsid w:val="004912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Squires@noaa.g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nry"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021F-DB2B-4D37-90CA-1A118F22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2014-12-01T14:00:00Z</dcterms:created>
  <dcterms:modified xsi:type="dcterms:W3CDTF">2014-12-08T21:46:00Z</dcterms:modified>
</cp:coreProperties>
</file>