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013B1">
        <w:rPr>
          <w:sz w:val="28"/>
        </w:rPr>
        <w:t>3045-0163</w:t>
      </w:r>
      <w:r>
        <w:rPr>
          <w:sz w:val="28"/>
        </w:rPr>
        <w:t>)</w:t>
      </w:r>
    </w:p>
    <w:p w:rsidR="005E714A" w:rsidRPr="000013B1" w:rsidRDefault="0000132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88A1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B09A0">
        <w:t>Community Conversations on Civic Engagement</w:t>
      </w:r>
    </w:p>
    <w:p w:rsidR="0091700D" w:rsidRDefault="0091700D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9B09A0" w:rsidRDefault="00857B32">
      <w:r>
        <w:t>The purpose of this project is t</w:t>
      </w:r>
      <w:r w:rsidR="0091700D">
        <w:t xml:space="preserve">o </w:t>
      </w:r>
      <w:r w:rsidR="000013B1">
        <w:t xml:space="preserve">pilot </w:t>
      </w:r>
      <w:r w:rsidR="000C36C6">
        <w:t xml:space="preserve">innovative data collection methods </w:t>
      </w:r>
      <w:r w:rsidR="000013B1">
        <w:t>designed to measure civic health</w:t>
      </w:r>
      <w:r w:rsidR="000C36C6">
        <w:t xml:space="preserve"> at the neighborhood level</w:t>
      </w:r>
      <w:r w:rsidR="000013B1">
        <w:t xml:space="preserve">. </w:t>
      </w:r>
      <w:r w:rsidR="009B09A0">
        <w:t xml:space="preserve">This </w:t>
      </w:r>
      <w:r w:rsidR="00CB1D80">
        <w:t xml:space="preserve">effort </w:t>
      </w:r>
      <w:r w:rsidR="009B09A0">
        <w:t xml:space="preserve">was </w:t>
      </w:r>
      <w:r w:rsidR="00CB1D80">
        <w:t xml:space="preserve">one of several </w:t>
      </w:r>
      <w:r w:rsidR="009B09A0">
        <w:t>recommendation</w:t>
      </w:r>
      <w:r w:rsidR="00CB1D80">
        <w:t>s</w:t>
      </w:r>
      <w:r w:rsidR="009B09A0">
        <w:t xml:space="preserve"> </w:t>
      </w:r>
      <w:r w:rsidR="00CB1D80">
        <w:t>made by</w:t>
      </w:r>
      <w:r w:rsidR="009B09A0">
        <w:t xml:space="preserve"> the National Science Foundation Report </w:t>
      </w:r>
      <w:r w:rsidR="00CB1D80">
        <w:t xml:space="preserve">regarding </w:t>
      </w:r>
      <w:r w:rsidR="009B09A0">
        <w:t xml:space="preserve">measuring </w:t>
      </w:r>
      <w:r w:rsidR="000013B1">
        <w:t>c</w:t>
      </w:r>
      <w:r w:rsidR="009B09A0">
        <w:t xml:space="preserve">ivic </w:t>
      </w:r>
      <w:r w:rsidR="000013B1">
        <w:t>E</w:t>
      </w:r>
      <w:r w:rsidR="009B09A0">
        <w:t>ngagement</w:t>
      </w:r>
      <w:r w:rsidR="000013B1">
        <w:t xml:space="preserve">. </w:t>
      </w:r>
      <w:r w:rsidR="00470C2B">
        <w:t>I</w:t>
      </w:r>
      <w:r w:rsidR="00CB1D80">
        <w:t xml:space="preserve">n addition to </w:t>
      </w:r>
      <w:r w:rsidR="00470C2B">
        <w:t xml:space="preserve">CNCS’s efforts to redesign the Civic and Volunteer CPS </w:t>
      </w:r>
      <w:r w:rsidR="000013B1">
        <w:t xml:space="preserve">Census </w:t>
      </w:r>
      <w:r w:rsidR="00D16499">
        <w:t>supplements</w:t>
      </w:r>
      <w:r w:rsidR="00470C2B">
        <w:t xml:space="preserve"> and </w:t>
      </w:r>
      <w:r w:rsidR="000013B1">
        <w:t xml:space="preserve">pilot </w:t>
      </w:r>
      <w:r w:rsidR="00CB1D80">
        <w:t>test</w:t>
      </w:r>
      <w:r w:rsidR="00470C2B">
        <w:t xml:space="preserve"> </w:t>
      </w:r>
      <w:r w:rsidR="00CB1D80">
        <w:t xml:space="preserve">the instrument, CNCS </w:t>
      </w:r>
      <w:r w:rsidR="00470C2B">
        <w:t xml:space="preserve">seeks to develop alternative methods of </w:t>
      </w:r>
      <w:r w:rsidR="000013B1">
        <w:t>collecting this data</w:t>
      </w:r>
      <w:r w:rsidR="009B09A0">
        <w:t>.</w:t>
      </w:r>
    </w:p>
    <w:p w:rsidR="009267BA" w:rsidRDefault="009267BA"/>
    <w:p w:rsidR="00EC2A1F" w:rsidRDefault="009B09A0">
      <w:r>
        <w:t xml:space="preserve">A base set of </w:t>
      </w:r>
      <w:r w:rsidR="000C36C6">
        <w:t>questions</w:t>
      </w:r>
      <w:r>
        <w:t xml:space="preserve"> consistent with the National survey instrument</w:t>
      </w:r>
      <w:r w:rsidR="000C36C6">
        <w:t xml:space="preserve"> will </w:t>
      </w:r>
      <w:r w:rsidR="000013B1">
        <w:t>comprise</w:t>
      </w:r>
      <w:r w:rsidR="000C36C6">
        <w:t xml:space="preserve"> </w:t>
      </w:r>
      <w:r w:rsidR="000013B1">
        <w:t xml:space="preserve">the instrument that is tested. </w:t>
      </w:r>
      <w:r w:rsidR="00044447">
        <w:t xml:space="preserve">This generic instrument will be </w:t>
      </w:r>
      <w:r w:rsidR="000013B1">
        <w:t>tested via four different metho</w:t>
      </w:r>
      <w:r w:rsidR="00D16499">
        <w:t>do</w:t>
      </w:r>
      <w:r w:rsidR="000013B1">
        <w:t>logies:</w:t>
      </w:r>
      <w:r w:rsidR="000C36C6">
        <w:t xml:space="preserve"> door to door survey interviews, focus groups, community gatherings</w:t>
      </w:r>
      <w:r w:rsidR="000013B1">
        <w:t>,</w:t>
      </w:r>
      <w:r w:rsidR="000C36C6">
        <w:t xml:space="preserve"> and targeted community social events</w:t>
      </w:r>
      <w:r w:rsidR="000013B1">
        <w:t xml:space="preserve">. </w:t>
      </w:r>
      <w:r>
        <w:t xml:space="preserve"> </w:t>
      </w:r>
    </w:p>
    <w:p w:rsidR="00EC2A1F" w:rsidRDefault="00EC2A1F"/>
    <w:p w:rsidR="001B0AAA" w:rsidRDefault="000C36C6">
      <w:r>
        <w:t xml:space="preserve">Variations in response rates will be examined as well as </w:t>
      </w:r>
      <w:r w:rsidR="00EC2A1F">
        <w:t>which approach(s)/</w:t>
      </w:r>
      <w:r>
        <w:t>method</w:t>
      </w:r>
      <w:r w:rsidR="00EC2A1F">
        <w:t>(</w:t>
      </w:r>
      <w:r>
        <w:t>s</w:t>
      </w:r>
      <w:r w:rsidR="00EC2A1F">
        <w:t>)</w:t>
      </w:r>
      <w:r>
        <w:t xml:space="preserve"> yield efficiency</w:t>
      </w:r>
      <w:r w:rsidR="00EC2A1F">
        <w:t>,</w:t>
      </w:r>
      <w:r>
        <w:t xml:space="preserve"> breadth</w:t>
      </w:r>
      <w:r w:rsidR="000013B1">
        <w:t>,</w:t>
      </w:r>
      <w:r>
        <w:t xml:space="preserve"> </w:t>
      </w:r>
      <w:r w:rsidR="00EC2A1F">
        <w:t xml:space="preserve">and depth </w:t>
      </w:r>
      <w:r>
        <w:t>of responses</w:t>
      </w:r>
      <w:r w:rsidR="00EC2A1F">
        <w:t xml:space="preserve"> relative to neighborhood characteristics.</w:t>
      </w:r>
      <w:r>
        <w:t xml:space="preserve"> </w:t>
      </w:r>
      <w:r w:rsidR="00EC2A1F">
        <w:t xml:space="preserve">Response rates will also be examined relative to neighborhood characteristic. </w:t>
      </w:r>
      <w:r w:rsidR="0091700D">
        <w:t xml:space="preserve">The </w:t>
      </w:r>
      <w:r w:rsidR="00EC2A1F">
        <w:t>project</w:t>
      </w:r>
      <w:r w:rsidR="0091700D">
        <w:t xml:space="preserve"> will identify </w:t>
      </w:r>
      <w:r w:rsidR="00EC2A1F">
        <w:t>the most effective and efficient methods for local data collection to compliment the planned national survey in 2017.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857B32">
      <w:r>
        <w:t xml:space="preserve">Approximately sixty </w:t>
      </w:r>
      <w:r w:rsidR="003D0E4E">
        <w:t>(</w:t>
      </w:r>
      <w:r>
        <w:t>60</w:t>
      </w:r>
      <w:r w:rsidR="003D0E4E">
        <w:t xml:space="preserve">) neighborhood residents in each of </w:t>
      </w:r>
      <w:r w:rsidR="000013B1">
        <w:t>four</w:t>
      </w:r>
      <w:r w:rsidR="003D0E4E">
        <w:t xml:space="preserve"> geographically defined locations within small, mid-sized, and large urban areas</w:t>
      </w:r>
      <w:r w:rsidR="000013B1">
        <w:t>,</w:t>
      </w:r>
      <w:r w:rsidR="003D0E4E">
        <w:t xml:space="preserve"> and one rural area</w:t>
      </w:r>
      <w:r w:rsidR="0091700D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91700D">
        <w:rPr>
          <w:bCs/>
          <w:sz w:val="24"/>
        </w:rPr>
        <w:t xml:space="preserve"> </w:t>
      </w:r>
      <w:r w:rsidR="0091700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RDefault="00935ADA" w:rsidP="003D0E4E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6A39BD">
        <w:rPr>
          <w:bCs/>
          <w:sz w:val="24"/>
        </w:rPr>
        <w:t>X</w:t>
      </w:r>
      <w:r w:rsidR="00CF6542">
        <w:rPr>
          <w:bCs/>
          <w:sz w:val="24"/>
        </w:rPr>
        <w:t xml:space="preserve"> </w:t>
      </w:r>
      <w:r w:rsidR="0016309D">
        <w:rPr>
          <w:bCs/>
          <w:sz w:val="24"/>
        </w:rPr>
        <w:t xml:space="preserve">]  Focus Group  </w:t>
      </w:r>
      <w:r w:rsidR="0016309D">
        <w:rPr>
          <w:bCs/>
          <w:sz w:val="24"/>
        </w:rPr>
        <w:tab/>
      </w:r>
      <w:r w:rsidR="0016309D">
        <w:rPr>
          <w:bCs/>
          <w:sz w:val="24"/>
        </w:rPr>
        <w:tab/>
      </w:r>
      <w:r w:rsidR="0016309D">
        <w:rPr>
          <w:bCs/>
          <w:sz w:val="24"/>
        </w:rPr>
        <w:tab/>
      </w:r>
      <w:r w:rsidR="0016309D">
        <w:rPr>
          <w:bCs/>
          <w:sz w:val="24"/>
        </w:rPr>
        <w:tab/>
      </w:r>
      <w:r w:rsidR="0016309D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3D0E4E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3D0E4E">
        <w:rPr>
          <w:bCs/>
          <w:sz w:val="24"/>
        </w:rPr>
        <w:t xml:space="preserve"> </w:t>
      </w:r>
      <w:r w:rsidR="003D0E4E" w:rsidRPr="003D0E4E">
        <w:rPr>
          <w:bCs/>
          <w:sz w:val="24"/>
          <w:u w:val="single"/>
        </w:rPr>
        <w:t>Various</w:t>
      </w:r>
      <w:r w:rsidR="003D0E4E">
        <w:rPr>
          <w:bCs/>
          <w:sz w:val="24"/>
          <w:u w:val="single"/>
        </w:rPr>
        <w:t xml:space="preserve"> (</w:t>
      </w:r>
      <w:r w:rsidR="0016309D">
        <w:rPr>
          <w:bCs/>
          <w:sz w:val="24"/>
          <w:u w:val="single"/>
        </w:rPr>
        <w:t>Administration Testing)</w:t>
      </w:r>
    </w:p>
    <w:p w:rsidR="000013B1" w:rsidRDefault="000013B1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B2309F" w:rsidP="008101A5">
      <w:pPr>
        <w:pStyle w:val="ListParagraph"/>
        <w:numPr>
          <w:ilvl w:val="0"/>
          <w:numId w:val="14"/>
        </w:numPr>
      </w:pPr>
      <w:r>
        <w:t xml:space="preserve">Data collection will be </w:t>
      </w:r>
      <w:r w:rsidR="008101A5">
        <w:t>voluntary.</w:t>
      </w:r>
      <w:r w:rsidR="008101A5" w:rsidRPr="00C14CC4">
        <w:t xml:space="preserve"> </w:t>
      </w:r>
    </w:p>
    <w:p w:rsidR="008101A5" w:rsidRDefault="00B2309F" w:rsidP="008101A5">
      <w:pPr>
        <w:pStyle w:val="ListParagraph"/>
        <w:numPr>
          <w:ilvl w:val="0"/>
          <w:numId w:val="14"/>
        </w:numPr>
      </w:pPr>
      <w:r>
        <w:t>The burden for respondents will be minimal as there are a limited number of items to answer</w:t>
      </w:r>
      <w:r w:rsidR="000013B1">
        <w:t xml:space="preserve">. </w:t>
      </w:r>
      <w:r>
        <w:t>The cost for the Federal Government will be moderate as this is a demonstration project and will require modest cost to arrange travel and site visit costs</w:t>
      </w:r>
      <w:r w:rsidR="008101A5">
        <w:t>.</w:t>
      </w:r>
    </w:p>
    <w:p w:rsidR="008101A5" w:rsidRDefault="00B2309F" w:rsidP="008101A5">
      <w:pPr>
        <w:pStyle w:val="ListParagraph"/>
        <w:numPr>
          <w:ilvl w:val="0"/>
          <w:numId w:val="14"/>
        </w:numPr>
      </w:pPr>
      <w:r>
        <w:t xml:space="preserve">Data collection will be </w:t>
      </w:r>
      <w:r w:rsidR="008101A5" w:rsidRPr="00C14CC4">
        <w:t xml:space="preserve">non-controversial </w:t>
      </w:r>
      <w:r>
        <w:t xml:space="preserve">as the proposed instrument contains only previously approved and cleared questions that have been crafted by CNCS and </w:t>
      </w:r>
      <w:r w:rsidR="008101A5" w:rsidRPr="00C14CC4">
        <w:t>other federal agencies</w:t>
      </w:r>
      <w:r w:rsidR="008101A5">
        <w:t>.</w:t>
      </w:r>
      <w:r w:rsidR="008101A5"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r w:rsidR="002C6916">
        <w:t>of project will not</w:t>
      </w:r>
      <w:r>
        <w:t xml:space="preserve">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="002C6916">
        <w:t>informing policy decisions</w:t>
      </w:r>
      <w:r w:rsidR="000013B1">
        <w:t xml:space="preserve">. </w:t>
      </w:r>
      <w:r w:rsidR="002C6916" w:rsidRPr="002C6916">
        <w:t xml:space="preserve">Results are strictly used to assess feasibility and costs associated with of local data collection and will </w:t>
      </w:r>
      <w:r w:rsidR="002C6916">
        <w:t xml:space="preserve">only </w:t>
      </w:r>
      <w:r w:rsidR="002C6916" w:rsidRPr="002C6916">
        <w:t xml:space="preserve">inform </w:t>
      </w:r>
      <w:r w:rsidR="00857B32">
        <w:t>further studies</w:t>
      </w:r>
      <w:r w:rsidRPr="002C6916">
        <w:t xml:space="preserve"> </w:t>
      </w:r>
      <w:r w:rsidR="002C6916" w:rsidRPr="002C6916">
        <w:t>regarding civic engagement data collection</w:t>
      </w:r>
      <w:r w:rsidR="002C6916">
        <w:t xml:space="preserve"> at the community levels</w:t>
      </w:r>
      <w:r w:rsidRPr="002C6916">
        <w:t xml:space="preserve">. </w:t>
      </w:r>
    </w:p>
    <w:p w:rsidR="00CB1D80" w:rsidRPr="002C6916" w:rsidRDefault="00CB1D80" w:rsidP="008101A5">
      <w:pPr>
        <w:pStyle w:val="ListParagraph"/>
        <w:numPr>
          <w:ilvl w:val="0"/>
          <w:numId w:val="14"/>
        </w:numPr>
      </w:pPr>
      <w:r>
        <w:lastRenderedPageBreak/>
        <w:t>Rigorous statistical methodology is not indicated for this project</w:t>
      </w:r>
      <w:r w:rsidR="00857B32">
        <w:t xml:space="preserve"> but anticipated in future research projects on this issue</w:t>
      </w:r>
      <w:r w:rsidR="000013B1">
        <w:t xml:space="preserve">. </w:t>
      </w:r>
      <w:r w:rsidR="00470C2B">
        <w:t>Response rates per data collection approach, typed of respondents and willingness to respond are critical information.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</w:t>
      </w:r>
      <w:r w:rsidR="00044447">
        <w:t>responses</w:t>
      </w:r>
      <w:r>
        <w:t xml:space="preserve"> from </w:t>
      </w:r>
      <w:r w:rsidR="00044447">
        <w:t>residents</w:t>
      </w:r>
      <w:r>
        <w:t xml:space="preserve"> who</w:t>
      </w:r>
      <w:r w:rsidR="00044447">
        <w:t xml:space="preserve"> may </w:t>
      </w:r>
      <w:r w:rsidR="00513C20">
        <w:t xml:space="preserve">and may not </w:t>
      </w:r>
      <w:r w:rsidR="00044447">
        <w:t xml:space="preserve">have </w:t>
      </w:r>
      <w:r>
        <w:t xml:space="preserve">experience with </w:t>
      </w:r>
      <w:r w:rsidR="00044447">
        <w:t xml:space="preserve">civic engagement, community engagement, community activity and social connectedness within the </w:t>
      </w:r>
      <w:r w:rsidR="00A8309D">
        <w:t xml:space="preserve">selected residential </w:t>
      </w:r>
      <w:r w:rsidR="00044447">
        <w:t>areas</w:t>
      </w:r>
      <w:r>
        <w:t>.</w:t>
      </w:r>
    </w:p>
    <w:p w:rsidR="009C13B9" w:rsidRDefault="009C13B9" w:rsidP="009C13B9"/>
    <w:p w:rsidR="009C13B9" w:rsidRDefault="009C13B9" w:rsidP="009C13B9">
      <w:r>
        <w:t>Name:</w:t>
      </w:r>
      <w:r w:rsidR="00641332">
        <w:t xml:space="preserve"> </w:t>
      </w:r>
      <w:r>
        <w:t>_</w:t>
      </w:r>
      <w:r w:rsidR="00641332" w:rsidRPr="00641332">
        <w:rPr>
          <w:u w:val="single"/>
        </w:rPr>
        <w:t>Anthony Nerino</w:t>
      </w:r>
      <w:r>
        <w:t>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1700D">
        <w:t>[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</w:t>
      </w:r>
      <w:r w:rsidR="00A60B21">
        <w:t xml:space="preserve"> [ 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B96B34">
        <w:t>d to participants?  [</w:t>
      </w:r>
      <w:r w:rsidR="00641332">
        <w:t xml:space="preserve"> </w:t>
      </w:r>
      <w:r w:rsidR="00B96B34">
        <w:t xml:space="preserve">] Yes </w:t>
      </w:r>
      <w:r w:rsidR="00641332">
        <w:t>[X</w:t>
      </w:r>
      <w:r>
        <w:t xml:space="preserve">] No  </w:t>
      </w:r>
    </w:p>
    <w:p w:rsidR="004D6E14" w:rsidRDefault="004D6E14">
      <w:pPr>
        <w:rPr>
          <w:b/>
        </w:rPr>
      </w:pPr>
    </w:p>
    <w:p w:rsidR="0084259F" w:rsidRPr="0028032C" w:rsidRDefault="0084259F" w:rsidP="0084259F">
      <w:r>
        <w:t>There is no incentive attached to participation as we wish to assess response rates.</w:t>
      </w:r>
    </w:p>
    <w:p w:rsidR="0028032C" w:rsidRDefault="0028032C">
      <w:pPr>
        <w:rPr>
          <w:b/>
        </w:rPr>
      </w:pPr>
      <w:r w:rsidRPr="00841D73">
        <w:tab/>
      </w: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440"/>
        <w:gridCol w:w="1273"/>
      </w:tblGrid>
      <w:tr w:rsidR="00EF2095" w:rsidTr="00641332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44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641332">
        <w:trPr>
          <w:trHeight w:val="274"/>
        </w:trPr>
        <w:tc>
          <w:tcPr>
            <w:tcW w:w="5418" w:type="dxa"/>
          </w:tcPr>
          <w:p w:rsidR="006832D9" w:rsidRDefault="00C44D5B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1C6436" w:rsidP="001C6436">
            <w:r>
              <w:t>25</w:t>
            </w:r>
            <w:r w:rsidR="00C07CA6">
              <w:t>0</w:t>
            </w:r>
          </w:p>
        </w:tc>
        <w:tc>
          <w:tcPr>
            <w:tcW w:w="1440" w:type="dxa"/>
          </w:tcPr>
          <w:p w:rsidR="006832D9" w:rsidRDefault="00641332" w:rsidP="00850320">
            <w:r>
              <w:t>1</w:t>
            </w:r>
            <w:r w:rsidR="00850320">
              <w:t>5</w:t>
            </w:r>
            <w:r w:rsidR="0091700D">
              <w:t xml:space="preserve"> minutes</w:t>
            </w:r>
          </w:p>
        </w:tc>
        <w:tc>
          <w:tcPr>
            <w:tcW w:w="1273" w:type="dxa"/>
          </w:tcPr>
          <w:p w:rsidR="006832D9" w:rsidRPr="00A25B60" w:rsidRDefault="001C6436" w:rsidP="00B54A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ucida Console" w:hAnsi="Lucida Console" w:cs="Courier New"/>
                <w:color w:val="000000"/>
                <w:sz w:val="20"/>
                <w:szCs w:val="20"/>
                <w:shd w:val="clear" w:color="auto" w:fill="E1E2E5"/>
              </w:rPr>
            </w:pPr>
            <w:r>
              <w:t>62.5</w:t>
            </w:r>
            <w:r w:rsidR="00641332">
              <w:t xml:space="preserve"> </w:t>
            </w:r>
            <w:r w:rsidR="00A25B60">
              <w:t>hours</w:t>
            </w:r>
          </w:p>
        </w:tc>
      </w:tr>
      <w:tr w:rsidR="00EF2095" w:rsidTr="00641332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440" w:type="dxa"/>
          </w:tcPr>
          <w:p w:rsidR="006832D9" w:rsidRDefault="006832D9" w:rsidP="00843796"/>
        </w:tc>
        <w:tc>
          <w:tcPr>
            <w:tcW w:w="1273" w:type="dxa"/>
          </w:tcPr>
          <w:p w:rsidR="006832D9" w:rsidRDefault="006832D9" w:rsidP="00843796"/>
        </w:tc>
      </w:tr>
      <w:tr w:rsidR="00A25B60" w:rsidTr="00641332">
        <w:trPr>
          <w:trHeight w:val="289"/>
        </w:trPr>
        <w:tc>
          <w:tcPr>
            <w:tcW w:w="5418" w:type="dxa"/>
          </w:tcPr>
          <w:p w:rsidR="00A25B60" w:rsidRPr="0001027E" w:rsidRDefault="00A25B60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25B60" w:rsidRDefault="001C6436" w:rsidP="001C6436">
            <w:r>
              <w:t>25</w:t>
            </w:r>
            <w:r w:rsidR="00470C2B">
              <w:t>0</w:t>
            </w:r>
          </w:p>
        </w:tc>
        <w:tc>
          <w:tcPr>
            <w:tcW w:w="1440" w:type="dxa"/>
          </w:tcPr>
          <w:p w:rsidR="00A25B60" w:rsidRDefault="00641332" w:rsidP="00850320">
            <w:r>
              <w:t>1</w:t>
            </w:r>
            <w:r w:rsidR="00850320">
              <w:t xml:space="preserve">5 </w:t>
            </w:r>
            <w:r w:rsidR="00A25B60">
              <w:t>minutes</w:t>
            </w:r>
          </w:p>
        </w:tc>
        <w:tc>
          <w:tcPr>
            <w:tcW w:w="1273" w:type="dxa"/>
          </w:tcPr>
          <w:p w:rsidR="00A25B60" w:rsidRPr="00A25B60" w:rsidRDefault="001C6436" w:rsidP="00CB1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ucida Console" w:hAnsi="Lucida Console" w:cs="Courier New"/>
                <w:color w:val="000000"/>
                <w:sz w:val="20"/>
                <w:szCs w:val="20"/>
                <w:shd w:val="clear" w:color="auto" w:fill="E1E2E5"/>
              </w:rPr>
            </w:pPr>
            <w:r>
              <w:t>62.5</w:t>
            </w:r>
            <w:r w:rsidR="00A25B60">
              <w:t xml:space="preserve">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1700D">
        <w:t xml:space="preserve"> $</w:t>
      </w:r>
      <w:r w:rsidR="00641332">
        <w:t>3</w:t>
      </w:r>
      <w:r w:rsidR="00470C2B">
        <w:t>25</w:t>
      </w:r>
      <w:r w:rsidR="0091700D">
        <w:t>,000 (</w:t>
      </w:r>
      <w:r w:rsidR="00470C2B">
        <w:t>potential</w:t>
      </w:r>
      <w:r w:rsidR="00641332">
        <w:t xml:space="preserve"> cost for contracted researcher’s </w:t>
      </w:r>
      <w:r w:rsidR="0091700D">
        <w:t>expenses)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653B2">
        <w:t>[</w:t>
      </w:r>
      <w:r w:rsidR="004B2A32">
        <w:t xml:space="preserve"> </w:t>
      </w:r>
      <w:r>
        <w:t>] Yes</w:t>
      </w:r>
      <w:r>
        <w:tab/>
        <w:t>[</w:t>
      </w:r>
      <w:r w:rsidR="0037212A">
        <w:t>X]</w:t>
      </w:r>
      <w:r>
        <w:t xml:space="preserve">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2061E3"/>
    <w:p w:rsidR="004B2A32" w:rsidRPr="0028032C" w:rsidRDefault="004B2A32" w:rsidP="004B2A32">
      <w:r w:rsidRPr="00841D73">
        <w:t>I</w:t>
      </w:r>
      <w:r>
        <w:t>n</w:t>
      </w:r>
      <w:r w:rsidRPr="00841D73">
        <w:t xml:space="preserve"> order to </w:t>
      </w:r>
      <w:r>
        <w:t xml:space="preserve">different information collection methodologies for efficiency, completeness, and ease of data collection, the </w:t>
      </w:r>
      <w:r w:rsidRPr="00841D73">
        <w:t>method</w:t>
      </w:r>
      <w:r>
        <w:t>s</w:t>
      </w:r>
      <w:r w:rsidRPr="00841D73">
        <w:t xml:space="preserve"> of administration will vary by site</w:t>
      </w:r>
      <w:r w:rsidR="000013B1">
        <w:t xml:space="preserve">. </w:t>
      </w:r>
      <w:r>
        <w:t>These methods will include random neighborhood block selection for door to door</w:t>
      </w:r>
      <w:r w:rsidRPr="00841D73">
        <w:t xml:space="preserve"> </w:t>
      </w:r>
      <w:r>
        <w:t>interviews, focus groups, discussion groups at cultural events, and key informant/stakeholder interviews</w:t>
      </w:r>
      <w:r w:rsidR="000013B1">
        <w:t xml:space="preserve">. </w:t>
      </w:r>
    </w:p>
    <w:p w:rsidR="004B2A32" w:rsidRDefault="004B2A32" w:rsidP="002061E3"/>
    <w:p w:rsidR="004B2A32" w:rsidRDefault="002061E3" w:rsidP="002061E3">
      <w:r>
        <w:t xml:space="preserve">The sampling frame </w:t>
      </w:r>
      <w:r w:rsidR="0084259F">
        <w:t xml:space="preserve">will be </w:t>
      </w:r>
      <w:r>
        <w:t xml:space="preserve">all </w:t>
      </w:r>
      <w:r w:rsidR="000653B2">
        <w:t xml:space="preserve">current residents of </w:t>
      </w:r>
      <w:r w:rsidR="000A09D3">
        <w:t>two</w:t>
      </w:r>
      <w:r w:rsidR="000653B2">
        <w:t xml:space="preserve"> neighborhood</w:t>
      </w:r>
      <w:r w:rsidR="0084259F">
        <w:t xml:space="preserve"> blocks</w:t>
      </w:r>
      <w:r w:rsidR="000653B2">
        <w:t xml:space="preserve"> </w:t>
      </w:r>
      <w:r w:rsidR="000A09D3">
        <w:t>in each of the cities</w:t>
      </w:r>
      <w:r w:rsidR="006A39BD">
        <w:t>/rural areas</w:t>
      </w:r>
      <w:r w:rsidR="000A09D3">
        <w:t xml:space="preserve"> </w:t>
      </w:r>
      <w:r w:rsidR="000653B2">
        <w:t>identified for the project</w:t>
      </w:r>
      <w:r w:rsidR="000013B1">
        <w:t xml:space="preserve">. </w:t>
      </w:r>
    </w:p>
    <w:p w:rsidR="004B2A32" w:rsidRDefault="004B2A32" w:rsidP="002061E3"/>
    <w:p w:rsidR="000A09D3" w:rsidRDefault="004B2A32" w:rsidP="002061E3">
      <w:r>
        <w:t>For the door to door interviews, a</w:t>
      </w:r>
      <w:r w:rsidR="000653B2">
        <w:t xml:space="preserve"> sample</w:t>
      </w:r>
      <w:r w:rsidR="002061E3">
        <w:t xml:space="preserve"> </w:t>
      </w:r>
      <w:r w:rsidR="000A09D3">
        <w:t xml:space="preserve">of addresses on each block </w:t>
      </w:r>
      <w:r w:rsidR="002061E3">
        <w:t xml:space="preserve">will </w:t>
      </w:r>
      <w:r w:rsidR="000653B2">
        <w:t xml:space="preserve">be </w:t>
      </w:r>
      <w:r w:rsidR="002061E3">
        <w:t>select</w:t>
      </w:r>
      <w:r w:rsidR="000A09D3">
        <w:t>ed</w:t>
      </w:r>
      <w:r>
        <w:t xml:space="preserve"> and adult household residents at each dwelling will be asked to participate in a brief interview</w:t>
      </w:r>
      <w:r w:rsidR="00B64D1C">
        <w:t>.</w:t>
      </w:r>
    </w:p>
    <w:p w:rsidR="004B2A32" w:rsidRDefault="004B2A32" w:rsidP="002061E3"/>
    <w:p w:rsidR="002061E3" w:rsidRDefault="000A09D3" w:rsidP="002061E3">
      <w:r>
        <w:t xml:space="preserve">For focus groups and discussion groups a convenience sample </w:t>
      </w:r>
      <w:r w:rsidR="002061E3">
        <w:t xml:space="preserve">of </w:t>
      </w:r>
      <w:r>
        <w:t xml:space="preserve">neighborhood residents will be solicited </w:t>
      </w:r>
      <w:r w:rsidR="00B64D1C">
        <w:t xml:space="preserve">through </w:t>
      </w:r>
      <w:r>
        <w:t>notices and advertisements at local groups, churches or organizations</w:t>
      </w:r>
      <w:r w:rsidR="002061E3">
        <w:t>.</w:t>
      </w:r>
    </w:p>
    <w:p w:rsidR="000A09D3" w:rsidRDefault="000A09D3" w:rsidP="002061E3"/>
    <w:p w:rsidR="000A09D3" w:rsidRDefault="000A09D3" w:rsidP="002061E3">
      <w:r>
        <w:t xml:space="preserve">Key informants/Stakeholders </w:t>
      </w:r>
      <w:r w:rsidR="00B64D1C">
        <w:t xml:space="preserve">participants </w:t>
      </w:r>
      <w:r>
        <w:t xml:space="preserve">will be recommended by neighborhood leaders, ward captains, </w:t>
      </w:r>
      <w:r w:rsidR="00B64D1C">
        <w:t xml:space="preserve">and </w:t>
      </w:r>
      <w:r w:rsidR="004B2A32">
        <w:t>ministers</w:t>
      </w:r>
      <w:r w:rsidR="000013B1">
        <w:t xml:space="preserve">. </w:t>
      </w:r>
    </w:p>
    <w:p w:rsidR="000A09D3" w:rsidRDefault="000A09D3" w:rsidP="002061E3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91700D" w:rsidP="001B0AAA">
      <w:pPr>
        <w:ind w:left="720"/>
      </w:pPr>
      <w:r>
        <w:t>[</w:t>
      </w:r>
      <w:r w:rsidR="00A403BB">
        <w:t>] Web-based</w:t>
      </w:r>
      <w:r w:rsidR="001B0AAA">
        <w:t xml:space="preserve"> or other forms of Social Media </w:t>
      </w:r>
    </w:p>
    <w:p w:rsidR="001B0AAA" w:rsidRDefault="0028032C" w:rsidP="001B0AAA">
      <w:pPr>
        <w:ind w:left="720"/>
      </w:pPr>
      <w:r>
        <w:t>[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0653B2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0653B2">
        <w:t>X</w:t>
      </w:r>
      <w:r>
        <w:t>] Other, Explain</w:t>
      </w:r>
      <w:r w:rsidR="00B64D1C">
        <w:t>: A</w:t>
      </w:r>
      <w:r w:rsidR="000653B2">
        <w:t>dministration will include door to door interviews</w:t>
      </w:r>
      <w:r w:rsidR="00B64D1C">
        <w:t>,</w:t>
      </w:r>
      <w:r w:rsidR="000653B2">
        <w:t xml:space="preserve"> focus groups,</w:t>
      </w:r>
      <w:r w:rsidR="00B64D1C">
        <w:t xml:space="preserve"> discussion groups at </w:t>
      </w:r>
      <w:r w:rsidR="000653B2">
        <w:t xml:space="preserve">neighborhood meetings and community </w:t>
      </w:r>
      <w:r w:rsidR="00B64D1C">
        <w:t xml:space="preserve">cultural </w:t>
      </w:r>
      <w:r w:rsidR="000653B2">
        <w:t>events</w:t>
      </w:r>
      <w:r w:rsidR="00B64D1C">
        <w:t>, and key informant/stakeholder interviews.</w:t>
      </w:r>
    </w:p>
    <w:p w:rsidR="00B64D1C" w:rsidRDefault="00B64D1C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91700D">
        <w:t xml:space="preserve">rs </w:t>
      </w:r>
      <w:r w:rsidR="0028032C">
        <w:t xml:space="preserve">or </w:t>
      </w:r>
      <w:r w:rsidR="000653B2">
        <w:t>facilitators be used?  [X] Yes [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B459C7" w:rsidP="002061E3">
      <w:pPr>
        <w:rPr>
          <w:b/>
        </w:rPr>
      </w:pPr>
      <w:r>
        <w:rPr>
          <w:b/>
        </w:rPr>
        <w:t>Docu</w:t>
      </w:r>
      <w:r w:rsidRPr="00F24CFC">
        <w:rPr>
          <w:b/>
        </w:rPr>
        <w:t>ments</w:t>
      </w:r>
      <w:r w:rsidR="00F24CFC" w:rsidRPr="00F24CFC">
        <w:rPr>
          <w:b/>
        </w:rPr>
        <w:t>, instructions, and scripts are submitted with the request.</w:t>
      </w:r>
    </w:p>
    <w:p w:rsidR="00B459C7" w:rsidRDefault="00B459C7" w:rsidP="002061E3">
      <w:pPr>
        <w:rPr>
          <w:b/>
        </w:rPr>
      </w:pPr>
    </w:p>
    <w:p w:rsidR="00B459C7" w:rsidRPr="00B459C7" w:rsidRDefault="00B459C7" w:rsidP="002061E3">
      <w:r w:rsidRPr="00B459C7">
        <w:t xml:space="preserve">See attached </w:t>
      </w:r>
      <w:r>
        <w:t>set of queries</w:t>
      </w:r>
      <w:r w:rsidRPr="00B459C7">
        <w:t>.</w:t>
      </w:r>
    </w:p>
    <w:sectPr w:rsidR="00B459C7" w:rsidRPr="00B459C7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99" w:rsidRDefault="00E45299">
      <w:r>
        <w:separator/>
      </w:r>
    </w:p>
  </w:endnote>
  <w:endnote w:type="continuationSeparator" w:id="0">
    <w:p w:rsidR="00E45299" w:rsidRDefault="00E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5E9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99" w:rsidRDefault="00E45299">
      <w:r>
        <w:separator/>
      </w:r>
    </w:p>
  </w:footnote>
  <w:footnote w:type="continuationSeparator" w:id="0">
    <w:p w:rsidR="00E45299" w:rsidRDefault="00E4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32A"/>
    <w:rsid w:val="000013B1"/>
    <w:rsid w:val="0001027E"/>
    <w:rsid w:val="00023A57"/>
    <w:rsid w:val="00044447"/>
    <w:rsid w:val="00047A64"/>
    <w:rsid w:val="000653B2"/>
    <w:rsid w:val="00067329"/>
    <w:rsid w:val="000A09D3"/>
    <w:rsid w:val="000B2838"/>
    <w:rsid w:val="000C36C6"/>
    <w:rsid w:val="000D44CA"/>
    <w:rsid w:val="000E200B"/>
    <w:rsid w:val="000F68BE"/>
    <w:rsid w:val="0012587E"/>
    <w:rsid w:val="0016309D"/>
    <w:rsid w:val="00164FF8"/>
    <w:rsid w:val="0017069B"/>
    <w:rsid w:val="001927A4"/>
    <w:rsid w:val="00194AC6"/>
    <w:rsid w:val="001A23B0"/>
    <w:rsid w:val="001A25CC"/>
    <w:rsid w:val="001B0AAA"/>
    <w:rsid w:val="001C39F7"/>
    <w:rsid w:val="001C6436"/>
    <w:rsid w:val="002061E3"/>
    <w:rsid w:val="00237B48"/>
    <w:rsid w:val="0024521E"/>
    <w:rsid w:val="00263C3D"/>
    <w:rsid w:val="00274D0B"/>
    <w:rsid w:val="0028032C"/>
    <w:rsid w:val="0028063D"/>
    <w:rsid w:val="002B052D"/>
    <w:rsid w:val="002B34CD"/>
    <w:rsid w:val="002B3C95"/>
    <w:rsid w:val="002C6916"/>
    <w:rsid w:val="002D0B92"/>
    <w:rsid w:val="00335E91"/>
    <w:rsid w:val="0037212A"/>
    <w:rsid w:val="003D0E4E"/>
    <w:rsid w:val="003D5BBE"/>
    <w:rsid w:val="003E3C61"/>
    <w:rsid w:val="003F1C5B"/>
    <w:rsid w:val="00434E33"/>
    <w:rsid w:val="00441434"/>
    <w:rsid w:val="0045264C"/>
    <w:rsid w:val="00470C2B"/>
    <w:rsid w:val="004876EC"/>
    <w:rsid w:val="004B2A32"/>
    <w:rsid w:val="004D6E14"/>
    <w:rsid w:val="005009B0"/>
    <w:rsid w:val="00513C20"/>
    <w:rsid w:val="005A1006"/>
    <w:rsid w:val="005E714A"/>
    <w:rsid w:val="005F693D"/>
    <w:rsid w:val="006140A0"/>
    <w:rsid w:val="00636621"/>
    <w:rsid w:val="00641332"/>
    <w:rsid w:val="00642B49"/>
    <w:rsid w:val="006832D9"/>
    <w:rsid w:val="0069403B"/>
    <w:rsid w:val="006A39BD"/>
    <w:rsid w:val="006F3DDE"/>
    <w:rsid w:val="00704678"/>
    <w:rsid w:val="007425E7"/>
    <w:rsid w:val="007F7080"/>
    <w:rsid w:val="00802607"/>
    <w:rsid w:val="008101A5"/>
    <w:rsid w:val="00822664"/>
    <w:rsid w:val="00841D73"/>
    <w:rsid w:val="0084259F"/>
    <w:rsid w:val="00843796"/>
    <w:rsid w:val="00850320"/>
    <w:rsid w:val="00857B32"/>
    <w:rsid w:val="00895229"/>
    <w:rsid w:val="008B2EB3"/>
    <w:rsid w:val="008F0203"/>
    <w:rsid w:val="008F50D4"/>
    <w:rsid w:val="0091700D"/>
    <w:rsid w:val="009239AA"/>
    <w:rsid w:val="009267BA"/>
    <w:rsid w:val="00935ADA"/>
    <w:rsid w:val="00946B6C"/>
    <w:rsid w:val="00955A71"/>
    <w:rsid w:val="0096108F"/>
    <w:rsid w:val="009B09A0"/>
    <w:rsid w:val="009C13B9"/>
    <w:rsid w:val="009D01A2"/>
    <w:rsid w:val="009F5923"/>
    <w:rsid w:val="00A25B60"/>
    <w:rsid w:val="00A403BB"/>
    <w:rsid w:val="00A60B21"/>
    <w:rsid w:val="00A674DF"/>
    <w:rsid w:val="00A8309D"/>
    <w:rsid w:val="00A83AA6"/>
    <w:rsid w:val="00A934D6"/>
    <w:rsid w:val="00AE1809"/>
    <w:rsid w:val="00B2309F"/>
    <w:rsid w:val="00B459C7"/>
    <w:rsid w:val="00B54AB7"/>
    <w:rsid w:val="00B64D1C"/>
    <w:rsid w:val="00B80D76"/>
    <w:rsid w:val="00B96B34"/>
    <w:rsid w:val="00BA2105"/>
    <w:rsid w:val="00BA7E06"/>
    <w:rsid w:val="00BB43B5"/>
    <w:rsid w:val="00BB6219"/>
    <w:rsid w:val="00BD290F"/>
    <w:rsid w:val="00C07CA6"/>
    <w:rsid w:val="00C14CC4"/>
    <w:rsid w:val="00C33C52"/>
    <w:rsid w:val="00C40D8B"/>
    <w:rsid w:val="00C44D5B"/>
    <w:rsid w:val="00C8407A"/>
    <w:rsid w:val="00C8488C"/>
    <w:rsid w:val="00C86E91"/>
    <w:rsid w:val="00CA2650"/>
    <w:rsid w:val="00CB1078"/>
    <w:rsid w:val="00CB1D80"/>
    <w:rsid w:val="00CC6FAF"/>
    <w:rsid w:val="00CF6542"/>
    <w:rsid w:val="00D16499"/>
    <w:rsid w:val="00D24698"/>
    <w:rsid w:val="00D604EB"/>
    <w:rsid w:val="00D6383F"/>
    <w:rsid w:val="00DB59D0"/>
    <w:rsid w:val="00DC33D3"/>
    <w:rsid w:val="00E00A89"/>
    <w:rsid w:val="00E26329"/>
    <w:rsid w:val="00E40B50"/>
    <w:rsid w:val="00E45299"/>
    <w:rsid w:val="00E50293"/>
    <w:rsid w:val="00E65FFC"/>
    <w:rsid w:val="00E744EA"/>
    <w:rsid w:val="00E80951"/>
    <w:rsid w:val="00E86CC6"/>
    <w:rsid w:val="00EB56B3"/>
    <w:rsid w:val="00EC2A1F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8D7A53C9-88D0-40F5-B380-1C000DF5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25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5B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939</Words>
  <Characters>5357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Borgstrom, Amy</cp:lastModifiedBy>
  <cp:revision>2</cp:revision>
  <cp:lastPrinted>2010-10-04T15:59:00Z</cp:lastPrinted>
  <dcterms:created xsi:type="dcterms:W3CDTF">2016-05-20T14:10:00Z</dcterms:created>
  <dcterms:modified xsi:type="dcterms:W3CDTF">2016-05-20T14:10:00Z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