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70" w:rsidRPr="00957A70" w:rsidRDefault="00957A70" w:rsidP="00957A70">
      <w:pPr>
        <w:tabs>
          <w:tab w:val="left" w:pos="547"/>
          <w:tab w:val="left" w:pos="1080"/>
          <w:tab w:val="left" w:pos="1627"/>
          <w:tab w:val="left" w:pos="2160"/>
          <w:tab w:val="center" w:pos="4680"/>
        </w:tabs>
        <w:spacing w:after="0" w:line="240" w:lineRule="auto"/>
        <w:jc w:val="center"/>
        <w:rPr>
          <w:rFonts w:ascii="Times New Roman" w:eastAsia="Times New Roman" w:hAnsi="Times New Roman" w:cs="Times New Roman"/>
          <w:b/>
          <w:bCs/>
          <w:i/>
        </w:rPr>
      </w:pPr>
      <w:r w:rsidRPr="00957A70">
        <w:rPr>
          <w:rFonts w:ascii="Times New Roman" w:eastAsia="Times New Roman" w:hAnsi="Times New Roman" w:cs="Times New Roman"/>
          <w:b/>
          <w:bCs/>
          <w:i/>
        </w:rPr>
        <w:t xml:space="preserve">JUSTIFICATION TEMPLATE </w:t>
      </w:r>
    </w:p>
    <w:p w:rsidR="00244AF4" w:rsidRDefault="00957A70" w:rsidP="00244AF4">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4"/>
          <w:szCs w:val="24"/>
        </w:rPr>
      </w:pPr>
      <w:r w:rsidRPr="00957A70">
        <w:rPr>
          <w:rFonts w:ascii="Times New Roman" w:eastAsia="Times New Roman" w:hAnsi="Times New Roman" w:cs="Times New Roman"/>
          <w:b/>
          <w:bCs/>
          <w:sz w:val="24"/>
          <w:szCs w:val="24"/>
        </w:rPr>
        <w:br/>
        <w:t xml:space="preserve">OMB </w:t>
      </w:r>
      <w:r w:rsidR="00244AF4">
        <w:rPr>
          <w:rFonts w:ascii="Times New Roman" w:eastAsia="Times New Roman" w:hAnsi="Times New Roman" w:cs="Times New Roman"/>
          <w:b/>
          <w:bCs/>
          <w:sz w:val="24"/>
          <w:szCs w:val="24"/>
        </w:rPr>
        <w:t>No. 2900-XXX</w:t>
      </w:r>
    </w:p>
    <w:p w:rsidR="00957A70" w:rsidRPr="00957A70" w:rsidRDefault="00244AF4" w:rsidP="00244AF4">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 FORM XX</w:t>
      </w:r>
      <w:r w:rsidR="00957A70" w:rsidRPr="00957A70">
        <w:rPr>
          <w:rFonts w:ascii="Times New Roman" w:eastAsia="Times New Roman" w:hAnsi="Times New Roman" w:cs="Times New Roman"/>
          <w:b/>
          <w:bCs/>
          <w:sz w:val="24"/>
          <w:szCs w:val="24"/>
        </w:rPr>
        <w:t>-XXXX</w:t>
      </w:r>
    </w:p>
    <w:p w:rsidR="00957A70" w:rsidRPr="00957A70" w:rsidRDefault="00957A70" w:rsidP="00957A70">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4"/>
          <w:szCs w:val="24"/>
        </w:rPr>
      </w:pPr>
    </w:p>
    <w:p w:rsidR="00957A70" w:rsidRPr="00957A70" w:rsidRDefault="00957A70" w:rsidP="00957A70">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sz w:val="24"/>
          <w:szCs w:val="24"/>
        </w:rPr>
      </w:pPr>
    </w:p>
    <w:p w:rsidR="00957A70" w:rsidRPr="00957A70" w:rsidRDefault="00957A70" w:rsidP="00957A70">
      <w:pPr>
        <w:keepNext/>
        <w:tabs>
          <w:tab w:val="left" w:pos="547"/>
          <w:tab w:val="left" w:pos="1080"/>
          <w:tab w:val="left" w:pos="1627"/>
          <w:tab w:val="left" w:pos="2160"/>
          <w:tab w:val="left" w:pos="2880"/>
        </w:tabs>
        <w:spacing w:after="0" w:line="240" w:lineRule="auto"/>
        <w:outlineLvl w:val="1"/>
        <w:rPr>
          <w:rFonts w:ascii="Times New Roman" w:eastAsia="Times New Roman" w:hAnsi="Times New Roman" w:cs="Times New Roman"/>
          <w:b/>
        </w:rPr>
      </w:pPr>
      <w:r w:rsidRPr="00957A70">
        <w:rPr>
          <w:rFonts w:ascii="Times New Roman" w:eastAsia="Times New Roman" w:hAnsi="Times New Roman" w:cs="Times New Roman"/>
          <w:b/>
        </w:rPr>
        <w:t>A.</w:t>
      </w:r>
      <w:r w:rsidRPr="00957A70">
        <w:rPr>
          <w:rFonts w:ascii="Times New Roman" w:eastAsia="Times New Roman" w:hAnsi="Times New Roman" w:cs="Times New Roman"/>
          <w:b/>
        </w:rPr>
        <w:tab/>
        <w:t xml:space="preserve">JUSTIFICATION </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B85D36"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b/>
        </w:rPr>
        <w:t>1.</w:t>
      </w:r>
      <w:r w:rsidRPr="00957A70">
        <w:rPr>
          <w:rFonts w:ascii="Times New Roman" w:eastAsia="Times New Roman" w:hAnsi="Times New Roman" w:cs="Times New Roman"/>
          <w:b/>
        </w:rPr>
        <w:tab/>
      </w:r>
      <w:r w:rsidRPr="00957A70">
        <w:rPr>
          <w:rFonts w:ascii="Times New Roman" w:eastAsia="Times New Roman" w:hAnsi="Times New Roman" w:cs="Times New Roman"/>
          <w:b/>
          <w:color w:val="000000"/>
        </w:rPr>
        <w:t>Explain the circumstances that make the collection of information necessary.  Identify legal or administrative requirements that necessitate</w:t>
      </w:r>
      <w:r w:rsidRPr="00957A70">
        <w:rPr>
          <w:rFonts w:ascii="Times New Roman" w:eastAsia="Times New Roman" w:hAnsi="Times New Roman" w:cs="Times New Roman"/>
          <w:b/>
        </w:rPr>
        <w:t xml:space="preserve"> the collection of information.</w:t>
      </w:r>
      <w:r w:rsidR="005606CF">
        <w:rPr>
          <w:rFonts w:ascii="Times New Roman" w:eastAsia="Times New Roman" w:hAnsi="Times New Roman" w:cs="Times New Roman"/>
          <w:b/>
        </w:rPr>
        <w:t xml:space="preserve">  </w:t>
      </w:r>
    </w:p>
    <w:p w:rsidR="00B85D36" w:rsidRDefault="00B85D3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957A70" w:rsidRPr="00B85D36" w:rsidRDefault="00B85D3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b/>
        </w:rPr>
        <w:tab/>
      </w:r>
      <w:r w:rsidR="005606CF" w:rsidRPr="00B85D36">
        <w:rPr>
          <w:rFonts w:ascii="Times New Roman" w:eastAsia="Times New Roman" w:hAnsi="Times New Roman" w:cs="Times New Roman"/>
          <w:color w:val="C00000"/>
        </w:rPr>
        <w:t xml:space="preserve">Legal authority for this data collection is found under 38 USC 521A that authorizes </w:t>
      </w:r>
      <w:r>
        <w:rPr>
          <w:rFonts w:ascii="Times New Roman" w:eastAsia="Times New Roman" w:hAnsi="Times New Roman" w:cs="Times New Roman"/>
          <w:color w:val="C00000"/>
        </w:rPr>
        <w:t xml:space="preserve">and mandates </w:t>
      </w:r>
      <w:r w:rsidR="005606CF" w:rsidRPr="00B85D36">
        <w:rPr>
          <w:rFonts w:ascii="Times New Roman" w:eastAsia="Times New Roman" w:hAnsi="Times New Roman" w:cs="Times New Roman"/>
          <w:color w:val="C00000"/>
        </w:rPr>
        <w:t xml:space="preserve">the collection of data </w:t>
      </w:r>
      <w:r>
        <w:rPr>
          <w:rFonts w:ascii="Times New Roman" w:eastAsia="Times New Roman" w:hAnsi="Times New Roman" w:cs="Times New Roman"/>
          <w:color w:val="C00000"/>
        </w:rPr>
        <w:t>during the grant application, implementation to include quarterly and annual reporting, and closeout phases of the adaptive sports grant.  Mandated collection of data allows measurement and evaluation of the adaptive sports grant program, the goal of which is providing adaptive sport opportunities for disabled veterans and members of the Armed Forces.</w:t>
      </w:r>
      <w:r w:rsidR="005606CF" w:rsidRPr="00B85D36">
        <w:rPr>
          <w:rFonts w:ascii="Times New Roman" w:eastAsia="Times New Roman" w:hAnsi="Times New Roman" w:cs="Times New Roman"/>
          <w:color w:val="C00000"/>
        </w:rPr>
        <w:t xml:space="preserve"> </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957A70">
        <w:rPr>
          <w:rFonts w:ascii="Times New Roman" w:eastAsia="Times New Roman" w:hAnsi="Times New Roman" w:cs="Times New Roman"/>
          <w:b/>
        </w:rPr>
        <w:t>2.</w:t>
      </w:r>
      <w:r w:rsidRPr="00957A70">
        <w:rPr>
          <w:rFonts w:ascii="Times New Roman" w:eastAsia="Times New Roman" w:hAnsi="Times New Roman" w:cs="Times New Roman"/>
          <w:b/>
        </w:rPr>
        <w:tab/>
      </w:r>
      <w:r w:rsidRPr="00957A70">
        <w:rPr>
          <w:rFonts w:ascii="Times New Roman" w:eastAsia="Times New Roman" w:hAnsi="Times New Roman" w:cs="Times New Roman"/>
          <w:b/>
          <w:color w:val="000000"/>
        </w:rPr>
        <w:t>Indicate how, by whom, and for what purposes the information is to be used; indicate actual use the agency has made of the information received from current collection.</w:t>
      </w:r>
    </w:p>
    <w:p w:rsidR="00B85D36" w:rsidRDefault="00B85D3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p>
    <w:p w:rsidR="00B85D36" w:rsidRPr="00B85D36" w:rsidRDefault="00B85D3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r w:rsidRPr="00B85D36">
        <w:rPr>
          <w:rFonts w:ascii="Times New Roman" w:eastAsia="Times New Roman" w:hAnsi="Times New Roman" w:cs="Times New Roman"/>
          <w:color w:val="000000"/>
        </w:rPr>
        <w:tab/>
      </w:r>
      <w:r w:rsidR="005B3563" w:rsidRPr="005B3563">
        <w:rPr>
          <w:rFonts w:ascii="Times New Roman" w:hAnsi="Times New Roman" w:cs="Times New Roman"/>
          <w:color w:val="C00000"/>
        </w:rPr>
        <w:t xml:space="preserve">Current access to information collected for the purposes of administering </w:t>
      </w:r>
      <w:r w:rsidR="005B3563">
        <w:rPr>
          <w:rFonts w:ascii="Times New Roman" w:hAnsi="Times New Roman" w:cs="Times New Roman"/>
          <w:color w:val="C00000"/>
        </w:rPr>
        <w:t xml:space="preserve">the </w:t>
      </w:r>
      <w:r w:rsidR="005B3563" w:rsidRPr="005B3563">
        <w:rPr>
          <w:rFonts w:ascii="Times New Roman" w:hAnsi="Times New Roman" w:cs="Times New Roman"/>
          <w:color w:val="C00000"/>
        </w:rPr>
        <w:t xml:space="preserve">VA </w:t>
      </w:r>
      <w:r w:rsidR="005B3563">
        <w:rPr>
          <w:rFonts w:ascii="Times New Roman" w:hAnsi="Times New Roman" w:cs="Times New Roman"/>
          <w:color w:val="C00000"/>
        </w:rPr>
        <w:t xml:space="preserve">adaptive sports grant program </w:t>
      </w:r>
      <w:r w:rsidR="005B3563" w:rsidRPr="005B3563">
        <w:rPr>
          <w:rFonts w:ascii="Times New Roman" w:hAnsi="Times New Roman" w:cs="Times New Roman"/>
          <w:color w:val="C00000"/>
        </w:rPr>
        <w:t xml:space="preserve">is limited to VA employees whose official duties require such access for the purposes of program planning, implementation and evaluation. </w:t>
      </w:r>
      <w:r w:rsidR="000F1AE8" w:rsidRPr="000F1AE8">
        <w:rPr>
          <w:rFonts w:ascii="Times New Roman" w:hAnsi="Times New Roman" w:cs="Times New Roman"/>
          <w:color w:val="C00000"/>
        </w:rPr>
        <w:t xml:space="preserve">VA staffs accessing such information have received information security training and have been instructed on their responsibility to maintain confidentiality of the information.  </w:t>
      </w:r>
      <w:r w:rsidRPr="000F1AE8">
        <w:rPr>
          <w:rFonts w:ascii="Times New Roman" w:eastAsia="Times New Roman" w:hAnsi="Times New Roman" w:cs="Times New Roman"/>
          <w:color w:val="C00000"/>
        </w:rPr>
        <w:t xml:space="preserve">Adaptive </w:t>
      </w:r>
      <w:r w:rsidRPr="001C5ACD">
        <w:rPr>
          <w:rFonts w:ascii="Times New Roman" w:eastAsia="Times New Roman" w:hAnsi="Times New Roman" w:cs="Times New Roman"/>
          <w:color w:val="C00000"/>
        </w:rPr>
        <w:t xml:space="preserve">sports entities will submit adaptive sports grant </w:t>
      </w:r>
      <w:r w:rsidR="00056A20">
        <w:rPr>
          <w:rFonts w:ascii="Times New Roman" w:eastAsia="Times New Roman" w:hAnsi="Times New Roman" w:cs="Times New Roman"/>
          <w:color w:val="C00000"/>
        </w:rPr>
        <w:t>data reporting</w:t>
      </w:r>
      <w:r w:rsidR="001C5ACD" w:rsidRPr="001C5ACD">
        <w:rPr>
          <w:rFonts w:ascii="Times New Roman" w:eastAsia="Times New Roman" w:hAnsi="Times New Roman" w:cs="Times New Roman"/>
          <w:color w:val="C00000"/>
        </w:rPr>
        <w:t xml:space="preserve"> package</w:t>
      </w:r>
      <w:r w:rsidRPr="001C5ACD">
        <w:rPr>
          <w:rFonts w:ascii="Times New Roman" w:eastAsia="Times New Roman" w:hAnsi="Times New Roman" w:cs="Times New Roman"/>
          <w:color w:val="C00000"/>
        </w:rPr>
        <w:t>s</w:t>
      </w:r>
      <w:r w:rsidR="001C5ACD" w:rsidRPr="001C5ACD">
        <w:rPr>
          <w:rFonts w:ascii="Times New Roman" w:eastAsia="Times New Roman" w:hAnsi="Times New Roman" w:cs="Times New Roman"/>
          <w:color w:val="C00000"/>
        </w:rPr>
        <w:t xml:space="preserve"> </w:t>
      </w:r>
      <w:r w:rsidRPr="001C5ACD">
        <w:rPr>
          <w:rFonts w:ascii="Times New Roman" w:eastAsia="Times New Roman" w:hAnsi="Times New Roman" w:cs="Times New Roman"/>
          <w:color w:val="C00000"/>
        </w:rPr>
        <w:t xml:space="preserve">to the Department </w:t>
      </w:r>
      <w:r w:rsidRPr="008953F6">
        <w:rPr>
          <w:rFonts w:ascii="Times New Roman" w:eastAsia="Times New Roman" w:hAnsi="Times New Roman" w:cs="Times New Roman"/>
          <w:color w:val="C00000"/>
        </w:rPr>
        <w:t xml:space="preserve">of Veterans Affairs’ Office of Public and Intergovernmental Affairs for evaluation for selection and implementation of adaptive sports grants authorized by 38 USC 521A.  </w:t>
      </w:r>
      <w:r w:rsidR="008953F6" w:rsidRPr="008953F6">
        <w:rPr>
          <w:rFonts w:ascii="Times New Roman" w:hAnsi="Times New Roman" w:cs="Times New Roman"/>
          <w:color w:val="C00000"/>
        </w:rPr>
        <w:t xml:space="preserve">The information will be used by VA to evaluate multiple criteria to confirm grantee eligibility, to score grantee proposals according to application criteria, and to ensure program efficacy and appropriate use of grant funds.  The application information will indicate whether and to what extent a grant program is likely to be successful in meeting the </w:t>
      </w:r>
      <w:r w:rsidR="008364E4" w:rsidRPr="008953F6">
        <w:rPr>
          <w:rFonts w:ascii="Times New Roman" w:hAnsi="Times New Roman" w:cs="Times New Roman"/>
          <w:color w:val="C00000"/>
        </w:rPr>
        <w:t>program’s intent</w:t>
      </w:r>
      <w:r w:rsidR="008953F6" w:rsidRPr="008953F6">
        <w:rPr>
          <w:rFonts w:ascii="Times New Roman" w:hAnsi="Times New Roman" w:cs="Times New Roman"/>
          <w:color w:val="C00000"/>
        </w:rPr>
        <w:t xml:space="preserve"> for providing adaptive sports opportunities for disabled veterans and members of the Armed Forces.  </w:t>
      </w:r>
      <w:r w:rsidR="001C5ACD" w:rsidRPr="008953F6">
        <w:rPr>
          <w:rFonts w:ascii="Times New Roman" w:eastAsia="Times New Roman" w:hAnsi="Times New Roman" w:cs="Times New Roman"/>
          <w:color w:val="C00000"/>
        </w:rPr>
        <w:t xml:space="preserve">Adaptive sports grant recipients submit mandated reporting information in quarterly and annual reports for measurement and evaluation of the adaptive sports grant program.  Based on prior reporting under the U.S. Paralympics </w:t>
      </w:r>
      <w:r w:rsidR="001C5ACD" w:rsidRPr="001C5ACD">
        <w:rPr>
          <w:rFonts w:ascii="Times New Roman" w:eastAsia="Times New Roman" w:hAnsi="Times New Roman" w:cs="Times New Roman"/>
          <w:color w:val="C00000"/>
        </w:rPr>
        <w:t xml:space="preserve">Integrated Adaptive Sports Program, changes have been implemented to create new adaptive sports activities and adjust selection criteria to more effectively provide </w:t>
      </w:r>
      <w:r w:rsidR="001C5ACD" w:rsidRPr="001C5ACD">
        <w:rPr>
          <w:rFonts w:ascii="Times New Roman" w:hAnsi="Times New Roman" w:cs="Times New Roman"/>
          <w:color w:val="C00000"/>
        </w:rPr>
        <w:t>adaptive sports activities that meet the current needs and priorities for disabled veterans and members of the Armed Forces.</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957A70">
        <w:rPr>
          <w:rFonts w:ascii="Times New Roman" w:eastAsia="Times New Roman" w:hAnsi="Times New Roman" w:cs="Times New Roman"/>
          <w:b/>
          <w:color w:val="000000"/>
        </w:rPr>
        <w:t>3.</w:t>
      </w:r>
      <w:r w:rsidRPr="00957A70">
        <w:rPr>
          <w:rFonts w:ascii="Times New Roman" w:eastAsia="Times New Roman" w:hAnsi="Times New Roman" w:cs="Times New Roman"/>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57A70">
        <w:rPr>
          <w:rFonts w:ascii="Times New Roman" w:eastAsia="Times New Roman" w:hAnsi="Times New Roman" w:cs="Times New Roman"/>
          <w:b/>
        </w:rPr>
        <w:t>.  Also describe any consideration of using information technology to reduce burden.</w:t>
      </w:r>
    </w:p>
    <w:p w:rsidR="00957A70" w:rsidRDefault="00957A70" w:rsidP="00957A70">
      <w:pPr>
        <w:tabs>
          <w:tab w:val="left" w:pos="540"/>
          <w:tab w:val="left" w:pos="1080"/>
          <w:tab w:val="left" w:pos="1620"/>
          <w:tab w:val="left" w:pos="2160"/>
          <w:tab w:val="left" w:pos="2880"/>
        </w:tabs>
        <w:spacing w:after="0" w:line="240" w:lineRule="auto"/>
        <w:rPr>
          <w:rFonts w:ascii="Times New Roman" w:eastAsia="Times New Roman" w:hAnsi="Times New Roman" w:cs="Times New Roman"/>
          <w:color w:val="FF0000"/>
        </w:rPr>
      </w:pPr>
    </w:p>
    <w:p w:rsidR="00B85D36" w:rsidRPr="005B3563" w:rsidRDefault="00B85D36" w:rsidP="00957A70">
      <w:pPr>
        <w:tabs>
          <w:tab w:val="left" w:pos="540"/>
          <w:tab w:val="left" w:pos="1080"/>
          <w:tab w:val="left" w:pos="1620"/>
          <w:tab w:val="left" w:pos="2160"/>
          <w:tab w:val="left" w:pos="2880"/>
        </w:tabs>
        <w:spacing w:after="0" w:line="240" w:lineRule="auto"/>
        <w:rPr>
          <w:rFonts w:ascii="Times New Roman" w:eastAsia="Times New Roman" w:hAnsi="Times New Roman" w:cs="Times New Roman"/>
          <w:color w:val="C00000"/>
        </w:rPr>
      </w:pPr>
      <w:r>
        <w:rPr>
          <w:rFonts w:ascii="Times New Roman" w:eastAsia="Times New Roman" w:hAnsi="Times New Roman" w:cs="Times New Roman"/>
          <w:color w:val="FF0000"/>
        </w:rPr>
        <w:tab/>
      </w:r>
      <w:r w:rsidR="001C5ACD" w:rsidRPr="005B3563">
        <w:rPr>
          <w:rFonts w:ascii="Times New Roman" w:eastAsia="Times New Roman" w:hAnsi="Times New Roman" w:cs="Times New Roman"/>
          <w:color w:val="C00000"/>
        </w:rPr>
        <w:t>The collection of information uses automated and electronic collection technique for permitting electronic submission of responses</w:t>
      </w:r>
      <w:r w:rsidR="005B3563" w:rsidRPr="005B3563">
        <w:rPr>
          <w:rFonts w:ascii="Times New Roman" w:eastAsia="Times New Roman" w:hAnsi="Times New Roman" w:cs="Times New Roman"/>
          <w:color w:val="C00000"/>
        </w:rPr>
        <w:t xml:space="preserve"> via web-based means</w:t>
      </w:r>
      <w:r w:rsidR="001C5ACD" w:rsidRPr="005B3563">
        <w:rPr>
          <w:rFonts w:ascii="Times New Roman" w:eastAsia="Times New Roman" w:hAnsi="Times New Roman" w:cs="Times New Roman"/>
          <w:color w:val="C00000"/>
        </w:rPr>
        <w:t>.  The basis for adopting this means of collection is ease of access</w:t>
      </w:r>
      <w:r w:rsidR="005B3563" w:rsidRPr="005B3563">
        <w:rPr>
          <w:rFonts w:ascii="Times New Roman" w:eastAsia="Times New Roman" w:hAnsi="Times New Roman" w:cs="Times New Roman"/>
          <w:color w:val="C00000"/>
        </w:rPr>
        <w:t xml:space="preserve">, </w:t>
      </w:r>
      <w:proofErr w:type="gramStart"/>
      <w:r w:rsidR="005B3563" w:rsidRPr="005B3563">
        <w:rPr>
          <w:rFonts w:ascii="Times New Roman" w:eastAsia="Times New Roman" w:hAnsi="Times New Roman" w:cs="Times New Roman"/>
          <w:color w:val="C00000"/>
        </w:rPr>
        <w:t>standardization</w:t>
      </w:r>
      <w:proofErr w:type="gramEnd"/>
      <w:r w:rsidR="005B3563" w:rsidRPr="005B3563">
        <w:rPr>
          <w:rFonts w:ascii="Times New Roman" w:eastAsia="Times New Roman" w:hAnsi="Times New Roman" w:cs="Times New Roman"/>
          <w:color w:val="C00000"/>
        </w:rPr>
        <w:t>,</w:t>
      </w:r>
      <w:r w:rsidR="001C5ACD" w:rsidRPr="005B3563">
        <w:rPr>
          <w:rFonts w:ascii="Times New Roman" w:eastAsia="Times New Roman" w:hAnsi="Times New Roman" w:cs="Times New Roman"/>
          <w:color w:val="C00000"/>
        </w:rPr>
        <w:t xml:space="preserve"> and reporting for a</w:t>
      </w:r>
      <w:r w:rsidR="005B3563" w:rsidRPr="005B3563">
        <w:rPr>
          <w:rFonts w:ascii="Times New Roman" w:eastAsia="Times New Roman" w:hAnsi="Times New Roman" w:cs="Times New Roman"/>
          <w:color w:val="C00000"/>
        </w:rPr>
        <w:t>daptive sports grant recipients.  As current reporting processes are web-based and use standardized forms and processes, improved information technology will not decrease the burden on the public.</w:t>
      </w:r>
    </w:p>
    <w:p w:rsidR="00B85D36" w:rsidRPr="00957A70" w:rsidRDefault="00B85D36" w:rsidP="00957A70">
      <w:pPr>
        <w:tabs>
          <w:tab w:val="left" w:pos="540"/>
          <w:tab w:val="left" w:pos="1080"/>
          <w:tab w:val="left" w:pos="1620"/>
          <w:tab w:val="left" w:pos="2160"/>
          <w:tab w:val="left" w:pos="2880"/>
        </w:tabs>
        <w:spacing w:after="0" w:line="240" w:lineRule="auto"/>
        <w:rPr>
          <w:rFonts w:ascii="Times New Roman" w:eastAsia="Times New Roman" w:hAnsi="Times New Roman" w:cs="Times New Roman"/>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957A70">
        <w:rPr>
          <w:rFonts w:ascii="Times New Roman" w:eastAsia="Times New Roman" w:hAnsi="Times New Roman" w:cs="Times New Roman"/>
          <w:b/>
        </w:rPr>
        <w:t>4.</w:t>
      </w:r>
      <w:r w:rsidRPr="00957A70">
        <w:rPr>
          <w:rFonts w:ascii="Times New Roman" w:eastAsia="Times New Roman" w:hAnsi="Times New Roman" w:cs="Times New Roman"/>
          <w:b/>
        </w:rPr>
        <w:tab/>
        <w:t xml:space="preserve">Describe </w:t>
      </w:r>
      <w:r w:rsidRPr="00957A70">
        <w:rPr>
          <w:rFonts w:ascii="Times New Roman" w:eastAsia="Times New Roman" w:hAnsi="Times New Roman" w:cs="Times New Roman"/>
          <w:b/>
          <w:color w:val="000000"/>
        </w:rPr>
        <w:t>efforts to identify duplication.  Show specifically why any similar information already available cannot be used or modified for use for the purposes described in Item 2 above.</w:t>
      </w: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p>
    <w:p w:rsidR="00B85D36" w:rsidRDefault="00B85D36" w:rsidP="008953F6">
      <w:pPr>
        <w:pStyle w:val="Header"/>
        <w:tabs>
          <w:tab w:val="left" w:pos="547"/>
          <w:tab w:val="left" w:pos="1080"/>
          <w:tab w:val="left" w:pos="1627"/>
          <w:tab w:val="left" w:pos="2160"/>
          <w:tab w:val="left" w:pos="288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sidR="008953F6" w:rsidRPr="008953F6">
        <w:rPr>
          <w:rFonts w:ascii="Times New Roman" w:hAnsi="Times New Roman" w:cs="Times New Roman"/>
          <w:color w:val="C00000"/>
        </w:rPr>
        <w:t xml:space="preserve">VA does not have a similar collection of information for the application because the requirement to provide this information is created by the proposed rulemaking. There will be no duplication because similar information regarding veteran participation in adaptive sports activities cannot be used or modified for the purposes of this program.  </w:t>
      </w:r>
      <w:r w:rsidRPr="008953F6">
        <w:rPr>
          <w:rFonts w:ascii="Times New Roman" w:eastAsia="Times New Roman" w:hAnsi="Times New Roman" w:cs="Times New Roman"/>
          <w:color w:val="C00000"/>
        </w:rPr>
        <w:t>All adaptive sports grant</w:t>
      </w:r>
      <w:r w:rsidR="00056A20">
        <w:rPr>
          <w:rFonts w:ascii="Times New Roman" w:eastAsia="Times New Roman" w:hAnsi="Times New Roman" w:cs="Times New Roman"/>
          <w:color w:val="C00000"/>
        </w:rPr>
        <w:t>s</w:t>
      </w:r>
      <w:r w:rsidRPr="008953F6">
        <w:rPr>
          <w:rFonts w:ascii="Times New Roman" w:eastAsia="Times New Roman" w:hAnsi="Times New Roman" w:cs="Times New Roman"/>
          <w:color w:val="C00000"/>
        </w:rPr>
        <w:t xml:space="preserve"> are 1-year </w:t>
      </w:r>
      <w:r w:rsidR="005B3563" w:rsidRPr="008953F6">
        <w:rPr>
          <w:rFonts w:ascii="Times New Roman" w:eastAsia="Times New Roman" w:hAnsi="Times New Roman" w:cs="Times New Roman"/>
          <w:color w:val="C00000"/>
        </w:rPr>
        <w:t xml:space="preserve">and data collected is provided only </w:t>
      </w:r>
      <w:r w:rsidR="00056A20" w:rsidRPr="008953F6">
        <w:rPr>
          <w:rFonts w:ascii="Times New Roman" w:eastAsia="Times New Roman" w:hAnsi="Times New Roman" w:cs="Times New Roman"/>
          <w:color w:val="C00000"/>
        </w:rPr>
        <w:t>once</w:t>
      </w:r>
      <w:r w:rsidR="00056A20">
        <w:rPr>
          <w:rFonts w:ascii="Times New Roman" w:eastAsia="Times New Roman" w:hAnsi="Times New Roman" w:cs="Times New Roman"/>
          <w:color w:val="C00000"/>
        </w:rPr>
        <w:t xml:space="preserve"> </w:t>
      </w:r>
      <w:r w:rsidR="00056A20" w:rsidRPr="008953F6">
        <w:rPr>
          <w:rFonts w:ascii="Times New Roman" w:eastAsia="Times New Roman" w:hAnsi="Times New Roman" w:cs="Times New Roman"/>
          <w:color w:val="C00000"/>
        </w:rPr>
        <w:t>based</w:t>
      </w:r>
      <w:r w:rsidR="005B3563" w:rsidRPr="008953F6">
        <w:rPr>
          <w:rFonts w:ascii="Times New Roman" w:eastAsia="Times New Roman" w:hAnsi="Times New Roman" w:cs="Times New Roman"/>
          <w:color w:val="C00000"/>
        </w:rPr>
        <w:t xml:space="preserve"> on the status and date within the adaptive </w:t>
      </w:r>
      <w:r w:rsidR="005B3563" w:rsidRPr="000F1AE8">
        <w:rPr>
          <w:rFonts w:ascii="Times New Roman" w:eastAsia="Times New Roman" w:hAnsi="Times New Roman" w:cs="Times New Roman"/>
          <w:color w:val="C00000"/>
        </w:rPr>
        <w:t xml:space="preserve">sports grant implementation cycle.  </w:t>
      </w:r>
      <w:r w:rsidR="00056A20">
        <w:rPr>
          <w:rFonts w:ascii="Times New Roman" w:eastAsia="Times New Roman" w:hAnsi="Times New Roman" w:cs="Times New Roman"/>
          <w:color w:val="C00000"/>
        </w:rPr>
        <w:t xml:space="preserve">Because the data gathered at each point in program implementation is similar, duplication is further reduced by using one data input template: the 38 CFR 77 Reporting Template.  </w:t>
      </w:r>
      <w:r w:rsidR="005B3563" w:rsidRPr="000F1AE8">
        <w:rPr>
          <w:rFonts w:ascii="Times New Roman" w:eastAsia="Times New Roman" w:hAnsi="Times New Roman" w:cs="Times New Roman"/>
          <w:color w:val="C00000"/>
        </w:rPr>
        <w:t>If a grant recipient seeks to renew an existing 1-year adaptive sports grant, 38 CFR Part 77.</w:t>
      </w:r>
      <w:r w:rsidR="000F1AE8" w:rsidRPr="000F1AE8">
        <w:rPr>
          <w:rFonts w:ascii="Times New Roman" w:eastAsia="Times New Roman" w:hAnsi="Times New Roman" w:cs="Times New Roman"/>
          <w:color w:val="C00000"/>
        </w:rPr>
        <w:t>4(b)</w:t>
      </w:r>
      <w:r w:rsidR="005B3563" w:rsidRPr="000F1AE8">
        <w:rPr>
          <w:rFonts w:ascii="Times New Roman" w:eastAsia="Times New Roman" w:hAnsi="Times New Roman" w:cs="Times New Roman"/>
          <w:color w:val="C00000"/>
        </w:rPr>
        <w:t xml:space="preserve"> </w:t>
      </w:r>
      <w:r w:rsidR="000F1AE8" w:rsidRPr="000F1AE8">
        <w:rPr>
          <w:rFonts w:ascii="Times New Roman" w:eastAsia="Times New Roman" w:hAnsi="Times New Roman" w:cs="Times New Roman"/>
          <w:color w:val="C00000"/>
        </w:rPr>
        <w:t>authorizes renewal applications that reduce the duplication through use of information related to the applications implementation of current adaptive sports grant activities.  Since all information reported reflects projected and current performance related to a grant application and package, the information is “real time” data and does not constitute duplication.</w:t>
      </w:r>
    </w:p>
    <w:p w:rsidR="00B85D36" w:rsidRPr="00957A70" w:rsidRDefault="00B85D3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b/>
          <w:color w:val="000000"/>
        </w:rPr>
        <w:t>5.</w:t>
      </w:r>
      <w:r w:rsidRPr="00957A70">
        <w:rPr>
          <w:rFonts w:ascii="Times New Roman" w:eastAsia="Times New Roman" w:hAnsi="Times New Roman" w:cs="Times New Roman"/>
          <w:b/>
          <w:color w:val="000000"/>
        </w:rPr>
        <w:tab/>
        <w:t>If the collection of information impacts small businesses</w:t>
      </w:r>
      <w:r w:rsidRPr="00957A70">
        <w:rPr>
          <w:rFonts w:ascii="Times New Roman" w:eastAsia="Times New Roman" w:hAnsi="Times New Roman" w:cs="Times New Roman"/>
          <w:b/>
        </w:rPr>
        <w:t xml:space="preserve"> or other small entities, describe any methods used to minimize burden.</w:t>
      </w:r>
    </w:p>
    <w:p w:rsidR="00957A70" w:rsidRDefault="00957A70"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FF0000"/>
        </w:rPr>
      </w:pPr>
    </w:p>
    <w:p w:rsidR="000F1AE8" w:rsidRDefault="000F1AE8"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ab/>
      </w:r>
      <w:r w:rsidRPr="00F65062">
        <w:rPr>
          <w:rFonts w:ascii="Times New Roman" w:eastAsia="Times New Roman" w:hAnsi="Times New Roman" w:cs="Times New Roman"/>
          <w:color w:val="C00000"/>
        </w:rPr>
        <w:t>Every effort has been made to minimize the burden to small business by keeping questions simple and to an absolute minimum.</w:t>
      </w:r>
    </w:p>
    <w:p w:rsidR="000F1AE8" w:rsidRPr="00957A70" w:rsidRDefault="000F1AE8"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b/>
        </w:rPr>
        <w:t>6.</w:t>
      </w:r>
      <w:r w:rsidRPr="00957A70">
        <w:rPr>
          <w:rFonts w:ascii="Times New Roman" w:eastAsia="Times New Roman" w:hAnsi="Times New Roman" w:cs="Times New Roman"/>
          <w:b/>
        </w:rPr>
        <w:tab/>
      </w:r>
      <w:r w:rsidRPr="00957A70">
        <w:rPr>
          <w:rFonts w:ascii="Times New Roman" w:eastAsia="Times New Roman" w:hAnsi="Times New Roman" w:cs="Times New Roman"/>
          <w:b/>
          <w:color w:val="000000"/>
        </w:rPr>
        <w:t>Describe the consequences to Federal program or policy activities if the collection is not conducted or is conducted less frequently</w:t>
      </w:r>
      <w:r w:rsidRPr="00957A70">
        <w:rPr>
          <w:rFonts w:ascii="Times New Roman" w:eastAsia="Times New Roman" w:hAnsi="Times New Roman" w:cs="Times New Roman"/>
          <w:b/>
        </w:rPr>
        <w:t xml:space="preserve"> as well as any technical or legal obstacles to reducing burden.</w:t>
      </w: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0F1AE8" w:rsidRDefault="000F1AE8"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ab/>
      </w:r>
      <w:r w:rsidRPr="00F65062">
        <w:rPr>
          <w:rFonts w:ascii="Times New Roman" w:eastAsia="Times New Roman" w:hAnsi="Times New Roman" w:cs="Times New Roman"/>
          <w:color w:val="C00000"/>
        </w:rPr>
        <w:t xml:space="preserve">If the collection of data is not conducted or is conducted less frequently, the </w:t>
      </w:r>
      <w:r w:rsidR="00652D29" w:rsidRPr="00F65062">
        <w:rPr>
          <w:rFonts w:ascii="Times New Roman" w:eastAsia="Times New Roman" w:hAnsi="Times New Roman" w:cs="Times New Roman"/>
          <w:color w:val="C00000"/>
        </w:rPr>
        <w:t>Grants for Adaptive Sports Programs for Disabled Veterans and Members of the Armed Forces cannot feasibly or legally be implemented.  The data collection outlined in 38 CFR Part 77 is critical to determine which adaptive sports grant applications are feasible and meet the program’s goals and objectives. The quarterly and annual reporting requirements are necessary for program evaluation and measurement.  In addition, all of these data collection requirements are mandated both under Federal grant management programs and under 38 USC 521A.  There are no data collection requirements that are not mandated under directive from Congress and the White House.</w:t>
      </w:r>
    </w:p>
    <w:p w:rsidR="000F1AE8" w:rsidRPr="00957A70" w:rsidRDefault="000F1AE8"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b/>
        </w:rPr>
        <w:t>7</w:t>
      </w:r>
      <w:r w:rsidRPr="00957A70">
        <w:rPr>
          <w:rFonts w:ascii="Times New Roman" w:eastAsia="Times New Roman" w:hAnsi="Times New Roman" w:cs="Times New Roman"/>
        </w:rPr>
        <w:t>.</w:t>
      </w:r>
      <w:r w:rsidRPr="00957A70">
        <w:rPr>
          <w:rFonts w:ascii="Times New Roman" w:eastAsia="Times New Roman" w:hAnsi="Times New Roman" w:cs="Times New Roman"/>
        </w:rPr>
        <w:tab/>
      </w:r>
      <w:r w:rsidRPr="00957A70">
        <w:rPr>
          <w:rFonts w:ascii="Times New Roman" w:eastAsia="Times New Roman" w:hAnsi="Times New Roman" w:cs="Times New Roman"/>
          <w:b/>
        </w:rPr>
        <w:t xml:space="preserve">Explain </w:t>
      </w:r>
      <w:r w:rsidRPr="00957A70">
        <w:rPr>
          <w:rFonts w:ascii="Times New Roman" w:eastAsia="Times New Roman" w:hAnsi="Times New Roman" w:cs="Times New Roman"/>
          <w:b/>
          <w:color w:val="000000"/>
        </w:rPr>
        <w:t>any special circumstances that would cause an information collection to be conducted more often than quarterly or require respondents</w:t>
      </w:r>
      <w:r w:rsidRPr="00957A70">
        <w:rPr>
          <w:rFonts w:ascii="Times New Roman" w:eastAsia="Times New Roman" w:hAnsi="Times New Roman" w:cs="Times New Roman"/>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7395B" w:rsidRDefault="0037395B"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37395B" w:rsidRPr="0037395B" w:rsidRDefault="0037395B"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b/>
        </w:rPr>
        <w:tab/>
      </w:r>
      <w:r w:rsidR="008953F6">
        <w:rPr>
          <w:rFonts w:ascii="Times New Roman" w:eastAsia="Times New Roman" w:hAnsi="Times New Roman" w:cs="Times New Roman"/>
          <w:color w:val="C00000"/>
        </w:rPr>
        <w:t>The</w:t>
      </w:r>
      <w:r w:rsidRPr="0037395B">
        <w:rPr>
          <w:rFonts w:ascii="Times New Roman" w:eastAsia="Times New Roman" w:hAnsi="Times New Roman" w:cs="Times New Roman"/>
          <w:color w:val="C00000"/>
        </w:rPr>
        <w:t xml:space="preserve">re are no special circumstances that would cause an information collection to be conducted more often than quarterly or require respondents to prepare written responses to a collection of information in few than 30 days after receipt of it.  </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b/>
        </w:rPr>
        <w:t>8.</w:t>
      </w:r>
      <w:r w:rsidRPr="00957A70">
        <w:rPr>
          <w:rFonts w:ascii="Times New Roman" w:eastAsia="Times New Roman" w:hAnsi="Times New Roman" w:cs="Times New Roman"/>
          <w:b/>
        </w:rPr>
        <w:tab/>
      </w:r>
      <w:proofErr w:type="gramStart"/>
      <w:r w:rsidRPr="00957A70">
        <w:rPr>
          <w:rFonts w:ascii="Times New Roman" w:eastAsia="Times New Roman" w:hAnsi="Times New Roman" w:cs="Times New Roman"/>
          <w:b/>
        </w:rPr>
        <w:t>a</w:t>
      </w:r>
      <w:proofErr w:type="gramEnd"/>
      <w:r w:rsidRPr="00957A70">
        <w:rPr>
          <w:rFonts w:ascii="Times New Roman" w:eastAsia="Times New Roman" w:hAnsi="Times New Roman" w:cs="Times New Roman"/>
          <w:b/>
        </w:rPr>
        <w:t>.</w:t>
      </w:r>
      <w:r w:rsidRPr="00957A70">
        <w:rPr>
          <w:rFonts w:ascii="Times New Roman" w:eastAsia="Times New Roman" w:hAnsi="Times New Roman" w:cs="Times New Roman"/>
          <w:b/>
        </w:rPr>
        <w:tab/>
        <w:t xml:space="preserve">If applicable, provide a copy and identify the date and page </w:t>
      </w:r>
      <w:r w:rsidRPr="00957A70">
        <w:rPr>
          <w:rFonts w:ascii="Times New Roman" w:eastAsia="Times New Roman" w:hAnsi="Times New Roman" w:cs="Times New Roman"/>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957A70">
        <w:rPr>
          <w:rFonts w:ascii="Times New Roman" w:eastAsia="Times New Roman" w:hAnsi="Times New Roman" w:cs="Times New Roman"/>
          <w:b/>
        </w:rPr>
        <w:t xml:space="preserve"> comments.  Specifically address comments received on cost and hour burden.</w:t>
      </w:r>
    </w:p>
    <w:p w:rsidR="00957A70" w:rsidRPr="0037395B" w:rsidRDefault="00957A70" w:rsidP="00957A70">
      <w:pPr>
        <w:tabs>
          <w:tab w:val="left" w:pos="540"/>
          <w:tab w:val="left" w:pos="1080"/>
          <w:tab w:val="left" w:pos="1620"/>
          <w:tab w:val="left" w:pos="2160"/>
        </w:tabs>
        <w:spacing w:after="0" w:line="240" w:lineRule="auto"/>
        <w:rPr>
          <w:rFonts w:ascii="Times New Roman" w:eastAsia="Times New Roman" w:hAnsi="Times New Roman" w:cs="Times New Roman"/>
          <w:color w:val="C0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themeColor="text1"/>
        </w:rPr>
      </w:pPr>
      <w:r w:rsidRPr="0037395B">
        <w:rPr>
          <w:rFonts w:ascii="Times New Roman" w:eastAsia="Times New Roman" w:hAnsi="Times New Roman" w:cs="Times New Roman"/>
          <w:color w:val="C00000"/>
        </w:rPr>
        <w:tab/>
        <w:t xml:space="preserve">The notice of Proposed Information Collection Activity </w:t>
      </w:r>
      <w:r w:rsidR="008953F6">
        <w:rPr>
          <w:rFonts w:ascii="Times New Roman" w:eastAsia="Times New Roman" w:hAnsi="Times New Roman" w:cs="Times New Roman"/>
          <w:color w:val="C00000"/>
        </w:rPr>
        <w:t>will be</w:t>
      </w:r>
      <w:r w:rsidRPr="0037395B">
        <w:rPr>
          <w:rFonts w:ascii="Times New Roman" w:eastAsia="Times New Roman" w:hAnsi="Times New Roman" w:cs="Times New Roman"/>
          <w:color w:val="C00000"/>
        </w:rPr>
        <w:t xml:space="preserve"> published in the Federal Register on </w:t>
      </w:r>
      <w:r w:rsidRPr="00957A70">
        <w:rPr>
          <w:rFonts w:ascii="Times New Roman" w:eastAsia="Times New Roman" w:hAnsi="Times New Roman" w:cs="Times New Roman"/>
          <w:color w:val="000000" w:themeColor="text1"/>
        </w:rPr>
        <w:t xml:space="preserve">XXXXX (Volume XX, Number XX, </w:t>
      </w:r>
      <w:proofErr w:type="gramStart"/>
      <w:r w:rsidRPr="00957A70">
        <w:rPr>
          <w:rFonts w:ascii="Times New Roman" w:eastAsia="Times New Roman" w:hAnsi="Times New Roman" w:cs="Times New Roman"/>
          <w:color w:val="000000" w:themeColor="text1"/>
        </w:rPr>
        <w:t>Page</w:t>
      </w:r>
      <w:proofErr w:type="gramEnd"/>
      <w:r w:rsidRPr="00957A70">
        <w:rPr>
          <w:rFonts w:ascii="Times New Roman" w:eastAsia="Times New Roman" w:hAnsi="Times New Roman" w:cs="Times New Roman"/>
          <w:color w:val="000000" w:themeColor="text1"/>
        </w:rPr>
        <w:t>(s) XXXXX).</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957A70">
        <w:rPr>
          <w:rFonts w:ascii="Times New Roman" w:eastAsia="Times New Roman" w:hAnsi="Times New Roman" w:cs="Times New Roman"/>
        </w:rPr>
        <w:tab/>
      </w:r>
      <w:r w:rsidRPr="00957A70">
        <w:rPr>
          <w:rFonts w:ascii="Times New Roman" w:eastAsia="Times New Roman" w:hAnsi="Times New Roman" w:cs="Times New Roman"/>
          <w:b/>
        </w:rPr>
        <w:t>b.</w:t>
      </w:r>
      <w:r w:rsidRPr="00957A70">
        <w:rPr>
          <w:rFonts w:ascii="Times New Roman" w:eastAsia="Times New Roman" w:hAnsi="Times New Roman" w:cs="Times New Roman"/>
          <w:b/>
        </w:rPr>
        <w:tab/>
      </w:r>
      <w:r w:rsidRPr="00957A70">
        <w:rPr>
          <w:rFonts w:ascii="Times New Roman" w:eastAsia="Times New Roman" w:hAnsi="Times New Roman" w:cs="Times New Roman"/>
          <w:b/>
          <w:color w:val="000000"/>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w:t>
      </w:r>
      <w:r w:rsidRPr="00957A70">
        <w:rPr>
          <w:rFonts w:ascii="Times New Roman" w:eastAsia="Times New Roman" w:hAnsi="Times New Roman" w:cs="Times New Roman"/>
          <w:b/>
          <w:color w:val="000000"/>
        </w:rPr>
        <w:lastRenderedPageBreak/>
        <w:t>preclude consultation</w:t>
      </w:r>
      <w:r w:rsidRPr="00957A70">
        <w:rPr>
          <w:rFonts w:ascii="Times New Roman" w:eastAsia="Times New Roman" w:hAnsi="Times New Roman" w:cs="Times New Roman"/>
          <w:b/>
        </w:rPr>
        <w:t xml:space="preserve"> every three years with representatives of those from whom information is to be obtained.</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r w:rsidRPr="00957A70">
        <w:rPr>
          <w:rFonts w:ascii="Times New Roman" w:eastAsia="Times New Roman" w:hAnsi="Times New Roman" w:cs="Times New Roman"/>
          <w:color w:val="000000"/>
        </w:rPr>
        <w:tab/>
      </w:r>
      <w:r w:rsidRPr="0037395B">
        <w:rPr>
          <w:rFonts w:ascii="Times New Roman" w:eastAsia="Times New Roman" w:hAnsi="Times New Roman" w:cs="Times New Roman"/>
          <w:color w:val="C00000"/>
        </w:rPr>
        <w:t>Outside consultation is conducted with the public through the 60- and 30-day Federal Register notices.</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rPr>
      </w:pPr>
      <w:r w:rsidRPr="00957A70">
        <w:rPr>
          <w:rFonts w:ascii="Times New Roman" w:eastAsia="Times New Roman" w:hAnsi="Times New Roman" w:cs="Times New Roman"/>
          <w:b/>
          <w:color w:val="000000"/>
        </w:rPr>
        <w:t>9</w:t>
      </w:r>
      <w:r w:rsidRPr="00957A70">
        <w:rPr>
          <w:rFonts w:ascii="Times New Roman" w:eastAsia="Times New Roman" w:hAnsi="Times New Roman" w:cs="Times New Roman"/>
          <w:color w:val="000000"/>
        </w:rPr>
        <w:t>.</w:t>
      </w:r>
      <w:r w:rsidRPr="00957A70">
        <w:rPr>
          <w:rFonts w:ascii="Times New Roman" w:eastAsia="Times New Roman" w:hAnsi="Times New Roman" w:cs="Times New Roman"/>
          <w:color w:val="000000"/>
        </w:rPr>
        <w:tab/>
      </w:r>
      <w:r w:rsidRPr="00957A70">
        <w:rPr>
          <w:rFonts w:ascii="Times New Roman" w:eastAsia="Times New Roman" w:hAnsi="Times New Roman" w:cs="Times New Roman"/>
          <w:b/>
          <w:color w:val="000000"/>
        </w:rPr>
        <w:t>Explain any decision to provide any payment or gift to respondents, other than remuneration of contractors or grantees.</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themeColor="text1"/>
        </w:rPr>
      </w:pPr>
      <w:r w:rsidRPr="00957A70">
        <w:rPr>
          <w:rFonts w:ascii="Times New Roman" w:eastAsia="Times New Roman" w:hAnsi="Times New Roman" w:cs="Times New Roman"/>
        </w:rPr>
        <w:tab/>
      </w:r>
      <w:r w:rsidRPr="0037395B">
        <w:rPr>
          <w:rFonts w:ascii="Times New Roman" w:eastAsia="Times New Roman" w:hAnsi="Times New Roman" w:cs="Times New Roman"/>
          <w:color w:val="C00000"/>
        </w:rPr>
        <w:t xml:space="preserve">No payment or gift is provided to respondents. </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957A70">
        <w:rPr>
          <w:rFonts w:ascii="Times New Roman" w:eastAsia="Times New Roman" w:hAnsi="Times New Roman" w:cs="Times New Roman"/>
          <w:b/>
          <w:color w:val="000000"/>
        </w:rPr>
        <w:t>10.</w:t>
      </w:r>
      <w:r w:rsidRPr="00957A70">
        <w:rPr>
          <w:rFonts w:ascii="Times New Roman" w:eastAsia="Times New Roman" w:hAnsi="Times New Roman" w:cs="Times New Roman"/>
          <w:b/>
          <w:color w:val="000000"/>
        </w:rPr>
        <w:tab/>
        <w:t>Describe any assurance of privacy, to the extent permitted by law, provided to respondents and the basis for the assurance in statute, regulation, or agency policy.</w:t>
      </w:r>
    </w:p>
    <w:p w:rsidR="008953F6" w:rsidRDefault="008953F6"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p>
    <w:p w:rsidR="008953F6" w:rsidRPr="008953F6" w:rsidRDefault="00056A20" w:rsidP="008953F6">
      <w:pPr>
        <w:tabs>
          <w:tab w:val="left" w:pos="547"/>
          <w:tab w:val="left" w:pos="1080"/>
          <w:tab w:val="left" w:pos="1627"/>
          <w:tab w:val="left" w:pos="2160"/>
          <w:tab w:val="left" w:pos="2880"/>
        </w:tabs>
        <w:rPr>
          <w:rFonts w:ascii="Times New Roman" w:hAnsi="Times New Roman" w:cs="Times New Roman"/>
          <w:color w:val="C00000"/>
        </w:rPr>
      </w:pPr>
      <w:r>
        <w:rPr>
          <w:rFonts w:ascii="Times New Roman" w:hAnsi="Times New Roman" w:cs="Times New Roman"/>
          <w:color w:val="C00000"/>
        </w:rPr>
        <w:tab/>
      </w:r>
      <w:r w:rsidR="008953F6" w:rsidRPr="008953F6">
        <w:rPr>
          <w:rFonts w:ascii="Times New Roman" w:hAnsi="Times New Roman" w:cs="Times New Roman"/>
          <w:color w:val="C00000"/>
        </w:rPr>
        <w:t>This information will not include Protected Health Information (PHI) or Individually Identifiable Health Information (IIHI).</w:t>
      </w:r>
    </w:p>
    <w:p w:rsidR="00957A70" w:rsidRPr="00957A70" w:rsidRDefault="00957A70" w:rsidP="00957A70">
      <w:pPr>
        <w:widowControl w:val="0"/>
        <w:tabs>
          <w:tab w:val="left" w:pos="547"/>
          <w:tab w:val="left" w:pos="1080"/>
          <w:tab w:val="left" w:pos="1627"/>
          <w:tab w:val="left" w:pos="2160"/>
          <w:tab w:val="left" w:pos="2880"/>
        </w:tabs>
        <w:spacing w:after="0" w:line="240" w:lineRule="auto"/>
        <w:rPr>
          <w:rFonts w:ascii="Times New Roman" w:eastAsia="Times New Roman" w:hAnsi="Times New Roman" w:cs="Times New Roman"/>
          <w:color w:val="FF0000"/>
        </w:rPr>
      </w:pPr>
    </w:p>
    <w:p w:rsidR="0037395B" w:rsidRDefault="00957A70" w:rsidP="00957A70">
      <w:pPr>
        <w:spacing w:after="0" w:line="240" w:lineRule="auto"/>
        <w:rPr>
          <w:rFonts w:ascii="Times New Roman" w:eastAsia="Times New Roman" w:hAnsi="Times New Roman" w:cs="Times New Roman"/>
          <w:b/>
          <w:color w:val="000000"/>
        </w:rPr>
      </w:pPr>
      <w:r w:rsidRPr="00957A70">
        <w:rPr>
          <w:rFonts w:ascii="Times New Roman" w:eastAsia="Times New Roman" w:hAnsi="Times New Roman" w:cs="Times New Roman"/>
          <w:b/>
          <w:color w:val="000000"/>
        </w:rPr>
        <w:t>11.</w:t>
      </w:r>
      <w:r w:rsidRPr="00957A70">
        <w:rPr>
          <w:rFonts w:ascii="Times New Roman" w:eastAsia="Times New Roman" w:hAnsi="Times New Roman" w:cs="Times New Roman"/>
          <w:b/>
          <w:color w:val="000000"/>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0037395B">
        <w:rPr>
          <w:rFonts w:ascii="Times New Roman" w:eastAsia="Times New Roman" w:hAnsi="Times New Roman" w:cs="Times New Roman"/>
          <w:b/>
          <w:color w:val="000000"/>
        </w:rPr>
        <w:t xml:space="preserve">  </w:t>
      </w:r>
    </w:p>
    <w:p w:rsidR="0037395B" w:rsidRDefault="0037395B" w:rsidP="00957A70">
      <w:pPr>
        <w:spacing w:after="0" w:line="240" w:lineRule="auto"/>
        <w:rPr>
          <w:rFonts w:ascii="Times New Roman" w:eastAsia="Times New Roman" w:hAnsi="Times New Roman" w:cs="Times New Roman"/>
          <w:b/>
          <w:color w:val="000000"/>
        </w:rPr>
      </w:pPr>
    </w:p>
    <w:p w:rsidR="00957A70" w:rsidRPr="0037395B" w:rsidRDefault="0037395B" w:rsidP="0037395B">
      <w:pPr>
        <w:spacing w:after="0" w:line="240" w:lineRule="auto"/>
        <w:ind w:firstLine="720"/>
        <w:rPr>
          <w:rFonts w:ascii="Times New Roman" w:eastAsia="Times New Roman" w:hAnsi="Times New Roman" w:cs="Times New Roman"/>
          <w:color w:val="000000"/>
        </w:rPr>
      </w:pPr>
      <w:r w:rsidRPr="0037395B">
        <w:rPr>
          <w:rFonts w:ascii="Times New Roman" w:eastAsia="Times New Roman" w:hAnsi="Times New Roman" w:cs="Times New Roman"/>
          <w:color w:val="C00000"/>
        </w:rPr>
        <w:t>There are no questions of a sensitive nature.</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000000" w:themeColor="text1"/>
        </w:rPr>
      </w:pPr>
    </w:p>
    <w:p w:rsidR="00957A70" w:rsidRPr="00957A70" w:rsidRDefault="00957A70" w:rsidP="00957A70">
      <w:pPr>
        <w:tabs>
          <w:tab w:val="left" w:pos="547"/>
          <w:tab w:val="left" w:pos="1080"/>
          <w:tab w:val="left" w:pos="1627"/>
          <w:tab w:val="left" w:pos="2160"/>
          <w:tab w:val="left" w:pos="2880"/>
        </w:tabs>
        <w:spacing w:after="0" w:line="240" w:lineRule="auto"/>
        <w:ind w:right="3744"/>
        <w:rPr>
          <w:rFonts w:ascii="Times New Roman" w:eastAsia="Times New Roman" w:hAnsi="Times New Roman" w:cs="Times New Roman"/>
          <w:color w:val="FF0000"/>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rPr>
      </w:pPr>
      <w:r w:rsidRPr="00957A70">
        <w:rPr>
          <w:rFonts w:ascii="Times New Roman" w:eastAsia="Times New Roman" w:hAnsi="Times New Roman" w:cs="Times New Roman"/>
          <w:b/>
        </w:rPr>
        <w:t>12.</w:t>
      </w:r>
      <w:r w:rsidRPr="00957A70">
        <w:rPr>
          <w:rFonts w:ascii="Times New Roman" w:eastAsia="Times New Roman" w:hAnsi="Times New Roman" w:cs="Times New Roman"/>
          <w:b/>
        </w:rPr>
        <w:tab/>
      </w:r>
      <w:r w:rsidRPr="00957A70">
        <w:rPr>
          <w:rFonts w:ascii="Times New Roman" w:eastAsia="Times New Roman" w:hAnsi="Times New Roman" w:cs="Times New Roman"/>
          <w:b/>
          <w:color w:val="000000"/>
        </w:rPr>
        <w:t>Estimate of the hour burden of the collection of information:</w:t>
      </w:r>
    </w:p>
    <w:p w:rsidR="00C82BD1" w:rsidRDefault="00C82BD1" w:rsidP="000F42C9">
      <w:pPr>
        <w:autoSpaceDE w:val="0"/>
        <w:autoSpaceDN w:val="0"/>
        <w:adjustRightInd w:val="0"/>
        <w:spacing w:after="0" w:line="240" w:lineRule="auto"/>
        <w:rPr>
          <w:rFonts w:ascii="Arial Narrow" w:hAnsi="Arial Narrow" w:cs="Arial Narrow"/>
          <w:sz w:val="16"/>
          <w:szCs w:val="16"/>
        </w:rPr>
      </w:pPr>
    </w:p>
    <w:p w:rsidR="00C82BD1" w:rsidRPr="00C82BD1" w:rsidRDefault="00C82BD1" w:rsidP="00056A20">
      <w:pPr>
        <w:spacing w:after="0" w:line="240" w:lineRule="auto"/>
        <w:ind w:firstLine="720"/>
        <w:rPr>
          <w:rFonts w:ascii="Times New Roman" w:eastAsia="Times New Roman" w:hAnsi="Times New Roman" w:cs="Times New Roman"/>
          <w:color w:val="C00000"/>
          <w:sz w:val="24"/>
          <w:szCs w:val="24"/>
        </w:rPr>
      </w:pPr>
      <w:r w:rsidRPr="00C82BD1">
        <w:rPr>
          <w:rFonts w:ascii="Times New Roman" w:eastAsia="Times New Roman" w:hAnsi="Times New Roman" w:cs="Times New Roman"/>
          <w:color w:val="C00000"/>
          <w:sz w:val="24"/>
          <w:szCs w:val="24"/>
        </w:rPr>
        <w:t xml:space="preserve">Respondents are </w:t>
      </w:r>
      <w:r>
        <w:rPr>
          <w:rFonts w:ascii="Times New Roman" w:eastAsia="Times New Roman" w:hAnsi="Times New Roman" w:cs="Times New Roman"/>
          <w:color w:val="C00000"/>
          <w:sz w:val="24"/>
          <w:szCs w:val="24"/>
        </w:rPr>
        <w:t xml:space="preserve">adaptive sports entities </w:t>
      </w:r>
      <w:r w:rsidRPr="00C82BD1">
        <w:rPr>
          <w:rFonts w:ascii="Times New Roman" w:eastAsia="Times New Roman" w:hAnsi="Times New Roman" w:cs="Times New Roman"/>
          <w:color w:val="C00000"/>
          <w:sz w:val="24"/>
          <w:szCs w:val="24"/>
        </w:rPr>
        <w:t xml:space="preserve">who are participating in </w:t>
      </w:r>
      <w:r>
        <w:rPr>
          <w:rFonts w:ascii="Times New Roman" w:eastAsia="Times New Roman" w:hAnsi="Times New Roman" w:cs="Times New Roman"/>
          <w:color w:val="C00000"/>
          <w:sz w:val="24"/>
          <w:szCs w:val="24"/>
        </w:rPr>
        <w:t>the adaptive sports grant program</w:t>
      </w:r>
      <w:r w:rsidRPr="00C82BD1">
        <w:rPr>
          <w:rFonts w:ascii="Times New Roman" w:eastAsia="Times New Roman" w:hAnsi="Times New Roman" w:cs="Times New Roman"/>
          <w:color w:val="C00000"/>
          <w:sz w:val="24"/>
          <w:szCs w:val="24"/>
        </w:rPr>
        <w:t xml:space="preserve">.  The following respondent burden estimates are based on a respondent with </w:t>
      </w:r>
      <w:r>
        <w:rPr>
          <w:rFonts w:ascii="Times New Roman" w:eastAsia="Times New Roman" w:hAnsi="Times New Roman" w:cs="Times New Roman"/>
          <w:color w:val="C00000"/>
          <w:sz w:val="24"/>
          <w:szCs w:val="24"/>
        </w:rPr>
        <w:t>a basic competitive adaptive sports grant</w:t>
      </w:r>
      <w:r w:rsidRPr="00C82BD1">
        <w:rPr>
          <w:rFonts w:ascii="Times New Roman" w:eastAsia="Times New Roman" w:hAnsi="Times New Roman" w:cs="Times New Roman"/>
          <w:color w:val="C00000"/>
          <w:sz w:val="24"/>
          <w:szCs w:val="24"/>
        </w:rPr>
        <w:t xml:space="preserve">.  </w:t>
      </w:r>
    </w:p>
    <w:p w:rsidR="00C82BD1" w:rsidRDefault="00C82BD1"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000000"/>
        </w:rPr>
      </w:pPr>
    </w:p>
    <w:p w:rsidR="00957A70" w:rsidRPr="00C82BD1" w:rsidRDefault="00957A70"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FF5050"/>
        </w:rPr>
      </w:pPr>
      <w:r w:rsidRPr="00957A70">
        <w:rPr>
          <w:rFonts w:ascii="Times New Roman" w:eastAsia="Times New Roman" w:hAnsi="Times New Roman" w:cs="Times New Roman"/>
          <w:b/>
          <w:color w:val="000000"/>
        </w:rPr>
        <w:tab/>
        <w:t>a.</w:t>
      </w:r>
      <w:r w:rsidRPr="00957A70">
        <w:rPr>
          <w:rFonts w:ascii="Times New Roman" w:eastAsia="Times New Roman" w:hAnsi="Times New Roman" w:cs="Times New Roman"/>
          <w:b/>
          <w:color w:val="000000"/>
        </w:rPr>
        <w:tab/>
        <w:t>The number of respondents, frequency of responses, annual hour burden, and explanation for each form is reported as follows</w:t>
      </w:r>
      <w:r w:rsidRPr="00957A70">
        <w:rPr>
          <w:rFonts w:ascii="Times New Roman" w:eastAsia="Times New Roman" w:hAnsi="Times New Roman" w:cs="Times New Roman"/>
          <w:b/>
        </w:rPr>
        <w:t xml:space="preserve">:  </w:t>
      </w:r>
    </w:p>
    <w:p w:rsidR="00C82BD1" w:rsidRPr="000324F5" w:rsidRDefault="00C82BD1" w:rsidP="00C82BD1">
      <w:pPr>
        <w:rPr>
          <w:color w:val="C00000"/>
        </w:rPr>
      </w:pPr>
    </w:p>
    <w:tbl>
      <w:tblPr>
        <w:tblpPr w:leftFromText="180" w:rightFromText="180" w:vertAnchor="text" w:horzAnchor="page" w:tblpX="1631"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0"/>
        <w:gridCol w:w="1260"/>
        <w:gridCol w:w="1260"/>
        <w:gridCol w:w="900"/>
        <w:gridCol w:w="1431"/>
      </w:tblGrid>
      <w:tr w:rsidR="000324F5" w:rsidRPr="000324F5" w:rsidTr="004C2291">
        <w:tc>
          <w:tcPr>
            <w:tcW w:w="8289" w:type="dxa"/>
            <w:gridSpan w:val="6"/>
            <w:shd w:val="pct12" w:color="auto" w:fill="auto"/>
            <w:vAlign w:val="center"/>
          </w:tcPr>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rPr>
            </w:pPr>
            <w:r w:rsidRPr="000324F5">
              <w:rPr>
                <w:rFonts w:ascii="Arial" w:hAnsi="Arial" w:cs="Arial"/>
                <w:b/>
                <w:color w:val="C00000"/>
              </w:rPr>
              <w:t>Burden Hours</w:t>
            </w:r>
          </w:p>
        </w:tc>
      </w:tr>
      <w:tr w:rsidR="000324F5" w:rsidRPr="000324F5" w:rsidTr="004C2291">
        <w:tc>
          <w:tcPr>
            <w:tcW w:w="1818" w:type="dxa"/>
            <w:vAlign w:val="center"/>
          </w:tcPr>
          <w:p w:rsidR="00C82BD1" w:rsidRDefault="00C82BD1" w:rsidP="00C82B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color w:val="C00000"/>
                <w:sz w:val="20"/>
                <w:szCs w:val="20"/>
              </w:rPr>
            </w:pPr>
            <w:r w:rsidRPr="000324F5">
              <w:rPr>
                <w:rFonts w:ascii="Arial" w:hAnsi="Arial" w:cs="Arial"/>
                <w:color w:val="C00000"/>
                <w:sz w:val="20"/>
                <w:szCs w:val="20"/>
              </w:rPr>
              <w:t>VA Form</w:t>
            </w:r>
          </w:p>
          <w:p w:rsidR="00056A20" w:rsidRPr="000324F5" w:rsidRDefault="00056A20" w:rsidP="00C82B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color w:val="C00000"/>
                <w:sz w:val="20"/>
                <w:szCs w:val="20"/>
              </w:rPr>
            </w:pPr>
            <w:r>
              <w:rPr>
                <w:rFonts w:ascii="Arial" w:hAnsi="Arial" w:cs="Arial"/>
                <w:color w:val="C00000"/>
                <w:sz w:val="20"/>
                <w:szCs w:val="20"/>
              </w:rPr>
              <w:t>2900-XXXX</w:t>
            </w:r>
          </w:p>
        </w:tc>
        <w:tc>
          <w:tcPr>
            <w:tcW w:w="1620" w:type="dxa"/>
            <w:vAlign w:val="center"/>
          </w:tcPr>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No. of respondents</w:t>
            </w:r>
          </w:p>
        </w:tc>
        <w:tc>
          <w:tcPr>
            <w:tcW w:w="1260" w:type="dxa"/>
            <w:vAlign w:val="center"/>
          </w:tcPr>
          <w:p w:rsidR="00C82BD1" w:rsidRPr="000324F5" w:rsidRDefault="00C82BD1" w:rsidP="00056A2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 xml:space="preserve">x </w:t>
            </w:r>
            <w:r w:rsidR="00056A20">
              <w:rPr>
                <w:rFonts w:ascii="Arial" w:hAnsi="Arial" w:cs="Arial"/>
                <w:color w:val="C00000"/>
                <w:sz w:val="20"/>
                <w:szCs w:val="20"/>
              </w:rPr>
              <w:t>7</w:t>
            </w:r>
            <w:r w:rsidRPr="000324F5">
              <w:rPr>
                <w:rFonts w:ascii="Arial" w:hAnsi="Arial" w:cs="Arial"/>
                <w:color w:val="C00000"/>
                <w:sz w:val="20"/>
                <w:szCs w:val="20"/>
              </w:rPr>
              <w:t xml:space="preserve"> response</w:t>
            </w:r>
          </w:p>
        </w:tc>
        <w:tc>
          <w:tcPr>
            <w:tcW w:w="1260" w:type="dxa"/>
            <w:vAlign w:val="center"/>
          </w:tcPr>
          <w:p w:rsidR="00C82BD1" w:rsidRPr="000324F5" w:rsidRDefault="00C82BD1" w:rsidP="00056A2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 xml:space="preserve">x </w:t>
            </w:r>
            <w:r w:rsidR="006863B7" w:rsidRPr="000324F5">
              <w:rPr>
                <w:rFonts w:ascii="Arial" w:hAnsi="Arial" w:cs="Arial"/>
                <w:color w:val="C00000"/>
                <w:sz w:val="20"/>
                <w:szCs w:val="20"/>
              </w:rPr>
              <w:t>1</w:t>
            </w:r>
            <w:r w:rsidR="00056A20">
              <w:rPr>
                <w:rFonts w:ascii="Arial" w:hAnsi="Arial" w:cs="Arial"/>
                <w:color w:val="C00000"/>
                <w:sz w:val="20"/>
                <w:szCs w:val="20"/>
              </w:rPr>
              <w:t>2</w:t>
            </w:r>
            <w:r w:rsidRPr="000324F5">
              <w:rPr>
                <w:rFonts w:ascii="Arial" w:hAnsi="Arial" w:cs="Arial"/>
                <w:color w:val="C00000"/>
                <w:sz w:val="20"/>
                <w:szCs w:val="20"/>
              </w:rPr>
              <w:t>0 minutes</w:t>
            </w:r>
          </w:p>
        </w:tc>
        <w:tc>
          <w:tcPr>
            <w:tcW w:w="900" w:type="dxa"/>
            <w:vMerge w:val="restart"/>
            <w:vAlign w:val="center"/>
          </w:tcPr>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w:t>
            </w:r>
          </w:p>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by 60=</w:t>
            </w:r>
          </w:p>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p>
        </w:tc>
        <w:tc>
          <w:tcPr>
            <w:tcW w:w="1431" w:type="dxa"/>
            <w:vAlign w:val="center"/>
          </w:tcPr>
          <w:p w:rsidR="00C82BD1" w:rsidRPr="000324F5" w:rsidRDefault="00C82BD1"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Number of Hours</w:t>
            </w:r>
          </w:p>
        </w:tc>
      </w:tr>
      <w:tr w:rsidR="000324F5" w:rsidRPr="000324F5" w:rsidTr="004C2291">
        <w:trPr>
          <w:trHeight w:val="568"/>
        </w:trPr>
        <w:tc>
          <w:tcPr>
            <w:tcW w:w="1818" w:type="dxa"/>
            <w:vAlign w:val="center"/>
          </w:tcPr>
          <w:p w:rsidR="006863B7" w:rsidRPr="000324F5" w:rsidRDefault="00056A20" w:rsidP="006863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C00000"/>
                <w:sz w:val="20"/>
                <w:szCs w:val="20"/>
              </w:rPr>
            </w:pPr>
            <w:r>
              <w:rPr>
                <w:rFonts w:ascii="Arial" w:hAnsi="Arial" w:cs="Arial"/>
                <w:b/>
                <w:color w:val="C00000"/>
                <w:sz w:val="20"/>
                <w:szCs w:val="20"/>
              </w:rPr>
              <w:t>38 CFR 77 Report Template</w:t>
            </w:r>
          </w:p>
        </w:tc>
        <w:tc>
          <w:tcPr>
            <w:tcW w:w="1620" w:type="dxa"/>
            <w:vAlign w:val="center"/>
          </w:tcPr>
          <w:p w:rsidR="006863B7" w:rsidRPr="000324F5" w:rsidRDefault="006863B7" w:rsidP="0005737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1</w:t>
            </w:r>
            <w:r w:rsidR="00057379">
              <w:rPr>
                <w:rFonts w:ascii="Arial" w:hAnsi="Arial" w:cs="Arial"/>
                <w:color w:val="C00000"/>
                <w:sz w:val="20"/>
                <w:szCs w:val="20"/>
              </w:rPr>
              <w:t>5</w:t>
            </w:r>
            <w:r w:rsidRPr="000324F5">
              <w:rPr>
                <w:rFonts w:ascii="Arial" w:hAnsi="Arial" w:cs="Arial"/>
                <w:color w:val="C00000"/>
                <w:sz w:val="20"/>
                <w:szCs w:val="20"/>
              </w:rPr>
              <w:t>0</w:t>
            </w:r>
          </w:p>
        </w:tc>
        <w:tc>
          <w:tcPr>
            <w:tcW w:w="1260" w:type="dxa"/>
            <w:vAlign w:val="center"/>
          </w:tcPr>
          <w:p w:rsidR="006863B7" w:rsidRPr="000324F5" w:rsidRDefault="006863B7" w:rsidP="0005737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sidRPr="000324F5">
              <w:rPr>
                <w:rFonts w:ascii="Arial" w:hAnsi="Arial" w:cs="Arial"/>
                <w:color w:val="C00000"/>
                <w:sz w:val="20"/>
                <w:szCs w:val="20"/>
              </w:rPr>
              <w:t>1</w:t>
            </w:r>
            <w:r w:rsidR="00056A20">
              <w:rPr>
                <w:rFonts w:ascii="Arial" w:hAnsi="Arial" w:cs="Arial"/>
                <w:color w:val="C00000"/>
                <w:sz w:val="20"/>
                <w:szCs w:val="20"/>
              </w:rPr>
              <w:t>0</w:t>
            </w:r>
            <w:r w:rsidR="00057379">
              <w:rPr>
                <w:rFonts w:ascii="Arial" w:hAnsi="Arial" w:cs="Arial"/>
                <w:color w:val="C00000"/>
                <w:sz w:val="20"/>
                <w:szCs w:val="20"/>
              </w:rPr>
              <w:t>5</w:t>
            </w:r>
            <w:r w:rsidRPr="000324F5">
              <w:rPr>
                <w:rFonts w:ascii="Arial" w:hAnsi="Arial" w:cs="Arial"/>
                <w:color w:val="C00000"/>
                <w:sz w:val="20"/>
                <w:szCs w:val="20"/>
              </w:rPr>
              <w:t>0</w:t>
            </w:r>
          </w:p>
        </w:tc>
        <w:tc>
          <w:tcPr>
            <w:tcW w:w="1260" w:type="dxa"/>
            <w:vAlign w:val="center"/>
          </w:tcPr>
          <w:p w:rsidR="006863B7" w:rsidRPr="000324F5" w:rsidRDefault="00056A20" w:rsidP="00056A2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Pr>
                <w:rFonts w:ascii="Arial" w:hAnsi="Arial" w:cs="Arial"/>
                <w:color w:val="C00000"/>
                <w:sz w:val="20"/>
                <w:szCs w:val="20"/>
              </w:rPr>
              <w:t>126,</w:t>
            </w:r>
            <w:r w:rsidR="00EB1B04" w:rsidRPr="000324F5">
              <w:rPr>
                <w:rFonts w:ascii="Arial" w:hAnsi="Arial" w:cs="Arial"/>
                <w:color w:val="C00000"/>
                <w:sz w:val="20"/>
                <w:szCs w:val="20"/>
              </w:rPr>
              <w:t>000</w:t>
            </w:r>
          </w:p>
        </w:tc>
        <w:tc>
          <w:tcPr>
            <w:tcW w:w="900" w:type="dxa"/>
            <w:vMerge/>
            <w:vAlign w:val="center"/>
          </w:tcPr>
          <w:p w:rsidR="006863B7" w:rsidRPr="000324F5" w:rsidRDefault="006863B7" w:rsidP="004C229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p>
        </w:tc>
        <w:tc>
          <w:tcPr>
            <w:tcW w:w="1431" w:type="dxa"/>
            <w:vAlign w:val="center"/>
          </w:tcPr>
          <w:p w:rsidR="006863B7" w:rsidRPr="000324F5" w:rsidRDefault="00056A20" w:rsidP="00056A2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C00000"/>
                <w:sz w:val="20"/>
                <w:szCs w:val="20"/>
              </w:rPr>
            </w:pPr>
            <w:r>
              <w:rPr>
                <w:rFonts w:ascii="Arial" w:hAnsi="Arial" w:cs="Arial"/>
                <w:color w:val="C00000"/>
                <w:sz w:val="20"/>
                <w:szCs w:val="20"/>
              </w:rPr>
              <w:t>2100</w:t>
            </w:r>
          </w:p>
        </w:tc>
      </w:tr>
    </w:tbl>
    <w:p w:rsidR="00C82BD1" w:rsidRPr="000324F5" w:rsidRDefault="00C82BD1" w:rsidP="00C82BD1">
      <w:pPr>
        <w:tabs>
          <w:tab w:val="left" w:pos="547"/>
          <w:tab w:val="left" w:pos="1080"/>
          <w:tab w:val="left" w:pos="1627"/>
          <w:tab w:val="left" w:pos="2160"/>
          <w:tab w:val="left" w:pos="2880"/>
        </w:tabs>
        <w:rPr>
          <w:rFonts w:ascii="Arial" w:hAnsi="Arial" w:cs="Arial"/>
          <w:color w:val="C00000"/>
          <w:sz w:val="20"/>
          <w:szCs w:val="20"/>
        </w:rPr>
      </w:pPr>
    </w:p>
    <w:p w:rsidR="00C82BD1" w:rsidRPr="000324F5" w:rsidRDefault="00C82BD1" w:rsidP="00C82BD1">
      <w:pPr>
        <w:tabs>
          <w:tab w:val="left" w:pos="547"/>
          <w:tab w:val="left" w:pos="1080"/>
          <w:tab w:val="left" w:pos="1627"/>
          <w:tab w:val="left" w:pos="2160"/>
          <w:tab w:val="left" w:pos="2880"/>
        </w:tabs>
        <w:rPr>
          <w:rFonts w:ascii="Arial" w:hAnsi="Arial" w:cs="Arial"/>
          <w:color w:val="C00000"/>
          <w:sz w:val="20"/>
          <w:szCs w:val="20"/>
        </w:rPr>
      </w:pPr>
    </w:p>
    <w:p w:rsidR="00C82BD1" w:rsidRPr="000324F5" w:rsidRDefault="00C82BD1" w:rsidP="00C82BD1">
      <w:pPr>
        <w:tabs>
          <w:tab w:val="left" w:pos="547"/>
          <w:tab w:val="left" w:pos="1080"/>
          <w:tab w:val="left" w:pos="1627"/>
          <w:tab w:val="left" w:pos="2160"/>
          <w:tab w:val="left" w:pos="2880"/>
        </w:tabs>
        <w:rPr>
          <w:rFonts w:ascii="Arial" w:hAnsi="Arial" w:cs="Arial"/>
          <w:b/>
          <w:color w:val="C00000"/>
          <w:sz w:val="20"/>
          <w:szCs w:val="20"/>
        </w:rPr>
      </w:pPr>
    </w:p>
    <w:p w:rsidR="00C82BD1" w:rsidRPr="000324F5" w:rsidRDefault="00C82BD1" w:rsidP="00C82BD1">
      <w:pPr>
        <w:tabs>
          <w:tab w:val="left" w:pos="547"/>
          <w:tab w:val="left" w:pos="1080"/>
          <w:tab w:val="left" w:pos="1627"/>
          <w:tab w:val="left" w:pos="2160"/>
          <w:tab w:val="left" w:pos="2880"/>
        </w:tabs>
        <w:rPr>
          <w:rFonts w:ascii="Arial" w:hAnsi="Arial" w:cs="Arial"/>
          <w:b/>
          <w:color w:val="C00000"/>
          <w:sz w:val="20"/>
          <w:szCs w:val="20"/>
        </w:rPr>
      </w:pPr>
    </w:p>
    <w:p w:rsidR="00957A70" w:rsidRPr="000324F5" w:rsidRDefault="00C82BD1" w:rsidP="00C82BD1">
      <w:pPr>
        <w:tabs>
          <w:tab w:val="left" w:pos="547"/>
          <w:tab w:val="left" w:pos="1080"/>
          <w:tab w:val="left" w:pos="1627"/>
          <w:tab w:val="left" w:pos="2160"/>
          <w:tab w:val="left" w:pos="2880"/>
        </w:tabs>
        <w:rPr>
          <w:rFonts w:ascii="Times New Roman" w:eastAsia="Times New Roman" w:hAnsi="Times New Roman" w:cs="Times New Roman"/>
          <w:color w:val="C00000"/>
          <w:sz w:val="24"/>
          <w:szCs w:val="24"/>
        </w:rPr>
      </w:pPr>
      <w:r w:rsidRPr="000324F5">
        <w:rPr>
          <w:b/>
          <w:color w:val="C00000"/>
        </w:rPr>
        <w:tab/>
      </w:r>
    </w:p>
    <w:p w:rsidR="00957A70" w:rsidRPr="00957A70" w:rsidRDefault="00957A70" w:rsidP="00CE4DD4">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ab/>
        <w:t>b.</w:t>
      </w:r>
      <w:r w:rsidRPr="00957A70">
        <w:rPr>
          <w:rFonts w:ascii="Times New Roman" w:eastAsia="Times New Roman" w:hAnsi="Times New Roman" w:cs="Times New Roman"/>
          <w:b/>
          <w:sz w:val="24"/>
          <w:szCs w:val="24"/>
        </w:rPr>
        <w:tab/>
        <w:t xml:space="preserve">If this request for </w:t>
      </w:r>
      <w:r w:rsidRPr="00957A70">
        <w:rPr>
          <w:rFonts w:ascii="Times New Roman" w:eastAsia="Times New Roman" w:hAnsi="Times New Roman" w:cs="Times New Roman"/>
          <w:b/>
          <w:color w:val="000000"/>
          <w:sz w:val="24"/>
          <w:szCs w:val="24"/>
        </w:rPr>
        <w:t>approval covers more than one form, provide separate hour burden estimates for each form and aggregate the hour burdens in Item 13 of</w:t>
      </w:r>
      <w:r w:rsidRPr="00957A70">
        <w:rPr>
          <w:rFonts w:ascii="Times New Roman" w:eastAsia="Times New Roman" w:hAnsi="Times New Roman" w:cs="Times New Roman"/>
          <w:b/>
          <w:sz w:val="24"/>
          <w:szCs w:val="24"/>
        </w:rPr>
        <w:t xml:space="preserve"> OMB 83-I.</w:t>
      </w:r>
    </w:p>
    <w:p w:rsidR="00957A70" w:rsidRDefault="00957A70"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C82BD1" w:rsidRDefault="00C82BD1"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82BD1">
        <w:rPr>
          <w:rFonts w:ascii="Times New Roman" w:eastAsia="Times New Roman" w:hAnsi="Times New Roman" w:cs="Times New Roman"/>
          <w:color w:val="C00000"/>
          <w:sz w:val="24"/>
          <w:szCs w:val="24"/>
        </w:rPr>
        <w:t>See chart in subparagraph 12a above.</w:t>
      </w:r>
    </w:p>
    <w:p w:rsidR="00C82BD1" w:rsidRPr="00957A70" w:rsidRDefault="00C82BD1"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957A70" w:rsidRPr="000F42C9" w:rsidRDefault="00957A70" w:rsidP="000F42C9">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lastRenderedPageBreak/>
        <w:tab/>
        <w:t>c.</w:t>
      </w:r>
      <w:r w:rsidRPr="00957A70">
        <w:rPr>
          <w:rFonts w:ascii="Times New Roman" w:eastAsia="Times New Roman" w:hAnsi="Times New Roman" w:cs="Times New Roman"/>
          <w:b/>
          <w:sz w:val="24"/>
          <w:szCs w:val="24"/>
        </w:rPr>
        <w:tab/>
        <w:t xml:space="preserve">Provide </w:t>
      </w:r>
      <w:r w:rsidRPr="00957A70">
        <w:rPr>
          <w:rFonts w:ascii="Times New Roman" w:eastAsia="Times New Roman" w:hAnsi="Times New Roman" w:cs="Times New Roman"/>
          <w:b/>
          <w:color w:val="000000"/>
          <w:sz w:val="24"/>
          <w:szCs w:val="24"/>
        </w:rPr>
        <w:t>estimates of annual cost to respondents for the hour burdens for collections of information.  The cost of contracting out or paying outside parties</w:t>
      </w:r>
      <w:r w:rsidRPr="00957A70">
        <w:rPr>
          <w:rFonts w:ascii="Times New Roman" w:eastAsia="Times New Roman" w:hAnsi="Times New Roman" w:cs="Times New Roman"/>
          <w:b/>
          <w:sz w:val="24"/>
          <w:szCs w:val="24"/>
        </w:rPr>
        <w:t xml:space="preserve"> for information collection activities should not be included here.  Instead, this cost should be included in Item 14.</w:t>
      </w:r>
    </w:p>
    <w:p w:rsidR="00CE4DD4" w:rsidRPr="00CE4DD4" w:rsidRDefault="00CE4DD4" w:rsidP="00CE4DD4">
      <w:pPr>
        <w:tabs>
          <w:tab w:val="left" w:pos="480"/>
          <w:tab w:val="right" w:pos="8640"/>
        </w:tabs>
        <w:spacing w:after="0" w:line="240" w:lineRule="auto"/>
        <w:ind w:right="684"/>
        <w:rPr>
          <w:rFonts w:ascii="Times New Roman" w:eastAsia="Times New Roman" w:hAnsi="Times New Roman" w:cs="Times New Roman"/>
          <w:sz w:val="24"/>
          <w:szCs w:val="20"/>
        </w:rPr>
      </w:pPr>
    </w:p>
    <w:p w:rsidR="00CE4DD4" w:rsidRPr="00CE4DD4" w:rsidRDefault="00CE4DD4" w:rsidP="00CE4DD4">
      <w:pPr>
        <w:tabs>
          <w:tab w:val="left" w:pos="480"/>
          <w:tab w:val="right" w:pos="8640"/>
        </w:tabs>
        <w:spacing w:after="0" w:line="240" w:lineRule="auto"/>
        <w:ind w:right="684"/>
        <w:rPr>
          <w:rFonts w:ascii="Times New Roman" w:eastAsia="Times New Roman" w:hAnsi="Times New Roman" w:cs="Times New Roman"/>
          <w:sz w:val="24"/>
          <w:szCs w:val="20"/>
        </w:rPr>
      </w:pPr>
      <w:r w:rsidRPr="00CE4DD4">
        <w:rPr>
          <w:rFonts w:ascii="Times New Roman" w:eastAsia="Times New Roman" w:hAnsi="Times New Roman" w:cs="Times New Roman"/>
          <w:sz w:val="24"/>
          <w:szCs w:val="20"/>
        </w:rPr>
        <w:tab/>
      </w:r>
      <w:r w:rsidRPr="00FF7A03">
        <w:rPr>
          <w:rFonts w:ascii="Times New Roman" w:eastAsia="Times New Roman" w:hAnsi="Times New Roman" w:cs="Times New Roman"/>
          <w:color w:val="C00000"/>
          <w:sz w:val="24"/>
          <w:szCs w:val="20"/>
        </w:rPr>
        <w:t>The estimated completion time for</w:t>
      </w:r>
      <w:r w:rsidR="00FF7A03" w:rsidRPr="00FF7A03">
        <w:rPr>
          <w:rFonts w:ascii="Times New Roman" w:eastAsia="Times New Roman" w:hAnsi="Times New Roman" w:cs="Times New Roman"/>
          <w:color w:val="C00000"/>
          <w:sz w:val="24"/>
          <w:szCs w:val="20"/>
        </w:rPr>
        <w:t xml:space="preserve"> the grant application</w:t>
      </w:r>
      <w:r w:rsidR="0051783B">
        <w:rPr>
          <w:rFonts w:ascii="Times New Roman" w:eastAsia="Times New Roman" w:hAnsi="Times New Roman" w:cs="Times New Roman"/>
          <w:color w:val="C00000"/>
          <w:sz w:val="24"/>
          <w:szCs w:val="20"/>
        </w:rPr>
        <w:t>, four</w:t>
      </w:r>
      <w:r w:rsidR="00FF7A03" w:rsidRPr="00FF7A03">
        <w:rPr>
          <w:rFonts w:ascii="Times New Roman" w:eastAsia="Times New Roman" w:hAnsi="Times New Roman" w:cs="Times New Roman"/>
          <w:color w:val="C00000"/>
          <w:sz w:val="24"/>
          <w:szCs w:val="20"/>
        </w:rPr>
        <w:t xml:space="preserve"> quarterly reports</w:t>
      </w:r>
      <w:r w:rsidR="0051783B">
        <w:rPr>
          <w:rFonts w:ascii="Times New Roman" w:eastAsia="Times New Roman" w:hAnsi="Times New Roman" w:cs="Times New Roman"/>
          <w:color w:val="C00000"/>
          <w:sz w:val="24"/>
          <w:szCs w:val="20"/>
        </w:rPr>
        <w:t xml:space="preserve">, </w:t>
      </w:r>
      <w:r w:rsidR="00FF7A03" w:rsidRPr="00FF7A03">
        <w:rPr>
          <w:rFonts w:ascii="Times New Roman" w:eastAsia="Times New Roman" w:hAnsi="Times New Roman" w:cs="Times New Roman"/>
          <w:color w:val="C00000"/>
          <w:sz w:val="24"/>
          <w:szCs w:val="20"/>
        </w:rPr>
        <w:t xml:space="preserve">annual report and final report </w:t>
      </w:r>
      <w:r w:rsidR="002E30A0">
        <w:rPr>
          <w:rFonts w:ascii="Times New Roman" w:eastAsia="Times New Roman" w:hAnsi="Times New Roman" w:cs="Times New Roman"/>
          <w:color w:val="C00000"/>
          <w:sz w:val="24"/>
          <w:szCs w:val="20"/>
        </w:rPr>
        <w:t>(120 minutes</w:t>
      </w:r>
      <w:r w:rsidR="0051783B">
        <w:rPr>
          <w:rFonts w:ascii="Times New Roman" w:eastAsia="Times New Roman" w:hAnsi="Times New Roman" w:cs="Times New Roman"/>
          <w:color w:val="C00000"/>
          <w:sz w:val="24"/>
          <w:szCs w:val="20"/>
        </w:rPr>
        <w:t xml:space="preserve"> average</w:t>
      </w:r>
      <w:r w:rsidR="00FF7A03" w:rsidRPr="00FF7A03">
        <w:rPr>
          <w:rFonts w:ascii="Times New Roman" w:eastAsia="Times New Roman" w:hAnsi="Times New Roman" w:cs="Times New Roman"/>
          <w:color w:val="C00000"/>
          <w:sz w:val="24"/>
          <w:szCs w:val="20"/>
        </w:rPr>
        <w:t xml:space="preserve">) is </w:t>
      </w:r>
      <w:r w:rsidR="0051783B">
        <w:rPr>
          <w:rFonts w:ascii="Times New Roman" w:eastAsia="Times New Roman" w:hAnsi="Times New Roman" w:cs="Times New Roman"/>
          <w:color w:val="C00000"/>
          <w:sz w:val="24"/>
          <w:szCs w:val="20"/>
        </w:rPr>
        <w:t>14</w:t>
      </w:r>
      <w:r w:rsidR="00FF7A03" w:rsidRPr="00FF7A03">
        <w:rPr>
          <w:rFonts w:ascii="Times New Roman" w:eastAsia="Times New Roman" w:hAnsi="Times New Roman" w:cs="Times New Roman"/>
          <w:color w:val="C00000"/>
          <w:sz w:val="24"/>
          <w:szCs w:val="20"/>
        </w:rPr>
        <w:t xml:space="preserve"> hours</w:t>
      </w:r>
      <w:r w:rsidR="0051783B">
        <w:rPr>
          <w:rFonts w:ascii="Times New Roman" w:eastAsia="Times New Roman" w:hAnsi="Times New Roman" w:cs="Times New Roman"/>
          <w:color w:val="C00000"/>
          <w:sz w:val="24"/>
          <w:szCs w:val="20"/>
        </w:rPr>
        <w:t xml:space="preserve"> (840</w:t>
      </w:r>
      <w:r w:rsidR="002E30A0">
        <w:rPr>
          <w:rFonts w:ascii="Times New Roman" w:eastAsia="Times New Roman" w:hAnsi="Times New Roman" w:cs="Times New Roman"/>
          <w:color w:val="C00000"/>
          <w:sz w:val="24"/>
          <w:szCs w:val="20"/>
        </w:rPr>
        <w:t xml:space="preserve"> minutes)</w:t>
      </w:r>
      <w:r w:rsidR="00FF7A03" w:rsidRPr="00FF7A03">
        <w:rPr>
          <w:rFonts w:ascii="Times New Roman" w:eastAsia="Times New Roman" w:hAnsi="Times New Roman" w:cs="Times New Roman"/>
          <w:color w:val="C00000"/>
          <w:sz w:val="24"/>
          <w:szCs w:val="20"/>
        </w:rPr>
        <w:t xml:space="preserve">.  </w:t>
      </w:r>
      <w:r w:rsidRPr="00FF7A03">
        <w:rPr>
          <w:rFonts w:ascii="Times New Roman" w:eastAsia="Times New Roman" w:hAnsi="Times New Roman" w:cs="Times New Roman"/>
          <w:color w:val="C00000"/>
          <w:sz w:val="24"/>
          <w:szCs w:val="20"/>
        </w:rPr>
        <w:tab/>
      </w:r>
      <w:r w:rsidRPr="00FF7A03">
        <w:rPr>
          <w:rFonts w:ascii="Times New Roman" w:eastAsia="Times New Roman" w:hAnsi="Times New Roman" w:cs="Times New Roman"/>
          <w:color w:val="C00000"/>
          <w:sz w:val="24"/>
          <w:szCs w:val="24"/>
        </w:rPr>
        <w:t xml:space="preserve">According to the U.S. Bureau of Labor Statistics Average Hourly Earnings, the cost to the respondent is $24, making the total cost to the respondents an estimated </w:t>
      </w:r>
      <w:r w:rsidRPr="00FF7A03">
        <w:rPr>
          <w:rFonts w:ascii="Times New Roman" w:eastAsia="Times New Roman" w:hAnsi="Times New Roman" w:cs="Times New Roman"/>
          <w:color w:val="C00000"/>
          <w:sz w:val="24"/>
          <w:szCs w:val="20"/>
        </w:rPr>
        <w:t>$</w:t>
      </w:r>
      <w:r w:rsidR="0051783B">
        <w:rPr>
          <w:rFonts w:ascii="Times New Roman" w:eastAsia="Times New Roman" w:hAnsi="Times New Roman" w:cs="Times New Roman"/>
          <w:color w:val="C00000"/>
          <w:sz w:val="24"/>
          <w:szCs w:val="20"/>
        </w:rPr>
        <w:t>336</w:t>
      </w:r>
      <w:r w:rsidR="002E30A0">
        <w:rPr>
          <w:rFonts w:ascii="Times New Roman" w:eastAsia="Times New Roman" w:hAnsi="Times New Roman" w:cs="Times New Roman"/>
          <w:color w:val="C00000"/>
          <w:sz w:val="24"/>
          <w:szCs w:val="20"/>
        </w:rPr>
        <w:t xml:space="preserve"> </w:t>
      </w:r>
      <w:r w:rsidRPr="00FF7A03">
        <w:rPr>
          <w:rFonts w:ascii="Times New Roman" w:eastAsia="Times New Roman" w:hAnsi="Times New Roman" w:cs="Times New Roman"/>
          <w:color w:val="C00000"/>
          <w:sz w:val="24"/>
          <w:szCs w:val="20"/>
        </w:rPr>
        <w:t>(</w:t>
      </w:r>
      <w:r w:rsidR="0051783B">
        <w:rPr>
          <w:rFonts w:ascii="Times New Roman" w:eastAsia="Times New Roman" w:hAnsi="Times New Roman" w:cs="Times New Roman"/>
          <w:color w:val="C00000"/>
          <w:sz w:val="24"/>
          <w:szCs w:val="20"/>
        </w:rPr>
        <w:t>14</w:t>
      </w:r>
      <w:r w:rsidRPr="00FF7A03">
        <w:rPr>
          <w:rFonts w:ascii="Times New Roman" w:eastAsia="Times New Roman" w:hAnsi="Times New Roman" w:cs="Times New Roman"/>
          <w:color w:val="C00000"/>
          <w:sz w:val="24"/>
          <w:szCs w:val="20"/>
        </w:rPr>
        <w:t xml:space="preserve"> hours x $24 per hour).</w:t>
      </w:r>
    </w:p>
    <w:p w:rsidR="00CE4DD4" w:rsidRDefault="00CE4DD4"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FF0000"/>
          <w:sz w:val="24"/>
          <w:szCs w:val="24"/>
        </w:rPr>
      </w:pPr>
    </w:p>
    <w:p w:rsidR="00CE4DD4" w:rsidRPr="00957A70" w:rsidRDefault="00CE4DD4" w:rsidP="00957A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957A70" w:rsidRPr="00957A70" w:rsidRDefault="00957A70" w:rsidP="000F42C9">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13.</w:t>
      </w:r>
      <w:r w:rsidRPr="00957A70">
        <w:rPr>
          <w:rFonts w:ascii="Times New Roman" w:eastAsia="Times New Roman" w:hAnsi="Times New Roman" w:cs="Times New Roman"/>
          <w:b/>
          <w:sz w:val="24"/>
          <w:szCs w:val="20"/>
        </w:rPr>
        <w:tab/>
        <w:t xml:space="preserve">Provide an estimate of the total annual cost burden to respondents or </w:t>
      </w:r>
      <w:proofErr w:type="spellStart"/>
      <w:r w:rsidRPr="00957A70">
        <w:rPr>
          <w:rFonts w:ascii="Times New Roman" w:eastAsia="Times New Roman" w:hAnsi="Times New Roman" w:cs="Times New Roman"/>
          <w:b/>
          <w:sz w:val="24"/>
          <w:szCs w:val="20"/>
        </w:rPr>
        <w:t>recordkeepers</w:t>
      </w:r>
      <w:proofErr w:type="spellEnd"/>
      <w:r w:rsidRPr="00957A70">
        <w:rPr>
          <w:rFonts w:ascii="Times New Roman" w:eastAsia="Times New Roman" w:hAnsi="Times New Roman" w:cs="Times New Roman"/>
          <w:b/>
          <w:sz w:val="24"/>
          <w:szCs w:val="20"/>
        </w:rPr>
        <w:t xml:space="preserve"> resulting from the collection of information.  (Do not include the cost of any hour burden shown in Items 12 and 14).</w:t>
      </w:r>
      <w:bookmarkStart w:id="0" w:name="_GoBack"/>
      <w:bookmarkEnd w:id="0"/>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CD2907" w:rsidRPr="00CD2907" w:rsidRDefault="00CD2907"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2907">
        <w:rPr>
          <w:rFonts w:ascii="Times New Roman" w:hAnsi="Times New Roman" w:cs="Times New Roman"/>
          <w:color w:val="C00000"/>
          <w:sz w:val="24"/>
          <w:szCs w:val="24"/>
        </w:rPr>
        <w:t>There is no anticipated recordkeeping burden.</w:t>
      </w:r>
    </w:p>
    <w:p w:rsidR="00CD2907" w:rsidRPr="00957A70" w:rsidRDefault="00CD2907"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14.</w:t>
      </w:r>
      <w:r w:rsidRPr="00957A70">
        <w:rPr>
          <w:rFonts w:ascii="Times New Roman" w:eastAsia="Times New Roman" w:hAnsi="Times New Roman" w:cs="Times New Roman"/>
          <w:b/>
          <w:sz w:val="24"/>
          <w:szCs w:val="20"/>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312D0" w:rsidRDefault="009312D0" w:rsidP="00EB1B04">
      <w:pPr>
        <w:tabs>
          <w:tab w:val="left" w:pos="547"/>
          <w:tab w:val="left" w:pos="1080"/>
          <w:tab w:val="left" w:pos="1627"/>
          <w:tab w:val="left" w:pos="2160"/>
          <w:tab w:val="left" w:pos="2880"/>
        </w:tabs>
        <w:rPr>
          <w:rFonts w:ascii="Times New Roman" w:eastAsia="Times New Roman" w:hAnsi="Times New Roman" w:cs="Times New Roman"/>
          <w:color w:val="FF0000"/>
          <w:sz w:val="24"/>
          <w:szCs w:val="24"/>
        </w:rPr>
      </w:pPr>
    </w:p>
    <w:p w:rsidR="00EB1B04" w:rsidRPr="00F65062" w:rsidRDefault="00EB1B04" w:rsidP="00EB1B04">
      <w:pPr>
        <w:rPr>
          <w:rFonts w:ascii="Times New Roman" w:hAnsi="Times New Roman" w:cs="Times New Roman"/>
          <w:color w:val="C00000"/>
        </w:rPr>
      </w:pPr>
      <w:r w:rsidRPr="00F65A0E">
        <w:rPr>
          <w:rFonts w:ascii="Arial" w:hAnsi="Arial" w:cs="Arial"/>
          <w:color w:val="C00000"/>
        </w:rPr>
        <w:tab/>
      </w:r>
      <w:r w:rsidR="009312D0" w:rsidRPr="00F65062">
        <w:rPr>
          <w:rFonts w:ascii="Times New Roman" w:hAnsi="Times New Roman" w:cs="Times New Roman"/>
          <w:color w:val="C00000"/>
        </w:rPr>
        <w:t>38 USC 521A s</w:t>
      </w:r>
      <w:r w:rsidRPr="00F65062">
        <w:rPr>
          <w:rFonts w:ascii="Times New Roman" w:hAnsi="Times New Roman" w:cs="Times New Roman"/>
          <w:color w:val="C00000"/>
        </w:rPr>
        <w:t xml:space="preserve">tates that there is </w:t>
      </w:r>
      <w:r w:rsidR="009312D0" w:rsidRPr="00F65062">
        <w:rPr>
          <w:rFonts w:ascii="Times New Roman" w:hAnsi="Times New Roman" w:cs="Times New Roman"/>
          <w:color w:val="C00000"/>
        </w:rPr>
        <w:t>authorized to be appropriated $8</w:t>
      </w:r>
      <w:r w:rsidRPr="00F65062">
        <w:rPr>
          <w:rFonts w:ascii="Times New Roman" w:hAnsi="Times New Roman" w:cs="Times New Roman"/>
          <w:color w:val="C00000"/>
        </w:rPr>
        <w:t>,000,000 for each of fiscal years 201</w:t>
      </w:r>
      <w:r w:rsidR="009312D0" w:rsidRPr="00F65062">
        <w:rPr>
          <w:rFonts w:ascii="Times New Roman" w:hAnsi="Times New Roman" w:cs="Times New Roman"/>
          <w:color w:val="C00000"/>
        </w:rPr>
        <w:t>4</w:t>
      </w:r>
      <w:r w:rsidRPr="00F65062">
        <w:rPr>
          <w:rFonts w:ascii="Times New Roman" w:hAnsi="Times New Roman" w:cs="Times New Roman"/>
          <w:color w:val="C00000"/>
        </w:rPr>
        <w:t xml:space="preserve"> through 201</w:t>
      </w:r>
      <w:r w:rsidR="009312D0" w:rsidRPr="00F65062">
        <w:rPr>
          <w:rFonts w:ascii="Times New Roman" w:hAnsi="Times New Roman" w:cs="Times New Roman"/>
          <w:color w:val="C00000"/>
        </w:rPr>
        <w:t>5</w:t>
      </w:r>
      <w:r w:rsidRPr="00F65062">
        <w:rPr>
          <w:rFonts w:ascii="Times New Roman" w:hAnsi="Times New Roman" w:cs="Times New Roman"/>
          <w:color w:val="C00000"/>
        </w:rPr>
        <w:t xml:space="preserve"> to carry out this program.  Based on projected administrative costs and the number of grants to be funded, the Grants for Transportation of Veterans in Highly Rural Areas program would cost as follows: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1656"/>
        <w:gridCol w:w="1655"/>
        <w:gridCol w:w="1655"/>
        <w:gridCol w:w="1655"/>
        <w:gridCol w:w="1655"/>
      </w:tblGrid>
      <w:tr w:rsidR="00F65A0E" w:rsidRPr="00F65A0E" w:rsidTr="00EB1B04">
        <w:trPr>
          <w:trHeight w:val="665"/>
        </w:trPr>
        <w:tc>
          <w:tcPr>
            <w:tcW w:w="1189"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Fiscal Year</w:t>
            </w:r>
          </w:p>
        </w:tc>
        <w:tc>
          <w:tcPr>
            <w:tcW w:w="1656"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FTE Cost (GS 13/2)</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Space/IT Cost</w:t>
            </w:r>
          </w:p>
          <w:p w:rsidR="00EB1B04" w:rsidRPr="00F65A0E" w:rsidRDefault="00EB1B04" w:rsidP="004C2291">
            <w:pPr>
              <w:tabs>
                <w:tab w:val="left" w:pos="1340"/>
              </w:tabs>
              <w:rPr>
                <w:color w:val="C00000"/>
                <w:sz w:val="20"/>
                <w:szCs w:val="20"/>
              </w:rPr>
            </w:pP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Other Costs</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Grant Funds to be Awarded</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b/>
                <w:color w:val="C00000"/>
                <w:sz w:val="20"/>
                <w:szCs w:val="20"/>
              </w:rPr>
            </w:pPr>
            <w:r w:rsidRPr="00F65A0E">
              <w:rPr>
                <w:b/>
                <w:color w:val="C00000"/>
                <w:sz w:val="20"/>
                <w:szCs w:val="20"/>
              </w:rPr>
              <w:t>Total</w:t>
            </w:r>
          </w:p>
        </w:tc>
      </w:tr>
      <w:tr w:rsidR="00F65A0E" w:rsidRPr="00F65A0E" w:rsidTr="00EB1B04">
        <w:tc>
          <w:tcPr>
            <w:tcW w:w="1189"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color w:val="C00000"/>
              </w:rPr>
            </w:pPr>
            <w:r w:rsidRPr="00F65A0E">
              <w:rPr>
                <w:color w:val="C00000"/>
              </w:rPr>
              <w:t>2014</w:t>
            </w:r>
          </w:p>
        </w:tc>
        <w:tc>
          <w:tcPr>
            <w:tcW w:w="1656"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color w:val="C00000"/>
              </w:rPr>
            </w:pPr>
            <w:r w:rsidRPr="00F65A0E">
              <w:rPr>
                <w:color w:val="C00000"/>
              </w:rPr>
              <w:t>$128,050</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color w:val="C00000"/>
              </w:rPr>
            </w:pPr>
            <w:r w:rsidRPr="00F65A0E">
              <w:rPr>
                <w:color w:val="C00000"/>
              </w:rPr>
              <w:t>$10,000</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4C2291">
            <w:pPr>
              <w:jc w:val="center"/>
              <w:rPr>
                <w:color w:val="C00000"/>
              </w:rPr>
            </w:pPr>
            <w:r w:rsidRPr="00F65A0E">
              <w:rPr>
                <w:color w:val="C00000"/>
              </w:rPr>
              <w:t>$115,000</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EB1B04" w:rsidP="009312D0">
            <w:pPr>
              <w:jc w:val="center"/>
              <w:rPr>
                <w:color w:val="C00000"/>
              </w:rPr>
            </w:pPr>
            <w:r w:rsidRPr="00F65A0E">
              <w:rPr>
                <w:color w:val="C00000"/>
              </w:rPr>
              <w:t>$</w:t>
            </w:r>
            <w:r w:rsidR="009312D0" w:rsidRPr="00F65A0E">
              <w:rPr>
                <w:color w:val="C00000"/>
              </w:rPr>
              <w:t>8,000,</w:t>
            </w:r>
            <w:r w:rsidRPr="00F65A0E">
              <w:rPr>
                <w:color w:val="C00000"/>
              </w:rPr>
              <w:t>000</w:t>
            </w:r>
          </w:p>
        </w:tc>
        <w:tc>
          <w:tcPr>
            <w:tcW w:w="1655" w:type="dxa"/>
            <w:tcBorders>
              <w:top w:val="single" w:sz="4" w:space="0" w:color="auto"/>
              <w:left w:val="single" w:sz="4" w:space="0" w:color="auto"/>
              <w:bottom w:val="single" w:sz="4" w:space="0" w:color="auto"/>
              <w:right w:val="single" w:sz="4" w:space="0" w:color="auto"/>
            </w:tcBorders>
            <w:hideMark/>
          </w:tcPr>
          <w:p w:rsidR="00EB1B04" w:rsidRPr="00F65A0E" w:rsidRDefault="009312D0" w:rsidP="009312D0">
            <w:pPr>
              <w:jc w:val="center"/>
              <w:rPr>
                <w:color w:val="C00000"/>
              </w:rPr>
            </w:pPr>
            <w:r w:rsidRPr="00F65A0E">
              <w:rPr>
                <w:color w:val="C00000"/>
              </w:rPr>
              <w:t>$8</w:t>
            </w:r>
            <w:r w:rsidR="00EB1B04" w:rsidRPr="00F65A0E">
              <w:rPr>
                <w:color w:val="C00000"/>
              </w:rPr>
              <w:t>,</w:t>
            </w:r>
            <w:r w:rsidRPr="00F65A0E">
              <w:rPr>
                <w:color w:val="C00000"/>
              </w:rPr>
              <w:t>253</w:t>
            </w:r>
            <w:r w:rsidR="00EB1B04" w:rsidRPr="00F65A0E">
              <w:rPr>
                <w:color w:val="C00000"/>
              </w:rPr>
              <w:t>,</w:t>
            </w:r>
            <w:r w:rsidRPr="00F65A0E">
              <w:rPr>
                <w:color w:val="C00000"/>
              </w:rPr>
              <w:t>050</w:t>
            </w:r>
          </w:p>
        </w:tc>
      </w:tr>
      <w:tr w:rsidR="009312D0" w:rsidRPr="00F65A0E" w:rsidTr="00EB1B04">
        <w:tc>
          <w:tcPr>
            <w:tcW w:w="1189" w:type="dxa"/>
            <w:tcBorders>
              <w:top w:val="single" w:sz="4" w:space="0" w:color="auto"/>
              <w:left w:val="single" w:sz="4" w:space="0" w:color="auto"/>
              <w:bottom w:val="single" w:sz="4" w:space="0" w:color="auto"/>
              <w:right w:val="single" w:sz="4" w:space="0" w:color="auto"/>
            </w:tcBorders>
          </w:tcPr>
          <w:p w:rsidR="009312D0" w:rsidRPr="00F65A0E" w:rsidRDefault="009312D0" w:rsidP="004C2291">
            <w:pPr>
              <w:jc w:val="center"/>
              <w:rPr>
                <w:color w:val="C00000"/>
              </w:rPr>
            </w:pPr>
            <w:r w:rsidRPr="00F65A0E">
              <w:rPr>
                <w:color w:val="C00000"/>
              </w:rPr>
              <w:t>2015</w:t>
            </w:r>
          </w:p>
        </w:tc>
        <w:tc>
          <w:tcPr>
            <w:tcW w:w="1656" w:type="dxa"/>
            <w:tcBorders>
              <w:top w:val="single" w:sz="4" w:space="0" w:color="auto"/>
              <w:left w:val="single" w:sz="4" w:space="0" w:color="auto"/>
              <w:bottom w:val="single" w:sz="4" w:space="0" w:color="auto"/>
              <w:right w:val="single" w:sz="4" w:space="0" w:color="auto"/>
            </w:tcBorders>
          </w:tcPr>
          <w:p w:rsidR="009312D0" w:rsidRPr="00F65A0E" w:rsidRDefault="009312D0" w:rsidP="004C2291">
            <w:pPr>
              <w:jc w:val="center"/>
              <w:rPr>
                <w:color w:val="C00000"/>
              </w:rPr>
            </w:pPr>
            <w:r w:rsidRPr="00F65A0E">
              <w:rPr>
                <w:color w:val="C00000"/>
              </w:rPr>
              <w:t>$133,673</w:t>
            </w:r>
          </w:p>
        </w:tc>
        <w:tc>
          <w:tcPr>
            <w:tcW w:w="1655" w:type="dxa"/>
            <w:tcBorders>
              <w:top w:val="single" w:sz="4" w:space="0" w:color="auto"/>
              <w:left w:val="single" w:sz="4" w:space="0" w:color="auto"/>
              <w:bottom w:val="single" w:sz="4" w:space="0" w:color="auto"/>
              <w:right w:val="single" w:sz="4" w:space="0" w:color="auto"/>
            </w:tcBorders>
          </w:tcPr>
          <w:p w:rsidR="009312D0" w:rsidRPr="00F65A0E" w:rsidRDefault="009312D0" w:rsidP="004C2291">
            <w:pPr>
              <w:jc w:val="center"/>
              <w:rPr>
                <w:color w:val="C00000"/>
              </w:rPr>
            </w:pPr>
            <w:r w:rsidRPr="00F65A0E">
              <w:rPr>
                <w:color w:val="C00000"/>
              </w:rPr>
              <w:t>$10,000</w:t>
            </w:r>
          </w:p>
        </w:tc>
        <w:tc>
          <w:tcPr>
            <w:tcW w:w="1655" w:type="dxa"/>
            <w:tcBorders>
              <w:top w:val="single" w:sz="4" w:space="0" w:color="auto"/>
              <w:left w:val="single" w:sz="4" w:space="0" w:color="auto"/>
              <w:bottom w:val="single" w:sz="4" w:space="0" w:color="auto"/>
              <w:right w:val="single" w:sz="4" w:space="0" w:color="auto"/>
            </w:tcBorders>
          </w:tcPr>
          <w:p w:rsidR="009312D0" w:rsidRPr="00F65A0E" w:rsidRDefault="009312D0" w:rsidP="004C2291">
            <w:pPr>
              <w:jc w:val="center"/>
              <w:rPr>
                <w:color w:val="C00000"/>
              </w:rPr>
            </w:pPr>
            <w:r w:rsidRPr="00F65A0E">
              <w:rPr>
                <w:color w:val="C00000"/>
              </w:rPr>
              <w:t>$115,000</w:t>
            </w:r>
          </w:p>
        </w:tc>
        <w:tc>
          <w:tcPr>
            <w:tcW w:w="1655" w:type="dxa"/>
            <w:tcBorders>
              <w:top w:val="single" w:sz="4" w:space="0" w:color="auto"/>
              <w:left w:val="single" w:sz="4" w:space="0" w:color="auto"/>
              <w:bottom w:val="single" w:sz="4" w:space="0" w:color="auto"/>
              <w:right w:val="single" w:sz="4" w:space="0" w:color="auto"/>
            </w:tcBorders>
          </w:tcPr>
          <w:p w:rsidR="009312D0" w:rsidRPr="00F65A0E" w:rsidRDefault="009312D0" w:rsidP="009312D0">
            <w:pPr>
              <w:jc w:val="center"/>
              <w:rPr>
                <w:color w:val="C00000"/>
              </w:rPr>
            </w:pPr>
            <w:r w:rsidRPr="00F65A0E">
              <w:rPr>
                <w:color w:val="C00000"/>
              </w:rPr>
              <w:t>$8,000,000</w:t>
            </w:r>
          </w:p>
        </w:tc>
        <w:tc>
          <w:tcPr>
            <w:tcW w:w="1655" w:type="dxa"/>
            <w:tcBorders>
              <w:top w:val="single" w:sz="4" w:space="0" w:color="auto"/>
              <w:left w:val="single" w:sz="4" w:space="0" w:color="auto"/>
              <w:bottom w:val="single" w:sz="4" w:space="0" w:color="auto"/>
              <w:right w:val="single" w:sz="4" w:space="0" w:color="auto"/>
            </w:tcBorders>
          </w:tcPr>
          <w:p w:rsidR="009312D0" w:rsidRPr="00F65A0E" w:rsidRDefault="009312D0" w:rsidP="004C2291">
            <w:pPr>
              <w:jc w:val="center"/>
              <w:rPr>
                <w:color w:val="C00000"/>
              </w:rPr>
            </w:pPr>
            <w:r w:rsidRPr="00F65A0E">
              <w:rPr>
                <w:color w:val="C00000"/>
              </w:rPr>
              <w:t>$8,258,673</w:t>
            </w:r>
          </w:p>
        </w:tc>
      </w:tr>
    </w:tbl>
    <w:p w:rsidR="00EB1B04" w:rsidRPr="00F65A0E" w:rsidRDefault="00EB1B04" w:rsidP="00EB1B04">
      <w:pPr>
        <w:rPr>
          <w:color w:val="C00000"/>
        </w:rPr>
      </w:pP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t>FTE Cost</w:t>
      </w: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t>FTE cost is based on one (1) GS-13/2 with a salary rate of $</w:t>
      </w:r>
      <w:r w:rsidR="009312D0" w:rsidRPr="00F65A0E">
        <w:rPr>
          <w:rFonts w:ascii="Times New Roman" w:hAnsi="Times New Roman" w:cs="Times New Roman"/>
          <w:color w:val="C00000"/>
        </w:rPr>
        <w:t>95</w:t>
      </w:r>
      <w:r w:rsidRPr="00F65A0E">
        <w:rPr>
          <w:rFonts w:ascii="Times New Roman" w:hAnsi="Times New Roman" w:cs="Times New Roman"/>
          <w:color w:val="C00000"/>
        </w:rPr>
        <w:t>,</w:t>
      </w:r>
      <w:r w:rsidR="009312D0" w:rsidRPr="00F65A0E">
        <w:rPr>
          <w:rFonts w:ascii="Times New Roman" w:hAnsi="Times New Roman" w:cs="Times New Roman"/>
          <w:color w:val="C00000"/>
        </w:rPr>
        <w:t>919</w:t>
      </w:r>
      <w:r w:rsidRPr="00F65A0E">
        <w:rPr>
          <w:rFonts w:ascii="Times New Roman" w:hAnsi="Times New Roman" w:cs="Times New Roman"/>
          <w:color w:val="C00000"/>
        </w:rPr>
        <w:t xml:space="preserve"> + 34% for benefits for a total of $1</w:t>
      </w:r>
      <w:r w:rsidR="009312D0" w:rsidRPr="00F65A0E">
        <w:rPr>
          <w:rFonts w:ascii="Times New Roman" w:hAnsi="Times New Roman" w:cs="Times New Roman"/>
          <w:color w:val="C00000"/>
        </w:rPr>
        <w:t>2</w:t>
      </w:r>
      <w:r w:rsidRPr="00F65A0E">
        <w:rPr>
          <w:rFonts w:ascii="Times New Roman" w:hAnsi="Times New Roman" w:cs="Times New Roman"/>
          <w:color w:val="C00000"/>
        </w:rPr>
        <w:t>8,</w:t>
      </w:r>
      <w:r w:rsidR="009312D0" w:rsidRPr="00F65A0E">
        <w:rPr>
          <w:rFonts w:ascii="Times New Roman" w:hAnsi="Times New Roman" w:cs="Times New Roman"/>
          <w:color w:val="C00000"/>
        </w:rPr>
        <w:t>531</w:t>
      </w:r>
      <w:r w:rsidRPr="00F65A0E">
        <w:rPr>
          <w:rFonts w:ascii="Times New Roman" w:hAnsi="Times New Roman" w:cs="Times New Roman"/>
          <w:color w:val="C00000"/>
        </w:rPr>
        <w:t>.  A 4% inflation rate was applied to the FTE Cost for FY201</w:t>
      </w:r>
      <w:r w:rsidR="009312D0" w:rsidRPr="00F65A0E">
        <w:rPr>
          <w:rFonts w:ascii="Times New Roman" w:hAnsi="Times New Roman" w:cs="Times New Roman"/>
          <w:color w:val="C00000"/>
        </w:rPr>
        <w:t>5</w:t>
      </w:r>
      <w:r w:rsidRPr="00F65A0E">
        <w:rPr>
          <w:rFonts w:ascii="Times New Roman" w:hAnsi="Times New Roman" w:cs="Times New Roman"/>
          <w:color w:val="C00000"/>
        </w:rPr>
        <w:t xml:space="preserve">.  The purpose of this position is to serve as the National Program Coordinator for the </w:t>
      </w:r>
      <w:r w:rsidR="009312D0" w:rsidRPr="00F65A0E">
        <w:rPr>
          <w:rFonts w:ascii="Times New Roman" w:hAnsi="Times New Roman" w:cs="Times New Roman"/>
          <w:color w:val="C00000"/>
        </w:rPr>
        <w:t xml:space="preserve">Grants for Adaptive Sports Programs for Disabled Veterans and Members of the Armed Forces </w:t>
      </w:r>
      <w:r w:rsidRPr="00F65A0E">
        <w:rPr>
          <w:rFonts w:ascii="Times New Roman" w:hAnsi="Times New Roman" w:cs="Times New Roman"/>
          <w:color w:val="C00000"/>
        </w:rPr>
        <w:t xml:space="preserve">program and is dedicated to maintaining and improving </w:t>
      </w:r>
      <w:r w:rsidR="009312D0" w:rsidRPr="00F65A0E">
        <w:rPr>
          <w:rFonts w:ascii="Times New Roman" w:hAnsi="Times New Roman" w:cs="Times New Roman"/>
          <w:color w:val="C00000"/>
        </w:rPr>
        <w:t xml:space="preserve">adaptive sports opportunities </w:t>
      </w:r>
      <w:r w:rsidRPr="00F65A0E">
        <w:rPr>
          <w:rFonts w:ascii="Times New Roman" w:hAnsi="Times New Roman" w:cs="Times New Roman"/>
          <w:color w:val="C00000"/>
        </w:rPr>
        <w:t xml:space="preserve">for </w:t>
      </w:r>
      <w:r w:rsidR="009312D0" w:rsidRPr="00F65A0E">
        <w:rPr>
          <w:rFonts w:ascii="Times New Roman" w:hAnsi="Times New Roman" w:cs="Times New Roman"/>
          <w:color w:val="C00000"/>
        </w:rPr>
        <w:t xml:space="preserve">disabled </w:t>
      </w:r>
      <w:r w:rsidRPr="00F65A0E">
        <w:rPr>
          <w:rFonts w:ascii="Times New Roman" w:hAnsi="Times New Roman" w:cs="Times New Roman"/>
          <w:color w:val="C00000"/>
        </w:rPr>
        <w:t>Veterans</w:t>
      </w:r>
      <w:r w:rsidR="009312D0" w:rsidRPr="00F65A0E">
        <w:rPr>
          <w:rFonts w:ascii="Times New Roman" w:hAnsi="Times New Roman" w:cs="Times New Roman"/>
          <w:color w:val="C00000"/>
        </w:rPr>
        <w:t xml:space="preserve"> and members of the Armed Forces</w:t>
      </w:r>
      <w:r w:rsidRPr="00F65A0E">
        <w:rPr>
          <w:rFonts w:ascii="Times New Roman" w:hAnsi="Times New Roman" w:cs="Times New Roman"/>
          <w:color w:val="C00000"/>
        </w:rPr>
        <w:t xml:space="preserve"> through </w:t>
      </w:r>
      <w:r w:rsidR="009312D0" w:rsidRPr="00F65A0E">
        <w:rPr>
          <w:rFonts w:ascii="Times New Roman" w:hAnsi="Times New Roman" w:cs="Times New Roman"/>
          <w:color w:val="C00000"/>
        </w:rPr>
        <w:t>adaptive sports programs</w:t>
      </w:r>
      <w:r w:rsidRPr="00F65A0E">
        <w:rPr>
          <w:rFonts w:ascii="Times New Roman" w:hAnsi="Times New Roman" w:cs="Times New Roman"/>
          <w:color w:val="C00000"/>
        </w:rPr>
        <w:t xml:space="preserve">.  The Program Coordinator will work directly with the </w:t>
      </w:r>
      <w:r w:rsidR="00F65A0E" w:rsidRPr="00F65A0E">
        <w:rPr>
          <w:rFonts w:ascii="Times New Roman" w:hAnsi="Times New Roman" w:cs="Times New Roman"/>
          <w:color w:val="C00000"/>
        </w:rPr>
        <w:t xml:space="preserve">Director of National Veterans Sports Programs and Special Events, Department of Defense adaptive sports programs, the United States Olympic Committee, National Governing Bodies, </w:t>
      </w:r>
      <w:r w:rsidRPr="00F65A0E">
        <w:rPr>
          <w:rFonts w:ascii="Times New Roman" w:hAnsi="Times New Roman" w:cs="Times New Roman"/>
          <w:color w:val="C00000"/>
        </w:rPr>
        <w:t xml:space="preserve">Veterans Service Organizations, </w:t>
      </w:r>
      <w:r w:rsidR="00F65A0E" w:rsidRPr="00F65A0E">
        <w:rPr>
          <w:rFonts w:ascii="Times New Roman" w:hAnsi="Times New Roman" w:cs="Times New Roman"/>
          <w:color w:val="C00000"/>
        </w:rPr>
        <w:t xml:space="preserve">adaptive sports entities, and </w:t>
      </w:r>
      <w:r w:rsidRPr="00F65A0E">
        <w:rPr>
          <w:rFonts w:ascii="Times New Roman" w:hAnsi="Times New Roman" w:cs="Times New Roman"/>
          <w:color w:val="C00000"/>
        </w:rPr>
        <w:t xml:space="preserve">field staff to guide implementation and administration of the </w:t>
      </w:r>
      <w:r w:rsidR="00F65A0E" w:rsidRPr="00F65A0E">
        <w:rPr>
          <w:rFonts w:ascii="Times New Roman" w:hAnsi="Times New Roman" w:cs="Times New Roman"/>
          <w:color w:val="C00000"/>
        </w:rPr>
        <w:t xml:space="preserve">Grants for Adaptive Sports Programs for Disabled Veterans and Members of the Armed Forces </w:t>
      </w:r>
      <w:r w:rsidRPr="00F65A0E">
        <w:rPr>
          <w:rFonts w:ascii="Times New Roman" w:hAnsi="Times New Roman" w:cs="Times New Roman"/>
          <w:color w:val="C00000"/>
        </w:rPr>
        <w:t>program.</w:t>
      </w: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t>Space/IT Cost</w:t>
      </w: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lastRenderedPageBreak/>
        <w:t xml:space="preserve">VA </w:t>
      </w:r>
      <w:r w:rsidR="00F65A0E" w:rsidRPr="00F65A0E">
        <w:rPr>
          <w:rFonts w:ascii="Times New Roman" w:hAnsi="Times New Roman" w:cs="Times New Roman"/>
          <w:color w:val="C00000"/>
        </w:rPr>
        <w:t xml:space="preserve">maintains </w:t>
      </w:r>
      <w:r w:rsidRPr="00F65A0E">
        <w:rPr>
          <w:rFonts w:ascii="Times New Roman" w:hAnsi="Times New Roman" w:cs="Times New Roman"/>
          <w:color w:val="C00000"/>
        </w:rPr>
        <w:t xml:space="preserve">office space each fiscal year in the </w:t>
      </w:r>
      <w:r w:rsidR="00F65A0E" w:rsidRPr="00F65A0E">
        <w:rPr>
          <w:rFonts w:ascii="Times New Roman" w:hAnsi="Times New Roman" w:cs="Times New Roman"/>
          <w:color w:val="C00000"/>
        </w:rPr>
        <w:t xml:space="preserve">VA Central Office for the </w:t>
      </w:r>
      <w:r w:rsidRPr="00F65A0E">
        <w:rPr>
          <w:rFonts w:ascii="Times New Roman" w:hAnsi="Times New Roman" w:cs="Times New Roman"/>
          <w:color w:val="C00000"/>
        </w:rPr>
        <w:t xml:space="preserve">FTE.  Additionally, IT costs for the FTE to perform duties </w:t>
      </w:r>
      <w:r w:rsidR="00F65A0E" w:rsidRPr="00F65A0E">
        <w:rPr>
          <w:rFonts w:ascii="Times New Roman" w:hAnsi="Times New Roman" w:cs="Times New Roman"/>
          <w:color w:val="C00000"/>
        </w:rPr>
        <w:t xml:space="preserve">are necessary.  The estimated total for these costs is </w:t>
      </w:r>
      <w:r w:rsidRPr="00F65A0E">
        <w:rPr>
          <w:rFonts w:ascii="Times New Roman" w:hAnsi="Times New Roman" w:cs="Times New Roman"/>
          <w:color w:val="C00000"/>
        </w:rPr>
        <w:t>$10,000.</w:t>
      </w: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t>Other Costs</w:t>
      </w:r>
    </w:p>
    <w:p w:rsidR="00EB1B04" w:rsidRPr="00F65A0E" w:rsidRDefault="00EB1B04" w:rsidP="00EB1B04">
      <w:pPr>
        <w:rPr>
          <w:rFonts w:ascii="Times New Roman" w:hAnsi="Times New Roman" w:cs="Times New Roman"/>
          <w:color w:val="C00000"/>
        </w:rPr>
      </w:pPr>
      <w:r w:rsidRPr="00F65A0E">
        <w:rPr>
          <w:rFonts w:ascii="Times New Roman" w:hAnsi="Times New Roman" w:cs="Times New Roman"/>
          <w:color w:val="C00000"/>
        </w:rPr>
        <w:t xml:space="preserve">VA assumes there will be additional costs each fiscal year in the amount of $115,000.  This additional cost will be used for the review of initial grant applications and annual review of renewal applications for the program.  Additionally, </w:t>
      </w:r>
      <w:r w:rsidR="00F65A0E" w:rsidRPr="00F65A0E">
        <w:rPr>
          <w:rFonts w:ascii="Times New Roman" w:hAnsi="Times New Roman" w:cs="Times New Roman"/>
          <w:color w:val="C00000"/>
        </w:rPr>
        <w:t xml:space="preserve">the adaptive sports activities mandate integrated outreach programs, adaptive sports grant monitoring that includes diverse adaptive sports </w:t>
      </w:r>
      <w:proofErr w:type="gramStart"/>
      <w:r w:rsidR="00F65A0E" w:rsidRPr="00F65A0E">
        <w:rPr>
          <w:rFonts w:ascii="Times New Roman" w:hAnsi="Times New Roman" w:cs="Times New Roman"/>
          <w:color w:val="C00000"/>
        </w:rPr>
        <w:t>activities,</w:t>
      </w:r>
      <w:proofErr w:type="gramEnd"/>
      <w:r w:rsidR="00F65A0E" w:rsidRPr="00F65A0E">
        <w:rPr>
          <w:rFonts w:ascii="Times New Roman" w:hAnsi="Times New Roman" w:cs="Times New Roman"/>
          <w:color w:val="C00000"/>
        </w:rPr>
        <w:t xml:space="preserve"> and developmental activities including training and technical assistance and adaptive sports program enablers that require interaction between the VA and grant recipients.  </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15.</w:t>
      </w:r>
      <w:r w:rsidRPr="00957A70">
        <w:rPr>
          <w:rFonts w:ascii="Times New Roman" w:eastAsia="Times New Roman" w:hAnsi="Times New Roman" w:cs="Times New Roman"/>
          <w:b/>
          <w:sz w:val="24"/>
          <w:szCs w:val="24"/>
        </w:rPr>
        <w:tab/>
        <w:t>Explain the reason for any burden hour changes</w:t>
      </w:r>
      <w:r w:rsidRPr="00957A70">
        <w:rPr>
          <w:rFonts w:ascii="Times New Roman" w:eastAsia="Times New Roman" w:hAnsi="Times New Roman" w:cs="Times New Roman"/>
          <w:b/>
          <w:color w:val="0000FF"/>
          <w:sz w:val="24"/>
          <w:szCs w:val="24"/>
        </w:rPr>
        <w:t xml:space="preserve"> </w:t>
      </w:r>
      <w:r w:rsidRPr="00957A70">
        <w:rPr>
          <w:rFonts w:ascii="Times New Roman" w:eastAsia="Times New Roman" w:hAnsi="Times New Roman" w:cs="Times New Roman"/>
          <w:b/>
          <w:sz w:val="24"/>
          <w:szCs w:val="24"/>
        </w:rPr>
        <w:t>or adjustments reported in items 13 or 14 of the OMB form 83-1.</w:t>
      </w: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4F337C" w:rsidRPr="004F337C" w:rsidRDefault="004F337C"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C00000"/>
          <w:sz w:val="24"/>
          <w:szCs w:val="24"/>
        </w:rPr>
      </w:pPr>
      <w:r w:rsidRPr="004F337C">
        <w:rPr>
          <w:rFonts w:ascii="Times New Roman" w:eastAsia="Times New Roman" w:hAnsi="Times New Roman" w:cs="Times New Roman"/>
          <w:color w:val="C00000"/>
          <w:sz w:val="24"/>
          <w:szCs w:val="24"/>
        </w:rPr>
        <w:t>This is a new collection and all burden hours are considered a program increase.  However, it should be noted that the adaptive sports subgrant recipients under the previous U.S. Paralympics Integrated Adaptive Sports Program authorized by 38 USC 521A performed the same data reporting requirements, but submitted to the United States Olympic Committee as the pass-through entity.</w:t>
      </w:r>
      <w:r>
        <w:rPr>
          <w:rFonts w:ascii="Times New Roman" w:eastAsia="Times New Roman" w:hAnsi="Times New Roman" w:cs="Times New Roman"/>
          <w:color w:val="C00000"/>
          <w:sz w:val="24"/>
          <w:szCs w:val="24"/>
        </w:rPr>
        <w:t xml:space="preserve">  Therefore, the burden hour changes are roughly an adjustment from a Non-Federal Entity to a Federal Entity.</w:t>
      </w:r>
    </w:p>
    <w:p w:rsidR="004F337C" w:rsidRPr="00957A70" w:rsidRDefault="004F337C"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16.</w:t>
      </w:r>
      <w:r w:rsidRPr="00957A70">
        <w:rPr>
          <w:rFonts w:ascii="Times New Roman" w:eastAsia="Times New Roman" w:hAnsi="Times New Roman" w:cs="Times New Roman"/>
          <w:b/>
          <w:sz w:val="24"/>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4F337C" w:rsidRPr="00CD2907" w:rsidRDefault="004F337C"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C00000"/>
          <w:sz w:val="24"/>
          <w:szCs w:val="24"/>
        </w:rPr>
      </w:pPr>
      <w:r w:rsidRPr="00CD2907">
        <w:rPr>
          <w:rFonts w:ascii="Times New Roman" w:eastAsia="Times New Roman" w:hAnsi="Times New Roman" w:cs="Times New Roman"/>
          <w:color w:val="C00000"/>
          <w:sz w:val="24"/>
          <w:szCs w:val="24"/>
        </w:rPr>
        <w:t xml:space="preserve">VA does not intend to publish this data.  However, data submitted by adaptive sports grant recipients will compiled and overall program effectiveness will be included in the annual Report to Congress mandated by 38 USC 521A.  The Report to Congress is </w:t>
      </w:r>
      <w:r w:rsidR="00CD2907" w:rsidRPr="00CD2907">
        <w:rPr>
          <w:rFonts w:ascii="Times New Roman" w:eastAsia="Times New Roman" w:hAnsi="Times New Roman" w:cs="Times New Roman"/>
          <w:color w:val="C00000"/>
          <w:sz w:val="24"/>
          <w:szCs w:val="24"/>
        </w:rPr>
        <w:t>developed after the adaptive sports grant recipients’ annual reports are submitted for the grant implementation year and the Report to Congress is completed and submitted during the fiscal year following the grant implementation fiscal year.</w:t>
      </w:r>
    </w:p>
    <w:p w:rsidR="004F337C" w:rsidRPr="00CD2907" w:rsidRDefault="004F337C"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C00000"/>
          <w:sz w:val="24"/>
          <w:szCs w:val="24"/>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17.</w:t>
      </w:r>
      <w:r w:rsidRPr="00957A70">
        <w:rPr>
          <w:rFonts w:ascii="Times New Roman" w:eastAsia="Times New Roman" w:hAnsi="Times New Roman" w:cs="Times New Roman"/>
          <w:b/>
          <w:sz w:val="24"/>
          <w:szCs w:val="20"/>
        </w:rPr>
        <w:tab/>
        <w:t xml:space="preserve">If seeking approval to omit the expiration date for OMB approval of the information collection, explain the reasons that display would be inappropriate. </w:t>
      </w:r>
    </w:p>
    <w:p w:rsidR="00957A70" w:rsidRDefault="00957A70" w:rsidP="00957A70">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color w:val="FF0000"/>
          <w:sz w:val="24"/>
          <w:szCs w:val="24"/>
        </w:rPr>
      </w:pPr>
    </w:p>
    <w:p w:rsidR="00CD2907" w:rsidRPr="00CD2907" w:rsidRDefault="00CD2907" w:rsidP="00957A70">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color w:val="C00000"/>
          <w:sz w:val="24"/>
          <w:szCs w:val="24"/>
        </w:rPr>
      </w:pPr>
      <w:r w:rsidRPr="00CD2907">
        <w:rPr>
          <w:rFonts w:ascii="Times New Roman" w:eastAsia="Times New Roman" w:hAnsi="Times New Roman" w:cs="Times New Roman"/>
          <w:color w:val="C00000"/>
          <w:sz w:val="24"/>
          <w:szCs w:val="24"/>
        </w:rPr>
        <w:t>VA is not seeking to omit the expiration date from the forms.  Expiration dates will be places on the forms upon receipt of OMB approval, and its associated expiration date.</w:t>
      </w:r>
    </w:p>
    <w:p w:rsidR="00CD2907" w:rsidRPr="00957A70" w:rsidRDefault="00CD2907" w:rsidP="00957A70">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color w:val="FF0000"/>
          <w:sz w:val="24"/>
          <w:szCs w:val="24"/>
        </w:rPr>
      </w:pP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18.</w:t>
      </w:r>
      <w:r w:rsidRPr="00957A70">
        <w:rPr>
          <w:rFonts w:ascii="Times New Roman" w:eastAsia="Times New Roman" w:hAnsi="Times New Roman" w:cs="Times New Roman"/>
          <w:b/>
          <w:sz w:val="24"/>
          <w:szCs w:val="20"/>
        </w:rPr>
        <w:tab/>
        <w:t>Explain each exception to the certification statement identified in Item 19, “Certification for Paperw</w:t>
      </w:r>
      <w:r w:rsidR="00CE4DD4">
        <w:rPr>
          <w:rFonts w:ascii="Times New Roman" w:eastAsia="Times New Roman" w:hAnsi="Times New Roman" w:cs="Times New Roman"/>
          <w:b/>
          <w:sz w:val="24"/>
          <w:szCs w:val="20"/>
        </w:rPr>
        <w:t xml:space="preserve">ork Reduction Act Submissions,” </w:t>
      </w:r>
      <w:r w:rsidRPr="00957A70">
        <w:rPr>
          <w:rFonts w:ascii="Times New Roman" w:eastAsia="Times New Roman" w:hAnsi="Times New Roman" w:cs="Times New Roman"/>
          <w:b/>
          <w:sz w:val="24"/>
          <w:szCs w:val="20"/>
        </w:rPr>
        <w:t>of OMB 83-I.</w:t>
      </w:r>
    </w:p>
    <w:p w:rsidR="00957A70" w:rsidRPr="00957A70" w:rsidRDefault="00957A70"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b/>
          <w:color w:val="000000" w:themeColor="text1"/>
          <w:sz w:val="24"/>
          <w:szCs w:val="24"/>
        </w:rPr>
      </w:pPr>
      <w:r w:rsidRPr="00957A70">
        <w:rPr>
          <w:rFonts w:ascii="Times New Roman" w:eastAsia="Times New Roman" w:hAnsi="Times New Roman" w:cs="Times New Roman"/>
          <w:color w:val="FF0000"/>
          <w:sz w:val="24"/>
          <w:szCs w:val="24"/>
        </w:rPr>
        <w:tab/>
      </w:r>
    </w:p>
    <w:p w:rsidR="00957A70" w:rsidRPr="00957A70" w:rsidRDefault="00957A70" w:rsidP="00957A70">
      <w:pPr>
        <w:autoSpaceDE w:val="0"/>
        <w:autoSpaceDN w:val="0"/>
        <w:adjustRightInd w:val="0"/>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 xml:space="preserve">B.  </w:t>
      </w:r>
      <w:r w:rsidRPr="00957A70">
        <w:rPr>
          <w:rFonts w:ascii="Times New Roman" w:eastAsia="Times New Roman" w:hAnsi="Times New Roman" w:cs="Times New Roman"/>
          <w:b/>
          <w:sz w:val="24"/>
          <w:szCs w:val="24"/>
          <w:u w:val="single"/>
        </w:rPr>
        <w:t>Collection of Information Employing Statistical Methods</w:t>
      </w:r>
    </w:p>
    <w:p w:rsidR="00957A70" w:rsidRPr="00957A70" w:rsidRDefault="00957A70" w:rsidP="00957A70">
      <w:pPr>
        <w:autoSpaceDE w:val="0"/>
        <w:autoSpaceDN w:val="0"/>
        <w:adjustRightInd w:val="0"/>
        <w:spacing w:after="0" w:line="240" w:lineRule="auto"/>
        <w:rPr>
          <w:rFonts w:ascii="Times New Roman" w:eastAsia="Times New Roman" w:hAnsi="Times New Roman" w:cs="Times New Roman"/>
          <w:sz w:val="24"/>
          <w:szCs w:val="24"/>
        </w:rPr>
      </w:pPr>
    </w:p>
    <w:p w:rsidR="00957A70" w:rsidRPr="00CD2907" w:rsidRDefault="00CD2907" w:rsidP="00957A70">
      <w:pPr>
        <w:tabs>
          <w:tab w:val="left" w:pos="547"/>
          <w:tab w:val="left" w:pos="1080"/>
          <w:tab w:val="left" w:pos="1627"/>
          <w:tab w:val="left" w:pos="2160"/>
          <w:tab w:val="left" w:pos="2880"/>
        </w:tabs>
        <w:spacing w:after="0" w:line="240" w:lineRule="auto"/>
        <w:rPr>
          <w:rFonts w:ascii="Times New Roman" w:eastAsia="Times New Roman" w:hAnsi="Times New Roman" w:cs="Times New Roman"/>
          <w:color w:val="C00000"/>
          <w:sz w:val="24"/>
          <w:szCs w:val="24"/>
        </w:rPr>
      </w:pPr>
      <w:r w:rsidRPr="00CD2907">
        <w:rPr>
          <w:rFonts w:ascii="Times New Roman" w:eastAsia="Times New Roman" w:hAnsi="Times New Roman" w:cs="Times New Roman"/>
          <w:color w:val="C00000"/>
          <w:sz w:val="24"/>
          <w:szCs w:val="24"/>
        </w:rPr>
        <w:t>The data collection does not employ statistical methods.</w:t>
      </w:r>
    </w:p>
    <w:p w:rsidR="00223D09" w:rsidRDefault="00516488"/>
    <w:sectPr w:rsidR="00223D09">
      <w:headerReference w:type="default" r:id="rId8"/>
      <w:footerReference w:type="default" r:id="rId9"/>
      <w:headerReference w:type="firs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88" w:rsidRDefault="00516488" w:rsidP="00CE4DD4">
      <w:pPr>
        <w:spacing w:after="0" w:line="240" w:lineRule="auto"/>
      </w:pPr>
      <w:r>
        <w:separator/>
      </w:r>
    </w:p>
  </w:endnote>
  <w:endnote w:type="continuationSeparator" w:id="0">
    <w:p w:rsidR="00516488" w:rsidRDefault="00516488" w:rsidP="00CE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8F37AB">
    <w:pPr>
      <w:pStyle w:val="Footer"/>
      <w:tabs>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1783B">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8F37AB">
    <w:pPr>
      <w:pStyle w:val="Footer"/>
      <w:tabs>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56A20">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88" w:rsidRDefault="00516488" w:rsidP="00CE4DD4">
      <w:pPr>
        <w:spacing w:after="0" w:line="240" w:lineRule="auto"/>
      </w:pPr>
      <w:r>
        <w:separator/>
      </w:r>
    </w:p>
  </w:footnote>
  <w:footnote w:type="continuationSeparator" w:id="0">
    <w:p w:rsidR="00516488" w:rsidRDefault="00516488" w:rsidP="00CE4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D4" w:rsidRPr="00CE4DD4" w:rsidRDefault="00CE4DD4" w:rsidP="00CE4DD4">
    <w:pPr>
      <w:pStyle w:val="Header"/>
      <w:jc w:val="center"/>
      <w:rPr>
        <w:rFonts w:ascii="Times New Roman" w:hAnsi="Times New Roman" w:cs="Times New Roman"/>
      </w:rPr>
    </w:pPr>
    <w:r w:rsidRPr="00CE4DD4">
      <w:rPr>
        <w:rFonts w:ascii="Times New Roman" w:hAnsi="Times New Roman" w:cs="Times New Roman"/>
      </w:rPr>
      <w:t>(TITLE)</w:t>
    </w:r>
  </w:p>
  <w:p w:rsidR="00CE4DD4" w:rsidRPr="00CE4DD4" w:rsidRDefault="00CE4DD4" w:rsidP="00CE4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D4" w:rsidRDefault="00CD2907" w:rsidP="00CE4DD4">
    <w:pPr>
      <w:pStyle w:val="Header"/>
      <w:jc w:val="center"/>
      <w:rPr>
        <w:rFonts w:ascii="Times New Roman" w:hAnsi="Times New Roman" w:cs="Times New Roman"/>
      </w:rPr>
    </w:pPr>
    <w:r w:rsidRPr="00CD2907">
      <w:rPr>
        <w:rFonts w:ascii="Times New Roman" w:hAnsi="Times New Roman" w:cs="Times New Roman"/>
      </w:rPr>
      <w:t>Application and Reporting Requirements to Receive Grants under 38 CFR 77</w:t>
    </w:r>
  </w:p>
  <w:p w:rsidR="00CD2907" w:rsidRPr="00CD2907" w:rsidRDefault="00CD2907" w:rsidP="00CD2907">
    <w:pPr>
      <w:autoSpaceDE w:val="0"/>
      <w:autoSpaceDN w:val="0"/>
      <w:adjustRightInd w:val="0"/>
      <w:spacing w:after="0" w:line="480" w:lineRule="auto"/>
      <w:jc w:val="center"/>
      <w:rPr>
        <w:rFonts w:ascii="Times New Roman" w:hAnsi="Times New Roman" w:cs="Times New Roman"/>
        <w:bCs/>
      </w:rPr>
    </w:pPr>
    <w:r w:rsidRPr="00CD2907">
      <w:rPr>
        <w:rFonts w:ascii="Times New Roman" w:hAnsi="Times New Roman" w:cs="Times New Roman"/>
        <w:bCs/>
      </w:rPr>
      <w:t>RIN 2900-AP07</w:t>
    </w:r>
  </w:p>
  <w:p w:rsidR="00CD2907" w:rsidRPr="00CD2907" w:rsidRDefault="00CD2907" w:rsidP="00CD290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70"/>
    <w:rsid w:val="000324F5"/>
    <w:rsid w:val="00056A20"/>
    <w:rsid w:val="00057379"/>
    <w:rsid w:val="000E532C"/>
    <w:rsid w:val="000F1AE8"/>
    <w:rsid w:val="000F42C9"/>
    <w:rsid w:val="00181D79"/>
    <w:rsid w:val="001A4455"/>
    <w:rsid w:val="001C5ACD"/>
    <w:rsid w:val="00201A2F"/>
    <w:rsid w:val="00244AF4"/>
    <w:rsid w:val="002E30A0"/>
    <w:rsid w:val="0037395B"/>
    <w:rsid w:val="004E7AAC"/>
    <w:rsid w:val="004F337C"/>
    <w:rsid w:val="00516488"/>
    <w:rsid w:val="0051783B"/>
    <w:rsid w:val="005606CF"/>
    <w:rsid w:val="00574169"/>
    <w:rsid w:val="005B3563"/>
    <w:rsid w:val="005E469B"/>
    <w:rsid w:val="00652D29"/>
    <w:rsid w:val="006863B7"/>
    <w:rsid w:val="007533F3"/>
    <w:rsid w:val="00764C40"/>
    <w:rsid w:val="00833CD2"/>
    <w:rsid w:val="008364E4"/>
    <w:rsid w:val="008953F6"/>
    <w:rsid w:val="008F37AB"/>
    <w:rsid w:val="009312D0"/>
    <w:rsid w:val="00957A70"/>
    <w:rsid w:val="00A06728"/>
    <w:rsid w:val="00B85D36"/>
    <w:rsid w:val="00B97B8D"/>
    <w:rsid w:val="00BB22B2"/>
    <w:rsid w:val="00BF4292"/>
    <w:rsid w:val="00C82BD1"/>
    <w:rsid w:val="00CD2907"/>
    <w:rsid w:val="00CE4DD4"/>
    <w:rsid w:val="00D84327"/>
    <w:rsid w:val="00E71B03"/>
    <w:rsid w:val="00EB1B04"/>
    <w:rsid w:val="00F65062"/>
    <w:rsid w:val="00F65A0E"/>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70"/>
  </w:style>
  <w:style w:type="character" w:styleId="PageNumber">
    <w:name w:val="page number"/>
    <w:basedOn w:val="DefaultParagraphFont"/>
    <w:rsid w:val="00957A70"/>
  </w:style>
  <w:style w:type="character" w:styleId="CommentReference">
    <w:name w:val="annotation reference"/>
    <w:basedOn w:val="DefaultParagraphFont"/>
    <w:rsid w:val="00957A70"/>
    <w:rPr>
      <w:sz w:val="16"/>
      <w:szCs w:val="16"/>
    </w:rPr>
  </w:style>
  <w:style w:type="paragraph" w:styleId="CommentText">
    <w:name w:val="annotation text"/>
    <w:basedOn w:val="Normal"/>
    <w:link w:val="CommentTextChar"/>
    <w:rsid w:val="00957A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57A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A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7A7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7A70"/>
    <w:rPr>
      <w:rFonts w:ascii="Times New Roman" w:eastAsia="Times New Roman" w:hAnsi="Times New Roman" w:cs="Times New Roman"/>
      <w:b/>
      <w:bCs/>
      <w:sz w:val="20"/>
      <w:szCs w:val="20"/>
    </w:rPr>
  </w:style>
  <w:style w:type="paragraph" w:styleId="Header">
    <w:name w:val="header"/>
    <w:basedOn w:val="Normal"/>
    <w:link w:val="HeaderChar"/>
    <w:unhideWhenUsed/>
    <w:rsid w:val="00CE4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D4"/>
  </w:style>
  <w:style w:type="paragraph" w:styleId="ListParagraph">
    <w:name w:val="List Paragraph"/>
    <w:basedOn w:val="Normal"/>
    <w:uiPriority w:val="34"/>
    <w:qFormat/>
    <w:rsid w:val="00B85D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70"/>
  </w:style>
  <w:style w:type="character" w:styleId="PageNumber">
    <w:name w:val="page number"/>
    <w:basedOn w:val="DefaultParagraphFont"/>
    <w:rsid w:val="00957A70"/>
  </w:style>
  <w:style w:type="character" w:styleId="CommentReference">
    <w:name w:val="annotation reference"/>
    <w:basedOn w:val="DefaultParagraphFont"/>
    <w:rsid w:val="00957A70"/>
    <w:rPr>
      <w:sz w:val="16"/>
      <w:szCs w:val="16"/>
    </w:rPr>
  </w:style>
  <w:style w:type="paragraph" w:styleId="CommentText">
    <w:name w:val="annotation text"/>
    <w:basedOn w:val="Normal"/>
    <w:link w:val="CommentTextChar"/>
    <w:rsid w:val="00957A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57A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A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7A7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7A70"/>
    <w:rPr>
      <w:rFonts w:ascii="Times New Roman" w:eastAsia="Times New Roman" w:hAnsi="Times New Roman" w:cs="Times New Roman"/>
      <w:b/>
      <w:bCs/>
      <w:sz w:val="20"/>
      <w:szCs w:val="20"/>
    </w:rPr>
  </w:style>
  <w:style w:type="paragraph" w:styleId="Header">
    <w:name w:val="header"/>
    <w:basedOn w:val="Normal"/>
    <w:link w:val="HeaderChar"/>
    <w:unhideWhenUsed/>
    <w:rsid w:val="00CE4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D4"/>
  </w:style>
  <w:style w:type="paragraph" w:styleId="ListParagraph">
    <w:name w:val="List Paragraph"/>
    <w:basedOn w:val="Normal"/>
    <w:uiPriority w:val="34"/>
    <w:qFormat/>
    <w:rsid w:val="00B8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A79-2956-4D3E-9A91-5C5C1EF8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Welch, Michael (VACO)</cp:lastModifiedBy>
  <cp:revision>4</cp:revision>
  <dcterms:created xsi:type="dcterms:W3CDTF">2014-06-26T16:22:00Z</dcterms:created>
  <dcterms:modified xsi:type="dcterms:W3CDTF">2014-06-26T17:47:00Z</dcterms:modified>
</cp:coreProperties>
</file>