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C0E" w:rsidRDefault="00580E6F" w:rsidP="002D2C0E">
      <w:pPr>
        <w:tabs>
          <w:tab w:val="left" w:pos="360"/>
          <w:tab w:val="left" w:pos="792"/>
        </w:tabs>
        <w:jc w:val="center"/>
        <w:rPr>
          <w:rFonts w:ascii="Arial" w:hAnsi="Arial"/>
          <w:b/>
          <w:sz w:val="24"/>
          <w:u w:val="single"/>
        </w:rPr>
      </w:pPr>
      <w:r>
        <w:rPr>
          <w:rFonts w:ascii="Arial" w:hAnsi="Arial"/>
          <w:b/>
          <w:sz w:val="24"/>
          <w:u w:val="single"/>
        </w:rPr>
        <w:t>Supplementary Document</w:t>
      </w:r>
      <w:bookmarkStart w:id="0" w:name="_GoBack"/>
      <w:bookmarkEnd w:id="0"/>
      <w:r w:rsidR="002D2C0E">
        <w:rPr>
          <w:rFonts w:ascii="Arial" w:hAnsi="Arial"/>
          <w:b/>
          <w:sz w:val="24"/>
          <w:u w:val="single"/>
        </w:rPr>
        <w:t xml:space="preserve"> </w:t>
      </w:r>
    </w:p>
    <w:p w:rsidR="002D2C0E" w:rsidRDefault="002D2C0E" w:rsidP="002D2C0E">
      <w:pPr>
        <w:tabs>
          <w:tab w:val="left" w:pos="360"/>
          <w:tab w:val="left" w:pos="792"/>
        </w:tabs>
        <w:jc w:val="center"/>
        <w:rPr>
          <w:rFonts w:ascii="Arial" w:hAnsi="Arial"/>
          <w:b/>
          <w:sz w:val="24"/>
          <w:u w:val="single"/>
        </w:rPr>
      </w:pPr>
      <w:r>
        <w:rPr>
          <w:rFonts w:ascii="Arial" w:hAnsi="Arial"/>
          <w:b/>
          <w:sz w:val="24"/>
          <w:u w:val="single"/>
        </w:rPr>
        <w:t>OMB Control Number 2900-0099</w:t>
      </w:r>
    </w:p>
    <w:p w:rsidR="002D2C0E" w:rsidRDefault="002D2C0E" w:rsidP="002D2C0E">
      <w:pPr>
        <w:tabs>
          <w:tab w:val="left" w:pos="360"/>
          <w:tab w:val="left" w:pos="792"/>
        </w:tabs>
        <w:rPr>
          <w:rFonts w:ascii="Arial" w:hAnsi="Arial"/>
          <w:b/>
          <w:sz w:val="24"/>
        </w:rPr>
      </w:pPr>
    </w:p>
    <w:p w:rsidR="002D2C0E" w:rsidRDefault="002D2C0E" w:rsidP="002D2C0E">
      <w:pPr>
        <w:tabs>
          <w:tab w:val="left" w:pos="360"/>
          <w:tab w:val="left" w:pos="792"/>
        </w:tabs>
        <w:rPr>
          <w:rFonts w:ascii="Arial" w:hAnsi="Arial"/>
          <w:b/>
          <w:sz w:val="24"/>
        </w:rPr>
      </w:pPr>
    </w:p>
    <w:p w:rsidR="002D2C0E" w:rsidRDefault="002D2C0E" w:rsidP="002D2C0E">
      <w:pPr>
        <w:tabs>
          <w:tab w:val="left" w:pos="360"/>
          <w:tab w:val="left" w:pos="792"/>
        </w:tabs>
        <w:rPr>
          <w:rFonts w:ascii="Arial" w:hAnsi="Arial"/>
          <w:b/>
          <w:sz w:val="24"/>
        </w:rPr>
      </w:pPr>
      <w:r>
        <w:rPr>
          <w:rFonts w:ascii="Arial" w:hAnsi="Arial"/>
          <w:b/>
          <w:sz w:val="24"/>
        </w:rPr>
        <w:t>2900-0099 (VA Form 22-5495)</w:t>
      </w:r>
    </w:p>
    <w:p w:rsidR="002D2C0E" w:rsidRDefault="002D2C0E" w:rsidP="002D2C0E">
      <w:pPr>
        <w:tabs>
          <w:tab w:val="left" w:pos="360"/>
          <w:tab w:val="left" w:pos="792"/>
        </w:tabs>
        <w:rPr>
          <w:rFonts w:ascii="Arial" w:hAnsi="Arial"/>
          <w:sz w:val="24"/>
        </w:rPr>
      </w:pPr>
    </w:p>
    <w:p w:rsidR="002D2C0E" w:rsidRDefault="002D2C0E" w:rsidP="002D2C0E">
      <w:pPr>
        <w:tabs>
          <w:tab w:val="left" w:pos="360"/>
          <w:tab w:val="left" w:pos="792"/>
        </w:tabs>
        <w:rPr>
          <w:rFonts w:ascii="Arial" w:hAnsi="Arial" w:cs="Arial"/>
          <w:sz w:val="24"/>
          <w:szCs w:val="24"/>
        </w:rPr>
      </w:pPr>
      <w:r>
        <w:rPr>
          <w:rFonts w:ascii="Arial" w:hAnsi="Arial"/>
          <w:sz w:val="24"/>
        </w:rPr>
        <w:t xml:space="preserve">VA is requesting a non-substantive revision to </w:t>
      </w:r>
      <w:r>
        <w:rPr>
          <w:rFonts w:ascii="Arial" w:hAnsi="Arial" w:cs="Arial"/>
          <w:sz w:val="24"/>
          <w:szCs w:val="24"/>
        </w:rPr>
        <w:t xml:space="preserve">OMB control number 2900-0099. </w:t>
      </w:r>
    </w:p>
    <w:p w:rsidR="002D2C0E" w:rsidRDefault="002D2C0E" w:rsidP="002D2C0E">
      <w:pPr>
        <w:tabs>
          <w:tab w:val="left" w:pos="360"/>
          <w:tab w:val="left" w:pos="792"/>
        </w:tabs>
        <w:rPr>
          <w:rFonts w:ascii="Arial" w:hAnsi="Arial" w:cs="Arial"/>
          <w:sz w:val="24"/>
          <w:szCs w:val="24"/>
        </w:rPr>
      </w:pPr>
    </w:p>
    <w:p w:rsidR="002D2C0E" w:rsidRDefault="002D2C0E" w:rsidP="002D2C0E">
      <w:pPr>
        <w:spacing w:after="150" w:line="270" w:lineRule="atLeast"/>
        <w:rPr>
          <w:rFonts w:ascii="Arial" w:hAnsi="Arial" w:cs="Arial"/>
          <w:sz w:val="24"/>
          <w:szCs w:val="24"/>
          <w:lang w:val="en"/>
        </w:rPr>
      </w:pPr>
      <w:r>
        <w:rPr>
          <w:rFonts w:ascii="Arial" w:hAnsi="Arial" w:cs="Arial"/>
          <w:sz w:val="24"/>
          <w:szCs w:val="24"/>
        </w:rPr>
        <w:t>This information collection is being revised to include statutory language in support of the implementation of the Defense of Marriage Act (DOMA).</w:t>
      </w:r>
    </w:p>
    <w:p w:rsidR="00580E6F" w:rsidRDefault="00580E6F" w:rsidP="00580E6F">
      <w:pPr>
        <w:rPr>
          <w:rFonts w:ascii="Arial" w:hAnsi="Arial" w:cs="Arial"/>
          <w:sz w:val="24"/>
          <w:szCs w:val="24"/>
        </w:rPr>
      </w:pPr>
      <w:r>
        <w:rPr>
          <w:rFonts w:ascii="Arial" w:hAnsi="Arial" w:cs="Arial"/>
          <w:sz w:val="24"/>
          <w:szCs w:val="24"/>
        </w:rPr>
        <w:t>This information collection is being revised to include the statutory standard, 38 U.S.C. § 103(c), that prescribes when the Department of Veterans Affairs can recognize a Veteran’s marriage for the purpose of certain VA benefits.  Due to recent developments in law regarding same-sex marriage, VA is seeking to make the section 103(c) standard known through form instructions, web pages, and other means so that claimants and applicants are aware of when VA can recognize their marriage.</w:t>
      </w:r>
    </w:p>
    <w:p w:rsidR="00D8034C" w:rsidRDefault="00D8034C"/>
    <w:sectPr w:rsidR="00D803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C0E"/>
    <w:rsid w:val="002D2C0E"/>
    <w:rsid w:val="00580E6F"/>
    <w:rsid w:val="00D8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C0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C0E"/>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77965">
      <w:bodyDiv w:val="1"/>
      <w:marLeft w:val="0"/>
      <w:marRight w:val="0"/>
      <w:marTop w:val="0"/>
      <w:marBottom w:val="0"/>
      <w:divBdr>
        <w:top w:val="none" w:sz="0" w:space="0" w:color="auto"/>
        <w:left w:val="none" w:sz="0" w:space="0" w:color="auto"/>
        <w:bottom w:val="none" w:sz="0" w:space="0" w:color="auto"/>
        <w:right w:val="none" w:sz="0" w:space="0" w:color="auto"/>
      </w:divBdr>
    </w:div>
    <w:div w:id="405230507">
      <w:bodyDiv w:val="1"/>
      <w:marLeft w:val="0"/>
      <w:marRight w:val="0"/>
      <w:marTop w:val="0"/>
      <w:marBottom w:val="0"/>
      <w:divBdr>
        <w:top w:val="none" w:sz="0" w:space="0" w:color="auto"/>
        <w:left w:val="none" w:sz="0" w:space="0" w:color="auto"/>
        <w:bottom w:val="none" w:sz="0" w:space="0" w:color="auto"/>
        <w:right w:val="none" w:sz="0" w:space="0" w:color="auto"/>
      </w:divBdr>
    </w:div>
    <w:div w:id="19456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Ericka, VBAVACO</dc:creator>
  <cp:lastModifiedBy>McCargo, Yvette, VBAVACO</cp:lastModifiedBy>
  <cp:revision>2</cp:revision>
  <dcterms:created xsi:type="dcterms:W3CDTF">2014-06-19T22:24:00Z</dcterms:created>
  <dcterms:modified xsi:type="dcterms:W3CDTF">2014-06-19T22:24:00Z</dcterms:modified>
</cp:coreProperties>
</file>