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E8" w:rsidRDefault="00D31EE8" w:rsidP="00D01A1B">
      <w:pPr>
        <w:rPr>
          <w:b/>
          <w:noProof w:val="0"/>
          <w:sz w:val="24"/>
        </w:rPr>
      </w:pP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t xml:space="preserve">2014 </w:t>
      </w:r>
    </w:p>
    <w:p w:rsidR="00D31EE8" w:rsidRDefault="00D31EE8" w:rsidP="00AA2CC4">
      <w:pPr>
        <w:jc w:val="center"/>
        <w:rPr>
          <w:b/>
          <w:noProof w:val="0"/>
          <w:sz w:val="24"/>
        </w:rPr>
      </w:pPr>
    </w:p>
    <w:p w:rsidR="00AA2CC4" w:rsidRDefault="00AA2CC4" w:rsidP="00AA2CC4">
      <w:pPr>
        <w:jc w:val="center"/>
        <w:rPr>
          <w:b/>
          <w:noProof w:val="0"/>
          <w:sz w:val="24"/>
        </w:rPr>
      </w:pPr>
      <w:r>
        <w:rPr>
          <w:b/>
          <w:noProof w:val="0"/>
          <w:sz w:val="24"/>
        </w:rPr>
        <w:t>SUPPORTING STATEMENT</w:t>
      </w:r>
    </w:p>
    <w:p w:rsidR="00AA2CC4" w:rsidRDefault="002B18C3" w:rsidP="00AA2CC4">
      <w:pPr>
        <w:jc w:val="center"/>
        <w:rPr>
          <w:b/>
          <w:noProof w:val="0"/>
          <w:sz w:val="24"/>
        </w:rPr>
      </w:pPr>
      <w:r>
        <w:rPr>
          <w:b/>
          <w:noProof w:val="0"/>
          <w:sz w:val="24"/>
        </w:rPr>
        <w:t xml:space="preserve">OMB Control Number </w:t>
      </w:r>
      <w:r w:rsidR="00AA2CC4">
        <w:rPr>
          <w:b/>
          <w:noProof w:val="0"/>
          <w:sz w:val="24"/>
        </w:rPr>
        <w:t>2700</w:t>
      </w:r>
      <w:r w:rsidR="00AA2CC4">
        <w:rPr>
          <w:b/>
          <w:noProof w:val="0"/>
          <w:sz w:val="24"/>
        </w:rPr>
        <w:noBreakHyphen/>
        <w:t>0047</w:t>
      </w:r>
    </w:p>
    <w:p w:rsidR="005A4D6A" w:rsidRDefault="005A4D6A" w:rsidP="00E110D0">
      <w:pPr>
        <w:ind w:right="-180"/>
        <w:rPr>
          <w:b/>
          <w:noProof w:val="0"/>
          <w:sz w:val="24"/>
        </w:rPr>
      </w:pPr>
    </w:p>
    <w:p w:rsidR="002B18C3" w:rsidRDefault="002B18C3" w:rsidP="00E110D0">
      <w:pPr>
        <w:ind w:right="-180"/>
        <w:rPr>
          <w:b/>
          <w:noProof w:val="0"/>
          <w:sz w:val="24"/>
        </w:rPr>
      </w:pPr>
    </w:p>
    <w:p w:rsidR="005A4D6A" w:rsidRDefault="005A4D6A" w:rsidP="00E110D0">
      <w:pPr>
        <w:ind w:right="-180"/>
        <w:rPr>
          <w:b/>
          <w:noProof w:val="0"/>
          <w:sz w:val="24"/>
        </w:rPr>
      </w:pPr>
      <w:r>
        <w:rPr>
          <w:b/>
          <w:noProof w:val="0"/>
          <w:sz w:val="24"/>
        </w:rPr>
        <w:t xml:space="preserve">Type of Clearance:  </w:t>
      </w:r>
      <w:r w:rsidR="002B18C3">
        <w:rPr>
          <w:b/>
          <w:noProof w:val="0"/>
          <w:sz w:val="24"/>
        </w:rPr>
        <w:t>Reinstatement with Change of a Previously Approved Information Collection</w:t>
      </w:r>
    </w:p>
    <w:p w:rsidR="005A4D6A" w:rsidRDefault="005A4D6A" w:rsidP="00E110D0">
      <w:pPr>
        <w:ind w:right="-180"/>
        <w:rPr>
          <w:b/>
          <w:noProof w:val="0"/>
          <w:sz w:val="24"/>
        </w:rPr>
      </w:pPr>
    </w:p>
    <w:p w:rsidR="005A4D6A" w:rsidRDefault="005A4D6A" w:rsidP="00E110D0">
      <w:pPr>
        <w:ind w:right="-180"/>
        <w:rPr>
          <w:b/>
          <w:noProof w:val="0"/>
          <w:sz w:val="24"/>
        </w:rPr>
      </w:pPr>
    </w:p>
    <w:p w:rsidR="00F4123C" w:rsidRDefault="002B18C3" w:rsidP="00E110D0">
      <w:pPr>
        <w:ind w:right="-180"/>
        <w:rPr>
          <w:b/>
          <w:noProof w:val="0"/>
          <w:sz w:val="24"/>
        </w:rPr>
      </w:pPr>
      <w:r>
        <w:rPr>
          <w:b/>
          <w:noProof w:val="0"/>
          <w:sz w:val="24"/>
        </w:rPr>
        <w:t xml:space="preserve">Title of Information Collection: </w:t>
      </w:r>
      <w:r w:rsidR="00E110D0">
        <w:rPr>
          <w:b/>
          <w:noProof w:val="0"/>
          <w:sz w:val="24"/>
        </w:rPr>
        <w:t xml:space="preserve">Property Inventory </w:t>
      </w:r>
      <w:r w:rsidR="00F4123C">
        <w:rPr>
          <w:b/>
          <w:noProof w:val="0"/>
          <w:sz w:val="24"/>
        </w:rPr>
        <w:t xml:space="preserve">Report </w:t>
      </w:r>
      <w:r w:rsidR="00E110D0">
        <w:rPr>
          <w:b/>
          <w:noProof w:val="0"/>
          <w:sz w:val="24"/>
        </w:rPr>
        <w:t xml:space="preserve">– Grants with Educational and </w:t>
      </w:r>
      <w:r w:rsidR="0024787A">
        <w:rPr>
          <w:b/>
          <w:noProof w:val="0"/>
          <w:sz w:val="24"/>
        </w:rPr>
        <w:t>Nonprofit E</w:t>
      </w:r>
      <w:r w:rsidR="00E110D0">
        <w:rPr>
          <w:b/>
          <w:noProof w:val="0"/>
          <w:sz w:val="24"/>
        </w:rPr>
        <w:t>ntities</w:t>
      </w:r>
      <w:r>
        <w:rPr>
          <w:b/>
          <w:noProof w:val="0"/>
          <w:sz w:val="24"/>
        </w:rPr>
        <w:t xml:space="preserve">  (formerly titled Property Inventory Report)</w:t>
      </w:r>
    </w:p>
    <w:p w:rsidR="00AA2CC4" w:rsidRDefault="00AA2CC4" w:rsidP="00E110D0">
      <w:pPr>
        <w:rPr>
          <w:noProof w:val="0"/>
          <w:sz w:val="24"/>
        </w:rPr>
      </w:pPr>
    </w:p>
    <w:p w:rsidR="00AA2CC4" w:rsidRDefault="00AA2CC4">
      <w:pPr>
        <w:rPr>
          <w:noProof w:val="0"/>
          <w:sz w:val="24"/>
        </w:rPr>
      </w:pPr>
    </w:p>
    <w:p w:rsidR="00AA2CC4" w:rsidRDefault="00AA2CC4">
      <w:pPr>
        <w:pStyle w:val="BodyText"/>
      </w:pPr>
      <w:r>
        <w:t>A.</w:t>
      </w:r>
      <w:r>
        <w:tab/>
        <w:t>Justification.</w:t>
      </w:r>
    </w:p>
    <w:p w:rsidR="00AA2CC4" w:rsidRDefault="00AA2CC4">
      <w:pPr>
        <w:rPr>
          <w:noProof w:val="0"/>
          <w:sz w:val="24"/>
        </w:rPr>
      </w:pPr>
    </w:p>
    <w:p w:rsidR="00AA2CC4" w:rsidRDefault="00AA2CC4">
      <w:pPr>
        <w:rPr>
          <w:b/>
          <w:noProof w:val="0"/>
          <w:sz w:val="24"/>
        </w:rPr>
      </w:pPr>
      <w:r>
        <w:rPr>
          <w:b/>
          <w:noProof w:val="0"/>
          <w:sz w:val="24"/>
        </w:rPr>
        <w:t>1.</w:t>
      </w:r>
      <w:r>
        <w:rPr>
          <w:b/>
          <w:noProof w:val="0"/>
          <w:sz w:val="24"/>
        </w:rPr>
        <w:tab/>
        <w:t>Explain the circumstances that make the collection of information necessary.  Identify any legal or administrative requirements that necessitate the collection.</w:t>
      </w:r>
    </w:p>
    <w:p w:rsidR="00AA2CC4" w:rsidRDefault="00AA2CC4">
      <w:pPr>
        <w:rPr>
          <w:noProof w:val="0"/>
          <w:sz w:val="24"/>
        </w:rPr>
      </w:pPr>
    </w:p>
    <w:p w:rsidR="005A4D6A" w:rsidRDefault="00AA2CC4">
      <w:pPr>
        <w:rPr>
          <w:sz w:val="24"/>
        </w:rPr>
      </w:pPr>
      <w:r>
        <w:rPr>
          <w:sz w:val="24"/>
        </w:rPr>
        <w:t xml:space="preserve">This collection is required to ensure proper accounting of Federal property provided under grants and cooperative agreements with instititutions of higher education and other non-profit organizations, and to satisfy external requirements for internal control of property provided by NASA or acquired with NASA funds. </w:t>
      </w:r>
    </w:p>
    <w:p w:rsidR="005A4D6A" w:rsidRDefault="005A4D6A">
      <w:pPr>
        <w:rPr>
          <w:sz w:val="24"/>
        </w:rPr>
      </w:pPr>
    </w:p>
    <w:p w:rsidR="005A4D6A" w:rsidRDefault="00AA2CC4">
      <w:pPr>
        <w:rPr>
          <w:sz w:val="24"/>
        </w:rPr>
      </w:pPr>
      <w:r>
        <w:rPr>
          <w:sz w:val="24"/>
        </w:rPr>
        <w:t xml:space="preserve"> Reporting and recordkeeping are prescribed in 14 CFR.Part 1260</w:t>
      </w:r>
      <w:r w:rsidR="00375B34">
        <w:rPr>
          <w:sz w:val="24"/>
        </w:rPr>
        <w:t>.74</w:t>
      </w:r>
      <w:r>
        <w:rPr>
          <w:sz w:val="24"/>
        </w:rPr>
        <w:t xml:space="preserve">, Grants and Cooperative Agreements.  </w:t>
      </w:r>
    </w:p>
    <w:p w:rsidR="005A4D6A" w:rsidRDefault="005A4D6A">
      <w:pPr>
        <w:rPr>
          <w:sz w:val="24"/>
        </w:rPr>
      </w:pPr>
    </w:p>
    <w:p w:rsidR="00AA2CC4" w:rsidRDefault="005A4D6A">
      <w:pPr>
        <w:rPr>
          <w:sz w:val="24"/>
        </w:rPr>
      </w:pPr>
      <w:r>
        <w:rPr>
          <w:sz w:val="24"/>
        </w:rPr>
        <w:t>The</w:t>
      </w:r>
      <w:r w:rsidR="00AA2CC4">
        <w:rPr>
          <w:sz w:val="24"/>
        </w:rPr>
        <w:t xml:space="preserve"> collection </w:t>
      </w:r>
      <w:r w:rsidR="000A4F76">
        <w:rPr>
          <w:sz w:val="24"/>
        </w:rPr>
        <w:t xml:space="preserve">is necessary to comply with OMB Guidance for </w:t>
      </w:r>
      <w:r w:rsidR="00375B34">
        <w:rPr>
          <w:sz w:val="24"/>
        </w:rPr>
        <w:t>G</w:t>
      </w:r>
      <w:r w:rsidR="000A4F76">
        <w:rPr>
          <w:sz w:val="24"/>
        </w:rPr>
        <w:t>rant</w:t>
      </w:r>
      <w:r w:rsidR="00375B34">
        <w:rPr>
          <w:sz w:val="24"/>
        </w:rPr>
        <w:t>s</w:t>
      </w:r>
      <w:r w:rsidR="000A4F76">
        <w:rPr>
          <w:sz w:val="24"/>
        </w:rPr>
        <w:t xml:space="preserve"> and </w:t>
      </w:r>
      <w:r w:rsidR="00375B34">
        <w:rPr>
          <w:sz w:val="24"/>
        </w:rPr>
        <w:t xml:space="preserve">Cooperative </w:t>
      </w:r>
      <w:r w:rsidR="000A4F76">
        <w:rPr>
          <w:sz w:val="24"/>
        </w:rPr>
        <w:t>Agreement</w:t>
      </w:r>
      <w:r w:rsidR="00375B34">
        <w:rPr>
          <w:sz w:val="24"/>
        </w:rPr>
        <w:t>s</w:t>
      </w:r>
      <w:r w:rsidR="000A4F76">
        <w:rPr>
          <w:sz w:val="24"/>
        </w:rPr>
        <w:t>, 2 CFR Chapter I and Chapter II.</w:t>
      </w:r>
    </w:p>
    <w:p w:rsidR="000A4F76" w:rsidRDefault="000A4F76">
      <w:pPr>
        <w:rPr>
          <w:noProof w:val="0"/>
          <w:sz w:val="24"/>
        </w:rPr>
      </w:pPr>
    </w:p>
    <w:p w:rsidR="00AA2CC4" w:rsidRDefault="00AA2CC4">
      <w:pPr>
        <w:rPr>
          <w:b/>
          <w:noProof w:val="0"/>
          <w:sz w:val="24"/>
        </w:rPr>
      </w:pPr>
      <w:r>
        <w:rPr>
          <w:b/>
          <w:noProof w:val="0"/>
          <w:sz w:val="24"/>
        </w:rPr>
        <w:t>2.</w:t>
      </w:r>
      <w:r>
        <w:rPr>
          <w:noProof w:val="0"/>
          <w:sz w:val="24"/>
        </w:rPr>
        <w:tab/>
      </w:r>
      <w:r>
        <w:rPr>
          <w:b/>
          <w:noProof w:val="0"/>
          <w:sz w:val="24"/>
        </w:rPr>
        <w:t>Indicate how, by whom, how frequently, and for what purpose the information will be used.  Except for a new collection, indicate the actual use the agency has made of the information received from the current collection.</w:t>
      </w:r>
    </w:p>
    <w:p w:rsidR="00AA2CC4" w:rsidRDefault="00AA2CC4">
      <w:pPr>
        <w:rPr>
          <w:noProof w:val="0"/>
          <w:sz w:val="24"/>
        </w:rPr>
      </w:pPr>
    </w:p>
    <w:p w:rsidR="005A4D6A" w:rsidRDefault="00AA2CC4">
      <w:pPr>
        <w:rPr>
          <w:noProof w:val="0"/>
          <w:sz w:val="24"/>
        </w:rPr>
      </w:pPr>
      <w:r>
        <w:rPr>
          <w:noProof w:val="0"/>
          <w:sz w:val="24"/>
        </w:rPr>
        <w:t>The information is submitted by recipients</w:t>
      </w:r>
      <w:r w:rsidR="006D465C">
        <w:rPr>
          <w:noProof w:val="0"/>
          <w:sz w:val="24"/>
        </w:rPr>
        <w:t>/grants and cooperative agreement awardees</w:t>
      </w:r>
      <w:r>
        <w:rPr>
          <w:noProof w:val="0"/>
          <w:sz w:val="24"/>
        </w:rPr>
        <w:t xml:space="preserve"> to </w:t>
      </w:r>
      <w:r w:rsidR="009A63B6">
        <w:rPr>
          <w:noProof w:val="0"/>
          <w:sz w:val="24"/>
        </w:rPr>
        <w:t xml:space="preserve">document inventory of Government-owned </w:t>
      </w:r>
      <w:r>
        <w:rPr>
          <w:noProof w:val="0"/>
          <w:sz w:val="24"/>
        </w:rPr>
        <w:t>property on an annual basis, at the end of the grant</w:t>
      </w:r>
      <w:r w:rsidR="00135394">
        <w:rPr>
          <w:noProof w:val="0"/>
          <w:sz w:val="24"/>
        </w:rPr>
        <w:t>/agreement</w:t>
      </w:r>
      <w:r>
        <w:rPr>
          <w:noProof w:val="0"/>
          <w:sz w:val="24"/>
        </w:rPr>
        <w:t xml:space="preserve">, or </w:t>
      </w:r>
      <w:r w:rsidR="009A63B6">
        <w:rPr>
          <w:noProof w:val="0"/>
          <w:sz w:val="24"/>
        </w:rPr>
        <w:t>upo</w:t>
      </w:r>
      <w:r>
        <w:rPr>
          <w:noProof w:val="0"/>
          <w:sz w:val="24"/>
        </w:rPr>
        <w:t>n the oc</w:t>
      </w:r>
      <w:r w:rsidR="009A63B6">
        <w:rPr>
          <w:noProof w:val="0"/>
          <w:sz w:val="24"/>
        </w:rPr>
        <w:t xml:space="preserve">currence of certain events.  </w:t>
      </w:r>
    </w:p>
    <w:p w:rsidR="005A4D6A" w:rsidRDefault="005A4D6A">
      <w:pPr>
        <w:rPr>
          <w:noProof w:val="0"/>
          <w:sz w:val="24"/>
        </w:rPr>
      </w:pPr>
    </w:p>
    <w:p w:rsidR="00AA2CC4" w:rsidRDefault="009A63B6">
      <w:pPr>
        <w:rPr>
          <w:noProof w:val="0"/>
          <w:sz w:val="24"/>
        </w:rPr>
      </w:pPr>
      <w:r>
        <w:rPr>
          <w:noProof w:val="0"/>
          <w:sz w:val="24"/>
        </w:rPr>
        <w:t>The</w:t>
      </w:r>
      <w:r w:rsidR="00AA2CC4">
        <w:rPr>
          <w:noProof w:val="0"/>
          <w:sz w:val="24"/>
        </w:rPr>
        <w:t xml:space="preserve"> information is used by NASA to effectively maintain an appropriate internal control system for equipment and property provided or acquired under grants and cooperative agreements </w:t>
      </w:r>
      <w:r w:rsidR="00AA2CC4">
        <w:rPr>
          <w:sz w:val="24"/>
        </w:rPr>
        <w:t>with instititutions of higher education and other non-profit organizations, and to comply with statutory requirements, e.g., Chief Financial Officers Act) on the accountability of Federal funds</w:t>
      </w:r>
      <w:r w:rsidR="00AA2CC4">
        <w:rPr>
          <w:noProof w:val="0"/>
          <w:sz w:val="24"/>
        </w:rPr>
        <w:t>.</w:t>
      </w:r>
    </w:p>
    <w:p w:rsidR="00AA2CC4" w:rsidRDefault="00AA2CC4">
      <w:pPr>
        <w:rPr>
          <w:b/>
          <w:noProof w:val="0"/>
          <w:sz w:val="24"/>
        </w:rPr>
      </w:pPr>
    </w:p>
    <w:p w:rsidR="00AA2CC4" w:rsidRDefault="00AA2CC4">
      <w:pPr>
        <w:rPr>
          <w:b/>
          <w:noProof w:val="0"/>
          <w:sz w:val="24"/>
        </w:rPr>
      </w:pPr>
      <w:r>
        <w:rPr>
          <w:b/>
          <w:noProof w:val="0"/>
          <w:sz w:val="24"/>
        </w:rPr>
        <w:t>3.</w:t>
      </w:r>
      <w:r>
        <w:rPr>
          <w:b/>
          <w:noProof w:val="0"/>
          <w:sz w:val="24"/>
        </w:rPr>
        <w:tab/>
        <w:t>Describe whether, and to what extent</w:t>
      </w:r>
      <w:r w:rsidR="00E33A3D">
        <w:rPr>
          <w:b/>
          <w:noProof w:val="0"/>
          <w:sz w:val="24"/>
        </w:rPr>
        <w:t>,</w:t>
      </w:r>
      <w:r>
        <w:rPr>
          <w:b/>
          <w:noProof w:val="0"/>
          <w:sz w:val="24"/>
        </w:rPr>
        <w:t xml:space="preserve"> the collection of information involves the use of automated, electronic, mechanical, or other technological collection techniques or other </w:t>
      </w:r>
      <w:r>
        <w:rPr>
          <w:b/>
          <w:noProof w:val="0"/>
          <w:sz w:val="24"/>
        </w:rPr>
        <w:lastRenderedPageBreak/>
        <w:t>forms of information technology.  Also describe any consideration of using information technology to reduce burden.</w:t>
      </w:r>
    </w:p>
    <w:p w:rsidR="00AA2CC4" w:rsidRDefault="00AA2CC4">
      <w:pPr>
        <w:rPr>
          <w:noProof w:val="0"/>
          <w:sz w:val="24"/>
        </w:rPr>
      </w:pPr>
    </w:p>
    <w:p w:rsidR="006D465C" w:rsidRDefault="00AA2CC4">
      <w:pPr>
        <w:rPr>
          <w:noProof w:val="0"/>
          <w:sz w:val="24"/>
        </w:rPr>
      </w:pPr>
      <w:r>
        <w:rPr>
          <w:noProof w:val="0"/>
          <w:sz w:val="24"/>
        </w:rPr>
        <w:t xml:space="preserve">NASA encourages recipients to use the latest computer technology in preparing documentation.  </w:t>
      </w:r>
      <w:r w:rsidR="003C6E28">
        <w:rPr>
          <w:noProof w:val="0"/>
          <w:sz w:val="24"/>
        </w:rPr>
        <w:t xml:space="preserve">  Grant and Cooperative Agreement awardees submit annual property reports via an automated NASA form 1018 to the NASA El</w:t>
      </w:r>
      <w:r w:rsidR="00AE1DB3">
        <w:rPr>
          <w:noProof w:val="0"/>
          <w:sz w:val="24"/>
        </w:rPr>
        <w:t>ec</w:t>
      </w:r>
      <w:r w:rsidR="003C6E28">
        <w:rPr>
          <w:noProof w:val="0"/>
          <w:sz w:val="24"/>
        </w:rPr>
        <w:t>tronic Submission System (NESS).</w:t>
      </w:r>
    </w:p>
    <w:p w:rsidR="006D465C" w:rsidRDefault="006D465C" w:rsidP="006D465C">
      <w:pPr>
        <w:rPr>
          <w:noProof w:val="0"/>
          <w:sz w:val="24"/>
        </w:rPr>
      </w:pPr>
    </w:p>
    <w:p w:rsidR="006D465C" w:rsidRDefault="006D465C">
      <w:pPr>
        <w:rPr>
          <w:noProof w:val="0"/>
          <w:sz w:val="24"/>
        </w:rPr>
      </w:pPr>
    </w:p>
    <w:p w:rsidR="00AA2CC4" w:rsidRDefault="00AA2CC4">
      <w:pPr>
        <w:rPr>
          <w:b/>
          <w:noProof w:val="0"/>
          <w:sz w:val="24"/>
        </w:rPr>
      </w:pPr>
      <w:r>
        <w:rPr>
          <w:b/>
          <w:noProof w:val="0"/>
          <w:sz w:val="24"/>
        </w:rPr>
        <w:t>4.</w:t>
      </w:r>
      <w:r>
        <w:rPr>
          <w:b/>
          <w:noProof w:val="0"/>
          <w:sz w:val="24"/>
        </w:rPr>
        <w:tab/>
        <w:t>Describe efforts to identify duplication.</w:t>
      </w:r>
    </w:p>
    <w:p w:rsidR="00AA2CC4" w:rsidRDefault="00AA2CC4">
      <w:pPr>
        <w:rPr>
          <w:noProof w:val="0"/>
          <w:sz w:val="24"/>
        </w:rPr>
      </w:pPr>
    </w:p>
    <w:p w:rsidR="00AA2CC4" w:rsidRDefault="00AA2CC4">
      <w:pPr>
        <w:rPr>
          <w:noProof w:val="0"/>
          <w:sz w:val="24"/>
        </w:rPr>
      </w:pPr>
      <w:r>
        <w:rPr>
          <w:noProof w:val="0"/>
          <w:sz w:val="24"/>
        </w:rPr>
        <w:t>Property and equipment records are unique for each grant and cooperative agreement.  There is no known duplication of information.</w:t>
      </w:r>
    </w:p>
    <w:p w:rsidR="009B3B40" w:rsidRDefault="009B3B40">
      <w:pPr>
        <w:rPr>
          <w:b/>
          <w:noProof w:val="0"/>
          <w:sz w:val="24"/>
        </w:rPr>
      </w:pPr>
      <w:bookmarkStart w:id="0" w:name="_GoBack"/>
      <w:bookmarkEnd w:id="0"/>
    </w:p>
    <w:p w:rsidR="00AA2CC4" w:rsidRDefault="00AA2CC4">
      <w:pPr>
        <w:rPr>
          <w:b/>
          <w:noProof w:val="0"/>
          <w:sz w:val="24"/>
        </w:rPr>
      </w:pPr>
      <w:r>
        <w:rPr>
          <w:b/>
          <w:noProof w:val="0"/>
          <w:sz w:val="24"/>
        </w:rPr>
        <w:t>5.</w:t>
      </w:r>
      <w:r>
        <w:rPr>
          <w:b/>
          <w:noProof w:val="0"/>
          <w:sz w:val="24"/>
        </w:rPr>
        <w:tab/>
        <w:t>If the collection of information impacts small businesses or other small entities (Item five of form OMB 83-I, the Paperwork Reduction Act Submission form), describe any methods used to minimize burden.</w:t>
      </w:r>
    </w:p>
    <w:p w:rsidR="00AA2CC4" w:rsidRDefault="00AA2CC4">
      <w:pPr>
        <w:rPr>
          <w:noProof w:val="0"/>
          <w:sz w:val="24"/>
        </w:rPr>
      </w:pPr>
    </w:p>
    <w:p w:rsidR="00AA2CC4" w:rsidRDefault="009A63B6">
      <w:pPr>
        <w:rPr>
          <w:noProof w:val="0"/>
          <w:sz w:val="24"/>
        </w:rPr>
      </w:pPr>
      <w:r>
        <w:rPr>
          <w:noProof w:val="0"/>
          <w:sz w:val="24"/>
        </w:rPr>
        <w:t xml:space="preserve">Small entities holding </w:t>
      </w:r>
      <w:r w:rsidR="00135394">
        <w:rPr>
          <w:noProof w:val="0"/>
          <w:sz w:val="24"/>
        </w:rPr>
        <w:t xml:space="preserve">NASA </w:t>
      </w:r>
      <w:r>
        <w:rPr>
          <w:noProof w:val="0"/>
          <w:sz w:val="24"/>
        </w:rPr>
        <w:t>grants or agreements must report Government-owned property in their possession. It is not possible to lessen the burden and still comply with the law.</w:t>
      </w:r>
    </w:p>
    <w:p w:rsidR="00AA2CC4" w:rsidRDefault="00AA2CC4">
      <w:pPr>
        <w:rPr>
          <w:noProof w:val="0"/>
          <w:sz w:val="24"/>
        </w:rPr>
      </w:pPr>
    </w:p>
    <w:p w:rsidR="00AA2CC4" w:rsidRDefault="00AA2CC4">
      <w:pPr>
        <w:rPr>
          <w:b/>
          <w:noProof w:val="0"/>
          <w:sz w:val="24"/>
        </w:rPr>
      </w:pPr>
      <w:r>
        <w:rPr>
          <w:b/>
          <w:noProof w:val="0"/>
          <w:sz w:val="24"/>
        </w:rPr>
        <w:t>6.</w:t>
      </w:r>
      <w:r>
        <w:rPr>
          <w:b/>
          <w:noProof w:val="0"/>
          <w:sz w:val="24"/>
        </w:rPr>
        <w:tab/>
        <w:t>Describe the consequence to Federal program or policy activities if the collection is not conducted or is conducted less frequently.</w:t>
      </w:r>
    </w:p>
    <w:p w:rsidR="00AA2CC4" w:rsidRDefault="00AA2CC4">
      <w:pPr>
        <w:rPr>
          <w:noProof w:val="0"/>
          <w:sz w:val="24"/>
        </w:rPr>
      </w:pPr>
    </w:p>
    <w:p w:rsidR="00AA2CC4" w:rsidRDefault="00AA2CC4">
      <w:pPr>
        <w:rPr>
          <w:noProof w:val="0"/>
          <w:sz w:val="24"/>
        </w:rPr>
      </w:pPr>
      <w:r>
        <w:rPr>
          <w:noProof w:val="0"/>
          <w:sz w:val="24"/>
        </w:rPr>
        <w:t>Absence of information provided by grants and agreements would result in and inadequate internal control system, which would diminish accountability for items acquired with public funds.</w:t>
      </w:r>
    </w:p>
    <w:p w:rsidR="00AA2CC4" w:rsidRDefault="00AA2CC4">
      <w:pPr>
        <w:rPr>
          <w:noProof w:val="0"/>
          <w:sz w:val="24"/>
        </w:rPr>
      </w:pPr>
    </w:p>
    <w:p w:rsidR="00AA2CC4" w:rsidRDefault="00AA2CC4">
      <w:pPr>
        <w:rPr>
          <w:b/>
          <w:noProof w:val="0"/>
          <w:sz w:val="24"/>
        </w:rPr>
      </w:pPr>
      <w:r w:rsidRPr="009B3B40">
        <w:rPr>
          <w:b/>
          <w:noProof w:val="0"/>
          <w:sz w:val="28"/>
          <w:szCs w:val="28"/>
        </w:rPr>
        <w:t>7.</w:t>
      </w:r>
      <w:r>
        <w:rPr>
          <w:b/>
          <w:noProof w:val="0"/>
          <w:sz w:val="24"/>
        </w:rPr>
        <w:tab/>
        <w:t>Explain any special circumstances that would cause an information collection to be conducted in certain manners (as listed).</w:t>
      </w:r>
    </w:p>
    <w:p w:rsidR="00AA2CC4" w:rsidRDefault="00AA2CC4">
      <w:pPr>
        <w:rPr>
          <w:noProof w:val="0"/>
          <w:sz w:val="24"/>
        </w:rPr>
      </w:pPr>
    </w:p>
    <w:p w:rsidR="00AA2CC4" w:rsidRDefault="00AA2CC4">
      <w:pPr>
        <w:rPr>
          <w:noProof w:val="0"/>
          <w:sz w:val="24"/>
        </w:rPr>
      </w:pPr>
      <w:r>
        <w:rPr>
          <w:noProof w:val="0"/>
          <w:sz w:val="24"/>
        </w:rPr>
        <w:t>None</w:t>
      </w:r>
    </w:p>
    <w:p w:rsidR="00AA2CC4" w:rsidRDefault="00AA2CC4">
      <w:pPr>
        <w:rPr>
          <w:noProof w:val="0"/>
          <w:sz w:val="24"/>
        </w:rPr>
      </w:pPr>
    </w:p>
    <w:p w:rsidR="00AA2CC4" w:rsidRDefault="00AA2CC4">
      <w:pPr>
        <w:rPr>
          <w:b/>
          <w:noProof w:val="0"/>
          <w:sz w:val="24"/>
        </w:rPr>
      </w:pPr>
      <w:r>
        <w:rPr>
          <w:b/>
          <w:noProof w:val="0"/>
          <w:sz w:val="24"/>
        </w:rPr>
        <w:t>8.</w:t>
      </w:r>
      <w:r>
        <w:rPr>
          <w:b/>
          <w:noProof w:val="0"/>
          <w:sz w:val="24"/>
        </w:rPr>
        <w:tab/>
        <w:t>If applicable, provide a copy and identify the date and page number of publication in the Federal Register of the agency's notice, required by 5 CFR § 1320.8 (d), soliciting comments on the information collection before submission to OMB.</w:t>
      </w:r>
    </w:p>
    <w:p w:rsidR="00AA2CC4" w:rsidRDefault="00AA2CC4">
      <w:pPr>
        <w:rPr>
          <w:noProof w:val="0"/>
          <w:sz w:val="24"/>
        </w:rPr>
      </w:pPr>
    </w:p>
    <w:p w:rsidR="001F49B1" w:rsidRDefault="00C93841" w:rsidP="005F7A8A">
      <w:pPr>
        <w:rPr>
          <w:noProof w:val="0"/>
          <w:sz w:val="24"/>
        </w:rPr>
      </w:pPr>
      <w:r>
        <w:rPr>
          <w:noProof w:val="0"/>
          <w:sz w:val="24"/>
        </w:rPr>
        <w:t>The 60-day FRN</w:t>
      </w:r>
      <w:r w:rsidRPr="005F7A8A">
        <w:rPr>
          <w:noProof w:val="0"/>
          <w:sz w:val="24"/>
        </w:rPr>
        <w:t xml:space="preserve"> </w:t>
      </w:r>
      <w:r>
        <w:rPr>
          <w:noProof w:val="0"/>
          <w:sz w:val="24"/>
        </w:rPr>
        <w:t xml:space="preserve">was published on </w:t>
      </w:r>
      <w:r w:rsidR="008B13F7">
        <w:rPr>
          <w:noProof w:val="0"/>
          <w:sz w:val="24"/>
        </w:rPr>
        <w:t xml:space="preserve">Wednesday, </w:t>
      </w:r>
      <w:r w:rsidR="00553CA2">
        <w:rPr>
          <w:noProof w:val="0"/>
          <w:sz w:val="24"/>
        </w:rPr>
        <w:t>January 29, 2014</w:t>
      </w:r>
      <w:r w:rsidR="008B13F7">
        <w:rPr>
          <w:noProof w:val="0"/>
          <w:sz w:val="24"/>
        </w:rPr>
        <w:t>.  Volume 79, Number 19, page 4760</w:t>
      </w:r>
      <w:r w:rsidR="00D2594E">
        <w:rPr>
          <w:noProof w:val="0"/>
          <w:sz w:val="24"/>
        </w:rPr>
        <w:t>.    One comment was received by email</w:t>
      </w:r>
      <w:r w:rsidR="001F49B1">
        <w:rPr>
          <w:noProof w:val="0"/>
          <w:sz w:val="24"/>
        </w:rPr>
        <w:t xml:space="preserve"> on February 18, 2014 </w:t>
      </w:r>
      <w:r w:rsidR="00D2594E">
        <w:rPr>
          <w:noProof w:val="0"/>
          <w:sz w:val="24"/>
        </w:rPr>
        <w:t xml:space="preserve"> from </w:t>
      </w:r>
      <w:r w:rsidR="001F49B1">
        <w:rPr>
          <w:noProof w:val="0"/>
          <w:sz w:val="24"/>
        </w:rPr>
        <w:t xml:space="preserve">Mr. </w:t>
      </w:r>
      <w:r w:rsidR="00D2594E">
        <w:rPr>
          <w:noProof w:val="0"/>
          <w:sz w:val="24"/>
        </w:rPr>
        <w:t>Jeffrey Warner/University of California</w:t>
      </w:r>
      <w:r w:rsidR="00AA6C75">
        <w:rPr>
          <w:noProof w:val="0"/>
          <w:sz w:val="24"/>
        </w:rPr>
        <w:t>, seeking clarification regarding the change</w:t>
      </w:r>
      <w:r w:rsidR="009B3B40">
        <w:rPr>
          <w:noProof w:val="0"/>
          <w:sz w:val="24"/>
        </w:rPr>
        <w:t xml:space="preserve">. </w:t>
      </w:r>
      <w:r w:rsidR="001F49B1">
        <w:rPr>
          <w:noProof w:val="0"/>
          <w:sz w:val="24"/>
        </w:rPr>
        <w:t>NASA responded to the public comment via email on March 6, 2014, as documented below:</w:t>
      </w:r>
    </w:p>
    <w:p w:rsidR="001F49B1" w:rsidRDefault="001F49B1" w:rsidP="005F7A8A">
      <w:pPr>
        <w:rPr>
          <w:noProof w:val="0"/>
          <w:sz w:val="24"/>
        </w:rPr>
      </w:pPr>
    </w:p>
    <w:p w:rsidR="001F49B1" w:rsidRPr="001F49B1" w:rsidRDefault="001F49B1" w:rsidP="001F49B1">
      <w:pPr>
        <w:rPr>
          <w:rFonts w:ascii="Tahoma" w:hAnsi="Tahoma" w:cs="Tahoma"/>
          <w:i/>
        </w:rPr>
      </w:pPr>
      <w:r w:rsidRPr="001F49B1">
        <w:rPr>
          <w:rFonts w:ascii="Tahoma" w:hAnsi="Tahoma" w:cs="Tahoma"/>
          <w:b/>
          <w:bCs/>
          <w:i/>
        </w:rPr>
        <w:t>From:</w:t>
      </w:r>
      <w:r w:rsidRPr="001F49B1">
        <w:rPr>
          <w:rFonts w:ascii="Tahoma" w:hAnsi="Tahoma" w:cs="Tahoma"/>
          <w:i/>
        </w:rPr>
        <w:t xml:space="preserve"> Teel, Frances C. (HQ-JF000) </w:t>
      </w:r>
      <w:r w:rsidRPr="001F49B1">
        <w:rPr>
          <w:rFonts w:ascii="Tahoma" w:hAnsi="Tahoma" w:cs="Tahoma"/>
          <w:i/>
        </w:rPr>
        <w:br/>
      </w:r>
      <w:r w:rsidRPr="001F49B1">
        <w:rPr>
          <w:rFonts w:ascii="Tahoma" w:hAnsi="Tahoma" w:cs="Tahoma"/>
          <w:b/>
          <w:bCs/>
          <w:i/>
        </w:rPr>
        <w:t>Sent:</w:t>
      </w:r>
      <w:r w:rsidRPr="001F49B1">
        <w:rPr>
          <w:rFonts w:ascii="Tahoma" w:hAnsi="Tahoma" w:cs="Tahoma"/>
          <w:i/>
        </w:rPr>
        <w:t xml:space="preserve"> Thursday, March 06, 2014 6:37 PM</w:t>
      </w:r>
      <w:r w:rsidRPr="001F49B1">
        <w:rPr>
          <w:rFonts w:ascii="Tahoma" w:hAnsi="Tahoma" w:cs="Tahoma"/>
          <w:i/>
        </w:rPr>
        <w:br/>
      </w:r>
      <w:r w:rsidRPr="001F49B1">
        <w:rPr>
          <w:rFonts w:ascii="Tahoma" w:hAnsi="Tahoma" w:cs="Tahoma"/>
          <w:b/>
          <w:bCs/>
          <w:i/>
        </w:rPr>
        <w:t>To:</w:t>
      </w:r>
      <w:r w:rsidRPr="001F49B1">
        <w:rPr>
          <w:rFonts w:ascii="Tahoma" w:hAnsi="Tahoma" w:cs="Tahoma"/>
          <w:i/>
        </w:rPr>
        <w:t xml:space="preserve"> 'Jeffrey Warner'</w:t>
      </w:r>
      <w:r w:rsidRPr="001F49B1">
        <w:rPr>
          <w:rFonts w:ascii="Tahoma" w:hAnsi="Tahoma" w:cs="Tahoma"/>
          <w:i/>
        </w:rPr>
        <w:br/>
      </w:r>
      <w:r w:rsidRPr="001F49B1">
        <w:rPr>
          <w:rFonts w:ascii="Tahoma" w:hAnsi="Tahoma" w:cs="Tahoma"/>
          <w:b/>
          <w:bCs/>
          <w:i/>
        </w:rPr>
        <w:t>Cc:</w:t>
      </w:r>
      <w:r w:rsidRPr="001F49B1">
        <w:rPr>
          <w:rFonts w:ascii="Tahoma" w:hAnsi="Tahoma" w:cs="Tahoma"/>
          <w:i/>
        </w:rPr>
        <w:t xml:space="preserve"> Andrew Boulter; Wendy Streitz</w:t>
      </w:r>
      <w:r w:rsidRPr="001F49B1">
        <w:rPr>
          <w:rFonts w:ascii="Tahoma" w:hAnsi="Tahoma" w:cs="Tahoma"/>
          <w:i/>
        </w:rPr>
        <w:br/>
      </w:r>
      <w:r w:rsidRPr="001F49B1">
        <w:rPr>
          <w:rFonts w:ascii="Tahoma" w:hAnsi="Tahoma" w:cs="Tahoma"/>
          <w:b/>
          <w:bCs/>
          <w:i/>
        </w:rPr>
        <w:t>Subject:</w:t>
      </w:r>
      <w:r w:rsidRPr="001F49B1">
        <w:rPr>
          <w:rFonts w:ascii="Tahoma" w:hAnsi="Tahoma" w:cs="Tahoma"/>
          <w:i/>
        </w:rPr>
        <w:t xml:space="preserve"> Federal Register - 2014-01689 (OMB: 2700-0047; Property Inventory Report)</w:t>
      </w:r>
    </w:p>
    <w:p w:rsidR="001F49B1" w:rsidRPr="001F49B1" w:rsidRDefault="001F49B1" w:rsidP="001F49B1">
      <w:pPr>
        <w:rPr>
          <w:rFonts w:cs="Calibri"/>
          <w:i/>
        </w:rPr>
      </w:pPr>
    </w:p>
    <w:p w:rsidR="001F49B1" w:rsidRPr="001F49B1" w:rsidRDefault="001F49B1" w:rsidP="001F49B1">
      <w:pPr>
        <w:rPr>
          <w:i/>
        </w:rPr>
      </w:pPr>
      <w:r w:rsidRPr="001F49B1">
        <w:rPr>
          <w:i/>
        </w:rPr>
        <w:t>Hello Mr. Warner,</w:t>
      </w:r>
    </w:p>
    <w:p w:rsidR="001F49B1" w:rsidRPr="001F49B1" w:rsidRDefault="001F49B1" w:rsidP="001F49B1">
      <w:pPr>
        <w:rPr>
          <w:i/>
        </w:rPr>
      </w:pPr>
      <w:r w:rsidRPr="001F49B1">
        <w:rPr>
          <w:i/>
        </w:rPr>
        <w:t>Thank you for your inquiry,</w:t>
      </w:r>
    </w:p>
    <w:p w:rsidR="001F49B1" w:rsidRPr="001F49B1" w:rsidRDefault="001F49B1" w:rsidP="001F49B1">
      <w:pPr>
        <w:rPr>
          <w:i/>
        </w:rPr>
      </w:pPr>
      <w:r w:rsidRPr="001F49B1">
        <w:rPr>
          <w:i/>
        </w:rPr>
        <w:t>Changes to the information collection include:</w:t>
      </w:r>
    </w:p>
    <w:p w:rsidR="001F49B1" w:rsidRPr="001F49B1" w:rsidRDefault="001F49B1" w:rsidP="001F49B1">
      <w:pPr>
        <w:rPr>
          <w:i/>
        </w:rPr>
      </w:pPr>
      <w:r w:rsidRPr="001F49B1">
        <w:rPr>
          <w:i/>
        </w:rPr>
        <w:t>-A change to the title to improve the description of the information collection.</w:t>
      </w:r>
    </w:p>
    <w:p w:rsidR="001F49B1" w:rsidRPr="001F49B1" w:rsidRDefault="001F49B1" w:rsidP="001F49B1">
      <w:pPr>
        <w:rPr>
          <w:i/>
        </w:rPr>
      </w:pPr>
      <w:r w:rsidRPr="001F49B1">
        <w:rPr>
          <w:i/>
        </w:rPr>
        <w:t>-An estimate of the annual cost burden to respondents or record keepers for annual reports, additional close out reports when applicable, and recordkeeping.</w:t>
      </w:r>
    </w:p>
    <w:p w:rsidR="001F49B1" w:rsidRPr="001F49B1" w:rsidRDefault="001F49B1" w:rsidP="001F49B1">
      <w:pPr>
        <w:rPr>
          <w:i/>
        </w:rPr>
      </w:pPr>
    </w:p>
    <w:p w:rsidR="001F49B1" w:rsidRPr="001F49B1" w:rsidRDefault="001F49B1" w:rsidP="001F49B1">
      <w:pPr>
        <w:rPr>
          <w:i/>
        </w:rPr>
      </w:pPr>
      <w:r w:rsidRPr="001F49B1">
        <w:rPr>
          <w:i/>
        </w:rPr>
        <w:t>Fran Teel</w:t>
      </w:r>
    </w:p>
    <w:p w:rsidR="001F49B1" w:rsidRDefault="001F49B1" w:rsidP="001F49B1">
      <w:pPr>
        <w:rPr>
          <w:color w:val="1F497D"/>
        </w:rPr>
      </w:pPr>
    </w:p>
    <w:p w:rsidR="00D2594E" w:rsidRPr="005F7A8A" w:rsidRDefault="00D2594E" w:rsidP="005F7A8A">
      <w:pPr>
        <w:rPr>
          <w:noProof w:val="0"/>
          <w:sz w:val="24"/>
        </w:rPr>
      </w:pPr>
    </w:p>
    <w:p w:rsidR="005F7A8A" w:rsidRPr="005F7A8A" w:rsidRDefault="003D2ECB" w:rsidP="005F7A8A">
      <w:pPr>
        <w:rPr>
          <w:noProof w:val="0"/>
          <w:sz w:val="24"/>
        </w:rPr>
      </w:pPr>
      <w:r>
        <w:rPr>
          <w:noProof w:val="0"/>
          <w:sz w:val="24"/>
        </w:rPr>
        <w:t xml:space="preserve">The 30-day FRN was published on </w:t>
      </w:r>
      <w:r w:rsidR="00A67287">
        <w:rPr>
          <w:noProof w:val="0"/>
          <w:sz w:val="24"/>
        </w:rPr>
        <w:t>Monday, June 16, 2014, volume 79, No 115.</w:t>
      </w:r>
      <w:r w:rsidR="001F49B1">
        <w:rPr>
          <w:noProof w:val="0"/>
          <w:sz w:val="24"/>
        </w:rPr>
        <w:t xml:space="preserve"> No comments were received from the public.</w:t>
      </w:r>
    </w:p>
    <w:p w:rsidR="00E33A3D" w:rsidRDefault="00E33A3D">
      <w:pPr>
        <w:rPr>
          <w:noProof w:val="0"/>
          <w:sz w:val="24"/>
        </w:rPr>
      </w:pPr>
    </w:p>
    <w:p w:rsidR="00AA2CC4" w:rsidRDefault="00AA2CC4">
      <w:pPr>
        <w:rPr>
          <w:b/>
          <w:noProof w:val="0"/>
          <w:sz w:val="24"/>
        </w:rPr>
      </w:pPr>
      <w:r>
        <w:rPr>
          <w:b/>
          <w:noProof w:val="0"/>
          <w:sz w:val="24"/>
        </w:rPr>
        <w:t>9.</w:t>
      </w:r>
      <w:r>
        <w:rPr>
          <w:b/>
          <w:noProof w:val="0"/>
          <w:sz w:val="24"/>
        </w:rPr>
        <w:tab/>
        <w:t>Explain any decision to provide any payment or gift to respondents, other than remuneration of contractors or grantees.</w:t>
      </w:r>
    </w:p>
    <w:p w:rsidR="00AA2CC4" w:rsidRDefault="00AA2CC4">
      <w:pPr>
        <w:rPr>
          <w:noProof w:val="0"/>
          <w:sz w:val="24"/>
        </w:rPr>
      </w:pPr>
    </w:p>
    <w:p w:rsidR="005A4D6A" w:rsidRDefault="00553CA2">
      <w:pPr>
        <w:rPr>
          <w:noProof w:val="0"/>
          <w:sz w:val="24"/>
        </w:rPr>
      </w:pPr>
      <w:r>
        <w:rPr>
          <w:noProof w:val="0"/>
          <w:sz w:val="24"/>
        </w:rPr>
        <w:t>No gifts o</w:t>
      </w:r>
      <w:r w:rsidR="00D01A1B">
        <w:rPr>
          <w:noProof w:val="0"/>
          <w:sz w:val="24"/>
        </w:rPr>
        <w:t xml:space="preserve">r payments will be provided to </w:t>
      </w:r>
      <w:r>
        <w:rPr>
          <w:noProof w:val="0"/>
          <w:sz w:val="24"/>
        </w:rPr>
        <w:t>grantees</w:t>
      </w:r>
      <w:r w:rsidR="007E32D4">
        <w:rPr>
          <w:noProof w:val="0"/>
          <w:sz w:val="24"/>
        </w:rPr>
        <w:t xml:space="preserve"> or cooperative agreement holders</w:t>
      </w:r>
      <w:r>
        <w:rPr>
          <w:noProof w:val="0"/>
          <w:sz w:val="24"/>
        </w:rPr>
        <w:t xml:space="preserve">. </w:t>
      </w:r>
    </w:p>
    <w:p w:rsidR="00AA2CC4" w:rsidRDefault="00553CA2">
      <w:pPr>
        <w:rPr>
          <w:noProof w:val="0"/>
          <w:sz w:val="24"/>
        </w:rPr>
      </w:pPr>
      <w:r>
        <w:rPr>
          <w:noProof w:val="0"/>
          <w:sz w:val="24"/>
        </w:rPr>
        <w:t xml:space="preserve"> </w:t>
      </w:r>
    </w:p>
    <w:p w:rsidR="00AA2CC4" w:rsidRDefault="00AA2CC4">
      <w:pPr>
        <w:rPr>
          <w:noProof w:val="0"/>
          <w:sz w:val="24"/>
        </w:rPr>
      </w:pPr>
    </w:p>
    <w:p w:rsidR="00AA2CC4" w:rsidRDefault="00AA2CC4">
      <w:pPr>
        <w:rPr>
          <w:b/>
          <w:noProof w:val="0"/>
          <w:sz w:val="24"/>
        </w:rPr>
      </w:pPr>
      <w:r>
        <w:rPr>
          <w:b/>
          <w:noProof w:val="0"/>
          <w:sz w:val="24"/>
        </w:rPr>
        <w:t>10.</w:t>
      </w:r>
      <w:r>
        <w:rPr>
          <w:b/>
          <w:noProof w:val="0"/>
          <w:sz w:val="24"/>
        </w:rPr>
        <w:tab/>
        <w:t>Describe any assurance of confidentiality provided to respondents and the basis for the assurance in statute, regulation, or agency policy.</w:t>
      </w:r>
    </w:p>
    <w:p w:rsidR="00AA2CC4" w:rsidRDefault="00AA2CC4">
      <w:pPr>
        <w:rPr>
          <w:noProof w:val="0"/>
          <w:sz w:val="24"/>
        </w:rPr>
      </w:pPr>
    </w:p>
    <w:p w:rsidR="00AA2CC4" w:rsidRDefault="00AA2CC4">
      <w:pPr>
        <w:rPr>
          <w:noProof w:val="0"/>
          <w:sz w:val="24"/>
        </w:rPr>
      </w:pPr>
      <w:r>
        <w:rPr>
          <w:noProof w:val="0"/>
          <w:sz w:val="24"/>
        </w:rPr>
        <w:t>The confidentiality of this data is governed by statues, the Freedom of Information Act, and agreement provisions and special conditions.</w:t>
      </w:r>
      <w:r w:rsidR="009A63B6">
        <w:rPr>
          <w:noProof w:val="0"/>
          <w:sz w:val="24"/>
        </w:rPr>
        <w:t xml:space="preserve">  The information collected relates to Government-owned property and does not require confidentiality. </w:t>
      </w:r>
    </w:p>
    <w:p w:rsidR="00AA2CC4" w:rsidRDefault="00AA2CC4">
      <w:pPr>
        <w:rPr>
          <w:noProof w:val="0"/>
          <w:sz w:val="24"/>
        </w:rPr>
      </w:pPr>
    </w:p>
    <w:p w:rsidR="00AA2CC4" w:rsidRDefault="00AA2CC4">
      <w:pPr>
        <w:pStyle w:val="BodyText"/>
      </w:pPr>
      <w:r>
        <w:lastRenderedPageBreak/>
        <w:t>11.</w:t>
      </w:r>
      <w:r>
        <w:tab/>
        <w:t>Provide additional justification for any questions of a sensitive nature, such as sexual behavior and attitudes, religious beliefs, and other matters</w:t>
      </w:r>
      <w:r w:rsidR="009A63B6">
        <w:t xml:space="preserve"> </w:t>
      </w:r>
      <w:r>
        <w:t>that are commonly considered private.</w:t>
      </w:r>
    </w:p>
    <w:p w:rsidR="00AA2CC4" w:rsidRDefault="00AA2CC4">
      <w:pPr>
        <w:pStyle w:val="BodyText"/>
      </w:pPr>
    </w:p>
    <w:p w:rsidR="00AA2CC4" w:rsidRDefault="00AA2CC4">
      <w:pPr>
        <w:rPr>
          <w:noProof w:val="0"/>
          <w:sz w:val="24"/>
        </w:rPr>
      </w:pPr>
      <w:r>
        <w:rPr>
          <w:noProof w:val="0"/>
          <w:sz w:val="24"/>
        </w:rPr>
        <w:t>No sensitive questions are involved.</w:t>
      </w:r>
    </w:p>
    <w:p w:rsidR="00AA2CC4" w:rsidRDefault="00AA2CC4">
      <w:pPr>
        <w:rPr>
          <w:noProof w:val="0"/>
          <w:sz w:val="24"/>
        </w:rPr>
      </w:pPr>
    </w:p>
    <w:p w:rsidR="00AA2CC4" w:rsidRDefault="00AA2CC4">
      <w:pPr>
        <w:rPr>
          <w:b/>
          <w:noProof w:val="0"/>
          <w:sz w:val="24"/>
        </w:rPr>
      </w:pPr>
      <w:r>
        <w:rPr>
          <w:b/>
          <w:noProof w:val="0"/>
          <w:sz w:val="24"/>
        </w:rPr>
        <w:t>12.</w:t>
      </w:r>
      <w:r>
        <w:rPr>
          <w:noProof w:val="0"/>
          <w:sz w:val="24"/>
        </w:rPr>
        <w:tab/>
      </w:r>
      <w:r>
        <w:rPr>
          <w:b/>
          <w:noProof w:val="0"/>
          <w:sz w:val="24"/>
        </w:rPr>
        <w:t>Provide estimates of the hour burden of the collection of information.</w:t>
      </w:r>
    </w:p>
    <w:p w:rsidR="00AA2CC4" w:rsidRDefault="00AA2CC4">
      <w:pPr>
        <w:rPr>
          <w:b/>
          <w:noProof w:val="0"/>
          <w:sz w:val="24"/>
        </w:rPr>
      </w:pPr>
    </w:p>
    <w:p w:rsidR="001228A4" w:rsidRDefault="001228A4">
      <w:pPr>
        <w:ind w:left="720"/>
        <w:rPr>
          <w:noProof w:val="0"/>
          <w:sz w:val="24"/>
        </w:rPr>
      </w:pPr>
    </w:p>
    <w:tbl>
      <w:tblPr>
        <w:tblStyle w:val="TableGrid"/>
        <w:tblW w:w="0" w:type="auto"/>
        <w:tblInd w:w="468" w:type="dxa"/>
        <w:tblLook w:val="04A0" w:firstRow="1" w:lastRow="0" w:firstColumn="1" w:lastColumn="0" w:noHBand="0" w:noVBand="1"/>
      </w:tblPr>
      <w:tblGrid>
        <w:gridCol w:w="1695"/>
        <w:gridCol w:w="2163"/>
        <w:gridCol w:w="2892"/>
        <w:gridCol w:w="2358"/>
      </w:tblGrid>
      <w:tr w:rsidR="001228A4" w:rsidTr="001228A4">
        <w:tc>
          <w:tcPr>
            <w:tcW w:w="1695" w:type="dxa"/>
            <w:tcBorders>
              <w:top w:val="single" w:sz="4" w:space="0" w:color="auto"/>
              <w:left w:val="single" w:sz="4" w:space="0" w:color="auto"/>
              <w:bottom w:val="single" w:sz="4" w:space="0" w:color="auto"/>
              <w:right w:val="single" w:sz="4" w:space="0" w:color="auto"/>
            </w:tcBorders>
          </w:tcPr>
          <w:p w:rsidR="001228A4" w:rsidRDefault="001228A4">
            <w:pPr>
              <w:rPr>
                <w:sz w:val="22"/>
                <w:szCs w:val="22"/>
              </w:rPr>
            </w:pPr>
          </w:p>
        </w:tc>
        <w:tc>
          <w:tcPr>
            <w:tcW w:w="2163"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t>Number of Respondents</w:t>
            </w:r>
          </w:p>
        </w:tc>
        <w:tc>
          <w:tcPr>
            <w:tcW w:w="2892" w:type="dxa"/>
            <w:tcBorders>
              <w:top w:val="single" w:sz="4" w:space="0" w:color="auto"/>
              <w:left w:val="single" w:sz="4" w:space="0" w:color="auto"/>
              <w:bottom w:val="single" w:sz="4" w:space="0" w:color="auto"/>
              <w:right w:val="single" w:sz="4" w:space="0" w:color="auto"/>
            </w:tcBorders>
            <w:hideMark/>
          </w:tcPr>
          <w:p w:rsidR="001228A4" w:rsidRDefault="001228A4" w:rsidP="001228A4">
            <w:pPr>
              <w:rPr>
                <w:sz w:val="22"/>
                <w:szCs w:val="22"/>
              </w:rPr>
            </w:pPr>
            <w:r>
              <w:t>Burden to read instruction, complete, and submit reports as well as record keeping</w:t>
            </w:r>
          </w:p>
        </w:tc>
        <w:tc>
          <w:tcPr>
            <w:tcW w:w="2358"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t xml:space="preserve"> Total Burden Hours (number of respondents x burden divided by 60 minutes)</w:t>
            </w:r>
          </w:p>
        </w:tc>
      </w:tr>
      <w:tr w:rsidR="001228A4" w:rsidTr="001228A4">
        <w:tc>
          <w:tcPr>
            <w:tcW w:w="1695"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t>Respondents submitting annual reportable property reports</w:t>
            </w:r>
          </w:p>
        </w:tc>
        <w:tc>
          <w:tcPr>
            <w:tcW w:w="2163"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t>188</w:t>
            </w:r>
          </w:p>
        </w:tc>
        <w:tc>
          <w:tcPr>
            <w:tcW w:w="2892" w:type="dxa"/>
            <w:tcBorders>
              <w:top w:val="single" w:sz="4" w:space="0" w:color="auto"/>
              <w:left w:val="single" w:sz="4" w:space="0" w:color="auto"/>
              <w:bottom w:val="single" w:sz="4" w:space="0" w:color="auto"/>
              <w:right w:val="single" w:sz="4" w:space="0" w:color="auto"/>
            </w:tcBorders>
          </w:tcPr>
          <w:p w:rsidR="001228A4" w:rsidRDefault="001228A4">
            <w:pPr>
              <w:spacing w:before="240"/>
              <w:rPr>
                <w:sz w:val="22"/>
                <w:szCs w:val="22"/>
              </w:rPr>
            </w:pPr>
            <w:r>
              <w:t>600 minutes  (120 minutes for the report and 480 minutes for recordkeeping)</w:t>
            </w:r>
          </w:p>
        </w:tc>
        <w:tc>
          <w:tcPr>
            <w:tcW w:w="2358"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rPr>
                <w:color w:val="1F497D"/>
              </w:rPr>
              <w:t>1,880</w:t>
            </w:r>
          </w:p>
        </w:tc>
      </w:tr>
      <w:tr w:rsidR="001228A4" w:rsidTr="001228A4">
        <w:tc>
          <w:tcPr>
            <w:tcW w:w="1695"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t xml:space="preserve">Respondents submitting close out reports </w:t>
            </w:r>
          </w:p>
        </w:tc>
        <w:tc>
          <w:tcPr>
            <w:tcW w:w="2163"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t>67</w:t>
            </w:r>
          </w:p>
        </w:tc>
        <w:tc>
          <w:tcPr>
            <w:tcW w:w="2892"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t>600 minutes  (120 minutes for the report and 480 minutes for recordkeeping)</w:t>
            </w:r>
          </w:p>
        </w:tc>
        <w:tc>
          <w:tcPr>
            <w:tcW w:w="2358"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rPr>
                <w:color w:val="1F497D"/>
              </w:rPr>
              <w:t>670</w:t>
            </w:r>
          </w:p>
        </w:tc>
      </w:tr>
      <w:tr w:rsidR="001228A4" w:rsidTr="001228A4">
        <w:tc>
          <w:tcPr>
            <w:tcW w:w="1695"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t>Total</w:t>
            </w:r>
          </w:p>
        </w:tc>
        <w:tc>
          <w:tcPr>
            <w:tcW w:w="2163" w:type="dxa"/>
            <w:tcBorders>
              <w:top w:val="single" w:sz="4" w:space="0" w:color="auto"/>
              <w:left w:val="single" w:sz="4" w:space="0" w:color="auto"/>
              <w:bottom w:val="single" w:sz="4" w:space="0" w:color="auto"/>
              <w:right w:val="single" w:sz="4" w:space="0" w:color="auto"/>
            </w:tcBorders>
            <w:hideMark/>
          </w:tcPr>
          <w:p w:rsidR="001228A4" w:rsidRDefault="001228A4">
            <w:pPr>
              <w:rPr>
                <w:color w:val="1F497D"/>
                <w:sz w:val="22"/>
                <w:szCs w:val="22"/>
              </w:rPr>
            </w:pPr>
            <w:r>
              <w:rPr>
                <w:color w:val="1F497D"/>
              </w:rPr>
              <w:t>255</w:t>
            </w:r>
          </w:p>
        </w:tc>
        <w:tc>
          <w:tcPr>
            <w:tcW w:w="2892" w:type="dxa"/>
            <w:tcBorders>
              <w:top w:val="single" w:sz="4" w:space="0" w:color="auto"/>
              <w:left w:val="single" w:sz="4" w:space="0" w:color="auto"/>
              <w:bottom w:val="single" w:sz="4" w:space="0" w:color="auto"/>
              <w:right w:val="single" w:sz="4" w:space="0" w:color="auto"/>
            </w:tcBorders>
            <w:hideMark/>
          </w:tcPr>
          <w:p w:rsidR="001228A4" w:rsidRDefault="001228A4">
            <w:pPr>
              <w:rPr>
                <w:color w:val="1F497D"/>
                <w:sz w:val="22"/>
                <w:szCs w:val="22"/>
              </w:rPr>
            </w:pPr>
            <w:r>
              <w:rPr>
                <w:color w:val="1F497D"/>
              </w:rPr>
              <w:t>600</w:t>
            </w:r>
          </w:p>
        </w:tc>
        <w:tc>
          <w:tcPr>
            <w:tcW w:w="2358" w:type="dxa"/>
            <w:tcBorders>
              <w:top w:val="single" w:sz="4" w:space="0" w:color="auto"/>
              <w:left w:val="single" w:sz="4" w:space="0" w:color="auto"/>
              <w:bottom w:val="single" w:sz="4" w:space="0" w:color="auto"/>
              <w:right w:val="single" w:sz="4" w:space="0" w:color="auto"/>
            </w:tcBorders>
            <w:hideMark/>
          </w:tcPr>
          <w:p w:rsidR="001228A4" w:rsidRDefault="001228A4">
            <w:pPr>
              <w:rPr>
                <w:sz w:val="22"/>
                <w:szCs w:val="22"/>
              </w:rPr>
            </w:pPr>
            <w:r>
              <w:rPr>
                <w:color w:val="1F497D"/>
              </w:rPr>
              <w:t>2550</w:t>
            </w:r>
          </w:p>
        </w:tc>
      </w:tr>
    </w:tbl>
    <w:p w:rsidR="001228A4" w:rsidRDefault="001228A4">
      <w:pPr>
        <w:ind w:left="720"/>
        <w:rPr>
          <w:noProof w:val="0"/>
          <w:sz w:val="24"/>
        </w:rPr>
      </w:pPr>
    </w:p>
    <w:p w:rsidR="001228A4" w:rsidRDefault="001228A4">
      <w:pPr>
        <w:ind w:left="720"/>
        <w:rPr>
          <w:noProof w:val="0"/>
          <w:sz w:val="24"/>
        </w:rPr>
      </w:pPr>
    </w:p>
    <w:p w:rsidR="001228A4" w:rsidRDefault="006D4B8B">
      <w:pPr>
        <w:ind w:left="720"/>
        <w:rPr>
          <w:noProof w:val="0"/>
          <w:sz w:val="24"/>
        </w:rPr>
      </w:pPr>
      <w:r>
        <w:rPr>
          <w:noProof w:val="0"/>
          <w:sz w:val="24"/>
        </w:rPr>
        <w:t>Total number of grants currently open is 376.  We estimate that half of those</w:t>
      </w:r>
      <w:r w:rsidR="001228A4">
        <w:rPr>
          <w:noProof w:val="0"/>
          <w:sz w:val="24"/>
        </w:rPr>
        <w:t xml:space="preserve"> (188)</w:t>
      </w:r>
      <w:r>
        <w:rPr>
          <w:noProof w:val="0"/>
          <w:sz w:val="24"/>
        </w:rPr>
        <w:t xml:space="preserve"> will have reportable property</w:t>
      </w:r>
      <w:r w:rsidR="001228A4">
        <w:rPr>
          <w:noProof w:val="0"/>
          <w:sz w:val="24"/>
        </w:rPr>
        <w:t xml:space="preserve"> to report annually.</w:t>
      </w:r>
      <w:r>
        <w:rPr>
          <w:noProof w:val="0"/>
          <w:sz w:val="24"/>
        </w:rPr>
        <w:t xml:space="preserve">  </w:t>
      </w:r>
      <w:r w:rsidR="001228A4">
        <w:rPr>
          <w:noProof w:val="0"/>
          <w:sz w:val="24"/>
        </w:rPr>
        <w:t>N</w:t>
      </w:r>
      <w:r w:rsidR="00AA2CC4">
        <w:rPr>
          <w:noProof w:val="0"/>
          <w:sz w:val="24"/>
        </w:rPr>
        <w:t xml:space="preserve">egative reports are not required.  </w:t>
      </w:r>
      <w:r>
        <w:rPr>
          <w:noProof w:val="0"/>
          <w:sz w:val="24"/>
        </w:rPr>
        <w:t>In addition, based upon actual closeouts, we estimate that 67 additional</w:t>
      </w:r>
      <w:r w:rsidR="001228A4" w:rsidRPr="001228A4">
        <w:rPr>
          <w:noProof w:val="0"/>
          <w:sz w:val="24"/>
        </w:rPr>
        <w:t xml:space="preserve"> </w:t>
      </w:r>
      <w:r w:rsidR="001228A4">
        <w:rPr>
          <w:noProof w:val="0"/>
          <w:sz w:val="24"/>
        </w:rPr>
        <w:t xml:space="preserve">‘grant completion/closeout‘ </w:t>
      </w:r>
      <w:r>
        <w:rPr>
          <w:noProof w:val="0"/>
          <w:sz w:val="24"/>
        </w:rPr>
        <w:t>reports will be required annually</w:t>
      </w:r>
      <w:r w:rsidR="001228A4">
        <w:rPr>
          <w:noProof w:val="0"/>
          <w:sz w:val="24"/>
        </w:rPr>
        <w:t>.</w:t>
      </w:r>
    </w:p>
    <w:p w:rsidR="001228A4" w:rsidRDefault="001228A4">
      <w:pPr>
        <w:ind w:left="720"/>
        <w:rPr>
          <w:noProof w:val="0"/>
          <w:sz w:val="24"/>
        </w:rPr>
      </w:pPr>
    </w:p>
    <w:p w:rsidR="00CC024C" w:rsidRDefault="006D4B8B">
      <w:pPr>
        <w:ind w:left="720"/>
        <w:rPr>
          <w:noProof w:val="0"/>
          <w:sz w:val="24"/>
        </w:rPr>
      </w:pPr>
      <w:r>
        <w:rPr>
          <w:noProof w:val="0"/>
          <w:sz w:val="24"/>
        </w:rPr>
        <w:t>A</w:t>
      </w:r>
      <w:r w:rsidR="00AA2CC4">
        <w:rPr>
          <w:noProof w:val="0"/>
          <w:sz w:val="24"/>
        </w:rPr>
        <w:t>n average of 2 hours for each report and an additional 8 hours for rec</w:t>
      </w:r>
      <w:r>
        <w:rPr>
          <w:noProof w:val="0"/>
          <w:sz w:val="24"/>
        </w:rPr>
        <w:t xml:space="preserve">ord keeping for each respondent is estimated. </w:t>
      </w:r>
      <w:r w:rsidR="00AA2CC4">
        <w:rPr>
          <w:noProof w:val="0"/>
          <w:sz w:val="24"/>
        </w:rPr>
        <w:t xml:space="preserve">  </w:t>
      </w:r>
    </w:p>
    <w:p w:rsidR="006D4B8B" w:rsidRDefault="006D4B8B">
      <w:pPr>
        <w:ind w:left="720"/>
        <w:rPr>
          <w:b/>
          <w:noProof w:val="0"/>
          <w:sz w:val="24"/>
        </w:rPr>
      </w:pPr>
    </w:p>
    <w:p w:rsidR="00AA2CC4" w:rsidRDefault="00AA2CC4">
      <w:pPr>
        <w:rPr>
          <w:b/>
          <w:noProof w:val="0"/>
          <w:sz w:val="24"/>
        </w:rPr>
      </w:pPr>
      <w:r>
        <w:rPr>
          <w:b/>
          <w:noProof w:val="0"/>
          <w:sz w:val="24"/>
        </w:rPr>
        <w:t>13.</w:t>
      </w:r>
      <w:r>
        <w:rPr>
          <w:b/>
          <w:noProof w:val="0"/>
          <w:sz w:val="24"/>
        </w:rPr>
        <w:tab/>
        <w:t>Provide an estimate of the total annual cost burden to respondents or record</w:t>
      </w:r>
      <w:r w:rsidR="00C93841">
        <w:rPr>
          <w:b/>
          <w:noProof w:val="0"/>
          <w:sz w:val="24"/>
        </w:rPr>
        <w:t xml:space="preserve"> </w:t>
      </w:r>
      <w:r>
        <w:rPr>
          <w:b/>
          <w:noProof w:val="0"/>
          <w:sz w:val="24"/>
        </w:rPr>
        <w:t>keepers resulting from the collection of information.</w:t>
      </w:r>
    </w:p>
    <w:p w:rsidR="00AA2CC4" w:rsidRDefault="00AA2CC4">
      <w:pPr>
        <w:rPr>
          <w:noProof w:val="0"/>
          <w:sz w:val="24"/>
        </w:rPr>
      </w:pPr>
    </w:p>
    <w:p w:rsidR="00AA2CC4" w:rsidRDefault="00913B1D">
      <w:pPr>
        <w:rPr>
          <w:noProof w:val="0"/>
          <w:sz w:val="24"/>
        </w:rPr>
      </w:pPr>
      <w:r>
        <w:rPr>
          <w:noProof w:val="0"/>
          <w:sz w:val="24"/>
        </w:rPr>
        <w:t xml:space="preserve">The skill required to maintain records and prepare the annual property report is comparable to the GS-12 level in Government employment.  Therefore, the GS-12, step 5 hourly burdened rate of $32.90 (2013) is utilized to arrive at an annual cost burden of $392.00 per recipient </w:t>
      </w:r>
      <w:r w:rsidR="001524AD">
        <w:rPr>
          <w:noProof w:val="0"/>
          <w:sz w:val="24"/>
        </w:rPr>
        <w:t>for annual reports.  Multiplying</w:t>
      </w:r>
      <w:r w:rsidR="00C93841">
        <w:rPr>
          <w:noProof w:val="0"/>
          <w:sz w:val="24"/>
        </w:rPr>
        <w:t xml:space="preserve"> </w:t>
      </w:r>
      <w:r w:rsidR="001524AD">
        <w:rPr>
          <w:noProof w:val="0"/>
          <w:sz w:val="24"/>
        </w:rPr>
        <w:t xml:space="preserve">the </w:t>
      </w:r>
      <w:r w:rsidR="00BA36E4">
        <w:rPr>
          <w:noProof w:val="0"/>
          <w:sz w:val="24"/>
        </w:rPr>
        <w:t xml:space="preserve"> </w:t>
      </w:r>
      <w:r w:rsidR="001524AD">
        <w:rPr>
          <w:noProof w:val="0"/>
          <w:sz w:val="24"/>
        </w:rPr>
        <w:t>$392.00 rate by 188 annual reports results in a burden of $73,696.00.  To that figure, we must add the burden for the additional 67 annual reports submitted for closeout.  Burden for these 67 reports is calculated by multiplying the $32.90 hourly rate by 2 hours because the recordkeeping is already accounted for and only the report submission is needed.  Two hours multiplied by the hourly rate equals $65.80 per report multipl</w:t>
      </w:r>
      <w:r w:rsidR="00135394">
        <w:rPr>
          <w:noProof w:val="0"/>
          <w:sz w:val="24"/>
        </w:rPr>
        <w:t>i</w:t>
      </w:r>
      <w:r w:rsidR="001524AD">
        <w:rPr>
          <w:noProof w:val="0"/>
          <w:sz w:val="24"/>
        </w:rPr>
        <w:t xml:space="preserve">ed by 67 instances equals a burden of $4408.60.  </w:t>
      </w:r>
    </w:p>
    <w:p w:rsidR="001524AD" w:rsidRDefault="001524AD">
      <w:pPr>
        <w:rPr>
          <w:noProof w:val="0"/>
          <w:sz w:val="24"/>
        </w:rPr>
      </w:pPr>
    </w:p>
    <w:p w:rsidR="001524AD" w:rsidRDefault="001524AD">
      <w:pPr>
        <w:rPr>
          <w:noProof w:val="0"/>
          <w:sz w:val="24"/>
        </w:rPr>
      </w:pPr>
      <w:r>
        <w:rPr>
          <w:noProof w:val="0"/>
          <w:sz w:val="24"/>
        </w:rPr>
        <w:t xml:space="preserve">Therefore, the total annual respondent burden is $73,696.00 plus $4408.60 </w:t>
      </w:r>
      <w:r w:rsidR="00DF1BA6">
        <w:rPr>
          <w:noProof w:val="0"/>
          <w:sz w:val="24"/>
        </w:rPr>
        <w:t>or $78,104.60</w:t>
      </w:r>
    </w:p>
    <w:p w:rsidR="00AA2CC4" w:rsidRDefault="00AA2CC4">
      <w:pPr>
        <w:rPr>
          <w:noProof w:val="0"/>
          <w:sz w:val="24"/>
        </w:rPr>
      </w:pPr>
    </w:p>
    <w:p w:rsidR="00AA2CC4" w:rsidRPr="005639E6" w:rsidRDefault="00AA2CC4">
      <w:pPr>
        <w:rPr>
          <w:b/>
          <w:noProof w:val="0"/>
          <w:sz w:val="24"/>
        </w:rPr>
      </w:pPr>
      <w:r>
        <w:rPr>
          <w:b/>
          <w:noProof w:val="0"/>
          <w:sz w:val="24"/>
        </w:rPr>
        <w:t>14</w:t>
      </w:r>
      <w:r>
        <w:rPr>
          <w:noProof w:val="0"/>
          <w:sz w:val="24"/>
        </w:rPr>
        <w:t>.</w:t>
      </w:r>
      <w:r>
        <w:rPr>
          <w:noProof w:val="0"/>
          <w:sz w:val="24"/>
        </w:rPr>
        <w:tab/>
      </w:r>
      <w:r>
        <w:rPr>
          <w:b/>
          <w:noProof w:val="0"/>
          <w:sz w:val="24"/>
        </w:rPr>
        <w:t xml:space="preserve">Provide estimates of annualized cost to the Federal government.  Also, provide a </w:t>
      </w:r>
      <w:r w:rsidRPr="005639E6">
        <w:rPr>
          <w:b/>
          <w:noProof w:val="0"/>
          <w:sz w:val="24"/>
        </w:rPr>
        <w:t xml:space="preserve">description of the method used to estimate cost, which should include quantification of </w:t>
      </w:r>
      <w:r w:rsidRPr="005639E6">
        <w:rPr>
          <w:b/>
          <w:noProof w:val="0"/>
          <w:sz w:val="24"/>
        </w:rPr>
        <w:lastRenderedPageBreak/>
        <w:t>hours, operational expenses, and any other expense that would not have been incurred without this collection of information.</w:t>
      </w:r>
    </w:p>
    <w:p w:rsidR="00AA2CC4" w:rsidRPr="005639E6" w:rsidRDefault="00AA2CC4">
      <w:pPr>
        <w:rPr>
          <w:noProof w:val="0"/>
          <w:sz w:val="24"/>
        </w:rPr>
      </w:pPr>
    </w:p>
    <w:p w:rsidR="00AA2CC4" w:rsidRPr="005639E6" w:rsidRDefault="00AA2CC4" w:rsidP="00EB73C4">
      <w:pPr>
        <w:rPr>
          <w:noProof w:val="0"/>
          <w:sz w:val="24"/>
        </w:rPr>
      </w:pPr>
      <w:r w:rsidRPr="005639E6">
        <w:rPr>
          <w:noProof w:val="0"/>
          <w:sz w:val="24"/>
        </w:rPr>
        <w:t>Estimated annual cost to NASA is $</w:t>
      </w:r>
      <w:r w:rsidR="00EC0AF5" w:rsidRPr="005639E6">
        <w:rPr>
          <w:noProof w:val="0"/>
          <w:sz w:val="24"/>
        </w:rPr>
        <w:t>1</w:t>
      </w:r>
      <w:r w:rsidR="00D31EE8" w:rsidRPr="005639E6">
        <w:rPr>
          <w:noProof w:val="0"/>
          <w:sz w:val="24"/>
        </w:rPr>
        <w:t>45,681.50.</w:t>
      </w:r>
      <w:r w:rsidRPr="005639E6">
        <w:rPr>
          <w:noProof w:val="0"/>
          <w:sz w:val="24"/>
        </w:rPr>
        <w:t xml:space="preserve">  </w:t>
      </w:r>
      <w:r w:rsidR="00DF1BA6" w:rsidRPr="005639E6">
        <w:rPr>
          <w:noProof w:val="0"/>
          <w:sz w:val="24"/>
        </w:rPr>
        <w:t xml:space="preserve">Agency activity </w:t>
      </w:r>
      <w:r w:rsidRPr="005639E6">
        <w:rPr>
          <w:noProof w:val="0"/>
          <w:sz w:val="24"/>
        </w:rPr>
        <w:t xml:space="preserve">includes communication with grantees, receipt and processing of the reports, accounting system entry at NASA Center and Agency levels, input to Agency Financial Statements, problem resolution, grantee training, and policy development.  </w:t>
      </w:r>
      <w:r w:rsidR="00DF1BA6" w:rsidRPr="005639E6">
        <w:rPr>
          <w:noProof w:val="0"/>
          <w:sz w:val="24"/>
        </w:rPr>
        <w:t xml:space="preserve">We estimate that NASA employees, in total, spend about 10 hours per report.  We estimate that the average employee performing the functions is at the GS-14 level.  The hourly burdened rate for 2013, with DC </w:t>
      </w:r>
      <w:r w:rsidR="00D31EE8" w:rsidRPr="005639E6">
        <w:rPr>
          <w:noProof w:val="0"/>
          <w:sz w:val="24"/>
        </w:rPr>
        <w:t>differential is $57.13.  Consequently, NASA per report burden is $571.30.  Total burden is $571.30 multiplied by the number of reports, 255, for a total of $145,681.50</w:t>
      </w:r>
      <w:r w:rsidRPr="005639E6">
        <w:rPr>
          <w:noProof w:val="0"/>
          <w:sz w:val="24"/>
        </w:rPr>
        <w:t>.</w:t>
      </w:r>
    </w:p>
    <w:p w:rsidR="00AA2CC4" w:rsidRPr="005639E6" w:rsidRDefault="00AA2CC4">
      <w:pPr>
        <w:rPr>
          <w:noProof w:val="0"/>
          <w:sz w:val="24"/>
        </w:rPr>
      </w:pPr>
    </w:p>
    <w:p w:rsidR="00AA2CC4" w:rsidRDefault="00AA2CC4">
      <w:pPr>
        <w:rPr>
          <w:b/>
          <w:noProof w:val="0"/>
          <w:sz w:val="24"/>
        </w:rPr>
      </w:pPr>
      <w:r w:rsidRPr="005639E6">
        <w:rPr>
          <w:b/>
          <w:noProof w:val="0"/>
          <w:sz w:val="24"/>
        </w:rPr>
        <w:t>15.</w:t>
      </w:r>
      <w:r w:rsidRPr="005639E6">
        <w:rPr>
          <w:noProof w:val="0"/>
          <w:sz w:val="24"/>
        </w:rPr>
        <w:tab/>
      </w:r>
      <w:r w:rsidRPr="005639E6">
        <w:rPr>
          <w:b/>
          <w:noProof w:val="0"/>
          <w:sz w:val="24"/>
        </w:rPr>
        <w:t>Explain the reasons for any program changes or adjustments reported in Items 13 or 14 of the OMB Form 83</w:t>
      </w:r>
      <w:r w:rsidRPr="005639E6">
        <w:rPr>
          <w:b/>
          <w:noProof w:val="0"/>
          <w:sz w:val="24"/>
        </w:rPr>
        <w:noBreakHyphen/>
        <w:t>I.</w:t>
      </w:r>
    </w:p>
    <w:p w:rsidR="00AA2CC4" w:rsidRDefault="00AA2CC4">
      <w:pPr>
        <w:rPr>
          <w:noProof w:val="0"/>
          <w:sz w:val="24"/>
        </w:rPr>
      </w:pPr>
    </w:p>
    <w:p w:rsidR="00AA2CC4" w:rsidRDefault="00135394">
      <w:pPr>
        <w:rPr>
          <w:noProof w:val="0"/>
          <w:sz w:val="24"/>
        </w:rPr>
      </w:pPr>
      <w:r>
        <w:rPr>
          <w:noProof w:val="0"/>
          <w:sz w:val="24"/>
        </w:rPr>
        <w:t xml:space="preserve">There are no program changes.  </w:t>
      </w:r>
      <w:r w:rsidR="00AA2CC4">
        <w:rPr>
          <w:noProof w:val="0"/>
          <w:sz w:val="24"/>
        </w:rPr>
        <w:t>Greater use of information technology has reduced the amount of time needed for recordkeeping as it relates to this collection</w:t>
      </w:r>
    </w:p>
    <w:p w:rsidR="00AA2CC4" w:rsidRDefault="00AA2CC4">
      <w:pPr>
        <w:rPr>
          <w:noProof w:val="0"/>
          <w:sz w:val="24"/>
        </w:rPr>
      </w:pPr>
    </w:p>
    <w:p w:rsidR="00AA2CC4" w:rsidRDefault="00AA2CC4">
      <w:pPr>
        <w:rPr>
          <w:b/>
          <w:sz w:val="24"/>
        </w:rPr>
      </w:pPr>
      <w:r>
        <w:rPr>
          <w:b/>
          <w:sz w:val="24"/>
        </w:rPr>
        <w:t>16.</w:t>
      </w:r>
      <w:r>
        <w:rPr>
          <w:b/>
          <w:sz w:val="24"/>
        </w:rPr>
        <w:tab/>
        <w:t>For collections of information intended for publication, outline plans for tabulation and publication.</w:t>
      </w:r>
    </w:p>
    <w:p w:rsidR="00AA2CC4" w:rsidRDefault="00AA2CC4">
      <w:pPr>
        <w:rPr>
          <w:noProof w:val="0"/>
          <w:sz w:val="24"/>
        </w:rPr>
      </w:pPr>
    </w:p>
    <w:p w:rsidR="00AA2CC4" w:rsidRDefault="00AA2CC4">
      <w:pPr>
        <w:rPr>
          <w:noProof w:val="0"/>
          <w:sz w:val="24"/>
        </w:rPr>
      </w:pPr>
      <w:r>
        <w:rPr>
          <w:noProof w:val="0"/>
          <w:sz w:val="24"/>
        </w:rPr>
        <w:t>Not applicable</w:t>
      </w:r>
    </w:p>
    <w:p w:rsidR="00AA2CC4" w:rsidRDefault="00AA2CC4">
      <w:pPr>
        <w:rPr>
          <w:noProof w:val="0"/>
          <w:sz w:val="24"/>
        </w:rPr>
      </w:pPr>
    </w:p>
    <w:p w:rsidR="00AA2CC4" w:rsidRDefault="00AA2CC4">
      <w:pPr>
        <w:pStyle w:val="BodyText"/>
      </w:pPr>
      <w:r>
        <w:t xml:space="preserve">17.  </w:t>
      </w:r>
      <w:r>
        <w:tab/>
        <w:t>If seeking approval to not display the expiration date for OMB approval of the information collection, explain the reasons that display may be inappropriate.</w:t>
      </w:r>
    </w:p>
    <w:p w:rsidR="00AA2CC4" w:rsidRDefault="00AA2CC4">
      <w:pPr>
        <w:rPr>
          <w:sz w:val="22"/>
        </w:rPr>
      </w:pPr>
    </w:p>
    <w:p w:rsidR="00AA2CC4" w:rsidRDefault="00135394">
      <w:pPr>
        <w:rPr>
          <w:sz w:val="22"/>
        </w:rPr>
      </w:pPr>
      <w:r>
        <w:rPr>
          <w:sz w:val="22"/>
        </w:rPr>
        <w:t>The information collection expiration date</w:t>
      </w:r>
      <w:r w:rsidR="00AA2CC4">
        <w:rPr>
          <w:sz w:val="22"/>
        </w:rPr>
        <w:t xml:space="preserve"> </w:t>
      </w:r>
      <w:r w:rsidR="007E32D4">
        <w:rPr>
          <w:sz w:val="22"/>
        </w:rPr>
        <w:t>will</w:t>
      </w:r>
      <w:r>
        <w:rPr>
          <w:sz w:val="22"/>
        </w:rPr>
        <w:t xml:space="preserve"> </w:t>
      </w:r>
      <w:r w:rsidR="00AA2CC4">
        <w:rPr>
          <w:sz w:val="22"/>
        </w:rPr>
        <w:t>be displayed</w:t>
      </w:r>
      <w:r w:rsidR="00DB4918">
        <w:rPr>
          <w:sz w:val="22"/>
        </w:rPr>
        <w:t xml:space="preserve"> within the PRA Statement.</w:t>
      </w:r>
      <w:r w:rsidR="00553CA2">
        <w:rPr>
          <w:sz w:val="22"/>
        </w:rPr>
        <w:t xml:space="preserve"> </w:t>
      </w:r>
    </w:p>
    <w:p w:rsidR="00AA2CC4" w:rsidRDefault="00AA2CC4">
      <w:pPr>
        <w:rPr>
          <w:sz w:val="22"/>
        </w:rPr>
      </w:pPr>
    </w:p>
    <w:p w:rsidR="00AA2CC4" w:rsidRDefault="00AA2CC4">
      <w:pPr>
        <w:pStyle w:val="BodyText"/>
      </w:pPr>
      <w:r>
        <w:t xml:space="preserve">18.  </w:t>
      </w:r>
      <w:r>
        <w:tab/>
        <w:t>Explain each exception to the certification statement identified in item 19, “Certification for Paperwork Reduction Act Submissions” of OMB Form 83-1.</w:t>
      </w:r>
    </w:p>
    <w:p w:rsidR="00AA2CC4" w:rsidRDefault="00AA2CC4">
      <w:pPr>
        <w:rPr>
          <w:sz w:val="22"/>
        </w:rPr>
      </w:pPr>
    </w:p>
    <w:p w:rsidR="00AA2CC4" w:rsidRDefault="00AE7821">
      <w:pPr>
        <w:rPr>
          <w:sz w:val="22"/>
        </w:rPr>
      </w:pPr>
      <w:r>
        <w:rPr>
          <w:sz w:val="22"/>
        </w:rPr>
        <w:t>NASA Office of Procurement takes no exception to the certification statement</w:t>
      </w:r>
      <w:r w:rsidR="009F097A">
        <w:rPr>
          <w:sz w:val="22"/>
        </w:rPr>
        <w:t xml:space="preserve"> below</w:t>
      </w:r>
      <w:r w:rsidR="00BA36E4">
        <w:rPr>
          <w:sz w:val="22"/>
        </w:rPr>
        <w:t>:</w:t>
      </w:r>
    </w:p>
    <w:p w:rsidR="00AA2CC4" w:rsidRDefault="00AA2CC4">
      <w:pPr>
        <w:rPr>
          <w:noProof w:val="0"/>
          <w:sz w:val="24"/>
        </w:rPr>
      </w:pPr>
    </w:p>
    <w:p w:rsidR="009F097A" w:rsidRPr="00BA36E4" w:rsidRDefault="009F097A" w:rsidP="009F097A">
      <w:pPr>
        <w:rPr>
          <w:rFonts w:ascii="Arial" w:hAnsi="Arial" w:cs="Arial"/>
          <w:i/>
          <w:noProof w:val="0"/>
        </w:rPr>
      </w:pPr>
      <w:r w:rsidRPr="00BA36E4">
        <w:rPr>
          <w:rFonts w:ascii="Arial" w:hAnsi="Arial" w:cs="Arial"/>
          <w:i/>
          <w:noProof w:val="0"/>
        </w:rPr>
        <w:t>The following is a summary of the topics, regarding</w:t>
      </w:r>
      <w:r w:rsidR="00BA36E4">
        <w:rPr>
          <w:rFonts w:ascii="Arial" w:hAnsi="Arial" w:cs="Arial"/>
          <w:i/>
          <w:noProof w:val="0"/>
        </w:rPr>
        <w:t xml:space="preserve"> </w:t>
      </w:r>
      <w:r w:rsidRPr="00BA36E4">
        <w:rPr>
          <w:rFonts w:ascii="Arial" w:hAnsi="Arial" w:cs="Arial"/>
          <w:i/>
          <w:noProof w:val="0"/>
        </w:rPr>
        <w:t>the proposed collection of information,</w:t>
      </w:r>
      <w:r w:rsidR="00BA36E4">
        <w:rPr>
          <w:rFonts w:ascii="Arial" w:hAnsi="Arial" w:cs="Arial"/>
          <w:i/>
          <w:noProof w:val="0"/>
        </w:rPr>
        <w:t xml:space="preserve"> </w:t>
      </w:r>
      <w:r w:rsidRPr="00BA36E4">
        <w:rPr>
          <w:rFonts w:ascii="Arial" w:hAnsi="Arial" w:cs="Arial"/>
          <w:i/>
          <w:noProof w:val="0"/>
        </w:rPr>
        <w:t>that the certification</w:t>
      </w:r>
      <w:r w:rsidR="00BA36E4">
        <w:rPr>
          <w:rFonts w:ascii="Arial" w:hAnsi="Arial" w:cs="Arial"/>
          <w:i/>
          <w:noProof w:val="0"/>
        </w:rPr>
        <w:t xml:space="preserve"> </w:t>
      </w:r>
      <w:r w:rsidRPr="00BA36E4">
        <w:rPr>
          <w:rFonts w:ascii="Arial" w:hAnsi="Arial" w:cs="Arial"/>
          <w:i/>
          <w:noProof w:val="0"/>
        </w:rPr>
        <w:t>covers:</w:t>
      </w:r>
    </w:p>
    <w:p w:rsidR="009F097A" w:rsidRPr="00BA36E4" w:rsidRDefault="009F097A" w:rsidP="00BA36E4">
      <w:pPr>
        <w:ind w:left="720"/>
        <w:rPr>
          <w:rFonts w:ascii="Arial" w:hAnsi="Arial" w:cs="Arial"/>
          <w:i/>
          <w:noProof w:val="0"/>
        </w:rPr>
      </w:pPr>
      <w:r w:rsidRPr="00BA36E4">
        <w:rPr>
          <w:rFonts w:ascii="Arial" w:hAnsi="Arial" w:cs="Arial"/>
          <w:i/>
          <w:noProof w:val="0"/>
        </w:rPr>
        <w:t>(a) It is necessary for the proper performance of agency functions;</w:t>
      </w:r>
    </w:p>
    <w:p w:rsidR="009F097A" w:rsidRPr="00BA36E4" w:rsidRDefault="009F097A" w:rsidP="00BA36E4">
      <w:pPr>
        <w:ind w:left="720"/>
        <w:rPr>
          <w:rFonts w:ascii="Arial" w:hAnsi="Arial" w:cs="Arial"/>
          <w:i/>
          <w:noProof w:val="0"/>
        </w:rPr>
      </w:pPr>
      <w:r w:rsidRPr="00BA36E4">
        <w:rPr>
          <w:rFonts w:ascii="Arial" w:hAnsi="Arial" w:cs="Arial"/>
          <w:i/>
          <w:noProof w:val="0"/>
        </w:rPr>
        <w:t>(b) It avoids unnecessary duplication;</w:t>
      </w:r>
    </w:p>
    <w:p w:rsidR="009F097A" w:rsidRPr="00BA36E4" w:rsidRDefault="009F097A" w:rsidP="00BA36E4">
      <w:pPr>
        <w:ind w:left="720"/>
        <w:rPr>
          <w:rFonts w:ascii="Arial" w:hAnsi="Arial" w:cs="Arial"/>
          <w:i/>
          <w:noProof w:val="0"/>
        </w:rPr>
      </w:pPr>
      <w:r w:rsidRPr="00BA36E4">
        <w:rPr>
          <w:rFonts w:ascii="Arial" w:hAnsi="Arial" w:cs="Arial"/>
          <w:i/>
          <w:noProof w:val="0"/>
        </w:rPr>
        <w:t xml:space="preserve">(c) It </w:t>
      </w:r>
      <w:r w:rsidR="005A4D6A" w:rsidRPr="00BA36E4">
        <w:rPr>
          <w:rFonts w:ascii="Arial" w:hAnsi="Arial" w:cs="Arial"/>
          <w:i/>
          <w:noProof w:val="0"/>
        </w:rPr>
        <w:t>reduces burden reduction for</w:t>
      </w:r>
      <w:r w:rsidRPr="00BA36E4">
        <w:rPr>
          <w:rFonts w:ascii="Arial" w:hAnsi="Arial" w:cs="Arial"/>
          <w:i/>
          <w:noProof w:val="0"/>
        </w:rPr>
        <w:t xml:space="preserve"> small entities;</w:t>
      </w:r>
    </w:p>
    <w:p w:rsidR="009F097A" w:rsidRPr="00BA36E4" w:rsidRDefault="009F097A" w:rsidP="00BA36E4">
      <w:pPr>
        <w:ind w:left="720"/>
        <w:rPr>
          <w:rFonts w:ascii="Arial" w:hAnsi="Arial" w:cs="Arial"/>
          <w:i/>
          <w:noProof w:val="0"/>
        </w:rPr>
      </w:pPr>
      <w:r w:rsidRPr="00BA36E4">
        <w:rPr>
          <w:rFonts w:ascii="Arial" w:hAnsi="Arial" w:cs="Arial"/>
          <w:i/>
          <w:noProof w:val="0"/>
        </w:rPr>
        <w:t>(d) It uses plain, coherent, and unambiguous language that is understandable to respondents;</w:t>
      </w:r>
    </w:p>
    <w:p w:rsidR="009F097A" w:rsidRPr="00BA36E4" w:rsidRDefault="009F097A" w:rsidP="00BA36E4">
      <w:pPr>
        <w:ind w:left="720"/>
        <w:rPr>
          <w:rFonts w:ascii="Arial" w:hAnsi="Arial" w:cs="Arial"/>
          <w:i/>
          <w:noProof w:val="0"/>
        </w:rPr>
      </w:pPr>
      <w:r w:rsidRPr="00BA36E4">
        <w:rPr>
          <w:rFonts w:ascii="Arial" w:hAnsi="Arial" w:cs="Arial"/>
          <w:i/>
          <w:noProof w:val="0"/>
        </w:rPr>
        <w:t>(e) Its implementation will be consistent and compatible with current reporting and recordkeeping practices;</w:t>
      </w:r>
    </w:p>
    <w:p w:rsidR="009F097A" w:rsidRPr="00BA36E4" w:rsidRDefault="009F097A" w:rsidP="00BA36E4">
      <w:pPr>
        <w:ind w:left="720"/>
        <w:rPr>
          <w:rFonts w:ascii="Arial" w:hAnsi="Arial" w:cs="Arial"/>
          <w:i/>
          <w:noProof w:val="0"/>
        </w:rPr>
      </w:pPr>
      <w:r w:rsidRPr="00BA36E4">
        <w:rPr>
          <w:rFonts w:ascii="Arial" w:hAnsi="Arial" w:cs="Arial"/>
          <w:i/>
          <w:noProof w:val="0"/>
        </w:rPr>
        <w:t>(f) It indicates the retention periods for recordkeeping requirements;</w:t>
      </w:r>
    </w:p>
    <w:p w:rsidR="009F097A" w:rsidRPr="00BA36E4" w:rsidRDefault="009F097A" w:rsidP="00BA36E4">
      <w:pPr>
        <w:ind w:left="720"/>
        <w:rPr>
          <w:rFonts w:ascii="Arial" w:hAnsi="Arial" w:cs="Arial"/>
          <w:i/>
          <w:noProof w:val="0"/>
        </w:rPr>
      </w:pPr>
      <w:r w:rsidRPr="00BA36E4">
        <w:rPr>
          <w:rFonts w:ascii="Arial" w:hAnsi="Arial" w:cs="Arial"/>
          <w:i/>
          <w:noProof w:val="0"/>
        </w:rPr>
        <w:t>(g) It informs respondents of the information called for under 5 CFR 1320.8(b)(3) about:</w:t>
      </w:r>
    </w:p>
    <w:p w:rsidR="009F097A" w:rsidRPr="00BA36E4" w:rsidRDefault="009F097A" w:rsidP="00BA36E4">
      <w:pPr>
        <w:ind w:left="720"/>
        <w:rPr>
          <w:rFonts w:ascii="Arial" w:hAnsi="Arial" w:cs="Arial"/>
          <w:i/>
          <w:noProof w:val="0"/>
        </w:rPr>
      </w:pPr>
      <w:r w:rsidRPr="00BA36E4">
        <w:rPr>
          <w:rFonts w:ascii="Arial" w:hAnsi="Arial" w:cs="Arial"/>
          <w:i/>
          <w:noProof w:val="0"/>
        </w:rPr>
        <w:t>(i) Why the information is being collected;</w:t>
      </w:r>
    </w:p>
    <w:p w:rsidR="009F097A" w:rsidRPr="00BA36E4" w:rsidRDefault="009F097A" w:rsidP="00BA36E4">
      <w:pPr>
        <w:ind w:left="720"/>
        <w:rPr>
          <w:rFonts w:ascii="Arial" w:hAnsi="Arial" w:cs="Arial"/>
          <w:i/>
          <w:noProof w:val="0"/>
        </w:rPr>
      </w:pPr>
      <w:r w:rsidRPr="00BA36E4">
        <w:rPr>
          <w:rFonts w:ascii="Arial" w:hAnsi="Arial" w:cs="Arial"/>
          <w:i/>
          <w:noProof w:val="0"/>
        </w:rPr>
        <w:t>(ii) Use of information;</w:t>
      </w:r>
    </w:p>
    <w:p w:rsidR="009F097A" w:rsidRPr="00BA36E4" w:rsidRDefault="009F097A" w:rsidP="00BA36E4">
      <w:pPr>
        <w:ind w:left="720"/>
        <w:rPr>
          <w:rFonts w:ascii="Arial" w:hAnsi="Arial" w:cs="Arial"/>
          <w:i/>
          <w:noProof w:val="0"/>
        </w:rPr>
      </w:pPr>
      <w:r w:rsidRPr="00BA36E4">
        <w:rPr>
          <w:rFonts w:ascii="Arial" w:hAnsi="Arial" w:cs="Arial"/>
          <w:i/>
          <w:noProof w:val="0"/>
        </w:rPr>
        <w:t>(iii) Burden estimate;</w:t>
      </w:r>
    </w:p>
    <w:p w:rsidR="009F097A" w:rsidRPr="00BA36E4" w:rsidRDefault="009F097A" w:rsidP="00BA36E4">
      <w:pPr>
        <w:ind w:left="720"/>
        <w:rPr>
          <w:rFonts w:ascii="Arial" w:hAnsi="Arial" w:cs="Arial"/>
          <w:i/>
          <w:noProof w:val="0"/>
        </w:rPr>
      </w:pPr>
      <w:r w:rsidRPr="00BA36E4">
        <w:rPr>
          <w:rFonts w:ascii="Arial" w:hAnsi="Arial" w:cs="Arial"/>
          <w:i/>
          <w:noProof w:val="0"/>
        </w:rPr>
        <w:t>(iv) Nature of response (voluntary, required for a benefit, or mandatory);</w:t>
      </w:r>
    </w:p>
    <w:p w:rsidR="009F097A" w:rsidRPr="00BA36E4" w:rsidRDefault="009F097A" w:rsidP="00BA36E4">
      <w:pPr>
        <w:ind w:left="720"/>
        <w:rPr>
          <w:rFonts w:ascii="Arial" w:hAnsi="Arial" w:cs="Arial"/>
          <w:i/>
          <w:noProof w:val="0"/>
        </w:rPr>
      </w:pPr>
      <w:r w:rsidRPr="00BA36E4">
        <w:rPr>
          <w:rFonts w:ascii="Arial" w:hAnsi="Arial" w:cs="Arial"/>
          <w:i/>
          <w:noProof w:val="0"/>
        </w:rPr>
        <w:t>(v) Nature and extent of confidentiality; and</w:t>
      </w:r>
    </w:p>
    <w:p w:rsidR="009F097A" w:rsidRPr="00BA36E4" w:rsidRDefault="009F097A" w:rsidP="00BA36E4">
      <w:pPr>
        <w:ind w:left="720"/>
        <w:rPr>
          <w:rFonts w:ascii="Arial" w:hAnsi="Arial" w:cs="Arial"/>
          <w:i/>
          <w:noProof w:val="0"/>
        </w:rPr>
      </w:pPr>
      <w:r w:rsidRPr="00BA36E4">
        <w:rPr>
          <w:rFonts w:ascii="Arial" w:hAnsi="Arial" w:cs="Arial"/>
          <w:i/>
          <w:noProof w:val="0"/>
        </w:rPr>
        <w:t>(vi) Need to display currently valid OMB control number;</w:t>
      </w:r>
    </w:p>
    <w:p w:rsidR="009F097A" w:rsidRPr="00BA36E4" w:rsidRDefault="009F097A" w:rsidP="00BA36E4">
      <w:pPr>
        <w:ind w:left="720"/>
        <w:rPr>
          <w:rFonts w:ascii="Arial" w:hAnsi="Arial" w:cs="Arial"/>
          <w:i/>
          <w:noProof w:val="0"/>
        </w:rPr>
      </w:pPr>
      <w:r w:rsidRPr="00BA36E4">
        <w:rPr>
          <w:rFonts w:ascii="Arial" w:hAnsi="Arial" w:cs="Arial"/>
          <w:i/>
          <w:noProof w:val="0"/>
        </w:rPr>
        <w:lastRenderedPageBreak/>
        <w:t>(h) It was developed by an office that has planned and allocated resources for the efficient and effective</w:t>
      </w:r>
      <w:r w:rsidR="00BA36E4">
        <w:rPr>
          <w:rFonts w:ascii="Arial" w:hAnsi="Arial" w:cs="Arial"/>
          <w:i/>
          <w:noProof w:val="0"/>
        </w:rPr>
        <w:t xml:space="preserve"> </w:t>
      </w:r>
      <w:r w:rsidRPr="00BA36E4">
        <w:rPr>
          <w:rFonts w:ascii="Arial" w:hAnsi="Arial" w:cs="Arial"/>
          <w:i/>
          <w:noProof w:val="0"/>
        </w:rPr>
        <w:t>management and use of the information to be collected (see note in Item 19 of the instructions);</w:t>
      </w:r>
    </w:p>
    <w:p w:rsidR="009F097A" w:rsidRPr="00BA36E4" w:rsidRDefault="009F097A" w:rsidP="00BA36E4">
      <w:pPr>
        <w:ind w:left="720"/>
        <w:rPr>
          <w:rFonts w:ascii="Arial" w:hAnsi="Arial" w:cs="Arial"/>
          <w:i/>
          <w:noProof w:val="0"/>
        </w:rPr>
      </w:pPr>
      <w:r w:rsidRPr="00BA36E4">
        <w:rPr>
          <w:rFonts w:ascii="Arial" w:hAnsi="Arial" w:cs="Arial"/>
          <w:i/>
          <w:noProof w:val="0"/>
        </w:rPr>
        <w:t>(i) If applicable, it uses effective and efficient statistical survey methodology; and</w:t>
      </w:r>
    </w:p>
    <w:p w:rsidR="009F097A" w:rsidRPr="00BA36E4" w:rsidRDefault="009F097A" w:rsidP="00BA36E4">
      <w:pPr>
        <w:ind w:left="720"/>
        <w:rPr>
          <w:rFonts w:ascii="Arial" w:hAnsi="Arial" w:cs="Arial"/>
          <w:i/>
          <w:noProof w:val="0"/>
        </w:rPr>
      </w:pPr>
      <w:r w:rsidRPr="00BA36E4">
        <w:rPr>
          <w:rFonts w:ascii="Arial" w:hAnsi="Arial" w:cs="Arial"/>
          <w:i/>
          <w:noProof w:val="0"/>
        </w:rPr>
        <w:t>(j) It makes appropriate use of information technology.</w:t>
      </w:r>
    </w:p>
    <w:p w:rsidR="00AA2CC4" w:rsidRDefault="00AA2CC4">
      <w:pPr>
        <w:rPr>
          <w:noProof w:val="0"/>
          <w:sz w:val="24"/>
        </w:rPr>
      </w:pPr>
    </w:p>
    <w:p w:rsidR="00F4123C" w:rsidRPr="00B46236" w:rsidRDefault="00F4123C" w:rsidP="00F4123C">
      <w:pPr>
        <w:outlineLvl w:val="0"/>
        <w:rPr>
          <w:b/>
          <w:bCs/>
          <w:sz w:val="24"/>
          <w:szCs w:val="24"/>
        </w:rPr>
      </w:pPr>
      <w:r w:rsidRPr="00B46236">
        <w:rPr>
          <w:b/>
          <w:bCs/>
          <w:sz w:val="24"/>
          <w:szCs w:val="24"/>
        </w:rPr>
        <w:t>B. Collections of Information Employing Statistical Methods</w:t>
      </w:r>
    </w:p>
    <w:p w:rsidR="00F4123C" w:rsidRPr="00DC217E" w:rsidRDefault="00F4123C" w:rsidP="00F4123C">
      <w:pPr>
        <w:outlineLvl w:val="0"/>
        <w:rPr>
          <w:rFonts w:ascii="Times Roman" w:hAnsi="Times Roman"/>
          <w:b/>
          <w:sz w:val="24"/>
          <w:szCs w:val="24"/>
        </w:rPr>
      </w:pPr>
      <w:r w:rsidRPr="00DC217E">
        <w:rPr>
          <w:rFonts w:ascii="Times Roman" w:hAnsi="Times Roman"/>
          <w:b/>
          <w:sz w:val="24"/>
          <w:szCs w:val="24"/>
        </w:rPr>
        <w:t xml:space="preserve"> </w:t>
      </w:r>
    </w:p>
    <w:p w:rsidR="00AA2CC4" w:rsidRDefault="00E61F88" w:rsidP="00F4123C">
      <w:r>
        <w:t>Not Applicable.</w:t>
      </w:r>
    </w:p>
    <w:p w:rsidR="00D31EE8" w:rsidRDefault="00D31EE8" w:rsidP="00F4123C"/>
    <w:p w:rsidR="00D31EE8" w:rsidRDefault="00D31EE8" w:rsidP="00F4123C"/>
    <w:p w:rsidR="00D31EE8" w:rsidRDefault="00D31EE8" w:rsidP="00F4123C"/>
    <w:p w:rsidR="00D31EE8" w:rsidRDefault="00D31EE8" w:rsidP="00F4123C"/>
    <w:sectPr w:rsidR="00D31EE8">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216" w:rsidRDefault="00AD6216">
      <w:r>
        <w:separator/>
      </w:r>
    </w:p>
  </w:endnote>
  <w:endnote w:type="continuationSeparator" w:id="0">
    <w:p w:rsidR="00AD6216" w:rsidRDefault="00AD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88" w:rsidRDefault="00E61F88">
    <w:pPr>
      <w:pStyle w:val="Footer"/>
      <w:jc w:val="right"/>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D51487">
      <w:rPr>
        <w:rStyle w:val="PageNumber"/>
        <w:sz w:val="24"/>
      </w:rPr>
      <w:t>5</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216" w:rsidRDefault="00AD6216">
      <w:r>
        <w:separator/>
      </w:r>
    </w:p>
  </w:footnote>
  <w:footnote w:type="continuationSeparator" w:id="0">
    <w:p w:rsidR="00AD6216" w:rsidRDefault="00AD6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2C3C"/>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1">
    <w:nsid w:val="0C5A0C1B"/>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66"/>
    <w:rsid w:val="000347B6"/>
    <w:rsid w:val="00096BF7"/>
    <w:rsid w:val="000A4F76"/>
    <w:rsid w:val="001228A4"/>
    <w:rsid w:val="00135394"/>
    <w:rsid w:val="001524AD"/>
    <w:rsid w:val="001A35AB"/>
    <w:rsid w:val="001F49B1"/>
    <w:rsid w:val="0024787A"/>
    <w:rsid w:val="002B18C3"/>
    <w:rsid w:val="003159D9"/>
    <w:rsid w:val="00375B34"/>
    <w:rsid w:val="003A432C"/>
    <w:rsid w:val="003A7709"/>
    <w:rsid w:val="003C6E28"/>
    <w:rsid w:val="003D2ECB"/>
    <w:rsid w:val="00441528"/>
    <w:rsid w:val="00447D10"/>
    <w:rsid w:val="004717C1"/>
    <w:rsid w:val="00477BCC"/>
    <w:rsid w:val="00553CA2"/>
    <w:rsid w:val="00562449"/>
    <w:rsid w:val="005639E6"/>
    <w:rsid w:val="005A4D6A"/>
    <w:rsid w:val="005E630A"/>
    <w:rsid w:val="005F7A8A"/>
    <w:rsid w:val="006861B4"/>
    <w:rsid w:val="006D465C"/>
    <w:rsid w:val="006D4B8B"/>
    <w:rsid w:val="006E4A95"/>
    <w:rsid w:val="006F4A45"/>
    <w:rsid w:val="00737330"/>
    <w:rsid w:val="007E32D4"/>
    <w:rsid w:val="0083782A"/>
    <w:rsid w:val="008B13F7"/>
    <w:rsid w:val="00913B1D"/>
    <w:rsid w:val="00933991"/>
    <w:rsid w:val="00951B32"/>
    <w:rsid w:val="009A63B6"/>
    <w:rsid w:val="009B3B40"/>
    <w:rsid w:val="009D2793"/>
    <w:rsid w:val="009F097A"/>
    <w:rsid w:val="00A67287"/>
    <w:rsid w:val="00AA2CC4"/>
    <w:rsid w:val="00AA6C75"/>
    <w:rsid w:val="00AB49C5"/>
    <w:rsid w:val="00AD6216"/>
    <w:rsid w:val="00AE1DB3"/>
    <w:rsid w:val="00AE7821"/>
    <w:rsid w:val="00B851E4"/>
    <w:rsid w:val="00B970E5"/>
    <w:rsid w:val="00BA36E4"/>
    <w:rsid w:val="00BF2683"/>
    <w:rsid w:val="00C93841"/>
    <w:rsid w:val="00CC024C"/>
    <w:rsid w:val="00D01A1B"/>
    <w:rsid w:val="00D2594E"/>
    <w:rsid w:val="00D31EE8"/>
    <w:rsid w:val="00D51487"/>
    <w:rsid w:val="00DB4918"/>
    <w:rsid w:val="00DF1BA6"/>
    <w:rsid w:val="00E110D0"/>
    <w:rsid w:val="00E21666"/>
    <w:rsid w:val="00E33A3D"/>
    <w:rsid w:val="00E61F88"/>
    <w:rsid w:val="00EB73C4"/>
    <w:rsid w:val="00EC0AF5"/>
    <w:rsid w:val="00F4123C"/>
    <w:rsid w:val="00FE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noProof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450"/>
    </w:pPr>
    <w:rPr>
      <w:noProof w:val="0"/>
      <w:sz w:val="24"/>
    </w:rPr>
  </w:style>
  <w:style w:type="paragraph" w:styleId="BodyText3">
    <w:name w:val="Body Text 3"/>
    <w:basedOn w:val="Normal"/>
    <w:rPr>
      <w:noProof w:val="0"/>
      <w:sz w:val="24"/>
    </w:rPr>
  </w:style>
  <w:style w:type="table" w:styleId="TableGrid">
    <w:name w:val="Table Grid"/>
    <w:basedOn w:val="TableNormal"/>
    <w:uiPriority w:val="59"/>
    <w:rsid w:val="00F41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semiHidden/>
    <w:pPr>
      <w:ind w:left="400" w:hanging="400"/>
    </w:pPr>
  </w:style>
  <w:style w:type="paragraph" w:styleId="BalloonText">
    <w:name w:val="Balloon Text"/>
    <w:basedOn w:val="Normal"/>
    <w:link w:val="BalloonTextChar"/>
    <w:rsid w:val="006D465C"/>
    <w:rPr>
      <w:rFonts w:ascii="Tahoma" w:hAnsi="Tahoma" w:cs="Tahoma"/>
      <w:sz w:val="16"/>
      <w:szCs w:val="16"/>
    </w:rPr>
  </w:style>
  <w:style w:type="character" w:customStyle="1" w:styleId="BalloonTextChar">
    <w:name w:val="Balloon Text Char"/>
    <w:basedOn w:val="DefaultParagraphFont"/>
    <w:link w:val="BalloonText"/>
    <w:rsid w:val="006D465C"/>
    <w:rPr>
      <w:rFonts w:ascii="Tahoma" w:hAnsi="Tahoma" w:cs="Tahoma"/>
      <w:noProof/>
      <w:sz w:val="16"/>
      <w:szCs w:val="16"/>
    </w:rPr>
  </w:style>
  <w:style w:type="character" w:styleId="CommentReference">
    <w:name w:val="annotation reference"/>
    <w:basedOn w:val="DefaultParagraphFont"/>
    <w:rsid w:val="003C6E28"/>
    <w:rPr>
      <w:sz w:val="16"/>
      <w:szCs w:val="16"/>
    </w:rPr>
  </w:style>
  <w:style w:type="paragraph" w:styleId="CommentText">
    <w:name w:val="annotation text"/>
    <w:basedOn w:val="Normal"/>
    <w:link w:val="CommentTextChar"/>
    <w:rsid w:val="003C6E28"/>
  </w:style>
  <w:style w:type="character" w:customStyle="1" w:styleId="CommentTextChar">
    <w:name w:val="Comment Text Char"/>
    <w:basedOn w:val="DefaultParagraphFont"/>
    <w:link w:val="CommentText"/>
    <w:rsid w:val="003C6E28"/>
    <w:rPr>
      <w:noProof/>
    </w:rPr>
  </w:style>
  <w:style w:type="paragraph" w:styleId="CommentSubject">
    <w:name w:val="annotation subject"/>
    <w:basedOn w:val="CommentText"/>
    <w:next w:val="CommentText"/>
    <w:link w:val="CommentSubjectChar"/>
    <w:rsid w:val="003C6E28"/>
    <w:rPr>
      <w:b/>
      <w:bCs/>
    </w:rPr>
  </w:style>
  <w:style w:type="character" w:customStyle="1" w:styleId="CommentSubjectChar">
    <w:name w:val="Comment Subject Char"/>
    <w:basedOn w:val="CommentTextChar"/>
    <w:link w:val="CommentSubject"/>
    <w:rsid w:val="003C6E28"/>
    <w:rPr>
      <w:b/>
      <w:bCs/>
      <w:noProof/>
    </w:rPr>
  </w:style>
  <w:style w:type="character" w:styleId="Hyperlink">
    <w:name w:val="Hyperlink"/>
    <w:uiPriority w:val="99"/>
    <w:unhideWhenUsed/>
    <w:rsid w:val="001F49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noProof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450"/>
    </w:pPr>
    <w:rPr>
      <w:noProof w:val="0"/>
      <w:sz w:val="24"/>
    </w:rPr>
  </w:style>
  <w:style w:type="paragraph" w:styleId="BodyText3">
    <w:name w:val="Body Text 3"/>
    <w:basedOn w:val="Normal"/>
    <w:rPr>
      <w:noProof w:val="0"/>
      <w:sz w:val="24"/>
    </w:rPr>
  </w:style>
  <w:style w:type="table" w:styleId="TableGrid">
    <w:name w:val="Table Grid"/>
    <w:basedOn w:val="TableNormal"/>
    <w:uiPriority w:val="59"/>
    <w:rsid w:val="00F41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semiHidden/>
    <w:pPr>
      <w:ind w:left="400" w:hanging="400"/>
    </w:pPr>
  </w:style>
  <w:style w:type="paragraph" w:styleId="BalloonText">
    <w:name w:val="Balloon Text"/>
    <w:basedOn w:val="Normal"/>
    <w:link w:val="BalloonTextChar"/>
    <w:rsid w:val="006D465C"/>
    <w:rPr>
      <w:rFonts w:ascii="Tahoma" w:hAnsi="Tahoma" w:cs="Tahoma"/>
      <w:sz w:val="16"/>
      <w:szCs w:val="16"/>
    </w:rPr>
  </w:style>
  <w:style w:type="character" w:customStyle="1" w:styleId="BalloonTextChar">
    <w:name w:val="Balloon Text Char"/>
    <w:basedOn w:val="DefaultParagraphFont"/>
    <w:link w:val="BalloonText"/>
    <w:rsid w:val="006D465C"/>
    <w:rPr>
      <w:rFonts w:ascii="Tahoma" w:hAnsi="Tahoma" w:cs="Tahoma"/>
      <w:noProof/>
      <w:sz w:val="16"/>
      <w:szCs w:val="16"/>
    </w:rPr>
  </w:style>
  <w:style w:type="character" w:styleId="CommentReference">
    <w:name w:val="annotation reference"/>
    <w:basedOn w:val="DefaultParagraphFont"/>
    <w:rsid w:val="003C6E28"/>
    <w:rPr>
      <w:sz w:val="16"/>
      <w:szCs w:val="16"/>
    </w:rPr>
  </w:style>
  <w:style w:type="paragraph" w:styleId="CommentText">
    <w:name w:val="annotation text"/>
    <w:basedOn w:val="Normal"/>
    <w:link w:val="CommentTextChar"/>
    <w:rsid w:val="003C6E28"/>
  </w:style>
  <w:style w:type="character" w:customStyle="1" w:styleId="CommentTextChar">
    <w:name w:val="Comment Text Char"/>
    <w:basedOn w:val="DefaultParagraphFont"/>
    <w:link w:val="CommentText"/>
    <w:rsid w:val="003C6E28"/>
    <w:rPr>
      <w:noProof/>
    </w:rPr>
  </w:style>
  <w:style w:type="paragraph" w:styleId="CommentSubject">
    <w:name w:val="annotation subject"/>
    <w:basedOn w:val="CommentText"/>
    <w:next w:val="CommentText"/>
    <w:link w:val="CommentSubjectChar"/>
    <w:rsid w:val="003C6E28"/>
    <w:rPr>
      <w:b/>
      <w:bCs/>
    </w:rPr>
  </w:style>
  <w:style w:type="character" w:customStyle="1" w:styleId="CommentSubjectChar">
    <w:name w:val="Comment Subject Char"/>
    <w:basedOn w:val="CommentTextChar"/>
    <w:link w:val="CommentSubject"/>
    <w:rsid w:val="003C6E28"/>
    <w:rPr>
      <w:b/>
      <w:bCs/>
      <w:noProof/>
    </w:rPr>
  </w:style>
  <w:style w:type="character" w:styleId="Hyperlink">
    <w:name w:val="Hyperlink"/>
    <w:uiPriority w:val="99"/>
    <w:unhideWhenUsed/>
    <w:rsid w:val="001F4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049771">
      <w:bodyDiv w:val="1"/>
      <w:marLeft w:val="0"/>
      <w:marRight w:val="0"/>
      <w:marTop w:val="0"/>
      <w:marBottom w:val="0"/>
      <w:divBdr>
        <w:top w:val="none" w:sz="0" w:space="0" w:color="auto"/>
        <w:left w:val="none" w:sz="0" w:space="0" w:color="auto"/>
        <w:bottom w:val="none" w:sz="0" w:space="0" w:color="auto"/>
        <w:right w:val="none" w:sz="0" w:space="0" w:color="auto"/>
      </w:divBdr>
      <w:divsChild>
        <w:div w:id="348604205">
          <w:marLeft w:val="0"/>
          <w:marRight w:val="0"/>
          <w:marTop w:val="0"/>
          <w:marBottom w:val="0"/>
          <w:divBdr>
            <w:top w:val="none" w:sz="0" w:space="0" w:color="auto"/>
            <w:left w:val="none" w:sz="0" w:space="0" w:color="auto"/>
            <w:bottom w:val="none" w:sz="0" w:space="0" w:color="auto"/>
            <w:right w:val="none" w:sz="0" w:space="0" w:color="auto"/>
          </w:divBdr>
        </w:div>
        <w:div w:id="931859865">
          <w:marLeft w:val="0"/>
          <w:marRight w:val="0"/>
          <w:marTop w:val="0"/>
          <w:marBottom w:val="0"/>
          <w:divBdr>
            <w:top w:val="none" w:sz="0" w:space="0" w:color="auto"/>
            <w:left w:val="none" w:sz="0" w:space="0" w:color="auto"/>
            <w:bottom w:val="none" w:sz="0" w:space="0" w:color="auto"/>
            <w:right w:val="none" w:sz="0" w:space="0" w:color="auto"/>
          </w:divBdr>
        </w:div>
        <w:div w:id="655691821">
          <w:marLeft w:val="0"/>
          <w:marRight w:val="0"/>
          <w:marTop w:val="0"/>
          <w:marBottom w:val="0"/>
          <w:divBdr>
            <w:top w:val="none" w:sz="0" w:space="0" w:color="auto"/>
            <w:left w:val="none" w:sz="0" w:space="0" w:color="auto"/>
            <w:bottom w:val="none" w:sz="0" w:space="0" w:color="auto"/>
            <w:right w:val="none" w:sz="0" w:space="0" w:color="auto"/>
          </w:divBdr>
        </w:div>
        <w:div w:id="492525471">
          <w:marLeft w:val="0"/>
          <w:marRight w:val="0"/>
          <w:marTop w:val="0"/>
          <w:marBottom w:val="0"/>
          <w:divBdr>
            <w:top w:val="none" w:sz="0" w:space="0" w:color="auto"/>
            <w:left w:val="none" w:sz="0" w:space="0" w:color="auto"/>
            <w:bottom w:val="none" w:sz="0" w:space="0" w:color="auto"/>
            <w:right w:val="none" w:sz="0" w:space="0" w:color="auto"/>
          </w:divBdr>
        </w:div>
        <w:div w:id="157236528">
          <w:marLeft w:val="0"/>
          <w:marRight w:val="0"/>
          <w:marTop w:val="0"/>
          <w:marBottom w:val="0"/>
          <w:divBdr>
            <w:top w:val="none" w:sz="0" w:space="0" w:color="auto"/>
            <w:left w:val="none" w:sz="0" w:space="0" w:color="auto"/>
            <w:bottom w:val="none" w:sz="0" w:space="0" w:color="auto"/>
            <w:right w:val="none" w:sz="0" w:space="0" w:color="auto"/>
          </w:divBdr>
        </w:div>
        <w:div w:id="1847206873">
          <w:marLeft w:val="0"/>
          <w:marRight w:val="0"/>
          <w:marTop w:val="0"/>
          <w:marBottom w:val="0"/>
          <w:divBdr>
            <w:top w:val="none" w:sz="0" w:space="0" w:color="auto"/>
            <w:left w:val="none" w:sz="0" w:space="0" w:color="auto"/>
            <w:bottom w:val="none" w:sz="0" w:space="0" w:color="auto"/>
            <w:right w:val="none" w:sz="0" w:space="0" w:color="auto"/>
          </w:divBdr>
        </w:div>
        <w:div w:id="1331903680">
          <w:marLeft w:val="0"/>
          <w:marRight w:val="0"/>
          <w:marTop w:val="0"/>
          <w:marBottom w:val="0"/>
          <w:divBdr>
            <w:top w:val="none" w:sz="0" w:space="0" w:color="auto"/>
            <w:left w:val="none" w:sz="0" w:space="0" w:color="auto"/>
            <w:bottom w:val="none" w:sz="0" w:space="0" w:color="auto"/>
            <w:right w:val="none" w:sz="0" w:space="0" w:color="auto"/>
          </w:divBdr>
        </w:div>
        <w:div w:id="548957127">
          <w:marLeft w:val="0"/>
          <w:marRight w:val="0"/>
          <w:marTop w:val="0"/>
          <w:marBottom w:val="0"/>
          <w:divBdr>
            <w:top w:val="none" w:sz="0" w:space="0" w:color="auto"/>
            <w:left w:val="none" w:sz="0" w:space="0" w:color="auto"/>
            <w:bottom w:val="none" w:sz="0" w:space="0" w:color="auto"/>
            <w:right w:val="none" w:sz="0" w:space="0" w:color="auto"/>
          </w:divBdr>
        </w:div>
        <w:div w:id="1616671588">
          <w:marLeft w:val="0"/>
          <w:marRight w:val="0"/>
          <w:marTop w:val="0"/>
          <w:marBottom w:val="0"/>
          <w:divBdr>
            <w:top w:val="none" w:sz="0" w:space="0" w:color="auto"/>
            <w:left w:val="none" w:sz="0" w:space="0" w:color="auto"/>
            <w:bottom w:val="none" w:sz="0" w:space="0" w:color="auto"/>
            <w:right w:val="none" w:sz="0" w:space="0" w:color="auto"/>
          </w:divBdr>
        </w:div>
        <w:div w:id="1584803926">
          <w:marLeft w:val="0"/>
          <w:marRight w:val="0"/>
          <w:marTop w:val="0"/>
          <w:marBottom w:val="0"/>
          <w:divBdr>
            <w:top w:val="none" w:sz="0" w:space="0" w:color="auto"/>
            <w:left w:val="none" w:sz="0" w:space="0" w:color="auto"/>
            <w:bottom w:val="none" w:sz="0" w:space="0" w:color="auto"/>
            <w:right w:val="none" w:sz="0" w:space="0" w:color="auto"/>
          </w:divBdr>
        </w:div>
        <w:div w:id="1910655918">
          <w:marLeft w:val="0"/>
          <w:marRight w:val="0"/>
          <w:marTop w:val="0"/>
          <w:marBottom w:val="0"/>
          <w:divBdr>
            <w:top w:val="none" w:sz="0" w:space="0" w:color="auto"/>
            <w:left w:val="none" w:sz="0" w:space="0" w:color="auto"/>
            <w:bottom w:val="none" w:sz="0" w:space="0" w:color="auto"/>
            <w:right w:val="none" w:sz="0" w:space="0" w:color="auto"/>
          </w:divBdr>
        </w:div>
        <w:div w:id="1620725735">
          <w:marLeft w:val="0"/>
          <w:marRight w:val="0"/>
          <w:marTop w:val="0"/>
          <w:marBottom w:val="0"/>
          <w:divBdr>
            <w:top w:val="none" w:sz="0" w:space="0" w:color="auto"/>
            <w:left w:val="none" w:sz="0" w:space="0" w:color="auto"/>
            <w:bottom w:val="none" w:sz="0" w:space="0" w:color="auto"/>
            <w:right w:val="none" w:sz="0" w:space="0" w:color="auto"/>
          </w:divBdr>
        </w:div>
        <w:div w:id="1581914553">
          <w:marLeft w:val="0"/>
          <w:marRight w:val="0"/>
          <w:marTop w:val="0"/>
          <w:marBottom w:val="0"/>
          <w:divBdr>
            <w:top w:val="none" w:sz="0" w:space="0" w:color="auto"/>
            <w:left w:val="none" w:sz="0" w:space="0" w:color="auto"/>
            <w:bottom w:val="none" w:sz="0" w:space="0" w:color="auto"/>
            <w:right w:val="none" w:sz="0" w:space="0" w:color="auto"/>
          </w:divBdr>
        </w:div>
        <w:div w:id="1662001222">
          <w:marLeft w:val="0"/>
          <w:marRight w:val="0"/>
          <w:marTop w:val="0"/>
          <w:marBottom w:val="0"/>
          <w:divBdr>
            <w:top w:val="none" w:sz="0" w:space="0" w:color="auto"/>
            <w:left w:val="none" w:sz="0" w:space="0" w:color="auto"/>
            <w:bottom w:val="none" w:sz="0" w:space="0" w:color="auto"/>
            <w:right w:val="none" w:sz="0" w:space="0" w:color="auto"/>
          </w:divBdr>
        </w:div>
        <w:div w:id="769546022">
          <w:marLeft w:val="0"/>
          <w:marRight w:val="0"/>
          <w:marTop w:val="0"/>
          <w:marBottom w:val="0"/>
          <w:divBdr>
            <w:top w:val="none" w:sz="0" w:space="0" w:color="auto"/>
            <w:left w:val="none" w:sz="0" w:space="0" w:color="auto"/>
            <w:bottom w:val="none" w:sz="0" w:space="0" w:color="auto"/>
            <w:right w:val="none" w:sz="0" w:space="0" w:color="auto"/>
          </w:divBdr>
        </w:div>
        <w:div w:id="1756630766">
          <w:marLeft w:val="0"/>
          <w:marRight w:val="0"/>
          <w:marTop w:val="0"/>
          <w:marBottom w:val="0"/>
          <w:divBdr>
            <w:top w:val="none" w:sz="0" w:space="0" w:color="auto"/>
            <w:left w:val="none" w:sz="0" w:space="0" w:color="auto"/>
            <w:bottom w:val="none" w:sz="0" w:space="0" w:color="auto"/>
            <w:right w:val="none" w:sz="0" w:space="0" w:color="auto"/>
          </w:divBdr>
        </w:div>
        <w:div w:id="1406801708">
          <w:marLeft w:val="0"/>
          <w:marRight w:val="0"/>
          <w:marTop w:val="0"/>
          <w:marBottom w:val="0"/>
          <w:divBdr>
            <w:top w:val="none" w:sz="0" w:space="0" w:color="auto"/>
            <w:left w:val="none" w:sz="0" w:space="0" w:color="auto"/>
            <w:bottom w:val="none" w:sz="0" w:space="0" w:color="auto"/>
            <w:right w:val="none" w:sz="0" w:space="0" w:color="auto"/>
          </w:divBdr>
        </w:div>
        <w:div w:id="334188808">
          <w:marLeft w:val="0"/>
          <w:marRight w:val="0"/>
          <w:marTop w:val="0"/>
          <w:marBottom w:val="0"/>
          <w:divBdr>
            <w:top w:val="none" w:sz="0" w:space="0" w:color="auto"/>
            <w:left w:val="none" w:sz="0" w:space="0" w:color="auto"/>
            <w:bottom w:val="none" w:sz="0" w:space="0" w:color="auto"/>
            <w:right w:val="none" w:sz="0" w:space="0" w:color="auto"/>
          </w:divBdr>
        </w:div>
        <w:div w:id="797115118">
          <w:marLeft w:val="0"/>
          <w:marRight w:val="0"/>
          <w:marTop w:val="0"/>
          <w:marBottom w:val="0"/>
          <w:divBdr>
            <w:top w:val="none" w:sz="0" w:space="0" w:color="auto"/>
            <w:left w:val="none" w:sz="0" w:space="0" w:color="auto"/>
            <w:bottom w:val="none" w:sz="0" w:space="0" w:color="auto"/>
            <w:right w:val="none" w:sz="0" w:space="0" w:color="auto"/>
          </w:divBdr>
        </w:div>
        <w:div w:id="1960067931">
          <w:marLeft w:val="0"/>
          <w:marRight w:val="0"/>
          <w:marTop w:val="0"/>
          <w:marBottom w:val="0"/>
          <w:divBdr>
            <w:top w:val="none" w:sz="0" w:space="0" w:color="auto"/>
            <w:left w:val="none" w:sz="0" w:space="0" w:color="auto"/>
            <w:bottom w:val="none" w:sz="0" w:space="0" w:color="auto"/>
            <w:right w:val="none" w:sz="0" w:space="0" w:color="auto"/>
          </w:divBdr>
        </w:div>
        <w:div w:id="587470511">
          <w:marLeft w:val="0"/>
          <w:marRight w:val="0"/>
          <w:marTop w:val="0"/>
          <w:marBottom w:val="0"/>
          <w:divBdr>
            <w:top w:val="none" w:sz="0" w:space="0" w:color="auto"/>
            <w:left w:val="none" w:sz="0" w:space="0" w:color="auto"/>
            <w:bottom w:val="none" w:sz="0" w:space="0" w:color="auto"/>
            <w:right w:val="none" w:sz="0" w:space="0" w:color="auto"/>
          </w:divBdr>
        </w:div>
      </w:divsChild>
    </w:div>
    <w:div w:id="1170216890">
      <w:bodyDiv w:val="1"/>
      <w:marLeft w:val="0"/>
      <w:marRight w:val="0"/>
      <w:marTop w:val="0"/>
      <w:marBottom w:val="0"/>
      <w:divBdr>
        <w:top w:val="none" w:sz="0" w:space="0" w:color="auto"/>
        <w:left w:val="none" w:sz="0" w:space="0" w:color="auto"/>
        <w:bottom w:val="none" w:sz="0" w:space="0" w:color="auto"/>
        <w:right w:val="none" w:sz="0" w:space="0" w:color="auto"/>
      </w:divBdr>
    </w:div>
    <w:div w:id="19985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1584</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Paul Brundage</dc:creator>
  <cp:lastModifiedBy>fmoorete</cp:lastModifiedBy>
  <cp:revision>2</cp:revision>
  <cp:lastPrinted>2014-06-25T14:16:00Z</cp:lastPrinted>
  <dcterms:created xsi:type="dcterms:W3CDTF">2014-07-24T23:57:00Z</dcterms:created>
  <dcterms:modified xsi:type="dcterms:W3CDTF">2014-07-24T23:57:00Z</dcterms:modified>
</cp:coreProperties>
</file>