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59C" w:rsidRPr="001D359C" w:rsidRDefault="001D359C" w:rsidP="00A80088">
      <w:pPr>
        <w:spacing w:after="0" w:line="240" w:lineRule="auto"/>
        <w:jc w:val="center"/>
        <w:rPr>
          <w:rFonts w:ascii="Arial" w:eastAsia="Times New Roman" w:hAnsi="Arial" w:cs="Arial"/>
          <w:b/>
          <w:bCs/>
          <w:sz w:val="20"/>
          <w:szCs w:val="20"/>
        </w:rPr>
      </w:pPr>
      <w:bookmarkStart w:id="0" w:name="_GoBack"/>
      <w:bookmarkEnd w:id="0"/>
      <w:r w:rsidRPr="001D359C">
        <w:rPr>
          <w:rFonts w:ascii="Arial" w:eastAsia="Times New Roman" w:hAnsi="Arial" w:cs="Arial"/>
          <w:b/>
          <w:bCs/>
          <w:sz w:val="23"/>
        </w:rPr>
        <w:t>Title 24: Housing and Urban Development</w:t>
      </w:r>
      <w:r w:rsidRPr="001D359C">
        <w:rPr>
          <w:rFonts w:ascii="Arial" w:eastAsia="Times New Roman" w:hAnsi="Arial" w:cs="Arial"/>
          <w:sz w:val="18"/>
          <w:szCs w:val="18"/>
        </w:rPr>
        <w:br/>
      </w:r>
      <w:r w:rsidRPr="001D359C">
        <w:rPr>
          <w:rFonts w:ascii="Arial" w:eastAsia="Times New Roman" w:hAnsi="Arial" w:cs="Arial"/>
          <w:b/>
          <w:bCs/>
          <w:sz w:val="20"/>
          <w:szCs w:val="20"/>
        </w:rPr>
        <w:t>Subpart H—Uniform Financial Reporting Standards</w:t>
      </w:r>
    </w:p>
    <w:p w:rsidR="001D359C" w:rsidRPr="001D359C" w:rsidRDefault="001D359C" w:rsidP="00A80088">
      <w:pPr>
        <w:spacing w:after="0" w:line="240" w:lineRule="auto"/>
        <w:jc w:val="center"/>
        <w:outlineLvl w:val="4"/>
        <w:rPr>
          <w:rFonts w:ascii="Arial" w:eastAsia="Times New Roman" w:hAnsi="Arial" w:cs="Arial"/>
          <w:b/>
          <w:bCs/>
          <w:sz w:val="20"/>
          <w:szCs w:val="20"/>
        </w:rPr>
      </w:pPr>
      <w:r w:rsidRPr="001D359C">
        <w:rPr>
          <w:rFonts w:ascii="Arial" w:eastAsia="Times New Roman" w:hAnsi="Arial" w:cs="Arial"/>
          <w:b/>
          <w:bCs/>
          <w:sz w:val="20"/>
          <w:szCs w:val="20"/>
        </w:rPr>
        <w:t xml:space="preserve">§ 5.801   Uniform </w:t>
      </w:r>
      <w:r w:rsidR="00A80088">
        <w:rPr>
          <w:rFonts w:ascii="Arial" w:eastAsia="Times New Roman" w:hAnsi="Arial" w:cs="Arial"/>
          <w:b/>
          <w:bCs/>
          <w:sz w:val="20"/>
          <w:szCs w:val="20"/>
        </w:rPr>
        <w:t>F</w:t>
      </w:r>
      <w:r w:rsidRPr="001D359C">
        <w:rPr>
          <w:rFonts w:ascii="Arial" w:eastAsia="Times New Roman" w:hAnsi="Arial" w:cs="Arial"/>
          <w:b/>
          <w:bCs/>
          <w:sz w:val="20"/>
          <w:szCs w:val="20"/>
        </w:rPr>
        <w:t xml:space="preserve">inancial </w:t>
      </w:r>
      <w:r w:rsidR="00A80088">
        <w:rPr>
          <w:rFonts w:ascii="Arial" w:eastAsia="Times New Roman" w:hAnsi="Arial" w:cs="Arial"/>
          <w:b/>
          <w:bCs/>
          <w:sz w:val="20"/>
          <w:szCs w:val="20"/>
        </w:rPr>
        <w:t>R</w:t>
      </w:r>
      <w:r w:rsidRPr="001D359C">
        <w:rPr>
          <w:rFonts w:ascii="Arial" w:eastAsia="Times New Roman" w:hAnsi="Arial" w:cs="Arial"/>
          <w:b/>
          <w:bCs/>
          <w:sz w:val="20"/>
          <w:szCs w:val="20"/>
        </w:rPr>
        <w:t xml:space="preserve">eporting </w:t>
      </w:r>
      <w:r w:rsidR="00A80088">
        <w:rPr>
          <w:rFonts w:ascii="Arial" w:eastAsia="Times New Roman" w:hAnsi="Arial" w:cs="Arial"/>
          <w:b/>
          <w:bCs/>
          <w:sz w:val="20"/>
          <w:szCs w:val="20"/>
        </w:rPr>
        <w:t>Standards</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 xml:space="preserve">(a) </w:t>
      </w:r>
      <w:r w:rsidRPr="00D63D37">
        <w:rPr>
          <w:rFonts w:ascii="Arial" w:eastAsia="Times New Roman" w:hAnsi="Arial" w:cs="Arial"/>
          <w:i/>
          <w:iCs/>
        </w:rPr>
        <w:t xml:space="preserve">Applicability. </w:t>
      </w:r>
      <w:r w:rsidRPr="00D63D37">
        <w:rPr>
          <w:rFonts w:ascii="Arial" w:eastAsia="Times New Roman" w:hAnsi="Arial" w:cs="Arial"/>
        </w:rPr>
        <w:t>This subpart H implements uniform financial reporting standards for:</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 xml:space="preserve">(1) Public housing agencies (PHAs) receiving assistance under sections 5, 9, or 14 of the 1937 Act (42 U.S.C. 1437c, 1437g, and 1437 </w:t>
      </w:r>
      <w:r w:rsidRPr="00D63D37">
        <w:rPr>
          <w:rFonts w:ascii="Arial" w:eastAsia="Times New Roman" w:hAnsi="Arial" w:cs="Arial"/>
          <w:i/>
          <w:iCs/>
        </w:rPr>
        <w:t xml:space="preserve">l </w:t>
      </w:r>
      <w:r w:rsidRPr="00D63D37">
        <w:rPr>
          <w:rFonts w:ascii="Arial" w:eastAsia="Times New Roman" w:hAnsi="Arial" w:cs="Arial"/>
        </w:rPr>
        <w:t>) (Public Housing);</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(2) PHAs as contract administrators for any Section 8 project-based or tenant-based housing assistance payments program, which includes assistance under the following programs:</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(i) Section 8 project-based housing assistance payments programs, including, but not limited to, the Section 8 New Construction, Substantial Rehabilitation, Loan Management Set-Aside, Property Disposition, and Moderate Rehabilitation (including the Single Room Occupancy program for homeless individuals);</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(ii) Section 8 Project-Based Certificate programs;</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(iii) Any program providing Section 8 project-based renewal contracts; and</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(iv) Section 8 tenant-based assistance under the Section 8 Certificate and Voucher program.</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(3) Owners of housing assisted under any Section 8 project-based housing assistance payments program:</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(i) Including, but not limited to, the Section 8 New Construction, Substantial Rehabilitation, Loan Management Set-Aside, and Property Disposition programs;</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(ii) Excluding the Section 8 Moderate Rehabilitation Program (which includes the Single Room Occupancy program for homeless individuals) and the Section 8 Project-Based Certificate Program;</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(4) Owners of multifamily projects receiving direct or indirect assistance from HUD, or with mortgages insured, coinsured, or held by HUD, including but not limited to housing under the following HUD programs:</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(i) Section 202 Program of Supportive Housing for the Elderly;</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(ii) Section 811 Program of Supportive Housing for Persons with Disabilities;</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(iii) Section 202 loan program for projects for the elderly and handicapped (including 202/8 projects and 202/162 projects);</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(iv) Section 207 of the National Housing Act (NHA) (12 U.S.C. 1701 et seq.) (Rental Housing Insurance);</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(v) Section 213 of the NHA (Cooperative Housing Insurance);</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lastRenderedPageBreak/>
        <w:t>(vi) Section 220 of the NHA (Rehabilitation and Neighborhood Conservation Housing Insurance);</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(vii) Section 221(d) (3) and (5) of the NHA (Housing for Moderate Income and Displaced Families);</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(viii) Section 221(d)(4) of the NHA (Housing for Moderate Income and Displaced Families);</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(ix) Section 231 of the NHA (Housing for Elderly Persons);</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(x) Section 232 of the NHA (Mortgage Insurance for Nursing Homes, Intermediate Care Facilities, Board and Care Homes);</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(xi) Section 234(d) of the NHA (Rental) (Mortgage Insurance for Condominiums);</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(xii) Section 236 of the NHA (Rental and Cooperative Housing for Lower Income Families);</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(xiii) Section 241 of the NHA (Supplemental Loans for Multifamily Projects); and</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(5) HUD-approved Title I and Title II nonsupervised lenders, nonsupervised mortgagees, and loan correspondents.</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 xml:space="preserve">(b) </w:t>
      </w:r>
      <w:r w:rsidRPr="00D63D37">
        <w:rPr>
          <w:rFonts w:ascii="Arial" w:eastAsia="Times New Roman" w:hAnsi="Arial" w:cs="Arial"/>
          <w:i/>
          <w:iCs/>
        </w:rPr>
        <w:t xml:space="preserve">Submission of financial information. </w:t>
      </w:r>
      <w:r w:rsidRPr="00D63D37">
        <w:rPr>
          <w:rFonts w:ascii="Arial" w:eastAsia="Times New Roman" w:hAnsi="Arial" w:cs="Arial"/>
        </w:rPr>
        <w:t>Entities (or individuals) to which this subpart is applicable must provide to HUD, on an annual basis, such financial information as required by HUD. This financial information must be:</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(1) Prepared in accordance with Generally Accepted Accounting Principles as further defined by HUD in supplementary guidance;</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(2) Submitted electronically to HUD through the internet, or in such other electronic format designated by HUD, or in such non-electronic format as HUD may allow if the burden or cost of electronic reporting is determined by HUD to be excessive; and</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(3) Submitted in such form and substance as prescribed by HUD.</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 xml:space="preserve">(c) </w:t>
      </w:r>
      <w:r w:rsidRPr="00D63D37">
        <w:rPr>
          <w:rFonts w:ascii="Arial" w:eastAsia="Times New Roman" w:hAnsi="Arial" w:cs="Arial"/>
          <w:i/>
          <w:iCs/>
        </w:rPr>
        <w:t xml:space="preserve">Annual financial report filing dates. </w:t>
      </w:r>
      <w:r w:rsidRPr="00D63D37">
        <w:rPr>
          <w:rFonts w:ascii="Arial" w:eastAsia="Times New Roman" w:hAnsi="Arial" w:cs="Arial"/>
        </w:rPr>
        <w:t>(1) For entities listed in paragraphs (a)(1) and (2) of this section, the financial information to be submitted to HUD in accordance with paragraph (b) of this section, must be submitted to HUD annually, no later than 60 days after the end of the fiscal year of the reporting period, and as otherwise provided by law (for public housing agencies, see also 24 CFR 903.33).</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(2) For entities listed in paragraphs (a)(3) and (4) of this section, the financial information to be submitted to HUD in accordance with paragraph (b) of this section, must be submitted to HUD annually, no later than 90 days after the end of the fiscal year of the reporting period, and as otherwise provided by law.</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 xml:space="preserve">(3) For those entities listed in paragraph (a)(5) of this section, the financial information to be submitted to HUD in accordance with paragraph (b) of this section must be submitted to HUD annually, no later than 90 days after the end of the fiscal year (or within an extended time if an </w:t>
      </w:r>
      <w:r w:rsidRPr="00D63D37">
        <w:rPr>
          <w:rFonts w:ascii="Arial" w:eastAsia="Times New Roman" w:hAnsi="Arial" w:cs="Arial"/>
        </w:rPr>
        <w:lastRenderedPageBreak/>
        <w:t>extension is granted at the sole discretion of the Secretary). An extension request must be received no earlier than 45 days and no later than 15 days prior to the submission deadline.</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 xml:space="preserve">(d) </w:t>
      </w:r>
      <w:r w:rsidRPr="00D63D37">
        <w:rPr>
          <w:rFonts w:ascii="Arial" w:eastAsia="Times New Roman" w:hAnsi="Arial" w:cs="Arial"/>
          <w:i/>
          <w:iCs/>
        </w:rPr>
        <w:t xml:space="preserve">Reporting compliance dates. </w:t>
      </w:r>
      <w:r w:rsidRPr="00D63D37">
        <w:rPr>
          <w:rFonts w:ascii="Arial" w:eastAsia="Times New Roman" w:hAnsi="Arial" w:cs="Arial"/>
        </w:rPr>
        <w:t>Entities (or individuals) that are subject to the reporting requirements in this section must commence compliance with these requirements as follows:</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(1) For PHAs listed in paragraphs (a)(1) and (a)(2) of this section, the requirements of this section will begin with those PHAs with fiscal years ending September 30, 1999 and later. Unaudited financial statements will be required 60 days after the PHA's fiscal year end, and audited financial statements will then be required no later than 9 months after the PHA's fiscal year end, in accordance with the Single Audit Act and OMB Circular A–133 (See 24 CFR 84.26). A PHA with a fiscal year ending September 30, 1999 that elects to submit its unaudited financial report earlier than the due date of November 30, 1999 must submit its report as required in this section. On or after September 30, 1998, but prior to November 30, 1999 (except for a PHA with its fiscal year ending September 30, 1999), PHAs may submit their financial reports in accordance with this section.</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(2) For entities listed in paragraphs (a)(3) and (a)(4) of this section, the requirements of this section will begin with those entities with fiscal years ending December 31, 1998 and later. Entities listed in paragraphs (a)(3) and (a)(4) of this section with fiscal years ending December 31, 1998 that elect to submit their reports earlier than the due date must submit their financial reports as required in this section. On or after September 30, 1998 but prior to January 1, 1999, these entities may submit their financial reports in accordance with this section.</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(3) The requirements of this section apply to the entities listed in paragraph (a)(5) of this section with fiscal years ending on or after September 30, 2002. Audited financial statements submitted by lenders with fiscal years ending before September 30, 2002, may either be submitted in paper or electronically at the lenders' option. Audited financial statements submitted by lenders with fiscal years ending on or after September 30, 2002, must be submitted electronically.</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 xml:space="preserve">(e) </w:t>
      </w:r>
      <w:r w:rsidRPr="00D63D37">
        <w:rPr>
          <w:rFonts w:ascii="Arial" w:eastAsia="Times New Roman" w:hAnsi="Arial" w:cs="Arial"/>
          <w:i/>
          <w:iCs/>
        </w:rPr>
        <w:t xml:space="preserve">Limitation on changing fiscal years. </w:t>
      </w:r>
      <w:r w:rsidRPr="00D63D37">
        <w:rPr>
          <w:rFonts w:ascii="Arial" w:eastAsia="Times New Roman" w:hAnsi="Arial" w:cs="Arial"/>
        </w:rPr>
        <w:t>To allow for a period of consistent assessment of the financial reports submitted to HUD under this subpart part, PHAs listed in paragraphs (a)(1) and (a)(2) of this section will not be allowed to change their fiscal years for their first three full fiscal years following October 1, 1998.</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 xml:space="preserve">(f) </w:t>
      </w:r>
      <w:r w:rsidRPr="00D63D37">
        <w:rPr>
          <w:rFonts w:ascii="Arial" w:eastAsia="Times New Roman" w:hAnsi="Arial" w:cs="Arial"/>
          <w:i/>
          <w:iCs/>
        </w:rPr>
        <w:t xml:space="preserve">Responsibility for submission of financial report. </w:t>
      </w:r>
      <w:r w:rsidRPr="00D63D37">
        <w:rPr>
          <w:rFonts w:ascii="Arial" w:eastAsia="Times New Roman" w:hAnsi="Arial" w:cs="Arial"/>
        </w:rPr>
        <w:t>The responsibility for submission of the financial report due to HUD under this section rests with the individuals and entities listed in paragraph (a) of this section.</w:t>
      </w:r>
    </w:p>
    <w:p w:rsidR="001D359C" w:rsidRPr="00D63D37" w:rsidRDefault="001D359C" w:rsidP="001D359C">
      <w:pPr>
        <w:spacing w:before="100" w:beforeAutospacing="1" w:after="100" w:afterAutospacing="1" w:line="240" w:lineRule="auto"/>
        <w:rPr>
          <w:rFonts w:ascii="Arial" w:eastAsia="Times New Roman" w:hAnsi="Arial" w:cs="Arial"/>
        </w:rPr>
      </w:pPr>
      <w:r w:rsidRPr="00D63D37">
        <w:rPr>
          <w:rFonts w:ascii="Arial" w:eastAsia="Times New Roman" w:hAnsi="Arial" w:cs="Arial"/>
        </w:rPr>
        <w:t>[63 FR 46591, Sept. 1, 1998, as amended at 64 FR 1505, Jan. 11, 1999; 64 FR 33755, June 24, 1999; 65 FR 16295, Mar. 27, 2000; 67 FR 53451, Aug. 15, 2002]</w:t>
      </w:r>
    </w:p>
    <w:p w:rsidR="0006638E" w:rsidRPr="00D63D37" w:rsidRDefault="0006638E"/>
    <w:sectPr w:rsidR="0006638E" w:rsidRPr="00D63D37" w:rsidSect="0006638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933" w:rsidRDefault="00837933" w:rsidP="001D359C">
      <w:pPr>
        <w:spacing w:after="0" w:line="240" w:lineRule="auto"/>
      </w:pPr>
      <w:r>
        <w:separator/>
      </w:r>
    </w:p>
  </w:endnote>
  <w:endnote w:type="continuationSeparator" w:id="0">
    <w:p w:rsidR="00837933" w:rsidRDefault="00837933" w:rsidP="001D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59094"/>
      <w:docPartObj>
        <w:docPartGallery w:val="Page Numbers (Bottom of Page)"/>
        <w:docPartUnique/>
      </w:docPartObj>
    </w:sdtPr>
    <w:sdtEndPr/>
    <w:sdtContent>
      <w:p w:rsidR="00C15884" w:rsidRDefault="00C063F5">
        <w:pPr>
          <w:pStyle w:val="Footer"/>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111760</wp:posOffset>
                  </wp:positionV>
                  <wp:extent cx="5905500" cy="0"/>
                  <wp:effectExtent l="9525" t="6985" r="9525"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pt;margin-top:8.8pt;width: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I6HQ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"/>
              </w:pict>
            </mc:Fallback>
          </mc:AlternateContent>
        </w:r>
      </w:p>
      <w:p w:rsidR="00C15884" w:rsidRDefault="00C15884" w:rsidP="00C15884">
        <w:pPr>
          <w:pStyle w:val="Footer"/>
        </w:pPr>
        <w:r>
          <w:t xml:space="preserve">FASS PRA: PH Financial Management Template (OMB No. 2535-0107)                                              Page | </w:t>
        </w:r>
        <w:r w:rsidR="00837933">
          <w:fldChar w:fldCharType="begin"/>
        </w:r>
        <w:r w:rsidR="00837933">
          <w:instrText xml:space="preserve"> PAGE   \* MERGEFORMAT </w:instrText>
        </w:r>
        <w:r w:rsidR="00837933">
          <w:fldChar w:fldCharType="separate"/>
        </w:r>
        <w:r w:rsidR="00C063F5">
          <w:rPr>
            <w:noProof/>
          </w:rPr>
          <w:t>1</w:t>
        </w:r>
        <w:r w:rsidR="00837933">
          <w:rPr>
            <w:noProof/>
          </w:rPr>
          <w:fldChar w:fldCharType="end"/>
        </w:r>
        <w:r>
          <w:t xml:space="preserve"> </w:t>
        </w:r>
      </w:p>
    </w:sdtContent>
  </w:sdt>
  <w:p w:rsidR="001D359C" w:rsidRDefault="001D3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933" w:rsidRDefault="00837933" w:rsidP="001D359C">
      <w:pPr>
        <w:spacing w:after="0" w:line="240" w:lineRule="auto"/>
      </w:pPr>
      <w:r>
        <w:separator/>
      </w:r>
    </w:p>
  </w:footnote>
  <w:footnote w:type="continuationSeparator" w:id="0">
    <w:p w:rsidR="00837933" w:rsidRDefault="00837933" w:rsidP="001D35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37" w:rsidRDefault="00C063F5">
    <w:pPr>
      <w:pStyle w:val="Header"/>
    </w:pPr>
    <w:r>
      <w:rPr>
        <w:b/>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295275</wp:posOffset>
              </wp:positionV>
              <wp:extent cx="5838825" cy="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pt;margin-top:23.25pt;width:45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"/>
          </w:pict>
        </mc:Fallback>
      </mc:AlternateContent>
    </w:r>
    <w:r w:rsidR="00C15884" w:rsidRPr="00C15884">
      <w:rPr>
        <w:b/>
      </w:rPr>
      <w:t>Exhibit A:</w:t>
    </w:r>
    <w:r w:rsidR="00C15884">
      <w:t xml:space="preserve"> Uniform Financial Reporting Standards Rule (UFRS) – 24 CFR Part 5, Subpart 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59C"/>
    <w:rsid w:val="0006638E"/>
    <w:rsid w:val="001D359C"/>
    <w:rsid w:val="0023249D"/>
    <w:rsid w:val="003A3FD4"/>
    <w:rsid w:val="00404B37"/>
    <w:rsid w:val="00457081"/>
    <w:rsid w:val="006800D8"/>
    <w:rsid w:val="006B3115"/>
    <w:rsid w:val="00837933"/>
    <w:rsid w:val="008970E5"/>
    <w:rsid w:val="00976A7B"/>
    <w:rsid w:val="00A80088"/>
    <w:rsid w:val="00BB6E04"/>
    <w:rsid w:val="00C063F5"/>
    <w:rsid w:val="00C15884"/>
    <w:rsid w:val="00C66ABC"/>
    <w:rsid w:val="00CE3C88"/>
    <w:rsid w:val="00D63D37"/>
    <w:rsid w:val="00DA0B25"/>
    <w:rsid w:val="00FE1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1D359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D359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D359C"/>
    <w:rPr>
      <w:color w:val="0000FF"/>
      <w:u w:val="single"/>
    </w:rPr>
  </w:style>
  <w:style w:type="paragraph" w:styleId="NormalWeb">
    <w:name w:val="Normal (Web)"/>
    <w:basedOn w:val="Normal"/>
    <w:uiPriority w:val="99"/>
    <w:semiHidden/>
    <w:unhideWhenUsed/>
    <w:rsid w:val="001D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1D359C"/>
    <w:rPr>
      <w:rFonts w:ascii="Arial" w:hAnsi="Arial" w:cs="Arial" w:hint="default"/>
      <w:b w:val="0"/>
      <w:bCs w:val="0"/>
      <w:i w:val="0"/>
      <w:iCs w:val="0"/>
      <w:smallCaps w:val="0"/>
      <w:sz w:val="18"/>
      <w:szCs w:val="18"/>
    </w:rPr>
  </w:style>
  <w:style w:type="character" w:customStyle="1" w:styleId="mainheader1">
    <w:name w:val="mainheader1"/>
    <w:basedOn w:val="DefaultParagraphFont"/>
    <w:rsid w:val="001D359C"/>
    <w:rPr>
      <w:b/>
      <w:bCs/>
      <w:sz w:val="31"/>
      <w:szCs w:val="31"/>
    </w:rPr>
  </w:style>
  <w:style w:type="character" w:customStyle="1" w:styleId="div5head">
    <w:name w:val="div5head"/>
    <w:basedOn w:val="DefaultParagraphFont"/>
    <w:rsid w:val="001D359C"/>
  </w:style>
  <w:style w:type="paragraph" w:styleId="Header">
    <w:name w:val="header"/>
    <w:basedOn w:val="Normal"/>
    <w:link w:val="HeaderChar"/>
    <w:uiPriority w:val="99"/>
    <w:semiHidden/>
    <w:unhideWhenUsed/>
    <w:rsid w:val="001D35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359C"/>
  </w:style>
  <w:style w:type="paragraph" w:styleId="Footer">
    <w:name w:val="footer"/>
    <w:basedOn w:val="Normal"/>
    <w:link w:val="FooterChar"/>
    <w:uiPriority w:val="99"/>
    <w:unhideWhenUsed/>
    <w:rsid w:val="001D3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5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1D359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D359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D359C"/>
    <w:rPr>
      <w:color w:val="0000FF"/>
      <w:u w:val="single"/>
    </w:rPr>
  </w:style>
  <w:style w:type="paragraph" w:styleId="NormalWeb">
    <w:name w:val="Normal (Web)"/>
    <w:basedOn w:val="Normal"/>
    <w:uiPriority w:val="99"/>
    <w:semiHidden/>
    <w:unhideWhenUsed/>
    <w:rsid w:val="001D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1D359C"/>
    <w:rPr>
      <w:rFonts w:ascii="Arial" w:hAnsi="Arial" w:cs="Arial" w:hint="default"/>
      <w:b w:val="0"/>
      <w:bCs w:val="0"/>
      <w:i w:val="0"/>
      <w:iCs w:val="0"/>
      <w:smallCaps w:val="0"/>
      <w:sz w:val="18"/>
      <w:szCs w:val="18"/>
    </w:rPr>
  </w:style>
  <w:style w:type="character" w:customStyle="1" w:styleId="mainheader1">
    <w:name w:val="mainheader1"/>
    <w:basedOn w:val="DefaultParagraphFont"/>
    <w:rsid w:val="001D359C"/>
    <w:rPr>
      <w:b/>
      <w:bCs/>
      <w:sz w:val="31"/>
      <w:szCs w:val="31"/>
    </w:rPr>
  </w:style>
  <w:style w:type="character" w:customStyle="1" w:styleId="div5head">
    <w:name w:val="div5head"/>
    <w:basedOn w:val="DefaultParagraphFont"/>
    <w:rsid w:val="001D359C"/>
  </w:style>
  <w:style w:type="paragraph" w:styleId="Header">
    <w:name w:val="header"/>
    <w:basedOn w:val="Normal"/>
    <w:link w:val="HeaderChar"/>
    <w:uiPriority w:val="99"/>
    <w:semiHidden/>
    <w:unhideWhenUsed/>
    <w:rsid w:val="001D35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359C"/>
  </w:style>
  <w:style w:type="paragraph" w:styleId="Footer">
    <w:name w:val="footer"/>
    <w:basedOn w:val="Normal"/>
    <w:link w:val="FooterChar"/>
    <w:uiPriority w:val="99"/>
    <w:unhideWhenUsed/>
    <w:rsid w:val="001D3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C30686</dc:creator>
  <cp:lastModifiedBy>H17192</cp:lastModifiedBy>
  <cp:revision>2</cp:revision>
  <dcterms:created xsi:type="dcterms:W3CDTF">2014-02-11T15:52:00Z</dcterms:created>
  <dcterms:modified xsi:type="dcterms:W3CDTF">2014-02-11T15:52:00Z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156574129</vt:i4>
  </property>
  <property fmtid="{D5CDD505-2E9C-101B-9397-08002B2CF9AE}" pid="3" name="_NewReviewCycle">
    <vt:lpwstr/>
  </property>
  <property fmtid="{D5CDD505-2E9C-101B-9397-08002B2CF9AE}" pid="4" name="_EmailSubject">
    <vt:lpwstr>PRA - FASS-PH</vt:lpwstr>
  </property>
  <property fmtid="{D5CDD505-2E9C-101B-9397-08002B2CF9AE}" pid="5" name="_AuthorEmail">
    <vt:lpwstr>nicholas.x.miele@hud.gov</vt:lpwstr>
  </property>
  <property fmtid="{D5CDD505-2E9C-101B-9397-08002B2CF9AE}" pid="6" name="_AuthorEmailDisplayName">
    <vt:lpwstr>Miele, Nicholas X</vt:lpwstr>
  </property>
  <property fmtid="{D5CDD505-2E9C-101B-9397-08002B2CF9AE}" pid="7" name="_PreviousAdHocReviewCycleID">
    <vt:i4>1334340082</vt:i4>
  </property>
</Properties>
</file>