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A4CD6" w:rsidRDefault="00B52A29"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2B29A5">
      <w:pPr>
        <w:rPr>
          <w:color w:val="000000"/>
        </w:rPr>
      </w:pPr>
      <w:r w:rsidRPr="00686C18">
        <w:rPr>
          <w:b/>
        </w:rPr>
        <w:t xml:space="preserve">NESHAP for </w:t>
      </w:r>
      <w:r w:rsidR="00686C18" w:rsidRPr="00686C18">
        <w:rPr>
          <w:b/>
        </w:rPr>
        <w:t xml:space="preserve">Vinyl Chloride </w:t>
      </w:r>
      <w:r w:rsidRPr="00236DB3">
        <w:rPr>
          <w:b/>
        </w:rPr>
        <w:t>(40 CFR</w:t>
      </w:r>
      <w:r w:rsidRPr="00236DB3">
        <w:rPr>
          <w:b/>
          <w:color w:val="FF0000"/>
        </w:rPr>
        <w:t xml:space="preserve"> </w:t>
      </w:r>
      <w:r w:rsidRPr="00236DB3">
        <w:rPr>
          <w:b/>
        </w:rPr>
        <w:t>Part</w:t>
      </w:r>
      <w:r w:rsidR="00686C18">
        <w:rPr>
          <w:b/>
          <w:color w:val="FF0000"/>
        </w:rPr>
        <w:t xml:space="preserve"> </w:t>
      </w:r>
      <w:r w:rsidR="00686C18" w:rsidRPr="00686C18">
        <w:rPr>
          <w:b/>
        </w:rPr>
        <w:t>61</w:t>
      </w:r>
      <w:r w:rsidRPr="00686C18">
        <w:rPr>
          <w:b/>
        </w:rPr>
        <w:t>, Subpart</w:t>
      </w:r>
      <w:r w:rsidR="00686C18" w:rsidRPr="00686C18">
        <w:rPr>
          <w:b/>
        </w:rPr>
        <w:t xml:space="preserve"> F</w:t>
      </w:r>
      <w:r w:rsidRPr="00686C18">
        <w:rPr>
          <w:b/>
        </w:rPr>
        <w:t>)</w:t>
      </w:r>
      <w:r w:rsidRPr="00236DB3">
        <w:rPr>
          <w:b/>
          <w:color w:val="FF0000"/>
        </w:rPr>
        <w:t xml:space="preserve"> </w:t>
      </w:r>
      <w:r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686C18" w:rsidP="002B29A5">
      <w:pPr>
        <w:rPr>
          <w:bCs/>
          <w:color w:val="000000"/>
        </w:rPr>
      </w:pPr>
      <w:r w:rsidRPr="00686C18">
        <w:t>NESHAP for Vinyl Chloride (40 CFR</w:t>
      </w:r>
      <w:r w:rsidRPr="00686C18">
        <w:rPr>
          <w:color w:val="FF0000"/>
        </w:rPr>
        <w:t xml:space="preserve"> </w:t>
      </w:r>
      <w:r w:rsidRPr="00686C18">
        <w:t>Part</w:t>
      </w:r>
      <w:r w:rsidRPr="00686C18">
        <w:rPr>
          <w:color w:val="FF0000"/>
        </w:rPr>
        <w:t xml:space="preserve"> </w:t>
      </w:r>
      <w:r w:rsidRPr="00686C18">
        <w:t>61, Subpart F)</w:t>
      </w:r>
      <w:r w:rsidR="002B29A5">
        <w:rPr>
          <w:bCs/>
          <w:color w:val="FF0000"/>
        </w:rPr>
        <w:t xml:space="preserve"> </w:t>
      </w:r>
      <w:r w:rsidR="002B29A5" w:rsidRPr="004C5E95">
        <w:rPr>
          <w:bCs/>
        </w:rPr>
        <w:t xml:space="preserve">(Renewal), EPA ICR Number </w:t>
      </w:r>
      <w:r>
        <w:rPr>
          <w:bCs/>
        </w:rPr>
        <w:t>0186.13</w:t>
      </w:r>
      <w:r w:rsidR="002B29A5" w:rsidRPr="00686C18">
        <w:rPr>
          <w:bCs/>
        </w:rPr>
        <w:t>,</w:t>
      </w:r>
      <w:r w:rsidR="002B29A5">
        <w:rPr>
          <w:bCs/>
          <w:color w:val="FF0000"/>
        </w:rPr>
        <w:t xml:space="preserve"> </w:t>
      </w:r>
      <w:r w:rsidR="002B29A5" w:rsidRPr="004C5E95">
        <w:rPr>
          <w:bCs/>
        </w:rPr>
        <w:t>OMB Control Number 2060-</w:t>
      </w:r>
      <w:r>
        <w:rPr>
          <w:bCs/>
        </w:rPr>
        <w:t>0071</w:t>
      </w:r>
      <w:r w:rsidRPr="00686C18">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ind w:firstLine="720"/>
        <w:rPr>
          <w:color w:val="000000"/>
        </w:rPr>
      </w:pPr>
      <w:r>
        <w:rPr>
          <w:color w:val="FF0000"/>
        </w:rPr>
        <w:tab/>
      </w:r>
      <w:r>
        <w:rPr>
          <w:color w:val="FF0000"/>
        </w:rPr>
        <w:tab/>
      </w:r>
    </w:p>
    <w:p w:rsidR="00CA4CD6" w:rsidRDefault="00CA4CD6" w:rsidP="005D07DE">
      <w:pPr>
        <w:ind w:firstLine="720"/>
        <w:rPr>
          <w:color w:val="000000"/>
        </w:rPr>
      </w:pPr>
      <w:r>
        <w:rPr>
          <w:color w:val="000000"/>
        </w:rPr>
        <w:t xml:space="preserve">The </w:t>
      </w:r>
      <w:r w:rsidRPr="006238AA">
        <w:t xml:space="preserve">National Emission Standards for Hazardous Air Pollutants (NESHAP) </w:t>
      </w:r>
      <w:r w:rsidR="006238AA">
        <w:rPr>
          <w:color w:val="000000"/>
        </w:rPr>
        <w:t>for Vinyl Chloride</w:t>
      </w:r>
      <w:r>
        <w:rPr>
          <w:color w:val="000000"/>
        </w:rPr>
        <w:t xml:space="preserve"> were</w:t>
      </w:r>
      <w:r w:rsidR="00E24A6E">
        <w:rPr>
          <w:color w:val="000000"/>
        </w:rPr>
        <w:t>:</w:t>
      </w:r>
      <w:r w:rsidR="00E24A6E">
        <w:rPr>
          <w:color w:val="FF0000"/>
        </w:rPr>
        <w:t xml:space="preserve"> </w:t>
      </w:r>
      <w:r w:rsidR="00E24A6E" w:rsidRPr="00FC08BF">
        <w:t>1)</w:t>
      </w:r>
      <w:r>
        <w:rPr>
          <w:color w:val="000000"/>
        </w:rPr>
        <w:t xml:space="preserve"> proposed on </w:t>
      </w:r>
      <w:r w:rsidR="006238AA">
        <w:rPr>
          <w:color w:val="000000"/>
        </w:rPr>
        <w:t>December 24, 1975</w:t>
      </w:r>
      <w:r w:rsidR="00E24A6E">
        <w:rPr>
          <w:color w:val="000000"/>
        </w:rPr>
        <w:t>; 2)</w:t>
      </w:r>
      <w:r w:rsidR="006238AA">
        <w:rPr>
          <w:color w:val="000000"/>
        </w:rPr>
        <w:t xml:space="preserve"> </w:t>
      </w:r>
      <w:r>
        <w:rPr>
          <w:color w:val="000000"/>
        </w:rPr>
        <w:t xml:space="preserve">promulgated on </w:t>
      </w:r>
      <w:r w:rsidR="006238AA">
        <w:rPr>
          <w:color w:val="000000"/>
        </w:rPr>
        <w:t>October 21, 1976</w:t>
      </w:r>
      <w:r w:rsidR="00E24A6E">
        <w:rPr>
          <w:color w:val="000000"/>
        </w:rPr>
        <w:t>;</w:t>
      </w:r>
      <w:r w:rsidR="006238AA">
        <w:rPr>
          <w:color w:val="000000"/>
        </w:rPr>
        <w:t xml:space="preserve"> and </w:t>
      </w:r>
      <w:r w:rsidR="00E24A6E">
        <w:rPr>
          <w:color w:val="000000"/>
        </w:rPr>
        <w:t xml:space="preserve">3) </w:t>
      </w:r>
      <w:r w:rsidR="006238AA">
        <w:rPr>
          <w:color w:val="000000"/>
        </w:rPr>
        <w:t>amended on June 7, 1977, September 30, 1986, September 23, 1988, December 23, 1992</w:t>
      </w:r>
      <w:r w:rsidR="005D07DE">
        <w:rPr>
          <w:color w:val="000000"/>
        </w:rPr>
        <w:t>, and October 17, 2000</w:t>
      </w:r>
      <w:r>
        <w:rPr>
          <w:color w:val="000000"/>
        </w:rPr>
        <w:t xml:space="preserve">.  </w:t>
      </w:r>
      <w:r w:rsidR="005D07DE">
        <w:t>These standards apply to</w:t>
      </w:r>
      <w:r w:rsidR="00E24A6E">
        <w:t>:</w:t>
      </w:r>
      <w:r w:rsidR="005D07DE">
        <w:t xml:space="preserve"> exhaust gases and </w:t>
      </w:r>
      <w:proofErr w:type="spellStart"/>
      <w:r w:rsidR="005D07DE">
        <w:t>oxychlorination</w:t>
      </w:r>
      <w:proofErr w:type="spellEnd"/>
      <w:r w:rsidR="005D07DE">
        <w:t xml:space="preserve"> vents at ethylene dichloride (EDC) plants; exhaust gases at vinyl chloride monomer (VCM) plants; and exhaust gases, reactor opening losses, manual vent valves, and stripping residuals at polyvinyl chloride (PVC) plants.  The standards also apply to relief valves and fugitive emission sources at all three types of plants.  </w:t>
      </w:r>
      <w:r>
        <w:rPr>
          <w:color w:val="000000"/>
        </w:rPr>
        <w:t xml:space="preserve">New facilities include those that commenced construction or reconstruction after the date of proposal.  This information is being collected to assure compliance with 40 CFR part 61, subpart </w:t>
      </w:r>
      <w:r w:rsidR="00BA657B">
        <w:rPr>
          <w:color w:val="000000"/>
        </w:rPr>
        <w:t>F</w:t>
      </w:r>
      <w:r>
        <w:rPr>
          <w:color w:val="000000"/>
        </w:rPr>
        <w:t>.</w:t>
      </w:r>
    </w:p>
    <w:p w:rsidR="00CA4CD6" w:rsidRDefault="00CA4CD6">
      <w:pPr>
        <w:rPr>
          <w:color w:val="000000"/>
        </w:rPr>
      </w:pPr>
    </w:p>
    <w:p w:rsidR="00CA4CD6" w:rsidRPr="00A6238C" w:rsidRDefault="00CA4CD6">
      <w:pPr>
        <w:ind w:firstLine="720"/>
      </w:pPr>
      <w:r>
        <w:rPr>
          <w:color w:val="000000"/>
        </w:rPr>
        <w:t xml:space="preserve">In general, all </w:t>
      </w:r>
      <w:r w:rsidR="007F4E65" w:rsidRPr="007F4E65">
        <w:t>NESHAP standards require initial notification</w:t>
      </w:r>
      <w:r w:rsidR="00E24A6E">
        <w:t xml:space="preserve"> report</w:t>
      </w:r>
      <w:r w:rsidR="007F4E65" w:rsidRPr="007F4E65">
        <w:t xml:space="preserve">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A6238C" w:rsidRDefault="00CA4CD6"/>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5D07DE">
        <w:rPr>
          <w:color w:val="000000"/>
        </w:rPr>
        <w:t xml:space="preserve">three </w:t>
      </w:r>
      <w:r>
        <w:rPr>
          <w:color w:val="000000"/>
        </w:rPr>
        <w:t>years following the date of such measurements, maintenance reports, and records.  All reports are sent to the delegated state or local authority.  In the event that there is no such delegated authority, the reports are sent directly to the U</w:t>
      </w:r>
      <w:r w:rsidR="003A603C">
        <w:rPr>
          <w:color w:val="000000"/>
        </w:rPr>
        <w:t>.</w:t>
      </w:r>
      <w:r>
        <w:rPr>
          <w:color w:val="000000"/>
        </w:rPr>
        <w:t xml:space="preserve"> S</w:t>
      </w:r>
      <w:r w:rsidR="003A603C">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5D07DE">
        <w:rPr>
          <w:color w:val="000000"/>
        </w:rPr>
        <w:t xml:space="preserve">18 </w:t>
      </w:r>
      <w:r w:rsidR="00CA4CD6">
        <w:rPr>
          <w:color w:val="000000"/>
        </w:rPr>
        <w:t xml:space="preserve">respondents </w:t>
      </w:r>
      <w:r>
        <w:rPr>
          <w:color w:val="000000"/>
        </w:rPr>
        <w:t>per year will be subject to the standard</w:t>
      </w:r>
      <w:r w:rsidR="00CA4CD6">
        <w:rPr>
          <w:color w:val="000000"/>
        </w:rPr>
        <w:t xml:space="preserve">, and </w:t>
      </w:r>
      <w:r w:rsidR="00BA657B">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3A603C">
        <w:rPr>
          <w:color w:val="000000"/>
        </w:rPr>
        <w:t>se</w:t>
      </w:r>
      <w:r w:rsidR="00CA4CD6">
        <w:rPr>
          <w:color w:val="000000"/>
        </w:rPr>
        <w:t xml:space="preserve"> </w:t>
      </w:r>
      <w:r>
        <w:rPr>
          <w:color w:val="000000"/>
        </w:rPr>
        <w:t>standard</w:t>
      </w:r>
      <w:r w:rsidR="003A603C">
        <w:rPr>
          <w:color w:val="000000"/>
        </w:rPr>
        <w:t>s</w:t>
      </w:r>
      <w:r>
        <w:rPr>
          <w:color w:val="000000"/>
        </w:rPr>
        <w:t xml:space="preserve">. </w:t>
      </w:r>
      <w:r w:rsidR="005D07DE">
        <w:rPr>
          <w:color w:val="000000"/>
        </w:rPr>
        <w:t>This estimate accounts for the impact of the part 63 PVC NESHAP, which will become effective on April 17, 2015.  Beginning on this date, a subset of existing sources subject to th</w:t>
      </w:r>
      <w:r w:rsidR="003A603C">
        <w:rPr>
          <w:color w:val="000000"/>
        </w:rPr>
        <w:t>e</w:t>
      </w:r>
      <w:r w:rsidR="005D07DE">
        <w:rPr>
          <w:color w:val="000000"/>
        </w:rPr>
        <w:t>s</w:t>
      </w:r>
      <w:r w:rsidR="003A603C">
        <w:rPr>
          <w:color w:val="000000"/>
        </w:rPr>
        <w:t>e</w:t>
      </w:r>
      <w:r w:rsidR="005D07DE">
        <w:rPr>
          <w:color w:val="000000"/>
        </w:rPr>
        <w:t xml:space="preserve"> standard will become subject to the part 63 rule, and will no longer need to comply with the part 61 NESHAP.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A6860" w:rsidRDefault="009D52F9">
      <w:pPr>
        <w:pBdr>
          <w:top w:val="single" w:sz="6" w:space="0" w:color="FFFFFF"/>
          <w:left w:val="single" w:sz="6" w:space="0" w:color="FFFFFF"/>
          <w:bottom w:val="single" w:sz="6" w:space="0" w:color="FFFFFF"/>
          <w:right w:val="single" w:sz="6" w:space="0" w:color="FFFFFF"/>
        </w:pBdr>
        <w:ind w:firstLine="720"/>
      </w:pPr>
      <w:r>
        <w:t>The Office of Management and Budget (</w:t>
      </w:r>
      <w:r w:rsidR="007F4E65" w:rsidRPr="007F4E65">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A6238C" w:rsidRDefault="009D6567" w:rsidP="002B29A5">
      <w:r>
        <w:lastRenderedPageBreak/>
        <w:tab/>
      </w:r>
      <w:r w:rsidR="00D369BE">
        <w:t xml:space="preserve">The respondents are EDC, PVC, and VCM plants in the United States, which are owned and operated by the vinyl chloride industry.  None of the plants are owned by state, local, tribal, or the Federal government.  </w:t>
      </w:r>
      <w:r w:rsidR="007F4E65" w:rsidRPr="007F4E65">
        <w:t xml:space="preserve">The </w:t>
      </w:r>
      <w:r w:rsidR="003A603C">
        <w:t>“</w:t>
      </w:r>
      <w:r w:rsidR="007F4E65" w:rsidRPr="007F4E65">
        <w:t>burden</w:t>
      </w:r>
      <w:r w:rsidR="003A603C">
        <w:t>”</w:t>
      </w:r>
      <w:r w:rsidR="007F4E65" w:rsidRPr="007F4E65">
        <w:t xml:space="preserve"> to the “Affected Public” may be found </w:t>
      </w:r>
      <w:r w:rsidR="003A603C">
        <w:t xml:space="preserve">below </w:t>
      </w:r>
      <w:r w:rsidR="007F4E65" w:rsidRPr="007F4E65">
        <w:t xml:space="preserve">in Table 1: Annual Respondent Burden and Cost – </w:t>
      </w:r>
      <w:r w:rsidR="008A32A7">
        <w:t>NESHAP for Vinyl Chloride (40 CFR Part 61, Subpart F)</w:t>
      </w:r>
      <w:r w:rsidR="007F4E65" w:rsidRPr="007F4E65">
        <w:rPr>
          <w:bCs/>
        </w:rPr>
        <w:t xml:space="preserve"> (Renewal)</w:t>
      </w:r>
      <w:r w:rsidR="007F4E65" w:rsidRPr="007F4E65">
        <w:t xml:space="preserve">.  The Federal Government </w:t>
      </w:r>
      <w:r w:rsidR="003A603C">
        <w:t>“</w:t>
      </w:r>
      <w:r w:rsidR="007F4E65" w:rsidRPr="007F4E65">
        <w:t>burden</w:t>
      </w:r>
      <w:r w:rsidR="003A603C">
        <w:t>”</w:t>
      </w:r>
      <w:r w:rsidR="007F4E65" w:rsidRPr="007F4E65">
        <w:t xml:space="preserve"> is attributed entirely to work performed by </w:t>
      </w:r>
      <w:r w:rsidR="003A603C">
        <w:t>either F</w:t>
      </w:r>
      <w:r w:rsidR="007F4E65" w:rsidRPr="007F4E65">
        <w:t xml:space="preserve">ederal employees or government contractors and may be found </w:t>
      </w:r>
      <w:r w:rsidR="003A603C">
        <w:t xml:space="preserve">below </w:t>
      </w:r>
      <w:r w:rsidR="007F4E65" w:rsidRPr="007F4E65">
        <w:t xml:space="preserve">in Table 2: Average Annual EPA Burden and Cost – </w:t>
      </w:r>
      <w:r w:rsidR="008A32A7">
        <w:t>NESHAP for Vinyl Chloride (40 CFR Part 61, Subpart F)</w:t>
      </w:r>
      <w:r w:rsidR="007F4E65" w:rsidRPr="007F4E65">
        <w:rPr>
          <w:bCs/>
        </w:rPr>
        <w:t xml:space="preserve"> (Renewal)</w:t>
      </w:r>
      <w:r w:rsidR="007F4E65" w:rsidRPr="007F4E65">
        <w:t xml:space="preserve">. </w:t>
      </w:r>
    </w:p>
    <w:p w:rsidR="002B29A5" w:rsidRPr="00A6238C" w:rsidRDefault="002B29A5" w:rsidP="002B29A5"/>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A14B15" w:rsidRDefault="007F4E65">
      <w:pPr>
        <w:pBdr>
          <w:top w:val="single" w:sz="6" w:space="0" w:color="FFFFFF"/>
          <w:left w:val="single" w:sz="6" w:space="0" w:color="FFFFFF"/>
          <w:bottom w:val="single" w:sz="6" w:space="0" w:color="FFFFFF"/>
          <w:right w:val="single" w:sz="6" w:space="0" w:color="FFFFFF"/>
        </w:pBdr>
        <w:ind w:firstLine="720"/>
      </w:pPr>
      <w:r w:rsidRPr="007F4E65">
        <w:t xml:space="preserve">The EPA is charged under Section 112 of the Clean Air Act, as amended, to establish standards of performance for each category or subcategory of major sources and area sources </w:t>
      </w:r>
      <w:r w:rsidR="003A603C">
        <w:t xml:space="preserve">   </w:t>
      </w:r>
      <w:r w:rsidRPr="007F4E65">
        <w:t xml:space="preserve">of hazardous air pollutants.  These standards are applicable to </w:t>
      </w:r>
      <w:r w:rsidR="003A603C">
        <w:t xml:space="preserve">either </w:t>
      </w:r>
      <w:r w:rsidRPr="007F4E65">
        <w:t>new or existing sources of hazardous air pollutants and shall require the maximum degree of emission reduction.  In addition, section 114(a) states that the Administrator may require any owner/operator subject</w:t>
      </w:r>
      <w:r w:rsidR="003A603C">
        <w:t xml:space="preserve"> </w:t>
      </w:r>
      <w:r w:rsidRPr="007F4E65">
        <w:t xml:space="preserve">to any requirement of this Act to: </w:t>
      </w:r>
    </w:p>
    <w:p w:rsidR="00CA4CD6" w:rsidRPr="00A14B15" w:rsidRDefault="00CA4CD6">
      <w:pPr>
        <w:pBdr>
          <w:top w:val="single" w:sz="6" w:space="0" w:color="FFFFFF"/>
          <w:left w:val="single" w:sz="6" w:space="0" w:color="FFFFFF"/>
          <w:bottom w:val="single" w:sz="6" w:space="0" w:color="FFFFFF"/>
          <w:right w:val="single" w:sz="6" w:space="0" w:color="FFFFFF"/>
        </w:pBdr>
      </w:pPr>
    </w:p>
    <w:p w:rsidR="00CA4CD6" w:rsidRDefault="007F4E65">
      <w:pPr>
        <w:pBdr>
          <w:top w:val="single" w:sz="6" w:space="0" w:color="FFFFFF"/>
          <w:left w:val="single" w:sz="6" w:space="0" w:color="FFFFFF"/>
          <w:bottom w:val="single" w:sz="6" w:space="0" w:color="FFFFFF"/>
          <w:right w:val="single" w:sz="6" w:space="0" w:color="FFFFFF"/>
        </w:pBdr>
        <w:ind w:left="1440" w:right="1440"/>
        <w:rPr>
          <w:color w:val="FF0000"/>
        </w:rPr>
      </w:pPr>
      <w:r w:rsidRPr="007F4E6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7F4E65" w:rsidRPr="007F4E65">
        <w:t xml:space="preserve">ethylene dichloride, vinyl chloride, and polymerized vinyl chloride </w:t>
      </w:r>
      <w:r>
        <w:rPr>
          <w:color w:val="000000"/>
        </w:rPr>
        <w:t xml:space="preserve">emissions from </w:t>
      </w:r>
      <w:r w:rsidR="00D369BE">
        <w:rPr>
          <w:color w:val="000000"/>
        </w:rPr>
        <w:t>EDC, PVC, and VCM</w:t>
      </w:r>
      <w:r w:rsidR="008E62D1">
        <w:rPr>
          <w:color w:val="000000"/>
        </w:rPr>
        <w:t xml:space="preserve"> plants</w:t>
      </w:r>
      <w:r>
        <w:rPr>
          <w:color w:val="000000"/>
        </w:rPr>
        <w:t xml:space="preserve"> cause or contribute to air pollution that may reasonably be anticipated to endanger public health or welfare.  Therefore, the </w:t>
      </w:r>
      <w:r w:rsidR="007F4E65" w:rsidRPr="007F4E65">
        <w:t>NESHAP</w:t>
      </w:r>
      <w:r w:rsidR="00A14B15">
        <w:rPr>
          <w:color w:val="FF0000"/>
        </w:rPr>
        <w:t xml:space="preserve"> </w:t>
      </w:r>
      <w:r>
        <w:rPr>
          <w:color w:val="000000"/>
        </w:rPr>
        <w:t xml:space="preserve">were promulgated for this source category at 40 CFR part </w:t>
      </w:r>
      <w:r w:rsidR="00A14B15">
        <w:rPr>
          <w:color w:val="000000"/>
        </w:rPr>
        <w:t>61</w:t>
      </w:r>
      <w:r>
        <w:rPr>
          <w:color w:val="000000"/>
        </w:rPr>
        <w:t>,</w:t>
      </w:r>
      <w:r>
        <w:rPr>
          <w:b/>
          <w:bCs/>
          <w:i/>
          <w:iCs/>
          <w:color w:val="000000"/>
        </w:rPr>
        <w:t xml:space="preserve"> </w:t>
      </w:r>
      <w:r>
        <w:rPr>
          <w:color w:val="000000"/>
        </w:rPr>
        <w:t xml:space="preserve">subpart </w:t>
      </w:r>
      <w:r w:rsidR="00A14B15">
        <w:rPr>
          <w:color w:val="000000"/>
        </w:rPr>
        <w:t>F</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3A603C">
        <w:rPr>
          <w:color w:val="000000"/>
        </w:rPr>
        <w:t>s</w:t>
      </w:r>
      <w:r>
        <w:rPr>
          <w:color w:val="000000"/>
        </w:rPr>
        <w:t xml:space="preserve">. </w:t>
      </w:r>
      <w:r w:rsidR="003A603C">
        <w:rPr>
          <w:color w:val="000000"/>
        </w:rPr>
        <w:t xml:space="preserve"> </w:t>
      </w:r>
      <w:r>
        <w:rPr>
          <w:color w:val="000000"/>
        </w:rPr>
        <w:t>Continuous e</w:t>
      </w:r>
      <w:r w:rsidRPr="00872221">
        <w:t>mission monitors are used to ensure compliance with the standard</w:t>
      </w:r>
      <w:r w:rsidR="003A603C">
        <w:t>s</w:t>
      </w:r>
      <w:r w:rsidRPr="00872221">
        <w:t xml:space="preserve"> at all times. </w:t>
      </w:r>
      <w:r w:rsidR="003A603C">
        <w:t xml:space="preserve"> </w:t>
      </w:r>
      <w:r w:rsidRPr="00872221">
        <w:t xml:space="preserve">During the performance test a record of the </w:t>
      </w:r>
      <w:r w:rsidRPr="00872221">
        <w:lastRenderedPageBreak/>
        <w:t>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0E6C78">
        <w:rPr>
          <w:color w:val="000000"/>
        </w:rPr>
        <w:t>se</w:t>
      </w:r>
      <w:r>
        <w:rPr>
          <w:color w:val="000000"/>
        </w:rPr>
        <w:t xml:space="preserve"> standard</w:t>
      </w:r>
      <w:r w:rsidR="000E6C78">
        <w:rPr>
          <w:color w:val="000000"/>
        </w:rPr>
        <w:t>s</w:t>
      </w:r>
      <w:r>
        <w:rPr>
          <w:color w:val="000000"/>
        </w:rPr>
        <w:t xml:space="preserve">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w:t>
      </w:r>
      <w:r w:rsidR="000E6C78">
        <w:rPr>
          <w:color w:val="000000"/>
        </w:rPr>
        <w:t>s</w:t>
      </w:r>
      <w:r>
        <w:rPr>
          <w:color w:val="000000"/>
        </w:rPr>
        <w:t xml:space="preserve"> </w:t>
      </w:r>
      <w:r w:rsidR="000E6C78">
        <w:rPr>
          <w:color w:val="000000"/>
        </w:rPr>
        <w:t xml:space="preserve">are </w:t>
      </w:r>
      <w:r>
        <w:rPr>
          <w:color w:val="000000"/>
        </w:rPr>
        <w:t xml:space="preserve">being met.  </w:t>
      </w:r>
      <w:r w:rsidR="000E6C78">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7F4E65" w:rsidRPr="007F4E65">
        <w:t xml:space="preserve">quarterly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0E6C78">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61, subpart</w:t>
      </w:r>
      <w:r w:rsidR="00A44713">
        <w:rPr>
          <w:color w:val="000000"/>
        </w:rPr>
        <w:t xml:space="preserve"> F</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0E6C78">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sidR="000E6C78">
        <w:rPr>
          <w:color w:val="000000"/>
        </w:rPr>
        <w:t xml:space="preserve"> does not</w:t>
      </w:r>
      <w:r>
        <w:rPr>
          <w:color w:val="000000"/>
        </w:rPr>
        <w:t xml:space="preserve"> 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7F4E65" w:rsidRPr="007F4E65">
        <w:t xml:space="preserve">78 </w:t>
      </w:r>
      <w:r w:rsidR="007F4E65" w:rsidRPr="007F4E65">
        <w:rPr>
          <w:u w:val="single"/>
        </w:rPr>
        <w:t>FR</w:t>
      </w:r>
      <w:r w:rsidR="007F4E65" w:rsidRPr="007F4E65">
        <w:t xml:space="preserve"> 35023</w:t>
      </w:r>
      <w:r>
        <w:rPr>
          <w:color w:val="000000"/>
        </w:rPr>
        <w:t xml:space="preserve">) on </w:t>
      </w:r>
      <w:r w:rsidR="007F4E65" w:rsidRPr="007F4E65">
        <w:t>June 11, 2013</w:t>
      </w:r>
      <w:r>
        <w:rPr>
          <w:color w:val="000000"/>
        </w:rPr>
        <w:t>.</w:t>
      </w:r>
      <w:r>
        <w:rPr>
          <w:color w:val="FF0000"/>
        </w:rPr>
        <w:t xml:space="preserve">  </w:t>
      </w:r>
      <w:r w:rsidR="007F4E65" w:rsidRPr="007F4E65">
        <w:t xml:space="preserve">No comments were received on the burden published in the </w:t>
      </w:r>
      <w:r w:rsidR="007F4E65" w:rsidRPr="007F4E65">
        <w:rPr>
          <w:u w:val="single"/>
        </w:rPr>
        <w:t>Federal Register</w:t>
      </w:r>
      <w:r w:rsidR="007F4E65" w:rsidRPr="007F4E65">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Industry trade associations and other interested parties were provided an opportunity to comment on the burden associated with the standard as it was being developed and the standard</w:t>
      </w:r>
      <w:r w:rsidR="000E6C78">
        <w:t>s</w:t>
      </w:r>
      <w:r w:rsidRPr="00895D0F">
        <w:t xml:space="preserve"> ha</w:t>
      </w:r>
      <w:r w:rsidR="000E6C78">
        <w:t>ve</w:t>
      </w:r>
      <w:r w:rsidRPr="00895D0F">
        <w:t xml:space="preserve"> been reviewed </w:t>
      </w:r>
      <w:r w:rsidR="000E6C78">
        <w:t xml:space="preserve">previously </w:t>
      </w:r>
      <w:r w:rsidRPr="00895D0F">
        <w:t xml:space="preserve">to determine the minimum information needed for compliance </w:t>
      </w:r>
      <w:r w:rsidRPr="00895D0F">
        <w:lastRenderedPageBreak/>
        <w:t xml:space="preserve">purposes.  </w:t>
      </w:r>
      <w:r>
        <w:t>In developing this ICR, we contacted</w:t>
      </w:r>
      <w:r w:rsidR="000E6C78">
        <w:t xml:space="preserve">: 1) </w:t>
      </w:r>
      <w:r>
        <w:t>the</w:t>
      </w:r>
      <w:r w:rsidR="0047352C">
        <w:t xml:space="preserve"> Vinyl Institute</w:t>
      </w:r>
      <w:r w:rsidR="000E6C78">
        <w:t>,</w:t>
      </w:r>
      <w:r>
        <w:t xml:space="preserve"> at </w:t>
      </w:r>
      <w:r w:rsidR="0047352C">
        <w:t>(571) 970-3283</w:t>
      </w:r>
      <w:r w:rsidR="000E6C78">
        <w:t>;</w:t>
      </w:r>
      <w:r>
        <w:t xml:space="preserve"> </w:t>
      </w:r>
      <w:proofErr w:type="gramStart"/>
      <w:r>
        <w:t xml:space="preserve">and </w:t>
      </w:r>
      <w:r w:rsidR="000E6C78">
        <w:t xml:space="preserve"> 2</w:t>
      </w:r>
      <w:proofErr w:type="gramEnd"/>
      <w:r w:rsidR="000E6C78">
        <w:t>)</w:t>
      </w:r>
      <w:r>
        <w:t xml:space="preserve"> </w:t>
      </w:r>
      <w:r w:rsidR="000E6C78">
        <w:t xml:space="preserve">the </w:t>
      </w:r>
      <w:r w:rsidR="0047352C">
        <w:t>American Chemistry Council</w:t>
      </w:r>
      <w:r w:rsidR="000E6C78">
        <w:t>,</w:t>
      </w:r>
      <w:r>
        <w:t xml:space="preserve"> at </w:t>
      </w:r>
      <w:r w:rsidR="0047352C">
        <w:t>(202) 249-6706</w:t>
      </w:r>
      <w:r w:rsidR="007F4E65" w:rsidRPr="007F4E65">
        <w:t>.</w:t>
      </w:r>
      <w:r w:rsidR="00FA1F68">
        <w:t xml:space="preserve">  The Vinyl Institute provided both editorial comments and technical corrections in response to the consultation.  We have corrected the frequency of occurrence for submitting MVV/RVD reports in Table 1 to be consistent with the remaining supporting statement.  In addition, we have revised the number of respondents to address the impact of the part 63 NESHAP rule on this standard. </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E6C7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D3AF0" w:rsidRDefault="007D3AF0"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7D3AF0" w:rsidRDefault="007D3AF0"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7D3AF0" w:rsidRDefault="007D3AF0"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7D3AF0" w:rsidRDefault="007D3AF0"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A1F68" w:rsidRDefault="00CA4CD6" w:rsidP="00206BF0">
      <w:pPr>
        <w:pBdr>
          <w:top w:val="single" w:sz="6" w:space="0" w:color="FFFFFF"/>
          <w:left w:val="single" w:sz="6" w:space="0" w:color="FFFFFF"/>
          <w:bottom w:val="single" w:sz="6" w:space="0" w:color="FFFFFF"/>
          <w:right w:val="single" w:sz="6" w:space="0" w:color="FFFFFF"/>
        </w:pBdr>
        <w:ind w:right="-450" w:firstLine="720"/>
        <w:rPr>
          <w:color w:val="000000"/>
        </w:rPr>
      </w:pPr>
      <w:r>
        <w:rPr>
          <w:color w:val="000000"/>
        </w:rPr>
        <w:t xml:space="preserve">The respondents to the recordkeeping and reporting requirements are </w:t>
      </w:r>
      <w:r w:rsidR="00ED4566">
        <w:rPr>
          <w:color w:val="000000"/>
        </w:rPr>
        <w:t>EDC, VCM, and PVC</w:t>
      </w:r>
      <w:r w:rsidR="00A44713">
        <w:rPr>
          <w:color w:val="000000"/>
        </w:rPr>
        <w:t xml:space="preserve"> manufacturing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A44713">
        <w:rPr>
          <w:color w:val="000000"/>
        </w:rPr>
        <w:t>2821</w:t>
      </w:r>
      <w:r w:rsidR="00ED4566">
        <w:rPr>
          <w:color w:val="000000"/>
        </w:rPr>
        <w:t>,</w:t>
      </w:r>
      <w:r>
        <w:rPr>
          <w:color w:val="000000"/>
        </w:rPr>
        <w:t xml:space="preserve"> which corresponds to the North American Industry Classification System</w:t>
      </w:r>
      <w:r w:rsidR="00206BF0">
        <w:rPr>
          <w:color w:val="000000"/>
        </w:rPr>
        <w:t xml:space="preserve"> </w:t>
      </w:r>
      <w:r w:rsidR="00CF2B37">
        <w:rPr>
          <w:color w:val="000000"/>
        </w:rPr>
        <w:t>(NAICS</w:t>
      </w:r>
      <w:r>
        <w:rPr>
          <w:color w:val="000000"/>
        </w:rPr>
        <w:t xml:space="preserve">) </w:t>
      </w:r>
      <w:r w:rsidR="00ED4566">
        <w:rPr>
          <w:color w:val="000000"/>
        </w:rPr>
        <w:t xml:space="preserve">code </w:t>
      </w:r>
      <w:r w:rsidR="00A44713">
        <w:rPr>
          <w:color w:val="000000"/>
        </w:rPr>
        <w:t>325211</w:t>
      </w:r>
      <w:r>
        <w:rPr>
          <w:color w:val="000000"/>
        </w:rPr>
        <w:t xml:space="preserve"> for </w:t>
      </w:r>
      <w:r w:rsidR="00ED4566">
        <w:rPr>
          <w:color w:val="000000"/>
        </w:rPr>
        <w:t>Plastics Material and Resin Manufacturing</w:t>
      </w:r>
      <w:r w:rsidR="00A44713">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5136A4" w:rsidRPr="00686C18">
        <w:t>NESHAP for Vinyl Chloride (40 CFR</w:t>
      </w:r>
      <w:r w:rsidR="005136A4" w:rsidRPr="00686C18">
        <w:rPr>
          <w:color w:val="FF0000"/>
        </w:rPr>
        <w:t xml:space="preserve"> </w:t>
      </w:r>
      <w:r w:rsidR="005136A4" w:rsidRPr="00686C18">
        <w:t>Part</w:t>
      </w:r>
      <w:r w:rsidR="005136A4" w:rsidRPr="00686C18">
        <w:rPr>
          <w:color w:val="FF0000"/>
        </w:rPr>
        <w:t xml:space="preserve"> </w:t>
      </w:r>
      <w:r w:rsidR="005136A4" w:rsidRPr="00686C18">
        <w:t>61, Subpart F)</w:t>
      </w:r>
      <w:r w:rsidR="00CA4CD6" w:rsidRPr="005136A4">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6A686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761996">
              <w:rPr>
                <w:b/>
              </w:rPr>
              <w:t>/ Reports</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61.07</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61.09(a)(1)</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61.09(a)(2)</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61.15</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61.13(f)</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Notification of emissions testing</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61.13(c)</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Application for waiver of testing</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61.13(</w:t>
            </w:r>
            <w:proofErr w:type="spellStart"/>
            <w:r>
              <w:t>i</w:t>
            </w:r>
            <w:proofErr w:type="spellEnd"/>
            <w:r>
              <w:t>)(1), and 61.13(</w:t>
            </w:r>
            <w:proofErr w:type="spellStart"/>
            <w:r>
              <w:t>i</w:t>
            </w:r>
            <w:proofErr w:type="spellEnd"/>
            <w:r>
              <w:t>)(2)</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Application for equivalent equipment and procedures</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61.66</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Initial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61.69</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Quarterly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61.70(a)(1)</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Manual vent valve (MVV) discharge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61.64(a)(3)</w:t>
            </w:r>
          </w:p>
        </w:tc>
      </w:tr>
      <w:tr w:rsidR="006A6860" w:rsidRPr="00CF2B37" w:rsidTr="00605BB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Relief valve discharge (RVD)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6A6860" w:rsidRPr="00CF2B37" w:rsidRDefault="006A6860">
            <w:pPr>
              <w:pBdr>
                <w:top w:val="single" w:sz="6" w:space="0" w:color="FFFFFF"/>
                <w:left w:val="single" w:sz="6" w:space="0" w:color="FFFFFF"/>
                <w:bottom w:val="single" w:sz="6" w:space="0" w:color="FFFFFF"/>
                <w:right w:val="single" w:sz="6" w:space="0" w:color="FFFFFF"/>
              </w:pBdr>
              <w:spacing w:after="58"/>
            </w:pPr>
            <w:r>
              <w:t>61.65(a)</w:t>
            </w:r>
          </w:p>
        </w:tc>
      </w:tr>
    </w:tbl>
    <w:p w:rsidR="00FA1F68" w:rsidRDefault="00FA1F68">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7D3AF0" w:rsidRDefault="007D3AF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7619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61996" w:rsidRPr="00CF2B37" w:rsidTr="00605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61996" w:rsidRPr="00CF2B37" w:rsidRDefault="00761996">
            <w:pPr>
              <w:pBdr>
                <w:top w:val="single" w:sz="6" w:space="0" w:color="FFFFFF"/>
                <w:left w:val="single" w:sz="6" w:space="0" w:color="FFFFFF"/>
                <w:bottom w:val="single" w:sz="6" w:space="0" w:color="FFFFFF"/>
                <w:right w:val="single" w:sz="6" w:space="0" w:color="FFFFFF"/>
              </w:pBdr>
              <w:spacing w:after="58"/>
            </w:pPr>
            <w:r>
              <w:t>Startup, shutdown, malfunction,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761996" w:rsidRPr="00CF2B37" w:rsidRDefault="00761996">
            <w:pPr>
              <w:pBdr>
                <w:top w:val="single" w:sz="6" w:space="0" w:color="FFFFFF"/>
                <w:left w:val="single" w:sz="6" w:space="0" w:color="FFFFFF"/>
                <w:bottom w:val="single" w:sz="6" w:space="0" w:color="FFFFFF"/>
                <w:right w:val="single" w:sz="6" w:space="0" w:color="FFFFFF"/>
              </w:pBdr>
              <w:spacing w:after="58"/>
            </w:pPr>
            <w:r>
              <w:t>61.14(f)</w:t>
            </w:r>
          </w:p>
        </w:tc>
      </w:tr>
      <w:tr w:rsidR="00761996" w:rsidRPr="00CF2B37" w:rsidTr="00605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61996" w:rsidRPr="00CF2B37" w:rsidRDefault="00761996">
            <w:pPr>
              <w:pBdr>
                <w:top w:val="single" w:sz="6" w:space="0" w:color="FFFFFF"/>
                <w:left w:val="single" w:sz="6" w:space="0" w:color="FFFFFF"/>
                <w:bottom w:val="single" w:sz="6" w:space="0" w:color="FFFFFF"/>
                <w:right w:val="single" w:sz="6" w:space="0" w:color="FFFFFF"/>
              </w:pBdr>
              <w:spacing w:after="58"/>
            </w:pPr>
            <w:r>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761996" w:rsidRPr="00CF2B37" w:rsidRDefault="00761996">
            <w:pPr>
              <w:pBdr>
                <w:top w:val="single" w:sz="6" w:space="0" w:color="FFFFFF"/>
                <w:left w:val="single" w:sz="6" w:space="0" w:color="FFFFFF"/>
                <w:bottom w:val="single" w:sz="6" w:space="0" w:color="FFFFFF"/>
                <w:right w:val="single" w:sz="6" w:space="0" w:color="FFFFFF"/>
              </w:pBdr>
              <w:spacing w:after="58"/>
            </w:pPr>
            <w:r>
              <w:t>61.13(g), 61.71(1)(3)</w:t>
            </w:r>
          </w:p>
        </w:tc>
      </w:tr>
      <w:tr w:rsidR="00761996" w:rsidRPr="00CF2B37" w:rsidTr="00605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61996" w:rsidRPr="00CF2B37" w:rsidRDefault="00761996">
            <w:pPr>
              <w:pBdr>
                <w:top w:val="single" w:sz="6" w:space="0" w:color="FFFFFF"/>
                <w:left w:val="single" w:sz="6" w:space="0" w:color="FFFFFF"/>
                <w:bottom w:val="single" w:sz="6" w:space="0" w:color="FFFFFF"/>
                <w:right w:val="single" w:sz="6" w:space="0" w:color="FFFFFF"/>
              </w:pBdr>
              <w:spacing w:after="58"/>
            </w:pPr>
            <w:r>
              <w:t>Records of leak detected</w:t>
            </w:r>
          </w:p>
        </w:tc>
        <w:tc>
          <w:tcPr>
            <w:tcW w:w="2250" w:type="dxa"/>
            <w:tcBorders>
              <w:top w:val="single" w:sz="7" w:space="0" w:color="000000"/>
              <w:left w:val="single" w:sz="7" w:space="0" w:color="000000"/>
              <w:bottom w:val="single" w:sz="7" w:space="0" w:color="000000"/>
              <w:right w:val="single" w:sz="7" w:space="0" w:color="000000"/>
            </w:tcBorders>
            <w:vAlign w:val="center"/>
          </w:tcPr>
          <w:p w:rsidR="00761996" w:rsidRPr="00CF2B37" w:rsidRDefault="00761996">
            <w:pPr>
              <w:pBdr>
                <w:top w:val="single" w:sz="6" w:space="0" w:color="FFFFFF"/>
                <w:left w:val="single" w:sz="6" w:space="0" w:color="FFFFFF"/>
                <w:bottom w:val="single" w:sz="6" w:space="0" w:color="FFFFFF"/>
                <w:right w:val="single" w:sz="6" w:space="0" w:color="FFFFFF"/>
              </w:pBdr>
              <w:spacing w:after="58"/>
            </w:pPr>
            <w:r>
              <w:t>61.71(a)(1), 61.71(a)(2)</w:t>
            </w:r>
          </w:p>
        </w:tc>
      </w:tr>
      <w:tr w:rsidR="00761996" w:rsidRPr="00CF2B37" w:rsidTr="00605BB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61996" w:rsidRPr="00CF2B37" w:rsidRDefault="00761996">
            <w:pPr>
              <w:pBdr>
                <w:top w:val="single" w:sz="6" w:space="0" w:color="FFFFFF"/>
                <w:left w:val="single" w:sz="6" w:space="0" w:color="FFFFFF"/>
                <w:bottom w:val="single" w:sz="6" w:space="0" w:color="FFFFFF"/>
                <w:right w:val="single" w:sz="6" w:space="0" w:color="FFFFFF"/>
              </w:pBdr>
              <w:spacing w:after="58"/>
            </w:pPr>
            <w:r>
              <w:t>Performance test records, leaks detected, emissions records, and daily operating records are required to be retained on-site for three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761996" w:rsidRPr="00CF2B37" w:rsidRDefault="00761996" w:rsidP="0033461B">
            <w:pPr>
              <w:pBdr>
                <w:top w:val="single" w:sz="6" w:space="0" w:color="FFFFFF"/>
                <w:left w:val="single" w:sz="6" w:space="0" w:color="FFFFFF"/>
                <w:bottom w:val="single" w:sz="6" w:space="0" w:color="FFFFFF"/>
                <w:right w:val="single" w:sz="6" w:space="0" w:color="FFFFFF"/>
              </w:pBdr>
              <w:spacing w:after="58"/>
            </w:pPr>
            <w:r>
              <w:t>61.67(f), 61.71(a)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w:t>
      </w:r>
      <w:r w:rsidR="007F4E65" w:rsidRPr="007F4E65">
        <w:t xml:space="preserve">approximately 10 percent </w:t>
      </w:r>
      <w:r>
        <w:rPr>
          <w:color w:val="000000"/>
        </w:rPr>
        <w:t>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E53226" w:rsidRDefault="00CA4CD6" w:rsidP="00ED456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ED4566">
              <w:rPr>
                <w:color w:val="000000"/>
              </w:rPr>
              <w:t xml:space="preserve">vinyl chloride </w:t>
            </w:r>
            <w:r>
              <w:rPr>
                <w:color w:val="000000"/>
              </w:rPr>
              <w:t>CMS</w:t>
            </w:r>
            <w:r w:rsidR="007F4E65" w:rsidRPr="007F4E65">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E5322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DF6323">
              <w:rPr>
                <w:color w:val="000000"/>
              </w:rPr>
              <w:t>106, 107, and or 601</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33461B" w:rsidRDefault="0033461B"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ED4566">
        <w:rPr>
          <w:color w:val="000000"/>
        </w:rPr>
        <w:t xml:space="preserve">three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FA1F6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E442E3">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w:t>
      </w:r>
      <w:r w:rsidR="00CD50E0">
        <w:rPr>
          <w:color w:val="000000"/>
        </w:rPr>
        <w:t xml:space="preserve"> below </w:t>
      </w:r>
      <w:r>
        <w:rPr>
          <w:color w:val="000000"/>
        </w:rPr>
        <w:t xml:space="preserve">in </w:t>
      </w:r>
      <w:r w:rsidR="00297204" w:rsidRPr="00F5053E">
        <w:t>Table 1: Annual Respondent Burden and Cost – NESHAP for Vinyl Chloride (40 CFR Part 61, Subpart F)</w:t>
      </w:r>
      <w:r w:rsidR="00297204" w:rsidRPr="00F5053E">
        <w:rPr>
          <w:bCs/>
        </w:rPr>
        <w:t xml:space="preserve"> (Renewal)</w:t>
      </w:r>
      <w:r w:rsidR="00297204">
        <w:rPr>
          <w:bCs/>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297204">
        <w:rPr>
          <w:color w:val="000000"/>
        </w:rPr>
        <w:t xml:space="preserve">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605BB0" w:rsidRDefault="00CA4CD6">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A1F68">
        <w:rPr>
          <w:color w:val="000000"/>
        </w:rPr>
        <w:t>7,60</w:t>
      </w:r>
      <w:r w:rsidR="007D3AF0">
        <w:rPr>
          <w:color w:val="000000"/>
        </w:rPr>
        <w:t>3</w:t>
      </w:r>
      <w:r w:rsidR="004C701D">
        <w:rPr>
          <w:color w:val="000000"/>
        </w:rPr>
        <w:t xml:space="preserve"> (</w:t>
      </w:r>
      <w:r>
        <w:rPr>
          <w:color w:val="000000"/>
        </w:rPr>
        <w:t>Total Labor Hours from Table 1</w:t>
      </w:r>
      <w:r w:rsidR="007D3AF0">
        <w:rPr>
          <w:color w:val="000000"/>
        </w:rPr>
        <w:t xml:space="preserve"> </w:t>
      </w:r>
      <w:r w:rsidR="00CD50E0">
        <w:rPr>
          <w:color w:val="000000"/>
        </w:rPr>
        <w:t>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F4E65" w:rsidRPr="007F4E65">
        <w:t>NESHAP</w:t>
      </w:r>
      <w:r w:rsidR="0026152B">
        <w:rPr>
          <w:color w:val="FF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26152B" w:rsidRDefault="002615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7D3AF0">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50" w:type="dxa"/>
        <w:tblInd w:w="21" w:type="dxa"/>
        <w:tblLayout w:type="fixed"/>
        <w:tblCellMar>
          <w:left w:w="111" w:type="dxa"/>
          <w:right w:w="111" w:type="dxa"/>
        </w:tblCellMar>
        <w:tblLook w:val="0000" w:firstRow="0" w:lastRow="0" w:firstColumn="0" w:lastColumn="0" w:noHBand="0" w:noVBand="0"/>
      </w:tblPr>
      <w:tblGrid>
        <w:gridCol w:w="1260"/>
        <w:gridCol w:w="1440"/>
        <w:gridCol w:w="1350"/>
        <w:gridCol w:w="1440"/>
        <w:gridCol w:w="1350"/>
        <w:gridCol w:w="1260"/>
        <w:gridCol w:w="1350"/>
      </w:tblGrid>
      <w:tr w:rsidR="00A73600" w:rsidTr="00FA1F68">
        <w:trPr>
          <w:tblHeader/>
        </w:trPr>
        <w:tc>
          <w:tcPr>
            <w:tcW w:w="945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FA1F68">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rsidTr="00FA1F68">
        <w:tc>
          <w:tcPr>
            <w:tcW w:w="1260" w:type="dxa"/>
            <w:tcBorders>
              <w:top w:val="single" w:sz="7" w:space="0" w:color="000000"/>
              <w:left w:val="single" w:sz="7" w:space="0" w:color="000000"/>
              <w:bottom w:val="single" w:sz="4" w:space="0" w:color="auto"/>
              <w:right w:val="single" w:sz="6" w:space="0" w:color="FFFFFF"/>
            </w:tcBorders>
            <w:vAlign w:val="center"/>
          </w:tcPr>
          <w:p w:rsidR="00CA4CD6" w:rsidRDefault="00CA4CD6" w:rsidP="00FA1F68">
            <w:pPr>
              <w:spacing w:line="120" w:lineRule="exact"/>
              <w:jc w:val="center"/>
              <w:rPr>
                <w:color w:val="000000"/>
                <w:sz w:val="20"/>
                <w:szCs w:val="20"/>
              </w:rPr>
            </w:pPr>
          </w:p>
          <w:p w:rsidR="00FA1F68" w:rsidRDefault="0026152B" w:rsidP="00FA1F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 CEMS</w:t>
            </w:r>
          </w:p>
        </w:tc>
        <w:tc>
          <w:tcPr>
            <w:tcW w:w="1440" w:type="dxa"/>
            <w:tcBorders>
              <w:top w:val="single" w:sz="7" w:space="0" w:color="000000"/>
              <w:left w:val="single" w:sz="7" w:space="0" w:color="000000"/>
              <w:bottom w:val="single" w:sz="4" w:space="0" w:color="auto"/>
              <w:right w:val="single" w:sz="6" w:space="0" w:color="FFFFFF"/>
            </w:tcBorders>
            <w:vAlign w:val="center"/>
          </w:tcPr>
          <w:p w:rsidR="00CA4CD6" w:rsidRDefault="00CA4CD6" w:rsidP="00FA1F68">
            <w:pPr>
              <w:spacing w:line="120" w:lineRule="exact"/>
              <w:jc w:val="center"/>
              <w:rPr>
                <w:color w:val="000000"/>
                <w:sz w:val="20"/>
                <w:szCs w:val="20"/>
              </w:rPr>
            </w:pPr>
          </w:p>
          <w:p w:rsidR="00CA4CD6" w:rsidRDefault="0026152B" w:rsidP="00FA1F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$150,000</w:t>
            </w:r>
          </w:p>
        </w:tc>
        <w:tc>
          <w:tcPr>
            <w:tcW w:w="1350" w:type="dxa"/>
            <w:tcBorders>
              <w:top w:val="single" w:sz="7" w:space="0" w:color="000000"/>
              <w:left w:val="single" w:sz="7" w:space="0" w:color="000000"/>
              <w:bottom w:val="single" w:sz="4" w:space="0" w:color="auto"/>
              <w:right w:val="single" w:sz="6" w:space="0" w:color="FFFFFF"/>
            </w:tcBorders>
            <w:vAlign w:val="center"/>
          </w:tcPr>
          <w:p w:rsidR="00CA4CD6" w:rsidRDefault="00CA4CD6" w:rsidP="00FA1F68">
            <w:pPr>
              <w:spacing w:line="120" w:lineRule="exact"/>
              <w:jc w:val="center"/>
              <w:rPr>
                <w:color w:val="000000"/>
                <w:sz w:val="20"/>
                <w:szCs w:val="20"/>
              </w:rPr>
            </w:pPr>
          </w:p>
          <w:p w:rsidR="00CA4CD6" w:rsidRDefault="0026152B" w:rsidP="00FA1F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4" w:space="0" w:color="auto"/>
              <w:right w:val="single" w:sz="6" w:space="0" w:color="FFFFFF"/>
            </w:tcBorders>
            <w:vAlign w:val="center"/>
          </w:tcPr>
          <w:p w:rsidR="00CA4CD6" w:rsidRDefault="00CA4CD6" w:rsidP="00FA1F68">
            <w:pPr>
              <w:spacing w:line="120" w:lineRule="exact"/>
              <w:jc w:val="center"/>
              <w:rPr>
                <w:color w:val="000000"/>
                <w:sz w:val="20"/>
                <w:szCs w:val="20"/>
              </w:rPr>
            </w:pPr>
          </w:p>
          <w:p w:rsidR="00CA4CD6" w:rsidRDefault="0026152B" w:rsidP="00FA1F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4" w:space="0" w:color="auto"/>
              <w:right w:val="single" w:sz="6" w:space="0" w:color="FFFFFF"/>
            </w:tcBorders>
            <w:vAlign w:val="center"/>
          </w:tcPr>
          <w:p w:rsidR="00CA4CD6" w:rsidRDefault="00CA4CD6" w:rsidP="00FA1F68">
            <w:pPr>
              <w:spacing w:line="120" w:lineRule="exact"/>
              <w:jc w:val="center"/>
              <w:rPr>
                <w:color w:val="000000"/>
                <w:sz w:val="20"/>
                <w:szCs w:val="20"/>
              </w:rPr>
            </w:pPr>
          </w:p>
          <w:p w:rsidR="00CA4CD6" w:rsidRDefault="0026152B" w:rsidP="00FA1F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$45,000</w:t>
            </w:r>
          </w:p>
        </w:tc>
        <w:tc>
          <w:tcPr>
            <w:tcW w:w="1260" w:type="dxa"/>
            <w:tcBorders>
              <w:top w:val="single" w:sz="7" w:space="0" w:color="000000"/>
              <w:left w:val="single" w:sz="7" w:space="0" w:color="000000"/>
              <w:bottom w:val="single" w:sz="4" w:space="0" w:color="auto"/>
              <w:right w:val="single" w:sz="6" w:space="0" w:color="FFFFFF"/>
            </w:tcBorders>
            <w:vAlign w:val="center"/>
          </w:tcPr>
          <w:p w:rsidR="00CA4CD6" w:rsidRDefault="00CA4CD6" w:rsidP="00FA1F68">
            <w:pPr>
              <w:spacing w:line="120" w:lineRule="exact"/>
              <w:jc w:val="center"/>
              <w:rPr>
                <w:color w:val="000000"/>
                <w:sz w:val="20"/>
                <w:szCs w:val="20"/>
              </w:rPr>
            </w:pPr>
          </w:p>
          <w:p w:rsidR="00CA4CD6" w:rsidRDefault="00FA1F68" w:rsidP="00FA1F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350" w:type="dxa"/>
            <w:tcBorders>
              <w:top w:val="single" w:sz="7" w:space="0" w:color="000000"/>
              <w:left w:val="single" w:sz="7" w:space="0" w:color="000000"/>
              <w:bottom w:val="single" w:sz="4" w:space="0" w:color="auto"/>
              <w:right w:val="single" w:sz="7" w:space="0" w:color="000000"/>
            </w:tcBorders>
            <w:vAlign w:val="center"/>
          </w:tcPr>
          <w:p w:rsidR="00CA4CD6" w:rsidRDefault="00CA4CD6" w:rsidP="00FA1F68">
            <w:pPr>
              <w:spacing w:line="120" w:lineRule="exact"/>
              <w:jc w:val="center"/>
              <w:rPr>
                <w:color w:val="000000"/>
                <w:sz w:val="20"/>
                <w:szCs w:val="20"/>
              </w:rPr>
            </w:pPr>
          </w:p>
          <w:p w:rsidR="00CA4CD6" w:rsidRDefault="0026152B" w:rsidP="00FA1F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FA1F68">
              <w:rPr>
                <w:color w:val="000000"/>
                <w:sz w:val="20"/>
                <w:szCs w:val="20"/>
              </w:rPr>
              <w:t>810</w:t>
            </w:r>
            <w:r w:rsidR="00EF30F4">
              <w:rPr>
                <w:color w:val="000000"/>
                <w:sz w:val="20"/>
                <w:szCs w:val="20"/>
              </w:rPr>
              <w:t>,000</w:t>
            </w:r>
          </w:p>
        </w:tc>
      </w:tr>
    </w:tbl>
    <w:p w:rsidR="00CA4CD6" w:rsidRPr="00FA1F68"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Pr>
          <w:color w:val="000000"/>
        </w:rPr>
        <w:tab/>
      </w:r>
      <w:r w:rsidR="00FA1F68" w:rsidRPr="00FA1F68">
        <w:rPr>
          <w:color w:val="000000"/>
          <w:sz w:val="20"/>
          <w:szCs w:val="20"/>
        </w:rPr>
        <w:t xml:space="preserve">CEMS – Continuous emissions monitoring system. </w:t>
      </w:r>
    </w:p>
    <w:p w:rsidR="00FA1F68" w:rsidRDefault="00FA1F68">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C53634">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FA1F68">
        <w:rPr>
          <w:color w:val="000000"/>
        </w:rPr>
        <w:t>810</w:t>
      </w:r>
      <w:r w:rsidR="00C53634">
        <w:rPr>
          <w:color w:val="000000"/>
        </w:rPr>
        <w:t>,000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FA1F6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FA1F68">
        <w:rPr>
          <w:color w:val="000000"/>
        </w:rPr>
        <w:t>810</w:t>
      </w:r>
      <w:r w:rsidR="00C53634">
        <w:rPr>
          <w:color w:val="000000"/>
        </w:rPr>
        <w:t>,000</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A1F68">
        <w:rPr>
          <w:color w:val="000000"/>
        </w:rPr>
        <w:t>82,090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226"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297204" w:rsidRPr="00F5053E">
        <w:t>Table 2: Average Annual EPA Burden and Cost – NESHAP for Vinyl Chloride (40 CFR Part 61, Subpart F)</w:t>
      </w:r>
      <w:r w:rsidR="00297204" w:rsidRPr="00F5053E">
        <w:rPr>
          <w:bCs/>
        </w:rPr>
        <w:t xml:space="preserve"> (Renewal)</w:t>
      </w:r>
      <w:r w:rsidR="00297204" w:rsidRPr="00F5053E">
        <w:t xml:space="preserve">. </w:t>
      </w:r>
    </w:p>
    <w:p w:rsidR="00E53226" w:rsidRDefault="00E5322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approximately </w:t>
      </w:r>
      <w:r w:rsidR="003C0AA8">
        <w:rPr>
          <w:color w:val="000000"/>
        </w:rPr>
        <w:t>26 existing sources are currently</w:t>
      </w:r>
      <w:r>
        <w:rPr>
          <w:color w:val="000000"/>
        </w:rPr>
        <w:t xml:space="preserve"> subject to the standard.  </w:t>
      </w:r>
      <w:r w:rsidR="003C0AA8">
        <w:rPr>
          <w:color w:val="000000"/>
        </w:rPr>
        <w:t xml:space="preserve">After April 17, 2015 (year 2 of this ICR period), 12 of these sources will comply with the part 63 PVC NESHAP, and will no longer be subject to this standard.  Of the remaining 14 sources, half will be subject only to this standard while half will be subject to both the part 61 and part 63 rules.  </w:t>
      </w:r>
      <w:r>
        <w:rPr>
          <w:color w:val="000000"/>
        </w:rPr>
        <w:t xml:space="preserve">It is estimated that </w:t>
      </w:r>
      <w:r w:rsidR="0039066A">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FA1F68">
        <w:rPr>
          <w:color w:val="000000"/>
        </w:rPr>
        <w:t>18</w:t>
      </w:r>
      <w:r>
        <w:rPr>
          <w:color w:val="000000"/>
        </w:rPr>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D3AF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D3AF0">
        <w:rPr>
          <w:color w:val="000000"/>
        </w:rPr>
        <w:t>:</w:t>
      </w:r>
    </w:p>
    <w:p w:rsidR="007D3AF0" w:rsidRDefault="007D3AF0">
      <w:pPr>
        <w:pBdr>
          <w:top w:val="single" w:sz="6" w:space="0" w:color="FFFFFF"/>
          <w:left w:val="single" w:sz="6" w:space="0" w:color="FFFFFF"/>
          <w:bottom w:val="single" w:sz="6" w:space="0" w:color="FFFFFF"/>
          <w:right w:val="single" w:sz="6" w:space="0" w:color="FFFFFF"/>
        </w:pBdr>
        <w:ind w:firstLine="720"/>
        <w:rPr>
          <w:color w:val="000000"/>
        </w:rPr>
      </w:pPr>
    </w:p>
    <w:p w:rsidR="007D3AF0" w:rsidRDefault="007D3AF0">
      <w:pPr>
        <w:pBdr>
          <w:top w:val="single" w:sz="6" w:space="0" w:color="FFFFFF"/>
          <w:left w:val="single" w:sz="6" w:space="0" w:color="FFFFFF"/>
          <w:bottom w:val="single" w:sz="6" w:space="0" w:color="FFFFFF"/>
          <w:right w:val="single" w:sz="6" w:space="0" w:color="FFFFFF"/>
        </w:pBdr>
        <w:ind w:firstLine="720"/>
        <w:rPr>
          <w:color w:val="000000"/>
        </w:rPr>
      </w:pPr>
    </w:p>
    <w:p w:rsidR="007D3AF0" w:rsidRDefault="007D3AF0">
      <w:pPr>
        <w:pBdr>
          <w:top w:val="single" w:sz="6" w:space="0" w:color="FFFFFF"/>
          <w:left w:val="single" w:sz="6" w:space="0" w:color="FFFFFF"/>
          <w:bottom w:val="single" w:sz="6" w:space="0" w:color="FFFFFF"/>
          <w:right w:val="single" w:sz="6" w:space="0" w:color="FFFFFF"/>
        </w:pBdr>
        <w:ind w:firstLine="720"/>
        <w:rPr>
          <w:color w:val="000000"/>
        </w:rPr>
      </w:pPr>
    </w:p>
    <w:p w:rsidR="007D3AF0" w:rsidRDefault="007D3AF0">
      <w:pPr>
        <w:pBdr>
          <w:top w:val="single" w:sz="6" w:space="0" w:color="FFFFFF"/>
          <w:left w:val="single" w:sz="6" w:space="0" w:color="FFFFFF"/>
          <w:bottom w:val="single" w:sz="6" w:space="0" w:color="FFFFFF"/>
          <w:right w:val="single" w:sz="6" w:space="0" w:color="FFFFFF"/>
        </w:pBdr>
        <w:ind w:firstLine="720"/>
        <w:rPr>
          <w:color w:val="000000"/>
        </w:rPr>
      </w:pPr>
    </w:p>
    <w:p w:rsidR="007D3AF0" w:rsidRDefault="007D3AF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2" w:type="dxa"/>
        <w:tblLayout w:type="fixed"/>
        <w:tblCellMar>
          <w:left w:w="110" w:type="dxa"/>
          <w:right w:w="110" w:type="dxa"/>
        </w:tblCellMar>
        <w:tblLook w:val="0000" w:firstRow="0" w:lastRow="0" w:firstColumn="0" w:lastColumn="0" w:noHBand="0" w:noVBand="0"/>
      </w:tblPr>
      <w:tblGrid>
        <w:gridCol w:w="900"/>
        <w:gridCol w:w="1438"/>
        <w:gridCol w:w="1441"/>
        <w:gridCol w:w="2070"/>
        <w:gridCol w:w="1800"/>
        <w:gridCol w:w="1710"/>
      </w:tblGrid>
      <w:tr w:rsidR="00A73600" w:rsidTr="0039066A">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39066A">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FA1F68">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438"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441"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FA1F68">
              <w:rPr>
                <w:color w:val="000000"/>
                <w:sz w:val="20"/>
                <w:szCs w:val="20"/>
              </w:rPr>
              <w:t xml:space="preserve"> </w:t>
            </w:r>
            <w:r w:rsidR="00FA1F68" w:rsidRPr="00FA1F68">
              <w:rPr>
                <w:color w:val="000000"/>
                <w:sz w:val="20"/>
                <w:szCs w:val="20"/>
                <w:vertAlign w:val="superscript"/>
              </w:rPr>
              <w:t>2</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6935F3" w:rsidTr="00FA1F68">
        <w:tc>
          <w:tcPr>
            <w:tcW w:w="900" w:type="dxa"/>
            <w:tcBorders>
              <w:top w:val="single" w:sz="8" w:space="0" w:color="000000"/>
              <w:left w:val="single" w:sz="8" w:space="0" w:color="000000"/>
              <w:bottom w:val="single" w:sz="6" w:space="0" w:color="000000"/>
              <w:right w:val="single" w:sz="6" w:space="0" w:color="000000"/>
            </w:tcBorders>
          </w:tcPr>
          <w:p w:rsidR="006935F3" w:rsidRDefault="006935F3" w:rsidP="0039066A">
            <w:pPr>
              <w:spacing w:line="120" w:lineRule="exact"/>
              <w:rPr>
                <w:color w:val="000000"/>
                <w:sz w:val="20"/>
                <w:szCs w:val="20"/>
              </w:rPr>
            </w:pPr>
          </w:p>
          <w:p w:rsidR="006935F3" w:rsidRDefault="006935F3"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438" w:type="dxa"/>
            <w:tcBorders>
              <w:top w:val="single" w:sz="8"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1" w:type="dxa"/>
            <w:tcBorders>
              <w:top w:val="single" w:sz="8"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FA1F68"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c>
          <w:tcPr>
            <w:tcW w:w="2070" w:type="dxa"/>
            <w:tcBorders>
              <w:top w:val="single" w:sz="8"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6935F3" w:rsidRDefault="006935F3" w:rsidP="00EF30F4">
            <w:pPr>
              <w:spacing w:line="120" w:lineRule="exact"/>
              <w:rPr>
                <w:color w:val="000000"/>
                <w:sz w:val="18"/>
                <w:szCs w:val="18"/>
              </w:rPr>
            </w:pPr>
          </w:p>
          <w:p w:rsidR="006935F3" w:rsidRDefault="00FA1F68"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r>
      <w:tr w:rsidR="006935F3" w:rsidTr="00FA1F68">
        <w:tc>
          <w:tcPr>
            <w:tcW w:w="900" w:type="dxa"/>
            <w:tcBorders>
              <w:top w:val="single" w:sz="6" w:space="0" w:color="000000"/>
              <w:left w:val="single" w:sz="8"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438" w:type="dxa"/>
            <w:tcBorders>
              <w:top w:val="single" w:sz="6"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1" w:type="dxa"/>
            <w:tcBorders>
              <w:top w:val="single" w:sz="6"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FA1F68"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6935F3" w:rsidRDefault="006935F3" w:rsidP="00EF30F4">
            <w:pPr>
              <w:spacing w:line="120" w:lineRule="exact"/>
              <w:rPr>
                <w:color w:val="000000"/>
                <w:sz w:val="18"/>
                <w:szCs w:val="18"/>
              </w:rPr>
            </w:pPr>
          </w:p>
          <w:p w:rsidR="006935F3" w:rsidRDefault="00FA1F68" w:rsidP="003906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r>
      <w:tr w:rsidR="006935F3" w:rsidTr="00FA1F68">
        <w:tc>
          <w:tcPr>
            <w:tcW w:w="900" w:type="dxa"/>
            <w:tcBorders>
              <w:top w:val="single" w:sz="6" w:space="0" w:color="000000"/>
              <w:left w:val="single" w:sz="8"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438" w:type="dxa"/>
            <w:tcBorders>
              <w:top w:val="single" w:sz="6"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441" w:type="dxa"/>
            <w:tcBorders>
              <w:top w:val="single" w:sz="6"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FA1F68"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6935F3" w:rsidRDefault="006935F3" w:rsidP="00EF30F4">
            <w:pPr>
              <w:spacing w:line="120" w:lineRule="exact"/>
              <w:rPr>
                <w:color w:val="000000"/>
                <w:sz w:val="18"/>
                <w:szCs w:val="18"/>
              </w:rPr>
            </w:pPr>
          </w:p>
          <w:p w:rsidR="006935F3" w:rsidRDefault="00FA1F68"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r>
      <w:tr w:rsidR="006935F3" w:rsidTr="00FA1F68">
        <w:tc>
          <w:tcPr>
            <w:tcW w:w="900" w:type="dxa"/>
            <w:tcBorders>
              <w:top w:val="single" w:sz="6" w:space="0" w:color="000000"/>
              <w:left w:val="single" w:sz="8" w:space="0" w:color="000000"/>
              <w:bottom w:val="single" w:sz="8"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438" w:type="dxa"/>
            <w:tcBorders>
              <w:top w:val="single" w:sz="6" w:space="0" w:color="000000"/>
              <w:left w:val="single" w:sz="6" w:space="0" w:color="000000"/>
              <w:bottom w:val="single" w:sz="8"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441" w:type="dxa"/>
            <w:tcBorders>
              <w:top w:val="single" w:sz="6" w:space="0" w:color="000000"/>
              <w:left w:val="single" w:sz="6" w:space="0" w:color="000000"/>
              <w:bottom w:val="single" w:sz="8" w:space="0" w:color="000000"/>
              <w:right w:val="single" w:sz="6" w:space="0" w:color="000000"/>
            </w:tcBorders>
          </w:tcPr>
          <w:p w:rsidR="006935F3" w:rsidRDefault="006935F3" w:rsidP="0039066A">
            <w:pPr>
              <w:spacing w:line="120" w:lineRule="exact"/>
              <w:rPr>
                <w:color w:val="000000"/>
                <w:sz w:val="18"/>
                <w:szCs w:val="18"/>
              </w:rPr>
            </w:pPr>
          </w:p>
          <w:p w:rsidR="006935F3" w:rsidRDefault="00FA1F68"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18</w:t>
            </w:r>
          </w:p>
        </w:tc>
        <w:tc>
          <w:tcPr>
            <w:tcW w:w="2070" w:type="dxa"/>
            <w:tcBorders>
              <w:top w:val="single" w:sz="6" w:space="0" w:color="000000"/>
              <w:left w:val="single" w:sz="6" w:space="0" w:color="000000"/>
              <w:bottom w:val="single" w:sz="8"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6935F3" w:rsidRDefault="006935F3" w:rsidP="0039066A">
            <w:pPr>
              <w:spacing w:line="120" w:lineRule="exact"/>
              <w:rPr>
                <w:color w:val="000000"/>
                <w:sz w:val="18"/>
                <w:szCs w:val="18"/>
              </w:rPr>
            </w:pPr>
          </w:p>
          <w:p w:rsidR="006935F3" w:rsidRDefault="006935F3"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6935F3" w:rsidRDefault="006935F3" w:rsidP="00EF30F4">
            <w:pPr>
              <w:spacing w:line="120" w:lineRule="exact"/>
              <w:rPr>
                <w:color w:val="000000"/>
                <w:sz w:val="18"/>
                <w:szCs w:val="18"/>
              </w:rPr>
            </w:pPr>
          </w:p>
          <w:p w:rsidR="006935F3" w:rsidRDefault="00FA1F68" w:rsidP="003906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18</w:t>
            </w:r>
          </w:p>
        </w:tc>
      </w:tr>
    </w:tbl>
    <w:p w:rsidR="00FA1F68" w:rsidRDefault="00CA4CD6" w:rsidP="00FA1F68">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Pr="003C0AA8" w:rsidRDefault="00FA1F68" w:rsidP="00FA1F68">
      <w:pPr>
        <w:pBdr>
          <w:top w:val="single" w:sz="6" w:space="0" w:color="FFFFFF"/>
          <w:left w:val="single" w:sz="6" w:space="0" w:color="FFFFFF"/>
          <w:bottom w:val="single" w:sz="6" w:space="0" w:color="FFFFFF"/>
          <w:right w:val="single" w:sz="6" w:space="0" w:color="FFFFFF"/>
        </w:pBdr>
        <w:ind w:left="180" w:hanging="180"/>
        <w:rPr>
          <w:sz w:val="20"/>
          <w:szCs w:val="20"/>
        </w:rPr>
      </w:pPr>
      <w:r w:rsidRPr="003C0AA8">
        <w:rPr>
          <w:sz w:val="20"/>
          <w:szCs w:val="20"/>
          <w:vertAlign w:val="superscript"/>
        </w:rPr>
        <w:t>2</w:t>
      </w:r>
      <w:r w:rsidRPr="003C0AA8">
        <w:rPr>
          <w:sz w:val="20"/>
          <w:szCs w:val="20"/>
        </w:rPr>
        <w:t xml:space="preserve"> After the effective date of the part 63 PVC NESHAP (April 17, 2015), we estimate that 12 of the existing 26 sources will become subject to the part 63 rule, and will no longer be subject to this standard. Therefore, the number of sources that will be subject to th</w:t>
      </w:r>
      <w:r w:rsidR="007D3AF0">
        <w:rPr>
          <w:sz w:val="20"/>
          <w:szCs w:val="20"/>
        </w:rPr>
        <w:t>e</w:t>
      </w:r>
      <w:r w:rsidRPr="003C0AA8">
        <w:rPr>
          <w:sz w:val="20"/>
          <w:szCs w:val="20"/>
        </w:rPr>
        <w:t>s</w:t>
      </w:r>
      <w:r w:rsidR="007D3AF0">
        <w:rPr>
          <w:sz w:val="20"/>
          <w:szCs w:val="20"/>
        </w:rPr>
        <w:t>e</w:t>
      </w:r>
      <w:r w:rsidRPr="003C0AA8">
        <w:rPr>
          <w:sz w:val="20"/>
          <w:szCs w:val="20"/>
        </w:rPr>
        <w:t xml:space="preserve"> standard</w:t>
      </w:r>
      <w:r w:rsidR="007D3AF0">
        <w:rPr>
          <w:sz w:val="20"/>
          <w:szCs w:val="20"/>
        </w:rPr>
        <w:t>s</w:t>
      </w:r>
      <w:r w:rsidRPr="003C0AA8">
        <w:rPr>
          <w:sz w:val="20"/>
          <w:szCs w:val="20"/>
        </w:rPr>
        <w:t xml:space="preserve"> beginning in Year 2 of this ICR is (26 – 12) = 14.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FA1F68"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FA1F68">
        <w:rPr>
          <w:color w:val="000000"/>
        </w:rPr>
        <w:t>18</w:t>
      </w:r>
      <w:r w:rsidR="007F4E65" w:rsidRPr="007F4E65">
        <w:t>.</w:t>
      </w:r>
    </w:p>
    <w:p w:rsidR="00FA1F68" w:rsidRDefault="00FA1F68">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B21ABC">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B21ABC">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rsidTr="00B21ABC">
        <w:tc>
          <w:tcPr>
            <w:tcW w:w="2700" w:type="dxa"/>
          </w:tcPr>
          <w:p w:rsidR="00CA4CD6" w:rsidRDefault="00CA4CD6">
            <w:pPr>
              <w:spacing w:line="120" w:lineRule="exact"/>
              <w:rPr>
                <w:color w:val="000000"/>
                <w:sz w:val="18"/>
                <w:szCs w:val="18"/>
              </w:rPr>
            </w:pPr>
          </w:p>
          <w:p w:rsidR="00CA4CD6" w:rsidRDefault="00D8214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Quarterly Reports</w:t>
            </w:r>
          </w:p>
        </w:tc>
        <w:tc>
          <w:tcPr>
            <w:tcW w:w="1260" w:type="dxa"/>
          </w:tcPr>
          <w:p w:rsidR="00CA4CD6" w:rsidRDefault="00CA4CD6">
            <w:pPr>
              <w:spacing w:line="120" w:lineRule="exact"/>
              <w:rPr>
                <w:color w:val="000000"/>
                <w:sz w:val="18"/>
                <w:szCs w:val="18"/>
              </w:rPr>
            </w:pPr>
          </w:p>
          <w:p w:rsidR="00CA4CD6" w:rsidRDefault="00FA1F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w:t>
            </w:r>
          </w:p>
        </w:tc>
        <w:tc>
          <w:tcPr>
            <w:tcW w:w="1260" w:type="dxa"/>
          </w:tcPr>
          <w:p w:rsidR="00CA4CD6" w:rsidRDefault="00CA4CD6">
            <w:pPr>
              <w:spacing w:line="120" w:lineRule="exact"/>
              <w:rPr>
                <w:color w:val="000000"/>
                <w:sz w:val="18"/>
                <w:szCs w:val="18"/>
              </w:rPr>
            </w:pPr>
          </w:p>
          <w:p w:rsidR="00CA4CD6" w:rsidRDefault="00B21A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tcPr>
          <w:p w:rsidR="00CA4CD6" w:rsidRDefault="00CA4CD6">
            <w:pPr>
              <w:spacing w:line="120" w:lineRule="exact"/>
              <w:rPr>
                <w:color w:val="000000"/>
                <w:sz w:val="18"/>
                <w:szCs w:val="18"/>
              </w:rPr>
            </w:pPr>
          </w:p>
          <w:p w:rsidR="00CA4CD6" w:rsidRDefault="00B21A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tcPr>
          <w:p w:rsidR="00CA4CD6" w:rsidRDefault="00CA4CD6">
            <w:pPr>
              <w:spacing w:line="120" w:lineRule="exact"/>
              <w:rPr>
                <w:color w:val="000000"/>
                <w:sz w:val="18"/>
                <w:szCs w:val="18"/>
              </w:rPr>
            </w:pPr>
          </w:p>
          <w:p w:rsidR="00CA4CD6" w:rsidRDefault="00FA1F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72</w:t>
            </w:r>
          </w:p>
        </w:tc>
      </w:tr>
      <w:tr w:rsidR="00CA4CD6" w:rsidTr="00B21ABC">
        <w:tc>
          <w:tcPr>
            <w:tcW w:w="2700" w:type="dxa"/>
          </w:tcPr>
          <w:p w:rsidR="00CA4CD6" w:rsidRDefault="00CA4CD6">
            <w:pPr>
              <w:spacing w:line="120" w:lineRule="exact"/>
              <w:rPr>
                <w:color w:val="000000"/>
                <w:sz w:val="18"/>
                <w:szCs w:val="18"/>
              </w:rPr>
            </w:pPr>
          </w:p>
          <w:p w:rsidR="00CA4CD6" w:rsidRDefault="00B21A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Manual vent valve/relief valve discharge (MVV/RVD) Reports</w:t>
            </w:r>
          </w:p>
        </w:tc>
        <w:tc>
          <w:tcPr>
            <w:tcW w:w="1260" w:type="dxa"/>
          </w:tcPr>
          <w:p w:rsidR="00CA4CD6" w:rsidRDefault="00CA4CD6">
            <w:pPr>
              <w:spacing w:line="120" w:lineRule="exact"/>
              <w:rPr>
                <w:color w:val="000000"/>
                <w:sz w:val="18"/>
                <w:szCs w:val="18"/>
              </w:rPr>
            </w:pPr>
          </w:p>
          <w:p w:rsidR="00CA4CD6" w:rsidRDefault="00FA1F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w:t>
            </w:r>
          </w:p>
        </w:tc>
        <w:tc>
          <w:tcPr>
            <w:tcW w:w="1260" w:type="dxa"/>
          </w:tcPr>
          <w:p w:rsidR="00CA4CD6" w:rsidRDefault="00CA4CD6">
            <w:pPr>
              <w:spacing w:line="120" w:lineRule="exact"/>
              <w:rPr>
                <w:color w:val="000000"/>
                <w:sz w:val="18"/>
                <w:szCs w:val="18"/>
              </w:rPr>
            </w:pPr>
          </w:p>
          <w:p w:rsidR="00CA4CD6" w:rsidRDefault="00B21A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1890" w:type="dxa"/>
          </w:tcPr>
          <w:p w:rsidR="00CA4CD6" w:rsidRDefault="00CA4CD6">
            <w:pPr>
              <w:spacing w:line="120" w:lineRule="exact"/>
              <w:rPr>
                <w:color w:val="000000"/>
                <w:sz w:val="18"/>
                <w:szCs w:val="18"/>
              </w:rPr>
            </w:pPr>
          </w:p>
          <w:p w:rsidR="00CA4CD6" w:rsidRDefault="00B21A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tcPr>
          <w:p w:rsidR="00CA4CD6" w:rsidRDefault="00CA4CD6">
            <w:pPr>
              <w:spacing w:line="120" w:lineRule="exact"/>
              <w:rPr>
                <w:color w:val="000000"/>
                <w:sz w:val="18"/>
                <w:szCs w:val="18"/>
              </w:rPr>
            </w:pPr>
          </w:p>
          <w:p w:rsidR="00CA4CD6" w:rsidRDefault="00FA1F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54</w:t>
            </w:r>
          </w:p>
        </w:tc>
      </w:tr>
      <w:tr w:rsidR="00CA4CD6" w:rsidTr="00B21ABC">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pPr>
              <w:spacing w:line="120" w:lineRule="exact"/>
              <w:rPr>
                <w:color w:val="000000"/>
                <w:sz w:val="18"/>
                <w:szCs w:val="18"/>
              </w:rPr>
            </w:pPr>
          </w:p>
          <w:p w:rsidR="00CA4CD6" w:rsidRDefault="00FA1F68">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18"/>
                <w:szCs w:val="18"/>
              </w:rPr>
              <w:t>126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C0AA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FA1F68">
        <w:rPr>
          <w:color w:val="000000"/>
        </w:rPr>
        <w:t>126</w:t>
      </w:r>
      <w:r>
        <w:rPr>
          <w:color w:val="000000"/>
        </w:rPr>
        <w:t xml:space="preserve">. </w:t>
      </w:r>
    </w:p>
    <w:p w:rsidR="00FA1F6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8A3260">
        <w:rPr>
          <w:color w:val="000000"/>
        </w:rPr>
        <w:t>$</w:t>
      </w:r>
      <w:r w:rsidR="00FA1F68">
        <w:rPr>
          <w:color w:val="000000"/>
        </w:rPr>
        <w:t>743,615</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297204" w:rsidRPr="00F5053E">
        <w:t>Table 1: Annual Respondent Burden and Cost – NESHAP for Vinyl Chloride (40 CFR Part 61, Subpart F)</w:t>
      </w:r>
      <w:r w:rsidR="00297204" w:rsidRPr="00F5053E">
        <w:rPr>
          <w:bCs/>
        </w:rPr>
        <w:t xml:space="preserv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A1F68">
        <w:rPr>
          <w:color w:val="000000"/>
        </w:rPr>
        <w:t>7,60</w:t>
      </w:r>
      <w:r w:rsidR="004B19EE">
        <w:rPr>
          <w:color w:val="000000"/>
        </w:rPr>
        <w:t xml:space="preserve">3 </w:t>
      </w:r>
      <w:r w:rsidR="007D3AF0">
        <w:rPr>
          <w:color w:val="000000"/>
        </w:rPr>
        <w:t xml:space="preserve">hours </w:t>
      </w:r>
      <w:r w:rsidR="004B19EE">
        <w:rPr>
          <w:color w:val="000000"/>
        </w:rPr>
        <w:t>at a cost of $743,615</w:t>
      </w:r>
      <w:r>
        <w:rPr>
          <w:color w:val="000000"/>
        </w:rPr>
        <w:t>.</w:t>
      </w:r>
      <w:r w:rsidR="00507EC5">
        <w:rPr>
          <w:color w:val="000000"/>
        </w:rPr>
        <w:t xml:space="preserve">  </w:t>
      </w:r>
      <w:r>
        <w:rPr>
          <w:color w:val="000000"/>
        </w:rPr>
        <w:t>Details regarding these estimates may be found</w:t>
      </w:r>
      <w:r w:rsidR="004B19EE">
        <w:rPr>
          <w:color w:val="000000"/>
        </w:rPr>
        <w:t xml:space="preserve"> below </w:t>
      </w:r>
      <w:r>
        <w:rPr>
          <w:color w:val="000000"/>
        </w:rPr>
        <w:t xml:space="preserve">in </w:t>
      </w:r>
      <w:r w:rsidR="00297204" w:rsidRPr="00F5053E">
        <w:t>Table 1: Annual Respondent Burden and Cost – NESHAP for Vinyl Chloride (40 CFR Part 61, Subpart F)</w:t>
      </w:r>
      <w:r w:rsidR="00297204" w:rsidRPr="00F5053E">
        <w:rPr>
          <w:bCs/>
        </w:rPr>
        <w:t xml:space="preserve">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2223D">
        <w:rPr>
          <w:color w:val="000000"/>
        </w:rPr>
        <w:t>60</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C12E8">
        <w:rPr>
          <w:color w:val="000000"/>
        </w:rPr>
        <w:t>$</w:t>
      </w:r>
      <w:r w:rsidR="001A6933">
        <w:rPr>
          <w:color w:val="000000"/>
        </w:rPr>
        <w:t>810</w:t>
      </w:r>
      <w:r w:rsidR="00D2223D">
        <w:rPr>
          <w:color w:val="000000"/>
        </w:rPr>
        <w:t>,000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1A6933">
        <w:rPr>
          <w:color w:val="000000"/>
        </w:rPr>
        <w:t>1,822</w:t>
      </w:r>
      <w:r>
        <w:rPr>
          <w:color w:val="000000"/>
        </w:rPr>
        <w:t xml:space="preserve"> labor hours at a cost of</w:t>
      </w:r>
      <w:r w:rsidR="00D2223D">
        <w:rPr>
          <w:color w:val="000000"/>
        </w:rPr>
        <w:t xml:space="preserve"> $</w:t>
      </w:r>
      <w:r w:rsidR="001A6933">
        <w:rPr>
          <w:color w:val="000000"/>
        </w:rPr>
        <w:t>82,090</w:t>
      </w:r>
      <w:r w:rsidR="00144F35">
        <w:rPr>
          <w:color w:val="000000"/>
        </w:rPr>
        <w:t xml:space="preserve">.  See </w:t>
      </w:r>
      <w:r w:rsidR="007D3AF0">
        <w:rPr>
          <w:color w:val="000000"/>
        </w:rPr>
        <w:t xml:space="preserve">below </w:t>
      </w:r>
      <w:r w:rsidR="00297204" w:rsidRPr="00F5053E">
        <w:t>Table 2: Average Annual EPA Burden and Cost – NESHAP for Vinyl Chloride (40 CFR Part 61, Subpart F)</w:t>
      </w:r>
      <w:r w:rsidR="00297204" w:rsidRPr="00F5053E">
        <w:rPr>
          <w:bCs/>
        </w:rPr>
        <w:t xml:space="preserve"> (Renewal)</w:t>
      </w:r>
      <w:r w:rsidR="00297204" w:rsidRPr="00F5053E">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A1F68" w:rsidRDefault="003C0AA8" w:rsidP="003C0AA8">
      <w:pPr>
        <w:pBdr>
          <w:top w:val="single" w:sz="6" w:space="0" w:color="FFFFFF"/>
          <w:left w:val="single" w:sz="6" w:space="0" w:color="FFFFFF"/>
          <w:bottom w:val="single" w:sz="6" w:space="0" w:color="FFFFFF"/>
          <w:right w:val="single" w:sz="6" w:space="0" w:color="FFFFFF"/>
        </w:pBdr>
        <w:ind w:firstLine="720"/>
        <w:rPr>
          <w:color w:val="FF0000"/>
        </w:rPr>
      </w:pPr>
      <w:r w:rsidRPr="003C0AA8">
        <w:t>There is a decrease in the respondent and Agency burden as a result of the PVC NESHAP standard at 40 CFR part 63, subpart HHHHHHH.  Beginning in April 17, 201</w:t>
      </w:r>
      <w:r>
        <w:t>5</w:t>
      </w:r>
      <w:r w:rsidRPr="003C0AA8">
        <w:t xml:space="preserve">, 12 of the existing vinyl chloride plants will comply with the part 63 rule, and will no longer be subject to the part 61 NESHAP.  Therefore, we expect a decrease in the number of respondents beginning in Year 2 of this ICR period.  In addition, we have updated the number of existing sources from 28 </w:t>
      </w:r>
      <w:r w:rsidR="00F131AE">
        <w:t xml:space="preserve">in the previous ICR </w:t>
      </w:r>
      <w:r w:rsidRPr="003C0AA8">
        <w:t>to 26 based on latest Agency estimates</w:t>
      </w:r>
      <w:r w:rsidR="00F131AE">
        <w:t xml:space="preserve"> for this industry</w:t>
      </w:r>
      <w:r w:rsidRPr="003C0AA8">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A254CF">
        <w:rPr>
          <w:color w:val="000000"/>
        </w:rPr>
        <w:t xml:space="preserve">60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35325B" w:rsidRPr="00F90773">
        <w:t>3</w:t>
      </w:r>
      <w:r w:rsidR="00F90773">
        <w:t>-</w:t>
      </w:r>
      <w:r w:rsidR="00F90773" w:rsidRPr="00F90773">
        <w:t>0328</w:t>
      </w:r>
      <w:r w:rsidR="007F4E65" w:rsidRPr="007F4E65">
        <w:t>.</w:t>
      </w:r>
      <w:r w:rsidR="00354C15">
        <w:rPr>
          <w:color w:val="FF0000"/>
        </w:rPr>
        <w:t xml:space="preserve">  </w:t>
      </w:r>
      <w:r w:rsidR="00354C15" w:rsidRPr="00354C15">
        <w:t xml:space="preserve">An electronic version of the public docket is available at </w:t>
      </w:r>
      <w:r w:rsidR="00354C15" w:rsidRPr="00FC08BF">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7D3AF0">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7D3AF0">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F90773">
        <w:t>EPA-HQ-OECA-201</w:t>
      </w:r>
      <w:r w:rsidR="00F90773" w:rsidRPr="00F90773">
        <w:t>3</w:t>
      </w:r>
      <w:r w:rsidR="00F90773">
        <w:t>-</w:t>
      </w:r>
      <w:r w:rsidR="00F90773" w:rsidRPr="00F90773">
        <w:t>0328</w:t>
      </w:r>
      <w:r w:rsidR="00F90773">
        <w:t xml:space="preserve"> </w:t>
      </w:r>
      <w:r w:rsidR="00CA4CD6">
        <w:t xml:space="preserve">and OMB Control Number </w:t>
      </w:r>
      <w:r w:rsidR="00F90773">
        <w:t>2060-0071</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FA1F68" w:rsidRDefault="00CA4CD6">
      <w:pPr>
        <w:ind w:firstLine="720"/>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Default="00297204" w:rsidP="001A6933">
      <w:pPr>
        <w:jc w:val="center"/>
        <w:outlineLvl w:val="0"/>
        <w:rPr>
          <w:b/>
          <w:bCs/>
          <w:color w:val="000000"/>
        </w:rPr>
      </w:pPr>
      <w:r w:rsidRPr="00297204">
        <w:rPr>
          <w:b/>
          <w:bCs/>
          <w:color w:val="000000"/>
        </w:rPr>
        <w:t>Table 1: Annual Respondent Burden and Cost – NESHAP for Vinyl Chloride (40 CFR Part 61, Subpart F) (Renewal)</w:t>
      </w:r>
    </w:p>
    <w:p w:rsidR="00144F35" w:rsidRDefault="00144F35" w:rsidP="00F340DF">
      <w:pPr>
        <w:rPr>
          <w:b/>
          <w:bCs/>
          <w:color w:val="000000"/>
        </w:rPr>
      </w:pPr>
    </w:p>
    <w:tbl>
      <w:tblPr>
        <w:tblW w:w="5252" w:type="pct"/>
        <w:jc w:val="center"/>
        <w:tblLook w:val="04A0" w:firstRow="1" w:lastRow="0" w:firstColumn="1" w:lastColumn="0" w:noHBand="0" w:noVBand="1"/>
      </w:tblPr>
      <w:tblGrid>
        <w:gridCol w:w="5462"/>
        <w:gridCol w:w="1160"/>
        <w:gridCol w:w="1238"/>
        <w:gridCol w:w="1172"/>
        <w:gridCol w:w="1306"/>
        <w:gridCol w:w="1050"/>
        <w:gridCol w:w="1338"/>
        <w:gridCol w:w="894"/>
        <w:gridCol w:w="1216"/>
      </w:tblGrid>
      <w:tr w:rsidR="00D2517D" w:rsidRPr="00D2517D" w:rsidTr="001A6933">
        <w:trPr>
          <w:trHeight w:val="1785"/>
          <w:tblHeader/>
          <w:jc w:val="center"/>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Reporting/Recordkeeping Requirements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(A) Person-‌hours per occurrence</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A6933" w:rsidRDefault="007F4E65" w:rsidP="00D2517D">
            <w:pPr>
              <w:widowControl/>
              <w:autoSpaceDE/>
              <w:autoSpaceDN/>
              <w:adjustRightInd/>
              <w:jc w:val="center"/>
              <w:rPr>
                <w:b/>
                <w:color w:val="000000"/>
                <w:sz w:val="20"/>
                <w:szCs w:val="20"/>
              </w:rPr>
            </w:pPr>
            <w:r w:rsidRPr="007F4E65">
              <w:rPr>
                <w:b/>
                <w:color w:val="000000"/>
                <w:sz w:val="20"/>
                <w:szCs w:val="20"/>
              </w:rPr>
              <w:t>(</w:t>
            </w:r>
            <w:r w:rsidR="001A6933">
              <w:rPr>
                <w:b/>
                <w:color w:val="000000"/>
                <w:sz w:val="20"/>
                <w:szCs w:val="20"/>
              </w:rPr>
              <w:t>B</w:t>
            </w:r>
            <w:r w:rsidRPr="007F4E65">
              <w:rPr>
                <w:b/>
                <w:color w:val="000000"/>
                <w:sz w:val="20"/>
                <w:szCs w:val="20"/>
              </w:rPr>
              <w:t xml:space="preserve">) </w:t>
            </w:r>
          </w:p>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No. of occurrences per respondent per year</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(C) Person- hours per respondent per year (</w:t>
            </w:r>
            <w:proofErr w:type="spellStart"/>
            <w:r w:rsidRPr="007F4E65">
              <w:rPr>
                <w:b/>
                <w:color w:val="000000"/>
                <w:sz w:val="20"/>
                <w:szCs w:val="20"/>
              </w:rPr>
              <w:t>AxB</w:t>
            </w:r>
            <w:proofErr w:type="spellEnd"/>
            <w:r w:rsidRPr="007F4E65">
              <w:rPr>
                <w:b/>
                <w:color w:val="000000"/>
                <w:sz w:val="20"/>
                <w:szCs w:val="20"/>
              </w:rPr>
              <w:t>)</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(D) Respondents per year (a)</w:t>
            </w:r>
          </w:p>
        </w:tc>
        <w:tc>
          <w:tcPr>
            <w:tcW w:w="377"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(E) Technical person- hours per year (</w:t>
            </w:r>
            <w:proofErr w:type="spellStart"/>
            <w:r w:rsidRPr="007F4E65">
              <w:rPr>
                <w:b/>
                <w:color w:val="000000"/>
                <w:sz w:val="20"/>
                <w:szCs w:val="20"/>
              </w:rPr>
              <w:t>CxD</w:t>
            </w:r>
            <w:proofErr w:type="spellEnd"/>
            <w:r w:rsidRPr="007F4E65">
              <w:rPr>
                <w:b/>
                <w:color w:val="000000"/>
                <w:sz w:val="20"/>
                <w:szCs w:val="20"/>
              </w:rPr>
              <w:t>)</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(F) Management person-hours per year (Ex0.05)</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(G) Clerical person-hours per year (Ex0.1)</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A6933" w:rsidRDefault="007F4E65" w:rsidP="00D2517D">
            <w:pPr>
              <w:widowControl/>
              <w:autoSpaceDE/>
              <w:autoSpaceDN/>
              <w:adjustRightInd/>
              <w:jc w:val="center"/>
              <w:rPr>
                <w:b/>
                <w:color w:val="000000"/>
                <w:sz w:val="20"/>
                <w:szCs w:val="20"/>
              </w:rPr>
            </w:pPr>
            <w:r w:rsidRPr="007F4E65">
              <w:rPr>
                <w:b/>
                <w:color w:val="000000"/>
                <w:sz w:val="20"/>
                <w:szCs w:val="20"/>
              </w:rPr>
              <w:t xml:space="preserve">(H) </w:t>
            </w:r>
          </w:p>
          <w:p w:rsidR="00D2517D" w:rsidRPr="00D2517D" w:rsidRDefault="007F4E65" w:rsidP="00D2517D">
            <w:pPr>
              <w:widowControl/>
              <w:autoSpaceDE/>
              <w:autoSpaceDN/>
              <w:adjustRightInd/>
              <w:jc w:val="center"/>
              <w:rPr>
                <w:b/>
                <w:color w:val="000000"/>
                <w:sz w:val="20"/>
                <w:szCs w:val="20"/>
              </w:rPr>
            </w:pPr>
            <w:r w:rsidRPr="007F4E65">
              <w:rPr>
                <w:b/>
                <w:color w:val="000000"/>
                <w:sz w:val="20"/>
                <w:szCs w:val="20"/>
              </w:rPr>
              <w:t>Cost,$ (b)</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1. Applications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N/A</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2. Survey and Studies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N/A</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3. Reporting requirements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A. Read instructions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B. Required activities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r>
      <w:tr w:rsidR="00D2517D"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Initial performance test </w:t>
            </w:r>
            <w:r w:rsidRPr="00D2517D">
              <w:rPr>
                <w:color w:val="000000"/>
                <w:sz w:val="20"/>
                <w:szCs w:val="20"/>
                <w:vertAlign w:val="superscript"/>
              </w:rPr>
              <w:t>c</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60</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60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Repeat performance tests </w:t>
            </w:r>
            <w:r w:rsidRPr="00D2517D">
              <w:rPr>
                <w:color w:val="000000"/>
                <w:sz w:val="20"/>
                <w:szCs w:val="20"/>
                <w:vertAlign w:val="superscript"/>
              </w:rPr>
              <w:t>d</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60</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0.2</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12</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C. Create information</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See 3B</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D. Gather existing information</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See 3B</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E. Write Report</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construction/reconstruction</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anticipated startup</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actual startup</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emission testing</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test report</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Notification of physical or operational change </w:t>
            </w:r>
            <w:r w:rsidRPr="00D2517D">
              <w:rPr>
                <w:color w:val="000000"/>
                <w:sz w:val="20"/>
                <w:szCs w:val="20"/>
                <w:vertAlign w:val="superscript"/>
              </w:rPr>
              <w:t>e</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Application for waiver of testing </w:t>
            </w:r>
            <w:r w:rsidRPr="00D2517D">
              <w:rPr>
                <w:color w:val="000000"/>
                <w:sz w:val="20"/>
                <w:szCs w:val="20"/>
                <w:vertAlign w:val="superscript"/>
              </w:rPr>
              <w:t>f</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8</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Application of equivalency </w:t>
            </w:r>
            <w:r w:rsidRPr="00D2517D">
              <w:rPr>
                <w:color w:val="000000"/>
                <w:sz w:val="20"/>
                <w:szCs w:val="20"/>
                <w:vertAlign w:val="superscript"/>
              </w:rPr>
              <w:t>g</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40</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Initial report</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8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321"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490" w:type="pct"/>
            <w:tcBorders>
              <w:top w:val="nil"/>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r>
      <w:tr w:rsidR="001A6933"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1A6933" w:rsidRPr="00D2517D" w:rsidRDefault="001A6933" w:rsidP="00D2517D">
            <w:pPr>
              <w:widowControl/>
              <w:autoSpaceDE/>
              <w:autoSpaceDN/>
              <w:adjustRightInd/>
              <w:rPr>
                <w:color w:val="000000"/>
                <w:sz w:val="20"/>
                <w:szCs w:val="20"/>
              </w:rPr>
            </w:pPr>
            <w:r w:rsidRPr="00D2517D">
              <w:rPr>
                <w:color w:val="000000"/>
                <w:sz w:val="20"/>
                <w:szCs w:val="20"/>
              </w:rPr>
              <w:t xml:space="preserve">Quarterly report </w:t>
            </w:r>
            <w:r w:rsidRPr="00D2517D">
              <w:rPr>
                <w:color w:val="000000"/>
                <w:sz w:val="20"/>
                <w:szCs w:val="20"/>
                <w:vertAlign w:val="superscript"/>
              </w:rPr>
              <w:t>h</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50</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4</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200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18</w:t>
            </w:r>
          </w:p>
        </w:tc>
        <w:tc>
          <w:tcPr>
            <w:tcW w:w="377"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3,600</w:t>
            </w:r>
          </w:p>
        </w:tc>
        <w:tc>
          <w:tcPr>
            <w:tcW w:w="480"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180</w:t>
            </w:r>
          </w:p>
        </w:tc>
        <w:tc>
          <w:tcPr>
            <w:tcW w:w="321"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360</w:t>
            </w:r>
          </w:p>
        </w:tc>
        <w:tc>
          <w:tcPr>
            <w:tcW w:w="490"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 xml:space="preserve">$404,964.00 </w:t>
            </w:r>
          </w:p>
        </w:tc>
      </w:tr>
      <w:tr w:rsidR="001A6933"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1A6933" w:rsidRPr="00D2517D" w:rsidRDefault="001A6933" w:rsidP="00D2517D">
            <w:pPr>
              <w:widowControl/>
              <w:autoSpaceDE/>
              <w:autoSpaceDN/>
              <w:adjustRightInd/>
              <w:rPr>
                <w:color w:val="000000"/>
                <w:sz w:val="20"/>
                <w:szCs w:val="20"/>
              </w:rPr>
            </w:pPr>
            <w:r w:rsidRPr="00D2517D">
              <w:rPr>
                <w:color w:val="000000"/>
                <w:sz w:val="20"/>
                <w:szCs w:val="20"/>
              </w:rPr>
              <w:t xml:space="preserve">MVV/RVD report </w:t>
            </w:r>
            <w:proofErr w:type="spellStart"/>
            <w:r w:rsidRPr="00D2517D">
              <w:rPr>
                <w:color w:val="000000"/>
                <w:sz w:val="20"/>
                <w:szCs w:val="20"/>
                <w:vertAlign w:val="superscript"/>
              </w:rPr>
              <w:t>i</w:t>
            </w:r>
            <w:proofErr w:type="spellEnd"/>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8</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24</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18</w:t>
            </w:r>
          </w:p>
        </w:tc>
        <w:tc>
          <w:tcPr>
            <w:tcW w:w="377"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432</w:t>
            </w:r>
          </w:p>
        </w:tc>
        <w:tc>
          <w:tcPr>
            <w:tcW w:w="480"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21.6</w:t>
            </w:r>
          </w:p>
        </w:tc>
        <w:tc>
          <w:tcPr>
            <w:tcW w:w="321"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43.2</w:t>
            </w:r>
          </w:p>
        </w:tc>
        <w:tc>
          <w:tcPr>
            <w:tcW w:w="490"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 xml:space="preserve">$48,595.68 </w:t>
            </w:r>
          </w:p>
        </w:tc>
      </w:tr>
      <w:tr w:rsidR="001A6933" w:rsidRPr="001C6F5B"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1A6933" w:rsidRPr="001C6F5B" w:rsidRDefault="001A6933" w:rsidP="00D2517D">
            <w:pPr>
              <w:widowControl/>
              <w:autoSpaceDE/>
              <w:autoSpaceDN/>
              <w:adjustRightInd/>
              <w:rPr>
                <w:b/>
                <w:i/>
                <w:iCs/>
                <w:color w:val="000000"/>
                <w:sz w:val="20"/>
                <w:szCs w:val="20"/>
              </w:rPr>
            </w:pPr>
            <w:r w:rsidRPr="001C6F5B">
              <w:rPr>
                <w:b/>
                <w:i/>
                <w:iCs/>
                <w:color w:val="000000"/>
                <w:sz w:val="20"/>
                <w:szCs w:val="20"/>
              </w:rPr>
              <w:t>Subtotal</w:t>
            </w:r>
            <w:r w:rsidR="003A6370">
              <w:rPr>
                <w:b/>
                <w:i/>
                <w:iCs/>
                <w:color w:val="000000"/>
                <w:sz w:val="20"/>
                <w:szCs w:val="20"/>
              </w:rPr>
              <w:t xml:space="preserve"> for Reporting Requirements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1A6933" w:rsidRPr="001C6F5B" w:rsidRDefault="001A6933" w:rsidP="00D2517D">
            <w:pPr>
              <w:widowControl/>
              <w:autoSpaceDE/>
              <w:autoSpaceDN/>
              <w:adjustRightInd/>
              <w:jc w:val="center"/>
              <w:rPr>
                <w:b/>
                <w:i/>
                <w:iCs/>
                <w:color w:val="000000"/>
                <w:sz w:val="20"/>
                <w:szCs w:val="20"/>
              </w:rPr>
            </w:pPr>
            <w:r w:rsidRPr="001C6F5B">
              <w:rPr>
                <w:b/>
                <w:i/>
                <w:iCs/>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A6933" w:rsidRPr="001C6F5B" w:rsidRDefault="001A6933" w:rsidP="00D2517D">
            <w:pPr>
              <w:widowControl/>
              <w:autoSpaceDE/>
              <w:autoSpaceDN/>
              <w:adjustRightInd/>
              <w:jc w:val="center"/>
              <w:rPr>
                <w:b/>
                <w:i/>
                <w:iCs/>
                <w:color w:val="000000"/>
                <w:sz w:val="20"/>
                <w:szCs w:val="20"/>
              </w:rPr>
            </w:pPr>
            <w:r w:rsidRPr="001C6F5B">
              <w:rPr>
                <w:b/>
                <w:i/>
                <w:iCs/>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1A6933" w:rsidRPr="001C6F5B" w:rsidRDefault="001A6933" w:rsidP="00D2517D">
            <w:pPr>
              <w:widowControl/>
              <w:autoSpaceDE/>
              <w:autoSpaceDN/>
              <w:adjustRightInd/>
              <w:jc w:val="center"/>
              <w:rPr>
                <w:b/>
                <w:i/>
                <w:iCs/>
                <w:color w:val="000000"/>
                <w:sz w:val="20"/>
                <w:szCs w:val="20"/>
              </w:rPr>
            </w:pPr>
            <w:r w:rsidRPr="001C6F5B">
              <w:rPr>
                <w:b/>
                <w:i/>
                <w:iCs/>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A6933" w:rsidRPr="001C6F5B" w:rsidRDefault="001A6933" w:rsidP="00D2517D">
            <w:pPr>
              <w:widowControl/>
              <w:autoSpaceDE/>
              <w:autoSpaceDN/>
              <w:adjustRightInd/>
              <w:jc w:val="center"/>
              <w:rPr>
                <w:b/>
                <w:i/>
                <w:iCs/>
                <w:sz w:val="20"/>
                <w:szCs w:val="20"/>
              </w:rPr>
            </w:pPr>
          </w:p>
        </w:tc>
        <w:tc>
          <w:tcPr>
            <w:tcW w:w="1178" w:type="pct"/>
            <w:gridSpan w:val="3"/>
            <w:tcBorders>
              <w:top w:val="single" w:sz="4" w:space="0" w:color="auto"/>
              <w:left w:val="nil"/>
              <w:bottom w:val="single" w:sz="4" w:space="0" w:color="auto"/>
              <w:right w:val="nil"/>
            </w:tcBorders>
            <w:shd w:val="clear" w:color="auto" w:fill="auto"/>
            <w:vAlign w:val="center"/>
            <w:hideMark/>
          </w:tcPr>
          <w:p w:rsidR="001A6933" w:rsidRPr="001C6F5B" w:rsidRDefault="001A6933">
            <w:pPr>
              <w:jc w:val="center"/>
              <w:rPr>
                <w:b/>
                <w:i/>
                <w:iCs/>
                <w:sz w:val="20"/>
                <w:szCs w:val="20"/>
              </w:rPr>
            </w:pPr>
            <w:r w:rsidRPr="001C6F5B">
              <w:rPr>
                <w:b/>
                <w:i/>
                <w:iCs/>
                <w:sz w:val="20"/>
                <w:szCs w:val="20"/>
              </w:rPr>
              <w:t>4,63</w:t>
            </w:r>
            <w:r w:rsidR="003A6370">
              <w:rPr>
                <w:b/>
                <w:i/>
                <w:iCs/>
                <w:sz w:val="20"/>
                <w:szCs w:val="20"/>
              </w:rPr>
              <w:t>6.8</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A6933" w:rsidRPr="001C6F5B" w:rsidRDefault="001A6933">
            <w:pPr>
              <w:jc w:val="center"/>
              <w:rPr>
                <w:b/>
                <w:i/>
                <w:iCs/>
                <w:sz w:val="20"/>
                <w:szCs w:val="20"/>
              </w:rPr>
            </w:pPr>
            <w:r w:rsidRPr="001C6F5B">
              <w:rPr>
                <w:b/>
                <w:i/>
                <w:iCs/>
                <w:sz w:val="20"/>
                <w:szCs w:val="20"/>
              </w:rPr>
              <w:t xml:space="preserve">$453,560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A. Read instructions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See 3A</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B. Plan activities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See 3B</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C. Implement Activities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See 3D</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D. Develop record system</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N/A</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E. Time to enter information</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r>
      <w:tr w:rsidR="001A6933"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1A6933" w:rsidRPr="00D2517D" w:rsidRDefault="001A6933" w:rsidP="00D2517D">
            <w:pPr>
              <w:widowControl/>
              <w:autoSpaceDE/>
              <w:autoSpaceDN/>
              <w:adjustRightInd/>
              <w:rPr>
                <w:color w:val="000000"/>
                <w:sz w:val="20"/>
                <w:szCs w:val="20"/>
              </w:rPr>
            </w:pPr>
            <w:r w:rsidRPr="00D2517D">
              <w:rPr>
                <w:color w:val="000000"/>
                <w:sz w:val="20"/>
                <w:szCs w:val="20"/>
              </w:rPr>
              <w:t xml:space="preserve">Records of reactor parameters and emission </w:t>
            </w:r>
            <w:r w:rsidRPr="00D2517D">
              <w:rPr>
                <w:color w:val="000000"/>
                <w:sz w:val="20"/>
                <w:szCs w:val="20"/>
                <w:vertAlign w:val="superscript"/>
              </w:rPr>
              <w:t>j</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0.25</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365</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91.25</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18</w:t>
            </w:r>
          </w:p>
        </w:tc>
        <w:tc>
          <w:tcPr>
            <w:tcW w:w="377"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1,643</w:t>
            </w:r>
          </w:p>
        </w:tc>
        <w:tc>
          <w:tcPr>
            <w:tcW w:w="480"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82.13</w:t>
            </w:r>
          </w:p>
        </w:tc>
        <w:tc>
          <w:tcPr>
            <w:tcW w:w="321"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164.25</w:t>
            </w:r>
          </w:p>
        </w:tc>
        <w:tc>
          <w:tcPr>
            <w:tcW w:w="490"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 xml:space="preserve">$184,764.83 </w:t>
            </w:r>
          </w:p>
        </w:tc>
      </w:tr>
      <w:tr w:rsidR="001A6933" w:rsidRPr="00D2517D" w:rsidTr="001A6933">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1A6933" w:rsidRPr="00D2517D" w:rsidRDefault="001A6933" w:rsidP="00D2517D">
            <w:pPr>
              <w:widowControl/>
              <w:autoSpaceDE/>
              <w:autoSpaceDN/>
              <w:adjustRightInd/>
              <w:rPr>
                <w:color w:val="000000"/>
                <w:sz w:val="20"/>
                <w:szCs w:val="20"/>
              </w:rPr>
            </w:pPr>
            <w:r w:rsidRPr="00D2517D">
              <w:rPr>
                <w:color w:val="000000"/>
                <w:sz w:val="20"/>
                <w:szCs w:val="20"/>
              </w:rPr>
              <w:t xml:space="preserve">Records of leaks detected </w:t>
            </w:r>
            <w:r w:rsidRPr="00D2517D">
              <w:rPr>
                <w:color w:val="000000"/>
                <w:sz w:val="20"/>
                <w:szCs w:val="20"/>
                <w:vertAlign w:val="superscript"/>
              </w:rPr>
              <w:t>k</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1</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52</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1A6933" w:rsidRPr="00D2517D" w:rsidRDefault="001A6933" w:rsidP="00D2517D">
            <w:pPr>
              <w:widowControl/>
              <w:autoSpaceDE/>
              <w:autoSpaceDN/>
              <w:adjustRightInd/>
              <w:jc w:val="center"/>
              <w:rPr>
                <w:color w:val="000000"/>
                <w:sz w:val="20"/>
                <w:szCs w:val="20"/>
              </w:rPr>
            </w:pPr>
            <w:r w:rsidRPr="00D2517D">
              <w:rPr>
                <w:color w:val="000000"/>
                <w:sz w:val="20"/>
                <w:szCs w:val="20"/>
              </w:rPr>
              <w:t>52</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18</w:t>
            </w:r>
          </w:p>
        </w:tc>
        <w:tc>
          <w:tcPr>
            <w:tcW w:w="377"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936</w:t>
            </w:r>
          </w:p>
        </w:tc>
        <w:tc>
          <w:tcPr>
            <w:tcW w:w="480"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46.8</w:t>
            </w:r>
          </w:p>
        </w:tc>
        <w:tc>
          <w:tcPr>
            <w:tcW w:w="321"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93.6</w:t>
            </w:r>
          </w:p>
        </w:tc>
        <w:tc>
          <w:tcPr>
            <w:tcW w:w="490" w:type="pct"/>
            <w:tcBorders>
              <w:top w:val="nil"/>
              <w:left w:val="nil"/>
              <w:bottom w:val="single" w:sz="4" w:space="0" w:color="auto"/>
              <w:right w:val="single" w:sz="4" w:space="0" w:color="auto"/>
            </w:tcBorders>
            <w:shd w:val="clear" w:color="auto" w:fill="auto"/>
            <w:vAlign w:val="center"/>
            <w:hideMark/>
          </w:tcPr>
          <w:p w:rsidR="001A6933" w:rsidRPr="00A14367" w:rsidRDefault="001A6933">
            <w:pPr>
              <w:jc w:val="center"/>
              <w:rPr>
                <w:sz w:val="20"/>
                <w:szCs w:val="20"/>
              </w:rPr>
            </w:pPr>
            <w:r w:rsidRPr="00A14367">
              <w:rPr>
                <w:sz w:val="20"/>
                <w:szCs w:val="20"/>
              </w:rPr>
              <w:t xml:space="preserve">$105,290.64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F. Time to train personnel</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N/A</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r>
      <w:tr w:rsidR="00D2517D" w:rsidRPr="00D2517D"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G. Time for audits</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N/A</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321"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c>
          <w:tcPr>
            <w:tcW w:w="490" w:type="pct"/>
            <w:tcBorders>
              <w:top w:val="nil"/>
              <w:left w:val="nil"/>
              <w:bottom w:val="single" w:sz="4" w:space="0" w:color="auto"/>
              <w:right w:val="single" w:sz="4" w:space="0" w:color="auto"/>
            </w:tcBorders>
            <w:shd w:val="clear" w:color="auto" w:fill="auto"/>
            <w:vAlign w:val="center"/>
            <w:hideMark/>
          </w:tcPr>
          <w:p w:rsidR="00D2517D" w:rsidRPr="00A14367" w:rsidRDefault="00D2517D" w:rsidP="00D2517D">
            <w:pPr>
              <w:widowControl/>
              <w:autoSpaceDE/>
              <w:autoSpaceDN/>
              <w:adjustRightInd/>
              <w:jc w:val="center"/>
              <w:rPr>
                <w:sz w:val="20"/>
                <w:szCs w:val="20"/>
              </w:rPr>
            </w:pPr>
            <w:r w:rsidRPr="00A14367">
              <w:rPr>
                <w:sz w:val="20"/>
                <w:szCs w:val="20"/>
              </w:rPr>
              <w:t> </w:t>
            </w:r>
          </w:p>
        </w:tc>
      </w:tr>
      <w:tr w:rsidR="001A6933" w:rsidRPr="001C6F5B"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1A6933" w:rsidRPr="001C6F5B" w:rsidRDefault="001A6933" w:rsidP="00D2517D">
            <w:pPr>
              <w:widowControl/>
              <w:autoSpaceDE/>
              <w:autoSpaceDN/>
              <w:adjustRightInd/>
              <w:rPr>
                <w:b/>
                <w:i/>
                <w:iCs/>
                <w:color w:val="000000"/>
                <w:sz w:val="20"/>
                <w:szCs w:val="20"/>
              </w:rPr>
            </w:pPr>
            <w:r w:rsidRPr="001C6F5B">
              <w:rPr>
                <w:b/>
                <w:i/>
                <w:iCs/>
                <w:color w:val="000000"/>
                <w:sz w:val="20"/>
                <w:szCs w:val="20"/>
              </w:rPr>
              <w:t>Recordkeeping Subtotal</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1A6933" w:rsidRPr="001C6F5B" w:rsidRDefault="001A6933" w:rsidP="00D2517D">
            <w:pPr>
              <w:widowControl/>
              <w:autoSpaceDE/>
              <w:autoSpaceDN/>
              <w:adjustRightInd/>
              <w:jc w:val="center"/>
              <w:rPr>
                <w:b/>
                <w:i/>
                <w:iCs/>
                <w:color w:val="000000"/>
                <w:sz w:val="20"/>
                <w:szCs w:val="20"/>
              </w:rPr>
            </w:pPr>
            <w:r w:rsidRPr="001C6F5B">
              <w:rPr>
                <w:b/>
                <w:i/>
                <w:iCs/>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A6933" w:rsidRPr="001C6F5B" w:rsidRDefault="001A6933" w:rsidP="00D2517D">
            <w:pPr>
              <w:widowControl/>
              <w:autoSpaceDE/>
              <w:autoSpaceDN/>
              <w:adjustRightInd/>
              <w:jc w:val="center"/>
              <w:rPr>
                <w:b/>
                <w:i/>
                <w:iCs/>
                <w:color w:val="000000"/>
                <w:sz w:val="20"/>
                <w:szCs w:val="20"/>
              </w:rPr>
            </w:pPr>
            <w:r w:rsidRPr="001C6F5B">
              <w:rPr>
                <w:b/>
                <w:i/>
                <w:iCs/>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1A6933" w:rsidRPr="001C6F5B" w:rsidRDefault="001A6933" w:rsidP="00D2517D">
            <w:pPr>
              <w:widowControl/>
              <w:autoSpaceDE/>
              <w:autoSpaceDN/>
              <w:adjustRightInd/>
              <w:jc w:val="center"/>
              <w:rPr>
                <w:b/>
                <w:i/>
                <w:iCs/>
                <w:color w:val="000000"/>
                <w:sz w:val="20"/>
                <w:szCs w:val="20"/>
              </w:rPr>
            </w:pPr>
            <w:r w:rsidRPr="001C6F5B">
              <w:rPr>
                <w:b/>
                <w:i/>
                <w:iCs/>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A6933" w:rsidRPr="001C6F5B" w:rsidRDefault="001A6933" w:rsidP="00D2517D">
            <w:pPr>
              <w:widowControl/>
              <w:autoSpaceDE/>
              <w:autoSpaceDN/>
              <w:adjustRightInd/>
              <w:jc w:val="center"/>
              <w:rPr>
                <w:b/>
                <w:i/>
                <w:iCs/>
                <w:sz w:val="20"/>
                <w:szCs w:val="20"/>
              </w:rPr>
            </w:pPr>
            <w:r w:rsidRPr="001C6F5B">
              <w:rPr>
                <w:b/>
                <w:i/>
                <w:iCs/>
                <w:sz w:val="20"/>
                <w:szCs w:val="20"/>
              </w:rPr>
              <w:t> </w:t>
            </w:r>
          </w:p>
        </w:tc>
        <w:tc>
          <w:tcPr>
            <w:tcW w:w="1178" w:type="pct"/>
            <w:gridSpan w:val="3"/>
            <w:tcBorders>
              <w:top w:val="single" w:sz="4" w:space="0" w:color="auto"/>
              <w:left w:val="nil"/>
              <w:bottom w:val="single" w:sz="4" w:space="0" w:color="auto"/>
              <w:right w:val="nil"/>
            </w:tcBorders>
            <w:shd w:val="clear" w:color="auto" w:fill="auto"/>
            <w:vAlign w:val="center"/>
            <w:hideMark/>
          </w:tcPr>
          <w:p w:rsidR="001A6933" w:rsidRPr="001C6F5B" w:rsidRDefault="001A6933">
            <w:pPr>
              <w:jc w:val="center"/>
              <w:rPr>
                <w:b/>
                <w:i/>
                <w:iCs/>
                <w:sz w:val="20"/>
                <w:szCs w:val="20"/>
              </w:rPr>
            </w:pPr>
            <w:r w:rsidRPr="001C6F5B">
              <w:rPr>
                <w:b/>
                <w:i/>
                <w:iCs/>
                <w:sz w:val="20"/>
                <w:szCs w:val="20"/>
              </w:rPr>
              <w:t>2,965</w:t>
            </w:r>
            <w:r w:rsidR="00435CEE">
              <w:rPr>
                <w:b/>
                <w:i/>
                <w:iCs/>
                <w:sz w:val="20"/>
                <w:szCs w:val="20"/>
              </w:rPr>
              <w:t>.78</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A6933" w:rsidRPr="001C6F5B" w:rsidRDefault="001A6933">
            <w:pPr>
              <w:jc w:val="center"/>
              <w:rPr>
                <w:b/>
                <w:i/>
                <w:iCs/>
                <w:sz w:val="20"/>
                <w:szCs w:val="20"/>
              </w:rPr>
            </w:pPr>
            <w:r w:rsidRPr="001C6F5B">
              <w:rPr>
                <w:b/>
                <w:i/>
                <w:iCs/>
                <w:sz w:val="20"/>
                <w:szCs w:val="20"/>
              </w:rPr>
              <w:t xml:space="preserve">$290,055.47 </w:t>
            </w:r>
          </w:p>
        </w:tc>
      </w:tr>
      <w:tr w:rsidR="001A6933" w:rsidRPr="00A14367" w:rsidTr="001A6933">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vAlign w:val="center"/>
            <w:hideMark/>
          </w:tcPr>
          <w:p w:rsidR="001A6933" w:rsidRPr="00A14367" w:rsidRDefault="001A6933" w:rsidP="00D2517D">
            <w:pPr>
              <w:widowControl/>
              <w:autoSpaceDE/>
              <w:autoSpaceDN/>
              <w:adjustRightInd/>
              <w:rPr>
                <w:b/>
                <w:color w:val="000000"/>
                <w:sz w:val="20"/>
                <w:szCs w:val="20"/>
              </w:rPr>
            </w:pPr>
            <w:r w:rsidRPr="00A14367">
              <w:rPr>
                <w:b/>
                <w:color w:val="000000"/>
                <w:sz w:val="20"/>
                <w:szCs w:val="20"/>
              </w:rPr>
              <w:t>TOTAL ANNUAL BURDEN AND LABOR COST</w:t>
            </w:r>
            <w:r w:rsidR="00435CEE">
              <w:rPr>
                <w:b/>
                <w:color w:val="000000"/>
                <w:sz w:val="20"/>
                <w:szCs w:val="20"/>
              </w:rPr>
              <w:t xml:space="preserve"> (rounded)</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1A6933" w:rsidRPr="00A14367" w:rsidRDefault="001A6933" w:rsidP="00D2517D">
            <w:pPr>
              <w:widowControl/>
              <w:autoSpaceDE/>
              <w:autoSpaceDN/>
              <w:adjustRightInd/>
              <w:jc w:val="center"/>
              <w:rPr>
                <w:b/>
                <w:color w:val="000000"/>
                <w:sz w:val="20"/>
                <w:szCs w:val="20"/>
              </w:rPr>
            </w:pPr>
            <w:r w:rsidRPr="00A14367">
              <w:rPr>
                <w:b/>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A6933" w:rsidRPr="00A14367" w:rsidRDefault="001A6933" w:rsidP="00D2517D">
            <w:pPr>
              <w:widowControl/>
              <w:autoSpaceDE/>
              <w:autoSpaceDN/>
              <w:adjustRightInd/>
              <w:jc w:val="center"/>
              <w:rPr>
                <w:b/>
                <w:color w:val="000000"/>
                <w:sz w:val="20"/>
                <w:szCs w:val="20"/>
              </w:rPr>
            </w:pPr>
            <w:r w:rsidRPr="00A14367">
              <w:rPr>
                <w:b/>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1A6933" w:rsidRPr="00A14367" w:rsidRDefault="001A6933" w:rsidP="00D2517D">
            <w:pPr>
              <w:widowControl/>
              <w:autoSpaceDE/>
              <w:autoSpaceDN/>
              <w:adjustRightInd/>
              <w:jc w:val="center"/>
              <w:rPr>
                <w:b/>
                <w:color w:val="000000"/>
                <w:sz w:val="20"/>
                <w:szCs w:val="20"/>
              </w:rPr>
            </w:pPr>
            <w:r w:rsidRPr="00A14367">
              <w:rPr>
                <w:b/>
                <w:color w:val="000000"/>
                <w:sz w:val="20"/>
                <w:szCs w:val="20"/>
              </w:rPr>
              <w:t>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A6933" w:rsidRPr="00A14367" w:rsidRDefault="001A6933" w:rsidP="00D2517D">
            <w:pPr>
              <w:widowControl/>
              <w:autoSpaceDE/>
              <w:autoSpaceDN/>
              <w:adjustRightInd/>
              <w:jc w:val="center"/>
              <w:rPr>
                <w:b/>
                <w:sz w:val="20"/>
                <w:szCs w:val="20"/>
              </w:rPr>
            </w:pPr>
            <w:r w:rsidRPr="00A14367">
              <w:rPr>
                <w:b/>
                <w:sz w:val="20"/>
                <w:szCs w:val="20"/>
              </w:rPr>
              <w:t> </w:t>
            </w:r>
          </w:p>
        </w:tc>
        <w:tc>
          <w:tcPr>
            <w:tcW w:w="1178" w:type="pct"/>
            <w:gridSpan w:val="3"/>
            <w:tcBorders>
              <w:top w:val="single" w:sz="4" w:space="0" w:color="auto"/>
              <w:left w:val="nil"/>
              <w:bottom w:val="single" w:sz="4" w:space="0" w:color="auto"/>
              <w:right w:val="nil"/>
            </w:tcBorders>
            <w:shd w:val="clear" w:color="auto" w:fill="auto"/>
            <w:noWrap/>
            <w:vAlign w:val="center"/>
            <w:hideMark/>
          </w:tcPr>
          <w:p w:rsidR="001A6933" w:rsidRPr="00A14367" w:rsidRDefault="001A6933">
            <w:pPr>
              <w:jc w:val="center"/>
              <w:rPr>
                <w:b/>
                <w:sz w:val="20"/>
                <w:szCs w:val="20"/>
              </w:rPr>
            </w:pPr>
            <w:r w:rsidRPr="00A14367">
              <w:rPr>
                <w:b/>
                <w:sz w:val="20"/>
                <w:szCs w:val="20"/>
              </w:rPr>
              <w:t>7,60</w:t>
            </w:r>
            <w:r w:rsidR="00435CEE">
              <w:rPr>
                <w:b/>
                <w:sz w:val="20"/>
                <w:szCs w:val="20"/>
              </w:rPr>
              <w:t>3</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A6933" w:rsidRPr="00A14367" w:rsidRDefault="001A6933" w:rsidP="00FC08BF">
            <w:pPr>
              <w:jc w:val="center"/>
              <w:rPr>
                <w:b/>
                <w:sz w:val="20"/>
                <w:szCs w:val="20"/>
              </w:rPr>
            </w:pPr>
            <w:r w:rsidRPr="00A14367">
              <w:rPr>
                <w:b/>
                <w:sz w:val="20"/>
                <w:szCs w:val="20"/>
              </w:rPr>
              <w:t xml:space="preserve">$743,615 </w:t>
            </w:r>
          </w:p>
        </w:tc>
      </w:tr>
    </w:tbl>
    <w:p w:rsidR="00917529" w:rsidRDefault="003046D7" w:rsidP="00F340DF">
      <w:pPr>
        <w:rPr>
          <w:bCs/>
          <w:color w:val="FF0000"/>
        </w:rPr>
      </w:pPr>
      <w:r w:rsidRPr="00144F35" w:rsidDel="004F28E3">
        <w:rPr>
          <w:bCs/>
          <w:color w:val="FF0000"/>
        </w:rPr>
        <w:t xml:space="preserve"> </w:t>
      </w:r>
    </w:p>
    <w:p w:rsidR="00917529" w:rsidRDefault="00917529" w:rsidP="00917529">
      <w:pPr>
        <w:rPr>
          <w:b/>
          <w:sz w:val="20"/>
          <w:szCs w:val="20"/>
        </w:rPr>
      </w:pPr>
      <w:r>
        <w:rPr>
          <w:b/>
          <w:sz w:val="20"/>
          <w:szCs w:val="20"/>
        </w:rPr>
        <w:t>Assumptions:</w:t>
      </w:r>
    </w:p>
    <w:p w:rsidR="00917529" w:rsidRDefault="00917529" w:rsidP="00917529">
      <w:pPr>
        <w:rPr>
          <w:sz w:val="20"/>
          <w:szCs w:val="20"/>
        </w:rPr>
      </w:pPr>
      <w:proofErr w:type="spellStart"/>
      <w:proofErr w:type="gramStart"/>
      <w:r>
        <w:rPr>
          <w:sz w:val="20"/>
          <w:szCs w:val="20"/>
          <w:vertAlign w:val="superscript"/>
        </w:rPr>
        <w:t>a</w:t>
      </w:r>
      <w:proofErr w:type="spellEnd"/>
      <w:r>
        <w:rPr>
          <w:sz w:val="20"/>
          <w:szCs w:val="20"/>
        </w:rPr>
        <w:t xml:space="preserve">  We</w:t>
      </w:r>
      <w:proofErr w:type="gramEnd"/>
      <w:r>
        <w:rPr>
          <w:sz w:val="20"/>
          <w:szCs w:val="20"/>
        </w:rPr>
        <w:t xml:space="preserve"> </w:t>
      </w:r>
      <w:r w:rsidR="001C6F5B">
        <w:rPr>
          <w:sz w:val="20"/>
          <w:szCs w:val="20"/>
        </w:rPr>
        <w:t>estimate</w:t>
      </w:r>
      <w:r>
        <w:rPr>
          <w:sz w:val="20"/>
          <w:szCs w:val="20"/>
        </w:rPr>
        <w:t xml:space="preserve"> there are </w:t>
      </w:r>
      <w:r w:rsidR="001C6F5B">
        <w:rPr>
          <w:sz w:val="20"/>
          <w:szCs w:val="20"/>
        </w:rPr>
        <w:t xml:space="preserve">currently 26 existing sources. Beginning in Year 2 of this ICR, only 14 sources will be subject to this part 61 standard.  Therefore, the average number of sources over the 3-year period is 18.  </w:t>
      </w:r>
      <w:r>
        <w:rPr>
          <w:sz w:val="20"/>
          <w:szCs w:val="20"/>
        </w:rPr>
        <w:t>We have further assumed that there will be no new growth in the industry over the next three years.</w:t>
      </w:r>
    </w:p>
    <w:p w:rsidR="00917529" w:rsidRDefault="00917529" w:rsidP="00917529">
      <w:pPr>
        <w:rPr>
          <w:sz w:val="20"/>
          <w:szCs w:val="20"/>
        </w:rPr>
      </w:pPr>
      <w:proofErr w:type="gramStart"/>
      <w:r>
        <w:rPr>
          <w:sz w:val="20"/>
          <w:szCs w:val="20"/>
          <w:vertAlign w:val="superscript"/>
        </w:rPr>
        <w:t>b</w:t>
      </w:r>
      <w:r>
        <w:rPr>
          <w:sz w:val="20"/>
          <w:szCs w:val="20"/>
        </w:rPr>
        <w:t xml:space="preserve">  This</w:t>
      </w:r>
      <w:proofErr w:type="gramEnd"/>
      <w:r>
        <w:rPr>
          <w:sz w:val="20"/>
          <w:szCs w:val="20"/>
        </w:rPr>
        <w:t xml:space="preserve"> ICR uses the following labor rates: $123.04 for managerial labor, $101.22 for technical labor, and $51.18 for clerical labor.  These rates are from the U.S. Department of Labor, Bureau of Labor Statistics, </w:t>
      </w:r>
      <w:proofErr w:type="gramStart"/>
      <w:r>
        <w:rPr>
          <w:sz w:val="20"/>
          <w:szCs w:val="20"/>
        </w:rPr>
        <w:t>March</w:t>
      </w:r>
      <w:proofErr w:type="gramEnd"/>
      <w:r>
        <w:rPr>
          <w:sz w:val="20"/>
          <w:szCs w:val="20"/>
        </w:rPr>
        <w:t xml:space="preserve"> 2013.  The rates have been increased by 110 percent to account for overhead.</w:t>
      </w:r>
    </w:p>
    <w:p w:rsidR="00917529" w:rsidRDefault="00917529" w:rsidP="00917529">
      <w:pPr>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it will take 60 hours to complete the performance tests.</w:t>
      </w:r>
    </w:p>
    <w:p w:rsidR="00917529" w:rsidRDefault="00917529" w:rsidP="00917529">
      <w:pPr>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20 percent of initial performance tests must be repeated due to failure.</w:t>
      </w:r>
    </w:p>
    <w:p w:rsidR="00917529" w:rsidRDefault="00917529" w:rsidP="00917529">
      <w:pPr>
        <w:rPr>
          <w:sz w:val="20"/>
          <w:szCs w:val="20"/>
        </w:rPr>
      </w:pPr>
      <w:proofErr w:type="gramStart"/>
      <w:r>
        <w:rPr>
          <w:sz w:val="20"/>
          <w:szCs w:val="20"/>
          <w:vertAlign w:val="superscript"/>
        </w:rPr>
        <w:t>e</w:t>
      </w:r>
      <w:r>
        <w:rPr>
          <w:sz w:val="20"/>
          <w:szCs w:val="20"/>
        </w:rPr>
        <w:t xml:space="preserve">  Assumed</w:t>
      </w:r>
      <w:proofErr w:type="gramEnd"/>
      <w:r>
        <w:rPr>
          <w:sz w:val="20"/>
          <w:szCs w:val="20"/>
        </w:rPr>
        <w:t xml:space="preserve"> that there will be no physical or operational changes over the next three years.</w:t>
      </w:r>
    </w:p>
    <w:p w:rsidR="00917529" w:rsidRDefault="00917529" w:rsidP="00917529">
      <w:pPr>
        <w:rPr>
          <w:sz w:val="20"/>
          <w:szCs w:val="20"/>
        </w:rPr>
      </w:pPr>
      <w:proofErr w:type="gramStart"/>
      <w:r>
        <w:rPr>
          <w:sz w:val="20"/>
          <w:szCs w:val="20"/>
          <w:vertAlign w:val="superscript"/>
        </w:rPr>
        <w:t xml:space="preserve">f  </w:t>
      </w:r>
      <w:r>
        <w:rPr>
          <w:sz w:val="20"/>
          <w:szCs w:val="20"/>
        </w:rPr>
        <w:t>Assume</w:t>
      </w:r>
      <w:proofErr w:type="gramEnd"/>
      <w:r>
        <w:rPr>
          <w:sz w:val="20"/>
          <w:szCs w:val="20"/>
        </w:rPr>
        <w:t xml:space="preserve"> it will take eight hours to prepare application for waiver of testing.</w:t>
      </w:r>
    </w:p>
    <w:p w:rsidR="00917529" w:rsidRDefault="00917529" w:rsidP="00917529">
      <w:pPr>
        <w:rPr>
          <w:sz w:val="20"/>
          <w:szCs w:val="20"/>
        </w:rPr>
      </w:pPr>
      <w:proofErr w:type="gramStart"/>
      <w:r>
        <w:rPr>
          <w:sz w:val="20"/>
          <w:szCs w:val="20"/>
          <w:vertAlign w:val="superscript"/>
        </w:rPr>
        <w:t>g</w:t>
      </w:r>
      <w:r>
        <w:rPr>
          <w:sz w:val="20"/>
          <w:szCs w:val="20"/>
        </w:rPr>
        <w:t xml:space="preserve">  Assume</w:t>
      </w:r>
      <w:proofErr w:type="gramEnd"/>
      <w:r>
        <w:rPr>
          <w:sz w:val="20"/>
          <w:szCs w:val="20"/>
        </w:rPr>
        <w:t xml:space="preserve"> it will take 40 hours to prepare application for equivalency.</w:t>
      </w:r>
    </w:p>
    <w:p w:rsidR="00917529" w:rsidRDefault="00917529" w:rsidP="00917529">
      <w:pPr>
        <w:rPr>
          <w:sz w:val="20"/>
          <w:szCs w:val="20"/>
        </w:rPr>
      </w:pPr>
      <w:proofErr w:type="gramStart"/>
      <w:r>
        <w:rPr>
          <w:sz w:val="20"/>
          <w:szCs w:val="20"/>
          <w:vertAlign w:val="superscript"/>
        </w:rPr>
        <w:t>h</w:t>
      </w:r>
      <w:r>
        <w:rPr>
          <w:sz w:val="20"/>
          <w:szCs w:val="20"/>
        </w:rPr>
        <w:t xml:space="preserve">  We</w:t>
      </w:r>
      <w:proofErr w:type="gramEnd"/>
      <w:r>
        <w:rPr>
          <w:sz w:val="20"/>
          <w:szCs w:val="20"/>
        </w:rPr>
        <w:t xml:space="preserve"> have assumed that it will take 50 hours to prepare the quarterly report.</w:t>
      </w:r>
    </w:p>
    <w:p w:rsidR="00917529" w:rsidRDefault="00917529" w:rsidP="00917529">
      <w:pPr>
        <w:rPr>
          <w:sz w:val="20"/>
          <w:szCs w:val="20"/>
        </w:rPr>
      </w:pPr>
      <w:proofErr w:type="spellStart"/>
      <w:proofErr w:type="gramStart"/>
      <w:r>
        <w:rPr>
          <w:sz w:val="20"/>
          <w:szCs w:val="20"/>
          <w:vertAlign w:val="superscript"/>
        </w:rPr>
        <w:t>i</w:t>
      </w:r>
      <w:proofErr w:type="spellEnd"/>
      <w:r>
        <w:rPr>
          <w:sz w:val="20"/>
          <w:szCs w:val="20"/>
        </w:rPr>
        <w:t xml:space="preserve">  We</w:t>
      </w:r>
      <w:proofErr w:type="gramEnd"/>
      <w:r>
        <w:rPr>
          <w:sz w:val="20"/>
          <w:szCs w:val="20"/>
        </w:rPr>
        <w:t xml:space="preserve"> have estimated that there will be three discharges of manual vent valve/relief valve discharge (MVV/RVD) per year.</w:t>
      </w:r>
    </w:p>
    <w:p w:rsidR="00917529" w:rsidRDefault="00917529" w:rsidP="00917529">
      <w:pPr>
        <w:rPr>
          <w:sz w:val="20"/>
          <w:szCs w:val="20"/>
        </w:rPr>
      </w:pPr>
      <w:proofErr w:type="gramStart"/>
      <w:r>
        <w:rPr>
          <w:sz w:val="20"/>
          <w:szCs w:val="20"/>
          <w:vertAlign w:val="superscript"/>
        </w:rPr>
        <w:t>j</w:t>
      </w:r>
      <w:r>
        <w:rPr>
          <w:sz w:val="20"/>
          <w:szCs w:val="20"/>
        </w:rPr>
        <w:t xml:space="preserve">  Assume</w:t>
      </w:r>
      <w:proofErr w:type="gramEnd"/>
      <w:r>
        <w:rPr>
          <w:sz w:val="20"/>
          <w:szCs w:val="20"/>
        </w:rPr>
        <w:t xml:space="preserve"> that affected facilities will operate 365 days per year as required of all facilities that are subject to the rule.</w:t>
      </w:r>
    </w:p>
    <w:p w:rsidR="00917529" w:rsidRDefault="00917529" w:rsidP="00917529">
      <w:pPr>
        <w:rPr>
          <w:sz w:val="20"/>
          <w:szCs w:val="20"/>
        </w:rPr>
      </w:pPr>
      <w:proofErr w:type="gramStart"/>
      <w:r>
        <w:rPr>
          <w:sz w:val="20"/>
          <w:szCs w:val="20"/>
          <w:vertAlign w:val="superscript"/>
        </w:rPr>
        <w:t>k</w:t>
      </w:r>
      <w:r>
        <w:rPr>
          <w:sz w:val="20"/>
          <w:szCs w:val="20"/>
        </w:rPr>
        <w:t xml:space="preserve">  It</w:t>
      </w:r>
      <w:proofErr w:type="gramEnd"/>
      <w:r>
        <w:rPr>
          <w:sz w:val="20"/>
          <w:szCs w:val="20"/>
        </w:rPr>
        <w:t xml:space="preserve"> is estimated that it will occur 52 times per year to enter records of leak detection.</w:t>
      </w:r>
    </w:p>
    <w:p w:rsidR="00144F35" w:rsidRDefault="00144F35" w:rsidP="00C75972">
      <w:pPr>
        <w:jc w:val="center"/>
        <w:rPr>
          <w:b/>
          <w:bCs/>
          <w:color w:val="000000"/>
        </w:rPr>
      </w:pPr>
      <w:r>
        <w:rPr>
          <w:b/>
          <w:bCs/>
          <w:color w:val="000000"/>
        </w:rPr>
        <w:br w:type="page"/>
      </w:r>
      <w:r w:rsidR="00297204" w:rsidRPr="00297204">
        <w:rPr>
          <w:b/>
          <w:bCs/>
          <w:color w:val="000000"/>
        </w:rPr>
        <w:t>Table 2: Average Annual EPA Burden and Cost – NESHAP for Vinyl Chloride (40 CFR Part 61, Subpart F) (Renewal)</w:t>
      </w:r>
    </w:p>
    <w:p w:rsidR="005D3F59" w:rsidRDefault="005D3F59" w:rsidP="00F340DF">
      <w:pPr>
        <w:rPr>
          <w:bCs/>
          <w:color w:val="FF0000"/>
        </w:rPr>
      </w:pPr>
    </w:p>
    <w:tbl>
      <w:tblPr>
        <w:tblW w:w="12875" w:type="dxa"/>
        <w:tblInd w:w="103" w:type="dxa"/>
        <w:tblLook w:val="04A0" w:firstRow="1" w:lastRow="0" w:firstColumn="1" w:lastColumn="0" w:noHBand="0" w:noVBand="1"/>
      </w:tblPr>
      <w:tblGrid>
        <w:gridCol w:w="3949"/>
        <w:gridCol w:w="1160"/>
        <w:gridCol w:w="1238"/>
        <w:gridCol w:w="938"/>
        <w:gridCol w:w="931"/>
        <w:gridCol w:w="1050"/>
        <w:gridCol w:w="1338"/>
        <w:gridCol w:w="940"/>
        <w:gridCol w:w="1331"/>
      </w:tblGrid>
      <w:tr w:rsidR="00D2517D" w:rsidRPr="00D2517D" w:rsidTr="00C75972">
        <w:trPr>
          <w:trHeight w:val="1785"/>
        </w:trPr>
        <w:tc>
          <w:tcPr>
            <w:tcW w:w="3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F68" w:rsidRDefault="007F4E65">
            <w:pPr>
              <w:widowControl/>
              <w:autoSpaceDE/>
              <w:autoSpaceDN/>
              <w:adjustRightInd/>
              <w:jc w:val="center"/>
              <w:rPr>
                <w:b/>
                <w:color w:val="000000"/>
                <w:sz w:val="20"/>
                <w:szCs w:val="20"/>
              </w:rPr>
            </w:pPr>
            <w:r w:rsidRPr="007F4E65">
              <w:rPr>
                <w:b/>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54268" w:rsidRDefault="007F4E65">
            <w:pPr>
              <w:widowControl/>
              <w:autoSpaceDE/>
              <w:autoSpaceDN/>
              <w:adjustRightInd/>
              <w:jc w:val="center"/>
              <w:rPr>
                <w:b/>
                <w:color w:val="000000"/>
                <w:sz w:val="20"/>
                <w:szCs w:val="20"/>
              </w:rPr>
            </w:pPr>
            <w:r w:rsidRPr="007F4E65">
              <w:rPr>
                <w:b/>
                <w:color w:val="000000"/>
                <w:sz w:val="20"/>
                <w:szCs w:val="20"/>
              </w:rPr>
              <w:t xml:space="preserve">(A) </w:t>
            </w:r>
          </w:p>
          <w:p w:rsidR="00FA1F68" w:rsidRDefault="007F4E65">
            <w:pPr>
              <w:widowControl/>
              <w:autoSpaceDE/>
              <w:autoSpaceDN/>
              <w:adjustRightInd/>
              <w:jc w:val="center"/>
              <w:rPr>
                <w:b/>
                <w:color w:val="000000"/>
                <w:sz w:val="20"/>
                <w:szCs w:val="20"/>
              </w:rPr>
            </w:pPr>
            <w:r w:rsidRPr="007F4E65">
              <w:rPr>
                <w:b/>
                <w:color w:val="000000"/>
                <w:sz w:val="20"/>
                <w:szCs w:val="20"/>
              </w:rP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254268" w:rsidRDefault="007F4E65">
            <w:pPr>
              <w:widowControl/>
              <w:autoSpaceDE/>
              <w:autoSpaceDN/>
              <w:adjustRightInd/>
              <w:jc w:val="center"/>
              <w:rPr>
                <w:b/>
                <w:color w:val="000000"/>
                <w:sz w:val="20"/>
                <w:szCs w:val="20"/>
              </w:rPr>
            </w:pPr>
            <w:r w:rsidRPr="007F4E65">
              <w:rPr>
                <w:b/>
                <w:color w:val="000000"/>
                <w:sz w:val="20"/>
                <w:szCs w:val="20"/>
              </w:rPr>
              <w:t xml:space="preserve">(B) </w:t>
            </w:r>
          </w:p>
          <w:p w:rsidR="00FA1F68" w:rsidRDefault="007F4E65">
            <w:pPr>
              <w:widowControl/>
              <w:autoSpaceDE/>
              <w:autoSpaceDN/>
              <w:adjustRightInd/>
              <w:jc w:val="center"/>
              <w:rPr>
                <w:b/>
                <w:color w:val="000000"/>
                <w:sz w:val="20"/>
                <w:szCs w:val="20"/>
              </w:rPr>
            </w:pPr>
            <w:r w:rsidRPr="007F4E65">
              <w:rPr>
                <w:b/>
                <w:color w:val="000000"/>
                <w:sz w:val="20"/>
                <w:szCs w:val="20"/>
              </w:rPr>
              <w:t>No. of occurrences per plant per year</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FA1F68" w:rsidRDefault="007F4E65">
            <w:pPr>
              <w:widowControl/>
              <w:autoSpaceDE/>
              <w:autoSpaceDN/>
              <w:adjustRightInd/>
              <w:jc w:val="center"/>
              <w:rPr>
                <w:b/>
                <w:color w:val="000000"/>
                <w:sz w:val="20"/>
                <w:szCs w:val="20"/>
              </w:rPr>
            </w:pPr>
            <w:r w:rsidRPr="007F4E65">
              <w:rPr>
                <w:b/>
                <w:color w:val="000000"/>
                <w:sz w:val="20"/>
                <w:szCs w:val="20"/>
              </w:rPr>
              <w:t>(C) EPA person-hours per plant per year (</w:t>
            </w:r>
            <w:proofErr w:type="spellStart"/>
            <w:r w:rsidRPr="007F4E65">
              <w:rPr>
                <w:b/>
                <w:color w:val="000000"/>
                <w:sz w:val="20"/>
                <w:szCs w:val="20"/>
              </w:rPr>
              <w:t>AxB</w:t>
            </w:r>
            <w:proofErr w:type="spellEnd"/>
            <w:r w:rsidRPr="007F4E65">
              <w:rPr>
                <w:b/>
                <w:color w:val="000000"/>
                <w:sz w:val="20"/>
                <w:szCs w:val="20"/>
              </w:rPr>
              <w:t>)</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FA1F68" w:rsidRDefault="007F4E65">
            <w:pPr>
              <w:widowControl/>
              <w:autoSpaceDE/>
              <w:autoSpaceDN/>
              <w:adjustRightInd/>
              <w:jc w:val="center"/>
              <w:rPr>
                <w:b/>
                <w:color w:val="000000"/>
                <w:sz w:val="20"/>
                <w:szCs w:val="20"/>
              </w:rPr>
            </w:pPr>
            <w:r w:rsidRPr="007F4E65">
              <w:rPr>
                <w:b/>
                <w:color w:val="000000"/>
                <w:sz w:val="20"/>
                <w:szCs w:val="20"/>
              </w:rPr>
              <w:t>(D) Plants per year</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8E62D1" w:rsidRDefault="007F4E65">
            <w:pPr>
              <w:widowControl/>
              <w:autoSpaceDE/>
              <w:autoSpaceDN/>
              <w:adjustRightInd/>
              <w:jc w:val="center"/>
              <w:rPr>
                <w:b/>
                <w:color w:val="000000"/>
                <w:sz w:val="20"/>
                <w:szCs w:val="20"/>
              </w:rPr>
            </w:pPr>
            <w:r w:rsidRPr="007F4E65">
              <w:rPr>
                <w:b/>
                <w:color w:val="000000"/>
                <w:sz w:val="20"/>
                <w:szCs w:val="20"/>
              </w:rPr>
              <w:t>(E) Technical person- hours per year (</w:t>
            </w:r>
            <w:proofErr w:type="spellStart"/>
            <w:r w:rsidRPr="007F4E65">
              <w:rPr>
                <w:b/>
                <w:color w:val="000000"/>
                <w:sz w:val="20"/>
                <w:szCs w:val="20"/>
              </w:rPr>
              <w:t>CxD</w:t>
            </w:r>
            <w:proofErr w:type="spellEnd"/>
            <w:r w:rsidRPr="007F4E65">
              <w:rPr>
                <w:b/>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8E62D1" w:rsidRDefault="007F4E65">
            <w:pPr>
              <w:widowControl/>
              <w:autoSpaceDE/>
              <w:autoSpaceDN/>
              <w:adjustRightInd/>
              <w:jc w:val="center"/>
              <w:rPr>
                <w:b/>
                <w:color w:val="000000"/>
                <w:sz w:val="20"/>
                <w:szCs w:val="20"/>
              </w:rPr>
            </w:pPr>
            <w:r w:rsidRPr="007F4E65">
              <w:rPr>
                <w:b/>
                <w:color w:val="000000"/>
                <w:sz w:val="20"/>
                <w:szCs w:val="20"/>
              </w:rPr>
              <w:t>(E) Management person-hours per year (Ex0.05)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8E62D1" w:rsidRDefault="007F4E65">
            <w:pPr>
              <w:widowControl/>
              <w:autoSpaceDE/>
              <w:autoSpaceDN/>
              <w:adjustRightInd/>
              <w:jc w:val="center"/>
              <w:rPr>
                <w:b/>
                <w:color w:val="000000"/>
                <w:sz w:val="20"/>
                <w:szCs w:val="20"/>
              </w:rPr>
            </w:pPr>
            <w:r w:rsidRPr="007F4E65">
              <w:rPr>
                <w:b/>
                <w:color w:val="000000"/>
                <w:sz w:val="20"/>
                <w:szCs w:val="20"/>
              </w:rPr>
              <w:t>(F) Clerical person-hours per year (Ex0.1)</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254268" w:rsidRDefault="007F4E65">
            <w:pPr>
              <w:widowControl/>
              <w:autoSpaceDE/>
              <w:autoSpaceDN/>
              <w:adjustRightInd/>
              <w:jc w:val="center"/>
              <w:rPr>
                <w:b/>
                <w:color w:val="000000"/>
                <w:sz w:val="20"/>
                <w:szCs w:val="20"/>
              </w:rPr>
            </w:pPr>
            <w:r w:rsidRPr="007F4E65">
              <w:rPr>
                <w:b/>
                <w:color w:val="000000"/>
                <w:sz w:val="20"/>
                <w:szCs w:val="20"/>
              </w:rPr>
              <w:t xml:space="preserve">(H) </w:t>
            </w:r>
          </w:p>
          <w:p w:rsidR="00FA1F68" w:rsidRDefault="007F4E65">
            <w:pPr>
              <w:widowControl/>
              <w:autoSpaceDE/>
              <w:autoSpaceDN/>
              <w:adjustRightInd/>
              <w:jc w:val="center"/>
              <w:rPr>
                <w:b/>
                <w:color w:val="000000"/>
                <w:sz w:val="20"/>
                <w:szCs w:val="20"/>
              </w:rPr>
            </w:pPr>
            <w:r w:rsidRPr="007F4E65">
              <w:rPr>
                <w:b/>
                <w:color w:val="000000"/>
                <w:sz w:val="20"/>
                <w:szCs w:val="20"/>
              </w:rPr>
              <w:t xml:space="preserve">Cost </w:t>
            </w:r>
            <w:r w:rsidRPr="007F4E65">
              <w:rPr>
                <w:b/>
                <w:color w:val="000000"/>
                <w:sz w:val="20"/>
                <w:szCs w:val="20"/>
                <w:vertAlign w:val="superscript"/>
              </w:rPr>
              <w:t>b</w:t>
            </w:r>
            <w:r w:rsidRPr="007F4E65">
              <w:rPr>
                <w:b/>
                <w:color w:val="000000"/>
                <w:sz w:val="20"/>
                <w:szCs w:val="20"/>
              </w:rPr>
              <w:t xml:space="preserve"> ($)</w:t>
            </w:r>
          </w:p>
        </w:tc>
      </w:tr>
      <w:tr w:rsidR="00D2517D" w:rsidRPr="00D2517D" w:rsidTr="00C75972">
        <w:trPr>
          <w:trHeight w:val="315"/>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1. Initial performance test </w:t>
            </w:r>
            <w:r w:rsidRPr="00D2517D">
              <w:rPr>
                <w:color w:val="000000"/>
                <w:sz w:val="20"/>
                <w:szCs w:val="20"/>
                <w:vertAlign w:val="superscript"/>
              </w:rPr>
              <w:t>c</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15"/>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2. Repeat performance test </w:t>
            </w:r>
            <w:r w:rsidRPr="00D2517D">
              <w:rPr>
                <w:color w:val="000000"/>
                <w:sz w:val="20"/>
                <w:szCs w:val="20"/>
                <w:vertAlign w:val="superscript"/>
              </w:rPr>
              <w:t>d</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0.2</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4.8</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00"/>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3. Report review</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 </w:t>
            </w:r>
          </w:p>
        </w:tc>
      </w:tr>
      <w:tr w:rsidR="00D2517D" w:rsidRPr="00D2517D" w:rsidTr="00C75972">
        <w:trPr>
          <w:trHeight w:val="300"/>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construction/reconstruction</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00"/>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anticipated startup</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0.5</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15"/>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Notification of actual startup </w:t>
            </w:r>
            <w:r w:rsidRPr="00D2517D">
              <w:rPr>
                <w:color w:val="000000"/>
                <w:sz w:val="20"/>
                <w:szCs w:val="20"/>
                <w:vertAlign w:val="superscript"/>
              </w:rPr>
              <w:t>b</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0.5</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00"/>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emission testing</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0.5</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15"/>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Notification of physical or operational change </w:t>
            </w:r>
            <w:r w:rsidRPr="00D2517D">
              <w:rPr>
                <w:color w:val="000000"/>
                <w:sz w:val="20"/>
                <w:szCs w:val="20"/>
                <w:vertAlign w:val="superscript"/>
              </w:rPr>
              <w:t>e</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0.5</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15"/>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Emission test report </w:t>
            </w:r>
            <w:r w:rsidRPr="00D2517D">
              <w:rPr>
                <w:color w:val="000000"/>
                <w:sz w:val="20"/>
                <w:szCs w:val="20"/>
                <w:vertAlign w:val="superscript"/>
              </w:rPr>
              <w:t>f</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15"/>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 xml:space="preserve">Application for waiver of testing </w:t>
            </w:r>
            <w:r w:rsidRPr="00D2517D">
              <w:rPr>
                <w:color w:val="000000"/>
                <w:sz w:val="20"/>
                <w:szCs w:val="20"/>
                <w:vertAlign w:val="superscript"/>
              </w:rPr>
              <w:t>g</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00"/>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Application for equivalency</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D2517D" w:rsidRPr="00D2517D" w:rsidTr="00C75972">
        <w:trPr>
          <w:trHeight w:val="300"/>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rPr>
                <w:color w:val="000000"/>
                <w:sz w:val="20"/>
                <w:szCs w:val="20"/>
              </w:rPr>
            </w:pPr>
            <w:r w:rsidRPr="00D2517D">
              <w:rPr>
                <w:color w:val="000000"/>
                <w:sz w:val="20"/>
                <w:szCs w:val="20"/>
              </w:rPr>
              <w:t>Initial report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24</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center"/>
              <w:rPr>
                <w:color w:val="000000"/>
                <w:sz w:val="20"/>
                <w:szCs w:val="20"/>
              </w:rPr>
            </w:pPr>
            <w:r w:rsidRPr="00D2517D">
              <w:rPr>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D2517D" w:rsidRPr="00D2517D" w:rsidRDefault="00D2517D" w:rsidP="00D2517D">
            <w:pPr>
              <w:widowControl/>
              <w:autoSpaceDE/>
              <w:autoSpaceDN/>
              <w:adjustRightInd/>
              <w:jc w:val="right"/>
              <w:rPr>
                <w:color w:val="000000"/>
                <w:sz w:val="20"/>
                <w:szCs w:val="20"/>
              </w:rPr>
            </w:pPr>
            <w:r w:rsidRPr="00D2517D">
              <w:rPr>
                <w:color w:val="000000"/>
                <w:sz w:val="20"/>
                <w:szCs w:val="20"/>
              </w:rPr>
              <w:t>$0</w:t>
            </w:r>
          </w:p>
        </w:tc>
      </w:tr>
      <w:tr w:rsidR="00A14367" w:rsidRPr="00D2517D" w:rsidTr="00C75972">
        <w:trPr>
          <w:trHeight w:val="315"/>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A14367" w:rsidRPr="00D2517D" w:rsidRDefault="00A14367" w:rsidP="00D2517D">
            <w:pPr>
              <w:widowControl/>
              <w:autoSpaceDE/>
              <w:autoSpaceDN/>
              <w:adjustRightInd/>
              <w:rPr>
                <w:color w:val="000000"/>
                <w:sz w:val="20"/>
                <w:szCs w:val="20"/>
              </w:rPr>
            </w:pPr>
            <w:r w:rsidRPr="00D2517D">
              <w:rPr>
                <w:color w:val="000000"/>
                <w:sz w:val="20"/>
                <w:szCs w:val="20"/>
              </w:rPr>
              <w:t xml:space="preserve">Quarterly report </w:t>
            </w:r>
            <w:r w:rsidRPr="00D2517D">
              <w:rPr>
                <w:color w:val="000000"/>
                <w:sz w:val="20"/>
                <w:szCs w:val="20"/>
                <w:vertAlign w:val="superscript"/>
              </w:rPr>
              <w:t>h</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4367" w:rsidRPr="00D2517D" w:rsidRDefault="00A14367" w:rsidP="00D2517D">
            <w:pPr>
              <w:widowControl/>
              <w:autoSpaceDE/>
              <w:autoSpaceDN/>
              <w:adjustRightInd/>
              <w:jc w:val="center"/>
              <w:rPr>
                <w:color w:val="000000"/>
                <w:sz w:val="20"/>
                <w:szCs w:val="20"/>
              </w:rPr>
            </w:pPr>
            <w:r w:rsidRPr="00D2517D">
              <w:rPr>
                <w:color w:val="000000"/>
                <w:sz w:val="20"/>
                <w:szCs w:val="20"/>
              </w:rPr>
              <w:t>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A14367" w:rsidRPr="00D2517D" w:rsidRDefault="00A14367" w:rsidP="00D2517D">
            <w:pPr>
              <w:widowControl/>
              <w:autoSpaceDE/>
              <w:autoSpaceDN/>
              <w:adjustRightInd/>
              <w:jc w:val="center"/>
              <w:rPr>
                <w:color w:val="000000"/>
                <w:sz w:val="20"/>
                <w:szCs w:val="20"/>
              </w:rPr>
            </w:pPr>
            <w:r w:rsidRPr="00D2517D">
              <w:rPr>
                <w:color w:val="000000"/>
                <w:sz w:val="20"/>
                <w:szCs w:val="20"/>
              </w:rPr>
              <w:t>4</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A14367" w:rsidRPr="00D2517D" w:rsidRDefault="00A14367" w:rsidP="00D2517D">
            <w:pPr>
              <w:widowControl/>
              <w:autoSpaceDE/>
              <w:autoSpaceDN/>
              <w:adjustRightInd/>
              <w:jc w:val="center"/>
              <w:rPr>
                <w:color w:val="000000"/>
                <w:sz w:val="20"/>
                <w:szCs w:val="20"/>
              </w:rPr>
            </w:pPr>
            <w:r w:rsidRPr="00D2517D">
              <w:rPr>
                <w:color w:val="000000"/>
                <w:sz w:val="20"/>
                <w:szCs w:val="20"/>
              </w:rPr>
              <w:t>16</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A14367" w:rsidRPr="00A14367" w:rsidRDefault="00A14367">
            <w:pPr>
              <w:jc w:val="center"/>
              <w:rPr>
                <w:sz w:val="20"/>
                <w:szCs w:val="20"/>
              </w:rPr>
            </w:pPr>
            <w:r w:rsidRPr="00A14367">
              <w:rPr>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rsidR="00A14367" w:rsidRPr="00A14367" w:rsidRDefault="00A14367">
            <w:pPr>
              <w:jc w:val="center"/>
              <w:rPr>
                <w:sz w:val="20"/>
                <w:szCs w:val="20"/>
              </w:rPr>
            </w:pPr>
            <w:r w:rsidRPr="00A14367">
              <w:rPr>
                <w:sz w:val="20"/>
                <w:szCs w:val="20"/>
              </w:rPr>
              <w:t>288</w:t>
            </w:r>
          </w:p>
        </w:tc>
        <w:tc>
          <w:tcPr>
            <w:tcW w:w="1338" w:type="dxa"/>
            <w:tcBorders>
              <w:top w:val="nil"/>
              <w:left w:val="nil"/>
              <w:bottom w:val="single" w:sz="4" w:space="0" w:color="auto"/>
              <w:right w:val="single" w:sz="4" w:space="0" w:color="auto"/>
            </w:tcBorders>
            <w:shd w:val="clear" w:color="auto" w:fill="auto"/>
            <w:noWrap/>
            <w:vAlign w:val="center"/>
            <w:hideMark/>
          </w:tcPr>
          <w:p w:rsidR="00A14367" w:rsidRPr="00A14367" w:rsidRDefault="00A14367">
            <w:pPr>
              <w:jc w:val="center"/>
              <w:rPr>
                <w:sz w:val="20"/>
                <w:szCs w:val="20"/>
              </w:rPr>
            </w:pPr>
            <w:r w:rsidRPr="00A14367">
              <w:rPr>
                <w:sz w:val="20"/>
                <w:szCs w:val="20"/>
              </w:rPr>
              <w:t>14.4</w:t>
            </w:r>
          </w:p>
        </w:tc>
        <w:tc>
          <w:tcPr>
            <w:tcW w:w="940" w:type="dxa"/>
            <w:tcBorders>
              <w:top w:val="nil"/>
              <w:left w:val="nil"/>
              <w:bottom w:val="single" w:sz="4" w:space="0" w:color="auto"/>
              <w:right w:val="single" w:sz="4" w:space="0" w:color="auto"/>
            </w:tcBorders>
            <w:shd w:val="clear" w:color="auto" w:fill="auto"/>
            <w:noWrap/>
            <w:vAlign w:val="center"/>
            <w:hideMark/>
          </w:tcPr>
          <w:p w:rsidR="00A14367" w:rsidRPr="00A14367" w:rsidRDefault="00A14367">
            <w:pPr>
              <w:jc w:val="center"/>
              <w:rPr>
                <w:sz w:val="20"/>
                <w:szCs w:val="20"/>
              </w:rPr>
            </w:pPr>
            <w:r w:rsidRPr="00A14367">
              <w:rPr>
                <w:sz w:val="20"/>
                <w:szCs w:val="20"/>
              </w:rPr>
              <w:t>28.8</w:t>
            </w:r>
          </w:p>
        </w:tc>
        <w:tc>
          <w:tcPr>
            <w:tcW w:w="1331" w:type="dxa"/>
            <w:tcBorders>
              <w:top w:val="nil"/>
              <w:left w:val="nil"/>
              <w:bottom w:val="single" w:sz="4" w:space="0" w:color="auto"/>
              <w:right w:val="single" w:sz="4" w:space="0" w:color="auto"/>
            </w:tcBorders>
            <w:shd w:val="clear" w:color="auto" w:fill="auto"/>
            <w:noWrap/>
            <w:vAlign w:val="center"/>
            <w:hideMark/>
          </w:tcPr>
          <w:p w:rsidR="00A14367" w:rsidRPr="00A14367" w:rsidRDefault="00A14367">
            <w:pPr>
              <w:jc w:val="right"/>
              <w:rPr>
                <w:sz w:val="20"/>
                <w:szCs w:val="20"/>
              </w:rPr>
            </w:pPr>
            <w:r w:rsidRPr="00A14367">
              <w:rPr>
                <w:sz w:val="20"/>
                <w:szCs w:val="20"/>
              </w:rPr>
              <w:t xml:space="preserve">$14,925.46 </w:t>
            </w:r>
          </w:p>
        </w:tc>
      </w:tr>
      <w:tr w:rsidR="00A14367" w:rsidRPr="00D2517D" w:rsidTr="00C75972">
        <w:trPr>
          <w:trHeight w:val="315"/>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A14367" w:rsidRPr="00D2517D" w:rsidRDefault="00A14367" w:rsidP="00D2517D">
            <w:pPr>
              <w:widowControl/>
              <w:autoSpaceDE/>
              <w:autoSpaceDN/>
              <w:adjustRightInd/>
              <w:rPr>
                <w:color w:val="000000"/>
                <w:sz w:val="20"/>
                <w:szCs w:val="20"/>
              </w:rPr>
            </w:pPr>
            <w:r w:rsidRPr="00D2517D">
              <w:rPr>
                <w:color w:val="000000"/>
                <w:sz w:val="20"/>
                <w:szCs w:val="20"/>
              </w:rPr>
              <w:t xml:space="preserve">MVV/RVD report </w:t>
            </w:r>
            <w:proofErr w:type="spellStart"/>
            <w:r w:rsidRPr="00D2517D">
              <w:rPr>
                <w:color w:val="000000"/>
                <w:sz w:val="20"/>
                <w:szCs w:val="20"/>
                <w:vertAlign w:val="superscript"/>
              </w:rPr>
              <w:t>i</w:t>
            </w:r>
            <w:proofErr w:type="spell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4367" w:rsidRPr="00D2517D" w:rsidRDefault="00A14367" w:rsidP="00D2517D">
            <w:pPr>
              <w:widowControl/>
              <w:autoSpaceDE/>
              <w:autoSpaceDN/>
              <w:adjustRightInd/>
              <w:jc w:val="center"/>
              <w:rPr>
                <w:color w:val="000000"/>
                <w:sz w:val="20"/>
                <w:szCs w:val="20"/>
              </w:rPr>
            </w:pPr>
            <w:r w:rsidRPr="00D2517D">
              <w:rPr>
                <w:color w:val="000000"/>
                <w:sz w:val="20"/>
                <w:szCs w:val="20"/>
              </w:rPr>
              <w:t>24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A14367" w:rsidRPr="00D2517D" w:rsidRDefault="00A14367" w:rsidP="00D2517D">
            <w:pPr>
              <w:widowControl/>
              <w:autoSpaceDE/>
              <w:autoSpaceDN/>
              <w:adjustRightInd/>
              <w:jc w:val="center"/>
              <w:rPr>
                <w:color w:val="000000"/>
                <w:sz w:val="20"/>
                <w:szCs w:val="20"/>
              </w:rPr>
            </w:pPr>
            <w:r w:rsidRPr="00D2517D">
              <w:rPr>
                <w:color w:val="000000"/>
                <w:sz w:val="20"/>
                <w:szCs w:val="20"/>
              </w:rPr>
              <w:t>3</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A14367" w:rsidRPr="00D2517D" w:rsidRDefault="00A14367" w:rsidP="00D2517D">
            <w:pPr>
              <w:widowControl/>
              <w:autoSpaceDE/>
              <w:autoSpaceDN/>
              <w:adjustRightInd/>
              <w:jc w:val="center"/>
              <w:rPr>
                <w:color w:val="000000"/>
                <w:sz w:val="20"/>
                <w:szCs w:val="20"/>
              </w:rPr>
            </w:pPr>
            <w:r w:rsidRPr="00D2517D">
              <w:rPr>
                <w:color w:val="000000"/>
                <w:sz w:val="20"/>
                <w:szCs w:val="20"/>
              </w:rPr>
              <w:t>72</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A14367" w:rsidRPr="00A14367" w:rsidRDefault="00A14367">
            <w:pPr>
              <w:jc w:val="center"/>
              <w:rPr>
                <w:sz w:val="20"/>
                <w:szCs w:val="20"/>
              </w:rPr>
            </w:pPr>
            <w:r w:rsidRPr="00A14367">
              <w:rPr>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rsidR="00A14367" w:rsidRPr="00A14367" w:rsidRDefault="00A14367">
            <w:pPr>
              <w:jc w:val="center"/>
              <w:rPr>
                <w:sz w:val="20"/>
                <w:szCs w:val="20"/>
              </w:rPr>
            </w:pPr>
            <w:r w:rsidRPr="00A14367">
              <w:rPr>
                <w:sz w:val="20"/>
                <w:szCs w:val="20"/>
              </w:rPr>
              <w:t>1,296</w:t>
            </w:r>
          </w:p>
        </w:tc>
        <w:tc>
          <w:tcPr>
            <w:tcW w:w="1338" w:type="dxa"/>
            <w:tcBorders>
              <w:top w:val="nil"/>
              <w:left w:val="nil"/>
              <w:bottom w:val="single" w:sz="4" w:space="0" w:color="auto"/>
              <w:right w:val="single" w:sz="4" w:space="0" w:color="auto"/>
            </w:tcBorders>
            <w:shd w:val="clear" w:color="auto" w:fill="auto"/>
            <w:noWrap/>
            <w:vAlign w:val="center"/>
            <w:hideMark/>
          </w:tcPr>
          <w:p w:rsidR="00A14367" w:rsidRPr="00A14367" w:rsidRDefault="00A14367">
            <w:pPr>
              <w:jc w:val="center"/>
              <w:rPr>
                <w:sz w:val="20"/>
                <w:szCs w:val="20"/>
              </w:rPr>
            </w:pPr>
            <w:r w:rsidRPr="00A14367">
              <w:rPr>
                <w:sz w:val="20"/>
                <w:szCs w:val="20"/>
              </w:rPr>
              <w:t>64.8</w:t>
            </w:r>
          </w:p>
        </w:tc>
        <w:tc>
          <w:tcPr>
            <w:tcW w:w="940" w:type="dxa"/>
            <w:tcBorders>
              <w:top w:val="nil"/>
              <w:left w:val="nil"/>
              <w:bottom w:val="single" w:sz="4" w:space="0" w:color="auto"/>
              <w:right w:val="single" w:sz="4" w:space="0" w:color="auto"/>
            </w:tcBorders>
            <w:shd w:val="clear" w:color="auto" w:fill="auto"/>
            <w:noWrap/>
            <w:vAlign w:val="center"/>
            <w:hideMark/>
          </w:tcPr>
          <w:p w:rsidR="00A14367" w:rsidRPr="00A14367" w:rsidRDefault="00A14367">
            <w:pPr>
              <w:jc w:val="center"/>
              <w:rPr>
                <w:sz w:val="20"/>
                <w:szCs w:val="20"/>
              </w:rPr>
            </w:pPr>
            <w:r w:rsidRPr="00A14367">
              <w:rPr>
                <w:sz w:val="20"/>
                <w:szCs w:val="20"/>
              </w:rPr>
              <w:t>129.6</w:t>
            </w:r>
          </w:p>
        </w:tc>
        <w:tc>
          <w:tcPr>
            <w:tcW w:w="1331" w:type="dxa"/>
            <w:tcBorders>
              <w:top w:val="nil"/>
              <w:left w:val="nil"/>
              <w:bottom w:val="single" w:sz="4" w:space="0" w:color="auto"/>
              <w:right w:val="single" w:sz="4" w:space="0" w:color="auto"/>
            </w:tcBorders>
            <w:shd w:val="clear" w:color="auto" w:fill="auto"/>
            <w:noWrap/>
            <w:vAlign w:val="center"/>
            <w:hideMark/>
          </w:tcPr>
          <w:p w:rsidR="00A14367" w:rsidRPr="00A14367" w:rsidRDefault="00A14367">
            <w:pPr>
              <w:jc w:val="right"/>
              <w:rPr>
                <w:sz w:val="20"/>
                <w:szCs w:val="20"/>
              </w:rPr>
            </w:pPr>
            <w:r w:rsidRPr="00A14367">
              <w:rPr>
                <w:sz w:val="20"/>
                <w:szCs w:val="20"/>
              </w:rPr>
              <w:t xml:space="preserve">$67,164.55 </w:t>
            </w:r>
          </w:p>
        </w:tc>
      </w:tr>
      <w:tr w:rsidR="00A14367" w:rsidRPr="001C6F5B" w:rsidTr="00C75972">
        <w:trPr>
          <w:trHeight w:val="300"/>
        </w:trPr>
        <w:tc>
          <w:tcPr>
            <w:tcW w:w="3949" w:type="dxa"/>
            <w:tcBorders>
              <w:top w:val="nil"/>
              <w:left w:val="single" w:sz="4" w:space="0" w:color="auto"/>
              <w:bottom w:val="single" w:sz="4" w:space="0" w:color="auto"/>
              <w:right w:val="single" w:sz="4" w:space="0" w:color="auto"/>
            </w:tcBorders>
            <w:shd w:val="clear" w:color="auto" w:fill="auto"/>
            <w:noWrap/>
            <w:vAlign w:val="center"/>
            <w:hideMark/>
          </w:tcPr>
          <w:p w:rsidR="00A14367" w:rsidRPr="001C6F5B" w:rsidRDefault="00A14367" w:rsidP="00D2517D">
            <w:pPr>
              <w:widowControl/>
              <w:autoSpaceDE/>
              <w:autoSpaceDN/>
              <w:adjustRightInd/>
              <w:rPr>
                <w:b/>
                <w:color w:val="000000"/>
                <w:sz w:val="20"/>
                <w:szCs w:val="20"/>
              </w:rPr>
            </w:pPr>
            <w:r w:rsidRPr="001C6F5B">
              <w:rPr>
                <w:b/>
                <w:color w:val="000000"/>
                <w:sz w:val="20"/>
                <w:szCs w:val="20"/>
              </w:rPr>
              <w:t>TOTAL ANNUAL BURDEN</w:t>
            </w:r>
            <w:r w:rsidR="0042062C">
              <w:rPr>
                <w:b/>
                <w:color w:val="000000"/>
                <w:sz w:val="20"/>
                <w:szCs w:val="20"/>
              </w:rPr>
              <w:t xml:space="preserve"> (rounded)</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4367" w:rsidRPr="001C6F5B" w:rsidRDefault="00A14367" w:rsidP="00D2517D">
            <w:pPr>
              <w:widowControl/>
              <w:autoSpaceDE/>
              <w:autoSpaceDN/>
              <w:adjustRightInd/>
              <w:jc w:val="center"/>
              <w:rPr>
                <w:b/>
                <w:color w:val="000000"/>
                <w:sz w:val="20"/>
                <w:szCs w:val="20"/>
              </w:rPr>
            </w:pPr>
            <w:r w:rsidRPr="001C6F5B">
              <w:rPr>
                <w:b/>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A14367" w:rsidRPr="001C6F5B" w:rsidRDefault="00A14367" w:rsidP="00D2517D">
            <w:pPr>
              <w:widowControl/>
              <w:autoSpaceDE/>
              <w:autoSpaceDN/>
              <w:adjustRightInd/>
              <w:jc w:val="center"/>
              <w:rPr>
                <w:b/>
                <w:color w:val="000000"/>
                <w:sz w:val="20"/>
                <w:szCs w:val="20"/>
              </w:rPr>
            </w:pPr>
            <w:r w:rsidRPr="001C6F5B">
              <w:rPr>
                <w:b/>
                <w:color w:val="000000"/>
                <w:sz w:val="20"/>
                <w:szCs w:val="20"/>
              </w:rPr>
              <w:t> </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A14367" w:rsidRPr="001C6F5B" w:rsidRDefault="00A14367" w:rsidP="00D2517D">
            <w:pPr>
              <w:widowControl/>
              <w:autoSpaceDE/>
              <w:autoSpaceDN/>
              <w:adjustRightInd/>
              <w:jc w:val="center"/>
              <w:rPr>
                <w:b/>
                <w:color w:val="000000"/>
                <w:sz w:val="20"/>
                <w:szCs w:val="20"/>
              </w:rPr>
            </w:pPr>
            <w:r w:rsidRPr="001C6F5B">
              <w:rPr>
                <w:b/>
                <w:color w:val="000000"/>
                <w:sz w:val="20"/>
                <w:szCs w:val="20"/>
              </w:rPr>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A14367" w:rsidRPr="001C6F5B" w:rsidRDefault="00A14367" w:rsidP="00D2517D">
            <w:pPr>
              <w:widowControl/>
              <w:autoSpaceDE/>
              <w:autoSpaceDN/>
              <w:adjustRightInd/>
              <w:jc w:val="center"/>
              <w:rPr>
                <w:b/>
                <w:sz w:val="20"/>
                <w:szCs w:val="20"/>
              </w:rPr>
            </w:pPr>
          </w:p>
        </w:tc>
        <w:tc>
          <w:tcPr>
            <w:tcW w:w="33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14367" w:rsidRPr="001C6F5B" w:rsidRDefault="00A14367">
            <w:pPr>
              <w:jc w:val="center"/>
              <w:rPr>
                <w:b/>
                <w:sz w:val="20"/>
                <w:szCs w:val="20"/>
              </w:rPr>
            </w:pPr>
            <w:r w:rsidRPr="001C6F5B">
              <w:rPr>
                <w:b/>
                <w:sz w:val="20"/>
                <w:szCs w:val="20"/>
              </w:rPr>
              <w:t>1,822</w:t>
            </w:r>
          </w:p>
        </w:tc>
        <w:tc>
          <w:tcPr>
            <w:tcW w:w="1331" w:type="dxa"/>
            <w:tcBorders>
              <w:top w:val="nil"/>
              <w:left w:val="nil"/>
              <w:bottom w:val="single" w:sz="4" w:space="0" w:color="auto"/>
              <w:right w:val="single" w:sz="4" w:space="0" w:color="auto"/>
            </w:tcBorders>
            <w:shd w:val="clear" w:color="auto" w:fill="auto"/>
            <w:noWrap/>
            <w:vAlign w:val="center"/>
            <w:hideMark/>
          </w:tcPr>
          <w:p w:rsidR="00A14367" w:rsidRPr="001C6F5B" w:rsidRDefault="00A14367">
            <w:pPr>
              <w:jc w:val="right"/>
              <w:rPr>
                <w:b/>
                <w:sz w:val="20"/>
                <w:szCs w:val="20"/>
              </w:rPr>
            </w:pPr>
            <w:r w:rsidRPr="001C6F5B">
              <w:rPr>
                <w:b/>
                <w:sz w:val="20"/>
                <w:szCs w:val="20"/>
              </w:rPr>
              <w:t xml:space="preserve">$82,090 </w:t>
            </w:r>
          </w:p>
        </w:tc>
      </w:tr>
    </w:tbl>
    <w:p w:rsidR="005D3F59" w:rsidRDefault="005D3F59" w:rsidP="00F340DF">
      <w:pPr>
        <w:rPr>
          <w:bCs/>
          <w:color w:val="FF0000"/>
        </w:rPr>
      </w:pPr>
      <w:r w:rsidRPr="00144F35" w:rsidDel="00297204">
        <w:rPr>
          <w:bCs/>
          <w:color w:val="FF0000"/>
        </w:rPr>
        <w:t xml:space="preserve"> </w:t>
      </w:r>
    </w:p>
    <w:p w:rsidR="005D3F59" w:rsidRDefault="005D3F59" w:rsidP="005D3F59">
      <w:pPr>
        <w:rPr>
          <w:b/>
          <w:sz w:val="20"/>
          <w:szCs w:val="20"/>
        </w:rPr>
      </w:pPr>
      <w:r>
        <w:rPr>
          <w:b/>
          <w:sz w:val="20"/>
          <w:szCs w:val="20"/>
        </w:rPr>
        <w:t>Assumptions:</w:t>
      </w:r>
    </w:p>
    <w:p w:rsidR="005D3F59" w:rsidRDefault="005D3F59" w:rsidP="005D3F59">
      <w:pPr>
        <w:rPr>
          <w:sz w:val="20"/>
          <w:szCs w:val="20"/>
        </w:rPr>
      </w:pPr>
      <w:proofErr w:type="spellStart"/>
      <w:proofErr w:type="gramStart"/>
      <w:r>
        <w:rPr>
          <w:vertAlign w:val="superscript"/>
        </w:rPr>
        <w:t>a</w:t>
      </w:r>
      <w:proofErr w:type="spellEnd"/>
      <w:r>
        <w:rPr>
          <w:sz w:val="20"/>
          <w:szCs w:val="20"/>
        </w:rPr>
        <w:t xml:space="preserve">  </w:t>
      </w:r>
      <w:r w:rsidR="001C6F5B">
        <w:rPr>
          <w:sz w:val="20"/>
          <w:szCs w:val="20"/>
        </w:rPr>
        <w:t>We</w:t>
      </w:r>
      <w:proofErr w:type="gramEnd"/>
      <w:r w:rsidR="001C6F5B">
        <w:rPr>
          <w:sz w:val="20"/>
          <w:szCs w:val="20"/>
        </w:rPr>
        <w:t xml:space="preserve"> estimate there are currently 26 existing sources. Beginning in Year 2 of this ICR, only 14 sources will be subject to this part 61 standard.  Therefore, the average number of sources over the 3-year period is 18.  We have further assumed that there will be no new growth in the industry over the next three years.</w:t>
      </w:r>
    </w:p>
    <w:p w:rsidR="005D3F59" w:rsidRPr="00090F05" w:rsidRDefault="005D3F59" w:rsidP="005D3F59">
      <w:pPr>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w:t>
      </w:r>
      <w:r w:rsidRPr="00090F05">
        <w:rPr>
          <w:sz w:val="20"/>
          <w:szCs w:val="20"/>
        </w:rPr>
        <w:t xml:space="preserve">OPM) </w:t>
      </w:r>
      <w:r w:rsidR="00AA17F7">
        <w:rPr>
          <w:sz w:val="20"/>
          <w:szCs w:val="20"/>
        </w:rPr>
        <w:t>2013</w:t>
      </w:r>
      <w:r w:rsidRPr="00090F05">
        <w:rPr>
          <w:sz w:val="20"/>
          <w:szCs w:val="20"/>
        </w:rPr>
        <w:t xml:space="preserve"> General Schedule which excludes locality rates of pay.</w:t>
      </w:r>
    </w:p>
    <w:p w:rsidR="005D3F59" w:rsidRPr="00090F05" w:rsidRDefault="005D3F59" w:rsidP="005D3F59">
      <w:pPr>
        <w:rPr>
          <w:sz w:val="20"/>
          <w:szCs w:val="20"/>
        </w:rPr>
      </w:pPr>
      <w:proofErr w:type="gramStart"/>
      <w:r w:rsidRPr="00090F05">
        <w:rPr>
          <w:sz w:val="20"/>
          <w:szCs w:val="20"/>
          <w:vertAlign w:val="superscript"/>
        </w:rPr>
        <w:t>c</w:t>
      </w:r>
      <w:r w:rsidRPr="00090F05">
        <w:rPr>
          <w:sz w:val="20"/>
          <w:szCs w:val="20"/>
        </w:rPr>
        <w:t xml:space="preserve">  We</w:t>
      </w:r>
      <w:proofErr w:type="gramEnd"/>
      <w:r w:rsidRPr="00090F05">
        <w:rPr>
          <w:sz w:val="20"/>
          <w:szCs w:val="20"/>
        </w:rPr>
        <w:t xml:space="preserve"> have assumed that it will take twenty-four hours to complete the performance tests.</w:t>
      </w:r>
    </w:p>
    <w:p w:rsidR="005D3F59" w:rsidRPr="00090F05" w:rsidRDefault="005D3F59" w:rsidP="005D3F59">
      <w:pPr>
        <w:rPr>
          <w:sz w:val="20"/>
          <w:szCs w:val="20"/>
        </w:rPr>
      </w:pPr>
      <w:proofErr w:type="gramStart"/>
      <w:r w:rsidRPr="00090F05">
        <w:rPr>
          <w:vertAlign w:val="superscript"/>
        </w:rPr>
        <w:t xml:space="preserve">d  </w:t>
      </w:r>
      <w:r w:rsidRPr="00090F05">
        <w:rPr>
          <w:sz w:val="20"/>
          <w:szCs w:val="20"/>
        </w:rPr>
        <w:t>We</w:t>
      </w:r>
      <w:proofErr w:type="gramEnd"/>
      <w:r w:rsidRPr="00090F05">
        <w:rPr>
          <w:sz w:val="20"/>
          <w:szCs w:val="20"/>
        </w:rPr>
        <w:t xml:space="preserve"> have assumed that 20 percent of initial performance test</w:t>
      </w:r>
      <w:r>
        <w:rPr>
          <w:sz w:val="20"/>
          <w:szCs w:val="20"/>
        </w:rPr>
        <w:t>s</w:t>
      </w:r>
      <w:r w:rsidRPr="00090F05">
        <w:rPr>
          <w:sz w:val="20"/>
          <w:szCs w:val="20"/>
        </w:rPr>
        <w:t xml:space="preserve"> must be repeated due to failure.</w:t>
      </w:r>
    </w:p>
    <w:p w:rsidR="005D3F59" w:rsidRPr="00090F05" w:rsidRDefault="005D3F59" w:rsidP="005D3F59">
      <w:pPr>
        <w:rPr>
          <w:sz w:val="20"/>
          <w:szCs w:val="20"/>
        </w:rPr>
      </w:pPr>
      <w:proofErr w:type="gramStart"/>
      <w:r w:rsidRPr="00090F05">
        <w:rPr>
          <w:vertAlign w:val="superscript"/>
        </w:rPr>
        <w:t>e</w:t>
      </w:r>
      <w:r w:rsidRPr="00090F05">
        <w:rPr>
          <w:sz w:val="20"/>
          <w:szCs w:val="20"/>
        </w:rPr>
        <w:t xml:space="preserve">  Assume</w:t>
      </w:r>
      <w:proofErr w:type="gramEnd"/>
      <w:r w:rsidRPr="00090F05">
        <w:rPr>
          <w:sz w:val="20"/>
          <w:szCs w:val="20"/>
        </w:rPr>
        <w:t xml:space="preserve"> that there will be no physical or operational changes over the next three years.</w:t>
      </w:r>
    </w:p>
    <w:p w:rsidR="005D3F59" w:rsidRPr="00090F05" w:rsidRDefault="005D3F59" w:rsidP="005D3F59">
      <w:pPr>
        <w:rPr>
          <w:sz w:val="20"/>
          <w:szCs w:val="20"/>
        </w:rPr>
      </w:pPr>
      <w:proofErr w:type="gramStart"/>
      <w:r w:rsidRPr="00090F05">
        <w:rPr>
          <w:vertAlign w:val="superscript"/>
        </w:rPr>
        <w:t xml:space="preserve">f  </w:t>
      </w:r>
      <w:r w:rsidRPr="00090F05">
        <w:rPr>
          <w:sz w:val="20"/>
          <w:szCs w:val="20"/>
        </w:rPr>
        <w:t>It</w:t>
      </w:r>
      <w:proofErr w:type="gramEnd"/>
      <w:r w:rsidRPr="00090F05">
        <w:rPr>
          <w:sz w:val="20"/>
          <w:szCs w:val="20"/>
        </w:rPr>
        <w:t xml:space="preserve"> is assumed that it will take twenty-four hours to review an emissions test report.</w:t>
      </w:r>
    </w:p>
    <w:p w:rsidR="005D3F59" w:rsidRPr="00090F05" w:rsidRDefault="005D3F59" w:rsidP="005D3F59">
      <w:pPr>
        <w:rPr>
          <w:sz w:val="20"/>
          <w:szCs w:val="20"/>
        </w:rPr>
      </w:pPr>
      <w:proofErr w:type="gramStart"/>
      <w:r w:rsidRPr="00090F05">
        <w:rPr>
          <w:vertAlign w:val="superscript"/>
        </w:rPr>
        <w:t xml:space="preserve">g  </w:t>
      </w:r>
      <w:r w:rsidRPr="00090F05">
        <w:rPr>
          <w:sz w:val="20"/>
          <w:szCs w:val="20"/>
        </w:rPr>
        <w:t>Assume</w:t>
      </w:r>
      <w:proofErr w:type="gramEnd"/>
      <w:r w:rsidRPr="00090F05">
        <w:rPr>
          <w:sz w:val="20"/>
          <w:szCs w:val="20"/>
        </w:rPr>
        <w:t xml:space="preserve"> that it will take twenty-four hours to review application for waiver of test.</w:t>
      </w:r>
    </w:p>
    <w:p w:rsidR="005D3F59" w:rsidRDefault="005D3F59" w:rsidP="005D3F59">
      <w:pPr>
        <w:rPr>
          <w:sz w:val="20"/>
          <w:szCs w:val="20"/>
        </w:rPr>
      </w:pPr>
      <w:proofErr w:type="gramStart"/>
      <w:r w:rsidRPr="00090F05">
        <w:rPr>
          <w:vertAlign w:val="superscript"/>
        </w:rPr>
        <w:t xml:space="preserve">h  </w:t>
      </w:r>
      <w:r w:rsidRPr="00090F05">
        <w:rPr>
          <w:sz w:val="20"/>
          <w:szCs w:val="20"/>
        </w:rPr>
        <w:t>We</w:t>
      </w:r>
      <w:proofErr w:type="gramEnd"/>
      <w:r w:rsidRPr="00090F05">
        <w:rPr>
          <w:sz w:val="20"/>
          <w:szCs w:val="20"/>
        </w:rPr>
        <w:t xml:space="preserve"> have assumed that it will take four hours to review the quarterly report.</w:t>
      </w:r>
    </w:p>
    <w:p w:rsidR="005D3F59" w:rsidRDefault="005D3F59" w:rsidP="005D3F59">
      <w:pPr>
        <w:rPr>
          <w:sz w:val="20"/>
          <w:szCs w:val="20"/>
        </w:rPr>
      </w:pPr>
      <w:proofErr w:type="spellStart"/>
      <w:proofErr w:type="gramStart"/>
      <w:r>
        <w:rPr>
          <w:vertAlign w:val="superscript"/>
        </w:rPr>
        <w:t>i</w:t>
      </w:r>
      <w:proofErr w:type="spellEnd"/>
      <w:r>
        <w:rPr>
          <w:vertAlign w:val="superscript"/>
        </w:rPr>
        <w:t xml:space="preserve">  </w:t>
      </w:r>
      <w:r>
        <w:rPr>
          <w:sz w:val="20"/>
          <w:szCs w:val="20"/>
        </w:rPr>
        <w:t>We</w:t>
      </w:r>
      <w:proofErr w:type="gramEnd"/>
      <w:r>
        <w:rPr>
          <w:sz w:val="20"/>
          <w:szCs w:val="20"/>
        </w:rPr>
        <w:t xml:space="preserve"> have assumed that there will be three discharges of manual vent valve/relief valve discharge (MVV/RVD) per year.</w:t>
      </w:r>
    </w:p>
    <w:p w:rsidR="00144F35" w:rsidRDefault="005D3F59" w:rsidP="00F340DF">
      <w:pPr>
        <w:rPr>
          <w:color w:val="000000"/>
        </w:rPr>
      </w:pPr>
      <w:r w:rsidRPr="00144F35" w:rsidDel="00297204">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C78" w:rsidRDefault="000E6C78">
      <w:r>
        <w:separator/>
      </w:r>
    </w:p>
  </w:endnote>
  <w:endnote w:type="continuationSeparator" w:id="0">
    <w:p w:rsidR="000E6C78" w:rsidRDefault="000E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C78" w:rsidRDefault="000E6C78">
      <w:r>
        <w:separator/>
      </w:r>
    </w:p>
  </w:footnote>
  <w:footnote w:type="continuationSeparator" w:id="0">
    <w:p w:rsidR="000E6C78" w:rsidRDefault="000E6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78" w:rsidRDefault="000E6C78">
    <w:pPr>
      <w:framePr w:w="9361" w:wrap="notBeside" w:vAnchor="text" w:hAnchor="text" w:x="1" w:y="1"/>
      <w:jc w:val="center"/>
    </w:pPr>
    <w:r>
      <w:fldChar w:fldCharType="begin"/>
    </w:r>
    <w:r>
      <w:instrText xml:space="preserve">PAGE </w:instrText>
    </w:r>
    <w:r>
      <w:fldChar w:fldCharType="separate"/>
    </w:r>
    <w:r w:rsidR="00CB5571">
      <w:rPr>
        <w:noProof/>
      </w:rPr>
      <w:t>2</w:t>
    </w:r>
    <w:r>
      <w:rPr>
        <w:noProof/>
      </w:rPr>
      <w:fldChar w:fldCharType="end"/>
    </w:r>
  </w:p>
  <w:p w:rsidR="000E6C78" w:rsidRDefault="000E6C78"/>
  <w:p w:rsidR="000E6C78" w:rsidRDefault="000E6C7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BA9"/>
    <w:rsid w:val="00023D51"/>
    <w:rsid w:val="0003619B"/>
    <w:rsid w:val="000453BA"/>
    <w:rsid w:val="00055BDF"/>
    <w:rsid w:val="00055DC5"/>
    <w:rsid w:val="00093AE1"/>
    <w:rsid w:val="000A1FBB"/>
    <w:rsid w:val="000A687C"/>
    <w:rsid w:val="000C4F88"/>
    <w:rsid w:val="000D0CA1"/>
    <w:rsid w:val="000D2272"/>
    <w:rsid w:val="000E6C78"/>
    <w:rsid w:val="000F772C"/>
    <w:rsid w:val="00101B40"/>
    <w:rsid w:val="00102B52"/>
    <w:rsid w:val="0010697C"/>
    <w:rsid w:val="001225F3"/>
    <w:rsid w:val="00123889"/>
    <w:rsid w:val="00126A7C"/>
    <w:rsid w:val="001356D4"/>
    <w:rsid w:val="0014079D"/>
    <w:rsid w:val="00144978"/>
    <w:rsid w:val="00144A82"/>
    <w:rsid w:val="00144F35"/>
    <w:rsid w:val="0015433E"/>
    <w:rsid w:val="00171532"/>
    <w:rsid w:val="001829BE"/>
    <w:rsid w:val="00186DA3"/>
    <w:rsid w:val="00195753"/>
    <w:rsid w:val="001A0B41"/>
    <w:rsid w:val="001A6933"/>
    <w:rsid w:val="001B0B9A"/>
    <w:rsid w:val="001B35F2"/>
    <w:rsid w:val="001C5991"/>
    <w:rsid w:val="001C6F5B"/>
    <w:rsid w:val="001D477B"/>
    <w:rsid w:val="001D762C"/>
    <w:rsid w:val="001F19FF"/>
    <w:rsid w:val="002041C5"/>
    <w:rsid w:val="002053FD"/>
    <w:rsid w:val="002063FE"/>
    <w:rsid w:val="00206932"/>
    <w:rsid w:val="00206BF0"/>
    <w:rsid w:val="0021722B"/>
    <w:rsid w:val="00222C7A"/>
    <w:rsid w:val="0022738C"/>
    <w:rsid w:val="00234A28"/>
    <w:rsid w:val="00236DB3"/>
    <w:rsid w:val="002431D9"/>
    <w:rsid w:val="00254268"/>
    <w:rsid w:val="0026152B"/>
    <w:rsid w:val="002638A0"/>
    <w:rsid w:val="002712EB"/>
    <w:rsid w:val="0027222A"/>
    <w:rsid w:val="002743D2"/>
    <w:rsid w:val="00277F42"/>
    <w:rsid w:val="002802CA"/>
    <w:rsid w:val="00281CAE"/>
    <w:rsid w:val="0029006A"/>
    <w:rsid w:val="002904E7"/>
    <w:rsid w:val="00297204"/>
    <w:rsid w:val="002976E9"/>
    <w:rsid w:val="002B29A5"/>
    <w:rsid w:val="002B29A7"/>
    <w:rsid w:val="002B517F"/>
    <w:rsid w:val="002B6993"/>
    <w:rsid w:val="002C1F95"/>
    <w:rsid w:val="002C416A"/>
    <w:rsid w:val="002C77DF"/>
    <w:rsid w:val="002D0248"/>
    <w:rsid w:val="002D7683"/>
    <w:rsid w:val="002E211C"/>
    <w:rsid w:val="002F674B"/>
    <w:rsid w:val="002F6DB3"/>
    <w:rsid w:val="003046D7"/>
    <w:rsid w:val="003139FC"/>
    <w:rsid w:val="0031591B"/>
    <w:rsid w:val="00315FD4"/>
    <w:rsid w:val="00332E13"/>
    <w:rsid w:val="0033461B"/>
    <w:rsid w:val="00341540"/>
    <w:rsid w:val="003511C6"/>
    <w:rsid w:val="0035325B"/>
    <w:rsid w:val="00354C15"/>
    <w:rsid w:val="0039066A"/>
    <w:rsid w:val="00395BF7"/>
    <w:rsid w:val="003A603C"/>
    <w:rsid w:val="003A6370"/>
    <w:rsid w:val="003C0AA8"/>
    <w:rsid w:val="003C12E8"/>
    <w:rsid w:val="003C4B46"/>
    <w:rsid w:val="003C5023"/>
    <w:rsid w:val="003E30B5"/>
    <w:rsid w:val="003E4C18"/>
    <w:rsid w:val="0040391F"/>
    <w:rsid w:val="0042062C"/>
    <w:rsid w:val="00435CEE"/>
    <w:rsid w:val="0044133C"/>
    <w:rsid w:val="00455557"/>
    <w:rsid w:val="0047352C"/>
    <w:rsid w:val="00484A45"/>
    <w:rsid w:val="004A4B25"/>
    <w:rsid w:val="004A6308"/>
    <w:rsid w:val="004B19EE"/>
    <w:rsid w:val="004C5E95"/>
    <w:rsid w:val="004C701D"/>
    <w:rsid w:val="004F1469"/>
    <w:rsid w:val="004F28E3"/>
    <w:rsid w:val="004F6FCD"/>
    <w:rsid w:val="00504745"/>
    <w:rsid w:val="00507EC5"/>
    <w:rsid w:val="005136A4"/>
    <w:rsid w:val="00516952"/>
    <w:rsid w:val="005253D4"/>
    <w:rsid w:val="00551815"/>
    <w:rsid w:val="00560AD2"/>
    <w:rsid w:val="00565A51"/>
    <w:rsid w:val="0057125B"/>
    <w:rsid w:val="00571260"/>
    <w:rsid w:val="00583626"/>
    <w:rsid w:val="00595803"/>
    <w:rsid w:val="005A1986"/>
    <w:rsid w:val="005B5DE8"/>
    <w:rsid w:val="005C3665"/>
    <w:rsid w:val="005C42AC"/>
    <w:rsid w:val="005D07DE"/>
    <w:rsid w:val="005D302D"/>
    <w:rsid w:val="005D385C"/>
    <w:rsid w:val="005D3F59"/>
    <w:rsid w:val="005E194B"/>
    <w:rsid w:val="005F42F8"/>
    <w:rsid w:val="00601205"/>
    <w:rsid w:val="00605BB0"/>
    <w:rsid w:val="00606DEF"/>
    <w:rsid w:val="006165B6"/>
    <w:rsid w:val="006238AA"/>
    <w:rsid w:val="00630300"/>
    <w:rsid w:val="00631517"/>
    <w:rsid w:val="00635DBD"/>
    <w:rsid w:val="006741F7"/>
    <w:rsid w:val="00686C18"/>
    <w:rsid w:val="006935F3"/>
    <w:rsid w:val="00694B55"/>
    <w:rsid w:val="006A6860"/>
    <w:rsid w:val="006D1B12"/>
    <w:rsid w:val="006E4A6E"/>
    <w:rsid w:val="006E642B"/>
    <w:rsid w:val="0071438A"/>
    <w:rsid w:val="00724BC7"/>
    <w:rsid w:val="00761996"/>
    <w:rsid w:val="00763160"/>
    <w:rsid w:val="00780612"/>
    <w:rsid w:val="00786A20"/>
    <w:rsid w:val="007A0634"/>
    <w:rsid w:val="007A16F4"/>
    <w:rsid w:val="007A458D"/>
    <w:rsid w:val="007C0FAA"/>
    <w:rsid w:val="007D3AF0"/>
    <w:rsid w:val="007E6FF4"/>
    <w:rsid w:val="007F07FB"/>
    <w:rsid w:val="007F4E65"/>
    <w:rsid w:val="007F5049"/>
    <w:rsid w:val="00810507"/>
    <w:rsid w:val="00813E69"/>
    <w:rsid w:val="00817E8B"/>
    <w:rsid w:val="008338D4"/>
    <w:rsid w:val="00836680"/>
    <w:rsid w:val="0084255D"/>
    <w:rsid w:val="00850ACF"/>
    <w:rsid w:val="00852038"/>
    <w:rsid w:val="00861489"/>
    <w:rsid w:val="00872221"/>
    <w:rsid w:val="0088639E"/>
    <w:rsid w:val="008A3260"/>
    <w:rsid w:val="008A32A7"/>
    <w:rsid w:val="008A46EB"/>
    <w:rsid w:val="008B407C"/>
    <w:rsid w:val="008B66F8"/>
    <w:rsid w:val="008E62D1"/>
    <w:rsid w:val="008E65E6"/>
    <w:rsid w:val="008F285B"/>
    <w:rsid w:val="008F4564"/>
    <w:rsid w:val="009018EC"/>
    <w:rsid w:val="00906EDB"/>
    <w:rsid w:val="00912E00"/>
    <w:rsid w:val="00917529"/>
    <w:rsid w:val="00923C46"/>
    <w:rsid w:val="00931DDF"/>
    <w:rsid w:val="009504F9"/>
    <w:rsid w:val="009711DB"/>
    <w:rsid w:val="009A0F50"/>
    <w:rsid w:val="009A16CD"/>
    <w:rsid w:val="009A67F3"/>
    <w:rsid w:val="009C06F5"/>
    <w:rsid w:val="009D52F9"/>
    <w:rsid w:val="009D6567"/>
    <w:rsid w:val="009E0F31"/>
    <w:rsid w:val="00A007F5"/>
    <w:rsid w:val="00A038EC"/>
    <w:rsid w:val="00A14367"/>
    <w:rsid w:val="00A145B0"/>
    <w:rsid w:val="00A14B15"/>
    <w:rsid w:val="00A15172"/>
    <w:rsid w:val="00A254CF"/>
    <w:rsid w:val="00A26EF7"/>
    <w:rsid w:val="00A277D6"/>
    <w:rsid w:val="00A379F8"/>
    <w:rsid w:val="00A43FCE"/>
    <w:rsid w:val="00A44713"/>
    <w:rsid w:val="00A5016A"/>
    <w:rsid w:val="00A54EEA"/>
    <w:rsid w:val="00A56BFF"/>
    <w:rsid w:val="00A6238C"/>
    <w:rsid w:val="00A73600"/>
    <w:rsid w:val="00A74C1E"/>
    <w:rsid w:val="00A7661C"/>
    <w:rsid w:val="00A95BC7"/>
    <w:rsid w:val="00A962DF"/>
    <w:rsid w:val="00AA17F7"/>
    <w:rsid w:val="00AF70A1"/>
    <w:rsid w:val="00B07F79"/>
    <w:rsid w:val="00B16C07"/>
    <w:rsid w:val="00B21ABC"/>
    <w:rsid w:val="00B46A57"/>
    <w:rsid w:val="00B52A29"/>
    <w:rsid w:val="00B65754"/>
    <w:rsid w:val="00B66231"/>
    <w:rsid w:val="00B769F1"/>
    <w:rsid w:val="00B82025"/>
    <w:rsid w:val="00B9297F"/>
    <w:rsid w:val="00BA0A91"/>
    <w:rsid w:val="00BA4887"/>
    <w:rsid w:val="00BA657B"/>
    <w:rsid w:val="00BB3390"/>
    <w:rsid w:val="00BB3C1A"/>
    <w:rsid w:val="00BC30D4"/>
    <w:rsid w:val="00BC6DEF"/>
    <w:rsid w:val="00BD7CAE"/>
    <w:rsid w:val="00BE2989"/>
    <w:rsid w:val="00BE6A2C"/>
    <w:rsid w:val="00BE7A11"/>
    <w:rsid w:val="00BF2746"/>
    <w:rsid w:val="00BF722F"/>
    <w:rsid w:val="00C13FE8"/>
    <w:rsid w:val="00C30A60"/>
    <w:rsid w:val="00C30AC3"/>
    <w:rsid w:val="00C33ABA"/>
    <w:rsid w:val="00C37A83"/>
    <w:rsid w:val="00C37BB6"/>
    <w:rsid w:val="00C517CA"/>
    <w:rsid w:val="00C52EFD"/>
    <w:rsid w:val="00C53634"/>
    <w:rsid w:val="00C62974"/>
    <w:rsid w:val="00C64378"/>
    <w:rsid w:val="00C75972"/>
    <w:rsid w:val="00C75CF0"/>
    <w:rsid w:val="00C808B5"/>
    <w:rsid w:val="00C82DB6"/>
    <w:rsid w:val="00CA4CD6"/>
    <w:rsid w:val="00CA57FF"/>
    <w:rsid w:val="00CA7DA0"/>
    <w:rsid w:val="00CB5571"/>
    <w:rsid w:val="00CC48AB"/>
    <w:rsid w:val="00CC58F6"/>
    <w:rsid w:val="00CD2069"/>
    <w:rsid w:val="00CD280D"/>
    <w:rsid w:val="00CD50E0"/>
    <w:rsid w:val="00CE3208"/>
    <w:rsid w:val="00CF2B37"/>
    <w:rsid w:val="00D13D9A"/>
    <w:rsid w:val="00D14A8D"/>
    <w:rsid w:val="00D21198"/>
    <w:rsid w:val="00D2223D"/>
    <w:rsid w:val="00D2273E"/>
    <w:rsid w:val="00D2517D"/>
    <w:rsid w:val="00D369BE"/>
    <w:rsid w:val="00D42D52"/>
    <w:rsid w:val="00D46FA2"/>
    <w:rsid w:val="00D5080D"/>
    <w:rsid w:val="00D54037"/>
    <w:rsid w:val="00D56F5F"/>
    <w:rsid w:val="00D61B37"/>
    <w:rsid w:val="00D63B96"/>
    <w:rsid w:val="00D720C5"/>
    <w:rsid w:val="00D82143"/>
    <w:rsid w:val="00D92F66"/>
    <w:rsid w:val="00D95819"/>
    <w:rsid w:val="00DA007F"/>
    <w:rsid w:val="00DA7285"/>
    <w:rsid w:val="00DB59E1"/>
    <w:rsid w:val="00DB7907"/>
    <w:rsid w:val="00DD1AC1"/>
    <w:rsid w:val="00DD6FD9"/>
    <w:rsid w:val="00DD7D49"/>
    <w:rsid w:val="00DF0679"/>
    <w:rsid w:val="00DF1B16"/>
    <w:rsid w:val="00DF5C4E"/>
    <w:rsid w:val="00DF6323"/>
    <w:rsid w:val="00E10DA7"/>
    <w:rsid w:val="00E1538C"/>
    <w:rsid w:val="00E24A6E"/>
    <w:rsid w:val="00E25DB6"/>
    <w:rsid w:val="00E276CD"/>
    <w:rsid w:val="00E32EDA"/>
    <w:rsid w:val="00E442E3"/>
    <w:rsid w:val="00E53137"/>
    <w:rsid w:val="00E53226"/>
    <w:rsid w:val="00E648F8"/>
    <w:rsid w:val="00E702F6"/>
    <w:rsid w:val="00E72D70"/>
    <w:rsid w:val="00E77D5E"/>
    <w:rsid w:val="00E868BB"/>
    <w:rsid w:val="00EA37A9"/>
    <w:rsid w:val="00EA7026"/>
    <w:rsid w:val="00EC4074"/>
    <w:rsid w:val="00ED4566"/>
    <w:rsid w:val="00ED741E"/>
    <w:rsid w:val="00EE441D"/>
    <w:rsid w:val="00EF113F"/>
    <w:rsid w:val="00EF1FC4"/>
    <w:rsid w:val="00EF30F4"/>
    <w:rsid w:val="00F033F0"/>
    <w:rsid w:val="00F03803"/>
    <w:rsid w:val="00F066C9"/>
    <w:rsid w:val="00F131AE"/>
    <w:rsid w:val="00F20822"/>
    <w:rsid w:val="00F340DF"/>
    <w:rsid w:val="00F538BC"/>
    <w:rsid w:val="00F701A6"/>
    <w:rsid w:val="00F71536"/>
    <w:rsid w:val="00F90773"/>
    <w:rsid w:val="00F9092B"/>
    <w:rsid w:val="00F92D22"/>
    <w:rsid w:val="00F95D42"/>
    <w:rsid w:val="00FA1F68"/>
    <w:rsid w:val="00FA630C"/>
    <w:rsid w:val="00FB0650"/>
    <w:rsid w:val="00FB4D98"/>
    <w:rsid w:val="00FB6378"/>
    <w:rsid w:val="00FB7BCE"/>
    <w:rsid w:val="00FC08BF"/>
    <w:rsid w:val="00FC4E09"/>
    <w:rsid w:val="00FD72B2"/>
    <w:rsid w:val="00FE2099"/>
    <w:rsid w:val="00FE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8B685C-9F1E-45C3-9935-5D59C361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FA1F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3299715">
      <w:bodyDiv w:val="1"/>
      <w:marLeft w:val="0"/>
      <w:marRight w:val="0"/>
      <w:marTop w:val="0"/>
      <w:marBottom w:val="0"/>
      <w:divBdr>
        <w:top w:val="none" w:sz="0" w:space="0" w:color="auto"/>
        <w:left w:val="none" w:sz="0" w:space="0" w:color="auto"/>
        <w:bottom w:val="none" w:sz="0" w:space="0" w:color="auto"/>
        <w:right w:val="none" w:sz="0" w:space="0" w:color="auto"/>
      </w:divBdr>
    </w:div>
    <w:div w:id="937374685">
      <w:bodyDiv w:val="1"/>
      <w:marLeft w:val="0"/>
      <w:marRight w:val="0"/>
      <w:marTop w:val="0"/>
      <w:marBottom w:val="0"/>
      <w:divBdr>
        <w:top w:val="none" w:sz="0" w:space="0" w:color="auto"/>
        <w:left w:val="none" w:sz="0" w:space="0" w:color="auto"/>
        <w:bottom w:val="none" w:sz="0" w:space="0" w:color="auto"/>
        <w:right w:val="none" w:sz="0" w:space="0" w:color="auto"/>
      </w:divBdr>
    </w:div>
    <w:div w:id="1282416024">
      <w:bodyDiv w:val="1"/>
      <w:marLeft w:val="0"/>
      <w:marRight w:val="0"/>
      <w:marTop w:val="0"/>
      <w:marBottom w:val="0"/>
      <w:divBdr>
        <w:top w:val="none" w:sz="0" w:space="0" w:color="auto"/>
        <w:left w:val="none" w:sz="0" w:space="0" w:color="auto"/>
        <w:bottom w:val="none" w:sz="0" w:space="0" w:color="auto"/>
        <w:right w:val="none" w:sz="0" w:space="0" w:color="auto"/>
      </w:divBdr>
    </w:div>
    <w:div w:id="20538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0557-CADF-4492-960C-FA2BBDD2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5281</Words>
  <Characters>28886</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2014-06-11T15:05:00Z</dcterms:created>
  <dcterms:modified xsi:type="dcterms:W3CDTF">2014-06-11T15:05:00Z</dcterms:modified>
</cp:coreProperties>
</file>